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099" w:rsidRDefault="00AE6F12" w:rsidP="00AE6F12">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3E1DCCBA-9C68-4558-A2A2-2288F1E615B2" style="width:455.25pt;height:312pt">
            <v:imagedata r:id="rId7" o:title=""/>
          </v:shape>
        </w:pict>
      </w:r>
    </w:p>
    <w:bookmarkEnd w:id="0"/>
    <w:p w:rsidR="00263099" w:rsidRDefault="00263099" w:rsidP="00263099">
      <w:pPr>
        <w:rPr>
          <w:noProof/>
        </w:rPr>
        <w:sectPr w:rsidR="00263099" w:rsidSect="00AE6F12">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rsidR="00263099" w:rsidRPr="00263099" w:rsidRDefault="00263099" w:rsidP="00263099">
      <w:pPr>
        <w:numPr>
          <w:ilvl w:val="0"/>
          <w:numId w:val="42"/>
        </w:numPr>
        <w:spacing w:after="200" w:line="276" w:lineRule="auto"/>
        <w:contextualSpacing/>
        <w:rPr>
          <w:rFonts w:ascii="Times New Roman" w:eastAsia="Calibri" w:hAnsi="Times New Roman" w:cs="Times New Roman"/>
          <w:b/>
          <w:i/>
          <w:smallCaps/>
          <w:noProof/>
          <w:color w:val="000000"/>
          <w:sz w:val="28"/>
          <w:u w:val="single"/>
        </w:rPr>
      </w:pPr>
      <w:bookmarkStart w:id="1" w:name="_GoBack"/>
      <w:bookmarkEnd w:id="1"/>
      <w:r>
        <w:rPr>
          <w:rFonts w:ascii="Times New Roman" w:hAnsi="Times New Roman"/>
          <w:b/>
          <w:i/>
          <w:smallCaps/>
          <w:noProof/>
          <w:color w:val="000000"/>
          <w:sz w:val="28"/>
          <w:u w:val="single"/>
        </w:rPr>
        <w:lastRenderedPageBreak/>
        <w:t>Ievads</w:t>
      </w:r>
    </w:p>
    <w:p w:rsidR="00263099" w:rsidRPr="00263099" w:rsidRDefault="00263099" w:rsidP="00263099">
      <w:pPr>
        <w:spacing w:after="0" w:line="276" w:lineRule="auto"/>
        <w:jc w:val="both"/>
        <w:rPr>
          <w:rFonts w:ascii="Times New Roman" w:eastAsia="Times New Roman" w:hAnsi="Times New Roman" w:cs="Times New Roman"/>
          <w:noProof/>
          <w:sz w:val="24"/>
          <w:szCs w:val="24"/>
          <w:lang w:val="en-GB" w:eastAsia="en-GB"/>
        </w:rPr>
      </w:pPr>
    </w:p>
    <w:p w:rsidR="00263099" w:rsidRPr="00263099" w:rsidRDefault="00263099" w:rsidP="00263099">
      <w:pPr>
        <w:spacing w:after="0" w:line="276" w:lineRule="auto"/>
        <w:jc w:val="both"/>
        <w:rPr>
          <w:rFonts w:ascii="Times New Roman" w:eastAsia="Calibri" w:hAnsi="Times New Roman" w:cs="Times New Roman"/>
          <w:noProof/>
          <w:sz w:val="24"/>
          <w:szCs w:val="24"/>
        </w:rPr>
      </w:pPr>
      <w:r>
        <w:rPr>
          <w:rFonts w:ascii="Times New Roman" w:hAnsi="Times New Roman"/>
          <w:noProof/>
          <w:color w:val="000000"/>
          <w:sz w:val="24"/>
        </w:rPr>
        <w:t>2021. gada 2. jūnija Šengenas stratēģijā tika noteikti divi svarīgi priekšnoteikumi, kas jāizpilda, lai Šengenas zona darbotos pilnvērtīgi un būtu noturīga.</w:t>
      </w:r>
      <w:r>
        <w:rPr>
          <w:rFonts w:ascii="Times New Roman" w:hAnsi="Times New Roman"/>
          <w:noProof/>
          <w:color w:val="000000"/>
          <w:sz w:val="24"/>
          <w:bdr w:val="none" w:sz="0" w:space="0" w:color="auto" w:frame="1"/>
          <w:shd w:val="clear" w:color="auto" w:fill="FFFFFF"/>
        </w:rPr>
        <w:t xml:space="preserve"> </w:t>
      </w:r>
      <w:r>
        <w:rPr>
          <w:rFonts w:ascii="Times New Roman" w:hAnsi="Times New Roman"/>
          <w:noProof/>
          <w:sz w:val="24"/>
          <w:bdr w:val="none" w:sz="0" w:space="0" w:color="auto" w:frame="1"/>
        </w:rPr>
        <w:t xml:space="preserve">Tie bija integrēta pieeja ārējo robežu pārvaldībai un </w:t>
      </w:r>
      <w:r>
        <w:rPr>
          <w:rFonts w:ascii="Times New Roman" w:hAnsi="Times New Roman"/>
          <w:noProof/>
          <w:color w:val="000000"/>
          <w:sz w:val="24"/>
          <w:bdr w:val="none" w:sz="0" w:space="0" w:color="auto" w:frame="1"/>
        </w:rPr>
        <w:t xml:space="preserve">Eiropas Robežu un krasta apsardzes aģentūras (ko parasti dēvē par </w:t>
      </w:r>
      <w:r>
        <w:rPr>
          <w:rFonts w:ascii="Times New Roman" w:hAnsi="Times New Roman"/>
          <w:i/>
          <w:iCs/>
          <w:noProof/>
          <w:color w:val="000000"/>
          <w:sz w:val="24"/>
          <w:bdr w:val="none" w:sz="0" w:space="0" w:color="auto" w:frame="1"/>
        </w:rPr>
        <w:t>Frontex</w:t>
      </w:r>
      <w:r>
        <w:rPr>
          <w:rFonts w:ascii="Times New Roman" w:hAnsi="Times New Roman"/>
          <w:noProof/>
          <w:color w:val="000000"/>
          <w:sz w:val="24"/>
          <w:bdr w:val="none" w:sz="0" w:space="0" w:color="auto" w:frame="1"/>
        </w:rPr>
        <w:t>) jauno pilnvaru sekmīga īstenošana.</w:t>
      </w:r>
      <w:r>
        <w:rPr>
          <w:rFonts w:ascii="Times New Roman" w:hAnsi="Times New Roman"/>
          <w:noProof/>
          <w:color w:val="000000"/>
          <w:sz w:val="24"/>
          <w:bdr w:val="none" w:sz="0" w:space="0" w:color="auto" w:frame="1"/>
          <w:shd w:val="clear" w:color="auto" w:fill="FFFFFF"/>
        </w:rPr>
        <w:t xml:space="preserve"> </w:t>
      </w:r>
      <w:r>
        <w:rPr>
          <w:rFonts w:ascii="Times New Roman" w:hAnsi="Times New Roman"/>
          <w:noProof/>
          <w:sz w:val="24"/>
        </w:rPr>
        <w:t>Jo īpaši tajā tika uzsvērts, ka “</w:t>
      </w:r>
      <w:r>
        <w:rPr>
          <w:rFonts w:ascii="Times New Roman" w:hAnsi="Times New Roman"/>
          <w:i/>
          <w:iCs/>
          <w:noProof/>
          <w:sz w:val="24"/>
        </w:rPr>
        <w:t>mērķis ir nodrošināt gan stratēģisku sistēmu, gan darbības komponentus, kas nepieciešami, lai labāk savienotu mūsu politikas, tādējādi novēršot nepilnības robežaizsardzības, drošības, atgriešanas un migrācijas jomu mijiedarbībā, vienlaikus vienmēr nodrošinot pamattiesību aizsardzību</w:t>
      </w:r>
      <w:r>
        <w:rPr>
          <w:rFonts w:ascii="Times New Roman" w:hAnsi="Times New Roman"/>
          <w:noProof/>
          <w:sz w:val="24"/>
        </w:rPr>
        <w:t xml:space="preserve">”. </w:t>
      </w:r>
    </w:p>
    <w:p w:rsidR="00263099" w:rsidRPr="00127656" w:rsidRDefault="00263099" w:rsidP="00263099">
      <w:pPr>
        <w:spacing w:after="0" w:line="276" w:lineRule="auto"/>
        <w:jc w:val="both"/>
        <w:rPr>
          <w:rFonts w:ascii="Times New Roman" w:eastAsia="Calibri" w:hAnsi="Times New Roman" w:cs="Times New Roman"/>
          <w:noProof/>
          <w:sz w:val="24"/>
          <w:szCs w:val="24"/>
        </w:rPr>
      </w:pPr>
    </w:p>
    <w:p w:rsidR="00263099" w:rsidRPr="00263099" w:rsidRDefault="00263099" w:rsidP="00263099">
      <w:pPr>
        <w:spacing w:after="0" w:line="276" w:lineRule="auto"/>
        <w:jc w:val="both"/>
        <w:rPr>
          <w:rFonts w:ascii="Times New Roman" w:eastAsia="Times New Roman" w:hAnsi="Times New Roman" w:cs="Times New Roman"/>
          <w:noProof/>
          <w:sz w:val="24"/>
          <w:szCs w:val="24"/>
        </w:rPr>
      </w:pPr>
      <w:r>
        <w:rPr>
          <w:rFonts w:ascii="Times New Roman" w:hAnsi="Times New Roman"/>
          <w:noProof/>
          <w:color w:val="000000"/>
          <w:sz w:val="24"/>
          <w:bdr w:val="none" w:sz="0" w:space="0" w:color="auto" w:frame="1"/>
          <w:shd w:val="clear" w:color="auto" w:fill="FFFFFF"/>
        </w:rPr>
        <w:t xml:space="preserve">Lai sasniegtu šo mērķi, Eiropas Savienībai un tās dalībvalstīm ir jāsadarbojas — jo īpaši Eiropas Robežu un krasta apsardzes (ERKA) satvarā —, nolūkā panākt pilnīgu </w:t>
      </w:r>
      <w:r>
        <w:rPr>
          <w:rFonts w:ascii="Times New Roman" w:hAnsi="Times New Roman"/>
          <w:b/>
          <w:noProof/>
          <w:color w:val="000000"/>
          <w:sz w:val="24"/>
          <w:bdr w:val="none" w:sz="0" w:space="0" w:color="auto" w:frame="1"/>
          <w:shd w:val="clear" w:color="auto" w:fill="FFFFFF"/>
        </w:rPr>
        <w:t>Eiropas integrētās robežu pārvaldības</w:t>
      </w:r>
      <w:r>
        <w:rPr>
          <w:rFonts w:ascii="Times New Roman" w:hAnsi="Times New Roman"/>
          <w:noProof/>
          <w:color w:val="000000"/>
          <w:sz w:val="24"/>
          <w:bdr w:val="none" w:sz="0" w:space="0" w:color="auto" w:frame="1"/>
          <w:shd w:val="clear" w:color="auto" w:fill="FFFFFF"/>
        </w:rPr>
        <w:t xml:space="preserve"> (EIRP) efektivitāti, apvienojot visus attiecīgos dalībniekus gan Eiropas, gan valstu līmenī. Šajā kontekstā</w:t>
      </w:r>
      <w:r>
        <w:rPr>
          <w:rFonts w:ascii="Times New Roman" w:hAnsi="Times New Roman"/>
          <w:noProof/>
          <w:sz w:val="24"/>
        </w:rPr>
        <w:t xml:space="preserve"> Eiropas integrētā robežu pārvaldība būtu arī pilnībā jāintegrē Šengenas ciklā.</w:t>
      </w:r>
    </w:p>
    <w:p w:rsidR="00263099" w:rsidRPr="00127656" w:rsidRDefault="00263099" w:rsidP="00263099">
      <w:pPr>
        <w:spacing w:after="0" w:line="276" w:lineRule="auto"/>
        <w:jc w:val="both"/>
        <w:rPr>
          <w:rFonts w:ascii="Times New Roman" w:eastAsia="Calibri" w:hAnsi="Times New Roman" w:cs="Times New Roman"/>
          <w:noProof/>
          <w:sz w:val="24"/>
          <w:szCs w:val="24"/>
        </w:rPr>
      </w:pPr>
    </w:p>
    <w:p w:rsidR="00263099" w:rsidRPr="00263099" w:rsidRDefault="00263099" w:rsidP="00263099">
      <w:pPr>
        <w:spacing w:after="0" w:line="276" w:lineRule="auto"/>
        <w:jc w:val="both"/>
        <w:rPr>
          <w:rFonts w:ascii="Times New Roman" w:eastAsia="Times New Roman" w:hAnsi="Times New Roman" w:cs="Times New Roman"/>
          <w:noProof/>
          <w:color w:val="000000"/>
          <w:sz w:val="24"/>
          <w:szCs w:val="24"/>
          <w:bdr w:val="none" w:sz="0" w:space="0" w:color="auto" w:frame="1"/>
          <w:shd w:val="clear" w:color="auto" w:fill="FFFFFF"/>
        </w:rPr>
      </w:pPr>
      <w:r>
        <w:rPr>
          <w:rFonts w:ascii="Times New Roman" w:hAnsi="Times New Roman"/>
          <w:noProof/>
          <w:color w:val="000000"/>
          <w:sz w:val="24"/>
          <w:bdr w:val="none" w:sz="0" w:space="0" w:color="auto" w:frame="1"/>
          <w:shd w:val="clear" w:color="auto" w:fill="FFFFFF"/>
        </w:rPr>
        <w:t>Kā paziņots Šengenas stratēģijā</w:t>
      </w:r>
      <w:r>
        <w:rPr>
          <w:rFonts w:ascii="Times New Roman" w:hAnsi="Times New Roman"/>
          <w:noProof/>
          <w:sz w:val="24"/>
        </w:rPr>
        <w:t xml:space="preserve">, Eiropas integrētās robežu pārvaldības īstenošanu vadīs, izmantojot </w:t>
      </w:r>
      <w:r>
        <w:rPr>
          <w:rFonts w:ascii="Times New Roman" w:hAnsi="Times New Roman"/>
          <w:b/>
          <w:noProof/>
          <w:sz w:val="24"/>
        </w:rPr>
        <w:t>daudzgadu stratēģiskās politikas plānošanas ciklu</w:t>
      </w:r>
      <w:r>
        <w:rPr>
          <w:rFonts w:ascii="Times New Roman" w:hAnsi="Times New Roman"/>
          <w:noProof/>
          <w:sz w:val="24"/>
        </w:rPr>
        <w:t xml:space="preserve"> (“EIRP politikas plānošanas cikls”)</w:t>
      </w:r>
      <w:r>
        <w:rPr>
          <w:rFonts w:ascii="Times New Roman" w:hAnsi="Times New Roman"/>
          <w:noProof/>
          <w:color w:val="000000"/>
          <w:sz w:val="24"/>
          <w:bdr w:val="none" w:sz="0" w:space="0" w:color="auto" w:frame="1"/>
          <w:shd w:val="clear" w:color="auto" w:fill="FFFFFF"/>
        </w:rPr>
        <w:t xml:space="preserve">, </w:t>
      </w:r>
      <w:r>
        <w:rPr>
          <w:rFonts w:ascii="Times New Roman" w:hAnsi="Times New Roman"/>
          <w:noProof/>
          <w:sz w:val="24"/>
        </w:rPr>
        <w:t xml:space="preserve">kas jāsagatavo </w:t>
      </w:r>
      <w:r>
        <w:rPr>
          <w:rFonts w:ascii="Times New Roman" w:hAnsi="Times New Roman"/>
          <w:noProof/>
          <w:color w:val="000000"/>
          <w:sz w:val="24"/>
          <w:bdr w:val="none" w:sz="0" w:space="0" w:color="auto" w:frame="1"/>
          <w:shd w:val="clear" w:color="auto" w:fill="FFFFFF"/>
        </w:rPr>
        <w:t>saskaņā ar Regulas (ES) 2019/1896</w:t>
      </w:r>
      <w:r w:rsidRPr="00263099">
        <w:rPr>
          <w:rFonts w:ascii="Times New Roman" w:eastAsia="Times New Roman" w:hAnsi="Times New Roman" w:cs="Times New Roman"/>
          <w:noProof/>
          <w:color w:val="000000"/>
          <w:sz w:val="24"/>
          <w:szCs w:val="24"/>
          <w:bdr w:val="none" w:sz="0" w:space="0" w:color="auto" w:frame="1"/>
          <w:shd w:val="clear" w:color="auto" w:fill="FFFFFF"/>
          <w:vertAlign w:val="superscript"/>
          <w:lang w:val="en-GB" w:eastAsia="en-GB"/>
        </w:rPr>
        <w:footnoteReference w:id="1"/>
      </w:r>
      <w:r>
        <w:rPr>
          <w:rFonts w:ascii="Times New Roman" w:hAnsi="Times New Roman"/>
          <w:noProof/>
          <w:color w:val="000000"/>
          <w:sz w:val="24"/>
          <w:bdr w:val="none" w:sz="0" w:space="0" w:color="auto" w:frame="1"/>
          <w:shd w:val="clear" w:color="auto" w:fill="FFFFFF"/>
        </w:rPr>
        <w:t xml:space="preserve"> (“ERKA regula”) 8. pantu. </w:t>
      </w:r>
      <w:r>
        <w:rPr>
          <w:rFonts w:ascii="Times New Roman" w:hAnsi="Times New Roman"/>
          <w:noProof/>
          <w:sz w:val="24"/>
        </w:rPr>
        <w:t xml:space="preserve">Daudzgadu stratēģiskās politikas plānošanas cikls noteiks, kā Eiropas Robežu un krasta apsardzei kā struktūrai efektīvi darboties turpmāko piecu gadu laikā un īstenot Eiropas integrēto robežu pārvaldību. </w:t>
      </w:r>
      <w:r>
        <w:rPr>
          <w:rFonts w:ascii="Times New Roman" w:hAnsi="Times New Roman"/>
          <w:b/>
          <w:noProof/>
          <w:sz w:val="24"/>
        </w:rPr>
        <w:t>Operacionālajā līmenī</w:t>
      </w:r>
      <w:r>
        <w:rPr>
          <w:rFonts w:ascii="Times New Roman" w:hAnsi="Times New Roman"/>
          <w:noProof/>
          <w:sz w:val="24"/>
        </w:rPr>
        <w:t xml:space="preserve"> šim ciklam būtu jāveido vienots satvars, kurš ievirzītu ikdienas darbu, ko veic vairāk nekā 120 000 Eiropas Robežu un krasta apsardzes darbinieku no valstu iestādēm un </w:t>
      </w:r>
      <w:r>
        <w:rPr>
          <w:rFonts w:ascii="Times New Roman" w:hAnsi="Times New Roman"/>
          <w:i/>
          <w:iCs/>
          <w:noProof/>
          <w:sz w:val="24"/>
        </w:rPr>
        <w:t>Frontex</w:t>
      </w:r>
      <w:r>
        <w:rPr>
          <w:rFonts w:ascii="Times New Roman" w:hAnsi="Times New Roman"/>
          <w:noProof/>
          <w:sz w:val="24"/>
        </w:rPr>
        <w:t>.</w:t>
      </w:r>
    </w:p>
    <w:p w:rsidR="00263099" w:rsidRPr="00127656" w:rsidRDefault="00263099" w:rsidP="00263099">
      <w:pPr>
        <w:spacing w:after="0" w:line="276" w:lineRule="auto"/>
        <w:jc w:val="both"/>
        <w:rPr>
          <w:rFonts w:ascii="Times New Roman" w:eastAsia="Times New Roman" w:hAnsi="Times New Roman" w:cs="Times New Roman"/>
          <w:noProof/>
          <w:color w:val="000000"/>
          <w:sz w:val="24"/>
          <w:szCs w:val="24"/>
          <w:bdr w:val="none" w:sz="0" w:space="0" w:color="auto" w:frame="1"/>
          <w:shd w:val="clear" w:color="auto" w:fill="FFFFFF"/>
          <w:lang w:eastAsia="en-GB"/>
        </w:rPr>
      </w:pPr>
    </w:p>
    <w:p w:rsidR="00263099" w:rsidRPr="00263099" w:rsidRDefault="00263099" w:rsidP="00263099">
      <w:pPr>
        <w:spacing w:after="0" w:line="276" w:lineRule="auto"/>
        <w:jc w:val="both"/>
        <w:rPr>
          <w:rFonts w:ascii="Times New Roman" w:eastAsia="Times New Roman" w:hAnsi="Times New Roman" w:cs="Times New Roman"/>
          <w:i/>
          <w:noProof/>
          <w:sz w:val="24"/>
          <w:szCs w:val="24"/>
        </w:rPr>
      </w:pPr>
      <w:r>
        <w:rPr>
          <w:rFonts w:ascii="Times New Roman" w:hAnsi="Times New Roman"/>
          <w:noProof/>
          <w:color w:val="000000"/>
          <w:sz w:val="24"/>
          <w:bdr w:val="none" w:sz="0" w:space="0" w:color="auto" w:frame="1"/>
          <w:shd w:val="clear" w:color="auto" w:fill="FFFFFF"/>
        </w:rPr>
        <w:t>Saskaņā ar ERKA regulas 8. panta 4. punktu</w:t>
      </w:r>
      <w:r>
        <w:rPr>
          <w:rFonts w:ascii="Times New Roman" w:hAnsi="Times New Roman"/>
          <w:noProof/>
          <w:sz w:val="24"/>
        </w:rPr>
        <w:t xml:space="preserve"> Komisija ar šo </w:t>
      </w:r>
      <w:r>
        <w:rPr>
          <w:rFonts w:ascii="Times New Roman" w:hAnsi="Times New Roman"/>
          <w:b/>
          <w:noProof/>
          <w:sz w:val="24"/>
        </w:rPr>
        <w:t>politikas dokumentu</w:t>
      </w:r>
      <w:r>
        <w:rPr>
          <w:rFonts w:ascii="Times New Roman" w:hAnsi="Times New Roman"/>
          <w:noProof/>
          <w:sz w:val="24"/>
        </w:rPr>
        <w:t xml:space="preserve"> ir uzsākusi apspriešanos ar Eiropas Parlamentu un Padomi par daudzgadu stratēģiskās politikas izstrādi. Apspriešanā īpaša uzmanība tiks pievērsta šā politikas dokumenta 5. nodaļai, kurā izklāstītas </w:t>
      </w:r>
      <w:r>
        <w:rPr>
          <w:rFonts w:ascii="Times New Roman" w:hAnsi="Times New Roman"/>
          <w:b/>
          <w:i/>
          <w:noProof/>
          <w:sz w:val="24"/>
        </w:rPr>
        <w:t>politikas prioritātes</w:t>
      </w:r>
      <w:r>
        <w:rPr>
          <w:rFonts w:ascii="Times New Roman" w:hAnsi="Times New Roman"/>
          <w:noProof/>
          <w:sz w:val="24"/>
        </w:rPr>
        <w:t xml:space="preserve"> un </w:t>
      </w:r>
      <w:r>
        <w:rPr>
          <w:rFonts w:ascii="Times New Roman" w:hAnsi="Times New Roman"/>
          <w:b/>
          <w:i/>
          <w:noProof/>
          <w:sz w:val="24"/>
        </w:rPr>
        <w:t>stratēģiskās vadlīnijas</w:t>
      </w:r>
      <w:r>
        <w:rPr>
          <w:rFonts w:ascii="Times New Roman" w:hAnsi="Times New Roman"/>
          <w:noProof/>
          <w:sz w:val="24"/>
        </w:rPr>
        <w:t xml:space="preserve"> </w:t>
      </w:r>
      <w:r>
        <w:rPr>
          <w:rFonts w:ascii="Times New Roman" w:hAnsi="Times New Roman"/>
          <w:b/>
          <w:noProof/>
          <w:sz w:val="24"/>
        </w:rPr>
        <w:t>piecu gadu</w:t>
      </w:r>
      <w:r>
        <w:rPr>
          <w:rFonts w:ascii="Times New Roman" w:hAnsi="Times New Roman"/>
          <w:noProof/>
          <w:sz w:val="24"/>
        </w:rPr>
        <w:t xml:space="preserve"> laikposmam saistībā ar 15 EIRP sastāvdaļām, kas noteiktas ERKA regulas 3. pantā.</w:t>
      </w:r>
    </w:p>
    <w:p w:rsidR="00263099" w:rsidRPr="00127656" w:rsidRDefault="00263099" w:rsidP="00263099">
      <w:pPr>
        <w:spacing w:after="0" w:line="276" w:lineRule="auto"/>
        <w:jc w:val="both"/>
        <w:rPr>
          <w:rFonts w:ascii="Times New Roman" w:eastAsia="Times New Roman" w:hAnsi="Times New Roman" w:cs="Times New Roman"/>
          <w:i/>
          <w:noProof/>
          <w:sz w:val="24"/>
          <w:szCs w:val="24"/>
          <w:lang w:eastAsia="en-GB"/>
        </w:rPr>
      </w:pPr>
    </w:p>
    <w:p w:rsidR="00263099" w:rsidRPr="00263099" w:rsidRDefault="00263099" w:rsidP="00263099">
      <w:p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Turklāt tajā tiks noskaidrots iestāžu viedoklis par to, kā izveidot </w:t>
      </w:r>
      <w:r>
        <w:rPr>
          <w:rFonts w:ascii="Times New Roman" w:hAnsi="Times New Roman"/>
          <w:b/>
          <w:noProof/>
          <w:sz w:val="24"/>
        </w:rPr>
        <w:t>integrētu, vienotu un nepārtrauktu procesu</w:t>
      </w:r>
      <w:r>
        <w:rPr>
          <w:rFonts w:ascii="Times New Roman" w:hAnsi="Times New Roman"/>
          <w:noProof/>
          <w:sz w:val="24"/>
        </w:rPr>
        <w:t>, kas nodrošinātu stratēģiskas vadlīnijas visiem attiecīgajiem ERKA un citiem Eiropas un valstu dalībniekiem, lai panāktu saskaņotu EIRP īstenošanu. Tas vajadzīgs, lai nodrošinātu, ka tiek pienācīgi ņemtas vērā jaunas problēmsituācijas un ka prioritātes var pielāgot mainīgajām vajadzībām. Šim pārvaldības mehānismam būtu arī jākļūst par daļu no daudzgadu stratēģiskās politikas plānošanas cikla.</w:t>
      </w:r>
    </w:p>
    <w:p w:rsidR="00263099" w:rsidRPr="00127656" w:rsidRDefault="00263099" w:rsidP="00263099">
      <w:pPr>
        <w:spacing w:after="0" w:line="276" w:lineRule="auto"/>
        <w:jc w:val="both"/>
        <w:rPr>
          <w:rFonts w:ascii="Times New Roman" w:eastAsia="Calibri" w:hAnsi="Times New Roman" w:cs="Times New Roman"/>
          <w:noProof/>
          <w:sz w:val="24"/>
          <w:szCs w:val="24"/>
        </w:rPr>
      </w:pPr>
    </w:p>
    <w:p w:rsidR="00263099" w:rsidRPr="00263099" w:rsidRDefault="00263099" w:rsidP="00263099">
      <w:pPr>
        <w:spacing w:after="0" w:line="276" w:lineRule="auto"/>
        <w:jc w:val="both"/>
        <w:rPr>
          <w:rFonts w:ascii="Times New Roman" w:eastAsia="Calibri" w:hAnsi="Times New Roman" w:cs="Times New Roman"/>
          <w:noProof/>
          <w:sz w:val="24"/>
          <w:szCs w:val="24"/>
        </w:rPr>
      </w:pPr>
      <w:r>
        <w:rPr>
          <w:rFonts w:ascii="Times New Roman" w:hAnsi="Times New Roman"/>
          <w:noProof/>
          <w:sz w:val="24"/>
        </w:rPr>
        <w:t xml:space="preserve">Šā apspriešanās procesa rezultātā būtu jāizstrādā </w:t>
      </w:r>
      <w:r>
        <w:rPr>
          <w:rFonts w:ascii="Times New Roman" w:hAnsi="Times New Roman"/>
          <w:b/>
          <w:noProof/>
          <w:sz w:val="24"/>
        </w:rPr>
        <w:t>Komisijas paziņojums, ar ko izveido Eiropas integrētās robežu pārvaldības daudzgadu stratēģisko politiku</w:t>
      </w:r>
      <w:r>
        <w:rPr>
          <w:rFonts w:ascii="Times New Roman" w:hAnsi="Times New Roman"/>
          <w:noProof/>
          <w:sz w:val="24"/>
        </w:rPr>
        <w:t xml:space="preserve"> un ar ko līdz 2022. gada beigām noteiks Eiropas integrētās robežu pārvaldības politisko virzību piecu gadu laikposmam. Šo ciklu detalizētāk īstenos ar tehnisko un operacionālo stratēģiju, kas jāpieņem </w:t>
      </w:r>
      <w:r>
        <w:rPr>
          <w:rFonts w:ascii="Times New Roman" w:hAnsi="Times New Roman"/>
          <w:i/>
          <w:iCs/>
          <w:noProof/>
          <w:sz w:val="24"/>
        </w:rPr>
        <w:t>Frontex</w:t>
      </w:r>
      <w:r>
        <w:rPr>
          <w:rFonts w:ascii="Times New Roman" w:hAnsi="Times New Roman"/>
          <w:noProof/>
          <w:sz w:val="24"/>
        </w:rPr>
        <w:t xml:space="preserve"> valdei, un dalībvalstu stratēģijām.</w:t>
      </w:r>
    </w:p>
    <w:p w:rsidR="00263099" w:rsidRPr="00127656" w:rsidRDefault="00263099" w:rsidP="00263099">
      <w:pPr>
        <w:spacing w:after="0" w:line="276" w:lineRule="auto"/>
        <w:jc w:val="both"/>
        <w:rPr>
          <w:rFonts w:ascii="Times New Roman" w:eastAsia="Calibri" w:hAnsi="Times New Roman" w:cs="Times New Roman"/>
          <w:noProof/>
          <w:sz w:val="24"/>
          <w:szCs w:val="24"/>
        </w:rPr>
      </w:pPr>
    </w:p>
    <w:p w:rsidR="00263099" w:rsidRPr="00263099" w:rsidRDefault="00263099" w:rsidP="00263099">
      <w:pPr>
        <w:numPr>
          <w:ilvl w:val="0"/>
          <w:numId w:val="42"/>
        </w:numPr>
        <w:spacing w:after="200" w:line="276" w:lineRule="auto"/>
        <w:contextualSpacing/>
        <w:jc w:val="both"/>
        <w:rPr>
          <w:rFonts w:ascii="Times New Roman" w:eastAsia="Calibri" w:hAnsi="Times New Roman" w:cs="Times New Roman"/>
          <w:b/>
          <w:i/>
          <w:smallCaps/>
          <w:noProof/>
          <w:color w:val="000000"/>
          <w:sz w:val="28"/>
          <w:szCs w:val="28"/>
          <w:u w:val="single"/>
        </w:rPr>
      </w:pPr>
      <w:r>
        <w:rPr>
          <w:rFonts w:ascii="Times New Roman" w:hAnsi="Times New Roman"/>
          <w:b/>
          <w:i/>
          <w:smallCaps/>
          <w:noProof/>
          <w:color w:val="000000"/>
          <w:sz w:val="28"/>
          <w:u w:val="single"/>
        </w:rPr>
        <w:t>Eiropas integrētās robežu pārvaldības daudzgadu stratēģiskās politikas plānošanas cikla izklāsts</w:t>
      </w:r>
    </w:p>
    <w:p w:rsidR="00263099" w:rsidRPr="00127656" w:rsidRDefault="00263099" w:rsidP="00263099">
      <w:pPr>
        <w:spacing w:after="0" w:line="276" w:lineRule="auto"/>
        <w:jc w:val="both"/>
        <w:rPr>
          <w:rFonts w:ascii="Times New Roman" w:eastAsia="Times New Roman" w:hAnsi="Times New Roman" w:cs="Times New Roman"/>
          <w:noProof/>
          <w:sz w:val="24"/>
          <w:szCs w:val="24"/>
          <w:lang w:eastAsia="en-GB"/>
        </w:rPr>
      </w:pPr>
    </w:p>
    <w:p w:rsidR="00263099" w:rsidRPr="00263099" w:rsidRDefault="00263099" w:rsidP="00263099">
      <w:p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Saskaņā ar Līgumu par Eiropas Savienības darbību (77. panta 1. punkta c) apakšpunkts) Eiropas Savienībai ir jāveido politika, lai “</w:t>
      </w:r>
      <w:r>
        <w:rPr>
          <w:rFonts w:ascii="Times New Roman" w:hAnsi="Times New Roman"/>
          <w:i/>
          <w:noProof/>
          <w:sz w:val="24"/>
        </w:rPr>
        <w:t>pakāpeniski ieviestu integrētu ārējo robežu pārvaldības sistēmu</w:t>
      </w:r>
      <w:r>
        <w:rPr>
          <w:rFonts w:ascii="Times New Roman" w:hAnsi="Times New Roman"/>
          <w:noProof/>
          <w:sz w:val="24"/>
        </w:rPr>
        <w:t>”. Eiropas integrētās robežu pārvaldības sastāvdaļas, principi un galvenās ieinteresētās personas pirmo reizi tika noteikti 2016. gadā ERKA regulā un izvērstāk izklāstīti tās 2019. gada grozījumā</w:t>
      </w:r>
      <w:r w:rsidRPr="00263099">
        <w:rPr>
          <w:rFonts w:ascii="Times New Roman" w:eastAsia="Calibri" w:hAnsi="Times New Roman" w:cs="Times New Roman"/>
          <w:noProof/>
          <w:sz w:val="24"/>
          <w:szCs w:val="24"/>
          <w:vertAlign w:val="superscript"/>
          <w:lang w:val="en-GB"/>
        </w:rPr>
        <w:footnoteReference w:id="2"/>
      </w:r>
      <w:r>
        <w:rPr>
          <w:rFonts w:ascii="Times New Roman" w:hAnsi="Times New Roman"/>
          <w:noProof/>
          <w:sz w:val="24"/>
        </w:rPr>
        <w:t xml:space="preserve">, kurā noteikts arī EIRP politikas plānošanas cikls kā stratēģiskās pārvaldības sistēma efektīvai EIRP īstenošanai. EIRP politikas plānošanas cikla </w:t>
      </w:r>
      <w:r>
        <w:rPr>
          <w:rFonts w:ascii="Times New Roman" w:hAnsi="Times New Roman"/>
          <w:b/>
          <w:noProof/>
          <w:sz w:val="24"/>
        </w:rPr>
        <w:t>stratēģiskais mērķis</w:t>
      </w:r>
      <w:r>
        <w:rPr>
          <w:rFonts w:ascii="Times New Roman" w:hAnsi="Times New Roman"/>
          <w:noProof/>
          <w:sz w:val="24"/>
        </w:rPr>
        <w:t xml:space="preserve"> ir noteikt, kā Eiropas Robežu un krasta apsardzei saskaņotā, integrētā un sistemātiskā veidā risināt problēmsituācijas robežu pārvaldības un atgriešanas jomā.</w:t>
      </w:r>
    </w:p>
    <w:p w:rsidR="00263099" w:rsidRPr="00127656" w:rsidRDefault="00263099" w:rsidP="00263099">
      <w:pPr>
        <w:spacing w:after="0" w:line="276" w:lineRule="auto"/>
        <w:jc w:val="both"/>
        <w:rPr>
          <w:rFonts w:ascii="Times New Roman" w:eastAsia="Times New Roman" w:hAnsi="Times New Roman" w:cs="Times New Roman"/>
          <w:noProof/>
          <w:sz w:val="24"/>
          <w:szCs w:val="24"/>
          <w:lang w:eastAsia="en-GB"/>
        </w:rPr>
      </w:pPr>
    </w:p>
    <w:p w:rsidR="00263099" w:rsidRPr="00263099" w:rsidRDefault="00263099" w:rsidP="00263099">
      <w:pPr>
        <w:spacing w:after="0" w:line="276" w:lineRule="auto"/>
        <w:jc w:val="both"/>
        <w:rPr>
          <w:rFonts w:ascii="Times New Roman" w:eastAsia="Times New Roman" w:hAnsi="Times New Roman" w:cs="Times New Roman"/>
          <w:i/>
          <w:noProof/>
          <w:sz w:val="24"/>
          <w:szCs w:val="24"/>
        </w:rPr>
      </w:pPr>
      <w:r>
        <w:rPr>
          <w:rFonts w:ascii="Times New Roman" w:hAnsi="Times New Roman"/>
          <w:i/>
          <w:noProof/>
          <w:sz w:val="24"/>
        </w:rPr>
        <w:t>Daudzgadu stratēģiskās politikas plānošanas cikla struktūra</w:t>
      </w:r>
    </w:p>
    <w:p w:rsidR="00263099" w:rsidRPr="00127656" w:rsidRDefault="00263099" w:rsidP="00263099">
      <w:pPr>
        <w:spacing w:after="0" w:line="276" w:lineRule="auto"/>
        <w:jc w:val="both"/>
        <w:rPr>
          <w:rFonts w:ascii="Times New Roman" w:eastAsia="Times New Roman" w:hAnsi="Times New Roman" w:cs="Times New Roman"/>
          <w:noProof/>
          <w:sz w:val="24"/>
          <w:szCs w:val="24"/>
          <w:lang w:eastAsia="en-GB"/>
        </w:rPr>
      </w:pPr>
    </w:p>
    <w:p w:rsidR="00263099" w:rsidRPr="00263099" w:rsidRDefault="00263099" w:rsidP="00263099">
      <w:p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EIRP daudzgadu stratēģiskās politikas plānošanas piecu gadu cikla struktūru veido četri galvenie posmi:</w:t>
      </w:r>
    </w:p>
    <w:p w:rsidR="00263099" w:rsidRPr="00263099" w:rsidRDefault="00263099" w:rsidP="00263099">
      <w:pPr>
        <w:numPr>
          <w:ilvl w:val="0"/>
          <w:numId w:val="39"/>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ES iestāžu noteikts politiskais virziens;</w:t>
      </w:r>
    </w:p>
    <w:p w:rsidR="00263099" w:rsidRPr="00263099" w:rsidRDefault="00263099" w:rsidP="00263099">
      <w:pPr>
        <w:numPr>
          <w:ilvl w:val="0"/>
          <w:numId w:val="39"/>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EIRP tehniskā un operacionālā stratēģija, ko izstrādājusi </w:t>
      </w:r>
      <w:r>
        <w:rPr>
          <w:rFonts w:ascii="Times New Roman" w:hAnsi="Times New Roman"/>
          <w:i/>
          <w:iCs/>
          <w:noProof/>
          <w:sz w:val="24"/>
        </w:rPr>
        <w:t>Frontex</w:t>
      </w:r>
      <w:r>
        <w:rPr>
          <w:rFonts w:ascii="Times New Roman" w:hAnsi="Times New Roman"/>
          <w:noProof/>
          <w:sz w:val="24"/>
        </w:rPr>
        <w:t xml:space="preserve"> valde;</w:t>
      </w:r>
    </w:p>
    <w:p w:rsidR="00263099" w:rsidRPr="00263099" w:rsidRDefault="00263099" w:rsidP="00263099">
      <w:pPr>
        <w:numPr>
          <w:ilvl w:val="0"/>
          <w:numId w:val="39"/>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Dalībvalstu izstrādātas valsts EIRP stratēģijas; </w:t>
      </w:r>
    </w:p>
    <w:p w:rsidR="00263099" w:rsidRPr="00263099" w:rsidRDefault="00263099" w:rsidP="00263099">
      <w:pPr>
        <w:numPr>
          <w:ilvl w:val="0"/>
          <w:numId w:val="39"/>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Komisijas veikts izvērtējums cikla atsākšanai.</w:t>
      </w:r>
    </w:p>
    <w:p w:rsidR="00263099" w:rsidRPr="00127656" w:rsidRDefault="00263099" w:rsidP="00263099">
      <w:pPr>
        <w:spacing w:after="0" w:line="240" w:lineRule="auto"/>
        <w:rPr>
          <w:rFonts w:ascii="Times New Roman" w:eastAsia="Times New Roman" w:hAnsi="Times New Roman" w:cs="Times New Roman"/>
          <w:i/>
          <w:noProof/>
          <w:sz w:val="24"/>
          <w:szCs w:val="24"/>
          <w:lang w:eastAsia="en-GB"/>
        </w:rPr>
      </w:pPr>
    </w:p>
    <w:p w:rsidR="00520D96" w:rsidRDefault="00520D96">
      <w:pPr>
        <w:rPr>
          <w:rFonts w:ascii="Times New Roman" w:eastAsia="Times New Roman" w:hAnsi="Times New Roman" w:cs="Times New Roman"/>
          <w:i/>
          <w:noProof/>
          <w:sz w:val="24"/>
          <w:szCs w:val="24"/>
        </w:rPr>
      </w:pPr>
      <w:r>
        <w:rPr>
          <w:noProof/>
        </w:rPr>
        <w:br w:type="page"/>
      </w:r>
    </w:p>
    <w:p w:rsidR="00263099" w:rsidRPr="00263099" w:rsidRDefault="00263099" w:rsidP="00263099">
      <w:pPr>
        <w:keepNext/>
        <w:spacing w:after="0" w:line="240" w:lineRule="auto"/>
        <w:rPr>
          <w:rFonts w:ascii="Times New Roman" w:eastAsia="Times New Roman" w:hAnsi="Times New Roman" w:cs="Times New Roman"/>
          <w:noProof/>
          <w:color w:val="000000"/>
          <w:sz w:val="24"/>
          <w:szCs w:val="24"/>
          <w:bdr w:val="none" w:sz="0" w:space="0" w:color="auto" w:frame="1"/>
          <w:shd w:val="clear" w:color="auto" w:fill="FFFFFF"/>
        </w:rPr>
      </w:pPr>
      <w:r>
        <w:rPr>
          <w:rFonts w:ascii="Times New Roman" w:hAnsi="Times New Roman"/>
          <w:i/>
          <w:noProof/>
          <w:sz w:val="24"/>
        </w:rPr>
        <w:t>1. attēls. EIRP daudzgadu stratēģiskās politikas plānošanas cikls</w:t>
      </w:r>
    </w:p>
    <w:p w:rsidR="00263099" w:rsidRPr="00127656" w:rsidRDefault="00263099" w:rsidP="00263099">
      <w:pPr>
        <w:spacing w:after="0" w:line="276" w:lineRule="auto"/>
        <w:jc w:val="both"/>
        <w:rPr>
          <w:rFonts w:ascii="Times New Roman" w:eastAsia="Times New Roman" w:hAnsi="Times New Roman" w:cs="Times New Roman"/>
          <w:noProof/>
          <w:sz w:val="24"/>
          <w:szCs w:val="24"/>
          <w:lang w:eastAsia="en-GB"/>
        </w:rPr>
      </w:pPr>
    </w:p>
    <w:p w:rsidR="00263099" w:rsidRPr="00263099" w:rsidRDefault="00026399" w:rsidP="00263099">
      <w:pPr>
        <w:spacing w:after="0" w:line="276" w:lineRule="auto"/>
        <w:jc w:val="both"/>
        <w:rPr>
          <w:rFonts w:ascii="Times New Roman" w:eastAsia="Times New Roman" w:hAnsi="Times New Roman" w:cs="Times New Roman"/>
          <w:noProof/>
          <w:sz w:val="24"/>
          <w:szCs w:val="24"/>
        </w:rPr>
      </w:pPr>
      <w:r w:rsidRPr="00130EA9">
        <w:rPr>
          <w:noProof/>
          <w:lang w:val="en-GB" w:eastAsia="en-GB"/>
        </w:rPr>
        <w:drawing>
          <wp:inline distT="0" distB="0" distL="0" distR="0" wp14:anchorId="5E09D596" wp14:editId="3A53B615">
            <wp:extent cx="5760085" cy="40813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085" cy="4081330"/>
                    </a:xfrm>
                    <a:prstGeom prst="rect">
                      <a:avLst/>
                    </a:prstGeom>
                    <a:noFill/>
                    <a:ln>
                      <a:noFill/>
                    </a:ln>
                  </pic:spPr>
                </pic:pic>
              </a:graphicData>
            </a:graphic>
          </wp:inline>
        </w:drawing>
      </w:r>
    </w:p>
    <w:p w:rsidR="00263099" w:rsidRPr="00263099" w:rsidRDefault="00263099" w:rsidP="00263099">
      <w:pPr>
        <w:spacing w:after="0" w:line="276" w:lineRule="auto"/>
        <w:jc w:val="both"/>
        <w:rPr>
          <w:rFonts w:ascii="Times New Roman" w:eastAsia="Times New Roman" w:hAnsi="Times New Roman" w:cs="Times New Roman"/>
          <w:noProof/>
          <w:sz w:val="24"/>
          <w:szCs w:val="24"/>
          <w:lang w:val="en-GB" w:eastAsia="en-GB"/>
        </w:rPr>
      </w:pPr>
    </w:p>
    <w:p w:rsidR="00263099" w:rsidRPr="00263099" w:rsidRDefault="00263099" w:rsidP="00263099">
      <w:pPr>
        <w:spacing w:after="200" w:line="276" w:lineRule="auto"/>
        <w:ind w:firstLine="720"/>
        <w:jc w:val="both"/>
        <w:rPr>
          <w:rFonts w:ascii="Times New Roman" w:eastAsia="Calibri" w:hAnsi="Times New Roman" w:cs="Times New Roman"/>
          <w:noProof/>
          <w:sz w:val="24"/>
          <w:szCs w:val="24"/>
        </w:rPr>
      </w:pPr>
      <w:r>
        <w:rPr>
          <w:rFonts w:ascii="Times New Roman" w:hAnsi="Times New Roman"/>
          <w:noProof/>
          <w:sz w:val="24"/>
        </w:rPr>
        <w:t xml:space="preserve">a) </w:t>
      </w:r>
      <w:r>
        <w:rPr>
          <w:rFonts w:ascii="Times New Roman" w:hAnsi="Times New Roman"/>
          <w:i/>
          <w:noProof/>
          <w:sz w:val="24"/>
        </w:rPr>
        <w:t>Politiskais virziens</w:t>
      </w:r>
    </w:p>
    <w:p w:rsidR="00263099" w:rsidRPr="00263099" w:rsidRDefault="00263099" w:rsidP="00263099">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 xml:space="preserve">Komisija ir izstrādājusi šo politikas dokumentu, pamatojoties uz </w:t>
      </w:r>
      <w:r>
        <w:rPr>
          <w:rFonts w:ascii="Times New Roman" w:hAnsi="Times New Roman"/>
          <w:b/>
          <w:noProof/>
          <w:sz w:val="24"/>
        </w:rPr>
        <w:t>EIRP stratēģisko riska analīzi</w:t>
      </w:r>
      <w:r>
        <w:rPr>
          <w:rFonts w:ascii="Times New Roman" w:hAnsi="Times New Roman"/>
          <w:noProof/>
          <w:sz w:val="24"/>
        </w:rPr>
        <w:t xml:space="preserve">, kuru </w:t>
      </w:r>
      <w:r>
        <w:rPr>
          <w:rFonts w:ascii="Times New Roman" w:hAnsi="Times New Roman"/>
          <w:i/>
          <w:iCs/>
          <w:noProof/>
          <w:sz w:val="24"/>
        </w:rPr>
        <w:t>Frontex</w:t>
      </w:r>
      <w:r>
        <w:rPr>
          <w:rFonts w:ascii="Times New Roman" w:hAnsi="Times New Roman"/>
          <w:noProof/>
          <w:sz w:val="24"/>
        </w:rPr>
        <w:t xml:space="preserve"> 2020. gada jūlijā iesniedza Komisijai, Eiropas Parlamentam un Padomei un kurā noteikti EIRP uzdevumi nākamajiem 10 gadiem. Komisija ņēma vērā arī ieteikumus, kas izriet no tematiskā Šengenas izvērtējuma, kurš tika veikts laikposmā no 2019. līdz 2020. gadam, par dalībvalstu izstrādātajām valsts stratēģijām integrētai robežu pārvaldībai. </w:t>
      </w:r>
    </w:p>
    <w:p w:rsidR="00263099" w:rsidRPr="00263099" w:rsidRDefault="00263099" w:rsidP="00263099">
      <w:pPr>
        <w:spacing w:after="200" w:line="276" w:lineRule="auto"/>
        <w:jc w:val="both"/>
        <w:rPr>
          <w:rFonts w:ascii="Times New Roman" w:eastAsia="Calibri" w:hAnsi="Times New Roman" w:cs="Times New Roman"/>
          <w:noProof/>
          <w:sz w:val="24"/>
          <w:szCs w:val="24"/>
        </w:rPr>
      </w:pPr>
      <w:r>
        <w:rPr>
          <w:rFonts w:ascii="Times New Roman" w:hAnsi="Times New Roman"/>
          <w:b/>
          <w:noProof/>
          <w:sz w:val="24"/>
        </w:rPr>
        <w:t>Eiropas integrētās robežu pārvaldības stratēģijas izstrāde ir Savienības iestāžu kompetencē</w:t>
      </w:r>
      <w:r>
        <w:rPr>
          <w:rFonts w:ascii="Times New Roman" w:hAnsi="Times New Roman"/>
          <w:noProof/>
          <w:sz w:val="24"/>
        </w:rPr>
        <w:t xml:space="preserve">. Tāpēc ir svarīgi, lai Komisija, Eiropas Parlaments un Padome efektīvi sadarbotos ar mērķi izveidot politisko sistēmu, ar ko vadīt Eiropas integrēto robežu pārvaldību. Šī sistēma būtu jāpieņem ar paziņojumu, kurā būtu izklāstīta EIRP daudzgadu stratēģiskā politika. </w:t>
      </w:r>
    </w:p>
    <w:p w:rsidR="00263099" w:rsidRPr="00263099" w:rsidRDefault="00263099" w:rsidP="00263099">
      <w:pPr>
        <w:spacing w:after="200" w:line="276" w:lineRule="auto"/>
        <w:ind w:firstLine="720"/>
        <w:jc w:val="both"/>
        <w:rPr>
          <w:rFonts w:ascii="Times New Roman" w:eastAsia="Calibri" w:hAnsi="Times New Roman" w:cs="Times New Roman"/>
          <w:i/>
          <w:noProof/>
          <w:sz w:val="24"/>
          <w:szCs w:val="24"/>
        </w:rPr>
      </w:pPr>
      <w:r>
        <w:rPr>
          <w:rFonts w:ascii="Times New Roman" w:hAnsi="Times New Roman"/>
          <w:noProof/>
          <w:sz w:val="24"/>
        </w:rPr>
        <w:t xml:space="preserve">b) Frontex </w:t>
      </w:r>
      <w:r>
        <w:rPr>
          <w:rFonts w:ascii="Times New Roman" w:hAnsi="Times New Roman"/>
          <w:i/>
          <w:noProof/>
          <w:sz w:val="24"/>
        </w:rPr>
        <w:t>tehniskā un operacionālā stratēģija attiecībā uz EIRP</w:t>
      </w:r>
    </w:p>
    <w:p w:rsidR="00263099" w:rsidRPr="00263099" w:rsidRDefault="00263099" w:rsidP="00263099">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 xml:space="preserve">Saskaņā ar ERKA regulas 8. panta 5. punktu </w:t>
      </w:r>
      <w:r>
        <w:rPr>
          <w:rFonts w:ascii="Times New Roman" w:hAnsi="Times New Roman"/>
          <w:i/>
          <w:iCs/>
          <w:noProof/>
          <w:sz w:val="24"/>
        </w:rPr>
        <w:t>Frontex</w:t>
      </w:r>
      <w:r>
        <w:rPr>
          <w:rFonts w:ascii="Times New Roman" w:hAnsi="Times New Roman"/>
          <w:noProof/>
          <w:sz w:val="24"/>
        </w:rPr>
        <w:t xml:space="preserve"> uzdevums ir izstrādāt </w:t>
      </w:r>
      <w:r>
        <w:rPr>
          <w:rFonts w:ascii="Times New Roman" w:hAnsi="Times New Roman"/>
          <w:b/>
          <w:noProof/>
          <w:sz w:val="24"/>
        </w:rPr>
        <w:t>Eiropas integrētās robežu pārvaldības tehnisko un operacionālo stratēģiju</w:t>
      </w:r>
      <w:r>
        <w:rPr>
          <w:rFonts w:ascii="Times New Roman" w:hAnsi="Times New Roman"/>
          <w:noProof/>
          <w:sz w:val="24"/>
        </w:rPr>
        <w:t xml:space="preserve">, pamatojoties uz valdes lēmumu un </w:t>
      </w:r>
      <w:r>
        <w:rPr>
          <w:rFonts w:ascii="Times New Roman" w:hAnsi="Times New Roman"/>
          <w:i/>
          <w:iCs/>
          <w:noProof/>
          <w:sz w:val="24"/>
        </w:rPr>
        <w:t>Frontex</w:t>
      </w:r>
      <w:r>
        <w:rPr>
          <w:rFonts w:ascii="Times New Roman" w:hAnsi="Times New Roman"/>
          <w:noProof/>
          <w:sz w:val="24"/>
        </w:rPr>
        <w:t xml:space="preserve"> izpilddirektora priekšlikumu. Šī stratēģija ir jāsagatavo ciešā sadarbībā ar dalībvalstīm un Komisiju. Stratēģijai ir jāatbilst ERKA regulas 3. pantam, un aģentūrai pamatotos gadījumos jāņem vērā dalībvalstu konkrētā situācija, jo īpaši to ģeogrāfiskais novietojums. Tās pamatā vajadzētu būt Komisijas paziņojumam par EIRP daudzgadu stratēģisko politiku, taču tajā būtu jāņem vērā arī spēkā esošo Šengenas tiesību aktu attiecīgās prasības.</w:t>
      </w:r>
    </w:p>
    <w:tbl>
      <w:tblPr>
        <w:tblStyle w:val="TableGrid1"/>
        <w:tblW w:w="0" w:type="auto"/>
        <w:tblLook w:val="04A0" w:firstRow="1" w:lastRow="0" w:firstColumn="1" w:lastColumn="0" w:noHBand="0" w:noVBand="1"/>
      </w:tblPr>
      <w:tblGrid>
        <w:gridCol w:w="9287"/>
      </w:tblGrid>
      <w:tr w:rsidR="00263099" w:rsidRPr="00263099" w:rsidTr="00EC1E85">
        <w:tc>
          <w:tcPr>
            <w:tcW w:w="9288" w:type="dxa"/>
            <w:tcBorders>
              <w:top w:val="single" w:sz="4" w:space="0" w:color="auto"/>
              <w:left w:val="single" w:sz="4" w:space="0" w:color="auto"/>
              <w:bottom w:val="single" w:sz="4" w:space="0" w:color="auto"/>
              <w:right w:val="single" w:sz="4" w:space="0" w:color="auto"/>
            </w:tcBorders>
            <w:shd w:val="pct25" w:color="auto" w:fill="auto"/>
            <w:hideMark/>
          </w:tcPr>
          <w:p w:rsidR="00263099" w:rsidRPr="00263099" w:rsidRDefault="00263099" w:rsidP="00263099">
            <w:pPr>
              <w:jc w:val="center"/>
              <w:rPr>
                <w:rFonts w:ascii="Times New Roman" w:eastAsia="Calibri" w:hAnsi="Times New Roman" w:cs="Times New Roman"/>
                <w:b/>
                <w:noProof/>
                <w:sz w:val="24"/>
                <w:szCs w:val="24"/>
              </w:rPr>
            </w:pPr>
            <w:r>
              <w:rPr>
                <w:rFonts w:ascii="Times New Roman" w:hAnsi="Times New Roman"/>
                <w:b/>
                <w:noProof/>
                <w:sz w:val="24"/>
              </w:rPr>
              <w:t>Prasības EIRP tehniskajai un operacionālajai stratēģijai</w:t>
            </w:r>
          </w:p>
        </w:tc>
      </w:tr>
      <w:tr w:rsidR="00263099" w:rsidRPr="00263099" w:rsidTr="00EC1E85">
        <w:tc>
          <w:tcPr>
            <w:tcW w:w="9288" w:type="dxa"/>
            <w:tcBorders>
              <w:top w:val="single" w:sz="4" w:space="0" w:color="auto"/>
              <w:left w:val="single" w:sz="4" w:space="0" w:color="auto"/>
              <w:bottom w:val="single" w:sz="4" w:space="0" w:color="auto"/>
              <w:right w:val="single" w:sz="4" w:space="0" w:color="auto"/>
            </w:tcBorders>
            <w:hideMark/>
          </w:tcPr>
          <w:p w:rsidR="00263099" w:rsidRPr="00263099" w:rsidRDefault="00263099" w:rsidP="00263099">
            <w:pPr>
              <w:numPr>
                <w:ilvl w:val="0"/>
                <w:numId w:val="17"/>
              </w:numPr>
              <w:jc w:val="both"/>
              <w:rPr>
                <w:rFonts w:ascii="Times New Roman" w:eastAsia="Calibri" w:hAnsi="Times New Roman" w:cs="Times New Roman"/>
                <w:noProof/>
                <w:sz w:val="24"/>
                <w:szCs w:val="24"/>
              </w:rPr>
            </w:pPr>
            <w:r>
              <w:rPr>
                <w:rFonts w:ascii="Times New Roman" w:hAnsi="Times New Roman"/>
                <w:i/>
                <w:iCs/>
                <w:noProof/>
                <w:sz w:val="24"/>
              </w:rPr>
              <w:t>Frontex</w:t>
            </w:r>
            <w:r>
              <w:rPr>
                <w:rFonts w:ascii="Times New Roman" w:hAnsi="Times New Roman"/>
                <w:noProof/>
                <w:sz w:val="24"/>
              </w:rPr>
              <w:t xml:space="preserve"> valde un tās īpašā EIRP darba grupa vada un pārrauga stratēģijas izstrādi un īstenošanas procesu,</w:t>
            </w:r>
          </w:p>
          <w:p w:rsidR="00263099" w:rsidRPr="00263099" w:rsidRDefault="00263099" w:rsidP="00263099">
            <w:pPr>
              <w:numPr>
                <w:ilvl w:val="0"/>
                <w:numId w:val="17"/>
              </w:numPr>
              <w:jc w:val="both"/>
              <w:rPr>
                <w:rFonts w:ascii="Times New Roman" w:eastAsia="Calibri" w:hAnsi="Times New Roman" w:cs="Times New Roman"/>
                <w:noProof/>
                <w:sz w:val="24"/>
                <w:szCs w:val="24"/>
              </w:rPr>
            </w:pPr>
            <w:r>
              <w:rPr>
                <w:rFonts w:ascii="Times New Roman" w:hAnsi="Times New Roman"/>
                <w:noProof/>
                <w:sz w:val="24"/>
              </w:rPr>
              <w:t>stratēģija ir strukturēta, pamatojoties uz ERKA regulas 3. pantā minētajām 15 sastāvdaļām,</w:t>
            </w:r>
          </w:p>
          <w:p w:rsidR="00263099" w:rsidRPr="00263099" w:rsidRDefault="00263099" w:rsidP="00263099">
            <w:pPr>
              <w:numPr>
                <w:ilvl w:val="0"/>
                <w:numId w:val="17"/>
              </w:numPr>
              <w:jc w:val="both"/>
              <w:rPr>
                <w:rFonts w:ascii="Times New Roman" w:eastAsia="Calibri" w:hAnsi="Times New Roman" w:cs="Times New Roman"/>
                <w:noProof/>
                <w:sz w:val="24"/>
                <w:szCs w:val="24"/>
              </w:rPr>
            </w:pPr>
            <w:r>
              <w:rPr>
                <w:rFonts w:ascii="Times New Roman" w:hAnsi="Times New Roman"/>
                <w:noProof/>
                <w:sz w:val="24"/>
              </w:rPr>
              <w:t>tā atbilst ES iestāžu noteiktajam politiskajam virzienam,</w:t>
            </w:r>
          </w:p>
          <w:p w:rsidR="00263099" w:rsidRPr="00263099" w:rsidRDefault="00263099" w:rsidP="00263099">
            <w:pPr>
              <w:numPr>
                <w:ilvl w:val="0"/>
                <w:numId w:val="17"/>
              </w:numPr>
              <w:jc w:val="both"/>
              <w:rPr>
                <w:rFonts w:ascii="Times New Roman" w:eastAsia="Calibri" w:hAnsi="Times New Roman" w:cs="Times New Roman"/>
                <w:noProof/>
                <w:sz w:val="24"/>
                <w:szCs w:val="24"/>
              </w:rPr>
            </w:pPr>
            <w:r>
              <w:rPr>
                <w:rFonts w:ascii="Times New Roman" w:hAnsi="Times New Roman"/>
                <w:noProof/>
                <w:sz w:val="24"/>
              </w:rPr>
              <w:t xml:space="preserve">vienota ERKA stratēģija, kas attiecas gan uz </w:t>
            </w:r>
            <w:r>
              <w:rPr>
                <w:rFonts w:ascii="Times New Roman" w:hAnsi="Times New Roman"/>
                <w:i/>
                <w:iCs/>
                <w:noProof/>
                <w:sz w:val="24"/>
              </w:rPr>
              <w:t>Frontex</w:t>
            </w:r>
            <w:r>
              <w:rPr>
                <w:rFonts w:ascii="Times New Roman" w:hAnsi="Times New Roman"/>
                <w:noProof/>
                <w:sz w:val="24"/>
              </w:rPr>
              <w:t>, gan uz dalībvalstu robežu pārvaldības iestādēm,</w:t>
            </w:r>
          </w:p>
          <w:p w:rsidR="00263099" w:rsidRPr="00263099" w:rsidRDefault="00263099" w:rsidP="00263099">
            <w:pPr>
              <w:numPr>
                <w:ilvl w:val="0"/>
                <w:numId w:val="17"/>
              </w:numPr>
              <w:jc w:val="both"/>
              <w:rPr>
                <w:rFonts w:ascii="Times New Roman" w:eastAsia="Calibri" w:hAnsi="Times New Roman" w:cs="Times New Roman"/>
                <w:noProof/>
                <w:sz w:val="24"/>
                <w:szCs w:val="24"/>
              </w:rPr>
            </w:pPr>
            <w:r>
              <w:rPr>
                <w:rFonts w:ascii="Times New Roman" w:hAnsi="Times New Roman"/>
                <w:noProof/>
                <w:sz w:val="24"/>
              </w:rPr>
              <w:t>stratēģijā ietverti pasākumi ne tikai ES līmenī, bet arī valstu līmenī, tai skaitā pasākumi, kuru mērķis ir saskaņot praksi, standartizēt tehniskos līdzekļus un operacionālo sadarbspēju,</w:t>
            </w:r>
          </w:p>
          <w:p w:rsidR="00263099" w:rsidRPr="00263099" w:rsidRDefault="00263099" w:rsidP="00263099">
            <w:pPr>
              <w:numPr>
                <w:ilvl w:val="0"/>
                <w:numId w:val="17"/>
              </w:numPr>
              <w:jc w:val="both"/>
              <w:rPr>
                <w:rFonts w:ascii="Times New Roman" w:eastAsia="Calibri" w:hAnsi="Times New Roman" w:cs="Times New Roman"/>
                <w:noProof/>
                <w:sz w:val="24"/>
                <w:szCs w:val="24"/>
              </w:rPr>
            </w:pPr>
            <w:r>
              <w:rPr>
                <w:rFonts w:ascii="Times New Roman" w:hAnsi="Times New Roman"/>
                <w:noProof/>
                <w:sz w:val="24"/>
              </w:rPr>
              <w:t>stratēģija aptver piecu gadu laikposmu, ideālā gadījumā ņemot vērā daudzgadu finanšu shēmas plānošanas ciklu,</w:t>
            </w:r>
          </w:p>
          <w:p w:rsidR="00263099" w:rsidRPr="00263099" w:rsidRDefault="00263099" w:rsidP="00263099">
            <w:pPr>
              <w:numPr>
                <w:ilvl w:val="0"/>
                <w:numId w:val="17"/>
              </w:numPr>
              <w:jc w:val="both"/>
              <w:rPr>
                <w:rFonts w:ascii="Times New Roman" w:eastAsia="Calibri" w:hAnsi="Times New Roman" w:cs="Times New Roman"/>
                <w:noProof/>
                <w:sz w:val="24"/>
                <w:szCs w:val="24"/>
              </w:rPr>
            </w:pPr>
            <w:r>
              <w:rPr>
                <w:rFonts w:ascii="Times New Roman" w:hAnsi="Times New Roman"/>
                <w:noProof/>
                <w:sz w:val="24"/>
              </w:rPr>
              <w:t xml:space="preserve">to papildina rīcības plāns, kurā izklāstīti galvenie pasākumi, termiņi, atskaites punkti, nepieciešamie resursi un uzraudzības pasākumi. </w:t>
            </w:r>
          </w:p>
        </w:tc>
      </w:tr>
    </w:tbl>
    <w:p w:rsidR="00263099" w:rsidRPr="00127656" w:rsidRDefault="00263099" w:rsidP="00263099">
      <w:pPr>
        <w:spacing w:after="200" w:line="276" w:lineRule="auto"/>
        <w:jc w:val="both"/>
        <w:rPr>
          <w:rFonts w:ascii="Times New Roman" w:eastAsia="Calibri" w:hAnsi="Times New Roman" w:cs="Times New Roman"/>
          <w:noProof/>
          <w:sz w:val="24"/>
          <w:szCs w:val="24"/>
        </w:rPr>
      </w:pPr>
    </w:p>
    <w:p w:rsidR="00263099" w:rsidRPr="00263099" w:rsidRDefault="00263099" w:rsidP="00263099">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 xml:space="preserve">c) </w:t>
      </w:r>
      <w:r>
        <w:rPr>
          <w:rFonts w:ascii="Times New Roman" w:hAnsi="Times New Roman"/>
          <w:i/>
          <w:noProof/>
          <w:sz w:val="24"/>
        </w:rPr>
        <w:t>Valsts stratēģijas integrētai robežu pārvaldībai</w:t>
      </w:r>
    </w:p>
    <w:p w:rsidR="00263099" w:rsidRPr="00263099" w:rsidRDefault="00263099" w:rsidP="00263099">
      <w:pPr>
        <w:spacing w:after="200" w:line="276" w:lineRule="auto"/>
        <w:jc w:val="both"/>
        <w:rPr>
          <w:rFonts w:ascii="Times New Roman" w:eastAsia="Calibri" w:hAnsi="Times New Roman" w:cs="Times New Roman"/>
          <w:i/>
          <w:noProof/>
          <w:sz w:val="24"/>
          <w:szCs w:val="24"/>
        </w:rPr>
      </w:pPr>
      <w:r>
        <w:rPr>
          <w:rFonts w:ascii="Times New Roman" w:hAnsi="Times New Roman"/>
          <w:noProof/>
          <w:sz w:val="24"/>
        </w:rPr>
        <w:t xml:space="preserve">Dalībvalstis saglabā </w:t>
      </w:r>
      <w:r>
        <w:rPr>
          <w:rFonts w:ascii="Times New Roman" w:hAnsi="Times New Roman"/>
          <w:b/>
          <w:noProof/>
          <w:sz w:val="24"/>
        </w:rPr>
        <w:t>primāro atbildību par savu ārējo robežu pārvaldību</w:t>
      </w:r>
      <w:r>
        <w:rPr>
          <w:rFonts w:ascii="Times New Roman" w:hAnsi="Times New Roman"/>
          <w:noProof/>
          <w:sz w:val="24"/>
        </w:rPr>
        <w:t xml:space="preserve"> savās un visu dalībvalstu interesēs. Ņemot to vērā, lai rezultatīvi īstenotu Eiropas integrēto robežu pārvaldību, ES līmenī izstrādātās stratēģijas ir jāpārnes uz valstu līmeni. Šā iemesla dēļ ERKA regulas 8. panta 6. punktā noteikts, ka dalībvalstīm jāizstrādā savas </w:t>
      </w:r>
      <w:r>
        <w:rPr>
          <w:rFonts w:ascii="Times New Roman" w:hAnsi="Times New Roman"/>
          <w:b/>
          <w:noProof/>
          <w:sz w:val="24"/>
        </w:rPr>
        <w:t>valsts stratēģijas integrētai robežu pārvaldībai</w:t>
      </w:r>
      <w:r>
        <w:rPr>
          <w:rFonts w:ascii="Times New Roman" w:hAnsi="Times New Roman"/>
          <w:noProof/>
          <w:sz w:val="24"/>
        </w:rPr>
        <w:t xml:space="preserve">. </w:t>
      </w:r>
    </w:p>
    <w:tbl>
      <w:tblPr>
        <w:tblStyle w:val="TableGrid1"/>
        <w:tblW w:w="0" w:type="auto"/>
        <w:tblLook w:val="04A0" w:firstRow="1" w:lastRow="0" w:firstColumn="1" w:lastColumn="0" w:noHBand="0" w:noVBand="1"/>
      </w:tblPr>
      <w:tblGrid>
        <w:gridCol w:w="9287"/>
      </w:tblGrid>
      <w:tr w:rsidR="00263099" w:rsidRPr="00263099" w:rsidTr="00EC1E85">
        <w:tc>
          <w:tcPr>
            <w:tcW w:w="9288" w:type="dxa"/>
            <w:tcBorders>
              <w:top w:val="single" w:sz="4" w:space="0" w:color="auto"/>
              <w:left w:val="single" w:sz="4" w:space="0" w:color="auto"/>
              <w:bottom w:val="single" w:sz="4" w:space="0" w:color="auto"/>
              <w:right w:val="single" w:sz="4" w:space="0" w:color="auto"/>
            </w:tcBorders>
            <w:shd w:val="pct25" w:color="auto" w:fill="auto"/>
            <w:hideMark/>
          </w:tcPr>
          <w:p w:rsidR="00263099" w:rsidRPr="00263099" w:rsidRDefault="00263099" w:rsidP="00263099">
            <w:pPr>
              <w:jc w:val="center"/>
              <w:rPr>
                <w:rFonts w:ascii="Times New Roman" w:eastAsia="Calibri" w:hAnsi="Times New Roman" w:cs="Times New Roman"/>
                <w:b/>
                <w:noProof/>
                <w:sz w:val="24"/>
                <w:szCs w:val="24"/>
              </w:rPr>
            </w:pPr>
            <w:r>
              <w:rPr>
                <w:rFonts w:ascii="Calibri" w:hAnsi="Calibri"/>
                <w:noProof/>
                <w:sz w:val="24"/>
              </w:rPr>
              <w:t xml:space="preserve"> </w:t>
            </w:r>
            <w:r>
              <w:rPr>
                <w:rFonts w:ascii="Times New Roman" w:hAnsi="Times New Roman"/>
                <w:b/>
                <w:noProof/>
                <w:sz w:val="24"/>
              </w:rPr>
              <w:t xml:space="preserve">Prasības valstu stratēģijām integrētai robežu pārvaldībai </w:t>
            </w:r>
          </w:p>
        </w:tc>
      </w:tr>
      <w:tr w:rsidR="00263099" w:rsidRPr="00263099" w:rsidTr="00EC1E85">
        <w:tc>
          <w:tcPr>
            <w:tcW w:w="9288" w:type="dxa"/>
            <w:tcBorders>
              <w:top w:val="single" w:sz="4" w:space="0" w:color="auto"/>
              <w:left w:val="single" w:sz="4" w:space="0" w:color="auto"/>
              <w:bottom w:val="single" w:sz="4" w:space="0" w:color="auto"/>
              <w:right w:val="single" w:sz="4" w:space="0" w:color="auto"/>
            </w:tcBorders>
            <w:hideMark/>
          </w:tcPr>
          <w:p w:rsidR="00263099" w:rsidRPr="00263099" w:rsidRDefault="00263099" w:rsidP="00263099">
            <w:pPr>
              <w:numPr>
                <w:ilvl w:val="0"/>
                <w:numId w:val="17"/>
              </w:numPr>
              <w:jc w:val="both"/>
              <w:rPr>
                <w:rFonts w:ascii="Times New Roman" w:eastAsia="Calibri" w:hAnsi="Times New Roman" w:cs="Times New Roman"/>
                <w:noProof/>
                <w:sz w:val="24"/>
                <w:szCs w:val="24"/>
              </w:rPr>
            </w:pPr>
            <w:r>
              <w:rPr>
                <w:rFonts w:ascii="Times New Roman" w:hAnsi="Times New Roman"/>
                <w:noProof/>
                <w:sz w:val="24"/>
              </w:rPr>
              <w:t>viena valsts stratēģija integrētai robežu pārvaldībai katrai dalībvalstij,</w:t>
            </w:r>
          </w:p>
          <w:p w:rsidR="00263099" w:rsidRPr="00263099" w:rsidRDefault="00263099" w:rsidP="00263099">
            <w:pPr>
              <w:numPr>
                <w:ilvl w:val="0"/>
                <w:numId w:val="17"/>
              </w:numPr>
              <w:jc w:val="both"/>
              <w:rPr>
                <w:rFonts w:ascii="Times New Roman" w:eastAsia="Calibri" w:hAnsi="Times New Roman" w:cs="Times New Roman"/>
                <w:noProof/>
                <w:sz w:val="24"/>
                <w:szCs w:val="24"/>
              </w:rPr>
            </w:pPr>
            <w:r>
              <w:rPr>
                <w:rFonts w:ascii="Times New Roman" w:hAnsi="Times New Roman"/>
                <w:noProof/>
                <w:sz w:val="24"/>
              </w:rPr>
              <w:t>izveidota valsts centralizēta EIRP pārvaldības struktūra, kas koordinē visas attiecīgās iestādes, kuras iesaistītas robežu pārvaldībā un atgriešanā, un stratēģija ņem vērā tādu citu ES politikas jomu ietekmi, ko pie dalībvalstu ārējām robežām saskaņā ar savām pilnvarām īsteno kompetentās valsts iestādes, piemēram, muitas dienesti un sanitārās kontroles iestādes,</w:t>
            </w:r>
          </w:p>
          <w:p w:rsidR="00263099" w:rsidRPr="00263099" w:rsidRDefault="00263099" w:rsidP="00263099">
            <w:pPr>
              <w:numPr>
                <w:ilvl w:val="0"/>
                <w:numId w:val="17"/>
              </w:numPr>
              <w:jc w:val="both"/>
              <w:rPr>
                <w:rFonts w:ascii="Times New Roman" w:eastAsia="Calibri" w:hAnsi="Times New Roman" w:cs="Times New Roman"/>
                <w:noProof/>
                <w:sz w:val="24"/>
                <w:szCs w:val="24"/>
              </w:rPr>
            </w:pPr>
            <w:r>
              <w:rPr>
                <w:rFonts w:ascii="Times New Roman" w:hAnsi="Times New Roman"/>
                <w:noProof/>
                <w:sz w:val="24"/>
              </w:rPr>
              <w:t>stratēģija izstrādāta saskaņā ar ES iestāžu pieņemto politisko stratēģiju, aģentūras tehnisko un operacionālo stratēģiju un Šengenas prasībām,</w:t>
            </w:r>
          </w:p>
          <w:p w:rsidR="00263099" w:rsidRPr="00263099" w:rsidRDefault="00263099" w:rsidP="00263099">
            <w:pPr>
              <w:numPr>
                <w:ilvl w:val="0"/>
                <w:numId w:val="17"/>
              </w:numPr>
              <w:jc w:val="both"/>
              <w:rPr>
                <w:rFonts w:ascii="Times New Roman" w:eastAsia="Calibri" w:hAnsi="Times New Roman" w:cs="Times New Roman"/>
                <w:noProof/>
                <w:sz w:val="24"/>
                <w:szCs w:val="24"/>
              </w:rPr>
            </w:pPr>
            <w:r>
              <w:rPr>
                <w:rFonts w:ascii="Times New Roman" w:hAnsi="Times New Roman"/>
                <w:noProof/>
                <w:sz w:val="24"/>
              </w:rPr>
              <w:t>stratēģija balstīta uz ERKA regulas 3. pantā minētajām 15 sastāvdaļām, taču, ja tas tiek uzskatīts par lietderīgu, aptver arī valsts kompetences jomas,</w:t>
            </w:r>
          </w:p>
          <w:p w:rsidR="00263099" w:rsidRPr="00263099" w:rsidRDefault="00263099" w:rsidP="00263099">
            <w:pPr>
              <w:numPr>
                <w:ilvl w:val="0"/>
                <w:numId w:val="17"/>
              </w:numPr>
              <w:jc w:val="both"/>
              <w:rPr>
                <w:rFonts w:ascii="Times New Roman" w:eastAsia="Calibri" w:hAnsi="Times New Roman" w:cs="Times New Roman"/>
                <w:noProof/>
                <w:sz w:val="24"/>
                <w:szCs w:val="24"/>
              </w:rPr>
            </w:pPr>
            <w:r>
              <w:rPr>
                <w:rFonts w:ascii="Times New Roman" w:hAnsi="Times New Roman"/>
                <w:noProof/>
                <w:sz w:val="24"/>
              </w:rPr>
              <w:t xml:space="preserve">stratēģija nosaka valsts robežu pārvaldības pasākumus un dalību attiecīgajos ES mehānismos, ko koordinē </w:t>
            </w:r>
            <w:r>
              <w:rPr>
                <w:rFonts w:ascii="Times New Roman" w:hAnsi="Times New Roman"/>
                <w:i/>
                <w:iCs/>
                <w:noProof/>
                <w:sz w:val="24"/>
              </w:rPr>
              <w:t>Frontex</w:t>
            </w:r>
            <w:r>
              <w:rPr>
                <w:rFonts w:ascii="Times New Roman" w:hAnsi="Times New Roman"/>
                <w:noProof/>
                <w:sz w:val="24"/>
              </w:rPr>
              <w:t xml:space="preserve"> un citi attiecīgie ES līmeņa dalībnieki,</w:t>
            </w:r>
          </w:p>
          <w:p w:rsidR="00263099" w:rsidRPr="00263099" w:rsidRDefault="00263099" w:rsidP="00263099">
            <w:pPr>
              <w:numPr>
                <w:ilvl w:val="0"/>
                <w:numId w:val="17"/>
              </w:numPr>
              <w:jc w:val="both"/>
              <w:rPr>
                <w:rFonts w:ascii="Times New Roman" w:eastAsia="Calibri" w:hAnsi="Times New Roman" w:cs="Times New Roman"/>
                <w:noProof/>
                <w:sz w:val="24"/>
                <w:szCs w:val="24"/>
              </w:rPr>
            </w:pPr>
            <w:r>
              <w:rPr>
                <w:rFonts w:ascii="Times New Roman" w:hAnsi="Times New Roman"/>
                <w:noProof/>
                <w:sz w:val="24"/>
              </w:rPr>
              <w:t>stratēģija skaidri nosaka pašreizējo un plānoto cilvēkresursu un finanšu resursu sadalījumu, kā arī galvenos posmus nepieciešamās infrastruktūras izveidei,</w:t>
            </w:r>
          </w:p>
          <w:p w:rsidR="00263099" w:rsidRPr="00263099" w:rsidRDefault="00263099" w:rsidP="00263099">
            <w:pPr>
              <w:numPr>
                <w:ilvl w:val="0"/>
                <w:numId w:val="17"/>
              </w:numPr>
              <w:jc w:val="both"/>
              <w:rPr>
                <w:rFonts w:ascii="Times New Roman" w:eastAsia="Calibri" w:hAnsi="Times New Roman" w:cs="Times New Roman"/>
                <w:noProof/>
                <w:sz w:val="24"/>
                <w:szCs w:val="24"/>
              </w:rPr>
            </w:pPr>
            <w:r>
              <w:rPr>
                <w:rFonts w:ascii="Times New Roman" w:hAnsi="Times New Roman"/>
                <w:noProof/>
                <w:sz w:val="24"/>
              </w:rPr>
              <w:t>tā izveido pārskatīšanas un uzraudzības mehānismu,</w:t>
            </w:r>
          </w:p>
          <w:p w:rsidR="00263099" w:rsidRPr="00263099" w:rsidRDefault="00263099" w:rsidP="00263099">
            <w:pPr>
              <w:numPr>
                <w:ilvl w:val="0"/>
                <w:numId w:val="17"/>
              </w:numPr>
              <w:jc w:val="both"/>
              <w:rPr>
                <w:rFonts w:ascii="Times New Roman" w:eastAsia="Calibri" w:hAnsi="Times New Roman" w:cs="Times New Roman"/>
                <w:noProof/>
                <w:sz w:val="24"/>
                <w:szCs w:val="24"/>
              </w:rPr>
            </w:pPr>
            <w:r>
              <w:rPr>
                <w:rFonts w:ascii="Times New Roman" w:hAnsi="Times New Roman"/>
                <w:noProof/>
                <w:sz w:val="24"/>
              </w:rPr>
              <w:t>stratēģijai ir daudzgadu tvērums, ideālā gadījumā saskaņā ar daudzgadu finanšu shēmas plānošanas ciklu,</w:t>
            </w:r>
          </w:p>
          <w:p w:rsidR="00263099" w:rsidRPr="00263099" w:rsidRDefault="00263099" w:rsidP="00263099">
            <w:pPr>
              <w:numPr>
                <w:ilvl w:val="0"/>
                <w:numId w:val="17"/>
              </w:numPr>
              <w:jc w:val="both"/>
              <w:rPr>
                <w:rFonts w:ascii="Times New Roman" w:eastAsia="Calibri" w:hAnsi="Times New Roman" w:cs="Times New Roman"/>
                <w:noProof/>
                <w:sz w:val="24"/>
                <w:szCs w:val="24"/>
              </w:rPr>
            </w:pPr>
            <w:r>
              <w:rPr>
                <w:rFonts w:ascii="Times New Roman" w:hAnsi="Times New Roman"/>
                <w:noProof/>
                <w:sz w:val="24"/>
              </w:rPr>
              <w:t>to papildina rīcības plāns, kurā izklāstīti galvenie pasākumi, termiņi, atskaites punkti, nepieciešamie resursi un uzraudzības pasākumi.</w:t>
            </w:r>
          </w:p>
        </w:tc>
      </w:tr>
    </w:tbl>
    <w:p w:rsidR="00263099" w:rsidRPr="00127656" w:rsidRDefault="00263099" w:rsidP="00263099">
      <w:pPr>
        <w:spacing w:after="200" w:line="276" w:lineRule="auto"/>
        <w:jc w:val="both"/>
        <w:rPr>
          <w:rFonts w:ascii="Times New Roman" w:eastAsia="Calibri" w:hAnsi="Times New Roman" w:cs="Times New Roman"/>
          <w:noProof/>
          <w:sz w:val="24"/>
          <w:szCs w:val="24"/>
        </w:rPr>
      </w:pPr>
    </w:p>
    <w:p w:rsidR="00263099" w:rsidRPr="00263099" w:rsidRDefault="00263099" w:rsidP="00263099">
      <w:pPr>
        <w:spacing w:after="200" w:line="276" w:lineRule="auto"/>
        <w:ind w:firstLine="720"/>
        <w:jc w:val="both"/>
        <w:rPr>
          <w:rFonts w:ascii="Times New Roman" w:eastAsia="Calibri" w:hAnsi="Times New Roman" w:cs="Times New Roman"/>
          <w:noProof/>
          <w:sz w:val="24"/>
          <w:szCs w:val="24"/>
        </w:rPr>
      </w:pPr>
      <w:r>
        <w:rPr>
          <w:rFonts w:ascii="Times New Roman" w:hAnsi="Times New Roman"/>
          <w:noProof/>
          <w:sz w:val="24"/>
        </w:rPr>
        <w:t xml:space="preserve">d) </w:t>
      </w:r>
      <w:r>
        <w:rPr>
          <w:rFonts w:ascii="Times New Roman" w:hAnsi="Times New Roman"/>
          <w:i/>
          <w:noProof/>
          <w:sz w:val="24"/>
        </w:rPr>
        <w:t>Integrētās robežu pārvaldības cikla izvērtējums</w:t>
      </w:r>
    </w:p>
    <w:p w:rsidR="00263099" w:rsidRPr="00263099" w:rsidRDefault="00263099" w:rsidP="00263099">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Četrus gadus pēc tam, kad būs pieņemts paziņojums, kurā būs izklāstīta Eiropas integrētās robežu pārvaldības daudzgadu stratēģiskā politika, Komisija, lai sagatavotu nākamo daudzgadu stratēģiskās politikas plānošanas ciklu, rūpīgi izvērtēs, kā visas ieinteresētās personas ES un valstu līmenī īstenojušas šo politiku.</w:t>
      </w:r>
    </w:p>
    <w:p w:rsidR="00263099" w:rsidRPr="00263099" w:rsidRDefault="00263099" w:rsidP="00263099">
      <w:pPr>
        <w:spacing w:after="0" w:line="276" w:lineRule="auto"/>
        <w:jc w:val="both"/>
        <w:rPr>
          <w:rFonts w:ascii="Times New Roman" w:eastAsia="Calibri" w:hAnsi="Times New Roman" w:cs="Times New Roman"/>
          <w:i/>
          <w:noProof/>
          <w:sz w:val="24"/>
          <w:szCs w:val="24"/>
        </w:rPr>
      </w:pPr>
      <w:r>
        <w:rPr>
          <w:rFonts w:ascii="Times New Roman" w:hAnsi="Times New Roman"/>
          <w:i/>
          <w:noProof/>
          <w:sz w:val="24"/>
        </w:rPr>
        <w:t>Eiropas Robežu un krasta apsardzes struktūra</w:t>
      </w:r>
    </w:p>
    <w:p w:rsidR="00263099" w:rsidRPr="00127656" w:rsidRDefault="00263099" w:rsidP="00263099">
      <w:pPr>
        <w:spacing w:after="0" w:line="276" w:lineRule="auto"/>
        <w:jc w:val="both"/>
        <w:rPr>
          <w:rFonts w:ascii="Times New Roman" w:eastAsia="Calibri" w:hAnsi="Times New Roman" w:cs="Times New Roman"/>
          <w:b/>
          <w:noProof/>
          <w:sz w:val="24"/>
          <w:szCs w:val="24"/>
        </w:rPr>
      </w:pPr>
    </w:p>
    <w:p w:rsidR="00263099" w:rsidRPr="00263099" w:rsidRDefault="00263099" w:rsidP="00263099">
      <w:p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Ar ERKA regulu ir izveidota visaptveroša </w:t>
      </w:r>
      <w:r>
        <w:rPr>
          <w:rFonts w:ascii="Times New Roman" w:hAnsi="Times New Roman"/>
          <w:b/>
          <w:noProof/>
          <w:sz w:val="24"/>
        </w:rPr>
        <w:t>Eiropas Robežu un krasta apsardzes</w:t>
      </w:r>
      <w:r>
        <w:rPr>
          <w:rFonts w:ascii="Times New Roman" w:hAnsi="Times New Roman"/>
          <w:noProof/>
          <w:sz w:val="24"/>
        </w:rPr>
        <w:t xml:space="preserve"> struktūra, kas apvieno </w:t>
      </w:r>
      <w:r>
        <w:rPr>
          <w:rFonts w:ascii="Times New Roman" w:hAnsi="Times New Roman"/>
          <w:i/>
          <w:iCs/>
          <w:noProof/>
          <w:sz w:val="24"/>
        </w:rPr>
        <w:t>Frontex</w:t>
      </w:r>
      <w:r>
        <w:rPr>
          <w:rFonts w:ascii="Times New Roman" w:hAnsi="Times New Roman"/>
          <w:noProof/>
          <w:sz w:val="24"/>
        </w:rPr>
        <w:t xml:space="preserve"> un aptuveni 50–60 dalībvalstu iestādes, kuru kompetencē ir robežu pārvaldība (arī krasta apsardzi, kad tā veic robežuzraudzības uzdevumus) un atgriešana. Regula arī uzdod ERKA nodrošināt efektīvu EIRP īstenošanu </w:t>
      </w:r>
      <w:r>
        <w:rPr>
          <w:rFonts w:ascii="Times New Roman" w:hAnsi="Times New Roman"/>
          <w:b/>
          <w:noProof/>
          <w:sz w:val="24"/>
        </w:rPr>
        <w:t>kopīgas atbildības</w:t>
      </w:r>
      <w:r>
        <w:rPr>
          <w:rFonts w:ascii="Times New Roman" w:hAnsi="Times New Roman"/>
          <w:noProof/>
          <w:sz w:val="24"/>
        </w:rPr>
        <w:t xml:space="preserve"> garā. Eiropas Robežu un krasta apsardzes pilnīga potenciāla īstenošana radītu reālas un nepieciešamas praktiskas pārmaiņas. Šajā nolūkā ES un dalībvalstīm būtu kopīgi jāizmanto šī jaunā struktūra un jāstiprina ERKA pārvaldības struktūras, vienlaikus uzlabojot tās jaunās operacionālās spējas ar labāku un ātrāku koordināciju ES līmenī.</w:t>
      </w:r>
    </w:p>
    <w:p w:rsidR="00263099" w:rsidRPr="00127656" w:rsidRDefault="00263099" w:rsidP="00263099">
      <w:pPr>
        <w:spacing w:after="0" w:line="276" w:lineRule="auto"/>
        <w:jc w:val="both"/>
        <w:rPr>
          <w:rFonts w:ascii="Times New Roman" w:eastAsia="Times New Roman" w:hAnsi="Times New Roman" w:cs="Times New Roman"/>
          <w:noProof/>
          <w:sz w:val="24"/>
          <w:szCs w:val="24"/>
          <w:lang w:eastAsia="en-GB"/>
        </w:rPr>
      </w:pPr>
    </w:p>
    <w:p w:rsidR="00263099" w:rsidRPr="00263099" w:rsidRDefault="00263099" w:rsidP="00263099">
      <w:p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Eiropas Robežu un krasta apsardzes pārvaldības struktūrai ir jāgarantē, ka </w:t>
      </w:r>
      <w:r>
        <w:rPr>
          <w:rFonts w:ascii="Times New Roman" w:hAnsi="Times New Roman"/>
          <w:i/>
          <w:iCs/>
          <w:noProof/>
          <w:sz w:val="24"/>
        </w:rPr>
        <w:t>Frontex</w:t>
      </w:r>
      <w:r>
        <w:rPr>
          <w:rFonts w:ascii="Times New Roman" w:hAnsi="Times New Roman"/>
          <w:noProof/>
          <w:sz w:val="24"/>
        </w:rPr>
        <w:t xml:space="preserve"> un valstu robežu un krasta apsardzes iestāžu darbība ir pilnībā saskaņota ar ES politiskajiem mērķiem robežu un migrācijas pārvaldības jomā un ka tā atbilst ar iekšējo drošību saistītajām politikas nostādnēm.</w:t>
      </w:r>
    </w:p>
    <w:p w:rsidR="00263099" w:rsidRPr="00127656" w:rsidRDefault="00263099" w:rsidP="00263099">
      <w:pPr>
        <w:spacing w:after="0" w:line="276" w:lineRule="auto"/>
        <w:jc w:val="both"/>
        <w:rPr>
          <w:rFonts w:ascii="Times New Roman" w:eastAsia="Times New Roman" w:hAnsi="Times New Roman" w:cs="Times New Roman"/>
          <w:noProof/>
          <w:sz w:val="24"/>
          <w:szCs w:val="24"/>
          <w:lang w:eastAsia="en-GB"/>
        </w:rPr>
      </w:pPr>
    </w:p>
    <w:p w:rsidR="00263099" w:rsidRPr="00263099" w:rsidRDefault="00263099" w:rsidP="00263099">
      <w:p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Dalībvalstis saglabā primāro atbildību un kompetenci par savu robežu pārvaldību. Pateicoties jaunajām pilnvarām, </w:t>
      </w:r>
      <w:r>
        <w:rPr>
          <w:rFonts w:ascii="Times New Roman" w:hAnsi="Times New Roman"/>
          <w:i/>
          <w:iCs/>
          <w:noProof/>
          <w:sz w:val="24"/>
        </w:rPr>
        <w:t>Frontex</w:t>
      </w:r>
      <w:r>
        <w:rPr>
          <w:rFonts w:ascii="Times New Roman" w:hAnsi="Times New Roman"/>
          <w:noProof/>
          <w:sz w:val="24"/>
        </w:rPr>
        <w:t xml:space="preserve"> tagad ir nozīmīga loma Eiropas Robežu un krasta apsardzē — aģentūra pastiprina, novērtē un koordinē dalībvalstu darbības un veido Eiropas spējas.</w:t>
      </w:r>
    </w:p>
    <w:p w:rsidR="00263099" w:rsidRPr="00127656" w:rsidRDefault="00263099" w:rsidP="00263099">
      <w:pPr>
        <w:spacing w:after="0" w:line="276" w:lineRule="auto"/>
        <w:jc w:val="both"/>
        <w:rPr>
          <w:rFonts w:ascii="Times New Roman" w:eastAsia="Times New Roman" w:hAnsi="Times New Roman" w:cs="Times New Roman"/>
          <w:noProof/>
          <w:sz w:val="24"/>
          <w:szCs w:val="24"/>
          <w:lang w:eastAsia="en-GB"/>
        </w:rPr>
      </w:pPr>
    </w:p>
    <w:p w:rsidR="00263099" w:rsidRPr="00263099" w:rsidRDefault="00263099" w:rsidP="00263099">
      <w:pPr>
        <w:keepNext/>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Jau kopš tās izveides ERKA ir nodrošinājusi pamatu informācijas apmaiņai un operacionālajai sadarbībai ne vien starp </w:t>
      </w:r>
      <w:r>
        <w:rPr>
          <w:rFonts w:ascii="Times New Roman" w:hAnsi="Times New Roman"/>
          <w:i/>
          <w:iCs/>
          <w:noProof/>
          <w:sz w:val="24"/>
        </w:rPr>
        <w:t>Frontex</w:t>
      </w:r>
      <w:r>
        <w:rPr>
          <w:rFonts w:ascii="Times New Roman" w:hAnsi="Times New Roman"/>
          <w:noProof/>
          <w:sz w:val="24"/>
        </w:rPr>
        <w:t xml:space="preserve"> un dalībvalstīm, bet arī starp dažādām dalībvalstu iestādēm, kas darbojas kā sistēmas nacionālās struktūras. Kopš 2019. gada šie instrumenti ir papildināti ar iespēju efektīvāk atbalstīt dalībvalstis, izmantojot pašas aģentūras operacionālos spēkus — ERKA pastāvīgo korpusu. Pastāvīgo korpusu izvieto uzņēmējas dalībvalsts vadībā un kontrolē. Tehnoloģiju ziņā ERKA regula vēl vairāk pastiprināja ERKA pienācīgu darbību, t. i., pilnībā integrēja Eiropas Robežu uzraudzības sistēmu (</w:t>
      </w:r>
      <w:r>
        <w:rPr>
          <w:rFonts w:ascii="Times New Roman" w:hAnsi="Times New Roman"/>
          <w:i/>
          <w:iCs/>
          <w:noProof/>
          <w:sz w:val="24"/>
        </w:rPr>
        <w:t>EUROSUR</w:t>
      </w:r>
      <w:r>
        <w:rPr>
          <w:rFonts w:ascii="Times New Roman" w:hAnsi="Times New Roman"/>
          <w:noProof/>
          <w:sz w:val="24"/>
        </w:rPr>
        <w:t xml:space="preserve">), lai nodrošinātu situācijas apzināšanos un efektīvu informācijas apmaiņu, kā arī integrētu plānošanu, kas aptver operacionālās darbības, rīcību ārkārtas situācijās un spēju pilnveidi, ko visu centralizēti koordinē un atbalsta </w:t>
      </w:r>
      <w:r>
        <w:rPr>
          <w:rFonts w:ascii="Times New Roman" w:hAnsi="Times New Roman"/>
          <w:i/>
          <w:iCs/>
          <w:noProof/>
          <w:sz w:val="24"/>
        </w:rPr>
        <w:t>Frontex</w:t>
      </w:r>
      <w:r>
        <w:rPr>
          <w:rFonts w:ascii="Times New Roman" w:hAnsi="Times New Roman"/>
          <w:noProof/>
          <w:sz w:val="24"/>
        </w:rPr>
        <w:t>. Turklāt aģentūra uzsāk, koordinē un atbalsta arī daudzus citus procesus (piemēram, tehniskā aprīkojuma standartizāciju un informācijas apmaiņu), lai vēl vairāk stiprinātu Eiropas Robežu un krasta apsardzi un atvieglotu robežsargu ikdienas darbu ES.</w:t>
      </w:r>
    </w:p>
    <w:p w:rsidR="00263099" w:rsidRPr="00127656" w:rsidRDefault="00263099" w:rsidP="00263099">
      <w:pPr>
        <w:spacing w:after="0" w:line="276" w:lineRule="auto"/>
        <w:jc w:val="both"/>
        <w:rPr>
          <w:rFonts w:ascii="Times New Roman" w:eastAsia="Times New Roman" w:hAnsi="Times New Roman" w:cs="Times New Roman"/>
          <w:noProof/>
          <w:sz w:val="24"/>
          <w:szCs w:val="24"/>
          <w:lang w:eastAsia="en-GB"/>
        </w:rPr>
      </w:pPr>
    </w:p>
    <w:p w:rsidR="00263099" w:rsidRPr="00263099" w:rsidRDefault="00263099" w:rsidP="00263099">
      <w:pPr>
        <w:keepNext/>
        <w:spacing w:after="0" w:line="240" w:lineRule="auto"/>
        <w:rPr>
          <w:rFonts w:ascii="Times New Roman" w:eastAsia="Times New Roman" w:hAnsi="Times New Roman" w:cs="Times New Roman"/>
          <w:i/>
          <w:noProof/>
          <w:sz w:val="20"/>
          <w:szCs w:val="20"/>
        </w:rPr>
      </w:pPr>
      <w:r>
        <w:rPr>
          <w:rFonts w:ascii="Times New Roman" w:hAnsi="Times New Roman"/>
          <w:i/>
          <w:noProof/>
          <w:sz w:val="20"/>
        </w:rPr>
        <w:t>2. attēls. Eiropas Robežu un krasta apsardze</w:t>
      </w:r>
    </w:p>
    <w:p w:rsidR="00263099" w:rsidRPr="00127656" w:rsidRDefault="00263099" w:rsidP="00263099">
      <w:pPr>
        <w:keepNext/>
        <w:spacing w:after="0" w:line="240" w:lineRule="auto"/>
        <w:rPr>
          <w:rFonts w:ascii="Times New Roman" w:eastAsia="Times New Roman" w:hAnsi="Times New Roman" w:cs="Times New Roman"/>
          <w:i/>
          <w:noProof/>
          <w:sz w:val="20"/>
          <w:szCs w:val="20"/>
          <w:lang w:val="fr-BE" w:eastAsia="en-GB"/>
        </w:rPr>
      </w:pPr>
    </w:p>
    <w:p w:rsidR="00263099" w:rsidRPr="00263099" w:rsidRDefault="00026399" w:rsidP="00263099">
      <w:pPr>
        <w:spacing w:after="0" w:line="276" w:lineRule="auto"/>
        <w:jc w:val="both"/>
        <w:rPr>
          <w:rFonts w:ascii="Times New Roman" w:eastAsia="Times New Roman" w:hAnsi="Times New Roman" w:cs="Times New Roman"/>
          <w:noProof/>
          <w:sz w:val="24"/>
          <w:szCs w:val="24"/>
        </w:rPr>
      </w:pPr>
      <w:r w:rsidRPr="00130EA9">
        <w:rPr>
          <w:noProof/>
          <w:lang w:val="en-GB" w:eastAsia="en-GB"/>
        </w:rPr>
        <w:drawing>
          <wp:inline distT="0" distB="0" distL="0" distR="0" wp14:anchorId="02FA19BC" wp14:editId="4FB9E423">
            <wp:extent cx="5760085" cy="2703532"/>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085" cy="2703532"/>
                    </a:xfrm>
                    <a:prstGeom prst="rect">
                      <a:avLst/>
                    </a:prstGeom>
                    <a:noFill/>
                    <a:ln>
                      <a:noFill/>
                    </a:ln>
                  </pic:spPr>
                </pic:pic>
              </a:graphicData>
            </a:graphic>
          </wp:inline>
        </w:drawing>
      </w:r>
    </w:p>
    <w:p w:rsidR="00263099" w:rsidRPr="00263099" w:rsidRDefault="00263099" w:rsidP="00263099">
      <w:pPr>
        <w:spacing w:after="0" w:line="276" w:lineRule="auto"/>
        <w:jc w:val="both"/>
        <w:rPr>
          <w:rFonts w:ascii="Times New Roman" w:eastAsia="Times New Roman" w:hAnsi="Times New Roman" w:cs="Times New Roman"/>
          <w:noProof/>
          <w:sz w:val="24"/>
          <w:szCs w:val="24"/>
          <w:lang w:val="en-GB" w:eastAsia="en-GB"/>
        </w:rPr>
      </w:pPr>
    </w:p>
    <w:p w:rsidR="00263099" w:rsidRPr="00263099" w:rsidRDefault="00263099" w:rsidP="00263099">
      <w:pPr>
        <w:spacing w:after="0" w:line="276" w:lineRule="auto"/>
        <w:jc w:val="both"/>
        <w:rPr>
          <w:rFonts w:ascii="Times New Roman" w:eastAsia="Calibri" w:hAnsi="Times New Roman" w:cs="Times New Roman"/>
          <w:noProof/>
          <w:sz w:val="24"/>
          <w:szCs w:val="24"/>
        </w:rPr>
      </w:pPr>
      <w:r>
        <w:rPr>
          <w:rFonts w:ascii="Times New Roman" w:hAnsi="Times New Roman"/>
          <w:noProof/>
          <w:sz w:val="24"/>
        </w:rPr>
        <w:t xml:space="preserve">Komisijai ir arī operacionāli uzdevumi attiecībā uz dažiem EIRP īstenošanas aspektiem, jo īpaši saistībā ar ES finansējumu, Šengenas izvērtēšanas mehānismu un starpaģentūru sadarbības koordināciju karstajos punktos. ERKA regulā uzsvērta arī citu </w:t>
      </w:r>
      <w:r>
        <w:rPr>
          <w:rFonts w:ascii="Times New Roman" w:hAnsi="Times New Roman"/>
          <w:b/>
          <w:noProof/>
          <w:sz w:val="24"/>
        </w:rPr>
        <w:t>Eiropas ieinteresēto personu</w:t>
      </w:r>
      <w:r>
        <w:rPr>
          <w:rFonts w:ascii="Times New Roman" w:hAnsi="Times New Roman"/>
          <w:noProof/>
          <w:sz w:val="24"/>
        </w:rPr>
        <w:t>, jo īpaši ES decentralizēto aģentūru (</w:t>
      </w:r>
      <w:r>
        <w:rPr>
          <w:rFonts w:ascii="Times New Roman" w:hAnsi="Times New Roman"/>
          <w:i/>
          <w:iCs/>
          <w:noProof/>
          <w:sz w:val="24"/>
        </w:rPr>
        <w:t>eu-LISA</w:t>
      </w:r>
      <w:r>
        <w:rPr>
          <w:rFonts w:ascii="Times New Roman" w:hAnsi="Times New Roman"/>
          <w:noProof/>
          <w:sz w:val="24"/>
        </w:rPr>
        <w:t>, Eiropola, ES Patvēruma aģentūras (</w:t>
      </w:r>
      <w:r>
        <w:rPr>
          <w:rFonts w:ascii="Times New Roman" w:hAnsi="Times New Roman"/>
          <w:i/>
          <w:iCs/>
          <w:noProof/>
          <w:sz w:val="24"/>
        </w:rPr>
        <w:t>EUAA</w:t>
      </w:r>
      <w:r>
        <w:rPr>
          <w:rFonts w:ascii="Times New Roman" w:hAnsi="Times New Roman"/>
          <w:noProof/>
          <w:sz w:val="24"/>
        </w:rPr>
        <w:t>) un Eiropas Savienības Pamattiesību aģentūras (</w:t>
      </w:r>
      <w:r>
        <w:rPr>
          <w:rFonts w:ascii="Times New Roman" w:hAnsi="Times New Roman"/>
          <w:i/>
          <w:iCs/>
          <w:noProof/>
          <w:sz w:val="24"/>
        </w:rPr>
        <w:t>FRA</w:t>
      </w:r>
      <w:r>
        <w:rPr>
          <w:rFonts w:ascii="Times New Roman" w:hAnsi="Times New Roman"/>
          <w:noProof/>
          <w:sz w:val="24"/>
        </w:rPr>
        <w:t xml:space="preserve">), nozīme. Šo ieinteresēto personu cieša sadarbība ar </w:t>
      </w:r>
      <w:r>
        <w:rPr>
          <w:rFonts w:ascii="Times New Roman" w:hAnsi="Times New Roman"/>
          <w:i/>
          <w:iCs/>
          <w:noProof/>
          <w:sz w:val="24"/>
        </w:rPr>
        <w:t>Frontex</w:t>
      </w:r>
      <w:r>
        <w:rPr>
          <w:rFonts w:ascii="Times New Roman" w:hAnsi="Times New Roman"/>
          <w:noProof/>
          <w:sz w:val="24"/>
        </w:rPr>
        <w:t xml:space="preserve"> un dalībvalstu kompetentajām iestādēm ir būtiska, lai nodrošinātu veiksmīgu EIRP īstenošanu. </w:t>
      </w:r>
      <w:r>
        <w:rPr>
          <w:rFonts w:ascii="Times New Roman" w:hAnsi="Times New Roman"/>
          <w:b/>
          <w:noProof/>
          <w:sz w:val="24"/>
        </w:rPr>
        <w:t>Valstu līmenī</w:t>
      </w:r>
      <w:r>
        <w:rPr>
          <w:rFonts w:ascii="Times New Roman" w:hAnsi="Times New Roman"/>
          <w:noProof/>
          <w:sz w:val="24"/>
        </w:rPr>
        <w:t xml:space="preserve"> daudzas iestādes (muitas, tiesībaizsardzības un sabiedrības veselības aizsardzības iestādes) sadarbojas ar Eiropas Robežu un krasta apsardzes nacionālajām struktūrām, lai nodrošinātu efektīvu EIRP īstenošanu savās attiecīgajās kompetences jomās.</w:t>
      </w:r>
    </w:p>
    <w:p w:rsidR="00263099" w:rsidRPr="00127656" w:rsidRDefault="00263099" w:rsidP="00263099">
      <w:pPr>
        <w:spacing w:after="200" w:line="276" w:lineRule="auto"/>
        <w:jc w:val="both"/>
        <w:rPr>
          <w:rFonts w:ascii="Times New Roman" w:eastAsia="Calibri" w:hAnsi="Times New Roman" w:cs="Times New Roman"/>
          <w:noProof/>
          <w:sz w:val="24"/>
          <w:szCs w:val="24"/>
        </w:rPr>
      </w:pPr>
    </w:p>
    <w:p w:rsidR="00263099" w:rsidRPr="00263099" w:rsidRDefault="00263099" w:rsidP="00263099">
      <w:pPr>
        <w:numPr>
          <w:ilvl w:val="0"/>
          <w:numId w:val="42"/>
        </w:numPr>
        <w:spacing w:after="200" w:line="276" w:lineRule="auto"/>
        <w:contextualSpacing/>
        <w:jc w:val="both"/>
        <w:rPr>
          <w:rFonts w:ascii="Calibri" w:eastAsia="Calibri" w:hAnsi="Calibri" w:cs="Times New Roman"/>
          <w:b/>
          <w:i/>
          <w:smallCaps/>
          <w:noProof/>
          <w:color w:val="000000"/>
          <w:sz w:val="28"/>
          <w:szCs w:val="28"/>
          <w:u w:val="single"/>
        </w:rPr>
      </w:pPr>
      <w:r>
        <w:rPr>
          <w:rFonts w:ascii="Times New Roman" w:hAnsi="Times New Roman"/>
          <w:b/>
          <w:i/>
          <w:smallCaps/>
          <w:noProof/>
          <w:color w:val="000000"/>
          <w:sz w:val="28"/>
          <w:u w:val="single"/>
        </w:rPr>
        <w:t>Eiropas integrētās robežu pārvaldības stratēģiskie uzdevumi</w:t>
      </w:r>
    </w:p>
    <w:p w:rsidR="00263099" w:rsidRPr="00127656" w:rsidRDefault="00263099" w:rsidP="00263099">
      <w:pPr>
        <w:spacing w:after="0" w:line="240" w:lineRule="auto"/>
        <w:jc w:val="both"/>
        <w:rPr>
          <w:rFonts w:ascii="Times New Roman" w:eastAsia="Calibri" w:hAnsi="Times New Roman" w:cs="Times New Roman"/>
          <w:b/>
          <w:i/>
          <w:smallCaps/>
          <w:noProof/>
          <w:color w:val="000000"/>
          <w:sz w:val="24"/>
          <w:szCs w:val="24"/>
          <w:u w:val="single"/>
          <w:lang w:eastAsia="en-IE"/>
        </w:rPr>
      </w:pPr>
    </w:p>
    <w:p w:rsidR="00263099" w:rsidRPr="00263099" w:rsidRDefault="00263099" w:rsidP="00263099">
      <w:p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Saskaņā ar ERKA regulas 8. pantu stratēģiskā plānošanas cikla izejas punkts ir apzināt, kā “</w:t>
      </w:r>
      <w:r>
        <w:rPr>
          <w:rFonts w:ascii="Times New Roman" w:hAnsi="Times New Roman"/>
          <w:i/>
          <w:noProof/>
          <w:sz w:val="24"/>
        </w:rPr>
        <w:t xml:space="preserve">saskaņotā, integrētā un sistemātiskā veidā risināt </w:t>
      </w:r>
      <w:r>
        <w:rPr>
          <w:rFonts w:ascii="Times New Roman" w:hAnsi="Times New Roman"/>
          <w:b/>
          <w:i/>
          <w:noProof/>
          <w:sz w:val="24"/>
        </w:rPr>
        <w:t>problēmsituācijas</w:t>
      </w:r>
      <w:r>
        <w:rPr>
          <w:rFonts w:ascii="Times New Roman" w:hAnsi="Times New Roman"/>
          <w:i/>
          <w:noProof/>
          <w:sz w:val="24"/>
        </w:rPr>
        <w:t xml:space="preserve"> robežu pārvaldības un atgriešanas jomā</w:t>
      </w:r>
      <w:r>
        <w:rPr>
          <w:rFonts w:ascii="Times New Roman" w:hAnsi="Times New Roman"/>
          <w:noProof/>
          <w:sz w:val="24"/>
        </w:rPr>
        <w:t xml:space="preserve">”. Šajā kontekstā </w:t>
      </w:r>
      <w:r>
        <w:rPr>
          <w:rFonts w:ascii="Times New Roman" w:hAnsi="Times New Roman"/>
          <w:i/>
          <w:iCs/>
          <w:noProof/>
          <w:sz w:val="24"/>
        </w:rPr>
        <w:t>Frontex</w:t>
      </w:r>
      <w:r>
        <w:rPr>
          <w:rFonts w:ascii="Times New Roman" w:hAnsi="Times New Roman"/>
          <w:noProof/>
          <w:sz w:val="24"/>
        </w:rPr>
        <w:t xml:space="preserve">, cieši apspriežoties ar dalībvalstīm, izstrādāja pirmo </w:t>
      </w:r>
      <w:r>
        <w:rPr>
          <w:rFonts w:ascii="Times New Roman" w:hAnsi="Times New Roman"/>
          <w:b/>
          <w:noProof/>
          <w:sz w:val="24"/>
        </w:rPr>
        <w:t>Eiropas integrētās robežu pārvaldības stratēģisko riska analīzi</w:t>
      </w:r>
      <w:r>
        <w:rPr>
          <w:rFonts w:ascii="Times New Roman" w:hAnsi="Times New Roman"/>
          <w:noProof/>
          <w:sz w:val="24"/>
        </w:rPr>
        <w:t>, kas aptver 10 gadu periodu</w:t>
      </w:r>
      <w:r w:rsidRPr="00263099">
        <w:rPr>
          <w:rFonts w:ascii="Times New Roman" w:eastAsia="Calibri" w:hAnsi="Times New Roman" w:cs="Times New Roman"/>
          <w:noProof/>
          <w:sz w:val="24"/>
          <w:szCs w:val="24"/>
          <w:vertAlign w:val="superscript"/>
          <w:lang w:val="en-GB"/>
        </w:rPr>
        <w:footnoteReference w:id="3"/>
      </w:r>
      <w:r>
        <w:rPr>
          <w:rFonts w:ascii="Times New Roman" w:hAnsi="Times New Roman"/>
          <w:noProof/>
          <w:sz w:val="24"/>
        </w:rPr>
        <w:t>.</w:t>
      </w:r>
    </w:p>
    <w:p w:rsidR="00263099" w:rsidRPr="00263099" w:rsidRDefault="00263099" w:rsidP="00263099">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Tālāk ir aprakstītas galvenās 2020. gada stratēģiskajā riska analīzē konstatētās problēmas.</w:t>
      </w:r>
    </w:p>
    <w:p w:rsidR="00263099" w:rsidRPr="00263099" w:rsidRDefault="00263099" w:rsidP="00263099">
      <w:pPr>
        <w:keepNext/>
        <w:spacing w:after="200" w:line="276" w:lineRule="auto"/>
        <w:jc w:val="both"/>
        <w:rPr>
          <w:rFonts w:ascii="Times New Roman" w:eastAsia="Times New Roman" w:hAnsi="Times New Roman" w:cs="Times New Roman"/>
          <w:noProof/>
          <w:sz w:val="24"/>
          <w:szCs w:val="24"/>
        </w:rPr>
      </w:pPr>
      <w:r>
        <w:rPr>
          <w:rFonts w:ascii="Times New Roman" w:hAnsi="Times New Roman"/>
          <w:b/>
          <w:noProof/>
          <w:sz w:val="24"/>
        </w:rPr>
        <w:t>Attiecībā uz ārējām robežām:</w:t>
      </w:r>
    </w:p>
    <w:p w:rsidR="00263099" w:rsidRPr="00263099" w:rsidRDefault="00263099" w:rsidP="00263099">
      <w:pPr>
        <w:numPr>
          <w:ilvl w:val="0"/>
          <w:numId w:val="33"/>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spiediena palielināšanās, ko rada pārrobežu noziedzība</w:t>
      </w:r>
      <w:r w:rsidRPr="00263099">
        <w:rPr>
          <w:rFonts w:ascii="Times New Roman" w:eastAsia="Calibri" w:hAnsi="Times New Roman" w:cs="Times New Roman"/>
          <w:b/>
          <w:noProof/>
          <w:sz w:val="24"/>
          <w:szCs w:val="24"/>
          <w:vertAlign w:val="superscript"/>
          <w:lang w:val="en-GB"/>
        </w:rPr>
        <w:footnoteReference w:id="4"/>
      </w:r>
      <w:r>
        <w:rPr>
          <w:rFonts w:ascii="Times New Roman" w:hAnsi="Times New Roman"/>
          <w:noProof/>
          <w:sz w:val="24"/>
        </w:rPr>
        <w:t>, terorisms un hibrīddraudi;</w:t>
      </w:r>
    </w:p>
    <w:p w:rsidR="00263099" w:rsidRPr="00263099" w:rsidRDefault="00263099" w:rsidP="00263099">
      <w:pPr>
        <w:numPr>
          <w:ilvl w:val="0"/>
          <w:numId w:val="33"/>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nepieciešamība risināt pasažieru un kravu plūsmu pieauguma problēmu, uzlabojot datu vākšanu, riska pārvaldību un sadarbspēju;</w:t>
      </w:r>
    </w:p>
    <w:p w:rsidR="00263099" w:rsidRPr="00263099" w:rsidRDefault="00263099" w:rsidP="00263099">
      <w:pPr>
        <w:numPr>
          <w:ilvl w:val="0"/>
          <w:numId w:val="33"/>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integrētās robežu pārvaldības digitalizācija, ieviešot ieceļošanas/izceļošanas sistēmu, Eiropas ceļošanas informācijas un atļauju sistēmu, atjaunināto Šengenas Informācijas sistēmu un atjaunināto vīzu informācijas sistēmu; </w:t>
      </w:r>
    </w:p>
    <w:p w:rsidR="00263099" w:rsidRPr="00263099" w:rsidRDefault="00263099" w:rsidP="00263099">
      <w:pPr>
        <w:numPr>
          <w:ilvl w:val="0"/>
          <w:numId w:val="33"/>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ar jūras, sauszemes un gaisa transportu saistītās problēmas, tai skaitā:</w:t>
      </w:r>
    </w:p>
    <w:p w:rsidR="00263099" w:rsidRPr="00263099" w:rsidRDefault="00263099" w:rsidP="00263099">
      <w:pPr>
        <w:numPr>
          <w:ilvl w:val="1"/>
          <w:numId w:val="35"/>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kompleksi kiberuzbrukumi un teroristu uzbrukumi starptautiskiem/iekšzemes pasažieriem, kuģiem, bīstamām kravām un kritiskai jūras infrastruktūrai;</w:t>
      </w:r>
    </w:p>
    <w:p w:rsidR="00263099" w:rsidRPr="00263099" w:rsidRDefault="00263099" w:rsidP="00263099">
      <w:pPr>
        <w:numPr>
          <w:ilvl w:val="1"/>
          <w:numId w:val="35"/>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palielināta starptautiskā migrācija, sekundārā migrācija (ES iekšienē) un pārrobežu kontrabanda;</w:t>
      </w:r>
    </w:p>
    <w:p w:rsidR="00263099" w:rsidRPr="00263099" w:rsidRDefault="00263099" w:rsidP="00263099">
      <w:pPr>
        <w:numPr>
          <w:ilvl w:val="1"/>
          <w:numId w:val="35"/>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zemo cenu lidojumu intensitātes ietekme uz dažu ES lidostu spēju risināt ar to saistītās integrētās robežu pārvaldības problēmas;</w:t>
      </w:r>
    </w:p>
    <w:p w:rsidR="00263099" w:rsidRPr="00263099" w:rsidRDefault="00263099" w:rsidP="00263099">
      <w:pPr>
        <w:numPr>
          <w:ilvl w:val="0"/>
          <w:numId w:val="33"/>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kontrabandas plūsmu pastiprināšanās, kas ietekmē ES iekšējo un ārējo drošību;</w:t>
      </w:r>
    </w:p>
    <w:p w:rsidR="00263099" w:rsidRPr="00263099" w:rsidRDefault="00263099" w:rsidP="00263099">
      <w:pPr>
        <w:numPr>
          <w:ilvl w:val="0"/>
          <w:numId w:val="33"/>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kibernoziedznieki turpinās darboties elastīgi un noturīgi, taču viņi arī izmantos esošos darbības veidus, kas vērsti uz zināmām ievainojamībām un jauniem upuriem. Viņi centīsies gūt labumu no iepriekš fiziskā vidē veikto darbību masveida pārcelšanas uz tiešsaistes vidi, kā tas notika Covid-19 pandēmijas apstākļos;</w:t>
      </w:r>
    </w:p>
    <w:p w:rsidR="00263099" w:rsidRPr="00263099" w:rsidRDefault="00263099" w:rsidP="00263099">
      <w:pPr>
        <w:numPr>
          <w:ilvl w:val="0"/>
          <w:numId w:val="33"/>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lai atvieglotu likumīgu robežšķērsošanu, arī tūrisma un tirdzniecības nolūkā, robežkontroles iestādēm pēc iespējas labāk jāizmanto neintruzīvas identifikācijas tehnoloģijas (piemēram, pirkstu nospiedumi, sejas atpazīšana), vienlaikus pilnībā ievērojot pamattiesības, jo īpaši attiecībā uz persondatu aizsardzību šajā jomā. Piekļuve šādai informācijai būs jānodrošina ar pārnēsājamām ierīcēm, lai varētu veikt nepieciešamo ielūkošanos datubāzēs un drošības pārbaudes; </w:t>
      </w:r>
    </w:p>
    <w:p w:rsidR="00263099" w:rsidRPr="00263099" w:rsidRDefault="00263099" w:rsidP="00263099">
      <w:pPr>
        <w:numPr>
          <w:ilvl w:val="0"/>
          <w:numId w:val="33"/>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attiecībā uz terorisma un hibrīddraudiem dažādas problēmas ir saistītas ar savlaicīgu informācijas apmaiņu nolūkā uzlabot pārbaudes un ātru reaģēšanu, un ERKA var sniegt savu ieguldījumu, nodrošinot robežsargu piekļuvi Šengenas Informācijas sistēmai (</w:t>
      </w:r>
      <w:r>
        <w:rPr>
          <w:rFonts w:ascii="Times New Roman" w:hAnsi="Times New Roman"/>
          <w:i/>
          <w:iCs/>
          <w:noProof/>
          <w:sz w:val="24"/>
        </w:rPr>
        <w:t>SIS</w:t>
      </w:r>
      <w:r>
        <w:rPr>
          <w:rFonts w:ascii="Times New Roman" w:hAnsi="Times New Roman"/>
          <w:noProof/>
          <w:sz w:val="24"/>
        </w:rPr>
        <w:t>), ieceļošanas/izceļošanas sistēmai (IIS), Eiropas ceļošanas informācijas un atļauju sistēmai (</w:t>
      </w:r>
      <w:r>
        <w:rPr>
          <w:rFonts w:ascii="Times New Roman" w:hAnsi="Times New Roman"/>
          <w:i/>
          <w:iCs/>
          <w:noProof/>
          <w:sz w:val="24"/>
        </w:rPr>
        <w:t>ETIAS</w:t>
      </w:r>
      <w:r>
        <w:rPr>
          <w:rFonts w:ascii="Times New Roman" w:hAnsi="Times New Roman"/>
          <w:noProof/>
          <w:sz w:val="24"/>
        </w:rPr>
        <w:t>), kā arī ES informācijas sistēmu (arī Eiropas meklēšanas portāla) sadarbspēju.</w:t>
      </w:r>
    </w:p>
    <w:p w:rsidR="00263099" w:rsidRPr="00127656" w:rsidRDefault="00263099" w:rsidP="00263099">
      <w:pPr>
        <w:spacing w:after="0" w:line="240" w:lineRule="auto"/>
        <w:ind w:left="360"/>
        <w:jc w:val="both"/>
        <w:rPr>
          <w:rFonts w:ascii="Times New Roman" w:eastAsia="Times New Roman" w:hAnsi="Times New Roman" w:cs="Times New Roman"/>
          <w:noProof/>
          <w:sz w:val="24"/>
          <w:szCs w:val="24"/>
          <w:lang w:eastAsia="en-GB"/>
        </w:rPr>
      </w:pPr>
    </w:p>
    <w:p w:rsidR="00263099" w:rsidRPr="00263099" w:rsidRDefault="00263099" w:rsidP="00263099">
      <w:pPr>
        <w:keepNext/>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Attiecībā uz </w:t>
      </w:r>
      <w:r>
        <w:rPr>
          <w:rFonts w:ascii="Times New Roman" w:hAnsi="Times New Roman"/>
          <w:b/>
          <w:noProof/>
          <w:sz w:val="24"/>
        </w:rPr>
        <w:t>migrāciju un atgriešanu</w:t>
      </w:r>
      <w:r>
        <w:rPr>
          <w:rFonts w:ascii="Times New Roman" w:hAnsi="Times New Roman"/>
          <w:noProof/>
          <w:sz w:val="24"/>
        </w:rPr>
        <w:t>:</w:t>
      </w:r>
    </w:p>
    <w:p w:rsidR="00263099" w:rsidRPr="00263099" w:rsidRDefault="00263099" w:rsidP="00263099">
      <w:pPr>
        <w:numPr>
          <w:ilvl w:val="0"/>
          <w:numId w:val="45"/>
        </w:numPr>
        <w:spacing w:after="0" w:line="276" w:lineRule="auto"/>
        <w:ind w:left="714" w:hanging="357"/>
        <w:contextualSpacing/>
        <w:jc w:val="both"/>
        <w:rPr>
          <w:rFonts w:ascii="Times New Roman" w:eastAsia="Calibri" w:hAnsi="Times New Roman" w:cs="Times New Roman"/>
          <w:noProof/>
          <w:sz w:val="24"/>
          <w:szCs w:val="24"/>
        </w:rPr>
      </w:pPr>
      <w:r>
        <w:rPr>
          <w:rFonts w:ascii="Times New Roman" w:hAnsi="Times New Roman"/>
          <w:noProof/>
          <w:sz w:val="24"/>
        </w:rPr>
        <w:t>lai izvairītos no situācijas, kad atsevišķās dalībvalstīs vai noteiktos robežas posmos rodas pārmērīgs spiediens, ir nepieciešama labi koordinēta reakcija, veicot atbilstošus pasākumus pierobežas zonā un vajadzības gadījumā attiecīgi palielinot operacionālās spējas skartajos robežas posmos;</w:t>
      </w:r>
    </w:p>
    <w:p w:rsidR="00263099" w:rsidRPr="00263099" w:rsidRDefault="00263099" w:rsidP="00263099">
      <w:pPr>
        <w:numPr>
          <w:ilvl w:val="0"/>
          <w:numId w:val="45"/>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drošības pasākumi pie ārējām robežām un Šengenas zonā ir jālīdzsvaro ar nepieciešamību nodrošināt netraucētu pasažieru plūsmu;</w:t>
      </w:r>
    </w:p>
    <w:p w:rsidR="00263099" w:rsidRPr="00263099" w:rsidRDefault="00263099" w:rsidP="00263099">
      <w:pPr>
        <w:numPr>
          <w:ilvl w:val="0"/>
          <w:numId w:val="45"/>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pieaug ERKA atgriešanas darbību nozīme, </w:t>
      </w:r>
      <w:r>
        <w:rPr>
          <w:rFonts w:ascii="Times New Roman" w:hAnsi="Times New Roman"/>
          <w:i/>
          <w:iCs/>
          <w:noProof/>
          <w:sz w:val="24"/>
        </w:rPr>
        <w:t>Frontex</w:t>
      </w:r>
      <w:r>
        <w:rPr>
          <w:rFonts w:ascii="Times New Roman" w:hAnsi="Times New Roman"/>
          <w:noProof/>
          <w:sz w:val="24"/>
        </w:rPr>
        <w:t xml:space="preserve"> potenciāli kļūstot par ES atgriešanas sistēmas operacionālo struktūru, kas nodrošinās lielāko daļu atgriešanas darbību;</w:t>
      </w:r>
    </w:p>
    <w:p w:rsidR="00263099" w:rsidRPr="00263099" w:rsidRDefault="00263099" w:rsidP="00263099">
      <w:pPr>
        <w:numPr>
          <w:ilvl w:val="0"/>
          <w:numId w:val="45"/>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ERKA atgriešanas darbības ir jāpastiprina ar digitalizāciju, proti, izmantojot </w:t>
      </w:r>
      <w:r>
        <w:rPr>
          <w:rFonts w:ascii="Times New Roman" w:hAnsi="Times New Roman"/>
          <w:i/>
          <w:iCs/>
          <w:noProof/>
          <w:sz w:val="24"/>
        </w:rPr>
        <w:t>Frontex</w:t>
      </w:r>
      <w:r>
        <w:rPr>
          <w:rFonts w:ascii="Times New Roman" w:hAnsi="Times New Roman"/>
          <w:noProof/>
          <w:sz w:val="24"/>
        </w:rPr>
        <w:t xml:space="preserve"> atgriešanas lietotni un valstu atgriešanas pārvaldības IT sistēmas, pamatojoties uz aģentūras izstrādāto atgriešanas lietu pārvaldības sistēmu modeli.</w:t>
      </w: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Pandēmijas:</w:t>
      </w:r>
      <w:r>
        <w:rPr>
          <w:rFonts w:ascii="Times New Roman" w:hAnsi="Times New Roman"/>
          <w:noProof/>
          <w:sz w:val="24"/>
        </w:rPr>
        <w:t xml:space="preserve"> </w:t>
      </w:r>
    </w:p>
    <w:p w:rsidR="00263099" w:rsidRPr="00263099" w:rsidRDefault="00263099" w:rsidP="00263099">
      <w:pPr>
        <w:numPr>
          <w:ilvl w:val="0"/>
          <w:numId w:val="45"/>
        </w:numPr>
        <w:spacing w:after="200" w:line="276" w:lineRule="auto"/>
        <w:contextualSpacing/>
        <w:jc w:val="both"/>
        <w:rPr>
          <w:rFonts w:ascii="Times New Roman" w:eastAsia="Calibri" w:hAnsi="Times New Roman" w:cs="Times New Roman"/>
          <w:noProof/>
          <w:sz w:val="24"/>
          <w:szCs w:val="24"/>
        </w:rPr>
      </w:pPr>
      <w:r>
        <w:rPr>
          <w:rFonts w:ascii="Times New Roman" w:hAnsi="Times New Roman"/>
          <w:i/>
          <w:iCs/>
          <w:noProof/>
          <w:sz w:val="24"/>
        </w:rPr>
        <w:t>Frontex</w:t>
      </w:r>
      <w:r>
        <w:rPr>
          <w:rFonts w:ascii="Times New Roman" w:hAnsi="Times New Roman"/>
          <w:noProof/>
          <w:sz w:val="24"/>
        </w:rPr>
        <w:t xml:space="preserve"> 2020. gada analīzē pandēmijas ir noteiktas kā būtisks izaicinājums EIRP, jo, kā to parādīja Covid-19 pandēmija, tās no latentiem draudiem var ātri pavērsties par reālu apdraudējumu;</w:t>
      </w:r>
    </w:p>
    <w:p w:rsidR="00263099" w:rsidRDefault="00263099" w:rsidP="00263099">
      <w:pPr>
        <w:numPr>
          <w:ilvl w:val="0"/>
          <w:numId w:val="45"/>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pie robežām strādājošie robežsargi nonāk fiziskā saskarē ar ceļotājiem un apstrādā bagāžu un kravas, tāpēc viņi var tikt pakļauti toksīnu, patogēnu un citu kaitīgu vielu vai organismu iedarbībai. Lai mazinātu šo risku, ir jāgarantē droša vide robežsargiem, un iestādēm ir jāņem vērā veselības apdraudējums, kas saistīts ar robežu pārvaldības darbībām.</w:t>
      </w:r>
    </w:p>
    <w:p w:rsidR="00E67969" w:rsidRPr="00127656" w:rsidRDefault="00E67969" w:rsidP="00E67969">
      <w:pPr>
        <w:spacing w:after="200" w:line="276" w:lineRule="auto"/>
        <w:ind w:left="720"/>
        <w:contextualSpacing/>
        <w:jc w:val="both"/>
        <w:rPr>
          <w:rFonts w:ascii="Times New Roman" w:eastAsia="Calibri" w:hAnsi="Times New Roman" w:cs="Times New Roman"/>
          <w:noProof/>
          <w:sz w:val="24"/>
          <w:szCs w:val="24"/>
        </w:rPr>
      </w:pPr>
    </w:p>
    <w:p w:rsidR="00263099" w:rsidRPr="00263099" w:rsidRDefault="00263099" w:rsidP="00263099">
      <w:pPr>
        <w:spacing w:after="0" w:line="276" w:lineRule="auto"/>
        <w:jc w:val="both"/>
        <w:rPr>
          <w:rFonts w:ascii="Times New Roman" w:eastAsia="Calibri" w:hAnsi="Times New Roman" w:cs="Times New Roman"/>
          <w:noProof/>
          <w:sz w:val="24"/>
          <w:szCs w:val="24"/>
        </w:rPr>
      </w:pPr>
      <w:r>
        <w:rPr>
          <w:rFonts w:ascii="Times New Roman" w:hAnsi="Times New Roman"/>
          <w:noProof/>
          <w:sz w:val="24"/>
        </w:rPr>
        <w:t xml:space="preserve">Šīs problēmas, kas noteiktas </w:t>
      </w:r>
      <w:r>
        <w:rPr>
          <w:rFonts w:ascii="Times New Roman" w:hAnsi="Times New Roman"/>
          <w:i/>
          <w:iCs/>
          <w:noProof/>
          <w:sz w:val="24"/>
        </w:rPr>
        <w:t>Frontex</w:t>
      </w:r>
      <w:r>
        <w:rPr>
          <w:rFonts w:ascii="Times New Roman" w:hAnsi="Times New Roman"/>
          <w:noProof/>
          <w:sz w:val="24"/>
        </w:rPr>
        <w:t xml:space="preserve"> 2020. gada riska analīzē, ir apstiprinājuši un papildinājuši notikumi, kuri kopš tā laika norisinājušies. Īpaši jāuzsver, ka situācija pie ES un Baltkrievijas robežas 2021. gadā parādīja, kā </w:t>
      </w:r>
      <w:r>
        <w:rPr>
          <w:rFonts w:ascii="Times New Roman" w:hAnsi="Times New Roman"/>
          <w:b/>
          <w:noProof/>
          <w:sz w:val="24"/>
        </w:rPr>
        <w:t>migrācijas</w:t>
      </w:r>
      <w:r>
        <w:rPr>
          <w:rFonts w:ascii="Times New Roman" w:hAnsi="Times New Roman"/>
          <w:noProof/>
          <w:sz w:val="24"/>
        </w:rPr>
        <w:t xml:space="preserve"> instrumentalizācija var radīt hibrīddraudus pie ES robežām, ko arvien vairāk var ietekmēt hibrīdoperācijas, kuru mērķis ir izvērst atsevišķu trešo valstu ārpolitikas un drošības politikas plānus ES kaimiņvalstīs un citur. Hibrīda rakstura draudi rada nepieciešamību iesaistīties sadarbībā un informācijas apmaiņā (starp aģentūrām, ar dalībvalstīm un ES iestādēm un struktūrām), lai savlaicīgi apzinātu hibrīddraudus vairākās jomās un to stratēģisko nolūku.</w:t>
      </w:r>
    </w:p>
    <w:p w:rsidR="00263099" w:rsidRPr="00127656" w:rsidRDefault="00263099" w:rsidP="00263099">
      <w:pPr>
        <w:spacing w:after="0" w:line="276" w:lineRule="auto"/>
        <w:jc w:val="both"/>
        <w:rPr>
          <w:rFonts w:ascii="Times New Roman" w:eastAsia="Calibri" w:hAnsi="Times New Roman" w:cs="Times New Roman"/>
          <w:noProof/>
          <w:sz w:val="24"/>
          <w:szCs w:val="24"/>
          <w:lang w:eastAsia="en-GB"/>
        </w:rPr>
      </w:pPr>
    </w:p>
    <w:p w:rsidR="00263099" w:rsidRPr="00263099" w:rsidRDefault="00263099" w:rsidP="00263099">
      <w:pPr>
        <w:spacing w:after="20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Arī </w:t>
      </w:r>
      <w:r>
        <w:rPr>
          <w:rFonts w:ascii="Times New Roman" w:hAnsi="Times New Roman"/>
          <w:b/>
          <w:noProof/>
          <w:sz w:val="24"/>
        </w:rPr>
        <w:t>Krievijas iebrukums Ukrainā</w:t>
      </w:r>
      <w:r>
        <w:rPr>
          <w:rFonts w:ascii="Times New Roman" w:hAnsi="Times New Roman"/>
          <w:noProof/>
          <w:sz w:val="24"/>
        </w:rPr>
        <w:t xml:space="preserve">, kura dēļ vairāk nekā 5,9 miljoni cilvēku kā bēgļi ieradušies ES, ir uzskatāms piemērs tam, ar kādām problēmām saskaras EIRP. Krievijas spēku militārās agresijas ievērojama eskalācija varētu izraisīt papildu cilvēku pārvietošanos no Ukrainas lielā skaitā. Šajā saistībā </w:t>
      </w:r>
      <w:r>
        <w:rPr>
          <w:rFonts w:ascii="Times New Roman" w:hAnsi="Times New Roman"/>
          <w:i/>
          <w:iCs/>
          <w:noProof/>
          <w:sz w:val="24"/>
        </w:rPr>
        <w:t>Frontex</w:t>
      </w:r>
      <w:r>
        <w:rPr>
          <w:rFonts w:ascii="Times New Roman" w:hAnsi="Times New Roman"/>
          <w:noProof/>
          <w:sz w:val="24"/>
        </w:rPr>
        <w:t xml:space="preserve"> sniedz atbalstu attiecīgajām dalībvalstīm un skartajām trešām valstīm. Aģentūra arī gatavojas jauniem izvietošanas pasākumiem, lai nodrošinātu pietiekamas spējas robežpārbaužu veikšanai saskaņā ar Savienības tiesību aktu prasībām attiecībā uz visām personām, kas šķērso Ukrainas un ES valstu robežas.</w:t>
      </w:r>
    </w:p>
    <w:p w:rsidR="00263099" w:rsidRPr="00263099" w:rsidRDefault="00263099" w:rsidP="00263099">
      <w:pPr>
        <w:spacing w:after="200" w:line="276" w:lineRule="auto"/>
        <w:jc w:val="both"/>
        <w:rPr>
          <w:rFonts w:ascii="Times New Roman" w:eastAsia="Calibri" w:hAnsi="Times New Roman" w:cs="Times New Roman"/>
          <w:noProof/>
          <w:sz w:val="24"/>
          <w:szCs w:val="24"/>
        </w:rPr>
      </w:pPr>
      <w:r>
        <w:rPr>
          <w:noProof/>
        </w:rPr>
        <w:br w:type="page"/>
      </w:r>
    </w:p>
    <w:p w:rsidR="00EE6D05" w:rsidRDefault="00263099" w:rsidP="00EE6D05">
      <w:pPr>
        <w:keepNext/>
        <w:numPr>
          <w:ilvl w:val="0"/>
          <w:numId w:val="42"/>
        </w:numPr>
        <w:spacing w:after="200" w:line="276" w:lineRule="auto"/>
        <w:ind w:left="714" w:hanging="357"/>
        <w:contextualSpacing/>
        <w:jc w:val="both"/>
        <w:rPr>
          <w:rFonts w:ascii="Times New Roman" w:eastAsia="Calibri" w:hAnsi="Times New Roman" w:cs="Times New Roman"/>
          <w:b/>
          <w:i/>
          <w:smallCaps/>
          <w:noProof/>
          <w:color w:val="000000"/>
          <w:sz w:val="28"/>
          <w:szCs w:val="28"/>
          <w:u w:val="single"/>
        </w:rPr>
      </w:pPr>
      <w:r>
        <w:rPr>
          <w:rFonts w:ascii="Times New Roman" w:hAnsi="Times New Roman"/>
          <w:b/>
          <w:i/>
          <w:smallCaps/>
          <w:noProof/>
          <w:color w:val="000000"/>
          <w:sz w:val="28"/>
          <w:u w:val="single"/>
        </w:rPr>
        <w:t>Principi, kas ir Eiropas integrētās robežu pārvaldības pamatā</w:t>
      </w:r>
    </w:p>
    <w:p w:rsidR="00EE6D05" w:rsidRPr="00127656" w:rsidRDefault="00EE6D05" w:rsidP="00EE6D05">
      <w:pPr>
        <w:keepNext/>
        <w:spacing w:after="200" w:line="276" w:lineRule="auto"/>
        <w:ind w:left="714"/>
        <w:contextualSpacing/>
        <w:jc w:val="both"/>
        <w:rPr>
          <w:rFonts w:ascii="Times New Roman" w:eastAsia="Calibri" w:hAnsi="Times New Roman" w:cs="Times New Roman"/>
          <w:b/>
          <w:i/>
          <w:smallCaps/>
          <w:noProof/>
          <w:color w:val="000000"/>
          <w:sz w:val="28"/>
          <w:szCs w:val="28"/>
          <w:u w:val="single"/>
          <w:lang w:eastAsia="en-IE"/>
        </w:rPr>
      </w:pPr>
    </w:p>
    <w:p w:rsidR="00263099" w:rsidRPr="00263099" w:rsidRDefault="00263099" w:rsidP="00263099">
      <w:pPr>
        <w:keepNext/>
        <w:spacing w:after="200" w:line="276" w:lineRule="auto"/>
        <w:jc w:val="both"/>
        <w:rPr>
          <w:rFonts w:ascii="Times New Roman" w:eastAsia="Times New Roman" w:hAnsi="Times New Roman" w:cs="Times New Roman"/>
          <w:noProof/>
          <w:sz w:val="24"/>
          <w:szCs w:val="24"/>
        </w:rPr>
      </w:pPr>
      <w:r>
        <w:rPr>
          <w:rFonts w:ascii="Times New Roman" w:hAnsi="Times New Roman"/>
          <w:noProof/>
          <w:color w:val="333333"/>
          <w:sz w:val="24"/>
          <w:shd w:val="clear" w:color="auto" w:fill="FFFFFF"/>
        </w:rPr>
        <w:t>Daudzgadu stratēģiskajā politikā ir jāievēro Eiropas integrētās robežu pārvaldības</w:t>
      </w:r>
      <w:r>
        <w:rPr>
          <w:rFonts w:ascii="Times New Roman" w:hAnsi="Times New Roman"/>
          <w:noProof/>
          <w:sz w:val="24"/>
        </w:rPr>
        <w:t xml:space="preserve"> galvenie principi un koncepcijas, kuri izriet tieši no ERKA regulas un kuru mērķis ir dot iespēju Eiropas Robežu un krasta apsardzei darboties efektīvi un pilnīgā saskaņā ar tiesisko regulējumu. </w:t>
      </w:r>
    </w:p>
    <w:p w:rsidR="00263099" w:rsidRPr="00263099" w:rsidRDefault="00263099" w:rsidP="00263099">
      <w:pPr>
        <w:keepNext/>
        <w:spacing w:after="200" w:line="276" w:lineRule="auto"/>
        <w:jc w:val="both"/>
        <w:rPr>
          <w:rFonts w:ascii="Times New Roman" w:eastAsia="Calibri" w:hAnsi="Times New Roman" w:cs="Times New Roman"/>
          <w:i/>
          <w:noProof/>
          <w:sz w:val="24"/>
          <w:szCs w:val="24"/>
        </w:rPr>
      </w:pPr>
      <w:r>
        <w:rPr>
          <w:rFonts w:ascii="Times New Roman" w:hAnsi="Times New Roman"/>
          <w:i/>
          <w:noProof/>
          <w:sz w:val="24"/>
        </w:rPr>
        <w:t>Kopīga atbildība, godprātīgas sadarbības pienākums un informācijas apmaiņas pienākums</w:t>
      </w:r>
    </w:p>
    <w:p w:rsidR="00263099" w:rsidRPr="00263099" w:rsidRDefault="00263099" w:rsidP="00263099">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 xml:space="preserve">Saskaņā ar ERKA regulu par EIRP īstenošanu kopīgi atbild dalībvalstu iestādes, kuru kompetencē ir robežu pārvaldība un atgriešana, un </w:t>
      </w:r>
      <w:r>
        <w:rPr>
          <w:rFonts w:ascii="Times New Roman" w:hAnsi="Times New Roman"/>
          <w:i/>
          <w:iCs/>
          <w:noProof/>
          <w:sz w:val="24"/>
        </w:rPr>
        <w:t>Frontex</w:t>
      </w:r>
      <w:r>
        <w:rPr>
          <w:rFonts w:ascii="Times New Roman" w:hAnsi="Times New Roman"/>
          <w:noProof/>
          <w:sz w:val="24"/>
        </w:rPr>
        <w:t> — šie dalībnieki kopā veido Eiropas Robežu un krasta apsardzi. Šī kopīgā atbildībā ir ERKA struktūras pamatā un praksē atspoguļo ES un dalībvalstu kopīgo kompetenci īstenot Līgumā paredzēto ES ārējo robežu integrētu pārvaldību. Šo kopīgo atbildību papildina visu ERKA dalībnieku (</w:t>
      </w:r>
      <w:r>
        <w:rPr>
          <w:rFonts w:ascii="Times New Roman" w:hAnsi="Times New Roman"/>
          <w:i/>
          <w:iCs/>
          <w:noProof/>
          <w:sz w:val="24"/>
        </w:rPr>
        <w:t>Frontex</w:t>
      </w:r>
      <w:r>
        <w:rPr>
          <w:rFonts w:ascii="Times New Roman" w:hAnsi="Times New Roman"/>
          <w:noProof/>
          <w:sz w:val="24"/>
        </w:rPr>
        <w:t xml:space="preserve"> un valstu iestāžu) pamatpienākums sadarboties godprātīgi un visaptverošais pienākums apmainīties ar informāciju ERKA kopienā.</w:t>
      </w:r>
    </w:p>
    <w:p w:rsidR="00263099" w:rsidRPr="00263099" w:rsidRDefault="00263099" w:rsidP="00263099">
      <w:pPr>
        <w:spacing w:after="200" w:line="276" w:lineRule="auto"/>
        <w:jc w:val="both"/>
        <w:rPr>
          <w:rFonts w:ascii="Times New Roman" w:eastAsia="Calibri" w:hAnsi="Times New Roman" w:cs="Times New Roman"/>
          <w:i/>
          <w:noProof/>
          <w:sz w:val="24"/>
          <w:szCs w:val="24"/>
        </w:rPr>
      </w:pPr>
      <w:r>
        <w:rPr>
          <w:rFonts w:ascii="Times New Roman" w:hAnsi="Times New Roman"/>
          <w:i/>
          <w:noProof/>
          <w:sz w:val="24"/>
        </w:rPr>
        <w:t>Pastāvīga gatavība reaģēt uz jauniem apdraudējumiem</w:t>
      </w:r>
    </w:p>
    <w:p w:rsidR="00263099" w:rsidRPr="00263099" w:rsidRDefault="00263099" w:rsidP="00263099">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 xml:space="preserve">EIRP īstenošanai būtu jānodrošina instrumenti, kas nepieciešami, lai reaģētu uz jebkādiem iespējamiem jauniem apdraudējumiem pie ārējām robežām un tos pārvaldītu. ES un valstu līmenī ir jābūt </w:t>
      </w:r>
      <w:r>
        <w:rPr>
          <w:rFonts w:ascii="Times New Roman" w:hAnsi="Times New Roman"/>
          <w:b/>
          <w:noProof/>
          <w:sz w:val="24"/>
        </w:rPr>
        <w:t>pastāvīgai gatavībai</w:t>
      </w:r>
      <w:r>
        <w:rPr>
          <w:rFonts w:ascii="Times New Roman" w:hAnsi="Times New Roman"/>
          <w:noProof/>
          <w:sz w:val="24"/>
        </w:rPr>
        <w:t xml:space="preserve"> novērst jebkādu tādu neatbilstīgo migrantu masveida pieplūdumu, kas nelikumīgi šķērso ārējās robežas. Šajā nolūkā daļai no šīs integrētās pieejas vajadzētu būt visaptverošiem, pārbaudītiem un pastāvīgi atjauninātiem </w:t>
      </w:r>
      <w:r>
        <w:rPr>
          <w:rFonts w:ascii="Times New Roman" w:hAnsi="Times New Roman"/>
          <w:b/>
          <w:noProof/>
          <w:sz w:val="24"/>
        </w:rPr>
        <w:t>ārkārtas rīcības plāniem</w:t>
      </w:r>
      <w:r>
        <w:rPr>
          <w:rFonts w:ascii="Times New Roman" w:hAnsi="Times New Roman"/>
          <w:noProof/>
          <w:sz w:val="24"/>
        </w:rPr>
        <w:t xml:space="preserve">, kas paredz arī izmantot ES un valstu iespējas un instrumentus (piemēram, ātrās reaģēšanas robežapsardzes pasākumus, migrācijas pārvaldības atbalsta vienības, atgriešanas nodrošināšanas vienības), un pilnvērtīgai </w:t>
      </w:r>
      <w:r>
        <w:rPr>
          <w:rFonts w:ascii="Times New Roman" w:hAnsi="Times New Roman"/>
          <w:b/>
          <w:noProof/>
          <w:sz w:val="24"/>
        </w:rPr>
        <w:t>karsto punktu pieejas</w:t>
      </w:r>
      <w:r>
        <w:rPr>
          <w:rFonts w:ascii="Times New Roman" w:hAnsi="Times New Roman"/>
          <w:noProof/>
          <w:sz w:val="24"/>
        </w:rPr>
        <w:t xml:space="preserve"> izmantošanai. Ārkārtas rīcības plāniem būtu jāatvieglo pasākumu efektīva praktiskā īstenošana jebkurā situācijā, kad vajadzīga steidzama rīcība pie ārējām robežām, un, ja nepieciešams, operāciju veikšana atgriešanas atbalstam.</w:t>
      </w:r>
    </w:p>
    <w:p w:rsidR="00263099" w:rsidRPr="00263099" w:rsidRDefault="00263099" w:rsidP="00263099">
      <w:pPr>
        <w:spacing w:after="200" w:line="276" w:lineRule="auto"/>
        <w:jc w:val="both"/>
        <w:rPr>
          <w:rFonts w:ascii="Times New Roman" w:eastAsia="Calibri" w:hAnsi="Times New Roman" w:cs="Times New Roman"/>
          <w:noProof/>
          <w:sz w:val="24"/>
          <w:szCs w:val="24"/>
        </w:rPr>
      </w:pPr>
      <w:r>
        <w:rPr>
          <w:rFonts w:ascii="Times New Roman" w:hAnsi="Times New Roman"/>
          <w:i/>
          <w:iCs/>
          <w:noProof/>
          <w:sz w:val="24"/>
        </w:rPr>
        <w:t>Frontex</w:t>
      </w:r>
      <w:r>
        <w:rPr>
          <w:rFonts w:ascii="Times New Roman" w:hAnsi="Times New Roman"/>
          <w:noProof/>
          <w:sz w:val="24"/>
        </w:rPr>
        <w:t xml:space="preserve"> ir jāveic ikgadējas </w:t>
      </w:r>
      <w:r>
        <w:rPr>
          <w:rFonts w:ascii="Times New Roman" w:hAnsi="Times New Roman"/>
          <w:b/>
          <w:noProof/>
          <w:sz w:val="24"/>
        </w:rPr>
        <w:t>ātrās reaģēšanas mācības</w:t>
      </w:r>
      <w:r>
        <w:rPr>
          <w:rFonts w:ascii="Times New Roman" w:hAnsi="Times New Roman"/>
          <w:noProof/>
          <w:sz w:val="24"/>
        </w:rPr>
        <w:t>, kas dos iespēju regulāri izmēģināt attiecīgās procedūras un mehānismus, lai nodrošinātu pilnīgu gatavību izmantot ātrās reaģēšanas spējas dalībvalstu atbalstam turpmākas krīzes situācijā.</w:t>
      </w:r>
    </w:p>
    <w:p w:rsidR="00263099" w:rsidRPr="00263099" w:rsidRDefault="00263099" w:rsidP="00263099">
      <w:pPr>
        <w:spacing w:after="200" w:line="276" w:lineRule="auto"/>
        <w:jc w:val="both"/>
        <w:rPr>
          <w:rFonts w:ascii="Times New Roman" w:eastAsia="Calibri" w:hAnsi="Times New Roman" w:cs="Times New Roman"/>
          <w:i/>
          <w:noProof/>
          <w:sz w:val="24"/>
          <w:szCs w:val="24"/>
        </w:rPr>
      </w:pPr>
      <w:r>
        <w:rPr>
          <w:rFonts w:ascii="Times New Roman" w:hAnsi="Times New Roman"/>
          <w:i/>
          <w:noProof/>
          <w:sz w:val="24"/>
        </w:rPr>
        <w:t>Labāka koordinācija un integrēta plānošana</w:t>
      </w:r>
    </w:p>
    <w:p w:rsidR="00263099" w:rsidRPr="00263099" w:rsidRDefault="00263099" w:rsidP="00263099">
      <w:pPr>
        <w:spacing w:after="200" w:line="276" w:lineRule="auto"/>
        <w:jc w:val="both"/>
        <w:rPr>
          <w:rFonts w:ascii="Times New Roman" w:eastAsia="Calibri" w:hAnsi="Times New Roman" w:cs="Times New Roman"/>
          <w:noProof/>
          <w:sz w:val="24"/>
          <w:szCs w:val="24"/>
        </w:rPr>
      </w:pPr>
      <w:r>
        <w:rPr>
          <w:rFonts w:ascii="Times New Roman" w:hAnsi="Times New Roman"/>
          <w:b/>
          <w:noProof/>
          <w:sz w:val="24"/>
        </w:rPr>
        <w:t>Eiropas Robežu un krasta apsardzes</w:t>
      </w:r>
      <w:r>
        <w:rPr>
          <w:rFonts w:ascii="Times New Roman" w:hAnsi="Times New Roman"/>
          <w:noProof/>
          <w:sz w:val="24"/>
        </w:rPr>
        <w:t xml:space="preserve"> sekmīgas darbības pamatā ir labi izveidota koordinācijas, saziņas un plānošanas sistēma starp Eiropas (</w:t>
      </w:r>
      <w:r>
        <w:rPr>
          <w:rFonts w:ascii="Times New Roman" w:hAnsi="Times New Roman"/>
          <w:i/>
          <w:iCs/>
          <w:noProof/>
          <w:sz w:val="24"/>
        </w:rPr>
        <w:t>Frontex</w:t>
      </w:r>
      <w:r>
        <w:rPr>
          <w:rFonts w:ascii="Times New Roman" w:hAnsi="Times New Roman"/>
          <w:noProof/>
          <w:sz w:val="24"/>
        </w:rPr>
        <w:t xml:space="preserve">) un nacionālajām struktūrām (valstu iestādēm, kas atbild par integrēto robežu pārvaldību vai ir iesaistītas tajā). Galvenais mērķis ir attīstīt elastīgu un integrētu informācijas izmantošanu, apvienotas spējas un sadarbspējīgas sistēmas un rīkus ES un valstu līmenī. Svarīga prasība, lai šī jaunā Eiropas struktūra darbotos, ir </w:t>
      </w:r>
      <w:r>
        <w:rPr>
          <w:rFonts w:ascii="Times New Roman" w:hAnsi="Times New Roman"/>
          <w:b/>
          <w:noProof/>
          <w:sz w:val="24"/>
        </w:rPr>
        <w:t>skaidras valstu koordinācijas, saziņas un plānošanas sistēmas</w:t>
      </w:r>
      <w:r>
        <w:rPr>
          <w:rFonts w:ascii="Times New Roman" w:hAnsi="Times New Roman"/>
          <w:noProof/>
          <w:sz w:val="24"/>
        </w:rPr>
        <w:t xml:space="preserve">, kas garantētu funkcionālu sadarbību ar aģentūru un starp integrētajā robežu pārvaldībā iesaistītajām valstu iestādēm. </w:t>
      </w:r>
      <w:r>
        <w:rPr>
          <w:rFonts w:ascii="Times New Roman" w:hAnsi="Times New Roman"/>
          <w:b/>
          <w:noProof/>
          <w:sz w:val="24"/>
        </w:rPr>
        <w:t>Valsts līmenī</w:t>
      </w:r>
      <w:r>
        <w:rPr>
          <w:rFonts w:ascii="Times New Roman" w:hAnsi="Times New Roman"/>
          <w:noProof/>
          <w:sz w:val="24"/>
        </w:rPr>
        <w:t xml:space="preserve"> vajadzētu būt </w:t>
      </w:r>
      <w:r>
        <w:rPr>
          <w:rFonts w:ascii="Times New Roman" w:hAnsi="Times New Roman"/>
          <w:b/>
          <w:noProof/>
          <w:sz w:val="24"/>
        </w:rPr>
        <w:t>vienai vadošai valsts iestādei, kas atbild par integrētās robežu pārvaldības koordinēšanu</w:t>
      </w:r>
      <w:r>
        <w:rPr>
          <w:rFonts w:ascii="Times New Roman" w:hAnsi="Times New Roman"/>
          <w:noProof/>
          <w:sz w:val="24"/>
        </w:rPr>
        <w:t xml:space="preserve">, un </w:t>
      </w:r>
      <w:r>
        <w:rPr>
          <w:rFonts w:ascii="Times New Roman" w:hAnsi="Times New Roman"/>
          <w:b/>
          <w:noProof/>
          <w:sz w:val="24"/>
        </w:rPr>
        <w:t>vienotam valsts kontaktpunktam visos jautājumos, kas saistīti ar aģentūras darbību</w:t>
      </w:r>
      <w:r>
        <w:rPr>
          <w:rFonts w:ascii="Times New Roman" w:hAnsi="Times New Roman"/>
          <w:noProof/>
          <w:sz w:val="24"/>
        </w:rPr>
        <w:t xml:space="preserve">. Valsts integrētās robežu pārvaldības koncepcija palīdzēs nodrošināt efektīvu koordināciju starp vadošo valsts iestādi un visām valsts iestādēm, kurām ir pienākumi robežu pārvaldības jomā. Lai nodrošinātu pastāvīgu gatavību ES un valstu līmenī, EIRP ir nepieciešama </w:t>
      </w:r>
      <w:r>
        <w:rPr>
          <w:rFonts w:ascii="Times New Roman" w:hAnsi="Times New Roman"/>
          <w:b/>
          <w:noProof/>
          <w:sz w:val="24"/>
        </w:rPr>
        <w:t>integrēta plānošana</w:t>
      </w:r>
      <w:r>
        <w:rPr>
          <w:rFonts w:ascii="Times New Roman" w:hAnsi="Times New Roman"/>
          <w:noProof/>
          <w:sz w:val="24"/>
        </w:rPr>
        <w:t xml:space="preserve"> starp dalībvalstīm un aģentūru. Tā ir vajadzīga, lai nodrošinātu gatavību reaģēt uz problēmām pie ārējām robežām, attiecībā uz ārkārtas rīcības plānošanu, kā arī attiecībā uz spēju pilnveides koordinēšanu ilgtermiņā gan darbā pieņemšanas un apmācības ziņā, gan aprīkojuma iegādes un uzlabošanas ziņā. Tāpēc spēju pilnveidei valsts un aģentūras līmenī ir jābūt nepārtrauktai, ņemot vērā īstermiņa, vidēja termiņa un ilgtermiņa plānošanu, un tai jābūt saskaņotai ar ārkārtas rīcības plānošanu.</w:t>
      </w:r>
    </w:p>
    <w:p w:rsidR="00263099" w:rsidRPr="00263099" w:rsidRDefault="00263099" w:rsidP="00263099">
      <w:pPr>
        <w:keepNext/>
        <w:spacing w:after="200" w:line="276" w:lineRule="auto"/>
        <w:jc w:val="both"/>
        <w:rPr>
          <w:rFonts w:ascii="Times New Roman" w:eastAsia="Calibri" w:hAnsi="Times New Roman" w:cs="Times New Roman"/>
          <w:i/>
          <w:noProof/>
          <w:sz w:val="24"/>
          <w:szCs w:val="24"/>
        </w:rPr>
      </w:pPr>
      <w:r>
        <w:rPr>
          <w:rFonts w:ascii="Times New Roman" w:hAnsi="Times New Roman"/>
          <w:i/>
          <w:noProof/>
          <w:sz w:val="24"/>
        </w:rPr>
        <w:t>Visaptveroša situācijas apzināšanās</w:t>
      </w:r>
    </w:p>
    <w:p w:rsidR="00263099" w:rsidRPr="00263099" w:rsidRDefault="00263099" w:rsidP="00263099">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Pamats pareizai un savlaicīgai reaģēšanai dažādās situācijā ir visaptveroša un gandrīz reāllaika informētība par pašreizējām un paredzamām situācijām, kas aptver gandrīz visas integrētās robežu pārvaldības funkcijas un visas četras piekļuves kontroles modeļa pakāpes</w:t>
      </w:r>
      <w:r w:rsidRPr="00263099">
        <w:rPr>
          <w:rFonts w:ascii="Times New Roman" w:eastAsia="Calibri" w:hAnsi="Times New Roman" w:cs="Times New Roman"/>
          <w:noProof/>
          <w:sz w:val="24"/>
          <w:szCs w:val="24"/>
          <w:vertAlign w:val="superscript"/>
          <w:lang w:val="en-GB"/>
        </w:rPr>
        <w:footnoteReference w:id="5"/>
      </w:r>
      <w:r>
        <w:rPr>
          <w:rFonts w:ascii="Times New Roman" w:hAnsi="Times New Roman"/>
          <w:noProof/>
          <w:sz w:val="24"/>
        </w:rPr>
        <w:t xml:space="preserve">. Aģentūrai ES līmenī un dalībvalstīm valstu līmenī būtu jāuztur visaptverošs </w:t>
      </w:r>
      <w:r>
        <w:rPr>
          <w:rFonts w:ascii="Times New Roman" w:hAnsi="Times New Roman"/>
          <w:b/>
          <w:noProof/>
          <w:sz w:val="24"/>
        </w:rPr>
        <w:t>Eiropas situācijas attēls</w:t>
      </w:r>
      <w:r>
        <w:rPr>
          <w:rFonts w:ascii="Times New Roman" w:hAnsi="Times New Roman"/>
          <w:noProof/>
          <w:sz w:val="24"/>
        </w:rPr>
        <w:t xml:space="preserve">, lai garantētu efektīvu un ātru Eiropas Robežu un krasta apsardzes reaģēšanu uz jauniem apdraudējumiem. Tam būtu arī jāpalīdz uzlabot citu valstu iestāžu un ES aģentūru operacionālo darbību savlaicīgumu un iedarbīgumu, kad tās veic savus attiecīgos uzdevumus pie robežām un Šengenas zonā. Būtu efektīvi jāīsteno un jāturpina attīstīt </w:t>
      </w:r>
      <w:r>
        <w:rPr>
          <w:rFonts w:ascii="Times New Roman" w:hAnsi="Times New Roman"/>
          <w:i/>
          <w:iCs/>
          <w:noProof/>
          <w:sz w:val="24"/>
        </w:rPr>
        <w:t>EUROSUR</w:t>
      </w:r>
      <w:r>
        <w:rPr>
          <w:rFonts w:ascii="Times New Roman" w:hAnsi="Times New Roman"/>
          <w:noProof/>
          <w:sz w:val="24"/>
        </w:rPr>
        <w:t xml:space="preserve"> kā galveno integrētās robežu pārvaldības situācijas attēla veidošanas sistēmu. Tas ir īpaši svarīgi, jo ar ERKA regulu ir ieviestas jaunas </w:t>
      </w:r>
      <w:r>
        <w:rPr>
          <w:rFonts w:ascii="Times New Roman" w:hAnsi="Times New Roman"/>
          <w:i/>
          <w:iCs/>
          <w:noProof/>
          <w:sz w:val="24"/>
        </w:rPr>
        <w:t>EUROSUR</w:t>
      </w:r>
      <w:r>
        <w:rPr>
          <w:rFonts w:ascii="Times New Roman" w:hAnsi="Times New Roman"/>
          <w:noProof/>
          <w:sz w:val="24"/>
        </w:rPr>
        <w:t xml:space="preserve"> funkcijas, kam vajadzētu uzlabot ERKA situācijas apzināšanos un reaģēšanas spējas, kā arī uzlabot operacionālo sadarbību starp dalībvalstīm un </w:t>
      </w:r>
      <w:r>
        <w:rPr>
          <w:rFonts w:ascii="Times New Roman" w:hAnsi="Times New Roman"/>
          <w:i/>
          <w:iCs/>
          <w:noProof/>
          <w:sz w:val="24"/>
        </w:rPr>
        <w:t>Frontex</w:t>
      </w:r>
      <w:r>
        <w:rPr>
          <w:rFonts w:ascii="Times New Roman" w:hAnsi="Times New Roman"/>
          <w:noProof/>
          <w:sz w:val="24"/>
        </w:rPr>
        <w:t>.</w:t>
      </w:r>
    </w:p>
    <w:p w:rsidR="00263099" w:rsidRPr="00263099" w:rsidRDefault="00263099" w:rsidP="00263099">
      <w:pPr>
        <w:keepNext/>
        <w:spacing w:after="200" w:line="276" w:lineRule="auto"/>
        <w:jc w:val="both"/>
        <w:rPr>
          <w:rFonts w:ascii="Times New Roman" w:eastAsia="Calibri" w:hAnsi="Times New Roman" w:cs="Times New Roman"/>
          <w:i/>
          <w:noProof/>
          <w:sz w:val="24"/>
          <w:szCs w:val="24"/>
        </w:rPr>
      </w:pPr>
      <w:r>
        <w:rPr>
          <w:rFonts w:ascii="Times New Roman" w:hAnsi="Times New Roman"/>
          <w:i/>
          <w:noProof/>
          <w:sz w:val="24"/>
        </w:rPr>
        <w:t>EIRP tehniskie standarti</w:t>
      </w:r>
    </w:p>
    <w:p w:rsidR="00263099" w:rsidRPr="00263099" w:rsidRDefault="00263099" w:rsidP="00263099">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 xml:space="preserve">Lai nodrošinātu dalībvalstu un </w:t>
      </w:r>
      <w:r>
        <w:rPr>
          <w:rFonts w:ascii="Times New Roman" w:hAnsi="Times New Roman"/>
          <w:i/>
          <w:iCs/>
          <w:noProof/>
          <w:sz w:val="24"/>
        </w:rPr>
        <w:t>Frontex</w:t>
      </w:r>
      <w:r>
        <w:rPr>
          <w:rFonts w:ascii="Times New Roman" w:hAnsi="Times New Roman"/>
          <w:noProof/>
          <w:sz w:val="24"/>
        </w:rPr>
        <w:t xml:space="preserve"> veikto darbību efektivitāti pie ārējām robežām, </w:t>
      </w:r>
      <w:r>
        <w:rPr>
          <w:rFonts w:ascii="Times New Roman" w:hAnsi="Times New Roman"/>
          <w:i/>
          <w:iCs/>
          <w:noProof/>
          <w:sz w:val="24"/>
        </w:rPr>
        <w:t>Frontex</w:t>
      </w:r>
      <w:r>
        <w:rPr>
          <w:rFonts w:ascii="Times New Roman" w:hAnsi="Times New Roman"/>
          <w:noProof/>
          <w:sz w:val="24"/>
        </w:rPr>
        <w:t>, dalībvalstīm un Komisijai būtu kopīgi jāizstrādā informācijas apmaiņas un nepieciešamā aprīkojuma tehniskie standarti, kā paredzēts attiecīgi ERKA regulas 16. un 64. pantā. Pēc standartu ieviešanas ERKA ir pienākums iegādāties un izmantot aprīkojumu, kā arī sniegt nepieciešamo informāciju saskaņā ar tehniskajiem standartiem.</w:t>
      </w:r>
    </w:p>
    <w:p w:rsidR="00263099" w:rsidRPr="00263099" w:rsidRDefault="00263099" w:rsidP="00263099">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 xml:space="preserve">Informācijas apmaiņas tehniskie standarti ir nepieciešami, lai dalībvalstu un </w:t>
      </w:r>
      <w:r>
        <w:rPr>
          <w:rFonts w:ascii="Times New Roman" w:hAnsi="Times New Roman"/>
          <w:i/>
          <w:iCs/>
          <w:noProof/>
          <w:sz w:val="24"/>
        </w:rPr>
        <w:t>Frontex</w:t>
      </w:r>
      <w:r>
        <w:rPr>
          <w:rFonts w:ascii="Times New Roman" w:hAnsi="Times New Roman"/>
          <w:noProof/>
          <w:sz w:val="24"/>
        </w:rPr>
        <w:t xml:space="preserve"> sniegto informāciju un datus varētu viegli salīdzināt un analizēt. Tas ir ļoti svarīgi, lai uzlabotu situācijas apzināšanos un jo īpaši lai papildinātu </w:t>
      </w:r>
      <w:r>
        <w:rPr>
          <w:rFonts w:ascii="Times New Roman" w:hAnsi="Times New Roman"/>
          <w:i/>
          <w:iCs/>
          <w:noProof/>
          <w:sz w:val="24"/>
        </w:rPr>
        <w:t>EUROSUR</w:t>
      </w:r>
      <w:r>
        <w:rPr>
          <w:rFonts w:ascii="Times New Roman" w:hAnsi="Times New Roman"/>
          <w:noProof/>
          <w:sz w:val="24"/>
        </w:rPr>
        <w:t xml:space="preserve"> situācijas attēlu un palielinātu spēju reaģēt uz situācijām pie ārējām robežām.</w:t>
      </w:r>
    </w:p>
    <w:p w:rsidR="00263099" w:rsidRPr="00263099" w:rsidRDefault="00263099" w:rsidP="00263099">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 xml:space="preserve">Līdzīgi principi attiecas uz tehniskajiem standartiem tehniskā aprīkojuma rezervei, ko veido, no vienas puses, dalībvalstīm vai </w:t>
      </w:r>
      <w:r>
        <w:rPr>
          <w:rFonts w:ascii="Times New Roman" w:hAnsi="Times New Roman"/>
          <w:i/>
          <w:iCs/>
          <w:noProof/>
          <w:sz w:val="24"/>
        </w:rPr>
        <w:t>Frontex</w:t>
      </w:r>
      <w:r>
        <w:rPr>
          <w:rFonts w:ascii="Times New Roman" w:hAnsi="Times New Roman"/>
          <w:noProof/>
          <w:sz w:val="24"/>
        </w:rPr>
        <w:t xml:space="preserve"> piederošs aprīkojums, un, no otras puses, dalībvalstīm un </w:t>
      </w:r>
      <w:r>
        <w:rPr>
          <w:rFonts w:ascii="Times New Roman" w:hAnsi="Times New Roman"/>
          <w:i/>
          <w:iCs/>
          <w:noProof/>
          <w:sz w:val="24"/>
        </w:rPr>
        <w:t>Frontex</w:t>
      </w:r>
      <w:r>
        <w:rPr>
          <w:rFonts w:ascii="Times New Roman" w:hAnsi="Times New Roman"/>
          <w:noProof/>
          <w:sz w:val="24"/>
        </w:rPr>
        <w:t xml:space="preserve"> kopīpašumā piederošs aprīkojums, kas paredzēts aģentūras operacionālajām darbībām. Tāpēc ir jānodrošina rezerves tehniskā aprīkojuma sadarbspēja un saderība, lai to varētu lietot vienā operacionālajā vidē kopā ar citu aprīkojumu, veicot to uzdevumus, atbilstoši īpašām prasībām un dažādos operacionālajos scenārijos. Lai neapdraudētu operacionālo darbību rezultātus, vienas aprīkojuma vienības nomaiņai pret citu jānotiek ātri un netraucēti.</w:t>
      </w:r>
    </w:p>
    <w:p w:rsidR="00263099" w:rsidRPr="00263099" w:rsidRDefault="00263099" w:rsidP="00263099">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Šie standarti arī veicinās integrētās robežu pārvaldības Eiropas tehnoloģiskās un rūpnieciskās bāzes izveidi, kas var samazināt nevēlamu atkarību no valstīm ārpus Eiropas.</w:t>
      </w:r>
    </w:p>
    <w:p w:rsidR="00263099" w:rsidRPr="00263099" w:rsidRDefault="00263099" w:rsidP="00263099">
      <w:pPr>
        <w:spacing w:after="200" w:line="276" w:lineRule="auto"/>
        <w:jc w:val="both"/>
        <w:rPr>
          <w:rFonts w:ascii="Times New Roman" w:eastAsia="Calibri" w:hAnsi="Times New Roman" w:cs="Times New Roman"/>
          <w:i/>
          <w:noProof/>
          <w:sz w:val="24"/>
          <w:szCs w:val="24"/>
        </w:rPr>
      </w:pPr>
      <w:r>
        <w:rPr>
          <w:rFonts w:ascii="Times New Roman" w:hAnsi="Times New Roman"/>
          <w:i/>
          <w:noProof/>
          <w:sz w:val="24"/>
        </w:rPr>
        <w:t>Kopēja robežsardzes kultūra un augsta līmeņa profesionalitāte</w:t>
      </w:r>
    </w:p>
    <w:p w:rsidR="00263099" w:rsidRPr="00263099" w:rsidRDefault="00263099" w:rsidP="00263099">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 xml:space="preserve">Eiropas integrētā robežu pārvaldība ir koncepcija, kurai nepieciešama augsta līmeņa specializācija un profesionalitāte. Eiropas Robežu un krasta apsardzei, veicot dažādus pasākumus, tai skaitā apmācības, būtu jāveicina robežsargu savstarpēja sapratne un kopēja kultūra, kas balstīta uz Līgumos nostiprinātajām Eiropas vērtībām. </w:t>
      </w:r>
    </w:p>
    <w:p w:rsidR="00263099" w:rsidRPr="00263099" w:rsidRDefault="00263099" w:rsidP="00263099">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Vispārīgi — cilvēkiem, kas veic Eiropas robežu sargāšanas un atgriešanas pienākumus, jābūt īpaši apmācītiem profesionāļiem robežkontroles jomā, ar augstām ētikas vērtībām un izteiktu godaprātu. Tiem vajadzētu būt kompetentu robežkontroles vai tiesībaizsardzības iestāžu darbiniekiem ar stingru rīcības kodeksu. Kad jāpilda pienākumi, kuru veikšanai ir jāizmanto persondati, jāielūkojas konfidenciālos reģistros vai jāveic darbības, kuru veikšanai saskaņā ar ES vai valsts tiesību aktiem ir jāīsteno izpildpilnvaras, izņēmumi nav pieļaujami. Kompetentajām iestādēm visos apstākļos vajadzētu būt pilnībā atbildīgām par visām robežkontroles darbībām. Robežkontroles uzdevumus nav iespējams uzticēt ārpakalpojumu sniedzējiem — robežkontrole pēc būtības ir tiesībaizsardzības uzdevums. Saskaņā ar valsts tiesību aktiem militārās spējas un līdzekļus var izmantot, ja tiek lūgts sniegt palīdzību kompetentajām robežsardzes iestādēm, ar nosacījumu, ka ir izpildīti visi iepriekš minētie nepieciešamie priekšnosacījumi.</w:t>
      </w:r>
    </w:p>
    <w:p w:rsidR="00263099" w:rsidRPr="00263099" w:rsidRDefault="00263099" w:rsidP="00263099">
      <w:pPr>
        <w:spacing w:after="200" w:line="276" w:lineRule="auto"/>
        <w:jc w:val="both"/>
        <w:rPr>
          <w:rFonts w:ascii="Times New Roman" w:eastAsia="Calibri" w:hAnsi="Times New Roman" w:cs="Times New Roman"/>
          <w:i/>
          <w:noProof/>
          <w:sz w:val="24"/>
          <w:szCs w:val="24"/>
        </w:rPr>
      </w:pPr>
      <w:r>
        <w:rPr>
          <w:rFonts w:ascii="Times New Roman" w:hAnsi="Times New Roman"/>
          <w:i/>
          <w:noProof/>
          <w:sz w:val="24"/>
        </w:rPr>
        <w:t>Funkcionālā integritāte</w:t>
      </w:r>
    </w:p>
    <w:p w:rsidR="00263099" w:rsidRPr="00263099" w:rsidRDefault="00263099" w:rsidP="00263099">
      <w:pPr>
        <w:spacing w:after="200" w:line="276" w:lineRule="auto"/>
        <w:jc w:val="both"/>
        <w:rPr>
          <w:rFonts w:ascii="Times New Roman" w:eastAsia="Calibri" w:hAnsi="Times New Roman" w:cs="Times New Roman"/>
          <w:noProof/>
          <w:sz w:val="24"/>
          <w:szCs w:val="24"/>
        </w:rPr>
      </w:pPr>
      <w:r>
        <w:rPr>
          <w:rFonts w:ascii="Times New Roman" w:hAnsi="Times New Roman"/>
          <w:noProof/>
          <w:sz w:val="24"/>
        </w:rPr>
        <w:t>Kā noteikts ERKA regulā, dalībvalstu robežu pārvaldības iestādes saglabā primāro atbildību par savu ārējo robežu posmu pārvaldību. Tas pats princips būtu jāpiemēro arī ES atgriešanas politikas īstenošanai. Eiropas integrētā robežu pārvaldība ir instruments, kurā daži pienākumi ir jāpilda valstu līmenī, bet aģentūras pienākumi salīdzinājumā ar valstu iestāžu pienākumiem ir ierobežoti. Šīs valstu politikai pakļautās jomas attiecas, piemēram, uz pasākumiem Šengenas zonā (piemēram, policijas kontroli, migrācijas pārvaldību un robežkontroles atjaunošanu pie iekšējām robežām) un organizētās pārrobežu noziedzības apkarošanu pie ārējām robežām. Tāpēc šie temati un funkcijas būtu detalizētāk un vienoti jāaptver valsts integrētās robežu pārvaldības stratēģijās.</w:t>
      </w:r>
    </w:p>
    <w:p w:rsidR="00263099" w:rsidRPr="00263099" w:rsidRDefault="00263099" w:rsidP="00263099">
      <w:pPr>
        <w:spacing w:after="0" w:line="240" w:lineRule="auto"/>
        <w:ind w:left="720"/>
        <w:contextualSpacing/>
        <w:rPr>
          <w:rFonts w:ascii="Times New Roman" w:eastAsia="Calibri" w:hAnsi="Times New Roman" w:cs="Times New Roman"/>
          <w:b/>
          <w:i/>
          <w:noProof/>
          <w:sz w:val="24"/>
          <w:szCs w:val="24"/>
          <w:u w:val="single"/>
        </w:rPr>
      </w:pPr>
      <w:r>
        <w:rPr>
          <w:noProof/>
        </w:rPr>
        <w:br w:type="page"/>
      </w:r>
    </w:p>
    <w:p w:rsidR="00263099" w:rsidRPr="00263099" w:rsidRDefault="00263099" w:rsidP="00263099">
      <w:pPr>
        <w:numPr>
          <w:ilvl w:val="0"/>
          <w:numId w:val="42"/>
        </w:numPr>
        <w:spacing w:after="200" w:line="276" w:lineRule="auto"/>
        <w:contextualSpacing/>
        <w:jc w:val="both"/>
        <w:rPr>
          <w:rFonts w:ascii="Times New Roman" w:eastAsia="Calibri" w:hAnsi="Times New Roman" w:cs="Times New Roman"/>
          <w:b/>
          <w:i/>
          <w:smallCaps/>
          <w:noProof/>
          <w:color w:val="000000"/>
          <w:sz w:val="28"/>
          <w:szCs w:val="28"/>
          <w:u w:val="single"/>
        </w:rPr>
      </w:pPr>
      <w:r>
        <w:rPr>
          <w:rFonts w:ascii="Times New Roman" w:hAnsi="Times New Roman"/>
          <w:b/>
          <w:i/>
          <w:smallCaps/>
          <w:noProof/>
          <w:color w:val="000000"/>
          <w:sz w:val="28"/>
          <w:u w:val="single"/>
        </w:rPr>
        <w:t>Politikas prioritātes un stratēģiskās vadlīnijas Eiropas integrētās robežu pārvaldības sastāvdaļām</w:t>
      </w:r>
    </w:p>
    <w:p w:rsidR="00263099" w:rsidRPr="00127656" w:rsidRDefault="00263099" w:rsidP="00263099">
      <w:pPr>
        <w:spacing w:after="0" w:line="240" w:lineRule="auto"/>
        <w:rPr>
          <w:rFonts w:ascii="Times New Roman" w:eastAsia="Times New Roman" w:hAnsi="Times New Roman" w:cs="Times New Roman"/>
          <w:noProof/>
          <w:sz w:val="24"/>
          <w:szCs w:val="24"/>
          <w:lang w:eastAsia="en-GB"/>
        </w:rPr>
      </w:pPr>
    </w:p>
    <w:p w:rsidR="00263099" w:rsidRPr="00263099" w:rsidRDefault="00263099" w:rsidP="00263099">
      <w:pPr>
        <w:spacing w:after="0" w:line="276" w:lineRule="auto"/>
        <w:jc w:val="both"/>
        <w:rPr>
          <w:rFonts w:ascii="Times New Roman" w:eastAsia="Calibri" w:hAnsi="Times New Roman" w:cs="Times New Roman"/>
          <w:noProof/>
          <w:sz w:val="24"/>
          <w:szCs w:val="24"/>
        </w:rPr>
      </w:pPr>
      <w:r>
        <w:rPr>
          <w:rFonts w:ascii="Times New Roman" w:hAnsi="Times New Roman"/>
          <w:noProof/>
          <w:sz w:val="24"/>
        </w:rPr>
        <w:t xml:space="preserve">ERKA regulā ir uzskaitītas </w:t>
      </w:r>
      <w:r>
        <w:rPr>
          <w:rFonts w:ascii="Times New Roman" w:hAnsi="Times New Roman"/>
          <w:b/>
          <w:noProof/>
          <w:sz w:val="24"/>
        </w:rPr>
        <w:t>15 sastāvdaļas</w:t>
      </w:r>
      <w:r>
        <w:rPr>
          <w:rFonts w:ascii="Times New Roman" w:hAnsi="Times New Roman"/>
          <w:noProof/>
          <w:sz w:val="24"/>
        </w:rPr>
        <w:t xml:space="preserve"> Eiropas integrētas robežu pārvaldības izveidei.</w:t>
      </w:r>
      <w:r>
        <w:rPr>
          <w:rFonts w:ascii="Times New Roman" w:hAnsi="Times New Roman"/>
          <w:b/>
          <w:noProof/>
          <w:sz w:val="24"/>
        </w:rPr>
        <w:t xml:space="preserve"> </w:t>
      </w:r>
      <w:r>
        <w:rPr>
          <w:rFonts w:ascii="Times New Roman" w:hAnsi="Times New Roman"/>
          <w:noProof/>
          <w:sz w:val="24"/>
        </w:rPr>
        <w:t xml:space="preserve">No tām </w:t>
      </w:r>
      <w:r>
        <w:rPr>
          <w:rFonts w:ascii="Times New Roman" w:hAnsi="Times New Roman"/>
          <w:b/>
          <w:noProof/>
          <w:sz w:val="24"/>
        </w:rPr>
        <w:t>12 tematiskās sastāvdaļas</w:t>
      </w:r>
      <w:r>
        <w:rPr>
          <w:rFonts w:ascii="Times New Roman" w:hAnsi="Times New Roman"/>
          <w:noProof/>
          <w:sz w:val="24"/>
        </w:rPr>
        <w:t xml:space="preserve"> aptver robežkontroli, meklēšanu un glābšanu situācijās, kas var rasties jūras robežuzraudzības operāciju laikā, riska analīzi, starpaģentūru sadarbību valstu un ES līmenī, sadarbību starp dalībvalstīm un ar aģentūru, sadarbību ar trešām valstīm, atgriešanas operācijas un citus pasākumus Šengenas zonā, Šengenas kvalitātes kontroles mehānismu un solidaritātes mehānismus, jo īpaši ES finansēšanas instrumentus. Turklāt ir noteiktas </w:t>
      </w:r>
      <w:r>
        <w:rPr>
          <w:rFonts w:ascii="Times New Roman" w:hAnsi="Times New Roman"/>
          <w:b/>
          <w:noProof/>
          <w:sz w:val="24"/>
        </w:rPr>
        <w:t>trīs visaptverošas sastāvdaļas</w:t>
      </w:r>
      <w:r>
        <w:rPr>
          <w:rFonts w:ascii="Times New Roman" w:hAnsi="Times New Roman"/>
          <w:noProof/>
          <w:sz w:val="24"/>
        </w:rPr>
        <w:t xml:space="preserve">: pamattiesības, pētniecība un inovācija, kā arī izglītība un apmācība. No tām īpaši svarīga ir </w:t>
      </w:r>
      <w:r>
        <w:rPr>
          <w:rFonts w:ascii="Times New Roman" w:hAnsi="Times New Roman"/>
          <w:b/>
          <w:noProof/>
          <w:sz w:val="24"/>
        </w:rPr>
        <w:t>pamattiesību aizsardzība</w:t>
      </w:r>
      <w:r>
        <w:rPr>
          <w:rFonts w:ascii="Times New Roman" w:hAnsi="Times New Roman"/>
          <w:noProof/>
          <w:sz w:val="24"/>
        </w:rPr>
        <w:t>, kas nodrošina, ka efektīva robežkontrole un atgriešanas politika atbilst ES un dalībvalstu starptautiskajām saistībām un vērtībām.</w:t>
      </w:r>
    </w:p>
    <w:p w:rsidR="00263099" w:rsidRPr="00127656" w:rsidRDefault="00263099" w:rsidP="00263099">
      <w:pPr>
        <w:spacing w:after="0" w:line="276" w:lineRule="auto"/>
        <w:jc w:val="both"/>
        <w:rPr>
          <w:rFonts w:ascii="Times New Roman" w:eastAsia="Times New Roman" w:hAnsi="Times New Roman" w:cs="Times New Roman"/>
          <w:noProof/>
          <w:color w:val="000000"/>
          <w:sz w:val="24"/>
          <w:szCs w:val="24"/>
          <w:bdr w:val="none" w:sz="0" w:space="0" w:color="auto" w:frame="1"/>
          <w:shd w:val="clear" w:color="auto" w:fill="FFFFFF"/>
          <w:lang w:eastAsia="en-GB"/>
        </w:rPr>
      </w:pPr>
    </w:p>
    <w:p w:rsidR="00263099" w:rsidRPr="00263099" w:rsidRDefault="00263099" w:rsidP="00263099">
      <w:pPr>
        <w:spacing w:after="0" w:line="276" w:lineRule="auto"/>
        <w:jc w:val="both"/>
        <w:rPr>
          <w:rFonts w:ascii="Times New Roman" w:eastAsia="Times New Roman" w:hAnsi="Times New Roman" w:cs="Times New Roman"/>
          <w:noProof/>
          <w:sz w:val="24"/>
          <w:szCs w:val="24"/>
        </w:rPr>
      </w:pPr>
      <w:r>
        <w:rPr>
          <w:rFonts w:ascii="Times New Roman" w:hAnsi="Times New Roman"/>
          <w:noProof/>
          <w:color w:val="000000"/>
          <w:sz w:val="24"/>
          <w:bdr w:val="none" w:sz="0" w:space="0" w:color="auto" w:frame="1"/>
          <w:shd w:val="clear" w:color="auto" w:fill="FFFFFF"/>
        </w:rPr>
        <w:t>ERKA regulas 8. panta 2. punktā noteikts</w:t>
      </w:r>
      <w:r>
        <w:rPr>
          <w:rFonts w:ascii="Times New Roman" w:hAnsi="Times New Roman"/>
          <w:noProof/>
          <w:sz w:val="24"/>
        </w:rPr>
        <w:t>, ka EIRP daudzgadu stratēģiskā politika “</w:t>
      </w:r>
      <w:r>
        <w:rPr>
          <w:rFonts w:ascii="Times New Roman" w:hAnsi="Times New Roman"/>
          <w:i/>
          <w:noProof/>
          <w:sz w:val="24"/>
        </w:rPr>
        <w:t xml:space="preserve">nosaka </w:t>
      </w:r>
      <w:r>
        <w:rPr>
          <w:rFonts w:ascii="Times New Roman" w:hAnsi="Times New Roman"/>
          <w:b/>
          <w:i/>
          <w:noProof/>
          <w:sz w:val="24"/>
        </w:rPr>
        <w:t>politikas prioritātes</w:t>
      </w:r>
      <w:r>
        <w:rPr>
          <w:rFonts w:ascii="Times New Roman" w:hAnsi="Times New Roman"/>
          <w:i/>
          <w:noProof/>
          <w:sz w:val="24"/>
        </w:rPr>
        <w:t xml:space="preserve"> un sniedz </w:t>
      </w:r>
      <w:r>
        <w:rPr>
          <w:rFonts w:ascii="Times New Roman" w:hAnsi="Times New Roman"/>
          <w:b/>
          <w:i/>
          <w:noProof/>
          <w:sz w:val="24"/>
        </w:rPr>
        <w:t>stratēģiskās vadlīnijas</w:t>
      </w:r>
      <w:r>
        <w:rPr>
          <w:rFonts w:ascii="Times New Roman" w:hAnsi="Times New Roman"/>
          <w:i/>
          <w:noProof/>
          <w:sz w:val="24"/>
        </w:rPr>
        <w:t xml:space="preserve"> pieciem gadiem </w:t>
      </w:r>
      <w:r>
        <w:rPr>
          <w:rFonts w:ascii="Times New Roman" w:hAnsi="Times New Roman"/>
          <w:b/>
          <w:i/>
          <w:noProof/>
          <w:sz w:val="24"/>
        </w:rPr>
        <w:t>saistībā ar</w:t>
      </w:r>
      <w:r>
        <w:rPr>
          <w:rFonts w:ascii="Times New Roman" w:hAnsi="Times New Roman"/>
          <w:i/>
          <w:noProof/>
          <w:sz w:val="24"/>
        </w:rPr>
        <w:t xml:space="preserve"> [ERKA regulas] 3. pantā izklāstītajām </w:t>
      </w:r>
      <w:r>
        <w:rPr>
          <w:rFonts w:ascii="Times New Roman" w:hAnsi="Times New Roman"/>
          <w:b/>
          <w:i/>
          <w:noProof/>
          <w:sz w:val="24"/>
        </w:rPr>
        <w:t>[EIRP] sastāvdaļām</w:t>
      </w:r>
      <w:r>
        <w:rPr>
          <w:rFonts w:ascii="Times New Roman" w:hAnsi="Times New Roman"/>
          <w:noProof/>
          <w:sz w:val="24"/>
        </w:rPr>
        <w:t>”. Šajā kontekstā Komisija ar šo ierosina Eiropas Parlamentam un Padomei izskatīšanai tālāk sniegtos norādījumus daudzgadu stratēģiskās politikas izstrādei attiecībā uz Eiropas integrētās robežu pārvaldības 15 sastāvdaļām.</w:t>
      </w:r>
    </w:p>
    <w:p w:rsidR="00263099" w:rsidRPr="00127656" w:rsidRDefault="00263099" w:rsidP="00263099">
      <w:pPr>
        <w:spacing w:after="0" w:line="240" w:lineRule="auto"/>
        <w:jc w:val="both"/>
        <w:rPr>
          <w:rFonts w:ascii="Times New Roman" w:eastAsia="Times New Roman" w:hAnsi="Times New Roman" w:cs="Times New Roman"/>
          <w:noProof/>
          <w:sz w:val="24"/>
          <w:szCs w:val="24"/>
          <w:lang w:eastAsia="en-GB"/>
        </w:rPr>
      </w:pPr>
    </w:p>
    <w:p w:rsidR="00263099" w:rsidRPr="00263099" w:rsidRDefault="00263099" w:rsidP="00263099">
      <w:pPr>
        <w:pBdr>
          <w:top w:val="single" w:sz="4" w:space="1" w:color="auto"/>
          <w:left w:val="single" w:sz="4" w:space="4" w:color="auto"/>
          <w:bottom w:val="single" w:sz="4" w:space="1" w:color="auto"/>
          <w:right w:val="single" w:sz="4" w:space="4" w:color="auto"/>
        </w:pBdr>
        <w:shd w:val="clear" w:color="auto" w:fill="DAEEF3"/>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1. sastāvdaļa: </w:t>
      </w:r>
      <w:r>
        <w:rPr>
          <w:rFonts w:ascii="Times New Roman" w:hAnsi="Times New Roman"/>
          <w:noProof/>
          <w:sz w:val="24"/>
        </w:rPr>
        <w:t>“</w:t>
      </w:r>
      <w:r>
        <w:rPr>
          <w:rFonts w:ascii="Times New Roman" w:hAnsi="Times New Roman"/>
          <w:i/>
          <w:noProof/>
          <w:sz w:val="24"/>
          <w:u w:val="single"/>
        </w:rPr>
        <w:t>robežkontrole</w:t>
      </w:r>
      <w:r>
        <w:rPr>
          <w:rFonts w:ascii="Times New Roman" w:hAnsi="Times New Roman"/>
          <w:i/>
          <w:noProof/>
          <w:sz w:val="24"/>
        </w:rPr>
        <w:t xml:space="preserve">, tostarp pasākumi likumīgas robežšķērsošanas atvieglošanai un vajadzības gadījumā: pasākumi, kas saistīti ar </w:t>
      </w:r>
      <w:r>
        <w:rPr>
          <w:rFonts w:ascii="Times New Roman" w:hAnsi="Times New Roman"/>
          <w:i/>
          <w:noProof/>
          <w:sz w:val="24"/>
          <w:u w:val="single"/>
        </w:rPr>
        <w:t>pārrobežu noziedzības novēršanu un atklāšanu</w:t>
      </w:r>
      <w:r>
        <w:rPr>
          <w:rFonts w:ascii="Times New Roman" w:hAnsi="Times New Roman"/>
          <w:i/>
          <w:noProof/>
          <w:sz w:val="24"/>
        </w:rPr>
        <w:t xml:space="preserve"> pie ārējām robežām, jo īpaši migrantu kontrabandu, cilvēku tirdzniecību un terorismu; un mehānismi un procedūras </w:t>
      </w:r>
      <w:r>
        <w:rPr>
          <w:rFonts w:ascii="Times New Roman" w:hAnsi="Times New Roman"/>
          <w:i/>
          <w:noProof/>
          <w:sz w:val="24"/>
          <w:u w:val="single"/>
        </w:rPr>
        <w:t>mazāk aizsargātu personu un nepavadītu nepilngadīgo identificēšanai</w:t>
      </w:r>
      <w:r>
        <w:rPr>
          <w:rFonts w:ascii="Times New Roman" w:hAnsi="Times New Roman"/>
          <w:i/>
          <w:noProof/>
          <w:sz w:val="24"/>
        </w:rPr>
        <w:t xml:space="preserve">, un </w:t>
      </w:r>
      <w:r>
        <w:rPr>
          <w:rFonts w:ascii="Times New Roman" w:hAnsi="Times New Roman"/>
          <w:i/>
          <w:noProof/>
          <w:sz w:val="24"/>
          <w:u w:val="single"/>
        </w:rPr>
        <w:t>tādu personu identificēšanai, kurām vajadzīga starptautiskā aizsardzība</w:t>
      </w:r>
      <w:r>
        <w:rPr>
          <w:rFonts w:ascii="Times New Roman" w:hAnsi="Times New Roman"/>
          <w:i/>
          <w:noProof/>
          <w:sz w:val="24"/>
        </w:rPr>
        <w:t xml:space="preserve"> vai kuras vēlas pieteikties šādai aizsardzībai, informācijas sniegšanai šādām personām un šādu personu </w:t>
      </w:r>
      <w:r>
        <w:rPr>
          <w:rFonts w:ascii="Times New Roman" w:hAnsi="Times New Roman"/>
          <w:i/>
          <w:noProof/>
          <w:sz w:val="24"/>
          <w:u w:val="single"/>
        </w:rPr>
        <w:t>nosūtīšanai</w:t>
      </w:r>
      <w:r>
        <w:rPr>
          <w:rFonts w:ascii="Times New Roman" w:hAnsi="Times New Roman"/>
          <w:noProof/>
          <w:sz w:val="24"/>
        </w:rPr>
        <w:t>”</w:t>
      </w:r>
      <w:r w:rsidRPr="00263099">
        <w:rPr>
          <w:rFonts w:ascii="Times New Roman" w:eastAsia="Times New Roman" w:hAnsi="Times New Roman" w:cs="Times New Roman"/>
          <w:i/>
          <w:noProof/>
          <w:sz w:val="24"/>
          <w:szCs w:val="24"/>
          <w:vertAlign w:val="superscript"/>
          <w:lang w:val="en-GB" w:eastAsia="en-GB"/>
        </w:rPr>
        <w:footnoteReference w:id="6"/>
      </w:r>
      <w:r>
        <w:rPr>
          <w:rFonts w:ascii="Times New Roman" w:hAnsi="Times New Roman"/>
          <w:i/>
          <w:noProof/>
          <w:sz w:val="24"/>
        </w:rPr>
        <w:t>.</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Politikas prioritātes</w:t>
      </w:r>
    </w:p>
    <w:p w:rsidR="00263099" w:rsidRPr="00127656" w:rsidRDefault="00263099" w:rsidP="00263099">
      <w:pPr>
        <w:spacing w:after="0" w:line="240" w:lineRule="auto"/>
        <w:jc w:val="both"/>
        <w:rPr>
          <w:rFonts w:ascii="Times New Roman" w:eastAsia="Times New Roman" w:hAnsi="Times New Roman" w:cs="Times New Roman"/>
          <w:i/>
          <w:noProof/>
          <w:sz w:val="24"/>
          <w:szCs w:val="24"/>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Robežkontrole, kuras pamatā ir riska analīze (robežpārbaudes robežšķērsošanas vietās un robežuzraudzība starp robežšķērsošanas vietām), </w:t>
      </w:r>
      <w:r>
        <w:rPr>
          <w:rFonts w:ascii="Times New Roman" w:hAnsi="Times New Roman"/>
          <w:b/>
          <w:noProof/>
          <w:sz w:val="24"/>
        </w:rPr>
        <w:t>ir Eiropas integrētās robežu pārvaldības pamatā</w:t>
      </w:r>
      <w:r>
        <w:rPr>
          <w:rFonts w:ascii="Times New Roman" w:hAnsi="Times New Roman"/>
          <w:noProof/>
          <w:sz w:val="24"/>
        </w:rPr>
        <w:t xml:space="preserve">. </w:t>
      </w:r>
      <w:r>
        <w:rPr>
          <w:rFonts w:ascii="Times New Roman" w:hAnsi="Times New Roman"/>
          <w:i/>
          <w:iCs/>
          <w:noProof/>
          <w:sz w:val="24"/>
        </w:rPr>
        <w:t>Frontex</w:t>
      </w:r>
      <w:r>
        <w:rPr>
          <w:rFonts w:ascii="Times New Roman" w:hAnsi="Times New Roman"/>
          <w:noProof/>
          <w:sz w:val="24"/>
        </w:rPr>
        <w:t xml:space="preserve"> un dalībvalstu robežu pārvaldības iestādēm, kas kopā veido Eiropas Robežu un krasta apsardzi, vajadzētu būt juridiskām, institucionālām, administratīvām un operacionālām spējām un nepieciešamajiem resursiem, lai varētu veikt efektīvu un rezultatīvu robežkontroli </w:t>
      </w:r>
      <w:r>
        <w:rPr>
          <w:rFonts w:ascii="Times New Roman" w:hAnsi="Times New Roman"/>
          <w:b/>
          <w:noProof/>
          <w:sz w:val="24"/>
        </w:rPr>
        <w:t>visos apstākļos</w:t>
      </w:r>
      <w:r>
        <w:rPr>
          <w:rFonts w:ascii="Times New Roman" w:hAnsi="Times New Roman"/>
          <w:noProof/>
          <w:sz w:val="24"/>
        </w:rPr>
        <w:t xml:space="preserve">. Lai stiprinātu ES iekšējo drošību un tās pilsoņu drošību, robežkontrole novērš ārējo robežu neatļautu šķērsošanu, ko veic neatbilstīgie migranti. Tā arī atvieglo </w:t>
      </w:r>
      <w:r>
        <w:rPr>
          <w:rFonts w:ascii="Times New Roman" w:hAnsi="Times New Roman"/>
          <w:b/>
          <w:noProof/>
          <w:sz w:val="24"/>
        </w:rPr>
        <w:t>cilvēku likumīgu robežšķērsošanu</w:t>
      </w:r>
      <w:r>
        <w:rPr>
          <w:rFonts w:ascii="Times New Roman" w:hAnsi="Times New Roman"/>
          <w:noProof/>
          <w:sz w:val="24"/>
        </w:rPr>
        <w:t xml:space="preserve"> un pārrobežu satiksmi. Vienlaikus robežkontrole palīdz novērst un apkarot dažādus pārrobežu noziedzības veidus. Robežkontrole būtu jāveic tā, lai tiktu ievērotas visu cilvēku tiesības neatkarīgi no tā, vai viņi meklē aizsardzību vai nē. Personām, kas meklē aizsardzību, ir jānodrošina piekļuve attiecīgajām procedūrām, bet pret izraidīšanu ir jāaizsargā arī personas, kas to nedara. Robežkontrole ietver arī pasākumus pierobežā attiecībā uz personām, kas ārējās robežas šķērsojušas ārpus robežšķērsošanas vietām (t. i., pārbaudes pasākumi saskaņā ar valsts tiesību aktiem vai pārbaudes posms saskaņā ar ES noteikumiem pēc to pieņemšanas).</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keepNext/>
        <w:spacing w:after="0" w:line="240" w:lineRule="auto"/>
        <w:jc w:val="both"/>
        <w:rPr>
          <w:rFonts w:ascii="Times New Roman" w:eastAsia="Times New Roman" w:hAnsi="Times New Roman" w:cs="Times New Roman"/>
          <w:noProof/>
          <w:sz w:val="24"/>
          <w:szCs w:val="24"/>
          <w:u w:val="single"/>
        </w:rPr>
      </w:pPr>
      <w:r>
        <w:rPr>
          <w:rFonts w:ascii="Times New Roman" w:hAnsi="Times New Roman"/>
          <w:noProof/>
          <w:sz w:val="24"/>
          <w:u w:val="single"/>
        </w:rPr>
        <w:t>Stratēģiskās vadlīnijas</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Dalībvalstīm vajadzētu būt juridiskām, strukturālām, administratīvām un tehniskām iespējām veikt </w:t>
      </w:r>
      <w:r>
        <w:rPr>
          <w:rFonts w:ascii="Times New Roman" w:hAnsi="Times New Roman"/>
          <w:b/>
          <w:noProof/>
          <w:sz w:val="24"/>
        </w:rPr>
        <w:t>robežpārbaudes</w:t>
      </w:r>
      <w:r>
        <w:rPr>
          <w:rFonts w:ascii="Times New Roman" w:hAnsi="Times New Roman"/>
          <w:noProof/>
          <w:sz w:val="24"/>
        </w:rPr>
        <w:t xml:space="preserve"> saskaņā ar Šengenas Robežu kodeksu</w:t>
      </w:r>
      <w:r w:rsidRPr="00263099">
        <w:rPr>
          <w:rFonts w:ascii="Times New Roman" w:eastAsia="Calibri" w:hAnsi="Times New Roman" w:cs="Times New Roman"/>
          <w:noProof/>
          <w:sz w:val="24"/>
          <w:szCs w:val="24"/>
          <w:vertAlign w:val="superscript"/>
          <w:lang w:val="en-GB"/>
        </w:rPr>
        <w:footnoteReference w:id="7"/>
      </w:r>
      <w:r>
        <w:rPr>
          <w:rFonts w:ascii="Times New Roman" w:hAnsi="Times New Roman"/>
          <w:noProof/>
          <w:sz w:val="24"/>
        </w:rPr>
        <w:t xml:space="preserve"> un atvieglot likumīgu robežšķērsošanu gan cilvēkiem, gan transportlīdzekļiem. Robežšķērsošanas vietu skaitam pie ārējām robežām būtu jāatspoguļo vajadzības attiecībās ar trešām valstīm, lai nodrošinātu, ka robežkontrole nav šķērslis tirdzniecībai, sociālajai un kultūras apmaiņai vai pārrobežu sadarbībai. Tomēr jāņem vērā arī pieejamās iespējas (resursi un infrastruktūra) un problēmu tendences (piemēram, migrantu instrumentalizācija).</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Dalībvalstīm robežšķērsošanas vietās būtu jāgarantē droša un brīva pasažieru un transportlīdzekļu robežšķērsošanas plūsma.</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Iepriekšēju informācijas vākšanu robežpārbaužu funkcijai (informācija pirms ierašanās kā robežpārbaužu funkcijas būtisks elements) būtu jāturpina pilnveidot, efektīvi izmantojot iepriekšējas pasažieru informācijas (IPI) sistēmu un pasažieru datu reģistra (PDR) datus.</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Būtu jāuzlabo un jāoptimizē </w:t>
      </w:r>
      <w:r>
        <w:rPr>
          <w:rFonts w:ascii="Times New Roman" w:hAnsi="Times New Roman"/>
          <w:b/>
          <w:noProof/>
          <w:sz w:val="24"/>
        </w:rPr>
        <w:t>robežpārbaužu procedūra</w:t>
      </w:r>
      <w:r>
        <w:rPr>
          <w:rFonts w:ascii="Times New Roman" w:hAnsi="Times New Roman"/>
          <w:noProof/>
          <w:sz w:val="24"/>
        </w:rPr>
        <w:t xml:space="preserve">, visaptveroši ieviešot jaunās un atjaunotās ES lielapjoma IT sistēmas (IIS, </w:t>
      </w:r>
      <w:r>
        <w:rPr>
          <w:rFonts w:ascii="Times New Roman" w:hAnsi="Times New Roman"/>
          <w:i/>
          <w:iCs/>
          <w:noProof/>
          <w:sz w:val="24"/>
        </w:rPr>
        <w:t>ETIAS</w:t>
      </w:r>
      <w:r>
        <w:rPr>
          <w:rFonts w:ascii="Times New Roman" w:hAnsi="Times New Roman"/>
          <w:noProof/>
          <w:sz w:val="24"/>
        </w:rPr>
        <w:t xml:space="preserve">, VIS, </w:t>
      </w:r>
      <w:r>
        <w:rPr>
          <w:rFonts w:ascii="Times New Roman" w:hAnsi="Times New Roman"/>
          <w:i/>
          <w:iCs/>
          <w:noProof/>
          <w:sz w:val="24"/>
        </w:rPr>
        <w:t>Eurodac</w:t>
      </w:r>
      <w:r>
        <w:rPr>
          <w:rFonts w:ascii="Times New Roman" w:hAnsi="Times New Roman"/>
          <w:noProof/>
          <w:sz w:val="24"/>
        </w:rPr>
        <w:t xml:space="preserve"> un </w:t>
      </w:r>
      <w:r>
        <w:rPr>
          <w:rFonts w:ascii="Times New Roman" w:hAnsi="Times New Roman"/>
          <w:i/>
          <w:iCs/>
          <w:noProof/>
          <w:sz w:val="24"/>
        </w:rPr>
        <w:t>SIS</w:t>
      </w:r>
      <w:r>
        <w:rPr>
          <w:rFonts w:ascii="Times New Roman" w:hAnsi="Times New Roman"/>
          <w:noProof/>
          <w:sz w:val="24"/>
        </w:rPr>
        <w:t>) un to sadarbspēju. Tas palielinās robežpārbaudes vajadzībām pieejamās informācijas apjomu un kvalitāti. Turklāt robežšķērsošanu varētu vēl vairāk uzlabot, nākotnē potenciāli digitalizējot ceļošanas dokumentus.</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Lai garantētu augstu spēju veikt nepieciešamos pasākumus ES un valstu līmenī, visos līmeņos būtu jāuztur uzticama un visaptveroša </w:t>
      </w:r>
      <w:r>
        <w:rPr>
          <w:rFonts w:ascii="Times New Roman" w:hAnsi="Times New Roman"/>
          <w:b/>
          <w:noProof/>
          <w:sz w:val="24"/>
        </w:rPr>
        <w:t>situācijas apzināšanās</w:t>
      </w:r>
      <w:r>
        <w:rPr>
          <w:rFonts w:ascii="Times New Roman" w:hAnsi="Times New Roman"/>
          <w:noProof/>
          <w:sz w:val="24"/>
        </w:rPr>
        <w:t xml:space="preserve"> par situāciju uz robežām. Būtu jāuztur visaptverošs gandrīz reāllaika </w:t>
      </w:r>
      <w:r>
        <w:rPr>
          <w:rFonts w:ascii="Times New Roman" w:hAnsi="Times New Roman"/>
          <w:b/>
          <w:noProof/>
          <w:sz w:val="24"/>
        </w:rPr>
        <w:t>Eiropas</w:t>
      </w:r>
      <w:r>
        <w:rPr>
          <w:rFonts w:ascii="Times New Roman" w:hAnsi="Times New Roman"/>
          <w:noProof/>
          <w:sz w:val="24"/>
        </w:rPr>
        <w:t xml:space="preserve"> </w:t>
      </w:r>
      <w:r>
        <w:rPr>
          <w:rFonts w:ascii="Times New Roman" w:hAnsi="Times New Roman"/>
          <w:b/>
          <w:noProof/>
          <w:sz w:val="24"/>
        </w:rPr>
        <w:t>situācijas attēls</w:t>
      </w:r>
      <w:r>
        <w:rPr>
          <w:rFonts w:ascii="Times New Roman" w:hAnsi="Times New Roman"/>
          <w:noProof/>
          <w:sz w:val="24"/>
        </w:rPr>
        <w:t>, tas jākopīgo un to jāturpina attīstīt ES un valstu līmenī saskaņā ar tiesisko regulējumu un operacionālajām vajadzībām.</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Atbilstošu </w:t>
      </w:r>
      <w:r>
        <w:rPr>
          <w:rFonts w:ascii="Times New Roman" w:hAnsi="Times New Roman"/>
          <w:b/>
          <w:noProof/>
          <w:sz w:val="24"/>
        </w:rPr>
        <w:t>reaģēšanas spēju</w:t>
      </w:r>
      <w:r>
        <w:rPr>
          <w:rFonts w:ascii="Times New Roman" w:hAnsi="Times New Roman"/>
          <w:noProof/>
          <w:sz w:val="24"/>
        </w:rPr>
        <w:t xml:space="preserve"> pamatā vajadzētu būt nepārtrauktai situācijas apzināšanai (visu diennakti un 7 dienas nedēļā), kas dotu iespēju pienācīgi reaģēt uz visiem robežincidentiem, neparedzamām izmaiņām pie ārējām robežām un liela mēroga neatbilstīgas imigrācijas situācijām; šīs spējas būtu jānodrošina visos apstākļos ES un valstu līmenī. Būtu jāpilnveido valstu un ES spējas, lai vajadzības gadījumā varētu ātri pastiprināt robežkontroli visās robežšķērsošanas vietās un ārējo robežu posmos. Reaģēšanas spējas un </w:t>
      </w:r>
      <w:r>
        <w:rPr>
          <w:rFonts w:ascii="Times New Roman" w:hAnsi="Times New Roman"/>
          <w:b/>
          <w:noProof/>
          <w:sz w:val="24"/>
        </w:rPr>
        <w:t>ārkārtas rīcības plāni</w:t>
      </w:r>
      <w:r>
        <w:rPr>
          <w:rFonts w:ascii="Times New Roman" w:hAnsi="Times New Roman"/>
          <w:noProof/>
          <w:sz w:val="24"/>
        </w:rPr>
        <w:t xml:space="preserve"> būtu regulāri jāpārbauda un jāpilnveido, jo īpaši tad, ja notiek migrantu instrumentalizācija.</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Uz riska analīzi balstītai integrētai </w:t>
      </w:r>
      <w:r>
        <w:rPr>
          <w:rFonts w:ascii="Times New Roman" w:hAnsi="Times New Roman"/>
          <w:b/>
          <w:noProof/>
          <w:sz w:val="24"/>
        </w:rPr>
        <w:t>robežuzraudzības sistēmai</w:t>
      </w:r>
      <w:r>
        <w:rPr>
          <w:rFonts w:ascii="Times New Roman" w:hAnsi="Times New Roman"/>
          <w:noProof/>
          <w:sz w:val="24"/>
        </w:rPr>
        <w:t xml:space="preserve"> būtu jānodrošina stabilas (organizatoriskās, administratīvās un tehniskās) spējas un pastāvīga gatavība. Tas vajadzīgs, lai novērstu un atklātu neatļautas robežšķērsošanas gadījumus, aizturētu personas un pārtvertu transportlīdzekļus, piemēram, kuģus, kas nelikumīgi šķērsojuši robežu, cīnītos pret pārrobežu noziedzību, piemēram, kontrabandu, cilvēku tirdzniecību un terorismu, kā arī reaģētu uz hibrīddraudiem.</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Uzraudzības pasākumiem katrā ārējās robežas posmā vajadzētu būt samērīgiem ar tam piešķirto ietekmes līmeni — šajā sakarā jāizmanto integrētās uzraudzības sistēmas, mobilais aprīkojums un mobilās patruļas (vienības), kā arī riska analīzes rezultāti. Ietekmes līmeņi būtu jānosaka visā ES saskaņotā veidā.</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Ārējā robeža būtu jāuzrauga nepārtraukti (visu diennakti un 7 dienas nedēļā). Pie robežām un pierobežas zonās būtu jāveic uzraudzības pasākumi, izmantojot dažādus instrumentus, lai izveidotu agrīnās brīdināšanas mehānismu, apmainītos ar praktiski izmantojamu informāciju un uzlabotu reaģēšanas spējas.</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noProof/>
          <w:sz w:val="24"/>
          <w:szCs w:val="24"/>
        </w:rPr>
      </w:pPr>
      <w:r>
        <w:rPr>
          <w:rFonts w:ascii="Times New Roman" w:hAnsi="Times New Roman"/>
          <w:b/>
          <w:noProof/>
          <w:sz w:val="24"/>
        </w:rPr>
        <w:t>Valstu integrētās uzraudzības sistēmas būtu jāatbalsta ar kopīgām un sadarbspējīgām Eiropas uzraudzības spējām</w:t>
      </w:r>
      <w:r>
        <w:rPr>
          <w:rFonts w:ascii="Times New Roman" w:hAnsi="Times New Roman"/>
          <w:noProof/>
          <w:sz w:val="24"/>
        </w:rPr>
        <w:t xml:space="preserve">. Robežuzraudzība (arī pierobežas zonās) būtu jāorganizē saskaņā ar ERKA regulu un Šengenas Robežu kodeksu. Ja valsts līmenī robežuzraudzībā ir iesaistīti vairāki dienesti, attiecīgajām dalībvalstīm būtu jānosaka kompetentā valsts iestāde, kas atbild par vispārējo pārraudzību, un vajadzīgie vadības, sadarbības un koordinācijas mehānismi, kā arī jānodrošina, ka dažādu struktūru un aģentūru pienākumi ir reglamentēti ar tiesību aktiem vai sadarbības nolīgumiem. Dažādām iestādēm piešķirtās valsts uzraudzības spējas būtu jāizmanto saskaņā ar ERKA regulu un atjaunināto </w:t>
      </w:r>
      <w:r>
        <w:rPr>
          <w:rFonts w:ascii="Times New Roman" w:hAnsi="Times New Roman"/>
          <w:i/>
          <w:iCs/>
          <w:noProof/>
          <w:sz w:val="24"/>
        </w:rPr>
        <w:t>EUROSUR</w:t>
      </w:r>
      <w:r>
        <w:rPr>
          <w:rFonts w:ascii="Times New Roman" w:hAnsi="Times New Roman"/>
          <w:noProof/>
          <w:sz w:val="24"/>
        </w:rPr>
        <w:t xml:space="preserve"> rokasgrāmatu.</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Ar ES un valstu līmenī dažādu iestāžu savāktajiem datiem (ja nepieciešams — citu dalībvalstu iestāžu vajadzībām) būtu jāapmainās ar attiecīgo nacionālo koordinācijas centru starpniecību.</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Ar </w:t>
      </w:r>
      <w:r>
        <w:rPr>
          <w:rFonts w:ascii="Times New Roman" w:hAnsi="Times New Roman"/>
          <w:b/>
          <w:noProof/>
          <w:sz w:val="24"/>
        </w:rPr>
        <w:t>jūras robežuzraudzības</w:t>
      </w:r>
      <w:r>
        <w:rPr>
          <w:rFonts w:ascii="Times New Roman" w:hAnsi="Times New Roman"/>
          <w:noProof/>
          <w:sz w:val="24"/>
        </w:rPr>
        <w:t xml:space="preserve"> sistēmu ir jāspēj atklāt, identificēt un vajadzības gadījumā izsekot un pārtvert visus kuģus, kas iebrauc teritoriālajos ūdeņos, un palīdzēt nodrošināt aizsardzību un glābt dzīvības jūrā jebkuros laikapstākļos. Dalībvalstīm pēc iespējas labāk būtu jāizmanto aģentūras piedāvātās uzraudzības spējas, lai palielinātu un uzlabotu valsts spējas un vispārējo situācijas apzināšanos.</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Ar </w:t>
      </w:r>
      <w:r>
        <w:rPr>
          <w:rFonts w:ascii="Times New Roman" w:hAnsi="Times New Roman"/>
          <w:b/>
          <w:noProof/>
          <w:sz w:val="24"/>
        </w:rPr>
        <w:t>sauszemes robežuzraudzības</w:t>
      </w:r>
      <w:r>
        <w:rPr>
          <w:rFonts w:ascii="Times New Roman" w:hAnsi="Times New Roman"/>
          <w:noProof/>
          <w:sz w:val="24"/>
        </w:rPr>
        <w:t xml:space="preserve"> sistēmu ir jāspēj jebkuros apstākļos atklāt jebkādus neatļautas robežšķērsošanas gadījumus un aizturēt personas, kas nelikumīgi šķērso robežu augsta riska zonās. Sauszemes robežuzraudzības sistēmas varētu ietvert dronus un kustības sensorus, kā arī mobilās vienības. Šādu tehnisku līdzekļu, jo īpaši jebkādu tehnoloģiju, ar kurām var vākt persondatus, izmantošanai ir jābūt pamatotai ar skaidri definētiem ES un valsts tiesību aktu noteikumiem, tai skaitā par persondatu aizsardzību, un tā ir jāizmanto saskaņā ar šādiem noteikumiem.</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Robežuzraudzība būtu jāpapildina ar to personu </w:t>
      </w:r>
      <w:r>
        <w:rPr>
          <w:rFonts w:ascii="Times New Roman" w:hAnsi="Times New Roman"/>
          <w:b/>
          <w:noProof/>
          <w:sz w:val="24"/>
        </w:rPr>
        <w:t>pārbaudi</w:t>
      </w:r>
      <w:r>
        <w:rPr>
          <w:rFonts w:ascii="Times New Roman" w:hAnsi="Times New Roman"/>
          <w:noProof/>
          <w:sz w:val="24"/>
        </w:rPr>
        <w:t>, kuras ir šķērsojušas ārējo robežu bez robežpārbaudēm. Pārbaudes mērķis ir identificēt personas, veikt drošības un veselības pārbaudes un novirzīt pārbaudāmās personas attiecīgo procedūru veikšanai.</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i/>
          <w:noProof/>
          <w:sz w:val="24"/>
          <w:szCs w:val="24"/>
        </w:rPr>
      </w:pPr>
      <w:r>
        <w:rPr>
          <w:rFonts w:ascii="Times New Roman" w:hAnsi="Times New Roman"/>
          <w:noProof/>
          <w:sz w:val="24"/>
        </w:rPr>
        <w:t xml:space="preserve">ES un valstu līmenī būtu jāstiprina spēja </w:t>
      </w:r>
      <w:r>
        <w:rPr>
          <w:rFonts w:ascii="Times New Roman" w:hAnsi="Times New Roman"/>
          <w:b/>
          <w:noProof/>
          <w:sz w:val="24"/>
        </w:rPr>
        <w:t>apkarot pārrobežu noziedzību un terorismu</w:t>
      </w:r>
      <w:r>
        <w:rPr>
          <w:rFonts w:ascii="Times New Roman" w:hAnsi="Times New Roman"/>
          <w:noProof/>
          <w:sz w:val="24"/>
        </w:rPr>
        <w:t xml:space="preserve"> pie ārējām robežām. Tādējādi kompetentās robežkontroles iestādes sadarbībā ar citām attiecīgajām tiesībaizsardzības iestādēm var palīdzēt atklāt un novērst pārrobežu noziedzību pie ārējām robežām, jo īpaši atklāt ārvalstu teroristu kaujiniekus vai pārrobežu noziedzīgu nodarījumu izdarītājus, piemēram, kontrabandistus.</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i/>
          <w:noProof/>
          <w:sz w:val="24"/>
          <w:szCs w:val="24"/>
        </w:rPr>
      </w:pPr>
      <w:r>
        <w:rPr>
          <w:rFonts w:ascii="Times New Roman" w:hAnsi="Times New Roman"/>
          <w:noProof/>
          <w:sz w:val="24"/>
        </w:rPr>
        <w:t>Robežsargiem vajadzētu būt arī gataviem identificēt un sniegt pirmo palīdzību noziegumos cietušajiem, jo īpaši cilvēku tirdzniecības upuriem, un novirzīt viņus uz attiecīgajiem dienestiem.</w:t>
      </w:r>
    </w:p>
    <w:p w:rsidR="00263099" w:rsidRPr="00E86DA7" w:rsidRDefault="00263099" w:rsidP="00263099">
      <w:pPr>
        <w:numPr>
          <w:ilvl w:val="0"/>
          <w:numId w:val="2"/>
        </w:numPr>
        <w:spacing w:after="200" w:line="276" w:lineRule="auto"/>
        <w:contextualSpacing/>
        <w:jc w:val="both"/>
        <w:rPr>
          <w:rFonts w:ascii="Times New Roman" w:eastAsia="Calibri" w:hAnsi="Times New Roman" w:cs="Times New Roman"/>
          <w:i/>
          <w:noProof/>
          <w:sz w:val="24"/>
          <w:szCs w:val="24"/>
        </w:rPr>
      </w:pPr>
      <w:r>
        <w:rPr>
          <w:rFonts w:ascii="Times New Roman" w:hAnsi="Times New Roman"/>
          <w:noProof/>
          <w:sz w:val="24"/>
        </w:rPr>
        <w:t xml:space="preserve">Robežsargiem vajadzētu būt pietiekamai kapacitātei un ieviestiem mehānismiem un procedūrām, lai identificētu mazāk aizsargātas personas un nepavadītus nepilngadīgos, kā arī lai identificētu personas, kurām ir nepieciešama starptautiskā aizsardzība vai kuras vēlas pieteikties šādai aizsardzībai, lai šīs personas varētu novirzīt attiecīgo procedūru veikšanai un pie attiecīgajām iestādēm. </w:t>
      </w:r>
    </w:p>
    <w:p w:rsidR="00E86DA7" w:rsidRPr="00127656" w:rsidRDefault="00E86DA7" w:rsidP="00E86DA7">
      <w:pPr>
        <w:spacing w:after="200" w:line="276" w:lineRule="auto"/>
        <w:ind w:left="360"/>
        <w:contextualSpacing/>
        <w:jc w:val="both"/>
        <w:rPr>
          <w:rFonts w:ascii="Times New Roman" w:eastAsia="Calibri" w:hAnsi="Times New Roman" w:cs="Times New Roman"/>
          <w:i/>
          <w:noProof/>
          <w:sz w:val="24"/>
          <w:szCs w:val="24"/>
        </w:rPr>
      </w:pPr>
    </w:p>
    <w:p w:rsidR="00263099" w:rsidRPr="00263099" w:rsidRDefault="00263099" w:rsidP="00263099">
      <w:pPr>
        <w:pBdr>
          <w:top w:val="single" w:sz="4" w:space="0" w:color="auto"/>
          <w:left w:val="single" w:sz="4" w:space="4" w:color="auto"/>
          <w:bottom w:val="single" w:sz="4" w:space="1" w:color="auto"/>
          <w:right w:val="single" w:sz="4" w:space="4" w:color="auto"/>
        </w:pBdr>
        <w:shd w:val="clear" w:color="auto" w:fill="DAEEF3"/>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 xml:space="preserve">2. sastāvdaļa: </w:t>
      </w:r>
      <w:r>
        <w:rPr>
          <w:rFonts w:ascii="Times New Roman" w:hAnsi="Times New Roman"/>
          <w:noProof/>
          <w:sz w:val="24"/>
        </w:rPr>
        <w:t>“</w:t>
      </w:r>
      <w:r>
        <w:rPr>
          <w:rFonts w:ascii="Times New Roman" w:hAnsi="Times New Roman"/>
          <w:i/>
          <w:noProof/>
          <w:sz w:val="24"/>
        </w:rPr>
        <w:t xml:space="preserve">tādu personu </w:t>
      </w:r>
      <w:r>
        <w:rPr>
          <w:rFonts w:ascii="Times New Roman" w:hAnsi="Times New Roman"/>
          <w:i/>
          <w:noProof/>
          <w:sz w:val="24"/>
          <w:u w:val="single"/>
        </w:rPr>
        <w:t>meklēšanas un glābšanas</w:t>
      </w:r>
      <w:r>
        <w:rPr>
          <w:rFonts w:ascii="Times New Roman" w:hAnsi="Times New Roman"/>
          <w:i/>
          <w:noProof/>
          <w:sz w:val="24"/>
        </w:rPr>
        <w:t xml:space="preserve"> operācijas, kuras jūrā atrodas briesmās, ko saskaņā ar Regulu (ES) Nr. 656/2014 un starptautiskajām tiesībām uzsāk un veic situācijās, kādas var rasties jūras robežuzraudzības operāciju laikā</w:t>
      </w:r>
      <w:r>
        <w:rPr>
          <w:rFonts w:ascii="Times New Roman" w:hAnsi="Times New Roman"/>
          <w:noProof/>
          <w:sz w:val="24"/>
        </w:rPr>
        <w:t>”</w:t>
      </w:r>
      <w:r w:rsidRPr="00263099">
        <w:rPr>
          <w:rFonts w:ascii="Times New Roman" w:eastAsia="Times New Roman" w:hAnsi="Times New Roman" w:cs="Times New Roman"/>
          <w:b/>
          <w:i/>
          <w:noProof/>
          <w:sz w:val="24"/>
          <w:szCs w:val="24"/>
          <w:vertAlign w:val="superscript"/>
          <w:lang w:val="en-GB" w:eastAsia="en-GB"/>
        </w:rPr>
        <w:footnoteReference w:id="8"/>
      </w:r>
      <w:r>
        <w:rPr>
          <w:rFonts w:ascii="Times New Roman" w:hAnsi="Times New Roman"/>
          <w:noProof/>
          <w:sz w:val="24"/>
        </w:rPr>
        <w:t>.</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Politikas prioritātes</w:t>
      </w: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Cilvēku dzīvības aizsardzība un glābšana pie ārējām robežām ir viena no galvenajām Eiropas integrētās robežu pārvaldības prioritātēm. Spējām un operatīvajai gatavībai veikt meklēšanas un glābšanas operācijas, kā arī visu iesaistīto pušu sadarbībai vajadzētu būt svarīgai un neatņemamai jūras robežuzraudzības operāciju pie ārējām jūras robežām sastāvdaļai.</w:t>
      </w:r>
    </w:p>
    <w:p w:rsidR="00263099" w:rsidRPr="00127656" w:rsidRDefault="00263099" w:rsidP="00263099">
      <w:pPr>
        <w:spacing w:after="0" w:line="240" w:lineRule="auto"/>
        <w:jc w:val="both"/>
        <w:rPr>
          <w:rFonts w:ascii="Times New Roman" w:eastAsia="Times New Roman" w:hAnsi="Times New Roman" w:cs="Times New Roman"/>
          <w:noProof/>
          <w:sz w:val="24"/>
          <w:szCs w:val="24"/>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Stratēģiskās vadlīnijas</w:t>
      </w:r>
    </w:p>
    <w:p w:rsidR="00263099" w:rsidRPr="00263099" w:rsidRDefault="00263099" w:rsidP="00263099">
      <w:pPr>
        <w:numPr>
          <w:ilvl w:val="0"/>
          <w:numId w:val="3"/>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Būtu jāpastiprina sadarbība starp dalībvalstu meklēšanas un glābšanas iestādēm, kā arī ar citām meklēšanas un glābšanas operācijās potenciāli iesaistītajām iestādēm, izmantojot arī Eiropas meklēšanas un glābšanas kontaktgrupu. Tas tiek darīts, lai samazinātu bojāgājušo skaitu jūrā, saglabātu kuģošanas drošību un nodrošinātu efektīvu migrācijas pārvaldību saskaņā ar attiecīgajām juridiskajām saistībām un Komisijas Ieteikumu (ES) 2020/1365</w:t>
      </w:r>
      <w:r w:rsidRPr="00263099">
        <w:rPr>
          <w:rFonts w:ascii="Times New Roman" w:eastAsia="Calibri" w:hAnsi="Times New Roman" w:cs="Times New Roman"/>
          <w:noProof/>
          <w:sz w:val="24"/>
          <w:szCs w:val="24"/>
          <w:vertAlign w:val="superscript"/>
          <w:lang w:val="en-GB"/>
        </w:rPr>
        <w:footnoteReference w:id="9"/>
      </w:r>
      <w:r>
        <w:rPr>
          <w:rFonts w:ascii="Times New Roman" w:hAnsi="Times New Roman"/>
          <w:noProof/>
          <w:sz w:val="24"/>
        </w:rPr>
        <w:t>.</w:t>
      </w:r>
    </w:p>
    <w:p w:rsidR="00263099" w:rsidRPr="00263099" w:rsidRDefault="00263099" w:rsidP="00263099">
      <w:pPr>
        <w:numPr>
          <w:ilvl w:val="0"/>
          <w:numId w:val="3"/>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Aģentūrai un dalībvalstīm visos jūras robežuzraudzības operacionālās plānošanas un īstenošanas posmos būtu pilnībā jāņem vērā dalībvalstu atbildība meklēšanas un glābšanas jomā. Būtu jāizveido un regulāri jāpārbauda standartizēta kārtība un standarta darbības procedūras darbā ar dalībvalstu meklēšanas un glābšanas iestādēm (Glābšanas jūrā koordinācijas centrs), nacionālo koordinācijas centru (NKC) un starptautisko koordinācijas centru. Visām patruļām un tehniskajiem darbiniekiem, kas piedalās jūras robežuzraudzībā, tai skaitā </w:t>
      </w:r>
      <w:r>
        <w:rPr>
          <w:rFonts w:ascii="Times New Roman" w:hAnsi="Times New Roman"/>
          <w:i/>
          <w:iCs/>
          <w:noProof/>
          <w:sz w:val="24"/>
        </w:rPr>
        <w:t>Frontex</w:t>
      </w:r>
      <w:r>
        <w:rPr>
          <w:rFonts w:ascii="Times New Roman" w:hAnsi="Times New Roman"/>
          <w:noProof/>
          <w:sz w:val="24"/>
        </w:rPr>
        <w:t xml:space="preserve"> koordinētajās kopīgajās operācijās vai ātrās reaģēšanas robežapsardzes pasākumos jūrā, vajadzētu būt pienācīgi apmācītiem un pienācīgi aprīkotiem, lai veiktu iespējamas meklēšanas un glābšanas operācijas, tai skaitā jāspēj vajadzības gadījumā darboties kā koordinatoriem notikuma vietā.</w:t>
      </w:r>
    </w:p>
    <w:p w:rsidR="00263099" w:rsidRPr="00263099" w:rsidRDefault="00263099" w:rsidP="00263099">
      <w:pPr>
        <w:numPr>
          <w:ilvl w:val="0"/>
          <w:numId w:val="3"/>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Spējas atbalstīt meklēšanas un glābšanas operācijas būtu vēl vairāk jāuzlabo, nodrošinot nepieciešamo apmācību personālam, kas piedalās jūras robežuzraudzības operācijās ES un valstu līmenī. Aģentūrai būtu jāsniedz lielāks operacionālais un tehniskais atbalsts saskaņā ar ES kompetenci un jāizvieto dalībvalstīs jūras resursi, lai uzlabotu to spējas un tādējādi palīdzētu glābt cilvēku dzīvības jūrā.</w:t>
      </w:r>
    </w:p>
    <w:p w:rsidR="00263099" w:rsidRPr="00263099" w:rsidRDefault="00263099" w:rsidP="00263099">
      <w:pPr>
        <w:numPr>
          <w:ilvl w:val="0"/>
          <w:numId w:val="3"/>
        </w:numPr>
        <w:spacing w:after="200" w:line="276" w:lineRule="auto"/>
        <w:contextualSpacing/>
        <w:jc w:val="both"/>
        <w:rPr>
          <w:rFonts w:ascii="Times New Roman" w:eastAsia="Calibri" w:hAnsi="Times New Roman" w:cs="Times New Roman"/>
          <w:noProof/>
          <w:sz w:val="24"/>
          <w:szCs w:val="24"/>
        </w:rPr>
      </w:pPr>
      <w:r>
        <w:rPr>
          <w:rFonts w:ascii="Times New Roman" w:hAnsi="Times New Roman"/>
          <w:i/>
          <w:iCs/>
          <w:noProof/>
          <w:sz w:val="24"/>
        </w:rPr>
        <w:t>EUROSUR</w:t>
      </w:r>
      <w:r>
        <w:rPr>
          <w:rFonts w:ascii="Times New Roman" w:hAnsi="Times New Roman"/>
          <w:noProof/>
          <w:sz w:val="24"/>
        </w:rPr>
        <w:t xml:space="preserve"> spēja atbalstīt meklēšanas un glābšanas operācijas un glābt dzīvības jūrā situācijās, kas var rasties, veicot jūras robežuzraudzības operācijas, būtu jāīsteno pilnībā un jāpiemēro saskaņā ar ERKA regulu un Komisijas Īstenošanas regulu (ES) 2021/581</w:t>
      </w:r>
      <w:r w:rsidRPr="00263099">
        <w:rPr>
          <w:rFonts w:ascii="Times New Roman" w:eastAsia="Calibri" w:hAnsi="Times New Roman" w:cs="Times New Roman"/>
          <w:noProof/>
          <w:sz w:val="24"/>
          <w:szCs w:val="24"/>
          <w:vertAlign w:val="superscript"/>
          <w:lang w:val="en-GB"/>
        </w:rPr>
        <w:footnoteReference w:id="10"/>
      </w:r>
      <w:r>
        <w:rPr>
          <w:rFonts w:ascii="Times New Roman" w:hAnsi="Times New Roman"/>
          <w:noProof/>
          <w:sz w:val="24"/>
        </w:rPr>
        <w:t>.</w:t>
      </w:r>
    </w:p>
    <w:p w:rsidR="00263099" w:rsidRPr="00127656" w:rsidRDefault="00263099" w:rsidP="00263099">
      <w:pPr>
        <w:spacing w:after="200" w:line="276" w:lineRule="auto"/>
        <w:ind w:left="360"/>
        <w:contextualSpacing/>
        <w:jc w:val="both"/>
        <w:rPr>
          <w:rFonts w:ascii="Times New Roman" w:eastAsia="Calibri" w:hAnsi="Times New Roman" w:cs="Times New Roman"/>
          <w:noProof/>
          <w:sz w:val="24"/>
          <w:szCs w:val="24"/>
        </w:rPr>
      </w:pPr>
    </w:p>
    <w:p w:rsidR="00263099" w:rsidRPr="00263099" w:rsidRDefault="00263099" w:rsidP="00263099">
      <w:pPr>
        <w:pBdr>
          <w:top w:val="single" w:sz="4" w:space="1" w:color="auto"/>
          <w:left w:val="single" w:sz="4" w:space="4" w:color="auto"/>
          <w:bottom w:val="single" w:sz="4" w:space="1" w:color="auto"/>
          <w:right w:val="single" w:sz="4" w:space="4" w:color="auto"/>
        </w:pBdr>
        <w:shd w:val="clear" w:color="auto" w:fill="DAEEF3"/>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3. sastāvdaļa</w:t>
      </w:r>
      <w:r>
        <w:rPr>
          <w:rFonts w:ascii="Times New Roman" w:hAnsi="Times New Roman"/>
          <w:noProof/>
          <w:sz w:val="24"/>
        </w:rPr>
        <w:t>: “</w:t>
      </w:r>
      <w:r>
        <w:rPr>
          <w:rFonts w:ascii="Times New Roman" w:hAnsi="Times New Roman"/>
          <w:i/>
          <w:noProof/>
          <w:sz w:val="24"/>
        </w:rPr>
        <w:t xml:space="preserve">iekšējās drošības </w:t>
      </w:r>
      <w:r>
        <w:rPr>
          <w:rFonts w:ascii="Times New Roman" w:hAnsi="Times New Roman"/>
          <w:i/>
          <w:noProof/>
          <w:sz w:val="24"/>
          <w:u w:val="single"/>
        </w:rPr>
        <w:t>risku analīze</w:t>
      </w:r>
      <w:r>
        <w:rPr>
          <w:rFonts w:ascii="Times New Roman" w:hAnsi="Times New Roman"/>
          <w:i/>
          <w:noProof/>
          <w:sz w:val="24"/>
        </w:rPr>
        <w:t xml:space="preserve"> un to apdraudējumu analīze, kuri var iespaidot ārējo robežu darbību vai drošību</w:t>
      </w:r>
      <w:r>
        <w:rPr>
          <w:rFonts w:ascii="Times New Roman" w:hAnsi="Times New Roman"/>
          <w:noProof/>
          <w:sz w:val="24"/>
        </w:rPr>
        <w:t>”</w:t>
      </w:r>
      <w:r w:rsidRPr="00263099">
        <w:rPr>
          <w:rFonts w:ascii="Times New Roman" w:eastAsia="Times New Roman" w:hAnsi="Times New Roman" w:cs="Times New Roman"/>
          <w:i/>
          <w:noProof/>
          <w:sz w:val="24"/>
          <w:szCs w:val="24"/>
          <w:vertAlign w:val="superscript"/>
          <w:lang w:val="en-GB" w:eastAsia="en-GB"/>
        </w:rPr>
        <w:footnoteReference w:id="11"/>
      </w:r>
      <w:r>
        <w:rPr>
          <w:rFonts w:ascii="Times New Roman" w:hAnsi="Times New Roman"/>
          <w:noProof/>
          <w:sz w:val="24"/>
        </w:rPr>
        <w:t>.</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Politikas prioritātes</w:t>
      </w:r>
    </w:p>
    <w:p w:rsidR="00263099" w:rsidRPr="00263099" w:rsidRDefault="00263099" w:rsidP="00263099">
      <w:pPr>
        <w:widowControl w:val="0"/>
        <w:autoSpaceDE w:val="0"/>
        <w:autoSpaceDN w:val="0"/>
        <w:adjustRightInd w:val="0"/>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Eiropas integrētajai robežu pārvaldībai būtu jābalstās uz riska analīzi. ES un valstu līmenī vajadzētu būt pieejamai ticamai, visaptverošai un integrētai riska analīzei, ko var izmantot politiskajā, stratēģiskajā un operacionālajā plānošanā un lēmumu pieņemšanā. Riska analīzei būtu jāsniedz analītiski konstatējumi un ieteikumi konkrētām koncepcijām un darbībām (juridiskām, tehniskām, operacionālām), lai savlaicīgi mazinātu pašreizējos un iespējamos riskus un neaizsargātības aspektus, aptverot visu integrētās robežu pārvaldības tvērumu ES un valstu līmenī.</w:t>
      </w:r>
    </w:p>
    <w:p w:rsidR="00263099" w:rsidRPr="00127656" w:rsidRDefault="00263099" w:rsidP="00263099">
      <w:pPr>
        <w:widowControl w:val="0"/>
        <w:autoSpaceDE w:val="0"/>
        <w:autoSpaceDN w:val="0"/>
        <w:adjustRightInd w:val="0"/>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widowControl w:val="0"/>
        <w:autoSpaceDE w:val="0"/>
        <w:autoSpaceDN w:val="0"/>
        <w:adjustRightInd w:val="0"/>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Stratēģiskās vadlīnijas</w:t>
      </w:r>
    </w:p>
    <w:p w:rsidR="00263099" w:rsidRPr="00263099" w:rsidRDefault="00263099" w:rsidP="00263099">
      <w:pPr>
        <w:widowControl w:val="0"/>
        <w:autoSpaceDE w:val="0"/>
        <w:autoSpaceDN w:val="0"/>
        <w:adjustRightInd w:val="0"/>
        <w:spacing w:after="200" w:line="276" w:lineRule="auto"/>
        <w:ind w:left="360"/>
        <w:contextualSpacing/>
        <w:jc w:val="both"/>
        <w:rPr>
          <w:rFonts w:ascii="Times New Roman" w:eastAsia="Calibri" w:hAnsi="Times New Roman" w:cs="Times New Roman"/>
          <w:noProof/>
          <w:sz w:val="24"/>
          <w:szCs w:val="24"/>
          <w:lang w:val="en-GB"/>
        </w:rPr>
      </w:pPr>
    </w:p>
    <w:p w:rsidR="00263099" w:rsidRPr="00263099" w:rsidRDefault="00263099" w:rsidP="00263099">
      <w:pPr>
        <w:widowControl w:val="0"/>
        <w:numPr>
          <w:ilvl w:val="0"/>
          <w:numId w:val="4"/>
        </w:numPr>
        <w:autoSpaceDE w:val="0"/>
        <w:autoSpaceDN w:val="0"/>
        <w:adjustRightInd w:val="0"/>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ES un valstu līmenī ir regulāri jāatjaunina </w:t>
      </w:r>
      <w:r>
        <w:rPr>
          <w:rFonts w:ascii="Times New Roman" w:hAnsi="Times New Roman"/>
          <w:i/>
          <w:iCs/>
          <w:noProof/>
          <w:sz w:val="24"/>
        </w:rPr>
        <w:t>Frontex</w:t>
      </w:r>
      <w:r>
        <w:rPr>
          <w:rFonts w:ascii="Times New Roman" w:hAnsi="Times New Roman"/>
          <w:noProof/>
          <w:sz w:val="24"/>
        </w:rPr>
        <w:t xml:space="preserve"> valdes pieņemtais</w:t>
      </w:r>
      <w:r w:rsidRPr="00263099">
        <w:rPr>
          <w:rFonts w:ascii="Times New Roman" w:eastAsia="Calibri" w:hAnsi="Times New Roman" w:cs="Times New Roman"/>
          <w:noProof/>
          <w:sz w:val="24"/>
          <w:szCs w:val="24"/>
          <w:vertAlign w:val="superscript"/>
          <w:lang w:val="en-GB"/>
        </w:rPr>
        <w:footnoteReference w:id="12"/>
      </w:r>
      <w:r>
        <w:rPr>
          <w:rFonts w:ascii="Times New Roman" w:hAnsi="Times New Roman"/>
          <w:noProof/>
          <w:sz w:val="24"/>
        </w:rPr>
        <w:t xml:space="preserve"> Eiropas </w:t>
      </w:r>
      <w:r>
        <w:rPr>
          <w:rFonts w:ascii="Times New Roman" w:hAnsi="Times New Roman"/>
          <w:b/>
          <w:noProof/>
          <w:sz w:val="24"/>
        </w:rPr>
        <w:t>kopīgais integrētais riska analīzes modelis</w:t>
      </w:r>
      <w:r>
        <w:rPr>
          <w:rFonts w:ascii="Times New Roman" w:hAnsi="Times New Roman"/>
          <w:noProof/>
          <w:sz w:val="24"/>
        </w:rPr>
        <w:t>.</w:t>
      </w:r>
    </w:p>
    <w:p w:rsidR="00263099" w:rsidRPr="00263099" w:rsidRDefault="00263099" w:rsidP="00263099">
      <w:pPr>
        <w:widowControl w:val="0"/>
        <w:numPr>
          <w:ilvl w:val="0"/>
          <w:numId w:val="4"/>
        </w:numPr>
        <w:autoSpaceDE w:val="0"/>
        <w:autoSpaceDN w:val="0"/>
        <w:adjustRightInd w:val="0"/>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Lai atbalstītu ES saskaņotas darbības ārējo robežu pārvaldības uzlabošanai un iekšējās drošības uzturēšanai, dalībvalstīm būtu jāattīsta nepieciešamās valsts spējas (organizatoriskās, administratīvās un tehniskās), lai veiktu vienotas riska analīzes un neaizsargātības novērtējumus. </w:t>
      </w:r>
      <w:r>
        <w:rPr>
          <w:rFonts w:ascii="Times New Roman" w:hAnsi="Times New Roman"/>
          <w:i/>
          <w:iCs/>
          <w:noProof/>
          <w:sz w:val="24"/>
        </w:rPr>
        <w:t>Frontex</w:t>
      </w:r>
      <w:r>
        <w:rPr>
          <w:rFonts w:ascii="Times New Roman" w:hAnsi="Times New Roman"/>
          <w:noProof/>
          <w:sz w:val="24"/>
        </w:rPr>
        <w:t xml:space="preserve"> sniegtie riska analīzes produkti un procedūras būtu jāintegrē valsts procesā, lai izstrādātu apkopotu riska analīzi integrētai robežu pārvaldībai, kas aptvertu visas četras piekļuves kontroles modeļa pakāpes.</w:t>
      </w:r>
    </w:p>
    <w:p w:rsidR="00263099" w:rsidRPr="00263099" w:rsidRDefault="00263099" w:rsidP="00263099">
      <w:pPr>
        <w:widowControl w:val="0"/>
        <w:numPr>
          <w:ilvl w:val="0"/>
          <w:numId w:val="4"/>
        </w:numPr>
        <w:autoSpaceDE w:val="0"/>
        <w:autoSpaceDN w:val="0"/>
        <w:adjustRightInd w:val="0"/>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Būtu jāizveido specializētas riska analīzes struktūras, kas būtu pilnvarotas vākt un apkopot attiecīgos datus no visām integrētajā robežu pārvaldībā iesaistītajām valstu iestādēm, un tajās būtu jāstrādā pietiekamam skaitam specializētu un apmācītu darbinieku.</w:t>
      </w:r>
    </w:p>
    <w:p w:rsidR="00263099" w:rsidRPr="00263099" w:rsidRDefault="00263099" w:rsidP="00263099">
      <w:pPr>
        <w:widowControl w:val="0"/>
        <w:numPr>
          <w:ilvl w:val="0"/>
          <w:numId w:val="4"/>
        </w:numPr>
        <w:autoSpaceDE w:val="0"/>
        <w:autoSpaceDN w:val="0"/>
        <w:adjustRightInd w:val="0"/>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Būtu jāturpina stiprināt sadarbību riska analīzes jomā starp attiecīgajām ES un valstu struktūrām, jo īpaši starp </w:t>
      </w:r>
      <w:r>
        <w:rPr>
          <w:rFonts w:ascii="Times New Roman" w:hAnsi="Times New Roman"/>
          <w:i/>
          <w:iCs/>
          <w:noProof/>
          <w:sz w:val="24"/>
        </w:rPr>
        <w:t>Frontex</w:t>
      </w:r>
      <w:r>
        <w:rPr>
          <w:rFonts w:ascii="Times New Roman" w:hAnsi="Times New Roman"/>
          <w:noProof/>
          <w:sz w:val="24"/>
        </w:rPr>
        <w:t xml:space="preserve">, Eiropolu, </w:t>
      </w:r>
      <w:r>
        <w:rPr>
          <w:rFonts w:ascii="Times New Roman" w:hAnsi="Times New Roman"/>
          <w:i/>
          <w:iCs/>
          <w:noProof/>
          <w:sz w:val="24"/>
        </w:rPr>
        <w:t>eu-LISA</w:t>
      </w:r>
      <w:r>
        <w:rPr>
          <w:rFonts w:ascii="Times New Roman" w:hAnsi="Times New Roman"/>
          <w:noProof/>
          <w:sz w:val="24"/>
        </w:rPr>
        <w:t xml:space="preserve">, ES Patvēruma aģentūru, muitas dienestiem un Komisiju (vajadzības gadījumā arī </w:t>
      </w:r>
      <w:r>
        <w:rPr>
          <w:rFonts w:ascii="Times New Roman" w:hAnsi="Times New Roman"/>
          <w:i/>
          <w:iCs/>
          <w:noProof/>
          <w:sz w:val="24"/>
        </w:rPr>
        <w:t>OLAF</w:t>
      </w:r>
      <w:r>
        <w:rPr>
          <w:rFonts w:ascii="Times New Roman" w:hAnsi="Times New Roman"/>
          <w:noProof/>
          <w:sz w:val="24"/>
        </w:rPr>
        <w:t xml:space="preserve">). Tas nepieciešams, lai garantētu visaptverošāku analīzi, kas saistīta ar riskiem ārējo robežu integritātei un iekšējai drošībai, tai skaitā Šengenas zonas pienācīgai darbībai. Eiropolam un </w:t>
      </w:r>
      <w:r>
        <w:rPr>
          <w:rFonts w:ascii="Times New Roman" w:hAnsi="Times New Roman"/>
          <w:i/>
          <w:iCs/>
          <w:noProof/>
          <w:sz w:val="24"/>
        </w:rPr>
        <w:t>Frontex</w:t>
      </w:r>
      <w:r>
        <w:rPr>
          <w:rFonts w:ascii="Times New Roman" w:hAnsi="Times New Roman"/>
          <w:noProof/>
          <w:sz w:val="24"/>
        </w:rPr>
        <w:t xml:space="preserve"> būtu ciešāk jāsadarbojas, sagatavojot Eiropas Savienības smagās un organizētās noziedzības draudu novērtējuma atjauninājumus.</w:t>
      </w:r>
    </w:p>
    <w:p w:rsidR="00263099" w:rsidRPr="00263099" w:rsidRDefault="00263099" w:rsidP="00263099">
      <w:pPr>
        <w:widowControl w:val="0"/>
        <w:numPr>
          <w:ilvl w:val="0"/>
          <w:numId w:val="4"/>
        </w:numPr>
        <w:autoSpaceDE w:val="0"/>
        <w:autoSpaceDN w:val="0"/>
        <w:adjustRightInd w:val="0"/>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Stratēģiskākā kontekstā reizi divos gados veiktā </w:t>
      </w:r>
      <w:r>
        <w:rPr>
          <w:rFonts w:ascii="Times New Roman" w:hAnsi="Times New Roman"/>
          <w:b/>
          <w:noProof/>
          <w:sz w:val="24"/>
        </w:rPr>
        <w:t>stratēģiskā riska analīze</w:t>
      </w:r>
      <w:r>
        <w:rPr>
          <w:rFonts w:ascii="Times New Roman" w:hAnsi="Times New Roman"/>
          <w:noProof/>
          <w:sz w:val="24"/>
        </w:rPr>
        <w:t xml:space="preserve"> ir būtisks instruments, kas ļaus aģentūrai veidot ilgtermiņa izpratni par migrācijas plūsmām uz ES un tās iekšienē, ņemot vērā migrācijas tendences, apjomu un maršrutus. Tā arī palīdzēs apzināt problēmas pie ārējām robežām un Šengenas zonā, kā arī atgriešanas jomā, un tādējādi palīdzēs pieņemt politiskus lēmumus un attīstīt ilgtermiņa spējas. Apzinot problēmas, būtu jāpievērš uzmanība arī tādām maz ticamām, bet lielas ietekmes parādībām kā pandēmijas un no tām izrietošiem veselības apdraudējumiem. Jaunākā pieejamā analīze būtu jāizmanto Eiropas integrētās robežu pārvaldības daudzgadu stratēģiskās politikas plānošanas cikla īstenošanā.</w:t>
      </w:r>
    </w:p>
    <w:p w:rsidR="00263099" w:rsidRPr="00263099" w:rsidRDefault="00263099" w:rsidP="00263099">
      <w:pPr>
        <w:widowControl w:val="0"/>
        <w:numPr>
          <w:ilvl w:val="0"/>
          <w:numId w:val="4"/>
        </w:numPr>
        <w:autoSpaceDE w:val="0"/>
        <w:autoSpaceDN w:val="0"/>
        <w:adjustRightInd w:val="0"/>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Lai gan riska novērtējumi vienmēr būtu jāveic pirms </w:t>
      </w:r>
      <w:r>
        <w:rPr>
          <w:rFonts w:ascii="Times New Roman" w:hAnsi="Times New Roman"/>
          <w:i/>
          <w:iCs/>
          <w:noProof/>
          <w:sz w:val="24"/>
        </w:rPr>
        <w:t>Frontex</w:t>
      </w:r>
      <w:r>
        <w:rPr>
          <w:rFonts w:ascii="Times New Roman" w:hAnsi="Times New Roman"/>
          <w:noProof/>
          <w:sz w:val="24"/>
        </w:rPr>
        <w:t xml:space="preserve"> koordinētajām kopīgajām operacionālajām darbībām un to laikā, aģentūrai būtu jāturpina pilnveidot tās spējas izstrādāt </w:t>
      </w:r>
      <w:r>
        <w:rPr>
          <w:rFonts w:ascii="Times New Roman" w:hAnsi="Times New Roman"/>
          <w:i/>
          <w:iCs/>
          <w:noProof/>
          <w:sz w:val="24"/>
        </w:rPr>
        <w:t>ad hoc</w:t>
      </w:r>
      <w:r>
        <w:rPr>
          <w:rFonts w:ascii="Times New Roman" w:hAnsi="Times New Roman"/>
          <w:noProof/>
          <w:sz w:val="24"/>
        </w:rPr>
        <w:t xml:space="preserve"> riska analīzes produktus, kas aptver jaunus draudus un atbalsta krīžu pārvarēšanas procesus.</w:t>
      </w:r>
    </w:p>
    <w:p w:rsidR="00263099" w:rsidRPr="00263099" w:rsidRDefault="00263099" w:rsidP="00263099">
      <w:pPr>
        <w:widowControl w:val="0"/>
        <w:numPr>
          <w:ilvl w:val="0"/>
          <w:numId w:val="4"/>
        </w:numPr>
        <w:autoSpaceDE w:val="0"/>
        <w:autoSpaceDN w:val="0"/>
        <w:adjustRightInd w:val="0"/>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Aģentūrai būtu jāturpina stiprināt tās prognozēšanas spējas, izmantojot pēc iespējas plašākus nepieciešamās uzticamās un būtiskās informācijas avotus.</w:t>
      </w:r>
    </w:p>
    <w:p w:rsidR="00263099" w:rsidRPr="00263099" w:rsidRDefault="00263099" w:rsidP="00263099">
      <w:pPr>
        <w:widowControl w:val="0"/>
        <w:numPr>
          <w:ilvl w:val="0"/>
          <w:numId w:val="4"/>
        </w:numPr>
        <w:autoSpaceDE w:val="0"/>
        <w:autoSpaceDN w:val="0"/>
        <w:adjustRightInd w:val="0"/>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Būtu jāizveido oficiāls mehānisms informācijas un izlūkdatu apmaiņai ar trešām valstīm, jo īpaši ar potenciālajām izcelsmes valstīm un attiecīgajām tranzītvalstīm, saskaņā ar ERKA regulu un pilnībā ievērojot ES datu aizsardzības tiesību aktu prasības. Dalībvalstīm un </w:t>
      </w:r>
      <w:r>
        <w:rPr>
          <w:rFonts w:ascii="Times New Roman" w:hAnsi="Times New Roman"/>
          <w:i/>
          <w:iCs/>
          <w:noProof/>
          <w:sz w:val="24"/>
        </w:rPr>
        <w:t>Frontex</w:t>
      </w:r>
      <w:r>
        <w:rPr>
          <w:rFonts w:ascii="Times New Roman" w:hAnsi="Times New Roman"/>
          <w:noProof/>
          <w:sz w:val="24"/>
        </w:rPr>
        <w:t xml:space="preserve"> tas būtu jāsaglabā un to jāturpina attīstīt, lai uzlabotu riska analīzi un operacionālos pasākumus padarītu mērķtiecīgākus.</w:t>
      </w:r>
    </w:p>
    <w:p w:rsidR="00263099" w:rsidRPr="00127656" w:rsidRDefault="00263099" w:rsidP="00263099">
      <w:pPr>
        <w:widowControl w:val="0"/>
        <w:autoSpaceDE w:val="0"/>
        <w:autoSpaceDN w:val="0"/>
        <w:adjustRightInd w:val="0"/>
        <w:spacing w:after="0" w:line="240" w:lineRule="auto"/>
        <w:jc w:val="both"/>
        <w:rPr>
          <w:rFonts w:ascii="Times New Roman" w:eastAsia="Times New Roman" w:hAnsi="Times New Roman" w:cs="Times New Roman"/>
          <w:noProof/>
          <w:sz w:val="24"/>
          <w:szCs w:val="24"/>
          <w:lang w:eastAsia="en-GB"/>
        </w:rPr>
      </w:pPr>
    </w:p>
    <w:p w:rsidR="00263099" w:rsidRPr="00263099" w:rsidRDefault="00263099" w:rsidP="00263099">
      <w:pPr>
        <w:pBdr>
          <w:top w:val="single" w:sz="4" w:space="1" w:color="auto"/>
          <w:left w:val="single" w:sz="4" w:space="4" w:color="auto"/>
          <w:bottom w:val="single" w:sz="4" w:space="1" w:color="auto"/>
          <w:right w:val="single" w:sz="4" w:space="4" w:color="auto"/>
        </w:pBdr>
        <w:shd w:val="clear" w:color="auto" w:fill="DAEEF3"/>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4. sastāvdaļa:</w:t>
      </w:r>
      <w:r>
        <w:rPr>
          <w:rFonts w:ascii="Times New Roman" w:hAnsi="Times New Roman"/>
          <w:noProof/>
          <w:sz w:val="24"/>
        </w:rPr>
        <w:t xml:space="preserve"> “</w:t>
      </w:r>
      <w:r>
        <w:rPr>
          <w:rFonts w:ascii="Times New Roman" w:hAnsi="Times New Roman"/>
          <w:i/>
          <w:noProof/>
          <w:sz w:val="24"/>
          <w:u w:val="single"/>
        </w:rPr>
        <w:t>informācijas apmaiņa un sadarbība starp dalībvalstīm</w:t>
      </w:r>
      <w:r>
        <w:rPr>
          <w:rFonts w:ascii="Times New Roman" w:hAnsi="Times New Roman"/>
          <w:i/>
          <w:noProof/>
          <w:sz w:val="24"/>
        </w:rPr>
        <w:t xml:space="preserve"> jomās, uz kurām attiecas šī regula, kā arī </w:t>
      </w:r>
      <w:r>
        <w:rPr>
          <w:rFonts w:ascii="Times New Roman" w:hAnsi="Times New Roman"/>
          <w:i/>
          <w:noProof/>
          <w:sz w:val="24"/>
          <w:u w:val="single"/>
        </w:rPr>
        <w:t>informācijas apmaiņa un sadarbība starp dalībvalstīm un Eiropas Robežas un krasta apsardzes aģentūru</w:t>
      </w:r>
      <w:r>
        <w:rPr>
          <w:rFonts w:ascii="Times New Roman" w:hAnsi="Times New Roman"/>
          <w:i/>
          <w:noProof/>
          <w:sz w:val="24"/>
        </w:rPr>
        <w:t xml:space="preserve">, tostarp </w:t>
      </w:r>
      <w:r>
        <w:rPr>
          <w:rFonts w:ascii="Times New Roman" w:hAnsi="Times New Roman"/>
          <w:i/>
          <w:noProof/>
          <w:sz w:val="24"/>
          <w:u w:val="single"/>
        </w:rPr>
        <w:t>atbalsts, kuru koordinē Eiropas Robežu un krasta apsardzes aģentūra</w:t>
      </w:r>
      <w:r>
        <w:rPr>
          <w:rFonts w:ascii="Times New Roman" w:hAnsi="Times New Roman"/>
          <w:noProof/>
          <w:sz w:val="24"/>
        </w:rPr>
        <w:t>”</w:t>
      </w:r>
      <w:r w:rsidRPr="00263099">
        <w:rPr>
          <w:rFonts w:ascii="Times New Roman" w:eastAsia="Times New Roman" w:hAnsi="Times New Roman" w:cs="Times New Roman"/>
          <w:i/>
          <w:noProof/>
          <w:sz w:val="24"/>
          <w:szCs w:val="24"/>
          <w:u w:val="single"/>
          <w:vertAlign w:val="superscript"/>
          <w:lang w:val="en-GB" w:eastAsia="en-GB"/>
        </w:rPr>
        <w:footnoteReference w:id="13"/>
      </w:r>
      <w:r>
        <w:rPr>
          <w:rFonts w:ascii="Times New Roman" w:hAnsi="Times New Roman"/>
          <w:noProof/>
          <w:sz w:val="24"/>
        </w:rPr>
        <w:t>.</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Politikas prioritātes</w:t>
      </w: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Eiropas un valstu spējas būtu jāveido, jāizmanto un jāattīsta koordinēti un integrēti, lai garantētu rezultatīvu un vienotu visu Eiropas integrētās robežu pārvaldības aspektu īstenošanu visos apstākļos un visās četrās piekļuves kontroles modeļa pakāpēs. Eiropas Robežu un krasta apsardzei, ko veido aģentūra un dalībvalstu robežsardzes un atgriešanas iestādes, vajadzētu būt pastāvīgā un pārbaudītā gatavībā reaģēt uz jebkādiem iespējamiem incidentiem pie ārējām robežām un uz jaunām parādībām, kas ietekmē robežkontroles un atgriešanas procesus. Būtu jānodrošina ātrās reaģēšanas spēja un nepieciešamās spējas, lai rezultatīvi veiktu dažādu veidu kopīgas operācijas pie visām ārējo robežu daļām.</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Stratēģiskās vadlīnijas</w:t>
      </w:r>
    </w:p>
    <w:p w:rsidR="00263099" w:rsidRPr="00263099" w:rsidRDefault="00263099" w:rsidP="00263099">
      <w:pPr>
        <w:spacing w:after="200" w:line="276" w:lineRule="auto"/>
        <w:ind w:left="360"/>
        <w:contextualSpacing/>
        <w:jc w:val="both"/>
        <w:rPr>
          <w:rFonts w:ascii="Times New Roman" w:eastAsia="Calibri" w:hAnsi="Times New Roman" w:cs="Times New Roman"/>
          <w:noProof/>
          <w:sz w:val="24"/>
          <w:szCs w:val="24"/>
          <w:lang w:val="en-GB"/>
        </w:rPr>
      </w:pPr>
    </w:p>
    <w:p w:rsidR="00263099" w:rsidRPr="00263099" w:rsidRDefault="00263099" w:rsidP="00263099">
      <w:pPr>
        <w:numPr>
          <w:ilvl w:val="0"/>
          <w:numId w:val="5"/>
        </w:numPr>
        <w:spacing w:after="200" w:line="276" w:lineRule="auto"/>
        <w:ind w:left="360"/>
        <w:contextualSpacing/>
        <w:jc w:val="both"/>
        <w:rPr>
          <w:rFonts w:ascii="Times New Roman" w:eastAsia="Calibri" w:hAnsi="Times New Roman" w:cs="Times New Roman"/>
          <w:noProof/>
          <w:sz w:val="24"/>
          <w:szCs w:val="24"/>
        </w:rPr>
      </w:pPr>
      <w:r>
        <w:rPr>
          <w:rFonts w:ascii="Times New Roman" w:hAnsi="Times New Roman"/>
          <w:noProof/>
          <w:sz w:val="24"/>
        </w:rPr>
        <w:t xml:space="preserve">Dalībvalstīm būtu jāizveido efektīvs </w:t>
      </w:r>
      <w:r>
        <w:rPr>
          <w:rFonts w:ascii="Times New Roman" w:hAnsi="Times New Roman"/>
          <w:b/>
          <w:noProof/>
          <w:sz w:val="24"/>
        </w:rPr>
        <w:t>nacionālais koordinācijas mehānisms</w:t>
      </w:r>
      <w:r>
        <w:rPr>
          <w:rFonts w:ascii="Times New Roman" w:hAnsi="Times New Roman"/>
          <w:noProof/>
          <w:sz w:val="24"/>
        </w:rPr>
        <w:t xml:space="preserve"> un darba procesi visām Eiropas Robežu un krasta apsardzes funkcijām un darbībām. Dalībvalstīs vajadzētu būt izveidotam atbildīgajam </w:t>
      </w:r>
      <w:r>
        <w:rPr>
          <w:rFonts w:ascii="Times New Roman" w:hAnsi="Times New Roman"/>
          <w:b/>
          <w:noProof/>
          <w:sz w:val="24"/>
        </w:rPr>
        <w:t>valsts vienotajam kontaktpunktam</w:t>
      </w:r>
      <w:r>
        <w:rPr>
          <w:rFonts w:ascii="Times New Roman" w:hAnsi="Times New Roman"/>
          <w:noProof/>
          <w:sz w:val="24"/>
        </w:rPr>
        <w:t xml:space="preserve"> (kas darbojas visu diennakti 7 dienas nedēļā) visos jautājumos, kas saistīti ar aģentūras darbību. Valsts kontaktpunktam būtu jāpārstāv visas valsts iestādes, kas iesaistītas robežu pārvaldībā un atgriešanā.</w:t>
      </w:r>
    </w:p>
    <w:p w:rsidR="00263099" w:rsidRPr="00263099" w:rsidRDefault="00263099" w:rsidP="00263099">
      <w:pPr>
        <w:numPr>
          <w:ilvl w:val="0"/>
          <w:numId w:val="5"/>
        </w:numPr>
        <w:spacing w:after="200" w:line="276" w:lineRule="auto"/>
        <w:ind w:left="360"/>
        <w:contextualSpacing/>
        <w:jc w:val="both"/>
        <w:rPr>
          <w:rFonts w:ascii="Times New Roman" w:eastAsia="Calibri" w:hAnsi="Times New Roman" w:cs="Times New Roman"/>
          <w:noProof/>
          <w:sz w:val="24"/>
          <w:szCs w:val="24"/>
        </w:rPr>
      </w:pPr>
      <w:r>
        <w:rPr>
          <w:rFonts w:ascii="Times New Roman" w:hAnsi="Times New Roman"/>
          <w:noProof/>
          <w:sz w:val="24"/>
        </w:rPr>
        <w:t xml:space="preserve">Situācijas apzināšanās, reaģēšanas spējas un </w:t>
      </w:r>
      <w:r>
        <w:rPr>
          <w:rFonts w:ascii="Times New Roman" w:hAnsi="Times New Roman"/>
          <w:b/>
          <w:noProof/>
          <w:sz w:val="24"/>
        </w:rPr>
        <w:t>nacionālā koordinācijas centra</w:t>
      </w:r>
      <w:r>
        <w:rPr>
          <w:rFonts w:ascii="Times New Roman" w:hAnsi="Times New Roman"/>
          <w:noProof/>
          <w:sz w:val="24"/>
        </w:rPr>
        <w:t xml:space="preserve"> (NKC) loma būtu vēl vairāk jānostiprina un jāintegrē saskaņā ar ERKA regulu un Komisijas Īstenošanas regulu (ES) 2021/581. Katrā dalībvalstī ir jābūt pilnībā funkcionējošam NKC.</w:t>
      </w:r>
    </w:p>
    <w:p w:rsidR="00263099" w:rsidRPr="00263099" w:rsidRDefault="00263099" w:rsidP="00263099">
      <w:pPr>
        <w:numPr>
          <w:ilvl w:val="0"/>
          <w:numId w:val="5"/>
        </w:numPr>
        <w:spacing w:after="200" w:line="276" w:lineRule="auto"/>
        <w:ind w:left="360"/>
        <w:contextualSpacing/>
        <w:jc w:val="both"/>
        <w:rPr>
          <w:rFonts w:ascii="Times New Roman" w:eastAsia="Calibri" w:hAnsi="Times New Roman" w:cs="Times New Roman"/>
          <w:noProof/>
          <w:sz w:val="24"/>
          <w:szCs w:val="24"/>
        </w:rPr>
      </w:pPr>
      <w:r>
        <w:rPr>
          <w:rFonts w:ascii="Times New Roman" w:hAnsi="Times New Roman"/>
          <w:noProof/>
          <w:sz w:val="24"/>
        </w:rPr>
        <w:t>Uzraudzības rīku savāktā informācija, ko apkopo un tālāk izplata NKC, būtu jāizmanto gan reāllaika reaģēšanas spēju (piemēram, pārtveršanas) uzlabošanai, gan riska analīzes vajadzībām.</w:t>
      </w:r>
    </w:p>
    <w:p w:rsidR="00263099" w:rsidRPr="00263099" w:rsidRDefault="00263099" w:rsidP="00263099">
      <w:pPr>
        <w:numPr>
          <w:ilvl w:val="0"/>
          <w:numId w:val="5"/>
        </w:numPr>
        <w:spacing w:after="200" w:line="276" w:lineRule="auto"/>
        <w:ind w:left="360"/>
        <w:contextualSpacing/>
        <w:jc w:val="both"/>
        <w:rPr>
          <w:rFonts w:ascii="Times New Roman" w:eastAsia="Calibri" w:hAnsi="Times New Roman" w:cs="Times New Roman"/>
          <w:noProof/>
          <w:sz w:val="24"/>
          <w:szCs w:val="24"/>
        </w:rPr>
      </w:pPr>
      <w:r>
        <w:rPr>
          <w:rFonts w:ascii="Times New Roman" w:hAnsi="Times New Roman"/>
          <w:noProof/>
          <w:sz w:val="24"/>
        </w:rPr>
        <w:t xml:space="preserve">Dalībvalstīm būtu jāpiešķir vajadzīgie cilvēkresursi un finanšu resursi un jābūt nepārtrauktā operatīvā gatavībā, lai pildītu savas saistības sniegt obligātu un brīvprātīgu ieguldījumu </w:t>
      </w:r>
      <w:r>
        <w:rPr>
          <w:rFonts w:ascii="Times New Roman" w:hAnsi="Times New Roman"/>
          <w:i/>
          <w:iCs/>
          <w:noProof/>
          <w:sz w:val="24"/>
        </w:rPr>
        <w:t>Frontex</w:t>
      </w:r>
      <w:r>
        <w:rPr>
          <w:rFonts w:ascii="Times New Roman" w:hAnsi="Times New Roman"/>
          <w:noProof/>
          <w:sz w:val="24"/>
        </w:rPr>
        <w:t xml:space="preserve"> koordinētajās </w:t>
      </w:r>
      <w:r>
        <w:rPr>
          <w:rFonts w:ascii="Times New Roman" w:hAnsi="Times New Roman"/>
          <w:b/>
          <w:noProof/>
          <w:sz w:val="24"/>
        </w:rPr>
        <w:t>Eiropas kolektīvajās spējās</w:t>
      </w:r>
      <w:r>
        <w:rPr>
          <w:rFonts w:ascii="Times New Roman" w:hAnsi="Times New Roman"/>
          <w:noProof/>
          <w:sz w:val="24"/>
        </w:rPr>
        <w:t>, jo īpaši Eiropas Robežu un krasta apsardzes pastāvīgajā korpusā un tehniskā aprīkojuma rezervē.</w:t>
      </w:r>
    </w:p>
    <w:p w:rsidR="00263099" w:rsidRPr="00263099" w:rsidRDefault="00263099" w:rsidP="00263099">
      <w:pPr>
        <w:numPr>
          <w:ilvl w:val="0"/>
          <w:numId w:val="5"/>
        </w:numPr>
        <w:spacing w:after="200" w:line="276" w:lineRule="auto"/>
        <w:ind w:left="360"/>
        <w:contextualSpacing/>
        <w:jc w:val="both"/>
        <w:rPr>
          <w:rFonts w:ascii="Times New Roman" w:eastAsia="Calibri" w:hAnsi="Times New Roman" w:cs="Times New Roman"/>
          <w:noProof/>
          <w:sz w:val="24"/>
          <w:szCs w:val="24"/>
        </w:rPr>
      </w:pPr>
      <w:r>
        <w:rPr>
          <w:rFonts w:ascii="Times New Roman" w:hAnsi="Times New Roman"/>
          <w:noProof/>
          <w:sz w:val="24"/>
        </w:rPr>
        <w:t>Dalībvalstīm un aģentūrai būtu jānodrošina pakāpeniska pastāvīgā korpusa palielināšana, lai līdz 2027. gadam tas sasniegtu pilnu kapacitāti — 10 000 amatpersonu.</w:t>
      </w:r>
    </w:p>
    <w:p w:rsidR="00263099" w:rsidRPr="00263099" w:rsidRDefault="00263099" w:rsidP="00263099">
      <w:pPr>
        <w:numPr>
          <w:ilvl w:val="0"/>
          <w:numId w:val="5"/>
        </w:numPr>
        <w:spacing w:after="200" w:line="276" w:lineRule="auto"/>
        <w:ind w:left="360"/>
        <w:contextualSpacing/>
        <w:jc w:val="both"/>
        <w:rPr>
          <w:rFonts w:ascii="Times New Roman" w:eastAsia="Calibri" w:hAnsi="Times New Roman" w:cs="Times New Roman"/>
          <w:noProof/>
          <w:sz w:val="24"/>
          <w:szCs w:val="24"/>
        </w:rPr>
      </w:pPr>
      <w:r>
        <w:rPr>
          <w:rFonts w:ascii="Times New Roman" w:hAnsi="Times New Roman"/>
          <w:noProof/>
          <w:sz w:val="24"/>
        </w:rPr>
        <w:t xml:space="preserve">Lai uzlabotu aģentūras efektivitāti, </w:t>
      </w:r>
      <w:r>
        <w:rPr>
          <w:rFonts w:ascii="Times New Roman" w:hAnsi="Times New Roman"/>
          <w:i/>
          <w:iCs/>
          <w:noProof/>
          <w:sz w:val="24"/>
        </w:rPr>
        <w:t>Frontex</w:t>
      </w:r>
      <w:r>
        <w:rPr>
          <w:rFonts w:ascii="Times New Roman" w:hAnsi="Times New Roman"/>
          <w:noProof/>
          <w:sz w:val="24"/>
        </w:rPr>
        <w:t xml:space="preserve"> valdei būtu jāpieņem un regulāri jāpārskata </w:t>
      </w:r>
      <w:r>
        <w:rPr>
          <w:rFonts w:ascii="Times New Roman" w:hAnsi="Times New Roman"/>
          <w:b/>
          <w:noProof/>
          <w:sz w:val="24"/>
        </w:rPr>
        <w:t>pastāvīgā korpusa darbības koncepcija</w:t>
      </w:r>
      <w:r>
        <w:rPr>
          <w:rFonts w:ascii="Times New Roman" w:hAnsi="Times New Roman"/>
          <w:noProof/>
          <w:sz w:val="24"/>
        </w:rPr>
        <w:t>. Tas vajadzīgs, lai labāk virzītu aģentūras operacionālo un tehnisko uzdevumu īstenošanu, jo īpaši, lai uzsāktu ātrās reaģēšanas operācijas pie robežām konkrētās krīzēs, arī instrumentalizācijas gadījumos. Tas tiek darīts, lai nodrošinātu savlaicīgu pastāvīgā korpusa un aprīkojuma izvietošanu, kad vien šādas krīzes rodas.</w:t>
      </w:r>
    </w:p>
    <w:p w:rsidR="00263099" w:rsidRPr="00263099" w:rsidRDefault="00263099" w:rsidP="00263099">
      <w:pPr>
        <w:numPr>
          <w:ilvl w:val="0"/>
          <w:numId w:val="5"/>
        </w:numPr>
        <w:spacing w:after="200" w:line="276" w:lineRule="auto"/>
        <w:ind w:left="360"/>
        <w:contextualSpacing/>
        <w:jc w:val="both"/>
        <w:rPr>
          <w:rFonts w:ascii="Times New Roman" w:eastAsia="Calibri" w:hAnsi="Times New Roman" w:cs="Times New Roman"/>
          <w:noProof/>
          <w:sz w:val="24"/>
          <w:szCs w:val="24"/>
        </w:rPr>
      </w:pPr>
      <w:r>
        <w:rPr>
          <w:rFonts w:ascii="Times New Roman" w:hAnsi="Times New Roman"/>
          <w:i/>
          <w:iCs/>
          <w:noProof/>
          <w:sz w:val="24"/>
        </w:rPr>
        <w:t>Frontex</w:t>
      </w:r>
      <w:r>
        <w:rPr>
          <w:rFonts w:ascii="Times New Roman" w:hAnsi="Times New Roman"/>
          <w:noProof/>
          <w:sz w:val="24"/>
        </w:rPr>
        <w:t xml:space="preserve"> būtu papildus jāuzlabo </w:t>
      </w:r>
      <w:r>
        <w:rPr>
          <w:rFonts w:ascii="Times New Roman" w:hAnsi="Times New Roman"/>
          <w:b/>
          <w:noProof/>
          <w:sz w:val="24"/>
        </w:rPr>
        <w:t>neaizsargātības novērtējuma</w:t>
      </w:r>
      <w:r>
        <w:rPr>
          <w:rFonts w:ascii="Times New Roman" w:hAnsi="Times New Roman"/>
          <w:noProof/>
          <w:sz w:val="24"/>
        </w:rPr>
        <w:t xml:space="preserve"> rezultātu integrēšana sagatavotības, ārkārtas rīcības plānošanas un vajadzību novērtēšanas procesā. Tas nodrošinās, ka dalībvalstīm būs ne tikai spēja nodrošināt savas ārējās robežas, bet arī iespēja sniegt savu ieguldījumu pastāvīgajā korpusā, tai skaitā ieguldījumus ātrās reaģēšanas operācijām un tehniskā aprīkojuma rezervei. Šajā procesā aģentūra izmanto arī sinerģiju starp Šengenas izvērtēšanas mehānismu un neaizsargātības novērtējumu.</w:t>
      </w:r>
    </w:p>
    <w:p w:rsidR="00263099" w:rsidRPr="00263099" w:rsidRDefault="00263099" w:rsidP="00263099">
      <w:pPr>
        <w:numPr>
          <w:ilvl w:val="0"/>
          <w:numId w:val="5"/>
        </w:numPr>
        <w:spacing w:after="200" w:line="276" w:lineRule="auto"/>
        <w:ind w:left="360"/>
        <w:contextualSpacing/>
        <w:jc w:val="both"/>
        <w:rPr>
          <w:rFonts w:ascii="Times New Roman" w:eastAsia="Calibri" w:hAnsi="Times New Roman" w:cs="Times New Roman"/>
          <w:noProof/>
          <w:sz w:val="24"/>
          <w:szCs w:val="24"/>
        </w:rPr>
      </w:pPr>
      <w:r>
        <w:rPr>
          <w:rFonts w:ascii="Times New Roman" w:hAnsi="Times New Roman"/>
          <w:noProof/>
          <w:sz w:val="24"/>
        </w:rPr>
        <w:t xml:space="preserve">Katrā valsts integrētās robežu pārvaldības stratēģijā būtu jāievieš </w:t>
      </w:r>
      <w:r>
        <w:rPr>
          <w:rFonts w:ascii="Times New Roman" w:hAnsi="Times New Roman"/>
          <w:b/>
          <w:noProof/>
          <w:sz w:val="24"/>
        </w:rPr>
        <w:t>centralizēts mehānisms</w:t>
      </w:r>
      <w:r>
        <w:rPr>
          <w:rFonts w:ascii="Times New Roman" w:hAnsi="Times New Roman"/>
          <w:noProof/>
          <w:sz w:val="24"/>
        </w:rPr>
        <w:t>, kas nodrošina efektīvu koordināciju starp valsts iestādi, kura ir atbildīga par integrētās robežu pārvaldības vispārējo pārraudzību, un visām valsts iestādēm, kuru kompetencē ir robežu pārvaldība, un šādām iestādēm citās dalībvalstīs.</w:t>
      </w:r>
    </w:p>
    <w:p w:rsidR="00263099" w:rsidRPr="00263099" w:rsidRDefault="00263099" w:rsidP="00263099">
      <w:pPr>
        <w:numPr>
          <w:ilvl w:val="0"/>
          <w:numId w:val="5"/>
        </w:numPr>
        <w:spacing w:after="200" w:line="276" w:lineRule="auto"/>
        <w:ind w:left="360"/>
        <w:contextualSpacing/>
        <w:jc w:val="both"/>
        <w:rPr>
          <w:rFonts w:ascii="Times New Roman" w:eastAsia="Calibri" w:hAnsi="Times New Roman" w:cs="Times New Roman"/>
          <w:noProof/>
          <w:sz w:val="24"/>
          <w:szCs w:val="24"/>
        </w:rPr>
      </w:pPr>
      <w:r>
        <w:rPr>
          <w:rFonts w:ascii="Times New Roman" w:hAnsi="Times New Roman"/>
          <w:noProof/>
          <w:sz w:val="24"/>
        </w:rPr>
        <w:t xml:space="preserve">Būtu jāturpina attīstīt divpusēju un daudzpusēju operacionālo sadarbību starp dalībvalstīm, ja šāda sadarbība ir saderīga ar aģentūras uzdevumiem. Būtu pilnībā jāizmanto aģentūras atbalsts un Eiropas kopējās spējas un instrumenti (piemēram, </w:t>
      </w:r>
      <w:r>
        <w:rPr>
          <w:rFonts w:ascii="Times New Roman" w:hAnsi="Times New Roman"/>
          <w:i/>
          <w:iCs/>
          <w:noProof/>
          <w:sz w:val="24"/>
        </w:rPr>
        <w:t>EUROSUR</w:t>
      </w:r>
      <w:r>
        <w:rPr>
          <w:rFonts w:ascii="Times New Roman" w:hAnsi="Times New Roman"/>
          <w:noProof/>
          <w:sz w:val="24"/>
        </w:rPr>
        <w:t>).</w:t>
      </w:r>
    </w:p>
    <w:p w:rsidR="00263099" w:rsidRPr="00263099" w:rsidRDefault="00263099" w:rsidP="00263099">
      <w:pPr>
        <w:numPr>
          <w:ilvl w:val="0"/>
          <w:numId w:val="5"/>
        </w:numPr>
        <w:spacing w:after="200" w:line="276" w:lineRule="auto"/>
        <w:ind w:left="360"/>
        <w:contextualSpacing/>
        <w:jc w:val="both"/>
        <w:rPr>
          <w:rFonts w:ascii="Times New Roman" w:eastAsia="Calibri" w:hAnsi="Times New Roman" w:cs="Times New Roman"/>
          <w:noProof/>
          <w:sz w:val="24"/>
          <w:szCs w:val="24"/>
        </w:rPr>
      </w:pPr>
      <w:r>
        <w:rPr>
          <w:rFonts w:ascii="Times New Roman" w:hAnsi="Times New Roman"/>
          <w:noProof/>
          <w:sz w:val="24"/>
        </w:rPr>
        <w:t xml:space="preserve">Informācijas apmaiņa ir viens no galvenajiem elementiem operacionālajā sadarbībā starp dalībvalstīm, kā arī starp dalībvalstīm un </w:t>
      </w:r>
      <w:r>
        <w:rPr>
          <w:rFonts w:ascii="Times New Roman" w:hAnsi="Times New Roman"/>
          <w:i/>
          <w:iCs/>
          <w:noProof/>
          <w:sz w:val="24"/>
        </w:rPr>
        <w:t>Frontex</w:t>
      </w:r>
      <w:r>
        <w:rPr>
          <w:rFonts w:ascii="Times New Roman" w:hAnsi="Times New Roman"/>
          <w:noProof/>
          <w:sz w:val="24"/>
        </w:rPr>
        <w:t xml:space="preserve">. Tā jāveic drošā veidā, izmantojot </w:t>
      </w:r>
      <w:r>
        <w:rPr>
          <w:rFonts w:ascii="Times New Roman" w:hAnsi="Times New Roman"/>
          <w:b/>
          <w:noProof/>
          <w:sz w:val="24"/>
        </w:rPr>
        <w:t>specializēto sakaru tīklu</w:t>
      </w:r>
      <w:r>
        <w:rPr>
          <w:rFonts w:ascii="Times New Roman" w:hAnsi="Times New Roman"/>
          <w:noProof/>
          <w:sz w:val="24"/>
        </w:rPr>
        <w:t xml:space="preserve">, jo īpaši, ja šī informācijas apmaiņa attiecas uz klasificētu informāciju līdz līmenim </w:t>
      </w:r>
      <w:r>
        <w:rPr>
          <w:rFonts w:ascii="Times New Roman" w:hAnsi="Times New Roman"/>
          <w:i/>
          <w:iCs/>
          <w:noProof/>
          <w:sz w:val="24"/>
        </w:rPr>
        <w:t>CONFIDENTIEL UE/EU CONFIDENTIAL</w:t>
      </w:r>
      <w:r>
        <w:rPr>
          <w:rFonts w:ascii="Times New Roman" w:hAnsi="Times New Roman"/>
          <w:noProof/>
          <w:sz w:val="24"/>
        </w:rPr>
        <w:t xml:space="preserve">. Dalībvalstīm un </w:t>
      </w:r>
      <w:r>
        <w:rPr>
          <w:rFonts w:ascii="Times New Roman" w:hAnsi="Times New Roman"/>
          <w:i/>
          <w:iCs/>
          <w:noProof/>
          <w:sz w:val="24"/>
        </w:rPr>
        <w:t>Frontex</w:t>
      </w:r>
      <w:r>
        <w:rPr>
          <w:rFonts w:ascii="Times New Roman" w:hAnsi="Times New Roman"/>
          <w:noProof/>
          <w:sz w:val="24"/>
        </w:rPr>
        <w:t xml:space="preserve"> ir vienmēr jānodrošina persondatu aizsardzība un informācijas drošība saskaņā ar ES datu aizsardzības tiesību aktiem un aģentūras pieņemtajiem drošības noteikumiem.</w:t>
      </w:r>
    </w:p>
    <w:p w:rsidR="00263099" w:rsidRPr="00263099" w:rsidRDefault="00263099" w:rsidP="00263099">
      <w:pPr>
        <w:numPr>
          <w:ilvl w:val="0"/>
          <w:numId w:val="5"/>
        </w:numPr>
        <w:spacing w:after="200" w:line="276" w:lineRule="auto"/>
        <w:ind w:left="360"/>
        <w:contextualSpacing/>
        <w:jc w:val="both"/>
        <w:rPr>
          <w:rFonts w:ascii="Times New Roman" w:eastAsia="Calibri" w:hAnsi="Times New Roman" w:cs="Times New Roman"/>
          <w:noProof/>
          <w:sz w:val="24"/>
          <w:szCs w:val="24"/>
        </w:rPr>
      </w:pPr>
      <w:r>
        <w:rPr>
          <w:rFonts w:ascii="Times New Roman" w:hAnsi="Times New Roman"/>
          <w:noProof/>
          <w:sz w:val="24"/>
        </w:rPr>
        <w:t xml:space="preserve">Aģentūrai ir jānodrošina pastāvīga </w:t>
      </w:r>
      <w:r>
        <w:rPr>
          <w:rFonts w:ascii="Times New Roman" w:hAnsi="Times New Roman"/>
          <w:b/>
          <w:noProof/>
          <w:sz w:val="24"/>
        </w:rPr>
        <w:t>uzraudzība un situācijas apzināšanās</w:t>
      </w:r>
      <w:r>
        <w:rPr>
          <w:rFonts w:ascii="Times New Roman" w:hAnsi="Times New Roman"/>
          <w:noProof/>
          <w:sz w:val="24"/>
        </w:rPr>
        <w:t xml:space="preserve">, kā arī jādalās ar šo informāciju ar NKC, izmantojot </w:t>
      </w:r>
      <w:r>
        <w:rPr>
          <w:rFonts w:ascii="Times New Roman" w:hAnsi="Times New Roman"/>
          <w:i/>
          <w:iCs/>
          <w:noProof/>
          <w:sz w:val="24"/>
        </w:rPr>
        <w:t>EUROSUR</w:t>
      </w:r>
      <w:r>
        <w:rPr>
          <w:rFonts w:ascii="Times New Roman" w:hAnsi="Times New Roman"/>
          <w:noProof/>
          <w:sz w:val="24"/>
        </w:rPr>
        <w:t xml:space="preserve">, jo īpaši tādēļ, lai reāllaikā sniegtu ziņojumus par pierobežu un attiecīgo pierobežas zonu saistībā ar krīzes situāciju. Apstrādājot </w:t>
      </w:r>
      <w:r>
        <w:rPr>
          <w:rFonts w:ascii="Times New Roman" w:hAnsi="Times New Roman"/>
          <w:i/>
          <w:iCs/>
          <w:noProof/>
          <w:sz w:val="24"/>
        </w:rPr>
        <w:t>EUROSUR</w:t>
      </w:r>
      <w:r>
        <w:rPr>
          <w:rFonts w:ascii="Times New Roman" w:hAnsi="Times New Roman"/>
          <w:noProof/>
          <w:sz w:val="24"/>
        </w:rPr>
        <w:t xml:space="preserve"> datus un informāciju, dalībvalstīm un </w:t>
      </w:r>
      <w:r>
        <w:rPr>
          <w:rFonts w:ascii="Times New Roman" w:hAnsi="Times New Roman"/>
          <w:i/>
          <w:iCs/>
          <w:noProof/>
          <w:sz w:val="24"/>
        </w:rPr>
        <w:t>Frontex</w:t>
      </w:r>
      <w:r>
        <w:rPr>
          <w:rFonts w:ascii="Times New Roman" w:hAnsi="Times New Roman"/>
          <w:noProof/>
          <w:sz w:val="24"/>
        </w:rPr>
        <w:t xml:space="preserve"> ir jānodrošina, ka ir ieviesti drošības kontroles mehānismi, procesi un plāni, kas nodrošina pienācīgu aizsardzības līmeni.</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Dalībvalstīm vajadzētu būt pārbaudītai </w:t>
      </w:r>
      <w:r>
        <w:rPr>
          <w:rFonts w:ascii="Times New Roman" w:hAnsi="Times New Roman"/>
          <w:b/>
          <w:noProof/>
          <w:sz w:val="24"/>
        </w:rPr>
        <w:t>atbalsta uzņemšanas spējai</w:t>
      </w:r>
      <w:r>
        <w:rPr>
          <w:rFonts w:ascii="Times New Roman" w:hAnsi="Times New Roman"/>
          <w:noProof/>
          <w:sz w:val="24"/>
        </w:rPr>
        <w:t>, lai vajadzības gadījumā varētu saņemt atbalstu, izvietojot Eiropas Robežu un krasta apsardzes pastāvīgo korpusu.</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noProof/>
          <w:sz w:val="24"/>
          <w:szCs w:val="24"/>
        </w:rPr>
      </w:pPr>
      <w:r>
        <w:rPr>
          <w:rFonts w:ascii="Times New Roman" w:hAnsi="Times New Roman"/>
          <w:b/>
          <w:noProof/>
          <w:sz w:val="24"/>
        </w:rPr>
        <w:t>Aģentūras tehnisko spēju pilnveides un iegādes daudzgadu stratēģijai</w:t>
      </w:r>
      <w:r>
        <w:rPr>
          <w:rFonts w:ascii="Times New Roman" w:hAnsi="Times New Roman"/>
          <w:noProof/>
          <w:sz w:val="24"/>
        </w:rPr>
        <w:t xml:space="preserve"> un ar to saistītajam īstenošanas plānam ir jākalpo par elastīgu instrumentu, lai nodrošinātu ilgtermiņa risinājumus pastāvīgā korpusa aprīkošanai ar tehniskajiem līdzekļiem, tai skaitā iespēju aktivizēt alternatīvas iespējas pašu nepieciešamāko vajadzību nodrošināšanai (piemēram, novērošanai no gaisa).</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Dalībvalstīm un aģentūrai vajadzētu būt efektīvai plānošanas, koordinācijas un īstenošanas spējai, lai, pamatojoties uz riska analīzi, organizētu operācijas pie ārējām robežām un/vai trešās valstīs saskaņā ar ERKA regulā paredzētajiem nosacījumiem. Uz izlūkdatiem balstītais plānošanas process būtu jākoordinē un jāsinhronizē starp aģentūru un dalībvalstīm, nodrošinot resursu produktīvu izmantošanu.</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Aģentūrai būtu jāturpina attīstīt kopīgo operāciju koncepciju, kas nodrošina pietiekamu elastību un spēju piemērot dažādus modeļus atkarībā no konkrētā operācijas scenārija.</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Būtu jāturpina attīstīt kontaktpunktu koncepciju un jākoncentrējas uz efektīvas operatīvās reaģēšanas nodrošināšanu, jo īpaši karstajos punktos pie ārējām robežām un robežšķērsošanas vietās, iekļaujot arī spēju veidošanas elementu.</w:t>
      </w:r>
    </w:p>
    <w:p w:rsidR="00263099" w:rsidRPr="00263099" w:rsidRDefault="00263099" w:rsidP="00263099">
      <w:pPr>
        <w:numPr>
          <w:ilvl w:val="0"/>
          <w:numId w:val="2"/>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Aģentūras izstrādātie </w:t>
      </w:r>
      <w:r>
        <w:rPr>
          <w:rFonts w:ascii="Times New Roman" w:hAnsi="Times New Roman"/>
          <w:b/>
          <w:noProof/>
          <w:sz w:val="24"/>
        </w:rPr>
        <w:t>tehniskie standarti</w:t>
      </w:r>
      <w:r>
        <w:rPr>
          <w:rFonts w:ascii="Times New Roman" w:hAnsi="Times New Roman"/>
          <w:noProof/>
          <w:sz w:val="24"/>
        </w:rPr>
        <w:t xml:space="preserve"> aprīkojumam un informācijas apmaiņai, tai skaitā sistēmu un tīklu savstarpējai savienojamībai, būtu vienoti jāpiemēro visiem ERKA iesaistītajiem dalībniekiem. ERKA būtu kopīgi jāstrādā pie </w:t>
      </w:r>
      <w:r>
        <w:rPr>
          <w:rFonts w:ascii="Times New Roman" w:hAnsi="Times New Roman"/>
          <w:b/>
          <w:noProof/>
          <w:sz w:val="24"/>
        </w:rPr>
        <w:t>standartizācijas procesa</w:t>
      </w:r>
      <w:r>
        <w:rPr>
          <w:rFonts w:ascii="Times New Roman" w:hAnsi="Times New Roman"/>
          <w:noProof/>
          <w:sz w:val="24"/>
        </w:rPr>
        <w:t xml:space="preserve">, lai nodrošinātu izmantotā aprīkojuma sadarbspēju un saderību ar attiecīgajām informācijas un sakaru sistēmām un </w:t>
      </w:r>
      <w:r>
        <w:rPr>
          <w:rFonts w:ascii="Times New Roman" w:hAnsi="Times New Roman"/>
          <w:i/>
          <w:iCs/>
          <w:noProof/>
          <w:sz w:val="24"/>
        </w:rPr>
        <w:t>EUROSUR</w:t>
      </w:r>
      <w:r>
        <w:rPr>
          <w:rFonts w:ascii="Times New Roman" w:hAnsi="Times New Roman"/>
          <w:noProof/>
          <w:sz w:val="24"/>
        </w:rPr>
        <w:t>.</w:t>
      </w:r>
    </w:p>
    <w:p w:rsidR="00263099" w:rsidRPr="00127656" w:rsidRDefault="00263099" w:rsidP="00263099">
      <w:pPr>
        <w:spacing w:after="200" w:line="276" w:lineRule="auto"/>
        <w:ind w:left="360"/>
        <w:contextualSpacing/>
        <w:jc w:val="both"/>
        <w:rPr>
          <w:rFonts w:ascii="Times New Roman" w:eastAsia="Calibri" w:hAnsi="Times New Roman" w:cs="Times New Roman"/>
          <w:noProof/>
          <w:sz w:val="24"/>
          <w:szCs w:val="24"/>
        </w:rPr>
      </w:pPr>
    </w:p>
    <w:p w:rsidR="00263099" w:rsidRPr="00263099" w:rsidRDefault="00263099" w:rsidP="00263099">
      <w:pPr>
        <w:pBdr>
          <w:top w:val="single" w:sz="4" w:space="1" w:color="auto"/>
          <w:left w:val="single" w:sz="4" w:space="4" w:color="auto"/>
          <w:bottom w:val="single" w:sz="4" w:space="1" w:color="auto"/>
          <w:right w:val="single" w:sz="4" w:space="4" w:color="auto"/>
        </w:pBdr>
        <w:shd w:val="clear" w:color="auto" w:fill="DAEEF3"/>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5. sastāvdaļa</w:t>
      </w:r>
      <w:r>
        <w:rPr>
          <w:rFonts w:ascii="Times New Roman" w:hAnsi="Times New Roman"/>
          <w:noProof/>
          <w:sz w:val="24"/>
        </w:rPr>
        <w:t>: “</w:t>
      </w:r>
      <w:r>
        <w:rPr>
          <w:rFonts w:ascii="Times New Roman" w:hAnsi="Times New Roman"/>
          <w:i/>
          <w:noProof/>
          <w:sz w:val="24"/>
          <w:u w:val="single"/>
        </w:rPr>
        <w:t>starpaģentūru sadarbība</w:t>
      </w:r>
      <w:r>
        <w:rPr>
          <w:rFonts w:ascii="Times New Roman" w:hAnsi="Times New Roman"/>
          <w:i/>
          <w:noProof/>
          <w:sz w:val="24"/>
        </w:rPr>
        <w:t xml:space="preserve"> starp tām valsts iestādēm katrā dalībvalstī, kuras atbild par robežkontroli vai par citiem uzdevumiem, ko veic pie robežas, kā arī starp iestādēm katrā dalībvalstī, kuras atbild par atgriešanu, tostarp regulāra informācijas apmaiņa, izmantojot esošos informācijas apmaiņas instrumentus, tostarp attiecīgā gadījumā iekļaujot sadarbību ar valsts iestādēm, kuras atbild par pamattiesību aizsardzību</w:t>
      </w:r>
      <w:r>
        <w:rPr>
          <w:rFonts w:ascii="Times New Roman" w:hAnsi="Times New Roman"/>
          <w:noProof/>
          <w:sz w:val="24"/>
        </w:rPr>
        <w:t>”</w:t>
      </w:r>
      <w:r w:rsidRPr="00263099">
        <w:rPr>
          <w:rFonts w:ascii="Times New Roman" w:eastAsia="Times New Roman" w:hAnsi="Times New Roman" w:cs="Times New Roman"/>
          <w:i/>
          <w:noProof/>
          <w:sz w:val="24"/>
          <w:szCs w:val="24"/>
          <w:vertAlign w:val="superscript"/>
          <w:lang w:val="en-GB" w:eastAsia="en-GB"/>
        </w:rPr>
        <w:footnoteReference w:id="14"/>
      </w:r>
      <w:r>
        <w:rPr>
          <w:rFonts w:ascii="Times New Roman" w:hAnsi="Times New Roman"/>
          <w:noProof/>
          <w:sz w:val="24"/>
        </w:rPr>
        <w:t>.</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Politikas prioritātes</w:t>
      </w: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Eiropas integrētajai robežu pārvaldībai vajadzētu būt balstītai uz sadarbību. Valstu līmenī būtu pienācīgi jāiedibina starpaģentūru sadarbība, lai garantētu visaptverošu, starpnozaru, vienotu un rentablu integrētās robežu pārvaldības īstenošanu, arī starp valstu iestādēm, kas ir atbildīgas par pamattiesību aizsardzību. Darba sadalījumam, sadarbības struktūrām, kopīgai spēju izmantošanai, sakaru kanāliem un sinhronizētām darba procedūrām vajadzētu būt skaidri definētām un konsolidētām.</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Stratēģiskās vadlīnijas</w:t>
      </w:r>
    </w:p>
    <w:p w:rsidR="00263099" w:rsidRPr="00263099" w:rsidRDefault="00263099" w:rsidP="00263099">
      <w:pPr>
        <w:spacing w:after="200" w:line="276" w:lineRule="auto"/>
        <w:ind w:left="360"/>
        <w:contextualSpacing/>
        <w:jc w:val="both"/>
        <w:rPr>
          <w:rFonts w:ascii="Times New Roman" w:eastAsia="Calibri" w:hAnsi="Times New Roman" w:cs="Times New Roman"/>
          <w:noProof/>
          <w:sz w:val="24"/>
          <w:szCs w:val="24"/>
          <w:lang w:val="en-GB"/>
        </w:rPr>
      </w:pPr>
    </w:p>
    <w:p w:rsidR="00263099" w:rsidRPr="00263099" w:rsidRDefault="00263099" w:rsidP="00263099">
      <w:pPr>
        <w:numPr>
          <w:ilvl w:val="0"/>
          <w:numId w:val="6"/>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Eiropas Robežu un krasta apsardzes un citu valsts iestāžu, kas veic citus uzdevumus pie robežas, starpaģentūru sadarbībai ES un valstu līmenī būtu jābalstās uz skaidru juridisko pamatu, tai skaitā valsts tiesību aktiem. Šim juridiskajam pamatam būtu jāatspoguļo attiecīgo dalībvalstu publiskās pārvaldes un institucionālās vides kompetences sadale un īpatnības, un tas būtu jāīsteno ar sadarbības nolīgumiem un konkrētām darbībām. Galvenās sadarbības jomas ir efektīva informācijas apmaiņa, kopīga riska analīze, kopīgas operācijas un kopīga Eiropas un valstu spēju izmantošana saskaņā ar piešķirtajām pilnvarām.</w:t>
      </w:r>
    </w:p>
    <w:p w:rsidR="00263099" w:rsidRPr="00263099" w:rsidRDefault="00263099" w:rsidP="00263099">
      <w:pPr>
        <w:numPr>
          <w:ilvl w:val="0"/>
          <w:numId w:val="6"/>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ES un valstu līmenī būtu pilnvērtīgi jāizmanto pašreizējie un turpmākie informācijas apmaiņas rīki, jo īpaši </w:t>
      </w:r>
      <w:r>
        <w:rPr>
          <w:rFonts w:ascii="Times New Roman" w:hAnsi="Times New Roman"/>
          <w:i/>
          <w:iCs/>
          <w:noProof/>
          <w:sz w:val="24"/>
        </w:rPr>
        <w:t>EUROSUR</w:t>
      </w:r>
      <w:r>
        <w:rPr>
          <w:rFonts w:ascii="Times New Roman" w:hAnsi="Times New Roman"/>
          <w:noProof/>
          <w:sz w:val="24"/>
        </w:rPr>
        <w:t xml:space="preserve">. Šajā kontekstā būtu jānodrošina rezultatīva sadarbība un koordinācija valstu iestādes, kas piedalās ERKA darbībās, un starp tām, kā arī pašā </w:t>
      </w:r>
      <w:r>
        <w:rPr>
          <w:rFonts w:ascii="Times New Roman" w:hAnsi="Times New Roman"/>
          <w:i/>
          <w:iCs/>
          <w:noProof/>
          <w:sz w:val="24"/>
        </w:rPr>
        <w:t>Frontex</w:t>
      </w:r>
      <w:r>
        <w:rPr>
          <w:rFonts w:ascii="Times New Roman" w:hAnsi="Times New Roman"/>
          <w:noProof/>
          <w:sz w:val="24"/>
        </w:rPr>
        <w:t xml:space="preserve">. Šāda sadarbība un koordinācija būtu jānodrošina </w:t>
      </w:r>
      <w:r>
        <w:rPr>
          <w:rFonts w:ascii="Times New Roman" w:hAnsi="Times New Roman"/>
          <w:i/>
          <w:iCs/>
          <w:noProof/>
          <w:sz w:val="24"/>
        </w:rPr>
        <w:t>EUROSUR</w:t>
      </w:r>
      <w:r>
        <w:rPr>
          <w:rFonts w:ascii="Times New Roman" w:hAnsi="Times New Roman"/>
          <w:noProof/>
          <w:sz w:val="24"/>
        </w:rPr>
        <w:t xml:space="preserve"> ietvaros, jo īpaši katrā NKC.</w:t>
      </w:r>
    </w:p>
    <w:p w:rsidR="00263099" w:rsidRPr="00263099" w:rsidRDefault="00263099" w:rsidP="00263099">
      <w:pPr>
        <w:numPr>
          <w:ilvl w:val="0"/>
          <w:numId w:val="6"/>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Muitas kontrole nav Šengenas </w:t>
      </w:r>
      <w:r>
        <w:rPr>
          <w:rFonts w:ascii="Times New Roman" w:hAnsi="Times New Roman"/>
          <w:i/>
          <w:iCs/>
          <w:noProof/>
          <w:sz w:val="24"/>
        </w:rPr>
        <w:t>acquis</w:t>
      </w:r>
      <w:r>
        <w:rPr>
          <w:rFonts w:ascii="Times New Roman" w:hAnsi="Times New Roman"/>
          <w:noProof/>
          <w:sz w:val="24"/>
        </w:rPr>
        <w:t xml:space="preserve"> daļa, un ne visas Šengenas valstis ir muitas savienības dalībvalstis. Tāpēc muitas kontrole nav tieša EIRP koncepcijas daļa. Tomēr muitas dienesti un citas iestādes, kas strādā pie ārējām robežām, ir iesaistītas EIRP īstenošanā, proti, starpaģentūru sadarbības sastāvdaļā. Būtu jāturpina attīstīt </w:t>
      </w:r>
      <w:r>
        <w:rPr>
          <w:rFonts w:ascii="Times New Roman" w:hAnsi="Times New Roman"/>
          <w:b/>
          <w:noProof/>
          <w:sz w:val="24"/>
        </w:rPr>
        <w:t>robežsardzes un muitas dienestu</w:t>
      </w:r>
      <w:r>
        <w:rPr>
          <w:rFonts w:ascii="Times New Roman" w:hAnsi="Times New Roman"/>
          <w:noProof/>
          <w:sz w:val="24"/>
        </w:rPr>
        <w:t xml:space="preserve"> kā stratēģisko partneru sadarbību visos līmeņos, lai panāktu labāku personu un preču kontroles integrāciju un garantētu netraucētu un drošu robežšķērsošanu. Konkrēti tas nozīmē, ka attiecībā uz robežsardzes un muitas dienestu sadarbību vajadzētu būt skaidri noteiktam tiesiskajam regulējumam, kas ietver skaidri definētu darba dalījumu, funkcionālas sadarbības struktūras un sadarbspējīgu tehnisko vidi, kas nodrošina ciešu un praktisku sadarbību visos līmeņos. Turpinot attīstīt šo sadarbību, par pamatu būtu jāizmanto Komisijas sagatavotie </w:t>
      </w:r>
      <w:r>
        <w:rPr>
          <w:rFonts w:ascii="Times New Roman" w:hAnsi="Times New Roman"/>
          <w:i/>
          <w:noProof/>
          <w:sz w:val="24"/>
        </w:rPr>
        <w:t>ieteikumi muitas pārvaldes un robežsardzes iestāžu sadarbībai</w:t>
      </w:r>
      <w:r w:rsidRPr="00263099">
        <w:rPr>
          <w:rFonts w:ascii="Times New Roman" w:eastAsia="Calibri" w:hAnsi="Times New Roman" w:cs="Times New Roman"/>
          <w:noProof/>
          <w:sz w:val="24"/>
          <w:szCs w:val="24"/>
          <w:vertAlign w:val="superscript"/>
          <w:lang w:val="en-GB"/>
        </w:rPr>
        <w:footnoteReference w:id="15"/>
      </w:r>
      <w:r>
        <w:rPr>
          <w:rFonts w:ascii="Times New Roman" w:hAnsi="Times New Roman"/>
          <w:noProof/>
          <w:sz w:val="24"/>
        </w:rPr>
        <w:t>. Turklāt attiecībā uz iepriekš minēto sadarbību Lietpratēju grupa par muitas problēmām secināja, ka viena no iespējām varētu būt muitas iestāžu integrētāka iesaistīšana</w:t>
      </w:r>
      <w:r w:rsidRPr="00263099">
        <w:rPr>
          <w:rFonts w:ascii="Times New Roman" w:eastAsia="Calibri" w:hAnsi="Times New Roman" w:cs="Times New Roman"/>
          <w:noProof/>
          <w:sz w:val="24"/>
          <w:szCs w:val="24"/>
          <w:vertAlign w:val="superscript"/>
          <w:lang w:val="en-GB"/>
        </w:rPr>
        <w:footnoteReference w:id="16"/>
      </w:r>
      <w:r>
        <w:rPr>
          <w:rFonts w:ascii="Times New Roman" w:hAnsi="Times New Roman"/>
          <w:noProof/>
          <w:sz w:val="24"/>
        </w:rPr>
        <w:t>.</w:t>
      </w:r>
    </w:p>
    <w:p w:rsidR="00263099" w:rsidRPr="00263099" w:rsidRDefault="00263099" w:rsidP="00263099">
      <w:pPr>
        <w:numPr>
          <w:ilvl w:val="0"/>
          <w:numId w:val="6"/>
        </w:numPr>
        <w:tabs>
          <w:tab w:val="left" w:pos="3090"/>
        </w:tabs>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Valsts līmenī būtu jāturpina attīstīt </w:t>
      </w:r>
      <w:r>
        <w:rPr>
          <w:rFonts w:ascii="Times New Roman" w:hAnsi="Times New Roman"/>
          <w:b/>
          <w:noProof/>
          <w:sz w:val="24"/>
        </w:rPr>
        <w:t>sadarbību tiesībaizsardzības un militārajā jomā</w:t>
      </w:r>
      <w:r>
        <w:rPr>
          <w:rFonts w:ascii="Times New Roman" w:hAnsi="Times New Roman"/>
          <w:noProof/>
          <w:sz w:val="24"/>
        </w:rPr>
        <w:t>, kas saistīta ar atbalstu robežu pārvaldībai un pārrobežu noziedzības apkarošanai. Tas nodrošinās labāku koordināciju un produktīvu un rentablu informācijas, spēju un sistēmu izmantošanu. Šāda sadarbība ir nepieciešama, kad tiek veikti pārrobežu noziedzības, terorisma un neatbilstīgas imigrācijas novēršanas pasākumi un jāsniedz palīdzība migrantu dzīvību glābšanā. Šādai sadarbībai būtu jānosaka skaidrs juridiskais pamats, nolīgumi un standarta darbības procedūras. Atbildība par robežkontroles funkcijām vienmēr būtu jāuzņemas atbildīgajām tiesībaizsardzības iestādēm.</w:t>
      </w:r>
    </w:p>
    <w:p w:rsidR="00263099" w:rsidRPr="00263099" w:rsidRDefault="00263099" w:rsidP="00263099">
      <w:pPr>
        <w:pBdr>
          <w:top w:val="single" w:sz="4" w:space="1" w:color="auto"/>
          <w:left w:val="single" w:sz="4" w:space="4" w:color="auto"/>
          <w:bottom w:val="single" w:sz="4" w:space="1" w:color="auto"/>
          <w:right w:val="single" w:sz="4" w:space="4" w:color="auto"/>
        </w:pBdr>
        <w:shd w:val="clear" w:color="auto" w:fill="DAEEF3"/>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6. sastāvdaļa:</w:t>
      </w:r>
      <w:r>
        <w:rPr>
          <w:rFonts w:ascii="Times New Roman" w:hAnsi="Times New Roman"/>
          <w:noProof/>
          <w:sz w:val="24"/>
        </w:rPr>
        <w:t xml:space="preserve"> “</w:t>
      </w:r>
      <w:r>
        <w:rPr>
          <w:rFonts w:ascii="Times New Roman" w:hAnsi="Times New Roman"/>
          <w:i/>
          <w:noProof/>
          <w:sz w:val="24"/>
          <w:u w:val="single"/>
        </w:rPr>
        <w:t>sadarbība</w:t>
      </w:r>
      <w:r>
        <w:rPr>
          <w:rFonts w:ascii="Times New Roman" w:hAnsi="Times New Roman"/>
          <w:i/>
          <w:noProof/>
          <w:sz w:val="24"/>
        </w:rPr>
        <w:t xml:space="preserve"> starp attiecīgajām Savienības iestādēm, struktūrām, birojiem un aģentūrām jomās, uz kurām attiecas [ERKA] regula, tostarp izmantojot regulāru informācijas apmaiņu</w:t>
      </w:r>
      <w:r>
        <w:rPr>
          <w:rFonts w:ascii="Times New Roman" w:hAnsi="Times New Roman"/>
          <w:noProof/>
          <w:sz w:val="24"/>
        </w:rPr>
        <w:t>”</w:t>
      </w:r>
      <w:r w:rsidRPr="00263099">
        <w:rPr>
          <w:rFonts w:ascii="Times New Roman" w:eastAsia="Times New Roman" w:hAnsi="Times New Roman" w:cs="Times New Roman"/>
          <w:i/>
          <w:noProof/>
          <w:sz w:val="24"/>
          <w:szCs w:val="24"/>
          <w:vertAlign w:val="superscript"/>
          <w:lang w:val="en-GB" w:eastAsia="en-GB"/>
        </w:rPr>
        <w:footnoteReference w:id="17"/>
      </w:r>
      <w:r>
        <w:rPr>
          <w:rFonts w:ascii="Times New Roman" w:hAnsi="Times New Roman"/>
          <w:noProof/>
          <w:sz w:val="24"/>
        </w:rPr>
        <w:t>.</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Politikas prioritātes</w:t>
      </w:r>
    </w:p>
    <w:p w:rsidR="00263099" w:rsidRPr="00263099" w:rsidRDefault="00263099" w:rsidP="00263099">
      <w:pPr>
        <w:spacing w:after="0" w:line="240" w:lineRule="auto"/>
        <w:rPr>
          <w:rFonts w:ascii="Times New Roman" w:eastAsia="Times New Roman" w:hAnsi="Times New Roman" w:cs="Times New Roman"/>
          <w:noProof/>
          <w:sz w:val="24"/>
          <w:szCs w:val="24"/>
        </w:rPr>
      </w:pPr>
      <w:r>
        <w:rPr>
          <w:rFonts w:ascii="Times New Roman" w:hAnsi="Times New Roman"/>
          <w:noProof/>
          <w:sz w:val="24"/>
        </w:rPr>
        <w:t>Eiropas integrētajai robežu pārvaldībai vajadzētu būt balstītai uz sadarbību. Lai nodrošinātu visaptverošu, starpnozaru, vienotu un rentablu EIRP īstenošanu, būtu pienācīgi jāizveido Eiropas Robežu un krasta apsardzes starpaģentūru sadarbība ar citām Eiropas ieinteresētajām personām.</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Stratēģiskās vadlīnijas</w:t>
      </w:r>
    </w:p>
    <w:p w:rsidR="00263099" w:rsidRPr="00263099" w:rsidRDefault="00263099" w:rsidP="00263099">
      <w:pPr>
        <w:spacing w:after="200" w:line="276" w:lineRule="auto"/>
        <w:ind w:left="360"/>
        <w:contextualSpacing/>
        <w:jc w:val="both"/>
        <w:rPr>
          <w:rFonts w:ascii="Times New Roman" w:eastAsia="Calibri" w:hAnsi="Times New Roman" w:cs="Times New Roman"/>
          <w:noProof/>
          <w:sz w:val="24"/>
          <w:szCs w:val="24"/>
          <w:lang w:val="en-GB"/>
        </w:rPr>
      </w:pPr>
    </w:p>
    <w:p w:rsidR="00263099" w:rsidRPr="00263099" w:rsidRDefault="00263099" w:rsidP="00263099">
      <w:pPr>
        <w:numPr>
          <w:ilvl w:val="0"/>
          <w:numId w:val="19"/>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Starpaģentūru sadarbība ES līmenī būtu jāīsteno ar </w:t>
      </w:r>
      <w:r>
        <w:rPr>
          <w:rFonts w:ascii="Times New Roman" w:hAnsi="Times New Roman"/>
          <w:b/>
          <w:noProof/>
          <w:sz w:val="24"/>
        </w:rPr>
        <w:t>sadarbības nolīgumiem</w:t>
      </w:r>
      <w:r>
        <w:rPr>
          <w:rFonts w:ascii="Times New Roman" w:hAnsi="Times New Roman"/>
          <w:noProof/>
          <w:sz w:val="24"/>
        </w:rPr>
        <w:t xml:space="preserve">, jo īpaši ar darba vienošanās dokumentiem, ko </w:t>
      </w:r>
      <w:r>
        <w:rPr>
          <w:rFonts w:ascii="Times New Roman" w:hAnsi="Times New Roman"/>
          <w:i/>
          <w:iCs/>
          <w:noProof/>
          <w:sz w:val="24"/>
        </w:rPr>
        <w:t>Frontex</w:t>
      </w:r>
      <w:r>
        <w:rPr>
          <w:rFonts w:ascii="Times New Roman" w:hAnsi="Times New Roman"/>
          <w:noProof/>
          <w:sz w:val="24"/>
        </w:rPr>
        <w:t xml:space="preserve"> noslēdz ar attiecīgajām ERKA regulas 68. pantā minētajām ES iestādēm, struktūrām, birojiem un aģentūrām. Galvenās sadarbības jomas ir saistītas ar efektīvu informācijas apmaiņu, kopīgu riska analīzi, kopīgām operācijām un Eiropas spēju kopēju izmantošanu saskaņā ar piešķirtajām pilnvarām. ES līmenī būtu jāturpina attīstīt uz riska analīzi balstītu </w:t>
      </w:r>
      <w:r>
        <w:rPr>
          <w:rFonts w:ascii="Times New Roman" w:hAnsi="Times New Roman"/>
          <w:b/>
          <w:noProof/>
          <w:sz w:val="24"/>
        </w:rPr>
        <w:t>vairākmērķu operāciju</w:t>
      </w:r>
      <w:r>
        <w:rPr>
          <w:rFonts w:ascii="Times New Roman" w:hAnsi="Times New Roman"/>
          <w:noProof/>
          <w:sz w:val="24"/>
        </w:rPr>
        <w:t xml:space="preserve"> koncepciju, vienlaikus pilnībā ievērojot šādās operācijās iesaistīto ES līmeņa dalībnieku galvenos uzdevumus un pienākumus.</w:t>
      </w:r>
    </w:p>
    <w:p w:rsidR="00263099" w:rsidRPr="00263099" w:rsidRDefault="00263099" w:rsidP="00263099">
      <w:pPr>
        <w:numPr>
          <w:ilvl w:val="0"/>
          <w:numId w:val="19"/>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ES līmenī operacionālajās darbībās būtu pilnvērtīgi jāizmanto pašreizējie un turpmākie informācijas apmaiņas rīki, jo īpaši </w:t>
      </w:r>
      <w:r>
        <w:rPr>
          <w:rFonts w:ascii="Times New Roman" w:hAnsi="Times New Roman"/>
          <w:i/>
          <w:iCs/>
          <w:noProof/>
          <w:sz w:val="24"/>
        </w:rPr>
        <w:t>EUROSUR</w:t>
      </w:r>
      <w:r>
        <w:rPr>
          <w:rFonts w:ascii="Times New Roman" w:hAnsi="Times New Roman"/>
          <w:noProof/>
          <w:sz w:val="24"/>
        </w:rPr>
        <w:t xml:space="preserve">. Lai dalībvalstīm un </w:t>
      </w:r>
      <w:r>
        <w:rPr>
          <w:rFonts w:ascii="Times New Roman" w:hAnsi="Times New Roman"/>
          <w:i/>
          <w:iCs/>
          <w:noProof/>
          <w:sz w:val="24"/>
        </w:rPr>
        <w:t>Frontex</w:t>
      </w:r>
      <w:r>
        <w:rPr>
          <w:rFonts w:ascii="Times New Roman" w:hAnsi="Times New Roman"/>
          <w:noProof/>
          <w:sz w:val="24"/>
        </w:rPr>
        <w:t xml:space="preserve"> sniegtu ar EIRP saistītus informācijas pakalpojumus ar pievienoto vērtību, būtu jāturpina attīstīt informācijas vākšanu, ko veic </w:t>
      </w:r>
      <w:r>
        <w:rPr>
          <w:rFonts w:ascii="Times New Roman" w:hAnsi="Times New Roman"/>
          <w:i/>
          <w:iCs/>
          <w:noProof/>
          <w:sz w:val="24"/>
        </w:rPr>
        <w:t>EUROSUR</w:t>
      </w:r>
      <w:r>
        <w:rPr>
          <w:rFonts w:ascii="Times New Roman" w:hAnsi="Times New Roman"/>
          <w:noProof/>
          <w:sz w:val="24"/>
        </w:rPr>
        <w:t xml:space="preserve"> sapludināšanas pakalpojumi, piemērojot darba vienošanās, kas noslēgtas starp </w:t>
      </w:r>
      <w:r>
        <w:rPr>
          <w:rFonts w:ascii="Times New Roman" w:hAnsi="Times New Roman"/>
          <w:i/>
          <w:iCs/>
          <w:noProof/>
          <w:sz w:val="24"/>
        </w:rPr>
        <w:t>Frontex</w:t>
      </w:r>
      <w:r>
        <w:rPr>
          <w:rFonts w:ascii="Times New Roman" w:hAnsi="Times New Roman"/>
          <w:noProof/>
          <w:sz w:val="24"/>
        </w:rPr>
        <w:t xml:space="preserve"> un attiecīgajām ES iestādēm, struktūrām, birojiem un aģentūrām.</w:t>
      </w:r>
    </w:p>
    <w:p w:rsidR="00263099" w:rsidRPr="00263099" w:rsidRDefault="00263099" w:rsidP="00263099">
      <w:pPr>
        <w:numPr>
          <w:ilvl w:val="0"/>
          <w:numId w:val="19"/>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Būtu jāturpina attīstīt </w:t>
      </w:r>
      <w:r>
        <w:rPr>
          <w:rFonts w:ascii="Times New Roman" w:hAnsi="Times New Roman"/>
          <w:b/>
          <w:noProof/>
          <w:sz w:val="24"/>
        </w:rPr>
        <w:t>Eiropas sadarbību krasta apsardzes funkciju jomā</w:t>
      </w:r>
      <w:r>
        <w:rPr>
          <w:rFonts w:ascii="Times New Roman" w:hAnsi="Times New Roman"/>
          <w:noProof/>
          <w:sz w:val="24"/>
        </w:rPr>
        <w:t>, lai uzlabotu jūrlietu situācijas apzināšanos un reaģēšanas spējas, kā arī lai atbalstītu saskaņotu un izmaksu ziņā efektīvu rīcību ES un valstu līmenī. Lai veicinātu saskaņotu šīs sadarbības īstenošanu ES un valstu līmenī, būtu plaši jāpiemēro praktiskā rokasgrāmata par Eiropas sadarbību krasta apsardzes funkciju jomā</w:t>
      </w:r>
      <w:r w:rsidRPr="00263099">
        <w:rPr>
          <w:rFonts w:ascii="Times New Roman" w:eastAsia="Calibri" w:hAnsi="Times New Roman" w:cs="Times New Roman"/>
          <w:noProof/>
          <w:sz w:val="24"/>
          <w:szCs w:val="24"/>
          <w:vertAlign w:val="superscript"/>
          <w:lang w:val="en-GB"/>
        </w:rPr>
        <w:footnoteReference w:id="18"/>
      </w:r>
      <w:r>
        <w:rPr>
          <w:rFonts w:ascii="Times New Roman" w:hAnsi="Times New Roman"/>
          <w:noProof/>
          <w:sz w:val="24"/>
        </w:rPr>
        <w:t>.</w:t>
      </w:r>
    </w:p>
    <w:p w:rsidR="00263099" w:rsidRPr="00263099" w:rsidRDefault="00263099" w:rsidP="00263099">
      <w:pPr>
        <w:numPr>
          <w:ilvl w:val="0"/>
          <w:numId w:val="19"/>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Lai garantētu efektīvāku dažādu instrumentu izmantošanu, būtu jāturpina īstenot un vajadzības gadījumā attīstīt attiecīgo ES mēroga informācijas sistēmu (IIS, </w:t>
      </w:r>
      <w:r>
        <w:rPr>
          <w:rFonts w:ascii="Times New Roman" w:hAnsi="Times New Roman"/>
          <w:i/>
          <w:iCs/>
          <w:noProof/>
          <w:sz w:val="24"/>
        </w:rPr>
        <w:t>ETIAS</w:t>
      </w:r>
      <w:r>
        <w:rPr>
          <w:rFonts w:ascii="Times New Roman" w:hAnsi="Times New Roman"/>
          <w:noProof/>
          <w:sz w:val="24"/>
        </w:rPr>
        <w:t xml:space="preserve">, </w:t>
      </w:r>
      <w:r>
        <w:rPr>
          <w:rFonts w:ascii="Times New Roman" w:hAnsi="Times New Roman"/>
          <w:i/>
          <w:iCs/>
          <w:noProof/>
          <w:sz w:val="24"/>
        </w:rPr>
        <w:t>SIS</w:t>
      </w:r>
      <w:r>
        <w:rPr>
          <w:rFonts w:ascii="Times New Roman" w:hAnsi="Times New Roman"/>
          <w:noProof/>
          <w:sz w:val="24"/>
        </w:rPr>
        <w:t xml:space="preserve">, VIS) </w:t>
      </w:r>
      <w:r>
        <w:rPr>
          <w:rFonts w:ascii="Times New Roman" w:hAnsi="Times New Roman"/>
          <w:b/>
          <w:noProof/>
          <w:sz w:val="24"/>
        </w:rPr>
        <w:t>sadarbspēju</w:t>
      </w:r>
      <w:r>
        <w:rPr>
          <w:rFonts w:ascii="Times New Roman" w:hAnsi="Times New Roman"/>
          <w:noProof/>
          <w:sz w:val="24"/>
        </w:rPr>
        <w:t xml:space="preserve">. </w:t>
      </w:r>
    </w:p>
    <w:p w:rsidR="00263099" w:rsidRPr="00263099" w:rsidRDefault="00263099" w:rsidP="00263099">
      <w:pPr>
        <w:numPr>
          <w:ilvl w:val="0"/>
          <w:numId w:val="19"/>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Vajadzības gadījumā būtu jāpiemēro </w:t>
      </w:r>
      <w:r>
        <w:rPr>
          <w:rFonts w:ascii="Times New Roman" w:hAnsi="Times New Roman"/>
          <w:b/>
          <w:noProof/>
          <w:sz w:val="24"/>
        </w:rPr>
        <w:t>karsto punktu koncepcija</w:t>
      </w:r>
      <w:r>
        <w:rPr>
          <w:rFonts w:ascii="Times New Roman" w:hAnsi="Times New Roman"/>
          <w:noProof/>
          <w:sz w:val="24"/>
        </w:rPr>
        <w:t>, tai skaitā standarta darbības procedūras. Visām attiecīgajām aģentūrām (</w:t>
      </w:r>
      <w:r>
        <w:rPr>
          <w:rFonts w:ascii="Times New Roman" w:hAnsi="Times New Roman"/>
          <w:i/>
          <w:iCs/>
          <w:noProof/>
          <w:sz w:val="24"/>
        </w:rPr>
        <w:t>Frontex</w:t>
      </w:r>
      <w:r>
        <w:rPr>
          <w:rFonts w:ascii="Times New Roman" w:hAnsi="Times New Roman"/>
          <w:noProof/>
          <w:sz w:val="24"/>
        </w:rPr>
        <w:t xml:space="preserve">, ES Patvēruma aģentūrai, Eiropolam un </w:t>
      </w:r>
      <w:r>
        <w:rPr>
          <w:rFonts w:ascii="Times New Roman" w:hAnsi="Times New Roman"/>
          <w:i/>
          <w:iCs/>
          <w:noProof/>
          <w:sz w:val="24"/>
        </w:rPr>
        <w:t>FRA</w:t>
      </w:r>
      <w:r>
        <w:rPr>
          <w:rFonts w:ascii="Times New Roman" w:hAnsi="Times New Roman"/>
          <w:noProof/>
          <w:sz w:val="24"/>
        </w:rPr>
        <w:t xml:space="preserve">) vajadzētu būt pastāvīgā gatavībā atbalstīt rīcību karstajos punktos saskaņā ar pieņemto koncepciju. </w:t>
      </w:r>
      <w:r>
        <w:rPr>
          <w:rFonts w:ascii="Times New Roman" w:hAnsi="Times New Roman"/>
          <w:b/>
          <w:noProof/>
          <w:sz w:val="24"/>
        </w:rPr>
        <w:t>Dalībvalstīm</w:t>
      </w:r>
      <w:r>
        <w:rPr>
          <w:rFonts w:ascii="Times New Roman" w:hAnsi="Times New Roman"/>
          <w:noProof/>
          <w:sz w:val="24"/>
        </w:rPr>
        <w:t xml:space="preserve"> vajadzētu būt juridiski un operatīvi gatavām pārvaldīt karstos punktus savā teritorijā vai atbalstīt rīcību Eiropas karstajos punktos.</w:t>
      </w:r>
    </w:p>
    <w:p w:rsidR="00263099" w:rsidRPr="00263099" w:rsidRDefault="00263099" w:rsidP="00263099">
      <w:pPr>
        <w:numPr>
          <w:ilvl w:val="0"/>
          <w:numId w:val="19"/>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Visos procesa posmos būtu jāpastiprina koordinācija un sadarbība starp Eiropolu un </w:t>
      </w:r>
      <w:r>
        <w:rPr>
          <w:rFonts w:ascii="Times New Roman" w:hAnsi="Times New Roman"/>
          <w:i/>
          <w:iCs/>
          <w:noProof/>
          <w:sz w:val="24"/>
        </w:rPr>
        <w:t>Frontex</w:t>
      </w:r>
      <w:r>
        <w:rPr>
          <w:rFonts w:ascii="Times New Roman" w:hAnsi="Times New Roman"/>
          <w:noProof/>
          <w:sz w:val="24"/>
        </w:rPr>
        <w:t xml:space="preserve"> un kompetentajām valstu iestādēm saistībā ar </w:t>
      </w:r>
      <w:r>
        <w:rPr>
          <w:rFonts w:ascii="Times New Roman" w:hAnsi="Times New Roman"/>
          <w:b/>
          <w:noProof/>
          <w:sz w:val="24"/>
        </w:rPr>
        <w:t>ES politikas plānošanas ciklu</w:t>
      </w:r>
      <w:r>
        <w:rPr>
          <w:rFonts w:ascii="Times New Roman" w:hAnsi="Times New Roman"/>
          <w:noProof/>
          <w:sz w:val="24"/>
        </w:rPr>
        <w:t xml:space="preserve"> organizētās noziedzības apkarošanas jomā. </w:t>
      </w:r>
      <w:r>
        <w:rPr>
          <w:rFonts w:ascii="Times New Roman" w:hAnsi="Times New Roman"/>
          <w:i/>
          <w:iCs/>
          <w:noProof/>
          <w:sz w:val="24"/>
        </w:rPr>
        <w:t>Frontex</w:t>
      </w:r>
      <w:r>
        <w:rPr>
          <w:rFonts w:ascii="Times New Roman" w:hAnsi="Times New Roman"/>
          <w:noProof/>
          <w:sz w:val="24"/>
        </w:rPr>
        <w:t xml:space="preserve"> un valstu robežsardzes iestāžu aktīvai līdzdalībai galvenokārt vajadzētu būt vērstai uz tām stratēģiskajām prioritārajām jomām, kas ir tieši saistītas ar ārējām robežām un robežkontroles uzdevumiem.</w:t>
      </w:r>
    </w:p>
    <w:p w:rsidR="00263099" w:rsidRPr="00263099" w:rsidRDefault="00263099" w:rsidP="00263099">
      <w:pPr>
        <w:numPr>
          <w:ilvl w:val="0"/>
          <w:numId w:val="19"/>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Turklāt </w:t>
      </w:r>
      <w:r>
        <w:rPr>
          <w:rFonts w:ascii="Times New Roman" w:hAnsi="Times New Roman"/>
          <w:i/>
          <w:iCs/>
          <w:noProof/>
          <w:sz w:val="24"/>
        </w:rPr>
        <w:t>Frontex</w:t>
      </w:r>
      <w:r>
        <w:rPr>
          <w:rFonts w:ascii="Times New Roman" w:hAnsi="Times New Roman"/>
          <w:noProof/>
          <w:sz w:val="24"/>
        </w:rPr>
        <w:t xml:space="preserve"> būtu jāiesaistās sadarbībā ar Komisiju (arī </w:t>
      </w:r>
      <w:r>
        <w:rPr>
          <w:rFonts w:ascii="Times New Roman" w:hAnsi="Times New Roman"/>
          <w:i/>
          <w:iCs/>
          <w:noProof/>
          <w:sz w:val="24"/>
        </w:rPr>
        <w:t>OLAF</w:t>
      </w:r>
      <w:r>
        <w:rPr>
          <w:rFonts w:ascii="Times New Roman" w:hAnsi="Times New Roman"/>
          <w:noProof/>
          <w:sz w:val="24"/>
        </w:rPr>
        <w:t xml:space="preserve">), jo īpaši nolūkā konsultēt par robežu pārvaldības pasākumu izstrādi trešās valstīs, un attiecīgā gadījumā ar dalībvalstīm un Eiropas Ārējās darbības dienestu darbībās, kas saistītas ar </w:t>
      </w:r>
      <w:r>
        <w:rPr>
          <w:rFonts w:ascii="Times New Roman" w:hAnsi="Times New Roman"/>
          <w:b/>
          <w:noProof/>
          <w:sz w:val="24"/>
        </w:rPr>
        <w:t>muitas jomu</w:t>
      </w:r>
      <w:r>
        <w:rPr>
          <w:rFonts w:ascii="Times New Roman" w:hAnsi="Times New Roman"/>
          <w:noProof/>
          <w:sz w:val="24"/>
        </w:rPr>
        <w:t>, tai skaitā riska pārvaldību un krāpšanas apkarošanu, ja šīs darbības ir savstarpēji papildinošas.</w:t>
      </w:r>
    </w:p>
    <w:p w:rsidR="00263099" w:rsidRPr="00127656" w:rsidRDefault="00263099" w:rsidP="00263099">
      <w:pPr>
        <w:spacing w:after="0" w:line="240" w:lineRule="auto"/>
        <w:jc w:val="both"/>
        <w:rPr>
          <w:rFonts w:ascii="Times New Roman" w:eastAsia="Times New Roman" w:hAnsi="Times New Roman" w:cs="Times New Roman"/>
          <w:noProof/>
          <w:sz w:val="24"/>
          <w:szCs w:val="24"/>
          <w:lang w:eastAsia="en-GB"/>
        </w:rPr>
      </w:pPr>
    </w:p>
    <w:p w:rsidR="00263099" w:rsidRPr="00263099" w:rsidRDefault="00263099" w:rsidP="00263099">
      <w:pPr>
        <w:pBdr>
          <w:top w:val="single" w:sz="4" w:space="1" w:color="auto"/>
          <w:left w:val="single" w:sz="4" w:space="4" w:color="auto"/>
          <w:bottom w:val="single" w:sz="4" w:space="0" w:color="auto"/>
          <w:right w:val="single" w:sz="4" w:space="4" w:color="auto"/>
        </w:pBdr>
        <w:shd w:val="clear" w:color="auto" w:fill="DAEEF3"/>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7. sastāvdaļa: </w:t>
      </w:r>
      <w:r>
        <w:rPr>
          <w:rFonts w:ascii="Times New Roman" w:hAnsi="Times New Roman"/>
          <w:noProof/>
          <w:sz w:val="24"/>
        </w:rPr>
        <w:t>“</w:t>
      </w:r>
      <w:r>
        <w:rPr>
          <w:rFonts w:ascii="Times New Roman" w:hAnsi="Times New Roman"/>
          <w:i/>
          <w:noProof/>
          <w:sz w:val="24"/>
          <w:u w:val="single"/>
        </w:rPr>
        <w:t>sadarbība ar trešām valstīm</w:t>
      </w:r>
      <w:r>
        <w:rPr>
          <w:rFonts w:ascii="Times New Roman" w:hAnsi="Times New Roman"/>
          <w:i/>
          <w:noProof/>
          <w:sz w:val="24"/>
        </w:rPr>
        <w:t xml:space="preserve"> jomās, uz kurām attiecas [ERKA] regula, jo īpaši koncentrējoties uz kaimiņos esošām trešām valstīm un tām trešām valstīm, kuras riska analīzē ir identificētas kā nelikumīgas imigrācijas izcelsmes vai tranzīta valstis</w:t>
      </w:r>
      <w:r>
        <w:rPr>
          <w:rFonts w:ascii="Times New Roman" w:hAnsi="Times New Roman"/>
          <w:noProof/>
          <w:sz w:val="24"/>
        </w:rPr>
        <w:t>”</w:t>
      </w:r>
      <w:r w:rsidRPr="00263099">
        <w:rPr>
          <w:rFonts w:ascii="Times New Roman" w:eastAsia="Times New Roman" w:hAnsi="Times New Roman" w:cs="Times New Roman"/>
          <w:i/>
          <w:noProof/>
          <w:sz w:val="24"/>
          <w:szCs w:val="24"/>
          <w:vertAlign w:val="superscript"/>
          <w:lang w:val="en-GB" w:eastAsia="en-GB"/>
        </w:rPr>
        <w:footnoteReference w:id="19"/>
      </w:r>
      <w:r>
        <w:rPr>
          <w:rFonts w:ascii="Times New Roman" w:hAnsi="Times New Roman"/>
          <w:noProof/>
          <w:sz w:val="24"/>
        </w:rPr>
        <w:t>.</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Politikas prioritātes</w:t>
      </w: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Dalībvalstīm un aģentūrai ir jāsadarbojas ar trešām valstīm Eiropas integrētās robežu pārvaldības un migrācijas politikas īstenošanas nolūkā. Praktiskajai sadarbībai ar trešām valstīm ES un valstu līmenī EIRP jomā būtu jāatbilst kopējai ārpolitikai un drošības politikai un būtu pilnībā jāatbilst ES tiesību aktiem, tai skaitā pamattiesībām un neizraidīšanas principam, lai novērstu neatbilstīgu imigrāciju, veicinātu efektīvu atgriešanu, novērstu pārrobežu noziedzību un atvieglotu likumīgu ceļošanu.</w:t>
      </w:r>
    </w:p>
    <w:p w:rsidR="00263099" w:rsidRPr="00127656" w:rsidRDefault="00263099" w:rsidP="00263099">
      <w:pPr>
        <w:spacing w:after="0" w:line="240" w:lineRule="auto"/>
        <w:jc w:val="both"/>
        <w:rPr>
          <w:rFonts w:ascii="Times New Roman" w:eastAsia="Times New Roman" w:hAnsi="Times New Roman" w:cs="Times New Roman"/>
          <w:noProof/>
          <w:sz w:val="24"/>
          <w:szCs w:val="24"/>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Sadarbība ar trešām valstīm EIRP veicināšanā jo īpaši ir vērsta uz trešo valstu operacionālo un sadarbības spēju veidošanu robežkontroles, riska analīzes, atgriešanas un atpakaļuzņemšanas jomā. Šajā ziņā ļoti svarīga ir Eiropas vērtību un standartu popularizēšana trešās valstīs. Prioritāte būtu jāpiešķir ES kandidātvalstīm, ES kaimiņvalstīm un neatbilstīgās imigrācijas izcelsmes un tranzītvalstīm.</w:t>
      </w:r>
    </w:p>
    <w:p w:rsidR="00263099" w:rsidRPr="00127656" w:rsidRDefault="00263099" w:rsidP="00263099">
      <w:pPr>
        <w:autoSpaceDE w:val="0"/>
        <w:autoSpaceDN w:val="0"/>
        <w:adjustRightInd w:val="0"/>
        <w:spacing w:after="0" w:line="240" w:lineRule="auto"/>
        <w:rPr>
          <w:rFonts w:ascii="Times New Roman" w:eastAsia="Times New Roman" w:hAnsi="Times New Roman" w:cs="Times New Roman"/>
          <w:noProof/>
          <w:color w:val="000000"/>
          <w:sz w:val="24"/>
          <w:szCs w:val="24"/>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Stratēģiskās vadlīnijas</w:t>
      </w:r>
    </w:p>
    <w:p w:rsidR="00263099" w:rsidRPr="00263099" w:rsidRDefault="00263099" w:rsidP="00263099">
      <w:pPr>
        <w:numPr>
          <w:ilvl w:val="0"/>
          <w:numId w:val="7"/>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Sadarbībai ar trešām valstīm EIRP jomā būtu jābalstās uz </w:t>
      </w:r>
      <w:r>
        <w:rPr>
          <w:rFonts w:ascii="Times New Roman" w:hAnsi="Times New Roman"/>
          <w:b/>
          <w:noProof/>
          <w:sz w:val="24"/>
        </w:rPr>
        <w:t>nolīgumiem</w:t>
      </w:r>
      <w:r>
        <w:rPr>
          <w:rFonts w:ascii="Times New Roman" w:hAnsi="Times New Roman"/>
          <w:noProof/>
          <w:sz w:val="24"/>
        </w:rPr>
        <w:t>, kas atbilst Savienības tiesību aktiem, arī par persondatu aizsardzību. Šajos nolīgumos (tai skaitā statusa nolīgumos un darba vienošanās dokumentos) būtu jānosaka atbildīgās organizācijas, sadarbības struktūras un sadarbības joma, kā arī noteikumi par pienākumu sadali.</w:t>
      </w:r>
    </w:p>
    <w:p w:rsidR="00263099" w:rsidRPr="00263099" w:rsidRDefault="00263099" w:rsidP="00263099">
      <w:pPr>
        <w:numPr>
          <w:ilvl w:val="0"/>
          <w:numId w:val="7"/>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Vēlams veidot dalībvalstu un trešo valstu operacionālo sadarbību, ja vien šāda sadarbība ir saderīga ar </w:t>
      </w:r>
      <w:r>
        <w:rPr>
          <w:rFonts w:ascii="Times New Roman" w:hAnsi="Times New Roman"/>
          <w:i/>
          <w:iCs/>
          <w:noProof/>
          <w:sz w:val="24"/>
        </w:rPr>
        <w:t>Frontex</w:t>
      </w:r>
      <w:r>
        <w:rPr>
          <w:rFonts w:ascii="Times New Roman" w:hAnsi="Times New Roman"/>
          <w:noProof/>
          <w:sz w:val="24"/>
        </w:rPr>
        <w:t xml:space="preserve"> uzdevumiem. Dalībvalstīm būtu jāatturas no jebkurām darbībām, kas varētu traucēt aģentūras darbību vai tās mērķu sasniegšanu.</w:t>
      </w:r>
    </w:p>
    <w:p w:rsidR="00263099" w:rsidRPr="00263099" w:rsidRDefault="00263099" w:rsidP="00263099">
      <w:pPr>
        <w:numPr>
          <w:ilvl w:val="0"/>
          <w:numId w:val="7"/>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Informācijas apmaiņa, jo īpaši par </w:t>
      </w:r>
      <w:r>
        <w:rPr>
          <w:rFonts w:ascii="Times New Roman" w:hAnsi="Times New Roman"/>
          <w:i/>
          <w:iCs/>
          <w:noProof/>
          <w:sz w:val="24"/>
        </w:rPr>
        <w:t>EUROSUR</w:t>
      </w:r>
      <w:r>
        <w:rPr>
          <w:rFonts w:ascii="Times New Roman" w:hAnsi="Times New Roman"/>
          <w:noProof/>
          <w:sz w:val="24"/>
        </w:rPr>
        <w:t xml:space="preserve">, starp dalībvalstīm un trešām valstīm būtu jānodrošina saskaņā ar divpusējiem vai daudzpusējiem nolīgumiem. Šajā nolūkā dalībvalstīm būtu jāievēro Komisijas ieteikums par paraugnoteikumiem informācijas apmaiņai </w:t>
      </w:r>
      <w:r>
        <w:rPr>
          <w:rFonts w:ascii="Times New Roman" w:hAnsi="Times New Roman"/>
          <w:i/>
          <w:iCs/>
          <w:noProof/>
          <w:sz w:val="24"/>
        </w:rPr>
        <w:t>EUROSUR</w:t>
      </w:r>
      <w:r>
        <w:rPr>
          <w:rFonts w:ascii="Times New Roman" w:hAnsi="Times New Roman"/>
          <w:noProof/>
          <w:sz w:val="24"/>
        </w:rPr>
        <w:t xml:space="preserve"> ietvaros saskaņā ar ERKA regulas 76. panta 2. punktu</w:t>
      </w:r>
      <w:r w:rsidRPr="00263099">
        <w:rPr>
          <w:rFonts w:ascii="Times New Roman" w:eastAsia="Calibri" w:hAnsi="Times New Roman" w:cs="Times New Roman"/>
          <w:noProof/>
          <w:sz w:val="24"/>
          <w:szCs w:val="24"/>
          <w:vertAlign w:val="superscript"/>
          <w:lang w:val="en-GB"/>
        </w:rPr>
        <w:footnoteReference w:id="20"/>
      </w:r>
      <w:r>
        <w:rPr>
          <w:rFonts w:ascii="Times New Roman" w:hAnsi="Times New Roman"/>
          <w:noProof/>
          <w:sz w:val="24"/>
        </w:rPr>
        <w:t>.</w:t>
      </w:r>
    </w:p>
    <w:p w:rsidR="00263099" w:rsidRPr="00263099" w:rsidRDefault="00263099" w:rsidP="00263099">
      <w:pPr>
        <w:numPr>
          <w:ilvl w:val="0"/>
          <w:numId w:val="7"/>
        </w:numPr>
        <w:spacing w:after="200" w:line="276" w:lineRule="auto"/>
        <w:contextualSpacing/>
        <w:jc w:val="both"/>
        <w:rPr>
          <w:rFonts w:ascii="Times New Roman" w:eastAsia="Calibri" w:hAnsi="Times New Roman" w:cs="Times New Roman"/>
          <w:noProof/>
          <w:sz w:val="24"/>
          <w:szCs w:val="24"/>
        </w:rPr>
      </w:pPr>
      <w:r>
        <w:rPr>
          <w:rFonts w:ascii="Times New Roman" w:hAnsi="Times New Roman"/>
          <w:i/>
          <w:iCs/>
          <w:noProof/>
          <w:sz w:val="24"/>
        </w:rPr>
        <w:t>Frontex</w:t>
      </w:r>
      <w:r>
        <w:rPr>
          <w:rFonts w:ascii="Times New Roman" w:hAnsi="Times New Roman"/>
          <w:noProof/>
          <w:sz w:val="24"/>
        </w:rPr>
        <w:t xml:space="preserve"> būtu jāsagatavo ES līmeņa pārskats par pašreizējo operacionālo sadarbību ar trešām valstīm robežu pārvaldības un atgriešanas jomā. Tam būtu jābalstās uz informāciju, kas iegūta no dalībvalstīm, Komisijas un citām Eiropas struktūrām.</w:t>
      </w:r>
    </w:p>
    <w:p w:rsidR="00263099" w:rsidRPr="00263099" w:rsidRDefault="00263099" w:rsidP="00263099">
      <w:pPr>
        <w:numPr>
          <w:ilvl w:val="0"/>
          <w:numId w:val="7"/>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Veidojot konkrētus situācijas attēlus ar trešām personām </w:t>
      </w:r>
      <w:r>
        <w:rPr>
          <w:rFonts w:ascii="Times New Roman" w:hAnsi="Times New Roman"/>
          <w:i/>
          <w:iCs/>
          <w:noProof/>
          <w:sz w:val="24"/>
        </w:rPr>
        <w:t>EUROSUR</w:t>
      </w:r>
      <w:r>
        <w:rPr>
          <w:rFonts w:ascii="Times New Roman" w:hAnsi="Times New Roman"/>
          <w:noProof/>
          <w:sz w:val="24"/>
        </w:rPr>
        <w:t xml:space="preserve"> vajadzībām, dalībvalstīm un </w:t>
      </w:r>
      <w:r>
        <w:rPr>
          <w:rFonts w:ascii="Times New Roman" w:hAnsi="Times New Roman"/>
          <w:i/>
          <w:iCs/>
          <w:noProof/>
          <w:sz w:val="24"/>
        </w:rPr>
        <w:t>Frontex</w:t>
      </w:r>
      <w:r>
        <w:rPr>
          <w:rFonts w:ascii="Times New Roman" w:hAnsi="Times New Roman"/>
          <w:noProof/>
          <w:sz w:val="24"/>
        </w:rPr>
        <w:t xml:space="preserve"> būtu jāievēro un jāveicina </w:t>
      </w:r>
      <w:r>
        <w:rPr>
          <w:rFonts w:ascii="Times New Roman" w:hAnsi="Times New Roman"/>
          <w:i/>
          <w:iCs/>
          <w:noProof/>
          <w:sz w:val="24"/>
        </w:rPr>
        <w:t>Frontex</w:t>
      </w:r>
      <w:r>
        <w:rPr>
          <w:rFonts w:ascii="Times New Roman" w:hAnsi="Times New Roman"/>
          <w:noProof/>
          <w:sz w:val="24"/>
        </w:rPr>
        <w:t xml:space="preserve"> izstrādātie informācijas apmaiņas tehniskie un operacionālie standarti.</w:t>
      </w:r>
    </w:p>
    <w:p w:rsidR="00263099" w:rsidRPr="00263099" w:rsidRDefault="00263099" w:rsidP="00263099">
      <w:pPr>
        <w:numPr>
          <w:ilvl w:val="0"/>
          <w:numId w:val="7"/>
        </w:numPr>
        <w:spacing w:after="200" w:line="276" w:lineRule="auto"/>
        <w:contextualSpacing/>
        <w:jc w:val="both"/>
        <w:rPr>
          <w:rFonts w:ascii="Times New Roman" w:eastAsia="Calibri" w:hAnsi="Times New Roman" w:cs="Times New Roman"/>
          <w:noProof/>
          <w:sz w:val="24"/>
          <w:szCs w:val="24"/>
        </w:rPr>
      </w:pPr>
      <w:r>
        <w:rPr>
          <w:rFonts w:ascii="Times New Roman" w:hAnsi="Times New Roman"/>
          <w:i/>
          <w:iCs/>
          <w:noProof/>
          <w:sz w:val="24"/>
        </w:rPr>
        <w:t>Frontex</w:t>
      </w:r>
      <w:r>
        <w:rPr>
          <w:rFonts w:ascii="Times New Roman" w:hAnsi="Times New Roman"/>
          <w:noProof/>
          <w:sz w:val="24"/>
        </w:rPr>
        <w:t xml:space="preserve"> koordinētās operacionālās darbības trešās valstīs būtu jāplāno un jāīsteno saskaņā ar </w:t>
      </w:r>
      <w:r>
        <w:rPr>
          <w:rFonts w:ascii="Times New Roman" w:hAnsi="Times New Roman"/>
          <w:b/>
          <w:noProof/>
          <w:sz w:val="24"/>
        </w:rPr>
        <w:t>statusa nolīgumiem</w:t>
      </w:r>
      <w:r>
        <w:rPr>
          <w:rFonts w:ascii="Times New Roman" w:hAnsi="Times New Roman"/>
          <w:noProof/>
          <w:sz w:val="24"/>
        </w:rPr>
        <w:t xml:space="preserve"> starp ES un attiecīgo trešo valsti un/vai saskaņā ar </w:t>
      </w:r>
      <w:r>
        <w:rPr>
          <w:rFonts w:ascii="Times New Roman" w:hAnsi="Times New Roman"/>
          <w:b/>
          <w:noProof/>
          <w:sz w:val="24"/>
        </w:rPr>
        <w:t>darba vienošanās</w:t>
      </w:r>
      <w:r>
        <w:rPr>
          <w:rFonts w:ascii="Times New Roman" w:hAnsi="Times New Roman"/>
          <w:noProof/>
          <w:sz w:val="24"/>
        </w:rPr>
        <w:t xml:space="preserve"> dokumentiem, ko noslēgušas </w:t>
      </w:r>
      <w:r>
        <w:rPr>
          <w:rFonts w:ascii="Times New Roman" w:hAnsi="Times New Roman"/>
          <w:i/>
          <w:iCs/>
          <w:noProof/>
          <w:sz w:val="24"/>
        </w:rPr>
        <w:t>Frontex</w:t>
      </w:r>
      <w:r>
        <w:rPr>
          <w:rFonts w:ascii="Times New Roman" w:hAnsi="Times New Roman"/>
          <w:noProof/>
          <w:sz w:val="24"/>
        </w:rPr>
        <w:t xml:space="preserve"> un trešo valstu kompetentās iestādes (ja tādas ir). Gan statusa nolīgumiem, gan darba vienošanās dokumentiem būtu jābalstās uz attiecīgajiem Komisijas pieņemtajiem modeļiem</w:t>
      </w:r>
      <w:r w:rsidRPr="00263099">
        <w:rPr>
          <w:rFonts w:ascii="Times New Roman" w:eastAsia="Calibri" w:hAnsi="Times New Roman" w:cs="Times New Roman"/>
          <w:noProof/>
          <w:sz w:val="24"/>
          <w:szCs w:val="24"/>
          <w:vertAlign w:val="superscript"/>
          <w:lang w:val="en-GB"/>
        </w:rPr>
        <w:footnoteReference w:id="21"/>
      </w:r>
      <w:r>
        <w:rPr>
          <w:rFonts w:ascii="Times New Roman" w:hAnsi="Times New Roman"/>
          <w:noProof/>
          <w:sz w:val="24"/>
        </w:rPr>
        <w:t>.</w:t>
      </w:r>
    </w:p>
    <w:p w:rsidR="00263099" w:rsidRPr="00263099" w:rsidRDefault="00263099" w:rsidP="00263099">
      <w:pPr>
        <w:numPr>
          <w:ilvl w:val="0"/>
          <w:numId w:val="7"/>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Sadarbībai ar trešām valstīm ir jāatbilst ES tiesību aktiem, tai skaitā normām un standartiem, kas ir daļa no spēkā esošajiem ES tiesību aktiem, pat tad, ja sadarbība ar trešām valstīm notiek šo valstu teritorijā. Persondatu apmaiņai ar trešām valstīm ir jāatbilst ES datu aizsardzības tiesību aktu prasībām.</w:t>
      </w:r>
    </w:p>
    <w:p w:rsidR="00263099" w:rsidRPr="00263099" w:rsidRDefault="00263099" w:rsidP="00263099">
      <w:pPr>
        <w:numPr>
          <w:ilvl w:val="0"/>
          <w:numId w:val="7"/>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Būtu jāstiprina </w:t>
      </w:r>
      <w:r>
        <w:rPr>
          <w:rFonts w:ascii="Times New Roman" w:hAnsi="Times New Roman"/>
          <w:b/>
          <w:noProof/>
          <w:sz w:val="24"/>
        </w:rPr>
        <w:t>daudzpusējā un reģionālā sadarbība</w:t>
      </w:r>
      <w:r>
        <w:rPr>
          <w:rFonts w:ascii="Times New Roman" w:hAnsi="Times New Roman"/>
          <w:noProof/>
          <w:sz w:val="24"/>
        </w:rPr>
        <w:t xml:space="preserve"> ar trešām valstīm. Dalībvalstu nacionālie koordinācijas centri būtu jāizmanto kā kontaktpunkti informācijas apmaiņai ar kaimiņvalstīm un citām attiecīgajām valstīm.</w:t>
      </w:r>
    </w:p>
    <w:p w:rsidR="00263099" w:rsidRPr="00263099" w:rsidRDefault="00263099" w:rsidP="00263099">
      <w:pPr>
        <w:numPr>
          <w:ilvl w:val="0"/>
          <w:numId w:val="7"/>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Ja </w:t>
      </w:r>
      <w:r>
        <w:rPr>
          <w:rFonts w:ascii="Times New Roman" w:hAnsi="Times New Roman"/>
          <w:b/>
          <w:noProof/>
          <w:sz w:val="24"/>
        </w:rPr>
        <w:t>sadarbības koordinatoru tīkliem</w:t>
      </w:r>
      <w:r>
        <w:rPr>
          <w:rFonts w:ascii="Times New Roman" w:hAnsi="Times New Roman"/>
          <w:noProof/>
          <w:sz w:val="24"/>
        </w:rPr>
        <w:t xml:space="preserve"> ir identificējams potenciāls sniegt ieguldījumu dažādās ar integrēto robežu pārvaldību saistītās funkcijās ES un valstu līmenī, tie būtu efektīvi jākoordinē un tiem būtu jāsniedz pienācīgs atbalsts, lai maksimāli palielinātu to operacionālās spējas un lietderību. Visos līmeņos vajadzētu būt skaidri noteiktiem sadarbības un ziņošanas kanāliem un formām. Vajadzētu būt pastāvīgai un elastīgai spējai operacionālu vajadzību gadījumā dažādās vietās norīkot sadarbības koordinatorus ar attiecīgām prasmēm vai ekspertu grupas. </w:t>
      </w:r>
      <w:r>
        <w:rPr>
          <w:rFonts w:ascii="Times New Roman" w:hAnsi="Times New Roman"/>
          <w:i/>
          <w:iCs/>
          <w:noProof/>
          <w:sz w:val="24"/>
        </w:rPr>
        <w:t>Frontex</w:t>
      </w:r>
      <w:r>
        <w:rPr>
          <w:rFonts w:ascii="Times New Roman" w:hAnsi="Times New Roman"/>
          <w:noProof/>
          <w:sz w:val="24"/>
        </w:rPr>
        <w:t xml:space="preserve"> vajadzētu būt visaptverošam situācijas attēlam par dažādu veidu Eiropas sadarbības koordinatoriem (</w:t>
      </w:r>
      <w:r>
        <w:rPr>
          <w:rFonts w:ascii="Times New Roman" w:hAnsi="Times New Roman"/>
          <w:i/>
          <w:iCs/>
          <w:noProof/>
          <w:sz w:val="24"/>
        </w:rPr>
        <w:t>Frontex</w:t>
      </w:r>
      <w:r>
        <w:rPr>
          <w:rFonts w:ascii="Times New Roman" w:hAnsi="Times New Roman"/>
          <w:noProof/>
          <w:sz w:val="24"/>
        </w:rPr>
        <w:t xml:space="preserve"> sadarbības koordinatoriem, Eiropas migrācijas sadarbības koordinatoriem, Eiropas atgriešanas sadarbības koordinatoriem, citu aģentūru sadarbības koordinatoriem) un valstu imigrācijas sadarbības koordinatoriem, pamatojoties uz dalībvalstu un citu attiecīgo Eiropas struktūru sniegto informāciju. Savāktajai informācijai būtu jāpapildina riska analīze un situācijas apzināšanās ES un valstu līmenī, tai skaitā pierobežas izlūkdatu aina. </w:t>
      </w:r>
      <w:r>
        <w:rPr>
          <w:rFonts w:ascii="Times New Roman" w:hAnsi="Times New Roman"/>
          <w:i/>
          <w:iCs/>
          <w:noProof/>
          <w:sz w:val="24"/>
        </w:rPr>
        <w:t>Frontex</w:t>
      </w:r>
      <w:r>
        <w:rPr>
          <w:rFonts w:ascii="Times New Roman" w:hAnsi="Times New Roman"/>
          <w:noProof/>
          <w:sz w:val="24"/>
        </w:rPr>
        <w:t xml:space="preserve"> sadarbības koordinatoriem būtu arī jāapmainās ar visu attiecīgo informāciju ar ES delegāciju savā izvietošanas valstī saistībā ar ES politikas vispārējo koordināciju attiecīgajā valstī.</w:t>
      </w:r>
    </w:p>
    <w:p w:rsidR="00263099" w:rsidRPr="00263099" w:rsidRDefault="00263099" w:rsidP="00263099">
      <w:pPr>
        <w:numPr>
          <w:ilvl w:val="0"/>
          <w:numId w:val="7"/>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ES būtu labi jākoordinē un jāuzrauga </w:t>
      </w:r>
      <w:r>
        <w:rPr>
          <w:rFonts w:ascii="Times New Roman" w:hAnsi="Times New Roman"/>
          <w:b/>
          <w:noProof/>
          <w:sz w:val="24"/>
        </w:rPr>
        <w:t>ar integrēto robežu pārvaldību saistītie spēju veidošanas</w:t>
      </w:r>
      <w:r>
        <w:rPr>
          <w:rFonts w:ascii="Times New Roman" w:hAnsi="Times New Roman"/>
          <w:noProof/>
          <w:sz w:val="24"/>
        </w:rPr>
        <w:t xml:space="preserve"> darba apmeklējumi trešās valstīs, tai skaitā saistībā ar tiešo finansējumu, tehniskajām konsultācijām, apmācību vai atbalstu tehniskā aprīkojuma jomā. </w:t>
      </w:r>
      <w:r>
        <w:rPr>
          <w:rFonts w:ascii="Times New Roman" w:hAnsi="Times New Roman"/>
          <w:i/>
          <w:iCs/>
          <w:noProof/>
          <w:sz w:val="24"/>
        </w:rPr>
        <w:t>Frontex</w:t>
      </w:r>
      <w:r>
        <w:rPr>
          <w:rFonts w:ascii="Times New Roman" w:hAnsi="Times New Roman"/>
          <w:noProof/>
          <w:sz w:val="24"/>
        </w:rPr>
        <w:t xml:space="preserve"> būtu jāturpina īstenot </w:t>
      </w:r>
      <w:r>
        <w:rPr>
          <w:rFonts w:ascii="Times New Roman" w:hAnsi="Times New Roman"/>
          <w:b/>
          <w:noProof/>
          <w:sz w:val="24"/>
        </w:rPr>
        <w:t>ES finansētus spēju veidošanas projektus un programmas, kas saistīti ar integrēto robežu pārvaldību</w:t>
      </w:r>
      <w:r>
        <w:rPr>
          <w:rFonts w:ascii="Times New Roman" w:hAnsi="Times New Roman"/>
          <w:noProof/>
          <w:sz w:val="24"/>
        </w:rPr>
        <w:t xml:space="preserve"> ES kandidātvalstīs un citās prioritārās trešās valstīs, jo īpaši lai veidotu trešo valstu spējas robežkontroles, riska analīzes, atgriešanas un atpakaļuzņemšanas jomā. </w:t>
      </w:r>
      <w:r>
        <w:rPr>
          <w:rFonts w:ascii="Times New Roman" w:hAnsi="Times New Roman"/>
          <w:i/>
          <w:iCs/>
          <w:noProof/>
          <w:sz w:val="24"/>
        </w:rPr>
        <w:t>Frontex</w:t>
      </w:r>
      <w:r>
        <w:rPr>
          <w:rFonts w:ascii="Times New Roman" w:hAnsi="Times New Roman"/>
          <w:noProof/>
          <w:sz w:val="24"/>
        </w:rPr>
        <w:t xml:space="preserve"> būtu arī cieši jāsadarbojas ar citiem Komisijas īstenošanas partneriem, sniedzot konsultācijas visā robežu pārvaldības pasākumu īstenošanas gaitā kaimiņvalstīs un citās prioritārās trešās valstīs. Dalībvalstu vadītie projekti būtu jāīsteno ciešā sadarbībā ar </w:t>
      </w:r>
      <w:r>
        <w:rPr>
          <w:rFonts w:ascii="Times New Roman" w:hAnsi="Times New Roman"/>
          <w:i/>
          <w:iCs/>
          <w:noProof/>
          <w:sz w:val="24"/>
        </w:rPr>
        <w:t>Frontex</w:t>
      </w:r>
      <w:r>
        <w:rPr>
          <w:rFonts w:ascii="Times New Roman" w:hAnsi="Times New Roman"/>
          <w:noProof/>
          <w:sz w:val="24"/>
        </w:rPr>
        <w:t>; Visos projektu posmos būtu pilnībā jāizmanto aģentūras speciālās zināšanas. Aģentūrai būtu arī jāizstrādā visaptverošs pārskats par notiekošajiem un plānotajiem ar integrēto robežu pārvaldību saistītajiem spēju veidošanas projektiem un darba apmeklējumiem trešās valstīs.</w:t>
      </w:r>
    </w:p>
    <w:p w:rsidR="00263099" w:rsidRPr="00263099" w:rsidRDefault="00263099" w:rsidP="00263099">
      <w:pPr>
        <w:numPr>
          <w:ilvl w:val="0"/>
          <w:numId w:val="7"/>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Būtu jāturpina attīstīt sadarbību starp </w:t>
      </w:r>
      <w:r>
        <w:rPr>
          <w:rFonts w:ascii="Times New Roman" w:hAnsi="Times New Roman"/>
          <w:b/>
          <w:noProof/>
          <w:sz w:val="24"/>
        </w:rPr>
        <w:t>kopējās drošības un aizsardzības politikas</w:t>
      </w:r>
      <w:r>
        <w:rPr>
          <w:rFonts w:ascii="Times New Roman" w:hAnsi="Times New Roman"/>
          <w:noProof/>
          <w:sz w:val="24"/>
        </w:rPr>
        <w:t xml:space="preserve"> civilajām </w:t>
      </w:r>
      <w:r>
        <w:rPr>
          <w:rFonts w:ascii="Times New Roman" w:hAnsi="Times New Roman"/>
          <w:b/>
          <w:noProof/>
          <w:sz w:val="24"/>
        </w:rPr>
        <w:t>misijām</w:t>
      </w:r>
      <w:r>
        <w:rPr>
          <w:rFonts w:ascii="Times New Roman" w:hAnsi="Times New Roman"/>
          <w:noProof/>
          <w:sz w:val="24"/>
        </w:rPr>
        <w:t xml:space="preserve">, kurām ir robežu pārvaldības komponents, un </w:t>
      </w:r>
      <w:r>
        <w:rPr>
          <w:rFonts w:ascii="Times New Roman" w:hAnsi="Times New Roman"/>
          <w:i/>
          <w:iCs/>
          <w:noProof/>
          <w:sz w:val="24"/>
        </w:rPr>
        <w:t>Frontex</w:t>
      </w:r>
      <w:r>
        <w:rPr>
          <w:rFonts w:ascii="Times New Roman" w:hAnsi="Times New Roman"/>
          <w:noProof/>
          <w:sz w:val="24"/>
        </w:rPr>
        <w:t>, lai nodrošinātu situācijas apzināšanos un atbalstītu riska analīzi un EIRP standartu veicināšanu.</w:t>
      </w:r>
    </w:p>
    <w:p w:rsidR="00263099" w:rsidRPr="00263099" w:rsidRDefault="00263099" w:rsidP="00263099">
      <w:pPr>
        <w:pBdr>
          <w:top w:val="single" w:sz="4" w:space="1" w:color="auto"/>
          <w:left w:val="single" w:sz="4" w:space="4" w:color="auto"/>
          <w:bottom w:val="single" w:sz="4" w:space="0" w:color="auto"/>
          <w:right w:val="single" w:sz="4" w:space="4" w:color="auto"/>
        </w:pBdr>
        <w:shd w:val="clear" w:color="auto" w:fill="DAEEF3"/>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8. sastāvdaļa</w:t>
      </w:r>
      <w:r>
        <w:rPr>
          <w:rFonts w:ascii="Times New Roman" w:hAnsi="Times New Roman"/>
          <w:noProof/>
          <w:sz w:val="24"/>
        </w:rPr>
        <w:t>: “</w:t>
      </w:r>
      <w:r>
        <w:rPr>
          <w:rFonts w:ascii="Times New Roman" w:hAnsi="Times New Roman"/>
          <w:i/>
          <w:noProof/>
          <w:sz w:val="24"/>
        </w:rPr>
        <w:t xml:space="preserve">tehniskie un operacionālie </w:t>
      </w:r>
      <w:r>
        <w:rPr>
          <w:rFonts w:ascii="Times New Roman" w:hAnsi="Times New Roman"/>
          <w:i/>
          <w:noProof/>
          <w:sz w:val="24"/>
          <w:u w:val="single"/>
        </w:rPr>
        <w:t>pasākumi Šengenas zonā</w:t>
      </w:r>
      <w:r>
        <w:rPr>
          <w:rFonts w:ascii="Times New Roman" w:hAnsi="Times New Roman"/>
          <w:i/>
          <w:noProof/>
          <w:sz w:val="24"/>
        </w:rPr>
        <w:t>, kas ir saistīti ar robežkontroli un ir paredzēti, lai uzlabotu nelikumīgas imigrācijas jautājuma risināšanu un pārrobežu noziedzības apkarošanu</w:t>
      </w:r>
      <w:r>
        <w:rPr>
          <w:rFonts w:ascii="Times New Roman" w:hAnsi="Times New Roman"/>
          <w:noProof/>
          <w:sz w:val="24"/>
        </w:rPr>
        <w:t>”</w:t>
      </w:r>
      <w:r w:rsidRPr="00263099">
        <w:rPr>
          <w:rFonts w:ascii="Times New Roman" w:eastAsia="Times New Roman" w:hAnsi="Times New Roman" w:cs="Times New Roman"/>
          <w:i/>
          <w:noProof/>
          <w:sz w:val="24"/>
          <w:szCs w:val="24"/>
          <w:vertAlign w:val="superscript"/>
          <w:lang w:val="en-GB" w:eastAsia="en-GB"/>
        </w:rPr>
        <w:footnoteReference w:id="22"/>
      </w:r>
      <w:r>
        <w:rPr>
          <w:rFonts w:ascii="Times New Roman" w:hAnsi="Times New Roman"/>
          <w:noProof/>
          <w:sz w:val="24"/>
        </w:rPr>
        <w:t>.</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Politikas prioritātes</w:t>
      </w: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Lai nodrošinātu efektīvu cīņu pret neatļautu sekundāro kustību, neatbilstīgu migrāciju un pārrobežu noziedzību, kas saistīta ar ārējām robežām, būtu pienācīgi jāiedibina operacionālā nepārtrauktība un sadarbspēja starp ārējo robežu kontroli un tehniskajiem un operacionālajiem pasākumiem Šengenas zonā.</w:t>
      </w:r>
    </w:p>
    <w:p w:rsidR="00263099" w:rsidRPr="00127656" w:rsidRDefault="00263099" w:rsidP="00263099">
      <w:pPr>
        <w:spacing w:after="0" w:line="240" w:lineRule="auto"/>
        <w:jc w:val="both"/>
        <w:rPr>
          <w:rFonts w:ascii="Times New Roman" w:eastAsia="Times New Roman" w:hAnsi="Times New Roman" w:cs="Times New Roman"/>
          <w:i/>
          <w:noProof/>
          <w:sz w:val="24"/>
          <w:szCs w:val="24"/>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Ir izveidotas valstu spējas (gatavība) pastiprināt ar neatbilstīgu migrāciju saistītās policijas pārbaudes teritorijā, arī iekšzemes pierobežas teritorijās, ko atbalsta ar citiem dalībvalstu rīcībā esošiem alternatīviem līdzekļiem, tādējādi ierobežojot vajadzību atjaunot iekšējo robežkontroli.</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Stratēģiskās vadlīnijas</w:t>
      </w:r>
    </w:p>
    <w:p w:rsidR="00263099" w:rsidRPr="00263099" w:rsidRDefault="00263099" w:rsidP="00263099">
      <w:pPr>
        <w:numPr>
          <w:ilvl w:val="0"/>
          <w:numId w:val="8"/>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Gan ES, gan valstu līmenī būtu jāsagatavo </w:t>
      </w:r>
      <w:r>
        <w:rPr>
          <w:rFonts w:ascii="Times New Roman" w:hAnsi="Times New Roman"/>
          <w:b/>
          <w:noProof/>
          <w:sz w:val="24"/>
        </w:rPr>
        <w:t>visaptverošs situācijas attēls</w:t>
      </w:r>
      <w:r>
        <w:rPr>
          <w:rFonts w:ascii="Times New Roman" w:hAnsi="Times New Roman"/>
          <w:noProof/>
          <w:sz w:val="24"/>
        </w:rPr>
        <w:t xml:space="preserve"> un riska analīze par neatbilstīgi </w:t>
      </w:r>
      <w:r>
        <w:rPr>
          <w:rFonts w:ascii="Times New Roman" w:hAnsi="Times New Roman"/>
          <w:b/>
          <w:noProof/>
          <w:sz w:val="24"/>
        </w:rPr>
        <w:t>ieceļojušiem</w:t>
      </w:r>
      <w:r>
        <w:rPr>
          <w:rFonts w:ascii="Times New Roman" w:hAnsi="Times New Roman"/>
          <w:noProof/>
          <w:sz w:val="24"/>
        </w:rPr>
        <w:t xml:space="preserve"> trešo valstu valstspiederīgajiem un to </w:t>
      </w:r>
      <w:r>
        <w:rPr>
          <w:rFonts w:ascii="Times New Roman" w:hAnsi="Times New Roman"/>
          <w:b/>
          <w:noProof/>
          <w:sz w:val="24"/>
        </w:rPr>
        <w:t>sekundāro kustību</w:t>
      </w:r>
      <w:r>
        <w:rPr>
          <w:rFonts w:ascii="Times New Roman" w:hAnsi="Times New Roman"/>
          <w:noProof/>
          <w:sz w:val="24"/>
        </w:rPr>
        <w:t xml:space="preserve"> ES, lai varētu veikt mērķtiecīgus un samērīgus pasākumus. Eiropas situācijas attēls būtu jāsagatavo </w:t>
      </w:r>
      <w:r>
        <w:rPr>
          <w:rFonts w:ascii="Times New Roman" w:hAnsi="Times New Roman"/>
          <w:i/>
          <w:iCs/>
          <w:noProof/>
          <w:sz w:val="24"/>
        </w:rPr>
        <w:t>Frontex</w:t>
      </w:r>
      <w:r>
        <w:rPr>
          <w:rFonts w:ascii="Times New Roman" w:hAnsi="Times New Roman"/>
          <w:noProof/>
          <w:sz w:val="24"/>
        </w:rPr>
        <w:t xml:space="preserve"> ar pilnīgu dalībvalstu atbalstu un sadarbībā ar citām attiecīgajām ES aģentūrām. Kā galvenā platforma šai funkcijai būtu jāizmanto </w:t>
      </w:r>
      <w:r>
        <w:rPr>
          <w:rFonts w:ascii="Times New Roman" w:hAnsi="Times New Roman"/>
          <w:i/>
          <w:iCs/>
          <w:noProof/>
          <w:sz w:val="24"/>
        </w:rPr>
        <w:t>EUROSUR</w:t>
      </w:r>
      <w:r>
        <w:rPr>
          <w:rFonts w:ascii="Times New Roman" w:hAnsi="Times New Roman"/>
          <w:noProof/>
          <w:sz w:val="24"/>
        </w:rPr>
        <w:t xml:space="preserve"> kopā ar citām efektīvām un vienotām datu vākšanas sistēmām. Dalībvalstīm būtu jānodrošina, ka valsts iestādes ziņo NKC par notikumiem, kas saistīti ar neatļautu sekundāro kustību.</w:t>
      </w:r>
    </w:p>
    <w:p w:rsidR="00263099" w:rsidRPr="00263099" w:rsidRDefault="00263099" w:rsidP="00263099">
      <w:pPr>
        <w:numPr>
          <w:ilvl w:val="0"/>
          <w:numId w:val="8"/>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Būtu jāturpina attīstīt ciešāku sadarbību un koordināciju, tai skaitā kopīgu riska analīzi, operacionālo praksi un netraucētu informācijas apmaiņu starp robežsardzi un citām struktūrām, kas strādā pie ārējām robežām. Šīs struktūras ir NKC, iestādes, kas darbojas Šengenas zonā, un </w:t>
      </w:r>
      <w:r>
        <w:rPr>
          <w:rFonts w:ascii="Times New Roman" w:hAnsi="Times New Roman"/>
          <w:b/>
          <w:noProof/>
          <w:sz w:val="24"/>
        </w:rPr>
        <w:t>policijas un muitas sadarbības centri</w:t>
      </w:r>
      <w:r>
        <w:rPr>
          <w:rFonts w:ascii="Times New Roman" w:hAnsi="Times New Roman"/>
          <w:noProof/>
          <w:sz w:val="24"/>
        </w:rPr>
        <w:t xml:space="preserve"> (</w:t>
      </w:r>
      <w:r>
        <w:rPr>
          <w:rFonts w:ascii="Times New Roman" w:hAnsi="Times New Roman"/>
          <w:i/>
          <w:iCs/>
          <w:noProof/>
          <w:sz w:val="24"/>
        </w:rPr>
        <w:t>PCCC</w:t>
      </w:r>
      <w:r>
        <w:rPr>
          <w:rFonts w:ascii="Times New Roman" w:hAnsi="Times New Roman"/>
          <w:noProof/>
          <w:sz w:val="24"/>
        </w:rPr>
        <w:t>), kā arī citi attiecīgie centri. Visām atbildīgajām struktūrām būtu efektīvi jāizmanto dažādas ES mēroga informācijas sistēmas.</w:t>
      </w:r>
    </w:p>
    <w:p w:rsidR="00263099" w:rsidRPr="00263099" w:rsidRDefault="00263099" w:rsidP="00263099">
      <w:pPr>
        <w:numPr>
          <w:ilvl w:val="0"/>
          <w:numId w:val="8"/>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Būtu jāturpina attīstīt un nostiprināt operacionālo sadarbību starp </w:t>
      </w:r>
      <w:r>
        <w:rPr>
          <w:rFonts w:ascii="Times New Roman" w:hAnsi="Times New Roman"/>
          <w:i/>
          <w:iCs/>
          <w:noProof/>
          <w:sz w:val="24"/>
        </w:rPr>
        <w:t>Frontex</w:t>
      </w:r>
      <w:r>
        <w:rPr>
          <w:rFonts w:ascii="Times New Roman" w:hAnsi="Times New Roman"/>
          <w:noProof/>
          <w:sz w:val="24"/>
        </w:rPr>
        <w:t xml:space="preserve"> koordinētajām kopīgajām operācijām un attiecīgajiem </w:t>
      </w:r>
      <w:r>
        <w:rPr>
          <w:rFonts w:ascii="Times New Roman" w:hAnsi="Times New Roman"/>
          <w:i/>
          <w:iCs/>
          <w:noProof/>
          <w:sz w:val="24"/>
        </w:rPr>
        <w:t>PCCC</w:t>
      </w:r>
      <w:r>
        <w:rPr>
          <w:rFonts w:ascii="Times New Roman" w:hAnsi="Times New Roman"/>
          <w:noProof/>
          <w:sz w:val="24"/>
        </w:rPr>
        <w:t>.</w:t>
      </w:r>
    </w:p>
    <w:p w:rsidR="00263099" w:rsidRDefault="00263099" w:rsidP="00263099">
      <w:pPr>
        <w:numPr>
          <w:ilvl w:val="0"/>
          <w:numId w:val="8"/>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Valsts līmenī vajadzētu būt pietiekamam spēju līmenim, lai, pamatojoties uz riska analīzi, varētu pastiprināt policijas pārbaudes saistībā ar neatbilstīgu imigrāciju visā teritorijā un veikt policijas pārbaudes un migrācijas kontroli uz galvenajiem transporta ceļiem, arī pierobežas teritorijās.</w:t>
      </w:r>
    </w:p>
    <w:p w:rsidR="003726AC" w:rsidRPr="00127656" w:rsidRDefault="003726AC" w:rsidP="003726AC">
      <w:pPr>
        <w:spacing w:after="200" w:line="276" w:lineRule="auto"/>
        <w:ind w:left="360"/>
        <w:contextualSpacing/>
        <w:jc w:val="both"/>
        <w:rPr>
          <w:rFonts w:ascii="Times New Roman" w:eastAsia="Calibri" w:hAnsi="Times New Roman" w:cs="Times New Roman"/>
          <w:noProof/>
          <w:sz w:val="24"/>
          <w:szCs w:val="24"/>
        </w:rPr>
      </w:pPr>
    </w:p>
    <w:p w:rsidR="00263099" w:rsidRPr="00263099" w:rsidRDefault="00263099" w:rsidP="00263099">
      <w:pPr>
        <w:pBdr>
          <w:top w:val="single" w:sz="4" w:space="1" w:color="auto"/>
          <w:left w:val="single" w:sz="4" w:space="4" w:color="auto"/>
          <w:bottom w:val="single" w:sz="4" w:space="1" w:color="auto"/>
          <w:right w:val="single" w:sz="4" w:space="4" w:color="auto"/>
        </w:pBdr>
        <w:shd w:val="clear" w:color="auto" w:fill="DAEEF3"/>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9. sastāvdaļa</w:t>
      </w:r>
      <w:r>
        <w:rPr>
          <w:rFonts w:ascii="Times New Roman" w:hAnsi="Times New Roman"/>
          <w:noProof/>
          <w:sz w:val="24"/>
        </w:rPr>
        <w:t>: “</w:t>
      </w:r>
      <w:r>
        <w:rPr>
          <w:rFonts w:ascii="Times New Roman" w:hAnsi="Times New Roman"/>
          <w:i/>
          <w:noProof/>
          <w:sz w:val="24"/>
        </w:rPr>
        <w:t xml:space="preserve">tādu trešās valsts valstspiederīgo </w:t>
      </w:r>
      <w:r>
        <w:rPr>
          <w:rFonts w:ascii="Times New Roman" w:hAnsi="Times New Roman"/>
          <w:i/>
          <w:noProof/>
          <w:sz w:val="24"/>
          <w:u w:val="single"/>
        </w:rPr>
        <w:t>atgriešana</w:t>
      </w:r>
      <w:r>
        <w:rPr>
          <w:rFonts w:ascii="Times New Roman" w:hAnsi="Times New Roman"/>
          <w:i/>
          <w:noProof/>
          <w:sz w:val="24"/>
        </w:rPr>
        <w:t>, uz kuriem attiecas dalībvalsts izdots atgriešanas lēmums</w:t>
      </w:r>
      <w:r>
        <w:rPr>
          <w:rFonts w:ascii="Times New Roman" w:hAnsi="Times New Roman"/>
          <w:noProof/>
          <w:sz w:val="24"/>
        </w:rPr>
        <w:t>”</w:t>
      </w:r>
      <w:r w:rsidRPr="00263099">
        <w:rPr>
          <w:rFonts w:ascii="Times New Roman" w:eastAsia="Times New Roman" w:hAnsi="Times New Roman" w:cs="Times New Roman"/>
          <w:i/>
          <w:noProof/>
          <w:sz w:val="24"/>
          <w:szCs w:val="24"/>
          <w:vertAlign w:val="superscript"/>
          <w:lang w:val="en-GB" w:eastAsia="en-GB"/>
        </w:rPr>
        <w:footnoteReference w:id="23"/>
      </w:r>
      <w:r>
        <w:rPr>
          <w:rFonts w:ascii="Times New Roman" w:hAnsi="Times New Roman"/>
          <w:noProof/>
          <w:sz w:val="24"/>
        </w:rPr>
        <w:t>.</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Politikas prioritātes</w:t>
      </w: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Trešo valstu valstspiederīgie, uz kuriem attiecas dalībvalsts izdots atgriešanas lēmums, būtu efektīvi jāatgriež, pilnībā ievērojot pamattiesības. Būtu jānodrošina spējas (administratīvās, tehniskās un operacionālās), lai ES un valstu līmenī efektīvi un vienoti īstenotu atgriešanas procesus, arī brīvprātīgu atgriešanos, kas ir neatņemama migrācijas pārvaldības ķēdes un Eiropas integrētās robežu pārvaldības daļa.</w:t>
      </w: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Efektīvi īstenota to trešo valstu valstspiederīgo atgriešana, uz kuriem attiecas atgriešanas lēmums, nodrošinātu, ka visi tie, kuriem nav tiesību palikt ES, patiešām dodas prom no ES. EIRP būtu arī jānodrošina, ka atgriešanas procedūra tiek veikta humānā, cieņpilnā un ilgtspējīgā veidā, pilnībā ievērojot atgriežamo personu pamattiesības un saskaņā ar starptautiskajiem un ES tiesību aktiem, un ka to veic atbilstoši apmācīti eksperti.</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Stratēģiskās vadlīnijas</w:t>
      </w:r>
    </w:p>
    <w:p w:rsidR="00263099" w:rsidRPr="00263099" w:rsidRDefault="00263099" w:rsidP="00263099">
      <w:pPr>
        <w:numPr>
          <w:ilvl w:val="0"/>
          <w:numId w:val="9"/>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Būtu jāturpina stiprināt </w:t>
      </w:r>
      <w:r>
        <w:rPr>
          <w:rFonts w:ascii="Times New Roman" w:hAnsi="Times New Roman"/>
          <w:i/>
          <w:iCs/>
          <w:noProof/>
          <w:sz w:val="24"/>
        </w:rPr>
        <w:t>Frontex</w:t>
      </w:r>
      <w:r>
        <w:rPr>
          <w:rFonts w:ascii="Times New Roman" w:hAnsi="Times New Roman"/>
          <w:noProof/>
          <w:sz w:val="24"/>
        </w:rPr>
        <w:t xml:space="preserve"> spējas un lomu, lai atbalstītu dalībvalstis visos atgriešanas procesa posmos, pilnvērtīgi izmantojot visus pieejamos Savienības un valstu instrumentus.</w:t>
      </w:r>
    </w:p>
    <w:p w:rsidR="00263099" w:rsidRPr="00263099" w:rsidRDefault="00263099" w:rsidP="00263099">
      <w:pPr>
        <w:numPr>
          <w:ilvl w:val="0"/>
          <w:numId w:val="9"/>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Būtu jāpalielina dalībvalstu spēja vienpusēji vai kopīgi veikt to trešo valstu valstspiederīgo atgriešanu, kuri dalībvalstīs uzturas nelikumīgi, izstrādājot integrētu un koordinētu valsts atgriešanas sistēmu, kas būtu balstīta uz aģentūras izstrādāto atgriešanas lietu pārvaldības sistēmas modeli un būtu saderīga ar Eiropas atgriešanas politiku. Dalībvalstīm būtu pilnībā jānodrošina sava spēja piedalīties </w:t>
      </w:r>
      <w:r>
        <w:rPr>
          <w:rFonts w:ascii="Times New Roman" w:hAnsi="Times New Roman"/>
          <w:i/>
          <w:iCs/>
          <w:noProof/>
          <w:sz w:val="24"/>
        </w:rPr>
        <w:t>Frontex</w:t>
      </w:r>
      <w:r>
        <w:rPr>
          <w:rFonts w:ascii="Times New Roman" w:hAnsi="Times New Roman"/>
          <w:noProof/>
          <w:sz w:val="24"/>
        </w:rPr>
        <w:t xml:space="preserve"> koordinētajās vai organizētajās Eiropas mēroga atgriešanas operācijās.</w:t>
      </w:r>
    </w:p>
    <w:p w:rsidR="00263099" w:rsidRPr="00263099" w:rsidRDefault="00263099" w:rsidP="00263099">
      <w:pPr>
        <w:numPr>
          <w:ilvl w:val="0"/>
          <w:numId w:val="9"/>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Būtu jāturpina pilnveidot neatbilstīgas migrācijas pārvaldības lietotni (</w:t>
      </w:r>
      <w:r>
        <w:rPr>
          <w:rFonts w:ascii="Times New Roman" w:hAnsi="Times New Roman"/>
          <w:i/>
          <w:iCs/>
          <w:noProof/>
          <w:sz w:val="24"/>
        </w:rPr>
        <w:t>IRMA</w:t>
      </w:r>
      <w:r>
        <w:rPr>
          <w:rFonts w:ascii="Times New Roman" w:hAnsi="Times New Roman"/>
          <w:noProof/>
          <w:sz w:val="24"/>
        </w:rPr>
        <w:t xml:space="preserve">), lai labāk apzinātu situāciju atgriešanas jomā, uzlabotu datu vākšanu par atgriešanas operācijām un atpakaļuzņemšanu. Tas atvieglos plānošanu un attiecīgās operacionālās informācijas apmaiņu, kā arī atgriešanas, atpakaļuzņemšanas un reintegrācijas pasākumu organizēšanu un īstenošanu dalībvalstīs. Tas arī dos iespēju </w:t>
      </w:r>
      <w:r>
        <w:rPr>
          <w:rFonts w:ascii="Times New Roman" w:hAnsi="Times New Roman"/>
          <w:i/>
          <w:iCs/>
          <w:noProof/>
          <w:sz w:val="24"/>
        </w:rPr>
        <w:t>Frontex</w:t>
      </w:r>
      <w:r>
        <w:rPr>
          <w:rFonts w:ascii="Times New Roman" w:hAnsi="Times New Roman"/>
          <w:noProof/>
          <w:sz w:val="24"/>
        </w:rPr>
        <w:t xml:space="preserve"> uzņemties pilnīgu un proaktīvu lomu atgriešanas operāciju plānošanā un organizēšanā, tai skaitā saistībā ar palīdzību pirms atgriešanas un reintegrāciju.</w:t>
      </w:r>
    </w:p>
    <w:p w:rsidR="00263099" w:rsidRPr="00263099" w:rsidRDefault="00263099" w:rsidP="00263099">
      <w:pPr>
        <w:numPr>
          <w:ilvl w:val="0"/>
          <w:numId w:val="9"/>
        </w:numPr>
        <w:spacing w:after="200" w:line="276" w:lineRule="auto"/>
        <w:contextualSpacing/>
        <w:jc w:val="both"/>
        <w:rPr>
          <w:rFonts w:ascii="Times New Roman" w:eastAsia="Calibri" w:hAnsi="Times New Roman" w:cs="Times New Roman"/>
          <w:noProof/>
          <w:sz w:val="24"/>
          <w:szCs w:val="24"/>
        </w:rPr>
      </w:pPr>
      <w:r>
        <w:rPr>
          <w:rFonts w:ascii="Times New Roman" w:hAnsi="Times New Roman"/>
          <w:i/>
          <w:iCs/>
          <w:noProof/>
          <w:sz w:val="24"/>
        </w:rPr>
        <w:t>Frontex</w:t>
      </w:r>
      <w:r>
        <w:rPr>
          <w:rFonts w:ascii="Times New Roman" w:hAnsi="Times New Roman"/>
          <w:noProof/>
          <w:sz w:val="24"/>
        </w:rPr>
        <w:t xml:space="preserve"> būtu jāsagatavo visaptverošs situācijas attēls, tai skaitā jānosaka dalībvalstu spējas un vajadzības atgriešanas jomā, pamatojoties uz informāciju, kas iegūta no dalībvalstīm, dažāda veida imigrācijas sadarbības koordinatoriem (Eiropas un valstu) un trešām valstīm.</w:t>
      </w:r>
    </w:p>
    <w:p w:rsidR="00263099" w:rsidRDefault="00263099" w:rsidP="00263099">
      <w:pPr>
        <w:numPr>
          <w:ilvl w:val="0"/>
          <w:numId w:val="9"/>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Eiropas Robežu un krasta apsardzei, jo īpaši </w:t>
      </w:r>
      <w:r>
        <w:rPr>
          <w:rFonts w:ascii="Times New Roman" w:hAnsi="Times New Roman"/>
          <w:i/>
          <w:iCs/>
          <w:noProof/>
          <w:sz w:val="24"/>
        </w:rPr>
        <w:t>Frontex</w:t>
      </w:r>
      <w:r>
        <w:rPr>
          <w:rFonts w:ascii="Times New Roman" w:hAnsi="Times New Roman"/>
          <w:noProof/>
          <w:sz w:val="24"/>
        </w:rPr>
        <w:t xml:space="preserve">, būtu jāīsteno </w:t>
      </w:r>
      <w:r>
        <w:rPr>
          <w:rFonts w:ascii="Times New Roman" w:hAnsi="Times New Roman"/>
          <w:i/>
          <w:noProof/>
          <w:sz w:val="24"/>
        </w:rPr>
        <w:t>2021. gada ES stratēģija par brīvprātīgu atgriešanos un reintegrāciju</w:t>
      </w:r>
      <w:r w:rsidRPr="00263099">
        <w:rPr>
          <w:rFonts w:ascii="Times New Roman" w:eastAsia="Calibri" w:hAnsi="Times New Roman" w:cs="Times New Roman"/>
          <w:i/>
          <w:noProof/>
          <w:sz w:val="24"/>
          <w:szCs w:val="24"/>
          <w:vertAlign w:val="superscript"/>
          <w:lang w:val="en-GB"/>
        </w:rPr>
        <w:footnoteReference w:id="24"/>
      </w:r>
      <w:r>
        <w:rPr>
          <w:rFonts w:ascii="Times New Roman" w:hAnsi="Times New Roman"/>
          <w:noProof/>
          <w:sz w:val="24"/>
        </w:rPr>
        <w:t>.</w:t>
      </w:r>
    </w:p>
    <w:p w:rsidR="003726AC" w:rsidRPr="00127656" w:rsidRDefault="003726AC" w:rsidP="003726AC">
      <w:pPr>
        <w:spacing w:after="200" w:line="276" w:lineRule="auto"/>
        <w:contextualSpacing/>
        <w:jc w:val="both"/>
        <w:rPr>
          <w:rFonts w:ascii="Times New Roman" w:eastAsia="Calibri" w:hAnsi="Times New Roman" w:cs="Times New Roman"/>
          <w:noProof/>
          <w:sz w:val="24"/>
          <w:szCs w:val="24"/>
        </w:rPr>
      </w:pPr>
    </w:p>
    <w:p w:rsidR="003726AC" w:rsidRPr="00127656" w:rsidRDefault="003726AC" w:rsidP="003726AC">
      <w:pPr>
        <w:spacing w:after="200" w:line="276" w:lineRule="auto"/>
        <w:contextualSpacing/>
        <w:jc w:val="both"/>
        <w:rPr>
          <w:rFonts w:ascii="Times New Roman" w:eastAsia="Calibri" w:hAnsi="Times New Roman" w:cs="Times New Roman"/>
          <w:noProof/>
          <w:sz w:val="24"/>
          <w:szCs w:val="24"/>
        </w:rPr>
      </w:pPr>
    </w:p>
    <w:p w:rsidR="003726AC" w:rsidRPr="00127656" w:rsidRDefault="003726AC" w:rsidP="003726AC">
      <w:pPr>
        <w:spacing w:after="200" w:line="276" w:lineRule="auto"/>
        <w:contextualSpacing/>
        <w:jc w:val="both"/>
        <w:rPr>
          <w:rFonts w:ascii="Times New Roman" w:eastAsia="Calibri" w:hAnsi="Times New Roman" w:cs="Times New Roman"/>
          <w:noProof/>
          <w:sz w:val="24"/>
          <w:szCs w:val="24"/>
        </w:rPr>
      </w:pPr>
    </w:p>
    <w:p w:rsidR="003726AC" w:rsidRPr="00127656" w:rsidRDefault="003726AC" w:rsidP="003726AC">
      <w:pPr>
        <w:spacing w:after="200" w:line="276" w:lineRule="auto"/>
        <w:contextualSpacing/>
        <w:jc w:val="both"/>
        <w:rPr>
          <w:rFonts w:ascii="Times New Roman" w:eastAsia="Calibri" w:hAnsi="Times New Roman" w:cs="Times New Roman"/>
          <w:noProof/>
          <w:sz w:val="24"/>
          <w:szCs w:val="24"/>
        </w:rPr>
      </w:pPr>
    </w:p>
    <w:p w:rsidR="003726AC" w:rsidRPr="00127656" w:rsidRDefault="003726AC" w:rsidP="003726AC">
      <w:pPr>
        <w:spacing w:after="200" w:line="276" w:lineRule="auto"/>
        <w:contextualSpacing/>
        <w:jc w:val="both"/>
        <w:rPr>
          <w:rFonts w:ascii="Times New Roman" w:eastAsia="Calibri" w:hAnsi="Times New Roman" w:cs="Times New Roman"/>
          <w:noProof/>
          <w:sz w:val="24"/>
          <w:szCs w:val="24"/>
        </w:rPr>
      </w:pPr>
    </w:p>
    <w:p w:rsidR="00263099" w:rsidRPr="00263099" w:rsidRDefault="00263099" w:rsidP="00263099">
      <w:pPr>
        <w:pBdr>
          <w:top w:val="single" w:sz="4" w:space="1" w:color="auto"/>
          <w:left w:val="single" w:sz="4" w:space="4" w:color="auto"/>
          <w:bottom w:val="single" w:sz="4" w:space="1" w:color="auto"/>
          <w:right w:val="single" w:sz="4" w:space="4" w:color="auto"/>
        </w:pBdr>
        <w:shd w:val="clear" w:color="auto" w:fill="DAEEF3"/>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10. sastāvdaļa</w:t>
      </w:r>
      <w:r>
        <w:rPr>
          <w:rFonts w:ascii="Times New Roman" w:hAnsi="Times New Roman"/>
          <w:noProof/>
          <w:sz w:val="24"/>
        </w:rPr>
        <w:t>: “</w:t>
      </w:r>
      <w:r>
        <w:rPr>
          <w:rFonts w:ascii="Times New Roman" w:hAnsi="Times New Roman"/>
          <w:i/>
          <w:noProof/>
          <w:sz w:val="24"/>
          <w:u w:val="single"/>
        </w:rPr>
        <w:t>progresīvas tehnoloģijas</w:t>
      </w:r>
      <w:r>
        <w:rPr>
          <w:rFonts w:ascii="Times New Roman" w:hAnsi="Times New Roman"/>
          <w:i/>
          <w:noProof/>
          <w:sz w:val="24"/>
        </w:rPr>
        <w:t>, tostarp liela mēroga informācijas sistēmu, izmantošana</w:t>
      </w:r>
      <w:r>
        <w:rPr>
          <w:rFonts w:ascii="Times New Roman" w:hAnsi="Times New Roman"/>
          <w:noProof/>
          <w:sz w:val="24"/>
        </w:rPr>
        <w:t>”</w:t>
      </w:r>
      <w:r w:rsidRPr="00263099">
        <w:rPr>
          <w:rFonts w:ascii="Times New Roman" w:eastAsia="Times New Roman" w:hAnsi="Times New Roman" w:cs="Times New Roman"/>
          <w:i/>
          <w:noProof/>
          <w:sz w:val="24"/>
          <w:szCs w:val="24"/>
          <w:vertAlign w:val="superscript"/>
          <w:lang w:val="en-GB" w:eastAsia="en-GB"/>
        </w:rPr>
        <w:footnoteReference w:id="25"/>
      </w:r>
      <w:r>
        <w:rPr>
          <w:rFonts w:ascii="Times New Roman" w:hAnsi="Times New Roman"/>
          <w:noProof/>
          <w:sz w:val="24"/>
        </w:rPr>
        <w:t>.</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Politikas prioritātes</w:t>
      </w: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Eiropas integrētā robežu pārvaldība, jo īpaši robežpārbaudes un robežuzraudzība, būtu jāatbalsta ar </w:t>
      </w:r>
      <w:r>
        <w:rPr>
          <w:rFonts w:ascii="Times New Roman" w:hAnsi="Times New Roman"/>
          <w:b/>
          <w:noProof/>
          <w:sz w:val="24"/>
        </w:rPr>
        <w:t>progresīvām, mobilām un sadarbspējīgām Eiropas tehniskajām sistēmām un risinājumiem</w:t>
      </w:r>
      <w:r>
        <w:rPr>
          <w:rFonts w:ascii="Times New Roman" w:hAnsi="Times New Roman"/>
          <w:noProof/>
          <w:sz w:val="24"/>
        </w:rPr>
        <w:t xml:space="preserve">, kas ir piemērojami ES lielapjoma IT sistēmām. Tas vajadzīgs, lai garantētu efektīvāku un uzticamāku robežkontroli. Eiropas Robežu un krasta apsardzei vajadzētu būt spējīgai </w:t>
      </w:r>
      <w:r>
        <w:rPr>
          <w:rFonts w:ascii="Times New Roman" w:hAnsi="Times New Roman"/>
          <w:b/>
          <w:noProof/>
          <w:sz w:val="24"/>
        </w:rPr>
        <w:t>pēc iespējas labāk izmantot jaunākās tehnoloģijas</w:t>
      </w:r>
      <w:r>
        <w:rPr>
          <w:rFonts w:ascii="Times New Roman" w:hAnsi="Times New Roman"/>
          <w:noProof/>
          <w:sz w:val="24"/>
        </w:rPr>
        <w:t>, tai skaitā datu drošības mehānismus.</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Stratēģiskās vadlīnijas</w:t>
      </w:r>
    </w:p>
    <w:p w:rsidR="00263099" w:rsidRPr="00263099" w:rsidRDefault="00263099" w:rsidP="00263099">
      <w:pPr>
        <w:numPr>
          <w:ilvl w:val="0"/>
          <w:numId w:val="10"/>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Būtu jāuzlabo esošajās sistēmās robežpārbaudēm izmantotās </w:t>
      </w:r>
      <w:r>
        <w:rPr>
          <w:rFonts w:ascii="Times New Roman" w:hAnsi="Times New Roman"/>
          <w:b/>
          <w:noProof/>
          <w:sz w:val="24"/>
        </w:rPr>
        <w:t>informācijas kvalitāte</w:t>
      </w:r>
      <w:r>
        <w:rPr>
          <w:rFonts w:ascii="Times New Roman" w:hAnsi="Times New Roman"/>
          <w:noProof/>
          <w:sz w:val="24"/>
        </w:rPr>
        <w:t xml:space="preserve"> — būtu jāveic praktiski pasākumi, lai nodrošinātu datu precizitāti, izmantojot to periodiskas izvērtēšanas iespēju, tai skaitā ieviešot progresīvas tehnoloģijas. </w:t>
      </w:r>
    </w:p>
    <w:p w:rsidR="00263099" w:rsidRPr="00263099" w:rsidRDefault="00263099" w:rsidP="00263099">
      <w:pPr>
        <w:numPr>
          <w:ilvl w:val="0"/>
          <w:numId w:val="10"/>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Būtu jānodrošina </w:t>
      </w:r>
      <w:r>
        <w:rPr>
          <w:rFonts w:ascii="Times New Roman" w:hAnsi="Times New Roman"/>
          <w:b/>
          <w:noProof/>
          <w:sz w:val="24"/>
        </w:rPr>
        <w:t xml:space="preserve">esošo un jauno lielapjoma IT sistēmu (IIS, VIS, </w:t>
      </w:r>
      <w:r>
        <w:rPr>
          <w:rFonts w:ascii="Times New Roman" w:hAnsi="Times New Roman"/>
          <w:b/>
          <w:i/>
          <w:iCs/>
          <w:noProof/>
          <w:sz w:val="24"/>
        </w:rPr>
        <w:t>ETIAS</w:t>
      </w:r>
      <w:r>
        <w:rPr>
          <w:rFonts w:ascii="Times New Roman" w:hAnsi="Times New Roman"/>
          <w:b/>
          <w:noProof/>
          <w:sz w:val="24"/>
        </w:rPr>
        <w:t xml:space="preserve">, atjauninātās </w:t>
      </w:r>
      <w:r>
        <w:rPr>
          <w:rFonts w:ascii="Times New Roman" w:hAnsi="Times New Roman"/>
          <w:b/>
          <w:i/>
          <w:iCs/>
          <w:noProof/>
          <w:sz w:val="24"/>
        </w:rPr>
        <w:t>SIS</w:t>
      </w:r>
      <w:r>
        <w:rPr>
          <w:rFonts w:ascii="Times New Roman" w:hAnsi="Times New Roman"/>
          <w:b/>
          <w:noProof/>
          <w:sz w:val="24"/>
        </w:rPr>
        <w:t>) sadarbspēja</w:t>
      </w:r>
      <w:r>
        <w:rPr>
          <w:rFonts w:ascii="Times New Roman" w:hAnsi="Times New Roman"/>
          <w:noProof/>
          <w:sz w:val="24"/>
        </w:rPr>
        <w:t xml:space="preserve">, jo īpaši nesen atjaunināto sistēmu pilnīga un visaptveroša ieviešana. </w:t>
      </w:r>
    </w:p>
    <w:p w:rsidR="00263099" w:rsidRPr="00263099" w:rsidRDefault="00263099" w:rsidP="00263099">
      <w:pPr>
        <w:numPr>
          <w:ilvl w:val="0"/>
          <w:numId w:val="10"/>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Eiropas Savienības aģentūras </w:t>
      </w:r>
      <w:r>
        <w:rPr>
          <w:rFonts w:ascii="Times New Roman" w:hAnsi="Times New Roman"/>
          <w:b/>
          <w:i/>
          <w:iCs/>
          <w:noProof/>
          <w:sz w:val="24"/>
        </w:rPr>
        <w:t>eu-LISA</w:t>
      </w:r>
      <w:r>
        <w:rPr>
          <w:rFonts w:ascii="Times New Roman" w:hAnsi="Times New Roman"/>
          <w:noProof/>
          <w:sz w:val="24"/>
        </w:rPr>
        <w:t xml:space="preserve"> (Eiropas Savienības Aģentūra lielapjoma IT sistēmu darbības pārvaldībai brīvības, drošības un tiesiskuma telpā) </w:t>
      </w:r>
      <w:r>
        <w:rPr>
          <w:rFonts w:ascii="Times New Roman" w:hAnsi="Times New Roman"/>
          <w:b/>
          <w:noProof/>
          <w:sz w:val="24"/>
        </w:rPr>
        <w:t>galvenais mērķis</w:t>
      </w:r>
      <w:r>
        <w:rPr>
          <w:rFonts w:ascii="Times New Roman" w:hAnsi="Times New Roman"/>
          <w:noProof/>
          <w:sz w:val="24"/>
        </w:rPr>
        <w:t xml:space="preserve"> ir izstrādāt, uzturēt un ekspluatēt lielapjoma informācijas sistēmu centrālos komponentus.</w:t>
      </w:r>
    </w:p>
    <w:p w:rsidR="00263099" w:rsidRPr="00263099" w:rsidRDefault="00263099" w:rsidP="00263099">
      <w:pPr>
        <w:numPr>
          <w:ilvl w:val="0"/>
          <w:numId w:val="10"/>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Lai uzlabotu iedzīvotāju drošību, atvieglotu robežpārbaudes un ārējo robežu šķērsošanu, kā arī apkarotu pārrobežu noziedzību un terorismu, būtu maksimāli jāizmanto </w:t>
      </w:r>
      <w:r>
        <w:rPr>
          <w:rFonts w:ascii="Times New Roman" w:hAnsi="Times New Roman"/>
          <w:b/>
          <w:noProof/>
          <w:sz w:val="24"/>
        </w:rPr>
        <w:t>jaunu viedo tehnisko risinājumu</w:t>
      </w:r>
      <w:r>
        <w:rPr>
          <w:rFonts w:ascii="Times New Roman" w:hAnsi="Times New Roman"/>
          <w:noProof/>
          <w:sz w:val="24"/>
        </w:rPr>
        <w:t xml:space="preserve"> (piemēram, automatizētās robežpārbaudes / </w:t>
      </w:r>
      <w:r>
        <w:rPr>
          <w:rFonts w:ascii="Times New Roman" w:hAnsi="Times New Roman"/>
          <w:i/>
          <w:iCs/>
          <w:noProof/>
          <w:sz w:val="24"/>
        </w:rPr>
        <w:t>ABC</w:t>
      </w:r>
      <w:r>
        <w:rPr>
          <w:rFonts w:ascii="Times New Roman" w:hAnsi="Times New Roman"/>
          <w:noProof/>
          <w:sz w:val="24"/>
        </w:rPr>
        <w:t xml:space="preserve"> vārtu) potenciāls un dažādu ar robežšķērsošanu un drošību saistīto informācijas sistēmu sadarbspēja.</w:t>
      </w:r>
    </w:p>
    <w:p w:rsidR="00263099" w:rsidRPr="00263099" w:rsidRDefault="00263099" w:rsidP="00263099">
      <w:pPr>
        <w:numPr>
          <w:ilvl w:val="0"/>
          <w:numId w:val="10"/>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Lai uzlabotu Eiropas novērošanas un reaģēšanas spējas pie ārējām robežām, būtu pilnībā jāizmanto </w:t>
      </w:r>
      <w:r>
        <w:rPr>
          <w:rFonts w:ascii="Times New Roman" w:hAnsi="Times New Roman"/>
          <w:b/>
          <w:noProof/>
          <w:sz w:val="24"/>
        </w:rPr>
        <w:t>mūsdienu tehnoloģiju</w:t>
      </w:r>
      <w:r>
        <w:rPr>
          <w:rFonts w:ascii="Times New Roman" w:hAnsi="Times New Roman"/>
          <w:noProof/>
          <w:sz w:val="24"/>
        </w:rPr>
        <w:t xml:space="preserve"> potenciāls. Lai iegūtu visaptverošu situācijas attēlu, būtu jāturpina attīstīt Eiropas novērošanas spēju (piemēram, satelītu dienestu) izmantošanu.</w:t>
      </w:r>
    </w:p>
    <w:p w:rsidR="00263099" w:rsidRPr="00263099" w:rsidRDefault="00263099" w:rsidP="00263099">
      <w:pPr>
        <w:numPr>
          <w:ilvl w:val="0"/>
          <w:numId w:val="10"/>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Būtu jāturpina attīstīt </w:t>
      </w:r>
      <w:r>
        <w:rPr>
          <w:rFonts w:ascii="Times New Roman" w:hAnsi="Times New Roman"/>
          <w:b/>
          <w:noProof/>
          <w:sz w:val="24"/>
        </w:rPr>
        <w:t>uzraudzības spēju</w:t>
      </w:r>
      <w:r>
        <w:rPr>
          <w:rFonts w:ascii="Times New Roman" w:hAnsi="Times New Roman"/>
          <w:noProof/>
          <w:sz w:val="24"/>
        </w:rPr>
        <w:t>, ko nodrošina pie jūras un sauszemes robežām izmantotas integrētas, sadarbspējīgas un pielāgojamas tehniskās uzraudzības sistēmas (stacionārās un mobilās). Tam būtu jāietver tehniskie risinājumi un darba procesi, ko izmanto dažādos operacionālajos centros (NKC, glābšanas koordinācijas centros un vietējos koordinācijas centros) un mobilajās vienībās.</w:t>
      </w:r>
    </w:p>
    <w:p w:rsidR="00263099" w:rsidRPr="00263099" w:rsidRDefault="00263099" w:rsidP="00263099">
      <w:pPr>
        <w:numPr>
          <w:ilvl w:val="0"/>
          <w:numId w:val="10"/>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Eiropas Robežu un krasta apsardzei, sniedzot ieguldījumu </w:t>
      </w:r>
      <w:r>
        <w:rPr>
          <w:rFonts w:ascii="Times New Roman" w:hAnsi="Times New Roman"/>
          <w:b/>
          <w:noProof/>
          <w:sz w:val="24"/>
        </w:rPr>
        <w:t>Eiropas kritisko tehnoloģiju autonomijā</w:t>
      </w:r>
      <w:r w:rsidRPr="00263099">
        <w:rPr>
          <w:rFonts w:ascii="Times New Roman" w:eastAsia="Calibri" w:hAnsi="Times New Roman" w:cs="Times New Roman"/>
          <w:noProof/>
          <w:sz w:val="24"/>
          <w:szCs w:val="24"/>
          <w:vertAlign w:val="superscript"/>
          <w:lang w:val="en-GB"/>
        </w:rPr>
        <w:footnoteReference w:id="26"/>
      </w:r>
      <w:r>
        <w:rPr>
          <w:rFonts w:ascii="Times New Roman" w:hAnsi="Times New Roman"/>
          <w:noProof/>
          <w:sz w:val="24"/>
        </w:rPr>
        <w:t>, ir jānodrošina, lai tās spēju pilnveides plānošanā tiktu ņemts vērā mērķis samazināt atkarību no trešo valstu izstrādātām kritiskajām tehnoloģijām.</w:t>
      </w:r>
    </w:p>
    <w:p w:rsidR="00263099" w:rsidRDefault="00263099" w:rsidP="00263099">
      <w:pPr>
        <w:numPr>
          <w:ilvl w:val="0"/>
          <w:numId w:val="10"/>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Progresīvo tehnoloģiju izmantošanai ir jāatbilst ES datu aizsardzības sistēmas prasībām.</w:t>
      </w:r>
    </w:p>
    <w:p w:rsidR="00F00B9E" w:rsidRPr="00127656" w:rsidRDefault="00F00B9E" w:rsidP="00F00B9E">
      <w:pPr>
        <w:spacing w:after="200" w:line="276" w:lineRule="auto"/>
        <w:contextualSpacing/>
        <w:jc w:val="both"/>
        <w:rPr>
          <w:rFonts w:ascii="Times New Roman" w:eastAsia="Calibri" w:hAnsi="Times New Roman" w:cs="Times New Roman"/>
          <w:noProof/>
          <w:sz w:val="24"/>
          <w:szCs w:val="24"/>
        </w:rPr>
      </w:pPr>
    </w:p>
    <w:p w:rsidR="00F00B9E" w:rsidRPr="00127656" w:rsidRDefault="00F00B9E" w:rsidP="00F00B9E">
      <w:pPr>
        <w:spacing w:after="200" w:line="276" w:lineRule="auto"/>
        <w:contextualSpacing/>
        <w:jc w:val="both"/>
        <w:rPr>
          <w:rFonts w:ascii="Times New Roman" w:eastAsia="Calibri" w:hAnsi="Times New Roman" w:cs="Times New Roman"/>
          <w:noProof/>
          <w:sz w:val="24"/>
          <w:szCs w:val="24"/>
        </w:rPr>
      </w:pPr>
    </w:p>
    <w:p w:rsidR="00263099" w:rsidRPr="00263099" w:rsidRDefault="00263099" w:rsidP="00F00B9E">
      <w:pPr>
        <w:pBdr>
          <w:top w:val="single" w:sz="4" w:space="1" w:color="auto"/>
          <w:left w:val="single" w:sz="4" w:space="4" w:color="auto"/>
          <w:bottom w:val="single" w:sz="4" w:space="1" w:color="auto"/>
          <w:right w:val="single" w:sz="4" w:space="4" w:color="auto"/>
        </w:pBdr>
        <w:shd w:val="clear" w:color="auto" w:fill="DAEEF3"/>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11. sastāvdaļa: </w:t>
      </w:r>
      <w:r>
        <w:rPr>
          <w:rFonts w:ascii="Times New Roman" w:hAnsi="Times New Roman"/>
          <w:noProof/>
          <w:sz w:val="24"/>
        </w:rPr>
        <w:t>“</w:t>
      </w:r>
      <w:r>
        <w:rPr>
          <w:rFonts w:ascii="Times New Roman" w:hAnsi="Times New Roman"/>
          <w:i/>
          <w:noProof/>
          <w:sz w:val="24"/>
          <w:u w:val="single"/>
        </w:rPr>
        <w:t>kvalitātes kontroles mehānisms</w:t>
      </w:r>
      <w:r>
        <w:rPr>
          <w:rFonts w:ascii="Times New Roman" w:hAnsi="Times New Roman"/>
          <w:i/>
          <w:noProof/>
          <w:sz w:val="24"/>
        </w:rPr>
        <w:t>, jo īpaši Šengenas izvērtēšanas mehānisms, neaizsargātības novērtējums un iespējami valstu mehānismi, lai nodrošinātu Savienības tiesību īstenošanu robežu pārvaldības jomā</w:t>
      </w:r>
      <w:r>
        <w:rPr>
          <w:rFonts w:ascii="Times New Roman" w:hAnsi="Times New Roman"/>
          <w:noProof/>
          <w:sz w:val="24"/>
        </w:rPr>
        <w:t>”</w:t>
      </w:r>
      <w:r w:rsidRPr="00263099">
        <w:rPr>
          <w:rFonts w:ascii="Times New Roman" w:eastAsia="Times New Roman" w:hAnsi="Times New Roman" w:cs="Times New Roman"/>
          <w:i/>
          <w:noProof/>
          <w:sz w:val="24"/>
          <w:szCs w:val="24"/>
          <w:vertAlign w:val="superscript"/>
          <w:lang w:val="en-GB" w:eastAsia="en-GB"/>
        </w:rPr>
        <w:footnoteReference w:id="27"/>
      </w:r>
      <w:r>
        <w:rPr>
          <w:rFonts w:ascii="Times New Roman" w:hAnsi="Times New Roman"/>
          <w:noProof/>
          <w:sz w:val="24"/>
        </w:rPr>
        <w:t>.</w:t>
      </w:r>
    </w:p>
    <w:p w:rsidR="00263099" w:rsidRPr="00263099" w:rsidRDefault="00263099" w:rsidP="00263099">
      <w:pPr>
        <w:keepNext/>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Politikas prioritātes</w:t>
      </w:r>
    </w:p>
    <w:p w:rsidR="00263099" w:rsidRPr="00127656" w:rsidRDefault="00263099" w:rsidP="00263099">
      <w:pPr>
        <w:keepNext/>
        <w:spacing w:after="0" w:line="240" w:lineRule="auto"/>
        <w:jc w:val="both"/>
        <w:rPr>
          <w:rFonts w:ascii="Times New Roman" w:eastAsia="Times New Roman" w:hAnsi="Times New Roman" w:cs="Times New Roman"/>
          <w:i/>
          <w:noProof/>
          <w:sz w:val="24"/>
          <w:szCs w:val="24"/>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Būtu jāievieš visaptveroša </w:t>
      </w:r>
      <w:r>
        <w:rPr>
          <w:rFonts w:ascii="Times New Roman" w:hAnsi="Times New Roman"/>
          <w:b/>
          <w:noProof/>
          <w:sz w:val="24"/>
        </w:rPr>
        <w:t>Eiropas kvalitātes kontroles sistēma</w:t>
      </w:r>
      <w:r>
        <w:rPr>
          <w:rFonts w:ascii="Times New Roman" w:hAnsi="Times New Roman"/>
          <w:noProof/>
          <w:sz w:val="24"/>
        </w:rPr>
        <w:t>, lai garantētu pastāvīgu informētību par Eiropas integrētās robežu pārvaldības īstenošanu un kvalitāti stratēģiskā un operacionālā līmenī. Kvalitātes kontroles rezultāti būtu jāizmanto kā pamats Eiropas un valstu integrētās robežu pārvaldības sistēmu un funkciju turpmākai izstrādei.</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Stratēģiskās vadlīnijas</w:t>
      </w:r>
    </w:p>
    <w:p w:rsidR="00263099" w:rsidRPr="00263099" w:rsidRDefault="00263099" w:rsidP="00263099">
      <w:pPr>
        <w:numPr>
          <w:ilvl w:val="0"/>
          <w:numId w:val="31"/>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Būtu pilnībā jāīsteno Eiropas kvalitātes kontroles mehānisms, ko veido </w:t>
      </w:r>
      <w:r>
        <w:rPr>
          <w:rFonts w:ascii="Times New Roman" w:hAnsi="Times New Roman"/>
          <w:b/>
          <w:noProof/>
          <w:sz w:val="24"/>
        </w:rPr>
        <w:t>Šengenas izvērtēšanas mehānisms</w:t>
      </w:r>
      <w:r>
        <w:rPr>
          <w:rFonts w:ascii="Times New Roman" w:hAnsi="Times New Roman"/>
          <w:noProof/>
          <w:sz w:val="24"/>
        </w:rPr>
        <w:t xml:space="preserve"> un </w:t>
      </w:r>
      <w:r>
        <w:rPr>
          <w:rFonts w:ascii="Times New Roman" w:hAnsi="Times New Roman"/>
          <w:b/>
          <w:i/>
          <w:iCs/>
          <w:noProof/>
          <w:sz w:val="24"/>
        </w:rPr>
        <w:t>Frontex</w:t>
      </w:r>
      <w:r>
        <w:rPr>
          <w:rFonts w:ascii="Times New Roman" w:hAnsi="Times New Roman"/>
          <w:b/>
          <w:noProof/>
          <w:sz w:val="24"/>
        </w:rPr>
        <w:t xml:space="preserve"> veiktie neaizsargātības novērtējumi</w:t>
      </w:r>
      <w:r>
        <w:rPr>
          <w:rFonts w:ascii="Times New Roman" w:hAnsi="Times New Roman"/>
          <w:noProof/>
          <w:sz w:val="24"/>
        </w:rPr>
        <w:t>.</w:t>
      </w:r>
    </w:p>
    <w:p w:rsidR="00263099" w:rsidRPr="00263099" w:rsidRDefault="00263099" w:rsidP="00263099">
      <w:pPr>
        <w:numPr>
          <w:ilvl w:val="0"/>
          <w:numId w:val="31"/>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Pamatojoties uz regulāru informācijas apmaiņu, būtu maksimāli jāpalielina </w:t>
      </w:r>
      <w:r>
        <w:rPr>
          <w:rFonts w:ascii="Times New Roman" w:hAnsi="Times New Roman"/>
          <w:b/>
          <w:noProof/>
          <w:sz w:val="24"/>
        </w:rPr>
        <w:t>neaizsargātības novērtējuma un Šengenas izvērtēšanas mehānisma sinerģija</w:t>
      </w:r>
      <w:r>
        <w:rPr>
          <w:rFonts w:ascii="Times New Roman" w:hAnsi="Times New Roman"/>
          <w:noProof/>
          <w:sz w:val="24"/>
        </w:rPr>
        <w:t>, lai gūtu labāku priekšstatu par Šengenas zonas darbību. Tādējādi pēc iespējas būtu jāizvairās no dalībvalstu centienu dublēšanās un jānodrošina attiecīgo ES finanšu instrumentu, ar ko atbalsta ārējo robežu pārvaldību, koordinētāka izmantošana.</w:t>
      </w:r>
    </w:p>
    <w:p w:rsidR="00263099" w:rsidRPr="00263099" w:rsidRDefault="00263099" w:rsidP="00263099">
      <w:pPr>
        <w:numPr>
          <w:ilvl w:val="0"/>
          <w:numId w:val="31"/>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Kvalitātes kontroles mehānisma rezultāti būtu jāizmanto, lai izstrādātu valsts robežu pārvaldības sistēmu un noteiktu attiecīgo ES finansēšanas instrumentu (piemēram, valsts programmu un tematisko mehānismu Integrētās robežu pārvaldības fonda finansiālā atbalsta instrumenta robežu pārvaldībai un vīzu politikai (</w:t>
      </w:r>
      <w:r>
        <w:rPr>
          <w:rFonts w:ascii="Times New Roman" w:hAnsi="Times New Roman"/>
          <w:i/>
          <w:iCs/>
          <w:noProof/>
          <w:sz w:val="24"/>
        </w:rPr>
        <w:t>BMVI</w:t>
      </w:r>
      <w:r>
        <w:rPr>
          <w:rFonts w:ascii="Times New Roman" w:hAnsi="Times New Roman"/>
          <w:noProof/>
          <w:sz w:val="24"/>
        </w:rPr>
        <w:t>) ietvaros) izmantošanas prioritātes, jo īpaši, kad tiek novērtēti citi Komisijas finansējuma priekšlikumi.</w:t>
      </w:r>
    </w:p>
    <w:p w:rsidR="00263099" w:rsidRPr="00263099" w:rsidRDefault="00263099" w:rsidP="00263099">
      <w:pPr>
        <w:numPr>
          <w:ilvl w:val="0"/>
          <w:numId w:val="31"/>
        </w:numPr>
        <w:spacing w:after="200" w:line="276" w:lineRule="auto"/>
        <w:contextualSpacing/>
        <w:jc w:val="both"/>
        <w:rPr>
          <w:rFonts w:ascii="Times New Roman" w:eastAsia="Calibri" w:hAnsi="Times New Roman" w:cs="Times New Roman"/>
          <w:noProof/>
          <w:sz w:val="24"/>
          <w:szCs w:val="24"/>
        </w:rPr>
      </w:pPr>
      <w:r>
        <w:rPr>
          <w:rFonts w:ascii="Times New Roman" w:hAnsi="Times New Roman"/>
          <w:b/>
          <w:noProof/>
          <w:sz w:val="24"/>
        </w:rPr>
        <w:t>Dalībvalstīm</w:t>
      </w:r>
      <w:r>
        <w:rPr>
          <w:rFonts w:ascii="Times New Roman" w:hAnsi="Times New Roman"/>
          <w:noProof/>
          <w:sz w:val="24"/>
        </w:rPr>
        <w:t xml:space="preserve"> būtu jāizveido </w:t>
      </w:r>
      <w:r>
        <w:rPr>
          <w:rFonts w:ascii="Times New Roman" w:hAnsi="Times New Roman"/>
          <w:b/>
          <w:noProof/>
          <w:sz w:val="24"/>
        </w:rPr>
        <w:t>valsts kvalitātes kontroles mehānisms</w:t>
      </w:r>
      <w:r>
        <w:rPr>
          <w:rFonts w:ascii="Times New Roman" w:hAnsi="Times New Roman"/>
          <w:noProof/>
          <w:sz w:val="24"/>
        </w:rPr>
        <w:t xml:space="preserve"> (valsts “Šengenas izvērtējums”), kas aptvertu visas valsts integrētās robežu pārvaldības sistēmas daļas un funkcijas un ietvertu visas integrētajā robežu pārvaldībā iesaistītās iestādes.</w:t>
      </w:r>
    </w:p>
    <w:p w:rsidR="00263099" w:rsidRDefault="00263099" w:rsidP="00263099">
      <w:pPr>
        <w:numPr>
          <w:ilvl w:val="0"/>
          <w:numId w:val="31"/>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Dalībvalstīm būtu aktīvi jāpiedalās Komisijas koordinētajos Šengenas izvērtēšanas apmeklējumos un jāsniedz savlaicīgs un kvalitatīvs ieguldījums </w:t>
      </w:r>
      <w:r>
        <w:rPr>
          <w:rFonts w:ascii="Times New Roman" w:hAnsi="Times New Roman"/>
          <w:i/>
          <w:iCs/>
          <w:noProof/>
          <w:sz w:val="24"/>
        </w:rPr>
        <w:t>Frontex</w:t>
      </w:r>
      <w:r>
        <w:rPr>
          <w:rFonts w:ascii="Times New Roman" w:hAnsi="Times New Roman"/>
          <w:noProof/>
          <w:sz w:val="24"/>
        </w:rPr>
        <w:t xml:space="preserve"> vadītajos neaizsargātības novērtējumos.</w:t>
      </w:r>
    </w:p>
    <w:p w:rsidR="00F00B9E" w:rsidRPr="00127656" w:rsidRDefault="00F00B9E" w:rsidP="00F00B9E">
      <w:pPr>
        <w:spacing w:after="200" w:line="276" w:lineRule="auto"/>
        <w:contextualSpacing/>
        <w:jc w:val="both"/>
        <w:rPr>
          <w:rFonts w:ascii="Times New Roman" w:eastAsia="Calibri" w:hAnsi="Times New Roman" w:cs="Times New Roman"/>
          <w:noProof/>
          <w:sz w:val="24"/>
          <w:szCs w:val="24"/>
        </w:rPr>
      </w:pPr>
    </w:p>
    <w:p w:rsidR="00263099" w:rsidRPr="00263099" w:rsidRDefault="00263099" w:rsidP="00263099">
      <w:pPr>
        <w:pBdr>
          <w:top w:val="single" w:sz="4" w:space="1" w:color="auto"/>
          <w:left w:val="single" w:sz="4" w:space="4" w:color="auto"/>
          <w:bottom w:val="single" w:sz="4" w:space="1" w:color="auto"/>
          <w:right w:val="single" w:sz="4" w:space="4" w:color="auto"/>
        </w:pBdr>
        <w:shd w:val="clear" w:color="auto" w:fill="DAEEF3"/>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 xml:space="preserve">12. sastāvdaļa: </w:t>
      </w:r>
      <w:r>
        <w:rPr>
          <w:rFonts w:ascii="Times New Roman" w:hAnsi="Times New Roman"/>
          <w:noProof/>
          <w:sz w:val="24"/>
        </w:rPr>
        <w:t>“</w:t>
      </w:r>
      <w:r>
        <w:rPr>
          <w:rFonts w:ascii="Times New Roman" w:hAnsi="Times New Roman"/>
          <w:i/>
          <w:noProof/>
          <w:sz w:val="24"/>
          <w:u w:val="single"/>
        </w:rPr>
        <w:t>solidaritātes</w:t>
      </w:r>
      <w:r>
        <w:rPr>
          <w:rFonts w:ascii="Times New Roman" w:hAnsi="Times New Roman"/>
          <w:i/>
          <w:noProof/>
          <w:sz w:val="24"/>
        </w:rPr>
        <w:t xml:space="preserve"> mehānismi, jo īpaši Savienības finansēšanas instrumenti</w:t>
      </w:r>
      <w:r>
        <w:rPr>
          <w:rFonts w:ascii="Times New Roman" w:hAnsi="Times New Roman"/>
          <w:noProof/>
          <w:sz w:val="24"/>
        </w:rPr>
        <w:t>”</w:t>
      </w:r>
      <w:r w:rsidRPr="00263099">
        <w:rPr>
          <w:rFonts w:ascii="Times New Roman" w:eastAsia="Times New Roman" w:hAnsi="Times New Roman" w:cs="Times New Roman"/>
          <w:i/>
          <w:noProof/>
          <w:sz w:val="24"/>
          <w:szCs w:val="24"/>
          <w:vertAlign w:val="superscript"/>
          <w:lang w:val="en-GB" w:eastAsia="en-GB"/>
        </w:rPr>
        <w:footnoteReference w:id="28"/>
      </w:r>
      <w:r>
        <w:rPr>
          <w:rFonts w:ascii="Times New Roman" w:hAnsi="Times New Roman"/>
          <w:noProof/>
          <w:sz w:val="24"/>
        </w:rPr>
        <w:t>.</w:t>
      </w:r>
    </w:p>
    <w:p w:rsidR="00263099" w:rsidRPr="00127656" w:rsidRDefault="00263099" w:rsidP="00263099">
      <w:pPr>
        <w:pBdr>
          <w:top w:val="single" w:sz="4" w:space="1" w:color="auto"/>
          <w:left w:val="single" w:sz="4" w:space="4" w:color="auto"/>
          <w:bottom w:val="single" w:sz="4" w:space="1" w:color="auto"/>
          <w:right w:val="single" w:sz="4" w:space="4" w:color="auto"/>
        </w:pBdr>
        <w:shd w:val="clear" w:color="auto" w:fill="DAEEF3"/>
        <w:spacing w:after="0" w:line="240" w:lineRule="auto"/>
        <w:jc w:val="both"/>
        <w:rPr>
          <w:rFonts w:ascii="Times New Roman" w:eastAsia="Times New Roman" w:hAnsi="Times New Roman" w:cs="Times New Roman"/>
          <w:noProof/>
          <w:sz w:val="24"/>
          <w:szCs w:val="24"/>
          <w:lang w:eastAsia="en-GB"/>
        </w:rPr>
      </w:pP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Politikas prioritātes</w:t>
      </w:r>
    </w:p>
    <w:p w:rsidR="00263099" w:rsidRPr="00127656" w:rsidRDefault="00263099" w:rsidP="00263099">
      <w:pPr>
        <w:spacing w:after="0" w:line="240" w:lineRule="auto"/>
        <w:jc w:val="both"/>
        <w:rPr>
          <w:rFonts w:ascii="Times New Roman" w:eastAsia="Times New Roman" w:hAnsi="Times New Roman" w:cs="Times New Roman"/>
          <w:i/>
          <w:noProof/>
          <w:sz w:val="24"/>
          <w:szCs w:val="24"/>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Eiropas integrētās robežu pārvaldības stratēģijas rezultatīva īstenošana būtu jāatbalsta ar </w:t>
      </w:r>
      <w:r>
        <w:rPr>
          <w:rFonts w:ascii="Times New Roman" w:hAnsi="Times New Roman"/>
          <w:b/>
          <w:noProof/>
          <w:sz w:val="24"/>
        </w:rPr>
        <w:t>īpašiem ES fondiem</w:t>
      </w:r>
      <w:r>
        <w:rPr>
          <w:rFonts w:ascii="Times New Roman" w:hAnsi="Times New Roman"/>
          <w:noProof/>
          <w:sz w:val="24"/>
        </w:rPr>
        <w:t xml:space="preserve">, jo sevišķi ar </w:t>
      </w:r>
      <w:r>
        <w:rPr>
          <w:rFonts w:ascii="Times New Roman" w:hAnsi="Times New Roman"/>
          <w:i/>
          <w:iCs/>
          <w:noProof/>
          <w:sz w:val="24"/>
        </w:rPr>
        <w:t>BMVI</w:t>
      </w:r>
      <w:r>
        <w:rPr>
          <w:rFonts w:ascii="Times New Roman" w:hAnsi="Times New Roman"/>
          <w:noProof/>
          <w:sz w:val="24"/>
        </w:rPr>
        <w:t xml:space="preserve"> un Patvēruma, migrācijas un integrācijas fondu (</w:t>
      </w:r>
      <w:r>
        <w:rPr>
          <w:rFonts w:ascii="Times New Roman" w:hAnsi="Times New Roman"/>
          <w:i/>
          <w:iCs/>
          <w:noProof/>
          <w:sz w:val="24"/>
        </w:rPr>
        <w:t>AMIF</w:t>
      </w:r>
      <w:r>
        <w:rPr>
          <w:rFonts w:ascii="Times New Roman" w:hAnsi="Times New Roman"/>
          <w:noProof/>
          <w:sz w:val="24"/>
        </w:rPr>
        <w:t xml:space="preserve">). Lai nodrošinātu maksimālu ES pievienoto vērtību, ar </w:t>
      </w:r>
      <w:r>
        <w:rPr>
          <w:rFonts w:ascii="Times New Roman" w:hAnsi="Times New Roman"/>
          <w:b/>
          <w:noProof/>
          <w:sz w:val="24"/>
        </w:rPr>
        <w:t>ES fondiem</w:t>
      </w:r>
      <w:r>
        <w:rPr>
          <w:rFonts w:ascii="Times New Roman" w:hAnsi="Times New Roman"/>
          <w:noProof/>
          <w:sz w:val="24"/>
        </w:rPr>
        <w:t xml:space="preserve"> ES un valstu līmenī būtu jāatbalsta Eiropas integrētās robežu pārvaldības darbības, kas ir </w:t>
      </w:r>
      <w:r>
        <w:rPr>
          <w:rFonts w:ascii="Times New Roman" w:hAnsi="Times New Roman"/>
          <w:b/>
          <w:noProof/>
          <w:sz w:val="24"/>
        </w:rPr>
        <w:t>ES jurisdikcijā un ko nosaka ES tiesību akti</w:t>
      </w:r>
      <w:r>
        <w:rPr>
          <w:rFonts w:ascii="Times New Roman" w:hAnsi="Times New Roman"/>
          <w:noProof/>
          <w:sz w:val="24"/>
        </w:rPr>
        <w:t xml:space="preserve">. </w:t>
      </w:r>
      <w:r>
        <w:rPr>
          <w:rFonts w:ascii="Times New Roman" w:hAnsi="Times New Roman"/>
          <w:b/>
          <w:noProof/>
          <w:sz w:val="24"/>
        </w:rPr>
        <w:t>Eiropas integrētās robežu pārvaldības sastāvdaļas, ko reglamentē valstu tiesību akti</w:t>
      </w:r>
      <w:r>
        <w:rPr>
          <w:rFonts w:ascii="Times New Roman" w:hAnsi="Times New Roman"/>
          <w:noProof/>
          <w:sz w:val="24"/>
        </w:rPr>
        <w:t xml:space="preserve">, principā būtu jāfinansē no </w:t>
      </w:r>
      <w:r>
        <w:rPr>
          <w:rFonts w:ascii="Times New Roman" w:hAnsi="Times New Roman"/>
          <w:b/>
          <w:noProof/>
          <w:sz w:val="24"/>
        </w:rPr>
        <w:t>valstu resursiem</w:t>
      </w:r>
      <w:r>
        <w:rPr>
          <w:rFonts w:ascii="Times New Roman" w:hAnsi="Times New Roman"/>
          <w:noProof/>
          <w:sz w:val="24"/>
        </w:rPr>
        <w:t>.</w:t>
      </w:r>
    </w:p>
    <w:p w:rsidR="00263099" w:rsidRPr="00127656" w:rsidRDefault="00263099" w:rsidP="00263099">
      <w:pPr>
        <w:spacing w:after="0" w:line="240" w:lineRule="auto"/>
        <w:jc w:val="both"/>
        <w:rPr>
          <w:rFonts w:ascii="Times New Roman" w:eastAsia="Times New Roman" w:hAnsi="Times New Roman" w:cs="Times New Roman"/>
          <w:noProof/>
          <w:sz w:val="24"/>
          <w:szCs w:val="24"/>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b/>
          <w:i/>
          <w:iCs/>
          <w:noProof/>
          <w:sz w:val="24"/>
        </w:rPr>
        <w:t>Frontex</w:t>
      </w:r>
      <w:r>
        <w:rPr>
          <w:rFonts w:ascii="Times New Roman" w:hAnsi="Times New Roman"/>
          <w:b/>
          <w:noProof/>
          <w:sz w:val="24"/>
        </w:rPr>
        <w:t xml:space="preserve"> darbību</w:t>
      </w:r>
      <w:r>
        <w:rPr>
          <w:rFonts w:ascii="Times New Roman" w:hAnsi="Times New Roman"/>
          <w:noProof/>
          <w:sz w:val="24"/>
        </w:rPr>
        <w:t xml:space="preserve"> īstenošanu atbalsta ar aģentūras budžetu, ko piešķir no ES kopējā budžeta. Aģentūra var arī saņemt ES finansējumu tehniskās palīdzības projektiem trešās valstīs saskaņā ar to attiecīgo instrumentu noteikumiem, ar ko atbalsta ES ārējās migrācijas politikas īstenošanu.</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Stratēģiskās vadlīnijas</w:t>
      </w:r>
    </w:p>
    <w:p w:rsidR="00263099" w:rsidRPr="00263099" w:rsidRDefault="00263099" w:rsidP="00263099">
      <w:pPr>
        <w:numPr>
          <w:ilvl w:val="0"/>
          <w:numId w:val="30"/>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ES finansēšanas instrumentu izmantošana (piemēram, nacionālās programmas </w:t>
      </w:r>
      <w:r>
        <w:rPr>
          <w:rFonts w:ascii="Times New Roman" w:hAnsi="Times New Roman"/>
          <w:i/>
          <w:iCs/>
          <w:noProof/>
          <w:sz w:val="24"/>
        </w:rPr>
        <w:t>BMVI</w:t>
      </w:r>
      <w:r>
        <w:rPr>
          <w:rFonts w:ascii="Times New Roman" w:hAnsi="Times New Roman"/>
          <w:noProof/>
          <w:sz w:val="24"/>
        </w:rPr>
        <w:t xml:space="preserve"> ietvaros) būtu jāsaskaņo ar valstu integrētās robežu pārvaldības stratēģijām, rīcības plāniem un spēju plānošanu. Vajadzētu būt skaidrām un pienācīgi detalizētām valsts prioritātēm (piemēram, </w:t>
      </w:r>
      <w:r>
        <w:rPr>
          <w:rFonts w:ascii="Times New Roman" w:hAnsi="Times New Roman"/>
          <w:i/>
          <w:iCs/>
          <w:noProof/>
          <w:sz w:val="24"/>
        </w:rPr>
        <w:t>EUROSUR</w:t>
      </w:r>
      <w:r>
        <w:rPr>
          <w:rFonts w:ascii="Times New Roman" w:hAnsi="Times New Roman"/>
          <w:noProof/>
          <w:sz w:val="24"/>
        </w:rPr>
        <w:t>, spēju pilnveide), kas būtu balstītas uz ES prioritātēm.</w:t>
      </w:r>
    </w:p>
    <w:p w:rsidR="00263099" w:rsidRPr="00263099" w:rsidRDefault="00263099" w:rsidP="00263099">
      <w:pPr>
        <w:numPr>
          <w:ilvl w:val="0"/>
          <w:numId w:val="30"/>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Nosakot ES fondu līdzekļu izmantošanas prioritātes valstu līmenī, būtu jāņem vērā Šengenas izvērtēšanas mehānisma un neaizsargātības novērtējuma rezultāti.</w:t>
      </w:r>
    </w:p>
    <w:p w:rsidR="00263099" w:rsidRPr="00263099" w:rsidRDefault="00263099" w:rsidP="00263099">
      <w:pPr>
        <w:numPr>
          <w:ilvl w:val="0"/>
          <w:numId w:val="30"/>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Ciešai sadarbībai starp Komisiju un </w:t>
      </w:r>
      <w:r>
        <w:rPr>
          <w:rFonts w:ascii="Times New Roman" w:hAnsi="Times New Roman"/>
          <w:i/>
          <w:iCs/>
          <w:noProof/>
          <w:sz w:val="24"/>
        </w:rPr>
        <w:t>Frontex</w:t>
      </w:r>
      <w:r>
        <w:rPr>
          <w:rFonts w:ascii="Times New Roman" w:hAnsi="Times New Roman"/>
          <w:noProof/>
          <w:sz w:val="24"/>
        </w:rPr>
        <w:t xml:space="preserve"> būtu jānodrošina sinerģija starp </w:t>
      </w:r>
      <w:r>
        <w:rPr>
          <w:rFonts w:ascii="Times New Roman" w:hAnsi="Times New Roman"/>
          <w:i/>
          <w:iCs/>
          <w:noProof/>
          <w:sz w:val="24"/>
        </w:rPr>
        <w:t>Frontex</w:t>
      </w:r>
      <w:r>
        <w:rPr>
          <w:rFonts w:ascii="Times New Roman" w:hAnsi="Times New Roman"/>
          <w:noProof/>
          <w:sz w:val="24"/>
        </w:rPr>
        <w:t xml:space="preserve"> darbībām un pasākumiem, ko finansē ar citiem ES finansēšanas instrumentiem, un būtu jāizvairās no dubultas finansēšanas.</w:t>
      </w:r>
    </w:p>
    <w:p w:rsidR="00263099" w:rsidRPr="00263099" w:rsidRDefault="00263099" w:rsidP="00263099">
      <w:pPr>
        <w:numPr>
          <w:ilvl w:val="0"/>
          <w:numId w:val="30"/>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Ar ES finansējumu no Iekšējās drošības fonda (sadaļā “Robežas”) un </w:t>
      </w:r>
      <w:r>
        <w:rPr>
          <w:rFonts w:ascii="Times New Roman" w:hAnsi="Times New Roman"/>
          <w:i/>
          <w:iCs/>
          <w:noProof/>
          <w:sz w:val="24"/>
        </w:rPr>
        <w:t>BMVI</w:t>
      </w:r>
      <w:r>
        <w:rPr>
          <w:rFonts w:ascii="Times New Roman" w:hAnsi="Times New Roman"/>
          <w:noProof/>
          <w:sz w:val="24"/>
        </w:rPr>
        <w:t xml:space="preserve"> īpašajām darbībām būtu jāsniedz atbalsts dalībvalstīm, lai tās varētu iegādāties nepieciešamo aprīkojumu nolūkā to nodot </w:t>
      </w:r>
      <w:r>
        <w:rPr>
          <w:rFonts w:ascii="Times New Roman" w:hAnsi="Times New Roman"/>
          <w:i/>
          <w:iCs/>
          <w:noProof/>
          <w:sz w:val="24"/>
        </w:rPr>
        <w:t>Frontex</w:t>
      </w:r>
      <w:r>
        <w:rPr>
          <w:rFonts w:ascii="Times New Roman" w:hAnsi="Times New Roman"/>
          <w:noProof/>
          <w:sz w:val="24"/>
        </w:rPr>
        <w:t xml:space="preserve"> rīcībā saskaņā ar ERKA regulas 64. panta 14. punktu. Tas stiprinās aģentūras spēju atbalstīt tās dalībvalstis, kurām nepieciešama palīdzība.</w:t>
      </w:r>
    </w:p>
    <w:p w:rsidR="00263099" w:rsidRPr="00127656" w:rsidRDefault="00263099" w:rsidP="00263099">
      <w:pPr>
        <w:spacing w:after="0" w:line="240" w:lineRule="auto"/>
        <w:jc w:val="both"/>
        <w:rPr>
          <w:rFonts w:ascii="Times New Roman" w:eastAsia="Times New Roman" w:hAnsi="Times New Roman" w:cs="Times New Roman"/>
          <w:b/>
          <w:noProof/>
          <w:sz w:val="24"/>
          <w:szCs w:val="24"/>
          <w:lang w:eastAsia="en-GB"/>
        </w:rPr>
      </w:pPr>
    </w:p>
    <w:p w:rsidR="00263099" w:rsidRPr="00263099" w:rsidRDefault="00263099" w:rsidP="00263099">
      <w:pPr>
        <w:pBdr>
          <w:top w:val="single" w:sz="4" w:space="1" w:color="auto"/>
          <w:left w:val="single" w:sz="4" w:space="4" w:color="auto"/>
          <w:bottom w:val="single" w:sz="4" w:space="1" w:color="auto"/>
          <w:right w:val="single" w:sz="4" w:space="4" w:color="auto"/>
        </w:pBdr>
        <w:shd w:val="clear" w:color="auto" w:fill="EAF1DD"/>
        <w:spacing w:after="0" w:line="240" w:lineRule="auto"/>
        <w:ind w:left="360"/>
        <w:rPr>
          <w:rFonts w:ascii="Times New Roman" w:eastAsia="Times New Roman" w:hAnsi="Times New Roman" w:cs="Times New Roman"/>
          <w:b/>
          <w:noProof/>
          <w:sz w:val="24"/>
          <w:szCs w:val="24"/>
        </w:rPr>
      </w:pPr>
      <w:r>
        <w:rPr>
          <w:rFonts w:ascii="Times New Roman" w:hAnsi="Times New Roman"/>
          <w:b/>
          <w:noProof/>
          <w:sz w:val="24"/>
        </w:rPr>
        <w:t xml:space="preserve">13. sastāvdaļa: </w:t>
      </w:r>
      <w:r>
        <w:rPr>
          <w:rFonts w:ascii="Times New Roman" w:hAnsi="Times New Roman"/>
          <w:noProof/>
          <w:sz w:val="24"/>
        </w:rPr>
        <w:t>“</w:t>
      </w:r>
      <w:r>
        <w:rPr>
          <w:rFonts w:ascii="Times New Roman" w:hAnsi="Times New Roman"/>
          <w:i/>
          <w:noProof/>
          <w:sz w:val="24"/>
        </w:rPr>
        <w:t>pamattiesības</w:t>
      </w:r>
      <w:r>
        <w:rPr>
          <w:rFonts w:ascii="Times New Roman" w:hAnsi="Times New Roman"/>
          <w:noProof/>
          <w:sz w:val="24"/>
        </w:rPr>
        <w:t>”</w:t>
      </w:r>
      <w:r w:rsidRPr="00263099">
        <w:rPr>
          <w:rFonts w:ascii="Times New Roman" w:eastAsia="Times New Roman" w:hAnsi="Times New Roman" w:cs="Times New Roman"/>
          <w:i/>
          <w:noProof/>
          <w:sz w:val="24"/>
          <w:szCs w:val="24"/>
          <w:vertAlign w:val="superscript"/>
          <w:lang w:val="en-GB" w:eastAsia="en-GB"/>
        </w:rPr>
        <w:footnoteReference w:id="29"/>
      </w:r>
      <w:r>
        <w:rPr>
          <w:rFonts w:ascii="Times New Roman" w:hAnsi="Times New Roman"/>
          <w:noProof/>
          <w:sz w:val="24"/>
        </w:rPr>
        <w:t>.</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Politikas prioritātes</w:t>
      </w:r>
    </w:p>
    <w:p w:rsidR="00263099" w:rsidRPr="00127656" w:rsidRDefault="00263099" w:rsidP="00263099">
      <w:pPr>
        <w:spacing w:after="200" w:line="276" w:lineRule="auto"/>
        <w:contextualSpacing/>
        <w:jc w:val="both"/>
        <w:rPr>
          <w:rFonts w:ascii="Times New Roman" w:eastAsia="Calibri" w:hAnsi="Times New Roman" w:cs="Times New Roman"/>
          <w:b/>
          <w:i/>
          <w:noProof/>
          <w:sz w:val="24"/>
          <w:szCs w:val="24"/>
        </w:rPr>
      </w:pPr>
    </w:p>
    <w:p w:rsidR="00263099" w:rsidRPr="00263099" w:rsidRDefault="00263099" w:rsidP="00263099">
      <w:p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Eiropas integrētās robežu pārvaldības sistēmas pamatā ir </w:t>
      </w:r>
      <w:r>
        <w:rPr>
          <w:rFonts w:ascii="Times New Roman" w:hAnsi="Times New Roman"/>
          <w:b/>
          <w:noProof/>
          <w:sz w:val="24"/>
        </w:rPr>
        <w:t>pilnīga pamattiesību ievērošana</w:t>
      </w:r>
      <w:r>
        <w:rPr>
          <w:rFonts w:ascii="Times New Roman" w:hAnsi="Times New Roman"/>
          <w:noProof/>
          <w:sz w:val="24"/>
        </w:rPr>
        <w:t xml:space="preserve">. </w:t>
      </w:r>
      <w:r>
        <w:rPr>
          <w:rFonts w:ascii="Times New Roman" w:hAnsi="Times New Roman"/>
          <w:b/>
          <w:noProof/>
          <w:sz w:val="24"/>
        </w:rPr>
        <w:t>Eiropas Robežu un krasta apsardzei</w:t>
      </w:r>
      <w:r>
        <w:rPr>
          <w:rFonts w:ascii="Times New Roman" w:hAnsi="Times New Roman"/>
          <w:noProof/>
          <w:sz w:val="24"/>
        </w:rPr>
        <w:t xml:space="preserve">, Eiropas integrētās robežu pārvaldības īstenošanas gaitā veicot savus uzdevumus saskaņā ar tai piešķirtajām pilnvarām, </w:t>
      </w:r>
      <w:r>
        <w:rPr>
          <w:rFonts w:ascii="Times New Roman" w:hAnsi="Times New Roman"/>
          <w:b/>
          <w:noProof/>
          <w:sz w:val="24"/>
        </w:rPr>
        <w:t>ir jāgarantē pamattiesību aizsardzība</w:t>
      </w:r>
      <w:r>
        <w:rPr>
          <w:rFonts w:ascii="Times New Roman" w:hAnsi="Times New Roman"/>
          <w:noProof/>
          <w:sz w:val="24"/>
        </w:rPr>
        <w:t>. Eiropas Robežu un krasta apsardzes ES un valstu dalībnieku darbības būtu jāveic pilnīgā saskaņā ar attiecīgajiem ES tiesību aktiem, tai skaitā Eiropas Savienības Pamattiesību hartu un attiecīgajiem starptautiskajiem tiesību aktiem. Šādi starptautiskie tiesību akti ietver 1951. gada 28. jūlija Ženēvas Konvenciju par bēgļa statusu un tās 1967. gada protokolu, kā arī Konvenciju par bērna tiesībām. Turklāt ir pilnībā jāievēro pienākumi, kas saistīti ar piekļuvi starptautiskajai aizsardzībai, jo īpaši neizraidīšanas princips. Komisija regulas par trešo valstu valstspiederīgo pārbaudi priekšlikumā</w:t>
      </w:r>
      <w:r w:rsidRPr="00263099">
        <w:rPr>
          <w:rFonts w:ascii="Times New Roman" w:eastAsia="Calibri" w:hAnsi="Times New Roman" w:cs="Times New Roman"/>
          <w:noProof/>
          <w:sz w:val="24"/>
          <w:szCs w:val="24"/>
          <w:vertAlign w:val="superscript"/>
          <w:lang w:val="en-GB"/>
        </w:rPr>
        <w:footnoteReference w:id="30"/>
      </w:r>
      <w:r>
        <w:rPr>
          <w:rFonts w:ascii="Times New Roman" w:hAnsi="Times New Roman"/>
          <w:noProof/>
          <w:sz w:val="24"/>
        </w:rPr>
        <w:t xml:space="preserve"> ierosināja, ka katrai dalībvalstij būtu jāizveido neatkarīgs uzraudzības mehānisms, lai nodrošinātu, ka tiek ievērotas pamattiesības saistībā ar pārbaudi pie ārējām robežām un ka tiek pienācīgi izmeklēti visi apgalvojumi par pamattiesību pārkāpumiem. Šis uzraudzības mehānisms būtu daļa no migrācijas situācijas pārvaldības un uzraudzības, kas paredzēta ierosinātajā jaunajā Patvēruma un migrācijas pārvaldības regulā</w:t>
      </w:r>
      <w:r w:rsidRPr="00263099">
        <w:rPr>
          <w:rFonts w:ascii="Times New Roman" w:eastAsia="Calibri" w:hAnsi="Times New Roman" w:cs="Times New Roman"/>
          <w:noProof/>
          <w:sz w:val="24"/>
          <w:szCs w:val="24"/>
          <w:vertAlign w:val="superscript"/>
          <w:lang w:val="en-GB"/>
        </w:rPr>
        <w:footnoteReference w:id="31"/>
      </w:r>
      <w:r>
        <w:rPr>
          <w:rFonts w:ascii="Times New Roman" w:hAnsi="Times New Roman"/>
          <w:noProof/>
          <w:sz w:val="24"/>
        </w:rPr>
        <w:t>.</w:t>
      </w: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Stratēģiskās vadlīnijas</w:t>
      </w:r>
    </w:p>
    <w:p w:rsidR="00263099" w:rsidRPr="00263099" w:rsidRDefault="00263099" w:rsidP="00263099">
      <w:pPr>
        <w:spacing w:after="0" w:line="240" w:lineRule="auto"/>
        <w:jc w:val="both"/>
        <w:rPr>
          <w:rFonts w:ascii="Times New Roman" w:eastAsia="Times New Roman" w:hAnsi="Times New Roman" w:cs="Times New Roman"/>
          <w:noProof/>
          <w:sz w:val="24"/>
          <w:szCs w:val="24"/>
          <w:lang w:val="en-GB" w:eastAsia="en-GB"/>
        </w:rPr>
      </w:pPr>
    </w:p>
    <w:p w:rsidR="00263099" w:rsidRPr="00263099" w:rsidRDefault="00263099" w:rsidP="00263099">
      <w:pPr>
        <w:numPr>
          <w:ilvl w:val="0"/>
          <w:numId w:val="29"/>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Visās Eiropas Robežu un krasta apsardzes darbībās ES un valstu līmenī būtu stingri jāievēro </w:t>
      </w:r>
      <w:r>
        <w:rPr>
          <w:rFonts w:ascii="Times New Roman" w:hAnsi="Times New Roman"/>
          <w:i/>
          <w:iCs/>
          <w:noProof/>
          <w:sz w:val="24"/>
        </w:rPr>
        <w:t>Frontex</w:t>
      </w:r>
      <w:r>
        <w:rPr>
          <w:rFonts w:ascii="Times New Roman" w:hAnsi="Times New Roman"/>
          <w:noProof/>
          <w:sz w:val="24"/>
        </w:rPr>
        <w:t xml:space="preserve"> valdes pieņemtā pamattiesību stratēģija un tai pievienotais rīcības plāns.</w:t>
      </w:r>
    </w:p>
    <w:p w:rsidR="00263099" w:rsidRPr="00263099" w:rsidRDefault="00263099" w:rsidP="00263099">
      <w:pPr>
        <w:numPr>
          <w:ilvl w:val="0"/>
          <w:numId w:val="29"/>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Dalībvalstīm, īstenojot savas valsts integrētās robežu pārvaldības stratēģijas, būtu jārīkojas, pilnībā ievērojot pamattiesības visā robežu pārvaldības un atgriešanas darbību operacionālajā ciklā.</w:t>
      </w:r>
    </w:p>
    <w:p w:rsidR="00263099" w:rsidRPr="00263099" w:rsidRDefault="00263099" w:rsidP="00263099">
      <w:pPr>
        <w:numPr>
          <w:ilvl w:val="0"/>
          <w:numId w:val="29"/>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Dalībvalstīm saistībā ar robežu pārvaldību un atgriešanu būtu jāizstrādā un jāuztur valsts pamattiesību uzraudzības mehānisms.</w:t>
      </w:r>
    </w:p>
    <w:p w:rsidR="00263099" w:rsidRPr="00263099" w:rsidRDefault="00263099" w:rsidP="00263099">
      <w:pPr>
        <w:numPr>
          <w:ilvl w:val="0"/>
          <w:numId w:val="29"/>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Pamattiesībām vajadzētu būt svarīgai mācību programmas daļai Eiropas un valstu līmenī visām personām, kuras piedalās robežkontroles vai atgriešanas darbībās. Šajos mācību pasākumos īpaša uzmanība būtu jāpievērš mazāk aizsargāto personu (tai skaitā nepilngadīgo) aizsardzībai. </w:t>
      </w:r>
    </w:p>
    <w:p w:rsidR="00263099" w:rsidRDefault="00263099" w:rsidP="00263099">
      <w:pPr>
        <w:numPr>
          <w:ilvl w:val="0"/>
          <w:numId w:val="29"/>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Veicot izvērtējumus saskaņā ar pārskatīto Šengenas uzraudzības un izvērtēšanas mehānismu, īpaša uzmanība būtu jāpievērš tam, lai pārbaudītu, kā Šengenas </w:t>
      </w:r>
      <w:r>
        <w:rPr>
          <w:rFonts w:ascii="Times New Roman" w:hAnsi="Times New Roman"/>
          <w:i/>
          <w:iCs/>
          <w:noProof/>
          <w:sz w:val="24"/>
        </w:rPr>
        <w:t>acquis</w:t>
      </w:r>
      <w:r>
        <w:rPr>
          <w:rFonts w:ascii="Times New Roman" w:hAnsi="Times New Roman"/>
          <w:noProof/>
          <w:sz w:val="24"/>
        </w:rPr>
        <w:t xml:space="preserve"> piemērošanā tiek ievērotas pamattiesības. </w:t>
      </w:r>
    </w:p>
    <w:p w:rsidR="00D2533E" w:rsidRPr="00127656" w:rsidRDefault="00D2533E" w:rsidP="00D2533E">
      <w:pPr>
        <w:spacing w:after="200" w:line="276" w:lineRule="auto"/>
        <w:ind w:left="360"/>
        <w:contextualSpacing/>
        <w:jc w:val="both"/>
        <w:rPr>
          <w:rFonts w:ascii="Times New Roman" w:eastAsia="Calibri" w:hAnsi="Times New Roman" w:cs="Times New Roman"/>
          <w:noProof/>
          <w:sz w:val="24"/>
          <w:szCs w:val="24"/>
        </w:rPr>
      </w:pPr>
    </w:p>
    <w:p w:rsidR="00263099" w:rsidRPr="00263099" w:rsidRDefault="00263099" w:rsidP="00263099">
      <w:pPr>
        <w:pBdr>
          <w:top w:val="single" w:sz="4" w:space="1" w:color="auto"/>
          <w:left w:val="single" w:sz="4" w:space="4" w:color="auto"/>
          <w:bottom w:val="single" w:sz="4" w:space="1" w:color="auto"/>
          <w:right w:val="single" w:sz="4" w:space="4" w:color="auto"/>
        </w:pBdr>
        <w:shd w:val="clear" w:color="auto" w:fill="EAF1DD"/>
        <w:spacing w:after="0" w:line="240" w:lineRule="auto"/>
        <w:ind w:left="360"/>
        <w:rPr>
          <w:rFonts w:ascii="Times New Roman" w:eastAsia="Times New Roman" w:hAnsi="Times New Roman" w:cs="Times New Roman"/>
          <w:b/>
          <w:noProof/>
          <w:sz w:val="24"/>
          <w:szCs w:val="24"/>
        </w:rPr>
      </w:pPr>
      <w:r>
        <w:rPr>
          <w:rFonts w:ascii="Times New Roman" w:hAnsi="Times New Roman"/>
          <w:b/>
          <w:noProof/>
          <w:sz w:val="24"/>
        </w:rPr>
        <w:t xml:space="preserve">14. sastāvdaļa: </w:t>
      </w:r>
      <w:r>
        <w:rPr>
          <w:rFonts w:ascii="Times New Roman" w:hAnsi="Times New Roman"/>
          <w:noProof/>
          <w:sz w:val="24"/>
        </w:rPr>
        <w:t>“</w:t>
      </w:r>
      <w:r>
        <w:rPr>
          <w:rFonts w:ascii="Times New Roman" w:hAnsi="Times New Roman"/>
          <w:i/>
          <w:noProof/>
          <w:sz w:val="24"/>
        </w:rPr>
        <w:t>izglītība un apmācība</w:t>
      </w:r>
      <w:r>
        <w:rPr>
          <w:rFonts w:ascii="Times New Roman" w:hAnsi="Times New Roman"/>
          <w:noProof/>
          <w:sz w:val="24"/>
        </w:rPr>
        <w:t>”</w:t>
      </w:r>
      <w:r w:rsidRPr="00263099">
        <w:rPr>
          <w:rFonts w:ascii="Times New Roman" w:eastAsia="Times New Roman" w:hAnsi="Times New Roman" w:cs="Times New Roman"/>
          <w:i/>
          <w:noProof/>
          <w:sz w:val="24"/>
          <w:szCs w:val="24"/>
          <w:vertAlign w:val="superscript"/>
          <w:lang w:val="en-GB" w:eastAsia="en-GB"/>
        </w:rPr>
        <w:footnoteReference w:id="32"/>
      </w:r>
      <w:r>
        <w:rPr>
          <w:rFonts w:ascii="Times New Roman" w:hAnsi="Times New Roman"/>
          <w:noProof/>
          <w:sz w:val="24"/>
        </w:rPr>
        <w:t>.</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Politikas prioritātes</w:t>
      </w:r>
    </w:p>
    <w:p w:rsidR="00263099" w:rsidRPr="00127656" w:rsidRDefault="00263099" w:rsidP="00263099">
      <w:pPr>
        <w:spacing w:after="0" w:line="240" w:lineRule="auto"/>
        <w:jc w:val="both"/>
        <w:rPr>
          <w:rFonts w:ascii="Times New Roman" w:eastAsia="Times New Roman" w:hAnsi="Times New Roman" w:cs="Times New Roman"/>
          <w:b/>
          <w:i/>
          <w:noProof/>
          <w:sz w:val="24"/>
          <w:szCs w:val="24"/>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Eiropas un valstu līmenī, cieši sadarbojoties dalībvalstu mācību akadēmijām un </w:t>
      </w:r>
      <w:r>
        <w:rPr>
          <w:rFonts w:ascii="Times New Roman" w:hAnsi="Times New Roman"/>
          <w:i/>
          <w:iCs/>
          <w:noProof/>
          <w:sz w:val="24"/>
        </w:rPr>
        <w:t>Frontex</w:t>
      </w:r>
      <w:r>
        <w:rPr>
          <w:rFonts w:ascii="Times New Roman" w:hAnsi="Times New Roman"/>
          <w:noProof/>
          <w:sz w:val="24"/>
        </w:rPr>
        <w:t xml:space="preserve">, būtu jānodrošina </w:t>
      </w:r>
      <w:r>
        <w:rPr>
          <w:rFonts w:ascii="Times New Roman" w:hAnsi="Times New Roman"/>
          <w:b/>
          <w:noProof/>
          <w:sz w:val="24"/>
        </w:rPr>
        <w:t>pietiekams skaits kompetentu un īpaši apmācītu darbinieku</w:t>
      </w:r>
      <w:r>
        <w:rPr>
          <w:rFonts w:ascii="Times New Roman" w:hAnsi="Times New Roman"/>
          <w:noProof/>
          <w:sz w:val="24"/>
        </w:rPr>
        <w:t xml:space="preserve"> visās Eiropas integrētās robežu pārvaldības jomās.</w:t>
      </w: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 </w:t>
      </w: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Izglītībai un apmācībai būtu jābalstās uz </w:t>
      </w:r>
      <w:r>
        <w:rPr>
          <w:rFonts w:ascii="Times New Roman" w:hAnsi="Times New Roman"/>
          <w:b/>
          <w:noProof/>
          <w:sz w:val="24"/>
        </w:rPr>
        <w:t>saskaņotiem un kvalitatīviem kopīgiem</w:t>
      </w:r>
      <w:r>
        <w:rPr>
          <w:rFonts w:ascii="Times New Roman" w:hAnsi="Times New Roman"/>
          <w:noProof/>
          <w:sz w:val="24"/>
        </w:rPr>
        <w:t xml:space="preserve"> pastāvīgā korpusa </w:t>
      </w:r>
      <w:r>
        <w:rPr>
          <w:rFonts w:ascii="Times New Roman" w:hAnsi="Times New Roman"/>
          <w:b/>
          <w:noProof/>
          <w:sz w:val="24"/>
        </w:rPr>
        <w:t>mācību standartiem</w:t>
      </w:r>
      <w:r>
        <w:rPr>
          <w:rFonts w:ascii="Times New Roman" w:hAnsi="Times New Roman"/>
          <w:noProof/>
          <w:sz w:val="24"/>
        </w:rPr>
        <w:t xml:space="preserve">, ņemot vērā operacionālās vajadzības, uzdevumus un juridisko kompetenci, un ar uzsvaru uz skaidru izpratni par </w:t>
      </w:r>
      <w:r>
        <w:rPr>
          <w:rFonts w:ascii="Times New Roman" w:hAnsi="Times New Roman"/>
          <w:b/>
          <w:noProof/>
          <w:sz w:val="24"/>
        </w:rPr>
        <w:t>Līgumos nostiprinātajām vērtībām</w:t>
      </w:r>
      <w:r>
        <w:rPr>
          <w:rFonts w:ascii="Times New Roman" w:hAnsi="Times New Roman"/>
          <w:noProof/>
          <w:sz w:val="24"/>
        </w:rPr>
        <w:t>. Tādējādi būtu jāveicina visaugstākie standarti un paraugprakse Savienības robežu pārvaldības un atgriešanas tiesību aktu īstenošanā, īpašu uzmanību pievēršot mazāk aizsargātu personu (arī bērnu) aizsardzībai un pamattiesību ievērošanai, un būtu jāveido kopīga kultūra, kuras pamatā ir pamattiesību ievērošana.</w:t>
      </w:r>
    </w:p>
    <w:p w:rsidR="00263099" w:rsidRPr="00127656" w:rsidRDefault="00263099" w:rsidP="00263099">
      <w:pPr>
        <w:spacing w:after="0" w:line="240" w:lineRule="auto"/>
        <w:jc w:val="both"/>
        <w:rPr>
          <w:rFonts w:ascii="Times New Roman" w:eastAsia="Times New Roman" w:hAnsi="Times New Roman" w:cs="Times New Roman"/>
          <w:i/>
          <w:noProof/>
          <w:sz w:val="24"/>
          <w:szCs w:val="24"/>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i/>
          <w:noProof/>
          <w:sz w:val="24"/>
        </w:rPr>
        <w:t xml:space="preserve"> </w:t>
      </w:r>
      <w:r>
        <w:rPr>
          <w:rFonts w:ascii="Times New Roman" w:hAnsi="Times New Roman"/>
          <w:noProof/>
          <w:sz w:val="24"/>
          <w:u w:val="single"/>
        </w:rPr>
        <w:t>Stratēģiskās vadlīnijas</w:t>
      </w:r>
    </w:p>
    <w:p w:rsidR="00263099" w:rsidRPr="00263099" w:rsidRDefault="00263099" w:rsidP="00263099">
      <w:pPr>
        <w:spacing w:after="200" w:line="276" w:lineRule="auto"/>
        <w:ind w:left="360"/>
        <w:contextualSpacing/>
        <w:jc w:val="both"/>
        <w:rPr>
          <w:rFonts w:ascii="Times New Roman" w:eastAsia="Calibri" w:hAnsi="Times New Roman" w:cs="Times New Roman"/>
          <w:noProof/>
          <w:sz w:val="24"/>
          <w:szCs w:val="24"/>
          <w:lang w:val="en-GB"/>
        </w:rPr>
      </w:pPr>
    </w:p>
    <w:p w:rsidR="00263099" w:rsidRPr="00263099" w:rsidRDefault="00263099" w:rsidP="00263099">
      <w:pPr>
        <w:numPr>
          <w:ilvl w:val="0"/>
          <w:numId w:val="28"/>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Būtu jāturpina izstrādāt </w:t>
      </w:r>
      <w:r>
        <w:rPr>
          <w:rFonts w:ascii="Times New Roman" w:hAnsi="Times New Roman"/>
          <w:b/>
          <w:noProof/>
          <w:sz w:val="24"/>
        </w:rPr>
        <w:t>kopīgas mācību pamatprogrammas</w:t>
      </w:r>
      <w:r>
        <w:rPr>
          <w:rFonts w:ascii="Times New Roman" w:hAnsi="Times New Roman"/>
          <w:noProof/>
          <w:sz w:val="24"/>
        </w:rPr>
        <w:t xml:space="preserve"> un nepieciešamos mācību līdzekļus robežu pārvaldības un atgriešanas jomā, tai skaitā par bērnu un citu mazāk aizsargātu personu aizsardzību, un to pamatā vajadzētu būt kopējai vispārējai kvalifikāciju ietvarstruktūrai, kas izstrādāta šīs nozares vajadzībām (robežsardzes un krasta apsardzes nozares kvalifikāciju ietvarstruktūra). Veidojot šos produktus, būtu jāņem vērā Eiropas Robežu un krasta apsardzes spēju ceļvedis, ko katru gadu apstiprina valde. Tai būtu jāpiedāvā arī papildu mācību kursi un semināri, kas saistīti ar integrētās robežu pārvaldības uzdevumiem, — gan pastāvīgajam korpusam, gan valstu kompetento iestāžu darbiniekiem.</w:t>
      </w:r>
    </w:p>
    <w:p w:rsidR="00263099" w:rsidRPr="00263099" w:rsidRDefault="00263099" w:rsidP="00263099">
      <w:pPr>
        <w:numPr>
          <w:ilvl w:val="0"/>
          <w:numId w:val="28"/>
        </w:numPr>
        <w:spacing w:after="200" w:line="276" w:lineRule="auto"/>
        <w:contextualSpacing/>
        <w:jc w:val="both"/>
        <w:rPr>
          <w:rFonts w:ascii="Times New Roman" w:eastAsia="Calibri" w:hAnsi="Times New Roman" w:cs="Times New Roman"/>
          <w:noProof/>
          <w:sz w:val="24"/>
          <w:szCs w:val="24"/>
        </w:rPr>
      </w:pPr>
      <w:r>
        <w:rPr>
          <w:rFonts w:ascii="Times New Roman" w:hAnsi="Times New Roman"/>
          <w:i/>
          <w:iCs/>
          <w:noProof/>
          <w:sz w:val="24"/>
        </w:rPr>
        <w:t>Frontex</w:t>
      </w:r>
      <w:r>
        <w:rPr>
          <w:rFonts w:ascii="Times New Roman" w:hAnsi="Times New Roman"/>
          <w:noProof/>
          <w:sz w:val="24"/>
        </w:rPr>
        <w:t xml:space="preserve">, cieši sadarbojoties ar dalībvalstīm, Komisiju, attiecīgajām ES aģentūrām un citām ieinteresētajām personām, būtu jāturpina izstrādāt un pilnveidot </w:t>
      </w:r>
      <w:r>
        <w:rPr>
          <w:rFonts w:ascii="Times New Roman" w:hAnsi="Times New Roman"/>
          <w:b/>
          <w:noProof/>
          <w:sz w:val="24"/>
        </w:rPr>
        <w:t>īpašu mācību rīku Eiropas Robežu un krasta apsardzei</w:t>
      </w:r>
      <w:r>
        <w:rPr>
          <w:rFonts w:ascii="Times New Roman" w:hAnsi="Times New Roman"/>
          <w:noProof/>
          <w:sz w:val="24"/>
        </w:rPr>
        <w:t>, ņemot vērā attiecīgos pētījumu rezultātus un paraugpraksi.</w:t>
      </w:r>
    </w:p>
    <w:p w:rsidR="00263099" w:rsidRPr="00263099" w:rsidRDefault="00263099" w:rsidP="00263099">
      <w:pPr>
        <w:numPr>
          <w:ilvl w:val="0"/>
          <w:numId w:val="28"/>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Lai apmierinātu operacionālās vajadzības, būtu jāturpina izstrādāt </w:t>
      </w:r>
      <w:r>
        <w:rPr>
          <w:rFonts w:ascii="Times New Roman" w:hAnsi="Times New Roman"/>
          <w:b/>
          <w:noProof/>
          <w:sz w:val="24"/>
        </w:rPr>
        <w:t>specializētus mācību pasākumus</w:t>
      </w:r>
      <w:r>
        <w:rPr>
          <w:rFonts w:ascii="Times New Roman" w:hAnsi="Times New Roman"/>
          <w:noProof/>
          <w:sz w:val="24"/>
        </w:rPr>
        <w:t>, kas būtu saistīti ar pastāvīgā korpusa dalībnieku, piespiedu atgriešanas uzraudzības speciālistu un pamattiesību uzraudzības speciālistu uzdevumiem un pilnvarām. Ar šiem robežsargiem un citiem vienību dalībniekiem būtu regulāri jāveic treniņi saskaņā ar specializētās apmācības grafiku.</w:t>
      </w:r>
    </w:p>
    <w:p w:rsidR="00263099" w:rsidRPr="00263099" w:rsidRDefault="00263099" w:rsidP="00263099">
      <w:pPr>
        <w:numPr>
          <w:ilvl w:val="0"/>
          <w:numId w:val="28"/>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Visiem pastāvīgā korpusa dalībniekiem, kurus paredzēts iesaistīt operacionālajās darbībās, neatkarīgi no viņu kategorijas ES un valsts līmenī būtu jānodrošina vienāda līmeņa apmācība robežsardzes un atgriešanas jomā. Tas vajadzīgs, lai nodrošinātu, ka visi Eiropas robežsargi un krasta apsargi ir profesionāļi un pienācīgi apmācīti atbilstoši savai specializācijai.</w:t>
      </w:r>
    </w:p>
    <w:p w:rsidR="00263099" w:rsidRPr="00263099" w:rsidRDefault="00263099" w:rsidP="00263099">
      <w:pPr>
        <w:numPr>
          <w:ilvl w:val="0"/>
          <w:numId w:val="28"/>
        </w:numPr>
        <w:spacing w:after="200" w:line="276" w:lineRule="auto"/>
        <w:contextualSpacing/>
        <w:jc w:val="both"/>
        <w:rPr>
          <w:rFonts w:ascii="Times New Roman" w:eastAsia="Calibri" w:hAnsi="Times New Roman" w:cs="Times New Roman"/>
          <w:noProof/>
          <w:sz w:val="24"/>
          <w:szCs w:val="24"/>
        </w:rPr>
      </w:pPr>
      <w:r>
        <w:rPr>
          <w:rFonts w:ascii="Times New Roman" w:hAnsi="Times New Roman"/>
          <w:i/>
          <w:iCs/>
          <w:noProof/>
          <w:sz w:val="24"/>
        </w:rPr>
        <w:t>Frontex</w:t>
      </w:r>
      <w:r>
        <w:rPr>
          <w:rFonts w:ascii="Times New Roman" w:hAnsi="Times New Roman"/>
          <w:noProof/>
          <w:sz w:val="24"/>
        </w:rPr>
        <w:t xml:space="preserve"> būtu jāievieš </w:t>
      </w:r>
      <w:r>
        <w:rPr>
          <w:rFonts w:ascii="Times New Roman" w:hAnsi="Times New Roman"/>
          <w:b/>
          <w:noProof/>
          <w:sz w:val="24"/>
        </w:rPr>
        <w:t>iekšējs kvalitātes kontroles mehānisms</w:t>
      </w:r>
      <w:r>
        <w:rPr>
          <w:rFonts w:ascii="Times New Roman" w:hAnsi="Times New Roman"/>
          <w:noProof/>
          <w:sz w:val="24"/>
        </w:rPr>
        <w:t xml:space="preserve"> saskaņā ar Eiropas standartiem un pamatnostādnēm izglītības un apmācības jomā, lai nodrošinātu aģentūras operacionālajās darbībās iesaistīto štata darbinieku augsta līmeņa apmācību, kompetenci un profesionalitāti. Par šā mehānisma īstenošanas gaitu būtu jāziņo gada izvērtējuma ziņojumā, kas būtu jāpievieno gada darbības pārskatam.</w:t>
      </w:r>
    </w:p>
    <w:p w:rsidR="00263099" w:rsidRPr="00263099" w:rsidRDefault="00263099" w:rsidP="00263099">
      <w:pPr>
        <w:numPr>
          <w:ilvl w:val="0"/>
          <w:numId w:val="28"/>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Būtu jāveicina zināšanu vai specifiskas zinātības iegūšana no ārvalstu pieredzes un paraugprakses, kad tiek veiktas misijas un ar atgriešanu saistītas operācijas citā dalībvalstī. Jo īpaši tas būtu jānodrošina, izmantojot apmaiņas programmu robežsargiem, kuri piedalās </w:t>
      </w:r>
      <w:r>
        <w:rPr>
          <w:rFonts w:ascii="Times New Roman" w:hAnsi="Times New Roman"/>
          <w:i/>
          <w:iCs/>
          <w:noProof/>
          <w:sz w:val="24"/>
        </w:rPr>
        <w:t>Frontex</w:t>
      </w:r>
      <w:r>
        <w:rPr>
          <w:rFonts w:ascii="Times New Roman" w:hAnsi="Times New Roman"/>
          <w:noProof/>
          <w:sz w:val="24"/>
        </w:rPr>
        <w:t xml:space="preserve"> veiktajās atgriešanas operācijās.</w:t>
      </w:r>
    </w:p>
    <w:p w:rsidR="00263099" w:rsidRPr="00263099" w:rsidRDefault="00263099" w:rsidP="00263099">
      <w:pPr>
        <w:numPr>
          <w:ilvl w:val="0"/>
          <w:numId w:val="28"/>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Būtu jāturpina apsvērt iespēju </w:t>
      </w:r>
      <w:r>
        <w:rPr>
          <w:rFonts w:ascii="Times New Roman" w:hAnsi="Times New Roman"/>
          <w:b/>
          <w:noProof/>
          <w:sz w:val="24"/>
        </w:rPr>
        <w:t xml:space="preserve">izveidot mācību centru </w:t>
      </w:r>
      <w:r>
        <w:rPr>
          <w:rFonts w:ascii="Times New Roman" w:hAnsi="Times New Roman"/>
          <w:b/>
          <w:i/>
          <w:iCs/>
          <w:noProof/>
          <w:sz w:val="24"/>
        </w:rPr>
        <w:t>Frontex</w:t>
      </w:r>
      <w:r>
        <w:rPr>
          <w:rFonts w:ascii="Times New Roman" w:hAnsi="Times New Roman"/>
          <w:b/>
          <w:noProof/>
          <w:sz w:val="24"/>
        </w:rPr>
        <w:t xml:space="preserve"> ietvaros</w:t>
      </w:r>
      <w:r>
        <w:rPr>
          <w:rFonts w:ascii="Times New Roman" w:hAnsi="Times New Roman"/>
          <w:noProof/>
          <w:sz w:val="24"/>
        </w:rPr>
        <w:t>, pienācīgi ņemot vērā un izmantojot ciešāku sadarbību un sinerģiju ar dalībvalstu apmācības institūtiem. Mērķis ir koordinēt un racionalizēt robežsargu un krasta apsardzes darbinieku izglītības un apmācības izstrādi, sniegšanu un sertificēšanu, pamatojoties uz Eiropas kvalitātes nodrošināšanas standartiem, kā arī vēl vairāk veicināt kopējas Eiropas kultūras iekļaušanu sniegtajā apmācībā.</w:t>
      </w:r>
    </w:p>
    <w:p w:rsidR="00263099" w:rsidRPr="00127656" w:rsidRDefault="00263099" w:rsidP="00263099">
      <w:pPr>
        <w:spacing w:after="200" w:line="276" w:lineRule="auto"/>
        <w:contextualSpacing/>
        <w:jc w:val="both"/>
        <w:rPr>
          <w:rFonts w:ascii="Times New Roman" w:eastAsia="Calibri" w:hAnsi="Times New Roman" w:cs="Times New Roman"/>
          <w:noProof/>
          <w:sz w:val="24"/>
          <w:szCs w:val="24"/>
        </w:rPr>
      </w:pPr>
    </w:p>
    <w:p w:rsidR="00263099" w:rsidRPr="00263099" w:rsidRDefault="00263099" w:rsidP="00263099">
      <w:pPr>
        <w:pBdr>
          <w:top w:val="single" w:sz="4" w:space="1" w:color="auto"/>
          <w:left w:val="single" w:sz="4" w:space="4" w:color="auto"/>
          <w:bottom w:val="single" w:sz="4" w:space="1" w:color="auto"/>
          <w:right w:val="single" w:sz="4" w:space="4" w:color="auto"/>
        </w:pBdr>
        <w:shd w:val="clear" w:color="auto" w:fill="EAF1DD"/>
        <w:spacing w:after="0" w:line="240" w:lineRule="auto"/>
        <w:ind w:left="360"/>
        <w:rPr>
          <w:rFonts w:ascii="Times New Roman" w:eastAsia="Times New Roman" w:hAnsi="Times New Roman" w:cs="Times New Roman"/>
          <w:b/>
          <w:noProof/>
          <w:sz w:val="24"/>
          <w:szCs w:val="24"/>
        </w:rPr>
      </w:pPr>
      <w:r>
        <w:rPr>
          <w:rFonts w:ascii="Times New Roman" w:hAnsi="Times New Roman"/>
          <w:b/>
          <w:noProof/>
          <w:sz w:val="24"/>
        </w:rPr>
        <w:t xml:space="preserve">15. sastāvdaļa: </w:t>
      </w:r>
      <w:r>
        <w:rPr>
          <w:rFonts w:ascii="Times New Roman" w:hAnsi="Times New Roman"/>
          <w:noProof/>
          <w:sz w:val="24"/>
        </w:rPr>
        <w:t>“</w:t>
      </w:r>
      <w:r>
        <w:rPr>
          <w:rFonts w:ascii="Times New Roman" w:hAnsi="Times New Roman"/>
          <w:i/>
          <w:noProof/>
          <w:sz w:val="24"/>
        </w:rPr>
        <w:t>pētniecība un inovācija</w:t>
      </w:r>
      <w:r>
        <w:rPr>
          <w:rFonts w:ascii="Times New Roman" w:hAnsi="Times New Roman"/>
          <w:noProof/>
          <w:sz w:val="24"/>
        </w:rPr>
        <w:t>”</w:t>
      </w:r>
      <w:r w:rsidRPr="00263099">
        <w:rPr>
          <w:rFonts w:ascii="Times New Roman" w:eastAsia="Times New Roman" w:hAnsi="Times New Roman" w:cs="Times New Roman"/>
          <w:i/>
          <w:noProof/>
          <w:sz w:val="24"/>
          <w:szCs w:val="24"/>
          <w:vertAlign w:val="superscript"/>
          <w:lang w:val="en-GB" w:eastAsia="en-GB"/>
        </w:rPr>
        <w:footnoteReference w:id="33"/>
      </w:r>
      <w:r>
        <w:rPr>
          <w:rFonts w:ascii="Times New Roman" w:hAnsi="Times New Roman"/>
          <w:noProof/>
          <w:sz w:val="24"/>
        </w:rPr>
        <w:t>.</w:t>
      </w:r>
    </w:p>
    <w:p w:rsidR="00263099" w:rsidRPr="00127656" w:rsidRDefault="00263099" w:rsidP="00263099">
      <w:pPr>
        <w:spacing w:after="0" w:line="240" w:lineRule="auto"/>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rPr>
          <w:rFonts w:ascii="Times New Roman" w:eastAsia="Times New Roman" w:hAnsi="Times New Roman" w:cs="Times New Roman"/>
          <w:noProof/>
          <w:sz w:val="24"/>
          <w:szCs w:val="24"/>
          <w:u w:val="single"/>
        </w:rPr>
      </w:pPr>
      <w:r>
        <w:rPr>
          <w:rFonts w:ascii="Times New Roman" w:hAnsi="Times New Roman"/>
          <w:noProof/>
          <w:sz w:val="24"/>
          <w:u w:val="single"/>
        </w:rPr>
        <w:t>Politikas prioritātes</w:t>
      </w:r>
    </w:p>
    <w:p w:rsidR="00263099" w:rsidRPr="00127656" w:rsidRDefault="00263099" w:rsidP="00263099">
      <w:pPr>
        <w:spacing w:after="0" w:line="240" w:lineRule="auto"/>
        <w:jc w:val="both"/>
        <w:rPr>
          <w:rFonts w:ascii="Times New Roman" w:eastAsia="Times New Roman" w:hAnsi="Times New Roman" w:cs="Times New Roman"/>
          <w:i/>
          <w:noProof/>
          <w:sz w:val="24"/>
          <w:szCs w:val="24"/>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Integrētā robežu pārvaldība būtu jāatbalsta ar progresīvām tehnoloģijām un uz nākotni vērstiem pētījumiem attiecīgajās zinātnes jomās, kas atbalsta robežsarga profesiju. Šajā nolūkā ES un valstu līmenī būtu jānodrošina savlaicīgas un labi koordinētas investīcijas pētniecībā un inovācijā. </w:t>
      </w:r>
    </w:p>
    <w:p w:rsidR="00263099" w:rsidRPr="00127656" w:rsidRDefault="00263099" w:rsidP="00263099">
      <w:pPr>
        <w:spacing w:after="0" w:line="240" w:lineRule="auto"/>
        <w:jc w:val="both"/>
        <w:rPr>
          <w:rFonts w:ascii="Times New Roman" w:eastAsia="Times New Roman" w:hAnsi="Times New Roman" w:cs="Times New Roman"/>
          <w:noProof/>
          <w:sz w:val="24"/>
          <w:szCs w:val="24"/>
          <w:u w:val="single"/>
          <w:lang w:eastAsia="en-GB"/>
        </w:rPr>
      </w:pPr>
    </w:p>
    <w:p w:rsidR="00263099" w:rsidRPr="00263099" w:rsidRDefault="00263099" w:rsidP="00263099">
      <w:pPr>
        <w:spacing w:after="0" w:line="240" w:lineRule="auto"/>
        <w:jc w:val="both"/>
        <w:rPr>
          <w:rFonts w:ascii="Times New Roman" w:eastAsia="Times New Roman" w:hAnsi="Times New Roman" w:cs="Times New Roman"/>
          <w:noProof/>
          <w:sz w:val="24"/>
          <w:szCs w:val="24"/>
          <w:u w:val="single"/>
        </w:rPr>
      </w:pPr>
      <w:r>
        <w:rPr>
          <w:rFonts w:ascii="Times New Roman" w:hAnsi="Times New Roman"/>
          <w:noProof/>
          <w:sz w:val="24"/>
          <w:u w:val="single"/>
        </w:rPr>
        <w:t>Stratēģiskās vadlīnijas</w:t>
      </w:r>
    </w:p>
    <w:p w:rsidR="00263099" w:rsidRPr="00263099" w:rsidRDefault="00263099" w:rsidP="00263099">
      <w:pPr>
        <w:numPr>
          <w:ilvl w:val="0"/>
          <w:numId w:val="27"/>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Lai robežkontroles operācijas kļūtu sadarbspējīgākas un rentablākas, to izstrādē būtu jāizmanto </w:t>
      </w:r>
      <w:r>
        <w:rPr>
          <w:rFonts w:ascii="Times New Roman" w:hAnsi="Times New Roman"/>
          <w:b/>
          <w:noProof/>
          <w:sz w:val="24"/>
        </w:rPr>
        <w:t>pētniecība un inovācija</w:t>
      </w:r>
      <w:r>
        <w:rPr>
          <w:rFonts w:ascii="Times New Roman" w:hAnsi="Times New Roman"/>
          <w:noProof/>
          <w:sz w:val="24"/>
        </w:rPr>
        <w:t xml:space="preserve">. Lai gūtu apjomradītus ietaupījumus, būtu jāveicina inovatīvi risinājumi ar pārrobežu sadarbību. Prioritārajās jomās būtu jāturpina attīstīt sadarbību starp </w:t>
      </w:r>
      <w:r>
        <w:rPr>
          <w:rFonts w:ascii="Times New Roman" w:hAnsi="Times New Roman"/>
          <w:i/>
          <w:iCs/>
          <w:noProof/>
          <w:sz w:val="24"/>
        </w:rPr>
        <w:t>Frontex</w:t>
      </w:r>
      <w:r>
        <w:rPr>
          <w:rFonts w:ascii="Times New Roman" w:hAnsi="Times New Roman"/>
          <w:noProof/>
          <w:sz w:val="24"/>
        </w:rPr>
        <w:t xml:space="preserve"> un dalībvalstu robežsardzes iestāžu pētniecības un inovācijas vienībām. Robežkontroles iestādēm būtu arī jāpārzina </w:t>
      </w:r>
      <w:r>
        <w:rPr>
          <w:rFonts w:ascii="Times New Roman" w:hAnsi="Times New Roman"/>
          <w:b/>
          <w:noProof/>
          <w:sz w:val="24"/>
        </w:rPr>
        <w:t>jaunākās tehnoloģiju attīstības</w:t>
      </w:r>
      <w:r>
        <w:rPr>
          <w:rFonts w:ascii="Times New Roman" w:hAnsi="Times New Roman"/>
          <w:noProof/>
          <w:sz w:val="24"/>
        </w:rPr>
        <w:t xml:space="preserve"> tendences, problēmas un apdraudējumi, ņemot vērā, ka progresīvās tehnoloģijas izmanto arī kontrabandas tīkli un teroristi.</w:t>
      </w:r>
    </w:p>
    <w:p w:rsidR="00263099" w:rsidRPr="00263099" w:rsidRDefault="00263099" w:rsidP="00263099">
      <w:pPr>
        <w:numPr>
          <w:ilvl w:val="0"/>
          <w:numId w:val="27"/>
        </w:numPr>
        <w:spacing w:after="200" w:line="276" w:lineRule="auto"/>
        <w:contextualSpacing/>
        <w:jc w:val="both"/>
        <w:rPr>
          <w:rFonts w:ascii="Times New Roman" w:eastAsia="Calibri" w:hAnsi="Times New Roman" w:cs="Times New Roman"/>
          <w:noProof/>
          <w:sz w:val="24"/>
          <w:szCs w:val="24"/>
        </w:rPr>
      </w:pPr>
      <w:r>
        <w:rPr>
          <w:rFonts w:ascii="Times New Roman" w:hAnsi="Times New Roman"/>
          <w:i/>
          <w:iCs/>
          <w:noProof/>
          <w:sz w:val="24"/>
        </w:rPr>
        <w:t>Frontex</w:t>
      </w:r>
      <w:r>
        <w:rPr>
          <w:rFonts w:ascii="Times New Roman" w:hAnsi="Times New Roman"/>
          <w:noProof/>
          <w:sz w:val="24"/>
        </w:rPr>
        <w:t xml:space="preserve"> būtu aktīvi jāpiedalās dalībvalstu, ES un nozares (kā arī citu attiecīgo dalībnieku, tai skaitā trešo valstu un citu organizāciju) veikto </w:t>
      </w:r>
      <w:r>
        <w:rPr>
          <w:rFonts w:ascii="Times New Roman" w:hAnsi="Times New Roman"/>
          <w:b/>
          <w:noProof/>
          <w:sz w:val="24"/>
        </w:rPr>
        <w:t>pētniecības un inovācijas</w:t>
      </w:r>
      <w:r>
        <w:rPr>
          <w:rFonts w:ascii="Times New Roman" w:hAnsi="Times New Roman"/>
          <w:noProof/>
          <w:sz w:val="24"/>
        </w:rPr>
        <w:t xml:space="preserve"> pasākumu </w:t>
      </w:r>
      <w:r>
        <w:rPr>
          <w:rFonts w:ascii="Times New Roman" w:hAnsi="Times New Roman"/>
          <w:b/>
          <w:noProof/>
          <w:sz w:val="24"/>
        </w:rPr>
        <w:t>uzraudzībā</w:t>
      </w:r>
      <w:r>
        <w:rPr>
          <w:rFonts w:ascii="Times New Roman" w:hAnsi="Times New Roman"/>
          <w:noProof/>
          <w:sz w:val="24"/>
        </w:rPr>
        <w:t xml:space="preserve"> jomās, uz kurām attiecas integrētā robežu pārvaldība.</w:t>
      </w:r>
    </w:p>
    <w:p w:rsidR="00263099" w:rsidRPr="00263099" w:rsidRDefault="00263099" w:rsidP="00263099">
      <w:pPr>
        <w:numPr>
          <w:ilvl w:val="0"/>
          <w:numId w:val="27"/>
        </w:numPr>
        <w:spacing w:after="200" w:line="276" w:lineRule="auto"/>
        <w:contextualSpacing/>
        <w:jc w:val="both"/>
        <w:rPr>
          <w:rFonts w:ascii="Times New Roman" w:eastAsia="Calibri" w:hAnsi="Times New Roman" w:cs="Times New Roman"/>
          <w:noProof/>
          <w:sz w:val="24"/>
          <w:szCs w:val="24"/>
        </w:rPr>
      </w:pPr>
      <w:r>
        <w:rPr>
          <w:rFonts w:ascii="Times New Roman" w:hAnsi="Times New Roman"/>
          <w:i/>
          <w:iCs/>
          <w:noProof/>
          <w:sz w:val="24"/>
        </w:rPr>
        <w:t>Frontex</w:t>
      </w:r>
      <w:r>
        <w:rPr>
          <w:rFonts w:ascii="Times New Roman" w:hAnsi="Times New Roman"/>
          <w:noProof/>
          <w:sz w:val="24"/>
        </w:rPr>
        <w:t xml:space="preserve"> būtu jāpalīdz dalībvalstīm un Komisijai izstrādāt un īstenot attiecīgās Savienības pamatprogrammas pētniecības un inovācijas pasākumiem saistībā ar integrēto robežu pārvaldību.</w:t>
      </w:r>
    </w:p>
    <w:p w:rsidR="00263099" w:rsidRPr="00263099" w:rsidRDefault="00263099" w:rsidP="00263099">
      <w:pPr>
        <w:numPr>
          <w:ilvl w:val="0"/>
          <w:numId w:val="27"/>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Pētniecības un inovācijas izmantošanai ir jāatbilst ES datu aizsardzības tiesību aktu prasībām.</w:t>
      </w:r>
    </w:p>
    <w:p w:rsidR="00263099" w:rsidRPr="00127656" w:rsidRDefault="00263099" w:rsidP="00263099">
      <w:pPr>
        <w:spacing w:after="0" w:line="276" w:lineRule="auto"/>
        <w:jc w:val="both"/>
        <w:rPr>
          <w:rFonts w:ascii="Times New Roman" w:eastAsia="Times New Roman" w:hAnsi="Times New Roman" w:cs="Times New Roman"/>
          <w:noProof/>
          <w:sz w:val="24"/>
          <w:szCs w:val="24"/>
          <w:lang w:eastAsia="en-GB"/>
        </w:rPr>
      </w:pPr>
    </w:p>
    <w:p w:rsidR="00263099" w:rsidRPr="00263099" w:rsidRDefault="00263099" w:rsidP="00263099">
      <w:pPr>
        <w:numPr>
          <w:ilvl w:val="0"/>
          <w:numId w:val="42"/>
        </w:numPr>
        <w:spacing w:after="200" w:line="276" w:lineRule="auto"/>
        <w:contextualSpacing/>
        <w:jc w:val="both"/>
        <w:rPr>
          <w:rFonts w:ascii="Times New Roman" w:eastAsia="Calibri" w:hAnsi="Times New Roman" w:cs="Times New Roman"/>
          <w:b/>
          <w:i/>
          <w:smallCaps/>
          <w:noProof/>
          <w:color w:val="000000"/>
          <w:sz w:val="28"/>
          <w:szCs w:val="28"/>
          <w:u w:val="single"/>
        </w:rPr>
      </w:pPr>
      <w:r>
        <w:rPr>
          <w:rFonts w:ascii="Times New Roman" w:hAnsi="Times New Roman"/>
          <w:b/>
          <w:i/>
          <w:smallCaps/>
          <w:noProof/>
          <w:color w:val="000000"/>
          <w:sz w:val="28"/>
          <w:u w:val="single"/>
        </w:rPr>
        <w:t>Daudzgadu stratēģiskās politikas plānošanas cikla pārvaldība</w:t>
      </w:r>
    </w:p>
    <w:p w:rsidR="00263099" w:rsidRPr="00127656" w:rsidRDefault="00263099" w:rsidP="00263099">
      <w:pPr>
        <w:spacing w:after="0" w:line="276" w:lineRule="auto"/>
        <w:jc w:val="both"/>
        <w:rPr>
          <w:rFonts w:ascii="Times New Roman" w:eastAsia="Times New Roman" w:hAnsi="Times New Roman" w:cs="Times New Roman"/>
          <w:noProof/>
          <w:sz w:val="24"/>
          <w:szCs w:val="24"/>
          <w:lang w:eastAsia="en-GB"/>
        </w:rPr>
      </w:pPr>
    </w:p>
    <w:p w:rsidR="00263099" w:rsidRPr="00263099" w:rsidRDefault="00263099" w:rsidP="00263099">
      <w:p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EIRP politikas plānošanas cikla galvenais mērķis ir nodrošināt, lai nākamajos piecos gados ES politiskās prioritātes tiktu pienācīgi atspoguļotas Eiropas Robežu un krasta apsardzes operacionālajos mērķos un pasākumos. </w:t>
      </w:r>
    </w:p>
    <w:p w:rsidR="00263099" w:rsidRPr="00127656" w:rsidRDefault="00263099" w:rsidP="00263099">
      <w:pPr>
        <w:spacing w:after="0" w:line="276" w:lineRule="auto"/>
        <w:jc w:val="both"/>
        <w:rPr>
          <w:rFonts w:ascii="Times New Roman" w:eastAsia="Times New Roman" w:hAnsi="Times New Roman" w:cs="Times New Roman"/>
          <w:noProof/>
          <w:sz w:val="24"/>
          <w:szCs w:val="24"/>
          <w:lang w:eastAsia="en-GB"/>
        </w:rPr>
      </w:pPr>
    </w:p>
    <w:p w:rsidR="00263099" w:rsidRPr="00263099" w:rsidRDefault="00263099" w:rsidP="00263099">
      <w:p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Kaut arī ir nepieciešama ilgtermiņa plānošana, ļoti dinamiskā politiskā un sensitīvā EIRP operacionālā vide prasa pastāvīgi uzraudzīt notikumu attīstību un elastīgi pielāgoties mainīgajām vajadzībām. Tāpēc EIRP daudzgadu stratēģiskajā politikā būtu jāparedz arī atbilstošs mehānisms, ar ko nodrošināt efektīvu pārvaldības sistēmu, kas veicinātu cikla sekmīgu īstenošanu.</w:t>
      </w:r>
    </w:p>
    <w:p w:rsidR="00263099" w:rsidRPr="00127656" w:rsidRDefault="00263099" w:rsidP="00263099">
      <w:pPr>
        <w:spacing w:after="0" w:line="276" w:lineRule="auto"/>
        <w:jc w:val="both"/>
        <w:rPr>
          <w:rFonts w:ascii="Times New Roman" w:eastAsia="Times New Roman" w:hAnsi="Times New Roman" w:cs="Times New Roman"/>
          <w:noProof/>
          <w:sz w:val="24"/>
          <w:szCs w:val="24"/>
          <w:lang w:eastAsia="en-GB"/>
        </w:rPr>
      </w:pPr>
    </w:p>
    <w:p w:rsidR="00263099" w:rsidRPr="00263099" w:rsidRDefault="00263099" w:rsidP="00263099">
      <w:pPr>
        <w:spacing w:after="0" w:line="276" w:lineRule="auto"/>
        <w:jc w:val="both"/>
        <w:rPr>
          <w:rFonts w:ascii="Times New Roman" w:eastAsia="Calibri" w:hAnsi="Times New Roman" w:cs="Times New Roman"/>
          <w:noProof/>
          <w:sz w:val="24"/>
          <w:szCs w:val="24"/>
        </w:rPr>
      </w:pPr>
      <w:r>
        <w:rPr>
          <w:rFonts w:ascii="Times New Roman" w:hAnsi="Times New Roman"/>
          <w:noProof/>
          <w:sz w:val="24"/>
        </w:rPr>
        <w:t>Šis mehānisms būtu jāintegrē Šengenas ciklā, ko uzsāk ar ikgadējo ziņojumu par stāvokli Šengenas zonā. Ziņojums par stāvokli Šengenas zonā tiek pieņemts kopā ar šo politikas dokumentu. Šengenas cikls dos iespēju uzraudzīt EIRP cikla īstenošanu dažādos veidos.</w:t>
      </w:r>
    </w:p>
    <w:p w:rsidR="00263099" w:rsidRPr="00127656" w:rsidRDefault="00263099" w:rsidP="00263099">
      <w:pPr>
        <w:spacing w:after="0" w:line="276" w:lineRule="auto"/>
        <w:jc w:val="both"/>
        <w:rPr>
          <w:rFonts w:ascii="Times New Roman" w:eastAsia="Calibri" w:hAnsi="Times New Roman" w:cs="Times New Roman"/>
          <w:noProof/>
          <w:sz w:val="24"/>
          <w:szCs w:val="24"/>
        </w:rPr>
      </w:pPr>
    </w:p>
    <w:p w:rsidR="00263099" w:rsidRPr="00263099" w:rsidRDefault="00263099" w:rsidP="00263099">
      <w:pPr>
        <w:numPr>
          <w:ilvl w:val="0"/>
          <w:numId w:val="24"/>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Ikgadējā </w:t>
      </w:r>
      <w:r>
        <w:rPr>
          <w:rFonts w:ascii="Times New Roman" w:hAnsi="Times New Roman"/>
          <w:b/>
          <w:noProof/>
          <w:sz w:val="24"/>
        </w:rPr>
        <w:t>Šengenas foruma</w:t>
      </w:r>
      <w:r>
        <w:rPr>
          <w:rFonts w:ascii="Times New Roman" w:hAnsi="Times New Roman"/>
          <w:noProof/>
          <w:sz w:val="24"/>
        </w:rPr>
        <w:t xml:space="preserve"> sanāksme būs iespēja Eiropas Parlamentam, Padomei un Komisijai pārskatīt EIRP īstenošanu un sniegt papildu politisko virzienu Eiropas Robežu un krasta apsardzei.</w:t>
      </w:r>
    </w:p>
    <w:p w:rsidR="00263099" w:rsidRPr="00263099" w:rsidRDefault="00263099" w:rsidP="00263099">
      <w:pPr>
        <w:numPr>
          <w:ilvl w:val="0"/>
          <w:numId w:val="24"/>
        </w:numPr>
        <w:spacing w:after="200" w:line="276" w:lineRule="auto"/>
        <w:contextualSpacing/>
        <w:jc w:val="both"/>
        <w:rPr>
          <w:rFonts w:ascii="Times New Roman" w:eastAsia="Calibri" w:hAnsi="Times New Roman" w:cs="Times New Roman"/>
          <w:noProof/>
          <w:sz w:val="24"/>
          <w:szCs w:val="24"/>
        </w:rPr>
      </w:pPr>
      <w:r>
        <w:rPr>
          <w:rFonts w:ascii="Times New Roman" w:hAnsi="Times New Roman"/>
          <w:b/>
          <w:noProof/>
          <w:sz w:val="24"/>
        </w:rPr>
        <w:t>Šengenas padomēm</w:t>
      </w:r>
      <w:r>
        <w:rPr>
          <w:rFonts w:ascii="Times New Roman" w:hAnsi="Times New Roman"/>
          <w:noProof/>
          <w:sz w:val="24"/>
        </w:rPr>
        <w:t xml:space="preserve">, kas tiek organizētas reizi ceturksnī, būtu jāveic pārskatīšana un jāsniedz secinājumi par Šengenas pārvaldību, kā arī jādod politisks stimuls saistībā ar EIRP īstenošanas galvenajiem stratēģiskajiem jautājumiem. Tās dod iespēju politiskā līmenī apspriest jautājumus, kas saistīti ar Eiropas Robežu un krasta apsardzi, tai skaitā </w:t>
      </w:r>
      <w:r>
        <w:rPr>
          <w:rFonts w:ascii="Times New Roman" w:hAnsi="Times New Roman"/>
          <w:i/>
          <w:iCs/>
          <w:noProof/>
          <w:sz w:val="24"/>
        </w:rPr>
        <w:t>Frontex</w:t>
      </w:r>
      <w:r>
        <w:rPr>
          <w:rFonts w:ascii="Times New Roman" w:hAnsi="Times New Roman"/>
          <w:noProof/>
          <w:sz w:val="24"/>
        </w:rPr>
        <w:t>, un vajadzības gadījumā sniegt stratēģiskus ieteikumus un uzraudzīt to īstenošanu.</w:t>
      </w:r>
    </w:p>
    <w:p w:rsidR="00263099" w:rsidRPr="00263099" w:rsidRDefault="00263099" w:rsidP="00263099">
      <w:pPr>
        <w:numPr>
          <w:ilvl w:val="0"/>
          <w:numId w:val="24"/>
        </w:numPr>
        <w:spacing w:after="200" w:line="276" w:lineRule="auto"/>
        <w:contextualSpacing/>
        <w:jc w:val="both"/>
        <w:rPr>
          <w:rFonts w:ascii="Times New Roman" w:eastAsia="Calibri" w:hAnsi="Times New Roman" w:cs="Times New Roman"/>
          <w:noProof/>
          <w:sz w:val="24"/>
          <w:szCs w:val="24"/>
        </w:rPr>
      </w:pPr>
      <w:r>
        <w:rPr>
          <w:rFonts w:ascii="Times New Roman" w:hAnsi="Times New Roman"/>
          <w:noProof/>
          <w:sz w:val="24"/>
        </w:rPr>
        <w:t>Papildu stratēģisko vadību nodrošinās arī aģentūras valdes augsta līmeņa sanāksme.</w:t>
      </w:r>
    </w:p>
    <w:p w:rsidR="00263099" w:rsidRPr="00127656" w:rsidRDefault="00263099" w:rsidP="00263099">
      <w:pPr>
        <w:spacing w:after="0" w:line="276" w:lineRule="auto"/>
        <w:jc w:val="both"/>
        <w:rPr>
          <w:rFonts w:ascii="Times New Roman" w:eastAsia="Times New Roman" w:hAnsi="Times New Roman" w:cs="Times New Roman"/>
          <w:noProof/>
          <w:sz w:val="24"/>
          <w:szCs w:val="24"/>
          <w:lang w:eastAsia="en-GB"/>
        </w:rPr>
      </w:pPr>
    </w:p>
    <w:p w:rsidR="00263099" w:rsidRPr="00263099" w:rsidRDefault="00263099" w:rsidP="00263099">
      <w:p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To, ka Eiropas Parlaments var efektīvi pārbaudīt aģentūras darbu un valstu parlamenti var pārbaudīt savu attiecīgo valsts iestāžu darbu Eiropas integrētās robežu pārvaldības īstenošanas jomā, varētu nodrošināt ar ERKA regulas 112. pantā noteiktajām </w:t>
      </w:r>
      <w:r>
        <w:rPr>
          <w:rFonts w:ascii="Times New Roman" w:hAnsi="Times New Roman"/>
          <w:b/>
          <w:noProof/>
          <w:sz w:val="24"/>
        </w:rPr>
        <w:t>parlamentu sadarbības</w:t>
      </w:r>
      <w:r>
        <w:rPr>
          <w:rFonts w:ascii="Times New Roman" w:hAnsi="Times New Roman"/>
          <w:noProof/>
          <w:sz w:val="24"/>
        </w:rPr>
        <w:t xml:space="preserve"> ikgadējām sanāksmēm. Šīs sanāksmes varētu saskaņot ar gatavošanos </w:t>
      </w:r>
      <w:r>
        <w:rPr>
          <w:rFonts w:ascii="Times New Roman" w:hAnsi="Times New Roman"/>
          <w:b/>
          <w:noProof/>
          <w:sz w:val="24"/>
        </w:rPr>
        <w:t>Šengenas foruma</w:t>
      </w:r>
      <w:r>
        <w:rPr>
          <w:rFonts w:ascii="Times New Roman" w:hAnsi="Times New Roman"/>
          <w:noProof/>
          <w:sz w:val="24"/>
        </w:rPr>
        <w:t xml:space="preserve"> ikgadējai sanāksmei.</w:t>
      </w:r>
    </w:p>
    <w:p w:rsidR="00263099" w:rsidRPr="00127656" w:rsidRDefault="00263099" w:rsidP="00263099">
      <w:pPr>
        <w:spacing w:after="0" w:line="240" w:lineRule="auto"/>
        <w:jc w:val="both"/>
        <w:rPr>
          <w:rFonts w:ascii="Times New Roman" w:eastAsia="Calibri" w:hAnsi="Times New Roman" w:cs="Times New Roman"/>
          <w:b/>
          <w:i/>
          <w:smallCaps/>
          <w:noProof/>
          <w:color w:val="000000"/>
          <w:sz w:val="28"/>
          <w:szCs w:val="24"/>
          <w:u w:val="single"/>
          <w:lang w:eastAsia="en-IE"/>
        </w:rPr>
      </w:pPr>
    </w:p>
    <w:p w:rsidR="00263099" w:rsidRPr="00263099" w:rsidRDefault="00263099" w:rsidP="00263099">
      <w:pPr>
        <w:numPr>
          <w:ilvl w:val="0"/>
          <w:numId w:val="42"/>
        </w:numPr>
        <w:spacing w:after="200" w:line="276" w:lineRule="auto"/>
        <w:contextualSpacing/>
        <w:jc w:val="both"/>
        <w:rPr>
          <w:rFonts w:ascii="Times New Roman" w:eastAsia="Calibri" w:hAnsi="Times New Roman" w:cs="Times New Roman"/>
          <w:b/>
          <w:i/>
          <w:smallCaps/>
          <w:noProof/>
          <w:color w:val="000000"/>
          <w:sz w:val="28"/>
          <w:szCs w:val="28"/>
          <w:u w:val="single"/>
        </w:rPr>
      </w:pPr>
      <w:r>
        <w:rPr>
          <w:rFonts w:ascii="Times New Roman" w:hAnsi="Times New Roman"/>
          <w:b/>
          <w:i/>
          <w:smallCaps/>
          <w:noProof/>
          <w:color w:val="000000"/>
          <w:sz w:val="28"/>
          <w:u w:val="single"/>
        </w:rPr>
        <w:t>Secinājumi</w:t>
      </w:r>
    </w:p>
    <w:p w:rsidR="00263099" w:rsidRPr="00263099" w:rsidRDefault="00263099" w:rsidP="00263099">
      <w:pPr>
        <w:spacing w:after="0" w:line="240" w:lineRule="auto"/>
        <w:rPr>
          <w:rFonts w:ascii="Times New Roman" w:eastAsia="Times New Roman" w:hAnsi="Times New Roman" w:cs="Times New Roman"/>
          <w:noProof/>
          <w:sz w:val="24"/>
          <w:szCs w:val="24"/>
          <w:lang w:val="en-GB" w:eastAsia="en-GB"/>
        </w:rPr>
      </w:pPr>
    </w:p>
    <w:p w:rsidR="00263099" w:rsidRPr="00263099" w:rsidRDefault="00263099" w:rsidP="00263099">
      <w:pPr>
        <w:spacing w:after="0" w:line="276" w:lineRule="auto"/>
        <w:jc w:val="both"/>
        <w:rPr>
          <w:rFonts w:ascii="Times New Roman" w:eastAsia="Calibri" w:hAnsi="Times New Roman" w:cs="Times New Roman"/>
          <w:noProof/>
          <w:sz w:val="24"/>
          <w:szCs w:val="24"/>
        </w:rPr>
      </w:pPr>
      <w:r>
        <w:rPr>
          <w:rFonts w:ascii="Times New Roman" w:hAnsi="Times New Roman"/>
          <w:noProof/>
          <w:sz w:val="24"/>
        </w:rPr>
        <w:t>Komisija ir sagatavojusi šo politikas dokumentu, lai panāktu vienotu izpratni starp Eiropas Parlamentu, Padomi un Komisiju par to, kā Eiropas Robežu un krasta apsardzei nākamajos piecos gados būtu jāīsteno EIRP.</w:t>
      </w:r>
    </w:p>
    <w:p w:rsidR="00263099" w:rsidRPr="00263099" w:rsidRDefault="00263099" w:rsidP="00263099">
      <w:pPr>
        <w:spacing w:after="0" w:line="240" w:lineRule="auto"/>
        <w:rPr>
          <w:rFonts w:ascii="Times New Roman" w:eastAsia="Calibri" w:hAnsi="Times New Roman" w:cs="Times New Roman"/>
          <w:b/>
          <w:i/>
          <w:noProof/>
          <w:color w:val="000000"/>
          <w:sz w:val="24"/>
          <w:szCs w:val="24"/>
          <w:u w:val="single"/>
          <w:lang w:val="en-GB" w:eastAsia="en-IE"/>
        </w:rPr>
      </w:pPr>
    </w:p>
    <w:p w:rsidR="00263099" w:rsidRPr="00263099" w:rsidRDefault="00263099" w:rsidP="00263099">
      <w:pPr>
        <w:spacing w:after="0" w:line="240" w:lineRule="auto"/>
        <w:contextualSpacing/>
        <w:jc w:val="both"/>
        <w:rPr>
          <w:rFonts w:ascii="Times New Roman" w:eastAsia="Times New Roman" w:hAnsi="Times New Roman" w:cs="Times New Roman"/>
          <w:iCs/>
          <w:noProof/>
          <w:sz w:val="24"/>
          <w:szCs w:val="24"/>
        </w:rPr>
      </w:pPr>
      <w:r>
        <w:rPr>
          <w:rFonts w:ascii="Times New Roman" w:hAnsi="Times New Roman"/>
          <w:noProof/>
          <w:sz w:val="24"/>
        </w:rPr>
        <w:t xml:space="preserve">Tāpēc Komisija aicina Eiropas Parlamentu un Padomi apspriest šo politikas dokumentu, kurā izklāstīta EIRP </w:t>
      </w:r>
      <w:r>
        <w:rPr>
          <w:rFonts w:ascii="Times New Roman" w:hAnsi="Times New Roman"/>
          <w:b/>
          <w:noProof/>
          <w:sz w:val="24"/>
        </w:rPr>
        <w:t>daudzgadu stratēģiskā politika</w:t>
      </w:r>
      <w:r>
        <w:rPr>
          <w:rFonts w:ascii="Times New Roman" w:hAnsi="Times New Roman"/>
          <w:noProof/>
          <w:sz w:val="24"/>
        </w:rPr>
        <w:t>, un paziņot Komisijai savus viedokļus.</w:t>
      </w:r>
    </w:p>
    <w:p w:rsidR="00263099" w:rsidRPr="00263099" w:rsidRDefault="00263099" w:rsidP="00263099">
      <w:pPr>
        <w:spacing w:after="0" w:line="240" w:lineRule="auto"/>
        <w:contextualSpacing/>
        <w:jc w:val="both"/>
        <w:rPr>
          <w:rFonts w:ascii="Times New Roman" w:eastAsia="Calibri" w:hAnsi="Times New Roman" w:cs="Times New Roman"/>
          <w:noProof/>
          <w:color w:val="000000"/>
          <w:sz w:val="24"/>
          <w:szCs w:val="24"/>
          <w:lang w:val="en-GB" w:eastAsia="en-IE"/>
        </w:rPr>
      </w:pPr>
    </w:p>
    <w:p w:rsidR="00263099" w:rsidRPr="00263099" w:rsidRDefault="00263099" w:rsidP="00263099">
      <w:pPr>
        <w:spacing w:after="0" w:line="240" w:lineRule="auto"/>
        <w:contextualSpacing/>
        <w:jc w:val="both"/>
        <w:rPr>
          <w:rFonts w:ascii="Times New Roman" w:eastAsia="Times New Roman" w:hAnsi="Times New Roman" w:cs="Times New Roman"/>
          <w:iCs/>
          <w:noProof/>
          <w:sz w:val="24"/>
          <w:szCs w:val="24"/>
        </w:rPr>
      </w:pPr>
      <w:r>
        <w:rPr>
          <w:rFonts w:ascii="Times New Roman" w:hAnsi="Times New Roman"/>
          <w:noProof/>
          <w:sz w:val="24"/>
        </w:rPr>
        <w:t xml:space="preserve">Vienlaikus, ņemot vērā to, ka ir svarīgi izveidot atbilstošus </w:t>
      </w:r>
      <w:r>
        <w:rPr>
          <w:rFonts w:ascii="Times New Roman" w:hAnsi="Times New Roman"/>
          <w:b/>
          <w:noProof/>
          <w:sz w:val="24"/>
        </w:rPr>
        <w:t>mehānismus, lai nodrošinātu efektīvu pārvaldības sistēmu</w:t>
      </w:r>
      <w:r>
        <w:rPr>
          <w:rFonts w:ascii="Times New Roman" w:hAnsi="Times New Roman"/>
          <w:noProof/>
          <w:sz w:val="24"/>
        </w:rPr>
        <w:t xml:space="preserve">, kas papildina politikas plānošanas cikla īstenošanu, Komisija vēlas saņemt abu iestāžu viedokļus par tās idejām attiecībā uz mērķtiecīgu virzienu, kuri būtu jāsniedz regulārāk nolūkā papildināt piecu gadu </w:t>
      </w:r>
      <w:r>
        <w:rPr>
          <w:rFonts w:ascii="Times New Roman" w:hAnsi="Times New Roman"/>
          <w:b/>
          <w:noProof/>
          <w:sz w:val="24"/>
        </w:rPr>
        <w:t>politikas prioritātes</w:t>
      </w:r>
      <w:r>
        <w:rPr>
          <w:rFonts w:ascii="Times New Roman" w:hAnsi="Times New Roman"/>
          <w:noProof/>
          <w:sz w:val="24"/>
        </w:rPr>
        <w:t xml:space="preserve"> un </w:t>
      </w:r>
      <w:r>
        <w:rPr>
          <w:rFonts w:ascii="Times New Roman" w:hAnsi="Times New Roman"/>
          <w:b/>
          <w:noProof/>
          <w:sz w:val="24"/>
        </w:rPr>
        <w:t>stratēģiskās vadlīnijas</w:t>
      </w:r>
      <w:r>
        <w:rPr>
          <w:rFonts w:ascii="Times New Roman" w:hAnsi="Times New Roman"/>
          <w:noProof/>
          <w:sz w:val="24"/>
        </w:rPr>
        <w:t>.</w:t>
      </w:r>
    </w:p>
    <w:p w:rsidR="00263099" w:rsidRPr="00263099" w:rsidRDefault="00263099" w:rsidP="00263099">
      <w:pPr>
        <w:spacing w:after="0" w:line="240" w:lineRule="auto"/>
        <w:contextualSpacing/>
        <w:jc w:val="both"/>
        <w:rPr>
          <w:rFonts w:ascii="Times New Roman" w:eastAsia="Times New Roman" w:hAnsi="Times New Roman" w:cs="Times New Roman"/>
          <w:iCs/>
          <w:noProof/>
          <w:sz w:val="24"/>
          <w:szCs w:val="24"/>
          <w:lang w:val="en-GB" w:eastAsia="en-GB"/>
        </w:rPr>
      </w:pPr>
    </w:p>
    <w:p w:rsidR="00263099" w:rsidRPr="00263099" w:rsidRDefault="00263099" w:rsidP="00263099">
      <w:pPr>
        <w:spacing w:after="0" w:line="240" w:lineRule="auto"/>
        <w:contextualSpacing/>
        <w:jc w:val="both"/>
        <w:rPr>
          <w:rFonts w:ascii="Times New Roman" w:eastAsia="Times New Roman" w:hAnsi="Times New Roman" w:cs="Times New Roman"/>
          <w:iCs/>
          <w:noProof/>
          <w:sz w:val="24"/>
          <w:szCs w:val="24"/>
        </w:rPr>
      </w:pPr>
      <w:r>
        <w:rPr>
          <w:rFonts w:ascii="Times New Roman" w:hAnsi="Times New Roman"/>
          <w:noProof/>
          <w:sz w:val="24"/>
        </w:rPr>
        <w:t>Pamatojoties uz abu iestāžu politisko ieguldījumu iepriekš minētajos aspektos, Komisija pieņems paziņojumu, kurā būs izklāstīta EIRP daudzgadu stratēģiskā politika un tās pārvaldība.</w:t>
      </w:r>
    </w:p>
    <w:p w:rsidR="00263099" w:rsidRPr="00263099" w:rsidRDefault="00263099" w:rsidP="00263099">
      <w:pPr>
        <w:spacing w:after="0" w:line="240" w:lineRule="auto"/>
        <w:contextualSpacing/>
        <w:jc w:val="both"/>
        <w:rPr>
          <w:rFonts w:ascii="Times New Roman" w:eastAsia="Times New Roman" w:hAnsi="Times New Roman" w:cs="Times New Roman"/>
          <w:iCs/>
          <w:noProof/>
          <w:sz w:val="24"/>
          <w:szCs w:val="24"/>
          <w:lang w:val="en-GB" w:eastAsia="en-GB"/>
        </w:rPr>
      </w:pPr>
    </w:p>
    <w:p w:rsidR="00263099" w:rsidRPr="00263099" w:rsidRDefault="00263099" w:rsidP="00263099">
      <w:pPr>
        <w:spacing w:after="0" w:line="240" w:lineRule="auto"/>
        <w:contextualSpacing/>
        <w:jc w:val="both"/>
        <w:rPr>
          <w:rFonts w:ascii="Times New Roman" w:eastAsia="Times New Roman" w:hAnsi="Times New Roman" w:cs="Times New Roman"/>
          <w:iCs/>
          <w:noProof/>
          <w:sz w:val="24"/>
          <w:szCs w:val="24"/>
          <w:lang w:val="en-GB" w:eastAsia="en-GB"/>
        </w:rPr>
      </w:pPr>
    </w:p>
    <w:p w:rsidR="00263099" w:rsidRPr="00263099" w:rsidRDefault="00263099" w:rsidP="00263099">
      <w:pPr>
        <w:spacing w:after="0" w:line="240" w:lineRule="auto"/>
        <w:contextualSpacing/>
        <w:jc w:val="both"/>
        <w:rPr>
          <w:rFonts w:ascii="Times New Roman" w:eastAsia="Times New Roman" w:hAnsi="Times New Roman" w:cs="Times New Roman"/>
          <w:iCs/>
          <w:noProof/>
          <w:sz w:val="24"/>
          <w:szCs w:val="24"/>
          <w:lang w:val="en-GB" w:eastAsia="en-GB"/>
        </w:rPr>
      </w:pPr>
    </w:p>
    <w:p w:rsidR="00263099" w:rsidRPr="00263099" w:rsidRDefault="00263099" w:rsidP="00263099">
      <w:pPr>
        <w:spacing w:after="0" w:line="240" w:lineRule="auto"/>
        <w:contextualSpacing/>
        <w:jc w:val="both"/>
        <w:rPr>
          <w:rFonts w:ascii="Times New Roman" w:eastAsia="Times New Roman" w:hAnsi="Times New Roman" w:cs="Times New Roman"/>
          <w:iCs/>
          <w:noProof/>
          <w:sz w:val="24"/>
          <w:szCs w:val="24"/>
          <w:lang w:val="en-GB" w:eastAsia="en-GB"/>
        </w:rPr>
      </w:pPr>
    </w:p>
    <w:tbl>
      <w:tblPr>
        <w:tblpPr w:leftFromText="180" w:rightFromText="180" w:vertAnchor="text" w:horzAnchor="margin" w:tblpY="-91"/>
        <w:tblW w:w="9108" w:type="dxa"/>
        <w:shd w:val="clear" w:color="auto" w:fill="FFFFFF"/>
        <w:tblCellMar>
          <w:left w:w="0" w:type="dxa"/>
          <w:right w:w="0" w:type="dxa"/>
        </w:tblCellMar>
        <w:tblLook w:val="04A0" w:firstRow="1" w:lastRow="0" w:firstColumn="1" w:lastColumn="0" w:noHBand="0" w:noVBand="1"/>
      </w:tblPr>
      <w:tblGrid>
        <w:gridCol w:w="6228"/>
        <w:gridCol w:w="2880"/>
      </w:tblGrid>
      <w:tr w:rsidR="00263099" w:rsidRPr="00263099" w:rsidTr="00035294">
        <w:tc>
          <w:tcPr>
            <w:tcW w:w="9108"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tcPr>
          <w:p w:rsidR="00263099" w:rsidRPr="00263099" w:rsidRDefault="00263099" w:rsidP="00263099">
            <w:pPr>
              <w:spacing w:after="0" w:line="240" w:lineRule="auto"/>
              <w:jc w:val="both"/>
              <w:rPr>
                <w:rFonts w:ascii="Times New Roman" w:eastAsia="Calibri" w:hAnsi="Times New Roman" w:cs="Times New Roman"/>
                <w:b/>
                <w:i/>
                <w:noProof/>
                <w:sz w:val="24"/>
                <w:szCs w:val="24"/>
                <w:lang w:val="en-GB"/>
              </w:rPr>
            </w:pPr>
          </w:p>
          <w:p w:rsidR="00263099" w:rsidRPr="00263099" w:rsidRDefault="00263099" w:rsidP="00263099">
            <w:pPr>
              <w:spacing w:after="0" w:line="240" w:lineRule="auto"/>
              <w:jc w:val="both"/>
              <w:rPr>
                <w:rFonts w:ascii="Times New Roman" w:eastAsia="Calibri" w:hAnsi="Times New Roman" w:cs="Times New Roman"/>
                <w:b/>
                <w:i/>
                <w:noProof/>
                <w:sz w:val="24"/>
                <w:szCs w:val="24"/>
              </w:rPr>
            </w:pPr>
            <w:r>
              <w:rPr>
                <w:rFonts w:ascii="Times New Roman" w:hAnsi="Times New Roman"/>
                <w:b/>
                <w:i/>
                <w:noProof/>
                <w:sz w:val="24"/>
              </w:rPr>
              <w:t>EIRP cikla grafiks</w:t>
            </w:r>
          </w:p>
          <w:p w:rsidR="00263099" w:rsidRPr="00263099" w:rsidRDefault="00263099" w:rsidP="00263099">
            <w:pPr>
              <w:spacing w:after="0" w:line="240" w:lineRule="auto"/>
              <w:jc w:val="both"/>
              <w:rPr>
                <w:rFonts w:ascii="Times New Roman" w:eastAsia="Calibri" w:hAnsi="Times New Roman" w:cs="Times New Roman"/>
                <w:b/>
                <w:noProof/>
                <w:color w:val="000000"/>
                <w:sz w:val="20"/>
                <w:szCs w:val="20"/>
                <w:lang w:val="en-GB" w:eastAsia="en-IE"/>
              </w:rPr>
            </w:pPr>
          </w:p>
        </w:tc>
      </w:tr>
      <w:tr w:rsidR="00263099" w:rsidRPr="00263099" w:rsidTr="00035294">
        <w:tc>
          <w:tcPr>
            <w:tcW w:w="62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263099" w:rsidRPr="00127656" w:rsidRDefault="00263099" w:rsidP="00263099">
            <w:pPr>
              <w:spacing w:after="0" w:line="240" w:lineRule="auto"/>
              <w:jc w:val="both"/>
              <w:rPr>
                <w:rFonts w:ascii="Times New Roman" w:eastAsia="Calibri" w:hAnsi="Times New Roman" w:cs="Times New Roman"/>
                <w:b/>
                <w:i/>
                <w:noProof/>
                <w:color w:val="000000"/>
                <w:sz w:val="20"/>
                <w:szCs w:val="20"/>
                <w:lang w:eastAsia="en-IE"/>
              </w:rPr>
            </w:pPr>
          </w:p>
          <w:p w:rsidR="00263099" w:rsidRPr="00263099" w:rsidRDefault="00263099" w:rsidP="00263099">
            <w:pPr>
              <w:spacing w:after="0" w:line="240" w:lineRule="auto"/>
              <w:jc w:val="both"/>
              <w:rPr>
                <w:rFonts w:ascii="Times New Roman" w:eastAsia="Calibri" w:hAnsi="Times New Roman" w:cs="Times New Roman"/>
                <w:b/>
                <w:i/>
                <w:noProof/>
                <w:color w:val="000000"/>
                <w:sz w:val="20"/>
                <w:szCs w:val="20"/>
              </w:rPr>
            </w:pPr>
            <w:r>
              <w:rPr>
                <w:rFonts w:ascii="Times New Roman" w:hAnsi="Times New Roman"/>
                <w:b/>
                <w:i/>
                <w:noProof/>
                <w:color w:val="000000"/>
                <w:sz w:val="20"/>
              </w:rPr>
              <w:t>Daudzgadu stratēģiskās politikas plānošanas cikla īstenošanas pasākumi</w:t>
            </w:r>
          </w:p>
          <w:p w:rsidR="00263099" w:rsidRPr="00127656" w:rsidRDefault="00263099" w:rsidP="00263099">
            <w:pPr>
              <w:spacing w:after="0" w:line="240" w:lineRule="auto"/>
              <w:jc w:val="both"/>
              <w:rPr>
                <w:rFonts w:ascii="Times New Roman" w:eastAsia="Calibri" w:hAnsi="Times New Roman" w:cs="Times New Roman"/>
                <w:b/>
                <w:i/>
                <w:noProof/>
                <w:color w:val="000000"/>
                <w:sz w:val="20"/>
                <w:szCs w:val="20"/>
                <w:lang w:eastAsia="en-IE"/>
              </w:rPr>
            </w:pPr>
          </w:p>
        </w:tc>
        <w:tc>
          <w:tcPr>
            <w:tcW w:w="28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rsidR="00263099" w:rsidRPr="00127656" w:rsidRDefault="00263099" w:rsidP="00263099">
            <w:pPr>
              <w:spacing w:after="0" w:line="240" w:lineRule="auto"/>
              <w:jc w:val="both"/>
              <w:rPr>
                <w:rFonts w:ascii="Times New Roman" w:eastAsia="Calibri" w:hAnsi="Times New Roman" w:cs="Times New Roman"/>
                <w:b/>
                <w:i/>
                <w:noProof/>
                <w:color w:val="000000"/>
                <w:sz w:val="20"/>
                <w:szCs w:val="20"/>
                <w:lang w:eastAsia="en-IE"/>
              </w:rPr>
            </w:pPr>
          </w:p>
          <w:p w:rsidR="00263099" w:rsidRPr="00263099" w:rsidRDefault="00263099" w:rsidP="00263099">
            <w:pPr>
              <w:spacing w:after="0" w:line="240" w:lineRule="auto"/>
              <w:jc w:val="both"/>
              <w:rPr>
                <w:rFonts w:ascii="Times New Roman" w:eastAsia="Calibri" w:hAnsi="Times New Roman" w:cs="Times New Roman"/>
                <w:b/>
                <w:i/>
                <w:noProof/>
                <w:color w:val="000000"/>
                <w:sz w:val="20"/>
                <w:szCs w:val="20"/>
              </w:rPr>
            </w:pPr>
            <w:r>
              <w:rPr>
                <w:rFonts w:ascii="Times New Roman" w:hAnsi="Times New Roman"/>
                <w:b/>
                <w:i/>
                <w:noProof/>
                <w:color w:val="000000"/>
                <w:sz w:val="20"/>
              </w:rPr>
              <w:t>Orientējošs grafiks</w:t>
            </w:r>
          </w:p>
        </w:tc>
      </w:tr>
      <w:tr w:rsidR="00263099" w:rsidRPr="00263099" w:rsidTr="00035294">
        <w:tc>
          <w:tcPr>
            <w:tcW w:w="9108" w:type="dxa"/>
            <w:gridSpan w:val="2"/>
            <w:tcBorders>
              <w:top w:val="single" w:sz="6" w:space="0" w:color="000000"/>
              <w:left w:val="single" w:sz="6" w:space="0" w:color="000000"/>
              <w:bottom w:val="single" w:sz="6" w:space="0" w:color="000000"/>
              <w:right w:val="single" w:sz="6" w:space="0" w:color="000000"/>
            </w:tcBorders>
            <w:shd w:val="clear" w:color="auto" w:fill="B6DDE8"/>
            <w:tcMar>
              <w:top w:w="0" w:type="dxa"/>
              <w:left w:w="108" w:type="dxa"/>
              <w:bottom w:w="0" w:type="dxa"/>
              <w:right w:w="108" w:type="dxa"/>
            </w:tcMar>
            <w:hideMark/>
          </w:tcPr>
          <w:p w:rsidR="00263099" w:rsidRPr="00263099" w:rsidRDefault="00263099" w:rsidP="00263099">
            <w:pPr>
              <w:spacing w:after="0" w:line="240" w:lineRule="auto"/>
              <w:jc w:val="both"/>
              <w:rPr>
                <w:rFonts w:ascii="Times New Roman" w:eastAsia="Calibri" w:hAnsi="Times New Roman" w:cs="Times New Roman"/>
                <w:noProof/>
                <w:color w:val="000000"/>
                <w:sz w:val="20"/>
                <w:szCs w:val="20"/>
                <w:lang w:val="en-GB" w:eastAsia="en-IE"/>
              </w:rPr>
            </w:pPr>
          </w:p>
        </w:tc>
      </w:tr>
      <w:tr w:rsidR="00263099" w:rsidRPr="00263099" w:rsidTr="00035294">
        <w:tc>
          <w:tcPr>
            <w:tcW w:w="62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263099" w:rsidRPr="00263099" w:rsidRDefault="00263099" w:rsidP="00263099">
            <w:pPr>
              <w:spacing w:after="0" w:line="240" w:lineRule="auto"/>
              <w:jc w:val="both"/>
              <w:rPr>
                <w:rFonts w:ascii="Times New Roman" w:eastAsia="Calibri" w:hAnsi="Times New Roman" w:cs="Times New Roman"/>
                <w:noProof/>
                <w:color w:val="000000"/>
                <w:sz w:val="20"/>
                <w:szCs w:val="20"/>
              </w:rPr>
            </w:pPr>
            <w:r>
              <w:rPr>
                <w:rFonts w:ascii="Times New Roman" w:hAnsi="Times New Roman"/>
                <w:b/>
                <w:noProof/>
                <w:color w:val="000000"/>
                <w:sz w:val="20"/>
              </w:rPr>
              <w:t>Komisija</w:t>
            </w:r>
            <w:r>
              <w:rPr>
                <w:rFonts w:ascii="Times New Roman" w:hAnsi="Times New Roman"/>
                <w:noProof/>
                <w:color w:val="000000"/>
                <w:sz w:val="20"/>
              </w:rPr>
              <w:t xml:space="preserve"> iesniedz politikas dokumentu, kurā izklāstīta Eiropas integrētās robežu pārvaldības daudzgadu stratēģiskā politika.</w:t>
            </w:r>
          </w:p>
        </w:tc>
        <w:tc>
          <w:tcPr>
            <w:tcW w:w="28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263099" w:rsidRPr="00263099" w:rsidRDefault="00263099" w:rsidP="00263099">
            <w:pPr>
              <w:spacing w:after="0" w:line="240" w:lineRule="auto"/>
              <w:jc w:val="both"/>
              <w:rPr>
                <w:rFonts w:ascii="Times New Roman" w:eastAsia="Calibri" w:hAnsi="Times New Roman" w:cs="Times New Roman"/>
                <w:noProof/>
                <w:color w:val="000000"/>
                <w:sz w:val="20"/>
                <w:szCs w:val="20"/>
              </w:rPr>
            </w:pPr>
            <w:r>
              <w:rPr>
                <w:rFonts w:ascii="Times New Roman" w:hAnsi="Times New Roman"/>
                <w:noProof/>
                <w:color w:val="000000"/>
                <w:sz w:val="20"/>
              </w:rPr>
              <w:t>2022. gada 2. ceturksnis</w:t>
            </w:r>
          </w:p>
        </w:tc>
      </w:tr>
      <w:tr w:rsidR="00263099" w:rsidRPr="00263099" w:rsidTr="00035294">
        <w:tc>
          <w:tcPr>
            <w:tcW w:w="62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263099" w:rsidRPr="00263099" w:rsidRDefault="00263099" w:rsidP="00263099">
            <w:pPr>
              <w:spacing w:after="0" w:line="240" w:lineRule="auto"/>
              <w:jc w:val="both"/>
              <w:rPr>
                <w:rFonts w:ascii="Times New Roman" w:eastAsia="Calibri" w:hAnsi="Times New Roman" w:cs="Times New Roman"/>
                <w:noProof/>
                <w:color w:val="000000"/>
                <w:sz w:val="20"/>
                <w:szCs w:val="20"/>
              </w:rPr>
            </w:pPr>
            <w:r>
              <w:rPr>
                <w:rFonts w:ascii="Times New Roman" w:hAnsi="Times New Roman"/>
                <w:b/>
                <w:noProof/>
                <w:color w:val="000000"/>
                <w:sz w:val="20"/>
              </w:rPr>
              <w:t>Eiropas Parlaments</w:t>
            </w:r>
            <w:r>
              <w:rPr>
                <w:rFonts w:ascii="Times New Roman" w:hAnsi="Times New Roman"/>
                <w:noProof/>
                <w:color w:val="000000"/>
                <w:sz w:val="20"/>
              </w:rPr>
              <w:t xml:space="preserve"> un </w:t>
            </w:r>
            <w:r>
              <w:rPr>
                <w:rFonts w:ascii="Times New Roman" w:hAnsi="Times New Roman"/>
                <w:b/>
                <w:noProof/>
                <w:color w:val="000000"/>
                <w:sz w:val="20"/>
              </w:rPr>
              <w:t>Padome</w:t>
            </w:r>
            <w:r>
              <w:rPr>
                <w:rFonts w:ascii="Times New Roman" w:hAnsi="Times New Roman"/>
                <w:noProof/>
                <w:color w:val="000000"/>
                <w:sz w:val="20"/>
              </w:rPr>
              <w:t xml:space="preserve"> apspriež politikas dokumentu, kurā izklāstīta Eiropas integrētās robežu pārvaldības daudzgadu stratēģiskā politika.</w:t>
            </w:r>
          </w:p>
        </w:tc>
        <w:tc>
          <w:tcPr>
            <w:tcW w:w="28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263099" w:rsidRPr="00263099" w:rsidRDefault="00263099" w:rsidP="00263099">
            <w:pPr>
              <w:spacing w:after="0" w:line="240" w:lineRule="auto"/>
              <w:rPr>
                <w:rFonts w:ascii="Times New Roman" w:eastAsia="Calibri" w:hAnsi="Times New Roman" w:cs="Times New Roman"/>
                <w:noProof/>
                <w:color w:val="000000"/>
                <w:sz w:val="20"/>
                <w:szCs w:val="20"/>
              </w:rPr>
            </w:pPr>
            <w:r>
              <w:rPr>
                <w:rFonts w:ascii="Times New Roman" w:hAnsi="Times New Roman"/>
                <w:noProof/>
                <w:color w:val="000000"/>
                <w:sz w:val="20"/>
              </w:rPr>
              <w:t>2022. gada 3. ceturksnis</w:t>
            </w:r>
          </w:p>
        </w:tc>
      </w:tr>
      <w:tr w:rsidR="00263099" w:rsidRPr="00263099" w:rsidTr="00035294">
        <w:tc>
          <w:tcPr>
            <w:tcW w:w="62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263099" w:rsidRPr="00263099" w:rsidRDefault="00263099" w:rsidP="00263099">
            <w:pPr>
              <w:spacing w:after="0" w:line="240" w:lineRule="auto"/>
              <w:jc w:val="both"/>
              <w:rPr>
                <w:rFonts w:ascii="Times New Roman" w:eastAsia="Calibri" w:hAnsi="Times New Roman" w:cs="Times New Roman"/>
                <w:noProof/>
                <w:color w:val="000000"/>
                <w:sz w:val="20"/>
                <w:szCs w:val="20"/>
              </w:rPr>
            </w:pPr>
            <w:r>
              <w:rPr>
                <w:rFonts w:ascii="Times New Roman" w:hAnsi="Times New Roman"/>
                <w:b/>
                <w:noProof/>
                <w:color w:val="000000"/>
                <w:sz w:val="20"/>
              </w:rPr>
              <w:t>Komisija</w:t>
            </w:r>
            <w:r>
              <w:rPr>
                <w:rFonts w:ascii="Times New Roman" w:hAnsi="Times New Roman"/>
                <w:noProof/>
                <w:color w:val="000000"/>
                <w:sz w:val="20"/>
              </w:rPr>
              <w:t xml:space="preserve"> pieņem paziņojumu, ar ko izveido Eiropas integrētās robežu pārvaldības daudzgadu stratēģisko politiku.</w:t>
            </w:r>
          </w:p>
        </w:tc>
        <w:tc>
          <w:tcPr>
            <w:tcW w:w="28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263099" w:rsidRPr="00263099" w:rsidRDefault="00263099" w:rsidP="00263099">
            <w:pPr>
              <w:spacing w:after="0" w:line="240" w:lineRule="auto"/>
              <w:rPr>
                <w:rFonts w:ascii="Times New Roman" w:eastAsia="Calibri" w:hAnsi="Times New Roman" w:cs="Times New Roman"/>
                <w:noProof/>
                <w:color w:val="000000"/>
                <w:sz w:val="20"/>
                <w:szCs w:val="20"/>
              </w:rPr>
            </w:pPr>
            <w:r>
              <w:rPr>
                <w:rFonts w:ascii="Times New Roman" w:hAnsi="Times New Roman"/>
                <w:noProof/>
                <w:color w:val="000000"/>
                <w:sz w:val="20"/>
              </w:rPr>
              <w:t>2022. gada 4. ceturksnis</w:t>
            </w:r>
          </w:p>
        </w:tc>
      </w:tr>
      <w:tr w:rsidR="00263099" w:rsidRPr="00263099" w:rsidTr="00035294">
        <w:tc>
          <w:tcPr>
            <w:tcW w:w="9108" w:type="dxa"/>
            <w:gridSpan w:val="2"/>
            <w:tcBorders>
              <w:top w:val="single" w:sz="6" w:space="0" w:color="000000"/>
              <w:left w:val="single" w:sz="6" w:space="0" w:color="000000"/>
              <w:bottom w:val="single" w:sz="6" w:space="0" w:color="000000"/>
              <w:right w:val="single" w:sz="6" w:space="0" w:color="000000"/>
            </w:tcBorders>
            <w:shd w:val="clear" w:color="auto" w:fill="B6DDE8"/>
            <w:tcMar>
              <w:top w:w="0" w:type="dxa"/>
              <w:left w:w="108" w:type="dxa"/>
              <w:bottom w:w="0" w:type="dxa"/>
              <w:right w:w="108" w:type="dxa"/>
            </w:tcMar>
            <w:hideMark/>
          </w:tcPr>
          <w:p w:rsidR="00263099" w:rsidRPr="00263099" w:rsidRDefault="00263099" w:rsidP="00263099">
            <w:pPr>
              <w:spacing w:after="0" w:line="240" w:lineRule="auto"/>
              <w:jc w:val="both"/>
              <w:rPr>
                <w:rFonts w:ascii="Times New Roman" w:eastAsia="Calibri" w:hAnsi="Times New Roman" w:cs="Times New Roman"/>
                <w:noProof/>
                <w:color w:val="000000"/>
                <w:sz w:val="20"/>
                <w:szCs w:val="20"/>
                <w:lang w:val="en-GB" w:eastAsia="en-IE"/>
              </w:rPr>
            </w:pPr>
          </w:p>
        </w:tc>
      </w:tr>
      <w:tr w:rsidR="00263099" w:rsidRPr="00263099" w:rsidTr="00035294">
        <w:tc>
          <w:tcPr>
            <w:tcW w:w="62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263099" w:rsidRPr="00263099" w:rsidRDefault="00263099" w:rsidP="00263099">
            <w:pPr>
              <w:spacing w:after="0" w:line="240" w:lineRule="auto"/>
              <w:jc w:val="both"/>
              <w:rPr>
                <w:rFonts w:ascii="Times New Roman" w:eastAsia="Calibri" w:hAnsi="Times New Roman" w:cs="Times New Roman"/>
                <w:noProof/>
                <w:color w:val="000000"/>
                <w:sz w:val="20"/>
                <w:szCs w:val="20"/>
              </w:rPr>
            </w:pPr>
            <w:r>
              <w:rPr>
                <w:rFonts w:ascii="Times New Roman" w:hAnsi="Times New Roman"/>
                <w:b/>
                <w:noProof/>
                <w:color w:val="000000"/>
                <w:sz w:val="20"/>
              </w:rPr>
              <w:t>Eiropas Robežu un krasta apsardzes aģentūra</w:t>
            </w:r>
            <w:r>
              <w:rPr>
                <w:rFonts w:ascii="Times New Roman" w:hAnsi="Times New Roman"/>
                <w:noProof/>
                <w:color w:val="000000"/>
                <w:sz w:val="20"/>
              </w:rPr>
              <w:t xml:space="preserve"> pieņem Eiropas integrētās robežu pārvaldības tehnisko un operacionālo stratēģiju. </w:t>
            </w:r>
          </w:p>
        </w:tc>
        <w:tc>
          <w:tcPr>
            <w:tcW w:w="28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263099" w:rsidRPr="00263099" w:rsidRDefault="00263099" w:rsidP="00263099">
            <w:pPr>
              <w:spacing w:after="0" w:line="240" w:lineRule="auto"/>
              <w:jc w:val="both"/>
              <w:rPr>
                <w:rFonts w:ascii="Times New Roman" w:eastAsia="Calibri" w:hAnsi="Times New Roman" w:cs="Times New Roman"/>
                <w:noProof/>
                <w:color w:val="000000"/>
                <w:sz w:val="20"/>
                <w:szCs w:val="20"/>
              </w:rPr>
            </w:pPr>
            <w:r>
              <w:rPr>
                <w:rFonts w:ascii="Times New Roman" w:hAnsi="Times New Roman"/>
                <w:noProof/>
                <w:color w:val="000000"/>
                <w:sz w:val="20"/>
              </w:rPr>
              <w:t>2023. gada 2. ceturksnis (6 mēnešus pēc Komisijas paziņojuma)</w:t>
            </w:r>
          </w:p>
        </w:tc>
      </w:tr>
      <w:tr w:rsidR="00263099" w:rsidRPr="00263099" w:rsidTr="00035294">
        <w:tc>
          <w:tcPr>
            <w:tcW w:w="62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263099" w:rsidRPr="00263099" w:rsidRDefault="00263099" w:rsidP="00263099">
            <w:pPr>
              <w:spacing w:after="0" w:line="240" w:lineRule="auto"/>
              <w:jc w:val="both"/>
              <w:rPr>
                <w:rFonts w:ascii="Times New Roman" w:eastAsia="Calibri" w:hAnsi="Times New Roman" w:cs="Times New Roman"/>
                <w:noProof/>
                <w:color w:val="000000"/>
                <w:sz w:val="20"/>
                <w:szCs w:val="20"/>
              </w:rPr>
            </w:pPr>
            <w:r>
              <w:rPr>
                <w:rFonts w:ascii="Times New Roman" w:hAnsi="Times New Roman"/>
                <w:b/>
                <w:noProof/>
                <w:color w:val="000000"/>
                <w:sz w:val="20"/>
              </w:rPr>
              <w:t>Dalībvalstis</w:t>
            </w:r>
            <w:r>
              <w:rPr>
                <w:rFonts w:ascii="Times New Roman" w:hAnsi="Times New Roman"/>
                <w:noProof/>
                <w:color w:val="000000"/>
                <w:sz w:val="20"/>
              </w:rPr>
              <w:t xml:space="preserve"> saskaņo savas valsts integrētās robežu pārvaldības stratēģijas.</w:t>
            </w:r>
          </w:p>
        </w:tc>
        <w:tc>
          <w:tcPr>
            <w:tcW w:w="28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263099" w:rsidRPr="00263099" w:rsidRDefault="00263099" w:rsidP="00263099">
            <w:pPr>
              <w:spacing w:after="0" w:line="240" w:lineRule="auto"/>
              <w:jc w:val="both"/>
              <w:rPr>
                <w:rFonts w:ascii="Times New Roman" w:eastAsia="Calibri" w:hAnsi="Times New Roman" w:cs="Times New Roman"/>
                <w:noProof/>
                <w:color w:val="000000"/>
                <w:sz w:val="20"/>
                <w:szCs w:val="20"/>
              </w:rPr>
            </w:pPr>
            <w:r>
              <w:rPr>
                <w:rFonts w:ascii="Times New Roman" w:hAnsi="Times New Roman"/>
                <w:noProof/>
                <w:color w:val="000000"/>
                <w:sz w:val="20"/>
              </w:rPr>
              <w:t>2023. gada 4. ceturksnis (12 mēnešus pēc Komisijas paziņojuma)</w:t>
            </w:r>
          </w:p>
        </w:tc>
      </w:tr>
      <w:tr w:rsidR="00263099" w:rsidRPr="00263099" w:rsidTr="00035294">
        <w:trPr>
          <w:trHeight w:val="51"/>
        </w:trPr>
        <w:tc>
          <w:tcPr>
            <w:tcW w:w="62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263099" w:rsidRPr="00263099" w:rsidRDefault="00263099" w:rsidP="00263099">
            <w:pPr>
              <w:spacing w:after="0" w:line="240" w:lineRule="auto"/>
              <w:jc w:val="both"/>
              <w:rPr>
                <w:rFonts w:ascii="Times New Roman" w:eastAsia="Calibri" w:hAnsi="Times New Roman" w:cs="Times New Roman"/>
                <w:noProof/>
                <w:color w:val="000000"/>
                <w:sz w:val="20"/>
                <w:szCs w:val="20"/>
              </w:rPr>
            </w:pPr>
            <w:r>
              <w:rPr>
                <w:rFonts w:ascii="Times New Roman" w:hAnsi="Times New Roman"/>
                <w:b/>
                <w:noProof/>
                <w:color w:val="000000"/>
                <w:sz w:val="20"/>
              </w:rPr>
              <w:t>Komisija</w:t>
            </w:r>
            <w:r>
              <w:rPr>
                <w:rFonts w:ascii="Times New Roman" w:hAnsi="Times New Roman"/>
                <w:noProof/>
                <w:color w:val="000000"/>
                <w:sz w:val="20"/>
              </w:rPr>
              <w:t xml:space="preserve"> izvērtē Eiropas integrētās robežu pārvaldības daudzgadu stratēģisko politiku.</w:t>
            </w:r>
          </w:p>
        </w:tc>
        <w:tc>
          <w:tcPr>
            <w:tcW w:w="28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263099" w:rsidRPr="00263099" w:rsidRDefault="00263099" w:rsidP="00263099">
            <w:pPr>
              <w:spacing w:after="0" w:line="240" w:lineRule="auto"/>
              <w:jc w:val="both"/>
              <w:rPr>
                <w:rFonts w:ascii="Times New Roman" w:eastAsia="Calibri" w:hAnsi="Times New Roman" w:cs="Times New Roman"/>
                <w:noProof/>
                <w:color w:val="000000"/>
                <w:sz w:val="20"/>
                <w:szCs w:val="20"/>
              </w:rPr>
            </w:pPr>
            <w:r>
              <w:rPr>
                <w:rFonts w:ascii="Times New Roman" w:hAnsi="Times New Roman"/>
                <w:noProof/>
                <w:color w:val="000000"/>
                <w:sz w:val="20"/>
              </w:rPr>
              <w:t>2026. gada 4. ceturksnis (48 mēnešus pēc Komisijas paziņojuma)</w:t>
            </w:r>
          </w:p>
        </w:tc>
      </w:tr>
      <w:tr w:rsidR="00263099" w:rsidRPr="00263099" w:rsidTr="00035294">
        <w:tc>
          <w:tcPr>
            <w:tcW w:w="622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263099" w:rsidRPr="00263099" w:rsidRDefault="00263099" w:rsidP="00263099">
            <w:pPr>
              <w:spacing w:after="0" w:line="240" w:lineRule="auto"/>
              <w:jc w:val="both"/>
              <w:rPr>
                <w:rFonts w:ascii="Times New Roman" w:eastAsia="Calibri" w:hAnsi="Times New Roman" w:cs="Times New Roman"/>
                <w:noProof/>
                <w:color w:val="000000"/>
                <w:sz w:val="20"/>
                <w:szCs w:val="20"/>
              </w:rPr>
            </w:pPr>
            <w:r>
              <w:rPr>
                <w:rFonts w:ascii="Times New Roman" w:hAnsi="Times New Roman"/>
                <w:b/>
                <w:noProof/>
                <w:color w:val="000000"/>
                <w:sz w:val="20"/>
              </w:rPr>
              <w:t>Komisija</w:t>
            </w:r>
            <w:r>
              <w:rPr>
                <w:rFonts w:ascii="Times New Roman" w:hAnsi="Times New Roman"/>
                <w:noProof/>
                <w:color w:val="000000"/>
                <w:sz w:val="20"/>
              </w:rPr>
              <w:t xml:space="preserve"> iesniedz otru politikas dokumentu, kurā izstrādāta nākamā Eiropas integrētās robežu pārvaldības daudzgadu stratēģiskā politika.</w:t>
            </w:r>
          </w:p>
        </w:tc>
        <w:tc>
          <w:tcPr>
            <w:tcW w:w="28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rsidR="00263099" w:rsidRPr="00263099" w:rsidRDefault="00263099" w:rsidP="00263099">
            <w:pPr>
              <w:spacing w:after="0" w:line="240" w:lineRule="auto"/>
              <w:jc w:val="both"/>
              <w:rPr>
                <w:rFonts w:ascii="Times New Roman" w:eastAsia="Calibri" w:hAnsi="Times New Roman" w:cs="Times New Roman"/>
                <w:noProof/>
                <w:color w:val="000000"/>
                <w:sz w:val="20"/>
                <w:szCs w:val="20"/>
              </w:rPr>
            </w:pPr>
            <w:r>
              <w:rPr>
                <w:rFonts w:ascii="Times New Roman" w:hAnsi="Times New Roman"/>
                <w:noProof/>
                <w:color w:val="000000"/>
                <w:sz w:val="20"/>
              </w:rPr>
              <w:t>2027. gada beigas</w:t>
            </w:r>
          </w:p>
        </w:tc>
      </w:tr>
    </w:tbl>
    <w:p w:rsidR="00BE5B63" w:rsidRDefault="00BE5B63">
      <w:pPr>
        <w:rPr>
          <w:noProof/>
        </w:rPr>
      </w:pPr>
    </w:p>
    <w:sectPr w:rsidR="00BE5B63" w:rsidSect="00485B43">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CB3" w:rsidRDefault="00C50CB3" w:rsidP="00263099">
      <w:pPr>
        <w:spacing w:after="0" w:line="240" w:lineRule="auto"/>
      </w:pPr>
      <w:r>
        <w:separator/>
      </w:r>
    </w:p>
  </w:endnote>
  <w:endnote w:type="continuationSeparator" w:id="0">
    <w:p w:rsidR="00C50CB3" w:rsidRDefault="00C50CB3" w:rsidP="00263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F12" w:rsidRPr="00AE6F12" w:rsidRDefault="00AE6F12" w:rsidP="00AE6F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F12" w:rsidRPr="00AE6F12" w:rsidRDefault="00AE6F12" w:rsidP="00AE6F12">
    <w:pPr>
      <w:pStyle w:val="FooterCoverPage"/>
      <w:rPr>
        <w:rFonts w:ascii="Arial" w:hAnsi="Arial" w:cs="Arial"/>
        <w:b/>
        <w:sz w:val="48"/>
      </w:rPr>
    </w:pPr>
    <w:r w:rsidRPr="00AE6F12">
      <w:rPr>
        <w:rFonts w:ascii="Arial" w:hAnsi="Arial" w:cs="Arial"/>
        <w:b/>
        <w:sz w:val="48"/>
      </w:rPr>
      <w:t>LV</w:t>
    </w:r>
    <w:r w:rsidRPr="00AE6F12">
      <w:rPr>
        <w:rFonts w:ascii="Arial" w:hAnsi="Arial" w:cs="Arial"/>
        <w:b/>
        <w:sz w:val="48"/>
      </w:rPr>
      <w:tab/>
    </w:r>
    <w:r w:rsidRPr="00AE6F12">
      <w:rPr>
        <w:rFonts w:ascii="Arial" w:hAnsi="Arial" w:cs="Arial"/>
        <w:b/>
        <w:sz w:val="48"/>
      </w:rPr>
      <w:tab/>
    </w:r>
    <w:r w:rsidRPr="00AE6F12">
      <w:tab/>
    </w:r>
    <w:r w:rsidRPr="00AE6F12">
      <w:rPr>
        <w:rFonts w:ascii="Arial" w:hAnsi="Arial" w:cs="Arial"/>
        <w:b/>
        <w:sz w:val="48"/>
      </w:rPr>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F12" w:rsidRPr="00AE6F12" w:rsidRDefault="00AE6F12" w:rsidP="00AE6F1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EB5" w:rsidRDefault="00AE6F1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7163063"/>
      <w:docPartObj>
        <w:docPartGallery w:val="Page Numbers (Bottom of Page)"/>
        <w:docPartUnique/>
      </w:docPartObj>
    </w:sdtPr>
    <w:sdtEndPr>
      <w:rPr>
        <w:noProof/>
      </w:rPr>
    </w:sdtEndPr>
    <w:sdtContent>
      <w:p w:rsidR="00B94EB5" w:rsidRDefault="00C50CB3">
        <w:pPr>
          <w:pStyle w:val="Footer"/>
          <w:jc w:val="right"/>
        </w:pPr>
        <w:r>
          <w:fldChar w:fldCharType="begin"/>
        </w:r>
        <w:r>
          <w:instrText xml:space="preserve"> PAGE   \* MERGEFORMAT </w:instrText>
        </w:r>
        <w:r>
          <w:fldChar w:fldCharType="separate"/>
        </w:r>
        <w:r w:rsidR="00AE6F12">
          <w:rPr>
            <w:noProof/>
          </w:rPr>
          <w:t>1</w:t>
        </w:r>
        <w:r>
          <w:fldChar w:fldCharType="end"/>
        </w:r>
      </w:p>
    </w:sdtContent>
  </w:sdt>
  <w:p w:rsidR="00B94EB5" w:rsidRDefault="00AE6F1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EB5" w:rsidRDefault="00AE6F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CB3" w:rsidRDefault="00C50CB3" w:rsidP="00263099">
      <w:pPr>
        <w:spacing w:after="0" w:line="240" w:lineRule="auto"/>
      </w:pPr>
      <w:r>
        <w:separator/>
      </w:r>
    </w:p>
  </w:footnote>
  <w:footnote w:type="continuationSeparator" w:id="0">
    <w:p w:rsidR="00C50CB3" w:rsidRDefault="00C50CB3" w:rsidP="00263099">
      <w:pPr>
        <w:spacing w:after="0" w:line="240" w:lineRule="auto"/>
      </w:pPr>
      <w:r>
        <w:continuationSeparator/>
      </w:r>
    </w:p>
  </w:footnote>
  <w:footnote w:id="1">
    <w:p w:rsidR="00263099" w:rsidRPr="00A31C2E" w:rsidRDefault="00263099" w:rsidP="00263099">
      <w:pPr>
        <w:pStyle w:val="FootnoteText1"/>
        <w:ind w:left="142" w:hanging="142"/>
        <w:jc w:val="both"/>
        <w:rPr>
          <w:rFonts w:ascii="Times New Roman" w:hAnsi="Times New Roman"/>
        </w:rPr>
      </w:pPr>
      <w:r>
        <w:rPr>
          <w:rStyle w:val="FootnoteReference"/>
        </w:rPr>
        <w:footnoteRef/>
      </w:r>
      <w:r>
        <w:t xml:space="preserve"> </w:t>
      </w:r>
      <w:r>
        <w:rPr>
          <w:rFonts w:ascii="Times New Roman" w:hAnsi="Times New Roman"/>
        </w:rPr>
        <w:t>Eiropas Parlamenta un Padomes Regula (ES) 2019/1896 (2019. gada 13. novembris) par Eiropas Robežu un krasta apsardzi un ar ko atceļ Regulas (ES) Nr. 1052/2013 un (ES) 2016/1624.</w:t>
      </w:r>
    </w:p>
  </w:footnote>
  <w:footnote w:id="2">
    <w:p w:rsidR="00263099" w:rsidRDefault="00263099" w:rsidP="00263099">
      <w:pPr>
        <w:pStyle w:val="FootnoteText1"/>
        <w:tabs>
          <w:tab w:val="left" w:pos="142"/>
        </w:tabs>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Eiropas Parlamenta un Padomes Regula (ES) 2019/1896 (2019. gada 13. novembris) par Eiropas Robežu un krasta apsardzi un ar ko atceļ Regulas (ES) Nr. 1052/2013 un (ES) 2016/1624, OV L 295, 14.11.2019.</w:t>
      </w:r>
    </w:p>
  </w:footnote>
  <w:footnote w:id="3">
    <w:p w:rsidR="00263099" w:rsidRPr="00A72344" w:rsidRDefault="00263099" w:rsidP="00263099">
      <w:pPr>
        <w:pStyle w:val="FootnoteText1"/>
        <w:jc w:val="both"/>
        <w:rPr>
          <w:rFonts w:ascii="Times New Roman" w:hAnsi="Times New Roman"/>
        </w:rPr>
      </w:pPr>
      <w:r>
        <w:rPr>
          <w:rStyle w:val="FootnoteReference"/>
        </w:rPr>
        <w:footnoteRef/>
      </w:r>
      <w:r>
        <w:t xml:space="preserve"> </w:t>
      </w:r>
      <w:r>
        <w:rPr>
          <w:rFonts w:ascii="Times New Roman" w:hAnsi="Times New Roman"/>
        </w:rPr>
        <w:t>https://frontex.europa.eu/assets/Publications/Risk_Analysis/Risk_Analysis/Strategic_Risk_Analysis_2020.pdf</w:t>
      </w:r>
      <w:r>
        <w:t>.</w:t>
      </w:r>
    </w:p>
  </w:footnote>
  <w:footnote w:id="4">
    <w:p w:rsidR="00263099" w:rsidRDefault="00263099" w:rsidP="00263099">
      <w:pPr>
        <w:pStyle w:val="FootnoteText1"/>
        <w:ind w:left="142" w:hanging="142"/>
        <w:jc w:val="both"/>
      </w:pPr>
      <w:r>
        <w:rPr>
          <w:rStyle w:val="FootnoteReference"/>
          <w:rFonts w:ascii="Times New Roman" w:hAnsi="Times New Roman"/>
        </w:rPr>
        <w:footnoteRef/>
      </w:r>
      <w:r>
        <w:rPr>
          <w:rFonts w:ascii="Times New Roman" w:hAnsi="Times New Roman"/>
        </w:rPr>
        <w:tab/>
      </w:r>
      <w:r>
        <w:rPr>
          <w:rFonts w:ascii="Times New Roman" w:hAnsi="Times New Roman"/>
          <w:i/>
          <w:iCs/>
        </w:rPr>
        <w:t>Frontex</w:t>
      </w:r>
      <w:r>
        <w:rPr>
          <w:rFonts w:ascii="Times New Roman" w:hAnsi="Times New Roman"/>
        </w:rPr>
        <w:t xml:space="preserve"> stratēģiskajā riska analīzē arī kibernoziedzība ir noteikta kā viena no EIRP nākotnes problēmām. Tomēr politikas plānošanas cikls par organizēto noziedzību tiek uzskatīts par atbilstošāku šīs problēmas risināšanai Eiropas līmenī.</w:t>
      </w:r>
    </w:p>
  </w:footnote>
  <w:footnote w:id="5">
    <w:p w:rsidR="00263099" w:rsidRPr="00E97218" w:rsidRDefault="00263099" w:rsidP="00263099">
      <w:pPr>
        <w:pStyle w:val="FootnoteText1"/>
        <w:ind w:left="142" w:hanging="142"/>
        <w:rPr>
          <w:rFonts w:ascii="Times New Roman" w:hAnsi="Times New Roman"/>
          <w:i/>
        </w:rPr>
      </w:pPr>
      <w:r>
        <w:rPr>
          <w:rStyle w:val="FootnoteReference"/>
          <w:rFonts w:ascii="Times New Roman" w:hAnsi="Times New Roman"/>
        </w:rPr>
        <w:footnoteRef/>
      </w:r>
      <w:r>
        <w:rPr>
          <w:rFonts w:ascii="Times New Roman" w:hAnsi="Times New Roman"/>
        </w:rPr>
        <w:t xml:space="preserve"> ERKA regulas 11. apsvērumā ir norādīts, ka “</w:t>
      </w:r>
      <w:r>
        <w:rPr>
          <w:rFonts w:ascii="Times New Roman" w:hAnsi="Times New Roman"/>
          <w:i/>
        </w:rPr>
        <w:t>Eiropas integrētā robežu pārvaldība, kas balstīta uz četru pakāpju piekļuves kontroles modeli, aptver pasākumus trešās valstīs, piemēram, tos, kas tiek īstenoti atbilstīgi kopējai vīzu politikai, pasākumus ar kaimiņos esošām trešām valstīm, robežkontroles pasākumus pie ārējās robežas, riska analīzi, pasākumus Šengenas zonā un atgriešanas pasākumus</w:t>
      </w:r>
      <w:r>
        <w:rPr>
          <w:rFonts w:ascii="Times New Roman" w:hAnsi="Times New Roman"/>
        </w:rPr>
        <w:t>”.</w:t>
      </w:r>
    </w:p>
  </w:footnote>
  <w:footnote w:id="6">
    <w:p w:rsidR="00263099" w:rsidRPr="00376BE5" w:rsidRDefault="00263099" w:rsidP="00263099">
      <w:pPr>
        <w:pStyle w:val="FootnoteText1"/>
        <w:jc w:val="both"/>
        <w:rPr>
          <w:rFonts w:ascii="Times New Roman" w:hAnsi="Times New Roman"/>
        </w:rPr>
      </w:pPr>
      <w:r>
        <w:rPr>
          <w:rStyle w:val="FootnoteReference"/>
        </w:rPr>
        <w:footnoteRef/>
      </w:r>
      <w:r>
        <w:t xml:space="preserve"> </w:t>
      </w:r>
      <w:r>
        <w:rPr>
          <w:rFonts w:ascii="Times New Roman" w:hAnsi="Times New Roman"/>
        </w:rPr>
        <w:t>ERKA regulas 3. panta 1. punkta a) apakšpunkts.</w:t>
      </w:r>
    </w:p>
  </w:footnote>
  <w:footnote w:id="7">
    <w:p w:rsidR="00263099" w:rsidRPr="00376BE5" w:rsidRDefault="00263099" w:rsidP="00263099">
      <w:pPr>
        <w:pStyle w:val="FootnoteText1"/>
        <w:ind w:left="142" w:hanging="142"/>
        <w:rPr>
          <w:rFonts w:ascii="Times New Roman" w:hAnsi="Times New Roman"/>
        </w:rPr>
      </w:pPr>
      <w:r>
        <w:rPr>
          <w:rStyle w:val="FootnoteReference"/>
          <w:rFonts w:ascii="Times New Roman" w:hAnsi="Times New Roman"/>
        </w:rPr>
        <w:footnoteRef/>
      </w:r>
      <w:r>
        <w:rPr>
          <w:rFonts w:ascii="Times New Roman" w:hAnsi="Times New Roman"/>
        </w:rPr>
        <w:tab/>
        <w:t>Eiropas Parlamenta un Padomes Regula (ES) 2016/399 (2016. gada 9. marts) par Savienības Kodeksu par noteikumiem, kas reglamentē personu pārvietošanos pār robežām (Šengenas Robežu kodekss).</w:t>
      </w:r>
    </w:p>
  </w:footnote>
  <w:footnote w:id="8">
    <w:p w:rsidR="00263099" w:rsidRPr="00EC0C93" w:rsidRDefault="00263099" w:rsidP="00263099">
      <w:pPr>
        <w:pStyle w:val="FootnoteText1"/>
        <w:jc w:val="both"/>
        <w:rPr>
          <w:rFonts w:ascii="Times New Roman" w:hAnsi="Times New Roman"/>
        </w:rPr>
      </w:pPr>
      <w:r>
        <w:rPr>
          <w:rStyle w:val="FootnoteReference"/>
        </w:rPr>
        <w:footnoteRef/>
      </w:r>
      <w:r>
        <w:t xml:space="preserve"> </w:t>
      </w:r>
      <w:r>
        <w:rPr>
          <w:rFonts w:ascii="Times New Roman" w:hAnsi="Times New Roman"/>
        </w:rPr>
        <w:t>ERKA regulas 3. panta 1. punkta b) apakšpunkts.</w:t>
      </w:r>
    </w:p>
  </w:footnote>
  <w:footnote w:id="9">
    <w:p w:rsidR="00263099" w:rsidRPr="00EC0C93" w:rsidRDefault="00263099" w:rsidP="00263099">
      <w:pPr>
        <w:pStyle w:val="FootnoteText1"/>
        <w:ind w:left="142" w:hanging="142"/>
        <w:jc w:val="both"/>
        <w:rPr>
          <w:rFonts w:ascii="Times New Roman" w:hAnsi="Times New Roman"/>
          <w:i/>
        </w:rPr>
      </w:pPr>
      <w:r>
        <w:rPr>
          <w:rStyle w:val="FootnoteReference"/>
          <w:rFonts w:ascii="Times New Roman" w:hAnsi="Times New Roman"/>
        </w:rPr>
        <w:footnoteRef/>
      </w:r>
      <w:r>
        <w:rPr>
          <w:rFonts w:ascii="Times New Roman" w:hAnsi="Times New Roman"/>
        </w:rPr>
        <w:t xml:space="preserve"> Komisijas Ieteikums (ES) 2020/1365 par dalībvalstu sadarbību attiecībā uz operācijām, ko veic kuģi, kuri pieder vai kurus ekspluatē privātas struktūras, ar mērķi veikt meklēšanas un glābšanas darbības.</w:t>
      </w:r>
    </w:p>
  </w:footnote>
  <w:footnote w:id="10">
    <w:p w:rsidR="00263099" w:rsidRPr="00A71516" w:rsidRDefault="00263099" w:rsidP="00263099">
      <w:pPr>
        <w:pStyle w:val="FootnoteText1"/>
        <w:tabs>
          <w:tab w:val="left" w:pos="284"/>
        </w:tabs>
        <w:ind w:left="142" w:hanging="142"/>
        <w:jc w:val="both"/>
        <w:rPr>
          <w:rFonts w:ascii="Times New Roman" w:hAnsi="Times New Roman"/>
        </w:rPr>
      </w:pPr>
      <w:r>
        <w:rPr>
          <w:rStyle w:val="FootnoteReference"/>
        </w:rPr>
        <w:footnoteRef/>
      </w:r>
      <w:r>
        <w:t xml:space="preserve"> </w:t>
      </w:r>
      <w:r>
        <w:rPr>
          <w:rFonts w:ascii="Times New Roman" w:hAnsi="Times New Roman"/>
        </w:rPr>
        <w:t>Komisijas Īstenošanas regula (ES) 2021/581 (2021. gada 9. aprīlis) par Eiropas Robežu uzraudzības sistēmas (</w:t>
      </w:r>
      <w:r>
        <w:rPr>
          <w:rFonts w:ascii="Times New Roman" w:hAnsi="Times New Roman"/>
          <w:i/>
          <w:iCs/>
        </w:rPr>
        <w:t>EUROSUR</w:t>
      </w:r>
      <w:r>
        <w:rPr>
          <w:rFonts w:ascii="Times New Roman" w:hAnsi="Times New Roman"/>
        </w:rPr>
        <w:t>) situācijas attēliem.</w:t>
      </w:r>
    </w:p>
  </w:footnote>
  <w:footnote w:id="11">
    <w:p w:rsidR="00263099" w:rsidRPr="00A71516" w:rsidRDefault="00263099" w:rsidP="00263099">
      <w:pPr>
        <w:pStyle w:val="FootnoteText1"/>
        <w:jc w:val="both"/>
        <w:rPr>
          <w:rFonts w:ascii="Times New Roman" w:hAnsi="Times New Roman"/>
        </w:rPr>
      </w:pPr>
      <w:r>
        <w:rPr>
          <w:rStyle w:val="FootnoteReference"/>
          <w:rFonts w:ascii="Times New Roman" w:hAnsi="Times New Roman"/>
        </w:rPr>
        <w:footnoteRef/>
      </w:r>
      <w:r>
        <w:rPr>
          <w:rFonts w:ascii="Times New Roman" w:hAnsi="Times New Roman"/>
        </w:rPr>
        <w:t xml:space="preserve"> ERKA regulas 3. panta 1. punkta c) apakšpunkts.</w:t>
      </w:r>
    </w:p>
  </w:footnote>
  <w:footnote w:id="12">
    <w:p w:rsidR="00263099" w:rsidRDefault="00263099" w:rsidP="00263099">
      <w:pPr>
        <w:pStyle w:val="FootnoteText1"/>
        <w:ind w:left="142" w:hanging="142"/>
        <w:jc w:val="both"/>
      </w:pPr>
      <w:r>
        <w:rPr>
          <w:rStyle w:val="FootnoteReference"/>
          <w:rFonts w:ascii="Times New Roman" w:hAnsi="Times New Roman"/>
        </w:rPr>
        <w:footnoteRef/>
      </w:r>
      <w:r>
        <w:rPr>
          <w:rFonts w:ascii="Times New Roman" w:hAnsi="Times New Roman"/>
        </w:rPr>
        <w:tab/>
        <w:t xml:space="preserve"> </w:t>
      </w:r>
      <w:r>
        <w:rPr>
          <w:rFonts w:ascii="Times New Roman" w:hAnsi="Times New Roman"/>
          <w:i/>
          <w:iCs/>
        </w:rPr>
        <w:t>Frontex</w:t>
      </w:r>
      <w:r>
        <w:rPr>
          <w:rFonts w:ascii="Times New Roman" w:hAnsi="Times New Roman"/>
        </w:rPr>
        <w:t xml:space="preserve"> valdes 2021. gada 21. septembra Lēmums 50/2021, ar ko pieņem kopīgo integrēto riska analīzes modeli.</w:t>
      </w:r>
    </w:p>
  </w:footnote>
  <w:footnote w:id="13">
    <w:p w:rsidR="00263099" w:rsidRPr="00BC272F" w:rsidRDefault="00263099" w:rsidP="00263099">
      <w:pPr>
        <w:pStyle w:val="FootnoteText1"/>
        <w:jc w:val="both"/>
      </w:pPr>
      <w:r>
        <w:rPr>
          <w:rStyle w:val="FootnoteReference"/>
        </w:rPr>
        <w:footnoteRef/>
      </w:r>
      <w:r>
        <w:rPr>
          <w:rFonts w:ascii="Times New Roman" w:hAnsi="Times New Roman"/>
        </w:rPr>
        <w:t xml:space="preserve"> ERKA regulas 3. panta 1. punkta d) apakšpunkts.</w:t>
      </w:r>
    </w:p>
  </w:footnote>
  <w:footnote w:id="14">
    <w:p w:rsidR="00263099" w:rsidRPr="00BC272F" w:rsidRDefault="00263099" w:rsidP="00263099">
      <w:pPr>
        <w:pStyle w:val="FootnoteText1"/>
        <w:jc w:val="both"/>
      </w:pPr>
      <w:r>
        <w:rPr>
          <w:rStyle w:val="FootnoteReference"/>
        </w:rPr>
        <w:footnoteRef/>
      </w:r>
      <w:r>
        <w:t xml:space="preserve"> </w:t>
      </w:r>
      <w:r>
        <w:rPr>
          <w:rFonts w:ascii="Times New Roman" w:hAnsi="Times New Roman"/>
        </w:rPr>
        <w:t>ERKA regulas 3. panta 1. punkta e) apakšpunkts.</w:t>
      </w:r>
    </w:p>
  </w:footnote>
  <w:footnote w:id="15">
    <w:p w:rsidR="00263099" w:rsidRPr="00EC0C93" w:rsidRDefault="00263099" w:rsidP="00263099">
      <w:pPr>
        <w:pStyle w:val="FootnoteText1"/>
        <w:jc w:val="both"/>
        <w:rPr>
          <w:rFonts w:ascii="Times New Roman" w:hAnsi="Times New Roman"/>
        </w:rPr>
      </w:pPr>
      <w:r>
        <w:rPr>
          <w:rStyle w:val="FootnoteReference"/>
        </w:rPr>
        <w:footnoteRef/>
      </w:r>
      <w:r>
        <w:rPr>
          <w:rFonts w:ascii="Times New Roman" w:hAnsi="Times New Roman"/>
        </w:rPr>
        <w:t xml:space="preserve"> Ares (2018)6193959 — 3.12.2018.</w:t>
      </w:r>
    </w:p>
  </w:footnote>
  <w:footnote w:id="16">
    <w:p w:rsidR="00263099" w:rsidRPr="00EC0C93" w:rsidRDefault="00263099" w:rsidP="00263099">
      <w:pPr>
        <w:pStyle w:val="FootnoteText1"/>
        <w:ind w:left="142" w:hanging="142"/>
        <w:rPr>
          <w:rFonts w:ascii="Times New Roman" w:hAnsi="Times New Roman"/>
        </w:rPr>
      </w:pPr>
      <w:r>
        <w:rPr>
          <w:rStyle w:val="FootnoteReference"/>
          <w:rFonts w:ascii="Times New Roman" w:hAnsi="Times New Roman"/>
        </w:rPr>
        <w:footnoteRef/>
      </w:r>
      <w:r>
        <w:rPr>
          <w:rFonts w:ascii="Times New Roman" w:hAnsi="Times New Roman"/>
        </w:rPr>
        <w:tab/>
        <w:t xml:space="preserve"> Lietpratēju grupas par muitas problēmām 4. sanāksmes protokols (2021. gada 16. un 17. decembris): </w:t>
      </w:r>
      <w:hyperlink r:id="rId1" w:history="1">
        <w:r>
          <w:rPr>
            <w:rStyle w:val="Hyperlink1"/>
            <w:rFonts w:ascii="Times New Roman" w:hAnsi="Times New Roman"/>
          </w:rPr>
          <w:t>https://ec.europa.eu/taxation_customs/system/files/2022-01/Minutes%20of%20fourth%20meeting.pdf</w:t>
        </w:r>
      </w:hyperlink>
      <w:r>
        <w:rPr>
          <w:rFonts w:ascii="Times New Roman" w:hAnsi="Times New Roman"/>
        </w:rPr>
        <w:t>.</w:t>
      </w:r>
    </w:p>
  </w:footnote>
  <w:footnote w:id="17">
    <w:p w:rsidR="00263099" w:rsidRPr="00EC0C93" w:rsidRDefault="00263099" w:rsidP="00263099">
      <w:pPr>
        <w:pStyle w:val="FootnoteText1"/>
        <w:jc w:val="both"/>
        <w:rPr>
          <w:rFonts w:ascii="Times New Roman" w:hAnsi="Times New Roman"/>
        </w:rPr>
      </w:pPr>
      <w:r>
        <w:rPr>
          <w:rStyle w:val="FootnoteReference"/>
          <w:rFonts w:ascii="Times New Roman" w:hAnsi="Times New Roman"/>
        </w:rPr>
        <w:footnoteRef/>
      </w:r>
      <w:r>
        <w:rPr>
          <w:rFonts w:ascii="Times New Roman" w:hAnsi="Times New Roman"/>
        </w:rPr>
        <w:t>ERKA regulas 3. panta 1. punkta f) apakšpunkts.</w:t>
      </w:r>
    </w:p>
  </w:footnote>
  <w:footnote w:id="18">
    <w:p w:rsidR="00263099" w:rsidRPr="006A63A4" w:rsidRDefault="00263099" w:rsidP="00263099">
      <w:pPr>
        <w:pStyle w:val="FootnoteText1"/>
        <w:ind w:left="142" w:hanging="142"/>
        <w:jc w:val="both"/>
      </w:pPr>
      <w:r>
        <w:rPr>
          <w:rStyle w:val="FootnoteReference"/>
        </w:rPr>
        <w:footnoteRef/>
      </w:r>
      <w:r>
        <w:t xml:space="preserve"> </w:t>
      </w:r>
      <w:r>
        <w:rPr>
          <w:rFonts w:ascii="Times New Roman" w:hAnsi="Times New Roman"/>
        </w:rPr>
        <w:t>Komisijas ieteikums, ar ko izveido “praktisko rokasgrāmatu” par Eiropas sadarbību krasta apsardzes funkciju jomā, C(2021) 5310 final.</w:t>
      </w:r>
    </w:p>
  </w:footnote>
  <w:footnote w:id="19">
    <w:p w:rsidR="00263099" w:rsidRPr="00EC0C93" w:rsidRDefault="00263099" w:rsidP="00263099">
      <w:pPr>
        <w:pStyle w:val="FootnoteText1"/>
        <w:jc w:val="both"/>
        <w:rPr>
          <w:rFonts w:ascii="Times New Roman" w:hAnsi="Times New Roman"/>
        </w:rPr>
      </w:pPr>
      <w:r>
        <w:rPr>
          <w:rStyle w:val="FootnoteReference"/>
        </w:rPr>
        <w:footnoteRef/>
      </w:r>
      <w:r>
        <w:t xml:space="preserve"> </w:t>
      </w:r>
      <w:r>
        <w:rPr>
          <w:rFonts w:ascii="Times New Roman" w:hAnsi="Times New Roman"/>
        </w:rPr>
        <w:t>ERKA regulas 3. panta 1. punkta g) apakšpunkts.</w:t>
      </w:r>
    </w:p>
  </w:footnote>
  <w:footnote w:id="20">
    <w:p w:rsidR="00263099" w:rsidRDefault="00263099" w:rsidP="00263099">
      <w:pPr>
        <w:pStyle w:val="FootnoteText1"/>
        <w:jc w:val="both"/>
      </w:pPr>
      <w:r>
        <w:rPr>
          <w:rStyle w:val="FootnoteReference"/>
        </w:rPr>
        <w:footnoteRef/>
      </w:r>
      <w:r>
        <w:t xml:space="preserve"> </w:t>
      </w:r>
      <w:r>
        <w:rPr>
          <w:rFonts w:ascii="Times New Roman" w:hAnsi="Times New Roman"/>
        </w:rPr>
        <w:t>C(2022) 300 final.</w:t>
      </w:r>
    </w:p>
  </w:footnote>
  <w:footnote w:id="21">
    <w:p w:rsidR="00263099" w:rsidRPr="00EC0C93" w:rsidRDefault="00263099" w:rsidP="00263099">
      <w:pPr>
        <w:pStyle w:val="FootnoteText1"/>
        <w:jc w:val="both"/>
        <w:rPr>
          <w:rFonts w:ascii="Times New Roman" w:hAnsi="Times New Roman"/>
        </w:rPr>
      </w:pPr>
      <w:r>
        <w:rPr>
          <w:rStyle w:val="FootnoteReference"/>
        </w:rPr>
        <w:footnoteRef/>
      </w:r>
      <w:r>
        <w:t xml:space="preserve"> </w:t>
      </w:r>
      <w:r>
        <w:rPr>
          <w:rFonts w:ascii="Times New Roman" w:hAnsi="Times New Roman"/>
        </w:rPr>
        <w:t>COM(2021) 829 final un COM(2021) 830 final.</w:t>
      </w:r>
    </w:p>
  </w:footnote>
  <w:footnote w:id="22">
    <w:p w:rsidR="00263099" w:rsidRPr="00EC0C93" w:rsidRDefault="00263099" w:rsidP="00263099">
      <w:pPr>
        <w:pStyle w:val="FootnoteText1"/>
        <w:jc w:val="both"/>
        <w:rPr>
          <w:rFonts w:ascii="Times New Roman" w:hAnsi="Times New Roman"/>
        </w:rPr>
      </w:pPr>
      <w:r>
        <w:rPr>
          <w:rStyle w:val="FootnoteReference"/>
        </w:rPr>
        <w:footnoteRef/>
      </w:r>
      <w:r>
        <w:t xml:space="preserve"> </w:t>
      </w:r>
      <w:r>
        <w:rPr>
          <w:rFonts w:ascii="Times New Roman" w:hAnsi="Times New Roman"/>
        </w:rPr>
        <w:t>ERKA regulas 3. panta 1. punkta h) apakšpunkts.</w:t>
      </w:r>
    </w:p>
  </w:footnote>
  <w:footnote w:id="23">
    <w:p w:rsidR="00263099" w:rsidRPr="00735751" w:rsidRDefault="00263099" w:rsidP="00263099">
      <w:pPr>
        <w:pStyle w:val="FootnoteText1"/>
        <w:jc w:val="both"/>
      </w:pPr>
      <w:r>
        <w:rPr>
          <w:rStyle w:val="FootnoteReference"/>
        </w:rPr>
        <w:footnoteRef/>
      </w:r>
      <w:r>
        <w:t xml:space="preserve"> </w:t>
      </w:r>
      <w:r>
        <w:rPr>
          <w:rFonts w:ascii="Times New Roman" w:hAnsi="Times New Roman"/>
        </w:rPr>
        <w:t>ERKA regulas 3. panta 1. punkta i) apakšpunkts.</w:t>
      </w:r>
    </w:p>
  </w:footnote>
  <w:footnote w:id="24">
    <w:p w:rsidR="00263099" w:rsidRPr="00B94EB5" w:rsidRDefault="00263099" w:rsidP="00263099">
      <w:pPr>
        <w:pStyle w:val="FootnoteText1"/>
        <w:jc w:val="both"/>
        <w:rPr>
          <w:rFonts w:ascii="Times New Roman" w:hAnsi="Times New Roman"/>
        </w:rPr>
      </w:pPr>
      <w:r>
        <w:rPr>
          <w:rStyle w:val="FootnoteReference"/>
        </w:rPr>
        <w:footnoteRef/>
      </w:r>
      <w:r>
        <w:t xml:space="preserve"> </w:t>
      </w:r>
      <w:r>
        <w:rPr>
          <w:rFonts w:ascii="Times New Roman" w:hAnsi="Times New Roman"/>
        </w:rPr>
        <w:t>COM(2021) 120 final, 27.4.2021.</w:t>
      </w:r>
    </w:p>
  </w:footnote>
  <w:footnote w:id="25">
    <w:p w:rsidR="00263099" w:rsidRPr="00735751" w:rsidRDefault="00263099" w:rsidP="00263099">
      <w:pPr>
        <w:pStyle w:val="FootnoteText1"/>
        <w:jc w:val="both"/>
      </w:pPr>
      <w:r>
        <w:rPr>
          <w:rStyle w:val="FootnoteReference"/>
        </w:rPr>
        <w:footnoteRef/>
      </w:r>
      <w:r>
        <w:t xml:space="preserve"> </w:t>
      </w:r>
      <w:r>
        <w:rPr>
          <w:rFonts w:ascii="Times New Roman" w:hAnsi="Times New Roman"/>
        </w:rPr>
        <w:t>ERKA regulas 3. panta 1. punkta j) apakšpunkts.</w:t>
      </w:r>
      <w:r>
        <w:t xml:space="preserve"> </w:t>
      </w:r>
    </w:p>
  </w:footnote>
  <w:footnote w:id="26">
    <w:p w:rsidR="00263099" w:rsidRPr="00265652" w:rsidRDefault="00263099" w:rsidP="00263099">
      <w:pPr>
        <w:pStyle w:val="FootnoteText1"/>
        <w:jc w:val="both"/>
        <w:rPr>
          <w:rFonts w:ascii="Times New Roman" w:hAnsi="Times New Roman"/>
        </w:rPr>
      </w:pPr>
      <w:r>
        <w:rPr>
          <w:rStyle w:val="FootnoteReference"/>
        </w:rPr>
        <w:footnoteRef/>
      </w:r>
      <w:r>
        <w:rPr>
          <w:rFonts w:ascii="Times New Roman" w:hAnsi="Times New Roman"/>
        </w:rPr>
        <w:t xml:space="preserve"> </w:t>
      </w:r>
      <w:hyperlink r:id="rId2" w:history="1">
        <w:r>
          <w:rPr>
            <w:rStyle w:val="Hyperlink1"/>
            <w:rFonts w:ascii="Times New Roman" w:hAnsi="Times New Roman"/>
          </w:rPr>
          <w:t>2021. gada 25. un 26. februāra Eiropadomes</w:t>
        </w:r>
      </w:hyperlink>
      <w:r>
        <w:rPr>
          <w:rFonts w:ascii="Times New Roman" w:hAnsi="Times New Roman"/>
        </w:rPr>
        <w:t xml:space="preserve"> locekļu paziņojums.</w:t>
      </w:r>
    </w:p>
  </w:footnote>
  <w:footnote w:id="27">
    <w:p w:rsidR="00263099" w:rsidRPr="00EC0C93" w:rsidRDefault="00263099" w:rsidP="00263099">
      <w:pPr>
        <w:pStyle w:val="FootnoteText1"/>
        <w:jc w:val="both"/>
        <w:rPr>
          <w:rFonts w:ascii="Times New Roman" w:hAnsi="Times New Roman"/>
        </w:rPr>
      </w:pPr>
      <w:r>
        <w:rPr>
          <w:rStyle w:val="FootnoteReference"/>
          <w:rFonts w:ascii="Times New Roman" w:hAnsi="Times New Roman"/>
        </w:rPr>
        <w:footnoteRef/>
      </w:r>
      <w:r>
        <w:t xml:space="preserve"> </w:t>
      </w:r>
      <w:r>
        <w:rPr>
          <w:rFonts w:ascii="Times New Roman" w:hAnsi="Times New Roman"/>
        </w:rPr>
        <w:t>ERKA regulas 3. panta 1. punkta k) apakšpunkts.</w:t>
      </w:r>
    </w:p>
  </w:footnote>
  <w:footnote w:id="28">
    <w:p w:rsidR="00263099" w:rsidRPr="00EC0C93" w:rsidRDefault="00263099" w:rsidP="00263099">
      <w:pPr>
        <w:pStyle w:val="FootnoteText1"/>
        <w:jc w:val="both"/>
        <w:rPr>
          <w:rFonts w:ascii="Times New Roman" w:hAnsi="Times New Roman"/>
        </w:rPr>
      </w:pPr>
      <w:r>
        <w:rPr>
          <w:rStyle w:val="FootnoteReference"/>
          <w:rFonts w:ascii="Times New Roman" w:hAnsi="Times New Roman"/>
        </w:rPr>
        <w:footnoteRef/>
      </w:r>
      <w:r>
        <w:t xml:space="preserve"> </w:t>
      </w:r>
      <w:r>
        <w:rPr>
          <w:rFonts w:ascii="Times New Roman" w:hAnsi="Times New Roman"/>
        </w:rPr>
        <w:t>ERKA regulas 3. panta 1. punkta l) apakšpunkts.</w:t>
      </w:r>
    </w:p>
  </w:footnote>
  <w:footnote w:id="29">
    <w:p w:rsidR="00263099" w:rsidRPr="00EC0C93" w:rsidRDefault="00263099" w:rsidP="00263099">
      <w:pPr>
        <w:pStyle w:val="FootnoteText1"/>
        <w:jc w:val="both"/>
        <w:rPr>
          <w:rFonts w:ascii="Times New Roman" w:hAnsi="Times New Roman"/>
        </w:rPr>
      </w:pPr>
      <w:r>
        <w:rPr>
          <w:rStyle w:val="FootnoteReference"/>
          <w:rFonts w:ascii="Times New Roman" w:hAnsi="Times New Roman"/>
        </w:rPr>
        <w:footnoteRef/>
      </w:r>
      <w:r>
        <w:t xml:space="preserve"> </w:t>
      </w:r>
      <w:r>
        <w:rPr>
          <w:rFonts w:ascii="Times New Roman" w:hAnsi="Times New Roman"/>
        </w:rPr>
        <w:t>ERKA regulas 3. panta 2. punkts.</w:t>
      </w:r>
    </w:p>
  </w:footnote>
  <w:footnote w:id="30">
    <w:p w:rsidR="00263099" w:rsidRPr="00EC0C93" w:rsidRDefault="00263099" w:rsidP="00263099">
      <w:pPr>
        <w:pStyle w:val="FootnoteText1"/>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COM(2020) 612, 23.9.2020.</w:t>
      </w:r>
    </w:p>
  </w:footnote>
  <w:footnote w:id="31">
    <w:p w:rsidR="00263099" w:rsidRPr="0060089F" w:rsidRDefault="00263099" w:rsidP="00263099">
      <w:pPr>
        <w:pStyle w:val="FootnoteText1"/>
        <w:jc w:val="both"/>
        <w:rPr>
          <w:rFonts w:ascii="Times New Roman" w:hAnsi="Times New Roman"/>
        </w:rPr>
      </w:pPr>
      <w:r>
        <w:rPr>
          <w:rStyle w:val="FootnoteReference"/>
          <w:rFonts w:ascii="Times New Roman" w:hAnsi="Times New Roman"/>
        </w:rPr>
        <w:footnoteRef/>
      </w:r>
      <w:r>
        <w:rPr>
          <w:rFonts w:ascii="Times New Roman" w:hAnsi="Times New Roman"/>
        </w:rPr>
        <w:t xml:space="preserve"> COM(2020) 610, 23.9.2020.</w:t>
      </w:r>
    </w:p>
  </w:footnote>
  <w:footnote w:id="32">
    <w:p w:rsidR="00263099" w:rsidRPr="00EC0C93" w:rsidRDefault="00263099" w:rsidP="00263099">
      <w:pPr>
        <w:pStyle w:val="FootnoteText1"/>
        <w:jc w:val="both"/>
        <w:rPr>
          <w:rFonts w:ascii="Times New Roman" w:hAnsi="Times New Roman"/>
        </w:rPr>
      </w:pPr>
      <w:r>
        <w:rPr>
          <w:rStyle w:val="FootnoteReference"/>
          <w:rFonts w:ascii="Times New Roman" w:hAnsi="Times New Roman"/>
        </w:rPr>
        <w:footnoteRef/>
      </w:r>
      <w:r>
        <w:t xml:space="preserve"> </w:t>
      </w:r>
      <w:r>
        <w:rPr>
          <w:rFonts w:ascii="Times New Roman" w:hAnsi="Times New Roman"/>
        </w:rPr>
        <w:t>ERKA regulas 3. panta 2. punkts.</w:t>
      </w:r>
    </w:p>
  </w:footnote>
  <w:footnote w:id="33">
    <w:p w:rsidR="00263099" w:rsidRPr="0060089F" w:rsidRDefault="00263099" w:rsidP="00263099">
      <w:pPr>
        <w:pStyle w:val="FootnoteText1"/>
        <w:jc w:val="both"/>
        <w:rPr>
          <w:rFonts w:ascii="Times New Roman" w:hAnsi="Times New Roman"/>
        </w:rPr>
      </w:pPr>
      <w:r>
        <w:rPr>
          <w:rStyle w:val="FootnoteReference"/>
          <w:rFonts w:ascii="Times New Roman" w:hAnsi="Times New Roman"/>
        </w:rPr>
        <w:footnoteRef/>
      </w:r>
      <w:r>
        <w:t xml:space="preserve"> </w:t>
      </w:r>
      <w:r>
        <w:rPr>
          <w:rFonts w:ascii="Times New Roman" w:hAnsi="Times New Roman"/>
        </w:rPr>
        <w:t>ERKA regulas 3. panta 2.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F12" w:rsidRPr="00AE6F12" w:rsidRDefault="00AE6F12" w:rsidP="00AE6F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F12" w:rsidRPr="00AE6F12" w:rsidRDefault="00AE6F12" w:rsidP="00AE6F1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F12" w:rsidRPr="00AE6F12" w:rsidRDefault="00AE6F12" w:rsidP="00AE6F1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EB5" w:rsidRDefault="00AE6F1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EB5" w:rsidRDefault="00AE6F1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EB5" w:rsidRDefault="00AE6F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659"/>
    <w:multiLevelType w:val="hybridMultilevel"/>
    <w:tmpl w:val="41A487D6"/>
    <w:lvl w:ilvl="0" w:tplc="D61447AC">
      <w:start w:val="1"/>
      <w:numFmt w:val="decimal"/>
      <w:lvlText w:val="%1."/>
      <w:lvlJc w:val="left"/>
      <w:pPr>
        <w:ind w:left="360" w:hanging="360"/>
      </w:pPr>
      <w:rPr>
        <w:rFonts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2B100F"/>
    <w:multiLevelType w:val="hybridMultilevel"/>
    <w:tmpl w:val="A52067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854354"/>
    <w:multiLevelType w:val="hybridMultilevel"/>
    <w:tmpl w:val="618A7AB2"/>
    <w:lvl w:ilvl="0" w:tplc="D61447AC">
      <w:start w:val="1"/>
      <w:numFmt w:val="decimal"/>
      <w:lvlText w:val="%1."/>
      <w:lvlJc w:val="left"/>
      <w:pPr>
        <w:ind w:left="360" w:hanging="360"/>
      </w:pPr>
      <w:rPr>
        <w:rFonts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8B18A8"/>
    <w:multiLevelType w:val="hybridMultilevel"/>
    <w:tmpl w:val="185C0432"/>
    <w:lvl w:ilvl="0" w:tplc="D61447AC">
      <w:start w:val="1"/>
      <w:numFmt w:val="decimal"/>
      <w:lvlText w:val="%1."/>
      <w:lvlJc w:val="left"/>
      <w:pPr>
        <w:ind w:left="360" w:hanging="360"/>
      </w:pPr>
      <w:rPr>
        <w:rFonts w:hint="default"/>
        <w:i w:val="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DD7440"/>
    <w:multiLevelType w:val="hybridMultilevel"/>
    <w:tmpl w:val="08947D2E"/>
    <w:lvl w:ilvl="0" w:tplc="E5D6BFD2">
      <w:start w:val="1"/>
      <w:numFmt w:val="lowerLetter"/>
      <w:pStyle w:val="point"/>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084C16"/>
    <w:multiLevelType w:val="hybridMultilevel"/>
    <w:tmpl w:val="4BF8F9B8"/>
    <w:lvl w:ilvl="0" w:tplc="080C0001">
      <w:start w:val="1"/>
      <w:numFmt w:val="bullet"/>
      <w:lvlText w:val=""/>
      <w:lvlJc w:val="left"/>
      <w:pPr>
        <w:ind w:left="360" w:hanging="360"/>
      </w:pPr>
      <w:rPr>
        <w:rFonts w:ascii="Symbol" w:hAnsi="Symbol"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393BE4"/>
    <w:multiLevelType w:val="hybridMultilevel"/>
    <w:tmpl w:val="4B2AFF9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046714"/>
    <w:multiLevelType w:val="hybridMultilevel"/>
    <w:tmpl w:val="5E6856C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26322FF"/>
    <w:multiLevelType w:val="hybridMultilevel"/>
    <w:tmpl w:val="44FE1768"/>
    <w:lvl w:ilvl="0" w:tplc="132AB4D4">
      <w:numFmt w:val="bullet"/>
      <w:lvlText w:val=""/>
      <w:lvlJc w:val="left"/>
      <w:pPr>
        <w:ind w:left="60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E73533"/>
    <w:multiLevelType w:val="hybridMultilevel"/>
    <w:tmpl w:val="846E18CE"/>
    <w:lvl w:ilvl="0" w:tplc="080C000F">
      <w:start w:val="15"/>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2290302B"/>
    <w:multiLevelType w:val="hybridMultilevel"/>
    <w:tmpl w:val="5C860ABA"/>
    <w:lvl w:ilvl="0" w:tplc="080C0001">
      <w:start w:val="1"/>
      <w:numFmt w:val="bullet"/>
      <w:lvlText w:val=""/>
      <w:lvlJc w:val="left"/>
      <w:pPr>
        <w:ind w:left="360" w:hanging="360"/>
      </w:pPr>
      <w:rPr>
        <w:rFonts w:ascii="Symbol" w:hAnsi="Symbol"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884086F"/>
    <w:multiLevelType w:val="hybridMultilevel"/>
    <w:tmpl w:val="723CFA04"/>
    <w:lvl w:ilvl="0" w:tplc="D61447AC">
      <w:start w:val="1"/>
      <w:numFmt w:val="decimal"/>
      <w:lvlText w:val="%1."/>
      <w:lvlJc w:val="left"/>
      <w:pPr>
        <w:ind w:left="360" w:hanging="360"/>
      </w:pPr>
      <w:rPr>
        <w:rFonts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CC07A22"/>
    <w:multiLevelType w:val="hybridMultilevel"/>
    <w:tmpl w:val="B6460A80"/>
    <w:lvl w:ilvl="0" w:tplc="7BF0102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2D3878F6"/>
    <w:multiLevelType w:val="hybridMultilevel"/>
    <w:tmpl w:val="86E22768"/>
    <w:lvl w:ilvl="0" w:tplc="08090017">
      <w:start w:val="1"/>
      <w:numFmt w:val="lowerLetter"/>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940C17"/>
    <w:multiLevelType w:val="hybridMultilevel"/>
    <w:tmpl w:val="F884A8EC"/>
    <w:lvl w:ilvl="0" w:tplc="D61447AC">
      <w:start w:val="1"/>
      <w:numFmt w:val="decimal"/>
      <w:lvlText w:val="%1."/>
      <w:lvlJc w:val="left"/>
      <w:pPr>
        <w:ind w:left="360" w:hanging="360"/>
      </w:pPr>
      <w:rPr>
        <w:rFonts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39178D1"/>
    <w:multiLevelType w:val="hybridMultilevel"/>
    <w:tmpl w:val="85404AFE"/>
    <w:lvl w:ilvl="0" w:tplc="D61447AC">
      <w:start w:val="1"/>
      <w:numFmt w:val="decimal"/>
      <w:lvlText w:val="%1."/>
      <w:lvlJc w:val="left"/>
      <w:pPr>
        <w:ind w:left="360" w:hanging="360"/>
      </w:pPr>
      <w:rPr>
        <w:rFonts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DB0573D"/>
    <w:multiLevelType w:val="hybridMultilevel"/>
    <w:tmpl w:val="29D8C92E"/>
    <w:lvl w:ilvl="0" w:tplc="D61447AC">
      <w:start w:val="1"/>
      <w:numFmt w:val="decimal"/>
      <w:lvlText w:val="%1."/>
      <w:lvlJc w:val="left"/>
      <w:pPr>
        <w:ind w:left="360" w:hanging="360"/>
      </w:pPr>
      <w:rPr>
        <w:rFonts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1F77061"/>
    <w:multiLevelType w:val="hybridMultilevel"/>
    <w:tmpl w:val="32FC5564"/>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42370461"/>
    <w:multiLevelType w:val="hybridMultilevel"/>
    <w:tmpl w:val="3F90F0B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442923AF"/>
    <w:multiLevelType w:val="hybridMultilevel"/>
    <w:tmpl w:val="56985BDA"/>
    <w:lvl w:ilvl="0" w:tplc="D61447AC">
      <w:start w:val="1"/>
      <w:numFmt w:val="decimal"/>
      <w:lvlText w:val="%1."/>
      <w:lvlJc w:val="left"/>
      <w:pPr>
        <w:ind w:left="360" w:hanging="360"/>
      </w:pPr>
      <w:rPr>
        <w:rFonts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71A061F"/>
    <w:multiLevelType w:val="hybridMultilevel"/>
    <w:tmpl w:val="F87419A8"/>
    <w:lvl w:ilvl="0" w:tplc="D61447AC">
      <w:start w:val="1"/>
      <w:numFmt w:val="decimal"/>
      <w:lvlText w:val="%1."/>
      <w:lvlJc w:val="left"/>
      <w:pPr>
        <w:ind w:left="360" w:hanging="360"/>
      </w:pPr>
      <w:rPr>
        <w:rFonts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8133313"/>
    <w:multiLevelType w:val="hybridMultilevel"/>
    <w:tmpl w:val="4B2433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B87C81"/>
    <w:multiLevelType w:val="hybridMultilevel"/>
    <w:tmpl w:val="FF946854"/>
    <w:lvl w:ilvl="0" w:tplc="D61447AC">
      <w:start w:val="1"/>
      <w:numFmt w:val="decimal"/>
      <w:lvlText w:val="%1."/>
      <w:lvlJc w:val="left"/>
      <w:pPr>
        <w:ind w:left="360" w:hanging="360"/>
      </w:pPr>
      <w:rPr>
        <w:rFonts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F192AED"/>
    <w:multiLevelType w:val="hybridMultilevel"/>
    <w:tmpl w:val="20223826"/>
    <w:lvl w:ilvl="0" w:tplc="D61447AC">
      <w:start w:val="1"/>
      <w:numFmt w:val="decimal"/>
      <w:lvlText w:val="%1."/>
      <w:lvlJc w:val="left"/>
      <w:pPr>
        <w:ind w:left="643" w:hanging="360"/>
      </w:pPr>
      <w:rPr>
        <w:rFonts w:hint="default"/>
        <w:i w:val="0"/>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5" w15:restartNumberingAfterBreak="0">
    <w:nsid w:val="4F732320"/>
    <w:multiLevelType w:val="hybridMultilevel"/>
    <w:tmpl w:val="3A7AAEDC"/>
    <w:lvl w:ilvl="0" w:tplc="0D0E3686">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5550240F"/>
    <w:multiLevelType w:val="hybridMultilevel"/>
    <w:tmpl w:val="29D8C92E"/>
    <w:lvl w:ilvl="0" w:tplc="D61447AC">
      <w:start w:val="1"/>
      <w:numFmt w:val="decimal"/>
      <w:lvlText w:val="%1."/>
      <w:lvlJc w:val="left"/>
      <w:pPr>
        <w:ind w:left="360" w:hanging="360"/>
      </w:pPr>
      <w:rPr>
        <w:rFonts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565582E"/>
    <w:multiLevelType w:val="hybridMultilevel"/>
    <w:tmpl w:val="7390F03E"/>
    <w:lvl w:ilvl="0" w:tplc="08090017">
      <w:start w:val="1"/>
      <w:numFmt w:val="lowerLetter"/>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3553FA"/>
    <w:multiLevelType w:val="hybridMultilevel"/>
    <w:tmpl w:val="133A1FA6"/>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5A82076C"/>
    <w:multiLevelType w:val="hybridMultilevel"/>
    <w:tmpl w:val="7EFC1C8C"/>
    <w:lvl w:ilvl="0" w:tplc="C77EE0BE">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5C184F8A"/>
    <w:multiLevelType w:val="hybridMultilevel"/>
    <w:tmpl w:val="189671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DD359E"/>
    <w:multiLevelType w:val="hybridMultilevel"/>
    <w:tmpl w:val="5B28A29E"/>
    <w:lvl w:ilvl="0" w:tplc="D61447AC">
      <w:start w:val="1"/>
      <w:numFmt w:val="decimal"/>
      <w:lvlText w:val="%1."/>
      <w:lvlJc w:val="left"/>
      <w:pPr>
        <w:ind w:left="360" w:hanging="360"/>
      </w:pPr>
      <w:rPr>
        <w:rFonts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32E1BB1"/>
    <w:multiLevelType w:val="hybridMultilevel"/>
    <w:tmpl w:val="F5767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6C7042"/>
    <w:multiLevelType w:val="hybridMultilevel"/>
    <w:tmpl w:val="62282D28"/>
    <w:lvl w:ilvl="0" w:tplc="63C4D350">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6C71B4"/>
    <w:multiLevelType w:val="hybridMultilevel"/>
    <w:tmpl w:val="C1625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7896D3"/>
    <w:multiLevelType w:val="hybridMultilevel"/>
    <w:tmpl w:val="13AD469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81F36FA"/>
    <w:multiLevelType w:val="hybridMultilevel"/>
    <w:tmpl w:val="A99E88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68D04DD5"/>
    <w:multiLevelType w:val="hybridMultilevel"/>
    <w:tmpl w:val="325C7BB0"/>
    <w:lvl w:ilvl="0" w:tplc="080C0001">
      <w:start w:val="1"/>
      <w:numFmt w:val="bullet"/>
      <w:lvlText w:val=""/>
      <w:lvlJc w:val="left"/>
      <w:pPr>
        <w:ind w:left="360" w:hanging="360"/>
      </w:pPr>
      <w:rPr>
        <w:rFonts w:ascii="Symbol" w:hAnsi="Symbol"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8D45024"/>
    <w:multiLevelType w:val="hybridMultilevel"/>
    <w:tmpl w:val="52E8FD08"/>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4A3576"/>
    <w:multiLevelType w:val="hybridMultilevel"/>
    <w:tmpl w:val="52AA9D58"/>
    <w:lvl w:ilvl="0" w:tplc="080C0001">
      <w:start w:val="1"/>
      <w:numFmt w:val="bullet"/>
      <w:lvlText w:val=""/>
      <w:lvlJc w:val="left"/>
      <w:pPr>
        <w:ind w:left="360" w:hanging="360"/>
      </w:pPr>
      <w:rPr>
        <w:rFonts w:ascii="Symbol" w:hAnsi="Symbol"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0A1136E"/>
    <w:multiLevelType w:val="hybridMultilevel"/>
    <w:tmpl w:val="60564F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DD0E3D"/>
    <w:multiLevelType w:val="hybridMultilevel"/>
    <w:tmpl w:val="EF16D8B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2" w15:restartNumberingAfterBreak="0">
    <w:nsid w:val="7A502D9C"/>
    <w:multiLevelType w:val="hybridMultilevel"/>
    <w:tmpl w:val="1A1E3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0F3405"/>
    <w:multiLevelType w:val="hybridMultilevel"/>
    <w:tmpl w:val="DAE6273C"/>
    <w:lvl w:ilvl="0" w:tplc="080C0001">
      <w:start w:val="1"/>
      <w:numFmt w:val="bullet"/>
      <w:lvlText w:val=""/>
      <w:lvlJc w:val="left"/>
      <w:pPr>
        <w:ind w:left="360" w:hanging="360"/>
      </w:pPr>
      <w:rPr>
        <w:rFonts w:ascii="Symbol" w:hAnsi="Symbol"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C5B046D"/>
    <w:multiLevelType w:val="hybridMultilevel"/>
    <w:tmpl w:val="05806F18"/>
    <w:lvl w:ilvl="0" w:tplc="D61447AC">
      <w:start w:val="1"/>
      <w:numFmt w:val="decimal"/>
      <w:lvlText w:val="%1."/>
      <w:lvlJc w:val="left"/>
      <w:pPr>
        <w:ind w:left="360" w:hanging="360"/>
      </w:pPr>
      <w:rPr>
        <w:rFonts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F094418"/>
    <w:multiLevelType w:val="hybridMultilevel"/>
    <w:tmpl w:val="2A50C896"/>
    <w:lvl w:ilvl="0" w:tplc="D61447AC">
      <w:start w:val="1"/>
      <w:numFmt w:val="decimal"/>
      <w:lvlText w:val="%1."/>
      <w:lvlJc w:val="left"/>
      <w:pPr>
        <w:ind w:left="360" w:hanging="360"/>
      </w:pPr>
      <w:rPr>
        <w:rFonts w:hint="default"/>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8"/>
  </w:num>
  <w:num w:numId="2">
    <w:abstractNumId w:val="23"/>
  </w:num>
  <w:num w:numId="3">
    <w:abstractNumId w:val="0"/>
  </w:num>
  <w:num w:numId="4">
    <w:abstractNumId w:val="20"/>
  </w:num>
  <w:num w:numId="5">
    <w:abstractNumId w:val="24"/>
  </w:num>
  <w:num w:numId="6">
    <w:abstractNumId w:val="16"/>
  </w:num>
  <w:num w:numId="7">
    <w:abstractNumId w:val="19"/>
  </w:num>
  <w:num w:numId="8">
    <w:abstractNumId w:val="11"/>
  </w:num>
  <w:num w:numId="9">
    <w:abstractNumId w:val="3"/>
  </w:num>
  <w:num w:numId="10">
    <w:abstractNumId w:val="44"/>
  </w:num>
  <w:num w:numId="11">
    <w:abstractNumId w:val="14"/>
  </w:num>
  <w:num w:numId="12">
    <w:abstractNumId w:val="45"/>
  </w:num>
  <w:num w:numId="13">
    <w:abstractNumId w:val="31"/>
  </w:num>
  <w:num w:numId="14">
    <w:abstractNumId w:val="2"/>
  </w:num>
  <w:num w:numId="15">
    <w:abstractNumId w:val="15"/>
  </w:num>
  <w:num w:numId="16">
    <w:abstractNumId w:val="8"/>
  </w:num>
  <w:num w:numId="17">
    <w:abstractNumId w:val="42"/>
  </w:num>
  <w:num w:numId="18">
    <w:abstractNumId w:val="9"/>
  </w:num>
  <w:num w:numId="19">
    <w:abstractNumId w:val="26"/>
  </w:num>
  <w:num w:numId="20">
    <w:abstractNumId w:val="7"/>
  </w:num>
  <w:num w:numId="21">
    <w:abstractNumId w:val="15"/>
    <w:lvlOverride w:ilvl="0">
      <w:startOverride w:val="1"/>
    </w:lvlOverride>
    <w:lvlOverride w:ilvl="1"/>
    <w:lvlOverride w:ilvl="2"/>
    <w:lvlOverride w:ilvl="3"/>
    <w:lvlOverride w:ilvl="4"/>
    <w:lvlOverride w:ilvl="5"/>
    <w:lvlOverride w:ilvl="6"/>
    <w:lvlOverride w:ilvl="7"/>
    <w:lvlOverride w:ilvl="8"/>
  </w:num>
  <w:num w:numId="22">
    <w:abstractNumId w:val="33"/>
  </w:num>
  <w:num w:numId="23">
    <w:abstractNumId w:val="17"/>
  </w:num>
  <w:num w:numId="24">
    <w:abstractNumId w:val="25"/>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num>
  <w:num w:numId="27">
    <w:abstractNumId w:val="39"/>
  </w:num>
  <w:num w:numId="28">
    <w:abstractNumId w:val="5"/>
  </w:num>
  <w:num w:numId="29">
    <w:abstractNumId w:val="37"/>
  </w:num>
  <w:num w:numId="30">
    <w:abstractNumId w:val="10"/>
  </w:num>
  <w:num w:numId="31">
    <w:abstractNumId w:val="43"/>
  </w:num>
  <w:num w:numId="32">
    <w:abstractNumId w:val="35"/>
  </w:num>
  <w:num w:numId="33">
    <w:abstractNumId w:val="6"/>
  </w:num>
  <w:num w:numId="34">
    <w:abstractNumId w:val="30"/>
  </w:num>
  <w:num w:numId="35">
    <w:abstractNumId w:val="13"/>
  </w:num>
  <w:num w:numId="36">
    <w:abstractNumId w:val="27"/>
  </w:num>
  <w:num w:numId="37">
    <w:abstractNumId w:val="21"/>
  </w:num>
  <w:num w:numId="38">
    <w:abstractNumId w:val="22"/>
  </w:num>
  <w:num w:numId="39">
    <w:abstractNumId w:val="1"/>
  </w:num>
  <w:num w:numId="40">
    <w:abstractNumId w:val="34"/>
  </w:num>
  <w:num w:numId="41">
    <w:abstractNumId w:val="40"/>
  </w:num>
  <w:num w:numId="42">
    <w:abstractNumId w:val="29"/>
  </w:num>
  <w:num w:numId="43">
    <w:abstractNumId w:val="4"/>
  </w:num>
  <w:num w:numId="44">
    <w:abstractNumId w:val="36"/>
  </w:num>
  <w:num w:numId="45">
    <w:abstractNumId w:val="38"/>
  </w:num>
  <w:num w:numId="46">
    <w:abstractNumId w:val="32"/>
  </w:num>
  <w:num w:numId="47">
    <w:abstractNumId w:val="18"/>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E1DCCBA-9C68-4558-A2A2-2288F1E615B2"/>
    <w:docVar w:name="LW_COVERPAGE_TYPE" w:val="1"/>
    <w:docVar w:name="LW_CROSSREFERENCE" w:val="&lt;UNUSED&gt;"/>
    <w:docVar w:name="LW_DocType" w:val="NORMAL"/>
    <w:docVar w:name="LW_EMISSION" w:val="24.5.2022"/>
    <w:docVar w:name="LW_EMISSION_ISODATE" w:val="2022-05-24"/>
    <w:docVar w:name="LW_EMISSION_LOCATION" w:val="BRX"/>
    <w:docVar w:name="LW_EMISSION_PREFIX" w:val="Brisel\u275?, "/>
    <w:docVar w:name="LW_EMISSION_SUFFIX" w:val="."/>
    <w:docVar w:name="LW_ID_DOCTYPE_NONLW" w:val="CP-035"/>
    <w:docVar w:name="LW_LANGUE" w:val="LV"/>
    <w:docVar w:name="LW_LEVEL_OF_SENSITIVITY" w:val="Standard treatment"/>
    <w:docVar w:name="LW_NOM.INST" w:val="EIROPAS KOMISIJA"/>
    <w:docVar w:name="LW_NOM.INST_JOINTDOC" w:val="&lt;EMPTY&gt;"/>
    <w:docVar w:name="LW_PART_NBR" w:val="1"/>
    <w:docVar w:name="LW_PART_NBR_TOTAL" w:val="1"/>
    <w:docVar w:name="LW_REF.II.NEW.CP" w:val="&lt;UNUSED&gt;"/>
    <w:docVar w:name="LW_REF.II.NEW.CP_NUMBER" w:val="&lt;UNUSED&gt;"/>
    <w:docVar w:name="LW_REF.II.NEW.CP_YEAR" w:val="2022"/>
    <w:docVar w:name="LW_REF.INST.NEW" w:val="COM"/>
    <w:docVar w:name="LW_REF.INST.NEW_ADOPTED" w:val="final"/>
    <w:docVar w:name="LW_REF.INST.NEW_TEXT" w:val="(2022) 3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Calibri&gt;ar ko izstrādā Eiropas integrētās robežu pārvaldības&lt;/FMT&gt; &lt;FMT:Font=Calibri&gt;daudzgadu stratēģisko politiku saskaņā ar Regulas (ES) 2019/1896 8.panta 4.punktu&lt;/FMT&gt;"/>
    <w:docVar w:name="LW_TYPE.DOC.CP" w:val="Politikas dokuments,"/>
    <w:docVar w:name="LwApiVersions" w:val="LW4CoDe 1.23.2.0; LW 8.0, Build 20211117"/>
  </w:docVars>
  <w:rsids>
    <w:rsidRoot w:val="00263099"/>
    <w:rsid w:val="00026399"/>
    <w:rsid w:val="00035294"/>
    <w:rsid w:val="000530F7"/>
    <w:rsid w:val="000A02EC"/>
    <w:rsid w:val="00127656"/>
    <w:rsid w:val="001C0A9D"/>
    <w:rsid w:val="00263099"/>
    <w:rsid w:val="003726AC"/>
    <w:rsid w:val="0039198C"/>
    <w:rsid w:val="003A0030"/>
    <w:rsid w:val="00415DFD"/>
    <w:rsid w:val="00476D92"/>
    <w:rsid w:val="00520D96"/>
    <w:rsid w:val="00745828"/>
    <w:rsid w:val="008D1563"/>
    <w:rsid w:val="008E0F33"/>
    <w:rsid w:val="00A60FD5"/>
    <w:rsid w:val="00AE6F12"/>
    <w:rsid w:val="00BE5B63"/>
    <w:rsid w:val="00C50CB3"/>
    <w:rsid w:val="00D0204F"/>
    <w:rsid w:val="00D2533E"/>
    <w:rsid w:val="00D34715"/>
    <w:rsid w:val="00D86CD9"/>
    <w:rsid w:val="00E67969"/>
    <w:rsid w:val="00E86DA7"/>
    <w:rsid w:val="00E954FC"/>
    <w:rsid w:val="00EE6D05"/>
    <w:rsid w:val="00F00B9E"/>
    <w:rsid w:val="00F213EE"/>
    <w:rsid w:val="00F25A04"/>
    <w:rsid w:val="00F92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25D8F038-C54C-402E-8AAF-983FEFE03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63099"/>
    <w:rPr>
      <w:color w:val="0000FF"/>
      <w:shd w:val="clear" w:color="auto" w:fill="auto"/>
    </w:rPr>
  </w:style>
  <w:style w:type="paragraph" w:styleId="Header">
    <w:name w:val="header"/>
    <w:basedOn w:val="Normal"/>
    <w:link w:val="HeaderChar"/>
    <w:uiPriority w:val="99"/>
    <w:unhideWhenUsed/>
    <w:rsid w:val="002630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099"/>
  </w:style>
  <w:style w:type="paragraph" w:styleId="Footer">
    <w:name w:val="footer"/>
    <w:basedOn w:val="Normal"/>
    <w:link w:val="FooterChar"/>
    <w:uiPriority w:val="99"/>
    <w:unhideWhenUsed/>
    <w:rsid w:val="002630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099"/>
  </w:style>
  <w:style w:type="paragraph" w:customStyle="1" w:styleId="Pagedecouverture">
    <w:name w:val="Page de couverture"/>
    <w:basedOn w:val="Normal"/>
    <w:next w:val="Normal"/>
    <w:rsid w:val="00263099"/>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6309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63099"/>
    <w:rPr>
      <w:rFonts w:ascii="Times New Roman" w:hAnsi="Times New Roman" w:cs="Times New Roman"/>
      <w:sz w:val="24"/>
    </w:rPr>
  </w:style>
  <w:style w:type="paragraph" w:customStyle="1" w:styleId="FooterSensitivity">
    <w:name w:val="Footer Sensitivity"/>
    <w:basedOn w:val="Normal"/>
    <w:link w:val="FooterSensitivityChar"/>
    <w:rsid w:val="0026309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63099"/>
    <w:rPr>
      <w:rFonts w:ascii="Times New Roman" w:hAnsi="Times New Roman" w:cs="Times New Roman"/>
      <w:b/>
      <w:sz w:val="32"/>
    </w:rPr>
  </w:style>
  <w:style w:type="paragraph" w:customStyle="1" w:styleId="HeaderCoverPage">
    <w:name w:val="Header Cover Page"/>
    <w:basedOn w:val="Normal"/>
    <w:link w:val="HeaderCoverPageChar"/>
    <w:rsid w:val="0026309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63099"/>
    <w:rPr>
      <w:rFonts w:ascii="Times New Roman" w:hAnsi="Times New Roman" w:cs="Times New Roman"/>
      <w:sz w:val="24"/>
    </w:rPr>
  </w:style>
  <w:style w:type="paragraph" w:customStyle="1" w:styleId="HeaderSensitivity">
    <w:name w:val="Header Sensitivity"/>
    <w:basedOn w:val="Normal"/>
    <w:link w:val="HeaderSensitivityChar"/>
    <w:rsid w:val="0026309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63099"/>
    <w:rPr>
      <w:rFonts w:ascii="Times New Roman" w:hAnsi="Times New Roman" w:cs="Times New Roman"/>
      <w:b/>
      <w:sz w:val="32"/>
    </w:rPr>
  </w:style>
  <w:style w:type="paragraph" w:customStyle="1" w:styleId="HeaderSensitivityRight">
    <w:name w:val="Header Sensitivity Right"/>
    <w:basedOn w:val="Normal"/>
    <w:link w:val="HeaderSensitivityRightChar"/>
    <w:rsid w:val="0026309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63099"/>
    <w:rPr>
      <w:rFonts w:ascii="Times New Roman" w:hAnsi="Times New Roman" w:cs="Times New Roman"/>
      <w:sz w:val="28"/>
    </w:rPr>
  </w:style>
  <w:style w:type="numbering" w:customStyle="1" w:styleId="NoList1">
    <w:name w:val="No List1"/>
    <w:next w:val="NoList"/>
    <w:uiPriority w:val="99"/>
    <w:semiHidden/>
    <w:unhideWhenUsed/>
    <w:rsid w:val="00263099"/>
  </w:style>
  <w:style w:type="numbering" w:customStyle="1" w:styleId="NoList11">
    <w:name w:val="No List11"/>
    <w:next w:val="NoList"/>
    <w:uiPriority w:val="99"/>
    <w:semiHidden/>
    <w:unhideWhenUsed/>
    <w:rsid w:val="00263099"/>
  </w:style>
  <w:style w:type="paragraph" w:customStyle="1" w:styleId="GSAList1">
    <w:name w:val="GSA List1"/>
    <w:basedOn w:val="Normal"/>
    <w:next w:val="ListParagraph"/>
    <w:link w:val="ListParagraphChar"/>
    <w:uiPriority w:val="34"/>
    <w:qFormat/>
    <w:rsid w:val="00263099"/>
    <w:pPr>
      <w:spacing w:after="200" w:line="276" w:lineRule="auto"/>
      <w:ind w:left="720"/>
      <w:contextualSpacing/>
    </w:pPr>
  </w:style>
  <w:style w:type="table" w:customStyle="1" w:styleId="TableGrid1">
    <w:name w:val="Table Grid1"/>
    <w:basedOn w:val="TableNormal"/>
    <w:next w:val="TableGrid"/>
    <w:uiPriority w:val="59"/>
    <w:rsid w:val="00263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1">
    <w:name w:val="Grid Table 41"/>
    <w:basedOn w:val="TableNormal"/>
    <w:next w:val="GridTable4"/>
    <w:uiPriority w:val="49"/>
    <w:rsid w:val="00263099"/>
    <w:pPr>
      <w:spacing w:after="0" w:line="240"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FootnoteText1">
    <w:name w:val="Footnote Text1"/>
    <w:basedOn w:val="Normal"/>
    <w:next w:val="FootnoteText"/>
    <w:link w:val="FootnoteTextChar"/>
    <w:uiPriority w:val="99"/>
    <w:unhideWhenUsed/>
    <w:qFormat/>
    <w:rsid w:val="00263099"/>
    <w:pPr>
      <w:spacing w:after="0" w:line="240" w:lineRule="auto"/>
    </w:pPr>
    <w:rPr>
      <w:rFonts w:ascii="Calibri" w:eastAsia="Calibri" w:hAnsi="Calibri" w:cs="Times New Roman"/>
    </w:rPr>
  </w:style>
  <w:style w:type="character" w:customStyle="1" w:styleId="FootnoteTextChar">
    <w:name w:val="Footnote Text Char"/>
    <w:basedOn w:val="DefaultParagraphFont"/>
    <w:link w:val="FootnoteText1"/>
    <w:uiPriority w:val="99"/>
    <w:rsid w:val="00263099"/>
    <w:rPr>
      <w:rFonts w:ascii="Calibri" w:eastAsia="Calibri" w:hAnsi="Calibri" w:cs="Times New Roman"/>
      <w:lang w:eastAsia="en-US"/>
    </w:rPr>
  </w:style>
  <w:style w:type="character" w:styleId="FootnoteReference">
    <w:name w:val="footnote reference"/>
    <w:aliases w:val="Footnote Reference Superscript,BVI fnr,Footnote symbol,Footnote symboFußnotenzeichen,Footnote sign,Footnote Reference text,SUPERS,Footnote reference number,note TESI,-E Fußnotenzeichen,number,(Footnote Reference),Times 10 Poi, BVI fnr"/>
    <w:basedOn w:val="DefaultParagraphFont"/>
    <w:link w:val="BVIfnrChar"/>
    <w:uiPriority w:val="99"/>
    <w:unhideWhenUsed/>
    <w:qFormat/>
    <w:rsid w:val="00263099"/>
    <w:rPr>
      <w:vertAlign w:val="superscript"/>
    </w:rPr>
  </w:style>
  <w:style w:type="character" w:customStyle="1" w:styleId="Hyperlink1">
    <w:name w:val="Hyperlink1"/>
    <w:basedOn w:val="DefaultParagraphFont"/>
    <w:uiPriority w:val="99"/>
    <w:unhideWhenUsed/>
    <w:rsid w:val="00263099"/>
    <w:rPr>
      <w:color w:val="0000FF"/>
      <w:u w:val="single"/>
    </w:rPr>
  </w:style>
  <w:style w:type="character" w:styleId="CommentReference">
    <w:name w:val="annotation reference"/>
    <w:basedOn w:val="DefaultParagraphFont"/>
    <w:semiHidden/>
    <w:unhideWhenUsed/>
    <w:rsid w:val="00263099"/>
    <w:rPr>
      <w:sz w:val="16"/>
      <w:szCs w:val="16"/>
    </w:rPr>
  </w:style>
  <w:style w:type="paragraph" w:customStyle="1" w:styleId="CommentText1">
    <w:name w:val="Comment Text1"/>
    <w:basedOn w:val="Normal"/>
    <w:next w:val="CommentText"/>
    <w:link w:val="CommentTextChar"/>
    <w:unhideWhenUsed/>
    <w:rsid w:val="00263099"/>
    <w:pPr>
      <w:spacing w:after="200" w:line="240" w:lineRule="auto"/>
    </w:pPr>
    <w:rPr>
      <w:rFonts w:ascii="Calibri" w:eastAsia="Calibri" w:hAnsi="Calibri" w:cs="Times New Roman"/>
    </w:rPr>
  </w:style>
  <w:style w:type="character" w:customStyle="1" w:styleId="CommentTextChar">
    <w:name w:val="Comment Text Char"/>
    <w:basedOn w:val="DefaultParagraphFont"/>
    <w:link w:val="CommentText1"/>
    <w:rsid w:val="00263099"/>
    <w:rPr>
      <w:rFonts w:ascii="Calibri" w:eastAsia="Calibri" w:hAnsi="Calibri" w:cs="Times New Roman"/>
      <w:lang w:eastAsia="en-US"/>
    </w:rPr>
  </w:style>
  <w:style w:type="paragraph" w:styleId="CommentText">
    <w:name w:val="annotation text"/>
    <w:basedOn w:val="Normal"/>
    <w:link w:val="CommentTextChar1"/>
    <w:uiPriority w:val="99"/>
    <w:semiHidden/>
    <w:unhideWhenUsed/>
    <w:rsid w:val="00263099"/>
    <w:pPr>
      <w:spacing w:line="240" w:lineRule="auto"/>
    </w:pPr>
    <w:rPr>
      <w:sz w:val="20"/>
      <w:szCs w:val="20"/>
    </w:rPr>
  </w:style>
  <w:style w:type="character" w:customStyle="1" w:styleId="CommentTextChar1">
    <w:name w:val="Comment Text Char1"/>
    <w:basedOn w:val="DefaultParagraphFont"/>
    <w:link w:val="CommentText"/>
    <w:uiPriority w:val="99"/>
    <w:semiHidden/>
    <w:rsid w:val="00263099"/>
    <w:rPr>
      <w:sz w:val="20"/>
      <w:szCs w:val="20"/>
    </w:rPr>
  </w:style>
  <w:style w:type="paragraph" w:styleId="CommentSubject">
    <w:name w:val="annotation subject"/>
    <w:basedOn w:val="CommentText"/>
    <w:next w:val="CommentText"/>
    <w:link w:val="CommentSubjectChar"/>
    <w:uiPriority w:val="99"/>
    <w:semiHidden/>
    <w:unhideWhenUsed/>
    <w:rsid w:val="00263099"/>
    <w:pPr>
      <w:spacing w:after="200"/>
    </w:pPr>
    <w:rPr>
      <w:b/>
      <w:bCs/>
    </w:rPr>
  </w:style>
  <w:style w:type="character" w:customStyle="1" w:styleId="CommentSubjectChar">
    <w:name w:val="Comment Subject Char"/>
    <w:basedOn w:val="CommentTextChar1"/>
    <w:link w:val="CommentSubject"/>
    <w:uiPriority w:val="99"/>
    <w:semiHidden/>
    <w:rsid w:val="00263099"/>
    <w:rPr>
      <w:b/>
      <w:bCs/>
      <w:sz w:val="20"/>
      <w:szCs w:val="20"/>
      <w:lang w:val="lv-LV"/>
    </w:rPr>
  </w:style>
  <w:style w:type="paragraph" w:customStyle="1" w:styleId="BalloonText1">
    <w:name w:val="Balloon Text1"/>
    <w:basedOn w:val="Normal"/>
    <w:next w:val="BalloonText"/>
    <w:link w:val="BalloonTextChar"/>
    <w:uiPriority w:val="99"/>
    <w:semiHidden/>
    <w:unhideWhenUsed/>
    <w:rsid w:val="00263099"/>
    <w:pPr>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1"/>
    <w:uiPriority w:val="99"/>
    <w:semiHidden/>
    <w:rsid w:val="00263099"/>
    <w:rPr>
      <w:rFonts w:ascii="Segoe UI" w:eastAsia="Calibri" w:hAnsi="Segoe UI" w:cs="Segoe UI"/>
      <w:sz w:val="18"/>
      <w:szCs w:val="18"/>
      <w:lang w:eastAsia="en-US"/>
    </w:rPr>
  </w:style>
  <w:style w:type="paragraph" w:customStyle="1" w:styleId="BVIfnrChar">
    <w:name w:val="BVI fnr Char"/>
    <w:aliases w:val="Appel note de bas de p.,BVI fnr Car Car Car Car,BVI fnr Car Car,BVI fnr Car,BVI fnr Car Car Car Car Char,Appel note de bas de p..BVI fnr Car Car Car Car"/>
    <w:basedOn w:val="Normal"/>
    <w:link w:val="FootnoteReference"/>
    <w:uiPriority w:val="99"/>
    <w:rsid w:val="00263099"/>
    <w:pPr>
      <w:spacing w:line="240" w:lineRule="exact"/>
    </w:pPr>
    <w:rPr>
      <w:vertAlign w:val="superscript"/>
    </w:rPr>
  </w:style>
  <w:style w:type="paragraph" w:customStyle="1" w:styleId="NormalWeb1">
    <w:name w:val="Normal (Web)1"/>
    <w:basedOn w:val="Normal"/>
    <w:next w:val="NormalWeb"/>
    <w:uiPriority w:val="99"/>
    <w:semiHidden/>
    <w:unhideWhenUsed/>
    <w:rsid w:val="00263099"/>
    <w:pPr>
      <w:spacing w:after="200" w:line="276" w:lineRule="auto"/>
    </w:pPr>
    <w:rPr>
      <w:rFonts w:ascii="Times New Roman" w:hAnsi="Times New Roman" w:cs="Times New Roman"/>
      <w:sz w:val="24"/>
      <w:szCs w:val="24"/>
    </w:rPr>
  </w:style>
  <w:style w:type="paragraph" w:customStyle="1" w:styleId="Revision1">
    <w:name w:val="Revision1"/>
    <w:next w:val="Revision"/>
    <w:hidden/>
    <w:uiPriority w:val="99"/>
    <w:semiHidden/>
    <w:rsid w:val="00263099"/>
    <w:pPr>
      <w:spacing w:after="0" w:line="240" w:lineRule="auto"/>
    </w:pPr>
  </w:style>
  <w:style w:type="character" w:customStyle="1" w:styleId="None">
    <w:name w:val="None"/>
    <w:rsid w:val="00263099"/>
  </w:style>
  <w:style w:type="paragraph" w:customStyle="1" w:styleId="Corpsdutexte">
    <w:name w:val="Corps du texte"/>
    <w:rsid w:val="00263099"/>
    <w:pPr>
      <w:widowControl w:val="0"/>
      <w:pBdr>
        <w:top w:val="nil"/>
        <w:left w:val="nil"/>
        <w:bottom w:val="nil"/>
        <w:right w:val="nil"/>
        <w:between w:val="nil"/>
        <w:bar w:val="nil"/>
      </w:pBdr>
      <w:shd w:val="clear" w:color="auto" w:fill="FFFFFF"/>
      <w:spacing w:before="720" w:after="1560" w:line="277" w:lineRule="exact"/>
    </w:pPr>
    <w:rPr>
      <w:rFonts w:ascii="Times New Roman" w:eastAsia="Arial Unicode MS" w:hAnsi="Times New Roman" w:cs="Arial Unicode MS"/>
      <w:color w:val="000000"/>
      <w:sz w:val="23"/>
      <w:szCs w:val="23"/>
      <w:u w:color="000000"/>
      <w:bdr w:val="nil"/>
      <w:lang w:eastAsia="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uiPriority w:val="99"/>
    <w:rsid w:val="00263099"/>
    <w:pPr>
      <w:spacing w:line="240" w:lineRule="exact"/>
    </w:pPr>
    <w:rPr>
      <w:rFonts w:ascii="Times New Roman" w:eastAsia="Times New Roman" w:hAnsi="Times New Roman" w:cs="Times New Roman"/>
      <w:sz w:val="20"/>
      <w:szCs w:val="20"/>
      <w:vertAlign w:val="superscript"/>
      <w:lang w:eastAsia="en-GB"/>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GSAList1"/>
    <w:uiPriority w:val="34"/>
    <w:qFormat/>
    <w:locked/>
    <w:rsid w:val="00263099"/>
    <w:rPr>
      <w:rFonts w:ascii="Calibri" w:eastAsia="Calibri" w:hAnsi="Calibri" w:cs="Times New Roman"/>
      <w:sz w:val="22"/>
      <w:szCs w:val="22"/>
      <w:lang w:eastAsia="en-US"/>
    </w:rPr>
  </w:style>
  <w:style w:type="paragraph" w:customStyle="1" w:styleId="Nota">
    <w:name w:val="Nota"/>
    <w:aliases w:val="Char1,(NECG) Footnote Reference,fr,Appel note de bas de p,o,Style 6,Signature Ch"/>
    <w:basedOn w:val="Normal"/>
    <w:rsid w:val="00263099"/>
    <w:pPr>
      <w:spacing w:line="240" w:lineRule="exact"/>
    </w:pPr>
    <w:rPr>
      <w:rFonts w:ascii="Arial" w:eastAsia="Times New Roman" w:hAnsi="Arial" w:cs="Arial"/>
      <w:sz w:val="18"/>
      <w:szCs w:val="20"/>
      <w:vertAlign w:val="superscript"/>
      <w:lang w:eastAsia="en-GB"/>
    </w:rPr>
  </w:style>
  <w:style w:type="character" w:styleId="PlaceholderText">
    <w:name w:val="Placeholder Text"/>
    <w:basedOn w:val="DefaultParagraphFont"/>
    <w:uiPriority w:val="99"/>
    <w:semiHidden/>
    <w:rsid w:val="00263099"/>
    <w:rPr>
      <w:color w:val="808080"/>
    </w:rPr>
  </w:style>
  <w:style w:type="paragraph" w:customStyle="1" w:styleId="Default">
    <w:name w:val="Default"/>
    <w:rsid w:val="00263099"/>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customStyle="1" w:styleId="Normal1">
    <w:name w:val="Normal1"/>
    <w:basedOn w:val="Normal"/>
    <w:rsid w:val="00263099"/>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footnotereference0">
    <w:name w:val="footnotereference"/>
    <w:basedOn w:val="DefaultParagraphFont"/>
    <w:rsid w:val="00263099"/>
  </w:style>
  <w:style w:type="paragraph" w:customStyle="1" w:styleId="Body">
    <w:name w:val="Body"/>
    <w:qFormat/>
    <w:rsid w:val="00263099"/>
    <w:pPr>
      <w:tabs>
        <w:tab w:val="left" w:pos="425"/>
        <w:tab w:val="left" w:pos="851"/>
        <w:tab w:val="left" w:pos="1276"/>
      </w:tabs>
      <w:spacing w:after="240" w:line="240" w:lineRule="auto"/>
    </w:pPr>
    <w:rPr>
      <w:rFonts w:ascii="Arial" w:eastAsia="Times New Roman" w:hAnsi="Arial" w:cs="Times New Roman"/>
      <w:sz w:val="20"/>
      <w:szCs w:val="20"/>
      <w:lang w:eastAsia="en-GB"/>
    </w:rPr>
  </w:style>
  <w:style w:type="character" w:customStyle="1" w:styleId="FollowedHyperlink1">
    <w:name w:val="FollowedHyperlink1"/>
    <w:basedOn w:val="DefaultParagraphFont"/>
    <w:semiHidden/>
    <w:unhideWhenUsed/>
    <w:rsid w:val="00263099"/>
    <w:rPr>
      <w:color w:val="800080"/>
      <w:u w:val="single"/>
    </w:rPr>
  </w:style>
  <w:style w:type="paragraph" w:customStyle="1" w:styleId="Briefingtext">
    <w:name w:val="Briefing text"/>
    <w:basedOn w:val="Normal"/>
    <w:link w:val="BriefingtextChar"/>
    <w:qFormat/>
    <w:rsid w:val="00263099"/>
    <w:pPr>
      <w:spacing w:after="240" w:line="240" w:lineRule="auto"/>
      <w:jc w:val="both"/>
    </w:pPr>
    <w:rPr>
      <w:rFonts w:ascii="Arial" w:eastAsia="Times New Roman" w:hAnsi="Arial" w:cs="Arial"/>
      <w:szCs w:val="24"/>
    </w:rPr>
  </w:style>
  <w:style w:type="character" w:customStyle="1" w:styleId="BriefingtextChar">
    <w:name w:val="Briefing text Char"/>
    <w:link w:val="Briefingtext"/>
    <w:rsid w:val="00263099"/>
    <w:rPr>
      <w:rFonts w:ascii="Arial" w:eastAsia="Times New Roman" w:hAnsi="Arial" w:cs="Arial"/>
      <w:szCs w:val="24"/>
      <w:lang w:val="lv-LV"/>
    </w:rPr>
  </w:style>
  <w:style w:type="paragraph" w:customStyle="1" w:styleId="point">
    <w:name w:val="point"/>
    <w:basedOn w:val="ListParagraph"/>
    <w:rsid w:val="00263099"/>
    <w:pPr>
      <w:numPr>
        <w:numId w:val="43"/>
      </w:numPr>
      <w:tabs>
        <w:tab w:val="num" w:pos="360"/>
      </w:tabs>
      <w:spacing w:after="200" w:line="276" w:lineRule="auto"/>
      <w:ind w:firstLine="0"/>
      <w:jc w:val="both"/>
    </w:pPr>
    <w:rPr>
      <w:rFonts w:ascii="Times New Roman" w:hAnsi="Times New Roman" w:cs="Times New Roman"/>
      <w:sz w:val="24"/>
      <w:szCs w:val="24"/>
    </w:rPr>
  </w:style>
  <w:style w:type="paragraph" w:styleId="ListParagraph">
    <w:name w:val="List Paragraph"/>
    <w:basedOn w:val="Normal"/>
    <w:uiPriority w:val="34"/>
    <w:qFormat/>
    <w:rsid w:val="00263099"/>
    <w:pPr>
      <w:ind w:left="720"/>
      <w:contextualSpacing/>
    </w:pPr>
  </w:style>
  <w:style w:type="table" w:styleId="TableGrid">
    <w:name w:val="Table Grid"/>
    <w:basedOn w:val="TableNormal"/>
    <w:uiPriority w:val="39"/>
    <w:rsid w:val="00263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2630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1"/>
    <w:uiPriority w:val="99"/>
    <w:semiHidden/>
    <w:unhideWhenUsed/>
    <w:rsid w:val="00263099"/>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263099"/>
    <w:rPr>
      <w:sz w:val="20"/>
      <w:szCs w:val="20"/>
    </w:rPr>
  </w:style>
  <w:style w:type="character" w:styleId="Hyperlink">
    <w:name w:val="Hyperlink"/>
    <w:basedOn w:val="DefaultParagraphFont"/>
    <w:uiPriority w:val="99"/>
    <w:semiHidden/>
    <w:unhideWhenUsed/>
    <w:rsid w:val="00263099"/>
    <w:rPr>
      <w:color w:val="0563C1" w:themeColor="hyperlink"/>
      <w:u w:val="single"/>
    </w:rPr>
  </w:style>
  <w:style w:type="paragraph" w:styleId="BalloonText">
    <w:name w:val="Balloon Text"/>
    <w:basedOn w:val="Normal"/>
    <w:link w:val="BalloonTextChar1"/>
    <w:uiPriority w:val="99"/>
    <w:semiHidden/>
    <w:unhideWhenUsed/>
    <w:rsid w:val="00263099"/>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263099"/>
    <w:rPr>
      <w:rFonts w:ascii="Segoe UI" w:hAnsi="Segoe UI" w:cs="Segoe UI"/>
      <w:sz w:val="18"/>
      <w:szCs w:val="18"/>
    </w:rPr>
  </w:style>
  <w:style w:type="paragraph" w:styleId="NormalWeb">
    <w:name w:val="Normal (Web)"/>
    <w:basedOn w:val="Normal"/>
    <w:uiPriority w:val="99"/>
    <w:semiHidden/>
    <w:unhideWhenUsed/>
    <w:rsid w:val="00263099"/>
    <w:rPr>
      <w:rFonts w:ascii="Times New Roman" w:hAnsi="Times New Roman" w:cs="Times New Roman"/>
      <w:sz w:val="24"/>
      <w:szCs w:val="24"/>
    </w:rPr>
  </w:style>
  <w:style w:type="paragraph" w:styleId="Revision">
    <w:name w:val="Revision"/>
    <w:hidden/>
    <w:uiPriority w:val="99"/>
    <w:semiHidden/>
    <w:rsid w:val="00263099"/>
    <w:pPr>
      <w:spacing w:after="0" w:line="240" w:lineRule="auto"/>
    </w:pPr>
  </w:style>
  <w:style w:type="character" w:styleId="FollowedHyperlink">
    <w:name w:val="FollowedHyperlink"/>
    <w:basedOn w:val="DefaultParagraphFont"/>
    <w:uiPriority w:val="99"/>
    <w:semiHidden/>
    <w:unhideWhenUsed/>
    <w:rsid w:val="002630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emf"/><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onsilium.europa.eu/media/48625/2526-02-21-euco-statement-en.pdf" TargetMode="External"/><Relationship Id="rId1" Type="http://schemas.openxmlformats.org/officeDocument/2006/relationships/hyperlink" Target="https://ec.europa.eu/taxation_customs/system/files/2022-01/Minutes%20of%20fourth%20meeti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31</Pages>
  <Words>10711</Words>
  <Characters>75090</Characters>
  <Application>Microsoft Office Word</Application>
  <DocSecurity>0</DocSecurity>
  <Lines>1272</Lines>
  <Paragraphs>345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29</cp:revision>
  <dcterms:created xsi:type="dcterms:W3CDTF">2022-05-23T08:52:00Z</dcterms:created>
  <dcterms:modified xsi:type="dcterms:W3CDTF">2022-06-29T07:13:00Z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CP-035</vt:lpwstr>
  </property>
  <property fmtid="{D5CDD505-2E9C-101B-9397-08002B2CF9AE}" pid="7" name="Last edited using">
    <vt:lpwstr>LW 8.0, Build 20220128</vt:lpwstr>
  </property>
  <property fmtid="{D5CDD505-2E9C-101B-9397-08002B2CF9AE}" pid="8" name="Created using">
    <vt:lpwstr>LW 8.0, Build 20220128</vt:lpwstr>
  </property>
  <property name="OP_sanitized" fmtid="{D5CDD505-2E9C-101B-9397-08002B2CF9AE}" pid="9">
    <vt:lpwstr>True</vt:lpwstr>
  </property>
</Properties>
</file>