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09E7D" w14:textId="786AB432" w:rsidR="00B94A1A" w:rsidRPr="004605EE" w:rsidRDefault="00244898" w:rsidP="00244898">
      <w:pPr>
        <w:pStyle w:val="Pagedecouverture"/>
        <w:rPr>
          <w:noProof/>
        </w:rPr>
      </w:pPr>
      <w:bookmarkStart w:id="0" w:name="LW_BM_COVERPAGE"/>
      <w:r>
        <w:rPr>
          <w:noProof/>
        </w:rPr>
        <w:pict w14:anchorId="3CD90F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92B3157-4E09-47D5-9FEF-57F260CAE35B" style="width:455.25pt;height:310.5pt">
            <v:imagedata r:id="rId11" o:title=""/>
          </v:shape>
        </w:pict>
      </w:r>
    </w:p>
    <w:bookmarkEnd w:id="0"/>
    <w:p w14:paraId="67ED20DC" w14:textId="77777777" w:rsidR="00B94A1A" w:rsidRPr="004605EE" w:rsidRDefault="00B94A1A" w:rsidP="00E37879">
      <w:pPr>
        <w:jc w:val="both"/>
        <w:rPr>
          <w:noProof/>
        </w:rPr>
        <w:sectPr w:rsidR="00B94A1A" w:rsidRPr="004605EE" w:rsidSect="00244898">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0F129714" w14:textId="77777777" w:rsidR="00E37879" w:rsidRPr="004605EE" w:rsidRDefault="00E37879" w:rsidP="007D3FC6">
      <w:pPr>
        <w:tabs>
          <w:tab w:val="left" w:pos="567"/>
        </w:tabs>
        <w:spacing w:after="120"/>
        <w:ind w:left="567" w:hanging="567"/>
        <w:jc w:val="both"/>
        <w:rPr>
          <w:rFonts w:ascii="Times New Roman" w:hAnsi="Times New Roman" w:cs="Times New Roman"/>
          <w:b/>
          <w:noProof/>
          <w:sz w:val="24"/>
        </w:rPr>
      </w:pPr>
      <w:bookmarkStart w:id="1" w:name="_GoBack"/>
      <w:bookmarkEnd w:id="1"/>
      <w:r>
        <w:rPr>
          <w:rFonts w:ascii="Times New Roman" w:hAnsi="Times New Roman"/>
          <w:b/>
          <w:noProof/>
          <w:sz w:val="24"/>
        </w:rPr>
        <w:lastRenderedPageBreak/>
        <w:t>1.</w:t>
      </w:r>
      <w:r>
        <w:rPr>
          <w:noProof/>
        </w:rPr>
        <w:tab/>
      </w:r>
      <w:r>
        <w:rPr>
          <w:rFonts w:ascii="Times New Roman" w:hAnsi="Times New Roman"/>
          <w:b/>
          <w:noProof/>
          <w:sz w:val="24"/>
        </w:rPr>
        <w:t>Ievads</w:t>
      </w:r>
    </w:p>
    <w:p w14:paraId="573A971B" w14:textId="58DEBFBF" w:rsidR="00E37879"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Lai nodrošinātu Eiropas labklājību, drošību un dzīvesveidu, ir ļoti svarīgi palikt tehnoloģiskās attīstības avangardā. Jaunās tehnoloģijas pārveido drošības un aizsardzības nozari ātrāk nekā jebkad agrāk un saplūdina robežu starp civilo un militāro jomu. Digitālās tehnoloģijas jo īpaši ietekmē izveidoto spēku līdzsvaru globālajā drošības vidē. Tāpēc ir būtiski nodrošināt, lai Eiropas drošības un aizsardzības nozares arī turpmāk atbilstu paredzētajam mērķim.</w:t>
      </w:r>
    </w:p>
    <w:p w14:paraId="7DC3D387" w14:textId="2AC4D8EA" w:rsidR="00E37879" w:rsidRPr="004605EE" w:rsidDel="00D26C51" w:rsidRDefault="00E37879" w:rsidP="007D3FC6">
      <w:pPr>
        <w:spacing w:after="120"/>
        <w:jc w:val="both"/>
        <w:rPr>
          <w:rFonts w:ascii="Times New Roman" w:hAnsi="Times New Roman" w:cs="Times New Roman"/>
          <w:noProof/>
          <w:sz w:val="24"/>
        </w:rPr>
      </w:pPr>
      <w:r>
        <w:rPr>
          <w:rFonts w:ascii="Times New Roman" w:hAnsi="Times New Roman"/>
          <w:noProof/>
          <w:sz w:val="24"/>
        </w:rPr>
        <w:t>Daudzu drošībai un aizsardzībai kritiski svarīgu tehnoloģiju izcelsme arvien biežāk ir civilajā jomā, un tās izmanto divējāda lietojuma kritiski svarīgus komponentus. Lai paātrinātu inovāciju visās jomās un veicinātu tehnoloģisko suverenitāti drošības un aizsardzības nozarēs, ir vajadzīga labāka apmaiņa starp civilās un aizsardzības pētniecības un inovācijas kopienām. Ņemot vērā ES ilggadējo pieredzi civilo tehnoloģiju izstrādē un tās jaunos aizsardzības sadarbības instrumentus</w:t>
      </w:r>
      <w:r>
        <w:rPr>
          <w:rStyle w:val="FootnoteReference"/>
          <w:rFonts w:ascii="Times New Roman" w:hAnsi="Times New Roman" w:cs="Times New Roman"/>
          <w:noProof/>
          <w:sz w:val="24"/>
        </w:rPr>
        <w:footnoteReference w:id="2"/>
      </w:r>
      <w:r>
        <w:rPr>
          <w:rFonts w:ascii="Times New Roman" w:hAnsi="Times New Roman"/>
          <w:noProof/>
          <w:sz w:val="24"/>
        </w:rPr>
        <w:t>, ES ir visas iespējas uzņemties vadošo lomu. Tomēr tam būs vajadzīga efektīvāka resursu izmantošana un gatavība izpētīt divējāda lietojuma iespējas, vienlaikus atbalstot ES pamatvērtības. Tas nozīmē arī samazināt ar šīm tehnoloģijām saistīto vērtības un piegādes ķēžu stratēģisko atkarību un neaizsargātību.</w:t>
      </w:r>
    </w:p>
    <w:p w14:paraId="58126F3C" w14:textId="69304D7E" w:rsidR="00A45775" w:rsidRPr="00800987" w:rsidRDefault="00A45775" w:rsidP="00A45775">
      <w:pPr>
        <w:spacing w:after="120"/>
        <w:jc w:val="both"/>
        <w:rPr>
          <w:rFonts w:ascii="Times New Roman" w:hAnsi="Times New Roman" w:cs="Times New Roman"/>
          <w:b/>
          <w:noProof/>
          <w:sz w:val="24"/>
        </w:rPr>
      </w:pPr>
      <w:r>
        <w:rPr>
          <w:rFonts w:ascii="Times New Roman" w:hAnsi="Times New Roman"/>
          <w:noProof/>
          <w:sz w:val="24"/>
        </w:rPr>
        <w:t xml:space="preserve">Eiropas drošības un aizsardzības spēju sadrumstalotība ir izraisījusi ekonomikas efektivitātes trūkumu, samazinājusi operatīvās spējas un palielinājusi stratēģisko atkarību. Pašreizējās revolucionārās pārmaiņas drošības un aizsardzības tehnoloģiju jomā un jaunie ES aizsardzības sadarbības instrumenti dod ES iespēju izvairīties no pagātnes kļūdām, izmantot pašreizējās spējas un saglabāt ekonomisko labklājību un drošību. </w:t>
      </w:r>
      <w:r>
        <w:rPr>
          <w:rFonts w:ascii="Times New Roman" w:hAnsi="Times New Roman"/>
          <w:b/>
          <w:noProof/>
          <w:sz w:val="24"/>
        </w:rPr>
        <w:t>Turpmākā Eiropas drošības un aizsardzības tehnoloģiskā un inovācijas vide jau no paša sākuma būtu jāattīsta ES sadarbības satvarā.</w:t>
      </w:r>
    </w:p>
    <w:p w14:paraId="097861AF" w14:textId="0DF32BA8" w:rsidR="007D3FC6"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Priekšsēdētāja fon der Leiena savā 2021. gada runā par stāvokli Savienībā</w:t>
      </w:r>
      <w:r>
        <w:rPr>
          <w:noProof/>
          <w:vertAlign w:val="superscript"/>
        </w:rPr>
        <w:footnoteReference w:id="3"/>
      </w:r>
      <w:r>
        <w:rPr>
          <w:rFonts w:ascii="Times New Roman" w:hAnsi="Times New Roman"/>
          <w:noProof/>
          <w:sz w:val="24"/>
        </w:rPr>
        <w:t xml:space="preserve"> atzina, ka, lai gan ir sācies darbs pie Eiropas aizsardzības ekosistēmas izveides, ir vajadzīga Eiropas aizsardzības savienība. ES Stratēģiskais drošības un aizsardzības kompass (“Stratēģiskais kompass”), ko dalībvalstis pieņems 2022. gada martā, iezīmēs kopīgu stratēģisko redzējumu nākamajai desmitgadei un izklāstīs, kā ES uzlabos spēju rīkoties un reaģēt uz dažādām krīzēm un problēmām; nodrošinās savas intereses un aizsargās savus pilsoņus; ieviesīs jauninājumus un investēs tajos, lai kopīgi attīstītu vajadzīgās spējas un tehnoloģijas, un padziļinās partnerības, kuru pamatā ir ES vērtības un intereses. </w:t>
      </w:r>
    </w:p>
    <w:p w14:paraId="6A4834FD" w14:textId="21384369" w:rsidR="00E37879" w:rsidRPr="004605EE" w:rsidRDefault="00E37879" w:rsidP="009035ED">
      <w:pPr>
        <w:spacing w:after="120"/>
        <w:jc w:val="both"/>
        <w:rPr>
          <w:rFonts w:ascii="Times New Roman" w:hAnsi="Times New Roman" w:cs="Times New Roman"/>
          <w:noProof/>
          <w:sz w:val="24"/>
        </w:rPr>
      </w:pPr>
      <w:r>
        <w:rPr>
          <w:rFonts w:ascii="Times New Roman" w:hAnsi="Times New Roman"/>
          <w:noProof/>
          <w:sz w:val="24"/>
        </w:rPr>
        <w:t>Ceļvedis attiecībā uz drošībai un aizsardzībai kritiski svarīgām tehnoloģijām izstrādāts, ņemot vērā Eiropadomes 2021. gada 25. un 26. februāra sanāksmē pausto aicinājumu</w:t>
      </w:r>
      <w:r>
        <w:rPr>
          <w:rStyle w:val="FootnoteReference"/>
          <w:rFonts w:ascii="Times New Roman" w:hAnsi="Times New Roman" w:cs="Times New Roman"/>
          <w:noProof/>
          <w:sz w:val="24"/>
        </w:rPr>
        <w:footnoteReference w:id="4"/>
      </w:r>
      <w:r>
        <w:rPr>
          <w:rFonts w:ascii="Times New Roman" w:hAnsi="Times New Roman"/>
          <w:noProof/>
          <w:sz w:val="24"/>
        </w:rPr>
        <w:t xml:space="preserve"> iezīmēt pasākumus, ar kuriem sekmēt pētniecību, tehnoloģiju izstrādi un inovāciju (</w:t>
      </w:r>
      <w:r>
        <w:rPr>
          <w:rFonts w:ascii="Times New Roman" w:hAnsi="Times New Roman"/>
          <w:i/>
          <w:iCs/>
          <w:noProof/>
          <w:sz w:val="24"/>
        </w:rPr>
        <w:t>RTD&amp;I</w:t>
      </w:r>
      <w:r>
        <w:rPr>
          <w:rFonts w:ascii="Times New Roman" w:hAnsi="Times New Roman"/>
          <w:noProof/>
          <w:sz w:val="24"/>
        </w:rPr>
        <w:t>) un mazināt ES stratēģisko atkarību drošības un aizsardzības jomas kritiski svarīgo tehnoloģiju un vērtības ķēžu ziņā.</w:t>
      </w:r>
      <w:r>
        <w:rPr>
          <w:rStyle w:val="BalloonTextChar"/>
          <w:rFonts w:ascii="Times New Roman" w:hAnsi="Times New Roman"/>
          <w:noProof/>
          <w:sz w:val="24"/>
        </w:rPr>
        <w:t xml:space="preserve"> </w:t>
      </w:r>
      <w:r>
        <w:rPr>
          <w:rFonts w:ascii="Times New Roman" w:hAnsi="Times New Roman"/>
          <w:noProof/>
          <w:sz w:val="24"/>
        </w:rPr>
        <w:t>Ceļvedis tiks iesniegts neoficiālajam samitam Parīzē 2022. gada 10. un 11. martā un tiks izmantots Stratēģiskajā kompasā. Ceļvedī ir ierosināta turpmākā rīcība, lai ES un dalībvalstis kopīgi sasniegtu iepriekš minēto mērķi, jo īpaši:</w:t>
      </w:r>
    </w:p>
    <w:p w14:paraId="6F25B383" w14:textId="21E4583C" w:rsidR="00E37879" w:rsidRPr="004605EE" w:rsidRDefault="001629EF" w:rsidP="00E37879">
      <w:pPr>
        <w:pStyle w:val="ListParagraph"/>
        <w:numPr>
          <w:ilvl w:val="0"/>
          <w:numId w:val="1"/>
        </w:numPr>
        <w:jc w:val="both"/>
        <w:rPr>
          <w:rFonts w:ascii="Times New Roman" w:hAnsi="Times New Roman" w:cs="Times New Roman"/>
          <w:noProof/>
          <w:sz w:val="24"/>
        </w:rPr>
      </w:pPr>
      <w:r>
        <w:rPr>
          <w:rFonts w:ascii="Times New Roman" w:hAnsi="Times New Roman"/>
          <w:noProof/>
          <w:sz w:val="24"/>
        </w:rPr>
        <w:t>apzināt tehnoloģijas, kas ir būtiskas ES drošībai un aizsardzībai, un veicināt tās ar Eiropas (pētniecības, tehnoloģiju izstrādes un inovācijas) programmām;</w:t>
      </w:r>
    </w:p>
    <w:p w14:paraId="14648E1F" w14:textId="526D2734" w:rsidR="00E37879" w:rsidRPr="004605EE" w:rsidRDefault="001629EF" w:rsidP="00E37879">
      <w:pPr>
        <w:pStyle w:val="ListParagraph"/>
        <w:numPr>
          <w:ilvl w:val="0"/>
          <w:numId w:val="1"/>
        </w:numPr>
        <w:jc w:val="both"/>
        <w:rPr>
          <w:rFonts w:ascii="Times New Roman" w:hAnsi="Times New Roman" w:cs="Times New Roman"/>
          <w:noProof/>
          <w:sz w:val="24"/>
        </w:rPr>
      </w:pPr>
      <w:r>
        <w:rPr>
          <w:rFonts w:ascii="Times New Roman" w:hAnsi="Times New Roman"/>
          <w:noProof/>
          <w:sz w:val="24"/>
        </w:rPr>
        <w:t xml:space="preserve">nodrošināt, ka aizsardzības apsvērumi tiek labāk ņemti vērā Eiropas civilajās pētniecības, tehnoloģiju izstrādes un inovācijas programmās un attiecīgā gadījumā rūpniecības un tirdzniecības politikā, turklāt aizsardzības pētniecības, tehnoloģiju izstrādes un inovācijas programmās labāk tiek ņemti vērā iespējamie tehnoloģiju pielietojumi civiliem mērķiem; </w:t>
      </w:r>
    </w:p>
    <w:p w14:paraId="4734966A" w14:textId="00D490BB" w:rsidR="00800987" w:rsidRDefault="001629EF" w:rsidP="007D3FC6">
      <w:pPr>
        <w:pStyle w:val="ListParagraph"/>
        <w:numPr>
          <w:ilvl w:val="0"/>
          <w:numId w:val="1"/>
        </w:numPr>
        <w:spacing w:after="240"/>
        <w:ind w:left="357" w:hanging="357"/>
        <w:jc w:val="both"/>
        <w:rPr>
          <w:rFonts w:ascii="Times New Roman" w:hAnsi="Times New Roman" w:cs="Times New Roman"/>
          <w:noProof/>
          <w:sz w:val="24"/>
        </w:rPr>
      </w:pPr>
      <w:r>
        <w:rPr>
          <w:rFonts w:ascii="Times New Roman" w:hAnsi="Times New Roman"/>
          <w:noProof/>
          <w:sz w:val="24"/>
        </w:rPr>
        <w:t>jau no paša sākuma veicināt ES mēroga stratēģisku un koordinētu pieeju drošībai un aizsardzībai kritiski svarīgām tehnoloģijām, lai pēc iespējas labāk izmantotu ES un dalībvalstu pētniecības, tehnoloģiju izstrādes un inovācijas programmas, panāktu sinerģiju starp civilajām un aizsardzības pētniecības, tehnoloģiju izstrādes un inovācijas kopienām un mazinātu stratēģisko atkarību no ārējiem avotiem; kā arī</w:t>
      </w:r>
    </w:p>
    <w:p w14:paraId="70ACF388" w14:textId="5CEE99D0" w:rsidR="00E37879" w:rsidRPr="004605EE" w:rsidRDefault="00800987" w:rsidP="007D3FC6">
      <w:pPr>
        <w:pStyle w:val="ListParagraph"/>
        <w:numPr>
          <w:ilvl w:val="0"/>
          <w:numId w:val="1"/>
        </w:numPr>
        <w:spacing w:after="240"/>
        <w:ind w:left="357" w:hanging="357"/>
        <w:jc w:val="both"/>
        <w:rPr>
          <w:rFonts w:ascii="Times New Roman" w:hAnsi="Times New Roman" w:cs="Times New Roman"/>
          <w:noProof/>
          <w:sz w:val="24"/>
        </w:rPr>
      </w:pPr>
      <w:r>
        <w:rPr>
          <w:rFonts w:ascii="Times New Roman" w:hAnsi="Times New Roman"/>
          <w:noProof/>
          <w:sz w:val="24"/>
        </w:rPr>
        <w:t>pēc iespējas koordinēt sadarbību ar citiem līdzīgi domājošiem partneriem, piemēram, Amerikas Savienotajām Valstīm un Ziemeļatlantijas līguma organizāciju (NATO), savstarpēji izdevīgos apstākļos.</w:t>
      </w:r>
    </w:p>
    <w:p w14:paraId="3607920E" w14:textId="05B20281" w:rsidR="00E37879" w:rsidRPr="004605EE" w:rsidRDefault="00E37879" w:rsidP="007D3FC6">
      <w:pPr>
        <w:tabs>
          <w:tab w:val="left" w:pos="567"/>
        </w:tabs>
        <w:spacing w:after="120"/>
        <w:ind w:left="567" w:hanging="567"/>
        <w:jc w:val="both"/>
        <w:rPr>
          <w:rFonts w:ascii="Times New Roman" w:hAnsi="Times New Roman" w:cs="Times New Roman"/>
          <w:b/>
          <w:noProof/>
          <w:sz w:val="24"/>
        </w:rPr>
      </w:pPr>
      <w:r>
        <w:rPr>
          <w:rFonts w:ascii="Times New Roman" w:hAnsi="Times New Roman"/>
          <w:b/>
          <w:noProof/>
          <w:sz w:val="24"/>
        </w:rPr>
        <w:t>2.</w:t>
      </w:r>
      <w:r>
        <w:rPr>
          <w:noProof/>
        </w:rPr>
        <w:tab/>
      </w:r>
      <w:r>
        <w:rPr>
          <w:rFonts w:ascii="Times New Roman" w:hAnsi="Times New Roman"/>
          <w:b/>
          <w:noProof/>
          <w:sz w:val="24"/>
        </w:rPr>
        <w:t>Kritiski svarīgās tehnoloģ</w:t>
      </w:r>
      <w:r w:rsidR="009C2324">
        <w:rPr>
          <w:rFonts w:ascii="Times New Roman" w:hAnsi="Times New Roman"/>
          <w:b/>
          <w:noProof/>
          <w:sz w:val="24"/>
        </w:rPr>
        <w:t xml:space="preserve">ijas un stratēģiskās atkarības </w:t>
      </w:r>
      <w:r>
        <w:rPr>
          <w:rFonts w:ascii="Times New Roman" w:hAnsi="Times New Roman"/>
          <w:b/>
          <w:noProof/>
          <w:sz w:val="24"/>
        </w:rPr>
        <w:t>drošības un aizsardzības</w:t>
      </w:r>
      <w:r w:rsidR="009C2324">
        <w:rPr>
          <w:rFonts w:ascii="Times New Roman" w:hAnsi="Times New Roman"/>
          <w:b/>
          <w:noProof/>
          <w:sz w:val="24"/>
        </w:rPr>
        <w:t xml:space="preserve"> jomā</w:t>
      </w:r>
    </w:p>
    <w:p w14:paraId="3E8FFB87" w14:textId="71AF1528" w:rsidR="006E4A29" w:rsidRPr="004605EE" w:rsidRDefault="0095764A" w:rsidP="006E4A29">
      <w:pPr>
        <w:spacing w:after="120"/>
        <w:jc w:val="both"/>
        <w:rPr>
          <w:rFonts w:ascii="Times New Roman" w:hAnsi="Times New Roman" w:cs="Times New Roman"/>
          <w:noProof/>
          <w:sz w:val="24"/>
        </w:rPr>
      </w:pPr>
      <w:r>
        <w:rPr>
          <w:rFonts w:ascii="Times New Roman" w:hAnsi="Times New Roman"/>
          <w:noProof/>
          <w:sz w:val="24"/>
        </w:rPr>
        <w:t>2021. gada maijā pieņemtajā paziņojumā “2020. gada Jaunās industriālās stratēģijas atjaunināšana: veidojot spēcīgāku vienoto tirgu Eiropas atveseļošanai” (“atjaunināta industriālā stratēģija”)</w:t>
      </w:r>
      <w:r>
        <w:rPr>
          <w:rStyle w:val="FootnoteReference"/>
          <w:rFonts w:ascii="Times New Roman" w:hAnsi="Times New Roman" w:cs="Times New Roman"/>
          <w:noProof/>
          <w:sz w:val="24"/>
        </w:rPr>
        <w:footnoteReference w:id="5"/>
      </w:r>
      <w:r>
        <w:rPr>
          <w:rFonts w:ascii="Times New Roman" w:hAnsi="Times New Roman"/>
          <w:noProof/>
          <w:sz w:val="24"/>
        </w:rPr>
        <w:t xml:space="preserve"> atkārtoti uzsvērts, ka tehnoloģiskā līderība joprojām ir būtisks ES konkurētspējas un inovācijas virzītājspēks, jo īpaši tā saukto “kritiski svarīgo tehnoloģiju” jomā</w:t>
      </w:r>
      <w:r>
        <w:rPr>
          <w:rStyle w:val="FootnoteReference"/>
          <w:rFonts w:ascii="Times New Roman" w:hAnsi="Times New Roman" w:cs="Times New Roman"/>
          <w:noProof/>
          <w:sz w:val="24"/>
        </w:rPr>
        <w:footnoteReference w:id="6"/>
      </w:r>
      <w:r>
        <w:rPr>
          <w:rFonts w:ascii="Times New Roman" w:hAnsi="Times New Roman"/>
          <w:noProof/>
          <w:sz w:val="24"/>
        </w:rPr>
        <w:t>. Tajā arī uzsvērts, cik svarīgi ES noturības nodrošināšanai ir apzināt un mazināt stratēģisko atkarību “jutīgās ekosistēmās”, tostarp “tuvuma, sociālās ekonomikas un civilās drošības” un “kosmosa un aizsardzības” jomā.</w:t>
      </w:r>
    </w:p>
    <w:p w14:paraId="2473ED66" w14:textId="133687B1" w:rsidR="00E37879"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Komisijas 2021. gada februāra rīcības plānā par sinerģiju starp civilo, aizsardzības un kosmosa rūpniecību (“sinerģiju rīcības plāns”)</w:t>
      </w:r>
      <w:r>
        <w:rPr>
          <w:rStyle w:val="FootnoteReference"/>
          <w:rFonts w:ascii="Times New Roman" w:hAnsi="Times New Roman" w:cs="Times New Roman"/>
          <w:noProof/>
          <w:sz w:val="24"/>
        </w:rPr>
        <w:footnoteReference w:id="7"/>
      </w:r>
      <w:r>
        <w:rPr>
          <w:rFonts w:ascii="Times New Roman" w:hAnsi="Times New Roman"/>
          <w:noProof/>
          <w:sz w:val="24"/>
        </w:rPr>
        <w:t xml:space="preserve"> atzīts, ka Eiropas drošībai un aizsardzībai nākotnē arvien svarīgākas ir revolucionārās tehnoloģijas un pamattehnoloģijas, kas izstrādātas civilajā jomā, un ka ir jāveicina civilo un aizsardzības tehnoloģiju savstarpēja bagātināšanās un sinerģija. Tajā izklāstītas vairākas galvenās darbības, kuru mērķis ir veicināt informācijas apmaiņu un sadarbību starp civilajām un aizsardzības kopienām, par sākumpunktu izmantojot ES pētniecības, tehnoloģiju izstrādes un inovācijas programmas un instrumentus.</w:t>
      </w:r>
    </w:p>
    <w:p w14:paraId="2552A154" w14:textId="5ED325CA" w:rsidR="00E37879" w:rsidRPr="004605EE" w:rsidRDefault="00E37879"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2.1.</w:t>
      </w:r>
      <w:r>
        <w:rPr>
          <w:noProof/>
        </w:rPr>
        <w:tab/>
      </w:r>
      <w:r>
        <w:rPr>
          <w:rFonts w:ascii="Times New Roman" w:hAnsi="Times New Roman"/>
          <w:b/>
          <w:i/>
          <w:noProof/>
          <w:sz w:val="24"/>
        </w:rPr>
        <w:t>Drošības un aizsardzības nozaru īpatnības</w:t>
      </w:r>
    </w:p>
    <w:p w14:paraId="6E03D6CC" w14:textId="74691640" w:rsidR="00E37879" w:rsidRPr="004605EE" w:rsidRDefault="00056BA8" w:rsidP="007D3FC6">
      <w:pPr>
        <w:spacing w:after="120"/>
        <w:jc w:val="both"/>
        <w:rPr>
          <w:rFonts w:ascii="Times New Roman" w:hAnsi="Times New Roman" w:cs="Times New Roman"/>
          <w:noProof/>
          <w:sz w:val="24"/>
        </w:rPr>
      </w:pPr>
      <w:r>
        <w:rPr>
          <w:rFonts w:ascii="Times New Roman" w:hAnsi="Times New Roman"/>
          <w:noProof/>
          <w:sz w:val="24"/>
        </w:rPr>
        <w:t xml:space="preserve">ES aizsardzības rūpniecībai ir daudzveidīga struktūra, kurā ir gan lieli starptautiski, gan arī mazi un vidēji uzņēmumi. Pieprasījumu rada gandrīz tikai valstu valdības, kas arī kontrolē visu ar aizsardzību saistīto ražojumu un tehnoloģiju iegādi, kā arī to eksportu. Atšķirīgas valstu prasības un valstu publiskie izdevumi un investīcijas turpina sadrumstalot ES aizsardzības tirgu, šādi radot risku kavēt sadarbspēju starp dalībvalstu bruņotajiem spēkiem. Tāpēc aizsardzības nozare neievēro tradicionālos noteikumus un uzņēmējdarbības modeļus, kas reglamentē tradicionālākus tirgus, un tādējādi tai ir ierobežotas iespējas ietekmēt saistītās investīcijas un tirgus izvēli. Tāpēc šai nozarei ir grūti īstenot ievērojamus pašfinansētus pētniecības, tehnoloģiju izstrādes un inovācijas projektus aizsardzības jomā. </w:t>
      </w:r>
    </w:p>
    <w:p w14:paraId="245454A9" w14:textId="4E7B4E14" w:rsidR="00E37879"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 xml:space="preserve">ES drošības nozare saskaras ar līdzīgām problēmām, jo tirgi galvenokārt ir valstu tirgi, bet vēl vairāk sadrumstaloti. Tās klienti ir dažādi (piemēram, policijas spēki, iekšējās drošības aģentūras, muitas aģentūras, robežsardzes iestādes, privātie drošības dienesti), darbības notiek dažādos līmeņos (vietējā, reģionālā, valsts līmenī) un to organizācija dažādās dalībvalstīs ir atšķirīga. </w:t>
      </w:r>
      <w:r>
        <w:rPr>
          <w:rFonts w:ascii="Times New Roman" w:hAnsi="Times New Roman"/>
          <w:b/>
          <w:noProof/>
          <w:sz w:val="24"/>
        </w:rPr>
        <w:t>Komisija 2022. gadā nāks klajā ar pētījumu par ES drošības tirgu, kurā tiks sniegts papildu ieskats šajā sarežģītajā nozarē</w:t>
      </w:r>
      <w:r>
        <w:rPr>
          <w:rFonts w:ascii="Times New Roman" w:hAnsi="Times New Roman"/>
          <w:noProof/>
          <w:sz w:val="24"/>
        </w:rPr>
        <w:t xml:space="preserve">. Turklāt Komisijas dienesti 2022. gada pirmajā pusē apkopos priekšlikumus par to, kā veicināt uz spējām balstītu pieeju pieņemšanu, kas jāpiemēro visās drošības nozarēs. Šie priekšlikumi stiprinās agrīnu un tālredzīgu drošības un tiesībaizsardzības vajadzību un risinājumu apzināšanu. </w:t>
      </w:r>
    </w:p>
    <w:p w14:paraId="252BCBBD" w14:textId="05893DE9" w:rsidR="004E3B30" w:rsidRPr="004605EE" w:rsidRDefault="00024E15" w:rsidP="00F96BD6">
      <w:pPr>
        <w:spacing w:after="120"/>
        <w:jc w:val="both"/>
        <w:rPr>
          <w:rFonts w:ascii="Times New Roman" w:hAnsi="Times New Roman" w:cs="Times New Roman"/>
          <w:noProof/>
          <w:sz w:val="24"/>
        </w:rPr>
      </w:pPr>
      <w:r>
        <w:rPr>
          <w:rFonts w:ascii="Times New Roman" w:hAnsi="Times New Roman"/>
          <w:noProof/>
          <w:sz w:val="24"/>
        </w:rPr>
        <w:t>Kosmosa nozare un kiberjoma ir stratēģiski drošības un aizsardzības nozaru “veicinātāji”. Kosmosa nozarei ir daudzas no to specifiskajām iezīmēm, un tai ir mazs tirgus apjoms un ierobežota ietekme uz komponentu privāto tirgu. Kosmosa programmu un kosmosa vērtību ķēžu noturībai ir izšķiroša nozīme ES drošības un aizsardzības mērķu sasniegšanā. Arī kiberjomai ir arvien lielāka nozīme aizsardzības spējās, tai jāpievērš uzmanība un tajā vajadzīgas investīcijas. Strauji pieaugot kiberuzbrukumiem, kas vērsti gan pret civilajiem, gan aizsardzības aktīviem un tīkliem, gan pieaugot civilā sektora lomai kiberinovācijā un standartizācijā, ir vajadzīga ciešāka saikne starp kiberdrošību un kiberaizsardzību. Komisijas ieguldījumā Eiropas aizsardzībā saistībā ar Stratēģisko kompasu (“paziņojums par aizsardzību”), kas ir daļa no šīs aizsardzības paketes,</w:t>
      </w:r>
      <w:r>
        <w:rPr>
          <w:noProof/>
        </w:rPr>
        <w:t xml:space="preserve"> </w:t>
      </w:r>
      <w:r>
        <w:rPr>
          <w:rFonts w:ascii="Times New Roman" w:hAnsi="Times New Roman"/>
          <w:noProof/>
          <w:sz w:val="24"/>
        </w:rPr>
        <w:t>ir izklāstīti turpmāki pasākumi šajās divās nozarēs.</w:t>
      </w:r>
    </w:p>
    <w:p w14:paraId="234D2D4B" w14:textId="091BB43C" w:rsidR="005B79C2" w:rsidRPr="004605EE" w:rsidRDefault="005B79C2" w:rsidP="005B79C2">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2.2.</w:t>
      </w:r>
      <w:r>
        <w:rPr>
          <w:noProof/>
        </w:rPr>
        <w:tab/>
      </w:r>
      <w:r>
        <w:rPr>
          <w:rFonts w:ascii="Times New Roman" w:hAnsi="Times New Roman"/>
          <w:b/>
          <w:i/>
          <w:noProof/>
          <w:sz w:val="24"/>
        </w:rPr>
        <w:t xml:space="preserve">Kritisko tehnoloģiju un drošības un aizsardzības stratēģisko atkarību kartēšana </w:t>
      </w:r>
    </w:p>
    <w:p w14:paraId="6C252F7F" w14:textId="4E068C28" w:rsidR="004300A4" w:rsidRDefault="005B79C2" w:rsidP="00C415A1">
      <w:pPr>
        <w:spacing w:after="120"/>
        <w:jc w:val="both"/>
        <w:rPr>
          <w:rFonts w:ascii="Times New Roman" w:hAnsi="Times New Roman" w:cs="Times New Roman"/>
          <w:noProof/>
          <w:sz w:val="24"/>
          <w:szCs w:val="24"/>
        </w:rPr>
      </w:pPr>
      <w:r>
        <w:rPr>
          <w:rFonts w:ascii="Times New Roman" w:hAnsi="Times New Roman"/>
          <w:noProof/>
          <w:sz w:val="24"/>
        </w:rPr>
        <w:t>Atjauninātā industriālā stratēģija sniedz plašu ES stratēģisko atkarību un spēju kartēšanu un analīzi, pamatojoties uz jutīgo ekosistēmu padziļinātu pārskatu pirmo kārtu</w:t>
      </w:r>
      <w:r>
        <w:rPr>
          <w:rStyle w:val="FootnoteReference"/>
          <w:rFonts w:ascii="Times New Roman" w:hAnsi="Times New Roman" w:cs="Times New Roman"/>
          <w:noProof/>
          <w:sz w:val="24"/>
        </w:rPr>
        <w:footnoteReference w:id="8"/>
      </w:r>
      <w:r>
        <w:rPr>
          <w:rFonts w:ascii="Times New Roman" w:hAnsi="Times New Roman"/>
          <w:noProof/>
          <w:sz w:val="24"/>
        </w:rPr>
        <w:t xml:space="preserve">. Lai gan šis darbs ir nodrošinājis pamatu politikas rīcībai ar mērķi atbalstīt labāku ES noturību, tajā arī atzīts, ka ir jādara vairāk, lai papildus uzlabotu mūsu izpratni par ES stratēģiskajām atkarībām un to, kā tās var attīstīties un radīt vēl lielāku neaizsargātību. Šis darbs ietver jutīgo ekosistēmu padziļināto pārskatu otro kārtu un uzraudzības sistēmu, ko izmanto Kritiski svarīgo tehnoloģiju observatorija (“Observatorija”), </w:t>
      </w:r>
      <w:r>
        <w:rPr>
          <w:rFonts w:ascii="Times New Roman" w:hAnsi="Times New Roman"/>
          <w:noProof/>
          <w:sz w:val="24"/>
          <w:szCs w:val="24"/>
        </w:rPr>
        <w:t xml:space="preserve">sk. 2.3. iedaļu. </w:t>
      </w:r>
    </w:p>
    <w:p w14:paraId="52F0D35D" w14:textId="671A799E" w:rsidR="007322E1" w:rsidRPr="004605EE" w:rsidRDefault="00FE5111" w:rsidP="00C415A1">
      <w:pPr>
        <w:spacing w:after="120"/>
        <w:jc w:val="both"/>
        <w:rPr>
          <w:rFonts w:ascii="Times New Roman" w:hAnsi="Times New Roman" w:cs="Times New Roman"/>
          <w:noProof/>
          <w:sz w:val="24"/>
          <w:szCs w:val="24"/>
        </w:rPr>
      </w:pPr>
      <w:r>
        <w:rPr>
          <w:rFonts w:ascii="Times New Roman" w:hAnsi="Times New Roman"/>
          <w:noProof/>
          <w:sz w:val="24"/>
          <w:szCs w:val="24"/>
        </w:rPr>
        <w:t xml:space="preserve">Komisijas dienesti ir sākuši strādāt pie padziļinātiem pārskatiem par aizsardzības un drošības tehnoloģiju jomām, tostarp kiberdrošības jomu, lai atbalstītu atjaunināto industriālo stratēģiju un Observatorijas izveidi. </w:t>
      </w:r>
      <w:r>
        <w:rPr>
          <w:rFonts w:ascii="Times New Roman" w:hAnsi="Times New Roman"/>
          <w:noProof/>
          <w:sz w:val="24"/>
        </w:rPr>
        <w:t>Līdz šim ir veiktas divas provizoriskas gadījumu analīzes par aizsardzības tehnoloģiju jomām – par autonomām sistēmām un pusvadītājiem, kas tika uzskatīti par</w:t>
      </w:r>
      <w:r>
        <w:rPr>
          <w:rFonts w:ascii="Times New Roman" w:hAnsi="Times New Roman"/>
          <w:noProof/>
          <w:sz w:val="24"/>
          <w:szCs w:val="24"/>
        </w:rPr>
        <w:t xml:space="preserve"> reprezentatīviem paraugiem, jo tie transversāli attiecas uz militārajām spējām dažādās jomās,</w:t>
      </w:r>
      <w:r>
        <w:rPr>
          <w:rFonts w:ascii="Times New Roman" w:hAnsi="Times New Roman"/>
          <w:noProof/>
          <w:sz w:val="24"/>
        </w:rPr>
        <w:t xml:space="preserve"> sk. 1. izcēlumu</w:t>
      </w:r>
      <w:r>
        <w:rPr>
          <w:rFonts w:ascii="Times New Roman" w:hAnsi="Times New Roman"/>
          <w:noProof/>
          <w:sz w:val="24"/>
          <w:szCs w:val="24"/>
        </w:rPr>
        <w:t xml:space="preserve">. Mērķis bija apzināt kopīgās iezīmes starp šīm aizsardzības tehnoloģiju jomām, jo īpaši attiecībā uz atkarību cēloņiem un saistītajiem riskiem, kā arī sākotnējās iespējas to mazināšanai. </w:t>
      </w:r>
    </w:p>
    <w:p w14:paraId="32998D80" w14:textId="478DD5AF" w:rsidR="00724808" w:rsidRPr="004605EE" w:rsidRDefault="006B2DF3" w:rsidP="00C415A1">
      <w:pPr>
        <w:spacing w:after="120"/>
        <w:jc w:val="both"/>
        <w:rPr>
          <w:rFonts w:ascii="Times New Roman" w:hAnsi="Times New Roman" w:cs="Times New Roman"/>
          <w:noProof/>
          <w:sz w:val="24"/>
          <w:szCs w:val="24"/>
        </w:rPr>
      </w:pPr>
      <w:r>
        <w:rPr>
          <w:rFonts w:ascii="Times New Roman" w:hAnsi="Times New Roman"/>
          <w:noProof/>
          <w:sz w:val="24"/>
        </w:rPr>
        <w:t xml:space="preserve">Gadījumu analīze apstiprina, ka aizsardzības nozarei kopumā ir tādas pašas stratēģiskās atkarības un neaizsargātības problēmas kā citām jutīgām ekosistēmām, jo īpaši attiecībā uz tehnoloģiju nepilnībām, (kritiski svarīgām) izejvielām, prasmēm, zemām investīcijām pētniecībā, tehnoloģiju izstrādē un inovācijā un trešo valstu eksteritoriāliem noteikumiem. Turklāt tiek konstatēts, ka nozares neaizsargātību kopumā saasina tās darbību stratēģiskā un jutīgā būtība (piemēram, augstāki informācijas drošības un piegādes drošības standarti) un salīdzinoši nelielais tirgus. </w:t>
      </w:r>
    </w:p>
    <w:p w14:paraId="19735496" w14:textId="2A40624B" w:rsidR="00234B58" w:rsidRPr="004605EE" w:rsidRDefault="002503A8" w:rsidP="005B79C2">
      <w:pPr>
        <w:spacing w:after="120"/>
        <w:jc w:val="both"/>
        <w:rPr>
          <w:rFonts w:ascii="Times New Roman" w:hAnsi="Times New Roman" w:cs="Times New Roman"/>
          <w:noProof/>
          <w:sz w:val="24"/>
        </w:rPr>
      </w:pPr>
      <w:r>
        <w:rPr>
          <w:rFonts w:ascii="Times New Roman" w:hAnsi="Times New Roman"/>
          <w:noProof/>
          <w:sz w:val="24"/>
        </w:rPr>
        <w:t>Gadījumu analīze arī liecina, ka daži no ES globālajiem konkurentiem rīkojas agresīvāk nolūkā veicināt kritiski svarīgas tehnoloģijas un novērstu stratēģiskās atkarības, nekā to līdz šim ir darījusi ES. Piemēram, tie sistemātiskāk sasaista valsts aizsardzības apsvērumus ar civilo tehnoloģiju izstrādi, veic lielas investīcijas iekšzemes pētniecībā, tehnoloģiju izstrādē un inovācijā un rūpniecībā, piesaista ārējus investorus un dažkārt īsteno agresīvas pārņemšanas stratēģijas trešās valstīs. Tie arī aizsargā savas rūpnieciskās zināšanas un ietekmi, līdzsvarojot savstarpējo atkarību vai izmantojot stingrus eksteritoriālus noteikumus, lai ierobežotu trešo valstu piekļuvi tehnoloģijām.</w:t>
      </w:r>
    </w:p>
    <w:p w14:paraId="5E488626" w14:textId="0AAC3AF9" w:rsidR="005B79C2" w:rsidRPr="004605EE" w:rsidRDefault="00633D59" w:rsidP="005B79C2">
      <w:pPr>
        <w:spacing w:after="120"/>
        <w:jc w:val="both"/>
        <w:rPr>
          <w:rFonts w:ascii="Times New Roman" w:hAnsi="Times New Roman" w:cs="Times New Roman"/>
          <w:noProof/>
          <w:sz w:val="24"/>
        </w:rPr>
      </w:pPr>
      <w:r>
        <w:rPr>
          <w:rFonts w:ascii="Times New Roman" w:hAnsi="Times New Roman"/>
          <w:noProof/>
          <w:sz w:val="24"/>
        </w:rPr>
        <w:t>Lai gan ES ir savi instrumenti, ar ko stiprināt tās rūpniecisko jaudu saskaņā ar ES noteikumiem, to kavē joprojām lielā mērā sadrumstalotais ES aizsardzības tirgus pieprasījums, vēsturiski stingrais civilās un aizsardzības pētniecības, tehnoloģiju izstrādes un inovācijas nošķīrums ES līmenī un salīdzinoši nepietiekamie dalībvalstu ieguldījumi Eiropas aizsardzības tehnoloģiskajā un rūpnieciskajā bāzē (</w:t>
      </w:r>
      <w:r>
        <w:rPr>
          <w:rFonts w:ascii="Times New Roman" w:hAnsi="Times New Roman"/>
          <w:i/>
          <w:iCs/>
          <w:noProof/>
          <w:sz w:val="24"/>
        </w:rPr>
        <w:t>EDTIB</w:t>
      </w:r>
      <w:r>
        <w:rPr>
          <w:rFonts w:ascii="Times New Roman" w:hAnsi="Times New Roman"/>
          <w:noProof/>
          <w:sz w:val="24"/>
        </w:rPr>
        <w:t>). Dalībvalstu kopējie izdevumi inovācijai aizsardzības jomā (2,5 miljardi EUR jeb 1,2 % no aizsardzības izdevumiem) joprojām atpaliek no 15 gadus senā EAA mērķa, proti, 2 %.</w:t>
      </w:r>
    </w:p>
    <w:p w14:paraId="25EBC67C" w14:textId="64DEA7F2" w:rsidR="002E23E3" w:rsidRPr="004605EE" w:rsidRDefault="005B79C2" w:rsidP="00466D45">
      <w:pPr>
        <w:spacing w:after="120"/>
        <w:jc w:val="both"/>
        <w:rPr>
          <w:rFonts w:ascii="Times New Roman" w:hAnsi="Times New Roman" w:cs="Times New Roman"/>
          <w:noProof/>
          <w:sz w:val="24"/>
        </w:rPr>
      </w:pPr>
      <w:r>
        <w:rPr>
          <w:rFonts w:ascii="Times New Roman" w:hAnsi="Times New Roman"/>
          <w:noProof/>
          <w:sz w:val="24"/>
        </w:rPr>
        <w:t>Lai gan tirgus spēki ir radījuši situāciju, ka neviena valsts nevar sasniegt pilnīgu tehnoloģisko suverenitāti tehnoloģiju jomā, pastāv globāla sacensība par tehnoloģisko līderību un ar to saistītajām ekonomiskajām un militārajām priekšrocībām. Ja nesekos rīcība, ES stratēģiskās atkarības varētu saasināties un izraisīt jaunas. Lai ES saglabātu vadošo pozīciju kritisko tehnoloģiju jomā un identificētu un mazinātu stratēģisko atkarību drošības un aizsardzības jomā, ir vajadzīga strukturēta pieeja. Šā ceļveža mērķis ir sniegt šādu pieeju, kas jāintegrē ES Stratēģiskajā kompasā.</w:t>
      </w:r>
    </w:p>
    <w:tbl>
      <w:tblPr>
        <w:tblStyle w:val="TableGrid"/>
        <w:tblW w:w="0" w:type="auto"/>
        <w:tblInd w:w="108" w:type="dxa"/>
        <w:tblLook w:val="04A0" w:firstRow="1" w:lastRow="0" w:firstColumn="1" w:lastColumn="0" w:noHBand="0" w:noVBand="1"/>
      </w:tblPr>
      <w:tblGrid>
        <w:gridCol w:w="9356"/>
      </w:tblGrid>
      <w:tr w:rsidR="00DC5D95" w:rsidRPr="004605EE" w14:paraId="5E6A839C" w14:textId="77777777" w:rsidTr="002220F9">
        <w:tc>
          <w:tcPr>
            <w:tcW w:w="9356" w:type="dxa"/>
            <w:shd w:val="clear" w:color="auto" w:fill="auto"/>
          </w:tcPr>
          <w:p w14:paraId="417E3265" w14:textId="05DDEA83" w:rsidR="00DC5D95" w:rsidRPr="004605EE" w:rsidRDefault="00DC5D95" w:rsidP="00DC5D95">
            <w:pPr>
              <w:spacing w:after="120"/>
              <w:jc w:val="both"/>
              <w:rPr>
                <w:rFonts w:ascii="Times New Roman" w:hAnsi="Times New Roman" w:cs="Times New Roman"/>
                <w:b/>
                <w:noProof/>
                <w:sz w:val="24"/>
              </w:rPr>
            </w:pPr>
            <w:r>
              <w:rPr>
                <w:rFonts w:ascii="Times New Roman" w:hAnsi="Times New Roman"/>
                <w:b/>
                <w:noProof/>
                <w:sz w:val="24"/>
              </w:rPr>
              <w:t xml:space="preserve">1. izcēlums. Gadījumu analīze — Autonomās sistēmas un pusvadītāji aizsardzības jomā </w:t>
            </w:r>
          </w:p>
          <w:p w14:paraId="2160294E" w14:textId="36D99247" w:rsidR="00DC5D95" w:rsidRPr="004605EE" w:rsidRDefault="003407D4" w:rsidP="00DC5D95">
            <w:pPr>
              <w:spacing w:after="120"/>
              <w:jc w:val="both"/>
              <w:rPr>
                <w:rFonts w:ascii="Times New Roman" w:hAnsi="Times New Roman" w:cs="Times New Roman"/>
                <w:noProof/>
                <w:sz w:val="24"/>
              </w:rPr>
            </w:pPr>
            <w:r>
              <w:rPr>
                <w:rFonts w:ascii="Times New Roman" w:hAnsi="Times New Roman"/>
                <w:noProof/>
                <w:sz w:val="24"/>
              </w:rPr>
              <w:t>Komisijas analītiskajā darbā attiecībā uz autonomām aizsardzības sistēmām, īpašu uzmanību pievēršot mākslīgajam intelektam (MI) un mašīnmācīšanai, tika apzinātas attiecīgās kritiski svarīgās tehnoloģijas un četras galvenās jomas, kurās ES atpaliek, proti: prasmes, dati, datoraparatūra un testēšana. Iespējamie pasākumi to risināšanai balstītos uz esošo ES mākslīgā intelekta stratēģiju</w:t>
            </w:r>
            <w:r>
              <w:rPr>
                <w:rStyle w:val="FootnoteReference"/>
                <w:rFonts w:ascii="Times New Roman" w:hAnsi="Times New Roman" w:cs="Times New Roman"/>
                <w:noProof/>
                <w:sz w:val="24"/>
              </w:rPr>
              <w:footnoteReference w:id="9"/>
            </w:r>
            <w:r>
              <w:rPr>
                <w:rFonts w:ascii="Times New Roman" w:hAnsi="Times New Roman"/>
                <w:noProof/>
                <w:sz w:val="24"/>
              </w:rPr>
              <w:t xml:space="preserve"> un saistītajām politikas iniciatīvām, kā arī uz dalībvalstu nacionālajām mākslīgā intelekta stratēģijām. Tie ietver pētniecības, tehnoloģiju izstrādes un inovācijas darbības (piemēram, lielāka datu pieejamība un apmācība MI jomā, saikne ar Eiropas procesoru iniciatīvu), infrastruktūru (piemēram, mākoņdatošanas jauda aizsardzības vajadzībām, iekšzemes testēšanas iekārtas) un esošo kritiski svarīgo aktīvu aizsardzību (piemēram, ārvalstu tiešo investīciju izvērtēšana).</w:t>
            </w:r>
          </w:p>
          <w:p w14:paraId="011D5C4C" w14:textId="3C970D65" w:rsidR="00DC5D95" w:rsidRPr="00B07B1D" w:rsidRDefault="00DC5D95" w:rsidP="002220F9">
            <w:pPr>
              <w:spacing w:after="120"/>
              <w:jc w:val="both"/>
              <w:rPr>
                <w:rFonts w:ascii="Times New Roman" w:hAnsi="Times New Roman" w:cs="Times New Roman"/>
                <w:noProof/>
                <w:sz w:val="24"/>
              </w:rPr>
            </w:pPr>
            <w:r>
              <w:rPr>
                <w:rFonts w:ascii="Times New Roman" w:hAnsi="Times New Roman"/>
                <w:noProof/>
                <w:sz w:val="24"/>
              </w:rPr>
              <w:t>Analītiskajā darbā attiecībā uz aizsardzības jomas pusvadītājiem tika uzsvērta visuresošā pusvadītāju klātbūtne aizsardzības aprīkojumā un pašreizējās un turpmākās atkarības, ko jo īpaši rada vietējo ES spēju (fabriku) trūkums visattīstītākajos mezglos. Komisija ir iekļāvusi riska mazināšanas pasākumus 2022. gada 8. februārī pieņemtajā priekšlikumā Eiropas mikroshēmu aktam</w:t>
            </w:r>
            <w:r>
              <w:rPr>
                <w:rStyle w:val="FootnoteReference"/>
                <w:rFonts w:ascii="Times New Roman" w:hAnsi="Times New Roman" w:cs="Times New Roman"/>
                <w:noProof/>
                <w:sz w:val="24"/>
              </w:rPr>
              <w:footnoteReference w:id="10"/>
            </w:r>
            <w:r>
              <w:rPr>
                <w:rFonts w:ascii="Times New Roman" w:hAnsi="Times New Roman"/>
                <w:noProof/>
                <w:sz w:val="24"/>
              </w:rPr>
              <w:t xml:space="preserve">, kura mērķis ir izveidot modernu Eiropas mikroshēmu ekosistēmu, lai uzlabotu ES spējas šajā jomā, tādējādi risinot arī aizsardzības vajadzības. </w:t>
            </w:r>
          </w:p>
        </w:tc>
      </w:tr>
    </w:tbl>
    <w:p w14:paraId="31809327" w14:textId="77777777" w:rsidR="00DC5D95" w:rsidRPr="004605EE" w:rsidRDefault="00DC5D95" w:rsidP="005B79C2">
      <w:pPr>
        <w:spacing w:after="120"/>
        <w:jc w:val="both"/>
        <w:rPr>
          <w:rFonts w:ascii="Times New Roman" w:hAnsi="Times New Roman" w:cs="Times New Roman"/>
          <w:noProof/>
          <w:sz w:val="24"/>
        </w:rPr>
      </w:pPr>
    </w:p>
    <w:p w14:paraId="12F98938" w14:textId="1B70F1DE" w:rsidR="00E37879" w:rsidRPr="004605EE" w:rsidRDefault="00E37879"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2.3.</w:t>
      </w:r>
      <w:r>
        <w:rPr>
          <w:noProof/>
        </w:rPr>
        <w:tab/>
      </w:r>
      <w:r>
        <w:rPr>
          <w:rFonts w:ascii="Times New Roman" w:hAnsi="Times New Roman"/>
          <w:b/>
          <w:i/>
          <w:noProof/>
          <w:sz w:val="24"/>
        </w:rPr>
        <w:t>Kritiski svarīgo tehnoloģiju observatorija</w:t>
      </w:r>
    </w:p>
    <w:p w14:paraId="516FE5E9" w14:textId="5736C063" w:rsidR="002E0707" w:rsidRPr="004605EE" w:rsidRDefault="00964A1D" w:rsidP="005A100B">
      <w:pPr>
        <w:tabs>
          <w:tab w:val="left" w:pos="284"/>
        </w:tabs>
        <w:spacing w:after="120"/>
        <w:jc w:val="both"/>
        <w:rPr>
          <w:rFonts w:ascii="Times New Roman" w:hAnsi="Times New Roman" w:cs="Times New Roman"/>
          <w:noProof/>
          <w:sz w:val="24"/>
        </w:rPr>
      </w:pPr>
      <w:r>
        <w:rPr>
          <w:rFonts w:ascii="Times New Roman" w:hAnsi="Times New Roman"/>
          <w:noProof/>
          <w:sz w:val="24"/>
        </w:rPr>
        <w:t xml:space="preserve">Paredzamības trūkums attiecībā uz tehnoloģiju turpmāko nozīmi daļēji ir vainojams dažās no ES pašreizējām stratēģiskajām atkarībām no trešām valstīm (piemēram, attiecībā uz tālvadības sistēmām, pusvadītājiem). Lai noteiktu prioritārās jomas pētniecības un inovācijas veicināšanai, esošo stratēģisko atkarību samazināšanai un jaunu tehnoloģiju rašanās novēršanai, ES ir vajadzīga strukturētāka prognozēšana un stratēģiskas pārdomas par drošībai un aizsardzībai kritiski svarīgām tehnoloģijām. </w:t>
      </w:r>
    </w:p>
    <w:p w14:paraId="6077A56D" w14:textId="6A7F689C" w:rsidR="00EC53F6"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Kritiski svarīgo tehnoloģiju observatorija, pie kuras izveides pašlaik strādā Komisija saskaņā ar rīcības plānu sinerģijas jomā (4. darbība), veicinās šo pārdomu procesu. Tās darba metodēs tiks ņemtas vērā citas līdzīgas iniciatīvas</w:t>
      </w:r>
      <w:r>
        <w:rPr>
          <w:rStyle w:val="FootnoteReference"/>
          <w:rFonts w:ascii="Times New Roman" w:hAnsi="Times New Roman" w:cs="Times New Roman"/>
          <w:noProof/>
          <w:sz w:val="24"/>
        </w:rPr>
        <w:footnoteReference w:id="11"/>
      </w:r>
      <w:r>
        <w:rPr>
          <w:rFonts w:ascii="Times New Roman" w:hAnsi="Times New Roman"/>
          <w:noProof/>
          <w:sz w:val="24"/>
        </w:rPr>
        <w:t>, lai izvairītos no dublēšanās. Tas ļaus precizēt kritiski svarīgo tehnoloģiju sarakstu, kas ietverts sinerģijas rīcības plānā, lai atspoguļotu mainīgo tehnoloģisko vidi un spēju vajadzības.</w:t>
      </w:r>
    </w:p>
    <w:p w14:paraId="0653C6BD" w14:textId="335A4489" w:rsidR="00333EC4" w:rsidRDefault="00EC53F6" w:rsidP="00220CAE">
      <w:pPr>
        <w:spacing w:after="120"/>
        <w:jc w:val="both"/>
        <w:rPr>
          <w:rFonts w:ascii="Times New Roman" w:hAnsi="Times New Roman" w:cs="Times New Roman"/>
          <w:noProof/>
          <w:sz w:val="24"/>
        </w:rPr>
      </w:pPr>
      <w:r>
        <w:rPr>
          <w:rFonts w:ascii="Times New Roman" w:hAnsi="Times New Roman"/>
          <w:noProof/>
          <w:sz w:val="24"/>
        </w:rPr>
        <w:t xml:space="preserve">Observatorija noteiks, uzraudzīs un novērtēs kritiski svarīgās tehnoloģijas kosmosa, aizsardzības un ar tām saistītajās civilajās nozarēs, to potenciālo pielietojumu un ar tām saistītās vērtības un piegādes ķēdes. Tā arī noteiks, uzraudzīs un analizēs esošās un paredzamās tehnoloģiju nepilnības, stratēģisko atkarību un neaizsargātības pamatcēloņus. </w:t>
      </w:r>
    </w:p>
    <w:p w14:paraId="27BD64E9" w14:textId="3FA0616C" w:rsidR="00DB58EB" w:rsidRPr="004605EE" w:rsidRDefault="00220CAE" w:rsidP="00DB58EB">
      <w:pPr>
        <w:spacing w:after="120"/>
        <w:jc w:val="both"/>
        <w:rPr>
          <w:rFonts w:ascii="Times New Roman" w:hAnsi="Times New Roman" w:cs="Times New Roman"/>
          <w:noProof/>
          <w:sz w:val="24"/>
        </w:rPr>
      </w:pPr>
      <w:r>
        <w:rPr>
          <w:rFonts w:ascii="Times New Roman" w:hAnsi="Times New Roman"/>
          <w:noProof/>
          <w:sz w:val="24"/>
        </w:rPr>
        <w:t>Būs svarīgi vienoties ar dalībvalstīm par jēgpilnu detalizācijas pakāpi, lai apspriestu šos jautājumus ES līmenī, un vajadzību apmainīties ar attiecīgajiem datiem starp dalībvalstīm un ar Komisiju. Observatorijā tiks izveidots mehānisms īpašas ekspertu grupas veidā, lai apmainītos ar informāciju un diskutētu ar dalībvalstīm klasificētā vidē. Tas ietvers diskusijas par jaunu un revolucionāru tehnoloģiju parādīšanos, lai izvairītos no jaunām atkarībām drošības, aizsardzības un kosmosa nozarēs. Augstais pārstāvis un viņa dienesti tiks iesaistīti šajā procesā.</w:t>
      </w:r>
    </w:p>
    <w:p w14:paraId="5386995C" w14:textId="32F75592" w:rsidR="008B5965" w:rsidRPr="004605EE" w:rsidRDefault="00DB58EB" w:rsidP="00DB58EB">
      <w:pPr>
        <w:spacing w:after="120"/>
        <w:jc w:val="both"/>
        <w:rPr>
          <w:rFonts w:ascii="Times New Roman" w:hAnsi="Times New Roman" w:cs="Times New Roman"/>
          <w:noProof/>
          <w:sz w:val="24"/>
        </w:rPr>
      </w:pPr>
      <w:r>
        <w:rPr>
          <w:rFonts w:ascii="Times New Roman" w:hAnsi="Times New Roman"/>
          <w:noProof/>
          <w:sz w:val="24"/>
        </w:rPr>
        <w:t>Komisija, pamatojoties uz Observatorijas datiem, līdz 2022. gada beigām un pēc tam reizi divos gados iesniegs dalībvalstīm klasificētu ziņojumu par kritiski svarīgām tehnoloģijām un riskiem, kas saistīti ar stratēģiskām atkarībām, kuras ietekmē drošību, kosmosu un aizsardzību. Pamatojoties uz šiem ziņojumiem, Komisija sagatavos tehnoloģiju ceļvežus, kas ietvers riska mazināšanas pasākumus, lai veicinātu pētniecību, tehnoloģiju izstrādi un inovāciju un mazinātu stratēģisko atkarību, kas ietekmē drošību un aizsardzību.</w:t>
      </w:r>
    </w:p>
    <w:p w14:paraId="75822233" w14:textId="3F66E361" w:rsidR="002E0707" w:rsidRPr="004605EE" w:rsidRDefault="00DB58EB" w:rsidP="007D3FC6">
      <w:pPr>
        <w:spacing w:after="120"/>
        <w:jc w:val="both"/>
        <w:rPr>
          <w:rFonts w:ascii="Times New Roman" w:hAnsi="Times New Roman" w:cs="Times New Roman"/>
          <w:noProof/>
          <w:sz w:val="24"/>
        </w:rPr>
      </w:pPr>
      <w:r>
        <w:rPr>
          <w:rFonts w:ascii="Times New Roman" w:hAnsi="Times New Roman"/>
          <w:noProof/>
          <w:sz w:val="24"/>
        </w:rPr>
        <w:t>Tiklīdz Observatorijas darbība būs labi izveidota, tā darbības jomu varētu paplašināt, attiecinot to arī uz citām nozarēm, kā norādīts atjauninātajā industriālajā stratēģijā.</w:t>
      </w:r>
    </w:p>
    <w:tbl>
      <w:tblPr>
        <w:tblStyle w:val="TableGrid"/>
        <w:tblW w:w="0" w:type="auto"/>
        <w:shd w:val="clear" w:color="auto" w:fill="D9D9D9" w:themeFill="background1" w:themeFillShade="D9"/>
        <w:tblLook w:val="04A0" w:firstRow="1" w:lastRow="0" w:firstColumn="1" w:lastColumn="0" w:noHBand="0" w:noVBand="1"/>
      </w:tblPr>
      <w:tblGrid>
        <w:gridCol w:w="9576"/>
      </w:tblGrid>
      <w:tr w:rsidR="0050261B" w:rsidRPr="004605EE" w14:paraId="385DB076" w14:textId="77777777" w:rsidTr="002220F9">
        <w:tc>
          <w:tcPr>
            <w:tcW w:w="9576" w:type="dxa"/>
            <w:shd w:val="clear" w:color="auto" w:fill="D9D9D9" w:themeFill="background1" w:themeFillShade="D9"/>
          </w:tcPr>
          <w:p w14:paraId="4E484188" w14:textId="77777777" w:rsidR="0050261B" w:rsidRPr="002220F9" w:rsidRDefault="0050261B" w:rsidP="007D3FC6">
            <w:pPr>
              <w:spacing w:after="120"/>
              <w:jc w:val="both"/>
              <w:rPr>
                <w:rFonts w:ascii="Times New Roman" w:hAnsi="Times New Roman" w:cs="Times New Roman"/>
                <w:b/>
                <w:i/>
                <w:noProof/>
                <w:sz w:val="24"/>
              </w:rPr>
            </w:pPr>
            <w:r>
              <w:rPr>
                <w:rFonts w:ascii="Times New Roman" w:hAnsi="Times New Roman"/>
                <w:b/>
                <w:i/>
                <w:noProof/>
                <w:sz w:val="24"/>
              </w:rPr>
              <w:t>Turpmākā rīcība</w:t>
            </w:r>
          </w:p>
          <w:p w14:paraId="4506EDD3" w14:textId="4B2DB660" w:rsidR="0050261B" w:rsidRPr="002220F9" w:rsidRDefault="00871F52" w:rsidP="0050261B">
            <w:pPr>
              <w:pStyle w:val="ListParagraph"/>
              <w:numPr>
                <w:ilvl w:val="0"/>
                <w:numId w:val="3"/>
              </w:numPr>
              <w:jc w:val="both"/>
              <w:rPr>
                <w:rFonts w:ascii="Times New Roman" w:hAnsi="Times New Roman" w:cs="Times New Roman"/>
                <w:noProof/>
                <w:sz w:val="24"/>
              </w:rPr>
            </w:pPr>
            <w:r>
              <w:rPr>
                <w:rFonts w:ascii="Times New Roman" w:hAnsi="Times New Roman"/>
                <w:noProof/>
                <w:sz w:val="24"/>
              </w:rPr>
              <w:t>Komisija 2022. gadā izveidos ekspertu grupu, lai atvieglotu informācijas apmaiņu ar dalībvalstīm par kritiski svarīgām tehnoloģijām, vērtības un piegādes ķēdēm. Tā būs daļa no Kritiski svarīgo tehnoloģiju observatorijas aizsardzības, kosmosa un ar to saistīto civilo nozaru jomā. Tās mērķis būs:</w:t>
            </w:r>
          </w:p>
          <w:p w14:paraId="3712F9DA" w14:textId="33BA4E21" w:rsidR="00125F39" w:rsidRPr="002220F9" w:rsidRDefault="00871F52" w:rsidP="00157BEA">
            <w:pPr>
              <w:pStyle w:val="ListParagraph"/>
              <w:numPr>
                <w:ilvl w:val="0"/>
                <w:numId w:val="4"/>
              </w:numPr>
              <w:jc w:val="both"/>
              <w:rPr>
                <w:rFonts w:ascii="Times New Roman" w:hAnsi="Times New Roman" w:cs="Times New Roman"/>
                <w:noProof/>
                <w:sz w:val="24"/>
              </w:rPr>
            </w:pPr>
            <w:r>
              <w:rPr>
                <w:rFonts w:ascii="Times New Roman" w:hAnsi="Times New Roman"/>
                <w:noProof/>
                <w:sz w:val="24"/>
              </w:rPr>
              <w:t>regulāri apspriesties ar dalībvalstu iestādēm, lai sagatavotu klasificēto ziņojumu;</w:t>
            </w:r>
          </w:p>
          <w:p w14:paraId="6E07E73A" w14:textId="1B934610" w:rsidR="00360DDD" w:rsidRPr="002220F9" w:rsidRDefault="00881A45" w:rsidP="001137B2">
            <w:pPr>
              <w:pStyle w:val="ListParagraph"/>
              <w:numPr>
                <w:ilvl w:val="0"/>
                <w:numId w:val="4"/>
              </w:numPr>
              <w:spacing w:after="120" w:line="259" w:lineRule="auto"/>
              <w:ind w:left="714" w:hanging="357"/>
              <w:contextualSpacing w:val="0"/>
              <w:jc w:val="both"/>
              <w:rPr>
                <w:rFonts w:ascii="Times New Roman" w:hAnsi="Times New Roman" w:cs="Times New Roman"/>
                <w:noProof/>
                <w:sz w:val="24"/>
              </w:rPr>
            </w:pPr>
            <w:r>
              <w:rPr>
                <w:rFonts w:ascii="Times New Roman" w:hAnsi="Times New Roman"/>
                <w:noProof/>
                <w:sz w:val="24"/>
              </w:rPr>
              <w:t xml:space="preserve">nodrošināt sensitīvas un klasificētas informācijas, ar kuru var apmainīties Kritiski svarīgo tehnoloģiju observatorija, atbilstīgu apstrādi saistīto ziņojumu un ceļvežu kontekstā. </w:t>
            </w:r>
          </w:p>
          <w:p w14:paraId="4576383A" w14:textId="7D8F3C93" w:rsidR="0050261B" w:rsidRPr="002220F9" w:rsidRDefault="00033924" w:rsidP="00033924">
            <w:pPr>
              <w:pStyle w:val="ListParagraph"/>
              <w:numPr>
                <w:ilvl w:val="0"/>
                <w:numId w:val="3"/>
              </w:numPr>
              <w:spacing w:after="120"/>
              <w:ind w:left="357" w:hanging="357"/>
              <w:contextualSpacing w:val="0"/>
              <w:jc w:val="both"/>
              <w:rPr>
                <w:rFonts w:ascii="Times New Roman" w:hAnsi="Times New Roman" w:cs="Times New Roman"/>
                <w:noProof/>
                <w:sz w:val="24"/>
              </w:rPr>
            </w:pPr>
            <w:r>
              <w:rPr>
                <w:rFonts w:ascii="Times New Roman" w:hAnsi="Times New Roman"/>
                <w:noProof/>
                <w:sz w:val="24"/>
              </w:rPr>
              <w:t>Līdz 2022. gada vidum Komisija nāks klajā ar pētījumu par ES drošības tirgu, kas palīdzēs labāk izprast civilās drošības tirgus īpatnības, atbalstīt kritiski svarīgo tehnoloģiju un stratēģisko atkarību apzināšanu un atbalstīt jauno uz spējām balstīto pieeju drošībai un citām pētniecības, tehnoloģiju izstrādes un inovācijas darbībām.</w:t>
            </w:r>
          </w:p>
          <w:p w14:paraId="403E7D67" w14:textId="01858074" w:rsidR="00E859E1" w:rsidRPr="002220F9" w:rsidRDefault="00E859E1" w:rsidP="002220F9">
            <w:pPr>
              <w:pStyle w:val="ListParagraph"/>
              <w:numPr>
                <w:ilvl w:val="0"/>
                <w:numId w:val="3"/>
              </w:numPr>
              <w:spacing w:after="120"/>
              <w:contextualSpacing w:val="0"/>
              <w:jc w:val="both"/>
              <w:rPr>
                <w:rFonts w:ascii="Times New Roman" w:hAnsi="Times New Roman" w:cs="Times New Roman"/>
                <w:noProof/>
                <w:sz w:val="24"/>
              </w:rPr>
            </w:pPr>
            <w:r>
              <w:rPr>
                <w:rFonts w:ascii="Times New Roman" w:hAnsi="Times New Roman"/>
                <w:noProof/>
                <w:sz w:val="24"/>
              </w:rPr>
              <w:t>Līdz 2022. gada vidum Komisijas dienesti sagatavos dokumentu, kurā būs apkopoti priekšlikumi par to, kā veicināt uz spējām balstītu pieeju pieņemšanu, kas jāpiemēro visās drošības nozarēs.</w:t>
            </w:r>
          </w:p>
        </w:tc>
      </w:tr>
    </w:tbl>
    <w:p w14:paraId="7D4762C0" w14:textId="77777777" w:rsidR="00E37879" w:rsidRPr="004605EE" w:rsidRDefault="00E37879" w:rsidP="007D3FC6">
      <w:pPr>
        <w:spacing w:after="0"/>
        <w:jc w:val="both"/>
        <w:rPr>
          <w:rFonts w:ascii="Times New Roman" w:hAnsi="Times New Roman" w:cs="Times New Roman"/>
          <w:noProof/>
          <w:sz w:val="24"/>
        </w:rPr>
      </w:pPr>
    </w:p>
    <w:p w14:paraId="36A44F52" w14:textId="0F7618B3" w:rsidR="00E37879" w:rsidRPr="004605EE" w:rsidRDefault="00E37879" w:rsidP="007D3FC6">
      <w:pPr>
        <w:tabs>
          <w:tab w:val="left" w:pos="567"/>
        </w:tabs>
        <w:spacing w:after="120"/>
        <w:ind w:left="567" w:hanging="567"/>
        <w:jc w:val="both"/>
        <w:rPr>
          <w:rFonts w:ascii="Times New Roman" w:hAnsi="Times New Roman" w:cs="Times New Roman"/>
          <w:b/>
          <w:noProof/>
          <w:sz w:val="24"/>
        </w:rPr>
      </w:pPr>
      <w:r>
        <w:rPr>
          <w:rFonts w:ascii="Times New Roman" w:hAnsi="Times New Roman"/>
          <w:b/>
          <w:noProof/>
          <w:sz w:val="24"/>
        </w:rPr>
        <w:t>3.</w:t>
      </w:r>
      <w:r>
        <w:rPr>
          <w:noProof/>
        </w:rPr>
        <w:tab/>
      </w:r>
      <w:r>
        <w:rPr>
          <w:rFonts w:ascii="Times New Roman" w:hAnsi="Times New Roman"/>
          <w:b/>
          <w:noProof/>
          <w:sz w:val="24"/>
        </w:rPr>
        <w:t xml:space="preserve">Pētniecības, tehnoloģiju izstrādes un inovācijas veicināšana drošībai un aizsardzībai kritiski svarīgu tehnoloģiju jomā </w:t>
      </w:r>
    </w:p>
    <w:p w14:paraId="306506B8" w14:textId="72BB5870" w:rsidR="0088190B" w:rsidRPr="004605EE" w:rsidRDefault="0088190B" w:rsidP="00C415A1">
      <w:pPr>
        <w:spacing w:after="120"/>
        <w:jc w:val="both"/>
        <w:rPr>
          <w:rFonts w:ascii="Times New Roman" w:hAnsi="Times New Roman" w:cs="Times New Roman"/>
          <w:noProof/>
          <w:sz w:val="24"/>
        </w:rPr>
      </w:pPr>
      <w:r>
        <w:rPr>
          <w:rFonts w:ascii="Times New Roman" w:hAnsi="Times New Roman"/>
          <w:noProof/>
          <w:sz w:val="24"/>
        </w:rPr>
        <w:t>Tehnoloģiju ceļveži, ko Komisija sagatavos, pamatojoties uz Observatorijas veiktajiem novērtējumiem, būs pamatā pasākumiem, sākot no pētniecības, tehnoloģiju izstrādes un inovācijas programmu izstrādes kritisko tehnoloģiju jomā un beidzot ar plašāku pamatiniciatīvu izstrādi, kas palīdzēs stiprināt ES konkurētspēju un noturību drošības un aizsardzības nozarē. Lai sasniegtu šos mērķus, būs efektīvāk jāizmanto pieejamie finanšu resursi, labāk koordinējot esošās ES un valstu pētniecības, tehnoloģiju izstrādes un inovācijas programmas un instrumentus.</w:t>
      </w:r>
    </w:p>
    <w:p w14:paraId="7B735D2F" w14:textId="0C5F218D" w:rsidR="00E37879" w:rsidRPr="004605EE" w:rsidDel="00F0172A" w:rsidRDefault="00E37879"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3.1.</w:t>
      </w:r>
      <w:r>
        <w:rPr>
          <w:noProof/>
        </w:rPr>
        <w:tab/>
      </w:r>
      <w:r>
        <w:rPr>
          <w:rFonts w:ascii="Times New Roman" w:hAnsi="Times New Roman"/>
          <w:b/>
          <w:i/>
          <w:noProof/>
          <w:sz w:val="24"/>
        </w:rPr>
        <w:t xml:space="preserve">Pārvarēt nošķīrumu starp ES civilo un aizsardzības pētniecību, tehnoloģiju izstrādi un inovāciju </w:t>
      </w:r>
    </w:p>
    <w:p w14:paraId="3E084D64" w14:textId="1F92950B" w:rsidR="00E44BDC" w:rsidRPr="004605EE" w:rsidRDefault="00C07D18" w:rsidP="00C213AB">
      <w:pPr>
        <w:spacing w:after="120"/>
        <w:jc w:val="both"/>
        <w:rPr>
          <w:rFonts w:ascii="Times New Roman" w:hAnsi="Times New Roman" w:cs="Times New Roman"/>
          <w:noProof/>
          <w:sz w:val="24"/>
        </w:rPr>
      </w:pPr>
      <w:r>
        <w:rPr>
          <w:rFonts w:ascii="Times New Roman" w:hAnsi="Times New Roman"/>
          <w:noProof/>
          <w:sz w:val="24"/>
        </w:rPr>
        <w:t xml:space="preserve">Komisija saskaņā ar savu sinerģijas rīcības plānu (2. darbība) apņēmās līdz 2022. gadam uzlabot iekšējo koordināciju starp ES programmām un instrumentiem (sk. 2. izcēlumu), lai atraisītu milzīgos ieguvumus, ko rada sinerģijas starp civilo un aizsardzības pētniecību, tehnoloģiju izstrādi un inovāciju ekonomikas izaugsmei, vienotajam tirgum un Eiropas iedzīvotāju drošībai. </w:t>
      </w:r>
    </w:p>
    <w:p w14:paraId="6A756D3C" w14:textId="0297A813" w:rsidR="00C07D18" w:rsidRPr="004605EE" w:rsidRDefault="0005133C" w:rsidP="00C07D18">
      <w:pPr>
        <w:spacing w:after="120"/>
        <w:jc w:val="both"/>
        <w:rPr>
          <w:rFonts w:ascii="Times New Roman" w:hAnsi="Times New Roman" w:cs="Times New Roman"/>
          <w:noProof/>
          <w:sz w:val="24"/>
        </w:rPr>
      </w:pPr>
      <w:r>
        <w:rPr>
          <w:rFonts w:ascii="Times New Roman" w:hAnsi="Times New Roman"/>
          <w:noProof/>
          <w:sz w:val="24"/>
        </w:rPr>
        <w:t>Lai gan šā mērķa īstenošanu var turpināt arī 2023. gadā (piemēram, uzlabojot plānošanu un sinhronizāciju, norādījumus vadošajām iestādēm dalībvalstīs u. c.), dažus šķēršļus būs grūtāk novērst īstermiņā un vidējā termiņā, un var būt nepieciešams iesaistīt citas ieinteresētās personas. Tas jo īpaši attiecas uz gadījumiem, kad tiesību normas ES programmu un instrumentu pamataktos paredz praktiskus ierobežojumus. Piemēram, lai gan divējāda lietojuma darbības var finansēt no Eiropas infrastruktūras savienošanas instrumenta (EISI) un Eiropas strukturālajiem un investīciju fondiem (ESI fondi), darbības, ko veic saskaņā ar pamatprogrammu “Apvārsnis Eiropa”</w:t>
      </w:r>
      <w:r>
        <w:rPr>
          <w:rStyle w:val="FootnoteReference"/>
          <w:rFonts w:ascii="Times New Roman" w:hAnsi="Times New Roman" w:cs="Times New Roman"/>
          <w:noProof/>
          <w:sz w:val="24"/>
        </w:rPr>
        <w:footnoteReference w:id="12"/>
      </w:r>
      <w:r>
        <w:rPr>
          <w:rFonts w:ascii="Times New Roman" w:hAnsi="Times New Roman"/>
          <w:noProof/>
          <w:sz w:val="24"/>
        </w:rPr>
        <w:t>, ir vērstas uz civiliem lietojumiem; pētniecības, tehnoloģiju izstrādes un inovācijas programmās un instrumentos nav paredzēts satvars tieša atbalsta sniegšanai šādām darbībām. Līdzīgi arī Eiropas Investīciju bankas aizdevumu politika joprojām paredz ierobežojumus attiecībā uz aizsardzības nozari.</w:t>
      </w:r>
    </w:p>
    <w:p w14:paraId="6A20D681" w14:textId="0F178EB0" w:rsidR="003312CD" w:rsidRPr="004605EE" w:rsidDel="00F0172A" w:rsidRDefault="002B24DF" w:rsidP="00881A45">
      <w:pPr>
        <w:jc w:val="both"/>
        <w:rPr>
          <w:rFonts w:ascii="Times New Roman" w:hAnsi="Times New Roman" w:cs="Times New Roman"/>
          <w:noProof/>
          <w:sz w:val="24"/>
        </w:rPr>
      </w:pPr>
      <w:r>
        <w:rPr>
          <w:rFonts w:ascii="Times New Roman" w:hAnsi="Times New Roman"/>
          <w:noProof/>
          <w:sz w:val="24"/>
        </w:rPr>
        <w:t xml:space="preserve">Lai atvieglotu apmaiņu starp civilajām un aizsardzības kopienām, jo īpaši kritiski svarīgo tehnoloģiju jomā, Komisija 2023. gadā sagatavos pieeju nolūkā veicināt divējāda lietojuma pētniecību, tehnoloģiju izstrādi un inovāciju ES līmenī, kuru vidējā termiņā un ilgtermiņā vajadzēs pilnībā īstenot visās ES programmās un instrumentos. </w:t>
      </w:r>
      <w:r>
        <w:rPr>
          <w:rFonts w:ascii="Times New Roman" w:hAnsi="Times New Roman"/>
          <w:noProof/>
          <w:sz w:val="24"/>
          <w:szCs w:val="24"/>
        </w:rPr>
        <w:t xml:space="preserve">Šis darbs tiks izmantots arī attiecīgo nozaru programmu, piemēram, Kopīgo noteikumu regulas fondu, tostarp fondu, kas paredzēti sagatavotībai ārkārtas situācijām veselības jomā, vidusposma izvērtējumā. </w:t>
      </w:r>
    </w:p>
    <w:tbl>
      <w:tblPr>
        <w:tblStyle w:val="TableGrid"/>
        <w:tblW w:w="0" w:type="auto"/>
        <w:tblLook w:val="04A0" w:firstRow="1" w:lastRow="0" w:firstColumn="1" w:lastColumn="0" w:noHBand="0" w:noVBand="1"/>
      </w:tblPr>
      <w:tblGrid>
        <w:gridCol w:w="9576"/>
      </w:tblGrid>
      <w:tr w:rsidR="00AF689F" w:rsidRPr="004605EE" w14:paraId="48B6A5E0" w14:textId="77777777" w:rsidTr="00BE4AD4">
        <w:tc>
          <w:tcPr>
            <w:tcW w:w="9576" w:type="dxa"/>
            <w:shd w:val="clear" w:color="auto" w:fill="auto"/>
          </w:tcPr>
          <w:p w14:paraId="7886C5BC" w14:textId="0646F3F6" w:rsidR="00AF689F" w:rsidRPr="00BE4AD4" w:rsidRDefault="00AF689F" w:rsidP="001F6AB2">
            <w:pPr>
              <w:spacing w:after="120"/>
              <w:jc w:val="both"/>
              <w:rPr>
                <w:rFonts w:ascii="Times New Roman" w:hAnsi="Times New Roman" w:cs="Times New Roman"/>
                <w:b/>
                <w:noProof/>
                <w:sz w:val="24"/>
              </w:rPr>
            </w:pPr>
            <w:r>
              <w:rPr>
                <w:rFonts w:ascii="Times New Roman" w:hAnsi="Times New Roman"/>
                <w:b/>
                <w:noProof/>
                <w:sz w:val="24"/>
              </w:rPr>
              <w:t>2. izcēlums. ES programmas un instrumenti pētniecības, tehnoloģiju izstrādes un inovācijas atbalstam attiecībā uz drošībai un aizsardzībai kritiski svarīgām tehnoloģijām un to infrastruktūras izvēršanu saskaņā ar daudzgadu finanšu programmu (2021.–2027. gadam)</w:t>
            </w:r>
          </w:p>
          <w:p w14:paraId="32D01E62" w14:textId="4248B928" w:rsidR="00AF689F" w:rsidRPr="001F6AB2" w:rsidRDefault="00AF689F" w:rsidP="001F6AB2">
            <w:pPr>
              <w:pStyle w:val="ListParagraph"/>
              <w:numPr>
                <w:ilvl w:val="0"/>
                <w:numId w:val="17"/>
              </w:numPr>
              <w:spacing w:after="120"/>
              <w:jc w:val="both"/>
              <w:rPr>
                <w:rFonts w:ascii="Times New Roman" w:hAnsi="Times New Roman" w:cs="Times New Roman"/>
                <w:noProof/>
                <w:sz w:val="24"/>
              </w:rPr>
            </w:pPr>
            <w:r>
              <w:rPr>
                <w:rFonts w:ascii="Times New Roman" w:hAnsi="Times New Roman"/>
                <w:noProof/>
                <w:sz w:val="24"/>
              </w:rPr>
              <w:t xml:space="preserve">EAF atvēl 8 miljardus EUR aizsardzības pētniecībai un izstrādei. 4–8 % no EAF pētniecības un izstrādes budžeta tiks piešķirti revolucionārām tehnoloģijām, t. i., līdz 100 miljoniem EUR gadā. </w:t>
            </w:r>
          </w:p>
          <w:p w14:paraId="78D9AA05" w14:textId="15C9A8BE" w:rsidR="00AF689F" w:rsidRPr="00BE4AD4" w:rsidRDefault="00AF689F" w:rsidP="001F6AB2">
            <w:pPr>
              <w:pStyle w:val="ListParagraph"/>
              <w:numPr>
                <w:ilvl w:val="0"/>
                <w:numId w:val="17"/>
              </w:numPr>
              <w:spacing w:after="120"/>
              <w:jc w:val="both"/>
              <w:rPr>
                <w:rFonts w:ascii="Times New Roman" w:hAnsi="Times New Roman" w:cs="Times New Roman"/>
                <w:noProof/>
                <w:sz w:val="24"/>
              </w:rPr>
            </w:pPr>
            <w:r>
              <w:rPr>
                <w:rFonts w:ascii="Times New Roman" w:hAnsi="Times New Roman"/>
                <w:noProof/>
                <w:sz w:val="24"/>
              </w:rPr>
              <w:t>“Apvārsnis Eiropa” II pīlāra “Globālās problēmas un Eiropas rūpniecības konkurētspēja” kopā “Civilā drošība sabiedrībai” piešķir 1,6 miljardus EUR civilās drošības pētniecībai un inovācijai, savukārt kritiskās tehnoloģijas tiek atbalstītas kopās “Digitālā joma, rūpniecība un kosmoss”, “Klimats, enerģētika un mobilitāte” un “Pārtika, bioekonomika, dabas resursi, lauksaimniecība un vide”. Papildu pasākumus finansē no I pīlāra “Zinātnes izcilība”, Eiropas Inovācijas padomes (EIP) un Eiropas Inovāciju un tehnoloģiju institūta (EIT) III pīlāra “Inovatīva Eiropa” ietvaros, kā arī no Eiropas partnerībām, kas apvieno un mobilizē resursus, lai nodrošinātu ES vadošo lomu tehnoloģiju jomā un stratēģisko autonomiju kritiski svarīgās jomās;</w:t>
            </w:r>
          </w:p>
          <w:p w14:paraId="515C7F78" w14:textId="20F96EA6" w:rsidR="00AF689F" w:rsidRPr="00BE4AD4" w:rsidRDefault="008E1372" w:rsidP="001F6AB2">
            <w:pPr>
              <w:pStyle w:val="ListParagraph"/>
              <w:numPr>
                <w:ilvl w:val="0"/>
                <w:numId w:val="17"/>
              </w:numPr>
              <w:spacing w:after="120"/>
              <w:jc w:val="both"/>
              <w:rPr>
                <w:rFonts w:ascii="Times New Roman" w:hAnsi="Times New Roman" w:cs="Times New Roman"/>
                <w:noProof/>
                <w:sz w:val="24"/>
              </w:rPr>
            </w:pPr>
            <w:r>
              <w:rPr>
                <w:rFonts w:ascii="Times New Roman" w:hAnsi="Times New Roman"/>
                <w:noProof/>
                <w:sz w:val="24"/>
              </w:rPr>
              <w:t>programma “Digitālā Eiropa” (</w:t>
            </w:r>
            <w:r>
              <w:rPr>
                <w:rFonts w:ascii="Times New Roman" w:hAnsi="Times New Roman"/>
                <w:i/>
                <w:iCs/>
                <w:noProof/>
                <w:sz w:val="24"/>
              </w:rPr>
              <w:t>DEP</w:t>
            </w:r>
            <w:r>
              <w:rPr>
                <w:rFonts w:ascii="Times New Roman" w:hAnsi="Times New Roman"/>
                <w:noProof/>
                <w:sz w:val="24"/>
              </w:rPr>
              <w:t>) veicinās ar kritiski svarīgām tehnoloģijām saistītas izvēršanas darbības tādās prioritārās jomās kā kiberdrošība, mākslīgais intelekts un superdatošana;</w:t>
            </w:r>
          </w:p>
          <w:p w14:paraId="77DC0805" w14:textId="788D0CAC" w:rsidR="00354C7D" w:rsidRPr="00BE4AD4" w:rsidRDefault="00EC4BC0" w:rsidP="001F6AB2">
            <w:pPr>
              <w:pStyle w:val="ListParagraph"/>
              <w:numPr>
                <w:ilvl w:val="0"/>
                <w:numId w:val="17"/>
              </w:numPr>
              <w:spacing w:after="120"/>
              <w:jc w:val="both"/>
              <w:rPr>
                <w:rFonts w:ascii="Times New Roman" w:hAnsi="Times New Roman" w:cs="Times New Roman"/>
                <w:noProof/>
                <w:sz w:val="24"/>
              </w:rPr>
            </w:pPr>
            <w:r>
              <w:rPr>
                <w:rFonts w:ascii="Times New Roman" w:hAnsi="Times New Roman"/>
                <w:noProof/>
                <w:sz w:val="24"/>
              </w:rPr>
              <w:t>Industriālais, tehnoloģiskais un pētnieciskais kiberdrošības kompetenču centrs un Koordinācijas centru tīkls 2022. gadā pieņems stratēģisku programmu par investīcijām kiberjomā, kas tiks izmantota pamatprogrammās “Apvārsnis Eiropa” un “Digitālā Eiropa”. Sinerģijas starp civilajām un aizsardzības tehnoloģijām un divējāda lietojuma lietojumprogrammām var izpētīt, izmantojot saiknes ar EAF saskaņā ar piemērojamiem noteikumiem.</w:t>
            </w:r>
          </w:p>
          <w:p w14:paraId="02534501" w14:textId="616022FC" w:rsidR="003064BF" w:rsidRPr="00BE4AD4" w:rsidRDefault="0097021A" w:rsidP="001F6AB2">
            <w:pPr>
              <w:pStyle w:val="ListParagraph"/>
              <w:numPr>
                <w:ilvl w:val="0"/>
                <w:numId w:val="17"/>
              </w:numPr>
              <w:spacing w:after="120"/>
              <w:jc w:val="both"/>
              <w:rPr>
                <w:rFonts w:ascii="Times New Roman" w:hAnsi="Times New Roman" w:cs="Times New Roman"/>
                <w:noProof/>
                <w:sz w:val="24"/>
              </w:rPr>
            </w:pPr>
            <w:r>
              <w:rPr>
                <w:rFonts w:ascii="Times New Roman" w:hAnsi="Times New Roman"/>
                <w:noProof/>
                <w:sz w:val="24"/>
              </w:rPr>
              <w:t xml:space="preserve">ESI fondus (jo īpaši Eiropas Reģionālās attīstības fondu un Eiropas Sociālo fondu+) var izmantot </w:t>
            </w:r>
            <w:r>
              <w:rPr>
                <w:rFonts w:ascii="Times New Roman" w:hAnsi="Times New Roman"/>
                <w:i/>
                <w:iCs/>
                <w:noProof/>
                <w:sz w:val="24"/>
              </w:rPr>
              <w:t>EDTIB</w:t>
            </w:r>
            <w:r>
              <w:rPr>
                <w:rFonts w:ascii="Times New Roman" w:hAnsi="Times New Roman"/>
                <w:noProof/>
                <w:sz w:val="24"/>
              </w:rPr>
              <w:t xml:space="preserve"> atbalstam; </w:t>
            </w:r>
          </w:p>
          <w:p w14:paraId="188BDD54" w14:textId="44CA12E3" w:rsidR="00AF689F" w:rsidRPr="004605EE" w:rsidRDefault="008E1372" w:rsidP="001F6AB2">
            <w:pPr>
              <w:pStyle w:val="ListParagraph"/>
              <w:numPr>
                <w:ilvl w:val="0"/>
                <w:numId w:val="17"/>
              </w:numPr>
              <w:spacing w:after="120"/>
              <w:jc w:val="both"/>
              <w:rPr>
                <w:rFonts w:ascii="Times New Roman" w:hAnsi="Times New Roman" w:cs="Times New Roman"/>
                <w:b/>
                <w:i/>
                <w:noProof/>
                <w:sz w:val="24"/>
              </w:rPr>
            </w:pPr>
            <w:r>
              <w:rPr>
                <w:rFonts w:ascii="Times New Roman" w:hAnsi="Times New Roman"/>
                <w:noProof/>
                <w:sz w:val="24"/>
              </w:rPr>
              <w:t xml:space="preserve">citas attiecīgās ES programmas, fondi un instrumenti ir Kosmosa programma, EISI, programma </w:t>
            </w:r>
            <w:r>
              <w:rPr>
                <w:rFonts w:ascii="Times New Roman" w:hAnsi="Times New Roman"/>
                <w:i/>
                <w:iCs/>
                <w:noProof/>
                <w:sz w:val="24"/>
              </w:rPr>
              <w:t>InvestEU</w:t>
            </w:r>
            <w:r>
              <w:rPr>
                <w:rFonts w:ascii="Times New Roman" w:hAnsi="Times New Roman"/>
                <w:noProof/>
                <w:sz w:val="24"/>
              </w:rPr>
              <w:t xml:space="preserve">, Atveseļošanas un noturības mehānisms (ANM), programma </w:t>
            </w:r>
            <w:r>
              <w:rPr>
                <w:rFonts w:ascii="Times New Roman" w:hAnsi="Times New Roman"/>
                <w:i/>
                <w:iCs/>
                <w:noProof/>
                <w:sz w:val="24"/>
              </w:rPr>
              <w:t>LIFE</w:t>
            </w:r>
            <w:r>
              <w:rPr>
                <w:rFonts w:ascii="Times New Roman" w:hAnsi="Times New Roman"/>
                <w:noProof/>
                <w:sz w:val="24"/>
              </w:rPr>
              <w:t>, publiskā un privātā sektora partnerības, finansējuma apvienošanas mehānismi.</w:t>
            </w:r>
          </w:p>
        </w:tc>
      </w:tr>
    </w:tbl>
    <w:p w14:paraId="4E34ABAF" w14:textId="77777777" w:rsidR="00AF689F" w:rsidRPr="004605EE" w:rsidRDefault="00AF689F" w:rsidP="00C415A1">
      <w:pPr>
        <w:spacing w:after="120"/>
        <w:jc w:val="both"/>
        <w:rPr>
          <w:rFonts w:ascii="Times New Roman" w:hAnsi="Times New Roman" w:cs="Times New Roman"/>
          <w:i/>
          <w:noProof/>
          <w:sz w:val="24"/>
        </w:rPr>
      </w:pPr>
    </w:p>
    <w:p w14:paraId="054DC1FB" w14:textId="2FD167C4" w:rsidR="00E37879" w:rsidRPr="004605EE" w:rsidRDefault="00AF689F" w:rsidP="00C415A1">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3.2.</w:t>
      </w:r>
      <w:r>
        <w:rPr>
          <w:noProof/>
        </w:rPr>
        <w:tab/>
      </w:r>
      <w:r>
        <w:rPr>
          <w:rFonts w:ascii="Times New Roman" w:hAnsi="Times New Roman"/>
          <w:b/>
          <w:i/>
          <w:noProof/>
          <w:sz w:val="24"/>
        </w:rPr>
        <w:t>ES un valstu programmu un instrumentu, kas atbalsta pētniecību, tehnoloģiju izstrādi un inovāciju, sasaiste attiecībā uz drošībai un aizsardzībai kritiski svarīgām tehnoloģijām</w:t>
      </w:r>
    </w:p>
    <w:p w14:paraId="4275FBFB" w14:textId="1061CC42" w:rsidR="00C742F6" w:rsidRPr="004605EE" w:rsidRDefault="00C742F6" w:rsidP="00C742F6">
      <w:pPr>
        <w:spacing w:after="120"/>
        <w:jc w:val="both"/>
        <w:rPr>
          <w:rFonts w:ascii="Times New Roman" w:hAnsi="Times New Roman" w:cs="Times New Roman"/>
          <w:noProof/>
          <w:sz w:val="24"/>
        </w:rPr>
      </w:pPr>
      <w:r>
        <w:rPr>
          <w:rFonts w:ascii="Times New Roman" w:hAnsi="Times New Roman"/>
          <w:noProof/>
          <w:sz w:val="24"/>
        </w:rPr>
        <w:t xml:space="preserve">Lai gan ES programmas un instrumenti nodrošina ievērojamu finansējumu pētniecības, tehnoloģiju izstrādes un inovācijas darbībām drošības un aizsardzības jomā ES, lielāko daļu finansējuma šādām darbībām joprojām piešķir dalībvalstis, un drošības un aizsardzības tirgu sadrumstalotība joprojām ir nopietna problēma. Līdz ar to, lai sasniegtu tehnoloģisko suverenitāti dažās kritiski svarīgās tehnoloģiju jomās un mazinātu stratēģiskās atkarības citās, būs nepieciešama ES mēroga koordinācija. </w:t>
      </w:r>
    </w:p>
    <w:p w14:paraId="0E8282AA" w14:textId="2C76385E" w:rsidR="003C6A23" w:rsidRPr="004605EE" w:rsidRDefault="00A91B65" w:rsidP="007D3FC6">
      <w:pPr>
        <w:spacing w:after="120"/>
        <w:jc w:val="both"/>
        <w:rPr>
          <w:rFonts w:ascii="Times New Roman" w:hAnsi="Times New Roman" w:cs="Times New Roman"/>
          <w:noProof/>
          <w:sz w:val="24"/>
        </w:rPr>
      </w:pPr>
      <w:r>
        <w:rPr>
          <w:rFonts w:ascii="Times New Roman" w:hAnsi="Times New Roman"/>
          <w:b/>
          <w:noProof/>
          <w:sz w:val="24"/>
        </w:rPr>
        <w:t>Dalībvalstis tiek aicinātas Stratēģiskajā kompasā apņemties jau no paša sākuma kopā ar Komisiju izstrādāt ES mēroga stratēģisku koordinētu pieeju drošībai un aizsardzībai kritiski svarīgām tehnoloģijām</w:t>
      </w:r>
      <w:r>
        <w:rPr>
          <w:rFonts w:ascii="Times New Roman" w:hAnsi="Times New Roman"/>
          <w:noProof/>
          <w:sz w:val="24"/>
        </w:rPr>
        <w:t>, pilnībā ņemot vērā ES un valstu programmu un instrumentu pārvaldības dažādību un sarežģītību. Šajā pieejā tiktu ņemtas vērā arī citas koordinācijas struktūras, piemēram, jaunais ES Inovācijas centrs iekšējās drošības jomā, kuru vada Pastāvīgā komiteja operatīvai sadarbībai iekšējās drošības jautājumos (</w:t>
      </w:r>
      <w:r>
        <w:rPr>
          <w:rFonts w:ascii="Times New Roman" w:hAnsi="Times New Roman"/>
          <w:i/>
          <w:iCs/>
          <w:noProof/>
          <w:sz w:val="24"/>
        </w:rPr>
        <w:t>COSI</w:t>
      </w:r>
      <w:r>
        <w:rPr>
          <w:rFonts w:ascii="Times New Roman" w:hAnsi="Times New Roman"/>
          <w:noProof/>
          <w:sz w:val="24"/>
        </w:rPr>
        <w:t>), un jaunais ES Inovācijas centrs aizsardzības jomā, ko izveidos EAA.</w:t>
      </w:r>
    </w:p>
    <w:p w14:paraId="02EB342F" w14:textId="2637075F" w:rsidR="00E37879" w:rsidRDefault="00A91B65" w:rsidP="007D3FC6">
      <w:pPr>
        <w:spacing w:after="120"/>
        <w:jc w:val="both"/>
        <w:rPr>
          <w:rFonts w:ascii="Times New Roman" w:hAnsi="Times New Roman" w:cs="Times New Roman"/>
          <w:noProof/>
          <w:sz w:val="24"/>
        </w:rPr>
      </w:pPr>
      <w:r>
        <w:rPr>
          <w:rFonts w:ascii="Times New Roman" w:hAnsi="Times New Roman"/>
          <w:noProof/>
          <w:sz w:val="24"/>
        </w:rPr>
        <w:t xml:space="preserve">Šajā pieejā par izejas punktu diskusijām starp dalībvalstu iestādēm un Komisiju tiktu izmantoti Komisijas sagatavotie klasificētie ziņojumi par kritiski svarīgām tehnoloģijām un tehnoloģiju ceļveži. Mērķis būtu, pamatojoties uz tehnoloģiju ceļvežiem, noteikt jomas, kurās nepieciešama vissteidzamākā rīcība, un mobilizēt ES un dalībvalstu programmas, instrumentus un politiku, lai šajās jomās rīkotos koordinētā veidā saskaņā ar ES valsts atbalsta noteikumiem. Tas nodrošinātu, ka investīcijas tiek koncentrētas tajās jomās, kurās ES iedzīvotāju drošībai ir vislielākā nozīme. Prioritātes tiktu regulāri atjauninātas, lai nodrošinātu, ka tās joprojām ir aktuālas un ka izdevumi ir efektīvi. </w:t>
      </w:r>
    </w:p>
    <w:p w14:paraId="70B7E1BF" w14:textId="4F8A3A25" w:rsidR="00BD727D" w:rsidRPr="004605EE" w:rsidRDefault="00BD727D" w:rsidP="007D3FC6">
      <w:pPr>
        <w:spacing w:after="120"/>
        <w:jc w:val="both"/>
        <w:rPr>
          <w:rFonts w:ascii="Times New Roman" w:hAnsi="Times New Roman" w:cs="Times New Roman"/>
          <w:noProof/>
          <w:sz w:val="24"/>
        </w:rPr>
      </w:pPr>
      <w:r>
        <w:rPr>
          <w:rFonts w:ascii="Times New Roman" w:hAnsi="Times New Roman"/>
          <w:noProof/>
          <w:sz w:val="24"/>
        </w:rPr>
        <w:t>Komisija sadarbosies ar dalībvalstīm, lai noteiktu labāko mehānismu šā koordinācijas darba atvieglošanai (piemēram, Observatorijas ekspertu grupa).</w:t>
      </w:r>
    </w:p>
    <w:p w14:paraId="1D9FD53C" w14:textId="14C706BB" w:rsidR="00E37879" w:rsidRPr="004605EE" w:rsidRDefault="00E37879"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3.3.</w:t>
      </w:r>
      <w:r>
        <w:rPr>
          <w:noProof/>
        </w:rPr>
        <w:tab/>
      </w:r>
      <w:r>
        <w:rPr>
          <w:rFonts w:ascii="Times New Roman" w:hAnsi="Times New Roman"/>
          <w:b/>
          <w:i/>
          <w:noProof/>
          <w:sz w:val="24"/>
        </w:rPr>
        <w:t xml:space="preserve">Atbalsts drošības un aizsardzības inovācijai un uzņēmējdarbībai — ES aizsardzības inovācijas shēmas izveide </w:t>
      </w:r>
    </w:p>
    <w:p w14:paraId="4D36AEED" w14:textId="50BA9A2F" w:rsidR="00AF689F" w:rsidRPr="004605EE" w:rsidRDefault="004E3BFE" w:rsidP="00AF689F">
      <w:pPr>
        <w:jc w:val="both"/>
        <w:rPr>
          <w:rFonts w:ascii="Times New Roman" w:hAnsi="Times New Roman" w:cs="Times New Roman"/>
          <w:noProof/>
          <w:sz w:val="24"/>
        </w:rPr>
      </w:pPr>
      <w:r>
        <w:rPr>
          <w:rFonts w:ascii="Times New Roman" w:hAnsi="Times New Roman"/>
          <w:noProof/>
          <w:sz w:val="24"/>
          <w:szCs w:val="24"/>
        </w:rPr>
        <w:t xml:space="preserve">ES ir labāk jāizmanto viss inovācijas kopienas potenciāls, lai atbalstītu drošību un aizsardzību. </w:t>
      </w:r>
      <w:r>
        <w:rPr>
          <w:rFonts w:ascii="Times New Roman" w:hAnsi="Times New Roman"/>
          <w:noProof/>
          <w:sz w:val="24"/>
        </w:rPr>
        <w:t>Lai to paveiktu, būs vajadzīga palīdzība netradicionāliem dalībniekiem un esošajiem inovatīviem jaunuzņēmumiem un maziem un vidējiem uzņēmumiem (MVU) pārvarēt ievērojamos tehnoloģiskos, administratīvos, regulatīvos un ienākšanas tirgū šķēršļus drošības un aizsardzības nozarē, kā arī ievērot to augstos drošības standartus un piekļūt finansējumam. Aizsardzības tirgus bieži vien ir strukturēts ap dažiem lieliem tirgus dalībniekiem, kurus atbalsta specializēti MVU, kam ir ierobežota tieša piekļuve šim tirgum. Līdz ar to inovatīviem aizsardzības jomas MVU var būt grūti piekļūt finansējumam, kas var palielināt to iespēju vērsties pie ārvalstu investoriem vai kļūt par to mērķauditoriju. Līdzīgā situācijā ir inovatīvi MVU drošības jomā, kuri saskaras ar līdzīgām problēmām, tuvojoties potenciālajiem klientiem vai piekļūstot pielāgotam finansējumam</w:t>
      </w:r>
      <w:r>
        <w:rPr>
          <w:rStyle w:val="FootnoteReference"/>
          <w:rFonts w:ascii="Times New Roman" w:hAnsi="Times New Roman" w:cs="Times New Roman"/>
          <w:noProof/>
          <w:sz w:val="24"/>
        </w:rPr>
        <w:footnoteReference w:id="13"/>
      </w:r>
      <w:r>
        <w:rPr>
          <w:rFonts w:ascii="Times New Roman" w:hAnsi="Times New Roman"/>
          <w:noProof/>
          <w:sz w:val="24"/>
        </w:rPr>
        <w:t>.</w:t>
      </w:r>
    </w:p>
    <w:p w14:paraId="1BE69B63" w14:textId="637EBAE2" w:rsidR="004E2F22" w:rsidRPr="00B07B1D" w:rsidRDefault="0003034C" w:rsidP="004E2F22">
      <w:pPr>
        <w:jc w:val="both"/>
        <w:rPr>
          <w:rFonts w:ascii="Times New Roman" w:hAnsi="Times New Roman" w:cs="Times New Roman"/>
          <w:noProof/>
          <w:sz w:val="24"/>
          <w:szCs w:val="24"/>
        </w:rPr>
      </w:pPr>
      <w:r>
        <w:rPr>
          <w:rFonts w:ascii="Times New Roman" w:hAnsi="Times New Roman"/>
          <w:noProof/>
          <w:sz w:val="24"/>
          <w:szCs w:val="24"/>
        </w:rPr>
        <w:t>Komisija pamatprogrammas “Apvārsnis 2020” ietvaros ir atbalstījusi inovatīvus jaunuzņēmumus drošības jomā un MVU, un piešķirtais finansējums un kopējie panākumu rādītāji saistībā ar sabiedriski nozīmīgu uzdevumu Nr. 7 “Sabiedrības civilā drošība” maziem novatoriem ir bijuši virs vidējā līmeņa. Lai gan šis atbalsts turpināsies saskaņā ar pamatprogrammu “Apvārsnis Eiropa”, drošības jomas jaunuzņēmumiem un MVU joprojām būs vajadzīgs pielāgots papildu atbalsts, lai paātrinātu to virzību uz tirgu. Jaunu divējāda lietojuma inovācijas instrumentu izpēte varētu palielināt to ražošanas jaudu, konkurētspēju un ilgtspēju.</w:t>
      </w:r>
    </w:p>
    <w:p w14:paraId="2C6EF72D" w14:textId="568D085D" w:rsidR="00AF689F" w:rsidRPr="004605EE" w:rsidRDefault="0003034C" w:rsidP="00B07B1D">
      <w:pPr>
        <w:jc w:val="both"/>
        <w:rPr>
          <w:rFonts w:ascii="Times New Roman" w:hAnsi="Times New Roman" w:cs="Times New Roman"/>
          <w:noProof/>
          <w:sz w:val="24"/>
        </w:rPr>
      </w:pPr>
      <w:r>
        <w:rPr>
          <w:rFonts w:ascii="Times New Roman" w:hAnsi="Times New Roman"/>
          <w:noProof/>
          <w:sz w:val="24"/>
          <w:szCs w:val="24"/>
        </w:rPr>
        <w:t>Komisija ir sākusi veidot līdzīgas darbības EAF ietvaros nolūkā izstrādāt instrumentu kopumu aizsardzības un divējāda lietojuma inovācijas jomā, aptverot 1.–9. tehnoloģiju gatavības līmeni (TGL)</w:t>
      </w:r>
      <w:r>
        <w:rPr>
          <w:rStyle w:val="FootnoteReference"/>
          <w:rFonts w:ascii="Times New Roman" w:hAnsi="Times New Roman" w:cs="Times New Roman"/>
          <w:noProof/>
          <w:sz w:val="24"/>
        </w:rPr>
        <w:footnoteReference w:id="14"/>
      </w:r>
      <w:r>
        <w:rPr>
          <w:rFonts w:ascii="Times New Roman" w:hAnsi="Times New Roman"/>
          <w:noProof/>
          <w:sz w:val="24"/>
          <w:szCs w:val="24"/>
        </w:rPr>
        <w:t>. Turpinās darbs pie šādiem instrumentiem, kas aptver aizsardzību, jaunas tehnoloģijas un divējādu lietojumu</w:t>
      </w:r>
      <w:r>
        <w:rPr>
          <w:rFonts w:ascii="Times New Roman" w:hAnsi="Times New Roman"/>
          <w:noProof/>
          <w:sz w:val="24"/>
        </w:rPr>
        <w:t>:</w:t>
      </w:r>
    </w:p>
    <w:p w14:paraId="380D42B4" w14:textId="6E4C9261" w:rsidR="00AF689F" w:rsidRPr="004605EE" w:rsidRDefault="00AF689F" w:rsidP="00B07B1D">
      <w:pPr>
        <w:pStyle w:val="ListParagraph"/>
        <w:numPr>
          <w:ilvl w:val="0"/>
          <w:numId w:val="16"/>
        </w:numPr>
        <w:spacing w:after="120"/>
        <w:contextualSpacing w:val="0"/>
        <w:jc w:val="both"/>
        <w:rPr>
          <w:rFonts w:ascii="Times New Roman" w:hAnsi="Times New Roman" w:cs="Times New Roman"/>
          <w:noProof/>
          <w:sz w:val="24"/>
        </w:rPr>
      </w:pPr>
      <w:r>
        <w:rPr>
          <w:rFonts w:ascii="Times New Roman" w:hAnsi="Times New Roman"/>
          <w:i/>
          <w:iCs/>
          <w:noProof/>
          <w:sz w:val="24"/>
        </w:rPr>
        <w:t>Inovācijas aizsardzības jomā, izmantojot EAF</w:t>
      </w:r>
      <w:r>
        <w:rPr>
          <w:rFonts w:ascii="Times New Roman" w:hAnsi="Times New Roman"/>
          <w:noProof/>
          <w:sz w:val="24"/>
        </w:rPr>
        <w:t xml:space="preserve"> – tiek pētītas konkrētas darbības, lai labāk atbalstītu projektus revolucionāru tehnoloģiju un inovatīvu un uz nākotni vērstu aizsardzības risinājumu jomā, jo īpaši veicinot inovatīvu MVU, inovatīvu laboratoriju un pētniecības un tehnoloģiju organizāciju (PTO) līdzdalību. Šīs darbības var izpausties dažādos veidos, piemēram, uzņēmējdarbības konsultēšanā (2021. gada darba programma); tehnoloģiju izaicinājumos (2022. gada darba programma), hakatonos vai balvās (2023. gada darba programma vai vēlāk). Tie arī izmantos attiecīgo EIP pieredzi un var būt saistīti ar jauno </w:t>
      </w:r>
      <w:r>
        <w:rPr>
          <w:rFonts w:ascii="Times New Roman" w:hAnsi="Times New Roman"/>
          <w:i/>
          <w:iCs/>
          <w:noProof/>
          <w:sz w:val="24"/>
        </w:rPr>
        <w:t>CASSINI</w:t>
      </w:r>
      <w:r>
        <w:rPr>
          <w:rFonts w:ascii="Times New Roman" w:hAnsi="Times New Roman"/>
          <w:noProof/>
          <w:sz w:val="24"/>
        </w:rPr>
        <w:t xml:space="preserve"> iniciatīvu aizsardzības jomā.</w:t>
      </w:r>
    </w:p>
    <w:p w14:paraId="0974ED2B" w14:textId="6242F73D" w:rsidR="00E9645F" w:rsidRPr="004605EE" w:rsidRDefault="00E9645F" w:rsidP="00B07B1D">
      <w:pPr>
        <w:pStyle w:val="ListParagraph"/>
        <w:numPr>
          <w:ilvl w:val="0"/>
          <w:numId w:val="16"/>
        </w:numPr>
        <w:spacing w:after="120"/>
        <w:contextualSpacing w:val="0"/>
        <w:jc w:val="both"/>
        <w:rPr>
          <w:rFonts w:ascii="Times New Roman" w:hAnsi="Times New Roman" w:cs="Times New Roman"/>
          <w:noProof/>
          <w:sz w:val="24"/>
        </w:rPr>
      </w:pPr>
      <w:r>
        <w:rPr>
          <w:rFonts w:ascii="Times New Roman" w:hAnsi="Times New Roman"/>
          <w:i/>
          <w:iCs/>
          <w:noProof/>
          <w:sz w:val="24"/>
        </w:rPr>
        <w:t xml:space="preserve">Aizsardzības investīciju apvienošanas mehānisms </w:t>
      </w:r>
      <w:r>
        <w:rPr>
          <w:rFonts w:ascii="Times New Roman" w:hAnsi="Times New Roman"/>
          <w:noProof/>
          <w:sz w:val="24"/>
        </w:rPr>
        <w:t>InvestEU</w:t>
      </w:r>
      <w:r>
        <w:rPr>
          <w:rFonts w:ascii="Times New Roman" w:hAnsi="Times New Roman"/>
          <w:i/>
          <w:iCs/>
          <w:noProof/>
          <w:sz w:val="24"/>
        </w:rPr>
        <w:t xml:space="preserve"> ietvaros</w:t>
      </w:r>
      <w:r>
        <w:rPr>
          <w:rFonts w:ascii="Times New Roman" w:hAnsi="Times New Roman"/>
          <w:noProof/>
          <w:sz w:val="24"/>
        </w:rPr>
        <w:t xml:space="preserve"> – šāda mehānisma izveide ļautu Komisijai garantēt finanšu starpnieku veiktās investīcijas inovatīvos vai stratēģiskos aizsardzības MVU visā Eiropā. Tas atvieglotu problēmas, kas saistītas ar tādu MVU ierobežoto piekļuvi finansējumam, kuri izstrādā daudzsološas tehnoloģijas Eiropas aizsardzībai, vienlaikus nodrošinot uzticamu kapitālu un izvairoties no trešo valstu subjektu īstenotas piespiedu pārņemšanas. Nodrošinot inovatīvu aizsardzības MVU un vidējas kapitalizācijas uzņēmumu labāku piekļuvi pašu kapitāla finansējumam, tiktu atbalstīta to izaugsme un galu galā gūtu labumu no </w:t>
      </w:r>
      <w:r>
        <w:rPr>
          <w:rFonts w:ascii="Times New Roman" w:hAnsi="Times New Roman"/>
          <w:i/>
          <w:iCs/>
          <w:noProof/>
          <w:sz w:val="24"/>
        </w:rPr>
        <w:t>EDTIB</w:t>
      </w:r>
      <w:r>
        <w:rPr>
          <w:rFonts w:ascii="Times New Roman" w:hAnsi="Times New Roman"/>
          <w:noProof/>
          <w:sz w:val="24"/>
        </w:rPr>
        <w:t xml:space="preserve"> inovācijas. Komisija arī izpētīs, vai ir vajadzīgi papildu instrumenti, ar ko atbalstīt galvenos tirgus dalībniekus vērtību ķēdē.</w:t>
      </w:r>
    </w:p>
    <w:p w14:paraId="65BB3AF3" w14:textId="6854DB8E" w:rsidR="00E9645F" w:rsidRPr="004605EE" w:rsidRDefault="00E9645F" w:rsidP="00B07B1D">
      <w:pPr>
        <w:pStyle w:val="ListParagraph"/>
        <w:numPr>
          <w:ilvl w:val="0"/>
          <w:numId w:val="16"/>
        </w:numPr>
        <w:spacing w:after="120"/>
        <w:contextualSpacing w:val="0"/>
        <w:jc w:val="both"/>
        <w:rPr>
          <w:rFonts w:ascii="Times New Roman" w:hAnsi="Times New Roman" w:cs="Times New Roman"/>
          <w:noProof/>
          <w:sz w:val="24"/>
        </w:rPr>
      </w:pPr>
      <w:r w:rsidRPr="009C2324">
        <w:rPr>
          <w:rFonts w:ascii="Times New Roman" w:hAnsi="Times New Roman"/>
          <w:i/>
          <w:noProof/>
          <w:sz w:val="24"/>
        </w:rPr>
        <w:t>CASSINI</w:t>
      </w:r>
      <w:r>
        <w:rPr>
          <w:rFonts w:ascii="Times New Roman" w:hAnsi="Times New Roman"/>
          <w:i/>
          <w:iCs/>
          <w:noProof/>
          <w:sz w:val="24"/>
        </w:rPr>
        <w:t xml:space="preserve"> aizsardzībai</w:t>
      </w:r>
      <w:r>
        <w:rPr>
          <w:rFonts w:ascii="Times New Roman" w:hAnsi="Times New Roman"/>
          <w:noProof/>
          <w:sz w:val="24"/>
        </w:rPr>
        <w:t xml:space="preserve"> – šīs iniciatīvas pamatā būtu pašreizējā </w:t>
      </w:r>
      <w:r>
        <w:rPr>
          <w:rFonts w:ascii="Times New Roman" w:hAnsi="Times New Roman"/>
          <w:i/>
          <w:iCs/>
          <w:noProof/>
          <w:sz w:val="24"/>
        </w:rPr>
        <w:t>CASSINI</w:t>
      </w:r>
      <w:r>
        <w:rPr>
          <w:rFonts w:ascii="Times New Roman" w:hAnsi="Times New Roman"/>
          <w:noProof/>
          <w:sz w:val="24"/>
        </w:rPr>
        <w:t xml:space="preserve"> iniciatīva, kuras mērķis ir atbalstīt MVU un jaunuzņēmumus kosmosa nozarē.</w:t>
      </w:r>
      <w:r>
        <w:rPr>
          <w:rFonts w:ascii="Times New Roman" w:hAnsi="Times New Roman"/>
          <w:noProof/>
          <w:sz w:val="24"/>
          <w:szCs w:val="24"/>
        </w:rPr>
        <w:t xml:space="preserve"> Šī iniciatīva tiem sniegtu tādus pakalpojumus kā: uzņēmējdarbības attīstība un tīkli (piemēram, kontaktu veidošana, uzņēmējdarbības veicināšana), kā arī godalgas un konkursi (tostarp hakatoni, mentorēšana u. c.), kas papildina iepriekš minēto aizsardzības investīciju apvienošanas mehānismu.</w:t>
      </w:r>
    </w:p>
    <w:p w14:paraId="41FA3E6B" w14:textId="599CB558" w:rsidR="000A5BE9" w:rsidRPr="004605EE" w:rsidRDefault="000A5BE9" w:rsidP="00B07B1D">
      <w:pPr>
        <w:pStyle w:val="ListParagraph"/>
        <w:numPr>
          <w:ilvl w:val="0"/>
          <w:numId w:val="16"/>
        </w:numPr>
        <w:spacing w:after="120"/>
        <w:contextualSpacing w:val="0"/>
        <w:jc w:val="both"/>
        <w:rPr>
          <w:rFonts w:ascii="Times New Roman" w:hAnsi="Times New Roman" w:cs="Times New Roman"/>
          <w:noProof/>
          <w:sz w:val="24"/>
        </w:rPr>
      </w:pPr>
      <w:r>
        <w:rPr>
          <w:rFonts w:ascii="Times New Roman" w:hAnsi="Times New Roman"/>
          <w:i/>
          <w:iCs/>
          <w:noProof/>
          <w:sz w:val="24"/>
        </w:rPr>
        <w:t>Inovācijas inkubators</w:t>
      </w:r>
      <w:r>
        <w:rPr>
          <w:rFonts w:ascii="Times New Roman" w:hAnsi="Times New Roman"/>
          <w:noProof/>
          <w:sz w:val="24"/>
        </w:rPr>
        <w:t xml:space="preserve"> – Komisija 2022. gadā izveidos inovācijas inkubatoru, lai atbalstītu jaunu tehnoloģiju izstrādi un veidotu divējāda lietojuma inovācijas saskaņā ar sinerģijas rīcības plānu (6. darbība), kam varētu būt svarīga nozīme plaisas mazināšanā starp civilām un uz aizsardzību vērstām pētniecības, tehnoloģiju izstrādes un inovācijas programmām. Pēc tam, kad būtu sistemātiski analizēti agrīnā posma tehnoloģiju izstrādes rezultāti, inkubators izceltu projektus un/vai tehnoloģijas, kuras attiecīgie dienesti Komisijā un dalībvalstīs potenciāli varētu izmantot drošības, kosmosa vai aizsardzības jomā. Komisija izvērtēs, kā šos izceltos projektus atbilstīgi varētu novirzīt uz turpmākām finansēšanas iespējām, piemēram, EIP pārejas finansēšanas shēmu vai EAF. </w:t>
      </w:r>
    </w:p>
    <w:p w14:paraId="6B024D9D" w14:textId="1935CD26" w:rsidR="00AF689F" w:rsidRPr="004605EE" w:rsidRDefault="00AF689F" w:rsidP="00B07B1D">
      <w:pPr>
        <w:pStyle w:val="ListParagraph"/>
        <w:numPr>
          <w:ilvl w:val="0"/>
          <w:numId w:val="16"/>
        </w:numPr>
        <w:spacing w:after="120"/>
        <w:contextualSpacing w:val="0"/>
        <w:jc w:val="both"/>
        <w:rPr>
          <w:rFonts w:ascii="Times New Roman" w:hAnsi="Times New Roman" w:cs="Times New Roman"/>
          <w:noProof/>
          <w:sz w:val="24"/>
        </w:rPr>
      </w:pPr>
      <w:r>
        <w:rPr>
          <w:rFonts w:ascii="Times New Roman" w:hAnsi="Times New Roman"/>
          <w:i/>
          <w:iCs/>
          <w:noProof/>
          <w:sz w:val="24"/>
        </w:rPr>
        <w:t>Atbalsts inovācijas tīkliem</w:t>
      </w:r>
      <w:r>
        <w:rPr>
          <w:rFonts w:ascii="Times New Roman" w:hAnsi="Times New Roman"/>
          <w:noProof/>
          <w:sz w:val="24"/>
        </w:rPr>
        <w:t xml:space="preserve"> – pārrobežu inovācijas tīkli aizsardzības jomā varētu uzņemties inovācijas starpnieku lomu un mudināt sadarbības projektos iekļaut inovatīvus risinājumus. Tehnoloģiju izpēte atklātu un apzinātu jaunus inovatīvus risinājumus un tehnoloģijas, kas varētu dot labumu aizsardzības lietojumos. Pēc tam ar pētniecības centrus un tehniskās testēšanas iekārtu starpniecību tiktu pārbaudīta šādu tehnoloģiju nozīme civilajā jomā un notiktu apmaiņa ar paraugpraksi. EAA būtu Komisijas galvenais partneris citas 6. darbības daļas īstenošanā saskaņā ar sinerģijas rīcības plānu. </w:t>
      </w:r>
    </w:p>
    <w:p w14:paraId="136D8567" w14:textId="603B8B2E" w:rsidR="008B2BA8" w:rsidRDefault="004A59B8" w:rsidP="00B07B1D">
      <w:pPr>
        <w:spacing w:after="120"/>
        <w:jc w:val="both"/>
        <w:rPr>
          <w:rFonts w:ascii="Times New Roman" w:hAnsi="Times New Roman" w:cs="Times New Roman"/>
          <w:noProof/>
          <w:sz w:val="24"/>
          <w:szCs w:val="24"/>
        </w:rPr>
      </w:pPr>
      <w:r>
        <w:rPr>
          <w:rFonts w:ascii="Times New Roman" w:hAnsi="Times New Roman"/>
          <w:noProof/>
          <w:sz w:val="24"/>
        </w:rPr>
        <w:t>Komisija noteiks, kā sasaistīt rīkkopu ar instrumentiem, kas atbalsta inovāciju drošības jomā (piemēram, “Apvārsnis Eiropa”) vai kiberdrošību (piemēram, valstu kiberdrošības koordinācijas centru tīkls sadarbībā ar Eiropas digitālās inovācijas centriem).</w:t>
      </w:r>
    </w:p>
    <w:p w14:paraId="4E369220" w14:textId="02758BFE" w:rsidR="004929EE" w:rsidRPr="00B07B1D" w:rsidRDefault="00077932" w:rsidP="00B07B1D">
      <w:pPr>
        <w:spacing w:after="120"/>
        <w:jc w:val="both"/>
        <w:rPr>
          <w:rFonts w:ascii="Times New Roman" w:hAnsi="Times New Roman" w:cs="Times New Roman"/>
          <w:noProof/>
          <w:sz w:val="24"/>
        </w:rPr>
      </w:pPr>
      <w:r>
        <w:rPr>
          <w:rFonts w:ascii="Times New Roman" w:hAnsi="Times New Roman"/>
          <w:noProof/>
          <w:sz w:val="24"/>
          <w:szCs w:val="24"/>
        </w:rPr>
        <w:t>Komisijas un EAA savstarpēji papildinošās priekšrocības būtu jāapvieno “</w:t>
      </w:r>
      <w:r>
        <w:rPr>
          <w:rFonts w:ascii="Times New Roman" w:hAnsi="Times New Roman"/>
          <w:b/>
          <w:bCs/>
          <w:noProof/>
          <w:sz w:val="24"/>
          <w:szCs w:val="24"/>
        </w:rPr>
        <w:t>ES aizsardzības inovācijas shēmā</w:t>
      </w:r>
      <w:r>
        <w:rPr>
          <w:rFonts w:ascii="Times New Roman" w:hAnsi="Times New Roman"/>
          <w:noProof/>
          <w:sz w:val="24"/>
          <w:szCs w:val="24"/>
        </w:rPr>
        <w:t xml:space="preserve">”. Saskaņā ar šo shēmu Komisijai, pamatojoties uz pieredzi, kas gūta, īstenojot ES budžetu aizsardzības, civilās un divējāda lietojuma pētniecības, tehnoloģiju izstrādes un inovācijas atbalstam, būs galvenā loma </w:t>
      </w:r>
      <w:r>
        <w:rPr>
          <w:rFonts w:ascii="Times New Roman" w:hAnsi="Times New Roman"/>
          <w:i/>
          <w:iCs/>
          <w:noProof/>
          <w:sz w:val="24"/>
          <w:szCs w:val="24"/>
        </w:rPr>
        <w:t>EDTIB</w:t>
      </w:r>
      <w:r>
        <w:rPr>
          <w:rFonts w:ascii="Times New Roman" w:hAnsi="Times New Roman"/>
          <w:noProof/>
          <w:sz w:val="24"/>
          <w:szCs w:val="24"/>
        </w:rPr>
        <w:t xml:space="preserve"> inovācijas veicināšanā. Ņemot vērā EAA speciālās zināšanas aizsardzības jomā, tostarp jauno un revolucionāro tehnoloģiju un militāro spēju prasību apkopošanā, tā turpinās savienot un atbalstīt dalībvalstu centienus, izmantojot savu aizsardzības inovācijas centru. Cieši sadarbojoties, Komisija un EAA sinerģijā paātrinās inovāciju drošības un aizsardzības jomā ES un tās dalībvalstīm. </w:t>
      </w:r>
    </w:p>
    <w:p w14:paraId="3E97AFC5" w14:textId="615782E9" w:rsidR="00E37879" w:rsidRPr="004605EE" w:rsidRDefault="00E37879"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3.4.</w:t>
      </w:r>
      <w:r>
        <w:rPr>
          <w:noProof/>
        </w:rPr>
        <w:tab/>
      </w:r>
      <w:r>
        <w:rPr>
          <w:rFonts w:ascii="Times New Roman" w:hAnsi="Times New Roman"/>
          <w:b/>
          <w:i/>
          <w:noProof/>
          <w:sz w:val="24"/>
        </w:rPr>
        <w:t>Prasmes</w:t>
      </w:r>
    </w:p>
    <w:p w14:paraId="5C3EFFAB" w14:textId="75624AE2" w:rsidR="00E37879" w:rsidRPr="004605EE" w:rsidRDefault="00D6009B" w:rsidP="007D3FC6">
      <w:pPr>
        <w:spacing w:after="120"/>
        <w:jc w:val="both"/>
        <w:rPr>
          <w:rFonts w:ascii="Times New Roman" w:hAnsi="Times New Roman" w:cs="Times New Roman"/>
          <w:noProof/>
          <w:sz w:val="24"/>
        </w:rPr>
      </w:pPr>
      <w:r>
        <w:rPr>
          <w:rFonts w:ascii="Times New Roman" w:hAnsi="Times New Roman"/>
          <w:noProof/>
          <w:sz w:val="24"/>
        </w:rPr>
        <w:t xml:space="preserve">Prasmju trūkums un darbaspēka trūkums, jo īpaši kvalificētu darbinieku trūkums zinātnē, tehnoloģijā, inženierzinātnēs un matemātikā, ir būtiskas problēmas aizsardzības un drošības nozarēm, kas lielā mērā ir atkarīgas no tām, tāpat kā daudzas citas augsto tehnoloģiju nozares. Tā kā tehnoloģijas un drošības apdraudējuma aina strauji attīstās, ir svarīgi, lai nozare labāk sasniegtu jaunus un nesen darbību sākušus pētniekus un uzņēmējus, tostarp sievietes, izmantojot iekļaujošu un pieejamu pieeju visiem talantiem, prasmēm un pieejamajam darbaspēkam. </w:t>
      </w:r>
    </w:p>
    <w:p w14:paraId="77E31A8F" w14:textId="5A0CAAC5" w:rsidR="00E37879" w:rsidRPr="004605EE" w:rsidRDefault="00E37879" w:rsidP="007D3FC6">
      <w:pPr>
        <w:spacing w:after="120"/>
        <w:jc w:val="both"/>
        <w:rPr>
          <w:rFonts w:ascii="Times New Roman" w:hAnsi="Times New Roman" w:cs="Times New Roman"/>
          <w:noProof/>
          <w:sz w:val="24"/>
        </w:rPr>
      </w:pPr>
      <w:r>
        <w:rPr>
          <w:rFonts w:ascii="Times New Roman" w:hAnsi="Times New Roman"/>
          <w:noProof/>
          <w:sz w:val="24"/>
        </w:rPr>
        <w:t xml:space="preserve">2020. gada novembrī Komisija apstiprināja Prasmju pilnveides paktu un īstenoja pirmo prasmju partnerību kārtu trijās galvenajās rūpniecības ekosistēmās, t.i., mikroelektronikā, autobūvē un aviācijas un aizsardzības rūpniecībā. </w:t>
      </w:r>
      <w:r>
        <w:rPr>
          <w:rFonts w:ascii="Times New Roman" w:hAnsi="Times New Roman"/>
          <w:noProof/>
          <w:sz w:val="24"/>
          <w:szCs w:val="24"/>
        </w:rPr>
        <w:t>Pakta dalībnieki (rūpniecības nozare, universitātes un apmācības organizācijas, sociālie partneri) apņēmās nodrošināt nepārtrauktu un ilgtspējīgu prasmju piedāvājumu visnepieciešamākajās jomās, uzlabot prasmes 200 000 darbiniekiem un pārkvalificēt 300 000 cilvēku un līdz 2030. gadam veikt publiskas un privātas investīcijas 1 miljarda EUR apmērā.</w:t>
      </w:r>
    </w:p>
    <w:tbl>
      <w:tblPr>
        <w:tblStyle w:val="TableGrid"/>
        <w:tblW w:w="0" w:type="auto"/>
        <w:shd w:val="clear" w:color="auto" w:fill="D9D9D9" w:themeFill="background1" w:themeFillShade="D9"/>
        <w:tblLook w:val="04A0" w:firstRow="1" w:lastRow="0" w:firstColumn="1" w:lastColumn="0" w:noHBand="0" w:noVBand="1"/>
      </w:tblPr>
      <w:tblGrid>
        <w:gridCol w:w="9576"/>
      </w:tblGrid>
      <w:tr w:rsidR="00786C31" w:rsidRPr="004605EE" w14:paraId="3A6251EA" w14:textId="299827AC" w:rsidTr="00895A4A">
        <w:tc>
          <w:tcPr>
            <w:tcW w:w="9576" w:type="dxa"/>
            <w:shd w:val="clear" w:color="auto" w:fill="D9D9D9" w:themeFill="background1" w:themeFillShade="D9"/>
          </w:tcPr>
          <w:p w14:paraId="5E7EDF2D" w14:textId="60889C05" w:rsidR="00786C31" w:rsidRPr="00895A4A" w:rsidRDefault="00786C31" w:rsidP="007D3FC6">
            <w:pPr>
              <w:spacing w:after="120"/>
              <w:jc w:val="both"/>
              <w:rPr>
                <w:rFonts w:ascii="Times New Roman" w:hAnsi="Times New Roman" w:cs="Times New Roman"/>
                <w:b/>
                <w:i/>
                <w:noProof/>
                <w:sz w:val="24"/>
              </w:rPr>
            </w:pPr>
            <w:r>
              <w:rPr>
                <w:rFonts w:ascii="Times New Roman" w:hAnsi="Times New Roman"/>
                <w:b/>
                <w:i/>
                <w:noProof/>
                <w:sz w:val="24"/>
              </w:rPr>
              <w:t>Turpmākā rīcība</w:t>
            </w:r>
          </w:p>
          <w:p w14:paraId="558142CD" w14:textId="77777777" w:rsidR="00B37B13" w:rsidRPr="004605EE" w:rsidRDefault="00B37B13" w:rsidP="00B37B13">
            <w:pPr>
              <w:pStyle w:val="ListParagraph"/>
              <w:numPr>
                <w:ilvl w:val="0"/>
                <w:numId w:val="10"/>
              </w:numPr>
              <w:spacing w:after="120"/>
              <w:contextualSpacing w:val="0"/>
              <w:jc w:val="both"/>
              <w:rPr>
                <w:rFonts w:ascii="Times New Roman" w:hAnsi="Times New Roman" w:cs="Times New Roman"/>
                <w:noProof/>
                <w:sz w:val="24"/>
              </w:rPr>
            </w:pPr>
            <w:r>
              <w:rPr>
                <w:rFonts w:ascii="Times New Roman" w:hAnsi="Times New Roman"/>
                <w:noProof/>
                <w:sz w:val="24"/>
              </w:rPr>
              <w:t>Komisija aicina dalībvalstis Stratēģiskajā kompasā jau no paša sākuma izstrādāt ES mēroga stratēģisku koordinētu pieeju kritiski svarīgām tehnoloģijām, kas ir būtiskas drošībai un aizsardzībai.</w:t>
            </w:r>
          </w:p>
          <w:p w14:paraId="197AB5A9" w14:textId="50AC8AEF" w:rsidR="00C65F9C" w:rsidRPr="004605EE" w:rsidRDefault="00421463" w:rsidP="008E7151">
            <w:pPr>
              <w:pStyle w:val="ListParagraph"/>
              <w:numPr>
                <w:ilvl w:val="0"/>
                <w:numId w:val="10"/>
              </w:numPr>
              <w:spacing w:after="120"/>
              <w:contextualSpacing w:val="0"/>
              <w:jc w:val="both"/>
              <w:rPr>
                <w:rFonts w:ascii="Times New Roman" w:hAnsi="Times New Roman" w:cs="Times New Roman"/>
                <w:noProof/>
                <w:sz w:val="24"/>
              </w:rPr>
            </w:pPr>
            <w:r>
              <w:rPr>
                <w:rFonts w:ascii="Times New Roman" w:hAnsi="Times New Roman"/>
                <w:noProof/>
                <w:sz w:val="24"/>
              </w:rPr>
              <w:t>Komisija 2023. gadā pārskatīs spēkā esošos ES instrumentus un ierosinās turpmākus veidus, kā ES līmenī veicināt divējāda lietojuma pētniecību, tehnoloģiju izstrādi un inovāciju.</w:t>
            </w:r>
          </w:p>
          <w:p w14:paraId="777509C3" w14:textId="065AD775" w:rsidR="00321788" w:rsidRDefault="008E7151" w:rsidP="008E7151">
            <w:pPr>
              <w:pStyle w:val="ListParagraph"/>
              <w:numPr>
                <w:ilvl w:val="0"/>
                <w:numId w:val="10"/>
              </w:numPr>
              <w:spacing w:after="120"/>
              <w:contextualSpacing w:val="0"/>
              <w:jc w:val="both"/>
              <w:rPr>
                <w:rFonts w:ascii="Times New Roman" w:hAnsi="Times New Roman" w:cs="Times New Roman"/>
                <w:noProof/>
                <w:sz w:val="24"/>
              </w:rPr>
            </w:pPr>
            <w:r>
              <w:rPr>
                <w:rFonts w:ascii="Times New Roman" w:hAnsi="Times New Roman"/>
                <w:noProof/>
                <w:sz w:val="24"/>
              </w:rPr>
              <w:t xml:space="preserve">Komisija atbalstīs inovāciju un uzņēmējdarbību drošībai un aizsardzībai kritiski svarīgu tehnoloģiju jomā, pamatojoties uz šādiem instrumentiem: a) īpašas EAF darbības; b) jauns aizsardzības investīciju apvienošanas mehānisms </w:t>
            </w:r>
            <w:r>
              <w:rPr>
                <w:rFonts w:ascii="Times New Roman" w:hAnsi="Times New Roman"/>
                <w:i/>
                <w:iCs/>
                <w:noProof/>
                <w:sz w:val="24"/>
              </w:rPr>
              <w:t>InvestEU</w:t>
            </w:r>
            <w:r>
              <w:rPr>
                <w:rFonts w:ascii="Times New Roman" w:hAnsi="Times New Roman"/>
                <w:noProof/>
                <w:sz w:val="24"/>
              </w:rPr>
              <w:t xml:space="preserve"> ietvaros; c) jauns </w:t>
            </w:r>
            <w:r>
              <w:rPr>
                <w:rFonts w:ascii="Times New Roman" w:hAnsi="Times New Roman"/>
                <w:i/>
                <w:iCs/>
                <w:noProof/>
                <w:sz w:val="24"/>
              </w:rPr>
              <w:t>CASSINI</w:t>
            </w:r>
            <w:r>
              <w:rPr>
                <w:rFonts w:ascii="Times New Roman" w:hAnsi="Times New Roman"/>
                <w:noProof/>
                <w:sz w:val="24"/>
              </w:rPr>
              <w:t xml:space="preserve"> aizsardzībai; d) jauns inovācijas inkubators jaunu tehnoloģiju un divējāda lietojuma inovācijas jomā 2022. gadā un e) palielināts atbalsts inovācijas tīkliem.</w:t>
            </w:r>
          </w:p>
          <w:p w14:paraId="55585FDC" w14:textId="6995424F" w:rsidR="00786C31" w:rsidRPr="004605EE" w:rsidRDefault="00321788" w:rsidP="00033924">
            <w:pPr>
              <w:pStyle w:val="ListParagraph"/>
              <w:numPr>
                <w:ilvl w:val="0"/>
                <w:numId w:val="10"/>
              </w:numPr>
              <w:spacing w:after="120"/>
              <w:contextualSpacing w:val="0"/>
              <w:jc w:val="both"/>
              <w:rPr>
                <w:rFonts w:ascii="Times New Roman" w:hAnsi="Times New Roman" w:cs="Times New Roman"/>
                <w:noProof/>
                <w:sz w:val="24"/>
              </w:rPr>
            </w:pPr>
            <w:r>
              <w:rPr>
                <w:rFonts w:ascii="Times New Roman" w:hAnsi="Times New Roman"/>
                <w:noProof/>
                <w:sz w:val="24"/>
              </w:rPr>
              <w:t>Komisija kopā ar EAA un tā Aizsardzības inovācijas centru izveidos ES aizsardzības inovācijas shēmu, lai paātrinātu ES un tās dalībvalstu inovāciju drošības un aizsardzības jomā.</w:t>
            </w:r>
          </w:p>
        </w:tc>
      </w:tr>
    </w:tbl>
    <w:p w14:paraId="68ED536D" w14:textId="77777777" w:rsidR="00E37879" w:rsidRPr="004605EE" w:rsidRDefault="00E37879" w:rsidP="007D3FC6">
      <w:pPr>
        <w:spacing w:after="0"/>
        <w:jc w:val="both"/>
        <w:rPr>
          <w:rFonts w:ascii="Times New Roman" w:hAnsi="Times New Roman" w:cs="Times New Roman"/>
          <w:noProof/>
          <w:sz w:val="24"/>
        </w:rPr>
      </w:pPr>
    </w:p>
    <w:p w14:paraId="73A65922" w14:textId="5990A2F4" w:rsidR="00E37879" w:rsidRPr="004605EE" w:rsidRDefault="00E37879" w:rsidP="007D3FC6">
      <w:pPr>
        <w:spacing w:after="120"/>
        <w:ind w:left="567" w:hanging="567"/>
        <w:jc w:val="both"/>
        <w:rPr>
          <w:rFonts w:ascii="Times New Roman" w:hAnsi="Times New Roman" w:cs="Times New Roman"/>
          <w:b/>
          <w:noProof/>
          <w:sz w:val="24"/>
        </w:rPr>
      </w:pPr>
      <w:r>
        <w:rPr>
          <w:rFonts w:ascii="Times New Roman" w:hAnsi="Times New Roman"/>
          <w:b/>
          <w:noProof/>
          <w:sz w:val="24"/>
        </w:rPr>
        <w:t>4.</w:t>
      </w:r>
      <w:r>
        <w:rPr>
          <w:noProof/>
        </w:rPr>
        <w:tab/>
      </w:r>
      <w:r>
        <w:rPr>
          <w:rFonts w:ascii="Times New Roman" w:hAnsi="Times New Roman"/>
          <w:b/>
          <w:noProof/>
          <w:sz w:val="24"/>
        </w:rPr>
        <w:t>Kritiski svarīgo tehnoloģiju un vērtības ķēžu stratēģisko atkarību samazināšana drošības un aizsardzības jomā</w:t>
      </w:r>
    </w:p>
    <w:p w14:paraId="669D9465" w14:textId="78236840" w:rsidR="00275DF0" w:rsidRPr="004605EE" w:rsidRDefault="00D5418F" w:rsidP="00D5418F">
      <w:pPr>
        <w:spacing w:after="120"/>
        <w:jc w:val="both"/>
        <w:rPr>
          <w:rFonts w:ascii="Times New Roman" w:hAnsi="Times New Roman" w:cs="Times New Roman"/>
          <w:noProof/>
          <w:sz w:val="24"/>
        </w:rPr>
      </w:pPr>
      <w:r>
        <w:rPr>
          <w:rFonts w:ascii="Times New Roman" w:hAnsi="Times New Roman"/>
          <w:noProof/>
          <w:sz w:val="24"/>
        </w:rPr>
        <w:t xml:space="preserve">Papildus pētniecības, tehnoloģiju izstrādes un inovācijas programmām un instrumentiem ES rīcībā ir vairāki politikas instrumenti, kas var palīdzēt samazināt kritiski svarīgo tehnoloģiju un vērtību ķēžu tās stratēģisko atkarību drošības un aizsardzības nozarēs. Tie palīdz stiprināt ES rūpnieciskās spējas, konkurētspēju, tehnoloģisko suverenitāti un noturību, kā arī aizsargāt pašreizējo un turpmāko tehnoloģisko attīstību un spējas. </w:t>
      </w:r>
    </w:p>
    <w:p w14:paraId="49130D33" w14:textId="2D6FDB2C" w:rsidR="00E37879" w:rsidRPr="004605EE" w:rsidRDefault="009F3C15" w:rsidP="005627A6">
      <w:pPr>
        <w:spacing w:after="120"/>
        <w:jc w:val="both"/>
        <w:rPr>
          <w:rFonts w:ascii="Times New Roman" w:hAnsi="Times New Roman" w:cs="Times New Roman"/>
          <w:noProof/>
          <w:sz w:val="24"/>
        </w:rPr>
      </w:pPr>
      <w:r>
        <w:rPr>
          <w:rFonts w:ascii="Times New Roman" w:hAnsi="Times New Roman"/>
          <w:noProof/>
          <w:sz w:val="24"/>
        </w:rPr>
        <w:t>Komisija, pamatojoties uz Kritiski svarīgo tehnoloģiju observatorijas darbu un atjaunināto industriālo stratēģiju, sistemātiski un atbilstīgi izvērtēs drošības un aizsardzības apsvērumus, īstenojot un pārskatot esošos vai izstrādājot jaunus ES rūpniecības un tirdzniecības instrumentus, lai nodrošinātu, ka tie atbilst paredzētajam mērķim.</w:t>
      </w:r>
    </w:p>
    <w:p w14:paraId="21A938F3" w14:textId="28DCADF2" w:rsidR="00E37879" w:rsidRPr="008837B0" w:rsidRDefault="00E37879" w:rsidP="001137B2">
      <w:pPr>
        <w:pStyle w:val="ListParagraph"/>
        <w:numPr>
          <w:ilvl w:val="0"/>
          <w:numId w:val="11"/>
        </w:numPr>
        <w:spacing w:after="60"/>
        <w:ind w:left="357"/>
        <w:contextualSpacing w:val="0"/>
        <w:jc w:val="both"/>
        <w:rPr>
          <w:rFonts w:ascii="Times New Roman" w:hAnsi="Times New Roman" w:cs="Times New Roman"/>
          <w:noProof/>
          <w:sz w:val="24"/>
        </w:rPr>
      </w:pPr>
      <w:r>
        <w:rPr>
          <w:rFonts w:ascii="Times New Roman" w:hAnsi="Times New Roman"/>
          <w:i/>
          <w:iCs/>
          <w:noProof/>
          <w:sz w:val="24"/>
        </w:rPr>
        <w:t>Rūpniecības alianses</w:t>
      </w:r>
      <w:r>
        <w:rPr>
          <w:rFonts w:ascii="Times New Roman" w:hAnsi="Times New Roman"/>
          <w:noProof/>
          <w:sz w:val="24"/>
        </w:rPr>
        <w:t xml:space="preserve"> – rūpniecības alianses iesaista plašu partneru loku (piemēram, publiskā un privātā sektora dalībniekus, pilsonisko sabiedrību) kopīgā rīcībā attiecībā uz galvenajiem ES politikas mērķiem konkrētās nozarēs vai vērtību ķēdēs. To pamatā ir atklātības, pārredzamības, daudzveidības un iekļautības principi, un tie darbojas, pilnībā ievērojot konkurences noteikumus. Rūpniecības alianses attiecīgā gadījumā var ietvert konkrētus darba virzienus, lai samazinātu drošības un aizsardzības nozaru stratēģisko atkarību. Tas tiek apsvērts Eiropas Rūpniecības datošanas, perifērdatošanas un mākoņdatošanas aliansē un Procesoru un pusvadītāju tehnoloģiju rūpniecības aliansē. </w:t>
      </w:r>
    </w:p>
    <w:p w14:paraId="73FA77D9" w14:textId="4FB3EDE9" w:rsidR="00E37879" w:rsidRPr="004605EE" w:rsidRDefault="00E37879" w:rsidP="007D3FC6">
      <w:pPr>
        <w:pStyle w:val="ListParagraph"/>
        <w:numPr>
          <w:ilvl w:val="0"/>
          <w:numId w:val="11"/>
        </w:numPr>
        <w:spacing w:after="60"/>
        <w:ind w:left="357"/>
        <w:contextualSpacing w:val="0"/>
        <w:jc w:val="both"/>
        <w:rPr>
          <w:rFonts w:ascii="Times New Roman" w:hAnsi="Times New Roman" w:cs="Times New Roman"/>
          <w:noProof/>
          <w:sz w:val="24"/>
        </w:rPr>
      </w:pPr>
      <w:r>
        <w:rPr>
          <w:rFonts w:ascii="Times New Roman" w:hAnsi="Times New Roman"/>
          <w:i/>
          <w:iCs/>
          <w:noProof/>
          <w:sz w:val="24"/>
        </w:rPr>
        <w:t>Svarīgi projekti visas Eiropas interesēs (IPCEI)</w:t>
      </w:r>
      <w:r>
        <w:rPr>
          <w:rFonts w:ascii="Times New Roman" w:hAnsi="Times New Roman"/>
          <w:noProof/>
          <w:sz w:val="24"/>
        </w:rPr>
        <w:t xml:space="preserve"> — </w:t>
      </w:r>
      <w:r>
        <w:rPr>
          <w:rFonts w:ascii="Times New Roman" w:hAnsi="Times New Roman"/>
          <w:i/>
          <w:iCs/>
          <w:noProof/>
          <w:sz w:val="24"/>
        </w:rPr>
        <w:t>IPCEI</w:t>
      </w:r>
      <w:r>
        <w:rPr>
          <w:rFonts w:ascii="Times New Roman" w:hAnsi="Times New Roman"/>
          <w:noProof/>
          <w:sz w:val="24"/>
        </w:rPr>
        <w:t xml:space="preserve"> ierosina dalībvalstis, un uz tiem attiecas ES valsts atbalsta noteikumi. Tie ir izstrādāti nolūkā apvienot zināšanas, pieredzi, finanšu resursus un ekonomikas dalībniekus visā ES ar mērķi pārvarēt tirgus vai sistēmiskas nepilnības un sabiedrības problēmas, ko privāti dalībnieki nevarētu atrisināt vieni paši, jo īpaši revolucionāru inovāciju un svarīgas infrastruktūras jomā. </w:t>
      </w:r>
      <w:r>
        <w:rPr>
          <w:rFonts w:ascii="Times New Roman" w:hAnsi="Times New Roman"/>
          <w:i/>
          <w:iCs/>
          <w:noProof/>
          <w:sz w:val="24"/>
        </w:rPr>
        <w:t>IPCEI</w:t>
      </w:r>
      <w:r>
        <w:rPr>
          <w:rFonts w:ascii="Times New Roman" w:hAnsi="Times New Roman"/>
          <w:noProof/>
          <w:sz w:val="24"/>
        </w:rPr>
        <w:t xml:space="preserve"> var ņemt vērā drošības un aizsardzības aspektus. Tas varētu attiekties uz gaidāmo otro </w:t>
      </w:r>
      <w:r>
        <w:rPr>
          <w:rFonts w:ascii="Times New Roman" w:hAnsi="Times New Roman"/>
          <w:i/>
          <w:iCs/>
          <w:noProof/>
          <w:sz w:val="24"/>
        </w:rPr>
        <w:t>IPCEI</w:t>
      </w:r>
      <w:r>
        <w:rPr>
          <w:rFonts w:ascii="Times New Roman" w:hAnsi="Times New Roman"/>
          <w:noProof/>
          <w:sz w:val="24"/>
        </w:rPr>
        <w:t xml:space="preserve"> par mikroelektroniku, par ko paziņots Mikroshēmu aktā. </w:t>
      </w:r>
    </w:p>
    <w:p w14:paraId="6AD4BB29" w14:textId="0980F717" w:rsidR="00E37879" w:rsidRPr="004605EE" w:rsidRDefault="00E37879" w:rsidP="007D3FC6">
      <w:pPr>
        <w:pStyle w:val="ListParagraph"/>
        <w:numPr>
          <w:ilvl w:val="0"/>
          <w:numId w:val="11"/>
        </w:numPr>
        <w:spacing w:after="60"/>
        <w:ind w:left="351" w:hanging="357"/>
        <w:contextualSpacing w:val="0"/>
        <w:jc w:val="both"/>
        <w:rPr>
          <w:rFonts w:ascii="Times New Roman" w:hAnsi="Times New Roman" w:cs="Times New Roman"/>
          <w:noProof/>
          <w:sz w:val="24"/>
        </w:rPr>
      </w:pPr>
      <w:r>
        <w:rPr>
          <w:rFonts w:ascii="Times New Roman" w:hAnsi="Times New Roman"/>
          <w:i/>
          <w:iCs/>
          <w:noProof/>
          <w:sz w:val="24"/>
        </w:rPr>
        <w:t>ES finansējuma programmas</w:t>
      </w:r>
      <w:r>
        <w:rPr>
          <w:rFonts w:ascii="Times New Roman" w:hAnsi="Times New Roman"/>
          <w:noProof/>
          <w:sz w:val="24"/>
        </w:rPr>
        <w:t> – ES vienmēr ir bijusi atvērta pētniecības un inovācijas politika. Tās pamatā ir atvērtas stratēģiskās autonomijas princips, un tās mērķis ir nodrošināt vienlīdzīgus konkurences apstākļus un savstarpību. ES globālā pieeja pētniecībai un inovācijai veicina stratēģiskas partnerības ar līdzīgi domājošiem partneriem saskaņā ar ES starptautiskajām saistībām (piemēram, ar NATO, Amerikas Savienotajām Valstīm, Kanādu, Japānu, Dienvidkoreju u. c.)</w:t>
      </w:r>
      <w:r>
        <w:rPr>
          <w:rStyle w:val="FootnoteReference"/>
          <w:rFonts w:ascii="Times New Roman" w:hAnsi="Times New Roman" w:cs="Times New Roman"/>
          <w:noProof/>
          <w:sz w:val="24"/>
        </w:rPr>
        <w:footnoteReference w:id="15"/>
      </w:r>
      <w:r>
        <w:rPr>
          <w:rFonts w:ascii="Times New Roman" w:hAnsi="Times New Roman"/>
          <w:noProof/>
          <w:sz w:val="24"/>
        </w:rPr>
        <w:t>.</w:t>
      </w:r>
    </w:p>
    <w:p w14:paraId="7E1D137E" w14:textId="270373D8" w:rsidR="00E37879" w:rsidRPr="004605EE" w:rsidRDefault="00807368" w:rsidP="007D3FC6">
      <w:pPr>
        <w:pStyle w:val="ListParagraph"/>
        <w:spacing w:after="60"/>
        <w:ind w:left="357"/>
        <w:contextualSpacing w:val="0"/>
        <w:jc w:val="both"/>
        <w:rPr>
          <w:rFonts w:ascii="Times New Roman" w:hAnsi="Times New Roman" w:cs="Times New Roman"/>
          <w:noProof/>
          <w:sz w:val="24"/>
        </w:rPr>
      </w:pPr>
      <w:r>
        <w:rPr>
          <w:rFonts w:ascii="Times New Roman" w:hAnsi="Times New Roman"/>
          <w:noProof/>
          <w:sz w:val="24"/>
        </w:rPr>
        <w:t xml:space="preserve">Tajā pašā laikā Eiropai ir jānodrošina, ka tiek saglabātas tās stratēģiskās intereses. Attiecībā uz 2021.–2027. gadu Komisija ir precizējusi un saskaņojusi trešo valstu dalības noteikumus un subjektu atbilstības noteikumus visās ES programmās un instrumentos. Konkrētām programmām (“Apvārsnis Eiropa”, </w:t>
      </w:r>
      <w:r>
        <w:rPr>
          <w:rFonts w:ascii="Times New Roman" w:hAnsi="Times New Roman"/>
          <w:i/>
          <w:iCs/>
          <w:noProof/>
          <w:sz w:val="24"/>
        </w:rPr>
        <w:t>DEP</w:t>
      </w:r>
      <w:r>
        <w:rPr>
          <w:rFonts w:ascii="Times New Roman" w:hAnsi="Times New Roman"/>
          <w:noProof/>
          <w:sz w:val="24"/>
        </w:rPr>
        <w:t xml:space="preserve">, EAF, Kosmosa programmai, EISI) ir noteikti īpaši atbilstības nosacījumi drošības ziņā sensitīvām darbībām, un tie ir sīkāk precizēti attiecīgajās darba programmās, lai aizsargātu ES būtiskās drošības intereses. Pašreiz notiekošā Komisijas Finanšu regulas pārskatīšana arī sniegs lielāku skaidrību par to, kā saglabāt ES atvērto stratēģiskās autonomijas pieeju, t. i., pilnībā saglabāt ES būtiskās drošības intereses, vienlaikus ievērojot tās starptautiskās saistības. </w:t>
      </w:r>
    </w:p>
    <w:p w14:paraId="3C81D5DD" w14:textId="06D5FA9B" w:rsidR="005039D6" w:rsidRPr="004605EE" w:rsidRDefault="005039D6" w:rsidP="00D5418F">
      <w:pPr>
        <w:pStyle w:val="ListParagraph"/>
        <w:numPr>
          <w:ilvl w:val="0"/>
          <w:numId w:val="11"/>
        </w:numPr>
        <w:spacing w:after="60"/>
        <w:contextualSpacing w:val="0"/>
        <w:jc w:val="both"/>
        <w:rPr>
          <w:rFonts w:ascii="Times New Roman" w:hAnsi="Times New Roman" w:cs="Times New Roman"/>
          <w:noProof/>
          <w:sz w:val="24"/>
        </w:rPr>
      </w:pPr>
      <w:r>
        <w:rPr>
          <w:rFonts w:ascii="Times New Roman" w:hAnsi="Times New Roman"/>
          <w:i/>
          <w:iCs/>
          <w:noProof/>
          <w:sz w:val="24"/>
        </w:rPr>
        <w:t>Standarti</w:t>
      </w:r>
      <w:r>
        <w:rPr>
          <w:rFonts w:ascii="Times New Roman" w:hAnsi="Times New Roman"/>
          <w:noProof/>
          <w:sz w:val="24"/>
        </w:rPr>
        <w:t> — saskaņā ar sinerģijas rīcības plānu Komisija veicina esošo civilo/aizsardzības hibrīdstandartu izmantošanu un jaunu standartu izstrādi līdz 2022. gada beigām (5. darbība) un aizsardzības jautājumu ņemšanu vērā Komisijas standartizācijas politikā un darbībās. Lai gan ES standartizācijas stratēģijas</w:t>
      </w:r>
      <w:r>
        <w:rPr>
          <w:rStyle w:val="FootnoteReference"/>
          <w:rFonts w:ascii="Times New Roman" w:hAnsi="Times New Roman" w:cs="Times New Roman"/>
          <w:noProof/>
          <w:sz w:val="24"/>
        </w:rPr>
        <w:footnoteReference w:id="16"/>
      </w:r>
      <w:r>
        <w:rPr>
          <w:rFonts w:ascii="Times New Roman" w:hAnsi="Times New Roman"/>
          <w:noProof/>
          <w:sz w:val="24"/>
        </w:rPr>
        <w:t xml:space="preserve"> mērķis ir nodrošināt ES vadošo lomu civilās jomas standartu noteikšanā, tā būs ļoti svarīga aizsardzības nozarei, jo gandrīz 80 % no aizsardzības jomā izmantotajiem standartiem ir pārņemti no civilajām nozarēm. Komisija kopā ar ieinteresētajām personām (piemēram, EAA) izskatīs iespēju turpmākajos standartizācijas centienos, ko tā atbalsta, iekļaut aizsardzības prasības, lai uzlabotu to saderību ar aizsardzības vajadzībām.</w:t>
      </w:r>
    </w:p>
    <w:p w14:paraId="14F3F03B" w14:textId="1967B739" w:rsidR="0027480E" w:rsidRPr="00BA2C74" w:rsidRDefault="0027480E" w:rsidP="00881A45">
      <w:pPr>
        <w:pStyle w:val="ListParagraph"/>
        <w:numPr>
          <w:ilvl w:val="0"/>
          <w:numId w:val="11"/>
        </w:numPr>
        <w:spacing w:after="60"/>
        <w:contextualSpacing w:val="0"/>
        <w:jc w:val="both"/>
        <w:rPr>
          <w:rFonts w:ascii="Times New Roman" w:hAnsi="Times New Roman" w:cs="Times New Roman"/>
          <w:noProof/>
          <w:sz w:val="24"/>
        </w:rPr>
      </w:pPr>
      <w:r>
        <w:rPr>
          <w:rFonts w:ascii="Times New Roman" w:hAnsi="Times New Roman"/>
          <w:i/>
          <w:iCs/>
          <w:noProof/>
          <w:sz w:val="24"/>
        </w:rPr>
        <w:t>Ārvalstu tiešo investīciju izvērtēšana</w:t>
      </w:r>
      <w:r>
        <w:rPr>
          <w:rFonts w:ascii="Times New Roman" w:hAnsi="Times New Roman"/>
          <w:noProof/>
          <w:sz w:val="24"/>
        </w:rPr>
        <w:t xml:space="preserve"> – ES ir viena no pasaulē atvērtākajām ārvalstu investīciju vidēm un viens no galvenajiem ārvalstu tiešo investīciju (ĀTI) galamērķiem pasaulē. Tomēr konkrēti ieguldījumi var apdraudēt arī ES būtiskās drošības intereses. Lai novērstu šādus riskus, ES ir ieviesusi ĀTI izvērtēšanas satvaru, kas darbojas kopš 2020. gada oktobra. Pirmais gada ziņojums par ĀTI izvērtēšanu apstiprina, cik svarīga ir efektīva ĀTI izvērtēšana dalībvalstu līmenī un cieša sadarbība ES līmenī, galveno uzmanību pievēršot iespējamiem riskiem drošībai vai sabiedriskajai kārtībai. Dalībvalstis tiek mudinātas izveidot valsts ĀTI izvērtēšanas mehānismus; 18 dalībvalstis jau ir ieviesušas minētos mehānismus, un vēl sešas dalībvalstis strādā pie to ieviešanas. Komisija izvērtēs minēto regulu un līdz 2023. gada oktobrim iesniegs ziņojumu Eiropas Parlamentam un Padomei. </w:t>
      </w:r>
    </w:p>
    <w:p w14:paraId="6D53C53F" w14:textId="2FE41C4E" w:rsidR="00E37879" w:rsidRPr="004605EE" w:rsidRDefault="008B34D8" w:rsidP="007D3FC6">
      <w:pPr>
        <w:pStyle w:val="ListParagraph"/>
        <w:numPr>
          <w:ilvl w:val="0"/>
          <w:numId w:val="11"/>
        </w:numPr>
        <w:spacing w:after="60"/>
        <w:ind w:left="357"/>
        <w:contextualSpacing w:val="0"/>
        <w:jc w:val="both"/>
        <w:rPr>
          <w:rFonts w:ascii="Times New Roman" w:hAnsi="Times New Roman" w:cs="Times New Roman"/>
          <w:noProof/>
          <w:sz w:val="24"/>
        </w:rPr>
      </w:pPr>
      <w:r>
        <w:rPr>
          <w:rFonts w:ascii="Times New Roman" w:hAnsi="Times New Roman"/>
          <w:i/>
          <w:iCs/>
          <w:noProof/>
          <w:sz w:val="24"/>
        </w:rPr>
        <w:t>Kritiskā infrastruktūra</w:t>
      </w:r>
      <w:r>
        <w:rPr>
          <w:rFonts w:ascii="Times New Roman" w:hAnsi="Times New Roman"/>
          <w:noProof/>
          <w:sz w:val="24"/>
        </w:rPr>
        <w:t xml:space="preserve"> – arvien straujāka jaunu un revolucionāru tehnoloģiju parādīšanās ir būtiski ietekmējusi aprīkojuma, infrastruktūras, pakalpojumu, vērtības un piegādes ķēžu drošību stratēģiskās nozarēs, tostarp drošības un aizsardzības nozarēs. ES un dalībvalstīm ir vispusīgāk jāņem vērā šāda neaizsargātība, veicot attiecīgos riska novērtējumus un uzraudzību, kā arī īstenojot noturības uzlabošanas pasākumus, kas vērstipret drošības apdraudējumiem, piemēram, hibrīddraudiem vai kiberdraudiem. Lai nodrošinātu, ka dalībvalstis uztur nākotnes prasībām atbilstošu noturības līmeni un konsekventus drošības standartus ES līmenī, lai izvairītos no neaizsargātības, būs nepieciešama koordinācija ES līmenī. </w:t>
      </w:r>
    </w:p>
    <w:p w14:paraId="37BC30EE" w14:textId="3AECC566" w:rsidR="00540B4F" w:rsidRPr="004605EE" w:rsidRDefault="00540B4F" w:rsidP="007C556A">
      <w:pPr>
        <w:pStyle w:val="ListParagraph"/>
        <w:numPr>
          <w:ilvl w:val="0"/>
          <w:numId w:val="11"/>
        </w:numPr>
        <w:spacing w:after="60"/>
        <w:ind w:left="357"/>
        <w:contextualSpacing w:val="0"/>
        <w:jc w:val="both"/>
        <w:rPr>
          <w:rFonts w:ascii="Times New Roman" w:hAnsi="Times New Roman" w:cs="Times New Roman"/>
          <w:noProof/>
          <w:sz w:val="24"/>
        </w:rPr>
      </w:pPr>
      <w:r>
        <w:rPr>
          <w:rFonts w:ascii="Times New Roman" w:hAnsi="Times New Roman"/>
          <w:i/>
          <w:iCs/>
          <w:noProof/>
          <w:sz w:val="24"/>
        </w:rPr>
        <w:t>Materiālu gudra un apritīga izmantošana</w:t>
      </w:r>
      <w:r>
        <w:rPr>
          <w:rFonts w:ascii="Times New Roman" w:hAnsi="Times New Roman"/>
          <w:noProof/>
          <w:sz w:val="24"/>
        </w:rPr>
        <w:t> – jaunais 2020. gada marta aprites ekonomikas rīcības plāns ir viens no galvenajiem elementiem Eiropas zaļajā kursā – Eiropas jaunajā ilgtspējīgas izaugsmes programmā. Inovācija un jauni uzņēmējdarbības modeļi, kuru pamatā ir lielāka resursu efektivitāte, jaunu materiālu izstrāde, otrreizējo izejvielu veicināšana un ilgtspējīgāks publiskais iepirkums, ne tikai saglabās vidi, bet arī nodrošinās rūpniecības piekļuvi materiāliem. ES drošības un aizsardzības nozaru konkurētspēju un ES noturību varētu palīdzēt stiprināt arī piedevu ražošanas metodes, zaļais iepirkums un materiālu reciklēšana, ja tās tiks labi īstenotas.</w:t>
      </w:r>
    </w:p>
    <w:p w14:paraId="41C2FC78" w14:textId="3DC48429" w:rsidR="00E37879" w:rsidRPr="004605EE" w:rsidRDefault="00E37879" w:rsidP="007D3FC6">
      <w:pPr>
        <w:pStyle w:val="ListParagraph"/>
        <w:numPr>
          <w:ilvl w:val="0"/>
          <w:numId w:val="11"/>
        </w:numPr>
        <w:spacing w:after="60"/>
        <w:ind w:left="351" w:hanging="357"/>
        <w:contextualSpacing w:val="0"/>
        <w:jc w:val="both"/>
        <w:rPr>
          <w:rFonts w:ascii="Times New Roman" w:hAnsi="Times New Roman" w:cs="Times New Roman"/>
          <w:noProof/>
          <w:sz w:val="24"/>
        </w:rPr>
      </w:pPr>
      <w:r>
        <w:rPr>
          <w:rFonts w:ascii="Times New Roman" w:hAnsi="Times New Roman"/>
          <w:i/>
          <w:iCs/>
          <w:noProof/>
          <w:sz w:val="24"/>
        </w:rPr>
        <w:t>Datu drošība</w:t>
      </w:r>
      <w:r>
        <w:rPr>
          <w:rFonts w:ascii="Times New Roman" w:hAnsi="Times New Roman"/>
          <w:noProof/>
          <w:sz w:val="24"/>
        </w:rPr>
        <w:t xml:space="preserve"> – Eiropas Datu stratēģijā ir izklāstīti pasākumi, lai nodrošinātu, ka privātpersonas un uzņēmumi var saglabāt kontroli pār saviem datiem. Minētie pasākumi tiks izklāstīti Datu aktā, ko Komisija pieņems 2022. gada sākumā. </w:t>
      </w:r>
    </w:p>
    <w:p w14:paraId="705C67B9" w14:textId="4A9ED16D" w:rsidR="00E37879" w:rsidRPr="004605EE" w:rsidRDefault="00E37879" w:rsidP="007D3FC6">
      <w:pPr>
        <w:pStyle w:val="ListParagraph"/>
        <w:spacing w:after="60"/>
        <w:ind w:left="357"/>
        <w:contextualSpacing w:val="0"/>
        <w:jc w:val="both"/>
        <w:rPr>
          <w:rFonts w:ascii="Times New Roman" w:hAnsi="Times New Roman" w:cs="Times New Roman"/>
          <w:noProof/>
          <w:sz w:val="24"/>
        </w:rPr>
      </w:pPr>
      <w:r>
        <w:rPr>
          <w:rFonts w:ascii="Times New Roman" w:hAnsi="Times New Roman"/>
          <w:noProof/>
          <w:sz w:val="24"/>
        </w:rPr>
        <w:t xml:space="preserve">Piedaloties daudzvalstu projektā par kopējām datu infrastruktūrām un pakalpojumiem (apvienojot Eiropas mākoņdatošanas federāciju un kopējās Eiropas datu telpas), Komisija veicina investīcijas (piemēram, </w:t>
      </w:r>
      <w:r>
        <w:rPr>
          <w:rFonts w:ascii="Times New Roman" w:hAnsi="Times New Roman"/>
          <w:i/>
          <w:iCs/>
          <w:noProof/>
          <w:sz w:val="24"/>
        </w:rPr>
        <w:t>DEP</w:t>
      </w:r>
      <w:r>
        <w:rPr>
          <w:rFonts w:ascii="Times New Roman" w:hAnsi="Times New Roman"/>
          <w:noProof/>
          <w:sz w:val="24"/>
        </w:rPr>
        <w:t xml:space="preserve">, </w:t>
      </w:r>
      <w:r>
        <w:rPr>
          <w:rFonts w:ascii="Times New Roman" w:hAnsi="Times New Roman"/>
          <w:i/>
          <w:iCs/>
          <w:noProof/>
          <w:sz w:val="24"/>
        </w:rPr>
        <w:t>CEF</w:t>
      </w:r>
      <w:r>
        <w:rPr>
          <w:rFonts w:ascii="Times New Roman" w:hAnsi="Times New Roman"/>
          <w:noProof/>
          <w:sz w:val="24"/>
        </w:rPr>
        <w:t xml:space="preserve">, </w:t>
      </w:r>
      <w:r>
        <w:rPr>
          <w:rFonts w:ascii="Times New Roman" w:hAnsi="Times New Roman"/>
          <w:i/>
          <w:iCs/>
          <w:noProof/>
          <w:sz w:val="24"/>
        </w:rPr>
        <w:t>Next Generation EU</w:t>
      </w:r>
      <w:r>
        <w:rPr>
          <w:rFonts w:ascii="Times New Roman" w:hAnsi="Times New Roman"/>
          <w:noProof/>
          <w:sz w:val="24"/>
        </w:rPr>
        <w:t>) mākoņa un perifērijas datošanas spējās, kas ir drošas, noturīgas, energoefektīvas un pieejamas reāllaikā un nodrošina pakalpojumu kvalitāti visā Eiropā. Tehnoloģiju pārneses nodrošināšana mākoņdatošanas un perifēro tehnoloģiju jomā starp civilo (jo īpaši drošības), aizsardzības un kosmosa nozari uzlabotu tehnoloģisko suverenitāti. Eiropas Rūpniecības datošanas, perifērdatošanas un mākoņdatošanas alianse nodrošina iespējamu platformu šādas sinerģijas veicināšanai.</w:t>
      </w:r>
    </w:p>
    <w:p w14:paraId="4E37BEFE" w14:textId="60AA997C" w:rsidR="00E37879" w:rsidRPr="004605EE" w:rsidRDefault="00E37879" w:rsidP="007E3173">
      <w:pPr>
        <w:pStyle w:val="ListParagraph"/>
        <w:numPr>
          <w:ilvl w:val="0"/>
          <w:numId w:val="11"/>
        </w:numPr>
        <w:spacing w:after="120"/>
        <w:contextualSpacing w:val="0"/>
        <w:jc w:val="both"/>
        <w:rPr>
          <w:rFonts w:ascii="Times New Roman" w:hAnsi="Times New Roman" w:cs="Times New Roman"/>
          <w:noProof/>
          <w:sz w:val="24"/>
        </w:rPr>
      </w:pPr>
      <w:r>
        <w:rPr>
          <w:rFonts w:ascii="Times New Roman" w:hAnsi="Times New Roman"/>
          <w:i/>
          <w:iCs/>
          <w:noProof/>
          <w:sz w:val="24"/>
        </w:rPr>
        <w:t>Tirdzniecības politika</w:t>
      </w:r>
      <w:r>
        <w:rPr>
          <w:rFonts w:ascii="Times New Roman" w:hAnsi="Times New Roman"/>
          <w:noProof/>
          <w:sz w:val="24"/>
        </w:rPr>
        <w:t> –globālo piegādes ķēžu sarežģītība un neaizsargātība ir problēma, kas skar ne tikai ES. Citas valstis, kas ir atkarīgas no ES (“apgrieztā atkarība”), un tirdzniecība (“savstarpēja atkarība”) var veicināt globālo vērtības ķēžu stabilitāti. ES ir arī gatava rīkoties pārliecinoši un aizstāvēties pret negodīgu tirdzniecības praksi, piemēram, kropļojošu ārvalstu subsīdiju izmantošanu, vienlaikus rīkojoties saskaņā ar savām starptautiskajām saistībām. ES turpinās maksimāli izmantot tirdzniecības un konkurences instrumentu kopumu, vienlaikus nodrošinot, ka ES instrumenti ir efektīvi un atjaunināti. Tāpēc Komisija ir ierosinājusi jaunus instrumentus, piemēram, Regulu par ārvalstu subsīdijām</w:t>
      </w:r>
      <w:r>
        <w:rPr>
          <w:rStyle w:val="FootnoteReference"/>
          <w:rFonts w:ascii="Times New Roman" w:hAnsi="Times New Roman" w:cs="Times New Roman"/>
          <w:noProof/>
          <w:sz w:val="24"/>
        </w:rPr>
        <w:footnoteReference w:id="17"/>
      </w:r>
      <w:r>
        <w:rPr>
          <w:rFonts w:ascii="Times New Roman" w:hAnsi="Times New Roman"/>
          <w:noProof/>
          <w:sz w:val="24"/>
        </w:rPr>
        <w:t>, ar ko novērš iekšējā tirgus izkropļojumus, kurus rada ārvalstu subsīdijas.</w:t>
      </w:r>
    </w:p>
    <w:p w14:paraId="4BA6EB8B" w14:textId="62CCF8E9" w:rsidR="00E37879" w:rsidRPr="004605EE" w:rsidRDefault="00C94A40" w:rsidP="007E3173">
      <w:pPr>
        <w:spacing w:after="120"/>
        <w:jc w:val="both"/>
        <w:rPr>
          <w:rFonts w:ascii="Times New Roman" w:hAnsi="Times New Roman" w:cs="Times New Roman"/>
          <w:noProof/>
          <w:sz w:val="24"/>
        </w:rPr>
      </w:pPr>
      <w:r>
        <w:rPr>
          <w:rFonts w:ascii="Times New Roman" w:hAnsi="Times New Roman"/>
          <w:noProof/>
          <w:sz w:val="24"/>
        </w:rPr>
        <w:t>Paziņojumā par aizsardzību ir uzskaitīti citi attiecīgie politikas pasākumi (piemēram, iespējama atbrīvojuma no pievienotās vērtības nodokļa (PVN) ieviešana, ES finansētu aizsardzības ražojumu nodošanas atvieglošana).</w:t>
      </w:r>
    </w:p>
    <w:tbl>
      <w:tblPr>
        <w:tblStyle w:val="TableGrid"/>
        <w:tblW w:w="9356" w:type="dxa"/>
        <w:tblInd w:w="108" w:type="dxa"/>
        <w:shd w:val="clear" w:color="auto" w:fill="D9D9D9" w:themeFill="background1" w:themeFillShade="D9"/>
        <w:tblLook w:val="04A0" w:firstRow="1" w:lastRow="0" w:firstColumn="1" w:lastColumn="0" w:noHBand="0" w:noVBand="1"/>
      </w:tblPr>
      <w:tblGrid>
        <w:gridCol w:w="9356"/>
      </w:tblGrid>
      <w:tr w:rsidR="007B51BD" w:rsidRPr="004605EE" w14:paraId="4A17D883" w14:textId="77777777" w:rsidTr="00B74E0C">
        <w:tc>
          <w:tcPr>
            <w:tcW w:w="9356" w:type="dxa"/>
            <w:shd w:val="clear" w:color="auto" w:fill="D9D9D9" w:themeFill="background1" w:themeFillShade="D9"/>
          </w:tcPr>
          <w:p w14:paraId="66CAEEAD" w14:textId="77777777" w:rsidR="007B51BD" w:rsidRPr="00B74E0C" w:rsidRDefault="007B51BD" w:rsidP="007D3FC6">
            <w:pPr>
              <w:spacing w:after="120"/>
              <w:jc w:val="both"/>
              <w:rPr>
                <w:rFonts w:ascii="Times New Roman" w:hAnsi="Times New Roman" w:cs="Times New Roman"/>
                <w:b/>
                <w:i/>
                <w:noProof/>
                <w:sz w:val="24"/>
              </w:rPr>
            </w:pPr>
            <w:r>
              <w:rPr>
                <w:rFonts w:ascii="Times New Roman" w:hAnsi="Times New Roman"/>
                <w:b/>
                <w:i/>
                <w:noProof/>
                <w:sz w:val="24"/>
              </w:rPr>
              <w:t>Turpmākā rīcība</w:t>
            </w:r>
          </w:p>
          <w:p w14:paraId="1233545E" w14:textId="77777777" w:rsidR="007303DF" w:rsidRPr="004605EE" w:rsidRDefault="007303DF" w:rsidP="007D3FC6">
            <w:pPr>
              <w:pStyle w:val="ListParagraph"/>
              <w:numPr>
                <w:ilvl w:val="0"/>
                <w:numId w:val="12"/>
              </w:numPr>
              <w:spacing w:after="120"/>
              <w:contextualSpacing w:val="0"/>
              <w:jc w:val="both"/>
              <w:rPr>
                <w:rFonts w:ascii="Times New Roman" w:hAnsi="Times New Roman" w:cs="Times New Roman"/>
                <w:noProof/>
                <w:sz w:val="24"/>
              </w:rPr>
            </w:pPr>
            <w:r>
              <w:rPr>
                <w:rFonts w:ascii="Times New Roman" w:hAnsi="Times New Roman"/>
                <w:noProof/>
                <w:sz w:val="24"/>
              </w:rPr>
              <w:t>Komisija pēta iespēju iekļaut aizsardzības darba virzienus tādās iniciatīvās kā Eiropas Rūpniecības datošanas, perifērdatošanas un mākoņdatošanas alianse un Procesoru un pusvadītāju tehnoloģiju rūpniecības alianse.</w:t>
            </w:r>
          </w:p>
          <w:p w14:paraId="222D7432" w14:textId="4D0D8A18" w:rsidR="00E01300" w:rsidRPr="004605EE" w:rsidRDefault="007B51BD" w:rsidP="0078049F">
            <w:pPr>
              <w:pStyle w:val="ListParagraph"/>
              <w:numPr>
                <w:ilvl w:val="0"/>
                <w:numId w:val="12"/>
              </w:numPr>
              <w:spacing w:after="120"/>
              <w:ind w:left="357" w:hanging="357"/>
              <w:contextualSpacing w:val="0"/>
              <w:jc w:val="both"/>
              <w:rPr>
                <w:rFonts w:ascii="Times New Roman" w:hAnsi="Times New Roman" w:cs="Times New Roman"/>
                <w:noProof/>
                <w:sz w:val="24"/>
              </w:rPr>
            </w:pPr>
            <w:r>
              <w:rPr>
                <w:rFonts w:ascii="Times New Roman" w:hAnsi="Times New Roman"/>
                <w:noProof/>
                <w:sz w:val="24"/>
              </w:rPr>
              <w:t>Komisija kopā ar dalībvalstīm 2023. gadā identificēs vajadzības un ziņos par to, ka, lai labāk aizsargātu ES drošības un aizsardzības intereses, ir vajadzīgas riska novērtējuma kritiskās infrastruktūras piegādes ķēdes, jo īpaši digitālajā jomā.</w:t>
            </w:r>
          </w:p>
          <w:p w14:paraId="563854BE" w14:textId="11D03395" w:rsidR="0023069A" w:rsidRPr="004605EE" w:rsidRDefault="0023069A" w:rsidP="0078049F">
            <w:pPr>
              <w:pStyle w:val="ListParagraph"/>
              <w:numPr>
                <w:ilvl w:val="0"/>
                <w:numId w:val="12"/>
              </w:numPr>
              <w:spacing w:after="120"/>
              <w:ind w:left="357" w:hanging="357"/>
              <w:contextualSpacing w:val="0"/>
              <w:jc w:val="both"/>
              <w:rPr>
                <w:rFonts w:ascii="Times New Roman" w:hAnsi="Times New Roman" w:cs="Times New Roman"/>
                <w:noProof/>
                <w:sz w:val="24"/>
              </w:rPr>
            </w:pPr>
            <w:r>
              <w:rPr>
                <w:rFonts w:ascii="Times New Roman" w:hAnsi="Times New Roman"/>
                <w:noProof/>
                <w:sz w:val="24"/>
              </w:rPr>
              <w:t>Komisija mudina visas pārējās dalībvalstis izveidot valsts ĀTI izvērtēšanas mehānismu.</w:t>
            </w:r>
          </w:p>
        </w:tc>
      </w:tr>
    </w:tbl>
    <w:p w14:paraId="0FD9EB1D" w14:textId="77777777" w:rsidR="007B51BD" w:rsidRPr="004605EE" w:rsidRDefault="007B51BD" w:rsidP="007D3FC6">
      <w:pPr>
        <w:spacing w:after="0"/>
        <w:jc w:val="both"/>
        <w:rPr>
          <w:rFonts w:ascii="Times New Roman" w:hAnsi="Times New Roman" w:cs="Times New Roman"/>
          <w:noProof/>
          <w:sz w:val="24"/>
        </w:rPr>
      </w:pPr>
    </w:p>
    <w:p w14:paraId="361D82FD" w14:textId="1DC61E07" w:rsidR="00E37879" w:rsidRPr="004605EE" w:rsidRDefault="008E7151" w:rsidP="00CE5763">
      <w:pPr>
        <w:keepNext/>
        <w:keepLines/>
        <w:spacing w:after="120"/>
        <w:ind w:left="567" w:hanging="567"/>
        <w:jc w:val="both"/>
        <w:rPr>
          <w:rFonts w:ascii="Times New Roman" w:hAnsi="Times New Roman" w:cs="Times New Roman"/>
          <w:b/>
          <w:noProof/>
          <w:sz w:val="24"/>
        </w:rPr>
      </w:pPr>
      <w:r>
        <w:rPr>
          <w:rFonts w:ascii="Times New Roman" w:hAnsi="Times New Roman"/>
          <w:b/>
          <w:noProof/>
          <w:sz w:val="24"/>
        </w:rPr>
        <w:t>5.</w:t>
      </w:r>
      <w:r>
        <w:rPr>
          <w:noProof/>
        </w:rPr>
        <w:tab/>
      </w:r>
      <w:r>
        <w:rPr>
          <w:rFonts w:ascii="Times New Roman" w:hAnsi="Times New Roman"/>
          <w:b/>
          <w:noProof/>
          <w:sz w:val="24"/>
        </w:rPr>
        <w:t xml:space="preserve">Ārējā dimensija </w:t>
      </w:r>
    </w:p>
    <w:p w14:paraId="2536FA61" w14:textId="6D568D4B" w:rsidR="00E37879" w:rsidRPr="00630A31" w:rsidRDefault="00E37879" w:rsidP="007D3FC6">
      <w:pPr>
        <w:spacing w:after="120"/>
        <w:jc w:val="both"/>
        <w:rPr>
          <w:rFonts w:ascii="Times New Roman" w:hAnsi="Times New Roman" w:cs="Times New Roman"/>
          <w:noProof/>
          <w:sz w:val="24"/>
        </w:rPr>
      </w:pPr>
      <w:r>
        <w:rPr>
          <w:rFonts w:ascii="Times New Roman" w:hAnsi="Times New Roman"/>
          <w:noProof/>
          <w:sz w:val="24"/>
        </w:rPr>
        <w:t xml:space="preserve">Lai uzlabotu ES noturību un piegādes drošību, vienlaikus samazinot stratēģisko atkarību un palielinot savstarpējos ieguvumus, būtiska ir sadarbība ar līdzīgi domājošiem partneriem visā pasaulē. Šajā kontekstā svarīgs ir savstarpīguma princips. </w:t>
      </w:r>
      <w:r>
        <w:rPr>
          <w:rFonts w:ascii="Times New Roman" w:hAnsi="Times New Roman"/>
          <w:noProof/>
          <w:sz w:val="24"/>
          <w:szCs w:val="24"/>
        </w:rPr>
        <w:t>ES tradicionālie partneri tehnoloģiju, drošības un aizsardzības jomā ir Eiropas Ekonomikas zonas dalībvalstis (jo īpaši Norvēģija), kandidātvalstis, kaimiņvalstis un citas trešās valstis (piemēram, Amerikas Savienotās Valstis, Kanāda, Japāna, Dienvidkoreja), kā arī starptautiskās organizācijas (piemēram, NATO). Nesenā viedokļu apmaiņa jo īpaši ietver:</w:t>
      </w:r>
    </w:p>
    <w:p w14:paraId="4930263E" w14:textId="547ABF91" w:rsidR="00E37879" w:rsidRPr="004605EE" w:rsidRDefault="008E7151"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5.1.</w:t>
      </w:r>
      <w:r>
        <w:rPr>
          <w:noProof/>
        </w:rPr>
        <w:tab/>
      </w:r>
      <w:r>
        <w:rPr>
          <w:rFonts w:ascii="Times New Roman" w:hAnsi="Times New Roman"/>
          <w:b/>
          <w:i/>
          <w:noProof/>
          <w:sz w:val="24"/>
        </w:rPr>
        <w:t xml:space="preserve">ES un ASV Tirdzniecības un tehnoloģiju padome </w:t>
      </w:r>
    </w:p>
    <w:p w14:paraId="5737EB8B" w14:textId="63832C19" w:rsidR="00E37879" w:rsidRPr="004605EE" w:rsidRDefault="002C7887" w:rsidP="007D3FC6">
      <w:pPr>
        <w:spacing w:after="120"/>
        <w:jc w:val="both"/>
        <w:rPr>
          <w:rFonts w:ascii="Times New Roman" w:hAnsi="Times New Roman" w:cs="Times New Roman"/>
          <w:noProof/>
          <w:sz w:val="24"/>
        </w:rPr>
      </w:pPr>
      <w:r>
        <w:rPr>
          <w:rFonts w:ascii="Times New Roman" w:hAnsi="Times New Roman"/>
          <w:noProof/>
          <w:sz w:val="24"/>
        </w:rPr>
        <w:t>ES un ASV Tirdzniecības un tehnoloģiju padomes (TTP) pirmā sanāksme notika 2021. gada 29. septembrī. Kopīgajā paziņojumā ES un ASV atkārtoti apstiprināja apņemšanos “koncentrēties uz attiecīgās piegādes ķēdes noturības un piegādes drošības uzlabošanu galvenajās nozarēs zaļās un digitālās pārkārtošanās nodrošināšanai un mūsu iedzīvotāju aizsardzības nodrošināšanai” un to mērķi “palielināt piedāvājuma un pieprasījuma pārredzamību; kartēt attiecīgās esošās nozaru spējas; apmainīties ar informāciju par politikas pasākumiem un pētniecības un attīstības prioritātēm un sadarboties saistībā ar stratēģijām, lai veicinātu piegādes ķēdes noturību un diversifikāciju”. Šim ceļvedim visbūtiskākais ir pašreizējais darbs darba grupās saistībā ar drošām piegādes ķēdēm (tostarp attiecībā uz pusvadītājiem tiem specializētā sadaļā), informācijas un komunikācijas tehnoloģiju drošību, eksporta kontroli un investīciju izvērtēšanu. Nesen uzsāktais ES un ASV dialogs par drošību un aizsardzību arī varētu kalpot par forumu diskusijām par šiem jautājumiem.</w:t>
      </w:r>
    </w:p>
    <w:p w14:paraId="1754173A" w14:textId="04141364" w:rsidR="00E37879" w:rsidRPr="004605EE" w:rsidRDefault="008E7151" w:rsidP="007D3FC6">
      <w:pPr>
        <w:tabs>
          <w:tab w:val="left" w:pos="567"/>
        </w:tabs>
        <w:spacing w:after="120"/>
        <w:ind w:left="567" w:hanging="567"/>
        <w:jc w:val="both"/>
        <w:rPr>
          <w:rFonts w:ascii="Times New Roman" w:hAnsi="Times New Roman" w:cs="Times New Roman"/>
          <w:b/>
          <w:i/>
          <w:noProof/>
          <w:sz w:val="24"/>
        </w:rPr>
      </w:pPr>
      <w:r>
        <w:rPr>
          <w:rFonts w:ascii="Times New Roman" w:hAnsi="Times New Roman"/>
          <w:b/>
          <w:i/>
          <w:noProof/>
          <w:sz w:val="24"/>
        </w:rPr>
        <w:t>5.2.</w:t>
      </w:r>
      <w:r>
        <w:rPr>
          <w:noProof/>
        </w:rPr>
        <w:tab/>
      </w:r>
      <w:r>
        <w:rPr>
          <w:rFonts w:ascii="Times New Roman" w:hAnsi="Times New Roman"/>
          <w:b/>
          <w:i/>
          <w:noProof/>
          <w:sz w:val="24"/>
        </w:rPr>
        <w:t>Partnerība ar NATO</w:t>
      </w:r>
    </w:p>
    <w:p w14:paraId="66B6D66C" w14:textId="6E35D4AD" w:rsidR="00630A31" w:rsidRPr="00E317EB" w:rsidRDefault="004F0215" w:rsidP="007D3FC6">
      <w:pPr>
        <w:spacing w:after="120"/>
        <w:jc w:val="both"/>
        <w:rPr>
          <w:rFonts w:ascii="Times New Roman" w:hAnsi="Times New Roman" w:cs="Times New Roman"/>
          <w:noProof/>
          <w:sz w:val="24"/>
        </w:rPr>
      </w:pPr>
      <w:r>
        <w:rPr>
          <w:rFonts w:ascii="Times New Roman" w:hAnsi="Times New Roman"/>
          <w:noProof/>
          <w:sz w:val="24"/>
          <w:szCs w:val="24"/>
        </w:rPr>
        <w:t>2021. gada Briseles samitā NATO līderi iepazīstināja ar vērienīgu programmu tehnoloģiju, jo īpaši jauno un revolucionāro tehnoloģiju (JRT) jomā</w:t>
      </w:r>
      <w:r>
        <w:rPr>
          <w:rStyle w:val="FootnoteReference"/>
          <w:rFonts w:ascii="Times New Roman" w:hAnsi="Times New Roman" w:cs="Times New Roman"/>
          <w:noProof/>
          <w:sz w:val="24"/>
        </w:rPr>
        <w:footnoteReference w:id="18"/>
      </w:r>
      <w:r>
        <w:rPr>
          <w:noProof/>
        </w:rPr>
        <w:t>.</w:t>
      </w:r>
      <w:r>
        <w:rPr>
          <w:rFonts w:ascii="Times New Roman" w:hAnsi="Times New Roman"/>
          <w:noProof/>
          <w:sz w:val="24"/>
          <w:szCs w:val="24"/>
        </w:rPr>
        <w:t xml:space="preserve"> Šajā programmā sniegtas papildu norādes darbam, kas veikts saskaņā ar NATO īstenošanas stratēģiju attiecībā uz JRT, ko NATO aizsardzības ministri apstiprināja 2021. gada februārī.</w:t>
      </w:r>
    </w:p>
    <w:p w14:paraId="32241CF7" w14:textId="7E361D0B" w:rsidR="00E37879" w:rsidRDefault="00E37879" w:rsidP="007D3FC6">
      <w:pPr>
        <w:spacing w:after="120"/>
        <w:jc w:val="both"/>
        <w:rPr>
          <w:rFonts w:ascii="Times New Roman" w:hAnsi="Times New Roman" w:cs="Times New Roman"/>
          <w:noProof/>
          <w:sz w:val="24"/>
        </w:rPr>
      </w:pPr>
      <w:r>
        <w:rPr>
          <w:rFonts w:ascii="Times New Roman" w:hAnsi="Times New Roman"/>
          <w:noProof/>
          <w:sz w:val="24"/>
        </w:rPr>
        <w:t xml:space="preserve">Komisija un Augstais pārstāvis uzraudzīs attiecīgo NATO iniciatīvu progresu šajā jomā, uzturot regulārus kontaktus ar NATO darba līmenī, lai nodrošinātu iespējamu savstarpēji pieņemamu un izdevīgu mijiedarbību ar attiecīgajām ES iniciatīvām, nodrošinot pilnīgu pārredzamību dalībvalstīm, vienlaikus izvairoties no jaunu tehnoloģiju vai spēju atkarības radīšanas vai palielināšanas. </w:t>
      </w:r>
    </w:p>
    <w:tbl>
      <w:tblPr>
        <w:tblStyle w:val="TableGrid"/>
        <w:tblW w:w="9498" w:type="dxa"/>
        <w:tblInd w:w="108" w:type="dxa"/>
        <w:shd w:val="clear" w:color="auto" w:fill="D9D9D9" w:themeFill="background1" w:themeFillShade="D9"/>
        <w:tblLook w:val="04A0" w:firstRow="1" w:lastRow="0" w:firstColumn="1" w:lastColumn="0" w:noHBand="0" w:noVBand="1"/>
      </w:tblPr>
      <w:tblGrid>
        <w:gridCol w:w="9498"/>
      </w:tblGrid>
      <w:tr w:rsidR="007A161C" w:rsidRPr="004605EE" w14:paraId="2A3F4A09" w14:textId="77777777" w:rsidTr="00BE4AD4">
        <w:tc>
          <w:tcPr>
            <w:tcW w:w="9498" w:type="dxa"/>
            <w:shd w:val="clear" w:color="auto" w:fill="D9D9D9" w:themeFill="background1" w:themeFillShade="D9"/>
          </w:tcPr>
          <w:p w14:paraId="2E78090C" w14:textId="77777777" w:rsidR="007A161C" w:rsidRPr="00BE4AD4" w:rsidRDefault="007A161C" w:rsidP="007D3FC6">
            <w:pPr>
              <w:spacing w:after="120"/>
              <w:jc w:val="both"/>
              <w:rPr>
                <w:rFonts w:ascii="Times New Roman" w:hAnsi="Times New Roman" w:cs="Times New Roman"/>
                <w:b/>
                <w:i/>
                <w:noProof/>
                <w:sz w:val="24"/>
              </w:rPr>
            </w:pPr>
            <w:r>
              <w:rPr>
                <w:rFonts w:ascii="Times New Roman" w:hAnsi="Times New Roman"/>
                <w:b/>
                <w:i/>
                <w:noProof/>
                <w:sz w:val="24"/>
              </w:rPr>
              <w:t>Turpmākā rīcība</w:t>
            </w:r>
          </w:p>
          <w:p w14:paraId="4DFFD89E" w14:textId="70736ED0" w:rsidR="007A161C" w:rsidRPr="004605EE" w:rsidRDefault="007A161C" w:rsidP="007D3FC6">
            <w:pPr>
              <w:pStyle w:val="ListParagraph"/>
              <w:numPr>
                <w:ilvl w:val="0"/>
                <w:numId w:val="12"/>
              </w:numPr>
              <w:spacing w:after="120"/>
              <w:ind w:left="357" w:hanging="357"/>
              <w:contextualSpacing w:val="0"/>
              <w:jc w:val="both"/>
              <w:rPr>
                <w:rFonts w:ascii="Times New Roman" w:hAnsi="Times New Roman" w:cs="Times New Roman"/>
                <w:noProof/>
                <w:sz w:val="24"/>
              </w:rPr>
            </w:pPr>
            <w:r>
              <w:rPr>
                <w:rFonts w:ascii="Times New Roman" w:hAnsi="Times New Roman"/>
                <w:noProof/>
                <w:sz w:val="24"/>
              </w:rPr>
              <w:t>Komisija un Augstais pārstāvis saistībā ar ES un ASV TTP un nesen uzsākto ES un ASV dialogu par drošību un aizsardzību pētīs, kā uzlabot piegādes ķēžu noturību un nodrošināt mūsu iedzīvotāju aizsardzību.</w:t>
            </w:r>
          </w:p>
          <w:p w14:paraId="6B25F545" w14:textId="2BB3141F" w:rsidR="007A161C" w:rsidRPr="004605EE" w:rsidRDefault="007A161C" w:rsidP="00AD2EB2">
            <w:pPr>
              <w:pStyle w:val="ListParagraph"/>
              <w:numPr>
                <w:ilvl w:val="0"/>
                <w:numId w:val="12"/>
              </w:numPr>
              <w:spacing w:after="120"/>
              <w:ind w:left="357" w:hanging="357"/>
              <w:contextualSpacing w:val="0"/>
              <w:jc w:val="both"/>
              <w:rPr>
                <w:rFonts w:ascii="Times New Roman" w:hAnsi="Times New Roman" w:cs="Times New Roman"/>
                <w:noProof/>
                <w:sz w:val="24"/>
              </w:rPr>
            </w:pPr>
            <w:r>
              <w:rPr>
                <w:rFonts w:ascii="Times New Roman" w:hAnsi="Times New Roman"/>
                <w:noProof/>
                <w:sz w:val="24"/>
              </w:rPr>
              <w:t>Komisija un Augstais pārstāvis kopā ar NATO, ievērojot kopīgās deklarācijas par ES un NATO sadarbību un pilnīgā pārredzamībā ar dalībvalstīm pētīs, kā veicināt savstarpēji pieņemamu un izdevīgu mijiedarbību starp to attiecīgajām iniciatīvām.</w:t>
            </w:r>
          </w:p>
        </w:tc>
      </w:tr>
    </w:tbl>
    <w:p w14:paraId="5907F962" w14:textId="77777777" w:rsidR="00E37879" w:rsidRPr="004605EE" w:rsidRDefault="00E37879" w:rsidP="007D3FC6">
      <w:pPr>
        <w:spacing w:after="0"/>
        <w:jc w:val="both"/>
        <w:rPr>
          <w:rFonts w:ascii="Times New Roman" w:hAnsi="Times New Roman" w:cs="Times New Roman"/>
          <w:noProof/>
          <w:sz w:val="24"/>
        </w:rPr>
      </w:pPr>
    </w:p>
    <w:p w14:paraId="21F714B2" w14:textId="28B4A7F8" w:rsidR="00E37879" w:rsidRPr="004605EE" w:rsidRDefault="008E7151" w:rsidP="00CE5763">
      <w:pPr>
        <w:keepNext/>
        <w:keepLines/>
        <w:spacing w:after="120"/>
        <w:ind w:left="567" w:hanging="567"/>
        <w:jc w:val="both"/>
        <w:rPr>
          <w:rFonts w:ascii="Times New Roman" w:hAnsi="Times New Roman" w:cs="Times New Roman"/>
          <w:b/>
          <w:noProof/>
          <w:sz w:val="24"/>
        </w:rPr>
      </w:pPr>
      <w:r>
        <w:rPr>
          <w:rFonts w:ascii="Times New Roman" w:hAnsi="Times New Roman"/>
          <w:b/>
          <w:noProof/>
          <w:sz w:val="24"/>
        </w:rPr>
        <w:t>6.</w:t>
      </w:r>
      <w:r>
        <w:rPr>
          <w:noProof/>
        </w:rPr>
        <w:tab/>
      </w:r>
      <w:r>
        <w:rPr>
          <w:rFonts w:ascii="Times New Roman" w:hAnsi="Times New Roman"/>
          <w:b/>
          <w:noProof/>
          <w:sz w:val="24"/>
        </w:rPr>
        <w:t>Secinājumi</w:t>
      </w:r>
    </w:p>
    <w:p w14:paraId="24691061" w14:textId="77777777" w:rsidR="00033924" w:rsidRDefault="00E37879" w:rsidP="00BD0424">
      <w:pPr>
        <w:spacing w:after="120"/>
        <w:jc w:val="both"/>
        <w:rPr>
          <w:rFonts w:ascii="Times New Roman" w:hAnsi="Times New Roman" w:cs="Times New Roman"/>
          <w:noProof/>
          <w:sz w:val="24"/>
        </w:rPr>
      </w:pPr>
      <w:r>
        <w:rPr>
          <w:rFonts w:ascii="Times New Roman" w:hAnsi="Times New Roman"/>
          <w:noProof/>
          <w:sz w:val="24"/>
        </w:rPr>
        <w:t>Tā kā globālā ģeopolitiskā situācija joprojām ir sarežģīta un turpinās sacensība par jaunām tehnoloģijām, kas ir būtiskas drošībai un aizsardzībai, ES un tās dalībvalstīm ir jāpastiprina sadarbība tādu tehnoloģiju jomā, kas ir būtiskas Eiropas ilgtermiņa drošībai un aizsardzībai, un centieni mazināt ar to saistīto stratēģisko atkarību.</w:t>
      </w:r>
    </w:p>
    <w:p w14:paraId="4DA084A1" w14:textId="5730D967" w:rsidR="00033924" w:rsidRDefault="00EE7C91" w:rsidP="00BD0424">
      <w:pPr>
        <w:spacing w:after="120"/>
        <w:jc w:val="both"/>
        <w:rPr>
          <w:rFonts w:ascii="Times New Roman" w:hAnsi="Times New Roman" w:cs="Times New Roman"/>
          <w:noProof/>
          <w:sz w:val="24"/>
        </w:rPr>
      </w:pPr>
      <w:r>
        <w:rPr>
          <w:rFonts w:ascii="Times New Roman" w:hAnsi="Times New Roman"/>
          <w:noProof/>
          <w:sz w:val="24"/>
        </w:rPr>
        <w:t>Šajā ceļvedī ir ierosināts cieši sadarboties ar dalībvalstīm, lai apzinātu drošībai un aizsardzībai kritiski svarīgās tehnoloģijas un vērtības ķēdes, kā arī ar tām saistīto stratēģisko atkarību pamatcēloņus Kritiski svarīgo tehnoloģiju observatorijas kontekstā, lai atbalstītu ES mēroga stratēģisku un koordinētu pieeju kritiski svarīgām tehnoloģijām, kas ir būtiskas drošībai un aizsardzībai un pēc iespējas labāk izmantotu ES un valstu pētniecības, tehnoloģiju izstrādes un inovācijas programmas un instrumentus.</w:t>
      </w:r>
    </w:p>
    <w:p w14:paraId="4DC7B34F" w14:textId="62A82F61" w:rsidR="00BD0424" w:rsidRPr="004605EE" w:rsidRDefault="00EE7C91" w:rsidP="00BD0424">
      <w:pPr>
        <w:spacing w:after="120"/>
        <w:jc w:val="both"/>
        <w:rPr>
          <w:rFonts w:ascii="Times New Roman" w:hAnsi="Times New Roman" w:cs="Times New Roman"/>
          <w:noProof/>
          <w:sz w:val="24"/>
        </w:rPr>
      </w:pPr>
      <w:r>
        <w:rPr>
          <w:rFonts w:ascii="Times New Roman" w:hAnsi="Times New Roman"/>
          <w:noProof/>
          <w:sz w:val="24"/>
        </w:rPr>
        <w:t xml:space="preserve">Observatorijas konstatējumi un ar tiem saistītais darbs atjauninātās industriālās stratēģijas ietvaros palīdzēs uzlabot drošības un aizsardzības nozaru konkurētspēju un noturību, kā arī palīdzēs nodrošināt, ka attiecīgā gadījumā un ievērojot ES konkurences noteikumus un ES starptautiskās saistības ES rūpniecības un tirdzniecības politikā labāk tiek ņemti vērā drošības un aizsardzības apsvērumi. </w:t>
      </w:r>
    </w:p>
    <w:p w14:paraId="426789D6" w14:textId="75158600" w:rsidR="00B94A1A" w:rsidRPr="004605EE" w:rsidRDefault="00E37879" w:rsidP="00BD0424">
      <w:pPr>
        <w:spacing w:after="120"/>
        <w:jc w:val="both"/>
        <w:rPr>
          <w:rFonts w:ascii="Times New Roman" w:hAnsi="Times New Roman" w:cs="Times New Roman"/>
          <w:noProof/>
          <w:sz w:val="24"/>
        </w:rPr>
      </w:pPr>
      <w:r>
        <w:rPr>
          <w:rFonts w:ascii="Times New Roman" w:hAnsi="Times New Roman"/>
          <w:noProof/>
          <w:sz w:val="24"/>
        </w:rPr>
        <w:t>Šajā ceļvedī iekļauto priekšlikumu mērķis ir veicināt pētniecības, tehnoloģiju izstrādes un inovācijas dimensiju gaidāmajā ES Stratēģiskajā kompasā, ar kuru dalībvalstis izvirzīs vērienīgus ilgtermiņa mērķus, lai būtiski uzlabotu Eiropas drošību un aizsardzību.</w:t>
      </w:r>
    </w:p>
    <w:sectPr w:rsidR="00B94A1A" w:rsidRPr="004605EE" w:rsidSect="00B94A1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9D30F" w14:textId="77777777" w:rsidR="00AD2EB2" w:rsidRDefault="00AD2EB2" w:rsidP="00B94A1A">
      <w:pPr>
        <w:spacing w:after="0" w:line="240" w:lineRule="auto"/>
      </w:pPr>
      <w:r>
        <w:separator/>
      </w:r>
    </w:p>
  </w:endnote>
  <w:endnote w:type="continuationSeparator" w:id="0">
    <w:p w14:paraId="290A20DA" w14:textId="77777777" w:rsidR="00AD2EB2" w:rsidRDefault="00AD2EB2" w:rsidP="00B94A1A">
      <w:pPr>
        <w:spacing w:after="0" w:line="240" w:lineRule="auto"/>
      </w:pPr>
      <w:r>
        <w:continuationSeparator/>
      </w:r>
    </w:p>
  </w:endnote>
  <w:endnote w:type="continuationNotice" w:id="1">
    <w:p w14:paraId="0B655184" w14:textId="77777777" w:rsidR="00AD2EB2" w:rsidRDefault="00AD2E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30314" w14:textId="77777777" w:rsidR="00244898" w:rsidRPr="00244898" w:rsidRDefault="00244898" w:rsidP="00244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7024" w14:textId="0D11FF25" w:rsidR="009C2324" w:rsidRPr="00244898" w:rsidRDefault="00244898" w:rsidP="00244898">
    <w:pPr>
      <w:pStyle w:val="FooterCoverPage"/>
      <w:rPr>
        <w:rFonts w:ascii="Arial" w:hAnsi="Arial" w:cs="Arial"/>
        <w:b/>
        <w:sz w:val="48"/>
      </w:rPr>
    </w:pPr>
    <w:r w:rsidRPr="00244898">
      <w:rPr>
        <w:rFonts w:ascii="Arial" w:hAnsi="Arial" w:cs="Arial"/>
        <w:b/>
        <w:sz w:val="48"/>
      </w:rPr>
      <w:t>LV</w:t>
    </w:r>
    <w:r w:rsidRPr="00244898">
      <w:rPr>
        <w:rFonts w:ascii="Arial" w:hAnsi="Arial" w:cs="Arial"/>
        <w:b/>
        <w:sz w:val="48"/>
      </w:rPr>
      <w:tab/>
    </w:r>
    <w:r w:rsidRPr="00244898">
      <w:rPr>
        <w:rFonts w:ascii="Arial" w:hAnsi="Arial" w:cs="Arial"/>
        <w:b/>
        <w:sz w:val="48"/>
      </w:rPr>
      <w:tab/>
    </w:r>
    <w:r w:rsidRPr="00244898">
      <w:tab/>
    </w:r>
    <w:r w:rsidRPr="00244898">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AA32" w14:textId="77777777" w:rsidR="00244898" w:rsidRPr="00244898" w:rsidRDefault="00244898" w:rsidP="0024489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A8A0" w14:textId="77777777" w:rsidR="00E34CD0" w:rsidRDefault="00E34C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344593"/>
      <w:docPartObj>
        <w:docPartGallery w:val="Page Numbers (Bottom of Page)"/>
        <w:docPartUnique/>
      </w:docPartObj>
    </w:sdtPr>
    <w:sdtEndPr>
      <w:rPr>
        <w:rFonts w:ascii="Times New Roman" w:hAnsi="Times New Roman" w:cs="Times New Roman"/>
        <w:noProof/>
      </w:rPr>
    </w:sdtEndPr>
    <w:sdtContent>
      <w:p w14:paraId="640E4234" w14:textId="39B048A0" w:rsidR="00E34CD0" w:rsidRPr="008876C5" w:rsidRDefault="00E34CD0">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44898">
          <w:rPr>
            <w:rFonts w:ascii="Times New Roman" w:hAnsi="Times New Roman" w:cs="Times New Roman"/>
            <w:noProof/>
          </w:rPr>
          <w:t>1</w:t>
        </w:r>
        <w:r>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76E15" w14:textId="77777777" w:rsidR="00E34CD0" w:rsidRDefault="00E34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CA1A1" w14:textId="77777777" w:rsidR="00AD2EB2" w:rsidRDefault="00AD2EB2" w:rsidP="00B94A1A">
      <w:pPr>
        <w:spacing w:after="0" w:line="240" w:lineRule="auto"/>
      </w:pPr>
      <w:r>
        <w:separator/>
      </w:r>
    </w:p>
  </w:footnote>
  <w:footnote w:type="continuationSeparator" w:id="0">
    <w:p w14:paraId="5720CB98" w14:textId="77777777" w:rsidR="00AD2EB2" w:rsidRDefault="00AD2EB2" w:rsidP="00B94A1A">
      <w:pPr>
        <w:spacing w:after="0" w:line="240" w:lineRule="auto"/>
      </w:pPr>
      <w:r>
        <w:continuationSeparator/>
      </w:r>
    </w:p>
  </w:footnote>
  <w:footnote w:type="continuationNotice" w:id="1">
    <w:p w14:paraId="3153D122" w14:textId="77777777" w:rsidR="00AD2EB2" w:rsidRDefault="00AD2EB2">
      <w:pPr>
        <w:spacing w:after="0" w:line="240" w:lineRule="auto"/>
      </w:pPr>
    </w:p>
  </w:footnote>
  <w:footnote w:id="2">
    <w:p w14:paraId="3319C554" w14:textId="3D6C01E5" w:rsidR="00E34CD0" w:rsidRPr="00162760" w:rsidRDefault="00E34CD0" w:rsidP="00840204">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Eiropas Aizsardzības fonds (EAF), koordinētais ikgadējais pārskats par aizsardzību (</w:t>
      </w:r>
      <w:r>
        <w:rPr>
          <w:rFonts w:ascii="Times New Roman" w:hAnsi="Times New Roman"/>
          <w:i/>
          <w:iCs/>
        </w:rPr>
        <w:t>CARD</w:t>
      </w:r>
      <w:r>
        <w:rPr>
          <w:rFonts w:ascii="Times New Roman" w:hAnsi="Times New Roman"/>
        </w:rPr>
        <w:t>) un pastāvīgā strukturētā sadarbība aizsardzības jomā (</w:t>
      </w:r>
      <w:r>
        <w:rPr>
          <w:rFonts w:ascii="Times New Roman" w:hAnsi="Times New Roman"/>
          <w:i/>
          <w:iCs/>
        </w:rPr>
        <w:t>PESCO</w:t>
      </w:r>
      <w:r>
        <w:rPr>
          <w:rFonts w:ascii="Times New Roman" w:hAnsi="Times New Roman"/>
        </w:rPr>
        <w:t>).</w:t>
      </w:r>
    </w:p>
  </w:footnote>
  <w:footnote w:id="3">
    <w:p w14:paraId="7EB3F85C" w14:textId="77777777" w:rsidR="00E34CD0" w:rsidRPr="00162760" w:rsidRDefault="00E34CD0" w:rsidP="00840204">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1" w:history="1">
        <w:r>
          <w:rPr>
            <w:rStyle w:val="Hyperlink"/>
            <w:rFonts w:ascii="Times New Roman" w:hAnsi="Times New Roman"/>
          </w:rPr>
          <w:t>Priekšsēdētājas fon der Leienas runa par stāvokli Savienībā 2021. gadā</w:t>
        </w:r>
      </w:hyperlink>
    </w:p>
  </w:footnote>
  <w:footnote w:id="4">
    <w:p w14:paraId="594BE140" w14:textId="5D0F125D" w:rsidR="00E34CD0" w:rsidRPr="00162760" w:rsidRDefault="00E34CD0" w:rsidP="00840204">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2" w:history="1">
        <w:r>
          <w:rPr>
            <w:rStyle w:val="Hyperlink"/>
            <w:rFonts w:ascii="Times New Roman" w:hAnsi="Times New Roman"/>
          </w:rPr>
          <w:t>Eiropadomes locekļu paziņojums, 2021. gada 26. februāris</w:t>
        </w:r>
      </w:hyperlink>
      <w:r>
        <w:t>.</w:t>
      </w:r>
      <w:r>
        <w:rPr>
          <w:rFonts w:ascii="Times New Roman" w:hAnsi="Times New Roman"/>
        </w:rPr>
        <w:t xml:space="preserve"> </w:t>
      </w:r>
    </w:p>
  </w:footnote>
  <w:footnote w:id="5">
    <w:p w14:paraId="4F0D2998" w14:textId="77777777" w:rsidR="00E34CD0" w:rsidRPr="00162760" w:rsidRDefault="00E34CD0" w:rsidP="00840204">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3" w:history="1">
        <w:r>
          <w:rPr>
            <w:rStyle w:val="Hyperlink"/>
            <w:rFonts w:ascii="Times New Roman" w:hAnsi="Times New Roman"/>
          </w:rPr>
          <w:t>COM(2021) 350 final</w:t>
        </w:r>
      </w:hyperlink>
    </w:p>
  </w:footnote>
  <w:footnote w:id="6">
    <w:p w14:paraId="756FF180" w14:textId="410CB681" w:rsidR="00E34CD0" w:rsidRPr="00162760" w:rsidRDefault="00E34CD0" w:rsidP="00B07B1D">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Komisija, strādājot pie Kritiski svarīgo tehnoloģiju observatorijas, definē “kritisko nozīmi” kosmosa, aizsardzības un ar to saistītajās civilajās nozarēs (tostarp drošības jomā).</w:t>
      </w:r>
    </w:p>
  </w:footnote>
  <w:footnote w:id="7">
    <w:p w14:paraId="4800A8C4" w14:textId="7A3C8506" w:rsidR="00E34CD0" w:rsidRPr="00162760" w:rsidRDefault="00E34CD0" w:rsidP="00B07B1D">
      <w:pPr>
        <w:pStyle w:val="FootnoteText"/>
        <w:tabs>
          <w:tab w:val="left" w:pos="284"/>
        </w:tabs>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4" w:history="1">
        <w:r>
          <w:rPr>
            <w:rStyle w:val="Hyperlink"/>
            <w:rFonts w:ascii="Times New Roman" w:hAnsi="Times New Roman"/>
          </w:rPr>
          <w:t>COM(2021) 70 final</w:t>
        </w:r>
      </w:hyperlink>
    </w:p>
  </w:footnote>
  <w:footnote w:id="8">
    <w:p w14:paraId="472BFBE6" w14:textId="63CC4D9A" w:rsidR="00E34CD0" w:rsidRPr="00162760" w:rsidRDefault="00E34CD0" w:rsidP="00813E49">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5" w:history="1">
        <w:r>
          <w:rPr>
            <w:rStyle w:val="Hyperlink"/>
            <w:rFonts w:ascii="Times New Roman" w:hAnsi="Times New Roman"/>
          </w:rPr>
          <w:t>SWD(2021) 352 final</w:t>
        </w:r>
      </w:hyperlink>
    </w:p>
  </w:footnote>
  <w:footnote w:id="9">
    <w:p w14:paraId="0A35DFBD" w14:textId="2A437DA9" w:rsidR="00E34CD0" w:rsidRPr="00162760" w:rsidRDefault="00E34CD0" w:rsidP="00A93E37">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6" w:history="1">
        <w:r>
          <w:rPr>
            <w:rStyle w:val="Hyperlink"/>
            <w:rFonts w:ascii="Times New Roman" w:hAnsi="Times New Roman"/>
          </w:rPr>
          <w:t>COM(2018) 237 final</w:t>
        </w:r>
      </w:hyperlink>
    </w:p>
  </w:footnote>
  <w:footnote w:id="10">
    <w:p w14:paraId="4BA136E0" w14:textId="21248C63" w:rsidR="005A100B" w:rsidRPr="00162760" w:rsidRDefault="005A100B" w:rsidP="005A100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7" w:history="1">
        <w:r>
          <w:rPr>
            <w:rStyle w:val="Hyperlink"/>
            <w:rFonts w:ascii="Times New Roman" w:hAnsi="Times New Roman"/>
          </w:rPr>
          <w:t>COM(2022) 45 final</w:t>
        </w:r>
      </w:hyperlink>
    </w:p>
  </w:footnote>
  <w:footnote w:id="11">
    <w:p w14:paraId="3F1BE295" w14:textId="5EDF431D" w:rsidR="00E34CD0" w:rsidRPr="00162760" w:rsidRDefault="00E34CD0" w:rsidP="00840204">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Piemēram, progresīvo tehnoloģiju izmantošanas dažādās rūpniecības nozarēs sniegtais atbalsts un instrumenti, kosmosam kritiski svarīgo tehnoloģiju uzraudzība, visaptverošā stratēģiskā pētniecības programma (</w:t>
      </w:r>
      <w:r>
        <w:rPr>
          <w:rFonts w:ascii="Times New Roman" w:hAnsi="Times New Roman"/>
          <w:i/>
          <w:iCs/>
        </w:rPr>
        <w:t>OSRA</w:t>
      </w:r>
      <w:r>
        <w:rPr>
          <w:rFonts w:ascii="Times New Roman" w:hAnsi="Times New Roman"/>
        </w:rPr>
        <w:t xml:space="preserve">), tehnoloģiju veidošanas pamatelementi (TVP) un Eiropas Aizsardzības aģentūras (EAA) galvenie stratēģiskie pasākumi (GSP). </w:t>
      </w:r>
    </w:p>
  </w:footnote>
  <w:footnote w:id="12">
    <w:p w14:paraId="35672EEC" w14:textId="631311E4" w:rsidR="004745F5" w:rsidRPr="00162760" w:rsidRDefault="004745F5" w:rsidP="004745F5">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Termins “Apvārsnis Eiropa” šajā dokumentā attiecas uz īpašo programmu, ar kuru īsteno pamatprogrammu “Apvārsnis Eiropa”, un uz Eiropas Inovāciju un tehnoloģiju institūtu, un to ietvaros veiktās darbības ir vērstas tikai uz civiliem lietojumiem.</w:t>
      </w:r>
    </w:p>
  </w:footnote>
  <w:footnote w:id="13">
    <w:p w14:paraId="0080233C" w14:textId="32008121" w:rsidR="00E34CD0" w:rsidRPr="00162760" w:rsidRDefault="00E34CD0" w:rsidP="001137B2">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Problēmas un iespējas MVU un jaunuzņēmumiem ES drošības pētniecībā un inovācijā</w:t>
        </w:r>
      </w:hyperlink>
      <w:r>
        <w:rPr>
          <w:rFonts w:ascii="Times New Roman" w:hAnsi="Times New Roman"/>
        </w:rPr>
        <w:t xml:space="preserve">, </w:t>
      </w:r>
      <w:r>
        <w:rPr>
          <w:rFonts w:ascii="Times New Roman" w:hAnsi="Times New Roman"/>
          <w:i/>
          <w:iCs/>
        </w:rPr>
        <w:t>CERIS SSRI</w:t>
      </w:r>
      <w:r>
        <w:rPr>
          <w:rFonts w:ascii="Times New Roman" w:hAnsi="Times New Roman"/>
        </w:rPr>
        <w:t xml:space="preserve"> virtuāls pasākums, 2021. gada 30. aprīlis</w:t>
      </w:r>
    </w:p>
  </w:footnote>
  <w:footnote w:id="14">
    <w:p w14:paraId="1F9DC7E6" w14:textId="77777777" w:rsidR="00E34CD0" w:rsidRPr="00162760" w:rsidRDefault="00E34CD0" w:rsidP="00017A43">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Kopš 2014. gada ES ir plaši pieņēmusi tehnoloģiju gatavības līmeņa (TGL) skalas izmantošanu savās pētniecības, tehnoloģiju izstrādes un inovācijas programmās un instrumentos. Skalā ir nošķirti deviņi tehnoloģiskās gatavības līmeņi, sākot no fundamentāliem pētījumiem 1. TGL līdz galaproduktam, kas ir gatavs laišanai tirgū saskaņā ar 9. TGL. Tā kā tehnoloģijas lietojumu un tādējādi divējādā lietojuma potenciālu parasti atklāj 5.–6. TGL, var uzskatīt, ka tehnoloģija ir “neitrāla” 1.–4. TGL.</w:t>
      </w:r>
    </w:p>
  </w:footnote>
  <w:footnote w:id="15">
    <w:p w14:paraId="3393DA17" w14:textId="5A8F9346" w:rsidR="00AD2EB2" w:rsidRPr="00162760" w:rsidRDefault="00AD2EB2" w:rsidP="00C84E93">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Tomēr jāatzīmē, ka lielākās daļas mūsu partneru ar aizsardzību saistītās pētniecības un izstrādes programmas nav pieejamas ES uzņēmumiem.</w:t>
      </w:r>
    </w:p>
  </w:footnote>
  <w:footnote w:id="16">
    <w:p w14:paraId="6831F0F6" w14:textId="1B0256B6" w:rsidR="00C84E93" w:rsidRPr="00162760" w:rsidRDefault="00C84E93" w:rsidP="00C84E93">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9" w:tgtFrame="_self" w:tooltip="COM_2022_31_1_EN_ACT_part1_v5.pdf" w:history="1">
        <w:r>
          <w:rPr>
            <w:rStyle w:val="Hyperlink"/>
            <w:rFonts w:ascii="Times New Roman" w:hAnsi="Times New Roman"/>
          </w:rPr>
          <w:t>COM(2022) 31 final</w:t>
        </w:r>
      </w:hyperlink>
    </w:p>
  </w:footnote>
  <w:footnote w:id="17">
    <w:p w14:paraId="35577616" w14:textId="22FD356C" w:rsidR="00E34CD0" w:rsidRPr="00162760" w:rsidRDefault="00E34CD0" w:rsidP="00B07B1D">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10" w:history="1">
        <w:r>
          <w:rPr>
            <w:rStyle w:val="Hyperlink"/>
            <w:rFonts w:ascii="Times New Roman" w:hAnsi="Times New Roman"/>
          </w:rPr>
          <w:t>COM(2021) 223 final</w:t>
        </w:r>
      </w:hyperlink>
    </w:p>
  </w:footnote>
  <w:footnote w:id="18">
    <w:p w14:paraId="68BF92F2" w14:textId="7D34770A" w:rsidR="00692AC9" w:rsidRPr="00162760" w:rsidRDefault="00692AC9" w:rsidP="00692AC9">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Tajā ietverts lēmums sākt iniciatīvu “Aizsardzības inovācijas paātrināšana Ziemeļatlantijā” (</w:t>
      </w:r>
      <w:r>
        <w:rPr>
          <w:rFonts w:ascii="Times New Roman" w:hAnsi="Times New Roman"/>
          <w:i/>
          <w:iCs/>
        </w:rPr>
        <w:t>DIANA</w:t>
      </w:r>
      <w:r>
        <w:rPr>
          <w:rFonts w:ascii="Times New Roman" w:hAnsi="Times New Roman"/>
        </w:rPr>
        <w:t>) un izveidot NATO Inovāciju fondu.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ED75E" w14:textId="77777777" w:rsidR="00244898" w:rsidRPr="00244898" w:rsidRDefault="00244898" w:rsidP="00244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7FAA" w14:textId="77777777" w:rsidR="00244898" w:rsidRPr="00244898" w:rsidRDefault="00244898" w:rsidP="0024489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033D2" w14:textId="77777777" w:rsidR="00244898" w:rsidRPr="00244898" w:rsidRDefault="00244898" w:rsidP="0024489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FA086" w14:textId="77777777" w:rsidR="00E34CD0" w:rsidRDefault="00E34C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E2931" w14:textId="77777777" w:rsidR="00E34CD0" w:rsidRDefault="00E34C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AD2DF" w14:textId="77777777" w:rsidR="00E34CD0" w:rsidRDefault="00E3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F5E"/>
    <w:multiLevelType w:val="hybridMultilevel"/>
    <w:tmpl w:val="AFAAA61E"/>
    <w:lvl w:ilvl="0" w:tplc="AA224E6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D60B92"/>
    <w:multiLevelType w:val="hybridMultilevel"/>
    <w:tmpl w:val="2C1C7456"/>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E7198"/>
    <w:multiLevelType w:val="hybridMultilevel"/>
    <w:tmpl w:val="27901E78"/>
    <w:lvl w:ilvl="0" w:tplc="0807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8C119D"/>
    <w:multiLevelType w:val="hybridMultilevel"/>
    <w:tmpl w:val="D8AE3356"/>
    <w:lvl w:ilvl="0" w:tplc="AA224E6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187F0F"/>
    <w:multiLevelType w:val="hybridMultilevel"/>
    <w:tmpl w:val="62FA98BE"/>
    <w:lvl w:ilvl="0" w:tplc="BE10F0A0">
      <w:start w:val="1"/>
      <w:numFmt w:val="bullet"/>
      <w:lvlText w:val="-"/>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1D0F0224"/>
    <w:multiLevelType w:val="hybridMultilevel"/>
    <w:tmpl w:val="7B726386"/>
    <w:lvl w:ilvl="0" w:tplc="AA224E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D6D19"/>
    <w:multiLevelType w:val="hybridMultilevel"/>
    <w:tmpl w:val="34644CC0"/>
    <w:lvl w:ilvl="0" w:tplc="AA224E6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DE6C24"/>
    <w:multiLevelType w:val="hybridMultilevel"/>
    <w:tmpl w:val="BCA49686"/>
    <w:lvl w:ilvl="0" w:tplc="AA224E6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A247E0"/>
    <w:multiLevelType w:val="hybridMultilevel"/>
    <w:tmpl w:val="6138222E"/>
    <w:lvl w:ilvl="0" w:tplc="AA224E60">
      <w:start w:val="1"/>
      <w:numFmt w:val="bullet"/>
      <w:lvlText w:val=""/>
      <w:lvlJc w:val="left"/>
      <w:pPr>
        <w:ind w:left="360" w:hanging="360"/>
      </w:pPr>
      <w:rPr>
        <w:rFonts w:ascii="Symbol" w:hAnsi="Symbol" w:hint="default"/>
      </w:rPr>
    </w:lvl>
    <w:lvl w:ilvl="1" w:tplc="AA224E60">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F30E50"/>
    <w:multiLevelType w:val="hybridMultilevel"/>
    <w:tmpl w:val="9762F622"/>
    <w:lvl w:ilvl="0" w:tplc="C524916E">
      <w:numFmt w:val="bullet"/>
      <w:lvlText w:val="•"/>
      <w:lvlJc w:val="left"/>
      <w:pPr>
        <w:ind w:left="1065" w:hanging="705"/>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443A65"/>
    <w:multiLevelType w:val="hybridMultilevel"/>
    <w:tmpl w:val="DCDA465A"/>
    <w:lvl w:ilvl="0" w:tplc="0807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F791520"/>
    <w:multiLevelType w:val="hybridMultilevel"/>
    <w:tmpl w:val="9502F864"/>
    <w:lvl w:ilvl="0" w:tplc="0807000B">
      <w:start w:val="1"/>
      <w:numFmt w:val="bullet"/>
      <w:lvlText w:val=""/>
      <w:lvlJc w:val="left"/>
      <w:pPr>
        <w:ind w:left="360" w:hanging="360"/>
      </w:pPr>
      <w:rPr>
        <w:rFonts w:ascii="Wingdings" w:hAnsi="Wingdings" w:hint="default"/>
      </w:rPr>
    </w:lvl>
    <w:lvl w:ilvl="1" w:tplc="D5140EDA">
      <w:numFmt w:val="bullet"/>
      <w:lvlText w:val="-"/>
      <w:lvlJc w:val="left"/>
      <w:pPr>
        <w:ind w:left="1425" w:hanging="705"/>
      </w:pPr>
      <w:rPr>
        <w:rFonts w:ascii="Times New Roman" w:eastAsiaTheme="minorHAnsi"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0817FA"/>
    <w:multiLevelType w:val="hybridMultilevel"/>
    <w:tmpl w:val="1226ADCC"/>
    <w:lvl w:ilvl="0" w:tplc="08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740F9C"/>
    <w:multiLevelType w:val="hybridMultilevel"/>
    <w:tmpl w:val="F6886146"/>
    <w:lvl w:ilvl="0" w:tplc="AA224E6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7A693E"/>
    <w:multiLevelType w:val="hybridMultilevel"/>
    <w:tmpl w:val="68F289F8"/>
    <w:lvl w:ilvl="0" w:tplc="AA224E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C7A83"/>
    <w:multiLevelType w:val="hybridMultilevel"/>
    <w:tmpl w:val="8AB85EB4"/>
    <w:lvl w:ilvl="0" w:tplc="08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FE73808"/>
    <w:multiLevelType w:val="hybridMultilevel"/>
    <w:tmpl w:val="07661CEE"/>
    <w:lvl w:ilvl="0" w:tplc="1E446D7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1"/>
  </w:num>
  <w:num w:numId="4">
    <w:abstractNumId w:val="1"/>
  </w:num>
  <w:num w:numId="5">
    <w:abstractNumId w:val="9"/>
  </w:num>
  <w:num w:numId="6">
    <w:abstractNumId w:val="0"/>
  </w:num>
  <w:num w:numId="7">
    <w:abstractNumId w:val="14"/>
  </w:num>
  <w:num w:numId="8">
    <w:abstractNumId w:val="5"/>
  </w:num>
  <w:num w:numId="9">
    <w:abstractNumId w:val="8"/>
  </w:num>
  <w:num w:numId="10">
    <w:abstractNumId w:val="15"/>
  </w:num>
  <w:num w:numId="11">
    <w:abstractNumId w:val="7"/>
  </w:num>
  <w:num w:numId="12">
    <w:abstractNumId w:val="12"/>
  </w:num>
  <w:num w:numId="13">
    <w:abstractNumId w:val="13"/>
  </w:num>
  <w:num w:numId="14">
    <w:abstractNumId w:val="10"/>
  </w:num>
  <w:num w:numId="15">
    <w:abstractNumId w:val="3"/>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de-CH" w:vendorID="64" w:dllVersion="131078" w:nlCheck="1" w:checkStyle="0"/>
  <w:revisionView w:markup="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92B3157-4E09-47D5-9FEF-57F260CAE35B"/>
    <w:docVar w:name="LW_COVERPAGE_TYPE" w:val="1"/>
    <w:docVar w:name="LW_CROSSREFERENCE" w:val="&lt;UNUSED&gt;"/>
    <w:docVar w:name="LW_DocType" w:val="NORMAL"/>
    <w:docVar w:name="LW_EMISSION" w:val="15.2.2022"/>
    <w:docVar w:name="LW_EMISSION_ISODATE" w:val="2022-02-15"/>
    <w:docVar w:name="LW_EMISSION_LOCATION" w:val="STR"/>
    <w:docVar w:name="LW_EMISSION_PREFIX" w:val="Strasb\u363?r\u257?, "/>
    <w:docVar w:name="LW_EMISSION_SUFFIX" w:val="."/>
    <w:docVar w:name="LW_ID_DOCTYPE_NONLW" w:val="CP-014"/>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2) 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Ceļvedis attiecībā uz drošībai un aizsardzībai kritiski svarīgām tehnoloģijām"/>
    <w:docVar w:name="LW_TYPE.DOC.CP" w:val="KOMISIJAS PAZIŅOJUMS EIROPAS PARLAMENTAM, PADOMEI, EIROPAS EKONOMIKAS UN SOCIĀLO LIETU KOMITEJAI UN REĢIONU KOMITEJAI"/>
    <w:docVar w:name="LW_TYPE.DOC.CP.USERTEXT" w:val="&lt;EMPTY&gt;"/>
    <w:docVar w:name="LwApiVersions" w:val="LW4CoDe 1.23.2.0; LW 8.0, Build 20211117"/>
  </w:docVars>
  <w:rsids>
    <w:rsidRoot w:val="00B94A1A"/>
    <w:rsid w:val="00004C12"/>
    <w:rsid w:val="00016855"/>
    <w:rsid w:val="00017A43"/>
    <w:rsid w:val="000210CD"/>
    <w:rsid w:val="00024E15"/>
    <w:rsid w:val="000263BB"/>
    <w:rsid w:val="0003034C"/>
    <w:rsid w:val="0003064D"/>
    <w:rsid w:val="0003209D"/>
    <w:rsid w:val="00033924"/>
    <w:rsid w:val="00036AF2"/>
    <w:rsid w:val="000400DB"/>
    <w:rsid w:val="00041012"/>
    <w:rsid w:val="00043774"/>
    <w:rsid w:val="00044E7E"/>
    <w:rsid w:val="00047B79"/>
    <w:rsid w:val="00050294"/>
    <w:rsid w:val="0005133C"/>
    <w:rsid w:val="00053560"/>
    <w:rsid w:val="00054007"/>
    <w:rsid w:val="000541DB"/>
    <w:rsid w:val="0005446E"/>
    <w:rsid w:val="00055D5F"/>
    <w:rsid w:val="00056BA8"/>
    <w:rsid w:val="00060B2A"/>
    <w:rsid w:val="00060B31"/>
    <w:rsid w:val="000631C1"/>
    <w:rsid w:val="00065D2C"/>
    <w:rsid w:val="00070050"/>
    <w:rsid w:val="000745D7"/>
    <w:rsid w:val="00074A72"/>
    <w:rsid w:val="00075730"/>
    <w:rsid w:val="00076EDF"/>
    <w:rsid w:val="00077932"/>
    <w:rsid w:val="0008740C"/>
    <w:rsid w:val="000A0A2C"/>
    <w:rsid w:val="000A5BE9"/>
    <w:rsid w:val="000B1444"/>
    <w:rsid w:val="000B2088"/>
    <w:rsid w:val="000B44A5"/>
    <w:rsid w:val="000B57A9"/>
    <w:rsid w:val="000C0DD8"/>
    <w:rsid w:val="000C23A9"/>
    <w:rsid w:val="000C55D4"/>
    <w:rsid w:val="000C5ACC"/>
    <w:rsid w:val="000D122F"/>
    <w:rsid w:val="000D3AC1"/>
    <w:rsid w:val="000D3EF8"/>
    <w:rsid w:val="000D4ECA"/>
    <w:rsid w:val="000E00BC"/>
    <w:rsid w:val="000E2B01"/>
    <w:rsid w:val="000E629A"/>
    <w:rsid w:val="000F79D0"/>
    <w:rsid w:val="00104406"/>
    <w:rsid w:val="00104839"/>
    <w:rsid w:val="00104C9D"/>
    <w:rsid w:val="00106ADD"/>
    <w:rsid w:val="00107E62"/>
    <w:rsid w:val="001113C7"/>
    <w:rsid w:val="001137B2"/>
    <w:rsid w:val="00114986"/>
    <w:rsid w:val="00117D41"/>
    <w:rsid w:val="001258FE"/>
    <w:rsid w:val="00125F39"/>
    <w:rsid w:val="001269E6"/>
    <w:rsid w:val="00126E35"/>
    <w:rsid w:val="00144429"/>
    <w:rsid w:val="00150D0F"/>
    <w:rsid w:val="001513CB"/>
    <w:rsid w:val="00157BEA"/>
    <w:rsid w:val="0016055B"/>
    <w:rsid w:val="00160ADE"/>
    <w:rsid w:val="00162760"/>
    <w:rsid w:val="001629EF"/>
    <w:rsid w:val="001640E9"/>
    <w:rsid w:val="00165FB7"/>
    <w:rsid w:val="00166BB3"/>
    <w:rsid w:val="001761F6"/>
    <w:rsid w:val="00190615"/>
    <w:rsid w:val="001A0789"/>
    <w:rsid w:val="001A350E"/>
    <w:rsid w:val="001A47A1"/>
    <w:rsid w:val="001A4CC0"/>
    <w:rsid w:val="001B45B2"/>
    <w:rsid w:val="001C0B93"/>
    <w:rsid w:val="001C3B8D"/>
    <w:rsid w:val="001C66B2"/>
    <w:rsid w:val="001D2DC3"/>
    <w:rsid w:val="001D3774"/>
    <w:rsid w:val="001D423B"/>
    <w:rsid w:val="001E1538"/>
    <w:rsid w:val="001E2D03"/>
    <w:rsid w:val="001E3BFA"/>
    <w:rsid w:val="001E4908"/>
    <w:rsid w:val="001E6642"/>
    <w:rsid w:val="001E775C"/>
    <w:rsid w:val="001F457C"/>
    <w:rsid w:val="001F46F7"/>
    <w:rsid w:val="001F6AB2"/>
    <w:rsid w:val="00200EC0"/>
    <w:rsid w:val="0020506A"/>
    <w:rsid w:val="00210A9C"/>
    <w:rsid w:val="00212DEE"/>
    <w:rsid w:val="00213F2E"/>
    <w:rsid w:val="002141E2"/>
    <w:rsid w:val="00214EA8"/>
    <w:rsid w:val="00220CAE"/>
    <w:rsid w:val="002220F9"/>
    <w:rsid w:val="00222467"/>
    <w:rsid w:val="00223F26"/>
    <w:rsid w:val="00224FA7"/>
    <w:rsid w:val="002256A0"/>
    <w:rsid w:val="0022616A"/>
    <w:rsid w:val="0023069A"/>
    <w:rsid w:val="002325E7"/>
    <w:rsid w:val="00234B58"/>
    <w:rsid w:val="00234E8D"/>
    <w:rsid w:val="00235809"/>
    <w:rsid w:val="0023675B"/>
    <w:rsid w:val="00242170"/>
    <w:rsid w:val="00244898"/>
    <w:rsid w:val="002458DA"/>
    <w:rsid w:val="00246BC3"/>
    <w:rsid w:val="0024708F"/>
    <w:rsid w:val="002477FA"/>
    <w:rsid w:val="002503A8"/>
    <w:rsid w:val="00254D6E"/>
    <w:rsid w:val="00255DD8"/>
    <w:rsid w:val="002560A3"/>
    <w:rsid w:val="00262F1E"/>
    <w:rsid w:val="00270322"/>
    <w:rsid w:val="00270EBE"/>
    <w:rsid w:val="0027480E"/>
    <w:rsid w:val="00274967"/>
    <w:rsid w:val="00275DF0"/>
    <w:rsid w:val="002929E2"/>
    <w:rsid w:val="0029514B"/>
    <w:rsid w:val="002A2459"/>
    <w:rsid w:val="002A2FD7"/>
    <w:rsid w:val="002A3401"/>
    <w:rsid w:val="002A6ED0"/>
    <w:rsid w:val="002A770A"/>
    <w:rsid w:val="002A7A7E"/>
    <w:rsid w:val="002B24DF"/>
    <w:rsid w:val="002B7712"/>
    <w:rsid w:val="002C016B"/>
    <w:rsid w:val="002C37A7"/>
    <w:rsid w:val="002C4BB7"/>
    <w:rsid w:val="002C75AA"/>
    <w:rsid w:val="002C7887"/>
    <w:rsid w:val="002D3D99"/>
    <w:rsid w:val="002D48D8"/>
    <w:rsid w:val="002D7423"/>
    <w:rsid w:val="002D78EC"/>
    <w:rsid w:val="002E0707"/>
    <w:rsid w:val="002E188D"/>
    <w:rsid w:val="002E23E3"/>
    <w:rsid w:val="002E798A"/>
    <w:rsid w:val="002F2090"/>
    <w:rsid w:val="002F65DF"/>
    <w:rsid w:val="00302E7C"/>
    <w:rsid w:val="00303FB4"/>
    <w:rsid w:val="003064BF"/>
    <w:rsid w:val="00310C21"/>
    <w:rsid w:val="00317E83"/>
    <w:rsid w:val="00320804"/>
    <w:rsid w:val="00321788"/>
    <w:rsid w:val="00322B96"/>
    <w:rsid w:val="003261E6"/>
    <w:rsid w:val="003273F1"/>
    <w:rsid w:val="003312CD"/>
    <w:rsid w:val="00333351"/>
    <w:rsid w:val="00333EC4"/>
    <w:rsid w:val="00336E9D"/>
    <w:rsid w:val="0033729A"/>
    <w:rsid w:val="0034012C"/>
    <w:rsid w:val="003407D4"/>
    <w:rsid w:val="00340C4B"/>
    <w:rsid w:val="00342D0C"/>
    <w:rsid w:val="00344A80"/>
    <w:rsid w:val="00347312"/>
    <w:rsid w:val="003510EA"/>
    <w:rsid w:val="003520E8"/>
    <w:rsid w:val="00354C7D"/>
    <w:rsid w:val="0035654F"/>
    <w:rsid w:val="00360DDD"/>
    <w:rsid w:val="0036261E"/>
    <w:rsid w:val="0036687B"/>
    <w:rsid w:val="00367573"/>
    <w:rsid w:val="00367C60"/>
    <w:rsid w:val="0037016C"/>
    <w:rsid w:val="00383734"/>
    <w:rsid w:val="0038491D"/>
    <w:rsid w:val="00386F52"/>
    <w:rsid w:val="00387733"/>
    <w:rsid w:val="00396020"/>
    <w:rsid w:val="00397072"/>
    <w:rsid w:val="003A36A2"/>
    <w:rsid w:val="003A5FD0"/>
    <w:rsid w:val="003B1D74"/>
    <w:rsid w:val="003B56B7"/>
    <w:rsid w:val="003C26F4"/>
    <w:rsid w:val="003C6A23"/>
    <w:rsid w:val="003D109A"/>
    <w:rsid w:val="003D1523"/>
    <w:rsid w:val="003E0225"/>
    <w:rsid w:val="003E0881"/>
    <w:rsid w:val="003E31EC"/>
    <w:rsid w:val="003E4091"/>
    <w:rsid w:val="003E4FDD"/>
    <w:rsid w:val="003E5A69"/>
    <w:rsid w:val="003E7425"/>
    <w:rsid w:val="003F6DFB"/>
    <w:rsid w:val="003F712E"/>
    <w:rsid w:val="003F741E"/>
    <w:rsid w:val="00400CA1"/>
    <w:rsid w:val="00403D80"/>
    <w:rsid w:val="00405281"/>
    <w:rsid w:val="00410533"/>
    <w:rsid w:val="00411685"/>
    <w:rsid w:val="004128C5"/>
    <w:rsid w:val="00421463"/>
    <w:rsid w:val="00425CAE"/>
    <w:rsid w:val="00426CAA"/>
    <w:rsid w:val="004300A4"/>
    <w:rsid w:val="00433848"/>
    <w:rsid w:val="00435192"/>
    <w:rsid w:val="00437605"/>
    <w:rsid w:val="0044198D"/>
    <w:rsid w:val="004426D9"/>
    <w:rsid w:val="00443BA0"/>
    <w:rsid w:val="004440E0"/>
    <w:rsid w:val="00444642"/>
    <w:rsid w:val="00445DD1"/>
    <w:rsid w:val="00447AA1"/>
    <w:rsid w:val="00453107"/>
    <w:rsid w:val="00453746"/>
    <w:rsid w:val="004553B7"/>
    <w:rsid w:val="004605EE"/>
    <w:rsid w:val="00462918"/>
    <w:rsid w:val="00463247"/>
    <w:rsid w:val="00466D45"/>
    <w:rsid w:val="00470C7B"/>
    <w:rsid w:val="00471B24"/>
    <w:rsid w:val="004745F5"/>
    <w:rsid w:val="0048101D"/>
    <w:rsid w:val="00482D4C"/>
    <w:rsid w:val="00483C0E"/>
    <w:rsid w:val="0049106A"/>
    <w:rsid w:val="004929EE"/>
    <w:rsid w:val="004A025E"/>
    <w:rsid w:val="004A29BF"/>
    <w:rsid w:val="004A4932"/>
    <w:rsid w:val="004A59B8"/>
    <w:rsid w:val="004A6D5E"/>
    <w:rsid w:val="004B37A6"/>
    <w:rsid w:val="004B73A0"/>
    <w:rsid w:val="004C22FA"/>
    <w:rsid w:val="004C2C7D"/>
    <w:rsid w:val="004C5AC2"/>
    <w:rsid w:val="004D1CCF"/>
    <w:rsid w:val="004D26F2"/>
    <w:rsid w:val="004D4FD7"/>
    <w:rsid w:val="004D6396"/>
    <w:rsid w:val="004D6A8E"/>
    <w:rsid w:val="004E2F22"/>
    <w:rsid w:val="004E3B30"/>
    <w:rsid w:val="004E3BFE"/>
    <w:rsid w:val="004E480C"/>
    <w:rsid w:val="004E56E2"/>
    <w:rsid w:val="004E627C"/>
    <w:rsid w:val="004F0105"/>
    <w:rsid w:val="004F0215"/>
    <w:rsid w:val="004F0F82"/>
    <w:rsid w:val="004F6C6B"/>
    <w:rsid w:val="0050115A"/>
    <w:rsid w:val="0050261B"/>
    <w:rsid w:val="005039D6"/>
    <w:rsid w:val="00503ABC"/>
    <w:rsid w:val="0050430C"/>
    <w:rsid w:val="0051095B"/>
    <w:rsid w:val="00515B86"/>
    <w:rsid w:val="0052302B"/>
    <w:rsid w:val="005246A4"/>
    <w:rsid w:val="00525F2D"/>
    <w:rsid w:val="00526CFE"/>
    <w:rsid w:val="005271B0"/>
    <w:rsid w:val="00527ACC"/>
    <w:rsid w:val="00535410"/>
    <w:rsid w:val="00537DF1"/>
    <w:rsid w:val="0054039A"/>
    <w:rsid w:val="0054069C"/>
    <w:rsid w:val="00540B4F"/>
    <w:rsid w:val="00542286"/>
    <w:rsid w:val="00550758"/>
    <w:rsid w:val="00550895"/>
    <w:rsid w:val="00550C8B"/>
    <w:rsid w:val="00550F33"/>
    <w:rsid w:val="00551255"/>
    <w:rsid w:val="0055161F"/>
    <w:rsid w:val="00553047"/>
    <w:rsid w:val="005541C0"/>
    <w:rsid w:val="005576E2"/>
    <w:rsid w:val="0056137E"/>
    <w:rsid w:val="00561C5B"/>
    <w:rsid w:val="005627A6"/>
    <w:rsid w:val="00565733"/>
    <w:rsid w:val="00566D09"/>
    <w:rsid w:val="0056728F"/>
    <w:rsid w:val="00567837"/>
    <w:rsid w:val="00567E66"/>
    <w:rsid w:val="00570536"/>
    <w:rsid w:val="00571A15"/>
    <w:rsid w:val="00573EFE"/>
    <w:rsid w:val="00576321"/>
    <w:rsid w:val="00584507"/>
    <w:rsid w:val="005929D6"/>
    <w:rsid w:val="005952B2"/>
    <w:rsid w:val="005A100B"/>
    <w:rsid w:val="005A2154"/>
    <w:rsid w:val="005A30B4"/>
    <w:rsid w:val="005A37EB"/>
    <w:rsid w:val="005B452D"/>
    <w:rsid w:val="005B6A5F"/>
    <w:rsid w:val="005B79C2"/>
    <w:rsid w:val="005D0990"/>
    <w:rsid w:val="005D1EEE"/>
    <w:rsid w:val="005D4D9C"/>
    <w:rsid w:val="005D5AD1"/>
    <w:rsid w:val="005D634E"/>
    <w:rsid w:val="005D66E0"/>
    <w:rsid w:val="005D720A"/>
    <w:rsid w:val="005E2176"/>
    <w:rsid w:val="005F1C8F"/>
    <w:rsid w:val="005F1F6D"/>
    <w:rsid w:val="005F293A"/>
    <w:rsid w:val="005F44DF"/>
    <w:rsid w:val="006017A3"/>
    <w:rsid w:val="00611CCE"/>
    <w:rsid w:val="0061242E"/>
    <w:rsid w:val="006131C0"/>
    <w:rsid w:val="00613BB7"/>
    <w:rsid w:val="00613BD7"/>
    <w:rsid w:val="006164C4"/>
    <w:rsid w:val="0061749B"/>
    <w:rsid w:val="006177EC"/>
    <w:rsid w:val="006227EA"/>
    <w:rsid w:val="00625F43"/>
    <w:rsid w:val="00630A31"/>
    <w:rsid w:val="00631257"/>
    <w:rsid w:val="006313CC"/>
    <w:rsid w:val="00633D59"/>
    <w:rsid w:val="00634697"/>
    <w:rsid w:val="00637605"/>
    <w:rsid w:val="006430E2"/>
    <w:rsid w:val="006466C6"/>
    <w:rsid w:val="0065354C"/>
    <w:rsid w:val="00653DF4"/>
    <w:rsid w:val="00656071"/>
    <w:rsid w:val="00660C11"/>
    <w:rsid w:val="00660FDB"/>
    <w:rsid w:val="00662B06"/>
    <w:rsid w:val="00665CA6"/>
    <w:rsid w:val="00666ECE"/>
    <w:rsid w:val="0067220A"/>
    <w:rsid w:val="006723C3"/>
    <w:rsid w:val="006756FC"/>
    <w:rsid w:val="006819A3"/>
    <w:rsid w:val="0068581D"/>
    <w:rsid w:val="006925FF"/>
    <w:rsid w:val="00692AC9"/>
    <w:rsid w:val="0069490E"/>
    <w:rsid w:val="00694D62"/>
    <w:rsid w:val="00696129"/>
    <w:rsid w:val="006A00D7"/>
    <w:rsid w:val="006A1CBE"/>
    <w:rsid w:val="006A386A"/>
    <w:rsid w:val="006A42BD"/>
    <w:rsid w:val="006A46E3"/>
    <w:rsid w:val="006A54F8"/>
    <w:rsid w:val="006B03FF"/>
    <w:rsid w:val="006B2DF3"/>
    <w:rsid w:val="006B6FD3"/>
    <w:rsid w:val="006C3FCC"/>
    <w:rsid w:val="006C6F1F"/>
    <w:rsid w:val="006D0555"/>
    <w:rsid w:val="006D1E3F"/>
    <w:rsid w:val="006D5FF2"/>
    <w:rsid w:val="006E0727"/>
    <w:rsid w:val="006E1E36"/>
    <w:rsid w:val="006E35AB"/>
    <w:rsid w:val="006E4211"/>
    <w:rsid w:val="006E4A29"/>
    <w:rsid w:val="006E7855"/>
    <w:rsid w:val="006F1EB9"/>
    <w:rsid w:val="006F3AE1"/>
    <w:rsid w:val="006F659C"/>
    <w:rsid w:val="006F7821"/>
    <w:rsid w:val="006F7AD0"/>
    <w:rsid w:val="006F7FF5"/>
    <w:rsid w:val="00705C1A"/>
    <w:rsid w:val="00706807"/>
    <w:rsid w:val="007173C9"/>
    <w:rsid w:val="00717DB2"/>
    <w:rsid w:val="00720614"/>
    <w:rsid w:val="00722B9E"/>
    <w:rsid w:val="00724808"/>
    <w:rsid w:val="00725A71"/>
    <w:rsid w:val="007274BB"/>
    <w:rsid w:val="00727EE1"/>
    <w:rsid w:val="007303DF"/>
    <w:rsid w:val="007322E1"/>
    <w:rsid w:val="007323C9"/>
    <w:rsid w:val="007332AA"/>
    <w:rsid w:val="00734858"/>
    <w:rsid w:val="0074298C"/>
    <w:rsid w:val="007452D4"/>
    <w:rsid w:val="007469E4"/>
    <w:rsid w:val="00751622"/>
    <w:rsid w:val="00754E98"/>
    <w:rsid w:val="007560E0"/>
    <w:rsid w:val="007601B7"/>
    <w:rsid w:val="00760CC9"/>
    <w:rsid w:val="0076118C"/>
    <w:rsid w:val="00762BF3"/>
    <w:rsid w:val="00772288"/>
    <w:rsid w:val="00772A7F"/>
    <w:rsid w:val="007742FB"/>
    <w:rsid w:val="007744E3"/>
    <w:rsid w:val="0077529C"/>
    <w:rsid w:val="0078049F"/>
    <w:rsid w:val="00781A0F"/>
    <w:rsid w:val="0078329B"/>
    <w:rsid w:val="00786C31"/>
    <w:rsid w:val="00787E82"/>
    <w:rsid w:val="00787E98"/>
    <w:rsid w:val="00790475"/>
    <w:rsid w:val="00792555"/>
    <w:rsid w:val="007928E3"/>
    <w:rsid w:val="007963FA"/>
    <w:rsid w:val="00797BB4"/>
    <w:rsid w:val="007A161C"/>
    <w:rsid w:val="007A2B89"/>
    <w:rsid w:val="007B0AA9"/>
    <w:rsid w:val="007B1138"/>
    <w:rsid w:val="007B3BCB"/>
    <w:rsid w:val="007B51BD"/>
    <w:rsid w:val="007B5D84"/>
    <w:rsid w:val="007B6988"/>
    <w:rsid w:val="007B6F6C"/>
    <w:rsid w:val="007B73F4"/>
    <w:rsid w:val="007B7C03"/>
    <w:rsid w:val="007C503A"/>
    <w:rsid w:val="007C556A"/>
    <w:rsid w:val="007C6221"/>
    <w:rsid w:val="007D1DE4"/>
    <w:rsid w:val="007D20E9"/>
    <w:rsid w:val="007D27FD"/>
    <w:rsid w:val="007D3B7F"/>
    <w:rsid w:val="007D3FC6"/>
    <w:rsid w:val="007D542D"/>
    <w:rsid w:val="007D60EA"/>
    <w:rsid w:val="007E12FF"/>
    <w:rsid w:val="007E3173"/>
    <w:rsid w:val="007E5788"/>
    <w:rsid w:val="007F3580"/>
    <w:rsid w:val="007F3B4C"/>
    <w:rsid w:val="007F3C2E"/>
    <w:rsid w:val="007F5AFC"/>
    <w:rsid w:val="00800987"/>
    <w:rsid w:val="00802BA8"/>
    <w:rsid w:val="008044FC"/>
    <w:rsid w:val="00807368"/>
    <w:rsid w:val="00813398"/>
    <w:rsid w:val="00813C2F"/>
    <w:rsid w:val="00813E49"/>
    <w:rsid w:val="00814D88"/>
    <w:rsid w:val="00815F66"/>
    <w:rsid w:val="00823513"/>
    <w:rsid w:val="00826D5B"/>
    <w:rsid w:val="00827895"/>
    <w:rsid w:val="00832347"/>
    <w:rsid w:val="00833FBB"/>
    <w:rsid w:val="00834112"/>
    <w:rsid w:val="0083717A"/>
    <w:rsid w:val="0084001A"/>
    <w:rsid w:val="00840204"/>
    <w:rsid w:val="00840314"/>
    <w:rsid w:val="00840D0E"/>
    <w:rsid w:val="00844F36"/>
    <w:rsid w:val="00845A59"/>
    <w:rsid w:val="00845D39"/>
    <w:rsid w:val="00845E9E"/>
    <w:rsid w:val="008471BA"/>
    <w:rsid w:val="00852280"/>
    <w:rsid w:val="00854DD4"/>
    <w:rsid w:val="008567D9"/>
    <w:rsid w:val="00860E11"/>
    <w:rsid w:val="00871F52"/>
    <w:rsid w:val="00872953"/>
    <w:rsid w:val="00872FBD"/>
    <w:rsid w:val="008749E7"/>
    <w:rsid w:val="0088190B"/>
    <w:rsid w:val="00881A45"/>
    <w:rsid w:val="008837B0"/>
    <w:rsid w:val="00885B7B"/>
    <w:rsid w:val="008876C5"/>
    <w:rsid w:val="008926D6"/>
    <w:rsid w:val="00893AAF"/>
    <w:rsid w:val="00893CF4"/>
    <w:rsid w:val="00895A4A"/>
    <w:rsid w:val="008B2BA8"/>
    <w:rsid w:val="008B31AB"/>
    <w:rsid w:val="008B34D8"/>
    <w:rsid w:val="008B354C"/>
    <w:rsid w:val="008B5965"/>
    <w:rsid w:val="008B7AEE"/>
    <w:rsid w:val="008C01D8"/>
    <w:rsid w:val="008C309F"/>
    <w:rsid w:val="008C778A"/>
    <w:rsid w:val="008D27B3"/>
    <w:rsid w:val="008D449F"/>
    <w:rsid w:val="008E1372"/>
    <w:rsid w:val="008E330D"/>
    <w:rsid w:val="008E6467"/>
    <w:rsid w:val="008E7151"/>
    <w:rsid w:val="008E7537"/>
    <w:rsid w:val="008F0123"/>
    <w:rsid w:val="008F287B"/>
    <w:rsid w:val="008F41FB"/>
    <w:rsid w:val="008F4A45"/>
    <w:rsid w:val="008F72D0"/>
    <w:rsid w:val="008F72EB"/>
    <w:rsid w:val="009035ED"/>
    <w:rsid w:val="009070B3"/>
    <w:rsid w:val="0090730E"/>
    <w:rsid w:val="00917124"/>
    <w:rsid w:val="009247EE"/>
    <w:rsid w:val="00925168"/>
    <w:rsid w:val="00926D29"/>
    <w:rsid w:val="00927004"/>
    <w:rsid w:val="0093090B"/>
    <w:rsid w:val="00941ACD"/>
    <w:rsid w:val="009468D4"/>
    <w:rsid w:val="00947E65"/>
    <w:rsid w:val="009505D5"/>
    <w:rsid w:val="009521F4"/>
    <w:rsid w:val="00953FB5"/>
    <w:rsid w:val="0095469F"/>
    <w:rsid w:val="0095764A"/>
    <w:rsid w:val="00957B41"/>
    <w:rsid w:val="00964A1D"/>
    <w:rsid w:val="00964BE6"/>
    <w:rsid w:val="00965FDD"/>
    <w:rsid w:val="0097021A"/>
    <w:rsid w:val="00970BF4"/>
    <w:rsid w:val="00975231"/>
    <w:rsid w:val="00977B0E"/>
    <w:rsid w:val="00980E07"/>
    <w:rsid w:val="00982996"/>
    <w:rsid w:val="00986320"/>
    <w:rsid w:val="00987CC8"/>
    <w:rsid w:val="009908CD"/>
    <w:rsid w:val="009A22FD"/>
    <w:rsid w:val="009A5211"/>
    <w:rsid w:val="009A7939"/>
    <w:rsid w:val="009B0CBF"/>
    <w:rsid w:val="009C1991"/>
    <w:rsid w:val="009C2324"/>
    <w:rsid w:val="009C2EBE"/>
    <w:rsid w:val="009C3CD0"/>
    <w:rsid w:val="009C60E7"/>
    <w:rsid w:val="009C6A1A"/>
    <w:rsid w:val="009C7211"/>
    <w:rsid w:val="009D5249"/>
    <w:rsid w:val="009D52F9"/>
    <w:rsid w:val="009D6C09"/>
    <w:rsid w:val="009E6A1F"/>
    <w:rsid w:val="009E6A6A"/>
    <w:rsid w:val="009E7B88"/>
    <w:rsid w:val="009F1360"/>
    <w:rsid w:val="009F2F18"/>
    <w:rsid w:val="009F3C15"/>
    <w:rsid w:val="009F3C49"/>
    <w:rsid w:val="009F3D2A"/>
    <w:rsid w:val="009F508D"/>
    <w:rsid w:val="009F549B"/>
    <w:rsid w:val="009F6D95"/>
    <w:rsid w:val="009F7FF5"/>
    <w:rsid w:val="00A008D0"/>
    <w:rsid w:val="00A024D2"/>
    <w:rsid w:val="00A026A3"/>
    <w:rsid w:val="00A02D4A"/>
    <w:rsid w:val="00A04AB8"/>
    <w:rsid w:val="00A05CEB"/>
    <w:rsid w:val="00A0611F"/>
    <w:rsid w:val="00A13811"/>
    <w:rsid w:val="00A17D3D"/>
    <w:rsid w:val="00A17DBA"/>
    <w:rsid w:val="00A22B78"/>
    <w:rsid w:val="00A22D7F"/>
    <w:rsid w:val="00A326AF"/>
    <w:rsid w:val="00A32BCB"/>
    <w:rsid w:val="00A32E85"/>
    <w:rsid w:val="00A37D73"/>
    <w:rsid w:val="00A40E58"/>
    <w:rsid w:val="00A43EFA"/>
    <w:rsid w:val="00A45775"/>
    <w:rsid w:val="00A56456"/>
    <w:rsid w:val="00A61B58"/>
    <w:rsid w:val="00A6450E"/>
    <w:rsid w:val="00A667DC"/>
    <w:rsid w:val="00A71950"/>
    <w:rsid w:val="00A72069"/>
    <w:rsid w:val="00A7448A"/>
    <w:rsid w:val="00A762DD"/>
    <w:rsid w:val="00A8160A"/>
    <w:rsid w:val="00A81C56"/>
    <w:rsid w:val="00A81FC3"/>
    <w:rsid w:val="00A824AC"/>
    <w:rsid w:val="00A85AB0"/>
    <w:rsid w:val="00A90DD4"/>
    <w:rsid w:val="00A91B65"/>
    <w:rsid w:val="00A93E37"/>
    <w:rsid w:val="00A9686F"/>
    <w:rsid w:val="00AA4575"/>
    <w:rsid w:val="00AA5525"/>
    <w:rsid w:val="00AB3C16"/>
    <w:rsid w:val="00AB7887"/>
    <w:rsid w:val="00AC4D86"/>
    <w:rsid w:val="00AC5DA5"/>
    <w:rsid w:val="00AC7E68"/>
    <w:rsid w:val="00AD25B8"/>
    <w:rsid w:val="00AD2EB2"/>
    <w:rsid w:val="00AD5C8A"/>
    <w:rsid w:val="00AD785B"/>
    <w:rsid w:val="00AE4280"/>
    <w:rsid w:val="00AE4EB9"/>
    <w:rsid w:val="00AE6A69"/>
    <w:rsid w:val="00AF558E"/>
    <w:rsid w:val="00AF689F"/>
    <w:rsid w:val="00B01DDC"/>
    <w:rsid w:val="00B06DFD"/>
    <w:rsid w:val="00B07B1D"/>
    <w:rsid w:val="00B10397"/>
    <w:rsid w:val="00B163BF"/>
    <w:rsid w:val="00B219CF"/>
    <w:rsid w:val="00B25992"/>
    <w:rsid w:val="00B30D61"/>
    <w:rsid w:val="00B31E27"/>
    <w:rsid w:val="00B325BA"/>
    <w:rsid w:val="00B33E6B"/>
    <w:rsid w:val="00B37B13"/>
    <w:rsid w:val="00B40A56"/>
    <w:rsid w:val="00B42FBC"/>
    <w:rsid w:val="00B4349D"/>
    <w:rsid w:val="00B442A3"/>
    <w:rsid w:val="00B45726"/>
    <w:rsid w:val="00B465A2"/>
    <w:rsid w:val="00B47646"/>
    <w:rsid w:val="00B56158"/>
    <w:rsid w:val="00B57A2C"/>
    <w:rsid w:val="00B61DB7"/>
    <w:rsid w:val="00B620CA"/>
    <w:rsid w:val="00B63BE5"/>
    <w:rsid w:val="00B66FE3"/>
    <w:rsid w:val="00B74AFB"/>
    <w:rsid w:val="00B74E0C"/>
    <w:rsid w:val="00B75339"/>
    <w:rsid w:val="00B75FB7"/>
    <w:rsid w:val="00B76857"/>
    <w:rsid w:val="00B868A3"/>
    <w:rsid w:val="00B9299D"/>
    <w:rsid w:val="00B9319A"/>
    <w:rsid w:val="00B94A1A"/>
    <w:rsid w:val="00B966FA"/>
    <w:rsid w:val="00BA2C74"/>
    <w:rsid w:val="00BA6BA3"/>
    <w:rsid w:val="00BB08F4"/>
    <w:rsid w:val="00BB4B1F"/>
    <w:rsid w:val="00BB76E3"/>
    <w:rsid w:val="00BC33EF"/>
    <w:rsid w:val="00BC53ED"/>
    <w:rsid w:val="00BC6B82"/>
    <w:rsid w:val="00BD0424"/>
    <w:rsid w:val="00BD44B2"/>
    <w:rsid w:val="00BD459B"/>
    <w:rsid w:val="00BD5200"/>
    <w:rsid w:val="00BD727D"/>
    <w:rsid w:val="00BE0290"/>
    <w:rsid w:val="00BE3858"/>
    <w:rsid w:val="00BE42CE"/>
    <w:rsid w:val="00BE4AD4"/>
    <w:rsid w:val="00BE5FD0"/>
    <w:rsid w:val="00BF2817"/>
    <w:rsid w:val="00BF4570"/>
    <w:rsid w:val="00BF64A8"/>
    <w:rsid w:val="00BF6891"/>
    <w:rsid w:val="00C0004A"/>
    <w:rsid w:val="00C056D4"/>
    <w:rsid w:val="00C05EA4"/>
    <w:rsid w:val="00C06C7A"/>
    <w:rsid w:val="00C0742A"/>
    <w:rsid w:val="00C07D18"/>
    <w:rsid w:val="00C10908"/>
    <w:rsid w:val="00C12640"/>
    <w:rsid w:val="00C12FF5"/>
    <w:rsid w:val="00C13026"/>
    <w:rsid w:val="00C14EE0"/>
    <w:rsid w:val="00C14F56"/>
    <w:rsid w:val="00C2012A"/>
    <w:rsid w:val="00C207F5"/>
    <w:rsid w:val="00C213AB"/>
    <w:rsid w:val="00C21710"/>
    <w:rsid w:val="00C21848"/>
    <w:rsid w:val="00C352D2"/>
    <w:rsid w:val="00C36D0D"/>
    <w:rsid w:val="00C415A1"/>
    <w:rsid w:val="00C42F97"/>
    <w:rsid w:val="00C440BB"/>
    <w:rsid w:val="00C63A7B"/>
    <w:rsid w:val="00C65DA0"/>
    <w:rsid w:val="00C65F9C"/>
    <w:rsid w:val="00C7128D"/>
    <w:rsid w:val="00C73B5E"/>
    <w:rsid w:val="00C742F6"/>
    <w:rsid w:val="00C74650"/>
    <w:rsid w:val="00C759DD"/>
    <w:rsid w:val="00C759F8"/>
    <w:rsid w:val="00C779FB"/>
    <w:rsid w:val="00C77BA4"/>
    <w:rsid w:val="00C84208"/>
    <w:rsid w:val="00C84E93"/>
    <w:rsid w:val="00C86E5A"/>
    <w:rsid w:val="00C91290"/>
    <w:rsid w:val="00C9413B"/>
    <w:rsid w:val="00C94829"/>
    <w:rsid w:val="00C94A40"/>
    <w:rsid w:val="00C95326"/>
    <w:rsid w:val="00C96F46"/>
    <w:rsid w:val="00CA0B97"/>
    <w:rsid w:val="00CA2921"/>
    <w:rsid w:val="00CA2DFF"/>
    <w:rsid w:val="00CA7A5A"/>
    <w:rsid w:val="00CA7A94"/>
    <w:rsid w:val="00CB33D9"/>
    <w:rsid w:val="00CB5DC0"/>
    <w:rsid w:val="00CC28BF"/>
    <w:rsid w:val="00CC42CD"/>
    <w:rsid w:val="00CC764B"/>
    <w:rsid w:val="00CD15B8"/>
    <w:rsid w:val="00CD7151"/>
    <w:rsid w:val="00CD78A1"/>
    <w:rsid w:val="00CE5763"/>
    <w:rsid w:val="00CE5A08"/>
    <w:rsid w:val="00CE5B8F"/>
    <w:rsid w:val="00CF03A3"/>
    <w:rsid w:val="00CF118A"/>
    <w:rsid w:val="00CF2992"/>
    <w:rsid w:val="00CF3B7A"/>
    <w:rsid w:val="00CF51CD"/>
    <w:rsid w:val="00CF5724"/>
    <w:rsid w:val="00CF799E"/>
    <w:rsid w:val="00D011CB"/>
    <w:rsid w:val="00D01BE9"/>
    <w:rsid w:val="00D02EF3"/>
    <w:rsid w:val="00D048FE"/>
    <w:rsid w:val="00D0533C"/>
    <w:rsid w:val="00D16470"/>
    <w:rsid w:val="00D26C51"/>
    <w:rsid w:val="00D272F9"/>
    <w:rsid w:val="00D30F59"/>
    <w:rsid w:val="00D334C8"/>
    <w:rsid w:val="00D36342"/>
    <w:rsid w:val="00D3695E"/>
    <w:rsid w:val="00D36CBA"/>
    <w:rsid w:val="00D36E74"/>
    <w:rsid w:val="00D374A7"/>
    <w:rsid w:val="00D441C6"/>
    <w:rsid w:val="00D51274"/>
    <w:rsid w:val="00D5418F"/>
    <w:rsid w:val="00D57C49"/>
    <w:rsid w:val="00D6009B"/>
    <w:rsid w:val="00D603B9"/>
    <w:rsid w:val="00D65DD2"/>
    <w:rsid w:val="00D66837"/>
    <w:rsid w:val="00D66BAA"/>
    <w:rsid w:val="00D733AC"/>
    <w:rsid w:val="00D8389E"/>
    <w:rsid w:val="00D85E12"/>
    <w:rsid w:val="00D90F5A"/>
    <w:rsid w:val="00D9289B"/>
    <w:rsid w:val="00D960BC"/>
    <w:rsid w:val="00DA0F17"/>
    <w:rsid w:val="00DA1A7B"/>
    <w:rsid w:val="00DA23C7"/>
    <w:rsid w:val="00DA2589"/>
    <w:rsid w:val="00DA3747"/>
    <w:rsid w:val="00DB1FF6"/>
    <w:rsid w:val="00DB58EB"/>
    <w:rsid w:val="00DB6D56"/>
    <w:rsid w:val="00DC2553"/>
    <w:rsid w:val="00DC30DC"/>
    <w:rsid w:val="00DC4676"/>
    <w:rsid w:val="00DC519A"/>
    <w:rsid w:val="00DC5D95"/>
    <w:rsid w:val="00DC750D"/>
    <w:rsid w:val="00DD0A57"/>
    <w:rsid w:val="00DD1DD5"/>
    <w:rsid w:val="00DD2D79"/>
    <w:rsid w:val="00DD439E"/>
    <w:rsid w:val="00DD5D5C"/>
    <w:rsid w:val="00DE07FF"/>
    <w:rsid w:val="00DE7E53"/>
    <w:rsid w:val="00DF2222"/>
    <w:rsid w:val="00DF5EA3"/>
    <w:rsid w:val="00DF60BC"/>
    <w:rsid w:val="00E01300"/>
    <w:rsid w:val="00E01D7B"/>
    <w:rsid w:val="00E03168"/>
    <w:rsid w:val="00E03532"/>
    <w:rsid w:val="00E1255B"/>
    <w:rsid w:val="00E13CC4"/>
    <w:rsid w:val="00E21B3E"/>
    <w:rsid w:val="00E21D94"/>
    <w:rsid w:val="00E23ABD"/>
    <w:rsid w:val="00E24438"/>
    <w:rsid w:val="00E30F92"/>
    <w:rsid w:val="00E317EB"/>
    <w:rsid w:val="00E34CD0"/>
    <w:rsid w:val="00E37879"/>
    <w:rsid w:val="00E40320"/>
    <w:rsid w:val="00E43CFE"/>
    <w:rsid w:val="00E44BDC"/>
    <w:rsid w:val="00E47642"/>
    <w:rsid w:val="00E52DD0"/>
    <w:rsid w:val="00E573F4"/>
    <w:rsid w:val="00E6020C"/>
    <w:rsid w:val="00E622CC"/>
    <w:rsid w:val="00E6288B"/>
    <w:rsid w:val="00E62F75"/>
    <w:rsid w:val="00E64A4D"/>
    <w:rsid w:val="00E70CD3"/>
    <w:rsid w:val="00E72841"/>
    <w:rsid w:val="00E76966"/>
    <w:rsid w:val="00E77891"/>
    <w:rsid w:val="00E824FE"/>
    <w:rsid w:val="00E84910"/>
    <w:rsid w:val="00E859A2"/>
    <w:rsid w:val="00E859E1"/>
    <w:rsid w:val="00E8661E"/>
    <w:rsid w:val="00E87BD6"/>
    <w:rsid w:val="00E91871"/>
    <w:rsid w:val="00E9645F"/>
    <w:rsid w:val="00EA4E6E"/>
    <w:rsid w:val="00EB1452"/>
    <w:rsid w:val="00EB27DB"/>
    <w:rsid w:val="00EB2B15"/>
    <w:rsid w:val="00EB42A7"/>
    <w:rsid w:val="00EB46B3"/>
    <w:rsid w:val="00EB4B45"/>
    <w:rsid w:val="00EB518D"/>
    <w:rsid w:val="00EC2C9D"/>
    <w:rsid w:val="00EC43A6"/>
    <w:rsid w:val="00EC48F4"/>
    <w:rsid w:val="00EC4BC0"/>
    <w:rsid w:val="00EC53F6"/>
    <w:rsid w:val="00EC5D99"/>
    <w:rsid w:val="00EC7512"/>
    <w:rsid w:val="00ED1656"/>
    <w:rsid w:val="00ED2398"/>
    <w:rsid w:val="00ED3124"/>
    <w:rsid w:val="00ED579D"/>
    <w:rsid w:val="00EE7C91"/>
    <w:rsid w:val="00EF01E6"/>
    <w:rsid w:val="00EF14BB"/>
    <w:rsid w:val="00EF1BA6"/>
    <w:rsid w:val="00EF4381"/>
    <w:rsid w:val="00EF5FE9"/>
    <w:rsid w:val="00F0172A"/>
    <w:rsid w:val="00F02541"/>
    <w:rsid w:val="00F07A1C"/>
    <w:rsid w:val="00F133EB"/>
    <w:rsid w:val="00F159C7"/>
    <w:rsid w:val="00F20EEC"/>
    <w:rsid w:val="00F24B10"/>
    <w:rsid w:val="00F25ADA"/>
    <w:rsid w:val="00F273FB"/>
    <w:rsid w:val="00F308CF"/>
    <w:rsid w:val="00F32096"/>
    <w:rsid w:val="00F35CCF"/>
    <w:rsid w:val="00F363E7"/>
    <w:rsid w:val="00F42EFF"/>
    <w:rsid w:val="00F44795"/>
    <w:rsid w:val="00F4674F"/>
    <w:rsid w:val="00F522D3"/>
    <w:rsid w:val="00F543BB"/>
    <w:rsid w:val="00F54D4F"/>
    <w:rsid w:val="00F57EA8"/>
    <w:rsid w:val="00F60D98"/>
    <w:rsid w:val="00F76330"/>
    <w:rsid w:val="00F86965"/>
    <w:rsid w:val="00F878C7"/>
    <w:rsid w:val="00F87EA0"/>
    <w:rsid w:val="00F93099"/>
    <w:rsid w:val="00F94832"/>
    <w:rsid w:val="00F96BD6"/>
    <w:rsid w:val="00FA2D37"/>
    <w:rsid w:val="00FA6F25"/>
    <w:rsid w:val="00FB0CD5"/>
    <w:rsid w:val="00FB362D"/>
    <w:rsid w:val="00FC0780"/>
    <w:rsid w:val="00FC385B"/>
    <w:rsid w:val="00FD654A"/>
    <w:rsid w:val="00FD79D3"/>
    <w:rsid w:val="00FE1384"/>
    <w:rsid w:val="00FE1660"/>
    <w:rsid w:val="00FE39F0"/>
    <w:rsid w:val="00FE5111"/>
    <w:rsid w:val="00FF47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96ECDF5"/>
  <w15:chartTrackingRefBased/>
  <w15:docId w15:val="{B93F8C27-1258-4FC6-86DB-76B28B5A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B94A1A"/>
    <w:rPr>
      <w:color w:val="0000FF"/>
      <w:shd w:val="clear" w:color="auto" w:fill="auto"/>
    </w:rPr>
  </w:style>
  <w:style w:type="paragraph" w:customStyle="1" w:styleId="Pagedecouverture">
    <w:name w:val="Page de couverture"/>
    <w:basedOn w:val="Normal"/>
    <w:next w:val="Normal"/>
    <w:rsid w:val="00B94A1A"/>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B94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A1A"/>
  </w:style>
  <w:style w:type="paragraph" w:styleId="Footer">
    <w:name w:val="footer"/>
    <w:basedOn w:val="Normal"/>
    <w:link w:val="FooterChar"/>
    <w:uiPriority w:val="99"/>
    <w:unhideWhenUsed/>
    <w:rsid w:val="00B94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A1A"/>
  </w:style>
  <w:style w:type="paragraph" w:customStyle="1" w:styleId="FooterCoverPage">
    <w:name w:val="Footer Cover Page"/>
    <w:basedOn w:val="Normal"/>
    <w:link w:val="FooterCoverPageChar"/>
    <w:rsid w:val="00B94A1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B94A1A"/>
    <w:rPr>
      <w:rFonts w:ascii="Times New Roman" w:hAnsi="Times New Roman" w:cs="Times New Roman"/>
      <w:sz w:val="24"/>
    </w:rPr>
  </w:style>
  <w:style w:type="paragraph" w:customStyle="1" w:styleId="FooterSensitivity">
    <w:name w:val="Footer Sensitivity"/>
    <w:basedOn w:val="Normal"/>
    <w:link w:val="FooterSensitivityChar"/>
    <w:rsid w:val="00B94A1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B94A1A"/>
    <w:rPr>
      <w:rFonts w:ascii="Times New Roman" w:hAnsi="Times New Roman" w:cs="Times New Roman"/>
      <w:b/>
      <w:sz w:val="32"/>
    </w:rPr>
  </w:style>
  <w:style w:type="paragraph" w:customStyle="1" w:styleId="HeaderCoverPage">
    <w:name w:val="Header Cover Page"/>
    <w:basedOn w:val="Normal"/>
    <w:link w:val="HeaderCoverPageChar"/>
    <w:rsid w:val="00B94A1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B94A1A"/>
    <w:rPr>
      <w:rFonts w:ascii="Times New Roman" w:hAnsi="Times New Roman" w:cs="Times New Roman"/>
      <w:sz w:val="24"/>
    </w:rPr>
  </w:style>
  <w:style w:type="paragraph" w:customStyle="1" w:styleId="HeaderSensitivity">
    <w:name w:val="Header Sensitivity"/>
    <w:basedOn w:val="Normal"/>
    <w:link w:val="HeaderSensitivityChar"/>
    <w:rsid w:val="00B94A1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B94A1A"/>
    <w:rPr>
      <w:rFonts w:ascii="Times New Roman" w:hAnsi="Times New Roman" w:cs="Times New Roman"/>
      <w:b/>
      <w:sz w:val="32"/>
    </w:rPr>
  </w:style>
  <w:style w:type="paragraph" w:customStyle="1" w:styleId="HeaderSensitivityRight">
    <w:name w:val="Header Sensitivity Right"/>
    <w:basedOn w:val="Normal"/>
    <w:link w:val="HeaderSensitivityRightChar"/>
    <w:rsid w:val="00B94A1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B94A1A"/>
    <w:rPr>
      <w:rFonts w:ascii="Times New Roman" w:hAnsi="Times New Roman" w:cs="Times New Roman"/>
      <w:sz w:val="28"/>
    </w:rPr>
  </w:style>
  <w:style w:type="paragraph" w:styleId="ListParagraph">
    <w:name w:val="List Paragraph"/>
    <w:aliases w:val="Normal bullet 2,List Paragraph1,Table of contents numbered,Elenco num ARGEA,body,Odsek zoznamu2,Opsom 1,Mummuga loetelu,Loendi lõik,2,List Paragraph (numbered (a)),Bullets,List Paragraph Char Char Char,Use Case List Paragraph,Bullet paras"/>
    <w:basedOn w:val="Normal"/>
    <w:uiPriority w:val="34"/>
    <w:qFormat/>
    <w:rsid w:val="00E37879"/>
    <w:pPr>
      <w:ind w:left="720"/>
      <w:contextualSpacing/>
    </w:pPr>
  </w:style>
  <w:style w:type="paragraph" w:styleId="BalloonText">
    <w:name w:val="Balloon Text"/>
    <w:basedOn w:val="Normal"/>
    <w:link w:val="BalloonTextChar"/>
    <w:uiPriority w:val="99"/>
    <w:semiHidden/>
    <w:unhideWhenUsed/>
    <w:rsid w:val="00E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879"/>
    <w:rPr>
      <w:rFonts w:ascii="Segoe UI" w:hAnsi="Segoe UI" w:cs="Segoe UI"/>
      <w:sz w:val="18"/>
      <w:szCs w:val="18"/>
    </w:rPr>
  </w:style>
  <w:style w:type="table" w:styleId="TableGrid">
    <w:name w:val="Table Grid"/>
    <w:basedOn w:val="TableNormal"/>
    <w:uiPriority w:val="39"/>
    <w:rsid w:val="00502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2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2222"/>
    <w:rPr>
      <w:sz w:val="20"/>
      <w:szCs w:val="20"/>
      <w:lang w:val="lv-LV"/>
    </w:rPr>
  </w:style>
  <w:style w:type="character" w:styleId="FootnoteReference">
    <w:name w:val="footnote reference"/>
    <w:aliases w:val="Footnote symbol,Footnote,RSC_WP (footnote reference),number,Footnote reference number,note TESI,-E Fußnotenzeichen,SUPERS,Times 10 Point,Exposant 3 Point,Fußnotenzeichen, Exposant 3 Point,Footnote number,Footnote Reference Number,fr,o"/>
    <w:basedOn w:val="DefaultParagraphFont"/>
    <w:uiPriority w:val="99"/>
    <w:unhideWhenUsed/>
    <w:qFormat/>
    <w:rsid w:val="00DF2222"/>
    <w:rPr>
      <w:vertAlign w:val="superscript"/>
    </w:rPr>
  </w:style>
  <w:style w:type="character" w:styleId="Hyperlink">
    <w:name w:val="Hyperlink"/>
    <w:basedOn w:val="DefaultParagraphFont"/>
    <w:uiPriority w:val="99"/>
    <w:unhideWhenUsed/>
    <w:rsid w:val="00DF2222"/>
    <w:rPr>
      <w:color w:val="0563C1"/>
      <w:u w:val="single"/>
    </w:rPr>
  </w:style>
  <w:style w:type="paragraph" w:styleId="Revision">
    <w:name w:val="Revision"/>
    <w:hidden/>
    <w:uiPriority w:val="99"/>
    <w:semiHidden/>
    <w:rsid w:val="00C86E5A"/>
    <w:pPr>
      <w:spacing w:after="0" w:line="240" w:lineRule="auto"/>
    </w:pPr>
  </w:style>
  <w:style w:type="character" w:styleId="CommentReference">
    <w:name w:val="annotation reference"/>
    <w:basedOn w:val="DefaultParagraphFont"/>
    <w:uiPriority w:val="99"/>
    <w:semiHidden/>
    <w:unhideWhenUsed/>
    <w:rsid w:val="00C21710"/>
    <w:rPr>
      <w:sz w:val="16"/>
      <w:szCs w:val="16"/>
    </w:rPr>
  </w:style>
  <w:style w:type="paragraph" w:styleId="CommentText">
    <w:name w:val="annotation text"/>
    <w:basedOn w:val="Normal"/>
    <w:link w:val="CommentTextChar"/>
    <w:uiPriority w:val="99"/>
    <w:semiHidden/>
    <w:unhideWhenUsed/>
    <w:rsid w:val="00C21710"/>
    <w:pPr>
      <w:spacing w:line="240" w:lineRule="auto"/>
    </w:pPr>
    <w:rPr>
      <w:sz w:val="20"/>
      <w:szCs w:val="20"/>
    </w:rPr>
  </w:style>
  <w:style w:type="character" w:customStyle="1" w:styleId="CommentTextChar">
    <w:name w:val="Comment Text Char"/>
    <w:basedOn w:val="DefaultParagraphFont"/>
    <w:link w:val="CommentText"/>
    <w:uiPriority w:val="99"/>
    <w:semiHidden/>
    <w:rsid w:val="00C21710"/>
    <w:rPr>
      <w:sz w:val="20"/>
      <w:szCs w:val="20"/>
    </w:rPr>
  </w:style>
  <w:style w:type="paragraph" w:styleId="CommentSubject">
    <w:name w:val="annotation subject"/>
    <w:basedOn w:val="CommentText"/>
    <w:next w:val="CommentText"/>
    <w:link w:val="CommentSubjectChar"/>
    <w:uiPriority w:val="99"/>
    <w:semiHidden/>
    <w:unhideWhenUsed/>
    <w:rsid w:val="00C21710"/>
    <w:rPr>
      <w:b/>
      <w:bCs/>
    </w:rPr>
  </w:style>
  <w:style w:type="character" w:customStyle="1" w:styleId="CommentSubjectChar">
    <w:name w:val="Comment Subject Char"/>
    <w:basedOn w:val="CommentTextChar"/>
    <w:link w:val="CommentSubject"/>
    <w:uiPriority w:val="99"/>
    <w:semiHidden/>
    <w:rsid w:val="00C21710"/>
    <w:rPr>
      <w:b/>
      <w:bCs/>
      <w:sz w:val="20"/>
      <w:szCs w:val="20"/>
    </w:rPr>
  </w:style>
  <w:style w:type="character" w:styleId="FollowedHyperlink">
    <w:name w:val="FollowedHyperlink"/>
    <w:basedOn w:val="DefaultParagraphFont"/>
    <w:uiPriority w:val="99"/>
    <w:semiHidden/>
    <w:unhideWhenUsed/>
    <w:rsid w:val="009035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666626">
      <w:bodyDiv w:val="1"/>
      <w:marLeft w:val="0"/>
      <w:marRight w:val="0"/>
      <w:marTop w:val="0"/>
      <w:marBottom w:val="0"/>
      <w:divBdr>
        <w:top w:val="none" w:sz="0" w:space="0" w:color="auto"/>
        <w:left w:val="none" w:sz="0" w:space="0" w:color="auto"/>
        <w:bottom w:val="none" w:sz="0" w:space="0" w:color="auto"/>
        <w:right w:val="none" w:sz="0" w:space="0" w:color="auto"/>
      </w:divBdr>
    </w:div>
    <w:div w:id="1305158399">
      <w:bodyDiv w:val="1"/>
      <w:marLeft w:val="0"/>
      <w:marRight w:val="0"/>
      <w:marTop w:val="0"/>
      <w:marBottom w:val="0"/>
      <w:divBdr>
        <w:top w:val="none" w:sz="0" w:space="0" w:color="auto"/>
        <w:left w:val="none" w:sz="0" w:space="0" w:color="auto"/>
        <w:bottom w:val="none" w:sz="0" w:space="0" w:color="auto"/>
        <w:right w:val="none" w:sz="0" w:space="0" w:color="auto"/>
      </w:divBdr>
    </w:div>
    <w:div w:id="155353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home-affairs/secure-safe-resilient-societies/events/challenges-and-opportunities-smes-and-start-ups-eu-security-ri-0_en" TargetMode="External"/><Relationship Id="rId3" Type="http://schemas.openxmlformats.org/officeDocument/2006/relationships/hyperlink" Target="https://ec.europa.eu/info/sites/default/files/communication-industrial-strategy-update-2020_en.pdf" TargetMode="External"/><Relationship Id="rId7" Type="http://schemas.openxmlformats.org/officeDocument/2006/relationships/hyperlink" Target="https://ec.europa.eu/newsroom/dae/redirection/document/83086" TargetMode="External"/><Relationship Id="rId2" Type="http://schemas.openxmlformats.org/officeDocument/2006/relationships/hyperlink" Target="https://www.consilium.europa.eu/media/48625/2526-02-21-euco-statement-en.pdf" TargetMode="External"/><Relationship Id="rId1" Type="http://schemas.openxmlformats.org/officeDocument/2006/relationships/hyperlink" Target="https://ec.europa.eu/commission/presscorner/detail/lv/SPEECH_21_4701" TargetMode="External"/><Relationship Id="rId6" Type="http://schemas.openxmlformats.org/officeDocument/2006/relationships/hyperlink" Target="https://eur-lex.europa.eu/legal-content/LV/TXT/?uri=COM:2018:237:FIN" TargetMode="External"/><Relationship Id="rId5" Type="http://schemas.openxmlformats.org/officeDocument/2006/relationships/hyperlink" Target="https://ec.europa.eu/info/sites/default/files/swd-strategic-dependencies-capacities_en.pdf" TargetMode="External"/><Relationship Id="rId10" Type="http://schemas.openxmlformats.org/officeDocument/2006/relationships/hyperlink" Target="https://eur-lex.europa.eu/legal-content/LV/TXT/?uri=CELEX:52021PC0223" TargetMode="External"/><Relationship Id="rId4" Type="http://schemas.openxmlformats.org/officeDocument/2006/relationships/hyperlink" Target="https://ec.europa.eu/info/sites/default/files/action_plan_on_synergies_lv.pdf" TargetMode="External"/><Relationship Id="rId9" Type="http://schemas.openxmlformats.org/officeDocument/2006/relationships/hyperlink" Target="https://eur-lex.europa.eu/legal-content/LV/TXT/?uri=CELEX:52022DC0031&amp;qid=1644945911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FollowUp xmlns="ce7a9852-1963-435c-8789-f2cd3e351d49" xsi:nil="true"/>
    <documentTitle xmlns="ce7a9852-1963-435c-8789-f2cd3e351d49" xsi:nil="true"/>
    <l8e6a454252340e6a78b0876f5ef5b97 xmlns="ce7a9852-1963-435c-8789-f2cd3e351d49">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8e6a454252340e6a78b0876f5ef5b97>
    <documentSummary xmlns="ce7a9852-1963-435c-8789-f2cd3e351d49" xsi:nil="true"/>
    <TaxCatchAll xmlns="ce7a9852-1963-435c-8789-f2cd3e351d49"/>
    <i161ed8bab5f427c934c2020a0e72ac1 xmlns="ce7a9852-1963-435c-8789-f2cd3e351d49">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i161ed8bab5f427c934c2020a0e72ac1>
    <_dlc_DocId xmlns="ce7a9852-1963-435c-8789-f2cd3e351d49">COMPCOLLAB-817419697-84</_dlc_DocId>
    <_dlc_DocIdUrl xmlns="ce7a9852-1963-435c-8789-f2cd3e351d49">
      <Url>https://compcollab.ec.europa.eu/cases/HT.5902/_layouts/15/DocIdRedir.aspx?ID=COMPCOLLAB-817419697-84</Url>
      <Description>COMPCOLLAB-817419697-84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ork Document" ma:contentTypeID="0x01010400988603A364794F7AA753E65AAE732805004CEEA0FEFA8E2D469F99C17A7F670D5A" ma:contentTypeVersion="5" ma:contentTypeDescription="Upload a any type of Document to this Document Library, Tag and Categorize." ma:contentTypeScope="" ma:versionID="da33660c41f70271b532323597ef883f">
  <xsd:schema xmlns:xsd="http://www.w3.org/2001/XMLSchema" xmlns:xs="http://www.w3.org/2001/XMLSchema" xmlns:p="http://schemas.microsoft.com/office/2006/metadata/properties" xmlns:ns1="ce7a9852-1963-435c-8789-f2cd3e351d49" targetNamespace="http://schemas.microsoft.com/office/2006/metadata/properties" ma:root="true" ma:fieldsID="1b4e228611b3b10eaeb16c4c11c4a929" ns1:_="">
    <xsd:import namespace="ce7a9852-1963-435c-8789-f2cd3e351d49"/>
    <xsd:element name="properties">
      <xsd:complexType>
        <xsd:sequence>
          <xsd:element name="documentManagement">
            <xsd:complexType>
              <xsd:all>
                <xsd:element ref="ns1:documentTitle" minOccurs="0"/>
                <xsd:element ref="ns1:documentSummary" minOccurs="0"/>
                <xsd:element ref="ns1:documentFollowUp" minOccurs="0"/>
                <xsd:element ref="ns1:_dlc_DocId" minOccurs="0"/>
                <xsd:element ref="ns1:_dlc_DocIdUrl" minOccurs="0"/>
                <xsd:element ref="ns1:_dlc_DocIdPersistId" minOccurs="0"/>
                <xsd:element ref="ns1:i161ed8bab5f427c934c2020a0e72ac1" minOccurs="0"/>
                <xsd:element ref="ns1:TaxCatchAll" minOccurs="0"/>
                <xsd:element ref="ns1:TaxCatchAllLabel" minOccurs="0"/>
                <xsd:element ref="ns1:l8e6a454252340e6a78b0876f5ef5b9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a9852-1963-435c-8789-f2cd3e351d49" elementFormDefault="qualified">
    <xsd:import namespace="http://schemas.microsoft.com/office/2006/documentManagement/types"/>
    <xsd:import namespace="http://schemas.microsoft.com/office/infopath/2007/PartnerControls"/>
    <xsd:element name="documentTitle" ma:index="0" nillable="true" ma:displayName="Document Title" ma:description="The Title of the Document is different than its Filename." ma:internalName="documentTitle">
      <xsd:simpleType>
        <xsd:restriction base="dms:Text">
          <xsd:maxLength value="255"/>
        </xsd:restriction>
      </xsd:simpleType>
    </xsd:element>
    <xsd:element name="documentSummary" ma:index="1" nillable="true" ma:displayName="Summary" ma:description="The Summary is useful to further describe the document." ma:internalName="documentSummary">
      <xsd:simpleType>
        <xsd:restriction base="dms:Note">
          <xsd:maxLength value="255"/>
        </xsd:restriction>
      </xsd:simpleType>
    </xsd:element>
    <xsd:element name="documentFollowUp" ma:index="2" nillable="true" ma:displayName="Follow Up" ma:description="Any pertinent Information regarding the proposed Workflow to this document." ma:internalName="documentFollowUp">
      <xsd:simpleType>
        <xsd:restriction base="dms:Note">
          <xsd:maxLength value="255"/>
        </xsd:restriction>
      </xsd:simpleType>
    </xsd:element>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element name="i161ed8bab5f427c934c2020a0e72ac1" ma:index="6" nillable="true" ma:taxonomy="true" ma:internalName="i161ed8bab5f427c934c2020a0e72ac1" ma:taxonomyFieldName="documentGeneralTags" ma:displayName="General Tags" ma:fieldId="{2161ed8b-ab5f-427c-934c-2020a0e72ac1}" ma:taxonomyMulti="true" ma:sspId="0b3cc5dc-dc2a-4346-9392-57628a0b46cb" ma:termSetId="8b7e80e7-ae8a-43b2-bd33-ab5e3dce1b12" ma:anchorId="00000000-0000-0000-0000-000000000000" ma:open="false" ma:isKeyword="false">
      <xsd:complexType>
        <xsd:sequence>
          <xsd:element ref="pc:Terms" minOccurs="0" maxOccurs="1"/>
        </xsd:sequence>
      </xsd:complexType>
    </xsd:element>
    <xsd:element name="TaxCatchAll" ma:index="7" nillable="true" ma:displayName="Taxonomy Catch All Column" ma:description="" ma:hidden="true" ma:list="{7a458234-55d0-4c90-87e2-aa6b05bf6ca4}" ma:internalName="TaxCatchAll" ma:showField="CatchAllData" ma:web="ce7a9852-1963-435c-8789-f2cd3e351d49">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7a458234-55d0-4c90-87e2-aa6b05bf6ca4}" ma:internalName="TaxCatchAllLabel" ma:readOnly="true" ma:showField="CatchAllDataLabel" ma:web="ce7a9852-1963-435c-8789-f2cd3e351d49">
      <xsd:complexType>
        <xsd:complexContent>
          <xsd:extension base="dms:MultiChoiceLookup">
            <xsd:sequence>
              <xsd:element name="Value" type="dms:Lookup" maxOccurs="unbounded" minOccurs="0" nillable="true"/>
            </xsd:sequence>
          </xsd:extension>
        </xsd:complexContent>
      </xsd:complexType>
    </xsd:element>
    <xsd:element name="l8e6a454252340e6a78b0876f5ef5b97" ma:index="10" nillable="true" ma:taxonomy="true" ma:internalName="l8e6a454252340e6a78b0876f5ef5b97" ma:taxonomyFieldName="documentCaseTags" ma:displayName="Case Tags" ma:fieldId="{58e6a454-2523-40e6-a78b-0876f5ef5b97}" ma:taxonomyMulti="true" ma:sspId="0b3cc5dc-dc2a-4346-9392-57628a0b46cb" ma:termSetId="1e2ab052-f7dd-4150-91b1-8a79abfb1df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8B8916D-8FD3-4544-9AB2-3A0E66BC4339}">
  <ds:schemaRefs>
    <ds:schemaRef ds:uri="ce7a9852-1963-435c-8789-f2cd3e351d49"/>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F70F637B-25F1-4780-9D00-151266CF1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a9852-1963-435c-8789-f2cd3e351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CF374-0686-4403-A9D0-000219782709}">
  <ds:schemaRefs>
    <ds:schemaRef ds:uri="http://schemas.microsoft.com/sharepoint/events"/>
  </ds:schemaRefs>
</ds:datastoreItem>
</file>

<file path=customXml/itemProps4.xml><?xml version="1.0" encoding="utf-8"?>
<ds:datastoreItem xmlns:ds="http://schemas.openxmlformats.org/officeDocument/2006/customXml" ds:itemID="{1177366C-58FA-448C-92E9-AF72F5CF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5722</Words>
  <Characters>39946</Characters>
  <Application>Microsoft Office Word</Application>
  <DocSecurity>0</DocSecurity>
  <Lines>570</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32</cp:revision>
  <dcterms:created xsi:type="dcterms:W3CDTF">2022-02-16T12:45:00Z</dcterms:created>
  <dcterms:modified xsi:type="dcterms:W3CDTF">2022-02-22T17:22:00Z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dlc_DocIdItemGuid">
    <vt:lpwstr>d048df33-d18d-46de-a3ea-59246ac023e2</vt:lpwstr>
  </property>
  <property fmtid="{D5CDD505-2E9C-101B-9397-08002B2CF9AE}" pid="10" name="documentCaseTags">
    <vt:lpwstr/>
  </property>
  <property fmtid="{D5CDD505-2E9C-101B-9397-08002B2CF9AE}" pid="11" name="documentGeneralTags">
    <vt:lpwstr/>
  </property>
  <property fmtid="{D5CDD505-2E9C-101B-9397-08002B2CF9AE}" pid="12" name="_LW_INVALIDATED__LW_INVALIDATED__LW_INVALIDATED__LW_INVALIDATED__LW_INVALIDATED_ContentTypeId">
    <vt:lpwstr>0x01010400988603A364794F7AA753E65AAE732805004CEEA0FEFA8E2D469F99C17A7F670D5A</vt:lpwstr>
  </property>
  <property name="OP_sanitized" fmtid="{D5CDD505-2E9C-101B-9397-08002B2CF9AE}" pid="13">
    <vt:lpwstr>True</vt:lpwstr>
  </property>
</Properties>
</file>