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3C158" w14:textId="260C6305" w:rsidR="00A660F1" w:rsidRPr="00CF2E9C" w:rsidRDefault="00934FB4" w:rsidP="00934FB4">
      <w:pPr>
        <w:pStyle w:val="Pagedecouverture"/>
        <w:rPr>
          <w:noProof/>
        </w:rPr>
      </w:pPr>
      <w:bookmarkStart w:id="0" w:name="_Toc379988870"/>
      <w:bookmarkStart w:id="1" w:name="LW_BM_COVERPAGE"/>
      <w:r>
        <w:rPr>
          <w:noProof/>
        </w:rPr>
        <w:pict w14:anchorId="0C5E1E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BC2AACBB-A7F8-4225-931E-2C1146830002" style="width:455.25pt;height:351.75pt">
            <v:imagedata r:id="rId8" o:title=""/>
          </v:shape>
        </w:pict>
      </w:r>
    </w:p>
    <w:bookmarkEnd w:id="1"/>
    <w:p w14:paraId="448D0D2F" w14:textId="77777777" w:rsidR="00672FC3" w:rsidRDefault="00672FC3" w:rsidP="00672FC3">
      <w:pPr>
        <w:rPr>
          <w:noProof/>
        </w:rPr>
        <w:sectPr w:rsidR="00672FC3" w:rsidSect="00934FB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23F9119" w14:textId="77777777" w:rsidR="003412B0" w:rsidRDefault="003412B0" w:rsidP="00CF2E9C">
      <w:pPr>
        <w:rPr>
          <w:b/>
          <w:noProof/>
        </w:rPr>
      </w:pPr>
      <w:bookmarkStart w:id="2" w:name="_GoBack"/>
      <w:bookmarkEnd w:id="2"/>
    </w:p>
    <w:sdt>
      <w:sdtPr>
        <w:rPr>
          <w:rFonts w:asciiTheme="minorHAnsi" w:eastAsiaTheme="minorHAnsi" w:hAnsiTheme="minorHAnsi" w:cstheme="minorBidi"/>
          <w:b/>
          <w:noProof/>
          <w:color w:val="auto"/>
          <w:sz w:val="22"/>
          <w:szCs w:val="22"/>
        </w:rPr>
        <w:id w:val="-198713430"/>
        <w:docPartObj>
          <w:docPartGallery w:val="Table of Contents"/>
          <w:docPartUnique/>
        </w:docPartObj>
      </w:sdtPr>
      <w:sdtEndPr>
        <w:rPr>
          <w:bCs/>
        </w:rPr>
      </w:sdtEndPr>
      <w:sdtContent>
        <w:p w14:paraId="0BAE61CC" w14:textId="77777777" w:rsidR="00E83231" w:rsidRPr="00CF2E9C" w:rsidRDefault="00E83231">
          <w:pPr>
            <w:pStyle w:val="TOCHeading"/>
            <w:rPr>
              <w:rFonts w:ascii="Times New Roman" w:hAnsi="Times New Roman" w:cs="Times New Roman"/>
              <w:b/>
              <w:noProof/>
              <w:color w:val="auto"/>
            </w:rPr>
          </w:pPr>
          <w:r>
            <w:rPr>
              <w:rFonts w:ascii="Times New Roman" w:hAnsi="Times New Roman"/>
              <w:b/>
              <w:noProof/>
              <w:color w:val="auto"/>
            </w:rPr>
            <w:t>Saturs</w:t>
          </w:r>
        </w:p>
        <w:p w14:paraId="3F7160DC" w14:textId="299B6FC4" w:rsidR="008D5B5A" w:rsidRPr="008D5B5A" w:rsidRDefault="00E83231">
          <w:pPr>
            <w:pStyle w:val="TOC1"/>
            <w:tabs>
              <w:tab w:val="left" w:pos="440"/>
              <w:tab w:val="right" w:leader="dot" w:pos="9350"/>
            </w:tabs>
            <w:rPr>
              <w:rFonts w:eastAsiaTheme="minorEastAsia"/>
              <w:noProof/>
              <w:lang w:val="en-US"/>
            </w:rPr>
          </w:pPr>
          <w:r>
            <w:rPr>
              <w:b/>
              <w:noProof/>
            </w:rPr>
            <w:fldChar w:fldCharType="begin"/>
          </w:r>
          <w:r>
            <w:rPr>
              <w:b/>
              <w:noProof/>
            </w:rPr>
            <w:instrText xml:space="preserve"> TOC \o "1-3" \h \z \u </w:instrText>
          </w:r>
          <w:r>
            <w:rPr>
              <w:b/>
              <w:noProof/>
            </w:rPr>
            <w:fldChar w:fldCharType="separate"/>
          </w:r>
          <w:hyperlink w:anchor="_Toc85632460" w:history="1">
            <w:r w:rsidR="008D5B5A" w:rsidRPr="008D5B5A">
              <w:rPr>
                <w:rStyle w:val="Hyperlink"/>
                <w:noProof/>
              </w:rPr>
              <w:t>1.</w:t>
            </w:r>
            <w:r w:rsidR="008D5B5A" w:rsidRPr="008D5B5A">
              <w:rPr>
                <w:rFonts w:eastAsiaTheme="minorEastAsia"/>
                <w:noProof/>
                <w:lang w:val="en-US"/>
              </w:rPr>
              <w:tab/>
            </w:r>
            <w:r w:rsidR="008D5B5A" w:rsidRPr="008D5B5A">
              <w:rPr>
                <w:rStyle w:val="Hyperlink"/>
                <w:noProof/>
              </w:rPr>
              <w:t>Ievads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_Toc85632460 \h </w:instrText>
            </w:r>
            <w:r w:rsidR="008D5B5A" w:rsidRPr="008D5B5A">
              <w:rPr>
                <w:noProof/>
                <w:webHidden/>
              </w:rPr>
            </w:r>
            <w:r w:rsidR="008D5B5A" w:rsidRPr="008D5B5A">
              <w:rPr>
                <w:noProof/>
                <w:webHidden/>
              </w:rPr>
              <w:fldChar w:fldCharType="separate"/>
            </w:r>
            <w:r w:rsidR="008D5B5A" w:rsidRPr="008D5B5A">
              <w:rPr>
                <w:noProof/>
                <w:webHidden/>
              </w:rPr>
              <w:t>3</w:t>
            </w:r>
            <w:r w:rsidR="008D5B5A" w:rsidRPr="008D5B5A">
              <w:rPr>
                <w:noProof/>
                <w:webHidden/>
              </w:rPr>
              <w:fldChar w:fldCharType="end"/>
            </w:r>
          </w:hyperlink>
        </w:p>
        <w:p w14:paraId="7B9DB3A1" w14:textId="1C190780" w:rsidR="008D5B5A" w:rsidRPr="008D5B5A" w:rsidRDefault="00934FB4">
          <w:pPr>
            <w:pStyle w:val="TOC2"/>
            <w:tabs>
              <w:tab w:val="left" w:pos="880"/>
              <w:tab w:val="right" w:leader="dot" w:pos="9350"/>
            </w:tabs>
            <w:rPr>
              <w:rFonts w:eastAsiaTheme="minorEastAsia"/>
              <w:noProof/>
              <w:lang w:val="en-US"/>
            </w:rPr>
          </w:pPr>
          <w:hyperlink w:anchor="_Toc85632461" w:history="1">
            <w:r w:rsidR="008D5B5A" w:rsidRPr="008D5B5A">
              <w:rPr>
                <w:rStyle w:val="Hyperlink"/>
                <w:noProof/>
              </w:rPr>
              <w:t>1.1.</w:t>
            </w:r>
            <w:r w:rsidR="008D5B5A" w:rsidRPr="008D5B5A">
              <w:rPr>
                <w:rFonts w:eastAsiaTheme="minorEastAsia"/>
                <w:noProof/>
                <w:lang w:val="en-US"/>
              </w:rPr>
              <w:tab/>
            </w:r>
            <w:r w:rsidR="008D5B5A" w:rsidRPr="008D5B5A">
              <w:rPr>
                <w:rStyle w:val="Hyperlink"/>
                <w:noProof/>
              </w:rPr>
              <w:t>Direktīvas konteksts un mērķi</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_Toc85632461 \h </w:instrText>
            </w:r>
            <w:r w:rsidR="008D5B5A" w:rsidRPr="008D5B5A">
              <w:rPr>
                <w:noProof/>
                <w:webHidden/>
              </w:rPr>
            </w:r>
            <w:r w:rsidR="008D5B5A" w:rsidRPr="008D5B5A">
              <w:rPr>
                <w:noProof/>
                <w:webHidden/>
              </w:rPr>
              <w:fldChar w:fldCharType="separate"/>
            </w:r>
            <w:r w:rsidR="008D5B5A" w:rsidRPr="008D5B5A">
              <w:rPr>
                <w:noProof/>
                <w:webHidden/>
              </w:rPr>
              <w:t>3</w:t>
            </w:r>
            <w:r w:rsidR="008D5B5A" w:rsidRPr="008D5B5A">
              <w:rPr>
                <w:noProof/>
                <w:webHidden/>
              </w:rPr>
              <w:fldChar w:fldCharType="end"/>
            </w:r>
          </w:hyperlink>
        </w:p>
        <w:p w14:paraId="6C013447" w14:textId="6C4A8812" w:rsidR="008D5B5A" w:rsidRPr="008D5B5A" w:rsidRDefault="00934FB4">
          <w:pPr>
            <w:pStyle w:val="TOC2"/>
            <w:tabs>
              <w:tab w:val="left" w:pos="880"/>
              <w:tab w:val="right" w:leader="dot" w:pos="9350"/>
            </w:tabs>
            <w:rPr>
              <w:rFonts w:eastAsiaTheme="minorEastAsia"/>
              <w:noProof/>
              <w:lang w:val="en-US"/>
            </w:rPr>
          </w:pPr>
          <w:hyperlink w:anchor="_Toc85632462" w:history="1">
            <w:r w:rsidR="008D5B5A" w:rsidRPr="008D5B5A">
              <w:rPr>
                <w:rStyle w:val="Hyperlink"/>
                <w:noProof/>
              </w:rPr>
              <w:t>1.2.</w:t>
            </w:r>
            <w:r w:rsidR="008D5B5A" w:rsidRPr="008D5B5A">
              <w:rPr>
                <w:rFonts w:eastAsiaTheme="minorEastAsia"/>
                <w:noProof/>
                <w:lang w:val="en-US"/>
              </w:rPr>
              <w:tab/>
            </w:r>
            <w:r w:rsidR="008D5B5A" w:rsidRPr="008D5B5A">
              <w:rPr>
                <w:rStyle w:val="Hyperlink"/>
                <w:noProof/>
              </w:rPr>
              <w:t>Ziņojuma mērķis un tvērums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_Toc85632462 \h </w:instrText>
            </w:r>
            <w:r w:rsidR="008D5B5A" w:rsidRPr="008D5B5A">
              <w:rPr>
                <w:noProof/>
                <w:webHidden/>
              </w:rPr>
            </w:r>
            <w:r w:rsidR="008D5B5A" w:rsidRPr="008D5B5A">
              <w:rPr>
                <w:noProof/>
                <w:webHidden/>
              </w:rPr>
              <w:fldChar w:fldCharType="separate"/>
            </w:r>
            <w:r w:rsidR="008D5B5A" w:rsidRPr="008D5B5A">
              <w:rPr>
                <w:noProof/>
                <w:webHidden/>
              </w:rPr>
              <w:t>3</w:t>
            </w:r>
            <w:r w:rsidR="008D5B5A" w:rsidRPr="008D5B5A">
              <w:rPr>
                <w:noProof/>
                <w:webHidden/>
              </w:rPr>
              <w:fldChar w:fldCharType="end"/>
            </w:r>
          </w:hyperlink>
        </w:p>
        <w:p w14:paraId="053F6D53" w14:textId="3738CD0E" w:rsidR="008D5B5A" w:rsidRPr="008D5B5A" w:rsidRDefault="00934FB4">
          <w:pPr>
            <w:pStyle w:val="TOC2"/>
            <w:tabs>
              <w:tab w:val="left" w:pos="880"/>
              <w:tab w:val="right" w:leader="dot" w:pos="9350"/>
            </w:tabs>
            <w:rPr>
              <w:rFonts w:eastAsiaTheme="minorEastAsia"/>
              <w:noProof/>
              <w:lang w:val="en-US"/>
            </w:rPr>
          </w:pPr>
          <w:hyperlink w:anchor="_Toc85632463" w:history="1">
            <w:r w:rsidR="008D5B5A" w:rsidRPr="008D5B5A">
              <w:rPr>
                <w:rStyle w:val="Hyperlink"/>
                <w:noProof/>
              </w:rPr>
              <w:t>1.3.</w:t>
            </w:r>
            <w:r w:rsidR="008D5B5A" w:rsidRPr="008D5B5A">
              <w:rPr>
                <w:rFonts w:eastAsiaTheme="minorEastAsia"/>
                <w:noProof/>
                <w:lang w:val="en-US"/>
              </w:rPr>
              <w:tab/>
            </w:r>
            <w:r w:rsidR="008D5B5A" w:rsidRPr="008D5B5A">
              <w:rPr>
                <w:rStyle w:val="Hyperlink"/>
                <w:noProof/>
              </w:rPr>
              <w:t>Transponēšanas process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_Toc85632463 \h </w:instrText>
            </w:r>
            <w:r w:rsidR="008D5B5A" w:rsidRPr="008D5B5A">
              <w:rPr>
                <w:noProof/>
                <w:webHidden/>
              </w:rPr>
            </w:r>
            <w:r w:rsidR="008D5B5A" w:rsidRPr="008D5B5A">
              <w:rPr>
                <w:noProof/>
                <w:webHidden/>
              </w:rPr>
              <w:fldChar w:fldCharType="separate"/>
            </w:r>
            <w:r w:rsidR="008D5B5A" w:rsidRPr="008D5B5A">
              <w:rPr>
                <w:noProof/>
                <w:webHidden/>
              </w:rPr>
              <w:t>4</w:t>
            </w:r>
            <w:r w:rsidR="008D5B5A" w:rsidRPr="008D5B5A">
              <w:rPr>
                <w:noProof/>
                <w:webHidden/>
              </w:rPr>
              <w:fldChar w:fldCharType="end"/>
            </w:r>
          </w:hyperlink>
        </w:p>
        <w:p w14:paraId="6D51C16C" w14:textId="3AADD9A4" w:rsidR="008D5B5A" w:rsidRPr="008D5B5A" w:rsidRDefault="00934FB4">
          <w:pPr>
            <w:pStyle w:val="TOC1"/>
            <w:tabs>
              <w:tab w:val="left" w:pos="440"/>
              <w:tab w:val="right" w:leader="dot" w:pos="9350"/>
            </w:tabs>
            <w:rPr>
              <w:rFonts w:eastAsiaTheme="minorEastAsia"/>
              <w:noProof/>
              <w:lang w:val="en-US"/>
            </w:rPr>
          </w:pPr>
          <w:hyperlink w:anchor="_Toc85632464" w:history="1">
            <w:r w:rsidR="008D5B5A" w:rsidRPr="008D5B5A">
              <w:rPr>
                <w:rStyle w:val="Hyperlink"/>
                <w:noProof/>
              </w:rPr>
              <w:t>2.</w:t>
            </w:r>
            <w:r w:rsidR="008D5B5A" w:rsidRPr="008D5B5A">
              <w:rPr>
                <w:rFonts w:eastAsiaTheme="minorEastAsia"/>
                <w:noProof/>
                <w:lang w:val="en-US"/>
              </w:rPr>
              <w:tab/>
            </w:r>
            <w:r w:rsidR="008D5B5A" w:rsidRPr="008D5B5A">
              <w:rPr>
                <w:rStyle w:val="Hyperlink"/>
                <w:noProof/>
              </w:rPr>
              <w:t>Vispārējs pārskats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_Toc85632464 \h </w:instrText>
            </w:r>
            <w:r w:rsidR="008D5B5A" w:rsidRPr="008D5B5A">
              <w:rPr>
                <w:noProof/>
                <w:webHidden/>
              </w:rPr>
            </w:r>
            <w:r w:rsidR="008D5B5A" w:rsidRPr="008D5B5A">
              <w:rPr>
                <w:noProof/>
                <w:webHidden/>
              </w:rPr>
              <w:fldChar w:fldCharType="separate"/>
            </w:r>
            <w:r w:rsidR="008D5B5A" w:rsidRPr="008D5B5A">
              <w:rPr>
                <w:noProof/>
                <w:webHidden/>
              </w:rPr>
              <w:t>4</w:t>
            </w:r>
            <w:r w:rsidR="008D5B5A" w:rsidRPr="008D5B5A">
              <w:rPr>
                <w:noProof/>
                <w:webHidden/>
              </w:rPr>
              <w:fldChar w:fldCharType="end"/>
            </w:r>
          </w:hyperlink>
        </w:p>
        <w:p w14:paraId="747635E1" w14:textId="7FBA3A54" w:rsidR="008D5B5A" w:rsidRPr="008D5B5A" w:rsidRDefault="00934FB4">
          <w:pPr>
            <w:pStyle w:val="TOC1"/>
            <w:tabs>
              <w:tab w:val="left" w:pos="440"/>
              <w:tab w:val="right" w:leader="dot" w:pos="9350"/>
            </w:tabs>
            <w:rPr>
              <w:rFonts w:eastAsiaTheme="minorEastAsia"/>
              <w:noProof/>
              <w:lang w:val="en-US"/>
            </w:rPr>
          </w:pPr>
          <w:hyperlink w:anchor="_Toc85632465" w:history="1">
            <w:r w:rsidR="008D5B5A" w:rsidRPr="008D5B5A">
              <w:rPr>
                <w:rStyle w:val="Hyperlink"/>
                <w:noProof/>
              </w:rPr>
              <w:t>3.</w:t>
            </w:r>
            <w:r w:rsidR="008D5B5A" w:rsidRPr="008D5B5A">
              <w:rPr>
                <w:rFonts w:eastAsiaTheme="minorEastAsia"/>
                <w:noProof/>
                <w:lang w:val="en-US"/>
              </w:rPr>
              <w:tab/>
            </w:r>
            <w:r w:rsidR="008D5B5A" w:rsidRPr="008D5B5A">
              <w:rPr>
                <w:rStyle w:val="Hyperlink"/>
                <w:noProof/>
              </w:rPr>
              <w:t>Atsevišķi analīzes punkti</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_Toc85632465 \h </w:instrText>
            </w:r>
            <w:r w:rsidR="008D5B5A" w:rsidRPr="008D5B5A">
              <w:rPr>
                <w:noProof/>
                <w:webHidden/>
              </w:rPr>
            </w:r>
            <w:r w:rsidR="008D5B5A" w:rsidRPr="008D5B5A">
              <w:rPr>
                <w:noProof/>
                <w:webHidden/>
              </w:rPr>
              <w:fldChar w:fldCharType="separate"/>
            </w:r>
            <w:r w:rsidR="008D5B5A" w:rsidRPr="008D5B5A">
              <w:rPr>
                <w:noProof/>
                <w:webHidden/>
              </w:rPr>
              <w:t>5</w:t>
            </w:r>
            <w:r w:rsidR="008D5B5A" w:rsidRPr="008D5B5A">
              <w:rPr>
                <w:noProof/>
                <w:webHidden/>
              </w:rPr>
              <w:fldChar w:fldCharType="end"/>
            </w:r>
          </w:hyperlink>
        </w:p>
        <w:p w14:paraId="75FDFD6F" w14:textId="5F3779CE" w:rsidR="008D5B5A" w:rsidRPr="008D5B5A" w:rsidRDefault="00934FB4">
          <w:pPr>
            <w:pStyle w:val="TOC2"/>
            <w:tabs>
              <w:tab w:val="left" w:pos="880"/>
              <w:tab w:val="right" w:leader="dot" w:pos="9350"/>
            </w:tabs>
            <w:rPr>
              <w:rFonts w:eastAsiaTheme="minorEastAsia"/>
              <w:noProof/>
              <w:lang w:val="en-US"/>
            </w:rPr>
          </w:pPr>
          <w:hyperlink w:anchor="_Toc85632466" w:history="1">
            <w:r w:rsidR="008D5B5A" w:rsidRPr="008D5B5A">
              <w:rPr>
                <w:rStyle w:val="Hyperlink"/>
                <w:noProof/>
              </w:rPr>
              <w:t>3.1.</w:t>
            </w:r>
            <w:r w:rsidR="008D5B5A" w:rsidRPr="008D5B5A">
              <w:rPr>
                <w:rFonts w:eastAsiaTheme="minorEastAsia"/>
                <w:noProof/>
                <w:lang w:val="en-US"/>
              </w:rPr>
              <w:tab/>
            </w:r>
            <w:r w:rsidR="008D5B5A" w:rsidRPr="008D5B5A">
              <w:rPr>
                <w:rStyle w:val="Hyperlink"/>
                <w:noProof/>
              </w:rPr>
              <w:t>Piemērošanas joma un galvenās definīcijas (1. un 2. pants)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_Toc85632466 \h </w:instrText>
            </w:r>
            <w:r w:rsidR="008D5B5A" w:rsidRPr="008D5B5A">
              <w:rPr>
                <w:noProof/>
                <w:webHidden/>
              </w:rPr>
            </w:r>
            <w:r w:rsidR="008D5B5A" w:rsidRPr="008D5B5A">
              <w:rPr>
                <w:noProof/>
                <w:webHidden/>
              </w:rPr>
              <w:fldChar w:fldCharType="separate"/>
            </w:r>
            <w:r w:rsidR="008D5B5A" w:rsidRPr="008D5B5A">
              <w:rPr>
                <w:noProof/>
                <w:webHidden/>
              </w:rPr>
              <w:t>5</w:t>
            </w:r>
            <w:r w:rsidR="008D5B5A" w:rsidRPr="008D5B5A">
              <w:rPr>
                <w:noProof/>
                <w:webHidden/>
              </w:rPr>
              <w:fldChar w:fldCharType="end"/>
            </w:r>
          </w:hyperlink>
        </w:p>
        <w:p w14:paraId="2BF07F8A" w14:textId="7286D0F3" w:rsidR="008D5B5A" w:rsidRPr="008D5B5A" w:rsidRDefault="00934FB4">
          <w:pPr>
            <w:pStyle w:val="TOC3"/>
            <w:tabs>
              <w:tab w:val="left" w:pos="1320"/>
              <w:tab w:val="right" w:leader="dot" w:pos="9350"/>
            </w:tabs>
            <w:rPr>
              <w:rFonts w:eastAsiaTheme="minorEastAsia"/>
              <w:noProof/>
              <w:lang w:val="en-US"/>
            </w:rPr>
          </w:pPr>
          <w:hyperlink w:anchor="_Toc85632467" w:history="1">
            <w:r w:rsidR="008D5B5A" w:rsidRPr="008D5B5A">
              <w:rPr>
                <w:rStyle w:val="Hyperlink"/>
                <w:noProof/>
              </w:rPr>
              <w:t>3.1.1.</w:t>
            </w:r>
            <w:r w:rsidR="008D5B5A" w:rsidRPr="008D5B5A">
              <w:rPr>
                <w:rFonts w:eastAsiaTheme="minorEastAsia"/>
                <w:noProof/>
                <w:lang w:val="en-US"/>
              </w:rPr>
              <w:tab/>
            </w:r>
            <w:r w:rsidR="008D5B5A" w:rsidRPr="008D5B5A">
              <w:rPr>
                <w:rStyle w:val="Hyperlink"/>
                <w:noProof/>
              </w:rPr>
              <w:t>Ķēdes tirgus dalībnieki un piegādes attiecības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_Toc85632467 \h </w:instrText>
            </w:r>
            <w:r w:rsidR="008D5B5A" w:rsidRPr="008D5B5A">
              <w:rPr>
                <w:noProof/>
                <w:webHidden/>
              </w:rPr>
            </w:r>
            <w:r w:rsidR="008D5B5A" w:rsidRPr="008D5B5A">
              <w:rPr>
                <w:noProof/>
                <w:webHidden/>
              </w:rPr>
              <w:fldChar w:fldCharType="separate"/>
            </w:r>
            <w:r w:rsidR="008D5B5A" w:rsidRPr="008D5B5A">
              <w:rPr>
                <w:noProof/>
                <w:webHidden/>
              </w:rPr>
              <w:t>5</w:t>
            </w:r>
            <w:r w:rsidR="008D5B5A" w:rsidRPr="008D5B5A">
              <w:rPr>
                <w:noProof/>
                <w:webHidden/>
              </w:rPr>
              <w:fldChar w:fldCharType="end"/>
            </w:r>
          </w:hyperlink>
        </w:p>
        <w:p w14:paraId="4459A07B" w14:textId="69C4339E" w:rsidR="008D5B5A" w:rsidRPr="008D5B5A" w:rsidRDefault="00934FB4">
          <w:pPr>
            <w:pStyle w:val="TOC3"/>
            <w:tabs>
              <w:tab w:val="left" w:pos="1320"/>
              <w:tab w:val="right" w:leader="dot" w:pos="9350"/>
            </w:tabs>
            <w:rPr>
              <w:rFonts w:eastAsiaTheme="minorEastAsia"/>
              <w:noProof/>
              <w:lang w:val="en-US"/>
            </w:rPr>
          </w:pPr>
          <w:hyperlink w:anchor="_Toc85632468" w:history="1">
            <w:r w:rsidR="008D5B5A" w:rsidRPr="008D5B5A">
              <w:rPr>
                <w:rStyle w:val="Hyperlink"/>
                <w:noProof/>
              </w:rPr>
              <w:t>3.1.2.</w:t>
            </w:r>
            <w:r w:rsidR="008D5B5A" w:rsidRPr="008D5B5A">
              <w:rPr>
                <w:rFonts w:eastAsiaTheme="minorEastAsia"/>
                <w:noProof/>
                <w:lang w:val="en-US"/>
              </w:rPr>
              <w:tab/>
            </w:r>
            <w:r w:rsidR="008D5B5A" w:rsidRPr="008D5B5A">
              <w:rPr>
                <w:rStyle w:val="Hyperlink"/>
                <w:noProof/>
              </w:rPr>
              <w:t>Piemērošanas joma un uzņēmuma lielums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_Toc85632468 \h </w:instrText>
            </w:r>
            <w:r w:rsidR="008D5B5A" w:rsidRPr="008D5B5A">
              <w:rPr>
                <w:noProof/>
                <w:webHidden/>
              </w:rPr>
            </w:r>
            <w:r w:rsidR="008D5B5A" w:rsidRPr="008D5B5A">
              <w:rPr>
                <w:noProof/>
                <w:webHidden/>
              </w:rPr>
              <w:fldChar w:fldCharType="separate"/>
            </w:r>
            <w:r w:rsidR="008D5B5A" w:rsidRPr="008D5B5A">
              <w:rPr>
                <w:noProof/>
                <w:webHidden/>
              </w:rPr>
              <w:t>6</w:t>
            </w:r>
            <w:r w:rsidR="008D5B5A" w:rsidRPr="008D5B5A">
              <w:rPr>
                <w:noProof/>
                <w:webHidden/>
              </w:rPr>
              <w:fldChar w:fldCharType="end"/>
            </w:r>
          </w:hyperlink>
        </w:p>
        <w:p w14:paraId="3D6E763C" w14:textId="0CDEE7EC" w:rsidR="008D5B5A" w:rsidRPr="008D5B5A" w:rsidRDefault="00934FB4">
          <w:pPr>
            <w:pStyle w:val="TOC3"/>
            <w:tabs>
              <w:tab w:val="left" w:pos="1320"/>
              <w:tab w:val="right" w:leader="dot" w:pos="9350"/>
            </w:tabs>
            <w:rPr>
              <w:rFonts w:eastAsiaTheme="minorEastAsia"/>
              <w:noProof/>
              <w:lang w:val="en-US"/>
            </w:rPr>
          </w:pPr>
          <w:hyperlink w:anchor="_Toc85632469" w:history="1">
            <w:r w:rsidR="008D5B5A" w:rsidRPr="008D5B5A">
              <w:rPr>
                <w:rStyle w:val="Hyperlink"/>
                <w:noProof/>
              </w:rPr>
              <w:t>3.1.3.</w:t>
            </w:r>
            <w:r w:rsidR="008D5B5A" w:rsidRPr="008D5B5A">
              <w:rPr>
                <w:rFonts w:eastAsiaTheme="minorEastAsia"/>
                <w:noProof/>
                <w:lang w:val="en-US"/>
              </w:rPr>
              <w:tab/>
            </w:r>
            <w:r w:rsidR="008D5B5A" w:rsidRPr="008D5B5A">
              <w:rPr>
                <w:rStyle w:val="Hyperlink"/>
                <w:noProof/>
              </w:rPr>
              <w:t>Teritoriālā darbības joma</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_Toc85632469 \h </w:instrText>
            </w:r>
            <w:r w:rsidR="008D5B5A" w:rsidRPr="008D5B5A">
              <w:rPr>
                <w:noProof/>
                <w:webHidden/>
              </w:rPr>
            </w:r>
            <w:r w:rsidR="008D5B5A" w:rsidRPr="008D5B5A">
              <w:rPr>
                <w:noProof/>
                <w:webHidden/>
              </w:rPr>
              <w:fldChar w:fldCharType="separate"/>
            </w:r>
            <w:r w:rsidR="008D5B5A" w:rsidRPr="008D5B5A">
              <w:rPr>
                <w:noProof/>
                <w:webHidden/>
              </w:rPr>
              <w:t>6</w:t>
            </w:r>
            <w:r w:rsidR="008D5B5A" w:rsidRPr="008D5B5A">
              <w:rPr>
                <w:noProof/>
                <w:webHidden/>
              </w:rPr>
              <w:fldChar w:fldCharType="end"/>
            </w:r>
          </w:hyperlink>
        </w:p>
        <w:p w14:paraId="51BAB6AF" w14:textId="0E0D460A" w:rsidR="008D5B5A" w:rsidRPr="008D5B5A" w:rsidRDefault="00934FB4">
          <w:pPr>
            <w:pStyle w:val="TOC2"/>
            <w:tabs>
              <w:tab w:val="left" w:pos="880"/>
              <w:tab w:val="right" w:leader="dot" w:pos="9350"/>
            </w:tabs>
            <w:rPr>
              <w:rFonts w:eastAsiaTheme="minorEastAsia"/>
              <w:noProof/>
              <w:lang w:val="en-US"/>
            </w:rPr>
          </w:pPr>
          <w:hyperlink w:anchor="_Toc85632470" w:history="1">
            <w:r w:rsidR="008D5B5A" w:rsidRPr="008D5B5A">
              <w:rPr>
                <w:rStyle w:val="Hyperlink"/>
                <w:noProof/>
              </w:rPr>
              <w:t>3.2.</w:t>
            </w:r>
            <w:r w:rsidR="008D5B5A" w:rsidRPr="008D5B5A">
              <w:rPr>
                <w:rFonts w:eastAsiaTheme="minorEastAsia"/>
                <w:noProof/>
                <w:lang w:val="en-US"/>
              </w:rPr>
              <w:tab/>
            </w:r>
            <w:r w:rsidR="008D5B5A" w:rsidRPr="008D5B5A">
              <w:rPr>
                <w:rStyle w:val="Hyperlink"/>
                <w:noProof/>
              </w:rPr>
              <w:t>Negodīgas tirdzniecības prakses aizliegums (3. pants)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_Toc85632470 \h </w:instrText>
            </w:r>
            <w:r w:rsidR="008D5B5A" w:rsidRPr="008D5B5A">
              <w:rPr>
                <w:noProof/>
                <w:webHidden/>
              </w:rPr>
            </w:r>
            <w:r w:rsidR="008D5B5A" w:rsidRPr="008D5B5A">
              <w:rPr>
                <w:noProof/>
                <w:webHidden/>
              </w:rPr>
              <w:fldChar w:fldCharType="separate"/>
            </w:r>
            <w:r w:rsidR="008D5B5A" w:rsidRPr="008D5B5A">
              <w:rPr>
                <w:noProof/>
                <w:webHidden/>
              </w:rPr>
              <w:t>7</w:t>
            </w:r>
            <w:r w:rsidR="008D5B5A" w:rsidRPr="008D5B5A">
              <w:rPr>
                <w:noProof/>
                <w:webHidden/>
              </w:rPr>
              <w:fldChar w:fldCharType="end"/>
            </w:r>
          </w:hyperlink>
        </w:p>
        <w:p w14:paraId="02FF3E15" w14:textId="4B8C73CC" w:rsidR="008D5B5A" w:rsidRPr="008D5B5A" w:rsidRDefault="00934FB4">
          <w:pPr>
            <w:pStyle w:val="TOC2"/>
            <w:tabs>
              <w:tab w:val="left" w:pos="880"/>
              <w:tab w:val="right" w:leader="dot" w:pos="9350"/>
            </w:tabs>
            <w:rPr>
              <w:rFonts w:eastAsiaTheme="minorEastAsia"/>
              <w:noProof/>
              <w:lang w:val="en-US"/>
            </w:rPr>
          </w:pPr>
          <w:hyperlink w:anchor="_Toc85632471" w:history="1">
            <w:r w:rsidR="008D5B5A" w:rsidRPr="008D5B5A">
              <w:rPr>
                <w:rStyle w:val="Hyperlink"/>
                <w:noProof/>
              </w:rPr>
              <w:t>3.3.</w:t>
            </w:r>
            <w:r w:rsidR="008D5B5A" w:rsidRPr="008D5B5A">
              <w:rPr>
                <w:rFonts w:eastAsiaTheme="minorEastAsia"/>
                <w:noProof/>
                <w:lang w:val="en-US"/>
              </w:rPr>
              <w:tab/>
            </w:r>
            <w:r w:rsidR="008D5B5A" w:rsidRPr="008D5B5A">
              <w:rPr>
                <w:rStyle w:val="Hyperlink"/>
                <w:noProof/>
              </w:rPr>
              <w:t>Izpildes mehānismi (4.–8. pants)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_Toc85632471 \h </w:instrText>
            </w:r>
            <w:r w:rsidR="008D5B5A" w:rsidRPr="008D5B5A">
              <w:rPr>
                <w:noProof/>
                <w:webHidden/>
              </w:rPr>
            </w:r>
            <w:r w:rsidR="008D5B5A" w:rsidRPr="008D5B5A">
              <w:rPr>
                <w:noProof/>
                <w:webHidden/>
              </w:rPr>
              <w:fldChar w:fldCharType="separate"/>
            </w:r>
            <w:r w:rsidR="008D5B5A" w:rsidRPr="008D5B5A">
              <w:rPr>
                <w:noProof/>
                <w:webHidden/>
              </w:rPr>
              <w:t>9</w:t>
            </w:r>
            <w:r w:rsidR="008D5B5A" w:rsidRPr="008D5B5A">
              <w:rPr>
                <w:noProof/>
                <w:webHidden/>
              </w:rPr>
              <w:fldChar w:fldCharType="end"/>
            </w:r>
          </w:hyperlink>
        </w:p>
        <w:p w14:paraId="14FD4B54" w14:textId="6EC683B3" w:rsidR="008D5B5A" w:rsidRPr="008D5B5A" w:rsidRDefault="00934FB4">
          <w:pPr>
            <w:pStyle w:val="TOC3"/>
            <w:tabs>
              <w:tab w:val="left" w:pos="1320"/>
              <w:tab w:val="right" w:leader="dot" w:pos="9350"/>
            </w:tabs>
            <w:rPr>
              <w:rFonts w:eastAsiaTheme="minorEastAsia"/>
              <w:noProof/>
              <w:lang w:val="en-US"/>
            </w:rPr>
          </w:pPr>
          <w:hyperlink w:anchor="_Toc85632472" w:history="1">
            <w:r w:rsidR="008D5B5A" w:rsidRPr="008D5B5A">
              <w:rPr>
                <w:rStyle w:val="Hyperlink"/>
                <w:noProof/>
              </w:rPr>
              <w:t>3.3.1.</w:t>
            </w:r>
            <w:r w:rsidR="008D5B5A" w:rsidRPr="008D5B5A">
              <w:rPr>
                <w:rFonts w:eastAsiaTheme="minorEastAsia"/>
                <w:noProof/>
                <w:lang w:val="en-US"/>
              </w:rPr>
              <w:tab/>
            </w:r>
            <w:r w:rsidR="008D5B5A" w:rsidRPr="008D5B5A">
              <w:rPr>
                <w:rStyle w:val="Hyperlink"/>
                <w:noProof/>
              </w:rPr>
              <w:t>Izpildiestāžu norīkošana (4. pants)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_Toc85632472 \h </w:instrText>
            </w:r>
            <w:r w:rsidR="008D5B5A" w:rsidRPr="008D5B5A">
              <w:rPr>
                <w:noProof/>
                <w:webHidden/>
              </w:rPr>
            </w:r>
            <w:r w:rsidR="008D5B5A" w:rsidRPr="008D5B5A">
              <w:rPr>
                <w:noProof/>
                <w:webHidden/>
              </w:rPr>
              <w:fldChar w:fldCharType="separate"/>
            </w:r>
            <w:r w:rsidR="008D5B5A" w:rsidRPr="008D5B5A">
              <w:rPr>
                <w:noProof/>
                <w:webHidden/>
              </w:rPr>
              <w:t>9</w:t>
            </w:r>
            <w:r w:rsidR="008D5B5A" w:rsidRPr="008D5B5A">
              <w:rPr>
                <w:noProof/>
                <w:webHidden/>
              </w:rPr>
              <w:fldChar w:fldCharType="end"/>
            </w:r>
          </w:hyperlink>
        </w:p>
        <w:p w14:paraId="543F82A0" w14:textId="026B3C2A" w:rsidR="008D5B5A" w:rsidRPr="008D5B5A" w:rsidRDefault="00934FB4">
          <w:pPr>
            <w:pStyle w:val="TOC3"/>
            <w:tabs>
              <w:tab w:val="left" w:pos="1320"/>
              <w:tab w:val="right" w:leader="dot" w:pos="9350"/>
            </w:tabs>
            <w:rPr>
              <w:rFonts w:eastAsiaTheme="minorEastAsia"/>
              <w:noProof/>
              <w:lang w:val="en-US"/>
            </w:rPr>
          </w:pPr>
          <w:hyperlink w:anchor="_Toc85632473" w:history="1">
            <w:r w:rsidR="008D5B5A" w:rsidRPr="008D5B5A">
              <w:rPr>
                <w:rStyle w:val="Hyperlink"/>
                <w:noProof/>
              </w:rPr>
              <w:t>3.3.2.</w:t>
            </w:r>
            <w:r w:rsidR="008D5B5A" w:rsidRPr="008D5B5A">
              <w:rPr>
                <w:rFonts w:eastAsiaTheme="minorEastAsia"/>
                <w:noProof/>
                <w:lang w:val="en-US"/>
              </w:rPr>
              <w:tab/>
            </w:r>
            <w:r w:rsidR="008D5B5A" w:rsidRPr="008D5B5A">
              <w:rPr>
                <w:rStyle w:val="Hyperlink"/>
                <w:noProof/>
              </w:rPr>
              <w:t>Sūdzības un konfidencialitāte (5. pants)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_Toc85632473 \h </w:instrText>
            </w:r>
            <w:r w:rsidR="008D5B5A" w:rsidRPr="008D5B5A">
              <w:rPr>
                <w:noProof/>
                <w:webHidden/>
              </w:rPr>
            </w:r>
            <w:r w:rsidR="008D5B5A" w:rsidRPr="008D5B5A">
              <w:rPr>
                <w:noProof/>
                <w:webHidden/>
              </w:rPr>
              <w:fldChar w:fldCharType="separate"/>
            </w:r>
            <w:r w:rsidR="008D5B5A" w:rsidRPr="008D5B5A">
              <w:rPr>
                <w:noProof/>
                <w:webHidden/>
              </w:rPr>
              <w:t>10</w:t>
            </w:r>
            <w:r w:rsidR="008D5B5A" w:rsidRPr="008D5B5A">
              <w:rPr>
                <w:noProof/>
                <w:webHidden/>
              </w:rPr>
              <w:fldChar w:fldCharType="end"/>
            </w:r>
          </w:hyperlink>
        </w:p>
        <w:p w14:paraId="23830BF1" w14:textId="7F03E448" w:rsidR="008D5B5A" w:rsidRPr="008D5B5A" w:rsidRDefault="00934FB4">
          <w:pPr>
            <w:pStyle w:val="TOC3"/>
            <w:tabs>
              <w:tab w:val="left" w:pos="1320"/>
              <w:tab w:val="right" w:leader="dot" w:pos="9350"/>
            </w:tabs>
            <w:rPr>
              <w:rFonts w:eastAsiaTheme="minorEastAsia"/>
              <w:noProof/>
              <w:lang w:val="en-US"/>
            </w:rPr>
          </w:pPr>
          <w:hyperlink w:anchor="_Toc85632474" w:history="1">
            <w:r w:rsidR="008D5B5A" w:rsidRPr="008D5B5A">
              <w:rPr>
                <w:rStyle w:val="Hyperlink"/>
                <w:noProof/>
              </w:rPr>
              <w:t>3.3.3.</w:t>
            </w:r>
            <w:r w:rsidR="008D5B5A" w:rsidRPr="008D5B5A">
              <w:rPr>
                <w:rFonts w:eastAsiaTheme="minorEastAsia"/>
                <w:noProof/>
                <w:lang w:val="en-US"/>
              </w:rPr>
              <w:tab/>
            </w:r>
            <w:r w:rsidR="008D5B5A" w:rsidRPr="008D5B5A">
              <w:rPr>
                <w:rStyle w:val="Hyperlink"/>
                <w:noProof/>
              </w:rPr>
              <w:t>Norīkoto iestāžu pilnvaras (6. pants)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_Toc85632474 \h </w:instrText>
            </w:r>
            <w:r w:rsidR="008D5B5A" w:rsidRPr="008D5B5A">
              <w:rPr>
                <w:noProof/>
                <w:webHidden/>
              </w:rPr>
            </w:r>
            <w:r w:rsidR="008D5B5A" w:rsidRPr="008D5B5A">
              <w:rPr>
                <w:noProof/>
                <w:webHidden/>
              </w:rPr>
              <w:fldChar w:fldCharType="separate"/>
            </w:r>
            <w:r w:rsidR="008D5B5A" w:rsidRPr="008D5B5A">
              <w:rPr>
                <w:noProof/>
                <w:webHidden/>
              </w:rPr>
              <w:t>10</w:t>
            </w:r>
            <w:r w:rsidR="008D5B5A" w:rsidRPr="008D5B5A">
              <w:rPr>
                <w:noProof/>
                <w:webHidden/>
              </w:rPr>
              <w:fldChar w:fldCharType="end"/>
            </w:r>
          </w:hyperlink>
        </w:p>
        <w:p w14:paraId="756DF1E4" w14:textId="0BB644C3" w:rsidR="008D5B5A" w:rsidRPr="008D5B5A" w:rsidRDefault="00934FB4">
          <w:pPr>
            <w:pStyle w:val="TOC3"/>
            <w:tabs>
              <w:tab w:val="left" w:pos="1320"/>
              <w:tab w:val="right" w:leader="dot" w:pos="9350"/>
            </w:tabs>
            <w:rPr>
              <w:rFonts w:eastAsiaTheme="minorEastAsia"/>
              <w:noProof/>
              <w:lang w:val="en-US"/>
            </w:rPr>
          </w:pPr>
          <w:hyperlink w:anchor="_Toc85632475" w:history="1">
            <w:r w:rsidR="008D5B5A" w:rsidRPr="008D5B5A">
              <w:rPr>
                <w:rStyle w:val="Hyperlink"/>
                <w:noProof/>
              </w:rPr>
              <w:t>3.3.4.</w:t>
            </w:r>
            <w:r w:rsidR="008D5B5A" w:rsidRPr="008D5B5A">
              <w:rPr>
                <w:rFonts w:eastAsiaTheme="minorEastAsia"/>
                <w:noProof/>
                <w:lang w:val="en-US"/>
              </w:rPr>
              <w:tab/>
            </w:r>
            <w:r w:rsidR="008D5B5A" w:rsidRPr="008D5B5A">
              <w:rPr>
                <w:rStyle w:val="Hyperlink"/>
                <w:noProof/>
              </w:rPr>
              <w:t>Izpildes pasākumi un sankcijas (6. pants)</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_Toc85632475 \h </w:instrText>
            </w:r>
            <w:r w:rsidR="008D5B5A" w:rsidRPr="008D5B5A">
              <w:rPr>
                <w:noProof/>
                <w:webHidden/>
              </w:rPr>
            </w:r>
            <w:r w:rsidR="008D5B5A" w:rsidRPr="008D5B5A">
              <w:rPr>
                <w:noProof/>
                <w:webHidden/>
              </w:rPr>
              <w:fldChar w:fldCharType="separate"/>
            </w:r>
            <w:r w:rsidR="008D5B5A" w:rsidRPr="008D5B5A">
              <w:rPr>
                <w:noProof/>
                <w:webHidden/>
              </w:rPr>
              <w:t>11</w:t>
            </w:r>
            <w:r w:rsidR="008D5B5A" w:rsidRPr="008D5B5A">
              <w:rPr>
                <w:noProof/>
                <w:webHidden/>
              </w:rPr>
              <w:fldChar w:fldCharType="end"/>
            </w:r>
          </w:hyperlink>
        </w:p>
        <w:p w14:paraId="15E5B3C3" w14:textId="7DB19679" w:rsidR="008D5B5A" w:rsidRDefault="00934FB4">
          <w:pPr>
            <w:pStyle w:val="TOC3"/>
            <w:tabs>
              <w:tab w:val="left" w:pos="1320"/>
              <w:tab w:val="right" w:leader="dot" w:pos="9350"/>
            </w:tabs>
            <w:rPr>
              <w:rFonts w:eastAsiaTheme="minorEastAsia"/>
              <w:noProof/>
              <w:lang w:val="en-US"/>
            </w:rPr>
          </w:pPr>
          <w:hyperlink w:anchor="_Toc85632476" w:history="1">
            <w:r w:rsidR="008D5B5A" w:rsidRPr="008D5B5A">
              <w:rPr>
                <w:rStyle w:val="Hyperlink"/>
                <w:noProof/>
              </w:rPr>
              <w:t>3.3.5.</w:t>
            </w:r>
            <w:r w:rsidR="008D5B5A" w:rsidRPr="008D5B5A">
              <w:rPr>
                <w:rFonts w:eastAsiaTheme="minorEastAsia"/>
                <w:noProof/>
                <w:lang w:val="en-US"/>
              </w:rPr>
              <w:tab/>
            </w:r>
            <w:r w:rsidR="008D5B5A" w:rsidRPr="008D5B5A">
              <w:rPr>
                <w:rStyle w:val="Hyperlink"/>
                <w:noProof/>
              </w:rPr>
              <w:t>Administratīvā un tiesiskā izpilde un alternatīva strīdu izšķiršana</w:t>
            </w:r>
            <w:r w:rsidR="008D5B5A" w:rsidRPr="008D5B5A">
              <w:rPr>
                <w:noProof/>
                <w:webHidden/>
              </w:rPr>
              <w:tab/>
            </w:r>
            <w:r w:rsidR="008D5B5A" w:rsidRPr="008D5B5A">
              <w:rPr>
                <w:noProof/>
                <w:webHidden/>
              </w:rPr>
              <w:fldChar w:fldCharType="begin"/>
            </w:r>
            <w:r w:rsidR="008D5B5A" w:rsidRPr="008D5B5A">
              <w:rPr>
                <w:noProof/>
                <w:webHidden/>
              </w:rPr>
              <w:instrText xml:space="preserve"> PAGEREF _Toc85632476 \h </w:instrText>
            </w:r>
            <w:r w:rsidR="008D5B5A" w:rsidRPr="008D5B5A">
              <w:rPr>
                <w:noProof/>
                <w:webHidden/>
              </w:rPr>
            </w:r>
            <w:r w:rsidR="008D5B5A" w:rsidRPr="008D5B5A">
              <w:rPr>
                <w:noProof/>
                <w:webHidden/>
              </w:rPr>
              <w:fldChar w:fldCharType="separate"/>
            </w:r>
            <w:r w:rsidR="008D5B5A" w:rsidRPr="008D5B5A">
              <w:rPr>
                <w:noProof/>
                <w:webHidden/>
              </w:rPr>
              <w:t>12</w:t>
            </w:r>
            <w:r w:rsidR="008D5B5A" w:rsidRPr="008D5B5A">
              <w:rPr>
                <w:noProof/>
                <w:webHidden/>
              </w:rPr>
              <w:fldChar w:fldCharType="end"/>
            </w:r>
          </w:hyperlink>
        </w:p>
        <w:p w14:paraId="282E041A" w14:textId="70A5E4FD" w:rsidR="008D5B5A" w:rsidRDefault="00934FB4">
          <w:pPr>
            <w:pStyle w:val="TOC1"/>
            <w:tabs>
              <w:tab w:val="left" w:pos="440"/>
              <w:tab w:val="right" w:leader="dot" w:pos="9350"/>
            </w:tabs>
            <w:rPr>
              <w:rFonts w:eastAsiaTheme="minorEastAsia"/>
              <w:noProof/>
              <w:lang w:val="en-US"/>
            </w:rPr>
          </w:pPr>
          <w:hyperlink w:anchor="_Toc85632477" w:history="1">
            <w:r w:rsidR="008D5B5A" w:rsidRPr="003D26BC">
              <w:rPr>
                <w:rStyle w:val="Hyperlink"/>
                <w:noProof/>
              </w:rPr>
              <w:t>4.</w:t>
            </w:r>
            <w:r w:rsidR="008D5B5A">
              <w:rPr>
                <w:rFonts w:eastAsiaTheme="minorEastAsia"/>
                <w:noProof/>
                <w:lang w:val="en-US"/>
              </w:rPr>
              <w:tab/>
            </w:r>
            <w:r w:rsidR="008D5B5A" w:rsidRPr="003D26BC">
              <w:rPr>
                <w:rStyle w:val="Hyperlink"/>
                <w:noProof/>
              </w:rPr>
              <w:t>Secinājumi</w:t>
            </w:r>
            <w:r w:rsidR="008D5B5A">
              <w:rPr>
                <w:noProof/>
                <w:webHidden/>
              </w:rPr>
              <w:tab/>
            </w:r>
            <w:r w:rsidR="008D5B5A">
              <w:rPr>
                <w:noProof/>
                <w:webHidden/>
              </w:rPr>
              <w:fldChar w:fldCharType="begin"/>
            </w:r>
            <w:r w:rsidR="008D5B5A">
              <w:rPr>
                <w:noProof/>
                <w:webHidden/>
              </w:rPr>
              <w:instrText xml:space="preserve"> PAGEREF _Toc85632477 \h </w:instrText>
            </w:r>
            <w:r w:rsidR="008D5B5A">
              <w:rPr>
                <w:noProof/>
                <w:webHidden/>
              </w:rPr>
            </w:r>
            <w:r w:rsidR="008D5B5A">
              <w:rPr>
                <w:noProof/>
                <w:webHidden/>
              </w:rPr>
              <w:fldChar w:fldCharType="separate"/>
            </w:r>
            <w:r w:rsidR="008D5B5A">
              <w:rPr>
                <w:noProof/>
                <w:webHidden/>
              </w:rPr>
              <w:t>13</w:t>
            </w:r>
            <w:r w:rsidR="008D5B5A">
              <w:rPr>
                <w:noProof/>
                <w:webHidden/>
              </w:rPr>
              <w:fldChar w:fldCharType="end"/>
            </w:r>
          </w:hyperlink>
        </w:p>
        <w:p w14:paraId="02896165" w14:textId="4F1DA5E0" w:rsidR="00E83231" w:rsidRDefault="00E83231">
          <w:pPr>
            <w:rPr>
              <w:noProof/>
            </w:rPr>
          </w:pPr>
          <w:r>
            <w:rPr>
              <w:b/>
              <w:bCs/>
              <w:noProof/>
            </w:rPr>
            <w:fldChar w:fldCharType="end"/>
          </w:r>
        </w:p>
      </w:sdtContent>
    </w:sdt>
    <w:p w14:paraId="6B6A0215" w14:textId="77777777" w:rsidR="00541177" w:rsidRDefault="00541177">
      <w:pPr>
        <w:rPr>
          <w:b/>
          <w:noProof/>
          <w:color w:val="444345"/>
          <w:szCs w:val="24"/>
        </w:rPr>
      </w:pPr>
      <w:r>
        <w:rPr>
          <w:noProof/>
        </w:rPr>
        <w:br w:type="page"/>
      </w:r>
    </w:p>
    <w:p w14:paraId="5CDEC7C8" w14:textId="3D65CD6E" w:rsidR="00541177" w:rsidRPr="00CF2E9C" w:rsidRDefault="00541177" w:rsidP="00541177">
      <w:pPr>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b/>
          <w:bCs/>
          <w:noProof/>
          <w:sz w:val="24"/>
          <w:szCs w:val="24"/>
        </w:rPr>
        <w:t>Dalībvalstu abreviatūras</w:t>
      </w:r>
      <w:r>
        <w:rPr>
          <w:rFonts w:ascii="Times New Roman" w:hAnsi="Times New Roman"/>
          <w:noProof/>
          <w:sz w:val="24"/>
          <w:szCs w:val="24"/>
        </w:rPr>
        <w:t xml:space="preserve">: </w:t>
      </w:r>
    </w:p>
    <w:tbl>
      <w:tblPr>
        <w:tblW w:w="634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8"/>
        <w:gridCol w:w="982"/>
        <w:gridCol w:w="2115"/>
      </w:tblGrid>
      <w:tr w:rsidR="00541177" w:rsidRPr="00541177" w14:paraId="239A2F9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9A320A4"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Beļģija </w:t>
            </w:r>
          </w:p>
        </w:tc>
        <w:tc>
          <w:tcPr>
            <w:tcW w:w="982" w:type="dxa"/>
            <w:tcBorders>
              <w:top w:val="single" w:sz="6" w:space="0" w:color="auto"/>
              <w:left w:val="nil"/>
              <w:bottom w:val="single" w:sz="6" w:space="0" w:color="auto"/>
              <w:right w:val="nil"/>
            </w:tcBorders>
            <w:vAlign w:val="center"/>
          </w:tcPr>
          <w:p w14:paraId="32281D61"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BE </w:t>
            </w:r>
          </w:p>
        </w:tc>
        <w:tc>
          <w:tcPr>
            <w:tcW w:w="2115" w:type="dxa"/>
            <w:tcBorders>
              <w:top w:val="single" w:sz="6" w:space="0" w:color="auto"/>
              <w:left w:val="nil"/>
              <w:bottom w:val="single" w:sz="6" w:space="0" w:color="auto"/>
              <w:right w:val="single" w:sz="6" w:space="0" w:color="auto"/>
            </w:tcBorders>
          </w:tcPr>
          <w:p w14:paraId="47FBD7FF"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417E2898"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D20D1E0"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Bulgārija </w:t>
            </w:r>
          </w:p>
        </w:tc>
        <w:tc>
          <w:tcPr>
            <w:tcW w:w="982" w:type="dxa"/>
            <w:tcBorders>
              <w:top w:val="nil"/>
              <w:left w:val="nil"/>
              <w:bottom w:val="single" w:sz="6" w:space="0" w:color="auto"/>
              <w:right w:val="nil"/>
            </w:tcBorders>
            <w:vAlign w:val="center"/>
          </w:tcPr>
          <w:p w14:paraId="1F2081A7"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BG </w:t>
            </w:r>
          </w:p>
        </w:tc>
        <w:tc>
          <w:tcPr>
            <w:tcW w:w="2115" w:type="dxa"/>
            <w:tcBorders>
              <w:top w:val="nil"/>
              <w:left w:val="nil"/>
              <w:bottom w:val="single" w:sz="6" w:space="0" w:color="auto"/>
              <w:right w:val="single" w:sz="6" w:space="0" w:color="auto"/>
            </w:tcBorders>
          </w:tcPr>
          <w:p w14:paraId="3D1AA023"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60E6B0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FE82CCE"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Čehija </w:t>
            </w:r>
          </w:p>
        </w:tc>
        <w:tc>
          <w:tcPr>
            <w:tcW w:w="982" w:type="dxa"/>
            <w:tcBorders>
              <w:top w:val="nil"/>
              <w:left w:val="nil"/>
              <w:bottom w:val="single" w:sz="6" w:space="0" w:color="auto"/>
              <w:right w:val="nil"/>
            </w:tcBorders>
            <w:vAlign w:val="center"/>
          </w:tcPr>
          <w:p w14:paraId="290BAFA8"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CZ </w:t>
            </w:r>
          </w:p>
        </w:tc>
        <w:tc>
          <w:tcPr>
            <w:tcW w:w="2115" w:type="dxa"/>
            <w:tcBorders>
              <w:top w:val="nil"/>
              <w:left w:val="nil"/>
              <w:bottom w:val="single" w:sz="6" w:space="0" w:color="auto"/>
              <w:right w:val="single" w:sz="6" w:space="0" w:color="auto"/>
            </w:tcBorders>
          </w:tcPr>
          <w:p w14:paraId="405E8B2F"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436F2CB"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22CED64"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Dānija </w:t>
            </w:r>
          </w:p>
        </w:tc>
        <w:tc>
          <w:tcPr>
            <w:tcW w:w="982" w:type="dxa"/>
            <w:tcBorders>
              <w:top w:val="nil"/>
              <w:left w:val="nil"/>
              <w:bottom w:val="single" w:sz="6" w:space="0" w:color="auto"/>
              <w:right w:val="nil"/>
            </w:tcBorders>
            <w:vAlign w:val="center"/>
          </w:tcPr>
          <w:p w14:paraId="409C0D37"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DK </w:t>
            </w:r>
          </w:p>
        </w:tc>
        <w:tc>
          <w:tcPr>
            <w:tcW w:w="2115" w:type="dxa"/>
            <w:tcBorders>
              <w:top w:val="nil"/>
              <w:left w:val="nil"/>
              <w:bottom w:val="single" w:sz="6" w:space="0" w:color="auto"/>
              <w:right w:val="single" w:sz="6" w:space="0" w:color="auto"/>
            </w:tcBorders>
          </w:tcPr>
          <w:p w14:paraId="3DB3C26F"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E385162"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B0D20C0"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Vācija </w:t>
            </w:r>
          </w:p>
        </w:tc>
        <w:tc>
          <w:tcPr>
            <w:tcW w:w="982" w:type="dxa"/>
            <w:tcBorders>
              <w:top w:val="nil"/>
              <w:left w:val="nil"/>
              <w:bottom w:val="single" w:sz="6" w:space="0" w:color="auto"/>
              <w:right w:val="nil"/>
            </w:tcBorders>
            <w:vAlign w:val="center"/>
          </w:tcPr>
          <w:p w14:paraId="01AE38C6"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DE </w:t>
            </w:r>
          </w:p>
        </w:tc>
        <w:tc>
          <w:tcPr>
            <w:tcW w:w="2115" w:type="dxa"/>
            <w:tcBorders>
              <w:top w:val="nil"/>
              <w:left w:val="nil"/>
              <w:bottom w:val="single" w:sz="6" w:space="0" w:color="auto"/>
              <w:right w:val="single" w:sz="6" w:space="0" w:color="auto"/>
            </w:tcBorders>
          </w:tcPr>
          <w:p w14:paraId="13C4C14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B18CE2F"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197061A"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Igaunija </w:t>
            </w:r>
          </w:p>
        </w:tc>
        <w:tc>
          <w:tcPr>
            <w:tcW w:w="982" w:type="dxa"/>
            <w:tcBorders>
              <w:top w:val="nil"/>
              <w:left w:val="nil"/>
              <w:bottom w:val="single" w:sz="6" w:space="0" w:color="auto"/>
              <w:right w:val="nil"/>
            </w:tcBorders>
            <w:vAlign w:val="center"/>
          </w:tcPr>
          <w:p w14:paraId="29D1E3B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EE </w:t>
            </w:r>
          </w:p>
        </w:tc>
        <w:tc>
          <w:tcPr>
            <w:tcW w:w="2115" w:type="dxa"/>
            <w:tcBorders>
              <w:top w:val="nil"/>
              <w:left w:val="nil"/>
              <w:bottom w:val="single" w:sz="6" w:space="0" w:color="auto"/>
              <w:right w:val="single" w:sz="6" w:space="0" w:color="auto"/>
            </w:tcBorders>
          </w:tcPr>
          <w:p w14:paraId="7418EBBE"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D26B12" w14:paraId="2C3E41B4"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1AACC27"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Īrija </w:t>
            </w:r>
          </w:p>
        </w:tc>
        <w:tc>
          <w:tcPr>
            <w:tcW w:w="982" w:type="dxa"/>
            <w:tcBorders>
              <w:top w:val="nil"/>
              <w:left w:val="nil"/>
              <w:bottom w:val="single" w:sz="6" w:space="0" w:color="auto"/>
              <w:right w:val="nil"/>
            </w:tcBorders>
            <w:vAlign w:val="center"/>
          </w:tcPr>
          <w:p w14:paraId="10669703"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IE </w:t>
            </w:r>
          </w:p>
        </w:tc>
        <w:tc>
          <w:tcPr>
            <w:tcW w:w="2115" w:type="dxa"/>
            <w:tcBorders>
              <w:top w:val="nil"/>
              <w:left w:val="nil"/>
              <w:bottom w:val="single" w:sz="6" w:space="0" w:color="auto"/>
              <w:right w:val="single" w:sz="6" w:space="0" w:color="auto"/>
            </w:tcBorders>
          </w:tcPr>
          <w:p w14:paraId="4ABC1353"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9AC1B5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B6B551A"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Grieķija </w:t>
            </w:r>
          </w:p>
        </w:tc>
        <w:tc>
          <w:tcPr>
            <w:tcW w:w="982" w:type="dxa"/>
            <w:tcBorders>
              <w:top w:val="nil"/>
              <w:left w:val="nil"/>
              <w:bottom w:val="single" w:sz="6" w:space="0" w:color="auto"/>
              <w:right w:val="nil"/>
            </w:tcBorders>
            <w:vAlign w:val="center"/>
          </w:tcPr>
          <w:p w14:paraId="0FACC7E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EL </w:t>
            </w:r>
          </w:p>
        </w:tc>
        <w:tc>
          <w:tcPr>
            <w:tcW w:w="2115" w:type="dxa"/>
            <w:tcBorders>
              <w:top w:val="nil"/>
              <w:left w:val="nil"/>
              <w:bottom w:val="single" w:sz="6" w:space="0" w:color="auto"/>
              <w:right w:val="single" w:sz="6" w:space="0" w:color="auto"/>
            </w:tcBorders>
          </w:tcPr>
          <w:p w14:paraId="727E7DC6"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2971B61"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AA22070"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Spānija </w:t>
            </w:r>
          </w:p>
        </w:tc>
        <w:tc>
          <w:tcPr>
            <w:tcW w:w="982" w:type="dxa"/>
            <w:tcBorders>
              <w:top w:val="nil"/>
              <w:left w:val="nil"/>
              <w:bottom w:val="single" w:sz="6" w:space="0" w:color="auto"/>
              <w:right w:val="nil"/>
            </w:tcBorders>
            <w:vAlign w:val="center"/>
          </w:tcPr>
          <w:p w14:paraId="18C35350"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ES </w:t>
            </w:r>
          </w:p>
        </w:tc>
        <w:tc>
          <w:tcPr>
            <w:tcW w:w="2115" w:type="dxa"/>
            <w:tcBorders>
              <w:top w:val="nil"/>
              <w:left w:val="nil"/>
              <w:bottom w:val="single" w:sz="6" w:space="0" w:color="auto"/>
              <w:right w:val="single" w:sz="6" w:space="0" w:color="auto"/>
            </w:tcBorders>
          </w:tcPr>
          <w:p w14:paraId="185FE9C0"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133D5A2E"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A022DA7"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Francija </w:t>
            </w:r>
          </w:p>
        </w:tc>
        <w:tc>
          <w:tcPr>
            <w:tcW w:w="982" w:type="dxa"/>
            <w:tcBorders>
              <w:top w:val="nil"/>
              <w:left w:val="nil"/>
              <w:bottom w:val="single" w:sz="6" w:space="0" w:color="auto"/>
              <w:right w:val="nil"/>
            </w:tcBorders>
            <w:vAlign w:val="center"/>
          </w:tcPr>
          <w:p w14:paraId="709E6291"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FR </w:t>
            </w:r>
          </w:p>
        </w:tc>
        <w:tc>
          <w:tcPr>
            <w:tcW w:w="2115" w:type="dxa"/>
            <w:tcBorders>
              <w:top w:val="nil"/>
              <w:left w:val="nil"/>
              <w:bottom w:val="single" w:sz="6" w:space="0" w:color="auto"/>
              <w:right w:val="single" w:sz="6" w:space="0" w:color="auto"/>
            </w:tcBorders>
          </w:tcPr>
          <w:p w14:paraId="07383B08"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8374952"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3B959FF"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Horvātija </w:t>
            </w:r>
          </w:p>
        </w:tc>
        <w:tc>
          <w:tcPr>
            <w:tcW w:w="982" w:type="dxa"/>
            <w:tcBorders>
              <w:top w:val="nil"/>
              <w:left w:val="nil"/>
              <w:bottom w:val="single" w:sz="6" w:space="0" w:color="auto"/>
              <w:right w:val="nil"/>
            </w:tcBorders>
            <w:vAlign w:val="center"/>
          </w:tcPr>
          <w:p w14:paraId="68BE69D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HR </w:t>
            </w:r>
          </w:p>
        </w:tc>
        <w:tc>
          <w:tcPr>
            <w:tcW w:w="2115" w:type="dxa"/>
            <w:tcBorders>
              <w:top w:val="nil"/>
              <w:left w:val="nil"/>
              <w:bottom w:val="single" w:sz="6" w:space="0" w:color="auto"/>
              <w:right w:val="single" w:sz="6" w:space="0" w:color="auto"/>
            </w:tcBorders>
          </w:tcPr>
          <w:p w14:paraId="6BEE837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6F3FEA51"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C04B2D2"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Itālija </w:t>
            </w:r>
          </w:p>
        </w:tc>
        <w:tc>
          <w:tcPr>
            <w:tcW w:w="982" w:type="dxa"/>
            <w:tcBorders>
              <w:top w:val="nil"/>
              <w:left w:val="nil"/>
              <w:bottom w:val="single" w:sz="6" w:space="0" w:color="auto"/>
              <w:right w:val="nil"/>
            </w:tcBorders>
            <w:vAlign w:val="center"/>
          </w:tcPr>
          <w:p w14:paraId="1B4CE893"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IT </w:t>
            </w:r>
          </w:p>
        </w:tc>
        <w:tc>
          <w:tcPr>
            <w:tcW w:w="2115" w:type="dxa"/>
            <w:tcBorders>
              <w:top w:val="nil"/>
              <w:left w:val="nil"/>
              <w:bottom w:val="single" w:sz="6" w:space="0" w:color="auto"/>
              <w:right w:val="single" w:sz="6" w:space="0" w:color="auto"/>
            </w:tcBorders>
          </w:tcPr>
          <w:p w14:paraId="70831169"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1E76100D"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20D2B54"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Kipra </w:t>
            </w:r>
          </w:p>
        </w:tc>
        <w:tc>
          <w:tcPr>
            <w:tcW w:w="982" w:type="dxa"/>
            <w:tcBorders>
              <w:top w:val="nil"/>
              <w:left w:val="nil"/>
              <w:bottom w:val="single" w:sz="6" w:space="0" w:color="auto"/>
              <w:right w:val="nil"/>
            </w:tcBorders>
            <w:vAlign w:val="center"/>
          </w:tcPr>
          <w:p w14:paraId="4E43D968"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CY </w:t>
            </w:r>
          </w:p>
        </w:tc>
        <w:tc>
          <w:tcPr>
            <w:tcW w:w="2115" w:type="dxa"/>
            <w:tcBorders>
              <w:top w:val="nil"/>
              <w:left w:val="nil"/>
              <w:bottom w:val="single" w:sz="6" w:space="0" w:color="auto"/>
              <w:right w:val="single" w:sz="6" w:space="0" w:color="auto"/>
            </w:tcBorders>
          </w:tcPr>
          <w:p w14:paraId="1BF844D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63BF4F34"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25286AF"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Latvija </w:t>
            </w:r>
          </w:p>
        </w:tc>
        <w:tc>
          <w:tcPr>
            <w:tcW w:w="982" w:type="dxa"/>
            <w:tcBorders>
              <w:top w:val="nil"/>
              <w:left w:val="nil"/>
              <w:bottom w:val="single" w:sz="6" w:space="0" w:color="auto"/>
              <w:right w:val="nil"/>
            </w:tcBorders>
            <w:vAlign w:val="center"/>
          </w:tcPr>
          <w:p w14:paraId="2305B7C0"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LV </w:t>
            </w:r>
          </w:p>
        </w:tc>
        <w:tc>
          <w:tcPr>
            <w:tcW w:w="2115" w:type="dxa"/>
            <w:tcBorders>
              <w:top w:val="nil"/>
              <w:left w:val="nil"/>
              <w:bottom w:val="single" w:sz="6" w:space="0" w:color="auto"/>
              <w:right w:val="single" w:sz="6" w:space="0" w:color="auto"/>
            </w:tcBorders>
          </w:tcPr>
          <w:p w14:paraId="2D6701D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32637AC"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3D4E6884"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Lietuva </w:t>
            </w:r>
          </w:p>
        </w:tc>
        <w:tc>
          <w:tcPr>
            <w:tcW w:w="982" w:type="dxa"/>
            <w:tcBorders>
              <w:top w:val="single" w:sz="6" w:space="0" w:color="auto"/>
              <w:left w:val="nil"/>
              <w:bottom w:val="single" w:sz="6" w:space="0" w:color="auto"/>
              <w:right w:val="nil"/>
            </w:tcBorders>
            <w:vAlign w:val="center"/>
          </w:tcPr>
          <w:p w14:paraId="040C55A4"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LT </w:t>
            </w:r>
          </w:p>
        </w:tc>
        <w:tc>
          <w:tcPr>
            <w:tcW w:w="2115" w:type="dxa"/>
            <w:tcBorders>
              <w:top w:val="single" w:sz="6" w:space="0" w:color="auto"/>
              <w:left w:val="nil"/>
              <w:bottom w:val="single" w:sz="6" w:space="0" w:color="auto"/>
              <w:right w:val="single" w:sz="6" w:space="0" w:color="auto"/>
            </w:tcBorders>
          </w:tcPr>
          <w:p w14:paraId="683E2534"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CA76386"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5C329E05"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Luksemburga </w:t>
            </w:r>
          </w:p>
        </w:tc>
        <w:tc>
          <w:tcPr>
            <w:tcW w:w="982" w:type="dxa"/>
            <w:tcBorders>
              <w:top w:val="nil"/>
              <w:left w:val="nil"/>
              <w:bottom w:val="single" w:sz="6" w:space="0" w:color="auto"/>
              <w:right w:val="nil"/>
            </w:tcBorders>
            <w:vAlign w:val="center"/>
          </w:tcPr>
          <w:p w14:paraId="1CE50C2C"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LU </w:t>
            </w:r>
          </w:p>
        </w:tc>
        <w:tc>
          <w:tcPr>
            <w:tcW w:w="2115" w:type="dxa"/>
            <w:tcBorders>
              <w:top w:val="nil"/>
              <w:left w:val="nil"/>
              <w:bottom w:val="single" w:sz="6" w:space="0" w:color="auto"/>
              <w:right w:val="single" w:sz="6" w:space="0" w:color="auto"/>
            </w:tcBorders>
          </w:tcPr>
          <w:p w14:paraId="1A10AC1C"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AB9D973"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0CA1CBBF"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Ungārija </w:t>
            </w:r>
          </w:p>
        </w:tc>
        <w:tc>
          <w:tcPr>
            <w:tcW w:w="982" w:type="dxa"/>
            <w:tcBorders>
              <w:top w:val="nil"/>
              <w:left w:val="nil"/>
              <w:bottom w:val="single" w:sz="6" w:space="0" w:color="auto"/>
              <w:right w:val="nil"/>
            </w:tcBorders>
            <w:vAlign w:val="center"/>
          </w:tcPr>
          <w:p w14:paraId="36121D7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HU </w:t>
            </w:r>
          </w:p>
        </w:tc>
        <w:tc>
          <w:tcPr>
            <w:tcW w:w="2115" w:type="dxa"/>
            <w:tcBorders>
              <w:top w:val="nil"/>
              <w:left w:val="nil"/>
              <w:bottom w:val="single" w:sz="6" w:space="0" w:color="auto"/>
              <w:right w:val="single" w:sz="6" w:space="0" w:color="auto"/>
            </w:tcBorders>
          </w:tcPr>
          <w:p w14:paraId="7001A8E9"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B7BAED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16D7CC59"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Malta </w:t>
            </w:r>
          </w:p>
        </w:tc>
        <w:tc>
          <w:tcPr>
            <w:tcW w:w="982" w:type="dxa"/>
            <w:tcBorders>
              <w:top w:val="nil"/>
              <w:left w:val="nil"/>
              <w:bottom w:val="single" w:sz="6" w:space="0" w:color="auto"/>
              <w:right w:val="nil"/>
            </w:tcBorders>
            <w:vAlign w:val="center"/>
          </w:tcPr>
          <w:p w14:paraId="6FC73551"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MT </w:t>
            </w:r>
          </w:p>
        </w:tc>
        <w:tc>
          <w:tcPr>
            <w:tcW w:w="2115" w:type="dxa"/>
            <w:tcBorders>
              <w:top w:val="nil"/>
              <w:left w:val="nil"/>
              <w:bottom w:val="single" w:sz="6" w:space="0" w:color="auto"/>
              <w:right w:val="single" w:sz="6" w:space="0" w:color="auto"/>
            </w:tcBorders>
          </w:tcPr>
          <w:p w14:paraId="48554D1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9F120CE"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22EF6A7D"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Nīderlande </w:t>
            </w:r>
          </w:p>
        </w:tc>
        <w:tc>
          <w:tcPr>
            <w:tcW w:w="982" w:type="dxa"/>
            <w:tcBorders>
              <w:top w:val="nil"/>
              <w:left w:val="nil"/>
              <w:bottom w:val="single" w:sz="6" w:space="0" w:color="auto"/>
              <w:right w:val="nil"/>
            </w:tcBorders>
            <w:vAlign w:val="center"/>
          </w:tcPr>
          <w:p w14:paraId="55D504F7"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NL </w:t>
            </w:r>
          </w:p>
        </w:tc>
        <w:tc>
          <w:tcPr>
            <w:tcW w:w="2115" w:type="dxa"/>
            <w:tcBorders>
              <w:top w:val="nil"/>
              <w:left w:val="nil"/>
              <w:bottom w:val="single" w:sz="6" w:space="0" w:color="auto"/>
              <w:right w:val="single" w:sz="6" w:space="0" w:color="auto"/>
            </w:tcBorders>
          </w:tcPr>
          <w:p w14:paraId="682C637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4FF3ECF"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02843E61"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Austrija </w:t>
            </w:r>
          </w:p>
        </w:tc>
        <w:tc>
          <w:tcPr>
            <w:tcW w:w="982" w:type="dxa"/>
            <w:tcBorders>
              <w:top w:val="nil"/>
              <w:left w:val="nil"/>
              <w:bottom w:val="single" w:sz="6" w:space="0" w:color="auto"/>
              <w:right w:val="nil"/>
            </w:tcBorders>
            <w:vAlign w:val="center"/>
          </w:tcPr>
          <w:p w14:paraId="2659C3E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AT </w:t>
            </w:r>
          </w:p>
        </w:tc>
        <w:tc>
          <w:tcPr>
            <w:tcW w:w="2115" w:type="dxa"/>
            <w:tcBorders>
              <w:top w:val="nil"/>
              <w:left w:val="nil"/>
              <w:bottom w:val="single" w:sz="6" w:space="0" w:color="auto"/>
              <w:right w:val="single" w:sz="6" w:space="0" w:color="auto"/>
            </w:tcBorders>
          </w:tcPr>
          <w:p w14:paraId="5CBDB616"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68564EA1"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7F197CB6"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Polija </w:t>
            </w:r>
          </w:p>
        </w:tc>
        <w:tc>
          <w:tcPr>
            <w:tcW w:w="982" w:type="dxa"/>
            <w:tcBorders>
              <w:top w:val="nil"/>
              <w:left w:val="nil"/>
              <w:bottom w:val="single" w:sz="6" w:space="0" w:color="auto"/>
              <w:right w:val="nil"/>
            </w:tcBorders>
            <w:vAlign w:val="center"/>
          </w:tcPr>
          <w:p w14:paraId="0FD25984"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PL </w:t>
            </w:r>
          </w:p>
        </w:tc>
        <w:tc>
          <w:tcPr>
            <w:tcW w:w="2115" w:type="dxa"/>
            <w:tcBorders>
              <w:top w:val="nil"/>
              <w:left w:val="nil"/>
              <w:bottom w:val="single" w:sz="6" w:space="0" w:color="auto"/>
              <w:right w:val="single" w:sz="6" w:space="0" w:color="auto"/>
            </w:tcBorders>
          </w:tcPr>
          <w:p w14:paraId="13C0D920"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270803FD"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5213648F"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Portugāle </w:t>
            </w:r>
          </w:p>
        </w:tc>
        <w:tc>
          <w:tcPr>
            <w:tcW w:w="982" w:type="dxa"/>
            <w:tcBorders>
              <w:top w:val="nil"/>
              <w:left w:val="nil"/>
              <w:bottom w:val="single" w:sz="6" w:space="0" w:color="auto"/>
              <w:right w:val="nil"/>
            </w:tcBorders>
            <w:vAlign w:val="center"/>
          </w:tcPr>
          <w:p w14:paraId="4D059545"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PT </w:t>
            </w:r>
          </w:p>
        </w:tc>
        <w:tc>
          <w:tcPr>
            <w:tcW w:w="2115" w:type="dxa"/>
            <w:tcBorders>
              <w:top w:val="nil"/>
              <w:left w:val="nil"/>
              <w:bottom w:val="single" w:sz="6" w:space="0" w:color="auto"/>
              <w:right w:val="single" w:sz="6" w:space="0" w:color="auto"/>
            </w:tcBorders>
          </w:tcPr>
          <w:p w14:paraId="6A3C514E"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53D8118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798DD4E7"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Rumānija </w:t>
            </w:r>
          </w:p>
        </w:tc>
        <w:tc>
          <w:tcPr>
            <w:tcW w:w="982" w:type="dxa"/>
            <w:tcBorders>
              <w:top w:val="nil"/>
              <w:left w:val="nil"/>
              <w:bottom w:val="single" w:sz="6" w:space="0" w:color="auto"/>
              <w:right w:val="nil"/>
            </w:tcBorders>
            <w:vAlign w:val="center"/>
          </w:tcPr>
          <w:p w14:paraId="512D938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RO </w:t>
            </w:r>
          </w:p>
        </w:tc>
        <w:tc>
          <w:tcPr>
            <w:tcW w:w="2115" w:type="dxa"/>
            <w:tcBorders>
              <w:top w:val="nil"/>
              <w:left w:val="nil"/>
              <w:bottom w:val="single" w:sz="6" w:space="0" w:color="auto"/>
              <w:right w:val="single" w:sz="6" w:space="0" w:color="auto"/>
            </w:tcBorders>
          </w:tcPr>
          <w:p w14:paraId="5C80CA27"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5A4DAF3A"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232586AB"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Slovēnija </w:t>
            </w:r>
          </w:p>
        </w:tc>
        <w:tc>
          <w:tcPr>
            <w:tcW w:w="982" w:type="dxa"/>
            <w:tcBorders>
              <w:top w:val="nil"/>
              <w:left w:val="nil"/>
              <w:bottom w:val="single" w:sz="6" w:space="0" w:color="auto"/>
              <w:right w:val="nil"/>
            </w:tcBorders>
            <w:vAlign w:val="center"/>
          </w:tcPr>
          <w:p w14:paraId="71AC160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SI </w:t>
            </w:r>
          </w:p>
        </w:tc>
        <w:tc>
          <w:tcPr>
            <w:tcW w:w="2115" w:type="dxa"/>
            <w:tcBorders>
              <w:top w:val="nil"/>
              <w:left w:val="nil"/>
              <w:bottom w:val="single" w:sz="6" w:space="0" w:color="auto"/>
              <w:right w:val="single" w:sz="6" w:space="0" w:color="auto"/>
            </w:tcBorders>
          </w:tcPr>
          <w:p w14:paraId="71D6D8F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127C51BF"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714832E3"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Slovākija </w:t>
            </w:r>
          </w:p>
        </w:tc>
        <w:tc>
          <w:tcPr>
            <w:tcW w:w="982" w:type="dxa"/>
            <w:tcBorders>
              <w:top w:val="nil"/>
              <w:left w:val="nil"/>
              <w:bottom w:val="single" w:sz="6" w:space="0" w:color="auto"/>
              <w:right w:val="nil"/>
            </w:tcBorders>
            <w:vAlign w:val="center"/>
          </w:tcPr>
          <w:p w14:paraId="79D5211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SK </w:t>
            </w:r>
          </w:p>
        </w:tc>
        <w:tc>
          <w:tcPr>
            <w:tcW w:w="2115" w:type="dxa"/>
            <w:tcBorders>
              <w:top w:val="nil"/>
              <w:left w:val="nil"/>
              <w:bottom w:val="single" w:sz="6" w:space="0" w:color="auto"/>
              <w:right w:val="single" w:sz="6" w:space="0" w:color="auto"/>
            </w:tcBorders>
          </w:tcPr>
          <w:p w14:paraId="0063DF5B"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56690AB"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4658BBE5"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Somija </w:t>
            </w:r>
          </w:p>
        </w:tc>
        <w:tc>
          <w:tcPr>
            <w:tcW w:w="982" w:type="dxa"/>
            <w:tcBorders>
              <w:top w:val="nil"/>
              <w:left w:val="nil"/>
              <w:bottom w:val="single" w:sz="6" w:space="0" w:color="auto"/>
              <w:right w:val="nil"/>
            </w:tcBorders>
            <w:vAlign w:val="center"/>
          </w:tcPr>
          <w:p w14:paraId="552D082E"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FI </w:t>
            </w:r>
          </w:p>
        </w:tc>
        <w:tc>
          <w:tcPr>
            <w:tcW w:w="2115" w:type="dxa"/>
            <w:tcBorders>
              <w:top w:val="nil"/>
              <w:left w:val="nil"/>
              <w:bottom w:val="single" w:sz="6" w:space="0" w:color="auto"/>
              <w:right w:val="single" w:sz="6" w:space="0" w:color="auto"/>
            </w:tcBorders>
          </w:tcPr>
          <w:p w14:paraId="3B9F9D69"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CDC18B7"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7AC8F3EB"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Zviedrija </w:t>
            </w:r>
          </w:p>
        </w:tc>
        <w:tc>
          <w:tcPr>
            <w:tcW w:w="982" w:type="dxa"/>
            <w:tcBorders>
              <w:top w:val="nil"/>
              <w:left w:val="nil"/>
              <w:bottom w:val="single" w:sz="6" w:space="0" w:color="auto"/>
              <w:right w:val="nil"/>
            </w:tcBorders>
            <w:vAlign w:val="center"/>
          </w:tcPr>
          <w:p w14:paraId="0A426BB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SE </w:t>
            </w:r>
          </w:p>
        </w:tc>
        <w:tc>
          <w:tcPr>
            <w:tcW w:w="2115" w:type="dxa"/>
            <w:tcBorders>
              <w:top w:val="nil"/>
              <w:left w:val="nil"/>
              <w:bottom w:val="single" w:sz="6" w:space="0" w:color="auto"/>
              <w:right w:val="single" w:sz="6" w:space="0" w:color="auto"/>
            </w:tcBorders>
          </w:tcPr>
          <w:p w14:paraId="312A3FBE"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bl>
    <w:p w14:paraId="62AD0343" w14:textId="77777777" w:rsidR="00CA535F" w:rsidRPr="00E3367E" w:rsidRDefault="00345126" w:rsidP="00CF2E9C">
      <w:pPr>
        <w:pStyle w:val="Heading1"/>
        <w:spacing w:before="0" w:after="240"/>
        <w:ind w:left="0" w:firstLine="0"/>
        <w:rPr>
          <w:noProof/>
        </w:rPr>
      </w:pPr>
      <w:bookmarkStart w:id="3" w:name="_Toc78461423"/>
      <w:bookmarkStart w:id="4" w:name="_Toc85632460"/>
      <w:r>
        <w:rPr>
          <w:noProof/>
        </w:rPr>
        <w:t>Ievads</w:t>
      </w:r>
      <w:bookmarkEnd w:id="0"/>
      <w:bookmarkEnd w:id="3"/>
      <w:bookmarkEnd w:id="4"/>
    </w:p>
    <w:p w14:paraId="226318ED" w14:textId="77777777" w:rsidR="00CA535F" w:rsidRPr="00F34DFA" w:rsidRDefault="00345126" w:rsidP="00CF2E9C">
      <w:pPr>
        <w:pStyle w:val="Heading2"/>
        <w:spacing w:before="0" w:after="240"/>
        <w:ind w:left="0" w:firstLine="0"/>
        <w:rPr>
          <w:noProof/>
        </w:rPr>
      </w:pPr>
      <w:bookmarkStart w:id="5" w:name="_Toc78461424"/>
      <w:bookmarkStart w:id="6" w:name="_Toc85632461"/>
      <w:r>
        <w:rPr>
          <w:noProof/>
        </w:rPr>
        <w:t>Direktīvas konteksts un mērķi</w:t>
      </w:r>
      <w:bookmarkEnd w:id="5"/>
      <w:bookmarkEnd w:id="6"/>
    </w:p>
    <w:p w14:paraId="4EC0120A" w14:textId="0A0C5058" w:rsidR="00FC78F5" w:rsidRPr="00E3367E" w:rsidRDefault="003B0833" w:rsidP="00CF2E9C">
      <w:pPr>
        <w:pStyle w:val="Text1"/>
        <w:spacing w:before="0" w:after="240"/>
        <w:ind w:left="0"/>
        <w:rPr>
          <w:noProof/>
        </w:rPr>
      </w:pPr>
      <w:r>
        <w:rPr>
          <w:noProof/>
        </w:rPr>
        <w:t>Pēc garām sarunām</w:t>
      </w:r>
      <w:r>
        <w:rPr>
          <w:rStyle w:val="FootnoteReference"/>
          <w:noProof/>
          <w:lang w:val="en-US"/>
        </w:rPr>
        <w:footnoteReference w:id="2"/>
      </w:r>
      <w:r>
        <w:rPr>
          <w:noProof/>
        </w:rPr>
        <w:t xml:space="preserve"> Eiropas Parlaments un Padome 2019. gada 17. aprīlī pieņēma Direktīvu (ES) 2019/633 par negodīgu tirdzniecības praksi starpuzņēmumu attiecībās lauksaimniecības un pārtikas piegādes ķēdē (turpmāk “direktīva”). Direktīva tika ieviesta saskaņā ar Līguma par Eiropas Savienības darbību 43. pantu ar mērķi aizliegt virkni negodīgas tirdzniecības prakses veidu, kuri galvenokārt ir saistīti ar ievērojamu līdzsvara trūkumu spējā aizstāvēt savas intereses piegādātāju un pircēju starpā un kuri krasi atšķiras no labas komercprakses</w:t>
      </w:r>
      <w:r>
        <w:rPr>
          <w:rStyle w:val="FootnoteReference"/>
          <w:noProof/>
          <w:lang w:val="en-US"/>
        </w:rPr>
        <w:footnoteReference w:id="3"/>
      </w:r>
      <w:r>
        <w:rPr>
          <w:noProof/>
        </w:rPr>
        <w:t>.</w:t>
      </w:r>
    </w:p>
    <w:p w14:paraId="3980F096" w14:textId="63CDBB32" w:rsidR="00800C81" w:rsidRPr="00E3367E" w:rsidRDefault="7B58F987" w:rsidP="00CF2E9C">
      <w:pPr>
        <w:pStyle w:val="Text1"/>
        <w:spacing w:before="0" w:after="240"/>
        <w:ind w:left="0"/>
        <w:rPr>
          <w:noProof/>
        </w:rPr>
      </w:pPr>
      <w:r>
        <w:rPr>
          <w:noProof/>
        </w:rPr>
        <w:t>Direktīva ņem vērā negodīgas tirdzniecības prakses negatīvo ietekmi uz lauksaimniekiem gan kā šīs prakses tiešajiem upuriem, gan kā tās “domino efekta” netiešajiem upuriem, kad tā tiek izmantota ķēdes lejupējos posmos</w:t>
      </w:r>
      <w:r>
        <w:rPr>
          <w:rStyle w:val="FootnoteReference"/>
          <w:noProof/>
          <w:lang w:val="en-US"/>
        </w:rPr>
        <w:footnoteReference w:id="4"/>
      </w:r>
      <w:r>
        <w:rPr>
          <w:noProof/>
        </w:rPr>
        <w:t>. Kaut arī lielākā daļa dalībvalstu bija pieņēmušas valstu tiesību aktus vai veicināja dažādus privātā sektora noteikumus krietnu laiku pirms direktīvas, šā tiesiskā regulējuma sadrumstalotība norādīja uz iespējamo ieguvumu no noteikumu pieņemšanas ES līmenī</w:t>
      </w:r>
      <w:r>
        <w:rPr>
          <w:rStyle w:val="FootnoteReference"/>
          <w:noProof/>
          <w:lang w:val="en-US"/>
        </w:rPr>
        <w:footnoteReference w:id="5"/>
      </w:r>
      <w:r>
        <w:rPr>
          <w:noProof/>
        </w:rPr>
        <w:t xml:space="preserve">.  </w:t>
      </w:r>
    </w:p>
    <w:p w14:paraId="13E124A8" w14:textId="5C1DE041" w:rsidR="004D05D4" w:rsidRPr="00E3367E" w:rsidRDefault="00800C81" w:rsidP="00CF2E9C">
      <w:pPr>
        <w:pStyle w:val="Text1"/>
        <w:spacing w:before="0" w:after="240"/>
        <w:ind w:left="0"/>
        <w:rPr>
          <w:noProof/>
        </w:rPr>
      </w:pPr>
      <w:r>
        <w:rPr>
          <w:noProof/>
        </w:rPr>
        <w:t xml:space="preserve">Direktīva ir saistoša visām 27 dalībvalstīm. Tā paredz minimālo saskaņošanas līmeni, proti, nosaka sarakstu ar aizliegtas negodīgas tirdzniecības prakses veidiem starp pircējiem un piegādātājiem lauksaimniecības un pārtikas piegādes ķēdē. Tajā ir paredzēti arī minimālie noteikumi par tās piemērošanas jomu un galvenajām definīcijām, kā arī par šo aizliegumu izpildi un koordināciju starp dažādo dalībvalstu izpildiestādēm. Dalībvalstis var pieņemt vai paturēt valstu noteikumus, kuri sniedzas tālāk par direktīvā uzskaitītajiem negodīgas tirdzniecības prakses veidiem, ja šādi valstu noteikumi ir saderīgi ar noteikumiem par iekšējā tirgus darbību.    </w:t>
      </w:r>
    </w:p>
    <w:p w14:paraId="3F47EA2B" w14:textId="77777777" w:rsidR="00CA535F" w:rsidRPr="00F34DFA" w:rsidRDefault="00345126" w:rsidP="00CF2E9C">
      <w:pPr>
        <w:pStyle w:val="Heading2"/>
        <w:spacing w:before="0" w:after="240"/>
        <w:ind w:left="0" w:firstLine="0"/>
        <w:rPr>
          <w:noProof/>
        </w:rPr>
      </w:pPr>
      <w:bookmarkStart w:id="7" w:name="_Toc78461425"/>
      <w:bookmarkStart w:id="8" w:name="_Toc85632462"/>
      <w:r>
        <w:rPr>
          <w:noProof/>
        </w:rPr>
        <w:t>Ziņojuma mērķis un tvērums</w:t>
      </w:r>
      <w:bookmarkEnd w:id="7"/>
      <w:bookmarkEnd w:id="8"/>
      <w:r>
        <w:rPr>
          <w:noProof/>
        </w:rPr>
        <w:t xml:space="preserve"> </w:t>
      </w:r>
    </w:p>
    <w:p w14:paraId="44EF42BF" w14:textId="7F9C1E9C" w:rsidR="00CA535F" w:rsidRPr="00E3367E" w:rsidRDefault="00DA72A6" w:rsidP="00CF2E9C">
      <w:pPr>
        <w:pStyle w:val="Text1"/>
        <w:spacing w:before="0" w:after="240"/>
        <w:ind w:left="0"/>
        <w:rPr>
          <w:noProof/>
        </w:rPr>
      </w:pPr>
      <w:r>
        <w:rPr>
          <w:noProof/>
        </w:rPr>
        <w:t xml:space="preserve">Direktīvas 13. pantā ir noteikts, ka dalībvalstīm līdz 2021. gada 1. maijam jāpieņem un jāpublicē normatīvie un administratīvie akti, kas vajadzīgi, lai izpildītu šīs direktīvas prasības. Tām nekavējoties jāpaziņo Komisijai šie pasākumi un jāpiemēro tie ne vēlāk kā 2021. gada 1. novembrī. </w:t>
      </w:r>
    </w:p>
    <w:p w14:paraId="16DDF3A1" w14:textId="752BB568" w:rsidR="617C5C57" w:rsidRPr="00D72408" w:rsidRDefault="79A85945" w:rsidP="00CF2E9C">
      <w:pPr>
        <w:pStyle w:val="Text1"/>
        <w:spacing w:before="0" w:after="240"/>
        <w:ind w:left="0"/>
        <w:rPr>
          <w:noProof/>
        </w:rPr>
      </w:pPr>
      <w:r>
        <w:rPr>
          <w:noProof/>
        </w:rPr>
        <w:t xml:space="preserve">Šajā ziņojumā ir atspoguļota pašreizējā situācija attiecībā uz 27 dalībvalstu veikto direktīvas transponēšanu (12. panta 4. punkts) un ņemti vērā visi paziņojumi, kurus Komisija saņēmusi līdz 2021. gada 31. jūlijam. Tomēr šajā ziņojumā nav sniegts transponēšanas pasākumu novērtējums. </w:t>
      </w:r>
    </w:p>
    <w:p w14:paraId="5BD822C1" w14:textId="77777777" w:rsidR="617C5C57" w:rsidRDefault="14A5B1E2" w:rsidP="00CF2E9C">
      <w:pPr>
        <w:pStyle w:val="Heading2"/>
        <w:spacing w:before="0" w:after="240"/>
        <w:ind w:left="0" w:firstLine="0"/>
        <w:rPr>
          <w:noProof/>
        </w:rPr>
      </w:pPr>
      <w:bookmarkStart w:id="9" w:name="_Toc78461426"/>
      <w:bookmarkStart w:id="10" w:name="_Toc85632463"/>
      <w:r>
        <w:rPr>
          <w:noProof/>
        </w:rPr>
        <w:t>Transponēšanas process</w:t>
      </w:r>
      <w:bookmarkEnd w:id="9"/>
      <w:bookmarkEnd w:id="10"/>
    </w:p>
    <w:p w14:paraId="0DBA39F5" w14:textId="7299E1FF" w:rsidR="617C5C57" w:rsidRPr="00250233" w:rsidRDefault="00D225F3" w:rsidP="00CF2E9C">
      <w:pPr>
        <w:pStyle w:val="Text1"/>
        <w:spacing w:before="0" w:after="240"/>
        <w:ind w:left="0"/>
        <w:rPr>
          <w:noProof/>
          <w:szCs w:val="24"/>
        </w:rPr>
      </w:pPr>
      <w:r>
        <w:rPr>
          <w:noProof/>
        </w:rPr>
        <w:t xml:space="preserve">Divu gadu laikā no direktīvas pieņemšanas 2019. gada aprīlī un līdz transponēšanas termiņa beigām 2021. gada maijā Komisija cieši sekoja dalībvalstu attiecīgajiem transponēšanas procesiem. Komisija organizēja četras tematiskās sanāksmes diskusijām par dalībvalstu īstenošanas lūgumiem, atbildēja uz aptuveni 50 individuālajiem rakstiskajiem īstenošanas lūgumiem un darīja tos pieejamus pārējām dalībvalstīm īpašā tīmekļa vietnē. Turklāt notika vairākas divpusējās sanāksmes un informācijas apmaiņas pasākumi, kā arī papildu sanāksme ar dalībvalstīm īsi pēc transponēšanas termiņa beigām nolūkā izvērtēt transponēšanu un ar to saistīto situāciju. </w:t>
      </w:r>
    </w:p>
    <w:p w14:paraId="3C4E1870" w14:textId="0A89F004" w:rsidR="617C5C57" w:rsidRPr="00250233" w:rsidRDefault="00E10275" w:rsidP="00CF2E9C">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Saskaņā ar 8. panta 3. punktu Komisija ir izveidojusi publisku tīmekļa vietni</w:t>
      </w:r>
      <w:r>
        <w:rPr>
          <w:rFonts w:ascii="Times New Roman" w:eastAsia="Times New Roman" w:hAnsi="Times New Roman" w:cs="Times New Roman"/>
          <w:noProof/>
          <w:sz w:val="24"/>
          <w:szCs w:val="24"/>
          <w:vertAlign w:val="superscript"/>
          <w:lang w:val="en-GB"/>
        </w:rPr>
        <w:footnoteReference w:id="6"/>
      </w:r>
      <w:r>
        <w:rPr>
          <w:rFonts w:ascii="Times New Roman" w:hAnsi="Times New Roman"/>
          <w:noProof/>
          <w:sz w:val="24"/>
          <w:szCs w:val="24"/>
        </w:rPr>
        <w:t>, kurā sniegta norīkoto valsts izpildiestāžu kontaktinformācija un saites uz to attiecīgajām tīmekļa vietnēm. Turklāt Komisija ir izveidojusi ierobežotas pieejamības tīmekļa vietni ar mērķi nodrošināt informācijas apmaiņu starp izpildiestādēm un Komisiju.</w:t>
      </w:r>
    </w:p>
    <w:p w14:paraId="1B0C4F84" w14:textId="77777777" w:rsidR="00CA535F" w:rsidRPr="00E3367E" w:rsidRDefault="00104304" w:rsidP="00CF2E9C">
      <w:pPr>
        <w:pStyle w:val="Heading1"/>
        <w:spacing w:before="0" w:after="240"/>
        <w:ind w:left="0" w:firstLine="0"/>
        <w:rPr>
          <w:noProof/>
        </w:rPr>
      </w:pPr>
      <w:bookmarkStart w:id="11" w:name="_Toc379988874"/>
      <w:bookmarkStart w:id="12" w:name="_Toc78461427"/>
      <w:bookmarkStart w:id="13" w:name="_Toc85632464"/>
      <w:r>
        <w:rPr>
          <w:noProof/>
        </w:rPr>
        <w:t>Vispārējs pārskats</w:t>
      </w:r>
      <w:bookmarkEnd w:id="11"/>
      <w:bookmarkEnd w:id="12"/>
      <w:bookmarkEnd w:id="13"/>
    </w:p>
    <w:p w14:paraId="425331BA" w14:textId="35D90316" w:rsidR="00CA535F" w:rsidRPr="00E3367E" w:rsidRDefault="00747065" w:rsidP="00CF2E9C">
      <w:pPr>
        <w:pStyle w:val="Text1"/>
        <w:spacing w:before="0" w:after="240"/>
        <w:ind w:left="0"/>
        <w:rPr>
          <w:noProof/>
        </w:rPr>
      </w:pPr>
      <w:r>
        <w:rPr>
          <w:noProof/>
        </w:rPr>
        <w:t>Saskaņā ar direktīvas 13. pantu dalībvalstīm tā bija jātransponē valstu tiesību aktos līdz 2021. gada 1. maijam.</w:t>
      </w:r>
    </w:p>
    <w:p w14:paraId="0CA77DF2" w14:textId="35604169" w:rsidR="00B8103F" w:rsidRPr="00E3367E" w:rsidRDefault="00747065" w:rsidP="00CF2E9C">
      <w:pPr>
        <w:pStyle w:val="Text1"/>
        <w:spacing w:before="0" w:after="240"/>
        <w:ind w:left="0"/>
        <w:rPr>
          <w:noProof/>
        </w:rPr>
      </w:pPr>
      <w:r>
        <w:rPr>
          <w:noProof/>
        </w:rPr>
        <w:t>Līdz 2021. gada 31. jūlijam 15 no 27 dalībvalstīm paziņoja Komisijai par saviem valsts īstenošanas pasākumiem, saskaņā ar kuriem direktīva bija pilnībā transponēta (BG, DK, EL, FI, IE, LV, NL, HR, HU, LU, DE, LT, MT, SE un SK)</w:t>
      </w:r>
      <w:r>
        <w:rPr>
          <w:rStyle w:val="FootnoteReference"/>
          <w:noProof/>
        </w:rPr>
        <w:footnoteReference w:id="7"/>
      </w:r>
      <w:r>
        <w:rPr>
          <w:noProof/>
        </w:rPr>
        <w:t>. Kaut arī Francija paziņoja Komisijai, ka direktīva līdz šim datumam bija tikai daļēji transponēta, tā arī ir iekļauta šā ziņojuma analīzē. Šis ziņojums koncentrējas uz minēto 16 dalībvalstu veikto transponēšanu; tādējādi turpmāk atsauces uz “dalībvalstīm” attiecas uz šīm 16 dalībvalstīm.</w:t>
      </w:r>
    </w:p>
    <w:p w14:paraId="10976A6F" w14:textId="1AA90CA7" w:rsidR="005E25E8" w:rsidRPr="00E3367E" w:rsidRDefault="24392576" w:rsidP="00CF2E9C">
      <w:pPr>
        <w:pStyle w:val="Text1"/>
        <w:spacing w:before="0" w:after="240"/>
        <w:ind w:left="0"/>
        <w:rPr>
          <w:noProof/>
        </w:rPr>
      </w:pPr>
      <w:r>
        <w:rPr>
          <w:noProof/>
        </w:rPr>
        <w:t>2021. gada 23. jūlijā Komisija, nosūtot oficiāla paziņojuma vēstules, uzsāka pārkāpuma procedūras pret tām 12 dalībvalstīm</w:t>
      </w:r>
      <w:r>
        <w:rPr>
          <w:rStyle w:val="FootnoteReference"/>
          <w:noProof/>
        </w:rPr>
        <w:footnoteReference w:id="8"/>
      </w:r>
      <w:r>
        <w:rPr>
          <w:noProof/>
        </w:rPr>
        <w:t>, kuras nebija paziņojušas par pilnīgu transponēšanu</w:t>
      </w:r>
      <w:r>
        <w:rPr>
          <w:rStyle w:val="FootnoteReference"/>
          <w:noProof/>
          <w:szCs w:val="24"/>
        </w:rPr>
        <w:footnoteReference w:id="9"/>
      </w:r>
      <w:r>
        <w:rPr>
          <w:rStyle w:val="FootnoteReference"/>
          <w:noProof/>
          <w:vertAlign w:val="baseline"/>
        </w:rPr>
        <w:t>.</w:t>
      </w:r>
      <w:r>
        <w:rPr>
          <w:rStyle w:val="FootnoteReference"/>
          <w:noProof/>
        </w:rPr>
        <w:t xml:space="preserve">  </w:t>
      </w:r>
    </w:p>
    <w:p w14:paraId="48CE38B9" w14:textId="76E7804A" w:rsidR="00BA4170" w:rsidRPr="00E3367E" w:rsidRDefault="002F04DE" w:rsidP="00CF2E9C">
      <w:pPr>
        <w:pStyle w:val="Text1"/>
        <w:spacing w:before="0" w:after="240"/>
        <w:ind w:left="0"/>
        <w:rPr>
          <w:noProof/>
        </w:rPr>
      </w:pPr>
      <w:bookmarkStart w:id="14" w:name="_Toc379988876"/>
      <w:r>
        <w:rPr>
          <w:noProof/>
        </w:rPr>
        <w:t>Astoņas dalībvalstis transponēja direktīvu, ieviešot jaunus un atsevišķus tiesību aktus</w:t>
      </w:r>
      <w:r>
        <w:rPr>
          <w:rStyle w:val="FootnoteReference"/>
          <w:noProof/>
        </w:rPr>
        <w:footnoteReference w:id="10"/>
      </w:r>
      <w:r>
        <w:rPr>
          <w:noProof/>
        </w:rPr>
        <w:t xml:space="preserve">. Šīm dalībvalstīm iepriekš nebija valsts noteikumu attiecībā uz negodīgu tirdzniecības praksi, izņemot Īriju. Pārējās astoņas dalībvalstis direktīvu ir transponējušas, izmantojot jau esošos tiesību aktus, grozot tos vai iekļaujot plašākā leģislatīvajā instrumentā. </w:t>
      </w:r>
    </w:p>
    <w:p w14:paraId="31C8A70C" w14:textId="7E7DED41" w:rsidR="00665C92" w:rsidRPr="00E3367E" w:rsidRDefault="008C4A75" w:rsidP="00CF2E9C">
      <w:pPr>
        <w:pStyle w:val="Text1"/>
        <w:spacing w:before="0" w:after="240"/>
        <w:ind w:left="0"/>
        <w:rPr>
          <w:noProof/>
        </w:rPr>
      </w:pPr>
      <w:r>
        <w:rPr>
          <w:noProof/>
        </w:rPr>
        <w:t>12 no 16 dalībvalstīm ir formāli kvalificējušas transponēšanas pasākumu kā tiesību aktus attiecībā uz negodīgu tirdzniecības praksi bez atsaucēm (šīs formālās kvalifikācijas ietvaros) uz tirgus vai konkurences tiesībām</w:t>
      </w:r>
      <w:r>
        <w:rPr>
          <w:rStyle w:val="FootnoteReference"/>
          <w:noProof/>
        </w:rPr>
        <w:footnoteReference w:id="11"/>
      </w:r>
      <w:r>
        <w:rPr>
          <w:noProof/>
        </w:rPr>
        <w:t>. Somija formāli kvalificēja likumdošanas instrumentu kā Tirgus aktu (paredzot papildu noteikumus par tirgus regulējumu, kā attiecībā uz nolīgumiem atbilstoši Regulai (ES) Nr. 1308/2013</w:t>
      </w:r>
      <w:r>
        <w:rPr>
          <w:rStyle w:val="FootnoteReference"/>
          <w:noProof/>
        </w:rPr>
        <w:footnoteReference w:id="12"/>
      </w:r>
      <w:r>
        <w:rPr>
          <w:noProof/>
        </w:rPr>
        <w:t>). Bulgārija ieviesa jaunu nodaļu (par negodīgu tirdzniecības praksi lauksaimniecības un pārtikas piegādes ķēdē) tās Konkurences aizsardzības aktā. Francija papildināja Komerckodeksa noteikumus, savukārt Vācija ir pievienojusi jaunu iedaļu Lauksaimniecības tirgus struktūras aktā (pašlaik zināms kā “Lauksaimniecības organizāciju un piegādes ķēžu stiprināšanas akts”). Izņemot Latviju, kuras noteikumi ietver arī aizliegumus, kas ir piemērojami nepārtikas preču mazumtirgotājiem, un Franciju, kuras veiktā transponēšana daļēji balstās uz jau esošajiem noteikumiem, kam ir vispārīgs (pretstatā agropārtikas nozarei) tvērums, visas pārējās dalībvalstis ir pieņēmušas nozaru tiesību aktus, kas tiek piemēroti tikai lauksaimniecības un pārtikas nozarei.</w:t>
      </w:r>
    </w:p>
    <w:p w14:paraId="6D4E754D" w14:textId="77777777" w:rsidR="00CA535F" w:rsidRPr="00E3367E" w:rsidRDefault="00104304" w:rsidP="00CF2E9C">
      <w:pPr>
        <w:pStyle w:val="Heading1"/>
        <w:spacing w:before="0" w:after="240"/>
        <w:ind w:left="0" w:firstLine="0"/>
        <w:rPr>
          <w:noProof/>
        </w:rPr>
      </w:pPr>
      <w:bookmarkStart w:id="15" w:name="_Toc78452816"/>
      <w:bookmarkStart w:id="16" w:name="_Toc78461428"/>
      <w:bookmarkStart w:id="17" w:name="_Toc85632465"/>
      <w:bookmarkEnd w:id="14"/>
      <w:bookmarkEnd w:id="15"/>
      <w:r>
        <w:rPr>
          <w:noProof/>
        </w:rPr>
        <w:t>Atsevišķi analīzes punkti</w:t>
      </w:r>
      <w:bookmarkStart w:id="18" w:name="_Toc379988879"/>
      <w:bookmarkEnd w:id="16"/>
      <w:bookmarkEnd w:id="17"/>
    </w:p>
    <w:p w14:paraId="75F70C5F" w14:textId="1DB9C1C5" w:rsidR="00CA535F" w:rsidRPr="00E3367E" w:rsidRDefault="00345126" w:rsidP="00CF2E9C">
      <w:pPr>
        <w:pStyle w:val="Heading2"/>
        <w:spacing w:before="0" w:after="240"/>
        <w:ind w:left="0" w:firstLine="0"/>
        <w:rPr>
          <w:noProof/>
        </w:rPr>
      </w:pPr>
      <w:bookmarkStart w:id="19" w:name="_Toc78461429"/>
      <w:bookmarkStart w:id="20" w:name="_Toc85632466"/>
      <w:r>
        <w:rPr>
          <w:noProof/>
        </w:rPr>
        <w:t>Piemērošanas joma un galvenās definīcijas (1. un 2. pants)</w:t>
      </w:r>
      <w:bookmarkEnd w:id="18"/>
      <w:bookmarkEnd w:id="19"/>
      <w:bookmarkEnd w:id="20"/>
    </w:p>
    <w:p w14:paraId="21A28D07" w14:textId="77777777" w:rsidR="000C327B" w:rsidRPr="00E3367E" w:rsidRDefault="000C327B" w:rsidP="00CF2E9C">
      <w:pPr>
        <w:pStyle w:val="Text1"/>
        <w:spacing w:before="0" w:after="240"/>
        <w:ind w:left="0"/>
        <w:rPr>
          <w:noProof/>
          <w:szCs w:val="24"/>
        </w:rPr>
      </w:pPr>
      <w:r>
        <w:rPr>
          <w:noProof/>
        </w:rPr>
        <w:t>Analizējot piemērošanas jomu, trīs aspekti ir īpaši svarīgi:</w:t>
      </w:r>
    </w:p>
    <w:p w14:paraId="74090A66" w14:textId="77777777" w:rsidR="000C327B" w:rsidRPr="00E3367E" w:rsidRDefault="000C327B" w:rsidP="00CF2E9C">
      <w:pPr>
        <w:pStyle w:val="Text1"/>
        <w:numPr>
          <w:ilvl w:val="0"/>
          <w:numId w:val="11"/>
        </w:numPr>
        <w:spacing w:before="0" w:after="240"/>
        <w:rPr>
          <w:noProof/>
        </w:rPr>
      </w:pPr>
      <w:r>
        <w:rPr>
          <w:noProof/>
        </w:rPr>
        <w:t>aptverto agropārtikas piegādes ķēdes tirgus dalībnieku veids un attiecību veids, uz kuru attiecas likumdošanas pasākumi,</w:t>
      </w:r>
    </w:p>
    <w:p w14:paraId="19E0E87D" w14:textId="77777777" w:rsidR="000C327B" w:rsidRPr="00E3367E" w:rsidRDefault="000C327B" w:rsidP="0BC2E3BC">
      <w:pPr>
        <w:pStyle w:val="Text1"/>
        <w:numPr>
          <w:ilvl w:val="0"/>
          <w:numId w:val="11"/>
        </w:numPr>
        <w:spacing w:before="0" w:after="240"/>
        <w:rPr>
          <w:noProof/>
        </w:rPr>
      </w:pPr>
      <w:r>
        <w:rPr>
          <w:noProof/>
        </w:rPr>
        <w:t>uzņēmuma lieluma nozīme kā atsauce uz piemērošanas jomu,</w:t>
      </w:r>
    </w:p>
    <w:p w14:paraId="6443B995" w14:textId="4D49B664" w:rsidR="00CA535F" w:rsidRPr="00E3367E" w:rsidRDefault="000C327B" w:rsidP="0BC2E3BC">
      <w:pPr>
        <w:pStyle w:val="Text1"/>
        <w:numPr>
          <w:ilvl w:val="0"/>
          <w:numId w:val="11"/>
        </w:numPr>
        <w:spacing w:before="0" w:after="240"/>
        <w:rPr>
          <w:noProof/>
        </w:rPr>
      </w:pPr>
      <w:r>
        <w:rPr>
          <w:noProof/>
        </w:rPr>
        <w:t xml:space="preserve">teritoriālā darbības joma īstenošanas pasākumu piemērošanai.  </w:t>
      </w:r>
    </w:p>
    <w:p w14:paraId="15336F7C" w14:textId="77777777" w:rsidR="000C327B" w:rsidRPr="00CF2E9C" w:rsidRDefault="000C327B" w:rsidP="00CF2E9C">
      <w:pPr>
        <w:pStyle w:val="Heading3"/>
        <w:tabs>
          <w:tab w:val="clear" w:pos="1842"/>
          <w:tab w:val="num" w:pos="851"/>
        </w:tabs>
        <w:spacing w:before="0" w:after="240"/>
        <w:ind w:left="0" w:firstLine="0"/>
        <w:rPr>
          <w:b/>
          <w:i w:val="0"/>
          <w:noProof/>
        </w:rPr>
      </w:pPr>
      <w:bookmarkStart w:id="21" w:name="_Toc78461430"/>
      <w:bookmarkStart w:id="22" w:name="_Toc85632467"/>
      <w:r>
        <w:rPr>
          <w:b/>
          <w:i w:val="0"/>
          <w:noProof/>
        </w:rPr>
        <w:t>Ķēdes tirgus dalībnieki un piegādes attiecības</w:t>
      </w:r>
      <w:bookmarkEnd w:id="21"/>
      <w:bookmarkEnd w:id="22"/>
    </w:p>
    <w:p w14:paraId="7148A02A" w14:textId="2CFE1294" w:rsidR="00F75667" w:rsidRPr="00E3367E" w:rsidRDefault="00B075D9" w:rsidP="00CF2E9C">
      <w:pPr>
        <w:pStyle w:val="Text1"/>
        <w:spacing w:before="0" w:after="240"/>
        <w:ind w:left="0"/>
        <w:rPr>
          <w:noProof/>
        </w:rPr>
      </w:pPr>
      <w:r>
        <w:rPr>
          <w:noProof/>
        </w:rPr>
        <w:t>14 dalībvalstis ir noteikušas īstenošanas pasākuma piemērošanas jomu, ņemot vērā attiecības starp lauksaimniecības un pārtikas produktu piegādātājiem un pircējiem, kā noteikts direktīvā</w:t>
      </w:r>
      <w:r>
        <w:rPr>
          <w:rStyle w:val="FootnoteReference"/>
          <w:noProof/>
        </w:rPr>
        <w:footnoteReference w:id="13"/>
      </w:r>
      <w:r>
        <w:rPr>
          <w:noProof/>
        </w:rPr>
        <w:t xml:space="preserve">. Šādas attiecības var notikt jebkurā piegādes ķēdes posmā un ietvert jebkura veida agropārtikas produktu pircēju – gan pārstrādātāju, gan mazumtirgotāju. </w:t>
      </w:r>
    </w:p>
    <w:p w14:paraId="0A356D56" w14:textId="424EAB03" w:rsidR="00B063A3" w:rsidRPr="00E3367E" w:rsidRDefault="27954071" w:rsidP="00CF2E9C">
      <w:pPr>
        <w:pStyle w:val="Text1"/>
        <w:spacing w:before="0" w:after="240"/>
        <w:ind w:left="0"/>
        <w:rPr>
          <w:noProof/>
        </w:rPr>
      </w:pPr>
      <w:r>
        <w:rPr>
          <w:noProof/>
        </w:rPr>
        <w:t xml:space="preserve">Vienā gadījumā (HU) paziņotie tiesību akti šķietami ierobežo to piemērošanas jomu līdz tirgotājiem, kuri “darbojas kā tādu lauksaimniecības un pārtikas produktu tālākpārdevēji, kuri tiešā vai netiešā veidā nemainīti un </w:t>
      </w:r>
      <w:r>
        <w:rPr>
          <w:i/>
          <w:iCs/>
          <w:noProof/>
        </w:rPr>
        <w:t>nepārstrādāti</w:t>
      </w:r>
      <w:r>
        <w:rPr>
          <w:noProof/>
        </w:rPr>
        <w:t xml:space="preserve"> ir nopirkti no piegādātājiem peļņu nesošas uzņēmējdarbības ietvaros” (izcēlums ir pievienots). Tādējādi tie lauksaimniecības produktu pircēji, kuri nodarbojas ar pārstrādi pirms produktu tālākpārdošanas, ir izslēgti no piemērošanas jomas. </w:t>
      </w:r>
    </w:p>
    <w:p w14:paraId="3EB03C4E" w14:textId="23AC3FE3" w:rsidR="000C327B" w:rsidRPr="00E3367E" w:rsidRDefault="00A36072" w:rsidP="00CF2E9C">
      <w:pPr>
        <w:pStyle w:val="Text1"/>
        <w:spacing w:before="0" w:after="240"/>
        <w:ind w:left="0"/>
        <w:rPr>
          <w:noProof/>
          <w:szCs w:val="24"/>
        </w:rPr>
      </w:pPr>
      <w:r>
        <w:rPr>
          <w:noProof/>
        </w:rPr>
        <w:t xml:space="preserve">Latvija ir paplašinājusi piemērošanas jomu, tajā iekļaujot attiecības starp nepārtikas preču piegādātājiem un mazumtirgotājiem (tikai); atsevišķs negodīgas prakses veidu saraksts tiek piemērots attiecībā uz mazumtirgotājiem.  </w:t>
      </w:r>
    </w:p>
    <w:p w14:paraId="0A0661CB" w14:textId="5F036BB4" w:rsidR="00F75667" w:rsidRPr="00E3367E" w:rsidRDefault="00405B5B" w:rsidP="00CF2E9C">
      <w:pPr>
        <w:pStyle w:val="Text1"/>
        <w:spacing w:before="0" w:after="240"/>
        <w:ind w:left="0"/>
        <w:rPr>
          <w:noProof/>
          <w:szCs w:val="24"/>
        </w:rPr>
      </w:pPr>
      <w:r>
        <w:rPr>
          <w:noProof/>
        </w:rPr>
        <w:t>Neviena dalībvalsts nav nepārprotami paplašinājusi piemērošanas jomu uz citiem piegādes attiecību veidiem, piemēram, tiem, kas galvenokārt attiecas uz tādu izejmateriālu piegādi, kuri nav agropārtikas produkti saskaņā ar direktīvu (piemēram, mēslošanas līdzekļi)</w:t>
      </w:r>
      <w:r>
        <w:rPr>
          <w:rStyle w:val="FootnoteReference"/>
          <w:noProof/>
        </w:rPr>
        <w:footnoteReference w:id="14"/>
      </w:r>
      <w:r>
        <w:rPr>
          <w:noProof/>
        </w:rPr>
        <w:t>, vai pakalpojumiem, uz kuriem direktīva neattiecas (piemēram, digitālie pakalpojumi).</w:t>
      </w:r>
    </w:p>
    <w:p w14:paraId="31E259FA" w14:textId="77777777" w:rsidR="00344B84" w:rsidRPr="00CF2E9C" w:rsidRDefault="00344B84" w:rsidP="00CF2E9C">
      <w:pPr>
        <w:pStyle w:val="Heading3"/>
        <w:tabs>
          <w:tab w:val="clear" w:pos="1842"/>
          <w:tab w:val="num" w:pos="851"/>
        </w:tabs>
        <w:spacing w:before="0" w:after="240"/>
        <w:ind w:left="0" w:firstLine="0"/>
        <w:rPr>
          <w:b/>
          <w:i w:val="0"/>
          <w:noProof/>
        </w:rPr>
      </w:pPr>
      <w:bookmarkStart w:id="23" w:name="_Toc78461431"/>
      <w:bookmarkStart w:id="24" w:name="_Toc85632468"/>
      <w:r>
        <w:rPr>
          <w:b/>
          <w:i w:val="0"/>
          <w:noProof/>
        </w:rPr>
        <w:t>Piemērošanas joma un uzņēmuma lielums</w:t>
      </w:r>
      <w:bookmarkEnd w:id="23"/>
      <w:bookmarkEnd w:id="24"/>
    </w:p>
    <w:p w14:paraId="53A28C42" w14:textId="67577328" w:rsidR="00495766" w:rsidRPr="00E3367E" w:rsidRDefault="000779BB" w:rsidP="00CF2E9C">
      <w:pPr>
        <w:pStyle w:val="Text1"/>
        <w:spacing w:before="0" w:after="240"/>
        <w:ind w:left="0"/>
        <w:rPr>
          <w:noProof/>
        </w:rPr>
      </w:pPr>
      <w:r>
        <w:rPr>
          <w:noProof/>
        </w:rPr>
        <w:t>Izņemot Franciju un Slovākiju, visas dalībvalstis zināmā mērā atsaucas uz uzņēmuma lielumu kā kritēriju pieņemto tiesību aktu vai to daļu piemērošanas jomas ierobežošanai. Tomēr piecas no šīm valstīm (BG, IE, LU, MT un NL) ir pieņēmušas direktīvā noteikto pieeju, kas skar attiecības starp piegādātājiem, kuru gada apgrozījums ir zemāks par noteikto slieksni, un pircējiem, kuru gada apgrozījums ir augstāks par to pašu slieksni. Pārējās deviņas dalībvalstis piemērošanas jomu ir paplašinājušas atšķirīgos apmēros.</w:t>
      </w:r>
    </w:p>
    <w:p w14:paraId="73AF2AA1" w14:textId="7AF2FB30" w:rsidR="001119C4" w:rsidRDefault="00832D43" w:rsidP="007A4A0A">
      <w:pPr>
        <w:pStyle w:val="Text1"/>
        <w:spacing w:after="240"/>
        <w:ind w:left="0"/>
        <w:rPr>
          <w:noProof/>
        </w:rPr>
      </w:pPr>
      <w:r>
        <w:rPr>
          <w:noProof/>
        </w:rPr>
        <w:t>Grieķija ir pazeminājusi pirmo slieksni no 2 miljoniem EUR līdz 500 000 EUR. Ungārija, Latvija un Zviedrija ir ņēmušas vērā tikai pircēja lielumu un piemērojušas tiesību aktus visiem pircējiem, kuru apgrozījums pārsniedz 2 miljonus EUR</w:t>
      </w:r>
      <w:r>
        <w:rPr>
          <w:rStyle w:val="FootnoteReference"/>
          <w:noProof/>
        </w:rPr>
        <w:footnoteReference w:id="15"/>
      </w:r>
      <w:r>
        <w:rPr>
          <w:noProof/>
        </w:rPr>
        <w:t>. Somija ir izmantojusi tādu pašu pieeju; tomēr tās tiesību akti netiek piemēroti, ja piegādātāja apgrozījums pārsniedz pircēja apgrozījumu, un jebkurā gadījumā, ja tas pārsniedz 350 miljonus EUR. Vācijā tiek piemēroti direktīvas sliekšņi, bet ir ieviests plašāks pagaidu piemērojums vairāku pārtikas un lauksaimniecības produktu pārdošanai</w:t>
      </w:r>
      <w:r>
        <w:rPr>
          <w:rStyle w:val="FootnoteReference"/>
          <w:noProof/>
        </w:rPr>
        <w:footnoteReference w:id="16"/>
      </w:r>
      <w:r>
        <w:rPr>
          <w:noProof/>
        </w:rPr>
        <w:t xml:space="preserve">, savukārt Lietuvā paplašinājums attiecas tikai uz noteikumiem par maksājumu kavējumiem un tiek piemērots visiem pircējiem, un sniedz labumu piegādātājiem, kuru apgrozījums nepārsniedz 350 000 EUR. Turpretī </w:t>
      </w:r>
      <w:r>
        <w:rPr>
          <w:noProof/>
          <w:color w:val="20124D"/>
        </w:rPr>
        <w:t>Dānijā un Ungārijā</w:t>
      </w:r>
      <w:r>
        <w:rPr>
          <w:noProof/>
        </w:rPr>
        <w:t xml:space="preserve"> uzņēmuma lielums attiecas tikai uz noteiktiem negodīgas tirdzniecības prakses aizliegumiem, bet visi pārējie noteikumi tiek piemēroti neatkarīgi no uzņēmuma lieluma.</w:t>
      </w:r>
    </w:p>
    <w:p w14:paraId="73675AA7" w14:textId="77777777" w:rsidR="00495766" w:rsidRPr="007A4A0A" w:rsidRDefault="00984426" w:rsidP="0073414B">
      <w:pPr>
        <w:pStyle w:val="Heading3"/>
        <w:tabs>
          <w:tab w:val="clear" w:pos="1842"/>
          <w:tab w:val="num" w:pos="851"/>
        </w:tabs>
        <w:spacing w:before="0" w:after="240"/>
        <w:ind w:left="0" w:firstLine="0"/>
        <w:rPr>
          <w:b/>
          <w:i w:val="0"/>
          <w:noProof/>
        </w:rPr>
      </w:pPr>
      <w:bookmarkStart w:id="25" w:name="_Toc78461432"/>
      <w:bookmarkStart w:id="26" w:name="_Toc85632469"/>
      <w:r>
        <w:rPr>
          <w:b/>
          <w:i w:val="0"/>
          <w:noProof/>
        </w:rPr>
        <w:t>Teritoriālā darbības joma</w:t>
      </w:r>
      <w:bookmarkEnd w:id="25"/>
      <w:bookmarkEnd w:id="26"/>
    </w:p>
    <w:p w14:paraId="5F0DB50C" w14:textId="7D5571F5" w:rsidR="00AF61B4" w:rsidRDefault="0095390B" w:rsidP="00CF2E9C">
      <w:pPr>
        <w:pStyle w:val="Text1"/>
        <w:spacing w:before="0" w:after="240"/>
        <w:ind w:left="0"/>
        <w:rPr>
          <w:noProof/>
        </w:rPr>
      </w:pPr>
      <w:r>
        <w:rPr>
          <w:noProof/>
        </w:rPr>
        <w:t>Vairums dalībvalstu ir ievērojušas direktīvas 1. panta 2. punktā noteikto pieeju, paredzot, ka noteikumi tiek piemēroti pārdošanas darījumiem, kuros vai nu piegādātājs, vai pircējs (vai abi) veic uzņēmējdarbību ES</w:t>
      </w:r>
      <w:r>
        <w:rPr>
          <w:rStyle w:val="FootnoteReference"/>
          <w:noProof/>
        </w:rPr>
        <w:footnoteReference w:id="17"/>
      </w:r>
      <w:r>
        <w:rPr>
          <w:noProof/>
        </w:rPr>
        <w:t xml:space="preserve">. Četras dalībvalstis pieprasa, lai noteikumi tiktu piemēroti pārdošanas darījumiem, kuros vai nu piegādātājs, vai pircējs (vai abi) pats veic uzņēmējdarbību attiecīgajā dalībvalstī (LU, LV, MT un SE), nevis visā ES. </w:t>
      </w:r>
    </w:p>
    <w:p w14:paraId="6A713E8A" w14:textId="6FAEC7C4" w:rsidR="00391453" w:rsidRPr="00E3367E" w:rsidRDefault="002871F3" w:rsidP="00CF2E9C">
      <w:pPr>
        <w:pStyle w:val="Text1"/>
        <w:spacing w:before="0" w:after="240"/>
        <w:ind w:left="0"/>
        <w:rPr>
          <w:noProof/>
          <w:szCs w:val="24"/>
        </w:rPr>
      </w:pPr>
      <w:r>
        <w:rPr>
          <w:noProof/>
        </w:rPr>
        <w:t xml:space="preserve">Visas dalībvalstis, izņemot Vāciju un Ungāriju, ir noteikušas piegādātāja un pircēja definīcijas neatkarīgi no to uzņēmējdarbības veikšanas vietas, kā noteikts direktīvas 2. panta 2. punktā. 2. panta 2. punktā ir arī noteikts, ka dalībvalstu transponēšanas pasākumi tiek piemēroti pircējiem, kuri ir publiskas iestādes, tikai tad, ja tie veic uzņēmējdarbību ES. Francijas, Ungārijas un Nīderlandes transponēšanas tiesību aktos nav atsauču uz tirgus dalībnieku uzņēmējdarbības veikšanas vietu. </w:t>
      </w:r>
    </w:p>
    <w:p w14:paraId="1579159E" w14:textId="42C57940" w:rsidR="00CA535F" w:rsidRPr="00E3367E" w:rsidRDefault="00E95F19" w:rsidP="00CF2E9C">
      <w:pPr>
        <w:pStyle w:val="Heading2"/>
        <w:spacing w:before="0" w:after="240"/>
        <w:ind w:left="0" w:firstLine="0"/>
        <w:rPr>
          <w:noProof/>
        </w:rPr>
      </w:pPr>
      <w:bookmarkStart w:id="27" w:name="_Toc78461433"/>
      <w:bookmarkStart w:id="28" w:name="_Toc85632470"/>
      <w:r>
        <w:rPr>
          <w:noProof/>
        </w:rPr>
        <w:t>Negodīgas tirdzniecības prakses aizliegums (3. pants)</w:t>
      </w:r>
      <w:bookmarkEnd w:id="27"/>
      <w:bookmarkEnd w:id="28"/>
    </w:p>
    <w:p w14:paraId="613F0DF0" w14:textId="4B1EEE73" w:rsidR="008257AC" w:rsidRPr="00E3367E" w:rsidRDefault="735508DF" w:rsidP="00CF2E9C">
      <w:pPr>
        <w:pStyle w:val="Text1"/>
        <w:spacing w:before="0" w:after="240"/>
        <w:ind w:left="0"/>
        <w:rPr>
          <w:noProof/>
        </w:rPr>
      </w:pPr>
      <w:r>
        <w:rPr>
          <w:noProof/>
        </w:rPr>
        <w:t xml:space="preserve">Direktīva pieprasa dalībvalstīm aizliegt konkrētu negodīgo prakšu kopumu, šīs prakses sadalot divās grupās: i) aizliegumi </w:t>
      </w:r>
      <w:r>
        <w:rPr>
          <w:i/>
          <w:noProof/>
        </w:rPr>
        <w:t>per se</w:t>
      </w:r>
      <w:r>
        <w:rPr>
          <w:noProof/>
        </w:rPr>
        <w:t xml:space="preserve"> jeb aizliegumi bez nosacījumiem (“melnais saraksts”) un ii) aizliegumi ar nosacījumiem (“pelēkais saraksts”); pēdējā uzskaitīti prakses veidi, kuri ir aizliegti, ja vien tie skaidri un nepārprotami iepriekš nav paredzēti piegādes līgumā vai turpmākā līgumā starp piegādātāju un pircēju (3. panta 2. punkts). Katrs prakses veids ir īpaši noteikts direktīvā. Konkrētos gadījumos var iekļaut izņēmumus vai atkāpes. Pildot paredzētās prasības, dalībvalstis vienlaikus var:</w:t>
      </w:r>
    </w:p>
    <w:p w14:paraId="4B068B3A" w14:textId="77777777" w:rsidR="008257AC" w:rsidRPr="00E3367E" w:rsidRDefault="00EC2E7D" w:rsidP="00CF2E9C">
      <w:pPr>
        <w:pStyle w:val="Text1"/>
        <w:numPr>
          <w:ilvl w:val="0"/>
          <w:numId w:val="12"/>
        </w:numPr>
        <w:spacing w:before="0" w:after="240"/>
        <w:rPr>
          <w:noProof/>
        </w:rPr>
      </w:pPr>
      <w:r>
        <w:rPr>
          <w:noProof/>
        </w:rPr>
        <w:t>izmantot vispārējas klauzulas ar mērķi paplašināt aizliegumu piemērošanas jomu attiecībā uz tādiem prakses veidiem, kuri nav īpaši uzskaitīti,</w:t>
      </w:r>
    </w:p>
    <w:p w14:paraId="5517FE25" w14:textId="77777777" w:rsidR="008257AC" w:rsidRPr="00272000" w:rsidRDefault="008257AC" w:rsidP="00CF2E9C">
      <w:pPr>
        <w:pStyle w:val="Text1"/>
        <w:numPr>
          <w:ilvl w:val="0"/>
          <w:numId w:val="12"/>
        </w:numPr>
        <w:spacing w:before="0" w:after="240"/>
        <w:rPr>
          <w:noProof/>
        </w:rPr>
      </w:pPr>
      <w:r>
        <w:rPr>
          <w:noProof/>
        </w:rPr>
        <w:t>pievienot sarakstiem citus prakses veidus,</w:t>
      </w:r>
    </w:p>
    <w:p w14:paraId="147DB5A0" w14:textId="73108F9D" w:rsidR="008257AC" w:rsidRPr="00272000" w:rsidRDefault="008257AC" w:rsidP="00CF2E9C">
      <w:pPr>
        <w:pStyle w:val="Text1"/>
        <w:numPr>
          <w:ilvl w:val="0"/>
          <w:numId w:val="12"/>
        </w:numPr>
        <w:spacing w:before="0" w:after="240"/>
        <w:rPr>
          <w:noProof/>
        </w:rPr>
      </w:pPr>
      <w:r>
        <w:rPr>
          <w:noProof/>
        </w:rPr>
        <w:t>paplašināt uzskaitīto aizliegumu piemērošanas jomu vai tos padarīt stingrākus,</w:t>
      </w:r>
    </w:p>
    <w:p w14:paraId="35AD68FB" w14:textId="5D628001" w:rsidR="00CA535F" w:rsidRPr="00E3367E" w:rsidRDefault="008257AC" w:rsidP="00CF2E9C">
      <w:pPr>
        <w:pStyle w:val="Text1"/>
        <w:numPr>
          <w:ilvl w:val="0"/>
          <w:numId w:val="12"/>
        </w:numPr>
        <w:spacing w:before="0" w:after="240"/>
        <w:rPr>
          <w:noProof/>
        </w:rPr>
      </w:pPr>
      <w:r>
        <w:rPr>
          <w:noProof/>
        </w:rPr>
        <w:t xml:space="preserve">pārvietot prakses veidus no “pelēkā saraksta” uz “melno sarakstu”.   </w:t>
      </w:r>
    </w:p>
    <w:p w14:paraId="58A14551" w14:textId="42F069DD" w:rsidR="00EC2E7D" w:rsidRPr="00E3367E" w:rsidRDefault="002872F9" w:rsidP="00CF2E9C">
      <w:pPr>
        <w:pStyle w:val="Text1"/>
        <w:spacing w:before="0" w:after="240"/>
        <w:ind w:left="0"/>
        <w:rPr>
          <w:noProof/>
        </w:rPr>
      </w:pPr>
      <w:r>
        <w:rPr>
          <w:noProof/>
        </w:rPr>
        <w:t>Kamēr izņēmumi vai atkāpes ir saderīgi ar iekšējā tirgus noteikumiem, tie ir iespējami “saskaņošanas minimuma” pieejas ietvaros, kuru ievēro direktīva, ieviešot kopējo minimālo aizsardzības līmeni visām dalībvalstīm. No 16 šajā ziņojumā analizētajām dalībvalstīm piecas ir transponējušas direktīvu bez neviena no iepriekš minētajiem paplašinājumiem: gan “melnais”, gan “pelēkais” saraksts ir direktīvā paredzētais saraksts bez kādiem papildinājumiem vai būtiskām izmaiņām</w:t>
      </w:r>
      <w:r>
        <w:rPr>
          <w:rStyle w:val="FootnoteReference"/>
          <w:noProof/>
        </w:rPr>
        <w:footnoteReference w:id="18"/>
      </w:r>
      <w:r>
        <w:rPr>
          <w:noProof/>
        </w:rPr>
        <w:t xml:space="preserve">. Pārējās divās dalībvalstīs (LT un SE) saraksti lielākoties sakrīt, bet vairāki aizliegumi ir stingrāki nekā direktīvā.  </w:t>
      </w:r>
    </w:p>
    <w:p w14:paraId="3DED0FFD" w14:textId="3D376354" w:rsidR="003E1F18" w:rsidRPr="00E3367E" w:rsidRDefault="00481043" w:rsidP="00CF2E9C">
      <w:pPr>
        <w:pStyle w:val="Text1"/>
        <w:spacing w:before="0" w:after="240"/>
        <w:ind w:left="0"/>
        <w:rPr>
          <w:noProof/>
        </w:rPr>
      </w:pPr>
      <w:r>
        <w:rPr>
          <w:noProof/>
        </w:rPr>
        <w:t xml:space="preserve">No pārējām deviņām dalībvalstīm Ungārija un Latvija ir iekļāvušas vispārēju klauzulu, kura aizliedz negodīgu praksi, ņemot vērā vispārējus principus. Vācija ir noteikusi vispārēju aizliegumu negodīgas tirdzniecības prakses izmantojumam ar nolūku izmantot asimetriskas ekonomiskas attiecības, tomēr tā arī ir piemērojusi šo aizliegumu direktīvā uzskaitītajiem prakses veidiem. Dažās valstīs pastāv vispārējas klauzulas negodīgas komercprakses vai konkurences tiesību jomā. Tā, piemēram, ir Francijas gadījumā, kuras Komerckodekss jau ietver vispārējas klauzulas, kuras ir piemērojamas attiecīgajā jomā.  </w:t>
      </w:r>
    </w:p>
    <w:p w14:paraId="4A8B3566" w14:textId="41D30D5A" w:rsidR="00EC2E7D" w:rsidRPr="00E3367E" w:rsidRDefault="003E1F18" w:rsidP="00CF2E9C">
      <w:pPr>
        <w:pStyle w:val="Text1"/>
        <w:spacing w:before="0" w:after="240"/>
        <w:ind w:left="0"/>
        <w:rPr>
          <w:noProof/>
        </w:rPr>
      </w:pPr>
      <w:r>
        <w:rPr>
          <w:noProof/>
        </w:rPr>
        <w:t xml:space="preserve">Visas dalībvalstis ir izmantojušas aizliegtās prakses veidu sarakstus, un lielākā daļa no tām ir ievērojušas nošķīrumu starp “melnajiem” un “pelēkajiem” prakses veidiem. Tikai Ungārija ir noteikusi vienu (“melno”) sarakstu un ir nepārprotami aizliegusi piegādātājam iepriekš likumīgi piekrist ietvertajām tirdzniecības praksēm. Kad tiek izmantoti “pelēkie saraksti”, dalībvalsts nosaka pārredzamības prasības attiecībā uz informācijas veidu, kāda ir jāsniedz piegādātājam, lai pamatotu “pelēko praksi”. </w:t>
      </w:r>
    </w:p>
    <w:p w14:paraId="7CDAD797" w14:textId="295E84DC" w:rsidR="00841792" w:rsidRDefault="00841792" w:rsidP="00CF2E9C">
      <w:pPr>
        <w:pStyle w:val="Text1"/>
        <w:spacing w:before="0" w:after="240"/>
        <w:ind w:left="0"/>
        <w:rPr>
          <w:noProof/>
        </w:rPr>
      </w:pPr>
      <w:r>
        <w:rPr>
          <w:noProof/>
        </w:rPr>
        <w:t>Vienlaikus ar “melno” un “pelēko” sarakstu nošķiršanu dažas dalībvalstis ir pārvietojušas vienu vai vairākus “pelēkā saraksta” prakses veidus uz “melno sarakstu”</w:t>
      </w:r>
      <w:r>
        <w:rPr>
          <w:rStyle w:val="FootnoteReference"/>
          <w:noProof/>
        </w:rPr>
        <w:footnoteReference w:id="19"/>
      </w:r>
      <w:r>
        <w:rPr>
          <w:noProof/>
        </w:rPr>
        <w:t>. Relatīvi biežāka ir prakses veidu pievienošana “melnajam”</w:t>
      </w:r>
      <w:r>
        <w:rPr>
          <w:rStyle w:val="FootnoteReference"/>
          <w:noProof/>
        </w:rPr>
        <w:footnoteReference w:id="20"/>
      </w:r>
      <w:r>
        <w:rPr>
          <w:noProof/>
        </w:rPr>
        <w:t xml:space="preserve"> un “pelēkajam”</w:t>
      </w:r>
      <w:r>
        <w:rPr>
          <w:rStyle w:val="FootnoteReference"/>
          <w:noProof/>
        </w:rPr>
        <w:footnoteReference w:id="21"/>
      </w:r>
      <w:r>
        <w:rPr>
          <w:noProof/>
        </w:rPr>
        <w:t xml:space="preserve"> sarakstam. </w:t>
      </w:r>
    </w:p>
    <w:p w14:paraId="60C15BE5" w14:textId="19372BC9" w:rsidR="009D47D4" w:rsidRPr="00E3367E" w:rsidRDefault="00F9623B" w:rsidP="00CF2E9C">
      <w:pPr>
        <w:pStyle w:val="Text1"/>
        <w:spacing w:before="0" w:after="240"/>
        <w:ind w:left="0"/>
        <w:rPr>
          <w:noProof/>
        </w:rPr>
      </w:pPr>
      <w:r>
        <w:rPr>
          <w:noProof/>
        </w:rPr>
        <w:t>Atšķirībā no direktīvas galvenā principa, kurš tiek piemērots tikai praksei, ko veic pircēji pret piegādātājiem, Slovākijā vairākas no praksēm ir aizliegtas abām līgumslēdzējām pusēm (piemēram, komerciāli pretpasākumi).</w:t>
      </w:r>
    </w:p>
    <w:p w14:paraId="728DA9B3" w14:textId="321B6DBD" w:rsidR="0034444E" w:rsidRPr="007A4A0A" w:rsidRDefault="00A542EF" w:rsidP="1D52F188">
      <w:pPr>
        <w:pStyle w:val="Text1"/>
        <w:spacing w:before="0" w:after="240"/>
        <w:ind w:left="0"/>
        <w:rPr>
          <w:i/>
          <w:iCs/>
          <w:noProof/>
        </w:rPr>
      </w:pPr>
      <w:r>
        <w:rPr>
          <w:noProof/>
        </w:rPr>
        <w:t>Ungārija paļaujas uz iepriekš pieņemtu leģislatīvu instrumentu, direktīvas transponēšanas procesā neveicot nekādas konkrētas izmaiņas. Lielākā daļa direktīvā iekļauto prakses veidu ir ietverti, kaut arī tie daļēji ir definēti atšķirīgi; uz vairākiem no tiem attiecas plašāki vai stingrāki aizliegumi, bet daži spēkā esošajā leģislatīvajā instrumentā ir transponēti šķietami neskaidri. Tas daļēji attiecas uz Franciju, kur tikai atsevišķus prakses veidus īpaši regulē transponēšanas tiesību akti, savukārt uz citiem var attiekties plašākas piemērošanas vispārējas klauzulas; vairāki prakses veidi paziņotajā tiesību aktā šķietami nav īpaši aplūkoti.</w:t>
      </w:r>
      <w:r>
        <w:rPr>
          <w:noProof/>
          <w:color w:val="2E74B5" w:themeColor="accent1" w:themeShade="BF"/>
        </w:rPr>
        <w:t xml:space="preserve"> </w:t>
      </w:r>
    </w:p>
    <w:p w14:paraId="3FB41CF5" w14:textId="7E84DDD8" w:rsidR="00DF5E3D" w:rsidRPr="00E3367E" w:rsidRDefault="00DF5E3D" w:rsidP="00CF2E9C">
      <w:pPr>
        <w:pStyle w:val="Text1"/>
        <w:spacing w:before="0" w:after="240"/>
        <w:ind w:left="0"/>
        <w:rPr>
          <w:noProof/>
        </w:rPr>
      </w:pPr>
      <w:r>
        <w:rPr>
          <w:noProof/>
        </w:rPr>
        <w:t>Diviem “melnajā sarakstā” iekļautiem prakses veidiem jāvelta īpaša uzmanība, jo dalībvalstij zināmās robežās ir iespēja veikt izmaiņas: maksājumu kavējumi un pasūtījumu atcelšana.</w:t>
      </w:r>
    </w:p>
    <w:p w14:paraId="7BC7B040" w14:textId="7434E4A1" w:rsidR="00DF2AFD" w:rsidRPr="00E3367E" w:rsidRDefault="5D4FB6B5" w:rsidP="006D0096">
      <w:pPr>
        <w:pStyle w:val="Text1"/>
        <w:numPr>
          <w:ilvl w:val="0"/>
          <w:numId w:val="13"/>
        </w:numPr>
        <w:spacing w:before="0" w:after="240"/>
        <w:rPr>
          <w:noProof/>
        </w:rPr>
      </w:pPr>
      <w:r>
        <w:rPr>
          <w:b/>
          <w:bCs/>
          <w:noProof/>
        </w:rPr>
        <w:t>Maksājumu kavējumi</w:t>
      </w:r>
      <w:r>
        <w:rPr>
          <w:noProof/>
        </w:rPr>
        <w:t>: 11 no 16 dalībvalstīm ir nošķīrušas ātrbojīgu produktu un produktu ar ilgu derīguma termiņu pārdošanu, pirmajiem paredzot 30 dienu termiņu un otrajiem — 60 dienu termiņu, kā noteikts direktīvā</w:t>
      </w:r>
      <w:r>
        <w:rPr>
          <w:rStyle w:val="FootnoteReference"/>
          <w:noProof/>
        </w:rPr>
        <w:footnoteReference w:id="22"/>
      </w:r>
      <w:r>
        <w:rPr>
          <w:noProof/>
        </w:rPr>
        <w:t>. Turpretī Bulgārija un Zviedrija ir ieviesušas vienotu 30 dienu termiņu gan ātrbojīgu produktu, gan produktu ar ilgu derīguma termiņu pārdošanai. Somija ir ievērojusi tādu pašu pieeju, bet attiecībā uz produktiem ar ilgu derīguma termiņu tā ir paredzējusi iespēju līgumā vienoties par ilgāku 60 dienu termiņu (citādi tiek piemērots 30 dienu standarta noteikums). Ne Ungārija, ne Slovākija neveic nošķīrumu starp ātrbojīgiem produktiem un produktiem ar ilgu derīguma termiņu; šādos gadījumos noteikums parasti ir stingrāks: no pareizi izrakstītā rēķina datuma tiek piemērots 15 dienu termiņš. Visas dalībvalstis, izņemot Ungāriju un Slovākiju, savos transponēšanas tiesību aktos ir iekļāvušas direktīvas ātrbojīgo produktu definīciju. Francijā pastāv atšķirīgas “ātrbojīgu” un “ļoti ātrbojīgu” produktu definīcijas. Horvātija saviem transponēšanas tiesību aktiem ir pievienojusi sarakstu ar ātrbojīgiem produktiem, savukārt Lietuva ir piešķīrusi pilnvaras valdības apstiprinātai iestādei apstiprināt ātrbojīgu produktu sarakstu. Visas dalībvalstis, izņemot Ungāriju, ir iekļāvušas 3. panta 1. punkta pēdējā ievilkumā noteiktās atkāpes (vai vismaz dažas no tām</w:t>
      </w:r>
      <w:r>
        <w:rPr>
          <w:rStyle w:val="FootnoteReference"/>
          <w:noProof/>
        </w:rPr>
        <w:footnoteReference w:id="23"/>
      </w:r>
      <w:r>
        <w:rPr>
          <w:noProof/>
        </w:rPr>
        <w:t xml:space="preserve">), un papildu atkāpes nav ieviestas. </w:t>
      </w:r>
    </w:p>
    <w:p w14:paraId="36C191DE" w14:textId="40DE5DD2" w:rsidR="00A025C7" w:rsidRPr="00E3367E" w:rsidRDefault="00F27FE3" w:rsidP="00CF2E9C">
      <w:pPr>
        <w:pStyle w:val="Text1"/>
        <w:numPr>
          <w:ilvl w:val="0"/>
          <w:numId w:val="13"/>
        </w:numPr>
        <w:spacing w:before="0" w:after="240"/>
        <w:rPr>
          <w:noProof/>
        </w:rPr>
      </w:pPr>
      <w:r>
        <w:rPr>
          <w:b/>
          <w:bCs/>
          <w:noProof/>
        </w:rPr>
        <w:t>Pasūtījumu atcelšana pēdējā brīdī:</w:t>
      </w:r>
      <w:r>
        <w:rPr>
          <w:noProof/>
        </w:rPr>
        <w:t xml:space="preserve"> visas dalībvalstis, izņemot Ungāriju un Slovākiju, iekļauj 30 dienu laikposmu kā minimālo atcelšanas standartu. Saskaņā ar 3. panta 1. punkta b) apakšpunktu četras no tām (DK, FR, IE un SE) pilnvaro atbildīgo ministriju (vai SE gadījumā – valdību) konkrētās nozarēs pietiekami pamatotos gadījumos noteikt par 30 dienām īsākus termiņus. Francija ir ieviesusi divus īsākus termiņus attiecībā uz vairumtirgotājiem (24 stundas) un augļiem un dārzeņiem (3 dienas, ja vien produkti netiek pārdoti ar pašzīmolu, šādā gadījumā piemēro 6 dienas). Ungārijas noteikumam ir atšķirīga struktūra, proti, tas burtiski atsaucas uz izmaiņām, nevis atcelšanu; nav atsauces uz konkrētu termiņu iepriekšējai informēšanai. Slovākijā visiem pircējiem ir aizliegts nepildīt līgumsaistības bez juridiska pamatojuma.  </w:t>
      </w:r>
    </w:p>
    <w:p w14:paraId="3B05CCFD" w14:textId="3D53CF2E" w:rsidR="00104304" w:rsidRPr="00E3367E" w:rsidRDefault="00E95F19" w:rsidP="00CF2E9C">
      <w:pPr>
        <w:pStyle w:val="Heading2"/>
        <w:spacing w:before="0" w:after="240"/>
        <w:ind w:left="0" w:firstLine="0"/>
        <w:rPr>
          <w:noProof/>
        </w:rPr>
      </w:pPr>
      <w:bookmarkStart w:id="29" w:name="_Toc78461434"/>
      <w:bookmarkStart w:id="30" w:name="_Toc85632471"/>
      <w:r>
        <w:rPr>
          <w:noProof/>
        </w:rPr>
        <w:t>Izpildes mehānismi (4.–8. pants)</w:t>
      </w:r>
      <w:bookmarkEnd w:id="29"/>
      <w:bookmarkEnd w:id="30"/>
    </w:p>
    <w:p w14:paraId="6895C97E" w14:textId="083737BC" w:rsidR="00975D33" w:rsidRPr="00CF2E9C" w:rsidRDefault="00975D33" w:rsidP="00CF2E9C">
      <w:pPr>
        <w:pStyle w:val="Heading3"/>
        <w:tabs>
          <w:tab w:val="clear" w:pos="1842"/>
          <w:tab w:val="num" w:pos="851"/>
        </w:tabs>
        <w:spacing w:before="0" w:after="240"/>
        <w:ind w:left="0" w:firstLine="0"/>
        <w:rPr>
          <w:b/>
          <w:i w:val="0"/>
          <w:noProof/>
        </w:rPr>
      </w:pPr>
      <w:bookmarkStart w:id="31" w:name="_Toc78461435"/>
      <w:bookmarkStart w:id="32" w:name="_Toc85632472"/>
      <w:r>
        <w:rPr>
          <w:b/>
          <w:i w:val="0"/>
          <w:noProof/>
        </w:rPr>
        <w:t>Izpildiestāžu norīkošana (4. pants)</w:t>
      </w:r>
      <w:bookmarkEnd w:id="31"/>
      <w:bookmarkEnd w:id="32"/>
    </w:p>
    <w:p w14:paraId="555FE0D5" w14:textId="635CD7FE" w:rsidR="00104304" w:rsidRPr="00E3367E" w:rsidRDefault="4500B4DE" w:rsidP="00CF2E9C">
      <w:pPr>
        <w:pStyle w:val="Text1"/>
        <w:spacing w:before="0" w:after="240"/>
        <w:ind w:left="0"/>
        <w:rPr>
          <w:noProof/>
        </w:rPr>
      </w:pPr>
      <w:r>
        <w:rPr>
          <w:noProof/>
        </w:rPr>
        <w:t>Visas 16 dalībvalstis informēja Komisiju par to, ka tās ir norīkojušas vienu vai vairākas iestādes 3. pantā paredzēto aizliegumu izpildei valsts līmenī (“izpildiestāde”). Šo iestāžu kontaktinformācija un tīmekļa vietnes ir pieejamas īpašā Komisijas tīmekļa vietnē</w:t>
      </w:r>
      <w:r>
        <w:rPr>
          <w:noProof/>
          <w:vertAlign w:val="superscript"/>
        </w:rPr>
        <w:footnoteReference w:id="24"/>
      </w:r>
      <w:r>
        <w:rPr>
          <w:noProof/>
        </w:rPr>
        <w:t>.</w:t>
      </w:r>
    </w:p>
    <w:p w14:paraId="5A412118" w14:textId="556508D4" w:rsidR="003B4FDD" w:rsidRPr="00E3367E" w:rsidRDefault="00F619DE" w:rsidP="00CF2E9C">
      <w:pPr>
        <w:pStyle w:val="Text1"/>
        <w:spacing w:before="0" w:after="240"/>
        <w:ind w:left="0"/>
        <w:rPr>
          <w:noProof/>
        </w:rPr>
      </w:pPr>
      <w:r>
        <w:rPr>
          <w:noProof/>
        </w:rPr>
        <w:t>Kaut arī lielākā daļa dalībvalstu ir izvēlējušās vienu iestādi, četras dalībvalstis (DE</w:t>
      </w:r>
      <w:r>
        <w:rPr>
          <w:rStyle w:val="FootnoteReference"/>
          <w:noProof/>
        </w:rPr>
        <w:footnoteReference w:id="25"/>
      </w:r>
      <w:r>
        <w:rPr>
          <w:noProof/>
        </w:rPr>
        <w:t>, EL, FI un LT</w:t>
      </w:r>
      <w:r>
        <w:rPr>
          <w:rStyle w:val="FootnoteReference"/>
          <w:noProof/>
        </w:rPr>
        <w:footnoteReference w:id="26"/>
      </w:r>
      <w:r>
        <w:rPr>
          <w:noProof/>
        </w:rPr>
        <w:t xml:space="preserve">) ir norīkojušas divas iestādes. </w:t>
      </w:r>
    </w:p>
    <w:p w14:paraId="0F9F8E22" w14:textId="1659C42A" w:rsidR="00407543" w:rsidRPr="00E3367E" w:rsidRDefault="003B4FDD" w:rsidP="00CF2E9C">
      <w:pPr>
        <w:pStyle w:val="Text1"/>
        <w:spacing w:before="0" w:after="240"/>
        <w:ind w:left="0"/>
        <w:rPr>
          <w:noProof/>
        </w:rPr>
      </w:pPr>
      <w:r>
        <w:rPr>
          <w:noProof/>
        </w:rPr>
        <w:t>Kopumā izvēle ir starp administratīvām un tiesu iestādēm, savukārt saistībā ar administratīvām iestādēm izvēle pastāv starp neatkarīgām administratīvām iestādēm un tām iestādēm, kuras veido izpildvaru (t. i., ministrijas). Neatkarīgu administratīvu iestāžu vidū ir izvēle starp tirgus, konkurences un nozaru iestādēm.</w:t>
      </w:r>
    </w:p>
    <w:p w14:paraId="546D2488" w14:textId="687CCCAF" w:rsidR="00722BB5" w:rsidRDefault="00407543" w:rsidP="000462BF">
      <w:pPr>
        <w:pStyle w:val="Text1"/>
        <w:spacing w:before="0" w:after="240"/>
        <w:ind w:left="0"/>
        <w:rPr>
          <w:noProof/>
        </w:rPr>
      </w:pPr>
      <w:r>
        <w:rPr>
          <w:noProof/>
        </w:rPr>
        <w:t>Visas dalībvalstis ir izvēlējušās administratīvās iestādes. Lielākā daļa ir izvēlējusies piešķirt galvenās izpildes pilnvaras neatkarīgai administratīvai iestādei: sešas konkurences iestādei</w:t>
      </w:r>
      <w:r>
        <w:rPr>
          <w:rStyle w:val="FootnoteReference"/>
          <w:noProof/>
        </w:rPr>
        <w:footnoteReference w:id="27"/>
      </w:r>
      <w:r>
        <w:rPr>
          <w:noProof/>
        </w:rPr>
        <w:t>; četras pārtikas tirgus iestādei</w:t>
      </w:r>
      <w:r>
        <w:rPr>
          <w:rStyle w:val="FootnoteReference"/>
          <w:noProof/>
        </w:rPr>
        <w:footnoteReference w:id="28"/>
      </w:r>
      <w:r>
        <w:rPr>
          <w:noProof/>
        </w:rPr>
        <w:t>; divas savai lauksaimniecības ministrijai</w:t>
      </w:r>
      <w:r>
        <w:rPr>
          <w:rStyle w:val="FootnoteReference"/>
          <w:noProof/>
        </w:rPr>
        <w:footnoteReference w:id="29"/>
      </w:r>
      <w:r>
        <w:rPr>
          <w:noProof/>
        </w:rPr>
        <w:t>; divas iestādei, kura ir atbildīga par cīņu pret negodīgu komercpraksi agropārtikas nozarē</w:t>
      </w:r>
      <w:r>
        <w:rPr>
          <w:rStyle w:val="FootnoteReference"/>
          <w:noProof/>
        </w:rPr>
        <w:footnoteReference w:id="30"/>
      </w:r>
      <w:r>
        <w:rPr>
          <w:noProof/>
        </w:rPr>
        <w:t>; viena ekonomikas un finanšu ministrijas pārziņā esošai valdības struktūrai</w:t>
      </w:r>
      <w:r>
        <w:rPr>
          <w:rStyle w:val="FootnoteReference"/>
          <w:noProof/>
        </w:rPr>
        <w:footnoteReference w:id="31"/>
      </w:r>
      <w:r>
        <w:rPr>
          <w:noProof/>
        </w:rPr>
        <w:t xml:space="preserve"> un viena patērētāju un tirgus iestādei</w:t>
      </w:r>
      <w:r>
        <w:rPr>
          <w:rStyle w:val="FootnoteReference"/>
          <w:noProof/>
        </w:rPr>
        <w:footnoteReference w:id="32"/>
      </w:r>
      <w:r>
        <w:rPr>
          <w:noProof/>
        </w:rPr>
        <w:t xml:space="preserve">. </w:t>
      </w:r>
    </w:p>
    <w:p w14:paraId="16497A8B" w14:textId="2164B6C1" w:rsidR="007E52E3" w:rsidRPr="00E3367E" w:rsidRDefault="00722BB5" w:rsidP="00722BB5">
      <w:pPr>
        <w:pStyle w:val="Text1"/>
        <w:spacing w:after="240"/>
        <w:ind w:left="0"/>
        <w:rPr>
          <w:noProof/>
        </w:rPr>
      </w:pPr>
      <w:r>
        <w:rPr>
          <w:noProof/>
        </w:rPr>
        <w:t>Dalībvalstīs, kurās tiek norīkota otra iestāde, tā ir konkurences iestāde (DE, EL un LT gadījumā) vai pārtikas iestāde (FI). Dažas dalībvalstis nosaka sadarbības pienākumus starp valsts iestādēm un struktūrām, kas var palīdzēt īstenot attiecīgo tiesību aktu izpildi</w:t>
      </w:r>
      <w:r>
        <w:rPr>
          <w:rStyle w:val="FootnoteReference"/>
          <w:noProof/>
        </w:rPr>
        <w:footnoteReference w:id="33"/>
      </w:r>
      <w:r>
        <w:rPr>
          <w:noProof/>
        </w:rPr>
        <w:t>. Vairākos valstu transponēšanas pasākumos saskaņā ar 8. pantu ir īpaši noteikti papildu sadarbības pienākumi ar ārvalstu izpildiestādēm un Eiropas Komisiju</w:t>
      </w:r>
      <w:r>
        <w:rPr>
          <w:rStyle w:val="FootnoteReference"/>
          <w:noProof/>
        </w:rPr>
        <w:footnoteReference w:id="34"/>
      </w:r>
      <w:r>
        <w:rPr>
          <w:noProof/>
        </w:rPr>
        <w:t xml:space="preserve">. </w:t>
      </w:r>
    </w:p>
    <w:p w14:paraId="1BEEF433" w14:textId="77777777" w:rsidR="00975D33" w:rsidRPr="00CF2E9C" w:rsidRDefault="00975D33" w:rsidP="00CF2E9C">
      <w:pPr>
        <w:pStyle w:val="Heading3"/>
        <w:tabs>
          <w:tab w:val="clear" w:pos="1842"/>
          <w:tab w:val="num" w:pos="851"/>
        </w:tabs>
        <w:spacing w:before="0" w:after="240"/>
        <w:ind w:left="0" w:firstLine="0"/>
        <w:rPr>
          <w:b/>
          <w:i w:val="0"/>
          <w:noProof/>
        </w:rPr>
      </w:pPr>
      <w:bookmarkStart w:id="33" w:name="_Toc78461436"/>
      <w:bookmarkStart w:id="34" w:name="_Toc85632473"/>
      <w:r>
        <w:rPr>
          <w:b/>
          <w:i w:val="0"/>
          <w:noProof/>
        </w:rPr>
        <w:t>Sūdzības un konfidencialitāte (5. pants)</w:t>
      </w:r>
      <w:bookmarkEnd w:id="33"/>
      <w:bookmarkEnd w:id="34"/>
    </w:p>
    <w:p w14:paraId="391B09DE" w14:textId="03A63786" w:rsidR="00975D33" w:rsidRPr="00E3367E" w:rsidRDefault="004817E4" w:rsidP="00CF2E9C">
      <w:pPr>
        <w:pStyle w:val="Text1"/>
        <w:spacing w:before="0" w:after="240"/>
        <w:ind w:left="0"/>
        <w:rPr>
          <w:noProof/>
        </w:rPr>
      </w:pPr>
      <w:r>
        <w:rPr>
          <w:noProof/>
        </w:rPr>
        <w:t xml:space="preserve">Saskaņā ar visiem Komisijai paziņotajiem transponēšanas instrumentiem ne tikai atsevišķiem piegādātājiem, bet arī ražotāju organizācijām vai citām piegādātāju organizācijām un šādu organizāciju apvienībām ir tiesības iesniegt sūdzību norīkotajai izpildiestādei. </w:t>
      </w:r>
    </w:p>
    <w:p w14:paraId="5D564C1C" w14:textId="0C83D005" w:rsidR="00975D33" w:rsidRPr="00E3367E" w:rsidRDefault="00E87156" w:rsidP="00CF2E9C">
      <w:pPr>
        <w:pStyle w:val="Text1"/>
        <w:spacing w:before="0" w:after="240"/>
        <w:ind w:left="0"/>
        <w:rPr>
          <w:noProof/>
        </w:rPr>
      </w:pPr>
      <w:r>
        <w:rPr>
          <w:noProof/>
        </w:rPr>
        <w:t>Lielākajā daļā dalībvalstu transponēšanas instrumentu ir paredzēti līdzekļi, ar kuriem aizsargāt sūdzības iesniedzēja identitātes konfidencialitāti, kuras atklāšana varētu kaitēt iesniedzēja vai tā biedru, vai piegādātāju interesēm. Parasti šos aizsardzības pasākumus vajadzētu pieņemt pēc piegādātāja pieprasījuma</w:t>
      </w:r>
      <w:r>
        <w:rPr>
          <w:rStyle w:val="FootnoteReference"/>
          <w:noProof/>
        </w:rPr>
        <w:footnoteReference w:id="35"/>
      </w:r>
      <w:r>
        <w:rPr>
          <w:noProof/>
        </w:rPr>
        <w:t>; tomēr dažos valstu transponēšanas pasākumos šajā ziņā ir paredzēta arī iestādes iniciatīva</w:t>
      </w:r>
      <w:r>
        <w:rPr>
          <w:rStyle w:val="FootnoteReference"/>
          <w:noProof/>
        </w:rPr>
        <w:footnoteReference w:id="36"/>
      </w:r>
      <w:r>
        <w:rPr>
          <w:noProof/>
        </w:rPr>
        <w:t>. Vairumā gadījumu sūdzības iesniedzējam tiek pieprasīts identificēt informāciju, par kuru tas pieprasa konfidencialitāti</w:t>
      </w:r>
      <w:r>
        <w:rPr>
          <w:rStyle w:val="FootnoteReference"/>
          <w:noProof/>
        </w:rPr>
        <w:footnoteReference w:id="37"/>
      </w:r>
      <w:r>
        <w:rPr>
          <w:noProof/>
        </w:rPr>
        <w:t>. Dažās dalībvalstīs transponēšanas instrumentos ir iekļauta iespēja pārtraukt procedūras, ja tās novestu pie konfidenciālas informācijas atklāšanas</w:t>
      </w:r>
      <w:r>
        <w:rPr>
          <w:rStyle w:val="FootnoteReference"/>
          <w:noProof/>
        </w:rPr>
        <w:footnoteReference w:id="38"/>
      </w:r>
      <w:r>
        <w:rPr>
          <w:noProof/>
        </w:rPr>
        <w:t>. Lietuvā izpildiestāde var noraidīt konfidencialitātes pieprasījumu, ja konkrētajai informācijai ir pierādījuma spēks pārkāpuma konstatēšanā</w:t>
      </w:r>
      <w:r>
        <w:rPr>
          <w:rStyle w:val="FootnoteReference"/>
          <w:noProof/>
        </w:rPr>
        <w:footnoteReference w:id="39"/>
      </w:r>
      <w:r>
        <w:rPr>
          <w:noProof/>
        </w:rPr>
        <w:t>.</w:t>
      </w:r>
    </w:p>
    <w:p w14:paraId="52B2AC6E" w14:textId="77777777" w:rsidR="00975D33" w:rsidRPr="00DD5887" w:rsidRDefault="00975D33" w:rsidP="00DD5887">
      <w:pPr>
        <w:pStyle w:val="Heading3"/>
        <w:tabs>
          <w:tab w:val="clear" w:pos="1842"/>
          <w:tab w:val="num" w:pos="851"/>
        </w:tabs>
        <w:spacing w:before="0" w:after="240"/>
        <w:ind w:left="0" w:firstLine="0"/>
        <w:rPr>
          <w:b/>
          <w:i w:val="0"/>
          <w:noProof/>
        </w:rPr>
      </w:pPr>
      <w:bookmarkStart w:id="35" w:name="_Toc78461437"/>
      <w:bookmarkStart w:id="36" w:name="_Toc85632474"/>
      <w:r>
        <w:rPr>
          <w:b/>
          <w:i w:val="0"/>
          <w:noProof/>
        </w:rPr>
        <w:t>Norīkoto iestāžu pilnvaras (6. pants)</w:t>
      </w:r>
      <w:bookmarkEnd w:id="35"/>
      <w:bookmarkEnd w:id="36"/>
    </w:p>
    <w:p w14:paraId="047C1F15" w14:textId="289CCCFD" w:rsidR="00AD7EDC" w:rsidRDefault="1246B72A" w:rsidP="00DD5887">
      <w:pPr>
        <w:pStyle w:val="Text1"/>
        <w:spacing w:before="0" w:after="240"/>
        <w:ind w:left="0"/>
        <w:rPr>
          <w:noProof/>
        </w:rPr>
      </w:pPr>
      <w:r>
        <w:rPr>
          <w:noProof/>
        </w:rPr>
        <w:t xml:space="preserve">Lielākā daļa dalībvalstu norīkotajām iestādēm piešķir 6. pantā paredzētās pilnvaras, proti: </w:t>
      </w:r>
    </w:p>
    <w:p w14:paraId="6B6702BD" w14:textId="77777777" w:rsidR="00AD7EDC" w:rsidRPr="000462BF" w:rsidRDefault="1246B72A" w:rsidP="1D52F188">
      <w:pPr>
        <w:pStyle w:val="Text1"/>
        <w:numPr>
          <w:ilvl w:val="0"/>
          <w:numId w:val="15"/>
        </w:numPr>
        <w:spacing w:before="0" w:after="240"/>
        <w:rPr>
          <w:i/>
          <w:iCs/>
          <w:noProof/>
        </w:rPr>
      </w:pPr>
      <w:r>
        <w:rPr>
          <w:noProof/>
        </w:rPr>
        <w:t>izmeklēšanas un uzraudzības pilnvaras</w:t>
      </w:r>
      <w:r>
        <w:rPr>
          <w:rStyle w:val="FootnoteReference"/>
          <w:noProof/>
        </w:rPr>
        <w:footnoteReference w:id="40"/>
      </w:r>
      <w:r>
        <w:rPr>
          <w:noProof/>
        </w:rPr>
        <w:t>,</w:t>
      </w:r>
    </w:p>
    <w:p w14:paraId="5E3F05F4" w14:textId="2AD4BE51" w:rsidR="00AD7EDC" w:rsidRPr="000462BF" w:rsidRDefault="1246B72A" w:rsidP="1D52F188">
      <w:pPr>
        <w:pStyle w:val="Text1"/>
        <w:numPr>
          <w:ilvl w:val="0"/>
          <w:numId w:val="15"/>
        </w:numPr>
        <w:spacing w:before="0" w:after="240"/>
        <w:rPr>
          <w:i/>
          <w:iCs/>
          <w:noProof/>
        </w:rPr>
      </w:pPr>
      <w:r>
        <w:rPr>
          <w:noProof/>
        </w:rPr>
        <w:t>pilnvaras pieņemt lēmumus, kad ir noticis 3. pantā noteikto aizliegumu pārkāpums</w:t>
      </w:r>
      <w:r>
        <w:rPr>
          <w:rStyle w:val="FootnoteReference"/>
          <w:noProof/>
        </w:rPr>
        <w:footnoteReference w:id="41"/>
      </w:r>
      <w:r>
        <w:rPr>
          <w:noProof/>
        </w:rPr>
        <w:t>,</w:t>
      </w:r>
    </w:p>
    <w:p w14:paraId="31A56B28" w14:textId="388A2D88" w:rsidR="00AD7EDC" w:rsidRPr="000462BF" w:rsidRDefault="2263EEA9" w:rsidP="1D52F188">
      <w:pPr>
        <w:pStyle w:val="Text1"/>
        <w:numPr>
          <w:ilvl w:val="0"/>
          <w:numId w:val="15"/>
        </w:numPr>
        <w:spacing w:before="0" w:after="240"/>
        <w:rPr>
          <w:i/>
          <w:iCs/>
          <w:noProof/>
        </w:rPr>
      </w:pPr>
      <w:r>
        <w:rPr>
          <w:noProof/>
        </w:rPr>
        <w:t>pilnvaras pieprasīt pircējam izbeigt aizliegto tirdzniecības praksi</w:t>
      </w:r>
      <w:r>
        <w:rPr>
          <w:rStyle w:val="FootnoteReference"/>
          <w:noProof/>
        </w:rPr>
        <w:footnoteReference w:id="42"/>
      </w:r>
      <w:r>
        <w:rPr>
          <w:noProof/>
        </w:rPr>
        <w:t xml:space="preserve">, </w:t>
      </w:r>
    </w:p>
    <w:p w14:paraId="40477425" w14:textId="18449721" w:rsidR="00AD7EDC" w:rsidRPr="000462BF" w:rsidRDefault="1246B72A" w:rsidP="1D52F188">
      <w:pPr>
        <w:pStyle w:val="Text1"/>
        <w:numPr>
          <w:ilvl w:val="0"/>
          <w:numId w:val="15"/>
        </w:numPr>
        <w:spacing w:before="0" w:after="240"/>
        <w:rPr>
          <w:i/>
          <w:iCs/>
          <w:noProof/>
        </w:rPr>
      </w:pPr>
      <w:r>
        <w:rPr>
          <w:noProof/>
        </w:rPr>
        <w:t>pilnvaras noteikt vai ierosināt procedūras, lai pārkāpuma izdarītājam uzliktu naudassodus un citus vienlīdz iedarbīgus sodus</w:t>
      </w:r>
      <w:r>
        <w:rPr>
          <w:rStyle w:val="FootnoteReference"/>
          <w:noProof/>
        </w:rPr>
        <w:footnoteReference w:id="43"/>
      </w:r>
      <w:r>
        <w:rPr>
          <w:noProof/>
        </w:rPr>
        <w:t xml:space="preserve"> un noteiktu pagaidu pasākumus saskaņā ar valsts noteikumiem un procedūrām</w:t>
      </w:r>
      <w:r>
        <w:rPr>
          <w:rStyle w:val="FootnoteReference"/>
          <w:noProof/>
        </w:rPr>
        <w:footnoteReference w:id="44"/>
      </w:r>
      <w:r>
        <w:rPr>
          <w:noProof/>
        </w:rPr>
        <w:t>, un</w:t>
      </w:r>
    </w:p>
    <w:p w14:paraId="2B8DE522" w14:textId="1A667E5E" w:rsidR="00407543" w:rsidRPr="007A4A0A" w:rsidRDefault="1246B72A" w:rsidP="1D52F188">
      <w:pPr>
        <w:pStyle w:val="Text1"/>
        <w:numPr>
          <w:ilvl w:val="0"/>
          <w:numId w:val="15"/>
        </w:numPr>
        <w:spacing w:before="0" w:after="240"/>
        <w:rPr>
          <w:i/>
          <w:iCs/>
          <w:noProof/>
        </w:rPr>
      </w:pPr>
      <w:r>
        <w:rPr>
          <w:noProof/>
        </w:rPr>
        <w:t>pilnvaras publicēt pieņemtos lēmumus</w:t>
      </w:r>
      <w:r>
        <w:rPr>
          <w:rStyle w:val="FootnoteReference"/>
          <w:noProof/>
        </w:rPr>
        <w:footnoteReference w:id="45"/>
      </w:r>
      <w:r>
        <w:rPr>
          <w:noProof/>
        </w:rPr>
        <w:t xml:space="preserve">. </w:t>
      </w:r>
    </w:p>
    <w:p w14:paraId="7D9C15C6" w14:textId="690AAA85" w:rsidR="00BA6E1E" w:rsidRPr="00E3367E" w:rsidRDefault="26542BF5" w:rsidP="00DD5887">
      <w:pPr>
        <w:pStyle w:val="Text1"/>
        <w:spacing w:before="0" w:after="240"/>
        <w:ind w:left="0"/>
        <w:rPr>
          <w:noProof/>
        </w:rPr>
      </w:pPr>
      <w:r>
        <w:rPr>
          <w:noProof/>
        </w:rPr>
        <w:t>Sešās dalībvalstīs izpildiestādei ir arī pilnvaras apstiprināt saistības, kuras uzņēmies pārkāpējs</w:t>
      </w:r>
      <w:r>
        <w:rPr>
          <w:rStyle w:val="FootnoteReference"/>
          <w:noProof/>
        </w:rPr>
        <w:footnoteReference w:id="46"/>
      </w:r>
      <w:r>
        <w:rPr>
          <w:noProof/>
        </w:rPr>
        <w:t>, un sniegt brīdinājumus</w:t>
      </w:r>
      <w:r>
        <w:rPr>
          <w:rStyle w:val="FootnoteReference"/>
          <w:noProof/>
        </w:rPr>
        <w:footnoteReference w:id="47"/>
      </w:r>
      <w:r>
        <w:rPr>
          <w:noProof/>
        </w:rPr>
        <w:t xml:space="preserve"> vai ieteikumus, ja notiek pārkāpums</w:t>
      </w:r>
      <w:r>
        <w:rPr>
          <w:rStyle w:val="FootnoteReference"/>
          <w:noProof/>
        </w:rPr>
        <w:footnoteReference w:id="48"/>
      </w:r>
      <w:r>
        <w:rPr>
          <w:noProof/>
        </w:rPr>
        <w:t>.</w:t>
      </w:r>
    </w:p>
    <w:p w14:paraId="67FC579F" w14:textId="77777777" w:rsidR="00975D33" w:rsidRPr="00DD5887" w:rsidRDefault="00975D33" w:rsidP="00DD5887">
      <w:pPr>
        <w:pStyle w:val="Heading3"/>
        <w:tabs>
          <w:tab w:val="clear" w:pos="1842"/>
          <w:tab w:val="num" w:pos="851"/>
        </w:tabs>
        <w:spacing w:before="0" w:after="240"/>
        <w:ind w:left="0" w:firstLine="0"/>
        <w:rPr>
          <w:b/>
          <w:i w:val="0"/>
          <w:noProof/>
        </w:rPr>
      </w:pPr>
      <w:bookmarkStart w:id="37" w:name="_Toc78461438"/>
      <w:bookmarkStart w:id="38" w:name="_Toc85632475"/>
      <w:r>
        <w:rPr>
          <w:b/>
          <w:i w:val="0"/>
          <w:noProof/>
        </w:rPr>
        <w:t>Izpildes pasākumi un sankcijas (6. pants)</w:t>
      </w:r>
      <w:bookmarkEnd w:id="37"/>
      <w:bookmarkEnd w:id="38"/>
    </w:p>
    <w:p w14:paraId="44C1FF22" w14:textId="0846F040" w:rsidR="005657A6" w:rsidRPr="00E3367E" w:rsidRDefault="6CF22445" w:rsidP="005D108F">
      <w:pPr>
        <w:pStyle w:val="Text1"/>
        <w:spacing w:before="0" w:after="240"/>
        <w:ind w:left="0"/>
        <w:rPr>
          <w:noProof/>
        </w:rPr>
      </w:pPr>
      <w:r>
        <w:rPr>
          <w:noProof/>
        </w:rPr>
        <w:t>Izpildes pasākumi aptver plašu instrumentu klāstu, to vidū sankcijas, tiesiskās aizsardzības līdzekļus un saistības.</w:t>
      </w:r>
    </w:p>
    <w:p w14:paraId="6165938A" w14:textId="3944ED2E" w:rsidR="000F6308" w:rsidRPr="00E3367E" w:rsidRDefault="1A4037B1" w:rsidP="00DD5887">
      <w:pPr>
        <w:pStyle w:val="Text1"/>
        <w:spacing w:before="0" w:after="240"/>
        <w:ind w:left="0"/>
        <w:rPr>
          <w:noProof/>
        </w:rPr>
      </w:pPr>
      <w:r>
        <w:rPr>
          <w:noProof/>
        </w:rPr>
        <w:t>Valstu izpildiestādēm visbiežāk pieejamie pasākumi ir finanšu sankcijas, kuras ir paredzētas visās 16 dalībvalstīs. Kaut arī direktīva nenosaka finanšu sankciju minimālos un maksimālos sliekšņus, dažas dalībvalstis to dara. Gadījumos, kad tie ir noteikti, minimālās un maksimālās summas dalībvalstīs atšķiras</w:t>
      </w:r>
      <w:r>
        <w:rPr>
          <w:rStyle w:val="FootnoteReference"/>
          <w:noProof/>
        </w:rPr>
        <w:footnoteReference w:id="49"/>
      </w:r>
      <w:r>
        <w:rPr>
          <w:noProof/>
        </w:rPr>
        <w:t>. Dažos gadījumos maksimālā summa ir noteikta, balstoties uz pārkāpēja puses apgrozījumu</w:t>
      </w:r>
      <w:r>
        <w:rPr>
          <w:rStyle w:val="FootnoteReference"/>
          <w:noProof/>
        </w:rPr>
        <w:footnoteReference w:id="50"/>
      </w:r>
      <w:r>
        <w:rPr>
          <w:noProof/>
        </w:rPr>
        <w:t>; citos gadījumos tā tiek aprēķināta procentuāli no: i) pirkuma cenas</w:t>
      </w:r>
      <w:r>
        <w:rPr>
          <w:rStyle w:val="FootnoteReference"/>
          <w:noProof/>
        </w:rPr>
        <w:footnoteReference w:id="51"/>
      </w:r>
      <w:r>
        <w:rPr>
          <w:noProof/>
        </w:rPr>
        <w:t>; ii) piegādātājam pieprasītā maksājuma</w:t>
      </w:r>
      <w:r>
        <w:rPr>
          <w:rStyle w:val="FootnoteReference"/>
          <w:noProof/>
        </w:rPr>
        <w:footnoteReference w:id="52"/>
      </w:r>
      <w:r>
        <w:rPr>
          <w:noProof/>
        </w:rPr>
        <w:t>; vai iii) peļņas, ko guvusi pārkāpēja puse darījumā, kuru ietekmējusi negodīgā prakse</w:t>
      </w:r>
      <w:r>
        <w:rPr>
          <w:rStyle w:val="FootnoteReference"/>
          <w:noProof/>
        </w:rPr>
        <w:footnoteReference w:id="53"/>
      </w:r>
      <w:r>
        <w:rPr>
          <w:noProof/>
        </w:rPr>
        <w:t>. 10 dalībvalstis nav noteikušas minimālos sliekšņus</w:t>
      </w:r>
      <w:r>
        <w:rPr>
          <w:rStyle w:val="FootnoteReference"/>
          <w:noProof/>
        </w:rPr>
        <w:footnoteReference w:id="54"/>
      </w:r>
      <w:r>
        <w:rPr>
          <w:noProof/>
        </w:rPr>
        <w:t>, un trīs dalībvalstis nav noteikušas maksimālos griestus</w:t>
      </w:r>
      <w:r>
        <w:rPr>
          <w:rStyle w:val="FootnoteReference"/>
          <w:noProof/>
        </w:rPr>
        <w:footnoteReference w:id="55"/>
      </w:r>
      <w:r>
        <w:rPr>
          <w:noProof/>
        </w:rPr>
        <w:t>. Sešas dalībvalstis precizē kritērijus un faktorus, kuri ir iesaistīti sankciju summas noteikšanā konkrētos apstākļos, to skaitā pārkāpuma raksturu, tā ilgumu un apmēru, kādā izpaužas kaitīgās sekas</w:t>
      </w:r>
      <w:r>
        <w:rPr>
          <w:rStyle w:val="FootnoteReference"/>
          <w:noProof/>
        </w:rPr>
        <w:footnoteReference w:id="56"/>
      </w:r>
      <w:r>
        <w:rPr>
          <w:noProof/>
        </w:rPr>
        <w:t xml:space="preserve">. </w:t>
      </w:r>
    </w:p>
    <w:p w14:paraId="10DA0D52" w14:textId="5CB7FAD5" w:rsidR="00645071" w:rsidRPr="00E3367E" w:rsidRDefault="00221620" w:rsidP="00DD5887">
      <w:pPr>
        <w:pStyle w:val="Text1"/>
        <w:spacing w:before="0" w:after="240"/>
        <w:ind w:left="0"/>
        <w:rPr>
          <w:noProof/>
        </w:rPr>
      </w:pPr>
      <w:r>
        <w:rPr>
          <w:noProof/>
        </w:rPr>
        <w:t xml:space="preserve">Tikai Luksemburga un Lietuva ir skaidri iekļāvušas principu, saskaņā ar kuru sodiem jābūt iedarbīgiem, samērīgiem un atturošiem. </w:t>
      </w:r>
    </w:p>
    <w:p w14:paraId="183DC3C1" w14:textId="54F4B961" w:rsidR="000F6308" w:rsidRPr="00E3367E" w:rsidRDefault="000F6308" w:rsidP="00DD5887">
      <w:pPr>
        <w:pStyle w:val="Text1"/>
        <w:spacing w:before="0" w:after="240"/>
        <w:ind w:left="0"/>
        <w:rPr>
          <w:noProof/>
        </w:rPr>
      </w:pPr>
      <w:r>
        <w:rPr>
          <w:noProof/>
        </w:rPr>
        <w:t>Grieķijas tiesību aktos ir atsauce uz samērīgumu un atturēšanu, bet ne uz iedarbīgumu, regulējot administratīvās iestādes pilnvaras noteikt piemērojamos pasākumus, savukārt Somijas tiesību aktos ir atsauce uz vajadzību pēc saprātīguma, nosakot finanšu sankcijas, bet ne uz citiem principiem. Somija arī piemēro proporcionalitāti tiesas priekšrakstiem, bet tikai attiecībā uz komercnoslēpuma pārkāpumiem</w:t>
      </w:r>
      <w:r>
        <w:rPr>
          <w:rStyle w:val="FootnoteReference"/>
          <w:noProof/>
        </w:rPr>
        <w:footnoteReference w:id="57"/>
      </w:r>
      <w:r>
        <w:rPr>
          <w:noProof/>
        </w:rPr>
        <w:t xml:space="preserve">. </w:t>
      </w:r>
    </w:p>
    <w:p w14:paraId="148B8919" w14:textId="3A19825D" w:rsidR="001B7E86" w:rsidRPr="00E3367E" w:rsidRDefault="001B7E86" w:rsidP="00DD5887">
      <w:pPr>
        <w:pStyle w:val="Text1"/>
        <w:spacing w:before="0" w:after="240"/>
        <w:ind w:left="0"/>
        <w:rPr>
          <w:noProof/>
        </w:rPr>
      </w:pPr>
      <w:r>
        <w:rPr>
          <w:noProof/>
        </w:rPr>
        <w:t>Papildus finanšu sankcijām pastāv tiesiskās aizsardzības līdzekļi.</w:t>
      </w:r>
    </w:p>
    <w:p w14:paraId="48175095" w14:textId="0F3CD4E0" w:rsidR="001B7E86" w:rsidRPr="00E3367E" w:rsidRDefault="00FB0B99" w:rsidP="00DD5887">
      <w:pPr>
        <w:pStyle w:val="Text1"/>
        <w:spacing w:before="0" w:after="240"/>
        <w:ind w:left="0"/>
        <w:rPr>
          <w:noProof/>
        </w:rPr>
      </w:pPr>
      <w:r>
        <w:rPr>
          <w:noProof/>
        </w:rPr>
        <w:t>Attiecībā uz tiesas priekšrakstiem, kuri tiek izmantoti, lai izbeigtu negodīgu praksi, dalībvalstis neatbilstības novēršanai bieži ir izmantojušas kāda veida sodu</w:t>
      </w:r>
      <w:r>
        <w:rPr>
          <w:rStyle w:val="FootnoteReference"/>
          <w:noProof/>
        </w:rPr>
        <w:footnoteReference w:id="58"/>
      </w:r>
      <w:r>
        <w:rPr>
          <w:noProof/>
        </w:rPr>
        <w:t xml:space="preserve">. </w:t>
      </w:r>
    </w:p>
    <w:p w14:paraId="017587C5" w14:textId="76A452F5" w:rsidR="00F269FD" w:rsidRDefault="000A2951" w:rsidP="00DD5887">
      <w:pPr>
        <w:pStyle w:val="Text1"/>
        <w:spacing w:before="0" w:after="240"/>
        <w:ind w:left="0"/>
        <w:rPr>
          <w:noProof/>
        </w:rPr>
      </w:pPr>
      <w:r>
        <w:rPr>
          <w:noProof/>
        </w:rPr>
        <w:t>Līdzīgi tiesas priekšrakstiem, ar valstu tiesību aktiem, kuri transponē direktīvu, ir ieviesti citi pasākumi:</w:t>
      </w:r>
    </w:p>
    <w:p w14:paraId="24335286" w14:textId="03977786" w:rsidR="00F269FD" w:rsidRDefault="001B7E86" w:rsidP="000462BF">
      <w:pPr>
        <w:pStyle w:val="Text1"/>
        <w:numPr>
          <w:ilvl w:val="0"/>
          <w:numId w:val="16"/>
        </w:numPr>
        <w:spacing w:before="0" w:after="240"/>
        <w:rPr>
          <w:noProof/>
        </w:rPr>
      </w:pPr>
      <w:r>
        <w:rPr>
          <w:noProof/>
        </w:rPr>
        <w:t>“atbilstības brīdinājumi” Īrijas tiesībās,</w:t>
      </w:r>
    </w:p>
    <w:p w14:paraId="092BEC77" w14:textId="417B86D1" w:rsidR="00F269FD" w:rsidRDefault="001B7E86" w:rsidP="000462BF">
      <w:pPr>
        <w:pStyle w:val="Text1"/>
        <w:numPr>
          <w:ilvl w:val="0"/>
          <w:numId w:val="16"/>
        </w:numPr>
        <w:spacing w:before="0" w:after="240"/>
        <w:rPr>
          <w:noProof/>
        </w:rPr>
      </w:pPr>
      <w:r>
        <w:rPr>
          <w:noProof/>
        </w:rPr>
        <w:t>“piesardzības pasākumi” Luksemburgas tiesībās,</w:t>
      </w:r>
    </w:p>
    <w:p w14:paraId="417B4F6D" w14:textId="541F8076" w:rsidR="001B7E86" w:rsidRPr="00E3367E" w:rsidRDefault="001B7E86" w:rsidP="000462BF">
      <w:pPr>
        <w:pStyle w:val="Text1"/>
        <w:numPr>
          <w:ilvl w:val="0"/>
          <w:numId w:val="16"/>
        </w:numPr>
        <w:spacing w:before="0" w:after="240"/>
        <w:rPr>
          <w:noProof/>
        </w:rPr>
      </w:pPr>
      <w:r>
        <w:rPr>
          <w:noProof/>
        </w:rPr>
        <w:t xml:space="preserve">Ungārijas pasākumi, kuri ļauj administratīvajai iestādei noteikt aizliegumu tirgotājam piemērot standarta pakalpojumu nolīguma noteikumus, ja i) tas nav skaidri noformulēts, ii) pakalpojums vai apsvērums nav precizēts vai iii) pieprasītā maksa nav proporcionāla izmaksām.  </w:t>
      </w:r>
    </w:p>
    <w:p w14:paraId="32A2E6A2" w14:textId="6A2631F9" w:rsidR="00290332" w:rsidRPr="00E3367E" w:rsidRDefault="00F269FD" w:rsidP="00DD5887">
      <w:pPr>
        <w:pStyle w:val="Text1"/>
        <w:spacing w:before="0" w:after="240"/>
        <w:ind w:left="0"/>
        <w:rPr>
          <w:noProof/>
        </w:rPr>
      </w:pPr>
      <w:r>
        <w:rPr>
          <w:noProof/>
        </w:rPr>
        <w:t>Kaut arī civiltiesiskās aizsardzības līdzekļi transponēšanas aktos ir pieminēti reti, pastāv vairāki izņēmumi. Dažas dalībvalstis paredz līguma noteikumu atcelšanu</w:t>
      </w:r>
      <w:r>
        <w:rPr>
          <w:rStyle w:val="FootnoteReference"/>
          <w:noProof/>
        </w:rPr>
        <w:footnoteReference w:id="59"/>
      </w:r>
      <w:r>
        <w:rPr>
          <w:noProof/>
        </w:rPr>
        <w:t>; citas paredz restitūcijas</w:t>
      </w:r>
      <w:r>
        <w:rPr>
          <w:rStyle w:val="FootnoteReference"/>
          <w:noProof/>
        </w:rPr>
        <w:footnoteReference w:id="60"/>
      </w:r>
      <w:r>
        <w:rPr>
          <w:noProof/>
        </w:rPr>
        <w:t xml:space="preserve"> vai kompensācijas</w:t>
      </w:r>
      <w:r>
        <w:rPr>
          <w:rStyle w:val="FootnoteReference"/>
          <w:noProof/>
        </w:rPr>
        <w:footnoteReference w:id="61"/>
      </w:r>
      <w:r>
        <w:rPr>
          <w:noProof/>
        </w:rPr>
        <w:t xml:space="preserve"> pasākumus. </w:t>
      </w:r>
    </w:p>
    <w:p w14:paraId="2E76AD1E" w14:textId="7464D494" w:rsidR="001B7E86" w:rsidRPr="00E3367E" w:rsidRDefault="006F7949" w:rsidP="00DD5887">
      <w:pPr>
        <w:pStyle w:val="Text1"/>
        <w:spacing w:before="0" w:after="240"/>
        <w:ind w:left="0"/>
        <w:rPr>
          <w:noProof/>
        </w:rPr>
      </w:pPr>
      <w:r>
        <w:rPr>
          <w:noProof/>
        </w:rPr>
        <w:t xml:space="preserve">Saistības ir skaidri regulētas Horvātijā un Ungārijā. To apstiprināšana izpildiestādē parasti izslēdz pārkāpuma konstatēšanu un sodu, ja vien saistības netiek izpildītas. </w:t>
      </w:r>
    </w:p>
    <w:p w14:paraId="19DC30B1" w14:textId="286DEA58" w:rsidR="00AC3876" w:rsidRPr="00CF2E9C" w:rsidRDefault="00472A34" w:rsidP="00CF2E9C">
      <w:pPr>
        <w:pStyle w:val="Heading3"/>
        <w:tabs>
          <w:tab w:val="clear" w:pos="1842"/>
          <w:tab w:val="num" w:pos="851"/>
        </w:tabs>
        <w:spacing w:before="0" w:after="240"/>
        <w:ind w:left="0" w:firstLine="0"/>
        <w:rPr>
          <w:rFonts w:eastAsiaTheme="minorEastAsia"/>
          <w:b/>
          <w:i w:val="0"/>
          <w:noProof/>
        </w:rPr>
      </w:pPr>
      <w:bookmarkStart w:id="39" w:name="_Toc85632476"/>
      <w:bookmarkStart w:id="40" w:name="_Toc78461439"/>
      <w:r>
        <w:rPr>
          <w:b/>
          <w:i w:val="0"/>
          <w:noProof/>
        </w:rPr>
        <w:t>Administratīvā un tiesiskā izpilde un alternatīva strīdu izšķiršana</w:t>
      </w:r>
      <w:bookmarkEnd w:id="39"/>
      <w:r>
        <w:rPr>
          <w:b/>
          <w:i w:val="0"/>
          <w:noProof/>
        </w:rPr>
        <w:t xml:space="preserve"> </w:t>
      </w:r>
      <w:bookmarkEnd w:id="40"/>
    </w:p>
    <w:p w14:paraId="2F44B325" w14:textId="2F8EEC91" w:rsidR="00472A34" w:rsidRPr="00B51048" w:rsidRDefault="00D24CC2" w:rsidP="00215304">
      <w:pPr>
        <w:pStyle w:val="Text1"/>
        <w:spacing w:before="0" w:after="240"/>
        <w:ind w:left="0"/>
        <w:rPr>
          <w:noProof/>
        </w:rPr>
      </w:pPr>
      <w:bookmarkStart w:id="41" w:name="_Toc78452829"/>
      <w:bookmarkStart w:id="42" w:name="_Toc78461440"/>
      <w:r>
        <w:rPr>
          <w:noProof/>
        </w:rPr>
        <w:t>Lielāko daļu iepriekš minēto pasākumu un izpildes mehānismu var uzskatīt par administratīvo izpildi.</w:t>
      </w:r>
      <w:bookmarkEnd w:id="41"/>
      <w:bookmarkEnd w:id="42"/>
    </w:p>
    <w:p w14:paraId="799958CC" w14:textId="1E8FA02A" w:rsidR="005A474F" w:rsidRPr="00B51048" w:rsidRDefault="27BA9EC7" w:rsidP="00215304">
      <w:pPr>
        <w:pStyle w:val="Text1"/>
        <w:spacing w:before="0" w:after="240"/>
        <w:ind w:left="0"/>
        <w:rPr>
          <w:noProof/>
        </w:rPr>
      </w:pPr>
      <w:bookmarkStart w:id="43" w:name="_Toc78452830"/>
      <w:bookmarkStart w:id="44" w:name="_Toc78461441"/>
      <w:r>
        <w:rPr>
          <w:noProof/>
        </w:rPr>
        <w:t>Vairāku dalībvalstu transponēšanas akti skaidri atsaucas gan uz administratīvo, gan tiesisko izpildi. Konkrētāk, astoņas dalībvalstis paredz, ka administratīvo iestāžu lēmumus var pārsūdzēt tiesā</w:t>
      </w:r>
      <w:r>
        <w:rPr>
          <w:rStyle w:val="FootnoteReference"/>
          <w:noProof/>
        </w:rPr>
        <w:footnoteReference w:id="62"/>
      </w:r>
      <w:r>
        <w:rPr>
          <w:noProof/>
        </w:rPr>
        <w:t>. Turklāt Somijas tiesību aktos ir noteikts, ka konkrētas pilnvaras (piemēram, noteikt sodus) tiek piešķirtas tikai tiesai, savukārt citus pasākumus (kā priekšrakstus) var pieņemt gan administratīvā, gan tiesu iestāde. Bulgārijas tiesību aktos ir noteikts, ka iestāde, kura ir atbildīga par konkrētām procedūrām saskaņā ar transponēšanas tiesību aktiem, nedrīkst atturēt piegādes līguma pusi prasīt zaudējumu atlīdzināšanu ar citas pastāvošas procedūras palīdzību, netieši atzīstot citu izpildes struktūru, tostarp tiesu, lomu. Latvijas tiesību aktos ir noteikts, ka saskaņā ar civilprocesā paredzētajām procedūrām vienlaikus ar Konkurences padomi arī tiesa var noteikt, vai ir noticis transponēšanas tiesību akta pārkāpums.</w:t>
      </w:r>
      <w:bookmarkEnd w:id="43"/>
      <w:bookmarkEnd w:id="44"/>
    </w:p>
    <w:p w14:paraId="0AF07975" w14:textId="202E6D41" w:rsidR="001B7E86" w:rsidRPr="008E0E7A" w:rsidRDefault="001B7E86" w:rsidP="00CF2E9C">
      <w:pPr>
        <w:pStyle w:val="Text1"/>
        <w:spacing w:before="0" w:after="240"/>
        <w:ind w:left="0"/>
        <w:rPr>
          <w:b/>
          <w:bCs/>
          <w:noProof/>
        </w:rPr>
      </w:pPr>
      <w:r>
        <w:rPr>
          <w:noProof/>
        </w:rPr>
        <w:t>Ir skaidrs, ka šīs dalībvalstis izmanto paralēlu tiesiskās aizsardzības līdzekļu sistēmu, tomēr neparedz konkrētus koordinācijas noteikumus starp administratīvajām un tiesu iestādēm.</w:t>
      </w:r>
    </w:p>
    <w:p w14:paraId="46702DFC" w14:textId="347E5D98" w:rsidR="00CA535F" w:rsidRPr="00E62635" w:rsidRDefault="00B51048" w:rsidP="00E62635">
      <w:pPr>
        <w:jc w:val="both"/>
        <w:rPr>
          <w:rFonts w:ascii="Times New Roman" w:hAnsi="Times New Roman" w:cs="Times New Roman"/>
          <w:b/>
          <w:bCs/>
          <w:noProof/>
          <w:sz w:val="24"/>
          <w:szCs w:val="24"/>
        </w:rPr>
      </w:pPr>
      <w:bookmarkStart w:id="45" w:name="_Toc78452831"/>
      <w:bookmarkStart w:id="46" w:name="_Toc78461442"/>
      <w:bookmarkStart w:id="47" w:name="_Toc82017611"/>
      <w:r w:rsidRPr="00E62635">
        <w:rPr>
          <w:rFonts w:ascii="Times New Roman" w:hAnsi="Times New Roman" w:cs="Times New Roman"/>
          <w:noProof/>
          <w:sz w:val="24"/>
          <w:szCs w:val="24"/>
        </w:rPr>
        <w:t>Attiecībā uz direktīvas 7. pantu septiņas dalībvalstis paredz iespēju izmantot alternatīvus strīdu izšķiršanas mehānismus</w:t>
      </w:r>
      <w:r w:rsidRPr="00E62635">
        <w:rPr>
          <w:rStyle w:val="FootnoteReference"/>
          <w:rFonts w:ascii="Times New Roman" w:hAnsi="Times New Roman" w:cs="Times New Roman"/>
          <w:noProof/>
          <w:sz w:val="24"/>
          <w:szCs w:val="24"/>
        </w:rPr>
        <w:footnoteReference w:id="63"/>
      </w:r>
      <w:r w:rsidRPr="00E62635">
        <w:rPr>
          <w:rFonts w:ascii="Times New Roman" w:hAnsi="Times New Roman" w:cs="Times New Roman"/>
          <w:noProof/>
          <w:sz w:val="24"/>
          <w:szCs w:val="24"/>
        </w:rPr>
        <w:t>. To vidū Nīderlandes tiesību akti pilnvaro attiecīgo ministru nozīmēt strīdu izšķiršanas komiteju un pēc tam ieceltajai komitejai piesaistīt pircēju. Komitejas lēmums pusēm ir saistošs, ja vien kāda no pusēm strīdu neiesniedz civiltiesā trīs mēnešu laikā pēc lēmuma pieņemšanas.</w:t>
      </w:r>
      <w:bookmarkEnd w:id="45"/>
      <w:bookmarkEnd w:id="46"/>
      <w:r w:rsidRPr="00E62635">
        <w:rPr>
          <w:rFonts w:ascii="Times New Roman" w:hAnsi="Times New Roman" w:cs="Times New Roman"/>
          <w:noProof/>
          <w:sz w:val="24"/>
          <w:szCs w:val="24"/>
        </w:rPr>
        <w:t xml:space="preserve"> Saskaņā ar Maltas tiesību aktiem izpildiestāde var uzaicināt puses uz mediācijas procedūru, kurā tiek noteikts zaudējumu apmērs. Netiek skaidri regulēti nekādi koordinācijas mehānismi ar administratīvo un tiesisko izpildi.</w:t>
      </w:r>
      <w:bookmarkEnd w:id="47"/>
    </w:p>
    <w:p w14:paraId="58A0E407" w14:textId="3FEC3FF4" w:rsidR="001B7E86" w:rsidRPr="00E3367E" w:rsidRDefault="001B7E86" w:rsidP="007A4A0A">
      <w:pPr>
        <w:pStyle w:val="Text1"/>
        <w:spacing w:after="240"/>
        <w:ind w:left="0"/>
        <w:rPr>
          <w:noProof/>
        </w:rPr>
      </w:pPr>
      <w:r>
        <w:rPr>
          <w:noProof/>
        </w:rPr>
        <w:t>Nevienā no transponēšanas tiesību aktiem nav skatīts jautājums par administratīvo iestāžu ekstrateritoriālajām pilnvarām. Vairākas dalībvalstis ir precizējušas, ka izpildiestādei ir kompetence tikai attiecībā uz praksi, kura tiek izmantota attiecībās, kurās piegādātājs vai pircējs, vai abi veic uzņēmējdarbību iestādes dalībvalstī</w:t>
      </w:r>
      <w:r>
        <w:rPr>
          <w:rStyle w:val="FootnoteReference"/>
          <w:noProof/>
        </w:rPr>
        <w:footnoteReference w:id="64"/>
      </w:r>
      <w:r>
        <w:rPr>
          <w:noProof/>
        </w:rPr>
        <w:t xml:space="preserve">. </w:t>
      </w:r>
    </w:p>
    <w:p w14:paraId="2F58C553" w14:textId="525B6367" w:rsidR="001B7E86" w:rsidRPr="00E3367E" w:rsidRDefault="00A04770" w:rsidP="00CF2E9C">
      <w:pPr>
        <w:pStyle w:val="Text1"/>
        <w:spacing w:before="0" w:after="240"/>
        <w:ind w:left="0"/>
        <w:rPr>
          <w:noProof/>
        </w:rPr>
      </w:pPr>
      <w:r>
        <w:rPr>
          <w:noProof/>
        </w:rPr>
        <w:t>Konkrētajā pārrobežu pārkāpumu gadījumā pašlaik šķietami tikai Vācijas transponēšanas tiesību akts regulē sadarbības formas ar pārējo dalībvalstu administratīvajām iestādēm.</w:t>
      </w:r>
    </w:p>
    <w:p w14:paraId="615FA1DB" w14:textId="77777777" w:rsidR="00CA535F" w:rsidRPr="00E3367E" w:rsidRDefault="00345126" w:rsidP="00CF2E9C">
      <w:pPr>
        <w:pStyle w:val="Heading1"/>
        <w:spacing w:before="0" w:after="240"/>
        <w:ind w:left="0" w:firstLine="0"/>
        <w:rPr>
          <w:noProof/>
        </w:rPr>
      </w:pPr>
      <w:bookmarkStart w:id="48" w:name="_Toc78452832"/>
      <w:bookmarkStart w:id="49" w:name="_Toc78461443"/>
      <w:bookmarkStart w:id="50" w:name="_Toc85632477"/>
      <w:bookmarkEnd w:id="48"/>
      <w:r>
        <w:rPr>
          <w:noProof/>
        </w:rPr>
        <w:t>Secinājumi</w:t>
      </w:r>
      <w:bookmarkEnd w:id="49"/>
      <w:bookmarkEnd w:id="50"/>
    </w:p>
    <w:p w14:paraId="6FBF9A72" w14:textId="10686143" w:rsidR="00670E8F" w:rsidRPr="00E3367E" w:rsidRDefault="00BA3ACA" w:rsidP="00152A36">
      <w:pPr>
        <w:pStyle w:val="Text1"/>
        <w:spacing w:before="0" w:after="240"/>
        <w:ind w:left="0"/>
        <w:rPr>
          <w:noProof/>
        </w:rPr>
      </w:pPr>
      <w:r>
        <w:rPr>
          <w:noProof/>
        </w:rPr>
        <w:t xml:space="preserve">Vairums no šā ziņojuma kontekstā analizētajām 16 dalībvalstīm ir centušās direktīvu transponēt paredzētajā termiņā. Lielākā daļa no šīm dalībvalstīm ir pārsniegušas direktīvā noteikto minimālo aizsardzības līmeni. Principā stingrāki noteikumi ir saderīgi ar direktīvu, ja tie ievēro ES iekšējā tirgus noteikumus. Kopumā dalībvalstis ievēro šī tiesību akta nozarisko pieeju un piemēro noteikumus agropārtikas ķēdē. Vairāk nekā puse no šajā ziņojumā analizētajām dalībvalstīm ir vai nu attālinājušās no direktīvā noteiktajām apgrozījuma kategorijām, vai pat piemērojušas noteikumus neatkarīgi no attiecīgo tirgus dalībnieku apgrozījuma. Vairums dalībvalstu ir paplašinājušas direktīvas negodīgas tirdzniecības prakses sarakstu, pievienojot aizliegumus vai padarot direktīvā noteiktos aizliegumus stingrākus. Turpretī tās (dažas) dalībvalstis, kurām nebija attiecīgu spēkā esošu tiesību aktu pirms direktīvas transponēšanas, kopumā pielāgojās direktīvas piemērošanas jomai. Kaut arī vairumā gadījumu dalībvalstu transponēšanas izvēles šķiet identiskas vai līdzvērtīgas direktīvā paredzētajiem noteikumiem, pastāv vairākas atšķirības. Tās tiks analizētas papildus. </w:t>
      </w:r>
    </w:p>
    <w:p w14:paraId="24950BF7" w14:textId="221AEB51" w:rsidR="00AA3545" w:rsidRPr="00E3367E" w:rsidRDefault="5FD0078A" w:rsidP="00CF2E9C">
      <w:pPr>
        <w:pStyle w:val="Text1"/>
        <w:spacing w:before="0" w:after="240"/>
        <w:ind w:left="0"/>
        <w:rPr>
          <w:noProof/>
        </w:rPr>
      </w:pPr>
      <w:r>
        <w:rPr>
          <w:noProof/>
        </w:rPr>
        <w:t xml:space="preserve">Attiecībā uz iestādēm, kurām ir uzticēta negodīgas tirdzniecības prakses noteikumu izpilde, dalībvalstis koncentrējās uz administratīvo iestāžu lomu, savukārt tiesiska izpilde ir paredzēta tikai ierobežotā apmērā. Vispārīgi runājot, starp administratīvo un tiesisko izpildi koordinācija nav paredzēta, vai arī tā ir neliela. Kaut arī dalībvalstis paredz ražotāju organizācijām iespēju iesniegt kolektīvās sūdzības, citi kolektīvas tiesiskās aizsardzības mehānismi kopumā paliek neizpētīti. Dažkārt ir atsauces uz alternatīviem strīdu izšķiršanas mehānismiem. </w:t>
      </w:r>
    </w:p>
    <w:p w14:paraId="04F8C2A6" w14:textId="52D1E797" w:rsidR="009B10D5" w:rsidRPr="00E3367E" w:rsidRDefault="36A420EB" w:rsidP="00CF2E9C">
      <w:pPr>
        <w:pStyle w:val="Text1"/>
        <w:spacing w:before="0" w:after="240"/>
        <w:ind w:left="0"/>
        <w:rPr>
          <w:noProof/>
        </w:rPr>
      </w:pPr>
      <w:r>
        <w:rPr>
          <w:noProof/>
        </w:rPr>
        <w:t xml:space="preserve">Saistībā ar izpildes pasākumiem lielākais uzsvars ir uz finanšu sankcijām un tiesas priekšrakstiem, savukārt dažas dalībvalstis ievieš iespēju pusēm piedāvāt saistību uzņemšanos. Vairākas dalībvalstis plāno izmantot arī civiltiesiskās aizsardzības līdzekļus. Attiecībā uz sodu un citu sankciju iedarbīgumu, samērīgumu un preventīvo ietekmi pastāv ļoti ierobežotas specifikācijas. </w:t>
      </w:r>
    </w:p>
    <w:p w14:paraId="57D46756" w14:textId="2CEE8509" w:rsidR="00D47E9F" w:rsidRDefault="26CB56C4" w:rsidP="00CF2E9C">
      <w:pPr>
        <w:pStyle w:val="Text1"/>
        <w:spacing w:before="0" w:after="240"/>
        <w:ind w:left="0"/>
        <w:rPr>
          <w:noProof/>
        </w:rPr>
      </w:pPr>
      <w:r>
        <w:rPr>
          <w:noProof/>
        </w:rPr>
        <w:t>Pilnīgāka aina būs tad, kad visas dalībvalstis būs pabeigušas transponēšanas procesu</w:t>
      </w:r>
      <w:r>
        <w:rPr>
          <w:rStyle w:val="FootnoteReference"/>
          <w:noProof/>
        </w:rPr>
        <w:footnoteReference w:id="65"/>
      </w:r>
      <w:r>
        <w:rPr>
          <w:noProof/>
        </w:rPr>
        <w:t>. Pirmais direktīvas izvērtējums ES līmenī un ziņojums par galvenajiem šā izvērtējuma konstatējumiem tiks iesniegts līdz 2025. gada 1. novembrim.</w:t>
      </w:r>
    </w:p>
    <w:p w14:paraId="0A8D344C" w14:textId="77777777" w:rsidR="00CA535F" w:rsidRPr="00AA3545" w:rsidRDefault="00CA535F" w:rsidP="00CF2E9C">
      <w:pPr>
        <w:pStyle w:val="Text1"/>
        <w:spacing w:before="0" w:after="240"/>
        <w:ind w:left="0"/>
        <w:rPr>
          <w:noProof/>
        </w:rPr>
      </w:pPr>
    </w:p>
    <w:sectPr w:rsidR="00CA535F" w:rsidRPr="00AA3545" w:rsidSect="00672FC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292183D" w16cex:dateUtc="2021-09-24T14:23:17.941Z"/>
  <w16cex:commentExtensible w16cex:durableId="0E197A16" w16cex:dateUtc="2021-09-24T14:26:45.65Z"/>
  <w16cex:commentExtensible w16cex:durableId="2DC1C36D" w16cex:dateUtc="2021-09-24T14:30:04.355Z"/>
</w16cex:commentsExtensible>
</file>

<file path=word/commentsIds.xml><?xml version="1.0" encoding="utf-8"?>
<w16cid:commentsIds xmlns:mc="http://schemas.openxmlformats.org/markup-compatibility/2006" xmlns:w16cid="http://schemas.microsoft.com/office/word/2016/wordml/cid" mc:Ignorable="w16cid">
  <w16cid:commentId w16cid:paraId="775AA247" w16cid:durableId="24E2FD66"/>
  <w16cid:commentId w16cid:paraId="3B2F6E9E" w16cid:durableId="24E2FD67"/>
  <w16cid:commentId w16cid:paraId="65B3F8D0" w16cid:durableId="24E2FD68"/>
  <w16cid:commentId w16cid:paraId="3EAA11CA" w16cid:durableId="24E2FD69"/>
  <w16cid:commentId w16cid:paraId="21BD71D7" w16cid:durableId="24E2FD6A"/>
  <w16cid:commentId w16cid:paraId="5C842E72" w16cid:durableId="24E2FD6B"/>
  <w16cid:commentId w16cid:paraId="79B5EB31" w16cid:durableId="24E2FD6C"/>
  <w16cid:commentId w16cid:paraId="13AD9703" w16cid:durableId="24E2FD6D"/>
  <w16cid:commentId w16cid:paraId="1F0C7E9B" w16cid:durableId="24E2FD6E"/>
  <w16cid:commentId w16cid:paraId="1EB6958C" w16cid:durableId="24E2FD6F"/>
  <w16cid:commentId w16cid:paraId="53833901" w16cid:durableId="24E2FD70"/>
  <w16cid:commentId w16cid:paraId="65B9160E" w16cid:durableId="24E2FD71"/>
  <w16cid:commentId w16cid:paraId="09A40B42" w16cid:durableId="24E2FD72"/>
  <w16cid:commentId w16cid:paraId="4C56250A" w16cid:durableId="24E2FD73"/>
  <w16cid:commentId w16cid:paraId="5ED3F588" w16cid:durableId="24E2FD74"/>
  <w16cid:commentId w16cid:paraId="31F00B1C" w16cid:durableId="24E2FD75"/>
  <w16cid:commentId w16cid:paraId="4B8EFA64" w16cid:durableId="24E2FD76"/>
  <w16cid:commentId w16cid:paraId="24BA9853" w16cid:durableId="24E2FD77"/>
  <w16cid:commentId w16cid:paraId="4BBFD954" w16cid:durableId="24E2FD78"/>
  <w16cid:commentId w16cid:paraId="2579764B" w16cid:durableId="24E2FD79"/>
  <w16cid:commentId w16cid:paraId="46F1AE9F" w16cid:durableId="24E2FD7A"/>
  <w16cid:commentId w16cid:paraId="438E697F" w16cid:durableId="24E2FD7B"/>
  <w16cid:commentId w16cid:paraId="5BCC0387" w16cid:durableId="24E2FD7C"/>
  <w16cid:commentId w16cid:paraId="0346391B" w16cid:durableId="24E2FD7D"/>
  <w16cid:commentId w16cid:paraId="26F12520" w16cid:durableId="24E2FD7E"/>
  <w16cid:commentId w16cid:paraId="7FC52D86" w16cid:durableId="7BBE2A45"/>
  <w16cid:commentId w16cid:paraId="723E90B4" w16cid:durableId="0EB1EF4C"/>
  <w16cid:commentId w16cid:paraId="0D41D50B" w16cid:durableId="7D94E12B"/>
  <w16cid:commentId w16cid:paraId="3FC79D54" w16cid:durableId="0FC04560"/>
  <w16cid:commentId w16cid:paraId="0085FFD1" w16cid:durableId="2AB25A4F"/>
  <w16cid:commentId w16cid:paraId="5893A9BD" w16cid:durableId="27645E8E"/>
  <w16cid:commentId w16cid:paraId="096E3E3D" w16cid:durableId="15DE7469"/>
  <w16cid:commentId w16cid:paraId="4D7C8E2A" w16cid:durableId="063273A0"/>
  <w16cid:commentId w16cid:paraId="375C2D95" w16cid:durableId="328BEED4"/>
  <w16cid:commentId w16cid:paraId="381B556F" w16cid:durableId="1064256B"/>
  <w16cid:commentId w16cid:paraId="704DE63C" w16cid:durableId="78ECDF03"/>
  <w16cid:commentId w16cid:paraId="4577FA0F" w16cid:durableId="6E21C37F"/>
  <w16cid:commentId w16cid:paraId="6DE7EFF9" w16cid:durableId="1D170A28"/>
  <w16cid:commentId w16cid:paraId="382AEE65" w16cid:durableId="5516C935"/>
  <w16cid:commentId w16cid:paraId="481F2809" w16cid:durableId="10220949"/>
  <w16cid:commentId w16cid:paraId="5039AA56" w16cid:durableId="3177C927"/>
  <w16cid:commentId w16cid:paraId="14E09D47" w16cid:durableId="6DDB9642"/>
  <w16cid:commentId w16cid:paraId="743F16B4" w16cid:durableId="6AECEF9D"/>
  <w16cid:commentId w16cid:paraId="10E86D40" w16cid:durableId="083F408E"/>
  <w16cid:commentId w16cid:paraId="782F43F3" w16cid:durableId="33C8E6A4"/>
  <w16cid:commentId w16cid:paraId="44637F24" w16cid:durableId="4CA6D160"/>
  <w16cid:commentId w16cid:paraId="7EB84060" w16cid:durableId="2934586D"/>
  <w16cid:commentId w16cid:paraId="2C571878" w16cid:durableId="2D901D16"/>
  <w16cid:commentId w16cid:paraId="1403236B" w16cid:durableId="0DEE0FF9"/>
  <w16cid:commentId w16cid:paraId="71A48B6D" w16cid:durableId="241F5FC4"/>
  <w16cid:commentId w16cid:paraId="735E6060" w16cid:durableId="2C109CD6"/>
  <w16cid:commentId w16cid:paraId="0AB372DD" w16cid:durableId="67ADF0F1"/>
  <w16cid:commentId w16cid:paraId="4E605818" w16cid:durableId="260A92BC"/>
  <w16cid:commentId w16cid:paraId="2048651F" w16cid:durableId="478A39B0"/>
  <w16cid:commentId w16cid:paraId="2FE3254F" w16cid:durableId="0ECB5DB6"/>
  <w16cid:commentId w16cid:paraId="0D6AD58A" w16cid:durableId="30310C3E"/>
  <w16cid:commentId w16cid:paraId="7ECA93A8" w16cid:durableId="54B572F4"/>
  <w16cid:commentId w16cid:paraId="7B97B636" w16cid:durableId="62FFC90E"/>
  <w16cid:commentId w16cid:paraId="314BFB1D" w16cid:durableId="4DE577A8"/>
  <w16cid:commentId w16cid:paraId="29942B21" w16cid:durableId="6394E09E"/>
  <w16cid:commentId w16cid:paraId="0036FECD" w16cid:durableId="4BDA63D0"/>
  <w16cid:commentId w16cid:paraId="3F98DED0" w16cid:durableId="58EFD30C"/>
  <w16cid:commentId w16cid:paraId="729677A9" w16cid:durableId="3A602000"/>
  <w16cid:commentId w16cid:paraId="7C03AA94" w16cid:durableId="3D39E96F"/>
  <w16cid:commentId w16cid:paraId="26D219A9" w16cid:durableId="73B46447"/>
  <w16cid:commentId w16cid:paraId="13504117" w16cid:durableId="0F5452BF"/>
  <w16cid:commentId w16cid:paraId="7A7C3375" w16cid:durableId="3588D809"/>
  <w16cid:commentId w16cid:paraId="2E02593A" w16cid:durableId="14A993C7"/>
  <w16cid:commentId w16cid:paraId="3A751E07" w16cid:durableId="509A8F41"/>
  <w16cid:commentId w16cid:paraId="6305120D" w16cid:durableId="444122F4"/>
  <w16cid:commentId w16cid:paraId="464E5464" w16cid:durableId="2CBE088A"/>
  <w16cid:commentId w16cid:paraId="232D23EA" w16cid:durableId="56851EBE"/>
  <w16cid:commentId w16cid:paraId="6B7E8907" w16cid:durableId="130F1D37"/>
  <w16cid:commentId w16cid:paraId="4B00B204" w16cid:durableId="4AFA8CB1"/>
  <w16cid:commentId w16cid:paraId="68E1C7E3" w16cid:durableId="21803C20"/>
  <w16cid:commentId w16cid:paraId="04E5771D" w16cid:durableId="222EDD5A"/>
  <w16cid:commentId w16cid:paraId="620A4415" w16cid:durableId="38454081"/>
  <w16cid:commentId w16cid:paraId="5DB573D9" w16cid:durableId="24E3A9CF"/>
  <w16cid:commentId w16cid:paraId="7A43AC26" w16cid:durableId="3292183D"/>
  <w16cid:commentId w16cid:paraId="18F418A5" w16cid:durableId="0E197A16"/>
  <w16cid:commentId w16cid:paraId="15815DA2" w16cid:durableId="2DC1C3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FD607" w14:textId="77777777" w:rsidR="00FC00EF" w:rsidRDefault="00FC00EF">
      <w:pPr>
        <w:spacing w:after="0" w:line="240" w:lineRule="auto"/>
      </w:pPr>
      <w:r>
        <w:separator/>
      </w:r>
    </w:p>
  </w:endnote>
  <w:endnote w:type="continuationSeparator" w:id="0">
    <w:p w14:paraId="290CD2F2" w14:textId="77777777" w:rsidR="00FC00EF" w:rsidRDefault="00FC00EF">
      <w:pPr>
        <w:spacing w:after="0" w:line="240" w:lineRule="auto"/>
      </w:pPr>
      <w:r>
        <w:continuationSeparator/>
      </w:r>
    </w:p>
  </w:endnote>
  <w:endnote w:type="continuationNotice" w:id="1">
    <w:p w14:paraId="26BAA52A" w14:textId="77777777" w:rsidR="00FC00EF" w:rsidRDefault="00FC00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Robot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5806" w14:textId="77777777" w:rsidR="00934FB4" w:rsidRPr="00934FB4" w:rsidRDefault="00934FB4" w:rsidP="00934F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84818" w14:textId="5CDB951C" w:rsidR="00574275" w:rsidRPr="00934FB4" w:rsidRDefault="00934FB4" w:rsidP="00934FB4">
    <w:pPr>
      <w:pStyle w:val="FooterCoverPage"/>
      <w:rPr>
        <w:rFonts w:ascii="Arial" w:hAnsi="Arial" w:cs="Arial"/>
        <w:b/>
        <w:sz w:val="48"/>
      </w:rPr>
    </w:pPr>
    <w:r w:rsidRPr="00934FB4">
      <w:rPr>
        <w:rFonts w:ascii="Arial" w:hAnsi="Arial" w:cs="Arial"/>
        <w:b/>
        <w:sz w:val="48"/>
      </w:rPr>
      <w:t>LV</w:t>
    </w:r>
    <w:r w:rsidRPr="00934FB4">
      <w:rPr>
        <w:rFonts w:ascii="Arial" w:hAnsi="Arial" w:cs="Arial"/>
        <w:b/>
        <w:sz w:val="48"/>
      </w:rPr>
      <w:tab/>
    </w:r>
    <w:r w:rsidRPr="00934FB4">
      <w:rPr>
        <w:rFonts w:ascii="Arial" w:hAnsi="Arial" w:cs="Arial"/>
        <w:b/>
        <w:sz w:val="48"/>
      </w:rPr>
      <w:tab/>
    </w:r>
    <w:r w:rsidRPr="00934FB4">
      <w:tab/>
    </w:r>
    <w:r w:rsidRPr="00934FB4">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4CD1B" w14:textId="77777777" w:rsidR="00934FB4" w:rsidRPr="00934FB4" w:rsidRDefault="00934FB4" w:rsidP="00934FB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4A9F0" w14:textId="77777777" w:rsidR="00F85F6C" w:rsidRDefault="00F85F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334037"/>
      <w:docPartObj>
        <w:docPartGallery w:val="Page Numbers (Bottom of Page)"/>
        <w:docPartUnique/>
      </w:docPartObj>
    </w:sdtPr>
    <w:sdtEndPr>
      <w:rPr>
        <w:noProof/>
      </w:rPr>
    </w:sdtEndPr>
    <w:sdtContent>
      <w:p w14:paraId="61E5081C" w14:textId="1FAF1591" w:rsidR="00F85F6C" w:rsidRDefault="00F85F6C">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34FB4">
          <w:rPr>
            <w:rFonts w:ascii="Times New Roman" w:hAnsi="Times New Roman" w:cs="Times New Roman"/>
            <w:noProof/>
          </w:rPr>
          <w:t>1</w:t>
        </w:r>
        <w:r>
          <w:rPr>
            <w:rFonts w:ascii="Times New Roman" w:hAnsi="Times New Roman" w:cs="Times New Roman"/>
          </w:rPr>
          <w:fldChar w:fldCharType="end"/>
        </w:r>
      </w:p>
    </w:sdtContent>
  </w:sdt>
  <w:p w14:paraId="2A75156E" w14:textId="77777777" w:rsidR="00F85F6C" w:rsidRDefault="00F85F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3F0B8" w14:textId="77777777" w:rsidR="00F85F6C" w:rsidRDefault="00F85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003E9" w14:textId="77777777" w:rsidR="00FC00EF" w:rsidRDefault="00FC00EF">
      <w:pPr>
        <w:spacing w:after="0" w:line="240" w:lineRule="auto"/>
      </w:pPr>
      <w:r>
        <w:separator/>
      </w:r>
    </w:p>
  </w:footnote>
  <w:footnote w:type="continuationSeparator" w:id="0">
    <w:p w14:paraId="33B94BC5" w14:textId="77777777" w:rsidR="00FC00EF" w:rsidRDefault="00FC00EF">
      <w:pPr>
        <w:spacing w:after="0" w:line="240" w:lineRule="auto"/>
      </w:pPr>
      <w:r>
        <w:continuationSeparator/>
      </w:r>
    </w:p>
  </w:footnote>
  <w:footnote w:type="continuationNotice" w:id="1">
    <w:p w14:paraId="1FD22056" w14:textId="77777777" w:rsidR="00FC00EF" w:rsidRDefault="00FC00EF">
      <w:pPr>
        <w:spacing w:after="0" w:line="240" w:lineRule="auto"/>
      </w:pPr>
    </w:p>
  </w:footnote>
  <w:footnote w:id="2">
    <w:p w14:paraId="2EA4625B" w14:textId="11D31A96" w:rsidR="00F85F6C" w:rsidRPr="005D2423" w:rsidRDefault="00F85F6C" w:rsidP="00CF2E9C">
      <w:pPr>
        <w:pStyle w:val="FootnoteText"/>
        <w:ind w:left="113" w:hanging="113"/>
      </w:pPr>
      <w:r>
        <w:rPr>
          <w:rStyle w:val="FootnoteReference"/>
        </w:rPr>
        <w:footnoteRef/>
      </w:r>
      <w:r>
        <w:t xml:space="preserve"> Sk. Eiropas Komisijas vadīto Augsta līmeņa forumu pārtikas piegādes ķēdes darbības uzlabošanai (2011), kurš apstiprināja </w:t>
      </w:r>
      <w:hyperlink w:anchor=":~:text=Principles%20of%20Good%20Practice%20in%20vertical%20relationships%20in,business%20that%20respects%20contractual%20freedom%20and%20ensures%20competitiveness." w:history="1">
        <w:r>
          <w:rPr>
            <w:rStyle w:val="Hyperlink"/>
          </w:rPr>
          <w:t>labas prakses principu kopumu par vertikālām attiecībām pārtikas piegādes ķēdē</w:t>
        </w:r>
      </w:hyperlink>
      <w:r>
        <w:t xml:space="preserve">, par kuru vienojās organizācijas, kas pārstāv lielāko daļu tirgus dalībnieku pārtikas piegādes ķēdē. Tā rezultātā 2013. gadā tika uzsākta Piegādes ķēdes iniciatīva. Turpmāk norādīti vairāki neseni intervences pasākumi, ko veicis Eiropas Parlaments: </w:t>
      </w:r>
      <w:hyperlink r:id="rId1" w:history="1">
        <w:r>
          <w:rPr>
            <w:rStyle w:val="Hyperlink"/>
          </w:rPr>
          <w:t>2016. gada 7. jūnija rezolūcija par negodīgu tirdzniecības praksi pārtikas piegādes ķēdē</w:t>
        </w:r>
      </w:hyperlink>
      <w:r>
        <w:t xml:space="preserve">; Padome: </w:t>
      </w:r>
      <w:hyperlink r:id="rId2" w:history="1">
        <w:r>
          <w:rPr>
            <w:rStyle w:val="Hyperlink"/>
          </w:rPr>
          <w:t>2016. gada 12. decembra secinājumi par lauksaimnieku pozīcijas stiprināšanu pārtikas aprites ķēdē un negodīgas komercprakses novēršanu</w:t>
        </w:r>
      </w:hyperlink>
      <w:r>
        <w:rPr>
          <w:rStyle w:val="Hyperlink"/>
          <w:color w:val="auto"/>
          <w:u w:val="none"/>
        </w:rPr>
        <w:t>; Komisija:</w:t>
      </w:r>
      <w:r>
        <w:rPr>
          <w:rStyle w:val="Hyperlink"/>
          <w:color w:val="auto"/>
        </w:rPr>
        <w:t xml:space="preserve"> </w:t>
      </w:r>
      <w:hyperlink r:id="rId3" w:history="1">
        <w:r>
          <w:rPr>
            <w:rStyle w:val="Hyperlink"/>
          </w:rPr>
          <w:t>Komisijas 2009. gada 28. oktobra paziņojums par labāku pārtikas apgādes ķēdes darbību Eiropā</w:t>
        </w:r>
      </w:hyperlink>
      <w:r>
        <w:t xml:space="preserve">; </w:t>
      </w:r>
      <w:hyperlink r:id="rId4" w:history="1">
        <w:r>
          <w:rPr>
            <w:rStyle w:val="Hyperlink"/>
          </w:rPr>
          <w:t>Komisijas 2014. gada 15. jūlija paziņojums par negodīgas tirdzniecības prakses novēršanu uzņēmumu savstarpējā pārtikas apgādes ķēdē</w:t>
        </w:r>
      </w:hyperlink>
      <w:r>
        <w:t xml:space="preserve">; kā arī </w:t>
      </w:r>
      <w:hyperlink r:id="rId5" w:history="1">
        <w:r>
          <w:rPr>
            <w:rStyle w:val="Hyperlink"/>
          </w:rPr>
          <w:t>Komisijas 2016. gada 29. janvāra ziņojums par uzņēmumu savstarpēju negodīgu tirdzniecības praksi pārtikas apgādes ķēdē</w:t>
        </w:r>
      </w:hyperlink>
      <w:r>
        <w:t xml:space="preserve">. </w:t>
      </w:r>
    </w:p>
  </w:footnote>
  <w:footnote w:id="3">
    <w:p w14:paraId="735E1C4A" w14:textId="6AAFAC8E" w:rsidR="00F85F6C" w:rsidRPr="005D2423" w:rsidRDefault="00F85F6C" w:rsidP="00A55BDC">
      <w:pPr>
        <w:pStyle w:val="FootnoteText"/>
        <w:ind w:left="125" w:hanging="125"/>
      </w:pPr>
      <w:r>
        <w:rPr>
          <w:rStyle w:val="FootnoteReference"/>
        </w:rPr>
        <w:footnoteRef/>
      </w:r>
      <w:r>
        <w:t xml:space="preserve"> Priekšlikums Direktīvai par netaisnīgu tirdzniecības praksi starpuzņēmumu attiecībās pārtikas piegādes ķēdē (Briselē, 2018. gada 12. aprīlī), COM(2018) 173 final, 2018/0082 (COD), 2. punkts.</w:t>
      </w:r>
    </w:p>
  </w:footnote>
  <w:footnote w:id="4">
    <w:p w14:paraId="7C703DE9" w14:textId="707BA909" w:rsidR="00F85F6C" w:rsidRPr="005D2423" w:rsidRDefault="00F85F6C" w:rsidP="00CF2E9C">
      <w:pPr>
        <w:pStyle w:val="FootnoteText"/>
        <w:ind w:left="113" w:hanging="113"/>
      </w:pPr>
      <w:r>
        <w:rPr>
          <w:rStyle w:val="FootnoteReference"/>
        </w:rPr>
        <w:footnoteRef/>
      </w:r>
      <w:r>
        <w:t xml:space="preserve"> Sk. direktīvas 7. apsvērumu.</w:t>
      </w:r>
    </w:p>
  </w:footnote>
  <w:footnote w:id="5">
    <w:p w14:paraId="79041DBC" w14:textId="5310BC39" w:rsidR="00F85F6C" w:rsidRPr="005D2423" w:rsidRDefault="00F85F6C" w:rsidP="00CF2E9C">
      <w:pPr>
        <w:pStyle w:val="FootnoteText"/>
        <w:ind w:left="113" w:hanging="113"/>
      </w:pPr>
      <w:r>
        <w:rPr>
          <w:rStyle w:val="FootnoteReference"/>
        </w:rPr>
        <w:footnoteRef/>
      </w:r>
      <w:r>
        <w:t xml:space="preserve"> Sk. direktīvas 8. apsvērumu. Sk. arī </w:t>
      </w:r>
      <w:hyperlink r:id="rId6" w:history="1">
        <w:r>
          <w:rPr>
            <w:rStyle w:val="Hyperlink"/>
            <w:i/>
          </w:rPr>
          <w:t>Cafaggi, F. and Iamiceli, P., Unfair trading practices in the business-to-business retail supply chain</w:t>
        </w:r>
        <w:r>
          <w:rPr>
            <w:rStyle w:val="Hyperlink"/>
          </w:rPr>
          <w:t xml:space="preserve"> (JRC112654)</w:t>
        </w:r>
      </w:hyperlink>
      <w:r>
        <w:t>.</w:t>
      </w:r>
    </w:p>
  </w:footnote>
  <w:footnote w:id="6">
    <w:p w14:paraId="0C40CB5E" w14:textId="3B27E742" w:rsidR="00F85F6C" w:rsidRPr="005D2423" w:rsidRDefault="00F85F6C" w:rsidP="005D2423">
      <w:pPr>
        <w:spacing w:after="0" w:line="240" w:lineRule="auto"/>
        <w:ind w:left="113" w:hanging="113"/>
        <w:mirrorIndents/>
        <w:rPr>
          <w:rFonts w:ascii="Times New Roman" w:hAnsi="Times New Roman" w:cs="Times New Roman"/>
          <w:sz w:val="20"/>
          <w:szCs w:val="20"/>
        </w:rPr>
      </w:pPr>
      <w:r>
        <w:rPr>
          <w:rFonts w:ascii="Times New Roman" w:hAnsi="Times New Roman" w:cs="Times New Roman"/>
          <w:sz w:val="20"/>
          <w:szCs w:val="20"/>
          <w:vertAlign w:val="superscript"/>
        </w:rPr>
        <w:footnoteRef/>
      </w:r>
      <w:r>
        <w:rPr>
          <w:sz w:val="20"/>
          <w:szCs w:val="20"/>
        </w:rPr>
        <w:t xml:space="preserve"> </w:t>
      </w:r>
      <w:hyperlink r:id="rId7" w:history="1">
        <w:r>
          <w:rPr>
            <w:rStyle w:val="Hyperlink"/>
            <w:rFonts w:ascii="Times New Roman" w:hAnsi="Times New Roman"/>
            <w:sz w:val="20"/>
            <w:szCs w:val="20"/>
          </w:rPr>
          <w:t>https://ec.europa.eu/info/food-farming-fisheries/key-policies/common-agricultural-policy/market-measures/agri-food-supply-chain/unfair-trading-practices_en</w:t>
        </w:r>
      </w:hyperlink>
      <w:r>
        <w:rPr>
          <w:rFonts w:ascii="Times New Roman" w:hAnsi="Times New Roman"/>
          <w:sz w:val="20"/>
          <w:szCs w:val="20"/>
        </w:rPr>
        <w:t>.</w:t>
      </w:r>
    </w:p>
  </w:footnote>
  <w:footnote w:id="7">
    <w:p w14:paraId="484D84DD" w14:textId="0E531A3B" w:rsidR="00F85F6C" w:rsidRPr="005D2423" w:rsidRDefault="00F85F6C" w:rsidP="00757232">
      <w:pPr>
        <w:pStyle w:val="FootnoteText"/>
        <w:ind w:left="142" w:hanging="142"/>
      </w:pPr>
      <w:r>
        <w:rPr>
          <w:rStyle w:val="FootnoteReference"/>
        </w:rPr>
        <w:footnoteRef/>
      </w:r>
      <w:r>
        <w:t xml:space="preserve"> Līdz 2021. gada 1. maijam 4 no 27 dalībvalstīm bija paziņojušas par direktīvas transponēšanas pabeigšanu (BG, DK, EL un NL), savukārt vēl četras paziņoja par daļēju transponēšanu (EE, FR, FI un LV). Līdz 31. jūlijam EE bija paziņojusi tikai atbilstības tabulu.</w:t>
      </w:r>
    </w:p>
  </w:footnote>
  <w:footnote w:id="8">
    <w:p w14:paraId="1331B634" w14:textId="2521F0FF" w:rsidR="00F85F6C" w:rsidRPr="005D2423" w:rsidRDefault="00F85F6C" w:rsidP="007A4A0A">
      <w:pPr>
        <w:pStyle w:val="FootnoteText"/>
        <w:rPr>
          <w:highlight w:val="yellow"/>
        </w:rPr>
      </w:pPr>
      <w:r>
        <w:rPr>
          <w:rStyle w:val="FootnoteReference"/>
        </w:rPr>
        <w:footnoteRef/>
      </w:r>
      <w:r>
        <w:t xml:space="preserve"> </w:t>
      </w:r>
      <w:hyperlink r:id="rId8" w:history="1">
        <w:r>
          <w:rPr>
            <w:rStyle w:val="Hyperlink"/>
            <w:color w:val="auto"/>
            <w:u w:val="none"/>
          </w:rPr>
          <w:t>BE, CZ, EE, ES, FR, IT, CY, AT, PO, PT, RO un SI</w:t>
        </w:r>
      </w:hyperlink>
      <w:r>
        <w:rPr>
          <w:rStyle w:val="Hyperlink"/>
          <w:color w:val="auto"/>
          <w:u w:val="none"/>
        </w:rPr>
        <w:t>.</w:t>
      </w:r>
    </w:p>
  </w:footnote>
  <w:footnote w:id="9">
    <w:p w14:paraId="69639307" w14:textId="50442930" w:rsidR="00F85F6C" w:rsidRPr="005D2423" w:rsidRDefault="00F85F6C" w:rsidP="00D17B32">
      <w:pPr>
        <w:pStyle w:val="FootnoteText"/>
        <w:rPr>
          <w:rStyle w:val="Hyperlink"/>
        </w:rPr>
      </w:pPr>
      <w:r>
        <w:rPr>
          <w:rStyle w:val="FootnoteTextChar"/>
          <w:rFonts w:eastAsiaTheme="minorHAnsi"/>
          <w:vertAlign w:val="superscript"/>
        </w:rPr>
        <w:footnoteRef/>
      </w:r>
      <w:r>
        <w:rPr>
          <w:rStyle w:val="Hyperlink"/>
        </w:rPr>
        <w:t xml:space="preserve"> </w:t>
      </w:r>
      <w:hyperlink r:id="rId9" w:history="1">
        <w:r>
          <w:rPr>
            <w:rStyle w:val="Hyperlink"/>
          </w:rPr>
          <w:t>https://ec.europa.eu/commission/presscorner/detail/en/IP_21_3903</w:t>
        </w:r>
      </w:hyperlink>
      <w:r>
        <w:rPr>
          <w:rStyle w:val="Hyperlink"/>
          <w:u w:val="none"/>
        </w:rPr>
        <w:t>.</w:t>
      </w:r>
    </w:p>
  </w:footnote>
  <w:footnote w:id="10">
    <w:p w14:paraId="797D5012" w14:textId="5F554AD3" w:rsidR="00F85F6C" w:rsidRPr="005D2423" w:rsidRDefault="00F85F6C" w:rsidP="001510C6">
      <w:pPr>
        <w:pStyle w:val="FootnoteText"/>
        <w:ind w:left="100" w:hanging="100"/>
      </w:pPr>
      <w:r>
        <w:rPr>
          <w:rStyle w:val="FootnoteReference"/>
        </w:rPr>
        <w:footnoteRef/>
      </w:r>
      <w:r>
        <w:t xml:space="preserve"> DK, EL, IE, LT, LU, MT, NL un SE. Tomēr Lietuvas instruments daļēji pārklājas ar pastāvošu tiesību aktu, proti, 2009. gada 22. decembra Likumu Nr. XI-626 par negodīgas mazumtirgotāju prakses aizliegumu, kurš tiek piemērots mazumtirgotājiem ar ievērojamu tirgus varu un kurš konflikta gadījumā prevalē pār transponēšanas instrumentu. Zviedrijā pirms transponēšanas negodīga tirdzniecības prakse tika aplūkota, tikai piemērojot patērētāju tiesību aizsardzību starpuzņēmumu attiecībām.</w:t>
      </w:r>
    </w:p>
  </w:footnote>
  <w:footnote w:id="11">
    <w:p w14:paraId="0E514182" w14:textId="080DA061" w:rsidR="00F85F6C" w:rsidRPr="005D2423" w:rsidRDefault="00F85F6C" w:rsidP="00A55BDC">
      <w:pPr>
        <w:pStyle w:val="FootnoteText"/>
        <w:tabs>
          <w:tab w:val="left" w:pos="240"/>
        </w:tabs>
        <w:ind w:left="176" w:hanging="176"/>
        <w:jc w:val="left"/>
      </w:pPr>
      <w:r>
        <w:rPr>
          <w:rStyle w:val="FootnoteReference"/>
        </w:rPr>
        <w:footnoteRef/>
      </w:r>
      <w:r>
        <w:t xml:space="preserve"> DK, EL, IE, LV, NL, HR, HU, LU, LT, MT, SE un SK; SK ir formāli kvalificējusi šo tiesību aktu kā tādu, kas attiecas uz negodīgiem noteikumiem, faktiski uz negodīgu praksi attiecinot negodīgu noteikumu jēdzienu vai negodīgu praksi iekļaujot šajā jēdzienā.</w:t>
      </w:r>
    </w:p>
  </w:footnote>
  <w:footnote w:id="12">
    <w:p w14:paraId="5CCAF89D" w14:textId="01ECE7BD" w:rsidR="00F85F6C" w:rsidRPr="005D2423" w:rsidRDefault="00F85F6C" w:rsidP="00CF2E9C">
      <w:pPr>
        <w:spacing w:after="0" w:line="240" w:lineRule="auto"/>
        <w:ind w:left="170" w:hanging="170"/>
        <w:mirrorIndents/>
        <w:jc w:val="both"/>
        <w:rPr>
          <w:rFonts w:ascii="Times New Roman" w:eastAsia="Roboto"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szCs w:val="20"/>
        </w:rPr>
        <w:t xml:space="preserve"> </w:t>
      </w:r>
      <w:hyperlink r:id="rId10" w:history="1">
        <w:r>
          <w:rPr>
            <w:rStyle w:val="Hyperlink"/>
            <w:rFonts w:ascii="Times New Roman" w:hAnsi="Times New Roman"/>
            <w:sz w:val="20"/>
            <w:szCs w:val="20"/>
          </w:rPr>
          <w:t>OV L 347, 20.12.2013., 671. lpp</w:t>
        </w:r>
      </w:hyperlink>
      <w:r>
        <w:rPr>
          <w:rFonts w:ascii="Times New Roman" w:hAnsi="Times New Roman"/>
          <w:sz w:val="20"/>
          <w:szCs w:val="20"/>
        </w:rPr>
        <w:t>.</w:t>
      </w:r>
    </w:p>
  </w:footnote>
  <w:footnote w:id="13">
    <w:p w14:paraId="4BA82374" w14:textId="77777777" w:rsidR="00EA7FD1" w:rsidRDefault="00F85F6C" w:rsidP="00EA7FD1">
      <w:pPr>
        <w:pStyle w:val="FootnoteText"/>
        <w:ind w:left="240" w:hanging="262"/>
        <w:jc w:val="left"/>
      </w:pPr>
      <w:r>
        <w:rPr>
          <w:rStyle w:val="FootnoteReference"/>
        </w:rPr>
        <w:footnoteRef/>
      </w:r>
      <w:r>
        <w:t xml:space="preserve"> To vidū Lietuva ir izslēgusi no pircēja definīcijas kooperatīvus vai mazās kopienas un to locekļus, </w:t>
      </w:r>
    </w:p>
    <w:p w14:paraId="4E2DD78B" w14:textId="53868060" w:rsidR="00F85F6C" w:rsidRPr="005D2423" w:rsidRDefault="00EA7FD1" w:rsidP="00EA7FD1">
      <w:pPr>
        <w:pStyle w:val="FootnoteText"/>
        <w:ind w:left="262" w:hanging="142"/>
        <w:jc w:val="left"/>
      </w:pPr>
      <w:r>
        <w:t xml:space="preserve"> savukārt Slovākija pircēja un piegādātāja definīcijā ir iekļāvusi juridiskas personas, kuras nav uzņēmēji.</w:t>
      </w:r>
    </w:p>
  </w:footnote>
  <w:footnote w:id="14">
    <w:p w14:paraId="608A1C1F" w14:textId="58DA5DA7" w:rsidR="00F85F6C" w:rsidRPr="005D2423" w:rsidRDefault="00F85F6C" w:rsidP="00A55BDC">
      <w:pPr>
        <w:pStyle w:val="FootnoteText"/>
        <w:tabs>
          <w:tab w:val="left" w:pos="120"/>
        </w:tabs>
        <w:ind w:left="158" w:hanging="181"/>
      </w:pPr>
      <w:r>
        <w:rPr>
          <w:rStyle w:val="FootnoteReference"/>
        </w:rPr>
        <w:footnoteRef/>
      </w:r>
      <w:r>
        <w:t xml:space="preserve"> Viens izņēmums attiecas uz Francijas maksājumu kavējumu noteikumiem, kas paredz atšķirīgus nosacījumus no tiem, kuri attiecināmi uz lauksaimniecības un pārtikas produktiem, arī lauksaimniecībā izmantojamā aprīkojuma un mašīnu pārdošanu.</w:t>
      </w:r>
    </w:p>
  </w:footnote>
  <w:footnote w:id="15">
    <w:p w14:paraId="1A845644" w14:textId="4A660DA6" w:rsidR="00F85F6C" w:rsidRPr="005D2423" w:rsidRDefault="00F85F6C" w:rsidP="00CF2E9C">
      <w:pPr>
        <w:pStyle w:val="FootnoteText"/>
        <w:ind w:left="170" w:hanging="170"/>
        <w:mirrorIndents/>
      </w:pPr>
      <w:r>
        <w:rPr>
          <w:rStyle w:val="FootnoteReference"/>
        </w:rPr>
        <w:footnoteRef/>
      </w:r>
      <w:r>
        <w:t xml:space="preserve"> Latvijas gadījumā šis ierobežojums netiek piemērots nepārtikas preču mazumtirgotājiem. </w:t>
      </w:r>
    </w:p>
  </w:footnote>
  <w:footnote w:id="16">
    <w:p w14:paraId="2E25ED83" w14:textId="7E378282" w:rsidR="00F85F6C" w:rsidRPr="005D2423" w:rsidRDefault="00F85F6C" w:rsidP="00A55BDC">
      <w:pPr>
        <w:pStyle w:val="FootnoteText"/>
        <w:tabs>
          <w:tab w:val="left" w:pos="240"/>
        </w:tabs>
        <w:ind w:left="198" w:hanging="198"/>
      </w:pPr>
      <w:r>
        <w:rPr>
          <w:rStyle w:val="FootnoteReference"/>
        </w:rPr>
        <w:footnoteRef/>
      </w:r>
      <w:r>
        <w:t xml:space="preserve"> Līdz 2025. gada 1. maijam Vācijas transponēšanas noteikumi tiek piemēroti arī piena un gaļas produktu pārdošanai un augļu, dārzeņu un dārzkopības produktu, to skaitā kartupeļu, pārdošanai, ko veic piegādātāji, kuru gada apgrozījums attiecīgajā pārdošanas segmentā Vācijā nepārsniedz 4 miljardus EUR, ievērojot nosacījumu, ka piegādātāja kopējais gada apgrozījums nepārsniedz 20 % no pircēja kopējā gada apgrozījuma.</w:t>
      </w:r>
    </w:p>
  </w:footnote>
  <w:footnote w:id="17">
    <w:p w14:paraId="3AD88DBA" w14:textId="3F4C20BD" w:rsidR="00F85F6C" w:rsidRPr="005D2423" w:rsidRDefault="00F85F6C" w:rsidP="00DA1A5A">
      <w:pPr>
        <w:pStyle w:val="FootnoteText"/>
      </w:pPr>
      <w:r>
        <w:rPr>
          <w:rStyle w:val="FootnoteReference"/>
        </w:rPr>
        <w:footnoteRef/>
      </w:r>
      <w:r>
        <w:t xml:space="preserve"> Skaidri pieņemts BG, DE, DK, EL, FI, HR, IE, LT un SK.</w:t>
      </w:r>
    </w:p>
  </w:footnote>
  <w:footnote w:id="18">
    <w:p w14:paraId="45457334" w14:textId="6690C694" w:rsidR="00F85F6C" w:rsidRPr="005D2423" w:rsidRDefault="00F85F6C" w:rsidP="00CF2E9C">
      <w:pPr>
        <w:pStyle w:val="FootnoteText"/>
        <w:ind w:left="170" w:hanging="170"/>
        <w:mirrorIndents/>
      </w:pPr>
      <w:r>
        <w:rPr>
          <w:rStyle w:val="FootnoteReference"/>
        </w:rPr>
        <w:footnoteRef/>
      </w:r>
      <w:r>
        <w:t xml:space="preserve"> DK, IE, LU, MT un NL.</w:t>
      </w:r>
    </w:p>
  </w:footnote>
  <w:footnote w:id="19">
    <w:p w14:paraId="7A65BFF8" w14:textId="63304D0C" w:rsidR="00F85F6C" w:rsidRPr="005D2423" w:rsidRDefault="00F85F6C" w:rsidP="00187D2C">
      <w:pPr>
        <w:pStyle w:val="FootnoteText"/>
        <w:ind w:left="170" w:hanging="170"/>
        <w:mirrorIndents/>
        <w:jc w:val="left"/>
      </w:pPr>
      <w:r>
        <w:rPr>
          <w:rStyle w:val="FootnoteReference"/>
        </w:rPr>
        <w:footnoteRef/>
      </w:r>
      <w:r>
        <w:t xml:space="preserve"> DE, FR, HR, LV, SK: </w:t>
      </w:r>
      <w:r>
        <w:rPr>
          <w:rStyle w:val="gmaildefault"/>
          <w:color w:val="20124D"/>
        </w:rPr>
        <w:t>nepārdoto produktu atgriešana (DE, FR, LV un SK), izmaksas par telpu iekārtošanu (FR, HR un LV) un izmaksas par produktu glabāšanu, izvietošanu un iekļaušanu sortimentā</w:t>
      </w:r>
      <w:r>
        <w:t> (FR un LV).</w:t>
      </w:r>
    </w:p>
  </w:footnote>
  <w:footnote w:id="20">
    <w:p w14:paraId="2C829491" w14:textId="4F08A1E5" w:rsidR="00F85F6C" w:rsidRPr="005D2423" w:rsidRDefault="00F85F6C" w:rsidP="00CF2E9C">
      <w:pPr>
        <w:pStyle w:val="FootnoteText"/>
        <w:ind w:left="170" w:hanging="170"/>
        <w:mirrorIndents/>
      </w:pPr>
      <w:r>
        <w:rPr>
          <w:rStyle w:val="FootnoteReference"/>
        </w:rPr>
        <w:footnoteRef/>
      </w:r>
      <w:r>
        <w:t xml:space="preserve"> BG, EL, FR, HR (līdz 18 prakses veidiem), HU, LV un SK. </w:t>
      </w:r>
    </w:p>
  </w:footnote>
  <w:footnote w:id="21">
    <w:p w14:paraId="288A41BD" w14:textId="1937B48C" w:rsidR="00F85F6C" w:rsidRPr="005D2423" w:rsidRDefault="00F85F6C" w:rsidP="00CF2E9C">
      <w:pPr>
        <w:pStyle w:val="FootnoteText"/>
        <w:ind w:left="170" w:hanging="170"/>
        <w:mirrorIndents/>
      </w:pPr>
      <w:r>
        <w:rPr>
          <w:rStyle w:val="FootnoteReference"/>
        </w:rPr>
        <w:footnoteRef/>
      </w:r>
      <w:r>
        <w:t xml:space="preserve"> BG, HR, LV un SK. </w:t>
      </w:r>
    </w:p>
  </w:footnote>
  <w:footnote w:id="22">
    <w:p w14:paraId="78ABC1C0" w14:textId="091616FC" w:rsidR="00F85F6C" w:rsidRPr="005D2423" w:rsidRDefault="00F85F6C" w:rsidP="00CF2E9C">
      <w:pPr>
        <w:pStyle w:val="FootnoteText"/>
        <w:ind w:left="170" w:hanging="170"/>
        <w:mirrorIndents/>
      </w:pPr>
      <w:r>
        <w:rPr>
          <w:rStyle w:val="FootnoteReference"/>
        </w:rPr>
        <w:footnoteRef/>
      </w:r>
      <w:r>
        <w:t xml:space="preserve"> DE, DK, EL, FR, HR, IE, LT, LU, LV, MT un NL.</w:t>
      </w:r>
    </w:p>
  </w:footnote>
  <w:footnote w:id="23">
    <w:p w14:paraId="34F53FD2" w14:textId="7C835095" w:rsidR="00F85F6C" w:rsidRPr="005D2423" w:rsidRDefault="00F85F6C">
      <w:pPr>
        <w:pStyle w:val="FootnoteText"/>
      </w:pPr>
      <w:r>
        <w:rPr>
          <w:rStyle w:val="FootnoteReference"/>
        </w:rPr>
        <w:footnoteRef/>
      </w:r>
      <w:r>
        <w:t xml:space="preserve"> DE, LT un SK.</w:t>
      </w:r>
    </w:p>
  </w:footnote>
  <w:footnote w:id="24">
    <w:p w14:paraId="0D339E0E" w14:textId="26F074F6" w:rsidR="00F85F6C" w:rsidRPr="005D2423" w:rsidRDefault="00F85F6C" w:rsidP="00FA7216">
      <w:pPr>
        <w:spacing w:after="0" w:line="240" w:lineRule="auto"/>
        <w:ind w:left="170" w:hanging="170"/>
        <w:rPr>
          <w:rFonts w:ascii="Times New Roman" w:hAnsi="Times New Roman"/>
          <w:sz w:val="20"/>
          <w:szCs w:val="20"/>
        </w:rPr>
      </w:pPr>
      <w:r>
        <w:rPr>
          <w:rFonts w:ascii="Times New Roman" w:hAnsi="Times New Roman" w:cs="Times New Roman"/>
          <w:sz w:val="20"/>
          <w:szCs w:val="20"/>
          <w:vertAlign w:val="superscript"/>
        </w:rPr>
        <w:footnoteRef/>
      </w:r>
      <w:r>
        <w:rPr>
          <w:sz w:val="20"/>
          <w:szCs w:val="20"/>
        </w:rPr>
        <w:t xml:space="preserve"> </w:t>
      </w:r>
      <w:hyperlink r:id="rId11" w:history="1">
        <w:r>
          <w:rPr>
            <w:rStyle w:val="Hyperlink"/>
            <w:rFonts w:ascii="Times New Roman" w:hAnsi="Times New Roman"/>
            <w:sz w:val="20"/>
            <w:szCs w:val="20"/>
          </w:rPr>
          <w:t>https://ec.europa.eu/info/food-farming-fisheries/key-policies/common-agricultural-policy/market-measures/agri-food-supply-chain/unfair-trading-practices_en</w:t>
        </w:r>
      </w:hyperlink>
      <w:r>
        <w:rPr>
          <w:rFonts w:ascii="Times New Roman" w:hAnsi="Times New Roman"/>
          <w:sz w:val="20"/>
          <w:szCs w:val="20"/>
        </w:rPr>
        <w:t xml:space="preserve">. </w:t>
      </w:r>
    </w:p>
  </w:footnote>
  <w:footnote w:id="25">
    <w:p w14:paraId="1E8676ED" w14:textId="74CA83F9" w:rsidR="00F85F6C" w:rsidRPr="005D2423" w:rsidRDefault="00F85F6C" w:rsidP="005F3A5A">
      <w:pPr>
        <w:pStyle w:val="FootnoteText"/>
        <w:ind w:left="142" w:hanging="142"/>
      </w:pPr>
      <w:r>
        <w:rPr>
          <w:rStyle w:val="FootnoteReference"/>
        </w:rPr>
        <w:footnoteRef/>
      </w:r>
      <w:r>
        <w:t xml:space="preserve"> Viena izpildiestāde ir norīkota, bet daži no tās lēmumiem tiks dalīti ar konkurences iestādi.</w:t>
      </w:r>
    </w:p>
  </w:footnote>
  <w:footnote w:id="26">
    <w:p w14:paraId="3239A8EA" w14:textId="2E4228F2" w:rsidR="00F85F6C" w:rsidRPr="005D2423" w:rsidRDefault="00F85F6C" w:rsidP="00F5298E">
      <w:pPr>
        <w:pStyle w:val="FootnoteText"/>
        <w:ind w:left="200" w:hanging="200"/>
        <w:jc w:val="left"/>
      </w:pPr>
      <w:r>
        <w:rPr>
          <w:rStyle w:val="FootnoteReference"/>
        </w:rPr>
        <w:footnoteRef/>
      </w:r>
      <w:r>
        <w:t xml:space="preserve"> Otrajai izpildiestādei ir kompetence tikai attiecībā uz prakses veidiem, ko īsteno mazumtirgotāji ar ievērojamu tirgus varu.</w:t>
      </w:r>
    </w:p>
  </w:footnote>
  <w:footnote w:id="27">
    <w:p w14:paraId="59A38625" w14:textId="1835DE25" w:rsidR="00F85F6C" w:rsidRPr="005D2423" w:rsidRDefault="00F85F6C" w:rsidP="006C544F">
      <w:pPr>
        <w:pStyle w:val="FootnoteText"/>
        <w:ind w:left="170" w:hanging="170"/>
        <w:mirrorIndents/>
      </w:pPr>
      <w:r>
        <w:rPr>
          <w:rStyle w:val="FootnoteReference"/>
        </w:rPr>
        <w:footnoteRef/>
      </w:r>
      <w:r>
        <w:t xml:space="preserve"> BG, DK, HR, LU, LV un SE.</w:t>
      </w:r>
    </w:p>
  </w:footnote>
  <w:footnote w:id="28">
    <w:p w14:paraId="15F20FE9" w14:textId="31D2C886" w:rsidR="00F85F6C" w:rsidRPr="005D2423" w:rsidRDefault="00F85F6C" w:rsidP="00FA7216">
      <w:pPr>
        <w:pStyle w:val="FootnoteText"/>
        <w:ind w:left="170" w:hanging="170"/>
        <w:mirrorIndents/>
        <w:jc w:val="left"/>
      </w:pPr>
      <w:r>
        <w:rPr>
          <w:rStyle w:val="FootnoteReference"/>
        </w:rPr>
        <w:footnoteRef/>
      </w:r>
      <w:r>
        <w:t xml:space="preserve"> DE (federālās ministrijas norīkotais Lauksaimniecības un pārtikas federālais birojs), FI (Pārtikas tirgus ombuds), HU (valdības norīkotais Pārtikas ķēdes drošuma birojs) un LT (Lauku uzņēmējdarbības un tirgu attīstības aģentūra).</w:t>
      </w:r>
    </w:p>
  </w:footnote>
  <w:footnote w:id="29">
    <w:p w14:paraId="10433D81" w14:textId="6598007D" w:rsidR="00F85F6C" w:rsidRPr="005D2423" w:rsidRDefault="00F85F6C" w:rsidP="00CF2E9C">
      <w:pPr>
        <w:pStyle w:val="FootnoteText"/>
        <w:ind w:left="170" w:hanging="170"/>
        <w:mirrorIndents/>
      </w:pPr>
      <w:r>
        <w:rPr>
          <w:rStyle w:val="FootnoteReference"/>
        </w:rPr>
        <w:footnoteRef/>
      </w:r>
      <w:r>
        <w:t xml:space="preserve"> IE un SK.</w:t>
      </w:r>
    </w:p>
  </w:footnote>
  <w:footnote w:id="30">
    <w:p w14:paraId="1B559302" w14:textId="1357AD74" w:rsidR="00F85F6C" w:rsidRPr="005D2423" w:rsidRDefault="00F85F6C" w:rsidP="002261AF">
      <w:pPr>
        <w:pStyle w:val="FootnoteText"/>
        <w:ind w:left="170" w:hanging="170"/>
        <w:mirrorIndents/>
      </w:pPr>
      <w:r>
        <w:rPr>
          <w:rStyle w:val="FootnoteReference"/>
        </w:rPr>
        <w:footnoteRef/>
      </w:r>
      <w:r>
        <w:t xml:space="preserve"> EL un MT. </w:t>
      </w:r>
    </w:p>
  </w:footnote>
  <w:footnote w:id="31">
    <w:p w14:paraId="549C3513" w14:textId="25A60027" w:rsidR="00F85F6C" w:rsidRPr="005D2423" w:rsidRDefault="00F85F6C">
      <w:pPr>
        <w:pStyle w:val="FootnoteText"/>
      </w:pPr>
      <w:r>
        <w:rPr>
          <w:rStyle w:val="FootnoteReference"/>
        </w:rPr>
        <w:footnoteRef/>
      </w:r>
      <w:r>
        <w:t xml:space="preserve"> FR un </w:t>
      </w:r>
      <w:r>
        <w:rPr>
          <w:i/>
        </w:rPr>
        <w:t>DGCCRF</w:t>
      </w:r>
      <w:r>
        <w:t xml:space="preserve"> (Konkurences politikas, patērētāju lietu un krāpšanas kontroles ģenerāldirektorāts).</w:t>
      </w:r>
    </w:p>
  </w:footnote>
  <w:footnote w:id="32">
    <w:p w14:paraId="2483F3FA" w14:textId="77777777" w:rsidR="00F85F6C" w:rsidRPr="005D2423" w:rsidRDefault="00F85F6C" w:rsidP="00CF2E9C">
      <w:pPr>
        <w:pStyle w:val="FootnoteText"/>
        <w:ind w:left="170" w:hanging="170"/>
        <w:mirrorIndents/>
      </w:pPr>
      <w:r>
        <w:rPr>
          <w:rStyle w:val="FootnoteReference"/>
        </w:rPr>
        <w:footnoteRef/>
      </w:r>
      <w:r>
        <w:t xml:space="preserve"> NL.</w:t>
      </w:r>
    </w:p>
  </w:footnote>
  <w:footnote w:id="33">
    <w:p w14:paraId="762C0D4A" w14:textId="6C6096CE" w:rsidR="00F85F6C" w:rsidRPr="005D2423" w:rsidRDefault="00F85F6C" w:rsidP="00CF2E9C">
      <w:pPr>
        <w:pStyle w:val="FootnoteText"/>
        <w:ind w:left="170" w:hanging="170"/>
        <w:mirrorIndents/>
      </w:pPr>
      <w:r>
        <w:rPr>
          <w:rStyle w:val="FootnoteReference"/>
        </w:rPr>
        <w:footnoteRef/>
      </w:r>
      <w:r>
        <w:t xml:space="preserve"> BG, DE, EL, FI, LT un MT.</w:t>
      </w:r>
    </w:p>
  </w:footnote>
  <w:footnote w:id="34">
    <w:p w14:paraId="1306C287" w14:textId="50865758" w:rsidR="00F85F6C" w:rsidRPr="005D2423" w:rsidRDefault="00F85F6C" w:rsidP="00CF2E9C">
      <w:pPr>
        <w:pStyle w:val="FootnoteText"/>
        <w:ind w:left="170" w:hanging="170"/>
        <w:mirrorIndents/>
      </w:pPr>
      <w:r>
        <w:rPr>
          <w:rStyle w:val="FootnoteReference"/>
        </w:rPr>
        <w:footnoteRef/>
      </w:r>
      <w:r>
        <w:t xml:space="preserve"> BG, DE, DK, EL, FI, HR, IE, LT, LV, MT, NL, SE un SK.</w:t>
      </w:r>
    </w:p>
  </w:footnote>
  <w:footnote w:id="35">
    <w:p w14:paraId="04750DAF" w14:textId="0F41AA06" w:rsidR="00F85F6C" w:rsidRPr="005D2423" w:rsidRDefault="00F85F6C" w:rsidP="00FA7216">
      <w:pPr>
        <w:pStyle w:val="FootnoteText"/>
        <w:ind w:left="170" w:hanging="170"/>
        <w:mirrorIndents/>
        <w:jc w:val="left"/>
      </w:pPr>
      <w:r>
        <w:rPr>
          <w:rStyle w:val="FootnoteReference"/>
        </w:rPr>
        <w:footnoteRef/>
      </w:r>
      <w:r>
        <w:t xml:space="preserve"> BG, DE, DK, EL, HR, HU, IE, LT, LU, MT, NL un SK. BG tiesībās ir noteikts, ka sūdzības iesniedzēja identitātei vienmēr jābūt konfidenciālai.</w:t>
      </w:r>
    </w:p>
  </w:footnote>
  <w:footnote w:id="36">
    <w:p w14:paraId="199A9B1D" w14:textId="3CE4988B" w:rsidR="00F85F6C" w:rsidRPr="005D2423" w:rsidRDefault="00F85F6C" w:rsidP="00CF2E9C">
      <w:pPr>
        <w:pStyle w:val="FootnoteText"/>
        <w:ind w:left="170" w:hanging="170"/>
        <w:mirrorIndents/>
      </w:pPr>
      <w:r>
        <w:rPr>
          <w:rStyle w:val="FootnoteReference"/>
        </w:rPr>
        <w:footnoteRef/>
      </w:r>
      <w:r>
        <w:t xml:space="preserve"> Piemēram, HU.</w:t>
      </w:r>
    </w:p>
  </w:footnote>
  <w:footnote w:id="37">
    <w:p w14:paraId="5B3D6546" w14:textId="652469BD" w:rsidR="00F85F6C" w:rsidRPr="005D2423" w:rsidRDefault="00F85F6C" w:rsidP="00CF2E9C">
      <w:pPr>
        <w:pStyle w:val="FootnoteText"/>
        <w:ind w:left="170" w:hanging="170"/>
        <w:mirrorIndents/>
      </w:pPr>
      <w:r>
        <w:rPr>
          <w:rStyle w:val="FootnoteReference"/>
        </w:rPr>
        <w:footnoteRef/>
      </w:r>
      <w:r>
        <w:t xml:space="preserve"> BG, DK, EL, IE, LU un NL.</w:t>
      </w:r>
    </w:p>
  </w:footnote>
  <w:footnote w:id="38">
    <w:p w14:paraId="5D63220B" w14:textId="40F97564" w:rsidR="00F85F6C" w:rsidRPr="005D2423" w:rsidRDefault="00F85F6C" w:rsidP="00CF2E9C">
      <w:pPr>
        <w:pStyle w:val="FootnoteText"/>
        <w:ind w:left="170" w:hanging="170"/>
        <w:mirrorIndents/>
      </w:pPr>
      <w:r>
        <w:rPr>
          <w:rStyle w:val="FootnoteReference"/>
        </w:rPr>
        <w:footnoteRef/>
      </w:r>
      <w:r>
        <w:t xml:space="preserve"> DE, DK, FI un MT. </w:t>
      </w:r>
    </w:p>
  </w:footnote>
  <w:footnote w:id="39">
    <w:p w14:paraId="4FBCCECA" w14:textId="0F012C01" w:rsidR="00F85F6C" w:rsidRPr="005D2423" w:rsidRDefault="00F85F6C" w:rsidP="00245B17">
      <w:pPr>
        <w:pStyle w:val="FootnoteText"/>
      </w:pPr>
      <w:r>
        <w:rPr>
          <w:rStyle w:val="FootnoteReference"/>
        </w:rPr>
        <w:footnoteRef/>
      </w:r>
      <w:r>
        <w:t xml:space="preserve"> Tomēr Lietuvas tiesību aktos ir skaidri paredzētas anonīmas sūdzības.</w:t>
      </w:r>
    </w:p>
  </w:footnote>
  <w:footnote w:id="40">
    <w:p w14:paraId="3F1DE440" w14:textId="3B01E43A" w:rsidR="00F85F6C" w:rsidRPr="005D2423" w:rsidRDefault="00F85F6C" w:rsidP="00CF2E9C">
      <w:pPr>
        <w:pStyle w:val="FootnoteText"/>
        <w:ind w:left="170" w:hanging="170"/>
        <w:mirrorIndents/>
      </w:pPr>
      <w:r>
        <w:rPr>
          <w:rStyle w:val="FootnoteReference"/>
        </w:rPr>
        <w:footnoteRef/>
      </w:r>
      <w:r>
        <w:t xml:space="preserve"> BG, DE, DK, EL, FI, FR, HR, HU, IE, LT, LU, LV, MT, NL, SE un SK.</w:t>
      </w:r>
    </w:p>
  </w:footnote>
  <w:footnote w:id="41">
    <w:p w14:paraId="78CA466F" w14:textId="529D51F2" w:rsidR="00F85F6C" w:rsidRPr="005D2423" w:rsidRDefault="00F85F6C" w:rsidP="00CF2E9C">
      <w:pPr>
        <w:pStyle w:val="FootnoteText"/>
        <w:ind w:left="170" w:hanging="170"/>
        <w:mirrorIndents/>
      </w:pPr>
      <w:r>
        <w:rPr>
          <w:rStyle w:val="FootnoteReference"/>
        </w:rPr>
        <w:footnoteRef/>
      </w:r>
      <w:r>
        <w:t xml:space="preserve"> BG, DE, DK, EL, HR, HU, IE, LT, LU, LV, MT, NL un SE.</w:t>
      </w:r>
    </w:p>
  </w:footnote>
  <w:footnote w:id="42">
    <w:p w14:paraId="02FD12B4" w14:textId="785D98B0" w:rsidR="00F85F6C" w:rsidRPr="005D2423" w:rsidRDefault="00F85F6C" w:rsidP="00CF2E9C">
      <w:pPr>
        <w:pStyle w:val="FootnoteText"/>
        <w:ind w:left="170" w:hanging="170"/>
        <w:mirrorIndents/>
      </w:pPr>
      <w:r>
        <w:rPr>
          <w:rStyle w:val="FootnoteReference"/>
        </w:rPr>
        <w:footnoteRef/>
      </w:r>
      <w:r>
        <w:t xml:space="preserve"> BG, DE, DK, EL, FI, FR, HR, IE, LT, LU, LV, MT, NL, SE un SK.</w:t>
      </w:r>
    </w:p>
  </w:footnote>
  <w:footnote w:id="43">
    <w:p w14:paraId="41C338F7" w14:textId="39B787BB" w:rsidR="00F85F6C" w:rsidRPr="005D2423" w:rsidRDefault="00F85F6C" w:rsidP="00CF2E9C">
      <w:pPr>
        <w:pStyle w:val="FootnoteText"/>
        <w:ind w:left="170" w:hanging="170"/>
        <w:mirrorIndents/>
      </w:pPr>
      <w:r>
        <w:rPr>
          <w:rStyle w:val="FootnoteReference"/>
          <w:lang w:val="en-IE"/>
        </w:rPr>
        <w:footnoteRef/>
      </w:r>
      <w:r>
        <w:t xml:space="preserve"> BG, DE, DK, EL, FI, FR, HR, HU, IE, LT, LU, LV, MT, NL, SE un SK.</w:t>
      </w:r>
    </w:p>
  </w:footnote>
  <w:footnote w:id="44">
    <w:p w14:paraId="216E7E6F" w14:textId="50DEEB12" w:rsidR="00F85F6C" w:rsidRPr="005D2423" w:rsidRDefault="00F85F6C" w:rsidP="00CF2E9C">
      <w:pPr>
        <w:pStyle w:val="FootnoteText"/>
        <w:ind w:left="170" w:hanging="170"/>
        <w:mirrorIndents/>
      </w:pPr>
      <w:r>
        <w:rPr>
          <w:rStyle w:val="FootnoteReference"/>
          <w:lang w:val="en-IE"/>
        </w:rPr>
        <w:footnoteRef/>
      </w:r>
      <w:r>
        <w:t xml:space="preserve"> Īpaši paredzēts valstu transponēšanas pasākumos: BG, DK, EL, FI, FR, IE, LT, LU, LV un NL.</w:t>
      </w:r>
    </w:p>
  </w:footnote>
  <w:footnote w:id="45">
    <w:p w14:paraId="6CF2331E" w14:textId="12ECFF16" w:rsidR="00F85F6C" w:rsidRPr="005D2423" w:rsidRDefault="00F85F6C" w:rsidP="00CF2E9C">
      <w:pPr>
        <w:pStyle w:val="FootnoteText"/>
        <w:ind w:left="170" w:hanging="170"/>
        <w:mirrorIndents/>
      </w:pPr>
      <w:r>
        <w:rPr>
          <w:rStyle w:val="FootnoteReference"/>
          <w:lang w:val="en-IE"/>
        </w:rPr>
        <w:footnoteRef/>
      </w:r>
      <w:r>
        <w:t xml:space="preserve"> BG, DE, DK, EL, FI, FR, HR, HU, IE, LT, LU, MT, SE un SK.</w:t>
      </w:r>
    </w:p>
  </w:footnote>
  <w:footnote w:id="46">
    <w:p w14:paraId="229FFBEA" w14:textId="2902B7E6" w:rsidR="00F85F6C" w:rsidRPr="005D2423" w:rsidRDefault="00F85F6C" w:rsidP="00CF2E9C">
      <w:pPr>
        <w:pStyle w:val="FootnoteText"/>
        <w:ind w:left="170" w:hanging="170"/>
        <w:mirrorIndents/>
      </w:pPr>
      <w:r>
        <w:rPr>
          <w:rStyle w:val="FootnoteReference"/>
          <w:lang w:val="en-IE"/>
        </w:rPr>
        <w:footnoteRef/>
      </w:r>
      <w:r>
        <w:t xml:space="preserve"> HR un HU.</w:t>
      </w:r>
    </w:p>
  </w:footnote>
  <w:footnote w:id="47">
    <w:p w14:paraId="6E8FF6C7" w14:textId="6855C247" w:rsidR="00F85F6C" w:rsidRPr="005D2423" w:rsidRDefault="00F85F6C" w:rsidP="00CF2E9C">
      <w:pPr>
        <w:pStyle w:val="FootnoteText"/>
        <w:ind w:left="170" w:hanging="170"/>
        <w:mirrorIndents/>
      </w:pPr>
      <w:r>
        <w:rPr>
          <w:rStyle w:val="FootnoteReference"/>
          <w:lang w:val="en-IE"/>
        </w:rPr>
        <w:footnoteRef/>
      </w:r>
      <w:r>
        <w:t xml:space="preserve"> FI un LV.</w:t>
      </w:r>
    </w:p>
  </w:footnote>
  <w:footnote w:id="48">
    <w:p w14:paraId="23FB2808" w14:textId="77777777" w:rsidR="00F85F6C" w:rsidRPr="005D2423" w:rsidRDefault="00F85F6C" w:rsidP="00CF2E9C">
      <w:pPr>
        <w:pStyle w:val="FootnoteText"/>
        <w:ind w:left="170" w:hanging="170"/>
        <w:mirrorIndents/>
      </w:pPr>
      <w:r>
        <w:rPr>
          <w:rStyle w:val="FootnoteReference"/>
          <w:lang w:val="en-IE"/>
        </w:rPr>
        <w:footnoteRef/>
      </w:r>
      <w:r>
        <w:t xml:space="preserve"> EL.</w:t>
      </w:r>
    </w:p>
  </w:footnote>
  <w:footnote w:id="49">
    <w:p w14:paraId="058D65B0" w14:textId="4BDE9152" w:rsidR="00F85F6C" w:rsidRPr="005D2423" w:rsidRDefault="00F85F6C" w:rsidP="00F5298E">
      <w:pPr>
        <w:pStyle w:val="FootnoteText"/>
        <w:tabs>
          <w:tab w:val="left" w:pos="240"/>
        </w:tabs>
        <w:ind w:left="170" w:hanging="170"/>
        <w:mirrorIndents/>
        <w:jc w:val="left"/>
      </w:pPr>
      <w:r>
        <w:rPr>
          <w:rStyle w:val="FootnoteReference"/>
          <w:lang w:val="en-IE"/>
        </w:rPr>
        <w:footnoteRef/>
      </w:r>
      <w:r>
        <w:t xml:space="preserve"> Minimālās summas apmērs svārstās no 70 EUR (LV) līdz vērtībai, kas vienlīdzīga ar aptuveni 2550 EUR (BG); maksimālās summas apmērs svārstās no 2329,37 EUR (MT) līdz 2 miljoniem EUR (FR).</w:t>
      </w:r>
    </w:p>
  </w:footnote>
  <w:footnote w:id="50">
    <w:p w14:paraId="1C82D31A" w14:textId="5A9D1223" w:rsidR="00F85F6C" w:rsidRPr="005D2423" w:rsidRDefault="00F85F6C" w:rsidP="00CF2E9C">
      <w:pPr>
        <w:pStyle w:val="FootnoteText"/>
        <w:ind w:left="170" w:hanging="170"/>
        <w:mirrorIndents/>
      </w:pPr>
      <w:r>
        <w:rPr>
          <w:rStyle w:val="FootnoteReference"/>
          <w:lang w:val="en-IE"/>
        </w:rPr>
        <w:footnoteRef/>
      </w:r>
      <w:r>
        <w:t xml:space="preserve"> Arī šajos gadījumos pastāv procentuālas atšķirības, sākot no 0,2 % (LV) līdz 10 % (HU un NL.)</w:t>
      </w:r>
    </w:p>
  </w:footnote>
  <w:footnote w:id="51">
    <w:p w14:paraId="75923EA9" w14:textId="46E6E406" w:rsidR="00F85F6C" w:rsidRPr="005D2423" w:rsidRDefault="00F85F6C">
      <w:pPr>
        <w:pStyle w:val="FootnoteText"/>
      </w:pPr>
      <w:r>
        <w:rPr>
          <w:rStyle w:val="FootnoteReference"/>
          <w:lang w:val="en-IE"/>
        </w:rPr>
        <w:footnoteRef/>
      </w:r>
      <w:r>
        <w:t xml:space="preserve"> SK.</w:t>
      </w:r>
    </w:p>
  </w:footnote>
  <w:footnote w:id="52">
    <w:p w14:paraId="63B7F412" w14:textId="1BF3171D" w:rsidR="00F85F6C" w:rsidRPr="005D2423" w:rsidRDefault="00F85F6C">
      <w:pPr>
        <w:pStyle w:val="FootnoteText"/>
      </w:pPr>
      <w:r>
        <w:rPr>
          <w:rStyle w:val="FootnoteReference"/>
          <w:lang w:val="en-IE"/>
        </w:rPr>
        <w:footnoteRef/>
      </w:r>
      <w:r>
        <w:t xml:space="preserve"> SK.</w:t>
      </w:r>
    </w:p>
  </w:footnote>
  <w:footnote w:id="53">
    <w:p w14:paraId="52007C32" w14:textId="1F45B61F" w:rsidR="00F85F6C" w:rsidRPr="005D2423" w:rsidRDefault="00F85F6C">
      <w:pPr>
        <w:pStyle w:val="FootnoteText"/>
      </w:pPr>
      <w:r>
        <w:rPr>
          <w:rStyle w:val="FootnoteReference"/>
          <w:lang w:val="en-IE"/>
        </w:rPr>
        <w:footnoteRef/>
      </w:r>
      <w:r>
        <w:t xml:space="preserve"> MT.</w:t>
      </w:r>
    </w:p>
  </w:footnote>
  <w:footnote w:id="54">
    <w:p w14:paraId="61E94ED4" w14:textId="56CDB942" w:rsidR="00F85F6C" w:rsidRPr="005D2423" w:rsidRDefault="00F85F6C" w:rsidP="00CF2E9C">
      <w:pPr>
        <w:pStyle w:val="FootnoteText"/>
        <w:ind w:left="170" w:hanging="170"/>
        <w:mirrorIndents/>
      </w:pPr>
      <w:r>
        <w:rPr>
          <w:rStyle w:val="FootnoteReference"/>
          <w:lang w:val="en-IE"/>
        </w:rPr>
        <w:footnoteRef/>
      </w:r>
      <w:r>
        <w:t xml:space="preserve"> DE, DK, EL, FI, FR, HR, IE, MT, NL un SE.</w:t>
      </w:r>
    </w:p>
  </w:footnote>
  <w:footnote w:id="55">
    <w:p w14:paraId="4E8218AB" w14:textId="2D48EC13" w:rsidR="00F85F6C" w:rsidRPr="005D2423" w:rsidRDefault="00F85F6C" w:rsidP="00CF2E9C">
      <w:pPr>
        <w:pStyle w:val="FootnoteText"/>
        <w:ind w:left="170" w:hanging="170"/>
        <w:mirrorIndents/>
      </w:pPr>
      <w:r>
        <w:rPr>
          <w:rStyle w:val="FootnoteReference"/>
          <w:lang w:val="en-IE"/>
        </w:rPr>
        <w:footnoteRef/>
      </w:r>
      <w:r>
        <w:t xml:space="preserve"> DK, FI un HR.</w:t>
      </w:r>
    </w:p>
  </w:footnote>
  <w:footnote w:id="56">
    <w:p w14:paraId="6FF94969" w14:textId="6195593C" w:rsidR="00F85F6C" w:rsidRPr="005D2423" w:rsidRDefault="00F85F6C" w:rsidP="00CF2E9C">
      <w:pPr>
        <w:pStyle w:val="FootnoteText"/>
        <w:ind w:left="170" w:hanging="170"/>
        <w:mirrorIndents/>
      </w:pPr>
      <w:r>
        <w:rPr>
          <w:rStyle w:val="FootnoteReference"/>
          <w:lang w:val="en-IE"/>
        </w:rPr>
        <w:footnoteRef/>
      </w:r>
      <w:r>
        <w:t xml:space="preserve"> Kritēriji atšķiras: EL, FI, HR, LV, SE un SK.</w:t>
      </w:r>
    </w:p>
  </w:footnote>
  <w:footnote w:id="57">
    <w:p w14:paraId="5A134C56" w14:textId="398D45D0" w:rsidR="00F85F6C" w:rsidRPr="005D2423" w:rsidRDefault="00F85F6C">
      <w:pPr>
        <w:pStyle w:val="FootnoteText"/>
      </w:pPr>
      <w:r>
        <w:rPr>
          <w:rStyle w:val="FootnoteReference"/>
        </w:rPr>
        <w:footnoteRef/>
      </w:r>
      <w:r>
        <w:t xml:space="preserve"> Informācija par Francijas tiesībām pašlaik nav pieejama.</w:t>
      </w:r>
    </w:p>
  </w:footnote>
  <w:footnote w:id="58">
    <w:p w14:paraId="4982338F" w14:textId="7BBC0F6E" w:rsidR="00F85F6C" w:rsidRPr="005D2423" w:rsidRDefault="00F85F6C" w:rsidP="00CF2E9C">
      <w:pPr>
        <w:pStyle w:val="FootnoteText"/>
        <w:ind w:left="170" w:hanging="170"/>
        <w:mirrorIndents/>
      </w:pPr>
      <w:r>
        <w:rPr>
          <w:rStyle w:val="FootnoteReference"/>
        </w:rPr>
        <w:footnoteRef/>
      </w:r>
      <w:r>
        <w:t xml:space="preserve"> BG, DE, DK, FI, FR, LT, LV, MT, NL, SE un SK.</w:t>
      </w:r>
    </w:p>
  </w:footnote>
  <w:footnote w:id="59">
    <w:p w14:paraId="2300DCE0" w14:textId="78A8EB1D" w:rsidR="00F85F6C" w:rsidRPr="005D2423" w:rsidRDefault="00F85F6C" w:rsidP="00CF2E9C">
      <w:pPr>
        <w:pStyle w:val="FootnoteText"/>
        <w:ind w:left="170" w:hanging="170"/>
        <w:mirrorIndents/>
      </w:pPr>
      <w:r>
        <w:rPr>
          <w:rStyle w:val="FootnoteReference"/>
        </w:rPr>
        <w:footnoteRef/>
      </w:r>
      <w:r>
        <w:t xml:space="preserve"> DE, FR un HU.</w:t>
      </w:r>
    </w:p>
  </w:footnote>
  <w:footnote w:id="60">
    <w:p w14:paraId="732654BD" w14:textId="0350B6FE" w:rsidR="00F85F6C" w:rsidRPr="005D2423" w:rsidRDefault="00F85F6C" w:rsidP="00CF2E9C">
      <w:pPr>
        <w:pStyle w:val="FootnoteText"/>
        <w:ind w:left="170" w:hanging="170"/>
        <w:mirrorIndents/>
      </w:pPr>
      <w:r>
        <w:rPr>
          <w:rStyle w:val="FootnoteReference"/>
        </w:rPr>
        <w:footnoteRef/>
      </w:r>
      <w:r>
        <w:t xml:space="preserve"> FI (tikai komercnoslēpumu pārkāpuma gadījumā) un IE (nepamatotu maksājumu restitūcija).</w:t>
      </w:r>
    </w:p>
  </w:footnote>
  <w:footnote w:id="61">
    <w:p w14:paraId="208DCEEC" w14:textId="4A88E0B3" w:rsidR="00F85F6C" w:rsidRPr="005D2423" w:rsidRDefault="00F85F6C" w:rsidP="005D2423">
      <w:pPr>
        <w:pStyle w:val="FootnoteText"/>
        <w:ind w:left="170" w:hanging="170"/>
        <w:mirrorIndents/>
        <w:jc w:val="left"/>
      </w:pPr>
      <w:r>
        <w:rPr>
          <w:rStyle w:val="FootnoteReference"/>
        </w:rPr>
        <w:footnoteRef/>
      </w:r>
      <w:r>
        <w:t xml:space="preserve"> FI (tikai komercnoslēpumu pārkāpuma gadījumā), FR, LV un MT (gadījumā, kad zaudējumu atlīdzību nosaka administratīvā pārskatīšanas tiesa).</w:t>
      </w:r>
    </w:p>
  </w:footnote>
  <w:footnote w:id="62">
    <w:p w14:paraId="59725A0D" w14:textId="0021163D" w:rsidR="00F85F6C" w:rsidRPr="005D2423" w:rsidRDefault="00F85F6C">
      <w:pPr>
        <w:pStyle w:val="FootnoteText"/>
      </w:pPr>
      <w:r>
        <w:rPr>
          <w:rStyle w:val="FootnoteReference"/>
        </w:rPr>
        <w:footnoteRef/>
      </w:r>
      <w:r>
        <w:t xml:space="preserve"> BG, DE, DK, EL, FI, MT, NL un SE.</w:t>
      </w:r>
    </w:p>
  </w:footnote>
  <w:footnote w:id="63">
    <w:p w14:paraId="0ECEBB54" w14:textId="105ED929" w:rsidR="00F85F6C" w:rsidRPr="005D2423" w:rsidRDefault="00F85F6C">
      <w:pPr>
        <w:pStyle w:val="FootnoteText"/>
      </w:pPr>
      <w:r>
        <w:rPr>
          <w:rStyle w:val="FootnoteReference"/>
        </w:rPr>
        <w:footnoteRef/>
      </w:r>
      <w:r>
        <w:t xml:space="preserve"> BG, DE, EL, FI, LT, MT un NL.</w:t>
      </w:r>
    </w:p>
  </w:footnote>
  <w:footnote w:id="64">
    <w:p w14:paraId="04F8D49E" w14:textId="70EDF942" w:rsidR="00F85F6C" w:rsidRPr="005D2423" w:rsidRDefault="00F85F6C">
      <w:pPr>
        <w:pStyle w:val="FootnoteText"/>
      </w:pPr>
      <w:r>
        <w:rPr>
          <w:rStyle w:val="FootnoteReference"/>
        </w:rPr>
        <w:footnoteRef/>
      </w:r>
      <w:r>
        <w:t xml:space="preserve"> DE.</w:t>
      </w:r>
    </w:p>
  </w:footnote>
  <w:footnote w:id="65">
    <w:p w14:paraId="4A2E277A" w14:textId="5E280739" w:rsidR="00F85F6C" w:rsidRPr="005D2423" w:rsidRDefault="00F85F6C" w:rsidP="00A55BDC">
      <w:pPr>
        <w:pStyle w:val="FootnoteText"/>
        <w:ind w:left="284" w:hanging="284"/>
      </w:pPr>
      <w:r>
        <w:rPr>
          <w:rStyle w:val="FootnoteReference"/>
        </w:rPr>
        <w:footnoteRef/>
      </w:r>
      <w:r>
        <w:t xml:space="preserve"> Sīkāka informācija būs pieejama, sekojot šai saitei: </w:t>
      </w:r>
      <w:hyperlink r:id="rId12" w:history="1">
        <w:r>
          <w:rPr>
            <w:rStyle w:val="Hyperlink"/>
          </w:rPr>
          <w:t>https://ec.europa.eu/info/food-farming-fisheries/key-policies/common-agricultural-policy/market-measures/agri-food-supply-chain/unfair-trading-practices_en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7590C" w14:textId="77777777" w:rsidR="00934FB4" w:rsidRPr="00934FB4" w:rsidRDefault="00934FB4" w:rsidP="00934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D3EA8" w14:textId="77777777" w:rsidR="00934FB4" w:rsidRPr="00934FB4" w:rsidRDefault="00934FB4" w:rsidP="00934FB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4F057" w14:textId="77777777" w:rsidR="00934FB4" w:rsidRPr="00934FB4" w:rsidRDefault="00934FB4" w:rsidP="00934FB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1699" w14:textId="77777777" w:rsidR="00F85F6C" w:rsidRDefault="00F85F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F87C4" w14:textId="77777777" w:rsidR="00F85F6C" w:rsidRPr="00AA7BBE" w:rsidRDefault="00F85F6C" w:rsidP="00AA7BBE">
    <w:pPr>
      <w:pStyle w:val="Header"/>
      <w:jc w:val="right"/>
      <w:rPr>
        <w:rFonts w:ascii="Times New Roman" w:hAnsi="Times New Roman" w:cs="Times New Roman"/>
      </w:rPr>
    </w:pPr>
  </w:p>
  <w:p w14:paraId="5D584CA8" w14:textId="77777777" w:rsidR="00F85F6C" w:rsidRDefault="00F85F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7D577" w14:textId="77777777" w:rsidR="00F85F6C" w:rsidRPr="00672FC3" w:rsidRDefault="00F85F6C" w:rsidP="00672FC3">
    <w:pPr>
      <w:pStyle w:val="Header"/>
    </w:pPr>
  </w:p>
</w:hdr>
</file>

<file path=word/intelligence.xml><?xml version="1.0" encoding="utf-8"?>
<int:Intelligence xmlns:int="http://schemas.microsoft.com/office/intelligence/2019/intelligence">
  <int:IntelligenceSettings/>
  <int:Manifest>
    <int:ParagraphRange paragraphId="1321210378" textId="168579160" start="306" length="1" invalidationStart="306" invalidationLength="1" id="+N0ah09H"/>
  </int:Manifest>
  <int:Observations>
    <int:Content id="+N0ah09H">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F3BA4"/>
    <w:multiLevelType w:val="multilevel"/>
    <w:tmpl w:val="276A638A"/>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486349"/>
    <w:multiLevelType w:val="hybridMultilevel"/>
    <w:tmpl w:val="8A8211D8"/>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 w15:restartNumberingAfterBreak="0">
    <w:nsid w:val="1D173A4D"/>
    <w:multiLevelType w:val="hybridMultilevel"/>
    <w:tmpl w:val="9836F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37CAC"/>
    <w:multiLevelType w:val="hybridMultilevel"/>
    <w:tmpl w:val="27FE8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05871"/>
    <w:multiLevelType w:val="multilevel"/>
    <w:tmpl w:val="22301494"/>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ED3014"/>
    <w:multiLevelType w:val="hybridMultilevel"/>
    <w:tmpl w:val="9B7EC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8D2B27"/>
    <w:multiLevelType w:val="hybridMultilevel"/>
    <w:tmpl w:val="52E455C6"/>
    <w:lvl w:ilvl="0" w:tplc="07FE185E">
      <w:start w:val="1"/>
      <w:numFmt w:val="lowerLetter"/>
      <w:lvlText w:val="(%1)"/>
      <w:lvlJc w:val="left"/>
      <w:pPr>
        <w:ind w:left="1210" w:hanging="360"/>
      </w:pPr>
      <w:rPr>
        <w:rFonts w:hint="default"/>
      </w:rPr>
    </w:lvl>
    <w:lvl w:ilvl="1" w:tplc="04100003" w:tentative="1">
      <w:start w:val="1"/>
      <w:numFmt w:val="bullet"/>
      <w:lvlText w:val="o"/>
      <w:lvlJc w:val="left"/>
      <w:pPr>
        <w:ind w:left="1930" w:hanging="360"/>
      </w:pPr>
      <w:rPr>
        <w:rFonts w:ascii="Courier New" w:hAnsi="Courier New" w:cs="Courier New" w:hint="default"/>
      </w:rPr>
    </w:lvl>
    <w:lvl w:ilvl="2" w:tplc="04100005" w:tentative="1">
      <w:start w:val="1"/>
      <w:numFmt w:val="bullet"/>
      <w:lvlText w:val=""/>
      <w:lvlJc w:val="left"/>
      <w:pPr>
        <w:ind w:left="2650" w:hanging="360"/>
      </w:pPr>
      <w:rPr>
        <w:rFonts w:ascii="Wingdings" w:hAnsi="Wingdings" w:hint="default"/>
      </w:rPr>
    </w:lvl>
    <w:lvl w:ilvl="3" w:tplc="04100001" w:tentative="1">
      <w:start w:val="1"/>
      <w:numFmt w:val="bullet"/>
      <w:lvlText w:val=""/>
      <w:lvlJc w:val="left"/>
      <w:pPr>
        <w:ind w:left="3370" w:hanging="360"/>
      </w:pPr>
      <w:rPr>
        <w:rFonts w:ascii="Symbol" w:hAnsi="Symbol" w:hint="default"/>
      </w:rPr>
    </w:lvl>
    <w:lvl w:ilvl="4" w:tplc="04100003" w:tentative="1">
      <w:start w:val="1"/>
      <w:numFmt w:val="bullet"/>
      <w:lvlText w:val="o"/>
      <w:lvlJc w:val="left"/>
      <w:pPr>
        <w:ind w:left="4090" w:hanging="360"/>
      </w:pPr>
      <w:rPr>
        <w:rFonts w:ascii="Courier New" w:hAnsi="Courier New" w:cs="Courier New" w:hint="default"/>
      </w:rPr>
    </w:lvl>
    <w:lvl w:ilvl="5" w:tplc="04100005" w:tentative="1">
      <w:start w:val="1"/>
      <w:numFmt w:val="bullet"/>
      <w:lvlText w:val=""/>
      <w:lvlJc w:val="left"/>
      <w:pPr>
        <w:ind w:left="4810" w:hanging="360"/>
      </w:pPr>
      <w:rPr>
        <w:rFonts w:ascii="Wingdings" w:hAnsi="Wingdings" w:hint="default"/>
      </w:rPr>
    </w:lvl>
    <w:lvl w:ilvl="6" w:tplc="04100001" w:tentative="1">
      <w:start w:val="1"/>
      <w:numFmt w:val="bullet"/>
      <w:lvlText w:val=""/>
      <w:lvlJc w:val="left"/>
      <w:pPr>
        <w:ind w:left="5530" w:hanging="360"/>
      </w:pPr>
      <w:rPr>
        <w:rFonts w:ascii="Symbol" w:hAnsi="Symbol" w:hint="default"/>
      </w:rPr>
    </w:lvl>
    <w:lvl w:ilvl="7" w:tplc="04100003" w:tentative="1">
      <w:start w:val="1"/>
      <w:numFmt w:val="bullet"/>
      <w:lvlText w:val="o"/>
      <w:lvlJc w:val="left"/>
      <w:pPr>
        <w:ind w:left="6250" w:hanging="360"/>
      </w:pPr>
      <w:rPr>
        <w:rFonts w:ascii="Courier New" w:hAnsi="Courier New" w:cs="Courier New" w:hint="default"/>
      </w:rPr>
    </w:lvl>
    <w:lvl w:ilvl="8" w:tplc="04100005" w:tentative="1">
      <w:start w:val="1"/>
      <w:numFmt w:val="bullet"/>
      <w:lvlText w:val=""/>
      <w:lvlJc w:val="left"/>
      <w:pPr>
        <w:ind w:left="6970" w:hanging="360"/>
      </w:pPr>
      <w:rPr>
        <w:rFonts w:ascii="Wingdings" w:hAnsi="Wingdings" w:hint="default"/>
      </w:rPr>
    </w:lvl>
  </w:abstractNum>
  <w:abstractNum w:abstractNumId="7" w15:restartNumberingAfterBreak="0">
    <w:nsid w:val="472E74C9"/>
    <w:multiLevelType w:val="hybridMultilevel"/>
    <w:tmpl w:val="2A80E46E"/>
    <w:lvl w:ilvl="0" w:tplc="8FBEE7A4">
      <w:start w:val="3"/>
      <w:numFmt w:val="bullet"/>
      <w:lvlText w:val="-"/>
      <w:lvlJc w:val="left"/>
      <w:pPr>
        <w:ind w:left="1210" w:hanging="360"/>
      </w:pPr>
      <w:rPr>
        <w:rFonts w:ascii="Times New Roman" w:eastAsia="Times New Roman" w:hAnsi="Times New Roman" w:cs="Times New Roman" w:hint="default"/>
      </w:rPr>
    </w:lvl>
    <w:lvl w:ilvl="1" w:tplc="04100003" w:tentative="1">
      <w:start w:val="1"/>
      <w:numFmt w:val="bullet"/>
      <w:lvlText w:val="o"/>
      <w:lvlJc w:val="left"/>
      <w:pPr>
        <w:ind w:left="1930" w:hanging="360"/>
      </w:pPr>
      <w:rPr>
        <w:rFonts w:ascii="Courier New" w:hAnsi="Courier New" w:cs="Courier New" w:hint="default"/>
      </w:rPr>
    </w:lvl>
    <w:lvl w:ilvl="2" w:tplc="04100005" w:tentative="1">
      <w:start w:val="1"/>
      <w:numFmt w:val="bullet"/>
      <w:lvlText w:val=""/>
      <w:lvlJc w:val="left"/>
      <w:pPr>
        <w:ind w:left="2650" w:hanging="360"/>
      </w:pPr>
      <w:rPr>
        <w:rFonts w:ascii="Wingdings" w:hAnsi="Wingdings" w:hint="default"/>
      </w:rPr>
    </w:lvl>
    <w:lvl w:ilvl="3" w:tplc="04100001" w:tentative="1">
      <w:start w:val="1"/>
      <w:numFmt w:val="bullet"/>
      <w:lvlText w:val=""/>
      <w:lvlJc w:val="left"/>
      <w:pPr>
        <w:ind w:left="3370" w:hanging="360"/>
      </w:pPr>
      <w:rPr>
        <w:rFonts w:ascii="Symbol" w:hAnsi="Symbol" w:hint="default"/>
      </w:rPr>
    </w:lvl>
    <w:lvl w:ilvl="4" w:tplc="04100003" w:tentative="1">
      <w:start w:val="1"/>
      <w:numFmt w:val="bullet"/>
      <w:lvlText w:val="o"/>
      <w:lvlJc w:val="left"/>
      <w:pPr>
        <w:ind w:left="4090" w:hanging="360"/>
      </w:pPr>
      <w:rPr>
        <w:rFonts w:ascii="Courier New" w:hAnsi="Courier New" w:cs="Courier New" w:hint="default"/>
      </w:rPr>
    </w:lvl>
    <w:lvl w:ilvl="5" w:tplc="04100005" w:tentative="1">
      <w:start w:val="1"/>
      <w:numFmt w:val="bullet"/>
      <w:lvlText w:val=""/>
      <w:lvlJc w:val="left"/>
      <w:pPr>
        <w:ind w:left="4810" w:hanging="360"/>
      </w:pPr>
      <w:rPr>
        <w:rFonts w:ascii="Wingdings" w:hAnsi="Wingdings" w:hint="default"/>
      </w:rPr>
    </w:lvl>
    <w:lvl w:ilvl="6" w:tplc="04100001" w:tentative="1">
      <w:start w:val="1"/>
      <w:numFmt w:val="bullet"/>
      <w:lvlText w:val=""/>
      <w:lvlJc w:val="left"/>
      <w:pPr>
        <w:ind w:left="5530" w:hanging="360"/>
      </w:pPr>
      <w:rPr>
        <w:rFonts w:ascii="Symbol" w:hAnsi="Symbol" w:hint="default"/>
      </w:rPr>
    </w:lvl>
    <w:lvl w:ilvl="7" w:tplc="04100003" w:tentative="1">
      <w:start w:val="1"/>
      <w:numFmt w:val="bullet"/>
      <w:lvlText w:val="o"/>
      <w:lvlJc w:val="left"/>
      <w:pPr>
        <w:ind w:left="6250" w:hanging="360"/>
      </w:pPr>
      <w:rPr>
        <w:rFonts w:ascii="Courier New" w:hAnsi="Courier New" w:cs="Courier New" w:hint="default"/>
      </w:rPr>
    </w:lvl>
    <w:lvl w:ilvl="8" w:tplc="04100005" w:tentative="1">
      <w:start w:val="1"/>
      <w:numFmt w:val="bullet"/>
      <w:lvlText w:val=""/>
      <w:lvlJc w:val="left"/>
      <w:pPr>
        <w:ind w:left="6970" w:hanging="360"/>
      </w:pPr>
      <w:rPr>
        <w:rFonts w:ascii="Wingdings" w:hAnsi="Wingdings" w:hint="default"/>
      </w:rPr>
    </w:lvl>
  </w:abstractNum>
  <w:abstractNum w:abstractNumId="8" w15:restartNumberingAfterBreak="0">
    <w:nsid w:val="63BE4D08"/>
    <w:multiLevelType w:val="hybridMultilevel"/>
    <w:tmpl w:val="0FD6E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A12FA4"/>
    <w:multiLevelType w:val="multilevel"/>
    <w:tmpl w:val="EA5A3FE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sz w:val="24"/>
        <w:vertAlign w:val="baseline"/>
      </w:rPr>
    </w:lvl>
    <w:lvl w:ilvl="2">
      <w:start w:val="1"/>
      <w:numFmt w:val="decimal"/>
      <w:pStyle w:val="Heading3"/>
      <w:lvlText w:val="%1.%2.%3."/>
      <w:lvlJc w:val="left"/>
      <w:pPr>
        <w:tabs>
          <w:tab w:val="num" w:pos="1842"/>
        </w:tabs>
        <w:ind w:left="1842" w:hanging="850"/>
      </w:pPr>
      <w:rPr>
        <w:b/>
        <w:i w:val="0"/>
      </w:rPr>
    </w:lvl>
    <w:lvl w:ilvl="3">
      <w:start w:val="1"/>
      <w:numFmt w:val="decimal"/>
      <w:pStyle w:val="Heading4"/>
      <w:lvlText w:val="%1.%2.%3.%4."/>
      <w:lvlJc w:val="left"/>
      <w:pPr>
        <w:tabs>
          <w:tab w:val="num" w:pos="850"/>
        </w:tabs>
        <w:ind w:left="850" w:hanging="850"/>
      </w:pPr>
    </w:lvl>
    <w:lvl w:ilvl="4">
      <w:start w:val="1"/>
      <w:numFmt w:val="decimal"/>
      <w:lvlText w:val="%1.%2.%3.%4.%5."/>
      <w:lvlJc w:val="left"/>
      <w:pPr>
        <w:ind w:left="1800" w:hanging="360"/>
      </w:pPr>
    </w:lvl>
    <w:lvl w:ilvl="5">
      <w:start w:val="1"/>
      <w:numFmt w:val="decimal"/>
      <w:lvlText w:val="%1.%2.%3.%4.%5.%6."/>
      <w:lvlJc w:val="left"/>
      <w:pPr>
        <w:ind w:left="2160" w:hanging="360"/>
      </w:pPr>
    </w:lvl>
    <w:lvl w:ilvl="6">
      <w:start w:val="1"/>
      <w:numFmt w:val="decimal"/>
      <w:lvlText w:val="%1.%2.%3.%4.%5.%6.%7."/>
      <w:lvlJc w:val="left"/>
      <w:pPr>
        <w:ind w:left="2520" w:hanging="360"/>
      </w:pPr>
    </w:lvl>
    <w:lvl w:ilvl="7">
      <w:start w:val="1"/>
      <w:numFmt w:val="decimal"/>
      <w:lvlText w:val="%1.%2.%3.%4.%5.%6.%7.%8."/>
      <w:lvlJc w:val="left"/>
      <w:pPr>
        <w:ind w:left="2880" w:hanging="360"/>
      </w:pPr>
    </w:lvl>
    <w:lvl w:ilvl="8">
      <w:start w:val="1"/>
      <w:numFmt w:val="decimal"/>
      <w:lvlText w:val="%1.%2.%3.%4.%5.%6.%7.%8.%9."/>
      <w:lvlJc w:val="left"/>
      <w:pPr>
        <w:ind w:left="3240" w:hanging="360"/>
      </w:pPr>
    </w:lvl>
  </w:abstractNum>
  <w:abstractNum w:abstractNumId="10" w15:restartNumberingAfterBreak="0">
    <w:nsid w:val="65233EED"/>
    <w:multiLevelType w:val="hybridMultilevel"/>
    <w:tmpl w:val="BC7C8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2B46E4"/>
    <w:multiLevelType w:val="hybridMultilevel"/>
    <w:tmpl w:val="D3B67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203890"/>
    <w:multiLevelType w:val="hybridMultilevel"/>
    <w:tmpl w:val="2FDC5E5E"/>
    <w:lvl w:ilvl="0" w:tplc="64B6F164">
      <w:start w:val="1"/>
      <w:numFmt w:val="bullet"/>
      <w:lvlText w:val="-"/>
      <w:lvlJc w:val="left"/>
      <w:pPr>
        <w:ind w:left="1210" w:hanging="360"/>
      </w:pPr>
      <w:rPr>
        <w:rFonts w:ascii="Times New Roman" w:eastAsia="Times New Roman" w:hAnsi="Times New Roman" w:cs="Times New Roman" w:hint="default"/>
      </w:rPr>
    </w:lvl>
    <w:lvl w:ilvl="1" w:tplc="04100003" w:tentative="1">
      <w:start w:val="1"/>
      <w:numFmt w:val="bullet"/>
      <w:lvlText w:val="o"/>
      <w:lvlJc w:val="left"/>
      <w:pPr>
        <w:ind w:left="1930" w:hanging="360"/>
      </w:pPr>
      <w:rPr>
        <w:rFonts w:ascii="Courier New" w:hAnsi="Courier New" w:cs="Courier New" w:hint="default"/>
      </w:rPr>
    </w:lvl>
    <w:lvl w:ilvl="2" w:tplc="04100005" w:tentative="1">
      <w:start w:val="1"/>
      <w:numFmt w:val="bullet"/>
      <w:lvlText w:val=""/>
      <w:lvlJc w:val="left"/>
      <w:pPr>
        <w:ind w:left="2650" w:hanging="360"/>
      </w:pPr>
      <w:rPr>
        <w:rFonts w:ascii="Wingdings" w:hAnsi="Wingdings" w:hint="default"/>
      </w:rPr>
    </w:lvl>
    <w:lvl w:ilvl="3" w:tplc="04100001" w:tentative="1">
      <w:start w:val="1"/>
      <w:numFmt w:val="bullet"/>
      <w:lvlText w:val=""/>
      <w:lvlJc w:val="left"/>
      <w:pPr>
        <w:ind w:left="3370" w:hanging="360"/>
      </w:pPr>
      <w:rPr>
        <w:rFonts w:ascii="Symbol" w:hAnsi="Symbol" w:hint="default"/>
      </w:rPr>
    </w:lvl>
    <w:lvl w:ilvl="4" w:tplc="04100003" w:tentative="1">
      <w:start w:val="1"/>
      <w:numFmt w:val="bullet"/>
      <w:lvlText w:val="o"/>
      <w:lvlJc w:val="left"/>
      <w:pPr>
        <w:ind w:left="4090" w:hanging="360"/>
      </w:pPr>
      <w:rPr>
        <w:rFonts w:ascii="Courier New" w:hAnsi="Courier New" w:cs="Courier New" w:hint="default"/>
      </w:rPr>
    </w:lvl>
    <w:lvl w:ilvl="5" w:tplc="04100005" w:tentative="1">
      <w:start w:val="1"/>
      <w:numFmt w:val="bullet"/>
      <w:lvlText w:val=""/>
      <w:lvlJc w:val="left"/>
      <w:pPr>
        <w:ind w:left="4810" w:hanging="360"/>
      </w:pPr>
      <w:rPr>
        <w:rFonts w:ascii="Wingdings" w:hAnsi="Wingdings" w:hint="default"/>
      </w:rPr>
    </w:lvl>
    <w:lvl w:ilvl="6" w:tplc="04100001" w:tentative="1">
      <w:start w:val="1"/>
      <w:numFmt w:val="bullet"/>
      <w:lvlText w:val=""/>
      <w:lvlJc w:val="left"/>
      <w:pPr>
        <w:ind w:left="5530" w:hanging="360"/>
      </w:pPr>
      <w:rPr>
        <w:rFonts w:ascii="Symbol" w:hAnsi="Symbol" w:hint="default"/>
      </w:rPr>
    </w:lvl>
    <w:lvl w:ilvl="7" w:tplc="04100003" w:tentative="1">
      <w:start w:val="1"/>
      <w:numFmt w:val="bullet"/>
      <w:lvlText w:val="o"/>
      <w:lvlJc w:val="left"/>
      <w:pPr>
        <w:ind w:left="6250" w:hanging="360"/>
      </w:pPr>
      <w:rPr>
        <w:rFonts w:ascii="Courier New" w:hAnsi="Courier New" w:cs="Courier New" w:hint="default"/>
      </w:rPr>
    </w:lvl>
    <w:lvl w:ilvl="8" w:tplc="04100005" w:tentative="1">
      <w:start w:val="1"/>
      <w:numFmt w:val="bullet"/>
      <w:lvlText w:val=""/>
      <w:lvlJc w:val="left"/>
      <w:pPr>
        <w:ind w:left="6970" w:hanging="360"/>
      </w:pPr>
      <w:rPr>
        <w:rFonts w:ascii="Wingdings" w:hAnsi="Wingdings" w:hint="default"/>
      </w:rPr>
    </w:lvl>
  </w:abstractNum>
  <w:num w:numId="1">
    <w:abstractNumId w:val="0"/>
  </w:num>
  <w:num w:numId="2">
    <w:abstractNumId w:val="9"/>
  </w:num>
  <w:num w:numId="3">
    <w:abstractNumId w:val="1"/>
  </w:num>
  <w:num w:numId="4">
    <w:abstractNumId w:val="9"/>
  </w:num>
  <w:num w:numId="5">
    <w:abstractNumId w:val="12"/>
  </w:num>
  <w:num w:numId="6">
    <w:abstractNumId w:val="6"/>
  </w:num>
  <w:num w:numId="7">
    <w:abstractNumId w:val="7"/>
  </w:num>
  <w:num w:numId="8">
    <w:abstractNumId w:val="4"/>
  </w:num>
  <w:num w:numId="9">
    <w:abstractNumId w:val="9"/>
  </w:num>
  <w:num w:numId="10">
    <w:abstractNumId w:val="9"/>
  </w:num>
  <w:num w:numId="11">
    <w:abstractNumId w:val="8"/>
  </w:num>
  <w:num w:numId="12">
    <w:abstractNumId w:val="2"/>
  </w:num>
  <w:num w:numId="13">
    <w:abstractNumId w:val="5"/>
  </w:num>
  <w:num w:numId="14">
    <w:abstractNumId w:val="10"/>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CA" w:vendorID="64" w:dllVersion="131078" w:nlCheck="1" w:checkStyle="1"/>
  <w:activeWritingStyle w:appName="MSWord" w:lang="de-DE" w:vendorID="64" w:dllVersion="131078" w:nlCheck="1" w:checkStyle="0"/>
  <w:activeWritingStyle w:appName="MSWord" w:lang="en-IE" w:vendorID="64" w:dllVersion="131078" w:nlCheck="1" w:checkStyle="1"/>
  <w:activeWritingStyle w:appName="MSWord" w:lang="it-IT"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C2AACBB-A7F8-4225-931E-2C1146830002"/>
    <w:docVar w:name="LW_COVERPAGE_TYPE" w:val="1"/>
    <w:docVar w:name="LW_CROSSREFERENCE" w:val="&lt;UNUSED&gt;"/>
    <w:docVar w:name="LW_DocType" w:val="NORMAL"/>
    <w:docVar w:name="LW_EMISSION" w:val="27.10.2021"/>
    <w:docVar w:name="LW_EMISSION_ISODATE" w:val="2021-10-27"/>
    <w:docVar w:name="LW_EMISSION_LOCATION" w:val="BRX"/>
    <w:docVar w:name="LW_EMISSION_PREFIX" w:val="Brisel\u275?, "/>
    <w:docVar w:name="LW_EMISSION_SUFFIX" w:val="."/>
    <w:docVar w:name="LW_ID_DOCTYPE_NONLW" w:val="CP-008"/>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21) 6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ar transpon\u275?\u353?anas un \u299?steno\u353?anas st\u257?vokli attiec\u299?b\u257? uz Eiropas Parlamenta un Padomes 2019. gada 17. apr\u299?\u316?a Direkt\u299?vu (ES) 2019/633 par negod\u299?gu tirdzniec\u299?bas praksi starpuz\u326?\u275?mumu attiec\u299?b\u257?s lauksaimniec\u299?bas un p\u257?rtikas pieg\u257?des \u311?\u275?d\u275?_x000d__x000d__x000d__x000d__x000d__x000d__x000d__x000b_"/>
    <w:docVar w:name="LW_TYPE.DOC.CP" w:val="KOMISIJAS ZI\u325?OJUMS EIROPAS PARLAMENTAM, PADOMEI, EIROPAS EKONOMIKAS UN SOCI\u256?LO LIETU KOMITEJAI UN RE\u290?IONU KOMITEJAI"/>
    <w:docVar w:name="LwApiVersions" w:val="LW4CoDe 1.23.1.0; LW 8.0, Build 20210728"/>
  </w:docVars>
  <w:rsids>
    <w:rsidRoot w:val="00CA535F"/>
    <w:rsid w:val="00000C9C"/>
    <w:rsid w:val="000010EE"/>
    <w:rsid w:val="00002367"/>
    <w:rsid w:val="000044AB"/>
    <w:rsid w:val="0000637D"/>
    <w:rsid w:val="0000EE25"/>
    <w:rsid w:val="00010332"/>
    <w:rsid w:val="000108A4"/>
    <w:rsid w:val="00011F78"/>
    <w:rsid w:val="0001287C"/>
    <w:rsid w:val="00017284"/>
    <w:rsid w:val="0002599E"/>
    <w:rsid w:val="000261B2"/>
    <w:rsid w:val="0003125B"/>
    <w:rsid w:val="00031F95"/>
    <w:rsid w:val="000341CF"/>
    <w:rsid w:val="00040208"/>
    <w:rsid w:val="00041806"/>
    <w:rsid w:val="000429EE"/>
    <w:rsid w:val="00042B22"/>
    <w:rsid w:val="0004448C"/>
    <w:rsid w:val="00045E0E"/>
    <w:rsid w:val="00045E5D"/>
    <w:rsid w:val="000462BF"/>
    <w:rsid w:val="00052DB8"/>
    <w:rsid w:val="00054DE4"/>
    <w:rsid w:val="00061D57"/>
    <w:rsid w:val="0006450A"/>
    <w:rsid w:val="000749FE"/>
    <w:rsid w:val="000779BB"/>
    <w:rsid w:val="00083429"/>
    <w:rsid w:val="00090C46"/>
    <w:rsid w:val="00092811"/>
    <w:rsid w:val="00094819"/>
    <w:rsid w:val="000A2951"/>
    <w:rsid w:val="000A3445"/>
    <w:rsid w:val="000A424B"/>
    <w:rsid w:val="000A69AD"/>
    <w:rsid w:val="000B0859"/>
    <w:rsid w:val="000B493E"/>
    <w:rsid w:val="000B5621"/>
    <w:rsid w:val="000B785B"/>
    <w:rsid w:val="000C2DEA"/>
    <w:rsid w:val="000C327B"/>
    <w:rsid w:val="000C61BD"/>
    <w:rsid w:val="000C65D1"/>
    <w:rsid w:val="000C6C55"/>
    <w:rsid w:val="000C6C92"/>
    <w:rsid w:val="000D402A"/>
    <w:rsid w:val="000D5DC8"/>
    <w:rsid w:val="000D72A1"/>
    <w:rsid w:val="000E1F10"/>
    <w:rsid w:val="000E3732"/>
    <w:rsid w:val="000E64BA"/>
    <w:rsid w:val="000F25B6"/>
    <w:rsid w:val="000F304E"/>
    <w:rsid w:val="000F574F"/>
    <w:rsid w:val="000F5EF0"/>
    <w:rsid w:val="000F6308"/>
    <w:rsid w:val="000F680C"/>
    <w:rsid w:val="000F6E39"/>
    <w:rsid w:val="00104304"/>
    <w:rsid w:val="001119C4"/>
    <w:rsid w:val="001122D1"/>
    <w:rsid w:val="00113928"/>
    <w:rsid w:val="00117443"/>
    <w:rsid w:val="00117B7F"/>
    <w:rsid w:val="001201EC"/>
    <w:rsid w:val="001211CA"/>
    <w:rsid w:val="00122657"/>
    <w:rsid w:val="00130958"/>
    <w:rsid w:val="001421B9"/>
    <w:rsid w:val="00143A5C"/>
    <w:rsid w:val="00144074"/>
    <w:rsid w:val="001441CA"/>
    <w:rsid w:val="001510C6"/>
    <w:rsid w:val="00152A36"/>
    <w:rsid w:val="0015593D"/>
    <w:rsid w:val="00155E16"/>
    <w:rsid w:val="00157818"/>
    <w:rsid w:val="001634C1"/>
    <w:rsid w:val="00164E3D"/>
    <w:rsid w:val="00167C2C"/>
    <w:rsid w:val="00171B6B"/>
    <w:rsid w:val="00171EDC"/>
    <w:rsid w:val="00172BA8"/>
    <w:rsid w:val="00174079"/>
    <w:rsid w:val="0018189C"/>
    <w:rsid w:val="00181B32"/>
    <w:rsid w:val="00182DA7"/>
    <w:rsid w:val="00187D2C"/>
    <w:rsid w:val="00192221"/>
    <w:rsid w:val="0019539D"/>
    <w:rsid w:val="00197405"/>
    <w:rsid w:val="001A397F"/>
    <w:rsid w:val="001A50EB"/>
    <w:rsid w:val="001B46DA"/>
    <w:rsid w:val="001B4FA8"/>
    <w:rsid w:val="001B6D24"/>
    <w:rsid w:val="001B78AC"/>
    <w:rsid w:val="001B7E86"/>
    <w:rsid w:val="001C2AF7"/>
    <w:rsid w:val="001C460B"/>
    <w:rsid w:val="001C5086"/>
    <w:rsid w:val="001C7220"/>
    <w:rsid w:val="001D0A20"/>
    <w:rsid w:val="001D27CF"/>
    <w:rsid w:val="001D3E23"/>
    <w:rsid w:val="001D4603"/>
    <w:rsid w:val="001D51C6"/>
    <w:rsid w:val="001D76B3"/>
    <w:rsid w:val="001D7BB4"/>
    <w:rsid w:val="001E5201"/>
    <w:rsid w:val="001F38CB"/>
    <w:rsid w:val="001F74DB"/>
    <w:rsid w:val="00203032"/>
    <w:rsid w:val="002057A8"/>
    <w:rsid w:val="002075E1"/>
    <w:rsid w:val="00211E2C"/>
    <w:rsid w:val="00215304"/>
    <w:rsid w:val="0022044B"/>
    <w:rsid w:val="00221620"/>
    <w:rsid w:val="00222B05"/>
    <w:rsid w:val="0022313F"/>
    <w:rsid w:val="002236BD"/>
    <w:rsid w:val="002261AF"/>
    <w:rsid w:val="00226592"/>
    <w:rsid w:val="00231D97"/>
    <w:rsid w:val="00234CA9"/>
    <w:rsid w:val="00235AE1"/>
    <w:rsid w:val="002360E6"/>
    <w:rsid w:val="00240592"/>
    <w:rsid w:val="00240B38"/>
    <w:rsid w:val="00245735"/>
    <w:rsid w:val="00245B17"/>
    <w:rsid w:val="00247A6B"/>
    <w:rsid w:val="00250233"/>
    <w:rsid w:val="0025178F"/>
    <w:rsid w:val="00251DA6"/>
    <w:rsid w:val="00253106"/>
    <w:rsid w:val="002554DF"/>
    <w:rsid w:val="0027096E"/>
    <w:rsid w:val="00272000"/>
    <w:rsid w:val="002727C7"/>
    <w:rsid w:val="00272B2A"/>
    <w:rsid w:val="00273580"/>
    <w:rsid w:val="00273EA6"/>
    <w:rsid w:val="0027446B"/>
    <w:rsid w:val="00275171"/>
    <w:rsid w:val="00280969"/>
    <w:rsid w:val="00281236"/>
    <w:rsid w:val="00281A3D"/>
    <w:rsid w:val="00286414"/>
    <w:rsid w:val="002871F3"/>
    <w:rsid w:val="002872F9"/>
    <w:rsid w:val="00290332"/>
    <w:rsid w:val="00290927"/>
    <w:rsid w:val="0029274F"/>
    <w:rsid w:val="00294384"/>
    <w:rsid w:val="00296BDB"/>
    <w:rsid w:val="00297559"/>
    <w:rsid w:val="00297FBD"/>
    <w:rsid w:val="002A2C19"/>
    <w:rsid w:val="002A389E"/>
    <w:rsid w:val="002B137C"/>
    <w:rsid w:val="002B1D2D"/>
    <w:rsid w:val="002B2712"/>
    <w:rsid w:val="002B4941"/>
    <w:rsid w:val="002B736A"/>
    <w:rsid w:val="002C0E6E"/>
    <w:rsid w:val="002C15D4"/>
    <w:rsid w:val="002C460C"/>
    <w:rsid w:val="002C5100"/>
    <w:rsid w:val="002C63D7"/>
    <w:rsid w:val="002D184A"/>
    <w:rsid w:val="002D2BA3"/>
    <w:rsid w:val="002D3EAC"/>
    <w:rsid w:val="002E3838"/>
    <w:rsid w:val="002F04DE"/>
    <w:rsid w:val="002F2CD6"/>
    <w:rsid w:val="002F4107"/>
    <w:rsid w:val="002F77FC"/>
    <w:rsid w:val="00302ADF"/>
    <w:rsid w:val="0030698C"/>
    <w:rsid w:val="00313968"/>
    <w:rsid w:val="00316F07"/>
    <w:rsid w:val="00317422"/>
    <w:rsid w:val="003236C2"/>
    <w:rsid w:val="003267FA"/>
    <w:rsid w:val="00331B82"/>
    <w:rsid w:val="00336371"/>
    <w:rsid w:val="003367A3"/>
    <w:rsid w:val="00336A1A"/>
    <w:rsid w:val="003412B0"/>
    <w:rsid w:val="0034444E"/>
    <w:rsid w:val="00344B84"/>
    <w:rsid w:val="00345126"/>
    <w:rsid w:val="00345E99"/>
    <w:rsid w:val="003462A8"/>
    <w:rsid w:val="00350187"/>
    <w:rsid w:val="00360916"/>
    <w:rsid w:val="00364D38"/>
    <w:rsid w:val="00373A50"/>
    <w:rsid w:val="00375A99"/>
    <w:rsid w:val="00375AE5"/>
    <w:rsid w:val="00377CD9"/>
    <w:rsid w:val="00377D99"/>
    <w:rsid w:val="003801F3"/>
    <w:rsid w:val="0038046F"/>
    <w:rsid w:val="00384B1F"/>
    <w:rsid w:val="003907ED"/>
    <w:rsid w:val="00391453"/>
    <w:rsid w:val="003930D2"/>
    <w:rsid w:val="00394DA0"/>
    <w:rsid w:val="003951E2"/>
    <w:rsid w:val="003A1A82"/>
    <w:rsid w:val="003A2783"/>
    <w:rsid w:val="003A2990"/>
    <w:rsid w:val="003A3195"/>
    <w:rsid w:val="003A3EF3"/>
    <w:rsid w:val="003A6D03"/>
    <w:rsid w:val="003B0833"/>
    <w:rsid w:val="003B0D06"/>
    <w:rsid w:val="003B0D7E"/>
    <w:rsid w:val="003B4FDD"/>
    <w:rsid w:val="003B6C9B"/>
    <w:rsid w:val="003C0527"/>
    <w:rsid w:val="003C4574"/>
    <w:rsid w:val="003C48DF"/>
    <w:rsid w:val="003D08B7"/>
    <w:rsid w:val="003D0FCE"/>
    <w:rsid w:val="003D3B16"/>
    <w:rsid w:val="003D4215"/>
    <w:rsid w:val="003D6F66"/>
    <w:rsid w:val="003E1F18"/>
    <w:rsid w:val="003E41A1"/>
    <w:rsid w:val="003E6116"/>
    <w:rsid w:val="003E66B1"/>
    <w:rsid w:val="003E6CB4"/>
    <w:rsid w:val="003F0F5E"/>
    <w:rsid w:val="003F0F7A"/>
    <w:rsid w:val="004030F0"/>
    <w:rsid w:val="00405B5B"/>
    <w:rsid w:val="0040719C"/>
    <w:rsid w:val="00407543"/>
    <w:rsid w:val="00407DF9"/>
    <w:rsid w:val="00413297"/>
    <w:rsid w:val="004134D4"/>
    <w:rsid w:val="00416468"/>
    <w:rsid w:val="004203E4"/>
    <w:rsid w:val="00424F9A"/>
    <w:rsid w:val="00432056"/>
    <w:rsid w:val="00433070"/>
    <w:rsid w:val="0043310C"/>
    <w:rsid w:val="00435192"/>
    <w:rsid w:val="004425CA"/>
    <w:rsid w:val="004431CE"/>
    <w:rsid w:val="00445FBA"/>
    <w:rsid w:val="00446422"/>
    <w:rsid w:val="004478DC"/>
    <w:rsid w:val="00451CE5"/>
    <w:rsid w:val="00452544"/>
    <w:rsid w:val="00453302"/>
    <w:rsid w:val="004560DC"/>
    <w:rsid w:val="004563E1"/>
    <w:rsid w:val="00456826"/>
    <w:rsid w:val="00457069"/>
    <w:rsid w:val="00457397"/>
    <w:rsid w:val="004586C3"/>
    <w:rsid w:val="00464321"/>
    <w:rsid w:val="00466774"/>
    <w:rsid w:val="00466B40"/>
    <w:rsid w:val="00466E56"/>
    <w:rsid w:val="00467F33"/>
    <w:rsid w:val="00472A34"/>
    <w:rsid w:val="00474D45"/>
    <w:rsid w:val="00476874"/>
    <w:rsid w:val="0047750C"/>
    <w:rsid w:val="00477813"/>
    <w:rsid w:val="00481043"/>
    <w:rsid w:val="004817E4"/>
    <w:rsid w:val="00492611"/>
    <w:rsid w:val="00492620"/>
    <w:rsid w:val="004932A6"/>
    <w:rsid w:val="004950D4"/>
    <w:rsid w:val="00495766"/>
    <w:rsid w:val="004A2D0C"/>
    <w:rsid w:val="004A36F2"/>
    <w:rsid w:val="004A37C7"/>
    <w:rsid w:val="004A3832"/>
    <w:rsid w:val="004A500E"/>
    <w:rsid w:val="004A677F"/>
    <w:rsid w:val="004A6CA6"/>
    <w:rsid w:val="004B7790"/>
    <w:rsid w:val="004C0F93"/>
    <w:rsid w:val="004C1822"/>
    <w:rsid w:val="004C47D5"/>
    <w:rsid w:val="004C5B03"/>
    <w:rsid w:val="004D05D4"/>
    <w:rsid w:val="004D1655"/>
    <w:rsid w:val="004D21BE"/>
    <w:rsid w:val="004D274F"/>
    <w:rsid w:val="004D35A6"/>
    <w:rsid w:val="004D408B"/>
    <w:rsid w:val="004D4281"/>
    <w:rsid w:val="004D5384"/>
    <w:rsid w:val="004E08B7"/>
    <w:rsid w:val="004E4912"/>
    <w:rsid w:val="004E6775"/>
    <w:rsid w:val="004F207F"/>
    <w:rsid w:val="004F4C3C"/>
    <w:rsid w:val="004F6617"/>
    <w:rsid w:val="00501134"/>
    <w:rsid w:val="005017C8"/>
    <w:rsid w:val="00504D1D"/>
    <w:rsid w:val="005127CC"/>
    <w:rsid w:val="00512B63"/>
    <w:rsid w:val="00513C63"/>
    <w:rsid w:val="00514489"/>
    <w:rsid w:val="00515A64"/>
    <w:rsid w:val="0051AFEC"/>
    <w:rsid w:val="005261F5"/>
    <w:rsid w:val="005325B4"/>
    <w:rsid w:val="00532DEA"/>
    <w:rsid w:val="005330D5"/>
    <w:rsid w:val="00541177"/>
    <w:rsid w:val="0054411C"/>
    <w:rsid w:val="00545083"/>
    <w:rsid w:val="0054F621"/>
    <w:rsid w:val="005510D0"/>
    <w:rsid w:val="005564FD"/>
    <w:rsid w:val="005657A6"/>
    <w:rsid w:val="00565F27"/>
    <w:rsid w:val="00571A80"/>
    <w:rsid w:val="00572BF4"/>
    <w:rsid w:val="00574275"/>
    <w:rsid w:val="0057552A"/>
    <w:rsid w:val="005756BE"/>
    <w:rsid w:val="0058235E"/>
    <w:rsid w:val="00584677"/>
    <w:rsid w:val="00584EA0"/>
    <w:rsid w:val="00587B66"/>
    <w:rsid w:val="00591FDE"/>
    <w:rsid w:val="005972B3"/>
    <w:rsid w:val="005A474F"/>
    <w:rsid w:val="005A49A8"/>
    <w:rsid w:val="005A7A1C"/>
    <w:rsid w:val="005B1607"/>
    <w:rsid w:val="005B1C6C"/>
    <w:rsid w:val="005B3426"/>
    <w:rsid w:val="005B4D21"/>
    <w:rsid w:val="005B67DF"/>
    <w:rsid w:val="005C0942"/>
    <w:rsid w:val="005C1354"/>
    <w:rsid w:val="005C14D0"/>
    <w:rsid w:val="005C3268"/>
    <w:rsid w:val="005D0BD5"/>
    <w:rsid w:val="005D108F"/>
    <w:rsid w:val="005D2423"/>
    <w:rsid w:val="005D3A74"/>
    <w:rsid w:val="005D6852"/>
    <w:rsid w:val="005D6B71"/>
    <w:rsid w:val="005D6D4A"/>
    <w:rsid w:val="005D6E44"/>
    <w:rsid w:val="005E1854"/>
    <w:rsid w:val="005E25E8"/>
    <w:rsid w:val="005E2D30"/>
    <w:rsid w:val="005E3A20"/>
    <w:rsid w:val="005E4C2F"/>
    <w:rsid w:val="005E57E0"/>
    <w:rsid w:val="005F09D7"/>
    <w:rsid w:val="005F3376"/>
    <w:rsid w:val="005F3A5A"/>
    <w:rsid w:val="006034CA"/>
    <w:rsid w:val="00605FD5"/>
    <w:rsid w:val="0060677A"/>
    <w:rsid w:val="00606A4A"/>
    <w:rsid w:val="006071FF"/>
    <w:rsid w:val="00617E20"/>
    <w:rsid w:val="00620E5C"/>
    <w:rsid w:val="00623C97"/>
    <w:rsid w:val="006245D8"/>
    <w:rsid w:val="00627B9C"/>
    <w:rsid w:val="00634411"/>
    <w:rsid w:val="0063465B"/>
    <w:rsid w:val="00636172"/>
    <w:rsid w:val="00636269"/>
    <w:rsid w:val="00643B06"/>
    <w:rsid w:val="00645071"/>
    <w:rsid w:val="00650A8C"/>
    <w:rsid w:val="00661391"/>
    <w:rsid w:val="006644C2"/>
    <w:rsid w:val="006657C2"/>
    <w:rsid w:val="00665C92"/>
    <w:rsid w:val="006678DC"/>
    <w:rsid w:val="00670E8F"/>
    <w:rsid w:val="00672FA3"/>
    <w:rsid w:val="00672FC3"/>
    <w:rsid w:val="00674EB0"/>
    <w:rsid w:val="00680B98"/>
    <w:rsid w:val="00681C99"/>
    <w:rsid w:val="00681CD4"/>
    <w:rsid w:val="00681E83"/>
    <w:rsid w:val="006A0389"/>
    <w:rsid w:val="006A0D9C"/>
    <w:rsid w:val="006A4497"/>
    <w:rsid w:val="006A4BF9"/>
    <w:rsid w:val="006A4EAE"/>
    <w:rsid w:val="006A5FC7"/>
    <w:rsid w:val="006A7922"/>
    <w:rsid w:val="006B3AF6"/>
    <w:rsid w:val="006B3C50"/>
    <w:rsid w:val="006B6FA0"/>
    <w:rsid w:val="006C544F"/>
    <w:rsid w:val="006CBEE2"/>
    <w:rsid w:val="006D0096"/>
    <w:rsid w:val="006D03E6"/>
    <w:rsid w:val="006D1DF8"/>
    <w:rsid w:val="006D26B8"/>
    <w:rsid w:val="006D2FFF"/>
    <w:rsid w:val="006D3299"/>
    <w:rsid w:val="006D3A3F"/>
    <w:rsid w:val="006D538A"/>
    <w:rsid w:val="006D68A7"/>
    <w:rsid w:val="006D7A85"/>
    <w:rsid w:val="006E50B6"/>
    <w:rsid w:val="006E5C1D"/>
    <w:rsid w:val="006F25E0"/>
    <w:rsid w:val="006F3063"/>
    <w:rsid w:val="006F7949"/>
    <w:rsid w:val="006F9C4B"/>
    <w:rsid w:val="007004C9"/>
    <w:rsid w:val="00700EBD"/>
    <w:rsid w:val="007078FA"/>
    <w:rsid w:val="00713F16"/>
    <w:rsid w:val="0071623A"/>
    <w:rsid w:val="00716677"/>
    <w:rsid w:val="007217F6"/>
    <w:rsid w:val="00722BB5"/>
    <w:rsid w:val="00723026"/>
    <w:rsid w:val="00724AC5"/>
    <w:rsid w:val="007251D8"/>
    <w:rsid w:val="00725D89"/>
    <w:rsid w:val="00730C2D"/>
    <w:rsid w:val="0073106B"/>
    <w:rsid w:val="00732591"/>
    <w:rsid w:val="0073414B"/>
    <w:rsid w:val="00736A81"/>
    <w:rsid w:val="00736C63"/>
    <w:rsid w:val="0074196C"/>
    <w:rsid w:val="00743E91"/>
    <w:rsid w:val="00747065"/>
    <w:rsid w:val="0075088C"/>
    <w:rsid w:val="00751326"/>
    <w:rsid w:val="00752CED"/>
    <w:rsid w:val="007569FA"/>
    <w:rsid w:val="00757232"/>
    <w:rsid w:val="007663F7"/>
    <w:rsid w:val="00771174"/>
    <w:rsid w:val="00772E0A"/>
    <w:rsid w:val="007762F5"/>
    <w:rsid w:val="00777ACC"/>
    <w:rsid w:val="00784860"/>
    <w:rsid w:val="00786557"/>
    <w:rsid w:val="00786CCA"/>
    <w:rsid w:val="007913D9"/>
    <w:rsid w:val="00796F87"/>
    <w:rsid w:val="007A035C"/>
    <w:rsid w:val="007A3D47"/>
    <w:rsid w:val="007A4A0A"/>
    <w:rsid w:val="007A7C15"/>
    <w:rsid w:val="007B02C4"/>
    <w:rsid w:val="007B2989"/>
    <w:rsid w:val="007C32A1"/>
    <w:rsid w:val="007C563F"/>
    <w:rsid w:val="007C66B6"/>
    <w:rsid w:val="007C7E6E"/>
    <w:rsid w:val="007D4D0B"/>
    <w:rsid w:val="007E11F6"/>
    <w:rsid w:val="007E52E3"/>
    <w:rsid w:val="007E6B26"/>
    <w:rsid w:val="007F1CC9"/>
    <w:rsid w:val="007F36A6"/>
    <w:rsid w:val="007F3CB6"/>
    <w:rsid w:val="007F503F"/>
    <w:rsid w:val="00800852"/>
    <w:rsid w:val="00800C81"/>
    <w:rsid w:val="0080106B"/>
    <w:rsid w:val="0080267B"/>
    <w:rsid w:val="008038DD"/>
    <w:rsid w:val="00810410"/>
    <w:rsid w:val="00810C07"/>
    <w:rsid w:val="00810C53"/>
    <w:rsid w:val="00811AF4"/>
    <w:rsid w:val="00811C1D"/>
    <w:rsid w:val="0081312B"/>
    <w:rsid w:val="008138D9"/>
    <w:rsid w:val="00816A45"/>
    <w:rsid w:val="00821C70"/>
    <w:rsid w:val="00821F5C"/>
    <w:rsid w:val="008255BF"/>
    <w:rsid w:val="008257AC"/>
    <w:rsid w:val="00825CCE"/>
    <w:rsid w:val="008308DD"/>
    <w:rsid w:val="00832D43"/>
    <w:rsid w:val="008335B1"/>
    <w:rsid w:val="00840979"/>
    <w:rsid w:val="00841792"/>
    <w:rsid w:val="00842C29"/>
    <w:rsid w:val="00844FF7"/>
    <w:rsid w:val="00851E8A"/>
    <w:rsid w:val="00852F19"/>
    <w:rsid w:val="00856BE6"/>
    <w:rsid w:val="008577B2"/>
    <w:rsid w:val="00857E5D"/>
    <w:rsid w:val="00860261"/>
    <w:rsid w:val="00864422"/>
    <w:rsid w:val="008645E0"/>
    <w:rsid w:val="00873617"/>
    <w:rsid w:val="00876693"/>
    <w:rsid w:val="00883D1F"/>
    <w:rsid w:val="00884218"/>
    <w:rsid w:val="00890448"/>
    <w:rsid w:val="00894D8D"/>
    <w:rsid w:val="008A13C7"/>
    <w:rsid w:val="008A3069"/>
    <w:rsid w:val="008A3140"/>
    <w:rsid w:val="008A595F"/>
    <w:rsid w:val="008B04D0"/>
    <w:rsid w:val="008B05F6"/>
    <w:rsid w:val="008B09DA"/>
    <w:rsid w:val="008B59F7"/>
    <w:rsid w:val="008B5D08"/>
    <w:rsid w:val="008B6C63"/>
    <w:rsid w:val="008C04A1"/>
    <w:rsid w:val="008C0EEF"/>
    <w:rsid w:val="008C4893"/>
    <w:rsid w:val="008C4A75"/>
    <w:rsid w:val="008C5B94"/>
    <w:rsid w:val="008C75A3"/>
    <w:rsid w:val="008D3FCA"/>
    <w:rsid w:val="008D4E33"/>
    <w:rsid w:val="008D4EDA"/>
    <w:rsid w:val="008D5B5A"/>
    <w:rsid w:val="008D5FE3"/>
    <w:rsid w:val="008D64D8"/>
    <w:rsid w:val="008E0E7A"/>
    <w:rsid w:val="008E31A9"/>
    <w:rsid w:val="008F0AA3"/>
    <w:rsid w:val="008F5172"/>
    <w:rsid w:val="009009BA"/>
    <w:rsid w:val="00900FE2"/>
    <w:rsid w:val="00901642"/>
    <w:rsid w:val="009036B3"/>
    <w:rsid w:val="0091353F"/>
    <w:rsid w:val="0091477A"/>
    <w:rsid w:val="00914CA2"/>
    <w:rsid w:val="0092058A"/>
    <w:rsid w:val="00921B46"/>
    <w:rsid w:val="00923CE0"/>
    <w:rsid w:val="00923E7A"/>
    <w:rsid w:val="009256FC"/>
    <w:rsid w:val="00934FB4"/>
    <w:rsid w:val="00935FB4"/>
    <w:rsid w:val="00936C03"/>
    <w:rsid w:val="00936DC0"/>
    <w:rsid w:val="00937278"/>
    <w:rsid w:val="00942001"/>
    <w:rsid w:val="0094309E"/>
    <w:rsid w:val="009444A9"/>
    <w:rsid w:val="009519AD"/>
    <w:rsid w:val="0095390B"/>
    <w:rsid w:val="00954B5A"/>
    <w:rsid w:val="00961223"/>
    <w:rsid w:val="00962629"/>
    <w:rsid w:val="0096375A"/>
    <w:rsid w:val="00970AE1"/>
    <w:rsid w:val="00971394"/>
    <w:rsid w:val="00971B94"/>
    <w:rsid w:val="009723B2"/>
    <w:rsid w:val="0097298C"/>
    <w:rsid w:val="009746C4"/>
    <w:rsid w:val="00975D33"/>
    <w:rsid w:val="00976819"/>
    <w:rsid w:val="00982F50"/>
    <w:rsid w:val="00983F70"/>
    <w:rsid w:val="00984426"/>
    <w:rsid w:val="00984E99"/>
    <w:rsid w:val="009A0593"/>
    <w:rsid w:val="009A416E"/>
    <w:rsid w:val="009A43A0"/>
    <w:rsid w:val="009B044B"/>
    <w:rsid w:val="009B10D5"/>
    <w:rsid w:val="009B1977"/>
    <w:rsid w:val="009B1CBD"/>
    <w:rsid w:val="009B4956"/>
    <w:rsid w:val="009B55E5"/>
    <w:rsid w:val="009B7649"/>
    <w:rsid w:val="009C33F5"/>
    <w:rsid w:val="009C4455"/>
    <w:rsid w:val="009C4DE0"/>
    <w:rsid w:val="009D2140"/>
    <w:rsid w:val="009D47D4"/>
    <w:rsid w:val="009E064B"/>
    <w:rsid w:val="009E2D83"/>
    <w:rsid w:val="009E4760"/>
    <w:rsid w:val="009E7569"/>
    <w:rsid w:val="009E7D4C"/>
    <w:rsid w:val="009F0B01"/>
    <w:rsid w:val="009F449E"/>
    <w:rsid w:val="00A002BC"/>
    <w:rsid w:val="00A00D49"/>
    <w:rsid w:val="00A0184B"/>
    <w:rsid w:val="00A02338"/>
    <w:rsid w:val="00A025C7"/>
    <w:rsid w:val="00A03C79"/>
    <w:rsid w:val="00A044B4"/>
    <w:rsid w:val="00A04770"/>
    <w:rsid w:val="00A054BD"/>
    <w:rsid w:val="00A131DB"/>
    <w:rsid w:val="00A16643"/>
    <w:rsid w:val="00A21580"/>
    <w:rsid w:val="00A226AE"/>
    <w:rsid w:val="00A23981"/>
    <w:rsid w:val="00A34AAC"/>
    <w:rsid w:val="00A36072"/>
    <w:rsid w:val="00A36E49"/>
    <w:rsid w:val="00A46592"/>
    <w:rsid w:val="00A542EF"/>
    <w:rsid w:val="00A54C56"/>
    <w:rsid w:val="00A55BDC"/>
    <w:rsid w:val="00A56CBC"/>
    <w:rsid w:val="00A57429"/>
    <w:rsid w:val="00A577B4"/>
    <w:rsid w:val="00A61EFD"/>
    <w:rsid w:val="00A660F1"/>
    <w:rsid w:val="00A66432"/>
    <w:rsid w:val="00A672AC"/>
    <w:rsid w:val="00A675FD"/>
    <w:rsid w:val="00A67E24"/>
    <w:rsid w:val="00A74B6F"/>
    <w:rsid w:val="00A80639"/>
    <w:rsid w:val="00A80E51"/>
    <w:rsid w:val="00A8206B"/>
    <w:rsid w:val="00A941FB"/>
    <w:rsid w:val="00AA23E7"/>
    <w:rsid w:val="00AA3545"/>
    <w:rsid w:val="00AA5849"/>
    <w:rsid w:val="00AA670F"/>
    <w:rsid w:val="00AA7BBE"/>
    <w:rsid w:val="00AB2548"/>
    <w:rsid w:val="00AB5745"/>
    <w:rsid w:val="00AB60A6"/>
    <w:rsid w:val="00AB687E"/>
    <w:rsid w:val="00AC0CC4"/>
    <w:rsid w:val="00AC14FD"/>
    <w:rsid w:val="00AC3876"/>
    <w:rsid w:val="00AC4F63"/>
    <w:rsid w:val="00AC71AF"/>
    <w:rsid w:val="00AD0722"/>
    <w:rsid w:val="00AD3B42"/>
    <w:rsid w:val="00AD4D41"/>
    <w:rsid w:val="00AD7EDC"/>
    <w:rsid w:val="00AE027A"/>
    <w:rsid w:val="00AE0A8B"/>
    <w:rsid w:val="00AE1A5F"/>
    <w:rsid w:val="00AE2952"/>
    <w:rsid w:val="00AE7839"/>
    <w:rsid w:val="00AF05B0"/>
    <w:rsid w:val="00AF61B4"/>
    <w:rsid w:val="00AF79C9"/>
    <w:rsid w:val="00B00698"/>
    <w:rsid w:val="00B01911"/>
    <w:rsid w:val="00B063A3"/>
    <w:rsid w:val="00B075D9"/>
    <w:rsid w:val="00B13DB1"/>
    <w:rsid w:val="00B212EA"/>
    <w:rsid w:val="00B2174D"/>
    <w:rsid w:val="00B21B27"/>
    <w:rsid w:val="00B23D87"/>
    <w:rsid w:val="00B255BD"/>
    <w:rsid w:val="00B26493"/>
    <w:rsid w:val="00B34554"/>
    <w:rsid w:val="00B350B6"/>
    <w:rsid w:val="00B364B4"/>
    <w:rsid w:val="00B4109D"/>
    <w:rsid w:val="00B4322C"/>
    <w:rsid w:val="00B450FC"/>
    <w:rsid w:val="00B46543"/>
    <w:rsid w:val="00B47968"/>
    <w:rsid w:val="00B503BF"/>
    <w:rsid w:val="00B51048"/>
    <w:rsid w:val="00B60E80"/>
    <w:rsid w:val="00B62CE9"/>
    <w:rsid w:val="00B735FD"/>
    <w:rsid w:val="00B7571C"/>
    <w:rsid w:val="00B760CC"/>
    <w:rsid w:val="00B777B2"/>
    <w:rsid w:val="00B80BEE"/>
    <w:rsid w:val="00B8103F"/>
    <w:rsid w:val="00B83C10"/>
    <w:rsid w:val="00B85637"/>
    <w:rsid w:val="00B86ECD"/>
    <w:rsid w:val="00B90DE0"/>
    <w:rsid w:val="00B921C6"/>
    <w:rsid w:val="00B96964"/>
    <w:rsid w:val="00BA345E"/>
    <w:rsid w:val="00BA3ACA"/>
    <w:rsid w:val="00BA4170"/>
    <w:rsid w:val="00BA6E1E"/>
    <w:rsid w:val="00BA711A"/>
    <w:rsid w:val="00BB1111"/>
    <w:rsid w:val="00BC06E4"/>
    <w:rsid w:val="00BC0FE9"/>
    <w:rsid w:val="00BC17F2"/>
    <w:rsid w:val="00BC1E23"/>
    <w:rsid w:val="00BC2107"/>
    <w:rsid w:val="00BC2DEE"/>
    <w:rsid w:val="00BC7C77"/>
    <w:rsid w:val="00BD3194"/>
    <w:rsid w:val="00BD4B06"/>
    <w:rsid w:val="00BE0929"/>
    <w:rsid w:val="00BE4044"/>
    <w:rsid w:val="00BE4519"/>
    <w:rsid w:val="00BF0164"/>
    <w:rsid w:val="00BF16EC"/>
    <w:rsid w:val="00BF1B8A"/>
    <w:rsid w:val="00BF28BA"/>
    <w:rsid w:val="00BF5061"/>
    <w:rsid w:val="00C079C9"/>
    <w:rsid w:val="00C11D92"/>
    <w:rsid w:val="00C23324"/>
    <w:rsid w:val="00C248A2"/>
    <w:rsid w:val="00C25BD7"/>
    <w:rsid w:val="00C26DC3"/>
    <w:rsid w:val="00C326CD"/>
    <w:rsid w:val="00C34951"/>
    <w:rsid w:val="00C35A3D"/>
    <w:rsid w:val="00C4095C"/>
    <w:rsid w:val="00C43EE3"/>
    <w:rsid w:val="00C5080D"/>
    <w:rsid w:val="00C52407"/>
    <w:rsid w:val="00C570CA"/>
    <w:rsid w:val="00C62626"/>
    <w:rsid w:val="00C63D7C"/>
    <w:rsid w:val="00C65995"/>
    <w:rsid w:val="00C67E6C"/>
    <w:rsid w:val="00C77F56"/>
    <w:rsid w:val="00C823FB"/>
    <w:rsid w:val="00C839AF"/>
    <w:rsid w:val="00C865D8"/>
    <w:rsid w:val="00C87C2F"/>
    <w:rsid w:val="00C92FE3"/>
    <w:rsid w:val="00C95E15"/>
    <w:rsid w:val="00C966FB"/>
    <w:rsid w:val="00CA11F1"/>
    <w:rsid w:val="00CA2086"/>
    <w:rsid w:val="00CA2887"/>
    <w:rsid w:val="00CA4E7F"/>
    <w:rsid w:val="00CA535F"/>
    <w:rsid w:val="00CB25EF"/>
    <w:rsid w:val="00CB5411"/>
    <w:rsid w:val="00CC4AAB"/>
    <w:rsid w:val="00CC78F7"/>
    <w:rsid w:val="00CC7B8C"/>
    <w:rsid w:val="00CD01DA"/>
    <w:rsid w:val="00CD0D70"/>
    <w:rsid w:val="00CD500F"/>
    <w:rsid w:val="00CD6E6E"/>
    <w:rsid w:val="00CE1E71"/>
    <w:rsid w:val="00CE20F6"/>
    <w:rsid w:val="00CF020E"/>
    <w:rsid w:val="00CF2E9C"/>
    <w:rsid w:val="00CF4F01"/>
    <w:rsid w:val="00CF5C18"/>
    <w:rsid w:val="00D007DB"/>
    <w:rsid w:val="00D00E0A"/>
    <w:rsid w:val="00D01245"/>
    <w:rsid w:val="00D03F32"/>
    <w:rsid w:val="00D0413E"/>
    <w:rsid w:val="00D06DFF"/>
    <w:rsid w:val="00D114EF"/>
    <w:rsid w:val="00D12D0A"/>
    <w:rsid w:val="00D17B32"/>
    <w:rsid w:val="00D17B3D"/>
    <w:rsid w:val="00D217C6"/>
    <w:rsid w:val="00D225F3"/>
    <w:rsid w:val="00D23250"/>
    <w:rsid w:val="00D23452"/>
    <w:rsid w:val="00D246DA"/>
    <w:rsid w:val="00D24CC2"/>
    <w:rsid w:val="00D26B12"/>
    <w:rsid w:val="00D314E0"/>
    <w:rsid w:val="00D315CF"/>
    <w:rsid w:val="00D31833"/>
    <w:rsid w:val="00D31BF3"/>
    <w:rsid w:val="00D41D48"/>
    <w:rsid w:val="00D4437D"/>
    <w:rsid w:val="00D44D54"/>
    <w:rsid w:val="00D46291"/>
    <w:rsid w:val="00D47E9F"/>
    <w:rsid w:val="00D5139B"/>
    <w:rsid w:val="00D514D2"/>
    <w:rsid w:val="00D51E0B"/>
    <w:rsid w:val="00D51F74"/>
    <w:rsid w:val="00D5207F"/>
    <w:rsid w:val="00D52436"/>
    <w:rsid w:val="00D54350"/>
    <w:rsid w:val="00D55478"/>
    <w:rsid w:val="00D55E96"/>
    <w:rsid w:val="00D630B5"/>
    <w:rsid w:val="00D70990"/>
    <w:rsid w:val="00D7120F"/>
    <w:rsid w:val="00D72408"/>
    <w:rsid w:val="00D752E7"/>
    <w:rsid w:val="00D80DBE"/>
    <w:rsid w:val="00D83D44"/>
    <w:rsid w:val="00D85C7E"/>
    <w:rsid w:val="00D87E7F"/>
    <w:rsid w:val="00D94107"/>
    <w:rsid w:val="00D95EAE"/>
    <w:rsid w:val="00DA1A5A"/>
    <w:rsid w:val="00DA2C8B"/>
    <w:rsid w:val="00DA2E46"/>
    <w:rsid w:val="00DA45EB"/>
    <w:rsid w:val="00DA7022"/>
    <w:rsid w:val="00DA72A6"/>
    <w:rsid w:val="00DA7344"/>
    <w:rsid w:val="00DB0899"/>
    <w:rsid w:val="00DB3146"/>
    <w:rsid w:val="00DB6B03"/>
    <w:rsid w:val="00DB6D8D"/>
    <w:rsid w:val="00DB7471"/>
    <w:rsid w:val="00DB794E"/>
    <w:rsid w:val="00DB7EFC"/>
    <w:rsid w:val="00DC1D59"/>
    <w:rsid w:val="00DC1FFD"/>
    <w:rsid w:val="00DC3332"/>
    <w:rsid w:val="00DC5637"/>
    <w:rsid w:val="00DC5879"/>
    <w:rsid w:val="00DD2D63"/>
    <w:rsid w:val="00DD4C1A"/>
    <w:rsid w:val="00DD503D"/>
    <w:rsid w:val="00DD5887"/>
    <w:rsid w:val="00DE1798"/>
    <w:rsid w:val="00DE3B63"/>
    <w:rsid w:val="00DE6387"/>
    <w:rsid w:val="00DE75BC"/>
    <w:rsid w:val="00DF068D"/>
    <w:rsid w:val="00DF22C8"/>
    <w:rsid w:val="00DF2AFD"/>
    <w:rsid w:val="00DF5E3D"/>
    <w:rsid w:val="00E016A0"/>
    <w:rsid w:val="00E02A8B"/>
    <w:rsid w:val="00E10275"/>
    <w:rsid w:val="00E107E0"/>
    <w:rsid w:val="00E13DB9"/>
    <w:rsid w:val="00E17BAF"/>
    <w:rsid w:val="00E20F0A"/>
    <w:rsid w:val="00E229C3"/>
    <w:rsid w:val="00E22F1E"/>
    <w:rsid w:val="00E244C3"/>
    <w:rsid w:val="00E3367E"/>
    <w:rsid w:val="00E35B29"/>
    <w:rsid w:val="00E36363"/>
    <w:rsid w:val="00E458A9"/>
    <w:rsid w:val="00E5227B"/>
    <w:rsid w:val="00E52B90"/>
    <w:rsid w:val="00E54863"/>
    <w:rsid w:val="00E62635"/>
    <w:rsid w:val="00E674C7"/>
    <w:rsid w:val="00E705EE"/>
    <w:rsid w:val="00E707FA"/>
    <w:rsid w:val="00E716B0"/>
    <w:rsid w:val="00E7188B"/>
    <w:rsid w:val="00E74B7C"/>
    <w:rsid w:val="00E74E00"/>
    <w:rsid w:val="00E80EA6"/>
    <w:rsid w:val="00E8148A"/>
    <w:rsid w:val="00E826A0"/>
    <w:rsid w:val="00E83231"/>
    <w:rsid w:val="00E86824"/>
    <w:rsid w:val="00E87156"/>
    <w:rsid w:val="00E878F4"/>
    <w:rsid w:val="00E87C13"/>
    <w:rsid w:val="00E90F0D"/>
    <w:rsid w:val="00E94520"/>
    <w:rsid w:val="00E95F19"/>
    <w:rsid w:val="00E96068"/>
    <w:rsid w:val="00E964E9"/>
    <w:rsid w:val="00EA0020"/>
    <w:rsid w:val="00EA1D74"/>
    <w:rsid w:val="00EA2CC7"/>
    <w:rsid w:val="00EA3491"/>
    <w:rsid w:val="00EA3FC6"/>
    <w:rsid w:val="00EA52F3"/>
    <w:rsid w:val="00EA7092"/>
    <w:rsid w:val="00EA7C1C"/>
    <w:rsid w:val="00EA7FD1"/>
    <w:rsid w:val="00EC0342"/>
    <w:rsid w:val="00EC1386"/>
    <w:rsid w:val="00EC2569"/>
    <w:rsid w:val="00EC2E7D"/>
    <w:rsid w:val="00EC6A9C"/>
    <w:rsid w:val="00EC6D1A"/>
    <w:rsid w:val="00EC79D9"/>
    <w:rsid w:val="00EE3959"/>
    <w:rsid w:val="00EE686C"/>
    <w:rsid w:val="00EE6F46"/>
    <w:rsid w:val="00EF21DD"/>
    <w:rsid w:val="00EF3A28"/>
    <w:rsid w:val="00EF70F3"/>
    <w:rsid w:val="00F20288"/>
    <w:rsid w:val="00F21035"/>
    <w:rsid w:val="00F21D90"/>
    <w:rsid w:val="00F257A2"/>
    <w:rsid w:val="00F269FD"/>
    <w:rsid w:val="00F27FE3"/>
    <w:rsid w:val="00F32A2C"/>
    <w:rsid w:val="00F34DFA"/>
    <w:rsid w:val="00F406FC"/>
    <w:rsid w:val="00F50C7D"/>
    <w:rsid w:val="00F5298E"/>
    <w:rsid w:val="00F545EA"/>
    <w:rsid w:val="00F57B0F"/>
    <w:rsid w:val="00F619DE"/>
    <w:rsid w:val="00F67B89"/>
    <w:rsid w:val="00F70983"/>
    <w:rsid w:val="00F713E9"/>
    <w:rsid w:val="00F71A3A"/>
    <w:rsid w:val="00F721BB"/>
    <w:rsid w:val="00F75667"/>
    <w:rsid w:val="00F85F6C"/>
    <w:rsid w:val="00F86BCA"/>
    <w:rsid w:val="00F8786B"/>
    <w:rsid w:val="00F909A4"/>
    <w:rsid w:val="00F91D2D"/>
    <w:rsid w:val="00F93F59"/>
    <w:rsid w:val="00F94367"/>
    <w:rsid w:val="00F9608D"/>
    <w:rsid w:val="00F9623B"/>
    <w:rsid w:val="00F968BD"/>
    <w:rsid w:val="00F97080"/>
    <w:rsid w:val="00FA2D2F"/>
    <w:rsid w:val="00FA37B9"/>
    <w:rsid w:val="00FA560C"/>
    <w:rsid w:val="00FA7216"/>
    <w:rsid w:val="00FB0B99"/>
    <w:rsid w:val="00FB1BE1"/>
    <w:rsid w:val="00FB24C2"/>
    <w:rsid w:val="00FB2862"/>
    <w:rsid w:val="00FB3828"/>
    <w:rsid w:val="00FB4E47"/>
    <w:rsid w:val="00FC00EF"/>
    <w:rsid w:val="00FC291B"/>
    <w:rsid w:val="00FC5389"/>
    <w:rsid w:val="00FC54CB"/>
    <w:rsid w:val="00FC5B15"/>
    <w:rsid w:val="00FC6D6B"/>
    <w:rsid w:val="00FC78F5"/>
    <w:rsid w:val="00FC7A4D"/>
    <w:rsid w:val="00FD4DF0"/>
    <w:rsid w:val="00FE2024"/>
    <w:rsid w:val="00FE656B"/>
    <w:rsid w:val="00FE7987"/>
    <w:rsid w:val="00FF2F8B"/>
    <w:rsid w:val="00FF4F37"/>
    <w:rsid w:val="00FF7256"/>
    <w:rsid w:val="01070B76"/>
    <w:rsid w:val="012F534E"/>
    <w:rsid w:val="01414FBF"/>
    <w:rsid w:val="015724FB"/>
    <w:rsid w:val="01AE08BC"/>
    <w:rsid w:val="01B70AA3"/>
    <w:rsid w:val="01BB3250"/>
    <w:rsid w:val="01DE4357"/>
    <w:rsid w:val="01E0AA82"/>
    <w:rsid w:val="01F8541E"/>
    <w:rsid w:val="020D36BC"/>
    <w:rsid w:val="0212503C"/>
    <w:rsid w:val="02719EC1"/>
    <w:rsid w:val="027C681B"/>
    <w:rsid w:val="0290E14C"/>
    <w:rsid w:val="0297F9F9"/>
    <w:rsid w:val="02C99E8A"/>
    <w:rsid w:val="02EE3B6D"/>
    <w:rsid w:val="02F3F19C"/>
    <w:rsid w:val="0321AE20"/>
    <w:rsid w:val="032F47FF"/>
    <w:rsid w:val="033B9361"/>
    <w:rsid w:val="0351A550"/>
    <w:rsid w:val="0369D3C9"/>
    <w:rsid w:val="0376EEB1"/>
    <w:rsid w:val="03B7B258"/>
    <w:rsid w:val="03CB43CF"/>
    <w:rsid w:val="03E6240C"/>
    <w:rsid w:val="03E7BBC0"/>
    <w:rsid w:val="03FF75D6"/>
    <w:rsid w:val="040D6F22"/>
    <w:rsid w:val="0450FFB4"/>
    <w:rsid w:val="04715ACB"/>
    <w:rsid w:val="049C1B9B"/>
    <w:rsid w:val="04F2E29F"/>
    <w:rsid w:val="0598F3B1"/>
    <w:rsid w:val="05B61F68"/>
    <w:rsid w:val="05C34E79"/>
    <w:rsid w:val="05C73694"/>
    <w:rsid w:val="05D05454"/>
    <w:rsid w:val="05DA3957"/>
    <w:rsid w:val="0610F939"/>
    <w:rsid w:val="0625DC2F"/>
    <w:rsid w:val="063A3298"/>
    <w:rsid w:val="065DA352"/>
    <w:rsid w:val="06D44479"/>
    <w:rsid w:val="07AC4B1F"/>
    <w:rsid w:val="07DB897B"/>
    <w:rsid w:val="08034CB0"/>
    <w:rsid w:val="0805B46F"/>
    <w:rsid w:val="0810499F"/>
    <w:rsid w:val="084262A9"/>
    <w:rsid w:val="086FFA12"/>
    <w:rsid w:val="0873458E"/>
    <w:rsid w:val="08E0E045"/>
    <w:rsid w:val="0903701A"/>
    <w:rsid w:val="092137F0"/>
    <w:rsid w:val="094D7733"/>
    <w:rsid w:val="095419AA"/>
    <w:rsid w:val="095FDF4A"/>
    <w:rsid w:val="0978F464"/>
    <w:rsid w:val="09B58697"/>
    <w:rsid w:val="09DAFC6F"/>
    <w:rsid w:val="09EB3834"/>
    <w:rsid w:val="09ED2D46"/>
    <w:rsid w:val="0A05E487"/>
    <w:rsid w:val="0A14673D"/>
    <w:rsid w:val="0A72A5FF"/>
    <w:rsid w:val="0A8E8675"/>
    <w:rsid w:val="0AA4B39C"/>
    <w:rsid w:val="0AD5F291"/>
    <w:rsid w:val="0B39C2DE"/>
    <w:rsid w:val="0B61D076"/>
    <w:rsid w:val="0B820096"/>
    <w:rsid w:val="0B8A3071"/>
    <w:rsid w:val="0BBB5E4A"/>
    <w:rsid w:val="0BC2E3BC"/>
    <w:rsid w:val="0C3CE1FD"/>
    <w:rsid w:val="0CB5EA11"/>
    <w:rsid w:val="0CBBCE2B"/>
    <w:rsid w:val="0CD6D181"/>
    <w:rsid w:val="0CFF31D1"/>
    <w:rsid w:val="0D15D3CC"/>
    <w:rsid w:val="0D24CE08"/>
    <w:rsid w:val="0D311107"/>
    <w:rsid w:val="0D362529"/>
    <w:rsid w:val="0DB7B651"/>
    <w:rsid w:val="0DD2C993"/>
    <w:rsid w:val="0DE2968D"/>
    <w:rsid w:val="0DEB7417"/>
    <w:rsid w:val="0E11D566"/>
    <w:rsid w:val="0E261D99"/>
    <w:rsid w:val="0E73ED5C"/>
    <w:rsid w:val="0E89ADF2"/>
    <w:rsid w:val="0E99E88B"/>
    <w:rsid w:val="0EBB38E5"/>
    <w:rsid w:val="0ED33326"/>
    <w:rsid w:val="0EE00A72"/>
    <w:rsid w:val="0F095B40"/>
    <w:rsid w:val="0F168DAF"/>
    <w:rsid w:val="0F2ACE3C"/>
    <w:rsid w:val="0F56F35B"/>
    <w:rsid w:val="0F7312F4"/>
    <w:rsid w:val="0FAD3E8F"/>
    <w:rsid w:val="0FAF0D92"/>
    <w:rsid w:val="0FB3BEBF"/>
    <w:rsid w:val="0FC067E4"/>
    <w:rsid w:val="1021FA77"/>
    <w:rsid w:val="103585B9"/>
    <w:rsid w:val="1038E8BB"/>
    <w:rsid w:val="10410817"/>
    <w:rsid w:val="10488A03"/>
    <w:rsid w:val="1084BC7B"/>
    <w:rsid w:val="108FEC67"/>
    <w:rsid w:val="10B145D1"/>
    <w:rsid w:val="10EC1794"/>
    <w:rsid w:val="1105D622"/>
    <w:rsid w:val="1115FB71"/>
    <w:rsid w:val="112C7A94"/>
    <w:rsid w:val="1137F9D5"/>
    <w:rsid w:val="1144ECAF"/>
    <w:rsid w:val="1163B675"/>
    <w:rsid w:val="11A05C89"/>
    <w:rsid w:val="11E4D18C"/>
    <w:rsid w:val="11E65211"/>
    <w:rsid w:val="11F2D9A7"/>
    <w:rsid w:val="11F85B75"/>
    <w:rsid w:val="11FB0763"/>
    <w:rsid w:val="12137C10"/>
    <w:rsid w:val="12333B45"/>
    <w:rsid w:val="1246B72A"/>
    <w:rsid w:val="125040D9"/>
    <w:rsid w:val="12A39011"/>
    <w:rsid w:val="12A71D7F"/>
    <w:rsid w:val="12B382B3"/>
    <w:rsid w:val="12BD70BE"/>
    <w:rsid w:val="12DDA96A"/>
    <w:rsid w:val="12E80C2E"/>
    <w:rsid w:val="12FB8802"/>
    <w:rsid w:val="1329EB5C"/>
    <w:rsid w:val="133FB3BF"/>
    <w:rsid w:val="135671DD"/>
    <w:rsid w:val="1376828B"/>
    <w:rsid w:val="1392D750"/>
    <w:rsid w:val="139C27CE"/>
    <w:rsid w:val="142364F0"/>
    <w:rsid w:val="143F6072"/>
    <w:rsid w:val="14A27CB6"/>
    <w:rsid w:val="14A5B1E2"/>
    <w:rsid w:val="14EC8013"/>
    <w:rsid w:val="1518D8D2"/>
    <w:rsid w:val="15288DFB"/>
    <w:rsid w:val="153BB6D5"/>
    <w:rsid w:val="155BCCE1"/>
    <w:rsid w:val="159A9A4F"/>
    <w:rsid w:val="15DB30D3"/>
    <w:rsid w:val="15F9C056"/>
    <w:rsid w:val="16246A79"/>
    <w:rsid w:val="1630AA4E"/>
    <w:rsid w:val="16D498CD"/>
    <w:rsid w:val="1758845D"/>
    <w:rsid w:val="178DFC18"/>
    <w:rsid w:val="17BB7CA8"/>
    <w:rsid w:val="17C54F22"/>
    <w:rsid w:val="17C8DCDC"/>
    <w:rsid w:val="17C97F4A"/>
    <w:rsid w:val="17CC0BEA"/>
    <w:rsid w:val="17EB8221"/>
    <w:rsid w:val="18200BBC"/>
    <w:rsid w:val="183620BF"/>
    <w:rsid w:val="184510D3"/>
    <w:rsid w:val="19027BFF"/>
    <w:rsid w:val="1909554D"/>
    <w:rsid w:val="19200DB5"/>
    <w:rsid w:val="192634A1"/>
    <w:rsid w:val="194912CB"/>
    <w:rsid w:val="195254B3"/>
    <w:rsid w:val="19611CC2"/>
    <w:rsid w:val="19F5905C"/>
    <w:rsid w:val="1A003B38"/>
    <w:rsid w:val="1A044185"/>
    <w:rsid w:val="1A121CF4"/>
    <w:rsid w:val="1A186657"/>
    <w:rsid w:val="1A2DD08E"/>
    <w:rsid w:val="1A4037B1"/>
    <w:rsid w:val="1A414324"/>
    <w:rsid w:val="1A744B6B"/>
    <w:rsid w:val="1A825892"/>
    <w:rsid w:val="1AA7F138"/>
    <w:rsid w:val="1AC238EF"/>
    <w:rsid w:val="1B2D2BEE"/>
    <w:rsid w:val="1B329F02"/>
    <w:rsid w:val="1B5146CF"/>
    <w:rsid w:val="1B8AB3D9"/>
    <w:rsid w:val="1BAC087D"/>
    <w:rsid w:val="1BC9A0EF"/>
    <w:rsid w:val="1BCCF42B"/>
    <w:rsid w:val="1C0D9B0C"/>
    <w:rsid w:val="1C1515CB"/>
    <w:rsid w:val="1C3B81E4"/>
    <w:rsid w:val="1C43C199"/>
    <w:rsid w:val="1C5CE886"/>
    <w:rsid w:val="1C7A4014"/>
    <w:rsid w:val="1C887516"/>
    <w:rsid w:val="1C943590"/>
    <w:rsid w:val="1CAF8F0C"/>
    <w:rsid w:val="1CBFEBDF"/>
    <w:rsid w:val="1D03CFAB"/>
    <w:rsid w:val="1D11ED79"/>
    <w:rsid w:val="1D3AAD52"/>
    <w:rsid w:val="1D3F195B"/>
    <w:rsid w:val="1D52F188"/>
    <w:rsid w:val="1D57F7FA"/>
    <w:rsid w:val="1E4276A3"/>
    <w:rsid w:val="1E631CA8"/>
    <w:rsid w:val="1EAFD922"/>
    <w:rsid w:val="1ED2C571"/>
    <w:rsid w:val="1EED8DFC"/>
    <w:rsid w:val="1EFBA54F"/>
    <w:rsid w:val="1F002999"/>
    <w:rsid w:val="1F59D05C"/>
    <w:rsid w:val="1F76271B"/>
    <w:rsid w:val="1F978D54"/>
    <w:rsid w:val="1FEA917A"/>
    <w:rsid w:val="2012B3FA"/>
    <w:rsid w:val="202A18C7"/>
    <w:rsid w:val="205708BE"/>
    <w:rsid w:val="206509E4"/>
    <w:rsid w:val="2065142F"/>
    <w:rsid w:val="209BF9FA"/>
    <w:rsid w:val="213148DA"/>
    <w:rsid w:val="21473A71"/>
    <w:rsid w:val="218F3ABA"/>
    <w:rsid w:val="21EF676A"/>
    <w:rsid w:val="21FBA500"/>
    <w:rsid w:val="2214FCEB"/>
    <w:rsid w:val="224A3100"/>
    <w:rsid w:val="225461ED"/>
    <w:rsid w:val="2255AAFB"/>
    <w:rsid w:val="2258EFA9"/>
    <w:rsid w:val="2263EEA9"/>
    <w:rsid w:val="22787CF3"/>
    <w:rsid w:val="22AFBA13"/>
    <w:rsid w:val="22B20013"/>
    <w:rsid w:val="22BBD586"/>
    <w:rsid w:val="22DA7E21"/>
    <w:rsid w:val="22E77A23"/>
    <w:rsid w:val="23018D8D"/>
    <w:rsid w:val="231A33E6"/>
    <w:rsid w:val="239CE1E1"/>
    <w:rsid w:val="23D5549D"/>
    <w:rsid w:val="23FA9D7B"/>
    <w:rsid w:val="23FD56C1"/>
    <w:rsid w:val="23FF32B7"/>
    <w:rsid w:val="240166A7"/>
    <w:rsid w:val="24174DBA"/>
    <w:rsid w:val="24226370"/>
    <w:rsid w:val="24328C15"/>
    <w:rsid w:val="24377FA1"/>
    <w:rsid w:val="24392576"/>
    <w:rsid w:val="2448EC84"/>
    <w:rsid w:val="2468E99C"/>
    <w:rsid w:val="24C63272"/>
    <w:rsid w:val="24EF647D"/>
    <w:rsid w:val="250C81ED"/>
    <w:rsid w:val="2539D4CF"/>
    <w:rsid w:val="255CCAAD"/>
    <w:rsid w:val="25750EA9"/>
    <w:rsid w:val="259A7EAC"/>
    <w:rsid w:val="25BC2229"/>
    <w:rsid w:val="25BCEB0F"/>
    <w:rsid w:val="26169125"/>
    <w:rsid w:val="261B38C9"/>
    <w:rsid w:val="26201078"/>
    <w:rsid w:val="26455953"/>
    <w:rsid w:val="26542BF5"/>
    <w:rsid w:val="265602D1"/>
    <w:rsid w:val="265F7F64"/>
    <w:rsid w:val="266568CB"/>
    <w:rsid w:val="266C364D"/>
    <w:rsid w:val="26CA56B2"/>
    <w:rsid w:val="26CB56C4"/>
    <w:rsid w:val="26D482A3"/>
    <w:rsid w:val="2701CF9C"/>
    <w:rsid w:val="27578A5C"/>
    <w:rsid w:val="275EBABA"/>
    <w:rsid w:val="27954071"/>
    <w:rsid w:val="27BA9EC7"/>
    <w:rsid w:val="280250FC"/>
    <w:rsid w:val="28141543"/>
    <w:rsid w:val="2820814C"/>
    <w:rsid w:val="282B9EEF"/>
    <w:rsid w:val="2830C3CF"/>
    <w:rsid w:val="285EA8EE"/>
    <w:rsid w:val="2897F9B9"/>
    <w:rsid w:val="289F79D3"/>
    <w:rsid w:val="28A0A09E"/>
    <w:rsid w:val="28A76F23"/>
    <w:rsid w:val="28AC3BB1"/>
    <w:rsid w:val="28AD8F3E"/>
    <w:rsid w:val="28BC79DE"/>
    <w:rsid w:val="28D80A9B"/>
    <w:rsid w:val="28F477DB"/>
    <w:rsid w:val="2933BE76"/>
    <w:rsid w:val="2946A36B"/>
    <w:rsid w:val="29584C1E"/>
    <w:rsid w:val="29639765"/>
    <w:rsid w:val="296941E6"/>
    <w:rsid w:val="29AB06FC"/>
    <w:rsid w:val="29C3EC13"/>
    <w:rsid w:val="29C4169B"/>
    <w:rsid w:val="29CAF997"/>
    <w:rsid w:val="29CF784E"/>
    <w:rsid w:val="29D117E9"/>
    <w:rsid w:val="29DEEBF9"/>
    <w:rsid w:val="29FE40F8"/>
    <w:rsid w:val="2A2CF274"/>
    <w:rsid w:val="2A608831"/>
    <w:rsid w:val="2A6626F4"/>
    <w:rsid w:val="2ACCD914"/>
    <w:rsid w:val="2ADAE713"/>
    <w:rsid w:val="2AF70E48"/>
    <w:rsid w:val="2B0A0E16"/>
    <w:rsid w:val="2B0C7F36"/>
    <w:rsid w:val="2B55B54B"/>
    <w:rsid w:val="2B5CF274"/>
    <w:rsid w:val="2B624D67"/>
    <w:rsid w:val="2B9E599F"/>
    <w:rsid w:val="2BC0E952"/>
    <w:rsid w:val="2BDA0155"/>
    <w:rsid w:val="2C081D02"/>
    <w:rsid w:val="2C4E9A8F"/>
    <w:rsid w:val="2C609621"/>
    <w:rsid w:val="2C65082F"/>
    <w:rsid w:val="2CA498AD"/>
    <w:rsid w:val="2CC63697"/>
    <w:rsid w:val="2CF666F8"/>
    <w:rsid w:val="2D315180"/>
    <w:rsid w:val="2D6650AB"/>
    <w:rsid w:val="2D7B8742"/>
    <w:rsid w:val="2D7FEB70"/>
    <w:rsid w:val="2D965A17"/>
    <w:rsid w:val="2DB1716E"/>
    <w:rsid w:val="2DC96D6D"/>
    <w:rsid w:val="2DE9FCBB"/>
    <w:rsid w:val="2DF130AE"/>
    <w:rsid w:val="2DFDB9D6"/>
    <w:rsid w:val="2E038D99"/>
    <w:rsid w:val="2E08485E"/>
    <w:rsid w:val="2E0F3E0D"/>
    <w:rsid w:val="2E43C58A"/>
    <w:rsid w:val="2E6CBFAD"/>
    <w:rsid w:val="2E9D1221"/>
    <w:rsid w:val="2EB889BE"/>
    <w:rsid w:val="2EC7E6B8"/>
    <w:rsid w:val="2F0E5498"/>
    <w:rsid w:val="2F15947B"/>
    <w:rsid w:val="2F1757A3"/>
    <w:rsid w:val="2F2DDACE"/>
    <w:rsid w:val="2F5B0E3F"/>
    <w:rsid w:val="2F7A0F27"/>
    <w:rsid w:val="2F886549"/>
    <w:rsid w:val="2F9CA8F1"/>
    <w:rsid w:val="2FB9BFDF"/>
    <w:rsid w:val="30033024"/>
    <w:rsid w:val="302B7B94"/>
    <w:rsid w:val="30441F6D"/>
    <w:rsid w:val="30767950"/>
    <w:rsid w:val="309F3C58"/>
    <w:rsid w:val="30A23773"/>
    <w:rsid w:val="30AA24F9"/>
    <w:rsid w:val="30AD499D"/>
    <w:rsid w:val="31388CF3"/>
    <w:rsid w:val="3154E22A"/>
    <w:rsid w:val="31A74624"/>
    <w:rsid w:val="31E65F1D"/>
    <w:rsid w:val="321143DC"/>
    <w:rsid w:val="3217E056"/>
    <w:rsid w:val="32389B20"/>
    <w:rsid w:val="32753377"/>
    <w:rsid w:val="327A75DA"/>
    <w:rsid w:val="32C8779E"/>
    <w:rsid w:val="32D475D6"/>
    <w:rsid w:val="32F37C36"/>
    <w:rsid w:val="3318AA7B"/>
    <w:rsid w:val="331D2C1B"/>
    <w:rsid w:val="336C1470"/>
    <w:rsid w:val="338FF671"/>
    <w:rsid w:val="33EE421A"/>
    <w:rsid w:val="34076A77"/>
    <w:rsid w:val="343029D5"/>
    <w:rsid w:val="3437B678"/>
    <w:rsid w:val="345D7BC1"/>
    <w:rsid w:val="346CE4CE"/>
    <w:rsid w:val="347069A2"/>
    <w:rsid w:val="35377632"/>
    <w:rsid w:val="3543EF99"/>
    <w:rsid w:val="35458726"/>
    <w:rsid w:val="3557A6EB"/>
    <w:rsid w:val="361044AB"/>
    <w:rsid w:val="36261A21"/>
    <w:rsid w:val="369781D0"/>
    <w:rsid w:val="36A01E60"/>
    <w:rsid w:val="36A420EB"/>
    <w:rsid w:val="36B78ED4"/>
    <w:rsid w:val="36B894AE"/>
    <w:rsid w:val="36CBD72C"/>
    <w:rsid w:val="371D3723"/>
    <w:rsid w:val="378F216C"/>
    <w:rsid w:val="378FA5F8"/>
    <w:rsid w:val="37AD93EF"/>
    <w:rsid w:val="37E03ABC"/>
    <w:rsid w:val="37F2A1F6"/>
    <w:rsid w:val="382CEE03"/>
    <w:rsid w:val="38300D40"/>
    <w:rsid w:val="3850DB01"/>
    <w:rsid w:val="3874F28B"/>
    <w:rsid w:val="38802C0A"/>
    <w:rsid w:val="3883A3E0"/>
    <w:rsid w:val="388ADE4C"/>
    <w:rsid w:val="38945C77"/>
    <w:rsid w:val="389653AD"/>
    <w:rsid w:val="38B8574E"/>
    <w:rsid w:val="38D28531"/>
    <w:rsid w:val="3979A531"/>
    <w:rsid w:val="39F63B34"/>
    <w:rsid w:val="3A3B2027"/>
    <w:rsid w:val="3A519273"/>
    <w:rsid w:val="3AAA54A0"/>
    <w:rsid w:val="3AD84EF3"/>
    <w:rsid w:val="3AEDC47B"/>
    <w:rsid w:val="3AFA45B5"/>
    <w:rsid w:val="3B22E93F"/>
    <w:rsid w:val="3B32051C"/>
    <w:rsid w:val="3B678425"/>
    <w:rsid w:val="3BB00435"/>
    <w:rsid w:val="3C2D6DA5"/>
    <w:rsid w:val="3C7FF657"/>
    <w:rsid w:val="3CAE0D6B"/>
    <w:rsid w:val="3CC05894"/>
    <w:rsid w:val="3CC13B1B"/>
    <w:rsid w:val="3D0CF58C"/>
    <w:rsid w:val="3D1A417D"/>
    <w:rsid w:val="3D24E571"/>
    <w:rsid w:val="3D34E7E4"/>
    <w:rsid w:val="3D47A74D"/>
    <w:rsid w:val="3D7F13D5"/>
    <w:rsid w:val="3D80BA7B"/>
    <w:rsid w:val="3DBF838E"/>
    <w:rsid w:val="3DC5E3DC"/>
    <w:rsid w:val="3DD60C60"/>
    <w:rsid w:val="3DFC7337"/>
    <w:rsid w:val="3DFED9C4"/>
    <w:rsid w:val="3E058561"/>
    <w:rsid w:val="3E554881"/>
    <w:rsid w:val="3E70D9EE"/>
    <w:rsid w:val="3E7B73CA"/>
    <w:rsid w:val="3EC71100"/>
    <w:rsid w:val="3ED18BC4"/>
    <w:rsid w:val="3F0A3DBB"/>
    <w:rsid w:val="3F0C810D"/>
    <w:rsid w:val="3F6EA0D7"/>
    <w:rsid w:val="3F90EA27"/>
    <w:rsid w:val="3FBD56A8"/>
    <w:rsid w:val="3FEE1AE7"/>
    <w:rsid w:val="403EAE9B"/>
    <w:rsid w:val="4073A83B"/>
    <w:rsid w:val="407F8F9A"/>
    <w:rsid w:val="409C5AA3"/>
    <w:rsid w:val="40A60E1C"/>
    <w:rsid w:val="40D1839A"/>
    <w:rsid w:val="414150D6"/>
    <w:rsid w:val="41799108"/>
    <w:rsid w:val="41817E8E"/>
    <w:rsid w:val="41A13FAF"/>
    <w:rsid w:val="41C2FF41"/>
    <w:rsid w:val="41C6FD0A"/>
    <w:rsid w:val="41D8F033"/>
    <w:rsid w:val="421206CE"/>
    <w:rsid w:val="424EA9D0"/>
    <w:rsid w:val="425DEC91"/>
    <w:rsid w:val="4277810A"/>
    <w:rsid w:val="4371E5FC"/>
    <w:rsid w:val="43785B87"/>
    <w:rsid w:val="43AA79E3"/>
    <w:rsid w:val="43AC24C5"/>
    <w:rsid w:val="43C1E56B"/>
    <w:rsid w:val="43DFF230"/>
    <w:rsid w:val="43E0D648"/>
    <w:rsid w:val="43EA09CA"/>
    <w:rsid w:val="4409F887"/>
    <w:rsid w:val="441420E1"/>
    <w:rsid w:val="444FA6D0"/>
    <w:rsid w:val="445514F2"/>
    <w:rsid w:val="448DCAF1"/>
    <w:rsid w:val="44BBDF82"/>
    <w:rsid w:val="44CF2EF1"/>
    <w:rsid w:val="44CFF0D7"/>
    <w:rsid w:val="44ECBE12"/>
    <w:rsid w:val="4500B4DE"/>
    <w:rsid w:val="451AD0CB"/>
    <w:rsid w:val="451EE5F0"/>
    <w:rsid w:val="4547F526"/>
    <w:rsid w:val="454E94FB"/>
    <w:rsid w:val="45570091"/>
    <w:rsid w:val="457BC291"/>
    <w:rsid w:val="45ADF404"/>
    <w:rsid w:val="45C6453E"/>
    <w:rsid w:val="4602AF94"/>
    <w:rsid w:val="4654EFB1"/>
    <w:rsid w:val="467A4DBB"/>
    <w:rsid w:val="467FB924"/>
    <w:rsid w:val="46EADD01"/>
    <w:rsid w:val="4711647B"/>
    <w:rsid w:val="471612E6"/>
    <w:rsid w:val="472870EC"/>
    <w:rsid w:val="47323A0A"/>
    <w:rsid w:val="4741BA7F"/>
    <w:rsid w:val="4747137A"/>
    <w:rsid w:val="476E7B8E"/>
    <w:rsid w:val="477BDC76"/>
    <w:rsid w:val="478A2D20"/>
    <w:rsid w:val="47AF6EFD"/>
    <w:rsid w:val="47BEF15D"/>
    <w:rsid w:val="47CC53F3"/>
    <w:rsid w:val="480C4821"/>
    <w:rsid w:val="48A471FD"/>
    <w:rsid w:val="48BDEB54"/>
    <w:rsid w:val="48D309CA"/>
    <w:rsid w:val="48EBEDA4"/>
    <w:rsid w:val="4906734B"/>
    <w:rsid w:val="4922BE8A"/>
    <w:rsid w:val="495AEDB3"/>
    <w:rsid w:val="4973A187"/>
    <w:rsid w:val="49A50FFD"/>
    <w:rsid w:val="49F33768"/>
    <w:rsid w:val="4A0C47EB"/>
    <w:rsid w:val="4A581532"/>
    <w:rsid w:val="4A64D069"/>
    <w:rsid w:val="4A8CCFC5"/>
    <w:rsid w:val="4AE6279B"/>
    <w:rsid w:val="4B1FEFCA"/>
    <w:rsid w:val="4B24A477"/>
    <w:rsid w:val="4B343DE7"/>
    <w:rsid w:val="4B3909E5"/>
    <w:rsid w:val="4B66F730"/>
    <w:rsid w:val="4B6AD96A"/>
    <w:rsid w:val="4B732ECB"/>
    <w:rsid w:val="4B9D1224"/>
    <w:rsid w:val="4BEB0415"/>
    <w:rsid w:val="4BFA6E89"/>
    <w:rsid w:val="4C2C70FD"/>
    <w:rsid w:val="4C3A2DE0"/>
    <w:rsid w:val="4C59511F"/>
    <w:rsid w:val="4C643651"/>
    <w:rsid w:val="4C797805"/>
    <w:rsid w:val="4CA7D6B6"/>
    <w:rsid w:val="4CDD9600"/>
    <w:rsid w:val="4D0A3B5D"/>
    <w:rsid w:val="4D526609"/>
    <w:rsid w:val="4DB56CD1"/>
    <w:rsid w:val="4DF2F9C0"/>
    <w:rsid w:val="4E33AEDE"/>
    <w:rsid w:val="4E5E6DC0"/>
    <w:rsid w:val="4E6E7DC0"/>
    <w:rsid w:val="4E6E8F72"/>
    <w:rsid w:val="4ECC35A8"/>
    <w:rsid w:val="4ED00FA6"/>
    <w:rsid w:val="4EFF97DE"/>
    <w:rsid w:val="4F3A9C2C"/>
    <w:rsid w:val="4F3C5ADB"/>
    <w:rsid w:val="4F747981"/>
    <w:rsid w:val="4F835441"/>
    <w:rsid w:val="4F9719BC"/>
    <w:rsid w:val="4FBBA43F"/>
    <w:rsid w:val="4FDF7778"/>
    <w:rsid w:val="500A5FD3"/>
    <w:rsid w:val="50142478"/>
    <w:rsid w:val="501D5B4F"/>
    <w:rsid w:val="5039FFD6"/>
    <w:rsid w:val="50656711"/>
    <w:rsid w:val="507896EA"/>
    <w:rsid w:val="508AA7CD"/>
    <w:rsid w:val="50921728"/>
    <w:rsid w:val="509ED631"/>
    <w:rsid w:val="50CC5C93"/>
    <w:rsid w:val="50D82B3C"/>
    <w:rsid w:val="519F1EA9"/>
    <w:rsid w:val="51A63034"/>
    <w:rsid w:val="521A9437"/>
    <w:rsid w:val="5245E258"/>
    <w:rsid w:val="52708049"/>
    <w:rsid w:val="5277DB62"/>
    <w:rsid w:val="5281CEB8"/>
    <w:rsid w:val="52821173"/>
    <w:rsid w:val="5285248D"/>
    <w:rsid w:val="52ADA02D"/>
    <w:rsid w:val="52B52EDC"/>
    <w:rsid w:val="52C942E9"/>
    <w:rsid w:val="53348352"/>
    <w:rsid w:val="5343215E"/>
    <w:rsid w:val="53562840"/>
    <w:rsid w:val="5371DD87"/>
    <w:rsid w:val="53A51D3B"/>
    <w:rsid w:val="53C20DFA"/>
    <w:rsid w:val="54220BC6"/>
    <w:rsid w:val="54C197D8"/>
    <w:rsid w:val="54C75594"/>
    <w:rsid w:val="54D2317D"/>
    <w:rsid w:val="54DDD0F6"/>
    <w:rsid w:val="54E8725C"/>
    <w:rsid w:val="55026A24"/>
    <w:rsid w:val="552774FE"/>
    <w:rsid w:val="55592C8E"/>
    <w:rsid w:val="55661291"/>
    <w:rsid w:val="558EAAC4"/>
    <w:rsid w:val="55A188A3"/>
    <w:rsid w:val="55BD8344"/>
    <w:rsid w:val="55EE4BE1"/>
    <w:rsid w:val="55F07D43"/>
    <w:rsid w:val="5615833F"/>
    <w:rsid w:val="5617E294"/>
    <w:rsid w:val="5650357D"/>
    <w:rsid w:val="56B5F6BB"/>
    <w:rsid w:val="56BDF2A4"/>
    <w:rsid w:val="56C27F52"/>
    <w:rsid w:val="56CE9493"/>
    <w:rsid w:val="5717CC6D"/>
    <w:rsid w:val="573793AA"/>
    <w:rsid w:val="57B1E223"/>
    <w:rsid w:val="57C7EBB0"/>
    <w:rsid w:val="581A5D97"/>
    <w:rsid w:val="58D390C9"/>
    <w:rsid w:val="58E2B079"/>
    <w:rsid w:val="58F5162E"/>
    <w:rsid w:val="590934AB"/>
    <w:rsid w:val="593863D5"/>
    <w:rsid w:val="595150D3"/>
    <w:rsid w:val="59B14219"/>
    <w:rsid w:val="59B92B3F"/>
    <w:rsid w:val="59FF26BA"/>
    <w:rsid w:val="5A07760A"/>
    <w:rsid w:val="5A1286C5"/>
    <w:rsid w:val="5A16BA52"/>
    <w:rsid w:val="5A32999E"/>
    <w:rsid w:val="5A640A2C"/>
    <w:rsid w:val="5A77CD05"/>
    <w:rsid w:val="5A790E41"/>
    <w:rsid w:val="5A954087"/>
    <w:rsid w:val="5AB6CBC0"/>
    <w:rsid w:val="5B074C0A"/>
    <w:rsid w:val="5B0C24A9"/>
    <w:rsid w:val="5B13F1A9"/>
    <w:rsid w:val="5B17EE82"/>
    <w:rsid w:val="5B18CBCF"/>
    <w:rsid w:val="5B496F84"/>
    <w:rsid w:val="5B506266"/>
    <w:rsid w:val="5B6E70C7"/>
    <w:rsid w:val="5B875A57"/>
    <w:rsid w:val="5B9AC9AD"/>
    <w:rsid w:val="5BADA935"/>
    <w:rsid w:val="5BCD0F1A"/>
    <w:rsid w:val="5C191F34"/>
    <w:rsid w:val="5C2DB870"/>
    <w:rsid w:val="5C4B67B6"/>
    <w:rsid w:val="5CA17BB8"/>
    <w:rsid w:val="5CDB6598"/>
    <w:rsid w:val="5D262A5D"/>
    <w:rsid w:val="5D2AD151"/>
    <w:rsid w:val="5D4FB6B5"/>
    <w:rsid w:val="5D5539B6"/>
    <w:rsid w:val="5D65F8A1"/>
    <w:rsid w:val="5DB274F8"/>
    <w:rsid w:val="5DD427C6"/>
    <w:rsid w:val="5DDFD0D6"/>
    <w:rsid w:val="5DF976E9"/>
    <w:rsid w:val="5E19DB7C"/>
    <w:rsid w:val="5E27D529"/>
    <w:rsid w:val="5E4E71EF"/>
    <w:rsid w:val="5E662E1B"/>
    <w:rsid w:val="5E9649FF"/>
    <w:rsid w:val="5EA8B288"/>
    <w:rsid w:val="5EB88106"/>
    <w:rsid w:val="5EC6B5CE"/>
    <w:rsid w:val="5EC8A300"/>
    <w:rsid w:val="5EDF8A2D"/>
    <w:rsid w:val="5F07CBE9"/>
    <w:rsid w:val="5F1AF0C4"/>
    <w:rsid w:val="5F2786DE"/>
    <w:rsid w:val="5F34D14A"/>
    <w:rsid w:val="5F4D8DD4"/>
    <w:rsid w:val="5F7EF2E9"/>
    <w:rsid w:val="5F8C8CB2"/>
    <w:rsid w:val="5FD0078A"/>
    <w:rsid w:val="600F3288"/>
    <w:rsid w:val="601FC1A3"/>
    <w:rsid w:val="603AC962"/>
    <w:rsid w:val="605846EE"/>
    <w:rsid w:val="6078D557"/>
    <w:rsid w:val="607944CB"/>
    <w:rsid w:val="60921D5F"/>
    <w:rsid w:val="60DE0AC6"/>
    <w:rsid w:val="60E4A2D1"/>
    <w:rsid w:val="60EF1631"/>
    <w:rsid w:val="61523259"/>
    <w:rsid w:val="6156CC8A"/>
    <w:rsid w:val="616F8236"/>
    <w:rsid w:val="6174C080"/>
    <w:rsid w:val="61794D99"/>
    <w:rsid w:val="617C5C57"/>
    <w:rsid w:val="61827DA7"/>
    <w:rsid w:val="618BA3C0"/>
    <w:rsid w:val="61A1C639"/>
    <w:rsid w:val="61AAAC62"/>
    <w:rsid w:val="61C42FD2"/>
    <w:rsid w:val="61D95B25"/>
    <w:rsid w:val="6205AEE8"/>
    <w:rsid w:val="6208D85A"/>
    <w:rsid w:val="62811ADE"/>
    <w:rsid w:val="62A2FD3A"/>
    <w:rsid w:val="62A78EE6"/>
    <w:rsid w:val="62E0C167"/>
    <w:rsid w:val="63185693"/>
    <w:rsid w:val="63196640"/>
    <w:rsid w:val="636AAA70"/>
    <w:rsid w:val="63752B86"/>
    <w:rsid w:val="63797866"/>
    <w:rsid w:val="638A08E2"/>
    <w:rsid w:val="639E1140"/>
    <w:rsid w:val="63CD523D"/>
    <w:rsid w:val="63E2C9D9"/>
    <w:rsid w:val="63F9B7BA"/>
    <w:rsid w:val="641C4393"/>
    <w:rsid w:val="6482FB2F"/>
    <w:rsid w:val="6488428E"/>
    <w:rsid w:val="64C8B4F7"/>
    <w:rsid w:val="64CB1461"/>
    <w:rsid w:val="657CBAC8"/>
    <w:rsid w:val="65B2BBC0"/>
    <w:rsid w:val="65CE8F56"/>
    <w:rsid w:val="65F4D8E5"/>
    <w:rsid w:val="662C358C"/>
    <w:rsid w:val="663ABD66"/>
    <w:rsid w:val="6678C579"/>
    <w:rsid w:val="6684E94A"/>
    <w:rsid w:val="669A2EB1"/>
    <w:rsid w:val="66C0A3F0"/>
    <w:rsid w:val="672391A9"/>
    <w:rsid w:val="6728BB13"/>
    <w:rsid w:val="672A0326"/>
    <w:rsid w:val="67341E6A"/>
    <w:rsid w:val="67A35627"/>
    <w:rsid w:val="67B8B599"/>
    <w:rsid w:val="67C7511B"/>
    <w:rsid w:val="67C8197C"/>
    <w:rsid w:val="681E183F"/>
    <w:rsid w:val="6821846D"/>
    <w:rsid w:val="68339434"/>
    <w:rsid w:val="6891A91C"/>
    <w:rsid w:val="68D76811"/>
    <w:rsid w:val="68DE79DF"/>
    <w:rsid w:val="6900F552"/>
    <w:rsid w:val="694EB943"/>
    <w:rsid w:val="6960CBBA"/>
    <w:rsid w:val="69664C1B"/>
    <w:rsid w:val="697A941B"/>
    <w:rsid w:val="69A70FCA"/>
    <w:rsid w:val="69E752F5"/>
    <w:rsid w:val="6A2F32D6"/>
    <w:rsid w:val="6A34CBA2"/>
    <w:rsid w:val="6A4F2B48"/>
    <w:rsid w:val="6A5B326B"/>
    <w:rsid w:val="6A682DE3"/>
    <w:rsid w:val="6A6CCF94"/>
    <w:rsid w:val="6A6F45F4"/>
    <w:rsid w:val="6AA4AD74"/>
    <w:rsid w:val="6AC52D97"/>
    <w:rsid w:val="6AD74256"/>
    <w:rsid w:val="6B04F10C"/>
    <w:rsid w:val="6B29B7CE"/>
    <w:rsid w:val="6B6B23CA"/>
    <w:rsid w:val="6B96A857"/>
    <w:rsid w:val="6BACA03A"/>
    <w:rsid w:val="6BBE209F"/>
    <w:rsid w:val="6BD77144"/>
    <w:rsid w:val="6BDB9A30"/>
    <w:rsid w:val="6BE303D9"/>
    <w:rsid w:val="6BF2DB1F"/>
    <w:rsid w:val="6C20C245"/>
    <w:rsid w:val="6C42143A"/>
    <w:rsid w:val="6C64A8ED"/>
    <w:rsid w:val="6C7A305D"/>
    <w:rsid w:val="6C8DC012"/>
    <w:rsid w:val="6CAD6F3D"/>
    <w:rsid w:val="6CB234DD"/>
    <w:rsid w:val="6CBA5CFC"/>
    <w:rsid w:val="6CE56D93"/>
    <w:rsid w:val="6CEE375F"/>
    <w:rsid w:val="6CF22445"/>
    <w:rsid w:val="6D09DD94"/>
    <w:rsid w:val="6D0EF20C"/>
    <w:rsid w:val="6D0F7C08"/>
    <w:rsid w:val="6D1EF3B7"/>
    <w:rsid w:val="6D3E36B3"/>
    <w:rsid w:val="6D5C2337"/>
    <w:rsid w:val="6D6DD3E8"/>
    <w:rsid w:val="6D7ED43A"/>
    <w:rsid w:val="6D85B10B"/>
    <w:rsid w:val="6D8EAB80"/>
    <w:rsid w:val="6D92D32D"/>
    <w:rsid w:val="6DDD1823"/>
    <w:rsid w:val="6E25A5BE"/>
    <w:rsid w:val="6E558041"/>
    <w:rsid w:val="6E6CAD6C"/>
    <w:rsid w:val="6E7EA89A"/>
    <w:rsid w:val="6E83A6D0"/>
    <w:rsid w:val="6EBC3B09"/>
    <w:rsid w:val="6EC35273"/>
    <w:rsid w:val="6EC8FD04"/>
    <w:rsid w:val="6EDD84C4"/>
    <w:rsid w:val="6F088EDB"/>
    <w:rsid w:val="6F5B475D"/>
    <w:rsid w:val="6F5EF63A"/>
    <w:rsid w:val="6F781E97"/>
    <w:rsid w:val="6FEA2395"/>
    <w:rsid w:val="701AA120"/>
    <w:rsid w:val="7032D64B"/>
    <w:rsid w:val="704029D0"/>
    <w:rsid w:val="706E0106"/>
    <w:rsid w:val="7084BC43"/>
    <w:rsid w:val="709FC30E"/>
    <w:rsid w:val="70B6290D"/>
    <w:rsid w:val="70CEA941"/>
    <w:rsid w:val="70DD9892"/>
    <w:rsid w:val="70E98BC4"/>
    <w:rsid w:val="7106DB48"/>
    <w:rsid w:val="711141FD"/>
    <w:rsid w:val="711D1663"/>
    <w:rsid w:val="718C3ABF"/>
    <w:rsid w:val="7197E741"/>
    <w:rsid w:val="71A3482B"/>
    <w:rsid w:val="71AB5ED3"/>
    <w:rsid w:val="71AE7AC7"/>
    <w:rsid w:val="71B6495C"/>
    <w:rsid w:val="71E9C87F"/>
    <w:rsid w:val="72242AC1"/>
    <w:rsid w:val="7228B521"/>
    <w:rsid w:val="72344CDE"/>
    <w:rsid w:val="72F60A4F"/>
    <w:rsid w:val="72FD5457"/>
    <w:rsid w:val="73128223"/>
    <w:rsid w:val="7334C9B3"/>
    <w:rsid w:val="735508DF"/>
    <w:rsid w:val="7370D5C8"/>
    <w:rsid w:val="73B0F0E5"/>
    <w:rsid w:val="73D97DB5"/>
    <w:rsid w:val="73EE15BE"/>
    <w:rsid w:val="7450E171"/>
    <w:rsid w:val="7487BF1C"/>
    <w:rsid w:val="74A72381"/>
    <w:rsid w:val="74AFA9FC"/>
    <w:rsid w:val="74B86964"/>
    <w:rsid w:val="74C551FB"/>
    <w:rsid w:val="74FCF824"/>
    <w:rsid w:val="7502D02E"/>
    <w:rsid w:val="754FDADB"/>
    <w:rsid w:val="75502559"/>
    <w:rsid w:val="756C0974"/>
    <w:rsid w:val="75FD6D87"/>
    <w:rsid w:val="761EFAFD"/>
    <w:rsid w:val="762B0D5C"/>
    <w:rsid w:val="76584932"/>
    <w:rsid w:val="765DDD23"/>
    <w:rsid w:val="766C6A75"/>
    <w:rsid w:val="76751294"/>
    <w:rsid w:val="7682A761"/>
    <w:rsid w:val="76977B33"/>
    <w:rsid w:val="76DCCD47"/>
    <w:rsid w:val="77136AF4"/>
    <w:rsid w:val="77255391"/>
    <w:rsid w:val="772FC37D"/>
    <w:rsid w:val="776AD20C"/>
    <w:rsid w:val="779FF3EE"/>
    <w:rsid w:val="77FFD84A"/>
    <w:rsid w:val="78CD2535"/>
    <w:rsid w:val="78D04F96"/>
    <w:rsid w:val="78D94D7D"/>
    <w:rsid w:val="78E9D0CB"/>
    <w:rsid w:val="79194DD3"/>
    <w:rsid w:val="79242FB6"/>
    <w:rsid w:val="79533A0A"/>
    <w:rsid w:val="7962CBAF"/>
    <w:rsid w:val="798B6105"/>
    <w:rsid w:val="79A85945"/>
    <w:rsid w:val="79AB7380"/>
    <w:rsid w:val="79BDEEB5"/>
    <w:rsid w:val="79C23022"/>
    <w:rsid w:val="79C8AB5F"/>
    <w:rsid w:val="7A2522E9"/>
    <w:rsid w:val="7A48EE16"/>
    <w:rsid w:val="7A796624"/>
    <w:rsid w:val="7A9BBF05"/>
    <w:rsid w:val="7AD3BA90"/>
    <w:rsid w:val="7AF36AD0"/>
    <w:rsid w:val="7B069480"/>
    <w:rsid w:val="7B16DB82"/>
    <w:rsid w:val="7B2164F4"/>
    <w:rsid w:val="7B2614C4"/>
    <w:rsid w:val="7B58F987"/>
    <w:rsid w:val="7B616140"/>
    <w:rsid w:val="7B80FEDB"/>
    <w:rsid w:val="7B83F179"/>
    <w:rsid w:val="7BB66F0A"/>
    <w:rsid w:val="7BC70F9D"/>
    <w:rsid w:val="7BDF5A65"/>
    <w:rsid w:val="7C1BD7BF"/>
    <w:rsid w:val="7C30F9CF"/>
    <w:rsid w:val="7C4EB73E"/>
    <w:rsid w:val="7C6166D1"/>
    <w:rsid w:val="7C8ADB20"/>
    <w:rsid w:val="7C8CC42D"/>
    <w:rsid w:val="7CCC33B4"/>
    <w:rsid w:val="7CF94805"/>
    <w:rsid w:val="7D05847B"/>
    <w:rsid w:val="7D0F0826"/>
    <w:rsid w:val="7D12488E"/>
    <w:rsid w:val="7D37BD62"/>
    <w:rsid w:val="7D4FB180"/>
    <w:rsid w:val="7D5D34BD"/>
    <w:rsid w:val="7D9DED37"/>
    <w:rsid w:val="7DA7BD6F"/>
    <w:rsid w:val="7DA8C2FF"/>
    <w:rsid w:val="7DAE9103"/>
    <w:rsid w:val="7DB57F6F"/>
    <w:rsid w:val="7DD98DE5"/>
    <w:rsid w:val="7DDE5EDA"/>
    <w:rsid w:val="7DE247C2"/>
    <w:rsid w:val="7DF0869F"/>
    <w:rsid w:val="7DFF294A"/>
    <w:rsid w:val="7E068A52"/>
    <w:rsid w:val="7E189373"/>
    <w:rsid w:val="7E38E2D4"/>
    <w:rsid w:val="7E3DA257"/>
    <w:rsid w:val="7E876209"/>
    <w:rsid w:val="7E88BAF7"/>
    <w:rsid w:val="7EC55801"/>
    <w:rsid w:val="7ED21431"/>
    <w:rsid w:val="7ED4FA1C"/>
    <w:rsid w:val="7EE10311"/>
    <w:rsid w:val="7EF0454C"/>
    <w:rsid w:val="7F0097B0"/>
    <w:rsid w:val="7F2A9EB4"/>
    <w:rsid w:val="7F4CD747"/>
    <w:rsid w:val="7F78D490"/>
    <w:rsid w:val="7F85317E"/>
    <w:rsid w:val="7F9C144E"/>
    <w:rsid w:val="7F9EC7D0"/>
    <w:rsid w:val="7FA1FC7A"/>
    <w:rsid w:val="7FB1D867"/>
    <w:rsid w:val="7FDF7BF9"/>
    <w:rsid w:val="7FF824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F8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pPr>
      <w:keepNext/>
      <w:numPr>
        <w:numId w:val="2"/>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Text1"/>
    <w:link w:val="Heading2Char"/>
    <w:uiPriority w:val="9"/>
    <w:unhideWhenUsed/>
    <w:qFormat/>
    <w:pPr>
      <w:keepNext/>
      <w:numPr>
        <w:ilvl w:val="1"/>
        <w:numId w:val="2"/>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Text1"/>
    <w:link w:val="Heading3Char"/>
    <w:uiPriority w:val="9"/>
    <w:unhideWhenUsed/>
    <w:qFormat/>
    <w:pPr>
      <w:keepNext/>
      <w:numPr>
        <w:ilvl w:val="2"/>
        <w:numId w:val="2"/>
      </w:numPr>
      <w:spacing w:before="120" w:after="120" w:line="240" w:lineRule="auto"/>
      <w:jc w:val="both"/>
      <w:outlineLvl w:val="2"/>
    </w:pPr>
    <w:rPr>
      <w:rFonts w:ascii="Times New Roman" w:eastAsia="Times New Roman" w:hAnsi="Times New Roman" w:cs="Times New Roman"/>
      <w:bCs/>
      <w:i/>
      <w:sz w:val="24"/>
      <w:szCs w:val="20"/>
      <w:lang w:eastAsia="en-GB"/>
    </w:rPr>
  </w:style>
  <w:style w:type="paragraph" w:styleId="Heading4">
    <w:name w:val="heading 4"/>
    <w:basedOn w:val="Normal"/>
    <w:next w:val="Text1"/>
    <w:link w:val="Heading4Char"/>
    <w:uiPriority w:val="9"/>
    <w:unhideWhenUsed/>
    <w:qFormat/>
    <w:pPr>
      <w:keepNext/>
      <w:numPr>
        <w:ilvl w:val="3"/>
        <w:numId w:val="2"/>
      </w:numPr>
      <w:spacing w:before="120" w:after="120" w:line="240" w:lineRule="auto"/>
      <w:jc w:val="both"/>
      <w:outlineLvl w:val="3"/>
    </w:pPr>
    <w:rPr>
      <w:rFonts w:ascii="Times New Roman" w:eastAsia="Times New Roman" w:hAnsi="Times New Roman" w:cs="Times New Roman"/>
      <w:bCs/>
      <w:iCs/>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D5435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val="lv-LV"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val="lv-LV"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szCs w:val="20"/>
      <w:lang w:val="lv-LV"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szCs w:val="20"/>
      <w:lang w:val="lv-LV" w:eastAsia="en-GB"/>
    </w:rPr>
  </w:style>
  <w:style w:type="character" w:styleId="Hyperlink">
    <w:name w:val="Hyperlink"/>
    <w:uiPriority w:val="99"/>
    <w:rPr>
      <w:color w:val="0000FF"/>
      <w:u w:val="single"/>
    </w:rPr>
  </w:style>
  <w:style w:type="paragraph" w:styleId="FootnoteText">
    <w:name w:val="footnote text"/>
    <w:aliases w:val="Testo nota a piè di pagina_Rientro,stile 1,Footnote1,Footnote2,Footnote3,Footnote4,Footnote5,Footnote6,Footnote7,Footnote8,Footnote9,Footnote10,Footnote11,Footnote21,Footnote31,Footnote41,Footnote51,Footnote61,ft,fn,Reference"/>
    <w:basedOn w:val="Normal"/>
    <w:link w:val="FootnoteTextChar"/>
    <w:uiPriority w:val="99"/>
    <w:unhideWhenUsed/>
    <w:qFormat/>
    <w:rsid w:val="000A424B"/>
    <w:pPr>
      <w:spacing w:after="0" w:line="240" w:lineRule="auto"/>
      <w:ind w:left="60" w:hanging="60"/>
      <w:jc w:val="both"/>
    </w:pPr>
    <w:rPr>
      <w:rFonts w:ascii="Times New Roman" w:eastAsia="Times New Roman" w:hAnsi="Times New Roman" w:cs="Times New Roman"/>
      <w:sz w:val="20"/>
      <w:szCs w:val="20"/>
      <w:lang w:eastAsia="en-GB"/>
    </w:rPr>
  </w:style>
  <w:style w:type="character" w:customStyle="1" w:styleId="FootnoteTextChar">
    <w:name w:val="Footnote Text Char"/>
    <w:aliases w:val="Testo nota a piè di pagina_Rientro Char,stile 1 Char,Footnote1 Char,Footnote2 Char,Footnote3 Char,Footnote4 Char,Footnote5 Char,Footnote6 Char,Footnote7 Char,Footnote8 Char,Footnote9 Char,Footnote10 Char,Footnote11 Char,ft Char"/>
    <w:basedOn w:val="DefaultParagraphFont"/>
    <w:link w:val="FootnoteText"/>
    <w:uiPriority w:val="99"/>
    <w:rsid w:val="000A424B"/>
    <w:rPr>
      <w:rFonts w:ascii="Times New Roman" w:eastAsia="Times New Roman" w:hAnsi="Times New Roman" w:cs="Times New Roman"/>
      <w:sz w:val="20"/>
      <w:szCs w:val="20"/>
      <w:lang w:val="lv-LV" w:eastAsia="en-GB"/>
    </w:rPr>
  </w:style>
  <w:style w:type="character" w:styleId="FootnoteReference">
    <w:name w:val="footnote reference"/>
    <w:aliases w:val="BVI fnr,Footnote symbol,SUPERS,Footnote reference number,note TESI,-E Fußnotenzeichen,number,Appel note de bas de p,Nota,Footnote,Footnote number,Footnote Reference Superscript,EN Footnote Reference,number Char Char,Ref"/>
    <w:uiPriority w:val="99"/>
    <w:unhideWhenUsed/>
    <w:qFormat/>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0"/>
      <w:lang w:eastAsia="en-GB"/>
    </w:rPr>
  </w:style>
  <w:style w:type="paragraph" w:styleId="CommentText">
    <w:name w:val="annotation text"/>
    <w:basedOn w:val="Normal"/>
    <w:link w:val="CommentTextChar"/>
    <w:uiPriority w:val="99"/>
    <w:unhideWhenUsed/>
    <w:pPr>
      <w:spacing w:after="200" w:line="276" w:lineRule="auto"/>
    </w:pPr>
    <w:rPr>
      <w:rFonts w:ascii="Calibri" w:eastAsia="Times New Roman" w:hAnsi="Calibri" w:cs="Times New Roman"/>
      <w:sz w:val="20"/>
      <w:szCs w:val="20"/>
      <w:lang w:eastAsia="en-GB"/>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lang w:val="lv-LV" w:eastAsia="en-GB"/>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pPr>
      <w:spacing w:after="160" w:line="240" w:lineRule="auto"/>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lang w:val="lv-LV" w:eastAsia="en-GB"/>
    </w:rPr>
  </w:style>
  <w:style w:type="paragraph" w:styleId="Revision">
    <w:name w:val="Revision"/>
    <w:hidden/>
    <w:uiPriority w:val="99"/>
    <w:semiHidden/>
    <w:pPr>
      <w:spacing w:after="0" w:line="240" w:lineRule="auto"/>
    </w:pPr>
  </w:style>
  <w:style w:type="character" w:customStyle="1" w:styleId="kurziv">
    <w:name w:val="kurziv"/>
    <w:basedOn w:val="DefaultParagraphFont"/>
    <w:rsid w:val="003E1F18"/>
  </w:style>
  <w:style w:type="character" w:styleId="Emphasis">
    <w:name w:val="Emphasis"/>
    <w:uiPriority w:val="20"/>
    <w:qFormat/>
    <w:rsid w:val="00E80EA6"/>
    <w:rPr>
      <w:i/>
      <w:iCs/>
    </w:rPr>
  </w:style>
  <w:style w:type="paragraph" w:styleId="TOCHeading">
    <w:name w:val="TOC Heading"/>
    <w:basedOn w:val="Heading1"/>
    <w:next w:val="Normal"/>
    <w:uiPriority w:val="39"/>
    <w:unhideWhenUsed/>
    <w:qFormat/>
    <w:rsid w:val="00296BDB"/>
    <w:pPr>
      <w:keepLines/>
      <w:numPr>
        <w:numId w:val="0"/>
      </w:numPr>
      <w:spacing w:before="240" w:after="0" w:line="259" w:lineRule="auto"/>
      <w:jc w:val="left"/>
      <w:outlineLvl w:val="9"/>
    </w:pPr>
    <w:rPr>
      <w:rFonts w:asciiTheme="majorHAnsi" w:eastAsiaTheme="majorEastAsia" w:hAnsiTheme="majorHAnsi" w:cstheme="majorBidi"/>
      <w:b w:val="0"/>
      <w:bCs w:val="0"/>
      <w:smallCaps w:val="0"/>
      <w:color w:val="2E74B5" w:themeColor="accent1" w:themeShade="BF"/>
      <w:sz w:val="32"/>
      <w:szCs w:val="32"/>
      <w:lang w:eastAsia="en-US"/>
    </w:rPr>
  </w:style>
  <w:style w:type="paragraph" w:styleId="TOC1">
    <w:name w:val="toc 1"/>
    <w:basedOn w:val="Normal"/>
    <w:next w:val="Normal"/>
    <w:autoRedefine/>
    <w:uiPriority w:val="39"/>
    <w:unhideWhenUsed/>
    <w:rsid w:val="00296BDB"/>
    <w:pPr>
      <w:spacing w:after="100"/>
    </w:pPr>
  </w:style>
  <w:style w:type="paragraph" w:styleId="TOC2">
    <w:name w:val="toc 2"/>
    <w:basedOn w:val="Normal"/>
    <w:next w:val="Normal"/>
    <w:autoRedefine/>
    <w:uiPriority w:val="39"/>
    <w:unhideWhenUsed/>
    <w:rsid w:val="00296BDB"/>
    <w:pPr>
      <w:spacing w:after="100"/>
      <w:ind w:left="220"/>
    </w:pPr>
  </w:style>
  <w:style w:type="paragraph" w:styleId="TOC3">
    <w:name w:val="toc 3"/>
    <w:basedOn w:val="Normal"/>
    <w:next w:val="Normal"/>
    <w:autoRedefine/>
    <w:uiPriority w:val="39"/>
    <w:unhideWhenUsed/>
    <w:rsid w:val="00296BDB"/>
    <w:pPr>
      <w:spacing w:after="100"/>
      <w:ind w:left="440"/>
    </w:pPr>
  </w:style>
  <w:style w:type="paragraph" w:customStyle="1" w:styleId="paragraph">
    <w:name w:val="paragraph"/>
    <w:basedOn w:val="Normal"/>
    <w:rsid w:val="005411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41177"/>
  </w:style>
  <w:style w:type="character" w:customStyle="1" w:styleId="eop">
    <w:name w:val="eop"/>
    <w:basedOn w:val="DefaultParagraphFont"/>
    <w:rsid w:val="00541177"/>
  </w:style>
  <w:style w:type="character" w:customStyle="1" w:styleId="gmaildefault">
    <w:name w:val="gmail_default"/>
    <w:basedOn w:val="DefaultParagraphFont"/>
    <w:rsid w:val="00681E83"/>
  </w:style>
  <w:style w:type="paragraph" w:customStyle="1" w:styleId="Disclaimer">
    <w:name w:val="Disclaimer"/>
    <w:basedOn w:val="Normal"/>
    <w:rsid w:val="00B503B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54350"/>
    <w:pPr>
      <w:spacing w:after="0" w:line="276" w:lineRule="auto"/>
      <w:ind w:left="5103"/>
    </w:pPr>
    <w:rPr>
      <w:rFonts w:ascii="Times New Roman" w:hAnsi="Times New Roman" w:cs="Times New Roman"/>
      <w:sz w:val="28"/>
    </w:rPr>
  </w:style>
  <w:style w:type="paragraph" w:customStyle="1" w:styleId="DateMarking">
    <w:name w:val="DateMarking"/>
    <w:basedOn w:val="Normal"/>
    <w:rsid w:val="00D54350"/>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54350"/>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38487">
      <w:bodyDiv w:val="1"/>
      <w:marLeft w:val="0"/>
      <w:marRight w:val="0"/>
      <w:marTop w:val="0"/>
      <w:marBottom w:val="0"/>
      <w:divBdr>
        <w:top w:val="none" w:sz="0" w:space="0" w:color="auto"/>
        <w:left w:val="none" w:sz="0" w:space="0" w:color="auto"/>
        <w:bottom w:val="none" w:sz="0" w:space="0" w:color="auto"/>
        <w:right w:val="none" w:sz="0" w:space="0" w:color="auto"/>
      </w:divBdr>
      <w:divsChild>
        <w:div w:id="1391927975">
          <w:marLeft w:val="0"/>
          <w:marRight w:val="0"/>
          <w:marTop w:val="0"/>
          <w:marBottom w:val="0"/>
          <w:divBdr>
            <w:top w:val="none" w:sz="0" w:space="0" w:color="auto"/>
            <w:left w:val="none" w:sz="0" w:space="0" w:color="auto"/>
            <w:bottom w:val="none" w:sz="0" w:space="0" w:color="auto"/>
            <w:right w:val="none" w:sz="0" w:space="0" w:color="auto"/>
          </w:divBdr>
        </w:div>
      </w:divsChild>
    </w:div>
    <w:div w:id="532350176">
      <w:bodyDiv w:val="1"/>
      <w:marLeft w:val="0"/>
      <w:marRight w:val="0"/>
      <w:marTop w:val="0"/>
      <w:marBottom w:val="0"/>
      <w:divBdr>
        <w:top w:val="none" w:sz="0" w:space="0" w:color="auto"/>
        <w:left w:val="none" w:sz="0" w:space="0" w:color="auto"/>
        <w:bottom w:val="none" w:sz="0" w:space="0" w:color="auto"/>
        <w:right w:val="none" w:sz="0" w:space="0" w:color="auto"/>
      </w:divBdr>
    </w:div>
    <w:div w:id="621807707">
      <w:bodyDiv w:val="1"/>
      <w:marLeft w:val="0"/>
      <w:marRight w:val="0"/>
      <w:marTop w:val="0"/>
      <w:marBottom w:val="0"/>
      <w:divBdr>
        <w:top w:val="none" w:sz="0" w:space="0" w:color="auto"/>
        <w:left w:val="none" w:sz="0" w:space="0" w:color="auto"/>
        <w:bottom w:val="none" w:sz="0" w:space="0" w:color="auto"/>
        <w:right w:val="none" w:sz="0" w:space="0" w:color="auto"/>
      </w:divBdr>
    </w:div>
    <w:div w:id="695887608">
      <w:bodyDiv w:val="1"/>
      <w:marLeft w:val="0"/>
      <w:marRight w:val="0"/>
      <w:marTop w:val="0"/>
      <w:marBottom w:val="0"/>
      <w:divBdr>
        <w:top w:val="none" w:sz="0" w:space="0" w:color="auto"/>
        <w:left w:val="none" w:sz="0" w:space="0" w:color="auto"/>
        <w:bottom w:val="none" w:sz="0" w:space="0" w:color="auto"/>
        <w:right w:val="none" w:sz="0" w:space="0" w:color="auto"/>
      </w:divBdr>
    </w:div>
    <w:div w:id="1160852514">
      <w:bodyDiv w:val="1"/>
      <w:marLeft w:val="0"/>
      <w:marRight w:val="0"/>
      <w:marTop w:val="0"/>
      <w:marBottom w:val="0"/>
      <w:divBdr>
        <w:top w:val="none" w:sz="0" w:space="0" w:color="auto"/>
        <w:left w:val="none" w:sz="0" w:space="0" w:color="auto"/>
        <w:bottom w:val="none" w:sz="0" w:space="0" w:color="auto"/>
        <w:right w:val="none" w:sz="0" w:space="0" w:color="auto"/>
      </w:divBdr>
    </w:div>
    <w:div w:id="1231960504">
      <w:bodyDiv w:val="1"/>
      <w:marLeft w:val="0"/>
      <w:marRight w:val="0"/>
      <w:marTop w:val="0"/>
      <w:marBottom w:val="0"/>
      <w:divBdr>
        <w:top w:val="none" w:sz="0" w:space="0" w:color="auto"/>
        <w:left w:val="none" w:sz="0" w:space="0" w:color="auto"/>
        <w:bottom w:val="none" w:sz="0" w:space="0" w:color="auto"/>
        <w:right w:val="none" w:sz="0" w:space="0" w:color="auto"/>
      </w:divBdr>
    </w:div>
    <w:div w:id="1600260563">
      <w:bodyDiv w:val="1"/>
      <w:marLeft w:val="0"/>
      <w:marRight w:val="0"/>
      <w:marTop w:val="0"/>
      <w:marBottom w:val="0"/>
      <w:divBdr>
        <w:top w:val="none" w:sz="0" w:space="0" w:color="auto"/>
        <w:left w:val="none" w:sz="0" w:space="0" w:color="auto"/>
        <w:bottom w:val="none" w:sz="0" w:space="0" w:color="auto"/>
        <w:right w:val="none" w:sz="0" w:space="0" w:color="auto"/>
      </w:divBdr>
      <w:divsChild>
        <w:div w:id="929503736">
          <w:marLeft w:val="0"/>
          <w:marRight w:val="0"/>
          <w:marTop w:val="0"/>
          <w:marBottom w:val="0"/>
          <w:divBdr>
            <w:top w:val="none" w:sz="0" w:space="0" w:color="auto"/>
            <w:left w:val="none" w:sz="0" w:space="0" w:color="auto"/>
            <w:bottom w:val="none" w:sz="0" w:space="0" w:color="auto"/>
            <w:right w:val="none" w:sz="0" w:space="0" w:color="auto"/>
          </w:divBdr>
        </w:div>
        <w:div w:id="1865941724">
          <w:marLeft w:val="0"/>
          <w:marRight w:val="0"/>
          <w:marTop w:val="0"/>
          <w:marBottom w:val="0"/>
          <w:divBdr>
            <w:top w:val="none" w:sz="0" w:space="0" w:color="auto"/>
            <w:left w:val="none" w:sz="0" w:space="0" w:color="auto"/>
            <w:bottom w:val="none" w:sz="0" w:space="0" w:color="auto"/>
            <w:right w:val="none" w:sz="0" w:space="0" w:color="auto"/>
          </w:divBdr>
          <w:divsChild>
            <w:div w:id="1439564726">
              <w:marLeft w:val="-75"/>
              <w:marRight w:val="0"/>
              <w:marTop w:val="30"/>
              <w:marBottom w:val="30"/>
              <w:divBdr>
                <w:top w:val="none" w:sz="0" w:space="0" w:color="auto"/>
                <w:left w:val="none" w:sz="0" w:space="0" w:color="auto"/>
                <w:bottom w:val="none" w:sz="0" w:space="0" w:color="auto"/>
                <w:right w:val="none" w:sz="0" w:space="0" w:color="auto"/>
              </w:divBdr>
              <w:divsChild>
                <w:div w:id="41222373">
                  <w:marLeft w:val="0"/>
                  <w:marRight w:val="0"/>
                  <w:marTop w:val="0"/>
                  <w:marBottom w:val="0"/>
                  <w:divBdr>
                    <w:top w:val="none" w:sz="0" w:space="0" w:color="auto"/>
                    <w:left w:val="none" w:sz="0" w:space="0" w:color="auto"/>
                    <w:bottom w:val="none" w:sz="0" w:space="0" w:color="auto"/>
                    <w:right w:val="none" w:sz="0" w:space="0" w:color="auto"/>
                  </w:divBdr>
                  <w:divsChild>
                    <w:div w:id="1782259767">
                      <w:marLeft w:val="0"/>
                      <w:marRight w:val="0"/>
                      <w:marTop w:val="0"/>
                      <w:marBottom w:val="0"/>
                      <w:divBdr>
                        <w:top w:val="none" w:sz="0" w:space="0" w:color="auto"/>
                        <w:left w:val="none" w:sz="0" w:space="0" w:color="auto"/>
                        <w:bottom w:val="none" w:sz="0" w:space="0" w:color="auto"/>
                        <w:right w:val="none" w:sz="0" w:space="0" w:color="auto"/>
                      </w:divBdr>
                    </w:div>
                  </w:divsChild>
                </w:div>
                <w:div w:id="52701582">
                  <w:marLeft w:val="0"/>
                  <w:marRight w:val="0"/>
                  <w:marTop w:val="0"/>
                  <w:marBottom w:val="0"/>
                  <w:divBdr>
                    <w:top w:val="none" w:sz="0" w:space="0" w:color="auto"/>
                    <w:left w:val="none" w:sz="0" w:space="0" w:color="auto"/>
                    <w:bottom w:val="none" w:sz="0" w:space="0" w:color="auto"/>
                    <w:right w:val="none" w:sz="0" w:space="0" w:color="auto"/>
                  </w:divBdr>
                  <w:divsChild>
                    <w:div w:id="1245338827">
                      <w:marLeft w:val="0"/>
                      <w:marRight w:val="0"/>
                      <w:marTop w:val="0"/>
                      <w:marBottom w:val="0"/>
                      <w:divBdr>
                        <w:top w:val="none" w:sz="0" w:space="0" w:color="auto"/>
                        <w:left w:val="none" w:sz="0" w:space="0" w:color="auto"/>
                        <w:bottom w:val="none" w:sz="0" w:space="0" w:color="auto"/>
                        <w:right w:val="none" w:sz="0" w:space="0" w:color="auto"/>
                      </w:divBdr>
                    </w:div>
                  </w:divsChild>
                </w:div>
                <w:div w:id="75565754">
                  <w:marLeft w:val="0"/>
                  <w:marRight w:val="0"/>
                  <w:marTop w:val="0"/>
                  <w:marBottom w:val="0"/>
                  <w:divBdr>
                    <w:top w:val="none" w:sz="0" w:space="0" w:color="auto"/>
                    <w:left w:val="none" w:sz="0" w:space="0" w:color="auto"/>
                    <w:bottom w:val="none" w:sz="0" w:space="0" w:color="auto"/>
                    <w:right w:val="none" w:sz="0" w:space="0" w:color="auto"/>
                  </w:divBdr>
                  <w:divsChild>
                    <w:div w:id="86970489">
                      <w:marLeft w:val="0"/>
                      <w:marRight w:val="0"/>
                      <w:marTop w:val="0"/>
                      <w:marBottom w:val="0"/>
                      <w:divBdr>
                        <w:top w:val="none" w:sz="0" w:space="0" w:color="auto"/>
                        <w:left w:val="none" w:sz="0" w:space="0" w:color="auto"/>
                        <w:bottom w:val="none" w:sz="0" w:space="0" w:color="auto"/>
                        <w:right w:val="none" w:sz="0" w:space="0" w:color="auto"/>
                      </w:divBdr>
                    </w:div>
                  </w:divsChild>
                </w:div>
                <w:div w:id="150408703">
                  <w:marLeft w:val="0"/>
                  <w:marRight w:val="0"/>
                  <w:marTop w:val="0"/>
                  <w:marBottom w:val="0"/>
                  <w:divBdr>
                    <w:top w:val="none" w:sz="0" w:space="0" w:color="auto"/>
                    <w:left w:val="none" w:sz="0" w:space="0" w:color="auto"/>
                    <w:bottom w:val="none" w:sz="0" w:space="0" w:color="auto"/>
                    <w:right w:val="none" w:sz="0" w:space="0" w:color="auto"/>
                  </w:divBdr>
                  <w:divsChild>
                    <w:div w:id="1290160020">
                      <w:marLeft w:val="0"/>
                      <w:marRight w:val="0"/>
                      <w:marTop w:val="0"/>
                      <w:marBottom w:val="0"/>
                      <w:divBdr>
                        <w:top w:val="none" w:sz="0" w:space="0" w:color="auto"/>
                        <w:left w:val="none" w:sz="0" w:space="0" w:color="auto"/>
                        <w:bottom w:val="none" w:sz="0" w:space="0" w:color="auto"/>
                        <w:right w:val="none" w:sz="0" w:space="0" w:color="auto"/>
                      </w:divBdr>
                    </w:div>
                  </w:divsChild>
                </w:div>
                <w:div w:id="180823925">
                  <w:marLeft w:val="0"/>
                  <w:marRight w:val="0"/>
                  <w:marTop w:val="0"/>
                  <w:marBottom w:val="0"/>
                  <w:divBdr>
                    <w:top w:val="none" w:sz="0" w:space="0" w:color="auto"/>
                    <w:left w:val="none" w:sz="0" w:space="0" w:color="auto"/>
                    <w:bottom w:val="none" w:sz="0" w:space="0" w:color="auto"/>
                    <w:right w:val="none" w:sz="0" w:space="0" w:color="auto"/>
                  </w:divBdr>
                  <w:divsChild>
                    <w:div w:id="977608940">
                      <w:marLeft w:val="0"/>
                      <w:marRight w:val="0"/>
                      <w:marTop w:val="0"/>
                      <w:marBottom w:val="0"/>
                      <w:divBdr>
                        <w:top w:val="none" w:sz="0" w:space="0" w:color="auto"/>
                        <w:left w:val="none" w:sz="0" w:space="0" w:color="auto"/>
                        <w:bottom w:val="none" w:sz="0" w:space="0" w:color="auto"/>
                        <w:right w:val="none" w:sz="0" w:space="0" w:color="auto"/>
                      </w:divBdr>
                    </w:div>
                  </w:divsChild>
                </w:div>
                <w:div w:id="289287745">
                  <w:marLeft w:val="0"/>
                  <w:marRight w:val="0"/>
                  <w:marTop w:val="0"/>
                  <w:marBottom w:val="0"/>
                  <w:divBdr>
                    <w:top w:val="none" w:sz="0" w:space="0" w:color="auto"/>
                    <w:left w:val="none" w:sz="0" w:space="0" w:color="auto"/>
                    <w:bottom w:val="none" w:sz="0" w:space="0" w:color="auto"/>
                    <w:right w:val="none" w:sz="0" w:space="0" w:color="auto"/>
                  </w:divBdr>
                  <w:divsChild>
                    <w:div w:id="1095399810">
                      <w:marLeft w:val="0"/>
                      <w:marRight w:val="0"/>
                      <w:marTop w:val="0"/>
                      <w:marBottom w:val="0"/>
                      <w:divBdr>
                        <w:top w:val="none" w:sz="0" w:space="0" w:color="auto"/>
                        <w:left w:val="none" w:sz="0" w:space="0" w:color="auto"/>
                        <w:bottom w:val="none" w:sz="0" w:space="0" w:color="auto"/>
                        <w:right w:val="none" w:sz="0" w:space="0" w:color="auto"/>
                      </w:divBdr>
                    </w:div>
                  </w:divsChild>
                </w:div>
                <w:div w:id="292256890">
                  <w:marLeft w:val="0"/>
                  <w:marRight w:val="0"/>
                  <w:marTop w:val="0"/>
                  <w:marBottom w:val="0"/>
                  <w:divBdr>
                    <w:top w:val="none" w:sz="0" w:space="0" w:color="auto"/>
                    <w:left w:val="none" w:sz="0" w:space="0" w:color="auto"/>
                    <w:bottom w:val="none" w:sz="0" w:space="0" w:color="auto"/>
                    <w:right w:val="none" w:sz="0" w:space="0" w:color="auto"/>
                  </w:divBdr>
                  <w:divsChild>
                    <w:div w:id="950287852">
                      <w:marLeft w:val="0"/>
                      <w:marRight w:val="0"/>
                      <w:marTop w:val="0"/>
                      <w:marBottom w:val="0"/>
                      <w:divBdr>
                        <w:top w:val="none" w:sz="0" w:space="0" w:color="auto"/>
                        <w:left w:val="none" w:sz="0" w:space="0" w:color="auto"/>
                        <w:bottom w:val="none" w:sz="0" w:space="0" w:color="auto"/>
                        <w:right w:val="none" w:sz="0" w:space="0" w:color="auto"/>
                      </w:divBdr>
                    </w:div>
                  </w:divsChild>
                </w:div>
                <w:div w:id="336999607">
                  <w:marLeft w:val="0"/>
                  <w:marRight w:val="0"/>
                  <w:marTop w:val="0"/>
                  <w:marBottom w:val="0"/>
                  <w:divBdr>
                    <w:top w:val="none" w:sz="0" w:space="0" w:color="auto"/>
                    <w:left w:val="none" w:sz="0" w:space="0" w:color="auto"/>
                    <w:bottom w:val="none" w:sz="0" w:space="0" w:color="auto"/>
                    <w:right w:val="none" w:sz="0" w:space="0" w:color="auto"/>
                  </w:divBdr>
                  <w:divsChild>
                    <w:div w:id="332029555">
                      <w:marLeft w:val="0"/>
                      <w:marRight w:val="0"/>
                      <w:marTop w:val="0"/>
                      <w:marBottom w:val="0"/>
                      <w:divBdr>
                        <w:top w:val="none" w:sz="0" w:space="0" w:color="auto"/>
                        <w:left w:val="none" w:sz="0" w:space="0" w:color="auto"/>
                        <w:bottom w:val="none" w:sz="0" w:space="0" w:color="auto"/>
                        <w:right w:val="none" w:sz="0" w:space="0" w:color="auto"/>
                      </w:divBdr>
                    </w:div>
                  </w:divsChild>
                </w:div>
                <w:div w:id="366608723">
                  <w:marLeft w:val="0"/>
                  <w:marRight w:val="0"/>
                  <w:marTop w:val="0"/>
                  <w:marBottom w:val="0"/>
                  <w:divBdr>
                    <w:top w:val="none" w:sz="0" w:space="0" w:color="auto"/>
                    <w:left w:val="none" w:sz="0" w:space="0" w:color="auto"/>
                    <w:bottom w:val="none" w:sz="0" w:space="0" w:color="auto"/>
                    <w:right w:val="none" w:sz="0" w:space="0" w:color="auto"/>
                  </w:divBdr>
                  <w:divsChild>
                    <w:div w:id="1661038510">
                      <w:marLeft w:val="0"/>
                      <w:marRight w:val="0"/>
                      <w:marTop w:val="0"/>
                      <w:marBottom w:val="0"/>
                      <w:divBdr>
                        <w:top w:val="none" w:sz="0" w:space="0" w:color="auto"/>
                        <w:left w:val="none" w:sz="0" w:space="0" w:color="auto"/>
                        <w:bottom w:val="none" w:sz="0" w:space="0" w:color="auto"/>
                        <w:right w:val="none" w:sz="0" w:space="0" w:color="auto"/>
                      </w:divBdr>
                    </w:div>
                  </w:divsChild>
                </w:div>
                <w:div w:id="442849173">
                  <w:marLeft w:val="0"/>
                  <w:marRight w:val="0"/>
                  <w:marTop w:val="0"/>
                  <w:marBottom w:val="0"/>
                  <w:divBdr>
                    <w:top w:val="none" w:sz="0" w:space="0" w:color="auto"/>
                    <w:left w:val="none" w:sz="0" w:space="0" w:color="auto"/>
                    <w:bottom w:val="none" w:sz="0" w:space="0" w:color="auto"/>
                    <w:right w:val="none" w:sz="0" w:space="0" w:color="auto"/>
                  </w:divBdr>
                  <w:divsChild>
                    <w:div w:id="2028673717">
                      <w:marLeft w:val="0"/>
                      <w:marRight w:val="0"/>
                      <w:marTop w:val="0"/>
                      <w:marBottom w:val="0"/>
                      <w:divBdr>
                        <w:top w:val="none" w:sz="0" w:space="0" w:color="auto"/>
                        <w:left w:val="none" w:sz="0" w:space="0" w:color="auto"/>
                        <w:bottom w:val="none" w:sz="0" w:space="0" w:color="auto"/>
                        <w:right w:val="none" w:sz="0" w:space="0" w:color="auto"/>
                      </w:divBdr>
                    </w:div>
                  </w:divsChild>
                </w:div>
                <w:div w:id="492180286">
                  <w:marLeft w:val="0"/>
                  <w:marRight w:val="0"/>
                  <w:marTop w:val="0"/>
                  <w:marBottom w:val="0"/>
                  <w:divBdr>
                    <w:top w:val="none" w:sz="0" w:space="0" w:color="auto"/>
                    <w:left w:val="none" w:sz="0" w:space="0" w:color="auto"/>
                    <w:bottom w:val="none" w:sz="0" w:space="0" w:color="auto"/>
                    <w:right w:val="none" w:sz="0" w:space="0" w:color="auto"/>
                  </w:divBdr>
                  <w:divsChild>
                    <w:div w:id="641663771">
                      <w:marLeft w:val="0"/>
                      <w:marRight w:val="0"/>
                      <w:marTop w:val="0"/>
                      <w:marBottom w:val="0"/>
                      <w:divBdr>
                        <w:top w:val="none" w:sz="0" w:space="0" w:color="auto"/>
                        <w:left w:val="none" w:sz="0" w:space="0" w:color="auto"/>
                        <w:bottom w:val="none" w:sz="0" w:space="0" w:color="auto"/>
                        <w:right w:val="none" w:sz="0" w:space="0" w:color="auto"/>
                      </w:divBdr>
                    </w:div>
                  </w:divsChild>
                </w:div>
                <w:div w:id="540945836">
                  <w:marLeft w:val="0"/>
                  <w:marRight w:val="0"/>
                  <w:marTop w:val="0"/>
                  <w:marBottom w:val="0"/>
                  <w:divBdr>
                    <w:top w:val="none" w:sz="0" w:space="0" w:color="auto"/>
                    <w:left w:val="none" w:sz="0" w:space="0" w:color="auto"/>
                    <w:bottom w:val="none" w:sz="0" w:space="0" w:color="auto"/>
                    <w:right w:val="none" w:sz="0" w:space="0" w:color="auto"/>
                  </w:divBdr>
                  <w:divsChild>
                    <w:div w:id="1491828105">
                      <w:marLeft w:val="0"/>
                      <w:marRight w:val="0"/>
                      <w:marTop w:val="0"/>
                      <w:marBottom w:val="0"/>
                      <w:divBdr>
                        <w:top w:val="none" w:sz="0" w:space="0" w:color="auto"/>
                        <w:left w:val="none" w:sz="0" w:space="0" w:color="auto"/>
                        <w:bottom w:val="none" w:sz="0" w:space="0" w:color="auto"/>
                        <w:right w:val="none" w:sz="0" w:space="0" w:color="auto"/>
                      </w:divBdr>
                    </w:div>
                  </w:divsChild>
                </w:div>
                <w:div w:id="611595468">
                  <w:marLeft w:val="0"/>
                  <w:marRight w:val="0"/>
                  <w:marTop w:val="0"/>
                  <w:marBottom w:val="0"/>
                  <w:divBdr>
                    <w:top w:val="none" w:sz="0" w:space="0" w:color="auto"/>
                    <w:left w:val="none" w:sz="0" w:space="0" w:color="auto"/>
                    <w:bottom w:val="none" w:sz="0" w:space="0" w:color="auto"/>
                    <w:right w:val="none" w:sz="0" w:space="0" w:color="auto"/>
                  </w:divBdr>
                  <w:divsChild>
                    <w:div w:id="27726837">
                      <w:marLeft w:val="0"/>
                      <w:marRight w:val="0"/>
                      <w:marTop w:val="0"/>
                      <w:marBottom w:val="0"/>
                      <w:divBdr>
                        <w:top w:val="none" w:sz="0" w:space="0" w:color="auto"/>
                        <w:left w:val="none" w:sz="0" w:space="0" w:color="auto"/>
                        <w:bottom w:val="none" w:sz="0" w:space="0" w:color="auto"/>
                        <w:right w:val="none" w:sz="0" w:space="0" w:color="auto"/>
                      </w:divBdr>
                    </w:div>
                  </w:divsChild>
                </w:div>
                <w:div w:id="613902447">
                  <w:marLeft w:val="0"/>
                  <w:marRight w:val="0"/>
                  <w:marTop w:val="0"/>
                  <w:marBottom w:val="0"/>
                  <w:divBdr>
                    <w:top w:val="none" w:sz="0" w:space="0" w:color="auto"/>
                    <w:left w:val="none" w:sz="0" w:space="0" w:color="auto"/>
                    <w:bottom w:val="none" w:sz="0" w:space="0" w:color="auto"/>
                    <w:right w:val="none" w:sz="0" w:space="0" w:color="auto"/>
                  </w:divBdr>
                  <w:divsChild>
                    <w:div w:id="876894919">
                      <w:marLeft w:val="0"/>
                      <w:marRight w:val="0"/>
                      <w:marTop w:val="0"/>
                      <w:marBottom w:val="0"/>
                      <w:divBdr>
                        <w:top w:val="none" w:sz="0" w:space="0" w:color="auto"/>
                        <w:left w:val="none" w:sz="0" w:space="0" w:color="auto"/>
                        <w:bottom w:val="none" w:sz="0" w:space="0" w:color="auto"/>
                        <w:right w:val="none" w:sz="0" w:space="0" w:color="auto"/>
                      </w:divBdr>
                    </w:div>
                  </w:divsChild>
                </w:div>
                <w:div w:id="638876229">
                  <w:marLeft w:val="0"/>
                  <w:marRight w:val="0"/>
                  <w:marTop w:val="0"/>
                  <w:marBottom w:val="0"/>
                  <w:divBdr>
                    <w:top w:val="none" w:sz="0" w:space="0" w:color="auto"/>
                    <w:left w:val="none" w:sz="0" w:space="0" w:color="auto"/>
                    <w:bottom w:val="none" w:sz="0" w:space="0" w:color="auto"/>
                    <w:right w:val="none" w:sz="0" w:space="0" w:color="auto"/>
                  </w:divBdr>
                  <w:divsChild>
                    <w:div w:id="322127808">
                      <w:marLeft w:val="0"/>
                      <w:marRight w:val="0"/>
                      <w:marTop w:val="0"/>
                      <w:marBottom w:val="0"/>
                      <w:divBdr>
                        <w:top w:val="none" w:sz="0" w:space="0" w:color="auto"/>
                        <w:left w:val="none" w:sz="0" w:space="0" w:color="auto"/>
                        <w:bottom w:val="none" w:sz="0" w:space="0" w:color="auto"/>
                        <w:right w:val="none" w:sz="0" w:space="0" w:color="auto"/>
                      </w:divBdr>
                    </w:div>
                  </w:divsChild>
                </w:div>
                <w:div w:id="685598141">
                  <w:marLeft w:val="0"/>
                  <w:marRight w:val="0"/>
                  <w:marTop w:val="0"/>
                  <w:marBottom w:val="0"/>
                  <w:divBdr>
                    <w:top w:val="none" w:sz="0" w:space="0" w:color="auto"/>
                    <w:left w:val="none" w:sz="0" w:space="0" w:color="auto"/>
                    <w:bottom w:val="none" w:sz="0" w:space="0" w:color="auto"/>
                    <w:right w:val="none" w:sz="0" w:space="0" w:color="auto"/>
                  </w:divBdr>
                  <w:divsChild>
                    <w:div w:id="937563725">
                      <w:marLeft w:val="0"/>
                      <w:marRight w:val="0"/>
                      <w:marTop w:val="0"/>
                      <w:marBottom w:val="0"/>
                      <w:divBdr>
                        <w:top w:val="none" w:sz="0" w:space="0" w:color="auto"/>
                        <w:left w:val="none" w:sz="0" w:space="0" w:color="auto"/>
                        <w:bottom w:val="none" w:sz="0" w:space="0" w:color="auto"/>
                        <w:right w:val="none" w:sz="0" w:space="0" w:color="auto"/>
                      </w:divBdr>
                    </w:div>
                  </w:divsChild>
                </w:div>
                <w:div w:id="732779156">
                  <w:marLeft w:val="0"/>
                  <w:marRight w:val="0"/>
                  <w:marTop w:val="0"/>
                  <w:marBottom w:val="0"/>
                  <w:divBdr>
                    <w:top w:val="none" w:sz="0" w:space="0" w:color="auto"/>
                    <w:left w:val="none" w:sz="0" w:space="0" w:color="auto"/>
                    <w:bottom w:val="none" w:sz="0" w:space="0" w:color="auto"/>
                    <w:right w:val="none" w:sz="0" w:space="0" w:color="auto"/>
                  </w:divBdr>
                  <w:divsChild>
                    <w:div w:id="206570757">
                      <w:marLeft w:val="0"/>
                      <w:marRight w:val="0"/>
                      <w:marTop w:val="0"/>
                      <w:marBottom w:val="0"/>
                      <w:divBdr>
                        <w:top w:val="none" w:sz="0" w:space="0" w:color="auto"/>
                        <w:left w:val="none" w:sz="0" w:space="0" w:color="auto"/>
                        <w:bottom w:val="none" w:sz="0" w:space="0" w:color="auto"/>
                        <w:right w:val="none" w:sz="0" w:space="0" w:color="auto"/>
                      </w:divBdr>
                    </w:div>
                  </w:divsChild>
                </w:div>
                <w:div w:id="872766230">
                  <w:marLeft w:val="0"/>
                  <w:marRight w:val="0"/>
                  <w:marTop w:val="0"/>
                  <w:marBottom w:val="0"/>
                  <w:divBdr>
                    <w:top w:val="none" w:sz="0" w:space="0" w:color="auto"/>
                    <w:left w:val="none" w:sz="0" w:space="0" w:color="auto"/>
                    <w:bottom w:val="none" w:sz="0" w:space="0" w:color="auto"/>
                    <w:right w:val="none" w:sz="0" w:space="0" w:color="auto"/>
                  </w:divBdr>
                  <w:divsChild>
                    <w:div w:id="389351005">
                      <w:marLeft w:val="0"/>
                      <w:marRight w:val="0"/>
                      <w:marTop w:val="0"/>
                      <w:marBottom w:val="0"/>
                      <w:divBdr>
                        <w:top w:val="none" w:sz="0" w:space="0" w:color="auto"/>
                        <w:left w:val="none" w:sz="0" w:space="0" w:color="auto"/>
                        <w:bottom w:val="none" w:sz="0" w:space="0" w:color="auto"/>
                        <w:right w:val="none" w:sz="0" w:space="0" w:color="auto"/>
                      </w:divBdr>
                    </w:div>
                  </w:divsChild>
                </w:div>
                <w:div w:id="879979028">
                  <w:marLeft w:val="0"/>
                  <w:marRight w:val="0"/>
                  <w:marTop w:val="0"/>
                  <w:marBottom w:val="0"/>
                  <w:divBdr>
                    <w:top w:val="none" w:sz="0" w:space="0" w:color="auto"/>
                    <w:left w:val="none" w:sz="0" w:space="0" w:color="auto"/>
                    <w:bottom w:val="none" w:sz="0" w:space="0" w:color="auto"/>
                    <w:right w:val="none" w:sz="0" w:space="0" w:color="auto"/>
                  </w:divBdr>
                  <w:divsChild>
                    <w:div w:id="1151483786">
                      <w:marLeft w:val="0"/>
                      <w:marRight w:val="0"/>
                      <w:marTop w:val="0"/>
                      <w:marBottom w:val="0"/>
                      <w:divBdr>
                        <w:top w:val="none" w:sz="0" w:space="0" w:color="auto"/>
                        <w:left w:val="none" w:sz="0" w:space="0" w:color="auto"/>
                        <w:bottom w:val="none" w:sz="0" w:space="0" w:color="auto"/>
                        <w:right w:val="none" w:sz="0" w:space="0" w:color="auto"/>
                      </w:divBdr>
                    </w:div>
                  </w:divsChild>
                </w:div>
                <w:div w:id="900865728">
                  <w:marLeft w:val="0"/>
                  <w:marRight w:val="0"/>
                  <w:marTop w:val="0"/>
                  <w:marBottom w:val="0"/>
                  <w:divBdr>
                    <w:top w:val="none" w:sz="0" w:space="0" w:color="auto"/>
                    <w:left w:val="none" w:sz="0" w:space="0" w:color="auto"/>
                    <w:bottom w:val="none" w:sz="0" w:space="0" w:color="auto"/>
                    <w:right w:val="none" w:sz="0" w:space="0" w:color="auto"/>
                  </w:divBdr>
                  <w:divsChild>
                    <w:div w:id="1628004450">
                      <w:marLeft w:val="0"/>
                      <w:marRight w:val="0"/>
                      <w:marTop w:val="0"/>
                      <w:marBottom w:val="0"/>
                      <w:divBdr>
                        <w:top w:val="none" w:sz="0" w:space="0" w:color="auto"/>
                        <w:left w:val="none" w:sz="0" w:space="0" w:color="auto"/>
                        <w:bottom w:val="none" w:sz="0" w:space="0" w:color="auto"/>
                        <w:right w:val="none" w:sz="0" w:space="0" w:color="auto"/>
                      </w:divBdr>
                    </w:div>
                  </w:divsChild>
                </w:div>
                <w:div w:id="910696894">
                  <w:marLeft w:val="0"/>
                  <w:marRight w:val="0"/>
                  <w:marTop w:val="0"/>
                  <w:marBottom w:val="0"/>
                  <w:divBdr>
                    <w:top w:val="none" w:sz="0" w:space="0" w:color="auto"/>
                    <w:left w:val="none" w:sz="0" w:space="0" w:color="auto"/>
                    <w:bottom w:val="none" w:sz="0" w:space="0" w:color="auto"/>
                    <w:right w:val="none" w:sz="0" w:space="0" w:color="auto"/>
                  </w:divBdr>
                  <w:divsChild>
                    <w:div w:id="129829089">
                      <w:marLeft w:val="0"/>
                      <w:marRight w:val="0"/>
                      <w:marTop w:val="0"/>
                      <w:marBottom w:val="0"/>
                      <w:divBdr>
                        <w:top w:val="none" w:sz="0" w:space="0" w:color="auto"/>
                        <w:left w:val="none" w:sz="0" w:space="0" w:color="auto"/>
                        <w:bottom w:val="none" w:sz="0" w:space="0" w:color="auto"/>
                        <w:right w:val="none" w:sz="0" w:space="0" w:color="auto"/>
                      </w:divBdr>
                    </w:div>
                  </w:divsChild>
                </w:div>
                <w:div w:id="948044017">
                  <w:marLeft w:val="0"/>
                  <w:marRight w:val="0"/>
                  <w:marTop w:val="0"/>
                  <w:marBottom w:val="0"/>
                  <w:divBdr>
                    <w:top w:val="none" w:sz="0" w:space="0" w:color="auto"/>
                    <w:left w:val="none" w:sz="0" w:space="0" w:color="auto"/>
                    <w:bottom w:val="none" w:sz="0" w:space="0" w:color="auto"/>
                    <w:right w:val="none" w:sz="0" w:space="0" w:color="auto"/>
                  </w:divBdr>
                  <w:divsChild>
                    <w:div w:id="1257132346">
                      <w:marLeft w:val="0"/>
                      <w:marRight w:val="0"/>
                      <w:marTop w:val="0"/>
                      <w:marBottom w:val="0"/>
                      <w:divBdr>
                        <w:top w:val="none" w:sz="0" w:space="0" w:color="auto"/>
                        <w:left w:val="none" w:sz="0" w:space="0" w:color="auto"/>
                        <w:bottom w:val="none" w:sz="0" w:space="0" w:color="auto"/>
                        <w:right w:val="none" w:sz="0" w:space="0" w:color="auto"/>
                      </w:divBdr>
                    </w:div>
                  </w:divsChild>
                </w:div>
                <w:div w:id="980693367">
                  <w:marLeft w:val="0"/>
                  <w:marRight w:val="0"/>
                  <w:marTop w:val="0"/>
                  <w:marBottom w:val="0"/>
                  <w:divBdr>
                    <w:top w:val="none" w:sz="0" w:space="0" w:color="auto"/>
                    <w:left w:val="none" w:sz="0" w:space="0" w:color="auto"/>
                    <w:bottom w:val="none" w:sz="0" w:space="0" w:color="auto"/>
                    <w:right w:val="none" w:sz="0" w:space="0" w:color="auto"/>
                  </w:divBdr>
                  <w:divsChild>
                    <w:div w:id="88696040">
                      <w:marLeft w:val="0"/>
                      <w:marRight w:val="0"/>
                      <w:marTop w:val="0"/>
                      <w:marBottom w:val="0"/>
                      <w:divBdr>
                        <w:top w:val="none" w:sz="0" w:space="0" w:color="auto"/>
                        <w:left w:val="none" w:sz="0" w:space="0" w:color="auto"/>
                        <w:bottom w:val="none" w:sz="0" w:space="0" w:color="auto"/>
                        <w:right w:val="none" w:sz="0" w:space="0" w:color="auto"/>
                      </w:divBdr>
                    </w:div>
                  </w:divsChild>
                </w:div>
                <w:div w:id="1020426853">
                  <w:marLeft w:val="0"/>
                  <w:marRight w:val="0"/>
                  <w:marTop w:val="0"/>
                  <w:marBottom w:val="0"/>
                  <w:divBdr>
                    <w:top w:val="none" w:sz="0" w:space="0" w:color="auto"/>
                    <w:left w:val="none" w:sz="0" w:space="0" w:color="auto"/>
                    <w:bottom w:val="none" w:sz="0" w:space="0" w:color="auto"/>
                    <w:right w:val="none" w:sz="0" w:space="0" w:color="auto"/>
                  </w:divBdr>
                  <w:divsChild>
                    <w:div w:id="1253704125">
                      <w:marLeft w:val="0"/>
                      <w:marRight w:val="0"/>
                      <w:marTop w:val="0"/>
                      <w:marBottom w:val="0"/>
                      <w:divBdr>
                        <w:top w:val="none" w:sz="0" w:space="0" w:color="auto"/>
                        <w:left w:val="none" w:sz="0" w:space="0" w:color="auto"/>
                        <w:bottom w:val="none" w:sz="0" w:space="0" w:color="auto"/>
                        <w:right w:val="none" w:sz="0" w:space="0" w:color="auto"/>
                      </w:divBdr>
                    </w:div>
                  </w:divsChild>
                </w:div>
                <w:div w:id="1075662588">
                  <w:marLeft w:val="0"/>
                  <w:marRight w:val="0"/>
                  <w:marTop w:val="0"/>
                  <w:marBottom w:val="0"/>
                  <w:divBdr>
                    <w:top w:val="none" w:sz="0" w:space="0" w:color="auto"/>
                    <w:left w:val="none" w:sz="0" w:space="0" w:color="auto"/>
                    <w:bottom w:val="none" w:sz="0" w:space="0" w:color="auto"/>
                    <w:right w:val="none" w:sz="0" w:space="0" w:color="auto"/>
                  </w:divBdr>
                  <w:divsChild>
                    <w:div w:id="2071419181">
                      <w:marLeft w:val="0"/>
                      <w:marRight w:val="0"/>
                      <w:marTop w:val="0"/>
                      <w:marBottom w:val="0"/>
                      <w:divBdr>
                        <w:top w:val="none" w:sz="0" w:space="0" w:color="auto"/>
                        <w:left w:val="none" w:sz="0" w:space="0" w:color="auto"/>
                        <w:bottom w:val="none" w:sz="0" w:space="0" w:color="auto"/>
                        <w:right w:val="none" w:sz="0" w:space="0" w:color="auto"/>
                      </w:divBdr>
                    </w:div>
                  </w:divsChild>
                </w:div>
                <w:div w:id="1097140319">
                  <w:marLeft w:val="0"/>
                  <w:marRight w:val="0"/>
                  <w:marTop w:val="0"/>
                  <w:marBottom w:val="0"/>
                  <w:divBdr>
                    <w:top w:val="none" w:sz="0" w:space="0" w:color="auto"/>
                    <w:left w:val="none" w:sz="0" w:space="0" w:color="auto"/>
                    <w:bottom w:val="none" w:sz="0" w:space="0" w:color="auto"/>
                    <w:right w:val="none" w:sz="0" w:space="0" w:color="auto"/>
                  </w:divBdr>
                  <w:divsChild>
                    <w:div w:id="2006206180">
                      <w:marLeft w:val="0"/>
                      <w:marRight w:val="0"/>
                      <w:marTop w:val="0"/>
                      <w:marBottom w:val="0"/>
                      <w:divBdr>
                        <w:top w:val="none" w:sz="0" w:space="0" w:color="auto"/>
                        <w:left w:val="none" w:sz="0" w:space="0" w:color="auto"/>
                        <w:bottom w:val="none" w:sz="0" w:space="0" w:color="auto"/>
                        <w:right w:val="none" w:sz="0" w:space="0" w:color="auto"/>
                      </w:divBdr>
                    </w:div>
                  </w:divsChild>
                </w:div>
                <w:div w:id="1104500467">
                  <w:marLeft w:val="0"/>
                  <w:marRight w:val="0"/>
                  <w:marTop w:val="0"/>
                  <w:marBottom w:val="0"/>
                  <w:divBdr>
                    <w:top w:val="none" w:sz="0" w:space="0" w:color="auto"/>
                    <w:left w:val="none" w:sz="0" w:space="0" w:color="auto"/>
                    <w:bottom w:val="none" w:sz="0" w:space="0" w:color="auto"/>
                    <w:right w:val="none" w:sz="0" w:space="0" w:color="auto"/>
                  </w:divBdr>
                  <w:divsChild>
                    <w:div w:id="1633976164">
                      <w:marLeft w:val="0"/>
                      <w:marRight w:val="0"/>
                      <w:marTop w:val="0"/>
                      <w:marBottom w:val="0"/>
                      <w:divBdr>
                        <w:top w:val="none" w:sz="0" w:space="0" w:color="auto"/>
                        <w:left w:val="none" w:sz="0" w:space="0" w:color="auto"/>
                        <w:bottom w:val="none" w:sz="0" w:space="0" w:color="auto"/>
                        <w:right w:val="none" w:sz="0" w:space="0" w:color="auto"/>
                      </w:divBdr>
                    </w:div>
                  </w:divsChild>
                </w:div>
                <w:div w:id="1110317624">
                  <w:marLeft w:val="0"/>
                  <w:marRight w:val="0"/>
                  <w:marTop w:val="0"/>
                  <w:marBottom w:val="0"/>
                  <w:divBdr>
                    <w:top w:val="none" w:sz="0" w:space="0" w:color="auto"/>
                    <w:left w:val="none" w:sz="0" w:space="0" w:color="auto"/>
                    <w:bottom w:val="none" w:sz="0" w:space="0" w:color="auto"/>
                    <w:right w:val="none" w:sz="0" w:space="0" w:color="auto"/>
                  </w:divBdr>
                  <w:divsChild>
                    <w:div w:id="1467235507">
                      <w:marLeft w:val="0"/>
                      <w:marRight w:val="0"/>
                      <w:marTop w:val="0"/>
                      <w:marBottom w:val="0"/>
                      <w:divBdr>
                        <w:top w:val="none" w:sz="0" w:space="0" w:color="auto"/>
                        <w:left w:val="none" w:sz="0" w:space="0" w:color="auto"/>
                        <w:bottom w:val="none" w:sz="0" w:space="0" w:color="auto"/>
                        <w:right w:val="none" w:sz="0" w:space="0" w:color="auto"/>
                      </w:divBdr>
                    </w:div>
                  </w:divsChild>
                </w:div>
                <w:div w:id="1119059145">
                  <w:marLeft w:val="0"/>
                  <w:marRight w:val="0"/>
                  <w:marTop w:val="0"/>
                  <w:marBottom w:val="0"/>
                  <w:divBdr>
                    <w:top w:val="none" w:sz="0" w:space="0" w:color="auto"/>
                    <w:left w:val="none" w:sz="0" w:space="0" w:color="auto"/>
                    <w:bottom w:val="none" w:sz="0" w:space="0" w:color="auto"/>
                    <w:right w:val="none" w:sz="0" w:space="0" w:color="auto"/>
                  </w:divBdr>
                  <w:divsChild>
                    <w:div w:id="1218278827">
                      <w:marLeft w:val="0"/>
                      <w:marRight w:val="0"/>
                      <w:marTop w:val="0"/>
                      <w:marBottom w:val="0"/>
                      <w:divBdr>
                        <w:top w:val="none" w:sz="0" w:space="0" w:color="auto"/>
                        <w:left w:val="none" w:sz="0" w:space="0" w:color="auto"/>
                        <w:bottom w:val="none" w:sz="0" w:space="0" w:color="auto"/>
                        <w:right w:val="none" w:sz="0" w:space="0" w:color="auto"/>
                      </w:divBdr>
                    </w:div>
                  </w:divsChild>
                </w:div>
                <w:div w:id="1134298094">
                  <w:marLeft w:val="0"/>
                  <w:marRight w:val="0"/>
                  <w:marTop w:val="0"/>
                  <w:marBottom w:val="0"/>
                  <w:divBdr>
                    <w:top w:val="none" w:sz="0" w:space="0" w:color="auto"/>
                    <w:left w:val="none" w:sz="0" w:space="0" w:color="auto"/>
                    <w:bottom w:val="none" w:sz="0" w:space="0" w:color="auto"/>
                    <w:right w:val="none" w:sz="0" w:space="0" w:color="auto"/>
                  </w:divBdr>
                  <w:divsChild>
                    <w:div w:id="9727699">
                      <w:marLeft w:val="0"/>
                      <w:marRight w:val="0"/>
                      <w:marTop w:val="0"/>
                      <w:marBottom w:val="0"/>
                      <w:divBdr>
                        <w:top w:val="none" w:sz="0" w:space="0" w:color="auto"/>
                        <w:left w:val="none" w:sz="0" w:space="0" w:color="auto"/>
                        <w:bottom w:val="none" w:sz="0" w:space="0" w:color="auto"/>
                        <w:right w:val="none" w:sz="0" w:space="0" w:color="auto"/>
                      </w:divBdr>
                    </w:div>
                  </w:divsChild>
                </w:div>
                <w:div w:id="1151408844">
                  <w:marLeft w:val="0"/>
                  <w:marRight w:val="0"/>
                  <w:marTop w:val="0"/>
                  <w:marBottom w:val="0"/>
                  <w:divBdr>
                    <w:top w:val="none" w:sz="0" w:space="0" w:color="auto"/>
                    <w:left w:val="none" w:sz="0" w:space="0" w:color="auto"/>
                    <w:bottom w:val="none" w:sz="0" w:space="0" w:color="auto"/>
                    <w:right w:val="none" w:sz="0" w:space="0" w:color="auto"/>
                  </w:divBdr>
                  <w:divsChild>
                    <w:div w:id="658536785">
                      <w:marLeft w:val="0"/>
                      <w:marRight w:val="0"/>
                      <w:marTop w:val="0"/>
                      <w:marBottom w:val="0"/>
                      <w:divBdr>
                        <w:top w:val="none" w:sz="0" w:space="0" w:color="auto"/>
                        <w:left w:val="none" w:sz="0" w:space="0" w:color="auto"/>
                        <w:bottom w:val="none" w:sz="0" w:space="0" w:color="auto"/>
                        <w:right w:val="none" w:sz="0" w:space="0" w:color="auto"/>
                      </w:divBdr>
                    </w:div>
                  </w:divsChild>
                </w:div>
                <w:div w:id="1165168852">
                  <w:marLeft w:val="0"/>
                  <w:marRight w:val="0"/>
                  <w:marTop w:val="0"/>
                  <w:marBottom w:val="0"/>
                  <w:divBdr>
                    <w:top w:val="none" w:sz="0" w:space="0" w:color="auto"/>
                    <w:left w:val="none" w:sz="0" w:space="0" w:color="auto"/>
                    <w:bottom w:val="none" w:sz="0" w:space="0" w:color="auto"/>
                    <w:right w:val="none" w:sz="0" w:space="0" w:color="auto"/>
                  </w:divBdr>
                  <w:divsChild>
                    <w:div w:id="860435575">
                      <w:marLeft w:val="0"/>
                      <w:marRight w:val="0"/>
                      <w:marTop w:val="0"/>
                      <w:marBottom w:val="0"/>
                      <w:divBdr>
                        <w:top w:val="none" w:sz="0" w:space="0" w:color="auto"/>
                        <w:left w:val="none" w:sz="0" w:space="0" w:color="auto"/>
                        <w:bottom w:val="none" w:sz="0" w:space="0" w:color="auto"/>
                        <w:right w:val="none" w:sz="0" w:space="0" w:color="auto"/>
                      </w:divBdr>
                    </w:div>
                  </w:divsChild>
                </w:div>
                <w:div w:id="1173567726">
                  <w:marLeft w:val="0"/>
                  <w:marRight w:val="0"/>
                  <w:marTop w:val="0"/>
                  <w:marBottom w:val="0"/>
                  <w:divBdr>
                    <w:top w:val="none" w:sz="0" w:space="0" w:color="auto"/>
                    <w:left w:val="none" w:sz="0" w:space="0" w:color="auto"/>
                    <w:bottom w:val="none" w:sz="0" w:space="0" w:color="auto"/>
                    <w:right w:val="none" w:sz="0" w:space="0" w:color="auto"/>
                  </w:divBdr>
                  <w:divsChild>
                    <w:div w:id="1808888114">
                      <w:marLeft w:val="0"/>
                      <w:marRight w:val="0"/>
                      <w:marTop w:val="0"/>
                      <w:marBottom w:val="0"/>
                      <w:divBdr>
                        <w:top w:val="none" w:sz="0" w:space="0" w:color="auto"/>
                        <w:left w:val="none" w:sz="0" w:space="0" w:color="auto"/>
                        <w:bottom w:val="none" w:sz="0" w:space="0" w:color="auto"/>
                        <w:right w:val="none" w:sz="0" w:space="0" w:color="auto"/>
                      </w:divBdr>
                    </w:div>
                  </w:divsChild>
                </w:div>
                <w:div w:id="1185709460">
                  <w:marLeft w:val="0"/>
                  <w:marRight w:val="0"/>
                  <w:marTop w:val="0"/>
                  <w:marBottom w:val="0"/>
                  <w:divBdr>
                    <w:top w:val="none" w:sz="0" w:space="0" w:color="auto"/>
                    <w:left w:val="none" w:sz="0" w:space="0" w:color="auto"/>
                    <w:bottom w:val="none" w:sz="0" w:space="0" w:color="auto"/>
                    <w:right w:val="none" w:sz="0" w:space="0" w:color="auto"/>
                  </w:divBdr>
                  <w:divsChild>
                    <w:div w:id="919870955">
                      <w:marLeft w:val="0"/>
                      <w:marRight w:val="0"/>
                      <w:marTop w:val="0"/>
                      <w:marBottom w:val="0"/>
                      <w:divBdr>
                        <w:top w:val="none" w:sz="0" w:space="0" w:color="auto"/>
                        <w:left w:val="none" w:sz="0" w:space="0" w:color="auto"/>
                        <w:bottom w:val="none" w:sz="0" w:space="0" w:color="auto"/>
                        <w:right w:val="none" w:sz="0" w:space="0" w:color="auto"/>
                      </w:divBdr>
                    </w:div>
                  </w:divsChild>
                </w:div>
                <w:div w:id="1186015267">
                  <w:marLeft w:val="0"/>
                  <w:marRight w:val="0"/>
                  <w:marTop w:val="0"/>
                  <w:marBottom w:val="0"/>
                  <w:divBdr>
                    <w:top w:val="none" w:sz="0" w:space="0" w:color="auto"/>
                    <w:left w:val="none" w:sz="0" w:space="0" w:color="auto"/>
                    <w:bottom w:val="none" w:sz="0" w:space="0" w:color="auto"/>
                    <w:right w:val="none" w:sz="0" w:space="0" w:color="auto"/>
                  </w:divBdr>
                  <w:divsChild>
                    <w:div w:id="469520435">
                      <w:marLeft w:val="0"/>
                      <w:marRight w:val="0"/>
                      <w:marTop w:val="0"/>
                      <w:marBottom w:val="0"/>
                      <w:divBdr>
                        <w:top w:val="none" w:sz="0" w:space="0" w:color="auto"/>
                        <w:left w:val="none" w:sz="0" w:space="0" w:color="auto"/>
                        <w:bottom w:val="none" w:sz="0" w:space="0" w:color="auto"/>
                        <w:right w:val="none" w:sz="0" w:space="0" w:color="auto"/>
                      </w:divBdr>
                    </w:div>
                  </w:divsChild>
                </w:div>
                <w:div w:id="1241677706">
                  <w:marLeft w:val="0"/>
                  <w:marRight w:val="0"/>
                  <w:marTop w:val="0"/>
                  <w:marBottom w:val="0"/>
                  <w:divBdr>
                    <w:top w:val="none" w:sz="0" w:space="0" w:color="auto"/>
                    <w:left w:val="none" w:sz="0" w:space="0" w:color="auto"/>
                    <w:bottom w:val="none" w:sz="0" w:space="0" w:color="auto"/>
                    <w:right w:val="none" w:sz="0" w:space="0" w:color="auto"/>
                  </w:divBdr>
                  <w:divsChild>
                    <w:div w:id="297303968">
                      <w:marLeft w:val="0"/>
                      <w:marRight w:val="0"/>
                      <w:marTop w:val="0"/>
                      <w:marBottom w:val="0"/>
                      <w:divBdr>
                        <w:top w:val="none" w:sz="0" w:space="0" w:color="auto"/>
                        <w:left w:val="none" w:sz="0" w:space="0" w:color="auto"/>
                        <w:bottom w:val="none" w:sz="0" w:space="0" w:color="auto"/>
                        <w:right w:val="none" w:sz="0" w:space="0" w:color="auto"/>
                      </w:divBdr>
                    </w:div>
                  </w:divsChild>
                </w:div>
                <w:div w:id="1337919518">
                  <w:marLeft w:val="0"/>
                  <w:marRight w:val="0"/>
                  <w:marTop w:val="0"/>
                  <w:marBottom w:val="0"/>
                  <w:divBdr>
                    <w:top w:val="none" w:sz="0" w:space="0" w:color="auto"/>
                    <w:left w:val="none" w:sz="0" w:space="0" w:color="auto"/>
                    <w:bottom w:val="none" w:sz="0" w:space="0" w:color="auto"/>
                    <w:right w:val="none" w:sz="0" w:space="0" w:color="auto"/>
                  </w:divBdr>
                  <w:divsChild>
                    <w:div w:id="828642114">
                      <w:marLeft w:val="0"/>
                      <w:marRight w:val="0"/>
                      <w:marTop w:val="0"/>
                      <w:marBottom w:val="0"/>
                      <w:divBdr>
                        <w:top w:val="none" w:sz="0" w:space="0" w:color="auto"/>
                        <w:left w:val="none" w:sz="0" w:space="0" w:color="auto"/>
                        <w:bottom w:val="none" w:sz="0" w:space="0" w:color="auto"/>
                        <w:right w:val="none" w:sz="0" w:space="0" w:color="auto"/>
                      </w:divBdr>
                    </w:div>
                  </w:divsChild>
                </w:div>
                <w:div w:id="1349910786">
                  <w:marLeft w:val="0"/>
                  <w:marRight w:val="0"/>
                  <w:marTop w:val="0"/>
                  <w:marBottom w:val="0"/>
                  <w:divBdr>
                    <w:top w:val="none" w:sz="0" w:space="0" w:color="auto"/>
                    <w:left w:val="none" w:sz="0" w:space="0" w:color="auto"/>
                    <w:bottom w:val="none" w:sz="0" w:space="0" w:color="auto"/>
                    <w:right w:val="none" w:sz="0" w:space="0" w:color="auto"/>
                  </w:divBdr>
                  <w:divsChild>
                    <w:div w:id="272445949">
                      <w:marLeft w:val="0"/>
                      <w:marRight w:val="0"/>
                      <w:marTop w:val="0"/>
                      <w:marBottom w:val="0"/>
                      <w:divBdr>
                        <w:top w:val="none" w:sz="0" w:space="0" w:color="auto"/>
                        <w:left w:val="none" w:sz="0" w:space="0" w:color="auto"/>
                        <w:bottom w:val="none" w:sz="0" w:space="0" w:color="auto"/>
                        <w:right w:val="none" w:sz="0" w:space="0" w:color="auto"/>
                      </w:divBdr>
                    </w:div>
                  </w:divsChild>
                </w:div>
                <w:div w:id="1358389195">
                  <w:marLeft w:val="0"/>
                  <w:marRight w:val="0"/>
                  <w:marTop w:val="0"/>
                  <w:marBottom w:val="0"/>
                  <w:divBdr>
                    <w:top w:val="none" w:sz="0" w:space="0" w:color="auto"/>
                    <w:left w:val="none" w:sz="0" w:space="0" w:color="auto"/>
                    <w:bottom w:val="none" w:sz="0" w:space="0" w:color="auto"/>
                    <w:right w:val="none" w:sz="0" w:space="0" w:color="auto"/>
                  </w:divBdr>
                  <w:divsChild>
                    <w:div w:id="1670252827">
                      <w:marLeft w:val="0"/>
                      <w:marRight w:val="0"/>
                      <w:marTop w:val="0"/>
                      <w:marBottom w:val="0"/>
                      <w:divBdr>
                        <w:top w:val="none" w:sz="0" w:space="0" w:color="auto"/>
                        <w:left w:val="none" w:sz="0" w:space="0" w:color="auto"/>
                        <w:bottom w:val="none" w:sz="0" w:space="0" w:color="auto"/>
                        <w:right w:val="none" w:sz="0" w:space="0" w:color="auto"/>
                      </w:divBdr>
                    </w:div>
                  </w:divsChild>
                </w:div>
                <w:div w:id="1504127468">
                  <w:marLeft w:val="0"/>
                  <w:marRight w:val="0"/>
                  <w:marTop w:val="0"/>
                  <w:marBottom w:val="0"/>
                  <w:divBdr>
                    <w:top w:val="none" w:sz="0" w:space="0" w:color="auto"/>
                    <w:left w:val="none" w:sz="0" w:space="0" w:color="auto"/>
                    <w:bottom w:val="none" w:sz="0" w:space="0" w:color="auto"/>
                    <w:right w:val="none" w:sz="0" w:space="0" w:color="auto"/>
                  </w:divBdr>
                  <w:divsChild>
                    <w:div w:id="1992438376">
                      <w:marLeft w:val="0"/>
                      <w:marRight w:val="0"/>
                      <w:marTop w:val="0"/>
                      <w:marBottom w:val="0"/>
                      <w:divBdr>
                        <w:top w:val="none" w:sz="0" w:space="0" w:color="auto"/>
                        <w:left w:val="none" w:sz="0" w:space="0" w:color="auto"/>
                        <w:bottom w:val="none" w:sz="0" w:space="0" w:color="auto"/>
                        <w:right w:val="none" w:sz="0" w:space="0" w:color="auto"/>
                      </w:divBdr>
                    </w:div>
                  </w:divsChild>
                </w:div>
                <w:div w:id="1509174821">
                  <w:marLeft w:val="0"/>
                  <w:marRight w:val="0"/>
                  <w:marTop w:val="0"/>
                  <w:marBottom w:val="0"/>
                  <w:divBdr>
                    <w:top w:val="none" w:sz="0" w:space="0" w:color="auto"/>
                    <w:left w:val="none" w:sz="0" w:space="0" w:color="auto"/>
                    <w:bottom w:val="none" w:sz="0" w:space="0" w:color="auto"/>
                    <w:right w:val="none" w:sz="0" w:space="0" w:color="auto"/>
                  </w:divBdr>
                  <w:divsChild>
                    <w:div w:id="218710023">
                      <w:marLeft w:val="0"/>
                      <w:marRight w:val="0"/>
                      <w:marTop w:val="0"/>
                      <w:marBottom w:val="0"/>
                      <w:divBdr>
                        <w:top w:val="none" w:sz="0" w:space="0" w:color="auto"/>
                        <w:left w:val="none" w:sz="0" w:space="0" w:color="auto"/>
                        <w:bottom w:val="none" w:sz="0" w:space="0" w:color="auto"/>
                        <w:right w:val="none" w:sz="0" w:space="0" w:color="auto"/>
                      </w:divBdr>
                    </w:div>
                  </w:divsChild>
                </w:div>
                <w:div w:id="1668709557">
                  <w:marLeft w:val="0"/>
                  <w:marRight w:val="0"/>
                  <w:marTop w:val="0"/>
                  <w:marBottom w:val="0"/>
                  <w:divBdr>
                    <w:top w:val="none" w:sz="0" w:space="0" w:color="auto"/>
                    <w:left w:val="none" w:sz="0" w:space="0" w:color="auto"/>
                    <w:bottom w:val="none" w:sz="0" w:space="0" w:color="auto"/>
                    <w:right w:val="none" w:sz="0" w:space="0" w:color="auto"/>
                  </w:divBdr>
                  <w:divsChild>
                    <w:div w:id="98182433">
                      <w:marLeft w:val="0"/>
                      <w:marRight w:val="0"/>
                      <w:marTop w:val="0"/>
                      <w:marBottom w:val="0"/>
                      <w:divBdr>
                        <w:top w:val="none" w:sz="0" w:space="0" w:color="auto"/>
                        <w:left w:val="none" w:sz="0" w:space="0" w:color="auto"/>
                        <w:bottom w:val="none" w:sz="0" w:space="0" w:color="auto"/>
                        <w:right w:val="none" w:sz="0" w:space="0" w:color="auto"/>
                      </w:divBdr>
                    </w:div>
                  </w:divsChild>
                </w:div>
                <w:div w:id="1690910654">
                  <w:marLeft w:val="0"/>
                  <w:marRight w:val="0"/>
                  <w:marTop w:val="0"/>
                  <w:marBottom w:val="0"/>
                  <w:divBdr>
                    <w:top w:val="none" w:sz="0" w:space="0" w:color="auto"/>
                    <w:left w:val="none" w:sz="0" w:space="0" w:color="auto"/>
                    <w:bottom w:val="none" w:sz="0" w:space="0" w:color="auto"/>
                    <w:right w:val="none" w:sz="0" w:space="0" w:color="auto"/>
                  </w:divBdr>
                  <w:divsChild>
                    <w:div w:id="310646261">
                      <w:marLeft w:val="0"/>
                      <w:marRight w:val="0"/>
                      <w:marTop w:val="0"/>
                      <w:marBottom w:val="0"/>
                      <w:divBdr>
                        <w:top w:val="none" w:sz="0" w:space="0" w:color="auto"/>
                        <w:left w:val="none" w:sz="0" w:space="0" w:color="auto"/>
                        <w:bottom w:val="none" w:sz="0" w:space="0" w:color="auto"/>
                        <w:right w:val="none" w:sz="0" w:space="0" w:color="auto"/>
                      </w:divBdr>
                    </w:div>
                  </w:divsChild>
                </w:div>
                <w:div w:id="1707438407">
                  <w:marLeft w:val="0"/>
                  <w:marRight w:val="0"/>
                  <w:marTop w:val="0"/>
                  <w:marBottom w:val="0"/>
                  <w:divBdr>
                    <w:top w:val="none" w:sz="0" w:space="0" w:color="auto"/>
                    <w:left w:val="none" w:sz="0" w:space="0" w:color="auto"/>
                    <w:bottom w:val="none" w:sz="0" w:space="0" w:color="auto"/>
                    <w:right w:val="none" w:sz="0" w:space="0" w:color="auto"/>
                  </w:divBdr>
                  <w:divsChild>
                    <w:div w:id="1485705577">
                      <w:marLeft w:val="0"/>
                      <w:marRight w:val="0"/>
                      <w:marTop w:val="0"/>
                      <w:marBottom w:val="0"/>
                      <w:divBdr>
                        <w:top w:val="none" w:sz="0" w:space="0" w:color="auto"/>
                        <w:left w:val="none" w:sz="0" w:space="0" w:color="auto"/>
                        <w:bottom w:val="none" w:sz="0" w:space="0" w:color="auto"/>
                        <w:right w:val="none" w:sz="0" w:space="0" w:color="auto"/>
                      </w:divBdr>
                    </w:div>
                  </w:divsChild>
                </w:div>
                <w:div w:id="1734740221">
                  <w:marLeft w:val="0"/>
                  <w:marRight w:val="0"/>
                  <w:marTop w:val="0"/>
                  <w:marBottom w:val="0"/>
                  <w:divBdr>
                    <w:top w:val="none" w:sz="0" w:space="0" w:color="auto"/>
                    <w:left w:val="none" w:sz="0" w:space="0" w:color="auto"/>
                    <w:bottom w:val="none" w:sz="0" w:space="0" w:color="auto"/>
                    <w:right w:val="none" w:sz="0" w:space="0" w:color="auto"/>
                  </w:divBdr>
                  <w:divsChild>
                    <w:div w:id="1271662281">
                      <w:marLeft w:val="0"/>
                      <w:marRight w:val="0"/>
                      <w:marTop w:val="0"/>
                      <w:marBottom w:val="0"/>
                      <w:divBdr>
                        <w:top w:val="none" w:sz="0" w:space="0" w:color="auto"/>
                        <w:left w:val="none" w:sz="0" w:space="0" w:color="auto"/>
                        <w:bottom w:val="none" w:sz="0" w:space="0" w:color="auto"/>
                        <w:right w:val="none" w:sz="0" w:space="0" w:color="auto"/>
                      </w:divBdr>
                    </w:div>
                  </w:divsChild>
                </w:div>
                <w:div w:id="1779446246">
                  <w:marLeft w:val="0"/>
                  <w:marRight w:val="0"/>
                  <w:marTop w:val="0"/>
                  <w:marBottom w:val="0"/>
                  <w:divBdr>
                    <w:top w:val="none" w:sz="0" w:space="0" w:color="auto"/>
                    <w:left w:val="none" w:sz="0" w:space="0" w:color="auto"/>
                    <w:bottom w:val="none" w:sz="0" w:space="0" w:color="auto"/>
                    <w:right w:val="none" w:sz="0" w:space="0" w:color="auto"/>
                  </w:divBdr>
                  <w:divsChild>
                    <w:div w:id="1145849817">
                      <w:marLeft w:val="0"/>
                      <w:marRight w:val="0"/>
                      <w:marTop w:val="0"/>
                      <w:marBottom w:val="0"/>
                      <w:divBdr>
                        <w:top w:val="none" w:sz="0" w:space="0" w:color="auto"/>
                        <w:left w:val="none" w:sz="0" w:space="0" w:color="auto"/>
                        <w:bottom w:val="none" w:sz="0" w:space="0" w:color="auto"/>
                        <w:right w:val="none" w:sz="0" w:space="0" w:color="auto"/>
                      </w:divBdr>
                    </w:div>
                  </w:divsChild>
                </w:div>
                <w:div w:id="1842038034">
                  <w:marLeft w:val="0"/>
                  <w:marRight w:val="0"/>
                  <w:marTop w:val="0"/>
                  <w:marBottom w:val="0"/>
                  <w:divBdr>
                    <w:top w:val="none" w:sz="0" w:space="0" w:color="auto"/>
                    <w:left w:val="none" w:sz="0" w:space="0" w:color="auto"/>
                    <w:bottom w:val="none" w:sz="0" w:space="0" w:color="auto"/>
                    <w:right w:val="none" w:sz="0" w:space="0" w:color="auto"/>
                  </w:divBdr>
                  <w:divsChild>
                    <w:div w:id="568806331">
                      <w:marLeft w:val="0"/>
                      <w:marRight w:val="0"/>
                      <w:marTop w:val="0"/>
                      <w:marBottom w:val="0"/>
                      <w:divBdr>
                        <w:top w:val="none" w:sz="0" w:space="0" w:color="auto"/>
                        <w:left w:val="none" w:sz="0" w:space="0" w:color="auto"/>
                        <w:bottom w:val="none" w:sz="0" w:space="0" w:color="auto"/>
                        <w:right w:val="none" w:sz="0" w:space="0" w:color="auto"/>
                      </w:divBdr>
                    </w:div>
                  </w:divsChild>
                </w:div>
                <w:div w:id="1844665831">
                  <w:marLeft w:val="0"/>
                  <w:marRight w:val="0"/>
                  <w:marTop w:val="0"/>
                  <w:marBottom w:val="0"/>
                  <w:divBdr>
                    <w:top w:val="none" w:sz="0" w:space="0" w:color="auto"/>
                    <w:left w:val="none" w:sz="0" w:space="0" w:color="auto"/>
                    <w:bottom w:val="none" w:sz="0" w:space="0" w:color="auto"/>
                    <w:right w:val="none" w:sz="0" w:space="0" w:color="auto"/>
                  </w:divBdr>
                  <w:divsChild>
                    <w:div w:id="1958440620">
                      <w:marLeft w:val="0"/>
                      <w:marRight w:val="0"/>
                      <w:marTop w:val="0"/>
                      <w:marBottom w:val="0"/>
                      <w:divBdr>
                        <w:top w:val="none" w:sz="0" w:space="0" w:color="auto"/>
                        <w:left w:val="none" w:sz="0" w:space="0" w:color="auto"/>
                        <w:bottom w:val="none" w:sz="0" w:space="0" w:color="auto"/>
                        <w:right w:val="none" w:sz="0" w:space="0" w:color="auto"/>
                      </w:divBdr>
                    </w:div>
                  </w:divsChild>
                </w:div>
                <w:div w:id="1858351282">
                  <w:marLeft w:val="0"/>
                  <w:marRight w:val="0"/>
                  <w:marTop w:val="0"/>
                  <w:marBottom w:val="0"/>
                  <w:divBdr>
                    <w:top w:val="none" w:sz="0" w:space="0" w:color="auto"/>
                    <w:left w:val="none" w:sz="0" w:space="0" w:color="auto"/>
                    <w:bottom w:val="none" w:sz="0" w:space="0" w:color="auto"/>
                    <w:right w:val="none" w:sz="0" w:space="0" w:color="auto"/>
                  </w:divBdr>
                  <w:divsChild>
                    <w:div w:id="2093121154">
                      <w:marLeft w:val="0"/>
                      <w:marRight w:val="0"/>
                      <w:marTop w:val="0"/>
                      <w:marBottom w:val="0"/>
                      <w:divBdr>
                        <w:top w:val="none" w:sz="0" w:space="0" w:color="auto"/>
                        <w:left w:val="none" w:sz="0" w:space="0" w:color="auto"/>
                        <w:bottom w:val="none" w:sz="0" w:space="0" w:color="auto"/>
                        <w:right w:val="none" w:sz="0" w:space="0" w:color="auto"/>
                      </w:divBdr>
                    </w:div>
                  </w:divsChild>
                </w:div>
                <w:div w:id="1871722146">
                  <w:marLeft w:val="0"/>
                  <w:marRight w:val="0"/>
                  <w:marTop w:val="0"/>
                  <w:marBottom w:val="0"/>
                  <w:divBdr>
                    <w:top w:val="none" w:sz="0" w:space="0" w:color="auto"/>
                    <w:left w:val="none" w:sz="0" w:space="0" w:color="auto"/>
                    <w:bottom w:val="none" w:sz="0" w:space="0" w:color="auto"/>
                    <w:right w:val="none" w:sz="0" w:space="0" w:color="auto"/>
                  </w:divBdr>
                  <w:divsChild>
                    <w:div w:id="1179932110">
                      <w:marLeft w:val="0"/>
                      <w:marRight w:val="0"/>
                      <w:marTop w:val="0"/>
                      <w:marBottom w:val="0"/>
                      <w:divBdr>
                        <w:top w:val="none" w:sz="0" w:space="0" w:color="auto"/>
                        <w:left w:val="none" w:sz="0" w:space="0" w:color="auto"/>
                        <w:bottom w:val="none" w:sz="0" w:space="0" w:color="auto"/>
                        <w:right w:val="none" w:sz="0" w:space="0" w:color="auto"/>
                      </w:divBdr>
                    </w:div>
                  </w:divsChild>
                </w:div>
                <w:div w:id="1874271518">
                  <w:marLeft w:val="0"/>
                  <w:marRight w:val="0"/>
                  <w:marTop w:val="0"/>
                  <w:marBottom w:val="0"/>
                  <w:divBdr>
                    <w:top w:val="none" w:sz="0" w:space="0" w:color="auto"/>
                    <w:left w:val="none" w:sz="0" w:space="0" w:color="auto"/>
                    <w:bottom w:val="none" w:sz="0" w:space="0" w:color="auto"/>
                    <w:right w:val="none" w:sz="0" w:space="0" w:color="auto"/>
                  </w:divBdr>
                  <w:divsChild>
                    <w:div w:id="1372920166">
                      <w:marLeft w:val="0"/>
                      <w:marRight w:val="0"/>
                      <w:marTop w:val="0"/>
                      <w:marBottom w:val="0"/>
                      <w:divBdr>
                        <w:top w:val="none" w:sz="0" w:space="0" w:color="auto"/>
                        <w:left w:val="none" w:sz="0" w:space="0" w:color="auto"/>
                        <w:bottom w:val="none" w:sz="0" w:space="0" w:color="auto"/>
                        <w:right w:val="none" w:sz="0" w:space="0" w:color="auto"/>
                      </w:divBdr>
                    </w:div>
                  </w:divsChild>
                </w:div>
                <w:div w:id="1908110445">
                  <w:marLeft w:val="0"/>
                  <w:marRight w:val="0"/>
                  <w:marTop w:val="0"/>
                  <w:marBottom w:val="0"/>
                  <w:divBdr>
                    <w:top w:val="none" w:sz="0" w:space="0" w:color="auto"/>
                    <w:left w:val="none" w:sz="0" w:space="0" w:color="auto"/>
                    <w:bottom w:val="none" w:sz="0" w:space="0" w:color="auto"/>
                    <w:right w:val="none" w:sz="0" w:space="0" w:color="auto"/>
                  </w:divBdr>
                  <w:divsChild>
                    <w:div w:id="758720534">
                      <w:marLeft w:val="0"/>
                      <w:marRight w:val="0"/>
                      <w:marTop w:val="0"/>
                      <w:marBottom w:val="0"/>
                      <w:divBdr>
                        <w:top w:val="none" w:sz="0" w:space="0" w:color="auto"/>
                        <w:left w:val="none" w:sz="0" w:space="0" w:color="auto"/>
                        <w:bottom w:val="none" w:sz="0" w:space="0" w:color="auto"/>
                        <w:right w:val="none" w:sz="0" w:space="0" w:color="auto"/>
                      </w:divBdr>
                    </w:div>
                  </w:divsChild>
                </w:div>
                <w:div w:id="1946690792">
                  <w:marLeft w:val="0"/>
                  <w:marRight w:val="0"/>
                  <w:marTop w:val="0"/>
                  <w:marBottom w:val="0"/>
                  <w:divBdr>
                    <w:top w:val="none" w:sz="0" w:space="0" w:color="auto"/>
                    <w:left w:val="none" w:sz="0" w:space="0" w:color="auto"/>
                    <w:bottom w:val="none" w:sz="0" w:space="0" w:color="auto"/>
                    <w:right w:val="none" w:sz="0" w:space="0" w:color="auto"/>
                  </w:divBdr>
                  <w:divsChild>
                    <w:div w:id="1733848188">
                      <w:marLeft w:val="0"/>
                      <w:marRight w:val="0"/>
                      <w:marTop w:val="0"/>
                      <w:marBottom w:val="0"/>
                      <w:divBdr>
                        <w:top w:val="none" w:sz="0" w:space="0" w:color="auto"/>
                        <w:left w:val="none" w:sz="0" w:space="0" w:color="auto"/>
                        <w:bottom w:val="none" w:sz="0" w:space="0" w:color="auto"/>
                        <w:right w:val="none" w:sz="0" w:space="0" w:color="auto"/>
                      </w:divBdr>
                    </w:div>
                  </w:divsChild>
                </w:div>
                <w:div w:id="2003968921">
                  <w:marLeft w:val="0"/>
                  <w:marRight w:val="0"/>
                  <w:marTop w:val="0"/>
                  <w:marBottom w:val="0"/>
                  <w:divBdr>
                    <w:top w:val="none" w:sz="0" w:space="0" w:color="auto"/>
                    <w:left w:val="none" w:sz="0" w:space="0" w:color="auto"/>
                    <w:bottom w:val="none" w:sz="0" w:space="0" w:color="auto"/>
                    <w:right w:val="none" w:sz="0" w:space="0" w:color="auto"/>
                  </w:divBdr>
                  <w:divsChild>
                    <w:div w:id="1450123833">
                      <w:marLeft w:val="0"/>
                      <w:marRight w:val="0"/>
                      <w:marTop w:val="0"/>
                      <w:marBottom w:val="0"/>
                      <w:divBdr>
                        <w:top w:val="none" w:sz="0" w:space="0" w:color="auto"/>
                        <w:left w:val="none" w:sz="0" w:space="0" w:color="auto"/>
                        <w:bottom w:val="none" w:sz="0" w:space="0" w:color="auto"/>
                        <w:right w:val="none" w:sz="0" w:space="0" w:color="auto"/>
                      </w:divBdr>
                    </w:div>
                  </w:divsChild>
                </w:div>
                <w:div w:id="2005431539">
                  <w:marLeft w:val="0"/>
                  <w:marRight w:val="0"/>
                  <w:marTop w:val="0"/>
                  <w:marBottom w:val="0"/>
                  <w:divBdr>
                    <w:top w:val="none" w:sz="0" w:space="0" w:color="auto"/>
                    <w:left w:val="none" w:sz="0" w:space="0" w:color="auto"/>
                    <w:bottom w:val="none" w:sz="0" w:space="0" w:color="auto"/>
                    <w:right w:val="none" w:sz="0" w:space="0" w:color="auto"/>
                  </w:divBdr>
                  <w:divsChild>
                    <w:div w:id="286594293">
                      <w:marLeft w:val="0"/>
                      <w:marRight w:val="0"/>
                      <w:marTop w:val="0"/>
                      <w:marBottom w:val="0"/>
                      <w:divBdr>
                        <w:top w:val="none" w:sz="0" w:space="0" w:color="auto"/>
                        <w:left w:val="none" w:sz="0" w:space="0" w:color="auto"/>
                        <w:bottom w:val="none" w:sz="0" w:space="0" w:color="auto"/>
                        <w:right w:val="none" w:sz="0" w:space="0" w:color="auto"/>
                      </w:divBdr>
                    </w:div>
                  </w:divsChild>
                </w:div>
                <w:div w:id="2028479406">
                  <w:marLeft w:val="0"/>
                  <w:marRight w:val="0"/>
                  <w:marTop w:val="0"/>
                  <w:marBottom w:val="0"/>
                  <w:divBdr>
                    <w:top w:val="none" w:sz="0" w:space="0" w:color="auto"/>
                    <w:left w:val="none" w:sz="0" w:space="0" w:color="auto"/>
                    <w:bottom w:val="none" w:sz="0" w:space="0" w:color="auto"/>
                    <w:right w:val="none" w:sz="0" w:space="0" w:color="auto"/>
                  </w:divBdr>
                  <w:divsChild>
                    <w:div w:id="12839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24088">
          <w:marLeft w:val="0"/>
          <w:marRight w:val="0"/>
          <w:marTop w:val="0"/>
          <w:marBottom w:val="0"/>
          <w:divBdr>
            <w:top w:val="none" w:sz="0" w:space="0" w:color="auto"/>
            <w:left w:val="none" w:sz="0" w:space="0" w:color="auto"/>
            <w:bottom w:val="none" w:sz="0" w:space="0" w:color="auto"/>
            <w:right w:val="none" w:sz="0" w:space="0" w:color="auto"/>
          </w:divBdr>
        </w:div>
      </w:divsChild>
    </w:div>
    <w:div w:id="1649017867">
      <w:bodyDiv w:val="1"/>
      <w:marLeft w:val="0"/>
      <w:marRight w:val="0"/>
      <w:marTop w:val="0"/>
      <w:marBottom w:val="0"/>
      <w:divBdr>
        <w:top w:val="none" w:sz="0" w:space="0" w:color="auto"/>
        <w:left w:val="none" w:sz="0" w:space="0" w:color="auto"/>
        <w:bottom w:val="none" w:sz="0" w:space="0" w:color="auto"/>
        <w:right w:val="none" w:sz="0" w:space="0" w:color="auto"/>
      </w:divBdr>
    </w:div>
    <w:div w:id="1875001660">
      <w:bodyDiv w:val="1"/>
      <w:marLeft w:val="0"/>
      <w:marRight w:val="0"/>
      <w:marTop w:val="0"/>
      <w:marBottom w:val="0"/>
      <w:divBdr>
        <w:top w:val="none" w:sz="0" w:space="0" w:color="auto"/>
        <w:left w:val="none" w:sz="0" w:space="0" w:color="auto"/>
        <w:bottom w:val="none" w:sz="0" w:space="0" w:color="auto"/>
        <w:right w:val="none" w:sz="0" w:space="0" w:color="auto"/>
      </w:divBdr>
    </w:div>
    <w:div w:id="2042392577">
      <w:bodyDiv w:val="1"/>
      <w:marLeft w:val="0"/>
      <w:marRight w:val="0"/>
      <w:marTop w:val="0"/>
      <w:marBottom w:val="0"/>
      <w:divBdr>
        <w:top w:val="none" w:sz="0" w:space="0" w:color="auto"/>
        <w:left w:val="none" w:sz="0" w:space="0" w:color="auto"/>
        <w:bottom w:val="none" w:sz="0" w:space="0" w:color="auto"/>
        <w:right w:val="none" w:sz="0" w:space="0" w:color="auto"/>
      </w:divBdr>
    </w:div>
    <w:div w:id="2065834915">
      <w:bodyDiv w:val="1"/>
      <w:marLeft w:val="0"/>
      <w:marRight w:val="0"/>
      <w:marTop w:val="0"/>
      <w:marBottom w:val="0"/>
      <w:divBdr>
        <w:top w:val="none" w:sz="0" w:space="0" w:color="auto"/>
        <w:left w:val="none" w:sz="0" w:space="0" w:color="auto"/>
        <w:bottom w:val="none" w:sz="0" w:space="0" w:color="auto"/>
        <w:right w:val="none" w:sz="0" w:space="0" w:color="auto"/>
      </w:divBdr>
    </w:div>
    <w:div w:id="210799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3e98f8438872453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1d22641f880d429a" Type="http://schemas.microsoft.com/office/2019/09/relationships/intelligence" Target="intelligence.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jPWyxX" TargetMode="External"/><Relationship Id="rId3" Type="http://schemas.openxmlformats.org/officeDocument/2006/relationships/hyperlink" Target="https://eur-lex.europa.eu/legal-content/LV/TXT/PDF/?uri=CELEX:52009DC0591&amp;qid=1633600202843&amp;from=LV" TargetMode="External"/><Relationship Id="rId7" Type="http://schemas.openxmlformats.org/officeDocument/2006/relationships/hyperlink" Target="https://ec.europa.eu/info/food-farming-fisheries/key-policies/common-agricultural-policy/market-measures/agri-food-supply-chain/unfair-trading-practices_en" TargetMode="External"/><Relationship Id="rId12" Type="http://schemas.openxmlformats.org/officeDocument/2006/relationships/hyperlink" Target="https://ec.europa.eu/info/food-farming-fisheries/key-policies/common-agricultural-policy/market-measures/agri-food-supply-chain/unfair-trading-practices_en" TargetMode="External"/><Relationship Id="rId2" Type="http://schemas.openxmlformats.org/officeDocument/2006/relationships/hyperlink" Target="https://data.consilium.europa.eu/doc/document/ST-15508-2016-INIT/lv/pdf" TargetMode="External"/><Relationship Id="rId1" Type="http://schemas.openxmlformats.org/officeDocument/2006/relationships/hyperlink" Target="https://www.europarl.europa.eu/doceo/document/TA-8-2016-0250_LV.html" TargetMode="External"/><Relationship Id="rId6" Type="http://schemas.openxmlformats.org/officeDocument/2006/relationships/hyperlink" Target="https://publications.jrc.ec.europa.eu/repository/handle/JRC112654" TargetMode="External"/><Relationship Id="rId11" Type="http://schemas.openxmlformats.org/officeDocument/2006/relationships/hyperlink" Target="https://ec.europa.eu/info/food-farming-fisheries/key-policies/common-agricultural-policy/market-measures/agri-food-supply-chain/unfair-trading-practices_en" TargetMode="External"/><Relationship Id="rId5" Type="http://schemas.openxmlformats.org/officeDocument/2006/relationships/hyperlink" Target="https://eur-lex.europa.eu/legal-content/LV/TXT/PDF/?uri=CELEX:52016DC0032" TargetMode="External"/><Relationship Id="rId10" Type="http://schemas.openxmlformats.org/officeDocument/2006/relationships/hyperlink" Target="https://eur-lex.europa.eu/legal-content/LV/TXT/?uri=OJ:L:2013:347:TOC&amp;toc=OJ:L:2019:184:FULL" TargetMode="External"/><Relationship Id="rId4" Type="http://schemas.openxmlformats.org/officeDocument/2006/relationships/hyperlink" Target="https://eur-lex.europa.eu/legal-content/LV/TXT/PDF/?uri=CELEX:52014DC0472" TargetMode="External"/><Relationship Id="rId9" Type="http://schemas.openxmlformats.org/officeDocument/2006/relationships/hyperlink" Target="https://ec.europa.eu/commission/presscorner/detail/en/IP_21_39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C6135-0E7B-4282-8B72-8F30D33F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3795</Words>
  <Characters>25769</Characters>
  <Application>Microsoft Office Word</Application>
  <DocSecurity>0</DocSecurity>
  <Lines>460</Lines>
  <Paragraphs>197</Paragraphs>
  <ScaleCrop>false</ScaleCrop>
  <Manager/>
  <Company/>
  <LinksUpToDate>false</LinksUpToDate>
  <CharactersWithSpaces>29367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2021-10-14T09:18:00Z</dcterms:created>
  <dcterms:modified xsi:type="dcterms:W3CDTF">2021-10-25T07:27:00Z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CP-008</vt:lpwstr>
  </property>
</Properties>
</file>