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F0ACF92-9BFE-4C60-9092-6785CF05C43D" style="width:455.25pt;height:296.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120" w:line="240" w:lineRule="auto"/>
        <w:jc w:val="both"/>
        <w:rPr>
          <w:rFonts w:ascii="Times New Roman" w:hAnsi="Times New Roman"/>
          <w:b/>
          <w:noProof/>
          <w:sz w:val="24"/>
          <w:szCs w:val="24"/>
        </w:rPr>
      </w:pPr>
      <w:bookmarkStart w:id="1" w:name="_GoBack"/>
      <w:bookmarkEnd w:id="1"/>
      <w:r>
        <w:rPr>
          <w:rFonts w:ascii="Times New Roman" w:hAnsi="Times New Roman"/>
          <w:b/>
          <w:noProof/>
          <w:sz w:val="24"/>
          <w:szCs w:val="24"/>
        </w:rPr>
        <w:lastRenderedPageBreak/>
        <w:t>1.</w:t>
      </w:r>
      <w:r>
        <w:rPr>
          <w:rFonts w:ascii="Times New Roman" w:hAnsi="Times New Roman"/>
          <w:b/>
          <w:noProof/>
          <w:sz w:val="24"/>
          <w:szCs w:val="24"/>
        </w:rPr>
        <w:tab/>
        <w:t xml:space="preserve">IEVADS </w:t>
      </w:r>
    </w:p>
    <w:p>
      <w:pPr>
        <w:spacing w:after="120" w:line="240" w:lineRule="auto"/>
        <w:jc w:val="both"/>
        <w:rPr>
          <w:rFonts w:ascii="Times New Roman" w:hAnsi="Times New Roman"/>
          <w:noProof/>
          <w:sz w:val="24"/>
          <w:szCs w:val="24"/>
        </w:rPr>
      </w:pPr>
      <w:r>
        <w:rPr>
          <w:rFonts w:ascii="Times New Roman" w:hAnsi="Times New Roman"/>
          <w:noProof/>
          <w:sz w:val="24"/>
          <w:szCs w:val="24"/>
        </w:rPr>
        <w:t>Sadarbības un pārbaudes mehānisms (SPM) tika izveidots 2007. gadā, Rumānijai iestājoties ES, kā pārejas pasākums ar mērķi sekmēt Rumānijas pastāvīgo darbu pie tiesu sistēmas reformēšanas un korupcijas aktīvākas apkarošanas.</w:t>
      </w:r>
      <w:r>
        <w:rPr>
          <w:rStyle w:val="FootnoteReference"/>
          <w:rFonts w:ascii="Times New Roman" w:hAnsi="Times New Roman"/>
          <w:noProof/>
          <w:sz w:val="24"/>
          <w:szCs w:val="24"/>
        </w:rPr>
        <w:footnoteReference w:id="2"/>
      </w:r>
      <w:r>
        <w:rPr>
          <w:rFonts w:ascii="Times New Roman" w:hAnsi="Times New Roman"/>
          <w:noProof/>
          <w:sz w:val="24"/>
          <w:szCs w:val="24"/>
        </w:rPr>
        <w:t xml:space="preserve"> SPM pamats bija Rumānijas valsts un ES kopīga apņemšanās. Atbilstīgi lēmumam par mehānisma izveidi un, kā uzsvērusi Padome un apstiprinājusi Eiropas Savienības Tiesa (EST), SPM darbība tiks izbeigta, kolīdz būs apmierinoši izpildīti visi Rumānijai piemērojamie kritēriji.</w:t>
      </w:r>
      <w:r>
        <w:rPr>
          <w:rStyle w:val="FootnoteReference"/>
          <w:rFonts w:ascii="Times New Roman" w:hAnsi="Times New Roman"/>
          <w:noProof/>
          <w:sz w:val="24"/>
          <w:szCs w:val="24"/>
        </w:rPr>
        <w:footnoteReference w:id="3"/>
      </w:r>
      <w:r>
        <w:rPr>
          <w:rStyle w:val="FootnoteReference"/>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Kopš 2007. gada norit darbs saskaņā ar SPM, lai sekmētu un īstenotu reformu procesu, balstoties uz šiem kritērijiem. 2017. gada janvārī Komisija veica visaptverošu novērtējumu par panākto progresu pēdējos desmit gados kopš mehānisma izveides.</w:t>
      </w:r>
      <w:r>
        <w:rPr>
          <w:rStyle w:val="FootnoteReference"/>
          <w:rFonts w:ascii="Times New Roman" w:hAnsi="Times New Roman"/>
          <w:noProof/>
          <w:sz w:val="24"/>
          <w:szCs w:val="24"/>
        </w:rPr>
        <w:footnoteReference w:id="4"/>
      </w:r>
      <w:r>
        <w:rPr>
          <w:rFonts w:ascii="Times New Roman" w:hAnsi="Times New Roman"/>
          <w:noProof/>
          <w:sz w:val="24"/>
          <w:szCs w:val="24"/>
        </w:rPr>
        <w:t xml:space="preserve"> Šis novērtējums sniedza skaidrāku priekšstatu par panākto progresu, un tā rezultātā Komisija varēja izklāstīt divpadsmit konkrētus ieteikumus, kuru īstenošana būtu pietiekama SPM procesa izbeigšanai. Tas būtu atkarīgs no neatgriezeniskas ieteikumu izpildes, kā arī no vispārīgāka nosacījuma, ka nenotiek nepārprotama novirzīšanās no progresa ceļa. </w:t>
      </w:r>
    </w:p>
    <w:p>
      <w:pPr>
        <w:spacing w:after="120" w:line="240" w:lineRule="auto"/>
        <w:jc w:val="both"/>
        <w:rPr>
          <w:rFonts w:ascii="Times New Roman" w:hAnsi="Times New Roman"/>
          <w:noProof/>
          <w:sz w:val="24"/>
          <w:szCs w:val="24"/>
        </w:rPr>
      </w:pPr>
      <w:r>
        <w:rPr>
          <w:rFonts w:ascii="Times New Roman" w:hAnsi="Times New Roman"/>
          <w:noProof/>
          <w:sz w:val="24"/>
          <w:szCs w:val="24"/>
        </w:rPr>
        <w:t>Kopš tā laika Komisija ir veikusi trīs novērtējumus par progresu ieteikumu īstenošanā. 2017. gada novembrī</w:t>
      </w:r>
      <w:r>
        <w:rPr>
          <w:rStyle w:val="FootnoteReference"/>
          <w:rFonts w:ascii="Times New Roman" w:hAnsi="Times New Roman"/>
          <w:noProof/>
          <w:sz w:val="24"/>
          <w:szCs w:val="24"/>
        </w:rPr>
        <w:footnoteReference w:id="5"/>
      </w:r>
      <w:r>
        <w:rPr>
          <w:rFonts w:ascii="Times New Roman" w:hAnsi="Times New Roman"/>
          <w:noProof/>
          <w:sz w:val="24"/>
          <w:szCs w:val="24"/>
        </w:rPr>
        <w:t xml:space="preserve"> Komisija atzīmēja, ka attiecībā uz vairākiem ieteikumiem ir panākts progress, taču konstatēja arī to, ka bija samazinājies reformu temps, brīdinot par risku, ka no jauna varētu tikt atvērti jautājumi, kuri 2017. gada janvāra ziņojumā tika uzskatīti par slēgtiem.</w:t>
      </w:r>
      <w:r>
        <w:rPr>
          <w:rStyle w:val="FootnoteReference"/>
          <w:rFonts w:ascii="Times New Roman" w:hAnsi="Times New Roman"/>
          <w:noProof/>
          <w:sz w:val="24"/>
          <w:szCs w:val="24"/>
        </w:rPr>
        <w:footnoteReference w:id="6"/>
      </w:r>
      <w:r>
        <w:rPr>
          <w:rFonts w:ascii="Times New Roman" w:hAnsi="Times New Roman"/>
          <w:noProof/>
          <w:sz w:val="24"/>
          <w:szCs w:val="24"/>
        </w:rPr>
        <w:t xml:space="preserve"> 2018. gada ziņojumā tika secināts, ka notikumi ir pavērsuši progresu pretējā virzienā vai likuši apšaubīt tā neatgriezeniskumu.</w:t>
      </w:r>
      <w:r>
        <w:rPr>
          <w:rStyle w:val="FootnoteReference"/>
          <w:rFonts w:ascii="Times New Roman" w:hAnsi="Times New Roman"/>
          <w:noProof/>
          <w:sz w:val="24"/>
          <w:szCs w:val="24"/>
          <w:lang w:eastAsia="en-GB"/>
        </w:rPr>
        <w:footnoteReference w:id="7"/>
      </w:r>
      <w:r>
        <w:rPr>
          <w:rFonts w:ascii="Times New Roman" w:hAnsi="Times New Roman"/>
          <w:noProof/>
          <w:sz w:val="24"/>
          <w:szCs w:val="24"/>
        </w:rPr>
        <w:t xml:space="preserve"> Gan Eiropas Parlaments, gan Padome piekrita šim viedoklim.</w:t>
      </w:r>
      <w:r>
        <w:rPr>
          <w:rStyle w:val="FootnoteReference"/>
          <w:rFonts w:ascii="Times New Roman" w:hAnsi="Times New Roman"/>
          <w:noProof/>
          <w:sz w:val="24"/>
          <w:szCs w:val="24"/>
          <w:lang w:eastAsia="en-GB"/>
        </w:rPr>
        <w:footnoteReference w:id="8"/>
      </w:r>
      <w:r>
        <w:rPr>
          <w:rFonts w:ascii="Times New Roman" w:hAnsi="Times New Roman"/>
          <w:noProof/>
          <w:sz w:val="24"/>
          <w:szCs w:val="24"/>
          <w:vertAlign w:val="superscript"/>
        </w:rPr>
        <w:t>,</w:t>
      </w:r>
      <w:r>
        <w:rPr>
          <w:rStyle w:val="FootnoteReference"/>
          <w:rFonts w:ascii="Times New Roman" w:hAnsi="Times New Roman"/>
          <w:noProof/>
          <w:sz w:val="24"/>
          <w:szCs w:val="24"/>
          <w:lang w:eastAsia="en-GB"/>
        </w:rPr>
        <w:footnoteReference w:id="9"/>
      </w:r>
      <w:r>
        <w:rPr>
          <w:rFonts w:ascii="Times New Roman" w:hAnsi="Times New Roman"/>
          <w:noProof/>
          <w:sz w:val="24"/>
          <w:szCs w:val="24"/>
        </w:rPr>
        <w:t xml:space="preserve"> 2019. gada oktobra ziņojumā tika atzinīgi vērtēts Rumānijas valdības nodoms koriģēt savu pieeju, taču tika pausta nožēla, ka Rumānija nav veikusi pasākumus saistībā ar visiem ieteikumiem.</w:t>
      </w:r>
      <w:r>
        <w:rPr>
          <w:rStyle w:val="FootnoteReference"/>
          <w:rFonts w:ascii="Times New Roman" w:hAnsi="Times New Roman"/>
          <w:noProof/>
          <w:sz w:val="24"/>
          <w:szCs w:val="24"/>
          <w:lang w:eastAsia="en-GB"/>
        </w:rPr>
        <w:footnoteReference w:id="10"/>
      </w:r>
      <w:r>
        <w:rPr>
          <w:rFonts w:ascii="Times New Roman" w:hAnsi="Times New Roman"/>
          <w:noProof/>
          <w:sz w:val="24"/>
          <w:szCs w:val="24"/>
        </w:rPr>
        <w:t xml:space="preserve"> Komisija aicināja Rumānijas kompetentās iestādes savu apņemšanos atsākt reformas realizēt konkrētos pasākumus, kuru mērķis būtu īstenot visus ieteikumus.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2020. gadā valdība atkārtoti apstiprināja savu apņemšanos sasniegt SPM mērķus, kaut arī vispārējais progress bija neliels. Cita starpā to varētu skaidrot ar situāciju, kas radusies saistībā ar Covid-19 pandēmiju, un to, ka 2020. gads Rumānijā bija vēlēšanu gads. Ņemot vērā šos apstākļus, Komisija nepublicēja īpašu SPM ziņojumu, taču turpināja cieši uzraudzīt veiktos pasākumus, kā arī sadarbojās un uzturēja dialogu ar Rumānijas iestādēm un ieinteresētajām personām,</w:t>
      </w:r>
      <w:r>
        <w:rPr>
          <w:noProof/>
        </w:rPr>
        <w:t xml:space="preserve"> </w:t>
      </w:r>
      <w:r>
        <w:rPr>
          <w:rFonts w:ascii="Times New Roman" w:hAnsi="Times New Roman"/>
          <w:noProof/>
          <w:sz w:val="24"/>
          <w:szCs w:val="24"/>
        </w:rPr>
        <w:t xml:space="preserve">tostarp izmantojot tiesiskuma mehānismu.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2020. gada septembrī Komisija pieņēma savu paziņojumu “2020. gada ziņojums par tiesiskumu.</w:t>
      </w:r>
      <w:r>
        <w:rPr>
          <w:rFonts w:ascii="Times New Roman" w:hAnsi="Times New Roman"/>
          <w:i/>
          <w:noProof/>
          <w:sz w:val="24"/>
          <w:szCs w:val="24"/>
        </w:rPr>
        <w:t xml:space="preserve"> </w:t>
      </w:r>
      <w:r>
        <w:rPr>
          <w:rFonts w:ascii="Times New Roman" w:hAnsi="Times New Roman"/>
          <w:noProof/>
          <w:sz w:val="24"/>
          <w:szCs w:val="24"/>
        </w:rPr>
        <w:t>Tiesiskuma situācija Eiropas Savienībā”</w:t>
      </w:r>
      <w:r>
        <w:rPr>
          <w:rStyle w:val="FootnoteReference"/>
          <w:rFonts w:ascii="Times New Roman" w:hAnsi="Times New Roman"/>
          <w:i/>
          <w:noProof/>
          <w:sz w:val="24"/>
          <w:szCs w:val="24"/>
        </w:rPr>
        <w:footnoteReference w:id="11"/>
      </w:r>
      <w:r>
        <w:rPr>
          <w:rFonts w:ascii="Times New Roman" w:hAnsi="Times New Roman"/>
          <w:noProof/>
          <w:sz w:val="24"/>
          <w:szCs w:val="24"/>
        </w:rPr>
        <w:t xml:space="preserve">, aptverot ar tiesiskumu saistītos </w:t>
      </w:r>
      <w:r>
        <w:rPr>
          <w:rFonts w:ascii="Times New Roman" w:hAnsi="Times New Roman"/>
          <w:noProof/>
          <w:sz w:val="24"/>
          <w:szCs w:val="24"/>
        </w:rPr>
        <w:lastRenderedPageBreak/>
        <w:t>jaunākos notikumus visās dalībvalstīs tādās jomās kā tiesu sistēmas reforma, pretkorupcijas regulējums, plašsaziņas līdzekļu plurālisms un citas institucionālās līdzsvara un atsvara sistēmas. Rumānijas iestāžu aktīva iesaistīšanās šajā jaunajā tiesiskuma mehānismā ir svarīga zīme, kas liecina par apņemšanos stiprināt tiesiskumu un tādējādi arī risināt problēmas, uz kurām attiecas SPM. Īpašajā valstu sadaļā attiecībā uz Rumāniju bija iekļauta jaunākā informācija par notikumu attīstību tiesu sistēmas reformas jomā un saistībā ar cīņu pret korupciju kopš 2019. gada SPM ziņojuma,</w:t>
      </w:r>
      <w:r>
        <w:rPr>
          <w:rStyle w:val="FootnoteReference"/>
          <w:rFonts w:ascii="Times New Roman" w:hAnsi="Times New Roman"/>
          <w:noProof/>
          <w:sz w:val="24"/>
          <w:szCs w:val="24"/>
        </w:rPr>
        <w:footnoteReference w:id="12"/>
      </w:r>
      <w:r>
        <w:rPr>
          <w:rFonts w:ascii="Times New Roman" w:hAnsi="Times New Roman"/>
          <w:noProof/>
          <w:sz w:val="24"/>
          <w:szCs w:val="24"/>
        </w:rPr>
        <w:t xml:space="preserve"> kā arī norādīts uz problēmām, kas būtiski ietekmē dalībvalsts reformu spēju un to ilgtspēju, piemēram, tiesību aktu un likumdošanas procesa kvalitāti, kā arī plašsaziņas līdzekļu vidi.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Jaunās valdības, kura darbu sāka 2020. gada decembra beigās, darba programmā ir iekļauti tādi jautājumi kā tiesiskums kopumā, tiesu iestāžu neatkarība, cīņas pret korupciju atjaunošana un “pēdējos gados vērojamās stagnācijas un regresa novēršana”.</w:t>
      </w:r>
      <w:r>
        <w:rPr>
          <w:rFonts w:ascii="Times New Roman" w:hAnsi="Times New Roman"/>
          <w:noProof/>
        </w:rPr>
        <w:t xml:space="preserve"> </w:t>
      </w:r>
      <w:r>
        <w:rPr>
          <w:rFonts w:ascii="Times New Roman" w:hAnsi="Times New Roman"/>
          <w:noProof/>
          <w:sz w:val="24"/>
          <w:szCs w:val="24"/>
        </w:rPr>
        <w:t>Darba programmā ir pausts valdības nodoms “turpināt pasākumus, lai pabeigtu SPM, balstoties uz reālu progresu saistībā ar Rumānijas tiesu sistēmas neatkarību un efektivitāti.”</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2021. gada janvārī tā pieņēma memorandu, paužot politisko apņemšanos risināt visus neīstenotos SPM ieteikumus nolūkā pabeigt šo mehānismu.</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Memorandā izklāstītie plāni ietver likumprojektu, ar ko likvidē Tiesu iestādēs pastrādātu noziedzīgu nodarījumu izmeklēšanas nodaļu (</w:t>
      </w:r>
      <w:r>
        <w:rPr>
          <w:rFonts w:ascii="Times New Roman" w:hAnsi="Times New Roman"/>
          <w:i/>
          <w:iCs/>
          <w:noProof/>
          <w:sz w:val="24"/>
          <w:szCs w:val="24"/>
        </w:rPr>
        <w:t>SIIJ</w:t>
      </w:r>
      <w:r>
        <w:rPr>
          <w:rFonts w:ascii="Times New Roman" w:hAnsi="Times New Roman"/>
          <w:noProof/>
          <w:sz w:val="24"/>
          <w:szCs w:val="24"/>
        </w:rPr>
        <w:t xml:space="preserve">) un groza tiesu likumus, — abas šīs darbības ir tiešā veidā saistītas ar SPM ieteikumiem.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EST 2021. gada 18. maija spriedums par vairākiem prejudiciālajiem nolēmumiem ir svarīgs pavērsiens, kas precizēja SPM būtību un Rumānijas pienākumus, kas no tā izriet. Attiecībā uz 2006. gada lēmumu par SPM Tiesa paskaidroja, ka tas Rumānijai uzliek saistības kopumā kopš tās pievienošanās ES un uzliek par pienākumu tai veikt pasākumus, lai īstenotu lēmuma pielikumā noteiktos kritērijus, kas arī ir saistoši.</w:t>
      </w:r>
      <w:r>
        <w:rPr>
          <w:rStyle w:val="FootnoteReference"/>
          <w:rFonts w:ascii="Times New Roman" w:hAnsi="Times New Roman"/>
          <w:noProof/>
          <w:sz w:val="24"/>
          <w:szCs w:val="24"/>
        </w:rPr>
        <w:footnoteReference w:id="15"/>
      </w:r>
      <w:r>
        <w:rPr>
          <w:rStyle w:val="FootnoteReference"/>
          <w:rFonts w:ascii="Times New Roman" w:hAnsi="Times New Roman"/>
          <w:noProof/>
          <w:sz w:val="24"/>
          <w:szCs w:val="24"/>
        </w:rPr>
        <w:t xml:space="preserve">  </w:t>
      </w:r>
      <w:r>
        <w:rPr>
          <w:rFonts w:ascii="Times New Roman" w:hAnsi="Times New Roman"/>
          <w:noProof/>
          <w:sz w:val="24"/>
          <w:szCs w:val="24"/>
        </w:rPr>
        <w:t>Jo īpaši, minēto kritēriju, kas noteikti, ņemot vērā Komisijas konstatētās nepilnības pirms Rumānijas pievienošanās, nolūks ir nodrošināt, ka dalībvalsts atbilst prasībām par tiesiskumu. Tāpēc Rumānijai ir pienākums veikt atbilstošus pasākumus, lai sasniegtu šos mērķus, un atturēties no jebkādu tādu pasākumu īstenošanas, kas varētu traucēt to sasniegšanai.</w:t>
      </w:r>
      <w:r>
        <w:rPr>
          <w:rStyle w:val="FootnoteReference"/>
          <w:rFonts w:ascii="Times New Roman" w:hAnsi="Times New Roman"/>
          <w:noProof/>
          <w:sz w:val="24"/>
          <w:szCs w:val="24"/>
        </w:rPr>
        <w:footnoteReference w:id="16"/>
      </w:r>
      <w:r>
        <w:rPr>
          <w:rFonts w:ascii="Times New Roman" w:hAnsi="Times New Roman"/>
          <w:i/>
          <w:noProof/>
          <w:sz w:val="24"/>
          <w:szCs w:val="24"/>
        </w:rPr>
        <w:t xml:space="preserve"> </w:t>
      </w:r>
      <w:r>
        <w:rPr>
          <w:rFonts w:ascii="Times New Roman" w:hAnsi="Times New Roman"/>
          <w:noProof/>
          <w:sz w:val="24"/>
          <w:szCs w:val="24"/>
        </w:rPr>
        <w:t>Spriedumā arī precizēts, ka prasības Rumānijai tiek formulētas Komisijas ziņojumos par SPM un ka “ieteikumi” tiek pausti nolūkā sasniegt minētos mērķus. Saskaņā ar lojālas sadarbības principu Rumānijai ir pienācīgi jāņem vērā šīs prasības un ieteikumi, kā arī jāatturas pieņemt vai saglabāt tādus pasākumus, kas varētu traucēt minētajās prasībās un ieteikumos paredzēto rezultātu panākšanu.</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Šajā ziņojumā ir sniegts pārskats par progresu, kas saistībā ar SPM panākts kopš 2019. gada novembra. Kaut arī dažu ieteikumu formulējums bija saistīts ar konkrēto situāciju to pieņemšanas brīdī, to nodoms ir skaidrs, un būtu jāīsteno visi atlikušie ieteikumi, savukārt jau īstenotie ieteikumi joprojām jāņem vērā, lai nenotiktu regress. Komisija mudina Rumāniju, tās valdību un parlamentu izpildīt apņemšanās, kas paustas saistībā ar SPM, un aktīvi strādāt pie visu atlikušo SPM ieteikumu īstenošanas. Tas ļautu pabeigt SPM, un tiesiskuma jautājumus Rumānijā turpinātu risināt saskaņā ar tiesiskuma mehānismu, kas ir piemērojams visām dalībvalstīm. </w:t>
      </w:r>
    </w:p>
    <w:p>
      <w:pPr>
        <w:tabs>
          <w:tab w:val="left" w:pos="2940"/>
        </w:tabs>
        <w:autoSpaceDE w:val="0"/>
        <w:autoSpaceDN w:val="0"/>
        <w:adjustRightInd w:val="0"/>
        <w:spacing w:after="120" w:line="240" w:lineRule="auto"/>
        <w:jc w:val="both"/>
        <w:rPr>
          <w:rFonts w:ascii="Times New Roman" w:hAnsi="Times New Roman"/>
          <w:noProof/>
          <w:sz w:val="24"/>
          <w:szCs w:val="24"/>
          <w:vertAlign w:val="superscript"/>
        </w:rPr>
      </w:pPr>
      <w:r>
        <w:rPr>
          <w:rFonts w:ascii="Times New Roman" w:hAnsi="Times New Roman"/>
          <w:noProof/>
          <w:sz w:val="24"/>
          <w:szCs w:val="24"/>
        </w:rPr>
        <w:t>Līdzīgi kā iepriekšējos gados šis ziņojums tika izstrādāts pēc Komisijas rūpīgi veikta analīzes procesa, balstoties uz ciešu sadarbību ar Rumānijas iestādēm, pilsonisko sabiedrību un citām ieinteresētajām personām.</w:t>
      </w:r>
      <w:r>
        <w:rPr>
          <w:rStyle w:val="FootnoteReference"/>
          <w:rFonts w:ascii="Times New Roman" w:hAnsi="Times New Roman"/>
          <w:noProof/>
          <w:sz w:val="24"/>
          <w:szCs w:val="24"/>
        </w:rPr>
        <w:footnoteReference w:id="18"/>
      </w:r>
    </w:p>
    <w:p>
      <w:pPr>
        <w:tabs>
          <w:tab w:val="left" w:pos="2940"/>
        </w:tabs>
        <w:autoSpaceDE w:val="0"/>
        <w:autoSpaceDN w:val="0"/>
        <w:adjustRightInd w:val="0"/>
        <w:spacing w:after="120" w:line="240" w:lineRule="auto"/>
        <w:jc w:val="both"/>
        <w:rPr>
          <w:rFonts w:ascii="Times New Roman" w:hAnsi="Times New Roman"/>
          <w:noProof/>
          <w:sz w:val="24"/>
          <w:szCs w:val="24"/>
          <w:lang w:eastAsia="en-GB"/>
        </w:rPr>
      </w:pPr>
    </w:p>
    <w:p>
      <w:pPr>
        <w:keepNext/>
        <w:spacing w:after="120" w:line="240" w:lineRule="auto"/>
        <w:ind w:left="567" w:hanging="567"/>
        <w:jc w:val="both"/>
        <w:rPr>
          <w:rFonts w:ascii="Times New Roman" w:hAnsi="Times New Roman"/>
          <w:b/>
          <w:noProof/>
          <w:sz w:val="24"/>
          <w:szCs w:val="24"/>
        </w:rPr>
      </w:pPr>
      <w:r>
        <w:rPr>
          <w:rFonts w:ascii="Times New Roman" w:hAnsi="Times New Roman"/>
          <w:b/>
          <w:noProof/>
          <w:sz w:val="24"/>
          <w:szCs w:val="24"/>
        </w:rPr>
        <w:t>2.</w:t>
      </w:r>
      <w:r>
        <w:rPr>
          <w:rFonts w:ascii="Times New Roman" w:hAnsi="Times New Roman"/>
          <w:b/>
          <w:noProof/>
          <w:sz w:val="24"/>
          <w:szCs w:val="24"/>
        </w:rPr>
        <w:tab/>
        <w:t xml:space="preserve">IETEIKUMU IZPILDES PROGRESA NOVĒRTĒJUMS </w:t>
      </w:r>
    </w:p>
    <w:p>
      <w:pPr>
        <w:keepNext/>
        <w:spacing w:after="120" w:line="240" w:lineRule="auto"/>
        <w:jc w:val="both"/>
        <w:rPr>
          <w:rFonts w:ascii="Times New Roman" w:hAnsi="Times New Roman"/>
          <w:noProof/>
          <w:sz w:val="24"/>
          <w:szCs w:val="24"/>
        </w:rPr>
      </w:pPr>
      <w:r>
        <w:rPr>
          <w:rFonts w:ascii="Times New Roman" w:hAnsi="Times New Roman"/>
          <w:noProof/>
          <w:sz w:val="24"/>
          <w:szCs w:val="24"/>
        </w:rPr>
        <w:t xml:space="preserve">Šajā iedaļā ir novērtēts progress, kas panākts, īstenojot 2017. gada janvārī sniegtos 12 ieteikumus, kā arī astoņus papildu ieteikumus, kuri sniegti 2018. gada novembrī. Visu atlikušo ieteikumu izpilde ir ļoti svarīga reformu procesam, lai koriģētu 2017., 2018. un 2019. gada SPM ziņojumos konstatētā regresa negatīvās sekas un pabeigtu SPM procesu.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szCs w:val="24"/>
        </w:rPr>
        <w:t xml:space="preserve">2.1. </w:t>
      </w:r>
      <w:r>
        <w:rPr>
          <w:rFonts w:ascii="Times New Roman" w:hAnsi="Times New Roman"/>
          <w:b/>
          <w:noProof/>
          <w:sz w:val="24"/>
          <w:szCs w:val="24"/>
        </w:rPr>
        <w:tab/>
        <w:t>Pirmais kritērijs: Tiesu neatkarība un tiesu iestāžu reforma</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Tiesu likumi un tiesu neatkarības juridiskās garantijas</w:t>
      </w:r>
    </w:p>
    <w:tbl>
      <w:tblPr>
        <w:tblW w:w="912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7"/>
      </w:tblGrid>
      <w:tr>
        <w:trPr>
          <w:trHeight w:val="897"/>
        </w:trPr>
        <w:tc>
          <w:tcPr>
            <w:tcW w:w="9127" w:type="dxa"/>
          </w:tcPr>
          <w:p>
            <w:pPr>
              <w:spacing w:after="120" w:line="240" w:lineRule="auto"/>
              <w:contextualSpacing/>
              <w:jc w:val="both"/>
              <w:rPr>
                <w:rFonts w:ascii="Times New Roman" w:hAnsi="Times New Roman"/>
                <w:i/>
                <w:noProof/>
                <w:sz w:val="24"/>
                <w:szCs w:val="24"/>
              </w:rPr>
            </w:pPr>
            <w:r>
              <w:rPr>
                <w:rFonts w:ascii="Times New Roman" w:hAnsi="Times New Roman"/>
                <w:i/>
                <w:noProof/>
                <w:sz w:val="24"/>
                <w:szCs w:val="24"/>
              </w:rPr>
              <w:t xml:space="preserve">2018. gada ziņojuma ieteikumi </w:t>
            </w:r>
          </w:p>
          <w:p>
            <w:pPr>
              <w:numPr>
                <w:ilvl w:val="0"/>
                <w:numId w:val="14"/>
              </w:numPr>
              <w:spacing w:after="120" w:line="240" w:lineRule="auto"/>
              <w:ind w:left="504" w:hanging="396"/>
              <w:contextualSpacing/>
              <w:jc w:val="both"/>
              <w:rPr>
                <w:rFonts w:ascii="Times New Roman" w:hAnsi="Times New Roman"/>
                <w:i/>
                <w:noProof/>
                <w:sz w:val="24"/>
                <w:szCs w:val="24"/>
              </w:rPr>
            </w:pPr>
            <w:r>
              <w:rPr>
                <w:rFonts w:ascii="Times New Roman" w:hAnsi="Times New Roman"/>
                <w:i/>
                <w:noProof/>
                <w:sz w:val="24"/>
                <w:szCs w:val="24"/>
              </w:rPr>
              <w:t>Nekavējoties apturēt tiesu likumu un vēlāk pieņemto ārkārtas rīkojumu īstenošanu.</w:t>
            </w:r>
          </w:p>
          <w:p>
            <w:pPr>
              <w:numPr>
                <w:ilvl w:val="0"/>
                <w:numId w:val="14"/>
              </w:numPr>
              <w:spacing w:after="120" w:line="240" w:lineRule="auto"/>
              <w:ind w:left="504" w:hanging="396"/>
              <w:contextualSpacing/>
              <w:jc w:val="both"/>
              <w:rPr>
                <w:rFonts w:ascii="Times New Roman" w:hAnsi="Times New Roman"/>
                <w:i/>
                <w:noProof/>
                <w:sz w:val="24"/>
                <w:szCs w:val="24"/>
              </w:rPr>
            </w:pPr>
            <w:r>
              <w:rPr>
                <w:rFonts w:ascii="Times New Roman" w:hAnsi="Times New Roman"/>
                <w:i/>
                <w:noProof/>
                <w:sz w:val="24"/>
                <w:szCs w:val="24"/>
              </w:rPr>
              <w:t xml:space="preserve">Pārskatīt tiesu likumus, pilnībā ņemot vērā SPM ietvaros izteiktos ieteikumus, kā arī Venēcijas komisijas un GRECO izdotos ieteikumus. </w:t>
            </w:r>
          </w:p>
        </w:tc>
      </w:tr>
    </w:tbl>
    <w:p>
      <w:pPr>
        <w:spacing w:before="120" w:after="120" w:line="240" w:lineRule="auto"/>
        <w:jc w:val="both"/>
        <w:rPr>
          <w:rFonts w:ascii="Times New Roman" w:hAnsi="Times New Roman"/>
          <w:noProof/>
          <w:sz w:val="24"/>
          <w:szCs w:val="24"/>
        </w:rPr>
      </w:pPr>
      <w:r>
        <w:rPr>
          <w:rFonts w:ascii="Times New Roman" w:hAnsi="Times New Roman"/>
          <w:noProof/>
          <w:sz w:val="24"/>
          <w:szCs w:val="24"/>
        </w:rPr>
        <w:t>Trīs tiesu likumos ir noteikts maģistrātu statuss un organizēta tiesu sistēma un Tiesnešu augstākā padome. Tāpēc šie tiesību akti ir ļoti svarīgi, lai nodrošinātu maģistrātu neatkarību un tiesu iestāžu sekmīgu darbību. Šo tiesu likumu grozījumi, kas tika izdarīti 2018. un 2019. gadā</w:t>
      </w:r>
      <w:r>
        <w:rPr>
          <w:rFonts w:ascii="Times New Roman" w:hAnsi="Times New Roman"/>
          <w:noProof/>
          <w:sz w:val="24"/>
          <w:szCs w:val="24"/>
          <w:vertAlign w:val="superscript"/>
        </w:rPr>
        <w:footnoteReference w:id="19"/>
      </w:r>
      <w:r>
        <w:rPr>
          <w:rFonts w:ascii="Times New Roman" w:hAnsi="Times New Roman"/>
          <w:noProof/>
          <w:sz w:val="24"/>
          <w:szCs w:val="24"/>
        </w:rPr>
        <w:t xml:space="preserve"> un ir spēkā joprojām, nopietni ietekmēja tiesu sistēmas neatkarību, kvalitāti un efektivitāti. Tika konstatētas būtiskas problēmas, tostarp saistībā ar Tiesu iestādēs pastrādātu noziedzīgu nodarījumu izmeklēšanas nodaļas (</w:t>
      </w:r>
      <w:r>
        <w:rPr>
          <w:rFonts w:ascii="Times New Roman" w:hAnsi="Times New Roman"/>
          <w:i/>
          <w:iCs/>
          <w:noProof/>
          <w:sz w:val="24"/>
          <w:szCs w:val="24"/>
        </w:rPr>
        <w:t>SIIJ</w:t>
      </w:r>
      <w:r>
        <w:rPr>
          <w:rFonts w:ascii="Times New Roman" w:hAnsi="Times New Roman"/>
          <w:noProof/>
          <w:sz w:val="24"/>
          <w:szCs w:val="24"/>
        </w:rPr>
        <w:t>) izveidi, tiesnešu un prokuroru civiltiesiskās atbildības sistēmu, priekšlaicīgas pensionēšanās shēmām, profesionālās darbības uzsākšanu, kā arī augsta līmeņa prokuroru statusu un iecelšanu. Grozīto tiesu likumu īstenošana praksē drīz šīs bažas apstiprināja, un turpmākajos gados ir radušās jaunas problēmas.</w:t>
      </w:r>
      <w:r>
        <w:rPr>
          <w:rFonts w:ascii="Times New Roman" w:hAnsi="Times New Roman"/>
          <w:noProof/>
          <w:sz w:val="24"/>
          <w:szCs w:val="24"/>
          <w:vertAlign w:val="superscript"/>
        </w:rPr>
        <w:footnoteReference w:id="20"/>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2018. gada un 2019. gada SPM ziņojumos tika apstiprinātas bažas par šo grozīto tiesību aktu pastāvīgo ietekmi un tika pausts ieteikums apturēt un pārskatīt grozītos tiesību aktus, ņemot vērā Komisijas, </w:t>
      </w:r>
      <w:r>
        <w:rPr>
          <w:rFonts w:ascii="Times New Roman" w:hAnsi="Times New Roman"/>
          <w:i/>
          <w:iCs/>
          <w:noProof/>
          <w:sz w:val="24"/>
          <w:szCs w:val="24"/>
        </w:rPr>
        <w:t>GRECO</w:t>
      </w:r>
      <w:r>
        <w:rPr>
          <w:rFonts w:ascii="Times New Roman" w:hAnsi="Times New Roman"/>
          <w:noProof/>
          <w:sz w:val="24"/>
          <w:szCs w:val="24"/>
        </w:rPr>
        <w:t xml:space="preserve"> un Venēcijas komisijas ieteikumus. Ziņojumos tika uzsvērts, kā </w:t>
      </w:r>
      <w:r>
        <w:rPr>
          <w:rFonts w:ascii="Times New Roman" w:hAnsi="Times New Roman"/>
          <w:i/>
          <w:iCs/>
          <w:noProof/>
          <w:sz w:val="24"/>
          <w:szCs w:val="24"/>
        </w:rPr>
        <w:t>SIIJ</w:t>
      </w:r>
      <w:r>
        <w:rPr>
          <w:rFonts w:ascii="Times New Roman" w:hAnsi="Times New Roman"/>
          <w:noProof/>
          <w:sz w:val="24"/>
          <w:szCs w:val="24"/>
        </w:rPr>
        <w:t xml:space="preserve"> tiek izmantots, lai izdarītu spiedienu uz tiesnešiem un prokuroriem un mainītu dažu augsta līmeņa korupcijas lietu gaitu.</w:t>
      </w:r>
      <w:r>
        <w:rPr>
          <w:rStyle w:val="FootnoteReference"/>
          <w:rFonts w:ascii="Times New Roman" w:hAnsi="Times New Roman"/>
          <w:noProof/>
          <w:sz w:val="24"/>
          <w:szCs w:val="24"/>
        </w:rPr>
        <w:footnoteReference w:id="21"/>
      </w:r>
      <w:r>
        <w:rPr>
          <w:rFonts w:ascii="Times New Roman" w:hAnsi="Times New Roman"/>
          <w:noProof/>
          <w:sz w:val="24"/>
          <w:szCs w:val="24"/>
        </w:rPr>
        <w:t xml:space="preserve"> Tajos arī atzīmēts, ka šī situācija ir radījusi nedrošību un spiedienu gan saistībā ar atsevišķu maģistrātu karjeru un neatkarību, gan tiesu sistēmu kopumā. Ziņojumos tika arī apšaubīta noteikumu par Tiesu inspekcijas vadības iecelšanu amatā un pārskatatbildību pamatotība.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Kamēr spēkā ir 2018. un 2019. gadā grozītie tiesu likumi, spēkā ir arī bažas par kaitējumu tiesu sistēmas darbībai. Jo sevišķi, nopietnas bažas joprojām rada </w:t>
      </w:r>
      <w:r>
        <w:rPr>
          <w:rFonts w:ascii="Times New Roman" w:hAnsi="Times New Roman"/>
          <w:i/>
          <w:iCs/>
          <w:noProof/>
          <w:sz w:val="24"/>
          <w:szCs w:val="24"/>
        </w:rPr>
        <w:t>SIIJ</w:t>
      </w:r>
      <w:r>
        <w:rPr>
          <w:rFonts w:ascii="Times New Roman" w:hAnsi="Times New Roman"/>
          <w:noProof/>
          <w:sz w:val="24"/>
          <w:szCs w:val="24"/>
        </w:rPr>
        <w:t xml:space="preserve"> pastāvēšana un darbība.</w:t>
      </w:r>
      <w:r>
        <w:rPr>
          <w:rStyle w:val="FootnoteReference"/>
          <w:rFonts w:ascii="Times New Roman" w:hAnsi="Times New Roman"/>
          <w:noProof/>
          <w:sz w:val="24"/>
          <w:szCs w:val="24"/>
        </w:rPr>
        <w:footnoteReference w:id="22"/>
      </w:r>
      <w:r>
        <w:rPr>
          <w:rFonts w:ascii="Times New Roman" w:hAnsi="Times New Roman"/>
          <w:noProof/>
          <w:sz w:val="24"/>
          <w:szCs w:val="24"/>
        </w:rPr>
        <w:t xml:space="preserve"> Kaut arī mazāk nekā iepriekšējos gados, ir konstatēti jauni gadījumi, kad </w:t>
      </w:r>
      <w:r>
        <w:rPr>
          <w:rFonts w:ascii="Times New Roman" w:hAnsi="Times New Roman"/>
          <w:i/>
          <w:iCs/>
          <w:noProof/>
          <w:sz w:val="24"/>
          <w:szCs w:val="24"/>
        </w:rPr>
        <w:t>SIIJ</w:t>
      </w:r>
      <w:r>
        <w:rPr>
          <w:rFonts w:ascii="Times New Roman" w:hAnsi="Times New Roman"/>
          <w:noProof/>
          <w:sz w:val="24"/>
          <w:szCs w:val="24"/>
        </w:rPr>
        <w:t xml:space="preserve"> izdarījusi spiedienu uz maģistrātiem, izsūtot pavēstes</w:t>
      </w:r>
      <w:r>
        <w:rPr>
          <w:rFonts w:ascii="Times New Roman" w:hAnsi="Times New Roman"/>
          <w:noProof/>
          <w:sz w:val="24"/>
          <w:szCs w:val="24"/>
          <w:vertAlign w:val="superscript"/>
        </w:rPr>
        <w:footnoteReference w:id="23"/>
      </w:r>
      <w:r>
        <w:rPr>
          <w:rFonts w:ascii="Times New Roman" w:hAnsi="Times New Roman"/>
          <w:noProof/>
          <w:sz w:val="24"/>
          <w:szCs w:val="24"/>
        </w:rPr>
        <w:t>, un pastāv bažas, ka, izvēloties lietas, kurās sākt kriminālizmeklēšanu, trūkst objektivitātes</w:t>
      </w:r>
      <w:r>
        <w:rPr>
          <w:rStyle w:val="FootnoteReference"/>
          <w:rFonts w:ascii="Times New Roman" w:hAnsi="Times New Roman"/>
          <w:noProof/>
          <w:sz w:val="24"/>
          <w:szCs w:val="24"/>
        </w:rPr>
        <w:footnoteReference w:id="24"/>
      </w:r>
      <w:r>
        <w:rPr>
          <w:rFonts w:ascii="Times New Roman" w:hAnsi="Times New Roman"/>
          <w:noProof/>
          <w:sz w:val="24"/>
          <w:szCs w:val="24"/>
        </w:rPr>
        <w:t>, kā arī konstatēti gadījumi, kad informācija nopludināta plašsaziņas līdzekļiem</w:t>
      </w:r>
      <w:r>
        <w:rPr>
          <w:rFonts w:ascii="Times New Roman" w:hAnsi="Times New Roman"/>
          <w:noProof/>
          <w:sz w:val="24"/>
          <w:szCs w:val="24"/>
          <w:vertAlign w:val="superscript"/>
        </w:rPr>
        <w:footnoteReference w:id="25"/>
      </w:r>
      <w:r>
        <w:rPr>
          <w:rFonts w:ascii="Times New Roman" w:hAnsi="Times New Roman"/>
          <w:noProof/>
          <w:sz w:val="24"/>
          <w:szCs w:val="24"/>
        </w:rPr>
        <w:t xml:space="preserve">, kas var radīt spiedienu uz tiesnešiem un prokuroriem. Turklāt turpinās šīs nodaļas negatīvā ietekme uz augsta līmeņa korupcijas lietām. </w:t>
      </w:r>
      <w:r>
        <w:rPr>
          <w:rFonts w:ascii="Times New Roman" w:hAnsi="Times New Roman"/>
          <w:i/>
          <w:iCs/>
          <w:noProof/>
          <w:sz w:val="24"/>
          <w:szCs w:val="24"/>
        </w:rPr>
        <w:t>SIIJ</w:t>
      </w:r>
      <w:r>
        <w:rPr>
          <w:rFonts w:ascii="Times New Roman" w:hAnsi="Times New Roman"/>
          <w:noProof/>
          <w:sz w:val="24"/>
          <w:szCs w:val="24"/>
        </w:rPr>
        <w:t xml:space="preserve"> ir mazāk aktīva attiecībā uz augsta līmeņa korupcijas lietu virzības traucēšanu, piemēram, tā vairs nepārņem korupcijas lietas, kas tiek piešķirtas prokuratūras dienestu daļām, un ir apturēta problemātiskā prakse atsaukt apelācijas augsta līmeņa korupcijas lietās pēc tam, kad Konstitucionālā tiesa pieņēma lēmumu, ka apelāciju nodošana </w:t>
      </w:r>
      <w:r>
        <w:rPr>
          <w:rFonts w:ascii="Times New Roman" w:hAnsi="Times New Roman"/>
          <w:i/>
          <w:iCs/>
          <w:noProof/>
          <w:sz w:val="24"/>
          <w:szCs w:val="24"/>
        </w:rPr>
        <w:t>SIIJ</w:t>
      </w:r>
      <w:r>
        <w:rPr>
          <w:rFonts w:ascii="Times New Roman" w:hAnsi="Times New Roman"/>
          <w:noProof/>
          <w:sz w:val="24"/>
          <w:szCs w:val="24"/>
        </w:rPr>
        <w:t xml:space="preserve"> ir antikonstitucionāla.</w:t>
      </w:r>
      <w:r>
        <w:rPr>
          <w:rFonts w:ascii="Times New Roman" w:hAnsi="Times New Roman"/>
          <w:noProof/>
          <w:sz w:val="24"/>
          <w:szCs w:val="24"/>
          <w:vertAlign w:val="superscript"/>
        </w:rPr>
        <w:footnoteReference w:id="26"/>
      </w:r>
      <w:r>
        <w:rPr>
          <w:rFonts w:ascii="Times New Roman" w:hAnsi="Times New Roman"/>
          <w:noProof/>
          <w:sz w:val="24"/>
          <w:szCs w:val="24"/>
        </w:rPr>
        <w:t xml:space="preserve"> Tomēr pašlaik notiekošās korupcijas lietās </w:t>
      </w:r>
      <w:r>
        <w:rPr>
          <w:rFonts w:ascii="Times New Roman" w:hAnsi="Times New Roman"/>
          <w:i/>
          <w:iCs/>
          <w:noProof/>
          <w:sz w:val="24"/>
          <w:szCs w:val="24"/>
        </w:rPr>
        <w:t>SIIJ</w:t>
      </w:r>
      <w:r>
        <w:rPr>
          <w:rFonts w:ascii="Times New Roman" w:hAnsi="Times New Roman"/>
          <w:noProof/>
          <w:sz w:val="24"/>
          <w:szCs w:val="24"/>
        </w:rPr>
        <w:t xml:space="preserve"> turpina pieprasīt sākotnējos pierādījumus no citiem prokuratūras dienestiem, tādējādi traucējot lietu virzībai tiesā.</w:t>
      </w:r>
      <w:r>
        <w:rPr>
          <w:rStyle w:val="FootnoteReference"/>
          <w:rFonts w:ascii="Times New Roman" w:hAnsi="Times New Roman"/>
          <w:noProof/>
          <w:sz w:val="24"/>
          <w:szCs w:val="24"/>
        </w:rPr>
        <w:footnoteReference w:id="27"/>
      </w:r>
      <w:r>
        <w:rPr>
          <w:rFonts w:ascii="Times New Roman" w:hAnsi="Times New Roman"/>
          <w:noProof/>
          <w:sz w:val="24"/>
          <w:szCs w:val="24"/>
        </w:rPr>
        <w:t xml:space="preserve"> Savā 2021. gada 18. maija spriedumā EST norādīja, ka, lai nodrošinātu atbilstību ES tiesību aktiem, tiesību aktam, ar kuru izveido šādu specializētu nodaļu, ir jābūt pamatotam ar objektīvām un pārbaudāmām prasībām, kas saistītas ar tiesvedības pareizu norisi, un jānodrošina, ka šo nodaļu nevar izmantot kā tiesnešu un prokuroru darbības politiskās kontroles instrumentu un ka nodaļa savu kompetenci īsteno saskaņā ar Pamattiesību hartas prasībām. Ja tas neatbilst minētajām prasībām, šo tiesību aktu var uztvert kā tādu, kura mērķis ir ieviest spiediena un iebiedēšanas instrumentu attiecībā uz tiesnešiem, un tādējādi radīt iespaidu, ka šie tiesneši nav neatkarīgi vai objektīvi.</w:t>
      </w:r>
      <w:r>
        <w:rPr>
          <w:rFonts w:ascii="Times New Roman" w:hAnsi="Times New Roman"/>
          <w:noProof/>
          <w:sz w:val="24"/>
          <w:szCs w:val="24"/>
          <w:vertAlign w:val="superscript"/>
        </w:rPr>
        <w:footnoteReference w:id="28"/>
      </w:r>
      <w:r>
        <w:rPr>
          <w:rFonts w:ascii="Times New Roman" w:hAnsi="Times New Roman"/>
          <w:noProof/>
          <w:sz w:val="24"/>
          <w:szCs w:val="24"/>
        </w:rPr>
        <w:t xml:space="preserve"> Turklāt EST norāda, ka attiecīgais valsts tiesību akts nevar ļaut neievērot Rumānijas pienākumus, kas īpaši noteikti SPM lēmumā saistībā ar cīņu pret korupciju.</w:t>
      </w:r>
    </w:p>
    <w:p>
      <w:pPr>
        <w:spacing w:after="120" w:line="240" w:lineRule="auto"/>
        <w:jc w:val="both"/>
        <w:rPr>
          <w:rFonts w:ascii="Times New Roman" w:hAnsi="Times New Roman"/>
          <w:noProof/>
          <w:sz w:val="24"/>
          <w:szCs w:val="24"/>
        </w:rPr>
      </w:pPr>
      <w:r>
        <w:rPr>
          <w:rFonts w:ascii="Times New Roman" w:hAnsi="Times New Roman"/>
          <w:noProof/>
          <w:sz w:val="24"/>
          <w:szCs w:val="24"/>
        </w:rPr>
        <w:t>Vienlaikus turpina palielināties spiediens uz tiesu iestāžu cilvēkresursiem. To izraisa kopīga ietekme, ko rada tas, ka šajā profesijā 2019. un 2020. gadā darbu sācis ļoti neliels skaits personu</w:t>
      </w:r>
      <w:r>
        <w:rPr>
          <w:rFonts w:ascii="Times New Roman" w:hAnsi="Times New Roman"/>
          <w:noProof/>
          <w:sz w:val="24"/>
          <w:szCs w:val="24"/>
          <w:vertAlign w:val="superscript"/>
        </w:rPr>
        <w:footnoteReference w:id="29"/>
      </w:r>
      <w:r>
        <w:rPr>
          <w:rFonts w:ascii="Times New Roman" w:hAnsi="Times New Roman"/>
          <w:noProof/>
          <w:sz w:val="24"/>
          <w:szCs w:val="24"/>
        </w:rPr>
        <w:t>, arvien lielāka darba slodze uz vienu tiesnesi un uz vienu prokuroru, arvien lielāks pensionēšanās gadījumu skaits, atturoši amata stāža sliekšņi iecelšanai amatā</w:t>
      </w:r>
      <w:r>
        <w:rPr>
          <w:rStyle w:val="FootnoteReference"/>
          <w:rFonts w:ascii="Times New Roman" w:hAnsi="Times New Roman"/>
          <w:noProof/>
          <w:sz w:val="24"/>
          <w:szCs w:val="24"/>
        </w:rPr>
        <w:footnoteReference w:id="30"/>
      </w:r>
      <w:r>
        <w:rPr>
          <w:rFonts w:ascii="Times New Roman" w:hAnsi="Times New Roman"/>
          <w:noProof/>
          <w:sz w:val="24"/>
          <w:szCs w:val="24"/>
        </w:rPr>
        <w:t xml:space="preserve"> un pagaidu deleģēšanas ierobežojumi (jo īpaši Valsts korupcijas apkarošanas direkcijā). Turpmāka situācijas pasliktināšanās tika novērsta, kad valdība un parlaments veica pasākumus, lai aizkavētu un pēc tam atceltu to problemātisko noteikumu stāšanos spēkā, kas bija saistīti ar iespēju maģistrātiem priekšlaicīgi pensionēties pēc 20 darba gadiem amatā un ar lielāku tiesnešu skaitu noteiktās kolēģijās.</w:t>
      </w:r>
      <w:r>
        <w:rPr>
          <w:rFonts w:ascii="Times New Roman" w:hAnsi="Times New Roman"/>
          <w:noProof/>
          <w:sz w:val="24"/>
          <w:szCs w:val="24"/>
          <w:vertAlign w:val="superscript"/>
        </w:rPr>
        <w:footnoteReference w:id="31"/>
      </w:r>
    </w:p>
    <w:p>
      <w:pPr>
        <w:spacing w:after="120" w:line="240" w:lineRule="auto"/>
        <w:jc w:val="both"/>
        <w:rPr>
          <w:rFonts w:ascii="Times New Roman" w:hAnsi="Times New Roman"/>
          <w:i/>
          <w:noProof/>
          <w:sz w:val="24"/>
          <w:szCs w:val="24"/>
        </w:rPr>
      </w:pPr>
      <w:r>
        <w:rPr>
          <w:rFonts w:ascii="Times New Roman" w:hAnsi="Times New Roman"/>
          <w:i/>
          <w:noProof/>
          <w:sz w:val="24"/>
          <w:szCs w:val="24"/>
        </w:rPr>
        <w:t>Pašlaik notiekošais tiesu likumu grozīšanas process</w:t>
      </w:r>
    </w:p>
    <w:p>
      <w:pPr>
        <w:spacing w:after="120" w:line="240" w:lineRule="auto"/>
        <w:jc w:val="both"/>
        <w:rPr>
          <w:rFonts w:ascii="Times New Roman" w:hAnsi="Times New Roman"/>
          <w:bCs/>
          <w:noProof/>
          <w:sz w:val="24"/>
          <w:szCs w:val="24"/>
        </w:rPr>
      </w:pPr>
      <w:r>
        <w:rPr>
          <w:rFonts w:ascii="Times New Roman" w:hAnsi="Times New Roman"/>
          <w:noProof/>
          <w:sz w:val="24"/>
          <w:szCs w:val="24"/>
        </w:rPr>
        <w:t>2020. gada septembrī Tieslietu ministrija iesniedza grozītus tiesu likumus sabiedriskai apspriešanai uz sešiem mēnešiem.</w:t>
      </w:r>
      <w:bookmarkStart w:id="2" w:name="_Hlk61936964"/>
      <w:r>
        <w:rPr>
          <w:rFonts w:ascii="Times New Roman" w:hAnsi="Times New Roman"/>
          <w:noProof/>
          <w:sz w:val="24"/>
          <w:szCs w:val="24"/>
        </w:rPr>
        <w:t xml:space="preserve"> Ar šiem jaunajiem likumprojektiem tika būtiski pārstrādāti trīs tiesu likumi.</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Kā norādīja tieslietu ministrs, šajā pieejā tika pilnībā ņemti vērā SPM ziņojumi, </w:t>
      </w:r>
      <w:r>
        <w:rPr>
          <w:rFonts w:ascii="Times New Roman" w:hAnsi="Times New Roman"/>
          <w:i/>
          <w:iCs/>
          <w:noProof/>
          <w:sz w:val="24"/>
          <w:szCs w:val="24"/>
        </w:rPr>
        <w:t>GRECO</w:t>
      </w:r>
      <w:r>
        <w:rPr>
          <w:rFonts w:ascii="Times New Roman" w:hAnsi="Times New Roman"/>
          <w:noProof/>
          <w:sz w:val="24"/>
          <w:szCs w:val="24"/>
        </w:rPr>
        <w:t xml:space="preserve"> ziņojumi un Venēcijas komisijas atzinumi, kā arī plašākā nepieciešamība pārdomāt, atkārtoti apspriest un grozīt tiesu likumus. Īpašs mērķis bija novērst iepriekšējo grozījumu radītās negatīvās sekas. 2020. gada septembra tiesību aktu priekšlikumos ir ierosināti risinājumi daudzām SPM ziņojumos konstatētām problēmām, jo īpaši: </w:t>
      </w:r>
      <w:bookmarkEnd w:id="2"/>
      <w:r>
        <w:rPr>
          <w:rFonts w:ascii="Times New Roman" w:hAnsi="Times New Roman"/>
          <w:i/>
          <w:iCs/>
          <w:noProof/>
          <w:sz w:val="24"/>
          <w:szCs w:val="24"/>
        </w:rPr>
        <w:t>SIIJ</w:t>
      </w:r>
      <w:r>
        <w:rPr>
          <w:rFonts w:ascii="Times New Roman" w:hAnsi="Times New Roman"/>
          <w:noProof/>
          <w:sz w:val="24"/>
          <w:szCs w:val="24"/>
        </w:rPr>
        <w:t xml:space="preserve"> likvidēšana, </w:t>
      </w:r>
      <w:r>
        <w:rPr>
          <w:rFonts w:ascii="Times New Roman" w:hAnsi="Times New Roman"/>
          <w:bCs/>
          <w:noProof/>
          <w:sz w:val="24"/>
          <w:szCs w:val="24"/>
        </w:rPr>
        <w:t>palielinot prokuroru profesionālo neatkarību;</w:t>
      </w:r>
      <w:r>
        <w:rPr>
          <w:rFonts w:ascii="Times New Roman" w:hAnsi="Times New Roman"/>
          <w:noProof/>
          <w:sz w:val="24"/>
          <w:szCs w:val="24"/>
        </w:rPr>
        <w:t xml:space="preserve"> </w:t>
      </w:r>
      <w:r>
        <w:rPr>
          <w:rFonts w:ascii="Times New Roman" w:hAnsi="Times New Roman"/>
          <w:bCs/>
          <w:noProof/>
          <w:sz w:val="24"/>
          <w:szCs w:val="24"/>
        </w:rPr>
        <w:t>maģistrātu priekšlaicīgas pensionēšanās shēmas</w:t>
      </w:r>
      <w:r>
        <w:rPr>
          <w:rFonts w:ascii="Times New Roman" w:hAnsi="Times New Roman"/>
          <w:noProof/>
          <w:sz w:val="24"/>
          <w:szCs w:val="24"/>
        </w:rPr>
        <w:t xml:space="preserve"> atcelšana;</w:t>
      </w:r>
      <w:r>
        <w:rPr>
          <w:rFonts w:ascii="Times New Roman" w:hAnsi="Times New Roman"/>
          <w:bCs/>
          <w:noProof/>
          <w:sz w:val="24"/>
          <w:szCs w:val="24"/>
        </w:rPr>
        <w:t xml:space="preserve"> noteikumu par maģistrātu civiltiesisko atbildību grozīšana; maģistrātu vārda brīvības ierobežojumu atcelšana; augsta līmeņa prokuroru atsaukšanas no amata un amatā iecelšanas procedūru grozīšana (sk. arī tālāk tekstā). </w:t>
      </w:r>
    </w:p>
    <w:p>
      <w:pPr>
        <w:spacing w:after="120" w:line="240" w:lineRule="auto"/>
        <w:jc w:val="both"/>
        <w:rPr>
          <w:rFonts w:ascii="Times New Roman" w:hAnsi="Times New Roman"/>
          <w:noProof/>
          <w:sz w:val="24"/>
          <w:szCs w:val="24"/>
        </w:rPr>
      </w:pPr>
      <w:r>
        <w:rPr>
          <w:rFonts w:ascii="Times New Roman" w:hAnsi="Times New Roman"/>
          <w:noProof/>
          <w:sz w:val="24"/>
          <w:szCs w:val="24"/>
        </w:rPr>
        <w:t>Kopumā apspriešanas procesā iesaistīto pušu un tiesu amatpersonu reakcija nebija viendabīga. Tiesnešu augstākā padome (</w:t>
      </w:r>
      <w:r>
        <w:rPr>
          <w:rFonts w:ascii="Times New Roman" w:hAnsi="Times New Roman"/>
          <w:i/>
          <w:iCs/>
          <w:noProof/>
          <w:sz w:val="24"/>
          <w:szCs w:val="24"/>
        </w:rPr>
        <w:t>SCM</w:t>
      </w:r>
      <w:r>
        <w:rPr>
          <w:rFonts w:ascii="Times New Roman" w:hAnsi="Times New Roman"/>
          <w:noProof/>
          <w:sz w:val="24"/>
          <w:szCs w:val="24"/>
        </w:rPr>
        <w:t>) vispirms nāca klajā ar paziņojumu par šiem tiesību aktiem, ar bažām atzīmējot sabiedriskajai apspriešanai nodotos tiesu likumu grozījumu projektus.</w:t>
      </w:r>
      <w:r>
        <w:rPr>
          <w:rFonts w:ascii="Times New Roman" w:hAnsi="Times New Roman"/>
          <w:noProof/>
          <w:sz w:val="24"/>
          <w:szCs w:val="24"/>
          <w:vertAlign w:val="superscript"/>
        </w:rPr>
        <w:footnoteReference w:id="33"/>
      </w:r>
      <w:r>
        <w:rPr>
          <w:rFonts w:ascii="Times New Roman" w:hAnsi="Times New Roman"/>
          <w:noProof/>
          <w:sz w:val="24"/>
          <w:szCs w:val="24"/>
        </w:rPr>
        <w:t xml:space="preserve"> Vēlāk </w:t>
      </w:r>
      <w:r>
        <w:rPr>
          <w:rFonts w:ascii="Times New Roman" w:hAnsi="Times New Roman"/>
          <w:i/>
          <w:iCs/>
          <w:noProof/>
          <w:sz w:val="24"/>
          <w:szCs w:val="24"/>
        </w:rPr>
        <w:t>SCM</w:t>
      </w:r>
      <w:r>
        <w:rPr>
          <w:rFonts w:ascii="Times New Roman" w:hAnsi="Times New Roman"/>
          <w:noProof/>
          <w:sz w:val="24"/>
          <w:szCs w:val="24"/>
        </w:rPr>
        <w:t xml:space="preserve"> tiesnešu un prokuroru nodaļas organizēja atsevišķas apspriešanas un savas nostājas nosūtīja tieslietu ministram, taču tās netika publiskotas.</w:t>
      </w:r>
      <w:r>
        <w:rPr>
          <w:rFonts w:ascii="Times New Roman" w:hAnsi="Times New Roman"/>
          <w:noProof/>
          <w:sz w:val="24"/>
          <w:szCs w:val="24"/>
          <w:vertAlign w:val="superscript"/>
        </w:rPr>
        <w:footnoteReference w:id="34"/>
      </w:r>
      <w:r>
        <w:rPr>
          <w:rFonts w:ascii="Times New Roman" w:hAnsi="Times New Roman"/>
          <w:noProof/>
          <w:sz w:val="24"/>
          <w:szCs w:val="24"/>
        </w:rPr>
        <w:t xml:space="preserve"> </w:t>
      </w:r>
    </w:p>
    <w:p>
      <w:pPr>
        <w:spacing w:after="120" w:line="240" w:lineRule="auto"/>
        <w:jc w:val="both"/>
        <w:rPr>
          <w:rFonts w:ascii="Times New Roman" w:hAnsi="Times New Roman"/>
          <w:bCs/>
          <w:noProof/>
          <w:sz w:val="24"/>
          <w:szCs w:val="24"/>
        </w:rPr>
      </w:pPr>
      <w:r>
        <w:rPr>
          <w:rFonts w:ascii="Times New Roman" w:hAnsi="Times New Roman"/>
          <w:noProof/>
          <w:sz w:val="24"/>
          <w:szCs w:val="24"/>
        </w:rPr>
        <w:t xml:space="preserve">2021. gada janvārī jaunā valdība mainīja pieeju, paātrinot divu konkrētu un ierobežotāku grozījumu pieņemšanu. Pirmkārt, pēc </w:t>
      </w:r>
      <w:r>
        <w:rPr>
          <w:rFonts w:ascii="Times New Roman" w:hAnsi="Times New Roman"/>
          <w:i/>
          <w:iCs/>
          <w:noProof/>
          <w:sz w:val="24"/>
          <w:szCs w:val="24"/>
        </w:rPr>
        <w:t>SCM</w:t>
      </w:r>
      <w:r>
        <w:rPr>
          <w:rFonts w:ascii="Times New Roman" w:hAnsi="Times New Roman"/>
          <w:noProof/>
          <w:sz w:val="24"/>
          <w:szCs w:val="24"/>
        </w:rPr>
        <w:t xml:space="preserve"> pozitīva atzinuma saņemšanas valdība ierosināja </w:t>
      </w:r>
      <w:r>
        <w:rPr>
          <w:rFonts w:ascii="Times New Roman" w:hAnsi="Times New Roman"/>
          <w:bCs/>
          <w:noProof/>
          <w:sz w:val="24"/>
          <w:szCs w:val="24"/>
        </w:rPr>
        <w:t>likumprojektu par pagaidu pasākumiem saistībā ar tiesu amatpersonu stāšanos amatā</w:t>
      </w:r>
      <w:r>
        <w:rPr>
          <w:rFonts w:ascii="Times New Roman" w:hAnsi="Times New Roman"/>
          <w:bCs/>
          <w:noProof/>
          <w:sz w:val="24"/>
          <w:szCs w:val="24"/>
          <w:vertAlign w:val="superscript"/>
          <w:lang w:val="en-US"/>
        </w:rPr>
        <w:footnoteReference w:id="35"/>
      </w:r>
      <w:r>
        <w:rPr>
          <w:rFonts w:ascii="Times New Roman" w:hAnsi="Times New Roman"/>
          <w:bCs/>
          <w:noProof/>
          <w:sz w:val="24"/>
          <w:szCs w:val="24"/>
        </w:rPr>
        <w:t>. Parlaments šo likumprojektu pieņēma 2021. gada 3.</w:t>
      </w:r>
      <w:r>
        <w:rPr>
          <w:rFonts w:ascii="Times New Roman" w:hAnsi="Times New Roman"/>
          <w:noProof/>
          <w:sz w:val="24"/>
          <w:szCs w:val="24"/>
        </w:rPr>
        <w:t> </w:t>
      </w:r>
      <w:r>
        <w:rPr>
          <w:rFonts w:ascii="Times New Roman" w:hAnsi="Times New Roman"/>
          <w:bCs/>
          <w:noProof/>
          <w:sz w:val="24"/>
          <w:szCs w:val="24"/>
        </w:rPr>
        <w:t>februārī, taču pēc tā apstrīdēšanas Konstitucionālajā tiesā daži tiesību akta noteikumi 2021. gada 17. martā tika atzīti par antikonstitucionāliem.</w:t>
      </w:r>
      <w:r>
        <w:rPr>
          <w:rStyle w:val="FootnoteReference"/>
          <w:rFonts w:ascii="Times New Roman" w:hAnsi="Times New Roman"/>
          <w:bCs/>
          <w:noProof/>
          <w:sz w:val="24"/>
          <w:szCs w:val="24"/>
          <w:lang w:val="en-US"/>
        </w:rPr>
        <w:footnoteReference w:id="36"/>
      </w:r>
      <w:r>
        <w:rPr>
          <w:rFonts w:ascii="Times New Roman" w:hAnsi="Times New Roman"/>
          <w:bCs/>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Otrkārt, 2021. gada 4. februārī Tieslietu ministrijas tīmekļa vietnē tika publicēts likumprojekts par </w:t>
      </w:r>
      <w:r>
        <w:rPr>
          <w:rFonts w:ascii="Times New Roman" w:hAnsi="Times New Roman"/>
          <w:i/>
          <w:iCs/>
          <w:noProof/>
          <w:sz w:val="24"/>
          <w:szCs w:val="24"/>
        </w:rPr>
        <w:t>SIIJ</w:t>
      </w:r>
      <w:r>
        <w:rPr>
          <w:rFonts w:ascii="Times New Roman" w:hAnsi="Times New Roman"/>
          <w:noProof/>
          <w:sz w:val="24"/>
          <w:szCs w:val="24"/>
        </w:rPr>
        <w:t xml:space="preserve"> likvidēšanu, kas tika nosūtīts </w:t>
      </w:r>
      <w:r>
        <w:rPr>
          <w:rFonts w:ascii="Times New Roman" w:hAnsi="Times New Roman"/>
          <w:i/>
          <w:iCs/>
          <w:noProof/>
          <w:sz w:val="24"/>
          <w:szCs w:val="24"/>
        </w:rPr>
        <w:t>SCM</w:t>
      </w:r>
      <w:r>
        <w:rPr>
          <w:rFonts w:ascii="Times New Roman" w:hAnsi="Times New Roman"/>
          <w:noProof/>
          <w:sz w:val="24"/>
          <w:szCs w:val="24"/>
        </w:rPr>
        <w:t xml:space="preserve"> atzinuma sagatavošanai. </w:t>
      </w:r>
      <w:r>
        <w:rPr>
          <w:rFonts w:ascii="Times New Roman" w:hAnsi="Times New Roman"/>
          <w:i/>
          <w:iCs/>
          <w:noProof/>
          <w:sz w:val="24"/>
          <w:szCs w:val="24"/>
        </w:rPr>
        <w:t>SCM</w:t>
      </w:r>
      <w:r>
        <w:rPr>
          <w:rFonts w:ascii="Times New Roman" w:hAnsi="Times New Roman"/>
          <w:noProof/>
          <w:sz w:val="24"/>
          <w:szCs w:val="24"/>
        </w:rPr>
        <w:t xml:space="preserve"> sniedza negatīvu atzinumu, norādot, ka ir nepieciešamas papildu garantijas, lai aizsargātu maģistrātus no potenciāli ļaunprātīgas izmeklēšanas saistībā ar korupciju.</w:t>
      </w:r>
      <w:r>
        <w:rPr>
          <w:rStyle w:val="FootnoteReference"/>
          <w:rFonts w:ascii="Times New Roman" w:hAnsi="Times New Roman"/>
          <w:noProof/>
          <w:sz w:val="24"/>
          <w:szCs w:val="24"/>
        </w:rPr>
        <w:footnoteReference w:id="37"/>
      </w:r>
      <w:r>
        <w:rPr>
          <w:rFonts w:ascii="Times New Roman" w:hAnsi="Times New Roman"/>
          <w:noProof/>
          <w:sz w:val="24"/>
          <w:szCs w:val="24"/>
        </w:rPr>
        <w:t xml:space="preserve"> Valdība neņēma vērā </w:t>
      </w:r>
      <w:r>
        <w:rPr>
          <w:rFonts w:ascii="Times New Roman" w:hAnsi="Times New Roman"/>
          <w:i/>
          <w:iCs/>
          <w:noProof/>
          <w:sz w:val="24"/>
          <w:szCs w:val="24"/>
        </w:rPr>
        <w:t>SCM</w:t>
      </w:r>
      <w:r>
        <w:rPr>
          <w:rFonts w:ascii="Times New Roman" w:hAnsi="Times New Roman"/>
          <w:noProof/>
          <w:sz w:val="24"/>
          <w:szCs w:val="24"/>
        </w:rPr>
        <w:t xml:space="preserve"> viedokli un 18. februārī pieņēma likumprojektu nemainītā veidā, uzskatot, ka, likvidējot </w:t>
      </w:r>
      <w:r>
        <w:rPr>
          <w:rFonts w:ascii="Times New Roman" w:hAnsi="Times New Roman"/>
          <w:i/>
          <w:iCs/>
          <w:noProof/>
          <w:sz w:val="24"/>
          <w:szCs w:val="24"/>
        </w:rPr>
        <w:t>SIIJ</w:t>
      </w:r>
      <w:r>
        <w:rPr>
          <w:rFonts w:ascii="Times New Roman" w:hAnsi="Times New Roman"/>
          <w:noProof/>
          <w:sz w:val="24"/>
          <w:szCs w:val="24"/>
        </w:rPr>
        <w:t xml:space="preserve">, tiks stiprināta tiesu iestāžu neatkarība, un iesniedza likumprojektu parlamentā. Parlaments nepiekrita valdības pieprasījumam likumprojektu pieņemt ārkārtas procedūrā, un, kad Deputātu palāta kā pirmā palāta martā pieņēma likumprojektu, tā pievienoja noteikumus, kas, pēc deputātu domām, bija paredzēti, lai “aizsargātu maģistrātus pret ļaunprātīgu izmeklēšanu saistībā ar korupciju”, ierosinot, ka tiesvedības sākšanas apstiprinājuma pieprasījums vispirms jāizskata </w:t>
      </w:r>
      <w:r>
        <w:rPr>
          <w:rFonts w:ascii="Times New Roman" w:hAnsi="Times New Roman"/>
          <w:i/>
          <w:iCs/>
          <w:noProof/>
          <w:sz w:val="24"/>
          <w:szCs w:val="24"/>
        </w:rPr>
        <w:t>SCM</w:t>
      </w:r>
      <w:r>
        <w:rPr>
          <w:rFonts w:ascii="Times New Roman" w:hAnsi="Times New Roman"/>
          <w:noProof/>
          <w:sz w:val="24"/>
          <w:szCs w:val="24"/>
        </w:rPr>
        <w:t>.</w:t>
      </w:r>
      <w:r>
        <w:rPr>
          <w:rFonts w:ascii="Times New Roman" w:hAnsi="Times New Roman"/>
          <w:noProof/>
          <w:sz w:val="24"/>
          <w:szCs w:val="24"/>
          <w:vertAlign w:val="superscript"/>
        </w:rPr>
        <w:footnoteReference w:id="38"/>
      </w:r>
      <w:r>
        <w:rPr>
          <w:rFonts w:ascii="Times New Roman" w:hAnsi="Times New Roman"/>
          <w:noProof/>
          <w:sz w:val="24"/>
          <w:szCs w:val="24"/>
        </w:rPr>
        <w:t xml:space="preserve"> Šis papildu solis izraisīja kritiku no pilsoniskās sabiedrības, lielas daļas tiesu iestāžu darbinieku</w:t>
      </w:r>
      <w:r>
        <w:rPr>
          <w:rFonts w:ascii="Times New Roman" w:hAnsi="Times New Roman"/>
          <w:noProof/>
          <w:sz w:val="24"/>
          <w:szCs w:val="24"/>
          <w:vertAlign w:val="superscript"/>
        </w:rPr>
        <w:footnoteReference w:id="39"/>
      </w:r>
      <w:r>
        <w:rPr>
          <w:rFonts w:ascii="Times New Roman" w:hAnsi="Times New Roman"/>
          <w:noProof/>
          <w:sz w:val="24"/>
          <w:szCs w:val="24"/>
        </w:rPr>
        <w:t xml:space="preserve"> un pašas </w:t>
      </w:r>
      <w:r>
        <w:rPr>
          <w:rFonts w:ascii="Times New Roman" w:hAnsi="Times New Roman"/>
          <w:i/>
          <w:iCs/>
          <w:noProof/>
          <w:sz w:val="24"/>
          <w:szCs w:val="24"/>
        </w:rPr>
        <w:t>SCM</w:t>
      </w:r>
      <w:r>
        <w:rPr>
          <w:rFonts w:ascii="Times New Roman" w:hAnsi="Times New Roman"/>
          <w:noProof/>
          <w:sz w:val="24"/>
          <w:szCs w:val="24"/>
        </w:rPr>
        <w:t xml:space="preserve"> puses,</w:t>
      </w:r>
      <w:r>
        <w:rPr>
          <w:rStyle w:val="FootnoteReference"/>
          <w:rFonts w:ascii="Times New Roman" w:hAnsi="Times New Roman"/>
          <w:noProof/>
          <w:sz w:val="24"/>
          <w:szCs w:val="24"/>
        </w:rPr>
        <w:footnoteReference w:id="40"/>
      </w:r>
      <w:r>
        <w:rPr>
          <w:rFonts w:ascii="Times New Roman" w:hAnsi="Times New Roman"/>
          <w:noProof/>
          <w:sz w:val="24"/>
          <w:szCs w:val="24"/>
        </w:rPr>
        <w:t xml:space="preserve"> jo šāds solis ir pielīdzināms jauna veida imunitātei un to var uzskatīt par maģistrātu atbildību ierobežojošu faktoru. Likumprojekts pašlaik tiek izskatīts Senātā kā lēmējpalātā. 2021. gada 26. martā tieslietu ministrs lūdza Venēcijas komisijai sniegt atzinumu par šo likumprojektu un jo īpaši saistībā ar papildu garantijām. Paredzams, ka Venēcijas komisija atzinumu pieņems jūlijā. </w:t>
      </w:r>
    </w:p>
    <w:p>
      <w:pPr>
        <w:spacing w:after="120" w:line="240" w:lineRule="auto"/>
        <w:jc w:val="both"/>
        <w:rPr>
          <w:rFonts w:ascii="Times New Roman" w:hAnsi="Times New Roman"/>
          <w:i/>
          <w:noProof/>
          <w:sz w:val="24"/>
          <w:szCs w:val="24"/>
        </w:rPr>
      </w:pPr>
      <w:r>
        <w:rPr>
          <w:rFonts w:ascii="Times New Roman" w:hAnsi="Times New Roman"/>
          <w:i/>
          <w:noProof/>
          <w:sz w:val="24"/>
          <w:szCs w:val="24"/>
        </w:rPr>
        <w:t>Tiesu likumi</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Līdztekus atsākās debates par trīs tiesu likumu pilnu grozījumu kopumu, veicot papildu debates un apspriedes ar tiesu iestādēm, un 2021. gada martā trīs grozītie likumprojekti tika iesniegti </w:t>
      </w:r>
      <w:r>
        <w:rPr>
          <w:rFonts w:ascii="Times New Roman" w:hAnsi="Times New Roman"/>
          <w:i/>
          <w:iCs/>
          <w:noProof/>
          <w:sz w:val="24"/>
          <w:szCs w:val="24"/>
        </w:rPr>
        <w:t>SCM</w:t>
      </w:r>
      <w:r>
        <w:rPr>
          <w:rFonts w:ascii="Times New Roman" w:hAnsi="Times New Roman"/>
          <w:noProof/>
          <w:sz w:val="24"/>
          <w:szCs w:val="24"/>
        </w:rPr>
        <w:t xml:space="preserve"> atzinuma saņemšanai. Tieslietu ministrs apņēmās nosūtīt šos likumprojektus Venēcijas komisijai atzinuma saņemšanai vienlaikus ar to iesniegšanu parlamentā. Par šiem likumprojektiem Rumānijā joprojām notiek debates un apspriešanās. Savu reakciju pauda arī pilsoniskā sabiedrība.</w:t>
      </w:r>
      <w:r>
        <w:rPr>
          <w:rFonts w:ascii="Times New Roman" w:hAnsi="Times New Roman"/>
          <w:noProof/>
          <w:sz w:val="24"/>
          <w:szCs w:val="24"/>
          <w:vertAlign w:val="superscript"/>
        </w:rPr>
        <w:footnoteReference w:id="41"/>
      </w:r>
      <w:r>
        <w:rPr>
          <w:rFonts w:ascii="Times New Roman" w:hAnsi="Times New Roman"/>
          <w:noProof/>
          <w:sz w:val="24"/>
          <w:szCs w:val="24"/>
        </w:rPr>
        <w:t xml:space="preserve"> Maija sākumā tieslietu ministrs apspriedās par tiesu sistēmas reformām ar 14 NVO, kas ir aktīvas tieslietu jomā.</w:t>
      </w:r>
      <w:r>
        <w:rPr>
          <w:rStyle w:val="FootnoteReference"/>
          <w:rFonts w:ascii="Times New Roman" w:hAnsi="Times New Roman"/>
          <w:noProof/>
          <w:sz w:val="24"/>
          <w:szCs w:val="24"/>
        </w:rPr>
        <w:footnoteReference w:id="42"/>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Svarīgs nesens notikums ir EST 2021. gada 18. maija spriedums, kurā vairāki tiesu likumu noteikumi tika skatīti, ņemot vērā LES 2. pantu un 19. panta 1. punktu un SPM lēmumu, jo īpaši attiecībā uz </w:t>
      </w:r>
      <w:r>
        <w:rPr>
          <w:rFonts w:ascii="Times New Roman" w:hAnsi="Times New Roman"/>
          <w:i/>
          <w:iCs/>
          <w:noProof/>
          <w:sz w:val="24"/>
          <w:szCs w:val="24"/>
        </w:rPr>
        <w:t>SIIJ</w:t>
      </w:r>
      <w:r>
        <w:rPr>
          <w:rFonts w:ascii="Times New Roman" w:hAnsi="Times New Roman"/>
          <w:noProof/>
          <w:sz w:val="24"/>
          <w:szCs w:val="24"/>
        </w:rPr>
        <w:t xml:space="preserve"> un pagaidu iecelšanu Tiesu inspekcijas vadošajos amatos,</w:t>
      </w:r>
      <w:r>
        <w:rPr>
          <w:noProof/>
        </w:rPr>
        <w:t xml:space="preserve"> </w:t>
      </w:r>
      <w:r>
        <w:rPr>
          <w:rFonts w:ascii="Times New Roman" w:hAnsi="Times New Roman"/>
          <w:noProof/>
          <w:sz w:val="24"/>
          <w:szCs w:val="24"/>
        </w:rPr>
        <w:t>kā arī tiesnešu personīgo atbildību tiesas kļūdas rezultātā.</w:t>
      </w:r>
      <w:r>
        <w:rPr>
          <w:rStyle w:val="FootnoteReference"/>
          <w:rFonts w:ascii="Times New Roman" w:hAnsi="Times New Roman"/>
          <w:noProof/>
          <w:sz w:val="24"/>
          <w:szCs w:val="24"/>
        </w:rPr>
        <w:footnoteReference w:id="43"/>
      </w:r>
      <w:r>
        <w:rPr>
          <w:rFonts w:ascii="Times New Roman" w:hAnsi="Times New Roman"/>
          <w:noProof/>
          <w:sz w:val="24"/>
          <w:szCs w:val="24"/>
        </w:rPr>
        <w:t xml:space="preserve"> Raugoties vispārīgi, EST savā spriedumā atgādināja, ka dalībvalsts nevar grozīt savus tiesību aktus, jo īpaši attiecībā uz tiesu varas organizāciju, tā, ka tiek izraisīta tiesiskuma aizsardzības līmeņa pazemināšana.</w:t>
      </w:r>
      <w:r>
        <w:rPr>
          <w:rStyle w:val="FootnoteReference"/>
          <w:rFonts w:ascii="Times New Roman" w:hAnsi="Times New Roman"/>
          <w:noProof/>
          <w:sz w:val="24"/>
          <w:szCs w:val="24"/>
        </w:rPr>
        <w:footnoteReference w:id="44"/>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Trīs tiesu likumu galīgā redakcija būtiski ietekmēs tiesu sistēmas neatkarību, kvalitāti un efektivitāti, kā arī tās spēju nodrošināt pilsoņu tiesības uz efektīviem tiesiskās aizsardzības līdzekļiem. Valdība jau ir apstiprinājusi, ka tā strādā pie reformas īstenošanas tā, lai mēģinātu īstenot SPM ieteikumus gan attiecībā uz procesu, gan būtību. Attiecībā uz procesu joprojām ir svarīgi, lai papildus pašu SPM ieteikumu pienācīgai vērā ņemšanai nedalīta uzmanība tiktu pievērsta EST judikatūrai attiecībā uz tiesu iestāžu neatkarību un konkrēti nesenajam 2021. gada 18. maija spriedumam, kā arī Venēcijas komisijas atzinumiem un </w:t>
      </w:r>
      <w:r>
        <w:rPr>
          <w:rFonts w:ascii="Times New Roman" w:hAnsi="Times New Roman"/>
          <w:i/>
          <w:iCs/>
          <w:noProof/>
          <w:sz w:val="24"/>
          <w:szCs w:val="24"/>
        </w:rPr>
        <w:t>GRECO</w:t>
      </w:r>
      <w:r>
        <w:rPr>
          <w:rFonts w:ascii="Times New Roman" w:hAnsi="Times New Roman"/>
          <w:noProof/>
          <w:sz w:val="24"/>
          <w:szCs w:val="24"/>
        </w:rPr>
        <w:t xml:space="preserve"> ziņojumiem. Tas ir svarīgs aspekts, lai rastu noturīgus, stabilus un ilgtspējīgus risinājumus.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Attiecībā uz būtību SPM ieteikumos ir norādīts uz vairākām jomām, kurās Komisija pievērsīs īpašu uzmanību tiesu likumu pārskatīšanas rezultātam. Tie ietver strukturālus un procesuālus jautājumus, piemēram, </w:t>
      </w:r>
      <w:r>
        <w:rPr>
          <w:rFonts w:ascii="Times New Roman" w:hAnsi="Times New Roman"/>
          <w:i/>
          <w:iCs/>
          <w:noProof/>
          <w:sz w:val="24"/>
          <w:szCs w:val="24"/>
        </w:rPr>
        <w:t>SIIJ</w:t>
      </w:r>
      <w:r>
        <w:rPr>
          <w:rFonts w:ascii="Times New Roman" w:hAnsi="Times New Roman"/>
          <w:noProof/>
          <w:sz w:val="24"/>
          <w:szCs w:val="24"/>
        </w:rPr>
        <w:t xml:space="preserve"> likvidēšanu, tiesnešu un prokuroru disciplināro, civiltiesisko un kriminālatbildību, Tiesu inspekcijas vadības atbildību un iecelšanu amatā, vecāko prokuroru iecelšanu amatā un atstādināšanu no amata, kā arī Augstākās kasācijas tiesas un </w:t>
      </w:r>
      <w:r>
        <w:rPr>
          <w:rFonts w:ascii="Times New Roman" w:hAnsi="Times New Roman"/>
          <w:i/>
          <w:iCs/>
          <w:noProof/>
          <w:sz w:val="24"/>
          <w:szCs w:val="24"/>
        </w:rPr>
        <w:t>SCM</w:t>
      </w:r>
      <w:r>
        <w:rPr>
          <w:rFonts w:ascii="Times New Roman" w:hAnsi="Times New Roman"/>
          <w:noProof/>
          <w:sz w:val="24"/>
          <w:szCs w:val="24"/>
        </w:rPr>
        <w:t xml:space="preserve"> nozīmi. Svarīga ir arī reformu ietekme uz maģistrātu neatkarību un karjeras organizāciju. </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Noslēdzoties likumdošanas procesam, Komisija varēs pilnvērtīgāk izvērtēt SPM ieteikumu īstenošanas progresu saistībā ar tiesu likumiem. </w:t>
      </w:r>
    </w:p>
    <w:p>
      <w:pPr>
        <w:rPr>
          <w:noProof/>
        </w:rPr>
      </w:pPr>
    </w:p>
    <w:tbl>
      <w:tblPr>
        <w:tblpPr w:leftFromText="141" w:rightFromText="141" w:vertAnchor="text" w:horzAnchor="margin" w:tblpY="664"/>
        <w:tblW w:w="950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09"/>
      </w:tblGrid>
      <w:tr>
        <w:trPr>
          <w:trHeight w:val="2717"/>
        </w:trPr>
        <w:tc>
          <w:tcPr>
            <w:tcW w:w="9509" w:type="dxa"/>
          </w:tcPr>
          <w:p>
            <w:pPr>
              <w:pStyle w:val="ListParagraph"/>
              <w:numPr>
                <w:ilvl w:val="0"/>
                <w:numId w:val="16"/>
              </w:numPr>
              <w:spacing w:after="120" w:line="240" w:lineRule="auto"/>
              <w:ind w:left="340" w:hanging="340"/>
              <w:jc w:val="both"/>
              <w:rPr>
                <w:rFonts w:ascii="Times New Roman" w:hAnsi="Times New Roman"/>
                <w:i/>
                <w:noProof/>
                <w:sz w:val="24"/>
                <w:szCs w:val="24"/>
              </w:rPr>
            </w:pPr>
            <w:r>
              <w:rPr>
                <w:rFonts w:ascii="Times New Roman" w:hAnsi="Times New Roman"/>
                <w:i/>
                <w:noProof/>
                <w:sz w:val="24"/>
                <w:szCs w:val="24"/>
              </w:rPr>
              <w:t>2017. gada ieteikums: ar Venēcijas komisijas atbalstu ieviest stingru un neatkarīgu sistēmu augstākā līmeņa prokuroru iecelšanai amatā, balstoties uz skaidriem un pārredzamiem kritērijiem.</w:t>
            </w:r>
          </w:p>
          <w:p>
            <w:pPr>
              <w:pStyle w:val="ListParagraph"/>
              <w:numPr>
                <w:ilvl w:val="0"/>
                <w:numId w:val="16"/>
              </w:numPr>
              <w:spacing w:after="120" w:line="240" w:lineRule="auto"/>
              <w:ind w:left="340" w:hanging="340"/>
              <w:jc w:val="both"/>
              <w:rPr>
                <w:rFonts w:ascii="Times New Roman" w:hAnsi="Times New Roman"/>
                <w:i/>
                <w:noProof/>
                <w:sz w:val="24"/>
                <w:szCs w:val="24"/>
              </w:rPr>
            </w:pPr>
            <w:r>
              <w:rPr>
                <w:rFonts w:ascii="Times New Roman" w:hAnsi="Times New Roman"/>
                <w:i/>
                <w:noProof/>
                <w:sz w:val="24"/>
                <w:szCs w:val="24"/>
              </w:rPr>
              <w:t>2018. gada ieteikums: ievērot Tiesnešu augstākās padomes negatīvos atzinumus par vadošus amatus ieņemošu prokuroru iecelšanu amatā vai atlaišanu, darot to līdz brīdim, kamēr ir spēkā jauns tiesiskais regulējums saskaņā ar 2017. gada janvārī sniegto ieteikumu Nr. 1.</w:t>
            </w:r>
          </w:p>
          <w:p>
            <w:pPr>
              <w:pStyle w:val="ListParagraph"/>
              <w:numPr>
                <w:ilvl w:val="0"/>
                <w:numId w:val="16"/>
              </w:numPr>
              <w:spacing w:after="120" w:line="240" w:lineRule="auto"/>
              <w:ind w:left="340" w:hanging="340"/>
              <w:jc w:val="both"/>
              <w:rPr>
                <w:rFonts w:ascii="Times New Roman" w:hAnsi="Times New Roman"/>
                <w:i/>
                <w:noProof/>
                <w:sz w:val="24"/>
                <w:szCs w:val="24"/>
              </w:rPr>
            </w:pPr>
            <w:r>
              <w:rPr>
                <w:rFonts w:ascii="Times New Roman" w:hAnsi="Times New Roman"/>
                <w:i/>
                <w:noProof/>
                <w:sz w:val="24"/>
                <w:szCs w:val="24"/>
              </w:rPr>
              <w:t xml:space="preserve">2018. gada ieteikums: no jauna sākt procedūru, kuras mērķis ir iecelt amatā DNA galveno prokuroru, kam būtu pārbaudīta pieredze apsūdzības celšanā par korupcijas noziegumiem un skaidras pilnvaras, lai DNA turpinātu veikt profesionālu, neatkarīgu un objektīvu izmeklēšanu korupcijas jomā. </w:t>
            </w:r>
          </w:p>
        </w:tc>
      </w:tr>
    </w:tbl>
    <w:p>
      <w:pPr>
        <w:spacing w:after="120" w:line="240" w:lineRule="auto"/>
        <w:jc w:val="both"/>
        <w:rPr>
          <w:rFonts w:ascii="Times New Roman" w:hAnsi="Times New Roman"/>
          <w:noProof/>
          <w:sz w:val="24"/>
          <w:szCs w:val="24"/>
        </w:rPr>
      </w:pPr>
      <w:r>
        <w:rPr>
          <w:rFonts w:ascii="Times New Roman" w:hAnsi="Times New Roman"/>
          <w:b/>
          <w:i/>
          <w:noProof/>
          <w:sz w:val="24"/>
          <w:szCs w:val="24"/>
        </w:rPr>
        <w:t>Iecelšana vadošajos amatos prokuratūras dienestos</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Secīgos SPM ziņojumos arī uzsvērta nepieciešamība prokuroru iecelšanas procedūrā nodrošināt pietiekamu līdzsvara un atsvara sistēmu, kā arī to, cik lielā mērā tā pati iecelšanas amatā un atbrīvošanas no amata procedūra prokuratūras dienestos attiektos uz zemāku vadošo amatu līmeņiem. 2018. gada SPM ziņojumā secināts, ka situācija ir pasliktinājusies, savukārt 2019. gada SPM ziņojumā ir uzsvērts risks, ka bieža grozījumu izdarīšana ir radījusi lielāku neskaidrību un uzticības trūkumu — kaut arī procedūra mazāk nekā sešu mēnešu laikā ir mainīta četras reizes, neviena no šīm izmaiņām nenovērsa pamatproblēmu, proti, līdzsvaru starp dažādu iestāžu ietekmi uz procesu un varas koncentrāciju tieslietu ministra rokās. Arī Venēcijas komisija galveno uzmanību vērsa uz pretspēka trūkumu tieslietu ministra ietekmei</w:t>
      </w:r>
      <w:r>
        <w:rPr>
          <w:rFonts w:ascii="Times New Roman" w:hAnsi="Times New Roman"/>
          <w:i/>
          <w:iCs/>
          <w:noProof/>
          <w:sz w:val="24"/>
          <w:szCs w:val="24"/>
        </w:rPr>
        <w:t>.</w:t>
      </w:r>
      <w:r>
        <w:rPr>
          <w:rFonts w:ascii="Times New Roman" w:hAnsi="Times New Roman"/>
          <w:iCs/>
          <w:noProof/>
          <w:sz w:val="24"/>
          <w:szCs w:val="24"/>
          <w:vertAlign w:val="superscript"/>
        </w:rPr>
        <w:footnoteReference w:id="45"/>
      </w:r>
      <w:r>
        <w:rPr>
          <w:rFonts w:ascii="Times New Roman" w:hAnsi="Times New Roman"/>
          <w:noProof/>
          <w:sz w:val="24"/>
          <w:szCs w:val="24"/>
        </w:rPr>
        <w:t xml:space="preserve"> </w:t>
      </w:r>
    </w:p>
    <w:p>
      <w:pPr>
        <w:pBdr>
          <w:top w:val="nil"/>
          <w:left w:val="nil"/>
          <w:bottom w:val="nil"/>
          <w:right w:val="nil"/>
          <w:between w:val="nil"/>
          <w:bar w:val="nil"/>
        </w:pBdr>
        <w:spacing w:after="120" w:line="240" w:lineRule="auto"/>
        <w:jc w:val="both"/>
        <w:rPr>
          <w:rFonts w:ascii="Times New Roman" w:hAnsi="Times New Roman"/>
          <w:noProof/>
          <w:sz w:val="24"/>
          <w:szCs w:val="24"/>
        </w:rPr>
      </w:pPr>
      <w:r>
        <w:rPr>
          <w:rFonts w:ascii="Times New Roman" w:hAnsi="Times New Roman"/>
          <w:noProof/>
          <w:sz w:val="24"/>
          <w:szCs w:val="24"/>
        </w:rPr>
        <w:t xml:space="preserve">Kopš 2019. gada citu juridisku izmaiņu nav bijis, un tagad šī problēma tiek risināta ar pašlaik izskatīšanā esošajiem grozījumiem tiesu sistēmas tiesību aktā par tiesnešu un prokuroru statusu. Jaunā likumprojektā, kas sagatavots 2021. gada martā, attiecībā uz kuru tieslietu ministrs ir lūdzis sagatavot </w:t>
      </w:r>
      <w:r>
        <w:rPr>
          <w:rFonts w:ascii="Times New Roman" w:hAnsi="Times New Roman"/>
          <w:i/>
          <w:iCs/>
          <w:noProof/>
          <w:sz w:val="24"/>
          <w:szCs w:val="24"/>
        </w:rPr>
        <w:t>SCM</w:t>
      </w:r>
      <w:r>
        <w:rPr>
          <w:rFonts w:ascii="Times New Roman" w:hAnsi="Times New Roman"/>
          <w:noProof/>
          <w:sz w:val="24"/>
          <w:szCs w:val="24"/>
        </w:rPr>
        <w:t xml:space="preserve"> atzinumu (skatīt iepriekš), ir ierosināts pastiprināt </w:t>
      </w:r>
      <w:r>
        <w:rPr>
          <w:rFonts w:ascii="Times New Roman" w:hAnsi="Times New Roman"/>
          <w:i/>
          <w:iCs/>
          <w:noProof/>
          <w:sz w:val="24"/>
          <w:szCs w:val="24"/>
        </w:rPr>
        <w:t>SCM</w:t>
      </w:r>
      <w:r>
        <w:rPr>
          <w:rFonts w:ascii="Times New Roman" w:hAnsi="Times New Roman"/>
          <w:noProof/>
          <w:sz w:val="24"/>
          <w:szCs w:val="24"/>
        </w:rPr>
        <w:t xml:space="preserve"> lomu, ieviešot saistošu </w:t>
      </w:r>
      <w:r>
        <w:rPr>
          <w:rFonts w:ascii="Times New Roman" w:hAnsi="Times New Roman"/>
          <w:i/>
          <w:iCs/>
          <w:noProof/>
          <w:sz w:val="24"/>
          <w:szCs w:val="24"/>
        </w:rPr>
        <w:t>SCM</w:t>
      </w:r>
      <w:r>
        <w:rPr>
          <w:rFonts w:ascii="Times New Roman" w:hAnsi="Times New Roman"/>
          <w:noProof/>
          <w:sz w:val="24"/>
          <w:szCs w:val="24"/>
        </w:rPr>
        <w:t xml:space="preserve"> atzinumu. Ir arī pastiprināta Rumānijas prezidenta loma attiecībā uz iespēju noraidīt kandidātu. </w:t>
      </w:r>
    </w:p>
    <w:p>
      <w:pPr>
        <w:pBdr>
          <w:top w:val="nil"/>
          <w:left w:val="nil"/>
          <w:bottom w:val="nil"/>
          <w:right w:val="nil"/>
          <w:between w:val="nil"/>
          <w:bar w:val="nil"/>
        </w:pBd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Kopš pēdējā ziņojuma sagatavošanas </w:t>
      </w:r>
      <w:r>
        <w:rPr>
          <w:rFonts w:ascii="Times New Roman" w:hAnsi="Times New Roman"/>
          <w:noProof/>
          <w:color w:val="000000"/>
          <w:sz w:val="24"/>
          <w:szCs w:val="24"/>
          <w:u w:color="000000"/>
          <w:bdr w:val="nil"/>
        </w:rPr>
        <w:t>ir iecelti jauni prokuratūras dienestu vadītāji, taču joprojām ir pamats ieilgušajām bažām saistībā ar procedūru.</w:t>
      </w:r>
      <w:r>
        <w:rPr>
          <w:rFonts w:ascii="Times New Roman" w:hAnsi="Times New Roman"/>
          <w:b/>
          <w:noProof/>
          <w:color w:val="000000"/>
          <w:sz w:val="24"/>
          <w:szCs w:val="24"/>
          <w:u w:color="000000"/>
          <w:bdr w:val="nil"/>
        </w:rPr>
        <w:t xml:space="preserve"> </w:t>
      </w:r>
      <w:r>
        <w:rPr>
          <w:rFonts w:ascii="Times New Roman" w:hAnsi="Times New Roman"/>
          <w:noProof/>
          <w:sz w:val="24"/>
          <w:szCs w:val="24"/>
          <w:u w:color="000000"/>
        </w:rPr>
        <w:t>2020. gada sākumā viena no tieslietu ministra pirmajām darbībām bija pārredzamāku atlases procedūru organizēšana nolūkā iecelt jaunus prokuratūras dienestu vadītājus.</w:t>
      </w:r>
      <w:r>
        <w:rPr>
          <w:rFonts w:ascii="Times New Roman" w:hAnsi="Times New Roman"/>
          <w:noProof/>
          <w:sz w:val="24"/>
          <w:szCs w:val="24"/>
          <w:u w:color="000000"/>
          <w:vertAlign w:val="superscript"/>
        </w:rPr>
        <w:footnoteReference w:id="46"/>
      </w:r>
      <w:r>
        <w:rPr>
          <w:rFonts w:ascii="Times New Roman" w:hAnsi="Times New Roman"/>
          <w:noProof/>
          <w:sz w:val="24"/>
          <w:szCs w:val="24"/>
          <w:u w:color="000000"/>
        </w:rPr>
        <w:t xml:space="preserve"> Tomēr, kaut arī </w:t>
      </w:r>
      <w:r>
        <w:rPr>
          <w:rFonts w:ascii="Times New Roman" w:hAnsi="Times New Roman"/>
          <w:i/>
          <w:iCs/>
          <w:noProof/>
          <w:sz w:val="24"/>
          <w:szCs w:val="24"/>
          <w:u w:color="000000"/>
        </w:rPr>
        <w:t>DNA</w:t>
      </w:r>
      <w:r>
        <w:rPr>
          <w:rFonts w:ascii="Times New Roman" w:hAnsi="Times New Roman"/>
          <w:noProof/>
          <w:sz w:val="24"/>
          <w:szCs w:val="24"/>
          <w:u w:color="000000"/>
        </w:rPr>
        <w:t xml:space="preserve"> galvenais prokurors tika iecelts amatā pēc </w:t>
      </w:r>
      <w:r>
        <w:rPr>
          <w:rFonts w:ascii="Times New Roman" w:hAnsi="Times New Roman"/>
          <w:i/>
          <w:iCs/>
          <w:noProof/>
          <w:sz w:val="24"/>
          <w:szCs w:val="24"/>
          <w:u w:color="000000"/>
        </w:rPr>
        <w:t>SCM</w:t>
      </w:r>
      <w:r>
        <w:rPr>
          <w:rFonts w:ascii="Times New Roman" w:hAnsi="Times New Roman"/>
          <w:noProof/>
          <w:sz w:val="24"/>
          <w:szCs w:val="24"/>
          <w:u w:color="000000"/>
        </w:rPr>
        <w:t xml:space="preserve"> pozitīva atzinuma saņemšanas, ģenerālprokurors un Organizētās noziedzības un terorisma noziegumu izmeklēšanas direktorāta (</w:t>
      </w:r>
      <w:r>
        <w:rPr>
          <w:rFonts w:ascii="Times New Roman" w:hAnsi="Times New Roman"/>
          <w:i/>
          <w:iCs/>
          <w:noProof/>
          <w:sz w:val="24"/>
          <w:szCs w:val="24"/>
          <w:u w:color="000000"/>
        </w:rPr>
        <w:t>DIICOT</w:t>
      </w:r>
      <w:r>
        <w:rPr>
          <w:rFonts w:ascii="Times New Roman" w:hAnsi="Times New Roman"/>
          <w:noProof/>
          <w:sz w:val="24"/>
          <w:szCs w:val="24"/>
          <w:u w:color="000000"/>
        </w:rPr>
        <w:t>)</w:t>
      </w:r>
      <w:r>
        <w:rPr>
          <w:rStyle w:val="FootnoteReference"/>
          <w:rFonts w:ascii="Times New Roman" w:hAnsi="Times New Roman"/>
          <w:noProof/>
          <w:sz w:val="24"/>
          <w:szCs w:val="24"/>
          <w:u w:color="000000"/>
        </w:rPr>
        <w:footnoteReference w:id="47"/>
      </w:r>
      <w:r>
        <w:rPr>
          <w:rFonts w:ascii="Times New Roman" w:hAnsi="Times New Roman"/>
          <w:noProof/>
          <w:sz w:val="24"/>
          <w:szCs w:val="24"/>
          <w:u w:color="000000"/>
        </w:rPr>
        <w:t xml:space="preserve"> galvenā prokurore tika iecelti amatā, neraugoties uz </w:t>
      </w:r>
      <w:r>
        <w:rPr>
          <w:rFonts w:ascii="Times New Roman" w:hAnsi="Times New Roman"/>
          <w:i/>
          <w:iCs/>
          <w:noProof/>
          <w:sz w:val="24"/>
          <w:szCs w:val="24"/>
          <w:u w:color="000000"/>
        </w:rPr>
        <w:t>SCM</w:t>
      </w:r>
      <w:r>
        <w:rPr>
          <w:rFonts w:ascii="Times New Roman" w:hAnsi="Times New Roman"/>
          <w:noProof/>
          <w:sz w:val="24"/>
          <w:szCs w:val="24"/>
          <w:u w:color="000000"/>
        </w:rPr>
        <w:t xml:space="preserve"> negatīvo atzinumu. Turklāt </w:t>
      </w:r>
      <w:r>
        <w:rPr>
          <w:rFonts w:ascii="Times New Roman" w:hAnsi="Times New Roman"/>
          <w:i/>
          <w:iCs/>
          <w:noProof/>
          <w:sz w:val="24"/>
          <w:szCs w:val="24"/>
          <w:u w:color="000000"/>
        </w:rPr>
        <w:t>SCM</w:t>
      </w:r>
      <w:r>
        <w:rPr>
          <w:rFonts w:ascii="Times New Roman" w:hAnsi="Times New Roman"/>
          <w:noProof/>
          <w:sz w:val="24"/>
          <w:szCs w:val="24"/>
          <w:u w:color="000000"/>
        </w:rPr>
        <w:t xml:space="preserve"> Prokuroru nodaļa ziņo, ka uz prokuroriem, kuri balsoja pret ģenerālprokurora un </w:t>
      </w:r>
      <w:r>
        <w:rPr>
          <w:rFonts w:ascii="Times New Roman" w:hAnsi="Times New Roman"/>
          <w:i/>
          <w:iCs/>
          <w:noProof/>
          <w:sz w:val="24"/>
          <w:szCs w:val="24"/>
          <w:u w:color="000000"/>
        </w:rPr>
        <w:t>DIICOT</w:t>
      </w:r>
      <w:r>
        <w:rPr>
          <w:rFonts w:ascii="Times New Roman" w:hAnsi="Times New Roman"/>
          <w:noProof/>
          <w:sz w:val="24"/>
          <w:szCs w:val="24"/>
          <w:u w:color="000000"/>
        </w:rPr>
        <w:t xml:space="preserve"> galvenā prokurora amata kandidātiem, izdarīja spiedienu </w:t>
      </w:r>
      <w:r>
        <w:rPr>
          <w:rFonts w:ascii="Times New Roman" w:hAnsi="Times New Roman"/>
          <w:i/>
          <w:iCs/>
          <w:noProof/>
          <w:sz w:val="24"/>
          <w:szCs w:val="24"/>
          <w:u w:color="000000"/>
        </w:rPr>
        <w:t>SIIJ</w:t>
      </w:r>
      <w:r>
        <w:rPr>
          <w:rFonts w:ascii="Times New Roman" w:hAnsi="Times New Roman"/>
          <w:noProof/>
          <w:sz w:val="24"/>
          <w:szCs w:val="24"/>
          <w:u w:color="000000"/>
        </w:rPr>
        <w:t>.</w:t>
      </w:r>
      <w:r>
        <w:rPr>
          <w:rFonts w:ascii="Times New Roman" w:hAnsi="Times New Roman"/>
          <w:noProof/>
          <w:sz w:val="24"/>
          <w:szCs w:val="24"/>
          <w:u w:color="000000"/>
          <w:vertAlign w:val="superscript"/>
        </w:rPr>
        <w:footnoteReference w:id="48"/>
      </w:r>
      <w:r>
        <w:rPr>
          <w:rFonts w:ascii="Times New Roman" w:hAnsi="Times New Roman"/>
          <w:b/>
          <w:noProof/>
          <w:sz w:val="24"/>
          <w:szCs w:val="24"/>
          <w:u w:color="000000"/>
        </w:rPr>
        <w:t xml:space="preserve"> </w:t>
      </w:r>
      <w:r>
        <w:rPr>
          <w:rFonts w:ascii="Times New Roman" w:hAnsi="Times New Roman"/>
          <w:noProof/>
          <w:sz w:val="24"/>
          <w:szCs w:val="24"/>
        </w:rPr>
        <w:t xml:space="preserve">2020. gadā bija arī citi gadījumi, kad tieslietu ministrs neņēma vērā </w:t>
      </w:r>
      <w:r>
        <w:rPr>
          <w:rFonts w:ascii="Times New Roman" w:hAnsi="Times New Roman"/>
          <w:i/>
          <w:iCs/>
          <w:noProof/>
          <w:sz w:val="24"/>
          <w:szCs w:val="24"/>
        </w:rPr>
        <w:t>SCM</w:t>
      </w:r>
      <w:r>
        <w:rPr>
          <w:rFonts w:ascii="Times New Roman" w:hAnsi="Times New Roman"/>
          <w:noProof/>
          <w:sz w:val="24"/>
          <w:szCs w:val="24"/>
        </w:rPr>
        <w:t xml:space="preserve"> viedokli saistībā ar vadošo amatpersonu vietnieku amatiem.</w:t>
      </w:r>
      <w:r>
        <w:rPr>
          <w:rStyle w:val="FootnoteReference"/>
          <w:rFonts w:ascii="Times New Roman" w:hAnsi="Times New Roman"/>
          <w:noProof/>
          <w:sz w:val="24"/>
          <w:szCs w:val="24"/>
          <w:u w:color="000000"/>
        </w:rPr>
        <w:footnoteReference w:id="49"/>
      </w:r>
    </w:p>
    <w:p>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Procedūra augstākā līmeņa prokuroru atstādināšanai no amata ir cieši saistīta ar amatā iecelšanas procesu. 2018. gadā notikušo bijušā </w:t>
      </w:r>
      <w:r>
        <w:rPr>
          <w:rFonts w:ascii="Times New Roman" w:hAnsi="Times New Roman"/>
          <w:i/>
          <w:iCs/>
          <w:noProof/>
          <w:sz w:val="24"/>
          <w:szCs w:val="24"/>
        </w:rPr>
        <w:t>DNA</w:t>
      </w:r>
      <w:r>
        <w:rPr>
          <w:rFonts w:ascii="Times New Roman" w:hAnsi="Times New Roman"/>
          <w:noProof/>
          <w:sz w:val="24"/>
          <w:szCs w:val="24"/>
        </w:rPr>
        <w:t xml:space="preserve"> galvenā prokurora atbrīvošanu no amata</w:t>
      </w:r>
      <w:r>
        <w:rPr>
          <w:rFonts w:ascii="Times New Roman" w:eastAsia="Times New Roman" w:hAnsi="Times New Roman"/>
          <w:noProof/>
          <w:sz w:val="24"/>
          <w:szCs w:val="24"/>
          <w:vertAlign w:val="superscript"/>
          <w:lang w:eastAsia="fr-FR"/>
        </w:rPr>
        <w:footnoteReference w:id="50"/>
      </w:r>
      <w:r>
        <w:rPr>
          <w:rFonts w:ascii="Times New Roman" w:hAnsi="Times New Roman"/>
          <w:noProof/>
          <w:sz w:val="24"/>
          <w:szCs w:val="24"/>
        </w:rPr>
        <w:t xml:space="preserve"> ir izskatījusi Eiropas Cilvēktiesību tiesa (ECT). Tika konstatēts, ka Rumānija ir pārkāpusi tiesības uz taisnīgu tiesu un vārda brīvību, kā noteikts Eiropas Cilvēktiesību konvencijas 6. panta 1. punktā un 10. pantā.</w:t>
      </w:r>
      <w:r>
        <w:rPr>
          <w:rStyle w:val="FootnoteReference"/>
          <w:rFonts w:ascii="Times New Roman" w:eastAsia="Times New Roman" w:hAnsi="Times New Roman"/>
          <w:noProof/>
          <w:sz w:val="24"/>
          <w:szCs w:val="24"/>
          <w:lang w:eastAsia="fr-FR"/>
        </w:rPr>
        <w:footnoteReference w:id="51"/>
      </w:r>
      <w:r>
        <w:rPr>
          <w:rFonts w:ascii="Times New Roman" w:hAnsi="Times New Roman"/>
          <w:noProof/>
          <w:sz w:val="24"/>
          <w:szCs w:val="24"/>
        </w:rPr>
        <w:t xml:space="preserve"> ECT lēma, ka bijušajam galvenajam prokuroram nebija iespējas faktiski apstrīdēt tiesā iemeslus, uz kuru pamata viņš tika atbrīvots no amata. Tā arī vērsa uzmanību uz arvien lielāko nozīmi, kas tiek piešķirta tādas iestādes intervencei, kura ir neatkarīga no izpildvaras un likumdevēja saistībā ar lēmumiem, kuri ietekmē prokuroru iecelšanu un atcelšanu. Tā arī norādīja uz risku, ka šai atbrīvošanai no amata varētu būt atturoša ietekme attiecībā uz maģistrātu gatavību piedalīties publiskās debatēs par tiesu varu. Rumānijas valdība nesen ir sagatavojusi rīcības plānu šā sprieduma izpildei</w:t>
      </w:r>
      <w:r>
        <w:rPr>
          <w:rFonts w:ascii="Times New Roman" w:eastAsia="Times New Roman" w:hAnsi="Times New Roman"/>
          <w:noProof/>
          <w:sz w:val="24"/>
          <w:szCs w:val="24"/>
          <w:vertAlign w:val="superscript"/>
          <w:lang w:eastAsia="fr-FR"/>
        </w:rPr>
        <w:footnoteReference w:id="52"/>
      </w:r>
      <w:r>
        <w:rPr>
          <w:rFonts w:ascii="Times New Roman" w:hAnsi="Times New Roman"/>
          <w:noProof/>
          <w:sz w:val="24"/>
          <w:szCs w:val="24"/>
        </w:rPr>
        <w:t xml:space="preserve">, un tiesu likumu grozījumu projektos vadošo prokuroru atstādināšanas procedūrā ir papildus iekļauta izskatīšanas procedūra administratīvajā tiesā. </w:t>
      </w:r>
    </w:p>
    <w:p>
      <w:pPr>
        <w:spacing w:after="120" w:line="240" w:lineRule="auto"/>
        <w:jc w:val="both"/>
        <w:rPr>
          <w:rFonts w:ascii="Times New Roman" w:hAnsi="Times New Roman"/>
          <w:b/>
          <w:noProof/>
          <w:sz w:val="24"/>
          <w:szCs w:val="24"/>
        </w:rPr>
      </w:pPr>
      <w:r>
        <w:rPr>
          <w:rFonts w:ascii="Times New Roman" w:hAnsi="Times New Roman"/>
          <w:i/>
          <w:noProof/>
          <w:sz w:val="24"/>
          <w:szCs w:val="24"/>
        </w:rPr>
        <w:t>Kopumā SPM ieteikums par DNA galvenā prokurora iecelšanu ir īstenots. Pašlaik notiekošais likumdošanas process, ar kuru paredzēts grozīt tiesu likumus, ietver noteikumus, kuru mērķis ir īstenot atlikušos ieteikumus par prokuroru iecelšanu, un šo ieteikumu izpildi varēs izvērtēt, kad process būs noslēdzies.</w:t>
      </w:r>
      <w:r>
        <w:rPr>
          <w:rFonts w:ascii="Times New Roman" w:hAnsi="Times New Roman"/>
          <w:b/>
          <w:noProof/>
          <w:sz w:val="24"/>
          <w:szCs w:val="24"/>
        </w:rPr>
        <w:t xml:space="preserve"> </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Rīcības kodeksi</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ieteikums: nodrošināt, ka deputātu Rīcības kodeksā, kas patlaban tiek izstrādāts parlamentā, ir ietverti skaidri noteikumi par savstarpēju cieņu iestāžu starpā un tajā ir skaidri norādīts, ka deputātiem un parlamentārajam procesam ir jārespektē tiesu iestāžu neatkarība. Līdzīgu Rīcības kodeksu varētu pieņemt arī ministriem.</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Kopš 2017. gada beigām ir ieviests deputātu Rīcības kodekss.</w:t>
      </w:r>
      <w:r>
        <w:rPr>
          <w:rFonts w:ascii="Times New Roman" w:hAnsi="Times New Roman"/>
          <w:noProof/>
          <w:sz w:val="24"/>
          <w:szCs w:val="24"/>
          <w:vertAlign w:val="superscript"/>
        </w:rPr>
        <w:footnoteReference w:id="53"/>
      </w:r>
      <w:r>
        <w:rPr>
          <w:rFonts w:ascii="Times New Roman" w:hAnsi="Times New Roman"/>
          <w:noProof/>
          <w:sz w:val="24"/>
          <w:szCs w:val="24"/>
        </w:rPr>
        <w:t xml:space="preserve"> 2018. un 2019. gada ziņojumos tika konstatēts, ka, tā kā trūkst precīzu noteikumu par tiesu iestāžu neatkarības ievērošanu, kodekss vēl nav izpildījis savu uzdevumu.</w:t>
      </w:r>
      <w:r>
        <w:rPr>
          <w:rFonts w:ascii="Times New Roman" w:hAnsi="Times New Roman"/>
          <w:noProof/>
          <w:sz w:val="24"/>
          <w:szCs w:val="24"/>
          <w:vertAlign w:val="superscript"/>
        </w:rPr>
        <w:footnoteReference w:id="54"/>
      </w:r>
      <w:r>
        <w:rPr>
          <w:rFonts w:ascii="Times New Roman" w:hAnsi="Times New Roman"/>
          <w:noProof/>
          <w:sz w:val="24"/>
          <w:szCs w:val="24"/>
        </w:rPr>
        <w:t xml:space="preserve"> Kopš pēdējā ziņojuma sagatavošanas par jaunumiem saistībā ar kodeksa piemērošanu nav ziņots. Plašsaziņas līdzekļos joprojām parādījās informācija par tiesu iestāžu neatkarības neievērošanu parlamentārajos procesos un dažu parlamenta deputātu pausta tiesu sistēmas un atsevišķu maģistrātu kritiku</w:t>
      </w:r>
      <w:r>
        <w:rPr>
          <w:rFonts w:ascii="Times New Roman" w:eastAsia="SimSun" w:hAnsi="Times New Roman"/>
          <w:noProof/>
          <w:sz w:val="24"/>
          <w:szCs w:val="24"/>
          <w:vertAlign w:val="superscript"/>
        </w:rPr>
        <w:footnoteReference w:id="55"/>
      </w:r>
      <w:r>
        <w:rPr>
          <w:rFonts w:ascii="Times New Roman" w:hAnsi="Times New Roman"/>
          <w:noProof/>
          <w:sz w:val="24"/>
          <w:szCs w:val="24"/>
        </w:rPr>
        <w:t xml:space="preserve">, lai gan, salīdzinot ar laikposmu no 2017. līdz 2019. gadam, šādu uzbrukumu bija mazāk un tie nebija tik agresīvi. </w:t>
      </w:r>
    </w:p>
    <w:p>
      <w:pPr>
        <w:spacing w:after="120" w:line="240" w:lineRule="auto"/>
        <w:jc w:val="both"/>
        <w:rPr>
          <w:rFonts w:ascii="Times New Roman" w:hAnsi="Times New Roman"/>
          <w:noProof/>
          <w:sz w:val="24"/>
          <w:szCs w:val="24"/>
        </w:rPr>
      </w:pPr>
      <w:r>
        <w:rPr>
          <w:rFonts w:ascii="Times New Roman" w:hAnsi="Times New Roman"/>
          <w:noProof/>
          <w:sz w:val="24"/>
          <w:szCs w:val="24"/>
        </w:rPr>
        <w:t>Komisija arī bija ierosinājusi, ka būtu lietderīgi, ka ministru rīcības kodekss kalpotu tam pašam mērķim, un 2019. gada aprīlī valdība grozīja ministru rīcības kodeksu, lai tajā iekļautu skaidru norādi par nepieciešamību ievērot tiesu iestāžu neatkarību. Kopš pēdējā SPM ziņojuma ir bijuši vairāki gadījumi, kad Tiesnešu augstākā padome (</w:t>
      </w:r>
      <w:r>
        <w:rPr>
          <w:rFonts w:ascii="Times New Roman" w:hAnsi="Times New Roman"/>
          <w:i/>
          <w:iCs/>
          <w:noProof/>
          <w:sz w:val="24"/>
          <w:szCs w:val="24"/>
        </w:rPr>
        <w:t>SCM</w:t>
      </w:r>
      <w:r>
        <w:rPr>
          <w:rFonts w:ascii="Times New Roman" w:hAnsi="Times New Roman"/>
          <w:noProof/>
          <w:sz w:val="24"/>
          <w:szCs w:val="24"/>
        </w:rPr>
        <w:t>) konstatējusi, ka valdības locekļa pausta kritika, iespējams, apdraud tiesu iestāžu neatkarību, taču ievērojami mazāk nekā iepriekšējos gados.</w:t>
      </w:r>
      <w:r>
        <w:rPr>
          <w:rFonts w:ascii="Times New Roman" w:eastAsia="SimSun" w:hAnsi="Times New Roman"/>
          <w:noProof/>
          <w:sz w:val="24"/>
          <w:szCs w:val="24"/>
          <w:vertAlign w:val="superscript"/>
        </w:rPr>
        <w:footnoteReference w:id="56"/>
      </w:r>
      <w:r>
        <w:rPr>
          <w:rFonts w:ascii="Times New Roman" w:hAnsi="Times New Roman"/>
          <w:noProof/>
          <w:sz w:val="24"/>
          <w:szCs w:val="24"/>
        </w:rPr>
        <w:t xml:space="preserve"> Informācija par to, vai šādos gadījumos tikusi apspriesta valdības rīcības kodeksa ievērošana, netika saņemta. </w:t>
      </w:r>
    </w:p>
    <w:p>
      <w:pPr>
        <w:spacing w:after="120" w:line="240" w:lineRule="auto"/>
        <w:jc w:val="both"/>
        <w:rPr>
          <w:rFonts w:ascii="Times New Roman" w:hAnsi="Times New Roman"/>
          <w:i/>
          <w:noProof/>
          <w:sz w:val="24"/>
          <w:szCs w:val="24"/>
        </w:rPr>
      </w:pPr>
      <w:r>
        <w:rPr>
          <w:rFonts w:ascii="Times New Roman" w:hAnsi="Times New Roman"/>
          <w:i/>
          <w:noProof/>
          <w:sz w:val="24"/>
          <w:szCs w:val="24"/>
        </w:rPr>
        <w:t>Ņemot vērā iepriekšējā sasaukuma parlamenta rīcību attiecībā uz tiesu iestāžu neatkarību, šo ieteikumu nevarēja uzskatīt par īstenotu. Jaunā parlamenta pilnvaru termiņš sākās 2021. gada sākumā, un gaidāmās debates par tieslietu jautājumiem parlamentam sniedz jaunu iespēju pareizi piemērot rīcības kodeksu, lai sasniegtu ieteikumā pausto mērķi ievērot tiesu iestāžu neatkarību.</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Civilprocesa kodekss</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ieteikums: tieslietu ministram, Tiesnešu augstākajai padomei un Augstākajai kasācijas instancei būtu jāpabeidz rīcības plāns, lai nodrošinātu, ka var ievērot jauno termiņu atlikušo Civilprocesa kodeksa noteikumu īstenošanai.</w:t>
      </w:r>
    </w:p>
    <w:p>
      <w:pPr>
        <w:spacing w:after="120" w:line="240" w:lineRule="auto"/>
        <w:jc w:val="both"/>
        <w:rPr>
          <w:rFonts w:ascii="Times New Roman" w:hAnsi="Times New Roman"/>
          <w:noProof/>
          <w:sz w:val="24"/>
          <w:szCs w:val="24"/>
        </w:rPr>
      </w:pPr>
      <w:r>
        <w:rPr>
          <w:rFonts w:ascii="Times New Roman" w:hAnsi="Times New Roman"/>
          <w:noProof/>
          <w:sz w:val="24"/>
          <w:szCs w:val="24"/>
        </w:rPr>
        <w:t>Šis ieteikums attiecās uz Civilprocesa kodeksa reformas pabeigšanu, kuras ietvaros jo īpaši bija paredzēts ieviest padomes palātas posmu civilprocesā un noteiktos gadījumos — apelācijas procedūrās. 2018. gadā šī reforma tika atcelta.</w:t>
      </w:r>
      <w:r>
        <w:rPr>
          <w:rFonts w:ascii="Times New Roman" w:hAnsi="Times New Roman"/>
          <w:noProof/>
          <w:sz w:val="24"/>
          <w:szCs w:val="24"/>
          <w:vertAlign w:val="superscript"/>
        </w:rPr>
        <w:footnoteReference w:id="57"/>
      </w:r>
      <w:r>
        <w:rPr>
          <w:rFonts w:ascii="Times New Roman" w:hAnsi="Times New Roman"/>
          <w:noProof/>
          <w:sz w:val="24"/>
          <w:szCs w:val="24"/>
        </w:rPr>
        <w:t xml:space="preserve"> 2019. gada SPM ziņojumā tika secināts, ka tam būtu jāsniedz iespēja pavērt iespēju saglabāt stabilitāti šajā tiesu sistēmas jomā. </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Šo ieteikumu nevar uzskatīt par īstenotu. Tiesvedības efektivitāte un kvalitāte pašlaik tiek izskatīta saistībā ar ziņojumu par tiesiskumu.  </w:t>
      </w:r>
    </w:p>
    <w:p>
      <w:pPr>
        <w:spacing w:after="0" w:line="240" w:lineRule="auto"/>
        <w:jc w:val="both"/>
        <w:rPr>
          <w:rFonts w:ascii="Times New Roman" w:hAnsi="Times New Roman"/>
          <w:b/>
          <w:i/>
          <w:noProof/>
          <w:sz w:val="24"/>
          <w:szCs w:val="24"/>
        </w:rPr>
      </w:pPr>
      <w:r>
        <w:rPr>
          <w:rFonts w:ascii="Times New Roman" w:hAnsi="Times New Roman"/>
          <w:b/>
          <w:i/>
          <w:noProof/>
          <w:sz w:val="24"/>
          <w:szCs w:val="24"/>
        </w:rPr>
        <w:t>Kriminālkodekss un Kriminālprocesa kodekss</w:t>
      </w:r>
    </w:p>
    <w:tbl>
      <w:tblPr>
        <w:tblStyle w:val="TableGrid"/>
        <w:tblpPr w:leftFromText="141" w:rightFromText="141" w:vertAnchor="text" w:horzAnchor="margin" w:tblpY="154"/>
        <w:tblW w:w="0" w:type="auto"/>
        <w:tblLook w:val="04A0" w:firstRow="1" w:lastRow="0" w:firstColumn="1" w:lastColumn="0" w:noHBand="0" w:noVBand="1"/>
      </w:tblPr>
      <w:tblGrid>
        <w:gridCol w:w="9145"/>
      </w:tblGrid>
      <w:tr>
        <w:tc>
          <w:tcPr>
            <w:tcW w:w="9288" w:type="dxa"/>
          </w:tcPr>
          <w:p>
            <w:pPr>
              <w:numPr>
                <w:ilvl w:val="0"/>
                <w:numId w:val="14"/>
              </w:numPr>
              <w:spacing w:after="120" w:line="240" w:lineRule="auto"/>
              <w:ind w:left="295" w:hanging="295"/>
              <w:contextualSpacing/>
              <w:jc w:val="both"/>
              <w:rPr>
                <w:rFonts w:ascii="Times New Roman" w:hAnsi="Times New Roman"/>
                <w:i/>
                <w:noProof/>
                <w:sz w:val="24"/>
                <w:szCs w:val="24"/>
              </w:rPr>
            </w:pPr>
            <w:r>
              <w:rPr>
                <w:rFonts w:ascii="Times New Roman" w:hAnsi="Times New Roman"/>
                <w:i/>
                <w:noProof/>
                <w:sz w:val="24"/>
                <w:szCs w:val="24"/>
              </w:rPr>
              <w:t>2018. gada ieteikums: iesaldēt Kriminālkodeksa un Kriminālprocesa kodeksa izmaiņu stāšanos spēkā.</w:t>
            </w:r>
          </w:p>
          <w:p>
            <w:pPr>
              <w:numPr>
                <w:ilvl w:val="0"/>
                <w:numId w:val="14"/>
              </w:numPr>
              <w:spacing w:after="120" w:line="240" w:lineRule="auto"/>
              <w:ind w:left="284" w:hanging="294"/>
              <w:contextualSpacing/>
              <w:jc w:val="both"/>
              <w:rPr>
                <w:rFonts w:ascii="Times New Roman" w:eastAsia="Times New Roman" w:hAnsi="Times New Roman"/>
                <w:noProof/>
                <w:sz w:val="24"/>
                <w:szCs w:val="24"/>
              </w:rPr>
            </w:pPr>
            <w:r>
              <w:rPr>
                <w:rFonts w:ascii="Times New Roman" w:hAnsi="Times New Roman"/>
                <w:i/>
                <w:noProof/>
                <w:sz w:val="24"/>
                <w:szCs w:val="24"/>
              </w:rPr>
              <w:t>2018. gada ieteikums: no jauna pārskatīt Kriminālkodeksu un Kriminālprocesa kodeksu, pilnībā ņemot vērā nepieciešamību panākt atbilstību ES tiesību aktiem un starptautiskiem korupcijas apkarošanas instrumentiem, kā arī ieteikumiem, kas izteikti SPM ietvaros un Venēcijas komisijas atzinumā.</w:t>
            </w:r>
          </w:p>
          <w:p>
            <w:pPr>
              <w:numPr>
                <w:ilvl w:val="0"/>
                <w:numId w:val="14"/>
              </w:numPr>
              <w:spacing w:after="120" w:line="240" w:lineRule="auto"/>
              <w:ind w:left="284" w:hanging="294"/>
              <w:contextualSpacing/>
              <w:jc w:val="both"/>
              <w:rPr>
                <w:rFonts w:ascii="Times New Roman" w:eastAsia="Times New Roman" w:hAnsi="Times New Roman"/>
                <w:noProof/>
                <w:sz w:val="24"/>
                <w:szCs w:val="24"/>
              </w:rPr>
            </w:pPr>
            <w:r>
              <w:rPr>
                <w:rFonts w:ascii="Times New Roman" w:hAnsi="Times New Roman"/>
                <w:i/>
                <w:noProof/>
                <w:sz w:val="24"/>
                <w:szCs w:val="24"/>
              </w:rPr>
              <w:t>2017. gada ieteikums: Rumānijas kriminālkodeksu reformas pašreizējais posms būtu jāpabeidz, parlamentam virzot uz priekšu tā plānus pieņemt grozījumus, kurus valdība iesniedza 2016. gadā pēc apspriešanās ar tiesu iestādēm.</w:t>
            </w:r>
          </w:p>
        </w:tc>
      </w:tr>
    </w:tbl>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2019. gada aprīlī parlaments steidzamības kārtībā pieņēma Kriminālkodeksa un Kriminālprocesa kodeksa, kā arī īpašā likuma par korupciju grozījumus, radot nopietnas bažas par noziegumu izmeklēšanu un sodu piemērošanu par tiem — gan kopumā, gan konkrēti attiecībā uz noziegumiem, kas saistīti ar korupciju. Par šiem grozījumiem tika saņemta plaša kritika, un tos visus 2019. gada jūlijā atzina par antikonstitucionāliem.</w:t>
      </w:r>
      <w:r>
        <w:rPr>
          <w:rFonts w:ascii="Times New Roman" w:hAnsi="Times New Roman"/>
          <w:noProof/>
          <w:sz w:val="24"/>
          <w:szCs w:val="24"/>
          <w:vertAlign w:val="superscript"/>
        </w:rPr>
        <w:footnoteReference w:id="58"/>
      </w:r>
      <w:r>
        <w:rPr>
          <w:rFonts w:ascii="Times New Roman" w:hAnsi="Times New Roman"/>
          <w:noProof/>
          <w:sz w:val="24"/>
          <w:szCs w:val="24"/>
        </w:rPr>
        <w:t xml:space="preserve"> Pateicoties šim lēmumam, minētie tiesību akti nestājās spēkā, taču tas, ka bija izdarīta politiska izvēle veikt šādus grozījumus, joprojām radīja bažas Komisijai un daudziem citiem novērotājiem,</w:t>
      </w:r>
      <w:r>
        <w:rPr>
          <w:rFonts w:ascii="Times New Roman" w:eastAsia="Times New Roman" w:hAnsi="Times New Roman"/>
          <w:noProof/>
          <w:sz w:val="24"/>
          <w:szCs w:val="24"/>
          <w:vertAlign w:val="superscript"/>
        </w:rPr>
        <w:footnoteReference w:id="59"/>
      </w:r>
      <w:r>
        <w:rPr>
          <w:rFonts w:ascii="Times New Roman" w:hAnsi="Times New Roman"/>
          <w:noProof/>
          <w:sz w:val="24"/>
          <w:szCs w:val="24"/>
        </w:rPr>
        <w:t xml:space="preserve"> vēl jo vairāk tādēļ, ka nenotika nepārprotama distancēšanās no šā politiskā virziena uzreiz pēc tiesas nolēmuma, un šo tiesību aktu projekti palika izskatīšanā parlamentā visa iepriekšējā sasaukuma laikā.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2021. gada martā abas jaunievēlētā parlamenta palātas galīgi noraidīja 2018. un 2019. gada grozījumus. Pirms tam 2020. gada maijā parlaments bija noraidījis arī septiņus problemātiskos Kriminālkodeksa un Kriminālprocesa kodeksa grozījumu projektus, ko bija iesnieguši parlamenta deputāti. </w:t>
      </w:r>
    </w:p>
    <w:p>
      <w:pPr>
        <w:spacing w:after="120" w:line="240" w:lineRule="auto"/>
        <w:jc w:val="both"/>
        <w:rPr>
          <w:noProof/>
          <w:sz w:val="24"/>
          <w:szCs w:val="24"/>
        </w:rPr>
      </w:pPr>
      <w:r>
        <w:rPr>
          <w:rFonts w:ascii="Times New Roman" w:hAnsi="Times New Roman"/>
          <w:noProof/>
          <w:sz w:val="24"/>
          <w:szCs w:val="24"/>
        </w:rPr>
        <w:t>Abiem minētajiem kodeksiem grozījumi joprojām ir nepieciešami. Pirmām kārtām tas nepieciešams, lai veiktu turpmākus pasākumus saistībā ar vairākiem tālejošiem nolēmumiem, ko Konstitucionālā tiesa pieņēmusi laikposmā no 2014. gada, ar kuriem ir atcelti abu kodeksu noteikumi un kas sevišķi ietekmējuši cīņu pret korupciju un organizēto noziedzību.</w:t>
      </w:r>
      <w:r>
        <w:rPr>
          <w:noProof/>
          <w:sz w:val="24"/>
          <w:szCs w:val="24"/>
        </w:rPr>
        <w:t xml:space="preserve"> </w:t>
      </w:r>
      <w:r>
        <w:rPr>
          <w:rFonts w:ascii="Times New Roman" w:hAnsi="Times New Roman"/>
          <w:noProof/>
          <w:sz w:val="24"/>
          <w:szCs w:val="24"/>
        </w:rPr>
        <w:t>Situācijā, kad trūkst stabilu leģislatīvu un politisku risinājumu, juridiskā nenoteiktība kavē dažu atsevišķu lietu virzību un rezultātā ietekmē cīņu pret korupciju.</w:t>
      </w:r>
    </w:p>
    <w:p>
      <w:pPr>
        <w:spacing w:after="120" w:line="240" w:lineRule="auto"/>
        <w:jc w:val="both"/>
        <w:rPr>
          <w:rFonts w:ascii="Times New Roman" w:hAnsi="Times New Roman"/>
          <w:noProof/>
          <w:sz w:val="24"/>
          <w:szCs w:val="24"/>
        </w:rPr>
      </w:pPr>
      <w:r>
        <w:rPr>
          <w:rFonts w:ascii="Times New Roman" w:hAnsi="Times New Roman"/>
          <w:noProof/>
          <w:sz w:val="24"/>
          <w:szCs w:val="24"/>
        </w:rPr>
        <w:t>No 2019. gada darbojas starpiestāžu darba grupa, kura pēta likumdošanas iniciatīvas nolūkā grozīt Kriminālkodeksu un Kriminālprocesa kodeksu un ierosināt kopējus risinājumus un nostājas no tiesu iestāžu puses.</w:t>
      </w:r>
      <w:r>
        <w:rPr>
          <w:rFonts w:ascii="Times New Roman" w:hAnsi="Times New Roman"/>
          <w:noProof/>
          <w:sz w:val="24"/>
          <w:szCs w:val="24"/>
          <w:vertAlign w:val="superscript"/>
        </w:rPr>
        <w:footnoteReference w:id="60"/>
      </w:r>
      <w:r>
        <w:rPr>
          <w:rFonts w:ascii="Times New Roman" w:hAnsi="Times New Roman"/>
          <w:noProof/>
          <w:sz w:val="24"/>
          <w:szCs w:val="24"/>
        </w:rPr>
        <w:t xml:space="preserve"> Šīs darba grupas sanāksmes 2020. gadā tika pārtrauktas Covid-19 pandēmijas dēļ, taču tagad tās ir atsākušās. Tieslietu ministrs darbu pie šiem abiem kodeksiem ir noteicis kā prioritāru, un darba grupas veiktais darbs būs pamats Kriminālkodeksa un Kriminālprocesa kodeksa pārskatīšanai. Valdība plāno iesniegt jauno aktu konsolidētās versijas parlamentam, kad būs pieņemti tiesu likumu grozījumi. </w:t>
      </w:r>
    </w:p>
    <w:p>
      <w:pPr>
        <w:spacing w:after="120" w:line="240" w:lineRule="auto"/>
        <w:jc w:val="both"/>
        <w:rPr>
          <w:rFonts w:ascii="Times New Roman" w:hAnsi="Times New Roman"/>
          <w:i/>
          <w:noProof/>
          <w:sz w:val="24"/>
          <w:szCs w:val="24"/>
        </w:rPr>
      </w:pPr>
      <w:r>
        <w:rPr>
          <w:rFonts w:ascii="Times New Roman" w:hAnsi="Times New Roman"/>
          <w:i/>
          <w:noProof/>
          <w:sz w:val="24"/>
          <w:szCs w:val="24"/>
        </w:rPr>
        <w:t>Šīs dažādās darbības faktiski nozīmē to, ka ir atcelti grozījumi, kas ieteikumos tika apzīmēti</w:t>
      </w:r>
      <w:r>
        <w:rPr>
          <w:rFonts w:ascii="Times New Roman" w:hAnsi="Times New Roman"/>
          <w:b/>
          <w:noProof/>
          <w:sz w:val="24"/>
          <w:szCs w:val="24"/>
        </w:rPr>
        <w:t xml:space="preserve"> </w:t>
      </w:r>
      <w:r>
        <w:rPr>
          <w:rFonts w:ascii="Times New Roman" w:hAnsi="Times New Roman"/>
          <w:i/>
          <w:noProof/>
          <w:sz w:val="24"/>
          <w:szCs w:val="24"/>
        </w:rPr>
        <w:t xml:space="preserve">kā regress. Tas ļauj sākt Kriminālkodeksa un Kriminālprocesa kodeksa pārskatīšanas procesu, lai veiktu turpmākus pasākumus saistībā ar Konstitucionālās tiesas nolēmumiem, pilnībā ņemot vērā nepieciešamību panākt atbilstību ES tiesību aktiem un starptautiskiem korupcijas apkarošanas instrumentiem, kā arī ieteikumiem, kas izteikti SPM ietvaros, un tajos norādītajā Venēcijas komisijas atzinumā. Rumānijas iestādes pašlaik veic sagatavošanās pasākumus. </w:t>
      </w:r>
    </w:p>
    <w:p>
      <w:pPr>
        <w:spacing w:after="120" w:line="240" w:lineRule="auto"/>
        <w:jc w:val="both"/>
        <w:rPr>
          <w:rFonts w:ascii="Times New Roman" w:eastAsia="SimSun" w:hAnsi="Times New Roman"/>
          <w:b/>
          <w:i/>
          <w:noProof/>
          <w:sz w:val="24"/>
          <w:szCs w:val="24"/>
        </w:rPr>
      </w:pPr>
      <w:r>
        <w:rPr>
          <w:rFonts w:ascii="Times New Roman" w:hAnsi="Times New Roman"/>
          <w:b/>
          <w:i/>
          <w:noProof/>
          <w:sz w:val="24"/>
          <w:szCs w:val="24"/>
        </w:rPr>
        <w:t>Likumdošanas process SPM jomā</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SPM ieteikums: lai vēl vairāk uzlabotu likumdošanas procesa pārredzamību un paredzamību un nostiprinātu iekšējos aizsardzības pasākumus neatgriezeniskuma interesēs, valdībai un parlamentam lēmumu pieņemšanā likumdošanas darbībās saistībā ar Kriminālkodeksu un Kriminālprocesa kodeksu, korupcijas jomas tiesību aktiem, integritātes jomas tiesību aktiem (amatu nesavienojamība, interešu konflikti, nepamatoti iegūti līdzekļi), tiesu likumiem (kas attiecas uz tiesu sistēmas organizāciju) un saistībā ar Civilkodeksu un Civilprocesa kodeksu būtu jānodrošina pilnīga pārredzamība un atbilstīgi jāņem vērā apspriedes ar attiecīgajām pārvaldes iestādēm un ieinteresētajām personām, iedvesmu smeļoties lēmumu pieņemšanas procesa pārredzamībā, ko valdība ieviesa 2016. gadā.</w:t>
      </w:r>
    </w:p>
    <w:p>
      <w:pPr>
        <w:spacing w:after="120" w:line="240" w:lineRule="auto"/>
        <w:jc w:val="both"/>
        <w:rPr>
          <w:rFonts w:ascii="Times New Roman" w:hAnsi="Times New Roman"/>
          <w:noProof/>
          <w:sz w:val="24"/>
          <w:szCs w:val="24"/>
        </w:rPr>
      </w:pPr>
      <w:r>
        <w:rPr>
          <w:rFonts w:ascii="Times New Roman" w:hAnsi="Times New Roman"/>
          <w:noProof/>
          <w:sz w:val="24"/>
          <w:szCs w:val="24"/>
        </w:rPr>
        <w:t>Ar šo ieteikumu tika atzīts, ka atklāts un stabils likumdošanas process ir vislabākais veids, kā nodrošināt, lai reformas būtu ilgtspējīgas un efektīvas.</w:t>
      </w:r>
      <w:r>
        <w:rPr>
          <w:rFonts w:ascii="Times New Roman" w:hAnsi="Times New Roman"/>
          <w:b/>
          <w:noProof/>
          <w:sz w:val="24"/>
          <w:szCs w:val="24"/>
          <w:vertAlign w:val="superscript"/>
        </w:rPr>
        <w:t xml:space="preserve"> </w:t>
      </w:r>
      <w:r>
        <w:rPr>
          <w:rFonts w:ascii="Times New Roman" w:hAnsi="Times New Roman"/>
          <w:noProof/>
          <w:sz w:val="24"/>
          <w:szCs w:val="24"/>
          <w:vertAlign w:val="superscript"/>
        </w:rPr>
        <w:footnoteReference w:id="61"/>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2019. gada maija referendumā lielākā daļa pilsoņu nobalsoja par valdības ārkārtas rīkojumu izmantošanas aizliegumu tieslietu jomā. Tas atspoguļo bažas par valdības ārkārtas rīkojumu pārmērīgu izmantošanu, un laikposmā no 2019. gada tie izmantoti vien dažos gadījumos.</w:t>
      </w:r>
      <w:r>
        <w:rPr>
          <w:rFonts w:ascii="Times New Roman" w:hAnsi="Times New Roman"/>
          <w:noProof/>
          <w:sz w:val="24"/>
          <w:szCs w:val="24"/>
          <w:vertAlign w:val="superscript"/>
        </w:rPr>
        <w:footnoteReference w:id="62"/>
      </w:r>
      <w:r>
        <w:rPr>
          <w:rFonts w:ascii="Times New Roman" w:hAnsi="Times New Roman"/>
          <w:noProof/>
          <w:sz w:val="24"/>
          <w:szCs w:val="24"/>
          <w:vertAlign w:val="superscript"/>
        </w:rPr>
        <w:t xml:space="preserve"> </w:t>
      </w:r>
    </w:p>
    <w:p>
      <w:pPr>
        <w:spacing w:after="120" w:line="240" w:lineRule="auto"/>
        <w:jc w:val="both"/>
        <w:rPr>
          <w:rFonts w:ascii="Times New Roman" w:hAnsi="Times New Roman"/>
          <w:iCs/>
          <w:noProof/>
          <w:sz w:val="24"/>
          <w:szCs w:val="24"/>
        </w:rPr>
      </w:pPr>
      <w:r>
        <w:rPr>
          <w:rFonts w:ascii="Times New Roman" w:hAnsi="Times New Roman"/>
          <w:noProof/>
          <w:sz w:val="24"/>
          <w:szCs w:val="24"/>
        </w:rPr>
        <w:t xml:space="preserve">Attiecībā uz procedūrām parlamentā kopš 2019. gada SPM ieteikuma ir ievērojami samazinājies tādu ārkārtas procedūru skaits, kas attiecas uz tiesu likumiem, Kriminālkodeksu un Kriminālprocesa kodeksu, kā arī tiesisko regulējumu par integritāti un cīņu pret korupciju. 2021. gada februārī parlaments noraidīja priekšlikumu izskatīt likumprojektu par </w:t>
      </w:r>
      <w:r>
        <w:rPr>
          <w:rFonts w:ascii="Times New Roman" w:hAnsi="Times New Roman"/>
          <w:i/>
          <w:iCs/>
          <w:noProof/>
          <w:sz w:val="24"/>
          <w:szCs w:val="24"/>
        </w:rPr>
        <w:t>SIIJ</w:t>
      </w:r>
      <w:r>
        <w:rPr>
          <w:rFonts w:ascii="Times New Roman" w:hAnsi="Times New Roman"/>
          <w:noProof/>
          <w:sz w:val="24"/>
          <w:szCs w:val="24"/>
        </w:rPr>
        <w:t xml:space="preserve"> likvidēšanu parlamenta ārkārtas procedūrā. Arī to gadījumu skaits, kad kādā no palātu komitejām ir virzīti pretrunīgi tiesību aktu projekti SPM jomā, ir bijis mazāks, un vēl retāk šādi projekti ir tikuši pieņemti. Viens izņēmums bija likums, ar ko atceļ īpašas pensijas, tostarp īpašas pensijas tiesnešiem un prokuroriem, ko Tiesnešu augstākā padome uzskatīja par tiesu varas ietekmēšanu. Galu galā to atzina par antikonstitucionālu.</w:t>
      </w:r>
      <w:r>
        <w:rPr>
          <w:rFonts w:ascii="Times New Roman" w:hAnsi="Times New Roman"/>
          <w:noProof/>
          <w:sz w:val="24"/>
          <w:szCs w:val="24"/>
          <w:vertAlign w:val="superscript"/>
        </w:rPr>
        <w:footnoteReference w:id="63"/>
      </w:r>
      <w:r>
        <w:rPr>
          <w:rFonts w:ascii="Times New Roman" w:hAnsi="Times New Roman"/>
          <w:noProof/>
          <w:sz w:val="24"/>
          <w:szCs w:val="24"/>
        </w:rPr>
        <w:t xml:space="preserve"> Tomēr, ņemot vērā parlamenta procedūru, saskaņā ar kuru grozījumi paliek iesniegti, līdz tos īpaši atsauc, izskatīšanai parlamentā ilgstoši ir iesniegti vairāki grozījumi, tai skaitā daži tādi</w:t>
      </w:r>
      <w:r>
        <w:rPr>
          <w:rFonts w:ascii="Times New Roman" w:hAnsi="Times New Roman"/>
          <w:iCs/>
          <w:noProof/>
          <w:sz w:val="24"/>
          <w:szCs w:val="24"/>
        </w:rPr>
        <w:t>, kas varētu nopietni traucēt tiesiskajam regulējumam novērst amatu nesavienojamības gadījumus un interešu konfliktus un piemērot par tiem sodus. Šajā kontekstā svarīga norāde uz progresu bija balsojums parlamentā, ar kuru noraidīja problemātiskos</w:t>
      </w:r>
      <w:r>
        <w:rPr>
          <w:rFonts w:ascii="Times New Roman" w:hAnsi="Times New Roman"/>
          <w:noProof/>
          <w:sz w:val="24"/>
          <w:szCs w:val="24"/>
        </w:rPr>
        <w:t xml:space="preserve"> Kriminālkodeksa un Kriminālprocesa kodeksa grozījumus. 2021. gada martā parlaments noraidīja arī vairākus citus iesniegtos grozījumus, kas radīja bažas par tiesiskā regulējuma integritāti </w:t>
      </w:r>
      <w:r>
        <w:rPr>
          <w:rFonts w:ascii="Times New Roman" w:hAnsi="Times New Roman"/>
          <w:iCs/>
          <w:noProof/>
          <w:sz w:val="24"/>
          <w:szCs w:val="24"/>
        </w:rPr>
        <w:t>(skatīt tālāk tekstā).</w:t>
      </w:r>
    </w:p>
    <w:p>
      <w:pPr>
        <w:spacing w:after="120" w:line="240" w:lineRule="auto"/>
        <w:jc w:val="both"/>
        <w:rPr>
          <w:rFonts w:ascii="Times New Roman" w:hAnsi="Times New Roman"/>
          <w:b/>
          <w:noProof/>
          <w:sz w:val="24"/>
          <w:szCs w:val="24"/>
        </w:rPr>
      </w:pPr>
      <w:r>
        <w:rPr>
          <w:rFonts w:ascii="Times New Roman" w:hAnsi="Times New Roman"/>
          <w:i/>
          <w:iCs/>
          <w:noProof/>
          <w:sz w:val="24"/>
          <w:szCs w:val="24"/>
        </w:rPr>
        <w:t>Likumdošanas process dažādiem reformu priekšlikumiem — par SIIJ, tiesu likumiem, un vēlāk Kriminālkodeksu un Kriminālprocesa kodeksu — ir iespēja parādīt, ka tiek īstenota ieteikumā rekomendētā pieeja.</w:t>
      </w:r>
      <w:r>
        <w:rPr>
          <w:rFonts w:ascii="Times New Roman" w:hAnsi="Times New Roman"/>
          <w:b/>
          <w:noProof/>
          <w:sz w:val="24"/>
          <w:szCs w:val="24"/>
        </w:rPr>
        <w:t xml:space="preserve"> </w:t>
      </w:r>
    </w:p>
    <w:p>
      <w:pPr>
        <w:spacing w:after="120" w:line="240" w:lineRule="auto"/>
        <w:jc w:val="both"/>
        <w:rPr>
          <w:rFonts w:ascii="Times New Roman" w:hAnsi="Times New Roman"/>
          <w:b/>
          <w:i/>
          <w:iCs/>
          <w:noProof/>
          <w:sz w:val="24"/>
          <w:szCs w:val="24"/>
        </w:rPr>
      </w:pPr>
      <w:r>
        <w:rPr>
          <w:rFonts w:ascii="Times New Roman" w:hAnsi="Times New Roman"/>
          <w:b/>
          <w:i/>
          <w:noProof/>
          <w:sz w:val="24"/>
          <w:szCs w:val="24"/>
        </w:rPr>
        <w:t>Valsts pārvaldes veikta tiesu nolēmumu īstenošana</w:t>
      </w:r>
    </w:p>
    <w:p>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SPM ieteikums: valdībai būtu jāievieš atbilstīgs rīcības plāns, lai risinātu jautājumu par tiesu nolēmumu īstenošanu un valsts pārvaldes piemēroto tiesu praksi, tostarp mehānisms precīzas statistikas sniegšanai, lai būtu iespējams veikt uzraudzību nākotnē. Tai būtu arī jāizstrādā iekšējās uzraudzības sistēma, iesaistot Tiesnešu augstāko padomi un Revīzijas palātu, lai nodrošinātu rīcības plāna pareizu īstenošanu.</w:t>
      </w:r>
    </w:p>
    <w:p>
      <w:pPr>
        <w:spacing w:after="120" w:line="240" w:lineRule="auto"/>
        <w:jc w:val="both"/>
        <w:rPr>
          <w:rFonts w:ascii="Times New Roman" w:eastAsia="MS Mincho" w:hAnsi="Times New Roman"/>
          <w:noProof/>
          <w:color w:val="000000"/>
          <w:sz w:val="24"/>
          <w:szCs w:val="24"/>
        </w:rPr>
      </w:pPr>
      <w:r>
        <w:rPr>
          <w:rFonts w:ascii="Times New Roman" w:hAnsi="Times New Roman"/>
          <w:noProof/>
          <w:color w:val="000000"/>
          <w:sz w:val="24"/>
          <w:szCs w:val="24"/>
        </w:rPr>
        <w:t>Tiesu nolēmumu ievērošana un īstenošana ir tiesu sistēmas efektivitātes neatņemama daļa.</w:t>
      </w:r>
      <w:r>
        <w:rPr>
          <w:rFonts w:ascii="Times New Roman" w:eastAsia="MS Mincho" w:hAnsi="Times New Roman"/>
          <w:noProof/>
          <w:color w:val="000000"/>
          <w:sz w:val="24"/>
          <w:szCs w:val="24"/>
          <w:vertAlign w:val="superscript"/>
        </w:rPr>
        <w:footnoteReference w:id="64"/>
      </w:r>
      <w:r>
        <w:rPr>
          <w:rFonts w:ascii="Times New Roman" w:hAnsi="Times New Roman"/>
          <w:noProof/>
          <w:color w:val="000000"/>
          <w:sz w:val="24"/>
          <w:szCs w:val="24"/>
        </w:rPr>
        <w:t xml:space="preserve"> Eiropas Cilvēktiesību tiesa 2005. gadā noteica sankcijas Rumānijai par to, ka </w:t>
      </w:r>
      <w:r>
        <w:rPr>
          <w:rFonts w:ascii="Times New Roman" w:hAnsi="Times New Roman"/>
          <w:noProof/>
          <w:sz w:val="24"/>
          <w:szCs w:val="24"/>
        </w:rPr>
        <w:t>valsts vai juridiskās personas, kuras darbojas valsts pārraudzībā, neizpilda valsts tiesu galīgos nolēmumus vai būtiski kavē to izpildi.</w:t>
      </w:r>
      <w:r>
        <w:rPr>
          <w:rFonts w:ascii="Times New Roman" w:hAnsi="Times New Roman"/>
          <w:noProof/>
          <w:sz w:val="24"/>
          <w:szCs w:val="24"/>
          <w:vertAlign w:val="superscript"/>
        </w:rPr>
        <w:footnoteReference w:id="65"/>
      </w:r>
      <w:r>
        <w:rPr>
          <w:rFonts w:ascii="Times New Roman" w:hAnsi="Times New Roman"/>
          <w:noProof/>
          <w:sz w:val="24"/>
          <w:szCs w:val="24"/>
        </w:rPr>
        <w:t xml:space="preserve"> Tā joprojām ir problēma — 2016. gadā </w:t>
      </w:r>
      <w:r>
        <w:rPr>
          <w:rFonts w:ascii="Times New Roman" w:hAnsi="Times New Roman"/>
          <w:noProof/>
          <w:color w:val="000000"/>
          <w:sz w:val="24"/>
          <w:szCs w:val="24"/>
        </w:rPr>
        <w:t>Rumānija ierosināja Eiropas Padomes Ministru komitejai rīcības plānu par tiesas nolēmumu, kas vērsti pret valsti, nepildīšanas vai kavētas izpildes strukturālo problēmu risināšanu.</w:t>
      </w:r>
      <w:r>
        <w:rPr>
          <w:rFonts w:ascii="Times New Roman" w:eastAsia="MS Mincho" w:hAnsi="Times New Roman"/>
          <w:noProof/>
          <w:color w:val="000000"/>
          <w:sz w:val="24"/>
          <w:szCs w:val="24"/>
          <w:vertAlign w:val="superscript"/>
        </w:rPr>
        <w:footnoteReference w:id="66"/>
      </w:r>
      <w:r>
        <w:rPr>
          <w:rFonts w:ascii="Times New Roman" w:hAnsi="Times New Roman"/>
          <w:noProof/>
          <w:color w:val="000000"/>
          <w:sz w:val="24"/>
          <w:szCs w:val="24"/>
        </w:rPr>
        <w:t xml:space="preserve"> Šim rīcības plānam un Eiropas Padomes Ministru komitejas pieprasītajiem papildu pasākumiem ir tieša saistība ar šā ieteikuma īstenošanu.</w:t>
      </w:r>
      <w:r>
        <w:rPr>
          <w:rFonts w:ascii="Times New Roman" w:eastAsia="MS Mincho" w:hAnsi="Times New Roman"/>
          <w:noProof/>
          <w:color w:val="000000"/>
          <w:sz w:val="24"/>
          <w:szCs w:val="24"/>
          <w:vertAlign w:val="superscript"/>
        </w:rPr>
        <w:footnoteReference w:id="67"/>
      </w:r>
      <w:r>
        <w:rPr>
          <w:rFonts w:ascii="Times New Roman" w:hAnsi="Times New Roman"/>
          <w:noProof/>
          <w:sz w:val="24"/>
          <w:szCs w:val="24"/>
        </w:rPr>
        <w:t xml:space="preserve"> </w:t>
      </w:r>
    </w:p>
    <w:p>
      <w:pPr>
        <w:spacing w:after="120" w:line="240" w:lineRule="auto"/>
        <w:jc w:val="both"/>
        <w:rPr>
          <w:rFonts w:ascii="Times New Roman" w:eastAsia="MS Mincho" w:hAnsi="Times New Roman"/>
          <w:noProof/>
          <w:color w:val="000000"/>
          <w:sz w:val="24"/>
          <w:szCs w:val="24"/>
        </w:rPr>
      </w:pPr>
      <w:r>
        <w:rPr>
          <w:rFonts w:ascii="Times New Roman" w:hAnsi="Times New Roman"/>
          <w:noProof/>
          <w:color w:val="000000"/>
          <w:sz w:val="24"/>
          <w:szCs w:val="24"/>
        </w:rPr>
        <w:t>2019. gada SPM ziņojumā tika atzīmēts zināms progress un tika ziņots, ka 2019. gada aprīlī valdība apstiprināja pasākumu sarakstu un uzdeva atbildīgajām starpministriju darba grupām sagatavot tiesību aktu priekšlikumus šā rīcības plāna īstenošanai. Šie priekšlikumi ietvēra tiesiskā regulējuma grozījumus, kuru mērķis ir garantēt laicīgu izpildi un ieviest mehānismu tādu spriedumu novēlotas izpildes uzraudzībai un nepieļaušanai, kuru gadījumā parādnieks ir valsts.</w:t>
      </w:r>
      <w:r>
        <w:rPr>
          <w:rFonts w:ascii="Times New Roman" w:eastAsia="MS Mincho" w:hAnsi="Times New Roman"/>
          <w:noProof/>
          <w:color w:val="000000"/>
          <w:sz w:val="24"/>
          <w:szCs w:val="24"/>
          <w:vertAlign w:val="superscript"/>
          <w:lang w:val="en-US"/>
        </w:rPr>
        <w:footnoteReference w:id="68"/>
      </w:r>
      <w:r>
        <w:rPr>
          <w:rFonts w:ascii="Times New Roman" w:hAnsi="Times New Roman"/>
          <w:noProof/>
          <w:color w:val="000000"/>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color w:val="000000"/>
          <w:sz w:val="24"/>
          <w:szCs w:val="24"/>
        </w:rPr>
        <w:t>Tomēr neviens no šiem pasākumiem nav ticis pieņemts vai īstenots.</w:t>
      </w:r>
      <w:r>
        <w:rPr>
          <w:rFonts w:ascii="Times New Roman" w:eastAsia="MS Mincho" w:hAnsi="Times New Roman"/>
          <w:noProof/>
          <w:color w:val="000000"/>
          <w:sz w:val="24"/>
          <w:szCs w:val="24"/>
          <w:vertAlign w:val="superscript"/>
          <w:lang w:val="en-US"/>
        </w:rPr>
        <w:footnoteReference w:id="69"/>
      </w:r>
      <w:r>
        <w:rPr>
          <w:rFonts w:ascii="Times New Roman" w:hAnsi="Times New Roman"/>
          <w:noProof/>
          <w:color w:val="000000"/>
          <w:sz w:val="24"/>
          <w:szCs w:val="24"/>
        </w:rPr>
        <w:t xml:space="preserve"> Atbildība ir novirzīta uz citu valdības struktūrvienību,</w:t>
      </w:r>
      <w:r>
        <w:rPr>
          <w:rFonts w:ascii="Times New Roman" w:eastAsia="MS Mincho" w:hAnsi="Times New Roman"/>
          <w:noProof/>
          <w:color w:val="000000"/>
          <w:sz w:val="24"/>
          <w:szCs w:val="24"/>
          <w:vertAlign w:val="superscript"/>
          <w:lang w:val="en-US"/>
        </w:rPr>
        <w:footnoteReference w:id="70"/>
      </w:r>
      <w:r>
        <w:rPr>
          <w:rFonts w:ascii="Times New Roman" w:hAnsi="Times New Roman"/>
          <w:noProof/>
          <w:color w:val="000000"/>
          <w:sz w:val="24"/>
          <w:szCs w:val="24"/>
        </w:rPr>
        <w:t xml:space="preserve"> un īpašai darba grupai ir uzdots ierosināt jaunus juridiskus risinājumus.</w:t>
      </w:r>
    </w:p>
    <w:p>
      <w:pPr>
        <w:spacing w:after="120" w:line="240" w:lineRule="auto"/>
        <w:jc w:val="both"/>
        <w:rPr>
          <w:rFonts w:ascii="Times New Roman" w:hAnsi="Times New Roman"/>
          <w:noProof/>
          <w:sz w:val="24"/>
          <w:szCs w:val="24"/>
        </w:rPr>
      </w:pPr>
      <w:r>
        <w:rPr>
          <w:rFonts w:ascii="Times New Roman" w:hAnsi="Times New Roman"/>
          <w:noProof/>
          <w:sz w:val="24"/>
          <w:szCs w:val="24"/>
        </w:rPr>
        <w:t>Kā tika uzsvērts arī Eiropas Padomes Ministru komitejā 2021. gada martā, lai varētu īstenot visaptverošus un ilgtspējīgus risinājumus, noteikti vajadzīga spēcīga politiska apņemšanās.</w:t>
      </w:r>
      <w:r>
        <w:rPr>
          <w:rFonts w:ascii="Times New Roman" w:eastAsia="MS Mincho" w:hAnsi="Times New Roman"/>
          <w:noProof/>
          <w:color w:val="000000"/>
          <w:sz w:val="24"/>
          <w:szCs w:val="24"/>
          <w:vertAlign w:val="superscript"/>
        </w:rPr>
        <w:footnoteReference w:id="71"/>
      </w:r>
      <w:r>
        <w:rPr>
          <w:rFonts w:ascii="Times New Roman" w:hAnsi="Times New Roman"/>
          <w:noProof/>
          <w:sz w:val="24"/>
          <w:szCs w:val="24"/>
        </w:rPr>
        <w:t xml:space="preserve"> </w:t>
      </w:r>
    </w:p>
    <w:p>
      <w:pPr>
        <w:spacing w:after="120" w:line="240" w:lineRule="auto"/>
        <w:jc w:val="both"/>
        <w:rPr>
          <w:rFonts w:ascii="Times New Roman" w:eastAsia="MS Mincho" w:hAnsi="Times New Roman"/>
          <w:i/>
          <w:noProof/>
          <w:color w:val="000000"/>
          <w:sz w:val="24"/>
          <w:szCs w:val="24"/>
        </w:rPr>
      </w:pPr>
      <w:r>
        <w:rPr>
          <w:rFonts w:ascii="Times New Roman" w:hAnsi="Times New Roman"/>
          <w:i/>
          <w:noProof/>
          <w:sz w:val="24"/>
          <w:szCs w:val="24"/>
        </w:rPr>
        <w:t xml:space="preserve">Kopš iepriekšējā ziņojuma sagatavošanas brīža saistībā ar šā ieteikuma īstenošanu jauni būtiski soļi nav sperti. </w:t>
      </w:r>
    </w:p>
    <w:p>
      <w:pPr>
        <w:spacing w:after="120" w:line="240" w:lineRule="auto"/>
        <w:rPr>
          <w:rFonts w:ascii="Times New Roman" w:hAnsi="Times New Roman"/>
          <w:b/>
          <w:i/>
          <w:noProof/>
          <w:sz w:val="24"/>
          <w:szCs w:val="24"/>
        </w:rPr>
      </w:pPr>
      <w:r>
        <w:rPr>
          <w:rFonts w:ascii="Times New Roman" w:hAnsi="Times New Roman"/>
          <w:b/>
          <w:i/>
          <w:noProof/>
          <w:sz w:val="24"/>
          <w:szCs w:val="24"/>
        </w:rPr>
        <w:t>Stratēģiskā tiesu pārvaldības grupa un rīcības plāns tieslietu jomā</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SPM ieteikums: stratēģiskajai tiesu pārvaldībai, t. i., tieslietu ministram, Tiesnešu augstākajai padomei, Augstākajai kasācijas instancei un ģenerālprokuroram būtu jānodrošina pieņemtā rīcības plāna īstenošana un jāievieš regulāri, vispārēji, publiski ziņojumi par tā īstenošanu, iekļaujot risinājumus tiesu darbinieku trūkuma, pārmērīgas darba slodzes un nolēmumu pamatojumu aizkavēšanās problēmām.</w:t>
      </w:r>
    </w:p>
    <w:p>
      <w:pPr>
        <w:spacing w:after="120" w:line="240" w:lineRule="auto"/>
        <w:jc w:val="both"/>
        <w:rPr>
          <w:rFonts w:ascii="Times New Roman" w:hAnsi="Times New Roman"/>
          <w:noProof/>
          <w:sz w:val="24"/>
          <w:szCs w:val="24"/>
        </w:rPr>
      </w:pPr>
      <w:r>
        <w:rPr>
          <w:rFonts w:ascii="Times New Roman" w:hAnsi="Times New Roman"/>
          <w:noProof/>
          <w:sz w:val="24"/>
          <w:szCs w:val="24"/>
        </w:rPr>
        <w:t>Stratēģiskā tiesu pārvaldības grupa tika izveidota 2017. gadā, lai risinātu nozīmīgus stratēģiskus ar tiesu sistēmu saistītus jautājumus, pulcējot svarīgāko par tiesu sistēmas darbību atbildīgo iestāžu pārstāvjus.</w:t>
      </w:r>
      <w:r>
        <w:rPr>
          <w:rFonts w:ascii="Times New Roman" w:hAnsi="Times New Roman"/>
          <w:noProof/>
          <w:sz w:val="24"/>
          <w:szCs w:val="24"/>
          <w:vertAlign w:val="superscript"/>
        </w:rPr>
        <w:footnoteReference w:id="72"/>
      </w:r>
      <w:r>
        <w:rPr>
          <w:rFonts w:ascii="Times New Roman" w:hAnsi="Times New Roman"/>
          <w:noProof/>
          <w:sz w:val="24"/>
          <w:szCs w:val="24"/>
        </w:rPr>
        <w:t xml:space="preserve"> Tā ir atbildīga arī par Tiesu sistēmas attīstības stratēģijas 2015.–2020. gadam rīcības plāna</w:t>
      </w:r>
      <w:r>
        <w:rPr>
          <w:rFonts w:ascii="Times New Roman" w:hAnsi="Times New Roman"/>
          <w:noProof/>
          <w:sz w:val="24"/>
          <w:szCs w:val="24"/>
          <w:vertAlign w:val="superscript"/>
        </w:rPr>
        <w:footnoteReference w:id="73"/>
      </w:r>
      <w:r>
        <w:rPr>
          <w:rFonts w:ascii="Times New Roman" w:hAnsi="Times New Roman"/>
          <w:noProof/>
          <w:sz w:val="24"/>
          <w:szCs w:val="24"/>
        </w:rPr>
        <w:t xml:space="preserve"> īstenošanu. Tika plānots, ka šis rīcības plāns kļūs par galveno tiesu sistēmas reformu īstenošanas virzītājspēku, izmantojot SPM reformu stimulu. 2019. gada SPM ziņojumā tika konstatēts, ka stratēģiskā tiesu pārvaldības grupa nedarbojas, kā paredzēts, un ka rīcības plāns lielākoties netika īstenots.</w:t>
      </w:r>
      <w:r>
        <w:rPr>
          <w:rFonts w:ascii="Times New Roman" w:hAnsi="Times New Roman"/>
          <w:noProof/>
          <w:sz w:val="24"/>
          <w:szCs w:val="24"/>
          <w:vertAlign w:val="superscript"/>
        </w:rPr>
        <w:footnoteReference w:id="74"/>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Kopš 2019. gada pēc tam, kad laikposmā no 2017. līdz 2019. gadam tika pieņemti tiesu likumu grozījumi un mainīta politika, apstākļi, kādos tiesu sistēmai jāstrādā cilvēkresursu un organizācijas ziņā, ir turpinājuši pasliktināties. Joprojām saglabājas galvenās strukturālās problēmas, kuras minētas 2017. gada ziņojumā: tiesu darbinieku trūkums, pārmērīga darba slodze noteiktās tiesās un nolēmumu pamatojumu aizkavēšanās.</w:t>
      </w:r>
      <w:r>
        <w:rPr>
          <w:rStyle w:val="FootnoteReference"/>
          <w:rFonts w:ascii="Times New Roman" w:hAnsi="Times New Roman"/>
          <w:noProof/>
          <w:sz w:val="24"/>
          <w:szCs w:val="24"/>
        </w:rPr>
        <w:footnoteReference w:id="75"/>
      </w:r>
      <w:r>
        <w:rPr>
          <w:rFonts w:ascii="Times New Roman" w:hAnsi="Times New Roman"/>
          <w:noProof/>
          <w:sz w:val="24"/>
          <w:szCs w:val="24"/>
        </w:rPr>
        <w:t xml:space="preserve"> Lai gan 2019. gada beigās notika dažas Stratēģiskās tiesu pārvaldības grupas sanāksmes un varēja atsākties profesionāla sadarbība starp iestādēm, taustāmi rezultāti netika panākti. Tieslietu ministrs tagad ir atsācis sanāksmes, un ir notikušas pirmās diskusijas par Stratēģiskās tiesu pārvaldības grupas darbību un cilvēkresursu stratēģiju 2021.–2022. gadam.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Pašlaik tiek gatavots galīgais ziņojums par rīcības plāna īstenošanu, un tam vajadzētu palīdzēt noteikt nākamos nepieciešamos soļus un darbības, kas izriet no iepriekšējā plāna. </w:t>
      </w:r>
    </w:p>
    <w:p>
      <w:pPr>
        <w:spacing w:after="120" w:line="240" w:lineRule="auto"/>
        <w:jc w:val="both"/>
        <w:rPr>
          <w:rFonts w:ascii="Times New Roman" w:hAnsi="Times New Roman"/>
          <w:i/>
          <w:noProof/>
          <w:sz w:val="24"/>
          <w:szCs w:val="24"/>
        </w:rPr>
      </w:pPr>
      <w:r>
        <w:rPr>
          <w:rFonts w:ascii="Times New Roman" w:hAnsi="Times New Roman"/>
          <w:i/>
          <w:noProof/>
          <w:sz w:val="24"/>
          <w:szCs w:val="24"/>
        </w:rPr>
        <w:t>Svarīgs papildinājums pārskatītam tiesiskajam regulējumam tiesu likumu veidā būs jauns redzējums un jauna stratēģija tiesu sistēmas efektīvai un ilgtspējīgai attīstībai turpmākajos gados. Saskaņā ar to Stratēģiskā tiesu pārvaldības grupa arī kļūtu par aktīvu forumu, kas spēj risināt tiesu sistēmai nozīmīgus stratēģiskus jautājumus, veidojot vienprātību un uzticēšanos starp svarīgākajām tiesu un valdības iestādēm. Tas būtu nozīmīgs solis virzībā uz to, lai parādītu, ka pastāv ilgtspējīgas struktūras reformu turpināšanai pēc SPM pabeigšanas.</w:t>
      </w:r>
    </w:p>
    <w:p>
      <w:pPr>
        <w:keepNext/>
        <w:spacing w:after="120" w:line="240" w:lineRule="auto"/>
        <w:jc w:val="both"/>
        <w:rPr>
          <w:rFonts w:ascii="Times New Roman" w:hAnsi="Times New Roman"/>
          <w:b/>
          <w:noProof/>
          <w:sz w:val="24"/>
          <w:szCs w:val="24"/>
        </w:rPr>
      </w:pPr>
      <w:r>
        <w:rPr>
          <w:rFonts w:ascii="Times New Roman" w:hAnsi="Times New Roman"/>
          <w:b/>
          <w:i/>
          <w:noProof/>
          <w:sz w:val="24"/>
          <w:szCs w:val="24"/>
        </w:rPr>
        <w:t>Tiesnešu augstākās padomes pārredzamība un pārskatatbildība</w:t>
      </w:r>
      <w:r>
        <w:rPr>
          <w:rFonts w:ascii="Times New Roman" w:hAnsi="Times New Roman"/>
          <w:b/>
          <w:noProof/>
          <w:sz w:val="24"/>
          <w:szCs w:val="24"/>
        </w:rPr>
        <w:t xml:space="preserve"> </w:t>
      </w:r>
    </w:p>
    <w:p>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SPM ieteikums: jaunajai Tiesnešu augstākajai padomei</w:t>
      </w:r>
      <w:r>
        <w:rPr>
          <w:rFonts w:ascii="Times New Roman" w:hAnsi="Times New Roman"/>
          <w:noProof/>
          <w:sz w:val="24"/>
          <w:szCs w:val="24"/>
        </w:rPr>
        <w:t xml:space="preserve"> </w:t>
      </w:r>
      <w:r>
        <w:rPr>
          <w:rFonts w:ascii="Times New Roman" w:hAnsi="Times New Roman"/>
          <w:i/>
          <w:noProof/>
          <w:sz w:val="24"/>
          <w:szCs w:val="24"/>
        </w:rPr>
        <w:t>būtu jāsagatavo kolektīva programma tās pilnvaru termiņam, iekļaujot pasākumus, lai sekmētu pārredzamību un pārskatatbildību. Tajā būtu jāiekļauj stratēģija par sadarbību, paredzot regulāras, atklātas sanāksmes ar tiesnešu un prokuroru asamblejām visos līmeņos, kā arī ar pilsonisko sabiedrību un profesionālajām organizācijām, un jāparedz ikgadēju ziņojumu sniegšana, kuri tiks apspriesti tiesu un prokuroru ģenerālasamblejās.</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SPM ziņojumos ir pastāvīgi uzsvērts, ka ir svarīgi, lai Tiesnešu augstākā padome (</w:t>
      </w:r>
      <w:r>
        <w:rPr>
          <w:rFonts w:ascii="Times New Roman" w:hAnsi="Times New Roman"/>
          <w:i/>
          <w:iCs/>
          <w:noProof/>
          <w:sz w:val="24"/>
          <w:szCs w:val="24"/>
        </w:rPr>
        <w:t>SCM</w:t>
      </w:r>
      <w:r>
        <w:rPr>
          <w:rFonts w:ascii="Times New Roman" w:hAnsi="Times New Roman"/>
          <w:noProof/>
          <w:sz w:val="24"/>
          <w:szCs w:val="24"/>
        </w:rPr>
        <w:t xml:space="preserve">) dotu ieguldījumu reformu virzībā, paužot skaidras kolektīvas nostājas un vairojot uzticēšanos ar pārredzamības un pārskatatbildības palīdzību. 2018. un 2019. gada SPM ziņojumos tika paustas bažas par šo aspektu un tika atzīmēts, ka </w:t>
      </w:r>
      <w:r>
        <w:rPr>
          <w:rFonts w:ascii="Times New Roman" w:hAnsi="Times New Roman"/>
          <w:i/>
          <w:iCs/>
          <w:noProof/>
          <w:sz w:val="24"/>
          <w:szCs w:val="24"/>
        </w:rPr>
        <w:t>SCM</w:t>
      </w:r>
      <w:r>
        <w:rPr>
          <w:rFonts w:ascii="Times New Roman" w:hAnsi="Times New Roman"/>
          <w:noProof/>
          <w:sz w:val="24"/>
          <w:szCs w:val="24"/>
        </w:rPr>
        <w:t xml:space="preserve"> nostājas tādos jautājumos kā Tiesu iestādēs pastrādātu noziedzīgu nodarījumu izmeklēšanas nodaļa (</w:t>
      </w:r>
      <w:r>
        <w:rPr>
          <w:rFonts w:ascii="Times New Roman" w:hAnsi="Times New Roman"/>
          <w:i/>
          <w:iCs/>
          <w:noProof/>
          <w:sz w:val="24"/>
          <w:szCs w:val="24"/>
        </w:rPr>
        <w:t>SIIJ</w:t>
      </w:r>
      <w:r>
        <w:rPr>
          <w:rFonts w:ascii="Times New Roman" w:hAnsi="Times New Roman"/>
          <w:noProof/>
          <w:sz w:val="24"/>
          <w:szCs w:val="24"/>
        </w:rPr>
        <w:t xml:space="preserve">), iecelšana nozīmīgos amatos un tiesu neatkarības aizsargāšana ir radījusi bažas par tās institucionālo neatkarību un autoritāti. </w:t>
      </w:r>
      <w:r>
        <w:rPr>
          <w:rFonts w:ascii="Times New Roman" w:hAnsi="Times New Roman"/>
          <w:i/>
          <w:iCs/>
          <w:noProof/>
          <w:sz w:val="24"/>
          <w:szCs w:val="24"/>
        </w:rPr>
        <w:t>SCM</w:t>
      </w:r>
      <w:r>
        <w:rPr>
          <w:rFonts w:ascii="Times New Roman" w:hAnsi="Times New Roman"/>
          <w:noProof/>
          <w:sz w:val="24"/>
          <w:szCs w:val="24"/>
        </w:rPr>
        <w:t xml:space="preserve"> darbība kopš 2019. gada arvien ir vērtējama kā pretrunīga.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Viens svarīgs jautājums, kas rada bažas, ir </w:t>
      </w:r>
      <w:r>
        <w:rPr>
          <w:rFonts w:ascii="Times New Roman" w:hAnsi="Times New Roman"/>
          <w:i/>
          <w:iCs/>
          <w:noProof/>
          <w:sz w:val="24"/>
          <w:szCs w:val="24"/>
        </w:rPr>
        <w:t>SCM</w:t>
      </w:r>
      <w:r>
        <w:rPr>
          <w:rFonts w:ascii="Times New Roman" w:hAnsi="Times New Roman"/>
          <w:noProof/>
          <w:sz w:val="24"/>
          <w:szCs w:val="24"/>
        </w:rPr>
        <w:t xml:space="preserve"> spēja veidot vienprātību tiesu sistēmā un tādējādi konstruktīvi piedalīties svarīgu lēmumu pieņemšanā saistībā ar tiesu varas organizāciju un darbību. Viens no piemēriem, kas raksturo šīs bažas, ir lēmums konstruktīvi neiesaistīties tiesu iestāžu regulējošo tiesību aktu projektu izstrādē, ko Tieslietu ministrija uz sešu mēnešu sabiedrisko apspriešanu publicēja 2020. gada septembrī:</w:t>
      </w:r>
      <w:r>
        <w:rPr>
          <w:rFonts w:ascii="Times New Roman" w:eastAsia="SimSun" w:hAnsi="Times New Roman"/>
          <w:noProof/>
          <w:sz w:val="24"/>
          <w:szCs w:val="24"/>
          <w:vertAlign w:val="superscript"/>
        </w:rPr>
        <w:footnoteReference w:id="76"/>
      </w:r>
      <w:r>
        <w:rPr>
          <w:rFonts w:ascii="Times New Roman" w:hAnsi="Times New Roman"/>
          <w:noProof/>
          <w:sz w:val="24"/>
          <w:szCs w:val="24"/>
        </w:rPr>
        <w:t xml:space="preserve"> </w:t>
      </w:r>
      <w:r>
        <w:rPr>
          <w:rFonts w:ascii="Times New Roman" w:hAnsi="Times New Roman"/>
          <w:i/>
          <w:iCs/>
          <w:noProof/>
          <w:sz w:val="24"/>
          <w:szCs w:val="24"/>
        </w:rPr>
        <w:t>SCM</w:t>
      </w:r>
      <w:r>
        <w:rPr>
          <w:rFonts w:ascii="Times New Roman" w:hAnsi="Times New Roman"/>
          <w:noProof/>
          <w:sz w:val="24"/>
          <w:szCs w:val="24"/>
        </w:rPr>
        <w:t xml:space="preserve"> līdz sabiedriskās apspriešanas beigām tā arī publiski nepauda vienprātīgu viedokli.</w:t>
      </w:r>
      <w:r>
        <w:rPr>
          <w:rFonts w:ascii="Times New Roman" w:eastAsia="SimSun" w:hAnsi="Times New Roman"/>
          <w:noProof/>
          <w:sz w:val="24"/>
          <w:szCs w:val="24"/>
          <w:vertAlign w:val="superscript"/>
        </w:rPr>
        <w:footnoteReference w:id="77"/>
      </w:r>
      <w:r>
        <w:rPr>
          <w:rFonts w:ascii="Times New Roman" w:hAnsi="Times New Roman"/>
          <w:noProof/>
          <w:sz w:val="24"/>
          <w:szCs w:val="24"/>
        </w:rPr>
        <w:t xml:space="preserv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Cits piemērs, kas liecina, ka </w:t>
      </w:r>
      <w:r>
        <w:rPr>
          <w:rFonts w:ascii="Times New Roman" w:hAnsi="Times New Roman"/>
          <w:i/>
          <w:iCs/>
          <w:noProof/>
          <w:sz w:val="24"/>
          <w:szCs w:val="24"/>
        </w:rPr>
        <w:t>SCM</w:t>
      </w:r>
      <w:r>
        <w:rPr>
          <w:rFonts w:ascii="Times New Roman" w:hAnsi="Times New Roman"/>
          <w:noProof/>
          <w:sz w:val="24"/>
          <w:szCs w:val="24"/>
        </w:rPr>
        <w:t xml:space="preserve"> nav spējusi paust skaidru nostāju un dot ieguldījumu publiskajās debatēs, ir </w:t>
      </w:r>
      <w:r>
        <w:rPr>
          <w:rFonts w:ascii="Times New Roman" w:hAnsi="Times New Roman"/>
          <w:i/>
          <w:iCs/>
          <w:noProof/>
          <w:sz w:val="24"/>
          <w:szCs w:val="24"/>
        </w:rPr>
        <w:t>SCM</w:t>
      </w:r>
      <w:r>
        <w:rPr>
          <w:rFonts w:ascii="Times New Roman" w:hAnsi="Times New Roman"/>
          <w:noProof/>
          <w:sz w:val="24"/>
          <w:szCs w:val="24"/>
        </w:rPr>
        <w:t xml:space="preserve"> reakcija uz likumprojektu par </w:t>
      </w:r>
      <w:r>
        <w:rPr>
          <w:rFonts w:ascii="Times New Roman" w:hAnsi="Times New Roman"/>
          <w:i/>
          <w:iCs/>
          <w:noProof/>
          <w:sz w:val="24"/>
          <w:szCs w:val="24"/>
        </w:rPr>
        <w:t>SIIJ</w:t>
      </w:r>
      <w:r>
        <w:rPr>
          <w:rFonts w:ascii="Times New Roman" w:hAnsi="Times New Roman"/>
          <w:noProof/>
          <w:sz w:val="24"/>
          <w:szCs w:val="24"/>
        </w:rPr>
        <w:t xml:space="preserve"> likvidēšanu. Lai gan tieslietu ministra virzītais likumprojekts atbilda SPM, Venēcijas komisijas un </w:t>
      </w:r>
      <w:r>
        <w:rPr>
          <w:rFonts w:ascii="Times New Roman" w:hAnsi="Times New Roman"/>
          <w:i/>
          <w:iCs/>
          <w:noProof/>
          <w:sz w:val="24"/>
          <w:szCs w:val="24"/>
        </w:rPr>
        <w:t>GRECO</w:t>
      </w:r>
      <w:r>
        <w:rPr>
          <w:rFonts w:ascii="Times New Roman" w:hAnsi="Times New Roman"/>
          <w:noProof/>
          <w:sz w:val="24"/>
          <w:szCs w:val="24"/>
        </w:rPr>
        <w:t xml:space="preserve"> ieteikumiem, SCM sniedza negatīvu atzinumu par šo likumprojektu un prasīja ieviest jaunus drošības pasākumus, taču, neraugoties uz ilgstošajām debatēm par šo jautājumu, tā nespēja definēt, kādiem tiem būtu jābūt. Tas nozīmēja, ka par likumprojekta grozījumiem, ko izdarīja Deputātu palātā, kas reaģēja uz </w:t>
      </w:r>
      <w:r>
        <w:rPr>
          <w:rFonts w:ascii="Times New Roman" w:hAnsi="Times New Roman"/>
          <w:i/>
          <w:iCs/>
          <w:noProof/>
          <w:sz w:val="24"/>
          <w:szCs w:val="24"/>
        </w:rPr>
        <w:t>SCM</w:t>
      </w:r>
      <w:r>
        <w:rPr>
          <w:rFonts w:ascii="Times New Roman" w:hAnsi="Times New Roman"/>
          <w:noProof/>
          <w:sz w:val="24"/>
          <w:szCs w:val="24"/>
        </w:rPr>
        <w:t xml:space="preserve">, iekļaujot drošības pasākumus attiecībā uz apsūdzības procedūru saistībā ar korupcijā apsūdzētiem tiesnešiem vai prokuroriem, netika veikta iepriekšēja sabiedriska apspriešana. Kad tika publiskoti ierosinātie drošības pasākumi, tie izraisīja kritiku gan no </w:t>
      </w:r>
      <w:r>
        <w:rPr>
          <w:rFonts w:ascii="Times New Roman" w:hAnsi="Times New Roman"/>
          <w:i/>
          <w:iCs/>
          <w:noProof/>
          <w:sz w:val="24"/>
          <w:szCs w:val="24"/>
        </w:rPr>
        <w:t>SCM</w:t>
      </w:r>
      <w:r>
        <w:rPr>
          <w:rFonts w:ascii="Times New Roman" w:hAnsi="Times New Roman"/>
          <w:noProof/>
          <w:sz w:val="24"/>
          <w:szCs w:val="24"/>
        </w:rPr>
        <w:t xml:space="preserve">, gan pilsoniskās sabiedrības un lielākās daļas tiesnešu un prokuroru puses (skatīt arī iepriekš).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Bažas radījusi arī </w:t>
      </w:r>
      <w:r>
        <w:rPr>
          <w:rFonts w:ascii="Times New Roman" w:hAnsi="Times New Roman"/>
          <w:i/>
          <w:iCs/>
          <w:noProof/>
          <w:sz w:val="24"/>
          <w:szCs w:val="24"/>
        </w:rPr>
        <w:t>SCM</w:t>
      </w:r>
      <w:r>
        <w:rPr>
          <w:rFonts w:ascii="Times New Roman" w:hAnsi="Times New Roman"/>
          <w:noProof/>
          <w:sz w:val="24"/>
          <w:szCs w:val="24"/>
        </w:rPr>
        <w:t xml:space="preserve"> publiskā komunikācija, jo īpaši saistībā ar tiesu iestāžu neatkarību. 2017. gada janvāra ziņojumā tika atzīmēts, ka aktīva </w:t>
      </w:r>
      <w:r>
        <w:rPr>
          <w:rFonts w:ascii="Times New Roman" w:hAnsi="Times New Roman"/>
          <w:i/>
          <w:iCs/>
          <w:noProof/>
          <w:sz w:val="24"/>
          <w:szCs w:val="24"/>
        </w:rPr>
        <w:t>SCM</w:t>
      </w:r>
      <w:r>
        <w:rPr>
          <w:rFonts w:ascii="Times New Roman" w:hAnsi="Times New Roman"/>
          <w:noProof/>
          <w:sz w:val="24"/>
          <w:szCs w:val="24"/>
        </w:rPr>
        <w:t xml:space="preserve"> pieeja attiecībā uz tiesu iestāžu neatkarību ir bijis svarīgs elements virzībā uz pirmā kritērija izpildi. SPM ziņojumos ir norādīts, ka </w:t>
      </w:r>
      <w:r>
        <w:rPr>
          <w:rFonts w:ascii="Times New Roman" w:hAnsi="Times New Roman"/>
          <w:i/>
          <w:iCs/>
          <w:noProof/>
          <w:sz w:val="24"/>
          <w:szCs w:val="24"/>
        </w:rPr>
        <w:t>SCM</w:t>
      </w:r>
      <w:r>
        <w:rPr>
          <w:rFonts w:ascii="Times New Roman" w:hAnsi="Times New Roman"/>
          <w:noProof/>
          <w:sz w:val="24"/>
          <w:szCs w:val="24"/>
        </w:rPr>
        <w:t xml:space="preserve"> šajā jautājumā nav spējusi paust stingru nostāju. Kopš pēdējā ziņojuma </w:t>
      </w:r>
      <w:r>
        <w:rPr>
          <w:rFonts w:ascii="Times New Roman" w:hAnsi="Times New Roman"/>
          <w:i/>
          <w:iCs/>
          <w:noProof/>
          <w:sz w:val="24"/>
          <w:szCs w:val="24"/>
        </w:rPr>
        <w:t>SCM</w:t>
      </w:r>
      <w:r>
        <w:rPr>
          <w:rFonts w:ascii="Times New Roman" w:hAnsi="Times New Roman"/>
          <w:noProof/>
          <w:sz w:val="24"/>
          <w:szCs w:val="24"/>
        </w:rPr>
        <w:t xml:space="preserve"> aktivitāte, aizstāvot tiesu varas neatkarību, joprojām ir zema.</w:t>
      </w:r>
      <w:r>
        <w:rPr>
          <w:rFonts w:ascii="Times New Roman" w:eastAsia="SimSun" w:hAnsi="Times New Roman"/>
          <w:noProof/>
          <w:sz w:val="24"/>
          <w:szCs w:val="24"/>
          <w:vertAlign w:val="superscript"/>
        </w:rPr>
        <w:footnoteReference w:id="78"/>
      </w:r>
      <w:r>
        <w:rPr>
          <w:rFonts w:ascii="Times New Roman" w:hAnsi="Times New Roman"/>
          <w:noProof/>
          <w:sz w:val="24"/>
          <w:szCs w:val="24"/>
        </w:rPr>
        <w:t xml:space="preserve"> Tā nesniedza nekādus komentārus pēc ievērojamā Eiropas Cilvēktiesību tiesas 2020. gada maija nolēmuma, atsaucoties uz tiesu iestāžu neatkarību.</w:t>
      </w:r>
      <w:r>
        <w:rPr>
          <w:rStyle w:val="FootnoteReference"/>
          <w:rFonts w:ascii="Times New Roman" w:eastAsia="SimSun" w:hAnsi="Times New Roman"/>
          <w:noProof/>
          <w:sz w:val="24"/>
          <w:szCs w:val="24"/>
        </w:rPr>
        <w:footnoteReference w:id="79"/>
      </w:r>
      <w:r>
        <w:rPr>
          <w:rFonts w:ascii="Times New Roman" w:hAnsi="Times New Roman"/>
          <w:noProof/>
        </w:rPr>
        <w:t xml:space="preserve"> </w:t>
      </w:r>
      <w:r>
        <w:rPr>
          <w:rFonts w:ascii="Times New Roman" w:hAnsi="Times New Roman"/>
          <w:noProof/>
          <w:sz w:val="24"/>
          <w:szCs w:val="24"/>
        </w:rPr>
        <w:t xml:space="preserve">Turklāt nav bijis skaidrības attiecībā uz </w:t>
      </w:r>
      <w:r>
        <w:rPr>
          <w:rFonts w:ascii="Times New Roman" w:hAnsi="Times New Roman"/>
          <w:i/>
          <w:iCs/>
          <w:noProof/>
          <w:sz w:val="24"/>
          <w:szCs w:val="24"/>
        </w:rPr>
        <w:t>SCM</w:t>
      </w:r>
      <w:r>
        <w:rPr>
          <w:rFonts w:ascii="Times New Roman" w:hAnsi="Times New Roman"/>
          <w:noProof/>
          <w:sz w:val="24"/>
          <w:szCs w:val="24"/>
        </w:rPr>
        <w:t xml:space="preserve"> plēnuma, kas saskaņā ar Konstitūciju ir atbildīgs par tiesu sistēmas neatkarības aizsargāšanu un atzinumu sniegšanu par tiesību aktu priekšlikumiem, un tās nodaļu lomu. Daudzos gadījumos tiesu sistēmas neatkarības aizstāvības lomu ir uzņēmušās nodaļas, nevis plēnums.</w:t>
      </w:r>
      <w:r>
        <w:rPr>
          <w:rFonts w:ascii="Times New Roman" w:eastAsia="SimSun" w:hAnsi="Times New Roman"/>
          <w:noProof/>
          <w:sz w:val="24"/>
          <w:szCs w:val="24"/>
          <w:vertAlign w:val="superscript"/>
        </w:rPr>
        <w:footnoteReference w:id="80"/>
      </w:r>
      <w:r>
        <w:rPr>
          <w:rFonts w:ascii="Times New Roman" w:hAnsi="Times New Roman"/>
          <w:noProof/>
          <w:sz w:val="24"/>
          <w:szCs w:val="24"/>
        </w:rPr>
        <w:t xml:space="preserv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Tomēr ir arī bijuši gadījumi, kad </w:t>
      </w:r>
      <w:r>
        <w:rPr>
          <w:rFonts w:ascii="Times New Roman" w:hAnsi="Times New Roman"/>
          <w:i/>
          <w:iCs/>
          <w:noProof/>
          <w:sz w:val="24"/>
          <w:szCs w:val="24"/>
        </w:rPr>
        <w:t>SCM</w:t>
      </w:r>
      <w:r>
        <w:rPr>
          <w:rFonts w:ascii="Times New Roman" w:hAnsi="Times New Roman"/>
          <w:noProof/>
          <w:sz w:val="24"/>
          <w:szCs w:val="24"/>
        </w:rPr>
        <w:t xml:space="preserve"> ir spējusi pārvarēt tās iekšienē valdošās domstarpības un panākt rezultātus, piemēram, 2020. gadā, kad parlaments atcēla tiesnešu un prokuroru īpašās pensijas,</w:t>
      </w:r>
      <w:r>
        <w:rPr>
          <w:rFonts w:ascii="Times New Roman" w:eastAsia="SimSun" w:hAnsi="Times New Roman"/>
          <w:noProof/>
          <w:sz w:val="24"/>
          <w:szCs w:val="24"/>
          <w:vertAlign w:val="superscript"/>
        </w:rPr>
        <w:footnoteReference w:id="81"/>
      </w:r>
      <w:r>
        <w:rPr>
          <w:rFonts w:ascii="Times New Roman" w:hAnsi="Times New Roman"/>
          <w:noProof/>
          <w:sz w:val="24"/>
          <w:szCs w:val="24"/>
        </w:rPr>
        <w:t xml:space="preserve"> vai saistībā ar algām un pensijām 2021. gadā</w:t>
      </w:r>
      <w:r>
        <w:rPr>
          <w:rStyle w:val="FootnoteReference"/>
          <w:rFonts w:ascii="Times New Roman" w:eastAsia="SimSun" w:hAnsi="Times New Roman"/>
          <w:noProof/>
          <w:sz w:val="24"/>
          <w:szCs w:val="24"/>
        </w:rPr>
        <w:footnoteReference w:id="82"/>
      </w:r>
      <w:r>
        <w:rPr>
          <w:rFonts w:ascii="Times New Roman" w:hAnsi="Times New Roman"/>
          <w:noProof/>
          <w:sz w:val="24"/>
          <w:szCs w:val="24"/>
        </w:rPr>
        <w:t xml:space="preserve">. Tāpat </w:t>
      </w:r>
      <w:r>
        <w:rPr>
          <w:rFonts w:ascii="Times New Roman" w:hAnsi="Times New Roman"/>
          <w:i/>
          <w:iCs/>
          <w:noProof/>
          <w:sz w:val="24"/>
          <w:szCs w:val="24"/>
        </w:rPr>
        <w:t>SCM</w:t>
      </w:r>
      <w:r>
        <w:rPr>
          <w:rFonts w:ascii="Times New Roman" w:hAnsi="Times New Roman"/>
          <w:noProof/>
          <w:sz w:val="24"/>
          <w:szCs w:val="24"/>
        </w:rPr>
        <w:t xml:space="preserve"> deva pozitīvu ieguldījumu likumprojekta izstrādē 2021. gada februārī par konkursa organizēšanu pieņemšanai darbā 2021. gadā. Turklāt tā ir turpinājusi darbu ar valdību, lai iegūtu resursus tiesu un prokuratūru birojiem.</w:t>
      </w:r>
      <w:r>
        <w:rPr>
          <w:rFonts w:ascii="Times New Roman" w:eastAsia="SimSun" w:hAnsi="Times New Roman"/>
          <w:noProof/>
          <w:sz w:val="24"/>
          <w:szCs w:val="24"/>
          <w:vertAlign w:val="superscript"/>
        </w:rPr>
        <w:footnoteReference w:id="83"/>
      </w:r>
      <w:r>
        <w:rPr>
          <w:rFonts w:ascii="Times New Roman" w:hAnsi="Times New Roman"/>
          <w:noProof/>
          <w:sz w:val="24"/>
          <w:szCs w:val="24"/>
        </w:rPr>
        <w:t xml:space="preserve"> </w:t>
      </w:r>
    </w:p>
    <w:p>
      <w:pPr>
        <w:spacing w:after="120" w:line="240" w:lineRule="auto"/>
        <w:jc w:val="both"/>
        <w:rPr>
          <w:rFonts w:ascii="Times New Roman" w:eastAsia="SimSun" w:hAnsi="Times New Roman"/>
          <w:noProof/>
          <w:sz w:val="24"/>
          <w:szCs w:val="24"/>
        </w:rPr>
      </w:pPr>
      <w:r>
        <w:rPr>
          <w:rFonts w:ascii="Times New Roman" w:hAnsi="Times New Roman"/>
          <w:i/>
          <w:iCs/>
          <w:noProof/>
          <w:sz w:val="24"/>
          <w:szCs w:val="24"/>
        </w:rPr>
        <w:t>SCM</w:t>
      </w:r>
      <w:r>
        <w:rPr>
          <w:rFonts w:ascii="Times New Roman" w:hAnsi="Times New Roman"/>
          <w:noProof/>
          <w:sz w:val="24"/>
          <w:szCs w:val="24"/>
        </w:rPr>
        <w:t xml:space="preserve"> ir arī grozījusi savus noteikumus, lai uzlabotu piekļuvi publiski pieejamai informācijai, un publiskojusi to lēmumu projektus, par kuriem tiek balsots tās plēnumā vai nodaļās. Uz priekšu ir virzījušies svarīgi ES fondu finansēti projekti, tostarp Vienotā saziņas stratēģija.</w:t>
      </w:r>
      <w:r>
        <w:rPr>
          <w:rFonts w:ascii="Times New Roman" w:eastAsia="SimSun" w:hAnsi="Times New Roman"/>
          <w:noProof/>
          <w:sz w:val="24"/>
          <w:szCs w:val="24"/>
          <w:vertAlign w:val="superscript"/>
        </w:rPr>
        <w:footnoteReference w:id="84"/>
      </w:r>
      <w:r>
        <w:rPr>
          <w:rFonts w:ascii="Times New Roman" w:hAnsi="Times New Roman"/>
          <w:noProof/>
          <w:sz w:val="24"/>
          <w:szCs w:val="24"/>
        </w:rPr>
        <w:t xml:space="preserve"> </w:t>
      </w:r>
    </w:p>
    <w:p>
      <w:pPr>
        <w:spacing w:after="120" w:line="240" w:lineRule="auto"/>
        <w:jc w:val="both"/>
        <w:rPr>
          <w:rFonts w:ascii="Times New Roman" w:eastAsia="SimSun" w:hAnsi="Times New Roman"/>
          <w:i/>
          <w:noProof/>
          <w:sz w:val="24"/>
          <w:szCs w:val="24"/>
        </w:rPr>
      </w:pPr>
      <w:r>
        <w:rPr>
          <w:rFonts w:ascii="Times New Roman" w:hAnsi="Times New Roman"/>
          <w:i/>
          <w:noProof/>
          <w:sz w:val="24"/>
          <w:szCs w:val="24"/>
        </w:rPr>
        <w:t xml:space="preserve">Joprojām pastāv bažas par SCM kapacitāti un pārskatatbildību, kas tika paustas 2018. un 2019. gada SPM ziņojumos. Šogad paustā vienprātīgākā SCM vadības nostāja palīdzēs atjaunot uzticēšanos tiesu sistēmai un tās vienotību un ļaus SCM pildīt savu lomu, kas noteikta ieteikumā un pirmajā kritērijā. </w:t>
      </w:r>
    </w:p>
    <w:p>
      <w:pPr>
        <w:spacing w:after="120" w:line="240" w:lineRule="auto"/>
        <w:jc w:val="both"/>
        <w:rPr>
          <w:rFonts w:ascii="Times New Roman" w:eastAsia="SimSun" w:hAnsi="Times New Roman"/>
          <w:b/>
          <w:i/>
          <w:noProof/>
          <w:sz w:val="24"/>
          <w:szCs w:val="24"/>
        </w:rPr>
      </w:pPr>
      <w:r>
        <w:rPr>
          <w:rFonts w:ascii="Times New Roman" w:hAnsi="Times New Roman"/>
          <w:b/>
          <w:i/>
          <w:noProof/>
          <w:sz w:val="24"/>
          <w:szCs w:val="24"/>
        </w:rPr>
        <w:t>Tiesu inspekcija</w:t>
      </w:r>
    </w:p>
    <w:tbl>
      <w:tblPr>
        <w:tblW w:w="9344"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trPr>
          <w:trHeight w:val="123"/>
        </w:trPr>
        <w:tc>
          <w:tcPr>
            <w:tcW w:w="9344" w:type="dxa"/>
          </w:tcPr>
          <w:p>
            <w:pPr>
              <w:keepNext/>
              <w:spacing w:after="120" w:line="240" w:lineRule="auto"/>
              <w:jc w:val="both"/>
              <w:rPr>
                <w:rFonts w:ascii="Times New Roman" w:hAnsi="Times New Roman"/>
                <w:i/>
                <w:noProof/>
                <w:sz w:val="24"/>
                <w:szCs w:val="24"/>
              </w:rPr>
            </w:pPr>
            <w:r>
              <w:rPr>
                <w:rFonts w:ascii="Times New Roman" w:hAnsi="Times New Roman"/>
                <w:i/>
                <w:noProof/>
                <w:sz w:val="24"/>
                <w:szCs w:val="24"/>
              </w:rPr>
              <w:t>2018. gada SPM ieteikums:</w:t>
            </w:r>
            <w:r>
              <w:rPr>
                <w:rFonts w:ascii="Times New Roman" w:hAnsi="Times New Roman"/>
                <w:noProof/>
                <w:sz w:val="24"/>
                <w:szCs w:val="24"/>
              </w:rPr>
              <w:t xml:space="preserve"> </w:t>
            </w:r>
            <w:r>
              <w:rPr>
                <w:rFonts w:ascii="Times New Roman" w:hAnsi="Times New Roman"/>
                <w:i/>
                <w:noProof/>
                <w:sz w:val="24"/>
                <w:szCs w:val="24"/>
              </w:rPr>
              <w:t xml:space="preserve">Tiesnešu augstākajai padomei nekavējoties jāieceļ pagaidu grupa, kas vadīs Tiesu inspekciju, un trīs mēnešu laikā konkursa kārtā jāieceļ jauna inspekcijas vadība. </w:t>
            </w:r>
          </w:p>
        </w:tc>
      </w:tr>
    </w:tbl>
    <w:p>
      <w:pPr>
        <w:spacing w:before="120"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2018. un 2019. gadu iezīmēja pretrunas par </w:t>
      </w:r>
      <w:r>
        <w:rPr>
          <w:rFonts w:ascii="Times New Roman" w:hAnsi="Times New Roman"/>
          <w:i/>
          <w:iCs/>
          <w:noProof/>
          <w:sz w:val="24"/>
          <w:szCs w:val="24"/>
        </w:rPr>
        <w:t>SCM</w:t>
      </w:r>
      <w:r>
        <w:rPr>
          <w:rFonts w:ascii="Times New Roman" w:hAnsi="Times New Roman"/>
          <w:noProof/>
          <w:sz w:val="24"/>
          <w:szCs w:val="24"/>
        </w:rPr>
        <w:t xml:space="preserve"> pieeju attiecībā uz galvenā inspektora amatu, jo </w:t>
      </w:r>
      <w:r>
        <w:rPr>
          <w:rFonts w:ascii="Times New Roman" w:hAnsi="Times New Roman"/>
          <w:i/>
          <w:iCs/>
          <w:noProof/>
          <w:sz w:val="24"/>
          <w:szCs w:val="24"/>
        </w:rPr>
        <w:t>SCM</w:t>
      </w:r>
      <w:r>
        <w:rPr>
          <w:rFonts w:ascii="Times New Roman" w:hAnsi="Times New Roman"/>
          <w:noProof/>
          <w:sz w:val="24"/>
          <w:szCs w:val="24"/>
        </w:rPr>
        <w:t xml:space="preserve"> faktiski pagarināja pašreizējā inspektora pilnvaru termiņu, neraugoties uz pretrunām saistībā ar īslaicīgu pagaidu pagarināšanu saskaņā ar valdības ārkārtas rīkojumu. Eiropas Savienības Tiesā tika iesniegts lūgums sniegt prejudiciālu nolēmumu par to, vai valdības pilnvaras veikt pagaidu iecelšanu Tiesu inspekcijas vadošajos amatos, kas ir atbildīgi par disciplinārlietu veikšanu pret tiesnešiem un prokuroriem, atbilst LES 2. pantam un 19. panta 1. punktam. Savā 2021. gada 18. maija spriedumā EST lēma, ka</w:t>
      </w:r>
      <w:r>
        <w:rPr>
          <w:noProof/>
        </w:rPr>
        <w:t xml:space="preserve"> </w:t>
      </w:r>
      <w:r>
        <w:rPr>
          <w:rFonts w:ascii="Times New Roman" w:hAnsi="Times New Roman"/>
          <w:noProof/>
          <w:sz w:val="24"/>
          <w:szCs w:val="24"/>
        </w:rPr>
        <w:t>valsts tiesību akti nedrīkst radīt šaubas, ka tiesu iestādes, kura ir atbildīga par disciplinārlietu izmeklēšanu un disciplinārlietu ierosināšanu pret tiesnešiem un prokuroriem, pilnvaras var tikt izmantotas kā instruments, lai izdarītu spiedienu uz tiesnešu un prokuroru darbību vai lai īstenotu šīs darbības politisko kontroli. Tiesa uzskatīja, ka valsts tiesību akti var izraisīt šādas šaubas, ja tā sekas ir tādas, ka ar to, kaut vai tikai uz pagaidu laiku, attiecīgās dalībvalsts valdībai tiek ļauts veikt iecelšanu struktūras, kuras uzdevums ir veikt disciplinārlietu izmeklēšanu un ierosināt disciplinārlietas pret tiesnešiem un prokuroriem, vadības amatos, neievērojot parasto valsts tiesībās paredzēto iecelšanas amatā procedūru.</w:t>
      </w:r>
      <w:r>
        <w:rPr>
          <w:rStyle w:val="FootnoteReference"/>
          <w:rFonts w:ascii="Times New Roman" w:hAnsi="Times New Roman"/>
          <w:noProof/>
          <w:sz w:val="24"/>
          <w:szCs w:val="24"/>
        </w:rPr>
        <w:footnoteReference w:id="85"/>
      </w:r>
      <w:r>
        <w:rPr>
          <w:rFonts w:ascii="Times New Roman" w:hAnsi="Times New Roman"/>
          <w:noProof/>
          <w:sz w:val="24"/>
          <w:szCs w:val="24"/>
        </w:rPr>
        <w:t xml:space="preserve"> Ar šo spriedumu ir atjaunots 2018. gada ieteikuma nolūks. Iestādēm, kuru pārraudzībā ir Tiesu inspekcija, jo īpaši </w:t>
      </w:r>
      <w:r>
        <w:rPr>
          <w:rFonts w:ascii="Times New Roman" w:hAnsi="Times New Roman"/>
          <w:i/>
          <w:iCs/>
          <w:noProof/>
          <w:sz w:val="24"/>
          <w:szCs w:val="24"/>
        </w:rPr>
        <w:t>SCM</w:t>
      </w:r>
      <w:r>
        <w:rPr>
          <w:rFonts w:ascii="Times New Roman" w:hAnsi="Times New Roman"/>
          <w:noProof/>
          <w:sz w:val="24"/>
          <w:szCs w:val="24"/>
        </w:rPr>
        <w:t xml:space="preserve">, būs pienācīgi jāņem vērā šis spriedums, arī ņemot vērā atkārtoti paustās bažas par Tiesu inspekcijas darbību.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Pēdējos gados tiesu iestādes, tostarp pati </w:t>
      </w:r>
      <w:r>
        <w:rPr>
          <w:rFonts w:ascii="Times New Roman" w:hAnsi="Times New Roman"/>
          <w:i/>
          <w:iCs/>
          <w:noProof/>
          <w:sz w:val="24"/>
          <w:szCs w:val="24"/>
        </w:rPr>
        <w:t>SCM</w:t>
      </w:r>
      <w:r>
        <w:rPr>
          <w:rFonts w:ascii="Times New Roman" w:hAnsi="Times New Roman"/>
          <w:noProof/>
          <w:sz w:val="24"/>
          <w:szCs w:val="24"/>
        </w:rPr>
        <w:t xml:space="preserve">, ir uzsvērušas bažas saistībā ar Tiesu inspekcijas pārskatatbildības trūkumu, norādot uz to, ka daudzas inspekcijas ierosinātās lietas galu galā tiesā ir tikušas noraidītas, uz visu lēmumu pieņemšanas koncentrēšanos galvenā inspektora rokās un uz </w:t>
      </w:r>
      <w:r>
        <w:rPr>
          <w:rFonts w:ascii="Times New Roman" w:hAnsi="Times New Roman"/>
          <w:i/>
          <w:iCs/>
          <w:noProof/>
          <w:sz w:val="24"/>
          <w:szCs w:val="24"/>
        </w:rPr>
        <w:t>SCM</w:t>
      </w:r>
      <w:r>
        <w:rPr>
          <w:rFonts w:ascii="Times New Roman" w:hAnsi="Times New Roman"/>
          <w:noProof/>
          <w:sz w:val="24"/>
          <w:szCs w:val="24"/>
        </w:rPr>
        <w:t xml:space="preserve"> pārraudzības pilnvaru ierobežojumiem.</w:t>
      </w:r>
      <w:r>
        <w:rPr>
          <w:rFonts w:ascii="Times New Roman" w:eastAsia="SimSun" w:hAnsi="Times New Roman"/>
          <w:noProof/>
          <w:sz w:val="24"/>
          <w:szCs w:val="24"/>
          <w:vertAlign w:val="superscript"/>
        </w:rPr>
        <w:footnoteReference w:id="86"/>
      </w:r>
      <w:r>
        <w:rPr>
          <w:rFonts w:ascii="Times New Roman" w:hAnsi="Times New Roman"/>
          <w:noProof/>
          <w:sz w:val="24"/>
          <w:szCs w:val="24"/>
        </w:rPr>
        <w:t xml:space="preserve"> Raugoties vispārīgāk, šo norišu rezultātā ir radušies jautājumi par to, vai noteikumi tiesu likumos saistībā ar iecelšanu Tiesu inspekcijas vadošajos amatos un tās pārskatatbildību, nodrošina pietiekamas garantijas un panāk pareizu līdzsvaru starp tiesnešiem, prokuroriem un </w:t>
      </w:r>
      <w:r>
        <w:rPr>
          <w:rFonts w:ascii="Times New Roman" w:hAnsi="Times New Roman"/>
          <w:i/>
          <w:iCs/>
          <w:noProof/>
          <w:sz w:val="24"/>
          <w:szCs w:val="24"/>
        </w:rPr>
        <w:t>SCM</w:t>
      </w:r>
      <w:r>
        <w:rPr>
          <w:rFonts w:ascii="Times New Roman" w:hAnsi="Times New Roman"/>
          <w:noProof/>
          <w:sz w:val="24"/>
          <w:szCs w:val="24"/>
        </w:rPr>
        <w:t>.</w:t>
      </w:r>
      <w:r>
        <w:rPr>
          <w:rFonts w:ascii="Times New Roman" w:eastAsia="SimSun" w:hAnsi="Times New Roman"/>
          <w:noProof/>
          <w:sz w:val="24"/>
          <w:szCs w:val="24"/>
          <w:vertAlign w:val="superscript"/>
        </w:rPr>
        <w:footnoteReference w:id="87"/>
      </w:r>
      <w:r>
        <w:rPr>
          <w:rFonts w:ascii="Times New Roman" w:hAnsi="Times New Roman"/>
          <w:noProof/>
          <w:sz w:val="24"/>
          <w:szCs w:val="24"/>
        </w:rPr>
        <w:t xml:space="preserve"> Ar jaunajiem, 2021. gada martā sagatavotajiem tiesu sistēmas likumprojektiem, par kuriem tieslietu ministrs lūdzis sniegt atzinumu </w:t>
      </w:r>
      <w:r>
        <w:rPr>
          <w:rFonts w:ascii="Times New Roman" w:hAnsi="Times New Roman"/>
          <w:i/>
          <w:iCs/>
          <w:noProof/>
          <w:sz w:val="24"/>
          <w:szCs w:val="24"/>
        </w:rPr>
        <w:t>SCM</w:t>
      </w:r>
      <w:r>
        <w:rPr>
          <w:rFonts w:ascii="Times New Roman" w:hAnsi="Times New Roman"/>
          <w:noProof/>
          <w:sz w:val="24"/>
          <w:szCs w:val="24"/>
        </w:rPr>
        <w:t xml:space="preserve">, tiek grozīti noteikumi par galveno inspektoru un galvenā inspektora vietniekiem, kā arī par kontroles mehānismiem saistībā ar Tiesu inspekcijas darbību, nosakot vairāk pārraudzības pilnvaru </w:t>
      </w:r>
      <w:r>
        <w:rPr>
          <w:rFonts w:ascii="Times New Roman" w:hAnsi="Times New Roman"/>
          <w:i/>
          <w:iCs/>
          <w:noProof/>
          <w:sz w:val="24"/>
          <w:szCs w:val="24"/>
        </w:rPr>
        <w:t>SCM</w:t>
      </w:r>
      <w:r>
        <w:rPr>
          <w:rFonts w:ascii="Times New Roman" w:hAnsi="Times New Roman"/>
          <w:noProof/>
          <w:sz w:val="24"/>
          <w:szCs w:val="24"/>
        </w:rPr>
        <w:t xml:space="preserve"> un iesaistot Nacionālo tiesu darbinieku institūtu konkursos par stāšanos amatā Tiesu inspekcijā.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Pārskata periodā tiesu iestādes ziņoja par Tiesu inspekcijas aktivitātes vispārēju samazinājumu, proti, mazāk </w:t>
      </w:r>
      <w:r>
        <w:rPr>
          <w:rFonts w:ascii="Times New Roman" w:hAnsi="Times New Roman"/>
          <w:i/>
          <w:iCs/>
          <w:noProof/>
          <w:sz w:val="24"/>
          <w:szCs w:val="24"/>
        </w:rPr>
        <w:t>ex-officio</w:t>
      </w:r>
      <w:r>
        <w:rPr>
          <w:rFonts w:ascii="Times New Roman" w:hAnsi="Times New Roman"/>
          <w:noProof/>
          <w:sz w:val="24"/>
          <w:szCs w:val="24"/>
        </w:rPr>
        <w:t xml:space="preserve"> disciplinārlietu, kas raisa bažas par objektivitāti. Tomēr joprojām ir gadījumi, kad bažas raisījusi disciplinārizmeklēšana un smagas sankcijas pret maģistrātiem, kuri ir kritiski izteikušies par tiesu iestāžu efektivitāti un neatkarību.</w:t>
      </w:r>
      <w:r>
        <w:rPr>
          <w:rFonts w:ascii="Times New Roman" w:eastAsia="SimSun" w:hAnsi="Times New Roman"/>
          <w:noProof/>
          <w:sz w:val="24"/>
          <w:szCs w:val="24"/>
          <w:vertAlign w:val="superscript"/>
        </w:rPr>
        <w:footnoteReference w:id="88"/>
      </w:r>
      <w:r>
        <w:rPr>
          <w:rFonts w:ascii="Times New Roman" w:hAnsi="Times New Roman"/>
          <w:noProof/>
          <w:sz w:val="24"/>
          <w:szCs w:val="24"/>
        </w:rPr>
        <w:t xml:space="preserve"> Arī Tiesu inspekcijas kavēšanās izskatīt sūdzības tiek uzskatīts par veidu, kā izmeklēšanas laikā saglabāt spiedienu uz tiesnesi vai prokuroru.</w:t>
      </w:r>
      <w:r>
        <w:rPr>
          <w:rStyle w:val="FootnoteReference"/>
          <w:rFonts w:ascii="Times New Roman" w:eastAsia="SimSun" w:hAnsi="Times New Roman"/>
          <w:noProof/>
          <w:sz w:val="24"/>
          <w:szCs w:val="24"/>
        </w:rPr>
        <w:footnoteReference w:id="89"/>
      </w:r>
    </w:p>
    <w:p>
      <w:pPr>
        <w:spacing w:before="120" w:after="120" w:line="240" w:lineRule="auto"/>
        <w:jc w:val="both"/>
        <w:rPr>
          <w:rFonts w:ascii="Times New Roman" w:eastAsia="SimSun" w:hAnsi="Times New Roman"/>
          <w:i/>
          <w:noProof/>
          <w:sz w:val="24"/>
          <w:szCs w:val="24"/>
        </w:rPr>
      </w:pPr>
      <w:r>
        <w:rPr>
          <w:rFonts w:ascii="Times New Roman" w:hAnsi="Times New Roman"/>
          <w:i/>
          <w:noProof/>
          <w:sz w:val="24"/>
          <w:szCs w:val="24"/>
        </w:rPr>
        <w:t>Lai gan šis ieteikums bija vērsts uz konkrētajiem apstākļiem, kādi bija 2018. gada ziņojuma sagatavošanas laikā, šis ieteikums attiecas uz nopietnajām bažām saistībā ar Tiesu inspekciju. Tas ietvēra tendenci ierosināt disciplinārlietas pret maģistrātiem, kuri publiski iebilda pret tiesu sistēmas reformas virzienu, dokumentu nopludināšanu (pēc tam politiķi šos dokumentus bieži vien izmantoja uzbrukumos tiesu iestādēm), kā arī vadošo amatpersonu pilnvaru termiņa pagarināšanu. Šīs ar strukturāliem jautājumiem saistītās bažas joprojām ir jārisina, tostarp ņemot vērā neseno EST spriedumu.</w:t>
      </w:r>
    </w:p>
    <w:p>
      <w:pPr>
        <w:spacing w:after="120" w:line="240" w:lineRule="auto"/>
        <w:jc w:val="both"/>
        <w:rPr>
          <w:rFonts w:ascii="Times New Roman" w:eastAsia="SimSun" w:hAnsi="Times New Roman"/>
          <w:b/>
          <w:i/>
          <w:noProof/>
          <w:sz w:val="24"/>
          <w:szCs w:val="24"/>
        </w:rPr>
      </w:pPr>
      <w:r>
        <w:rPr>
          <w:rFonts w:ascii="Times New Roman" w:hAnsi="Times New Roman"/>
          <w:b/>
          <w:i/>
          <w:noProof/>
          <w:sz w:val="24"/>
          <w:szCs w:val="24"/>
        </w:rPr>
        <w:t xml:space="preserve">Ir atsācies progress pie pirmā kritērija īstenošanas. Kā norādīts progresa detalizētajā novērtējumā saistībā ar katru ieteikumu, tiesu likumu, Kriminālkodeksa un Kriminālprocesa kodeksa grozījumu pabeigšana saskaņā ar ieteikumiem būs svarīga mēraukla progresa izvērtēšanai attiecībā uz pirmo kritēriju. Šie tiesību akti ir galvenais līdzeklis, lai rastu ilgtspējīgus risinājumus tiesu varas jomā, </w:t>
      </w:r>
      <w:r>
        <w:rPr>
          <w:rFonts w:ascii="Times New Roman" w:hAnsi="Times New Roman"/>
          <w:b/>
          <w:bCs/>
          <w:i/>
          <w:noProof/>
          <w:sz w:val="24"/>
          <w:szCs w:val="24"/>
        </w:rPr>
        <w:t>un šajā saistībā panākts būtisks progress ietekmēs daudzu ieteikumu novērtējumu</w:t>
      </w:r>
      <w:r>
        <w:rPr>
          <w:rFonts w:ascii="Times New Roman" w:hAnsi="Times New Roman"/>
          <w:b/>
          <w:i/>
          <w:noProof/>
          <w:sz w:val="24"/>
          <w:szCs w:val="24"/>
        </w:rPr>
        <w:t>.</w:t>
      </w:r>
    </w:p>
    <w:p>
      <w:pPr>
        <w:spacing w:after="0" w:line="240" w:lineRule="auto"/>
        <w:jc w:val="both"/>
        <w:rPr>
          <w:rFonts w:ascii="Times New Roman" w:eastAsia="SimSun" w:hAnsi="Times New Roman"/>
          <w:noProof/>
          <w:sz w:val="24"/>
          <w:szCs w:val="24"/>
        </w:rPr>
      </w:pPr>
    </w:p>
    <w:p>
      <w:pPr>
        <w:keepNext/>
        <w:widowControl w:val="0"/>
        <w:spacing w:after="120" w:line="240" w:lineRule="auto"/>
        <w:jc w:val="both"/>
        <w:rPr>
          <w:rFonts w:ascii="Times New Roman" w:hAnsi="Times New Roman"/>
          <w:b/>
          <w:noProof/>
          <w:sz w:val="24"/>
          <w:szCs w:val="24"/>
        </w:rPr>
      </w:pPr>
      <w:r>
        <w:rPr>
          <w:rFonts w:ascii="Times New Roman" w:hAnsi="Times New Roman"/>
          <w:b/>
          <w:noProof/>
          <w:sz w:val="24"/>
          <w:szCs w:val="24"/>
        </w:rPr>
        <w:t xml:space="preserve">2.2. </w:t>
      </w:r>
      <w:r>
        <w:rPr>
          <w:rFonts w:ascii="Times New Roman" w:hAnsi="Times New Roman"/>
          <w:b/>
          <w:noProof/>
          <w:sz w:val="24"/>
          <w:szCs w:val="24"/>
        </w:rPr>
        <w:tab/>
        <w:t xml:space="preserve">Otrais kritērijs. Integritātes sistēma un Integritātes valsts aģentūra </w:t>
      </w:r>
    </w:p>
    <w:p>
      <w:pPr>
        <w:spacing w:after="120" w:line="240" w:lineRule="auto"/>
        <w:jc w:val="both"/>
        <w:rPr>
          <w:rFonts w:ascii="Times New Roman" w:hAnsi="Times New Roman"/>
          <w:noProof/>
          <w:color w:val="0D0D0D" w:themeColor="text1" w:themeTint="F2"/>
          <w:sz w:val="24"/>
          <w:szCs w:val="24"/>
        </w:rPr>
      </w:pPr>
      <w:r>
        <w:rPr>
          <w:rFonts w:ascii="Times New Roman" w:hAnsi="Times New Roman"/>
          <w:noProof/>
          <w:color w:val="0D0D0D" w:themeColor="text1" w:themeTint="F2"/>
          <w:sz w:val="24"/>
          <w:szCs w:val="24"/>
        </w:rPr>
        <w:t>Integritātes valsts aģentūra (</w:t>
      </w:r>
      <w:r>
        <w:rPr>
          <w:rFonts w:ascii="Times New Roman" w:hAnsi="Times New Roman"/>
          <w:i/>
          <w:iCs/>
          <w:noProof/>
          <w:color w:val="0D0D0D" w:themeColor="text1" w:themeTint="F2"/>
          <w:sz w:val="24"/>
          <w:szCs w:val="24"/>
        </w:rPr>
        <w:t>ANI</w:t>
      </w:r>
      <w:r>
        <w:rPr>
          <w:rFonts w:ascii="Times New Roman" w:hAnsi="Times New Roman"/>
          <w:noProof/>
          <w:color w:val="0D0D0D" w:themeColor="text1" w:themeTint="F2"/>
          <w:sz w:val="24"/>
          <w:szCs w:val="24"/>
        </w:rPr>
        <w:t>) turpina izmeklēt amatu nesavienojamības, interešu konfliktu un nepamatoti iegūtu līdzekļu gadījumus.</w:t>
      </w:r>
      <w:r>
        <w:rPr>
          <w:rFonts w:ascii="Times New Roman" w:hAnsi="Times New Roman"/>
          <w:noProof/>
          <w:color w:val="0D0D0D" w:themeColor="text1" w:themeTint="F2"/>
          <w:sz w:val="24"/>
          <w:szCs w:val="24"/>
          <w:vertAlign w:val="superscript"/>
          <w:lang w:val="en-US"/>
        </w:rPr>
        <w:footnoteReference w:id="90"/>
      </w:r>
      <w:r>
        <w:rPr>
          <w:rFonts w:ascii="Times New Roman" w:hAnsi="Times New Roman"/>
          <w:noProof/>
          <w:sz w:val="24"/>
          <w:szCs w:val="24"/>
        </w:rPr>
        <w:t xml:space="preserve"> </w:t>
      </w:r>
      <w:r>
        <w:rPr>
          <w:rFonts w:ascii="Times New Roman" w:hAnsi="Times New Roman"/>
          <w:i/>
          <w:iCs/>
          <w:noProof/>
          <w:sz w:val="24"/>
          <w:szCs w:val="24"/>
        </w:rPr>
        <w:t>ANI</w:t>
      </w:r>
      <w:r>
        <w:rPr>
          <w:rFonts w:ascii="Times New Roman" w:hAnsi="Times New Roman"/>
          <w:noProof/>
          <w:sz w:val="24"/>
          <w:szCs w:val="24"/>
        </w:rPr>
        <w:t xml:space="preserve"> darbam būtu jākļūst vieglākam ar </w:t>
      </w:r>
      <w:r>
        <w:rPr>
          <w:rFonts w:ascii="Times New Roman" w:hAnsi="Times New Roman"/>
          <w:noProof/>
          <w:color w:val="0D0D0D" w:themeColor="text1" w:themeTint="F2"/>
          <w:sz w:val="24"/>
          <w:szCs w:val="24"/>
        </w:rPr>
        <w:t>līdzekļu un interešu deklarēšanas elektronisko sistēmu</w:t>
      </w:r>
      <w:r>
        <w:rPr>
          <w:rFonts w:ascii="Times New Roman" w:hAnsi="Times New Roman"/>
          <w:noProof/>
          <w:sz w:val="24"/>
          <w:szCs w:val="24"/>
        </w:rPr>
        <w:t xml:space="preserve">, kas sāka darbību 2021. gada maijā, </w:t>
      </w:r>
      <w:r>
        <w:rPr>
          <w:rFonts w:ascii="Times New Roman" w:hAnsi="Times New Roman"/>
          <w:noProof/>
          <w:color w:val="0D0D0D" w:themeColor="text1" w:themeTint="F2"/>
          <w:sz w:val="24"/>
          <w:szCs w:val="24"/>
        </w:rPr>
        <w:t>kā arī pēc 2020. gada jūlija grozījuma likumā par integritāti, pildot valsts amata pienākumus.</w:t>
      </w:r>
      <w:r>
        <w:rPr>
          <w:rFonts w:ascii="Times New Roman" w:hAnsi="Times New Roman"/>
          <w:noProof/>
          <w:color w:val="0D0D0D" w:themeColor="text1" w:themeTint="F2"/>
          <w:sz w:val="24"/>
          <w:szCs w:val="24"/>
          <w:vertAlign w:val="superscript"/>
          <w:lang w:val="en-US"/>
        </w:rPr>
        <w:footnoteReference w:id="91"/>
      </w:r>
      <w:r>
        <w:rPr>
          <w:rFonts w:ascii="Times New Roman" w:hAnsi="Times New Roman"/>
          <w:noProof/>
          <w:color w:val="0D0D0D" w:themeColor="text1" w:themeTint="F2"/>
          <w:sz w:val="24"/>
          <w:szCs w:val="24"/>
        </w:rPr>
        <w:t xml:space="preserve"> </w:t>
      </w:r>
      <w:r>
        <w:rPr>
          <w:rFonts w:ascii="Times New Roman" w:hAnsi="Times New Roman"/>
          <w:i/>
          <w:iCs/>
          <w:noProof/>
          <w:color w:val="0D0D0D" w:themeColor="text1" w:themeTint="F2"/>
          <w:sz w:val="24"/>
          <w:szCs w:val="24"/>
        </w:rPr>
        <w:t>ANI</w:t>
      </w:r>
      <w:r>
        <w:rPr>
          <w:rFonts w:ascii="Times New Roman" w:hAnsi="Times New Roman"/>
          <w:noProof/>
          <w:color w:val="0D0D0D" w:themeColor="text1" w:themeTint="F2"/>
          <w:sz w:val="24"/>
          <w:szCs w:val="24"/>
        </w:rPr>
        <w:t xml:space="preserve"> ziņo, ka tās 2020. gada budžets bija pietiekams, lai veiktu tai noteiktos uzdevumus, jo sākotnēji samazināto budžetu vēlāk 2020. gadā papildināja.</w:t>
      </w:r>
      <w:r>
        <w:rPr>
          <w:rFonts w:ascii="Times New Roman" w:hAnsi="Times New Roman"/>
          <w:noProof/>
          <w:color w:val="0D0D0D" w:themeColor="text1" w:themeTint="F2"/>
          <w:sz w:val="24"/>
          <w:szCs w:val="24"/>
          <w:vertAlign w:val="superscript"/>
          <w:lang w:val="en-US"/>
        </w:rPr>
        <w:footnoteReference w:id="92"/>
      </w:r>
      <w:r>
        <w:rPr>
          <w:rFonts w:ascii="Times New Roman" w:hAnsi="Times New Roman"/>
          <w:noProof/>
          <w:color w:val="0D0D0D" w:themeColor="text1" w:themeTint="F2"/>
          <w:sz w:val="24"/>
          <w:szCs w:val="24"/>
        </w:rPr>
        <w:t xml:space="preserve"> </w:t>
      </w:r>
      <w:r>
        <w:rPr>
          <w:rFonts w:ascii="Times New Roman" w:hAnsi="Times New Roman"/>
          <w:i/>
          <w:iCs/>
          <w:noProof/>
          <w:sz w:val="24"/>
        </w:rPr>
        <w:t>ANI</w:t>
      </w:r>
      <w:r>
        <w:rPr>
          <w:rFonts w:ascii="Times New Roman" w:hAnsi="Times New Roman"/>
          <w:noProof/>
          <w:sz w:val="24"/>
        </w:rPr>
        <w:t xml:space="preserve"> ir saskārusies ar zināmām neskaidrībām attiecībā uz tās vadošajiem amatiem. Kopš 2019. gada decembra vakants ir tās priekšsēdētāja amats, un 2021. gadā beidzas priekšsēdētāja vietnieka amata</w:t>
      </w:r>
      <w:r>
        <w:rPr>
          <w:rFonts w:ascii="Times New Roman" w:hAnsi="Times New Roman"/>
          <w:noProof/>
          <w:sz w:val="24"/>
          <w:szCs w:val="24"/>
        </w:rPr>
        <w:t xml:space="preserve"> </w:t>
      </w:r>
      <w:r>
        <w:rPr>
          <w:rFonts w:ascii="Times New Roman" w:hAnsi="Times New Roman"/>
          <w:noProof/>
          <w:sz w:val="24"/>
        </w:rPr>
        <w:t>pilnvaru termiņš.</w:t>
      </w:r>
      <w:r>
        <w:rPr>
          <w:rFonts w:ascii="Times New Roman" w:hAnsi="Times New Roman"/>
          <w:noProof/>
          <w:sz w:val="24"/>
          <w:vertAlign w:val="superscript"/>
          <w:lang w:val="en-US"/>
        </w:rPr>
        <w:footnoteReference w:id="93"/>
      </w:r>
      <w:r>
        <w:rPr>
          <w:rFonts w:ascii="Times New Roman" w:hAnsi="Times New Roman"/>
          <w:noProof/>
          <w:color w:val="0D0D0D"/>
          <w:sz w:val="24"/>
        </w:rPr>
        <w:t xml:space="preserve"> </w:t>
      </w:r>
      <w:r>
        <w:rPr>
          <w:rFonts w:ascii="Times New Roman" w:hAnsi="Times New Roman"/>
          <w:noProof/>
          <w:sz w:val="24"/>
        </w:rPr>
        <w:t xml:space="preserve">Atlases procedūras visbeidzot tika sāktas 2021. gada aprīlī. </w:t>
      </w:r>
    </w:p>
    <w:p>
      <w:pPr>
        <w:spacing w:after="120" w:line="240" w:lineRule="auto"/>
        <w:jc w:val="both"/>
        <w:rPr>
          <w:rFonts w:ascii="Times New Roman" w:hAnsi="Times New Roman"/>
          <w:noProof/>
          <w:color w:val="0D0D0D" w:themeColor="text1" w:themeTint="F2"/>
          <w:sz w:val="24"/>
          <w:szCs w:val="24"/>
        </w:rPr>
      </w:pPr>
      <w:r>
        <w:rPr>
          <w:rFonts w:ascii="Times New Roman" w:hAnsi="Times New Roman"/>
          <w:i/>
          <w:iCs/>
          <w:noProof/>
          <w:color w:val="0D0D0D" w:themeColor="text1" w:themeTint="F2"/>
          <w:sz w:val="24"/>
          <w:szCs w:val="24"/>
        </w:rPr>
        <w:t>ANI</w:t>
      </w:r>
      <w:r>
        <w:rPr>
          <w:rFonts w:ascii="Times New Roman" w:hAnsi="Times New Roman"/>
          <w:noProof/>
          <w:color w:val="0D0D0D" w:themeColor="text1" w:themeTint="F2"/>
          <w:sz w:val="24"/>
          <w:szCs w:val="24"/>
        </w:rPr>
        <w:t xml:space="preserve"> aktīvi darbojās 2020. gada pašvaldību un valsts vēlēšanās, veicinot informētību par integritātes noteikumiem kandidātiem un sniedzot informāciju attiecīgajām iestādēm par kandidātiem, kuriem ir aizliegts ieņemt valsts amatus. Uzskatāms, ka šīs darbības bija viens no iemesliem, kāpēc vēlēšanās bija maz pretrunu saistībā ar integritātes noteikumu ievērošanu.</w:t>
      </w:r>
      <w:r>
        <w:rPr>
          <w:rStyle w:val="FootnoteReference"/>
          <w:rFonts w:ascii="Times New Roman" w:hAnsi="Times New Roman"/>
          <w:noProof/>
          <w:color w:val="0D0D0D" w:themeColor="text1" w:themeTint="F2"/>
          <w:sz w:val="24"/>
          <w:szCs w:val="24"/>
          <w:lang w:val="en-US"/>
        </w:rPr>
        <w:footnoteReference w:id="94"/>
      </w:r>
    </w:p>
    <w:p>
      <w:pPr>
        <w:spacing w:after="120" w:line="240" w:lineRule="auto"/>
        <w:jc w:val="both"/>
        <w:rPr>
          <w:rFonts w:ascii="Times New Roman" w:hAnsi="Times New Roman"/>
          <w:i/>
          <w:noProof/>
          <w:sz w:val="24"/>
          <w:szCs w:val="24"/>
        </w:rPr>
      </w:pPr>
      <w:r>
        <w:rPr>
          <w:rFonts w:ascii="Times New Roman" w:hAnsi="Times New Roman"/>
          <w:noProof/>
          <w:sz w:val="24"/>
          <w:szCs w:val="24"/>
        </w:rPr>
        <w:t xml:space="preserve">2019. gada SPM ziņojumā tika secināts, ka saistībā ar otro kritēriju pastāv risks piedzīvot regresu. Virkne grozījumu likumos par integritāti, jo īpaši laikposmā no 2017. līdz 2019. gadam, ir vājinājuši </w:t>
      </w:r>
      <w:r>
        <w:rPr>
          <w:rFonts w:ascii="Times New Roman" w:hAnsi="Times New Roman"/>
          <w:i/>
          <w:iCs/>
          <w:noProof/>
          <w:sz w:val="24"/>
          <w:szCs w:val="24"/>
        </w:rPr>
        <w:t>ANI</w:t>
      </w:r>
      <w:r>
        <w:rPr>
          <w:rFonts w:ascii="Times New Roman" w:hAnsi="Times New Roman"/>
          <w:noProof/>
          <w:sz w:val="24"/>
          <w:szCs w:val="24"/>
        </w:rPr>
        <w:t xml:space="preserve"> spēju pildīt tās pienākumus. Divi priekšlikumi, kas stājās spēkā 2019. gadā, vēl vairāk ir palielinājuši juridisko nenoteiktību saistībā ar piemērojamo integritātes režīmu. Šādas norises radīja regresa risku saistībā ar otro kritēriju, ja vairs nevarētu noteikt “atturošas sankcijas”, neraugoties uz galīgu tiesas nolēmumu.</w:t>
      </w:r>
      <w:r>
        <w:rPr>
          <w:rFonts w:ascii="Times New Roman" w:hAnsi="Times New Roman"/>
          <w:noProof/>
          <w:sz w:val="24"/>
          <w:szCs w:val="24"/>
          <w:vertAlign w:val="superscript"/>
        </w:rPr>
        <w:footnoteReference w:id="95"/>
      </w:r>
      <w:r>
        <w:rPr>
          <w:rFonts w:ascii="Times New Roman" w:hAnsi="Times New Roman"/>
          <w:noProof/>
          <w:sz w:val="24"/>
          <w:szCs w:val="24"/>
        </w:rPr>
        <w:t xml:space="preserve"> Ziņojumā tika secināts — lai novērstu šādu risku, būtu jārada skaidrība par likumdošanas norisēm attiecībā uz tiesību aktiem integritātes jomā. </w:t>
      </w:r>
    </w:p>
    <w:p>
      <w:pPr>
        <w:spacing w:after="120" w:line="240" w:lineRule="auto"/>
        <w:jc w:val="both"/>
        <w:rPr>
          <w:rFonts w:ascii="Times New Roman" w:hAnsi="Times New Roman"/>
          <w:i/>
          <w:noProof/>
          <w:sz w:val="24"/>
          <w:szCs w:val="24"/>
        </w:rPr>
      </w:pPr>
      <w:r>
        <w:rPr>
          <w:rFonts w:ascii="Times New Roman" w:hAnsi="Times New Roman"/>
          <w:noProof/>
          <w:sz w:val="24"/>
          <w:szCs w:val="24"/>
        </w:rPr>
        <w:t xml:space="preserve">2020. un 2021. gadā Augstākā kasācijas tiesa precizēja šā tiesību akta interpretāciju. Tiesa lēma, ka sankcijas piemēro, pat ja amatu nesavienojamība attiecas uz iepriekšēju mandātu, un ka trīs gadu ierobežojuma periods ir attiecināms uz to, ka </w:t>
      </w:r>
      <w:r>
        <w:rPr>
          <w:rFonts w:ascii="Times New Roman" w:hAnsi="Times New Roman"/>
          <w:i/>
          <w:iCs/>
          <w:noProof/>
          <w:sz w:val="24"/>
          <w:szCs w:val="24"/>
        </w:rPr>
        <w:t>ANI</w:t>
      </w:r>
      <w:r>
        <w:rPr>
          <w:rFonts w:ascii="Times New Roman" w:hAnsi="Times New Roman"/>
          <w:noProof/>
          <w:sz w:val="24"/>
          <w:szCs w:val="24"/>
        </w:rPr>
        <w:t xml:space="preserve"> ir trīs gadu laikā jāpabeidz izmeklēšana saistībā ar faktiem, kuros konstatēta interešu konflikta vai amatu nesavienojamības esība (nevis tas, ka sankcijas nepiemēro pēc tam, kad pagājuši trīs gadi).</w:t>
      </w:r>
      <w:r>
        <w:rPr>
          <w:rFonts w:ascii="Times New Roman" w:hAnsi="Times New Roman"/>
          <w:noProof/>
          <w:sz w:val="24"/>
          <w:szCs w:val="24"/>
          <w:vertAlign w:val="superscript"/>
        </w:rPr>
        <w:footnoteReference w:id="96"/>
      </w:r>
      <w:r>
        <w:rPr>
          <w:rFonts w:ascii="Times New Roman" w:hAnsi="Times New Roman"/>
          <w:noProof/>
          <w:sz w:val="24"/>
          <w:szCs w:val="24"/>
        </w:rPr>
        <w:t xml:space="preserve"> </w:t>
      </w:r>
      <w:r>
        <w:rPr>
          <w:rFonts w:ascii="Times New Roman" w:hAnsi="Times New Roman"/>
          <w:i/>
          <w:iCs/>
          <w:noProof/>
          <w:sz w:val="24"/>
          <w:szCs w:val="24"/>
        </w:rPr>
        <w:t>ANI</w:t>
      </w:r>
      <w:r>
        <w:rPr>
          <w:rFonts w:ascii="Times New Roman" w:hAnsi="Times New Roman"/>
          <w:noProof/>
          <w:sz w:val="24"/>
          <w:szCs w:val="24"/>
        </w:rPr>
        <w:t xml:space="preserve"> ir paudusi atzinību par šiem lēmumiem, kas atjauno skaidrību un noteiktību attiecībā uz iespēju noteikt sankcijas pēc galīga tiesas nolēmuma. </w:t>
      </w:r>
    </w:p>
    <w:p>
      <w:pPr>
        <w:spacing w:after="120" w:line="240" w:lineRule="auto"/>
        <w:jc w:val="both"/>
        <w:rPr>
          <w:rFonts w:ascii="Times New Roman" w:hAnsi="Times New Roman"/>
          <w:i/>
          <w:noProof/>
          <w:sz w:val="24"/>
          <w:szCs w:val="24"/>
        </w:rPr>
      </w:pPr>
      <w:r>
        <w:rPr>
          <w:rFonts w:ascii="Times New Roman" w:hAnsi="Times New Roman"/>
          <w:i/>
          <w:iCs/>
          <w:noProof/>
          <w:sz w:val="24"/>
          <w:szCs w:val="24"/>
        </w:rPr>
        <w:t>ANI</w:t>
      </w:r>
      <w:r>
        <w:rPr>
          <w:rFonts w:ascii="Times New Roman" w:hAnsi="Times New Roman"/>
          <w:noProof/>
          <w:sz w:val="24"/>
          <w:szCs w:val="24"/>
        </w:rPr>
        <w:t xml:space="preserve"> un ieinteresētās personas ir uzsvērušas, ka ir vēl vairāk jāuzlabo integritātes jomas tiesiskā regulējuma stabilitāte un skaidrība. Iepriekšējā sasaukumā vairāki grozījumi palika izskatīšanā parlamentā, neraugoties uz </w:t>
      </w:r>
      <w:r>
        <w:rPr>
          <w:rFonts w:ascii="Times New Roman" w:hAnsi="Times New Roman"/>
          <w:i/>
          <w:iCs/>
          <w:noProof/>
          <w:sz w:val="24"/>
          <w:szCs w:val="24"/>
        </w:rPr>
        <w:t>ANI</w:t>
      </w:r>
      <w:r>
        <w:rPr>
          <w:rFonts w:ascii="Times New Roman" w:hAnsi="Times New Roman"/>
          <w:noProof/>
          <w:sz w:val="24"/>
          <w:szCs w:val="24"/>
        </w:rPr>
        <w:t xml:space="preserve"> negatīvu atzinumu. Šo neskaidrību daļēji kliedēja jaunais parlaments, kura palātas galīgi noraidīja piecus izskatīšanai iesniegtos grozījumus, kuri bija radījuši bažas.</w:t>
      </w:r>
    </w:p>
    <w:p>
      <w:pPr>
        <w:keepNext/>
        <w:spacing w:after="120" w:line="240" w:lineRule="auto"/>
        <w:jc w:val="both"/>
        <w:rPr>
          <w:rFonts w:ascii="Times New Roman" w:hAnsi="Times New Roman"/>
          <w:noProof/>
          <w:sz w:val="24"/>
          <w:szCs w:val="24"/>
        </w:rPr>
      </w:pPr>
      <w:r>
        <w:rPr>
          <w:rFonts w:ascii="Times New Roman" w:hAnsi="Times New Roman"/>
          <w:noProof/>
          <w:sz w:val="24"/>
          <w:szCs w:val="24"/>
        </w:rPr>
        <w:t xml:space="preserve">Noraidot visus izskatīšanai iesniegtos grozījumus, par kuriem no </w:t>
      </w:r>
      <w:r>
        <w:rPr>
          <w:rFonts w:ascii="Times New Roman" w:hAnsi="Times New Roman"/>
          <w:i/>
          <w:iCs/>
          <w:noProof/>
          <w:sz w:val="24"/>
          <w:szCs w:val="24"/>
        </w:rPr>
        <w:t>ANI</w:t>
      </w:r>
      <w:r>
        <w:rPr>
          <w:rFonts w:ascii="Times New Roman" w:hAnsi="Times New Roman"/>
          <w:noProof/>
          <w:sz w:val="24"/>
          <w:szCs w:val="24"/>
        </w:rPr>
        <w:t xml:space="preserve"> saņemts negatīvs atzinums</w:t>
      </w:r>
      <w:r>
        <w:rPr>
          <w:rFonts w:ascii="Times New Roman" w:hAnsi="Times New Roman"/>
          <w:noProof/>
          <w:sz w:val="24"/>
          <w:szCs w:val="24"/>
          <w:vertAlign w:val="superscript"/>
        </w:rPr>
        <w:footnoteReference w:id="97"/>
      </w:r>
      <w:r>
        <w:rPr>
          <w:rFonts w:ascii="Times New Roman" w:hAnsi="Times New Roman"/>
          <w:noProof/>
          <w:sz w:val="24"/>
          <w:szCs w:val="24"/>
        </w:rPr>
        <w:t xml:space="preserve">, varētu iesniegt atbilstīgākus grozījumus un konsolidēt tiesisko regulējumu integritātes jomā. Veicot tiesību aktu konsolidēšanu saistībā ar integritāti, amatu nesavienojamības gadījumiem un interešu konfliktiem, varētu ņemt vērā tiesu judikatūru un korupcijas novēršanas politiku un nodrošināt stabilu pamatu nākotnei. Sagatavojot šos tiesību aktus, lietderīgus padomus varētu sniegt </w:t>
      </w:r>
      <w:r>
        <w:rPr>
          <w:rFonts w:ascii="Times New Roman" w:hAnsi="Times New Roman"/>
          <w:i/>
          <w:iCs/>
          <w:noProof/>
          <w:sz w:val="24"/>
          <w:szCs w:val="24"/>
        </w:rPr>
        <w:t>GRECO</w:t>
      </w:r>
      <w:r>
        <w:rPr>
          <w:rFonts w:ascii="Times New Roman" w:hAnsi="Times New Roman"/>
          <w:noProof/>
          <w:sz w:val="24"/>
          <w:szCs w:val="24"/>
        </w:rPr>
        <w:t>.</w:t>
      </w:r>
    </w:p>
    <w:p>
      <w:pPr>
        <w:spacing w:after="120" w:line="240" w:lineRule="auto"/>
        <w:jc w:val="both"/>
        <w:rPr>
          <w:rFonts w:ascii="Times New Roman" w:hAnsi="Times New Roman"/>
          <w:b/>
          <w:i/>
          <w:noProof/>
          <w:color w:val="0D0D0D" w:themeColor="text1" w:themeTint="F2"/>
          <w:sz w:val="24"/>
          <w:szCs w:val="24"/>
        </w:rPr>
      </w:pPr>
      <w:r>
        <w:rPr>
          <w:rFonts w:ascii="Times New Roman" w:hAnsi="Times New Roman"/>
          <w:b/>
          <w:i/>
          <w:noProof/>
          <w:color w:val="0D0D0D" w:themeColor="text1" w:themeTint="F2"/>
          <w:sz w:val="24"/>
          <w:szCs w:val="24"/>
        </w:rPr>
        <w:t>PREVENT sistēma</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SPM ieteikums: nodrošināt, ka darbību sāk PREVENT sistēma. Integritātes valsts aģentūrai un Valsts Publiskā iepirkuma aģentūrai būtu jāievieš sistēma ziņošanai par publiskā iepirkuma procedūru ex ante pārbaudēm un to pēcpasākumiem, tostarp ex post pārbaudēm, kā arī par konstatētiem interešu konflikta vai korupcijas gadījumiem, un sabiedrisku diskusiju rīkošanai tā, lai valdība, vietējās pārvaldes iestādes, tiesu iestādes un pilsoniskā sabiedrība tiktu aicinātas reaģēt.</w:t>
      </w:r>
    </w:p>
    <w:p>
      <w:pPr>
        <w:spacing w:after="120" w:line="240" w:lineRule="auto"/>
        <w:jc w:val="both"/>
        <w:rPr>
          <w:rFonts w:ascii="Times New Roman" w:hAnsi="Times New Roman"/>
          <w:noProof/>
          <w:sz w:val="24"/>
          <w:szCs w:val="24"/>
        </w:rPr>
      </w:pPr>
      <w:r>
        <w:rPr>
          <w:rFonts w:ascii="Times New Roman" w:hAnsi="Times New Roman"/>
          <w:i/>
          <w:iCs/>
          <w:noProof/>
          <w:sz w:val="24"/>
          <w:szCs w:val="24"/>
        </w:rPr>
        <w:t>PREVENT</w:t>
      </w:r>
      <w:r>
        <w:rPr>
          <w:rFonts w:ascii="Times New Roman" w:hAnsi="Times New Roman"/>
          <w:noProof/>
          <w:sz w:val="24"/>
          <w:szCs w:val="24"/>
        </w:rPr>
        <w:t xml:space="preserve"> sistēma joprojām pilnībā darbojas, un </w:t>
      </w:r>
      <w:r>
        <w:rPr>
          <w:rFonts w:ascii="Times New Roman" w:hAnsi="Times New Roman"/>
          <w:i/>
          <w:iCs/>
          <w:noProof/>
          <w:sz w:val="24"/>
          <w:szCs w:val="24"/>
        </w:rPr>
        <w:t>ANI</w:t>
      </w:r>
      <w:r>
        <w:rPr>
          <w:rFonts w:ascii="Times New Roman" w:hAnsi="Times New Roman"/>
          <w:noProof/>
          <w:sz w:val="24"/>
          <w:szCs w:val="24"/>
        </w:rPr>
        <w:t xml:space="preserve"> ziņo par pozitīviem rezultātiem.</w:t>
      </w:r>
      <w:r>
        <w:rPr>
          <w:rFonts w:ascii="Times New Roman" w:hAnsi="Times New Roman"/>
          <w:noProof/>
          <w:sz w:val="24"/>
          <w:szCs w:val="24"/>
          <w:vertAlign w:val="superscript"/>
        </w:rPr>
        <w:footnoteReference w:id="98"/>
      </w:r>
      <w:r>
        <w:rPr>
          <w:rFonts w:ascii="Times New Roman" w:hAnsi="Times New Roman"/>
          <w:noProof/>
          <w:sz w:val="24"/>
          <w:szCs w:val="24"/>
          <w:vertAlign w:val="superscript"/>
        </w:rPr>
        <w:t xml:space="preserve"> </w:t>
      </w:r>
      <w:r>
        <w:rPr>
          <w:rFonts w:ascii="Times New Roman" w:hAnsi="Times New Roman"/>
          <w:noProof/>
          <w:sz w:val="24"/>
          <w:szCs w:val="24"/>
        </w:rPr>
        <w:t xml:space="preserve">Jo sevišķi, </w:t>
      </w:r>
      <w:r>
        <w:rPr>
          <w:rFonts w:ascii="Times New Roman" w:hAnsi="Times New Roman"/>
          <w:i/>
          <w:iCs/>
          <w:noProof/>
          <w:sz w:val="24"/>
          <w:szCs w:val="24"/>
        </w:rPr>
        <w:t>ANI</w:t>
      </w:r>
      <w:r>
        <w:rPr>
          <w:rFonts w:ascii="Times New Roman" w:hAnsi="Times New Roman"/>
          <w:noProof/>
          <w:sz w:val="24"/>
          <w:szCs w:val="24"/>
        </w:rPr>
        <w:t xml:space="preserve"> uzsver, ka kopš </w:t>
      </w:r>
      <w:r>
        <w:rPr>
          <w:rFonts w:ascii="Times New Roman" w:hAnsi="Times New Roman"/>
          <w:i/>
          <w:iCs/>
          <w:noProof/>
          <w:sz w:val="24"/>
          <w:szCs w:val="24"/>
        </w:rPr>
        <w:t>PREVENT</w:t>
      </w:r>
      <w:r>
        <w:rPr>
          <w:rFonts w:ascii="Times New Roman" w:hAnsi="Times New Roman"/>
          <w:noProof/>
          <w:sz w:val="24"/>
          <w:szCs w:val="24"/>
        </w:rPr>
        <w:t xml:space="preserve"> sistēmas darbības sākšanas, uzlabojoties informētībai valsts sektora iestādēs, pastāvīgi samazinās interešu konfliktu skaits. </w:t>
      </w:r>
    </w:p>
    <w:p>
      <w:pPr>
        <w:spacing w:after="120" w:line="240" w:lineRule="auto"/>
        <w:jc w:val="both"/>
        <w:rPr>
          <w:rFonts w:ascii="Times New Roman" w:hAnsi="Times New Roman"/>
          <w:noProof/>
          <w:sz w:val="24"/>
          <w:szCs w:val="24"/>
        </w:rPr>
      </w:pPr>
      <w:r>
        <w:rPr>
          <w:rFonts w:ascii="Times New Roman" w:hAnsi="Times New Roman"/>
          <w:i/>
          <w:noProof/>
          <w:sz w:val="24"/>
          <w:szCs w:val="24"/>
        </w:rPr>
        <w:t>2018. gada novembra ziņojumā tika uzskatīts, ka šis ieteikums ir īstenots, un tā turpmāka efektīva īstenošana liecina par šīs sistēmas ilgtspēju.</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Turpmākā rīcība pēc tiesas nolēmumiem, kuri attiecas uz parlamenta deputātiem</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2017. gada SPM ieteikums: parlamentam vajadzētu būt pārredzamam savā lēmumu pieņemšanā, kas saistīti ar pēcpasākumiem galīgu un negrozāmu lēmumu par amatu nesavienojamības gadījumiem, interešu konfliktiem un nepamatoti iegūtiem līdzekļiem gadījumos pret parlamenta deputātiem.</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Pēdējos divos SPM ziņojumos tika norādīts uz kavēšanos un acīmredzamu nekonsekvenci sankciju piemērošanā tiem parlamenta deputātiem, attiecībā uz kuriem galīgā tiesas nolēmumā, kas tika sagatavoti pēc </w:t>
      </w:r>
      <w:r>
        <w:rPr>
          <w:rFonts w:ascii="Times New Roman" w:hAnsi="Times New Roman"/>
          <w:i/>
          <w:iCs/>
          <w:noProof/>
          <w:sz w:val="24"/>
          <w:szCs w:val="24"/>
        </w:rPr>
        <w:t>ANI</w:t>
      </w:r>
      <w:r>
        <w:rPr>
          <w:rFonts w:ascii="Times New Roman" w:hAnsi="Times New Roman"/>
          <w:noProof/>
          <w:sz w:val="24"/>
          <w:szCs w:val="24"/>
        </w:rPr>
        <w:t xml:space="preserve"> ziņojuma, bija konstatēta amatu nesavienojamība vai interešu konflikts. Ziņojumos tika uzsvērta iespējama atšķirīga noteikumu interpretācija (jo īpaši gadījumos, kad attiecīgais integritātes pārkāpums bija noticis iepriekšējo pilnvaru laikā vai iepriekšējā amatā) un tika norādīts uz to, ka ir vajadzīga skaidrība, lai varētu izpildīt SPM kritēriju — nodrošināt “obligātus lēmumus, pamatojoties uz kuriem var pieņemt atturošas sankcijas”.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Lietas, par kurām radās strīdi starp </w:t>
      </w:r>
      <w:r>
        <w:rPr>
          <w:rFonts w:ascii="Times New Roman" w:hAnsi="Times New Roman"/>
          <w:i/>
          <w:iCs/>
          <w:noProof/>
          <w:sz w:val="24"/>
          <w:szCs w:val="24"/>
        </w:rPr>
        <w:t>ANI</w:t>
      </w:r>
      <w:r>
        <w:rPr>
          <w:rFonts w:ascii="Times New Roman" w:hAnsi="Times New Roman"/>
          <w:noProof/>
          <w:sz w:val="24"/>
          <w:szCs w:val="24"/>
        </w:rPr>
        <w:t xml:space="preserve"> un iepriekšējā sasaukuma parlamentu, parlaments tā arī neatrisināja, un sankcijas nekad netika piemērotas.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Pašreizējā parlamenta pieeja būtiski atšķiras. Rumānijas Senāta Apstiprināšanas komiteja kā daļu no apstiprināšanas procesa pēc vēlēšanām lūdza </w:t>
      </w:r>
      <w:r>
        <w:rPr>
          <w:rFonts w:ascii="Times New Roman" w:hAnsi="Times New Roman"/>
          <w:i/>
          <w:iCs/>
          <w:noProof/>
          <w:sz w:val="24"/>
          <w:szCs w:val="24"/>
        </w:rPr>
        <w:t>ANI</w:t>
      </w:r>
      <w:r>
        <w:rPr>
          <w:rFonts w:ascii="Times New Roman" w:hAnsi="Times New Roman"/>
          <w:noProof/>
          <w:sz w:val="24"/>
          <w:szCs w:val="24"/>
        </w:rPr>
        <w:t xml:space="preserve"> ziņot par galīgiem un negrozāmiem nolēmumiem, ko tiesas pieņēmušas par ievēlēto senatoru amatu nesavienojamību vai interešu konfliktiem. </w:t>
      </w:r>
      <w:r>
        <w:rPr>
          <w:rFonts w:ascii="Times New Roman" w:hAnsi="Times New Roman"/>
          <w:i/>
          <w:iCs/>
          <w:noProof/>
          <w:sz w:val="24"/>
          <w:szCs w:val="24"/>
        </w:rPr>
        <w:t>ANI</w:t>
      </w:r>
      <w:r>
        <w:rPr>
          <w:rFonts w:ascii="Times New Roman" w:hAnsi="Times New Roman"/>
          <w:noProof/>
          <w:sz w:val="24"/>
          <w:szCs w:val="24"/>
        </w:rPr>
        <w:t xml:space="preserve"> konstatēja, ka nevienam no ievēlētajiem senatoriem nav noteikts aizliegums ieņemt amatu. Deputātu palāta ir pieprasījusi </w:t>
      </w:r>
      <w:r>
        <w:rPr>
          <w:rFonts w:ascii="Times New Roman" w:hAnsi="Times New Roman"/>
          <w:i/>
          <w:iCs/>
          <w:noProof/>
          <w:sz w:val="24"/>
          <w:szCs w:val="24"/>
        </w:rPr>
        <w:t>ANI</w:t>
      </w:r>
      <w:r>
        <w:rPr>
          <w:rFonts w:ascii="Times New Roman" w:hAnsi="Times New Roman"/>
          <w:noProof/>
          <w:sz w:val="24"/>
          <w:szCs w:val="24"/>
        </w:rPr>
        <w:t xml:space="preserve"> viedokli attiecībā uz vairāku deputātu paustu informāciju par to potenciālo amatu nesavienojamību.</w:t>
      </w:r>
      <w:r>
        <w:rPr>
          <w:rFonts w:ascii="Times New Roman" w:hAnsi="Times New Roman"/>
          <w:noProof/>
          <w:sz w:val="24"/>
          <w:szCs w:val="24"/>
          <w:vertAlign w:val="superscript"/>
          <w:lang w:val="en-US"/>
        </w:rPr>
        <w:footnoteReference w:id="99"/>
      </w:r>
    </w:p>
    <w:p>
      <w:pPr>
        <w:spacing w:before="240" w:after="120" w:line="240" w:lineRule="auto"/>
        <w:jc w:val="both"/>
        <w:rPr>
          <w:rFonts w:ascii="Times New Roman" w:hAnsi="Times New Roman"/>
          <w:i/>
          <w:noProof/>
          <w:sz w:val="24"/>
          <w:szCs w:val="24"/>
        </w:rPr>
      </w:pPr>
      <w:r>
        <w:rPr>
          <w:rFonts w:ascii="Times New Roman" w:hAnsi="Times New Roman"/>
          <w:i/>
          <w:noProof/>
          <w:sz w:val="24"/>
          <w:szCs w:val="24"/>
        </w:rPr>
        <w:t>Pieredze ar iepriekšējā sasaukuma parlamentu rada šaubas par šī ieteikuma īstenošanu. Jaunā aktīvā sadarbība, kas notiek jaunajā parlamentā, varētu būt pagrieziena punkts attiecībā uz integritātes tiesību aktu īstenošanu un galīgajiem tiesas nolēmumiem attiecībā uz parlamenta deputātiem.  Īstenojot līdzīgu pieeju, kad tiktu apstiprināti jauni amatu nesavienojamības vai interešu konfliktu gadījumi attiecībā uz esošajiem parlamentāriešiem, šo ieteikumu varētu atzīmēt kā izpildītu.</w:t>
      </w:r>
    </w:p>
    <w:p>
      <w:pPr>
        <w:spacing w:before="240" w:after="360" w:line="240" w:lineRule="auto"/>
        <w:jc w:val="both"/>
        <w:rPr>
          <w:rFonts w:ascii="Times New Roman" w:hAnsi="Times New Roman"/>
          <w:b/>
          <w:i/>
          <w:noProof/>
          <w:sz w:val="24"/>
          <w:szCs w:val="24"/>
        </w:rPr>
      </w:pPr>
      <w:r>
        <w:rPr>
          <w:rFonts w:ascii="Times New Roman" w:hAnsi="Times New Roman"/>
          <w:b/>
          <w:i/>
          <w:noProof/>
          <w:sz w:val="24"/>
          <w:szCs w:val="24"/>
        </w:rPr>
        <w:t>Regresa risks saistībā ar otro kritēriju, kas tika noteikts 2019. gadā saistībā ar integritātes tiesiskā regulējuma grozījumiem, ir mazināts. Ir vērojami pozitīvi signāli, ka jaunais likumdevējs varētu noteikt skaidru virzību uz ANI darbības ilgtspēju un tiesisko regulējumu par integritāti, īstenojot atlikušo ieteikumu.</w:t>
      </w:r>
    </w:p>
    <w:p>
      <w:pPr>
        <w:spacing w:before="240" w:after="120" w:line="240" w:lineRule="auto"/>
        <w:jc w:val="both"/>
        <w:rPr>
          <w:rFonts w:ascii="Times New Roman" w:hAnsi="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2.3. </w:t>
      </w:r>
      <w:r>
        <w:rPr>
          <w:rFonts w:ascii="Times New Roman" w:hAnsi="Times New Roman"/>
          <w:b/>
          <w:noProof/>
          <w:sz w:val="24"/>
          <w:szCs w:val="24"/>
        </w:rPr>
        <w:tab/>
        <w:t>Trešais kritērijs. Augsta līmeņa korupcijas apkarošana</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Valsts korupcijas apkarošanas direkcija un cīņa pret augsta līmeņa korupciju</w:t>
      </w:r>
    </w:p>
    <w:p>
      <w:pPr>
        <w:spacing w:after="120" w:line="240" w:lineRule="auto"/>
        <w:jc w:val="both"/>
        <w:rPr>
          <w:rFonts w:ascii="Times New Roman" w:hAnsi="Times New Roman"/>
          <w:noProof/>
          <w:sz w:val="24"/>
          <w:szCs w:val="24"/>
        </w:rPr>
      </w:pPr>
      <w:r>
        <w:rPr>
          <w:rFonts w:ascii="Times New Roman" w:hAnsi="Times New Roman"/>
          <w:noProof/>
          <w:sz w:val="24"/>
          <w:szCs w:val="24"/>
        </w:rPr>
        <w:t>2019. gada novembra ziņojumā Komisija pauda nopietnas bažas un atkārtoja savu 2018. gada novembra secinājumu, ka Rumānija ir likusi apšaubīt pamatu pozitīvajam novērtējumam, kas 2017. gada janvārī tika sniegts attiecībā uz trešo kritēriju. 2019. gada ziņojumā tika atzīts, ka gan Valsts korupcijas apkarošanas direkcija (</w:t>
      </w:r>
      <w:r>
        <w:rPr>
          <w:rFonts w:ascii="Times New Roman" w:hAnsi="Times New Roman"/>
          <w:i/>
          <w:iCs/>
          <w:noProof/>
          <w:sz w:val="24"/>
          <w:szCs w:val="24"/>
        </w:rPr>
        <w:t>DNA</w:t>
      </w:r>
      <w:r>
        <w:rPr>
          <w:rFonts w:ascii="Times New Roman" w:hAnsi="Times New Roman"/>
          <w:noProof/>
          <w:sz w:val="24"/>
          <w:szCs w:val="24"/>
        </w:rPr>
        <w:t xml:space="preserve">), gan Augstākā kasācijas tiesa ir turpinājušas izmeklēt augsta līmeņa korupcijas lietas un piemērot atbilstošus sodus, kā arī apliecinājušas profesionalitāti ļoti sarežģītos apstākļos, spējot saglabāt stabilus rezultātus. Ziņojumā arī secināts, ka uzbrukumi šo iestāžu darbībai, vairākkārtējās izmaiņas piemērojamajā tiesiskajā regulējumā un iespējamā šo iestāžu autoritātes apšaubīšana attiecībā uz galīgajiem spriedumiem radīja jautājumus par to, vai Rumānijas panākumi cīņā pret augsta līmeņa korupciju ir noturīgi.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Kopš 2019. gada ziņojuma sagatavošanas situācija ir uzlabojusies. Jauna </w:t>
      </w:r>
      <w:r>
        <w:rPr>
          <w:rFonts w:ascii="Times New Roman" w:hAnsi="Times New Roman"/>
          <w:i/>
          <w:iCs/>
          <w:noProof/>
          <w:sz w:val="24"/>
          <w:szCs w:val="24"/>
        </w:rPr>
        <w:t>DNA</w:t>
      </w:r>
      <w:r>
        <w:rPr>
          <w:rFonts w:ascii="Times New Roman" w:hAnsi="Times New Roman"/>
          <w:noProof/>
          <w:sz w:val="24"/>
          <w:szCs w:val="24"/>
        </w:rPr>
        <w:t xml:space="preserve"> galvenā prokurora un citu vadošo amatpersonu iecelšana 2020. gadā ir radījusi jaunu stimulu un institucionālo stabilitāti. Pateicoties šīm pārmaiņām, lielāka uzmanība tiek pievērsta izmeklēšanas procesu un tiesā iesniegto lietu kvalitātes nodrošināšanai. 2020. gadā </w:t>
      </w:r>
      <w:r>
        <w:rPr>
          <w:rFonts w:ascii="Times New Roman" w:hAnsi="Times New Roman"/>
          <w:i/>
          <w:iCs/>
          <w:noProof/>
          <w:sz w:val="24"/>
          <w:szCs w:val="24"/>
        </w:rPr>
        <w:t>DNA</w:t>
      </w:r>
      <w:r>
        <w:rPr>
          <w:rFonts w:ascii="Times New Roman" w:hAnsi="Times New Roman"/>
          <w:noProof/>
          <w:sz w:val="24"/>
          <w:szCs w:val="24"/>
        </w:rPr>
        <w:t xml:space="preserve"> izdevās sasniegt labākus rezultātus nekā 2019. gadā, palielinot apsūdzību skaitu un samazinot kavējumus.</w:t>
      </w:r>
      <w:r>
        <w:rPr>
          <w:rFonts w:ascii="Times New Roman" w:hAnsi="Times New Roman"/>
          <w:noProof/>
          <w:sz w:val="24"/>
          <w:szCs w:val="24"/>
          <w:vertAlign w:val="superscript"/>
        </w:rPr>
        <w:footnoteReference w:id="100"/>
      </w:r>
      <w:r>
        <w:rPr>
          <w:rFonts w:ascii="Times New Roman" w:hAnsi="Times New Roman"/>
          <w:noProof/>
          <w:sz w:val="24"/>
          <w:szCs w:val="24"/>
        </w:rPr>
        <w:t xml:space="preserve"> Tika panākts progress arī tiesu līmenī tiesu nolēmumu skaita izteiksmē.</w:t>
      </w:r>
      <w:r>
        <w:rPr>
          <w:rStyle w:val="FootnoteReference"/>
          <w:rFonts w:ascii="Times New Roman" w:hAnsi="Times New Roman"/>
          <w:noProof/>
          <w:sz w:val="24"/>
          <w:szCs w:val="24"/>
        </w:rPr>
        <w:footnoteReference w:id="101"/>
      </w:r>
      <w:r>
        <w:rPr>
          <w:rFonts w:ascii="Times New Roman" w:hAnsi="Times New Roman"/>
          <w:noProof/>
          <w:sz w:val="24"/>
          <w:szCs w:val="24"/>
        </w:rPr>
        <w:t xml:space="preserve"> 2020. gadā ir palielinājies pilsoņu iesniegtu un </w:t>
      </w:r>
      <w:r>
        <w:rPr>
          <w:rFonts w:ascii="Times New Roman" w:hAnsi="Times New Roman"/>
          <w:i/>
          <w:noProof/>
          <w:sz w:val="24"/>
          <w:szCs w:val="24"/>
        </w:rPr>
        <w:t>ex-officio</w:t>
      </w:r>
      <w:r>
        <w:rPr>
          <w:rFonts w:ascii="Times New Roman" w:hAnsi="Times New Roman"/>
          <w:noProof/>
          <w:sz w:val="24"/>
          <w:szCs w:val="24"/>
        </w:rPr>
        <w:t xml:space="preserve"> sūdzību skaits par potenciāliem korupcijas noziegumiem, izmainot lejupejošo tendenci, kas bija vērojama kopš 2015. gada. </w:t>
      </w:r>
      <w:r>
        <w:rPr>
          <w:rFonts w:ascii="Times New Roman" w:hAnsi="Times New Roman"/>
          <w:i/>
          <w:iCs/>
          <w:noProof/>
          <w:sz w:val="24"/>
          <w:szCs w:val="24"/>
        </w:rPr>
        <w:t>DNA</w:t>
      </w:r>
      <w:r>
        <w:rPr>
          <w:rFonts w:ascii="Times New Roman" w:hAnsi="Times New Roman"/>
          <w:noProof/>
          <w:sz w:val="24"/>
          <w:szCs w:val="24"/>
        </w:rPr>
        <w:t xml:space="preserve"> uzskata, ka tas liecina, ka atjaunojas sabiedrības uzticība, ko nopietni iedragāja uzbrukumi </w:t>
      </w:r>
      <w:r>
        <w:rPr>
          <w:rFonts w:ascii="Times New Roman" w:hAnsi="Times New Roman"/>
          <w:i/>
          <w:iCs/>
          <w:noProof/>
          <w:sz w:val="24"/>
          <w:szCs w:val="24"/>
        </w:rPr>
        <w:t>DNA</w:t>
      </w:r>
      <w:r>
        <w:rPr>
          <w:rFonts w:ascii="Times New Roman" w:hAnsi="Times New Roman"/>
          <w:noProof/>
          <w:sz w:val="24"/>
          <w:szCs w:val="24"/>
        </w:rPr>
        <w:t xml:space="preserve"> laikposmā no 2017. līdz 2019. gadam. 2020. gadā ir tikusi mainīta arī </w:t>
      </w:r>
      <w:r>
        <w:rPr>
          <w:rFonts w:ascii="Times New Roman" w:hAnsi="Times New Roman"/>
          <w:i/>
          <w:iCs/>
          <w:noProof/>
          <w:sz w:val="24"/>
          <w:szCs w:val="24"/>
        </w:rPr>
        <w:t>DNA</w:t>
      </w:r>
      <w:r>
        <w:rPr>
          <w:rFonts w:ascii="Times New Roman" w:hAnsi="Times New Roman"/>
          <w:noProof/>
          <w:sz w:val="24"/>
          <w:szCs w:val="24"/>
        </w:rPr>
        <w:t xml:space="preserve"> komunikācijas politika, lai, uzsākot izmeklēšanu, aizdomās turēto vārdi vairs netiktu minēti paziņojumos presei, tādējādi ierobežojot aizdomās turēto informācijas nonākšanu atklātībā.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Tomēr joprojām ir jārisina svarīgi jautājumi attiecībā uz </w:t>
      </w:r>
      <w:r>
        <w:rPr>
          <w:rFonts w:ascii="Times New Roman" w:hAnsi="Times New Roman"/>
          <w:i/>
          <w:iCs/>
          <w:noProof/>
          <w:sz w:val="24"/>
          <w:szCs w:val="24"/>
        </w:rPr>
        <w:t>DNA</w:t>
      </w:r>
      <w:r>
        <w:rPr>
          <w:rFonts w:ascii="Times New Roman" w:hAnsi="Times New Roman"/>
          <w:noProof/>
          <w:sz w:val="24"/>
          <w:szCs w:val="24"/>
        </w:rPr>
        <w:t xml:space="preserve"> ilgtspēju un to, lai korupcijas apkarošana būtu neatgriezeniska. 2018. un 2019. gadā pieņemtie tiesu likumu grozījumi būtiski traucēja </w:t>
      </w:r>
      <w:r>
        <w:rPr>
          <w:rFonts w:ascii="Times New Roman" w:hAnsi="Times New Roman"/>
          <w:i/>
          <w:iCs/>
          <w:noProof/>
          <w:sz w:val="24"/>
          <w:szCs w:val="24"/>
        </w:rPr>
        <w:t>DNA</w:t>
      </w:r>
      <w:r>
        <w:rPr>
          <w:rFonts w:ascii="Times New Roman" w:hAnsi="Times New Roman"/>
          <w:noProof/>
          <w:sz w:val="24"/>
          <w:szCs w:val="24"/>
        </w:rPr>
        <w:t xml:space="preserve"> efektīvai darbībai, un šāda situācija turpināsies, kamēr vien tie būs spēkā. Vispārējās problēmas, ar kurām saskaras tiesu sistēma (skatīt iepriekš) </w:t>
      </w:r>
      <w:r>
        <w:rPr>
          <w:rFonts w:ascii="Times New Roman" w:hAnsi="Times New Roman"/>
          <w:i/>
          <w:iCs/>
          <w:noProof/>
          <w:sz w:val="24"/>
          <w:szCs w:val="24"/>
        </w:rPr>
        <w:t>DNA</w:t>
      </w:r>
      <w:r>
        <w:rPr>
          <w:rFonts w:ascii="Times New Roman" w:hAnsi="Times New Roman"/>
          <w:noProof/>
          <w:sz w:val="24"/>
          <w:szCs w:val="24"/>
        </w:rPr>
        <w:t xml:space="preserve"> ir bijušas īpaši sarežģītas</w:t>
      </w:r>
      <w:r>
        <w:rPr>
          <w:rFonts w:ascii="Times New Roman" w:hAnsi="Times New Roman"/>
          <w:noProof/>
          <w:sz w:val="24"/>
          <w:szCs w:val="24"/>
          <w:vertAlign w:val="superscript"/>
        </w:rPr>
        <w:footnoteReference w:id="102"/>
      </w:r>
      <w:r>
        <w:rPr>
          <w:rFonts w:ascii="Times New Roman" w:hAnsi="Times New Roman"/>
          <w:noProof/>
          <w:sz w:val="24"/>
          <w:szCs w:val="24"/>
        </w:rPr>
        <w:t xml:space="preserve">. </w:t>
      </w:r>
      <w:r>
        <w:rPr>
          <w:rFonts w:ascii="Times New Roman" w:hAnsi="Times New Roman"/>
          <w:i/>
          <w:iCs/>
          <w:noProof/>
          <w:sz w:val="24"/>
          <w:szCs w:val="24"/>
        </w:rPr>
        <w:t>DNA</w:t>
      </w:r>
      <w:r>
        <w:rPr>
          <w:rFonts w:ascii="Times New Roman" w:hAnsi="Times New Roman"/>
          <w:noProof/>
          <w:sz w:val="24"/>
          <w:szCs w:val="24"/>
        </w:rPr>
        <w:t xml:space="preserve"> ir saskārusies ar cilvēkresursu trūkumu</w:t>
      </w:r>
      <w:r>
        <w:rPr>
          <w:rFonts w:ascii="Times New Roman" w:hAnsi="Times New Roman"/>
          <w:noProof/>
          <w:sz w:val="24"/>
          <w:szCs w:val="24"/>
          <w:vertAlign w:val="superscript"/>
        </w:rPr>
        <w:footnoteReference w:id="103"/>
      </w:r>
      <w:r>
        <w:rPr>
          <w:rFonts w:ascii="Times New Roman" w:hAnsi="Times New Roman"/>
          <w:noProof/>
          <w:sz w:val="24"/>
          <w:szCs w:val="24"/>
        </w:rPr>
        <w:t xml:space="preserve">, kas ir radījis vēl lielāku spiedienu uz prokuroriem laikā, kad </w:t>
      </w:r>
      <w:r>
        <w:rPr>
          <w:rFonts w:ascii="Times New Roman" w:hAnsi="Times New Roman"/>
          <w:i/>
          <w:iCs/>
          <w:noProof/>
          <w:sz w:val="24"/>
          <w:szCs w:val="24"/>
        </w:rPr>
        <w:t>DNA</w:t>
      </w:r>
      <w:r>
        <w:rPr>
          <w:rFonts w:ascii="Times New Roman" w:hAnsi="Times New Roman"/>
          <w:noProof/>
          <w:sz w:val="24"/>
          <w:szCs w:val="24"/>
        </w:rPr>
        <w:t xml:space="preserve"> saskārās ar papildu grūtībām saistībā ar tās tehniskās spējas uzlabošanu, lai izpildītu tiesu rīkojumus, izmantojot īpašas izmeklēšanas metodes.</w:t>
      </w:r>
      <w:r>
        <w:rPr>
          <w:rFonts w:ascii="Times New Roman" w:hAnsi="Times New Roman"/>
          <w:noProof/>
          <w:sz w:val="24"/>
          <w:szCs w:val="24"/>
          <w:vertAlign w:val="superscript"/>
        </w:rPr>
        <w:footnoteReference w:id="104"/>
      </w:r>
      <w:r>
        <w:rPr>
          <w:rFonts w:ascii="Times New Roman" w:hAnsi="Times New Roman"/>
          <w:noProof/>
          <w:sz w:val="24"/>
          <w:szCs w:val="24"/>
        </w:rPr>
        <w:t xml:space="preserve"> Turklāt dažu augsta līmeņa korupcijas lietu efektīvu izskatīšanu joprojām negatīvi ietekmē Tiesu iestādēs pastrādātu noziedzīgu nodarījumu izmeklēšanas nodaļa (</w:t>
      </w:r>
      <w:r>
        <w:rPr>
          <w:rFonts w:ascii="Times New Roman" w:hAnsi="Times New Roman"/>
          <w:i/>
          <w:iCs/>
          <w:noProof/>
          <w:sz w:val="24"/>
          <w:szCs w:val="24"/>
        </w:rPr>
        <w:t>SIIJ</w:t>
      </w:r>
      <w:r>
        <w:rPr>
          <w:rFonts w:ascii="Times New Roman" w:hAnsi="Times New Roman"/>
          <w:noProof/>
          <w:sz w:val="24"/>
          <w:szCs w:val="24"/>
        </w:rPr>
        <w:t xml:space="preserve">), kura turpina iejaukties pašreizējās </w:t>
      </w:r>
      <w:r>
        <w:rPr>
          <w:rFonts w:ascii="Times New Roman" w:hAnsi="Times New Roman"/>
          <w:i/>
          <w:iCs/>
          <w:noProof/>
          <w:sz w:val="24"/>
          <w:szCs w:val="24"/>
        </w:rPr>
        <w:t>DNA</w:t>
      </w:r>
      <w:r>
        <w:rPr>
          <w:rFonts w:ascii="Times New Roman" w:hAnsi="Times New Roman"/>
          <w:noProof/>
          <w:sz w:val="24"/>
          <w:szCs w:val="24"/>
        </w:rPr>
        <w:t xml:space="preserve"> izmeklētās augsta līmeņa korupcijas lietās un radīt kavējumus, kas var negatīvi ietekmēt minētās lietas.</w:t>
      </w:r>
      <w:r>
        <w:rPr>
          <w:rStyle w:val="FootnoteReference"/>
          <w:rFonts w:ascii="Times New Roman" w:hAnsi="Times New Roman"/>
          <w:noProof/>
          <w:sz w:val="24"/>
          <w:szCs w:val="24"/>
        </w:rPr>
        <w:footnoteReference w:id="105"/>
      </w:r>
      <w:r>
        <w:rPr>
          <w:rFonts w:ascii="Times New Roman" w:hAnsi="Times New Roman"/>
          <w:noProof/>
          <w:sz w:val="24"/>
          <w:szCs w:val="24"/>
        </w:rPr>
        <w:t xml:space="preserve"> Tas, ka </w:t>
      </w:r>
      <w:r>
        <w:rPr>
          <w:rFonts w:ascii="Times New Roman" w:hAnsi="Times New Roman"/>
          <w:i/>
          <w:iCs/>
          <w:noProof/>
          <w:sz w:val="24"/>
          <w:szCs w:val="24"/>
        </w:rPr>
        <w:t>SIIJ</w:t>
      </w:r>
      <w:r>
        <w:rPr>
          <w:rFonts w:ascii="Times New Roman" w:hAnsi="Times New Roman"/>
          <w:noProof/>
          <w:sz w:val="24"/>
          <w:szCs w:val="24"/>
        </w:rPr>
        <w:t xml:space="preserve"> izskata sūdzības pret prokuroriem, ko iesniegušas personas, kuras apsūdzētas korupcijā, tiek uzskatīts par spiediena izdarīšanu uz </w:t>
      </w:r>
      <w:r>
        <w:rPr>
          <w:rFonts w:ascii="Times New Roman" w:hAnsi="Times New Roman"/>
          <w:i/>
          <w:iCs/>
          <w:noProof/>
          <w:sz w:val="24"/>
          <w:szCs w:val="24"/>
        </w:rPr>
        <w:t>DNA</w:t>
      </w:r>
      <w:r>
        <w:rPr>
          <w:rFonts w:ascii="Times New Roman" w:hAnsi="Times New Roman"/>
          <w:noProof/>
          <w:sz w:val="24"/>
          <w:szCs w:val="24"/>
        </w:rPr>
        <w:t xml:space="preserve"> prokuroriem. </w:t>
      </w:r>
    </w:p>
    <w:p>
      <w:pPr>
        <w:spacing w:after="120" w:line="240" w:lineRule="auto"/>
        <w:jc w:val="both"/>
        <w:rPr>
          <w:rFonts w:ascii="Times New Roman" w:hAnsi="Times New Roman"/>
          <w:noProof/>
          <w:sz w:val="24"/>
          <w:szCs w:val="24"/>
        </w:rPr>
      </w:pPr>
      <w:r>
        <w:rPr>
          <w:rFonts w:ascii="Times New Roman" w:hAnsi="Times New Roman"/>
          <w:noProof/>
          <w:sz w:val="24"/>
          <w:szCs w:val="24"/>
        </w:rPr>
        <w:t>Cita nozīmīga problēma cīņā pret korupciju ir politisku un leģislatīvu risinājumu trūkums saistībā ar tālejošiem nolēmumiem, ko Konstitucionālā tiesa strauji pieņēmusi laikposmā no 2014. gada, ar kuriem atcelti vai interpretēti Kriminālkodeksa un Kriminālprocesa kodeksa noteikumi. Šī situācija radīja arvien vairāk šķēršļu un juridisko nenoteiktību attiecībā uz augsta līmeņa korupcijas lietu izmeklēšanu, kriminālvajāšanu un sodu piemērošanu. Rezultātā ir pārtraukta lietu izskatīšana tiesā, radusies juridiskā nenoteiktība attiecībā uz pierādījumu pieņemamību, kā arī no jauna sākta izmeklēšana vai tiesvedība</w:t>
      </w:r>
      <w:r>
        <w:rPr>
          <w:rFonts w:ascii="Times New Roman" w:hAnsi="Times New Roman"/>
          <w:noProof/>
          <w:sz w:val="24"/>
          <w:szCs w:val="24"/>
          <w:vertAlign w:val="superscript"/>
        </w:rPr>
        <w:footnoteReference w:id="106"/>
      </w:r>
      <w:r>
        <w:rPr>
          <w:rFonts w:ascii="Times New Roman" w:hAnsi="Times New Roman"/>
          <w:noProof/>
          <w:sz w:val="24"/>
          <w:szCs w:val="24"/>
        </w:rPr>
        <w:t>. Tas, kāda būs Konstitucionālās tiesas nolēmumu ietekme uz pašlaik izskatītajām augsta līmeņa korupcijas lietām attiecībā uz trīs tiesnešu kolēģiju sastāvu saistībā ar augsta līmeņa korupcijas lietām un piecu tiesnešu galīgās apelācijas kolēģiju sastāvu Augstākajā kasācijas tiesā, vēl nav skaidrs.</w:t>
      </w:r>
      <w:r>
        <w:rPr>
          <w:rFonts w:ascii="Times New Roman" w:hAnsi="Times New Roman"/>
          <w:noProof/>
          <w:sz w:val="24"/>
          <w:szCs w:val="24"/>
          <w:vertAlign w:val="superscript"/>
        </w:rPr>
        <w:footnoteReference w:id="107"/>
      </w:r>
      <w:r>
        <w:rPr>
          <w:rFonts w:ascii="Times New Roman" w:hAnsi="Times New Roman"/>
          <w:noProof/>
          <w:sz w:val="24"/>
          <w:szCs w:val="24"/>
        </w:rPr>
        <w:t xml:space="preserve"> Savā nesenajā spriedumā EST lēma, ka ES tiesību pārākuma princips ir jāinterpretē tādējādi, ka tas nepieļauj tādu dalībvalsts konstitucionāla līmeņa tiesisko regulējumu, saskaņā ar kuru zemākas instances tiesai nav tiesību pēc savas ierosmes nepiemērot valsts tiesību normu, kura ietilpst SPM satvara piemērošanas jomā un kura ir pretrunā ES tiesību aktiem. Ja ir pierādīts, ka ir pārkāpts ES līgums vai SPM lēmums, ES tiesību pārākuma princips prasa, lai iesniedzējtiesa nepiemērotu attiecīgās tiesību normas neatkarīgi no tā, vai tām ir leģislatīva vai konstitucionāla izcelsme.</w:t>
      </w:r>
      <w:r>
        <w:rPr>
          <w:rStyle w:val="FootnoteReference"/>
          <w:rFonts w:ascii="Times New Roman" w:hAnsi="Times New Roman"/>
          <w:noProof/>
          <w:sz w:val="24"/>
          <w:szCs w:val="24"/>
        </w:rPr>
        <w:footnoteReference w:id="108"/>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Kaut arī DNA vadība un atbalstoša valdība situāciju ir uzlabojušas, joprojām pastāv dažas svarīgas problēmas, kas jāatrisina, lai DNA varētu darboties efektīvi un ilgtspējīgi un lai korupcijas apkarošana būtu neatgriezeniska. Valdības plāni mainīt gan tiesu likumus, gan Kriminālkodeksu un Kriminālprocesa kodeksu būs svarīgi soļi, lai augsta līmeņa korupcijas apkarošanas darbs tiktu vēl vairāk konsolidēts. </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Parlamenta deputātu imunitātes atcelšana</w:t>
      </w:r>
    </w:p>
    <w:tbl>
      <w:tblPr>
        <w:tblStyle w:val="TableGrid"/>
        <w:tblW w:w="0" w:type="auto"/>
        <w:tblLook w:val="04A0" w:firstRow="1" w:lastRow="0" w:firstColumn="1" w:lastColumn="0" w:noHBand="0" w:noVBand="1"/>
      </w:tblPr>
      <w:tblGrid>
        <w:gridCol w:w="9145"/>
      </w:tblGrid>
      <w:tr>
        <w:tc>
          <w:tcPr>
            <w:tcW w:w="9288" w:type="dxa"/>
          </w:tcPr>
          <w:p>
            <w:pPr>
              <w:spacing w:after="120" w:line="240" w:lineRule="auto"/>
              <w:jc w:val="both"/>
              <w:rPr>
                <w:rFonts w:ascii="Times New Roman" w:eastAsia="SimSun" w:hAnsi="Times New Roman"/>
                <w:b/>
                <w:i/>
                <w:noProof/>
                <w:sz w:val="24"/>
                <w:szCs w:val="24"/>
              </w:rPr>
            </w:pPr>
            <w:r>
              <w:rPr>
                <w:rFonts w:ascii="Times New Roman" w:hAnsi="Times New Roman"/>
                <w:i/>
                <w:noProof/>
                <w:sz w:val="24"/>
                <w:szCs w:val="24"/>
              </w:rPr>
              <w:t>2017. gada SPM ieteikums: pieņemt objektīvus kritērijus tam, lai lemtu par parlamenta deputātu imunitāti un pamatotu tās atcelšanu nolūkā palīdzēt nodrošināt, ka imunitāte netiek izmantota, lai izvairītos no korupcijas nodarījumu izmeklēšanas un saukšanas pie atbildības par tiem. Valdība varētu arī apsvērt grozīt likumu, lai ministriem imunitāte būtu tikai viņu amata pilnvaru laikā. Šajos pasākumos palīdzību varētu sniegt Venēcijas komisija un GRECO. Parlamentam būtu jāizveido sistēma, lai regulāri ziņotu par lēmumiem, ko pieņēmušas tā palātas attiecībā uz pieprasījumiem atcelt imunitāti, un tas varētu rīkot sabiedrisku diskusiju tā, lai Tiesnešu augstākā padome un pilsoniskā sabiedrība var sniegt atbildi.</w:t>
            </w:r>
          </w:p>
        </w:tc>
      </w:tr>
    </w:tbl>
    <w:p>
      <w:pPr>
        <w:spacing w:before="120" w:after="120" w:line="240" w:lineRule="auto"/>
        <w:jc w:val="both"/>
        <w:rPr>
          <w:rFonts w:ascii="Times New Roman" w:eastAsia="SimSun" w:hAnsi="Times New Roman"/>
          <w:noProof/>
          <w:sz w:val="24"/>
          <w:szCs w:val="24"/>
        </w:rPr>
      </w:pPr>
      <w:r>
        <w:rPr>
          <w:rFonts w:ascii="Times New Roman" w:hAnsi="Times New Roman"/>
          <w:noProof/>
          <w:sz w:val="24"/>
          <w:szCs w:val="24"/>
        </w:rPr>
        <w:t>Šis ieteikums attiecas uz parlamenta pārskatatbildību tā lēmumos par prokuratūras pieprasījumiem atļaut preventīvus pasākumus, piemēram, meklēšanu vai apcietināšanu, un par pieprasījumiem atļaut veikt izmeklēšanu par parlamenta deputātu, ja viņš arī ieņem vai ir ieņēmis ministra amatu. Apstāklis, ka parlamenta pieņemtie lēmumi netika pamatoti, kā arī tas, ka parlaments vairākkārt neļāva turpināt izmeklēšanu, radīja bažas par šo lēmumu objektivitāti. 2019. gada SPM ziņojumā tika atzinīgi vērtēts tas, ka 2019. gada jūnijā Deputātu palāta grozīja savu reglamentu un izdarīja īpašu atsauci uz kritērijiem, kas izklāstīti Venēcijas komisijas ziņojumā par parlamentārās imunitātes mērķi un tās atņemšanu</w:t>
      </w:r>
      <w:r>
        <w:rPr>
          <w:rFonts w:ascii="Times New Roman" w:hAnsi="Times New Roman"/>
          <w:noProof/>
          <w:sz w:val="24"/>
          <w:szCs w:val="24"/>
          <w:vertAlign w:val="superscript"/>
        </w:rPr>
        <w:footnoteReference w:id="109"/>
      </w:r>
      <w:r>
        <w:rPr>
          <w:rFonts w:ascii="Times New Roman" w:hAnsi="Times New Roman"/>
          <w:noProof/>
          <w:sz w:val="24"/>
          <w:szCs w:val="24"/>
        </w:rPr>
        <w:t xml:space="preserve">. Ziņojumā tika rosināts līdzīgus noteikumus pieņemt arī Senātā, taču šajā saistībā nekādi pasākumi nav veikti.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Pārskata periodā Deputātu palāta 2020. apstiprināja pieprasījumu atļaut sākt izmeklēšanu pret kādu bijušo ministru un deputātu; arī Senāts apstiprināja pieprasījumu atļaut sākt izmeklēšanu pret kādu bijušo ministru un senatoru, neraugoties uz Juridiskās komitejas sākotnēji negatīvu atzinumu. </w:t>
      </w:r>
    </w:p>
    <w:p>
      <w:pPr>
        <w:spacing w:after="120" w:line="240" w:lineRule="auto"/>
        <w:jc w:val="both"/>
        <w:rPr>
          <w:rFonts w:ascii="Times New Roman" w:hAnsi="Times New Roman"/>
          <w:i/>
          <w:noProof/>
          <w:sz w:val="24"/>
          <w:szCs w:val="24"/>
        </w:rPr>
      </w:pPr>
      <w:r>
        <w:rPr>
          <w:rFonts w:ascii="Times New Roman" w:hAnsi="Times New Roman"/>
          <w:i/>
          <w:noProof/>
          <w:sz w:val="24"/>
          <w:szCs w:val="24"/>
        </w:rPr>
        <w:t>Parlamenta pieeja ir ļāvusi uzsākt pozitīvu virzību, un turpmāki pasākumi abās palātās varētu būt par iemeslu ieteikuma īstenošanas atkārtotai izvērtēšanai.</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Situācija saistībā ar trešo kritēriju kopš pēdējā novērtējuma 2019. gadā ir uzlabojusies. Iepriekš minēto reformu pabeigšana — gan attiecībā uz tiesu likumiem, tostarp SIIJ likvidēšanu, gan Kriminālkodeksu un Kriminālprocesa kodeksu — būs svarīgi soļi virzībā uz šā kritērija izpildi.</w:t>
      </w:r>
    </w:p>
    <w:p>
      <w:pPr>
        <w:spacing w:before="240" w:after="120" w:line="240" w:lineRule="auto"/>
        <w:jc w:val="both"/>
        <w:rPr>
          <w:rFonts w:ascii="Times New Roman" w:hAnsi="Times New Roman"/>
          <w:b/>
          <w:noProof/>
          <w:sz w:val="24"/>
          <w:szCs w:val="24"/>
        </w:rPr>
      </w:pPr>
      <w:r>
        <w:rPr>
          <w:rFonts w:ascii="Times New Roman" w:hAnsi="Times New Roman"/>
          <w:b/>
          <w:noProof/>
          <w:sz w:val="24"/>
          <w:szCs w:val="24"/>
        </w:rPr>
        <w:t>2.4.</w:t>
      </w:r>
      <w:r>
        <w:rPr>
          <w:rFonts w:ascii="Times New Roman" w:hAnsi="Times New Roman"/>
          <w:b/>
          <w:noProof/>
          <w:sz w:val="24"/>
          <w:szCs w:val="24"/>
        </w:rPr>
        <w:tab/>
        <w:t>Ceturtais kritērijs. Korupcijas apkarošana visos līmeņos</w:t>
      </w:r>
    </w:p>
    <w:p>
      <w:pPr>
        <w:keepNext/>
        <w:spacing w:after="120" w:line="240" w:lineRule="auto"/>
        <w:jc w:val="both"/>
        <w:rPr>
          <w:rFonts w:ascii="Times New Roman" w:hAnsi="Times New Roman"/>
          <w:b/>
          <w:i/>
          <w:noProof/>
          <w:sz w:val="24"/>
          <w:szCs w:val="24"/>
        </w:rPr>
      </w:pPr>
      <w:r>
        <w:rPr>
          <w:rFonts w:ascii="Times New Roman" w:hAnsi="Times New Roman"/>
          <w:b/>
          <w:i/>
          <w:noProof/>
          <w:sz w:val="24"/>
          <w:szCs w:val="24"/>
        </w:rPr>
        <w:t>Valsts pretkorupcijas stratēģija</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eastAsia="SimSun" w:hAnsi="Times New Roman"/>
          <w:i/>
          <w:noProof/>
          <w:sz w:val="24"/>
          <w:szCs w:val="24"/>
        </w:rPr>
      </w:pPr>
      <w:r>
        <w:rPr>
          <w:rFonts w:ascii="Times New Roman" w:hAnsi="Times New Roman"/>
          <w:i/>
          <w:noProof/>
          <w:sz w:val="24"/>
          <w:szCs w:val="24"/>
        </w:rPr>
        <w:t>2017. gada SPM ieteikums:</w:t>
      </w:r>
      <w:r>
        <w:rPr>
          <w:rFonts w:ascii="Times New Roman" w:hAnsi="Times New Roman"/>
          <w:b/>
          <w:i/>
          <w:noProof/>
          <w:sz w:val="24"/>
          <w:szCs w:val="24"/>
        </w:rPr>
        <w:t xml:space="preserve"> </w:t>
      </w:r>
      <w:r>
        <w:rPr>
          <w:rFonts w:ascii="Times New Roman" w:hAnsi="Times New Roman"/>
          <w:i/>
          <w:noProof/>
          <w:sz w:val="24"/>
          <w:szCs w:val="24"/>
        </w:rPr>
        <w:t>turpināt īstenot Valsts pretkorupcijas stratēģiju, ievērojot valdības 2016. gada augustā noteiktos termiņus. Tieslietu ministram būtu jāievieš sistēma ziņošanai par Valsts pretkorupcijas stratēģijas efektīvu īstenošanu (iekļaujot statistiku par integritātes pārkāpumiem valsts pārvaldē, sīkāku informāciju par disciplinārajām procedūrām un sankcijām, informāciju par strukturālajiem pasākumiem, kas piemēroti neaizsargātās jomās).</w:t>
      </w:r>
    </w:p>
    <w:p>
      <w:pPr>
        <w:spacing w:after="120" w:line="240" w:lineRule="auto"/>
        <w:jc w:val="both"/>
        <w:rPr>
          <w:rFonts w:ascii="Times New Roman" w:hAnsi="Times New Roman"/>
          <w:noProof/>
          <w:sz w:val="24"/>
          <w:szCs w:val="24"/>
        </w:rPr>
      </w:pPr>
      <w:r>
        <w:rPr>
          <w:rFonts w:ascii="Times New Roman" w:hAnsi="Times New Roman"/>
          <w:noProof/>
          <w:sz w:val="24"/>
          <w:szCs w:val="24"/>
        </w:rPr>
        <w:t>Progress saistībā ar Valsts pretkorupcijas stratēģiju un tādējādi ceturto kritēriju ir svarīga valstiska prioritāte, kas iekļauta valdības politiskajā darba kārtībā. Valsts pretkorupcijas stratēģija 2016.–2020. gadam beidzās 2020. gadā, un Tieslietu ministrija ziņo, ka tā ir panākusi progresu, kaut tas ir bijis nevienmērīgs, jo īpaši jomās, kur korupcijas risks ir lielāks. Stratēģija 2016.–2020. gadam nodrošināja uzlabotas procedūras darbam augsta riska sektoros, kur pastāv lielāks korupcijas risks, uzlaboja iestāžu pārredzamību un preventīvo pasākumu efektivitāti, kā arī panāca ar integritāti saistītu incidentu skaita samazinājumu un iedzīvotājiem sniegtu pakalpojumu uzlabošanu (tostarp ar digitalizācijas palīdzību). Pašlaik tiek veikta iekšēja izvērtēšana un ārēja revīzija (ko veic ESAO), lai iegūtu informāciju jaunas Valsts pretkorupcijas stratēģijas 2021.–2025. gadam sagatavošanai. Iesaistītās iestādes 2016.–2020. gada stratēģijas galvenās iezīmes uzskata par paraugpraksi, un tās tiks turpinātas nākamajā stratēģijā, jo īpaši salīdzinošās izvērtēšanas uzraudzības mehānisms un</w:t>
      </w:r>
      <w:r>
        <w:rPr>
          <w:noProof/>
        </w:rPr>
        <w:t xml:space="preserve"> </w:t>
      </w:r>
      <w:r>
        <w:rPr>
          <w:rFonts w:ascii="Times New Roman" w:hAnsi="Times New Roman"/>
          <w:noProof/>
          <w:sz w:val="24"/>
          <w:szCs w:val="24"/>
        </w:rPr>
        <w:t xml:space="preserve">uz līdzdalību vērstais lēmumu pieņemšanas process, izmantojot platformas. Tomēr Tieslietu ministrija ir norādījusi, ka stratēģijas efektivitāte ir atkarīga no īpašas īstenošanas struktūrvienības un jo sevišķi no politiskās gribas stimulēt pasākumu īstenošanu visās iesaistītajās pārvaldes iestādēs un publiskā sektora iestādēs, tostarp vietējā līmenī. Pašlaik novērtējumi tiek pabeigti, un Tieslietu ministrija ir noorganizējusi sabiedrisko apspriešanu ar piecām pretkorupcijas platformām (pārgrupējot ieinteresētās personas) par jauno stratēģiju, un plāno līdz 2021. gada beigām ierosināt jaunās valsts pretkorupcijas stratēģijas pieņemšanu. Jaunās stratēģijas 2021.–2025. gadam pieņemšana būs iespēja pārvērst valdības politiskās prioritātes par konkrētām darbībām. </w:t>
      </w:r>
    </w:p>
    <w:p>
      <w:pPr>
        <w:spacing w:after="120" w:line="240" w:lineRule="auto"/>
        <w:jc w:val="both"/>
        <w:rPr>
          <w:rFonts w:ascii="Times New Roman" w:hAnsi="Times New Roman"/>
          <w:noProof/>
          <w:sz w:val="24"/>
          <w:szCs w:val="24"/>
        </w:rPr>
      </w:pPr>
      <w:r>
        <w:rPr>
          <w:rFonts w:ascii="Times New Roman" w:hAnsi="Times New Roman"/>
          <w:noProof/>
          <w:sz w:val="24"/>
          <w:szCs w:val="24"/>
        </w:rPr>
        <w:t>Viens no stratēģijas mērķiem ir uzlabot korupcijas apkarošanas rezultātus, paredzot kriminālsodus un administratīvos sodus. Kopš 2019. oktobra SPM ziņojuma pieņemšanas ģenerālprokuratūra ir turpinājusi efektīvi saukt pie atbildības par korupciju un ar korupciju saistītiem nodarījumiem</w:t>
      </w:r>
      <w:r>
        <w:rPr>
          <w:rFonts w:ascii="Times New Roman" w:hAnsi="Times New Roman"/>
          <w:noProof/>
          <w:sz w:val="24"/>
          <w:szCs w:val="24"/>
          <w:vertAlign w:val="superscript"/>
        </w:rPr>
        <w:footnoteReference w:id="110"/>
      </w:r>
      <w:r>
        <w:rPr>
          <w:rFonts w:ascii="Times New Roman" w:hAnsi="Times New Roman"/>
          <w:noProof/>
          <w:sz w:val="24"/>
          <w:szCs w:val="24"/>
        </w:rPr>
        <w:t>. Tomēr problēmas, kas skar cīņu pret augsta līmeņa korupciju (skatīt trešo kritēriju), ietekmē arī prokuratūras kompetencē esošo izmeklēšanu un tiesvedību kopumā. Iekšlietu ministrijas Vispārējā korupcijas apkarošanas direkcija (</w:t>
      </w:r>
      <w:r>
        <w:rPr>
          <w:rFonts w:ascii="Times New Roman" w:hAnsi="Times New Roman"/>
          <w:i/>
          <w:iCs/>
          <w:noProof/>
          <w:sz w:val="24"/>
          <w:szCs w:val="24"/>
        </w:rPr>
        <w:t>DGA</w:t>
      </w:r>
      <w:r>
        <w:rPr>
          <w:rFonts w:ascii="Times New Roman" w:hAnsi="Times New Roman"/>
          <w:noProof/>
          <w:sz w:val="24"/>
          <w:szCs w:val="24"/>
        </w:rPr>
        <w:t>) veica izmeklēšanu lietu prokuroru tiešā vadībā un īstenoja korupcijas novēršanas projektus ministrijā.</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Kopumā ir vajadzīgs turpmāks darbs pie valsts pretkorupcijas stratēģijas, lai nodrošinātu tās efektīvu īstenošanu un pastiprinātu korupcijas novēršanu un apkarošanu neaizsargātās jomās un vietējā līmenī. Stratēģijas novērtējumi un stingra politiskā apņemšanās kalpos par pamatu, kas ļaus izvērtēt progresu, izmantojot tiesiskuma mehānismu. </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Atsavinātu līdzekļu pārvaldības valsts aģentūra</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i/>
          <w:noProof/>
          <w:sz w:val="24"/>
          <w:szCs w:val="24"/>
        </w:rPr>
        <w:t>Ieteikums:</w:t>
      </w:r>
      <w:r>
        <w:rPr>
          <w:rFonts w:ascii="Times New Roman" w:hAnsi="Times New Roman"/>
          <w:b/>
          <w:i/>
          <w:noProof/>
          <w:sz w:val="24"/>
          <w:szCs w:val="24"/>
        </w:rPr>
        <w:t xml:space="preserve"> </w:t>
      </w:r>
      <w:r>
        <w:rPr>
          <w:rFonts w:ascii="Times New Roman" w:hAnsi="Times New Roman"/>
          <w:i/>
          <w:noProof/>
          <w:sz w:val="24"/>
          <w:szCs w:val="24"/>
        </w:rPr>
        <w:t>nodrošināt, ka Atsavinātu līdzekļu pārvaldības valsts aģentūra ir pilnībā darbotiesspējīga un efektīva tā, lai tā var sniegt pirmo gada ziņojumu ar ticamu statistikas informāciju par noziedzīgi iegūtu līdzekļu konfiskāciju. Aģentūrai būtu jāievieš sistēma, lai regulāri ziņotu par administratīvās kapacitātes attīstību, noziedzīgi iegūtu līdzekļu konfiskācijas un pārvaldības rezultātiem.</w:t>
      </w:r>
      <w:r>
        <w:rPr>
          <w:rFonts w:ascii="Times New Roman" w:hAnsi="Times New Roman"/>
          <w:b/>
          <w:i/>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2021. gads ir piektais Atsavinātu līdzekļu pārvaldības valsts aģentūras (</w:t>
      </w:r>
      <w:r>
        <w:rPr>
          <w:rFonts w:ascii="Times New Roman" w:hAnsi="Times New Roman"/>
          <w:i/>
          <w:iCs/>
          <w:noProof/>
          <w:sz w:val="24"/>
          <w:szCs w:val="24"/>
        </w:rPr>
        <w:t>ANABI</w:t>
      </w:r>
      <w:r>
        <w:rPr>
          <w:rFonts w:ascii="Times New Roman" w:hAnsi="Times New Roman"/>
          <w:noProof/>
          <w:sz w:val="24"/>
          <w:szCs w:val="24"/>
        </w:rPr>
        <w:t>) darbības gads, un tā arvien attīsta savu darbību.</w:t>
      </w:r>
      <w:r>
        <w:rPr>
          <w:noProof/>
        </w:rPr>
        <w:t xml:space="preserve"> </w:t>
      </w:r>
      <w:r>
        <w:rPr>
          <w:rFonts w:ascii="Times New Roman" w:hAnsi="Times New Roman"/>
          <w:noProof/>
          <w:sz w:val="24"/>
          <w:szCs w:val="24"/>
        </w:rPr>
        <w:t xml:space="preserve">Ņemot vērā pieredzi, kas gūta kopš tās darbības sākšanas 2016. gada decembrī, </w:t>
      </w:r>
      <w:r>
        <w:rPr>
          <w:rFonts w:ascii="Times New Roman" w:hAnsi="Times New Roman"/>
          <w:i/>
          <w:iCs/>
          <w:noProof/>
          <w:sz w:val="24"/>
          <w:szCs w:val="24"/>
        </w:rPr>
        <w:t>ANABI</w:t>
      </w:r>
      <w:r>
        <w:rPr>
          <w:rFonts w:ascii="Times New Roman" w:hAnsi="Times New Roman"/>
          <w:noProof/>
          <w:sz w:val="24"/>
          <w:szCs w:val="24"/>
        </w:rPr>
        <w:t xml:space="preserve"> ir ierosinājusi Valsts stratēģiju līdzekļu atgūšanas sistēmas stiprināšanai laikposmam no 2021. līdz 2025. gadam, kura ietver tiesību aktu priekšlikumus par tās pilnvaru paplašināšanu un kuras mērķi ir palielināt kapacitāti, lai izsekotu līdzekļiem gan valsts, gan starptautiskā mērogā, uzlabot sadarbības mehānismus un nodrošināt jaunus instrumentus policijai un prokuroriem, lai varētu labāk veikt finanšu izmeklēšanu, kā arī izveidot Noziedzības novēršanas valsts fondu.</w:t>
      </w:r>
    </w:p>
    <w:p>
      <w:pPr>
        <w:spacing w:after="120" w:line="240" w:lineRule="auto"/>
        <w:jc w:val="both"/>
        <w:rPr>
          <w:rFonts w:ascii="Times New Roman" w:hAnsi="Times New Roman"/>
          <w:i/>
          <w:noProof/>
          <w:sz w:val="24"/>
          <w:szCs w:val="24"/>
        </w:rPr>
      </w:pPr>
      <w:r>
        <w:rPr>
          <w:rFonts w:ascii="Times New Roman" w:hAnsi="Times New Roman"/>
          <w:i/>
          <w:noProof/>
          <w:sz w:val="24"/>
          <w:szCs w:val="24"/>
        </w:rPr>
        <w:t>Iepriekšējos SPM ziņojumos ir secināts, ka šis ieteikums ir ticis izpildīts, jo ANABI darbojas. ANABI turpina darboties saskaņā ar šo ieteikumu.</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 xml:space="preserve">Progresu saistībā ar ceturto kritēriju varētu paātrināt un stiprināt, izstrādājot jauno Pretkorupcijas stratēģiju 2021.–2025. gadam un ar spēcīgu apņemšanos politiskās prioritātes pārvēršot konkrētās, reālās darbībās, tostarp neaizsargātās jomās un vietējā līmenī.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szCs w:val="24"/>
        </w:rPr>
        <w:t xml:space="preserve">4. </w:t>
      </w:r>
      <w:r>
        <w:rPr>
          <w:rFonts w:ascii="Times New Roman" w:hAnsi="Times New Roman"/>
          <w:b/>
          <w:noProof/>
          <w:sz w:val="24"/>
          <w:szCs w:val="24"/>
        </w:rPr>
        <w:tab/>
        <w:t xml:space="preserve">SECINĀJUMS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Kopš pēdējā SPM ziņojuma sagatavošanas 2019. gadā situācijai,</w:t>
      </w:r>
      <w:r>
        <w:rPr>
          <w:noProof/>
        </w:rPr>
        <w:t xml:space="preserve"> </w:t>
      </w:r>
      <w:r>
        <w:rPr>
          <w:rFonts w:ascii="Times New Roman" w:hAnsi="Times New Roman"/>
          <w:noProof/>
          <w:sz w:val="24"/>
          <w:szCs w:val="24"/>
        </w:rPr>
        <w:t>uz kuru attiecas SPM kritēriju rādītāji, ir vērojama skaidri pozitīva attīstības tendence. Komisija atzinīgi vērtē to, ka 2021. gadā ir atjaunots spēcīgs stimuls īstenot reformas un novērst regresu, kas tika pieredzēts laikposmā no 2017. līdz 2019. gadam. Rezultātā ir panākts progress attiecībā uz visiem atlikušajiem SPM ieteikumiem, un, uzturot pastāvīgu progresu, daudzi no tiem tiks īstenoti. Komisija cer, ka Rumānijas iestādes pārvērtīs šo apņemšanos konkrētos likumdošanas un cita veida pasākumos. Tiesas 2021. gada 18. maija spriedums sniedz skaidru satvaru un virzienu pašreizējām reformām, lai apmierinošā veidā izpildītu SPM kritērijus, pilnībā ievērojot tiesiskumu un ES tiesību normas kopumā. Ir svarīgi, lai šis spriedums tiktu pienācīgi atspoguļots jaunajos tiesību aktos, ko plānots pieņemt. Komisija ar SPM palīdzību turpinās cieši sekot līdzi notikumu gaitai, līdz būs izpildīti visi kritēriji, un līdztekus turpinās sadarboties ar Rumāniju tāpat kā ar visām pārējām dalībvalstīm vispārējā tiesiskuma mehānisma ietvaros, kas ir nozīmīgs elements, lai īstenotu ES un dalībvalstu kopīgo apņemšanos stiprināt tiesiskumu. Kā norādīts 2020. gada septembra paziņojumā par tiesiskumu</w:t>
      </w:r>
      <w:r>
        <w:rPr>
          <w:rStyle w:val="FootnoteReference"/>
          <w:rFonts w:ascii="Times New Roman" w:hAnsi="Times New Roman"/>
          <w:noProof/>
          <w:sz w:val="24"/>
          <w:szCs w:val="24"/>
        </w:rPr>
        <w:footnoteReference w:id="111"/>
      </w:r>
      <w:r>
        <w:rPr>
          <w:rFonts w:ascii="Times New Roman" w:hAnsi="Times New Roman"/>
          <w:noProof/>
          <w:sz w:val="24"/>
          <w:szCs w:val="24"/>
        </w:rPr>
        <w:t xml:space="preserve">, kad SPM process tiks pabeigts, uzraudzība tiks turpināta, izmantojot horizontālus instrumentus. Tiesiskuma mehānisms nodrošina satvaru šo jautājumu risināšanai nākotnē. Komisija ir pārliecināta, ka Rumānija var izpildīt SPM kritērijus, ja tā turpinās pašreizējo pozitīvo virzību un apņēmīgi pieņems un īstenos attiecīgās reformas. Komisija ir gatava palīdzēt Rumānijas iestādēm šajā nolūkā.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56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Saskaņā ar Ministru padomes 2006. gada 17. oktobra secinājumiem (13339/06) mehānisms tika izveidots ar Komisijas 2006. gada 13. decembra lēmumu (C(2006) 6569).</w:t>
      </w:r>
    </w:p>
  </w:footnote>
  <w:footnote w:id="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Style w:val="FootnoteReference"/>
          <w:rFonts w:ascii="Times New Roman" w:hAnsi="Times New Roman"/>
        </w:rPr>
        <w:t xml:space="preserve"> </w:t>
      </w:r>
      <w:r>
        <w:rPr>
          <w:rFonts w:ascii="Times New Roman" w:hAnsi="Times New Roman"/>
        </w:rPr>
        <w:tab/>
        <w:t xml:space="preserve">Tiesas 2021. gada 18. maija spriedums saistītajās lietās C-83/19, C-127/19, C-195/19, C-294/19, C-355/19 un C-379/19 — </w:t>
      </w:r>
      <w:r>
        <w:rPr>
          <w:rFonts w:ascii="Times New Roman" w:hAnsi="Times New Roman"/>
          <w:i/>
          <w:iCs/>
        </w:rPr>
        <w:t>Asociația “Forumul Judecătorilor din România”</w:t>
      </w:r>
      <w:r>
        <w:rPr>
          <w:rFonts w:ascii="Times New Roman" w:hAnsi="Times New Roman"/>
        </w:rPr>
        <w:t xml:space="preserve"> un citi, 164. punkts. </w:t>
      </w:r>
    </w:p>
  </w:footnote>
  <w:footnote w:id="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Style w:val="FootnoteReference"/>
          <w:rFonts w:ascii="Times New Roman" w:hAnsi="Times New Roman"/>
        </w:rPr>
        <w:t xml:space="preserve"> </w:t>
      </w:r>
      <w:r>
        <w:rPr>
          <w:rFonts w:ascii="Times New Roman" w:hAnsi="Times New Roman"/>
        </w:rPr>
        <w:tab/>
        <w:t xml:space="preserve">COM(2017) 44. </w:t>
      </w:r>
    </w:p>
  </w:footnote>
  <w:footnote w:id="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Style w:val="FootnoteReference"/>
          <w:rFonts w:ascii="Times New Roman" w:hAnsi="Times New Roman"/>
        </w:rPr>
        <w:t xml:space="preserve"> </w:t>
      </w:r>
      <w:r>
        <w:rPr>
          <w:rFonts w:ascii="Times New Roman" w:hAnsi="Times New Roman"/>
        </w:rPr>
        <w:tab/>
        <w:t>COM(2017) 751.</w:t>
      </w:r>
    </w:p>
  </w:footnote>
  <w:footnote w:id="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Fonts w:ascii="Times New Roman" w:hAnsi="Times New Roman"/>
        </w:rPr>
        <w:t xml:space="preserve"> </w:t>
      </w:r>
      <w:r>
        <w:rPr>
          <w:rFonts w:ascii="Times New Roman" w:hAnsi="Times New Roman"/>
        </w:rPr>
        <w:tab/>
        <w:t xml:space="preserve">Arī Padome izteica šīs bažas. Padomes secinājumi par sadarbības un pārbaudes mehānismu, 2017. gada 12. decembris — </w:t>
      </w:r>
      <w:hyperlink r:id="rId1" w:history="1">
        <w:r>
          <w:rPr>
            <w:rStyle w:val="Hyperlink"/>
            <w:rFonts w:ascii="Times New Roman" w:hAnsi="Times New Roman"/>
          </w:rPr>
          <w:t>https://ec.europa.eu/info/sites/info/files/20171212-st15587_en.pdf</w:t>
        </w:r>
      </w:hyperlink>
      <w:r>
        <w:rPr>
          <w:rStyle w:val="Hyperlink"/>
          <w:rFonts w:ascii="Times New Roman" w:hAnsi="Times New Roman"/>
        </w:rPr>
        <w:t>.</w:t>
      </w:r>
    </w:p>
  </w:footnote>
  <w:footnote w:id="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COM(2018) 851 </w:t>
      </w:r>
    </w:p>
  </w:footnote>
  <w:footnote w:id="8">
    <w:p>
      <w:pPr>
        <w:pStyle w:val="FootnoteText"/>
        <w:tabs>
          <w:tab w:val="left" w:pos="851"/>
        </w:tabs>
        <w:spacing w:after="0" w:line="240" w:lineRule="auto"/>
        <w:ind w:left="357" w:hanging="357"/>
        <w:contextualSpacing/>
        <w:jc w:val="both"/>
        <w:rPr>
          <w:rFonts w:ascii="Times New Roman" w:hAnsi="Times New Roman"/>
          <w:noProof/>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Eiropas Parlamenta 2018. gada 13. novembra nenormatīva rezolūcija par tiesiskumu Rumānijā, P8_TA-PROV(2018)0446. </w:t>
      </w:r>
    </w:p>
  </w:footnote>
  <w:footnote w:id="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Padomes secinājumi (2018. gada 12. decembris) </w:t>
      </w:r>
      <w:hyperlink r:id="rId2" w:history="1">
        <w:r>
          <w:rPr>
            <w:rStyle w:val="Hyperlink"/>
            <w:rFonts w:ascii="Times New Roman" w:hAnsi="Times New Roman"/>
          </w:rPr>
          <w:t>https://ec.europa.eu/info/sites/info/files/2018-st15187_en.pdf</w:t>
        </w:r>
      </w:hyperlink>
      <w:r>
        <w:rPr>
          <w:rFonts w:ascii="Times New Roman" w:hAnsi="Times New Roman"/>
        </w:rPr>
        <w:t>.</w:t>
      </w:r>
    </w:p>
  </w:footnote>
  <w:footnote w:id="1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COM(2019) 499 </w:t>
      </w:r>
    </w:p>
  </w:footnote>
  <w:footnote w:id="1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COM(2020) 580 </w:t>
      </w:r>
    </w:p>
  </w:footnote>
  <w:footnote w:id="1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SWD(2020) 322 </w:t>
      </w:r>
    </w:p>
  </w:footnote>
  <w:footnote w:id="1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https://gov.ro/fisiere/pagini_fisiere/Program_de_guvernare_2020_2024.pdf</w:t>
      </w:r>
    </w:p>
  </w:footnote>
  <w:footnote w:id="1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Memorands: prioritāri veicami pasākumi sadarbības un pārbaudes mehānisma (SPM) pabeigšanai (Nr. 5073/2021/19.01.2021.) </w:t>
      </w:r>
    </w:p>
  </w:footnote>
  <w:footnote w:id="15">
    <w:p>
      <w:pPr>
        <w:spacing w:after="0" w:line="240" w:lineRule="auto"/>
        <w:ind w:left="357" w:hanging="357"/>
        <w:contextualSpacing/>
        <w:jc w:val="both"/>
        <w:rPr>
          <w:rFonts w:ascii="Times New Roman" w:hAnsi="Times New Roman"/>
          <w:noProof/>
          <w:sz w:val="20"/>
          <w:szCs w:val="20"/>
        </w:rPr>
      </w:pPr>
      <w:r>
        <w:rPr>
          <w:rStyle w:val="FootnoteReference"/>
          <w:rFonts w:ascii="Times New Roman" w:hAnsi="Times New Roman"/>
          <w:sz w:val="20"/>
          <w:szCs w:val="20"/>
        </w:rPr>
        <w:footnoteRef/>
      </w:r>
      <w:r>
        <w:rPr>
          <w:rFonts w:ascii="Times New Roman" w:hAnsi="Times New Roman"/>
          <w:sz w:val="20"/>
          <w:szCs w:val="20"/>
        </w:rPr>
        <w:t xml:space="preserve">    SPM kritēriji, kas jārisina Rumānijai:</w:t>
      </w:r>
    </w:p>
    <w:p>
      <w:pPr>
        <w:spacing w:after="0" w:line="240" w:lineRule="auto"/>
        <w:ind w:left="357" w:hanging="357"/>
        <w:contextualSpacing/>
        <w:jc w:val="both"/>
        <w:rPr>
          <w:rFonts w:ascii="Times New Roman" w:hAnsi="Times New Roman"/>
          <w:noProof/>
          <w:sz w:val="20"/>
          <w:szCs w:val="20"/>
        </w:rPr>
      </w:pPr>
      <w:r>
        <w:rPr>
          <w:rFonts w:ascii="Times New Roman" w:hAnsi="Times New Roman"/>
          <w:sz w:val="20"/>
          <w:szCs w:val="20"/>
        </w:rPr>
        <w:t xml:space="preserve">       Pirmais kritērijs: jānodrošina pārredzamāks un efektīvāks tiesas process, īpaši, palielinot Tiesnešu augstākās padomes resursus un paaugstinot tās pārskatatbildību. Jāziņo par jaunā Civilprocesa kodeksa un Kriminālprocesa kodeksa ietekmi, un tā jāuzrauga.</w:t>
      </w:r>
    </w:p>
    <w:p>
      <w:pPr>
        <w:spacing w:after="0" w:line="240" w:lineRule="auto"/>
        <w:ind w:left="357" w:hanging="357"/>
        <w:contextualSpacing/>
        <w:jc w:val="both"/>
        <w:rPr>
          <w:rFonts w:ascii="Times New Roman" w:hAnsi="Times New Roman"/>
          <w:noProof/>
          <w:sz w:val="20"/>
          <w:szCs w:val="20"/>
        </w:rPr>
      </w:pPr>
      <w:r>
        <w:rPr>
          <w:rFonts w:ascii="Times New Roman" w:hAnsi="Times New Roman"/>
          <w:sz w:val="20"/>
          <w:szCs w:val="20"/>
        </w:rPr>
        <w:t xml:space="preserve">       Otrais kritērijs: kā paredzēts, jāizveido integritātes aģentūra, kuras pienākums ir pārbaudīt īpašumus, amatu nesavienojamību un iespējamos interešu konfliktus, un pieņemt saistošus lēmumus, uz kuru pamata var piemērot preventīvas sankcijas.</w:t>
      </w:r>
    </w:p>
    <w:p>
      <w:pPr>
        <w:spacing w:after="0" w:line="240" w:lineRule="auto"/>
        <w:ind w:left="357" w:hanging="357"/>
        <w:contextualSpacing/>
        <w:jc w:val="both"/>
        <w:rPr>
          <w:rFonts w:ascii="Times New Roman" w:hAnsi="Times New Roman"/>
          <w:noProof/>
          <w:sz w:val="20"/>
          <w:szCs w:val="20"/>
        </w:rPr>
      </w:pPr>
      <w:r>
        <w:rPr>
          <w:rFonts w:ascii="Times New Roman" w:hAnsi="Times New Roman"/>
          <w:sz w:val="20"/>
          <w:szCs w:val="20"/>
        </w:rPr>
        <w:t xml:space="preserve">       Trešais kritērijs: pamatojoties uz gūtajiem panākumiem, jāturpina profesionālas, objektīvas izmeklēšanas apsūdzībās par augsta līmeņa korupciju.</w:t>
      </w:r>
    </w:p>
    <w:p>
      <w:pPr>
        <w:pStyle w:val="FootnoteText"/>
        <w:spacing w:after="0" w:line="240" w:lineRule="auto"/>
        <w:ind w:left="357" w:hanging="357"/>
        <w:contextualSpacing/>
        <w:jc w:val="both"/>
        <w:rPr>
          <w:rFonts w:ascii="Times New Roman" w:hAnsi="Times New Roman"/>
        </w:rPr>
      </w:pPr>
      <w:r>
        <w:rPr>
          <w:rFonts w:ascii="Times New Roman" w:hAnsi="Times New Roman"/>
        </w:rPr>
        <w:t xml:space="preserve">       Ceturtais kritērijs: jāveic turpmāki pasākumi, lai novērstu un apkarotu korupciju, īpaši vietējās pašvaldībās.</w:t>
      </w:r>
    </w:p>
  </w:footnote>
  <w:footnote w:id="16">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Tiesas 2021. gada 18. maija spriedums saistītajās lietās C-83/19, C-127/19, C-195/19, C-294/19, C-355/19 un C-379/19 — </w:t>
      </w:r>
      <w:r>
        <w:rPr>
          <w:rFonts w:ascii="Times New Roman" w:hAnsi="Times New Roman"/>
          <w:i/>
          <w:iCs/>
        </w:rPr>
        <w:t>Asociația “Forumul Judecătorilor din România”</w:t>
      </w:r>
      <w:r>
        <w:rPr>
          <w:rFonts w:ascii="Times New Roman" w:hAnsi="Times New Roman"/>
        </w:rPr>
        <w:t xml:space="preserve"> un citi, 167.–172. punkts.</w:t>
      </w:r>
    </w:p>
  </w:footnote>
  <w:footnote w:id="17">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Turpat, 173.–177. punkts.</w:t>
      </w:r>
    </w:p>
  </w:footnote>
  <w:footnote w:id="1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Komisijas dienesti organizēja divas faktu vākšanas misijas 2020. gada februārī un jūnijā un divas faktu vākšanas misijas 2021. gada janvārī un martā (attiecīgā gadījumā — virtuālās misijas). Sanāksmēs piedalījās tieslietu ministrs, Rumānijas parlamenta deputāti, Tiesnešu augstākā padome, Augstākā kasācijas tiesa, ģenerālprokurors, Valsts korupcijas apkarošanas direkcija, Valsts integritātes aģentūra, Atsavinātu līdzekļu pārvaldības valsts aģentūra (</w:t>
      </w:r>
      <w:r>
        <w:rPr>
          <w:rFonts w:ascii="Times New Roman" w:hAnsi="Times New Roman"/>
          <w:i/>
          <w:iCs/>
        </w:rPr>
        <w:t>ANABI</w:t>
      </w:r>
      <w:r>
        <w:rPr>
          <w:rFonts w:ascii="Times New Roman" w:hAnsi="Times New Roman"/>
        </w:rPr>
        <w:t xml:space="preserve">), pilsoniskās sabiedrības organizācijas un tiesu amatpersonu apvienības. </w:t>
      </w:r>
    </w:p>
  </w:footnote>
  <w:footnote w:id="19">
    <w:p>
      <w:pPr>
        <w:pStyle w:val="FootnoteText"/>
        <w:tabs>
          <w:tab w:val="left" w:pos="851"/>
        </w:tabs>
        <w:spacing w:after="0" w:line="240" w:lineRule="auto"/>
        <w:ind w:left="357" w:hanging="357"/>
        <w:contextualSpacing/>
        <w:jc w:val="both"/>
        <w:rPr>
          <w:rFonts w:ascii="Times New Roman" w:hAnsi="Times New Roman"/>
          <w:noProof/>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Likums Nr. 207/2018, ar ko groza Likumu Nr. 304/2004 par tiesu organizāciju; Likums Nr. 234/2018, ar ko groza Likumu Nr. 317/2004 par Tiesnešu augstāko padomi; Likums Nr. 242/2018, ar ko groza Likumu Nr. 303/2004 par tiesnešu un prokuroru statusu. Šos tiesību aktus 2018. un 2019. gadā papildus grozīja ar valdības ārkārtas rīkojumiem. </w:t>
      </w:r>
    </w:p>
  </w:footnote>
  <w:footnote w:id="2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Jo īpaši saistībā ar amatā iecelšanas noteikumiem attiecībā uz Augstāko kasācijas tiesu un Tiesu inspekciju.</w:t>
      </w:r>
    </w:p>
  </w:footnote>
  <w:footnote w:id="21">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Kopš </w:t>
      </w:r>
      <w:r>
        <w:rPr>
          <w:rFonts w:ascii="Times New Roman" w:hAnsi="Times New Roman"/>
          <w:i/>
          <w:iCs/>
        </w:rPr>
        <w:t>SIIJ</w:t>
      </w:r>
      <w:r>
        <w:rPr>
          <w:rFonts w:ascii="Times New Roman" w:hAnsi="Times New Roman"/>
        </w:rPr>
        <w:t xml:space="preserve"> izveides visas izmeklēšanas un kriminālvajāšanas darbības, kas saistītas ar maģistrātiem, tostarp iepriekš un pašlaik veiktās izmeklēšanas, tika nodotas </w:t>
      </w:r>
      <w:r>
        <w:rPr>
          <w:rFonts w:ascii="Times New Roman" w:hAnsi="Times New Roman"/>
          <w:i/>
          <w:iCs/>
        </w:rPr>
        <w:t>SIIJ</w:t>
      </w:r>
      <w:r>
        <w:rPr>
          <w:rFonts w:ascii="Times New Roman" w:hAnsi="Times New Roman"/>
        </w:rPr>
        <w:t xml:space="preserve">, kas veic izmeklēšanu un kriminālvajāšanu arī saistībā ar visām pārējām attiecīgajās lietās iesaistītajām personām (tostarp augsta līmeņa korupcijas lietās), pat ja maģistrāta loma lietas materiālos ir niecīga. </w:t>
      </w:r>
    </w:p>
  </w:footnote>
  <w:footnote w:id="2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Detalizētu informāciju sk. SPM 2018. un 2019. gada ziņojumos.</w:t>
      </w:r>
    </w:p>
  </w:footnote>
  <w:footnote w:id="2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https://www.csm1909.ro/PageDetails.aspx?FolderId=786</w:t>
      </w:r>
    </w:p>
  </w:footnote>
  <w:footnote w:id="2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Ar vairākiem piemēriem par tiesvedību pret maģistrātiem, kas publiski izteikušies par tiesu sistēmas reformas iemesliem.</w:t>
      </w:r>
    </w:p>
  </w:footnote>
  <w:footnote w:id="2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Tiesu inspekcijas ziņojums par </w:t>
      </w:r>
      <w:r>
        <w:rPr>
          <w:rFonts w:ascii="Times New Roman" w:hAnsi="Times New Roman"/>
          <w:i/>
          <w:iCs/>
        </w:rPr>
        <w:t>SIIJ</w:t>
      </w:r>
      <w:r>
        <w:rPr>
          <w:rFonts w:ascii="Times New Roman" w:hAnsi="Times New Roman"/>
        </w:rPr>
        <w:t xml:space="preserve"> publisko komunikāciju daļā 2020. gada. </w:t>
      </w:r>
    </w:p>
  </w:footnote>
  <w:footnote w:id="2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gada 7. jūlija lēmums Nr. 547.</w:t>
      </w:r>
    </w:p>
  </w:footnote>
  <w:footnote w:id="27">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SPM misiju laikā saņemta informācija. Turklāt bažas rada arī </w:t>
      </w:r>
      <w:r>
        <w:rPr>
          <w:rFonts w:ascii="Times New Roman" w:hAnsi="Times New Roman"/>
          <w:i/>
          <w:iCs/>
        </w:rPr>
        <w:t>SIIJ</w:t>
      </w:r>
      <w:r>
        <w:rPr>
          <w:rFonts w:ascii="Times New Roman" w:hAnsi="Times New Roman"/>
        </w:rPr>
        <w:t xml:space="preserve"> darbības efektivitāte, jo 6600 lietas gaida izskatīšanu, un 2020. gadā ir izbeigts neliels skaits lietu (500 izbeigtas un 2 nosūtītas uz tiesu). Šīs nodaļas darba zemā efektivitāte ir papildu riska faktors saistībā ar nesodāmību augsta līmeņa korupcijas lietās.</w:t>
      </w:r>
    </w:p>
  </w:footnote>
  <w:footnote w:id="28">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Tiesas 2021. gada 18. maija spriedums saistītajās lietās C-83/19, C-127/19, C-195/19, C-294/19, C-355/19 un C-379/19 — </w:t>
      </w:r>
      <w:r>
        <w:rPr>
          <w:rFonts w:ascii="Times New Roman" w:hAnsi="Times New Roman"/>
          <w:i/>
          <w:iCs/>
        </w:rPr>
        <w:t>Asociația “Forumul Judecătorilor din România”</w:t>
      </w:r>
      <w:r>
        <w:rPr>
          <w:rFonts w:ascii="Times New Roman" w:hAnsi="Times New Roman"/>
        </w:rPr>
        <w:t xml:space="preserve"> un citi, 216. punkts. Tiesa arī precizē, ka valsts tiesai arī jāpārbauda, vai reforma Rumānijā, kuras rezultātā tika izveidota īpaša Valsts prokuratūras nodaļa, kura ir atbildīga par izmeklēšanu saistībā ar tiesnešiem un prokuroriem, un noteikumi par šajā nodaļā iecelto prokuroru iecelšanu amatā un atsaukšanu no amata nav tādi, kuru dēļ minētā nodaļa būtu kļuvusi pieejama ārējai ietekmei. Attiecībā uz Hartu valsts tiesai jāpārbauda, vai attiecīgais valsts tiesību akts ir izstrādāts tā, lai neliegtu izskatīt attiecībā uz tiesnešiem un prokuroriem ierosinātās lietas saprātīgā termiņā.</w:t>
      </w:r>
    </w:p>
  </w:footnote>
  <w:footnote w:id="2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2019. gada konkursu atlika Tiesnešu augstākā padome, un 2020. gadā Konstitucionālā tiesa konkursa procedūru atzina par neatbilstošu Konstitūcijai (Rumānijas Konstitucionālās tiesas (</w:t>
      </w:r>
      <w:r>
        <w:rPr>
          <w:rFonts w:ascii="Times New Roman" w:hAnsi="Times New Roman"/>
          <w:i/>
          <w:iCs/>
        </w:rPr>
        <w:t>CCR</w:t>
      </w:r>
      <w:r>
        <w:rPr>
          <w:rFonts w:ascii="Times New Roman" w:hAnsi="Times New Roman"/>
        </w:rPr>
        <w:t xml:space="preserve">) nolēmums Nr. 121/2020). </w:t>
      </w:r>
    </w:p>
  </w:footnote>
  <w:footnote w:id="30">
    <w:p>
      <w:pPr>
        <w:pStyle w:val="FootnoteText"/>
        <w:spacing w:after="0" w:line="240" w:lineRule="auto"/>
        <w:ind w:left="357" w:hanging="357"/>
        <w:contextualSpacing/>
        <w:jc w:val="both"/>
        <w:rPr>
          <w:rFonts w:ascii="Times New Roman" w:hAnsi="Times New Roman"/>
        </w:rPr>
      </w:pPr>
      <w:r>
        <w:rPr>
          <w:rFonts w:ascii="Times New Roman" w:hAnsi="Times New Roman"/>
          <w:vertAlign w:val="superscript"/>
          <w:lang w:val="en-US"/>
        </w:rPr>
        <w:footnoteRef/>
      </w:r>
      <w:r>
        <w:rPr>
          <w:rFonts w:ascii="Times New Roman" w:hAnsi="Times New Roman"/>
        </w:rPr>
        <w:t xml:space="preserve">     2018. un 2019. gadā tika vairākkārt palielināta amata stāža prasība prokuroriem noteiktos dienestos. Rezultātā vairākām personām amats bija jāatstāj, jo tās vairs neatbilda prasībām, turklāt tika apgrūtināta jaunu darbinieku pieņemšana darbā.  </w:t>
      </w:r>
    </w:p>
  </w:footnote>
  <w:footnote w:id="3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2019. gada decembrī priekšlaicīgas pensionēšanās noteikumu stāšanās spēkā tika atlikta līdz 2022. gada janvārim. 2021. gadā parlaments galīgi atcēla noteikumus par priekšlaicīgu pensionēšanos, un šis lēmums stāsies spēkā ar 2022. gada 1. janvāri. Ar valdības ārkārtas rīkojumu Nr. 215/2020 tika pieņemti pasākumi, lai atliktu noteikumu par apelācijas kolēģiju sastāvu (trīs, nevis divi tiesneši) stāšanos spēkā. Ar šo ārkārtas rīkojumu tika noteikts, ka apelācijas kolēģiju sastāvā līdz 2022. gada 31. decembrim ir divi tiesneši. Turklāt parlaments pašlaik strādā pie jauna likumprojekta pieņemšanas, kurā būs noteikts, ka apelācijas kolēģiju sastāvā ir divi tiesneši. Šo likumprojektu 2021. gada maijā apstiprināja Deputātu palāta, pašlaik tas ir nodots pieņemšanai Senātā, un, stājoties spēkā, tas atcels valdības ārkārtas rīkojumu Nr. 215/2020.</w:t>
      </w:r>
    </w:p>
  </w:footnote>
  <w:footnote w:id="3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Likums Nr. 207/2018, ar ko groza Likumu Nr. 304/2004 par tiesu organizāciju; Likums Nr. 234/2018, ar ko groza Likumu Nr. 317/2004 par Tiesnešu augstāko padomi; Likums Nr. 242/2018, ar ko groza Likumu Nr. 303/2004 par tiesnešu un prokuroru statusu.</w:t>
      </w:r>
    </w:p>
  </w:footnote>
  <w:footnote w:id="3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gada 1. oktobra paziņojums.</w:t>
      </w:r>
    </w:p>
  </w:footnote>
  <w:footnote w:id="3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Vēstules tieslietu ministram 2021. gada februārī un 2020. gada decembrī nosūtīja Tiesnešu augstākās padomes prokuroru un tiesnešu nodaļas, taču šīs vēstules nav pieejamas publiski. </w:t>
      </w:r>
    </w:p>
  </w:footnote>
  <w:footnote w:id="3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Likumprojekts ir saistīts ar uzņemšanu Nacionālajā tiesu darbinieku institūtā (</w:t>
      </w:r>
      <w:r>
        <w:rPr>
          <w:rFonts w:ascii="Times New Roman" w:hAnsi="Times New Roman"/>
          <w:i/>
          <w:iCs/>
        </w:rPr>
        <w:t>NIM</w:t>
      </w:r>
      <w:r>
        <w:rPr>
          <w:rFonts w:ascii="Times New Roman" w:hAnsi="Times New Roman"/>
        </w:rPr>
        <w:t xml:space="preserve">), tiesnešu un prokuroru sākotnējo profesionālo apmācību, </w:t>
      </w:r>
      <w:r>
        <w:rPr>
          <w:rFonts w:ascii="Times New Roman" w:hAnsi="Times New Roman"/>
          <w:i/>
          <w:iCs/>
        </w:rPr>
        <w:t>NIM</w:t>
      </w:r>
      <w:r>
        <w:rPr>
          <w:rFonts w:ascii="Times New Roman" w:hAnsi="Times New Roman"/>
        </w:rPr>
        <w:t xml:space="preserve"> gala eksāmenu, tiesnešu un prokuroru stažēšanos un spēju pārbaudi, kā arī eksāmenu, stājoties darbā tiesu iestādēs. Dažus noteikumus Konstitucionālā tiesa atcēla 2020. gada martā (</w:t>
      </w:r>
      <w:r>
        <w:rPr>
          <w:rFonts w:ascii="Times New Roman" w:hAnsi="Times New Roman"/>
          <w:i/>
          <w:iCs/>
        </w:rPr>
        <w:t>CCR</w:t>
      </w:r>
      <w:r>
        <w:rPr>
          <w:rFonts w:ascii="Times New Roman" w:hAnsi="Times New Roman"/>
        </w:rPr>
        <w:t xml:space="preserve"> 2020. gada 10. marta nolēmums Nr. 121/2020), tāpēc nav bijis iespējams rīkot konkursus par tiesu amatpersonu pieņemšanu darbā.</w:t>
      </w:r>
    </w:p>
  </w:footnote>
  <w:footnote w:id="36">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CCR</w:t>
      </w:r>
      <w:r>
        <w:rPr>
          <w:rFonts w:ascii="Times New Roman" w:hAnsi="Times New Roman"/>
        </w:rPr>
        <w:t xml:space="preserve"> 2021. gada 17. marta nolēmums Nr. 187/2021, publicēts 2021. gada 7. maijā.)</w:t>
      </w:r>
    </w:p>
  </w:footnote>
  <w:footnote w:id="37">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i/>
          <w:iCs/>
        </w:rPr>
        <w:t>SCM</w:t>
      </w:r>
      <w:r>
        <w:rPr>
          <w:rFonts w:ascii="Times New Roman" w:hAnsi="Times New Roman"/>
        </w:rPr>
        <w:t xml:space="preserve"> norāda, ka ierosināto risinājumu nepapildina garantijas, lai īstenotu tiesu iestāžu neatkarības principu, nodrošinot tiesnešu un prokuroru pienācīgu aizsardzību pret spiedienu, un norāda uz likumdevēja vispārējo pienākumu, pieņemot tiesību aktus par tiesu varu, sniegt atbilstošas garantijas, lai nodrošinātu tiesu iestāžu faktisku neatkarību.  </w:t>
      </w:r>
    </w:p>
  </w:footnote>
  <w:footnote w:id="3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http://www.cdep.ro/pls/proiecte/upl_pck2015.proiect?cam=2&amp;idp=19177</w:t>
      </w:r>
    </w:p>
  </w:footnote>
  <w:footnote w:id="3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Memorandā, kuru parakstīja vairāk nekā 1000 maģistrātu no visas valsts, tika pausta kritika, ka, ieviešot šādas “garantijas”, tās darbosies kā antikonstitucionāls “filtrs”, kur izmeklēšana saistībā ar tiesnešiem un prokuroriem būs atkarīga no Tiesnešu augstākās padomes apstiprinājuma, un ka tas samazinās sabiedrības uzticību, radot iespaidu, ka tiek ieviesta “superimunitāte”. Memoranda parakstītāji lūdza parlamentu pirms balsojuma par grozījumu sagaidīt Venēcijas komisijas un </w:t>
      </w:r>
      <w:r>
        <w:rPr>
          <w:rFonts w:ascii="Times New Roman" w:hAnsi="Times New Roman"/>
          <w:i/>
          <w:iCs/>
        </w:rPr>
        <w:t>GRECO</w:t>
      </w:r>
      <w:r>
        <w:rPr>
          <w:rFonts w:ascii="Times New Roman" w:hAnsi="Times New Roman"/>
        </w:rPr>
        <w:t xml:space="preserve"> atzinumus.</w:t>
      </w:r>
    </w:p>
  </w:footnote>
  <w:footnote w:id="40">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Pašā </w:t>
      </w:r>
      <w:r>
        <w:rPr>
          <w:rFonts w:ascii="Times New Roman" w:hAnsi="Times New Roman"/>
          <w:i/>
          <w:iCs/>
        </w:rPr>
        <w:t>SCM</w:t>
      </w:r>
      <w:r>
        <w:rPr>
          <w:rFonts w:ascii="Times New Roman" w:hAnsi="Times New Roman"/>
        </w:rPr>
        <w:t xml:space="preserve"> pastāv atšķirīgi viedokļi par </w:t>
      </w:r>
      <w:r>
        <w:rPr>
          <w:rFonts w:ascii="Times New Roman" w:hAnsi="Times New Roman"/>
          <w:i/>
          <w:iCs/>
        </w:rPr>
        <w:t>SIIJ</w:t>
      </w:r>
      <w:r>
        <w:rPr>
          <w:rFonts w:ascii="Times New Roman" w:hAnsi="Times New Roman"/>
        </w:rPr>
        <w:t xml:space="preserve"> likvidēšanu, par garantiju nepieciešamību un par to, vai Deputātu palātas ierosinātās garantijas ir atbilstīgas. </w:t>
      </w:r>
    </w:p>
  </w:footnote>
  <w:footnote w:id="41">
    <w:p>
      <w:pPr>
        <w:tabs>
          <w:tab w:val="left" w:pos="851"/>
        </w:tabs>
        <w:spacing w:after="0" w:line="240" w:lineRule="auto"/>
        <w:ind w:left="357" w:hanging="357"/>
        <w:contextual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hyperlink r:id="rId3" w:tgtFrame="_blank" w:history="1">
        <w:r>
          <w:rPr>
            <w:rStyle w:val="Hyperlink"/>
            <w:rFonts w:ascii="Times New Roman" w:hAnsi="Times New Roman"/>
            <w:sz w:val="20"/>
            <w:szCs w:val="20"/>
          </w:rPr>
          <w:t>https://expertforum.ro/legile-justitiei-nu-redeschideti-cutia-pandorei/</w:t>
        </w:r>
      </w:hyperlink>
    </w:p>
  </w:footnote>
  <w:footnote w:id="4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http://www.just.ro/ministrul-justitiei-a-consultat-reprezentantii-societatii-civile/</w:t>
      </w:r>
    </w:p>
  </w:footnote>
  <w:footnote w:id="43">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Tiesas 2021. gada 18. maija spriedums saistītajās lietās C-83/19, C-127/19, C-195/19, C-294/19, C-355/19 un C-379/19 — </w:t>
      </w:r>
      <w:r>
        <w:rPr>
          <w:rFonts w:ascii="Times New Roman" w:hAnsi="Times New Roman"/>
          <w:i/>
          <w:iCs/>
        </w:rPr>
        <w:t>Asociația “Forumul Judecătorilor din România”</w:t>
      </w:r>
      <w:r>
        <w:rPr>
          <w:rFonts w:ascii="Times New Roman" w:hAnsi="Times New Roman"/>
        </w:rPr>
        <w:t xml:space="preserve"> un citi, 179.–241. punkts.</w:t>
      </w:r>
    </w:p>
  </w:footnote>
  <w:footnote w:id="4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Turpat, 162. punkts. Skatīt arī 2021. gada 20. aprīļa lietu Nr. C-896/19 </w:t>
      </w:r>
      <w:r>
        <w:rPr>
          <w:rFonts w:ascii="Times New Roman" w:hAnsi="Times New Roman"/>
          <w:i/>
          <w:iCs/>
        </w:rPr>
        <w:t>Repubblika / Il-Prim Ministru</w:t>
      </w:r>
      <w:r>
        <w:rPr>
          <w:rFonts w:ascii="Times New Roman" w:hAnsi="Times New Roman"/>
        </w:rPr>
        <w:t>, 64. punktu.</w:t>
      </w:r>
    </w:p>
  </w:footnote>
  <w:footnote w:id="4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Venēcijas komisijas atzinums Nr. 950/2019, CDL-AD(2019)014.</w:t>
      </w:r>
    </w:p>
  </w:footnote>
  <w:footnote w:id="4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Atlases kritēriji, kandidātu vārdi un informācija par procedūrām tika publicēta Tieslietu ministrijas tīmekļa vietnē, un intervijas tika straumētas tiešsaistē. </w:t>
      </w:r>
    </w:p>
  </w:footnote>
  <w:footnote w:id="4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u w:color="000000"/>
        </w:rPr>
        <w:t xml:space="preserve">2020. gada septembrī </w:t>
      </w:r>
      <w:r>
        <w:rPr>
          <w:rFonts w:ascii="Times New Roman" w:hAnsi="Times New Roman"/>
          <w:i/>
          <w:iCs/>
          <w:u w:color="000000"/>
        </w:rPr>
        <w:t>DIICOT</w:t>
      </w:r>
      <w:r>
        <w:rPr>
          <w:rFonts w:ascii="Times New Roman" w:hAnsi="Times New Roman"/>
          <w:u w:color="000000"/>
        </w:rPr>
        <w:t xml:space="preserve"> galvenā prokurore atkāpās no amata pēc tam, kad pret viņas vīru tika sākta izmeklēšana un viņš tika notiesāts pirmajā instancē par korupciju un ietekmes ļaunprātīgu izmantošanu.</w:t>
      </w:r>
    </w:p>
  </w:footnote>
  <w:footnote w:id="4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Tas tika darīts, </w:t>
      </w:r>
      <w:r>
        <w:rPr>
          <w:rFonts w:ascii="Times New Roman" w:hAnsi="Times New Roman"/>
          <w:u w:color="000000"/>
        </w:rPr>
        <w:t xml:space="preserve">nopludinot informāciju par </w:t>
      </w:r>
      <w:r>
        <w:rPr>
          <w:rFonts w:ascii="Times New Roman" w:hAnsi="Times New Roman"/>
          <w:i/>
          <w:iCs/>
          <w:u w:color="000000"/>
        </w:rPr>
        <w:t>SIIJ</w:t>
      </w:r>
      <w:r>
        <w:rPr>
          <w:rFonts w:ascii="Times New Roman" w:hAnsi="Times New Roman"/>
          <w:u w:color="000000"/>
        </w:rPr>
        <w:t xml:space="preserve"> izdotām pavēstēm īsi pēc balsojuma.</w:t>
      </w:r>
    </w:p>
  </w:footnote>
  <w:footnote w:id="49">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Piemēram, attiecībā uz vienu ģenerālprokurora vietnieka amatu, kas piesaistīts Augstākajai kasācijas tiesai.</w:t>
      </w:r>
    </w:p>
  </w:footnote>
  <w:footnote w:id="5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Atbrīvošana no amata notika 2018. gadā pēc tieslietu ministra priekšlikuma. Pēc Tiesnešu augstākās padomes Prokuroru nodaļas atteikuma apstiprināt šo priekšlikumu Republikas prezidents nepiekrita parakstīt rīkojumu par atbrīvošanu no amata. Šā iemesla dēļ premjerministrs vērsās ar sūdzību Konstitucionālajā tiesā, kas galu galā pavēlēja prezidentam parakstīt rīkojumu.</w:t>
      </w:r>
    </w:p>
  </w:footnote>
  <w:footnote w:id="51">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Eiropas Cilvēktiesību tiesas 2020. gada 5. maija spriedums lietā </w:t>
      </w:r>
      <w:r>
        <w:rPr>
          <w:rFonts w:ascii="Times New Roman" w:hAnsi="Times New Roman"/>
          <w:i/>
          <w:iCs/>
        </w:rPr>
        <w:t>Kövesi</w:t>
      </w:r>
      <w:r>
        <w:rPr>
          <w:rFonts w:ascii="Times New Roman" w:hAnsi="Times New Roman"/>
        </w:rPr>
        <w:t> / Rumānija, 3594/19.</w:t>
      </w:r>
    </w:p>
  </w:footnote>
  <w:footnote w:id="5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Eiropas Padomes Ministru komiteja rīcības plāna īstenošanu izskatīs 2021. gada jūnijā. </w:t>
      </w:r>
    </w:p>
  </w:footnote>
  <w:footnote w:id="5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Parlamenta lēmums Nr. 77/2017: </w:t>
      </w:r>
      <w:hyperlink r:id="rId4" w:history="1">
        <w:r>
          <w:rPr>
            <w:rStyle w:val="Hyperlink"/>
            <w:rFonts w:ascii="Times New Roman" w:hAnsi="Times New Roman"/>
          </w:rPr>
          <w:t>https://www.juridice.ro/wp-content/uploads/2017/10/Codul-de-conduită.pdf</w:t>
        </w:r>
      </w:hyperlink>
      <w:r>
        <w:rPr>
          <w:rFonts w:ascii="Times New Roman" w:hAnsi="Times New Roman"/>
        </w:rPr>
        <w:t xml:space="preserve">. </w:t>
      </w:r>
    </w:p>
  </w:footnote>
  <w:footnote w:id="5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Rīcības kodeksā nav konkrēti minēta tiesu iestāžu neatkarība, taču ir iekļauts vispārējs noteikums par varas dalīšanas principa ievērošanu: 1. panta 3. punktā ir noteikts: “Deputātiem un senatoriem ir pienākums rīkoties cieņpilni un disciplinēti, ņemot vērā valsts varas dalīšanas un nošķiršanas principus, pārredzami, godprātīgi, atbildīgi un uzturot Parlamenta reputāciju.”</w:t>
      </w:r>
    </w:p>
  </w:footnote>
  <w:footnote w:id="5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Tiesnešu augstākās padomes tīmekļa vietne — paziņojumi un lēmumi saistībā ar tiesu iestāžu neatkarību.</w:t>
      </w:r>
    </w:p>
  </w:footnote>
  <w:footnote w:id="5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i/>
          <w:iCs/>
        </w:rPr>
        <w:t>SCM</w:t>
      </w:r>
      <w:r>
        <w:rPr>
          <w:rFonts w:ascii="Times New Roman" w:hAnsi="Times New Roman"/>
        </w:rPr>
        <w:t xml:space="preserve"> tīmekļa vietne. </w:t>
      </w:r>
      <w:r>
        <w:rPr>
          <w:rFonts w:ascii="Times New Roman" w:hAnsi="Times New Roman"/>
          <w:i/>
          <w:iCs/>
        </w:rPr>
        <w:t>SCM</w:t>
      </w:r>
      <w:r>
        <w:rPr>
          <w:rFonts w:ascii="Times New Roman" w:hAnsi="Times New Roman"/>
        </w:rPr>
        <w:t xml:space="preserve"> arī pieprasīja Tiesu inspekcijai pārbaudīt tieslietu ministra paziņojumus attiecībā uz kādu tiesas spriedumu.</w:t>
      </w:r>
    </w:p>
  </w:footnote>
  <w:footnote w:id="5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Grozītie tiesību akti stājās spēkā 2018. gada decembrī. </w:t>
      </w:r>
    </w:p>
  </w:footnote>
  <w:footnote w:id="5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Rumānijas Konstitucionālās tiesas 2019. gada 29. jūlija nolēmums Nr. 466. </w:t>
      </w:r>
    </w:p>
  </w:footnote>
  <w:footnote w:id="5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Sk. arī Venēcijas komisijas atzinumu (CDL-AD (2018) 021-e).</w:t>
      </w:r>
    </w:p>
  </w:footnote>
  <w:footnote w:id="6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Darba grupā strādā Tiesnešu augstākā padome, Augstākā kasācijas tiesa, Augstākajai kasācijas tiesai piesaistītā prokuratūra un Tieslietu ministrija.</w:t>
      </w:r>
    </w:p>
  </w:footnote>
  <w:footnote w:id="6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2020. gada ziņojuma par tiesiskumu valstu sadaļā par tiesiskuma situāciju Rumānijā un Eiropas pusgada konkrētām valstīm adresētajos ieteikumos ir uzsvērtas bažas saistībā ar likumdošanas procesa prognozējamību un kvalitāti kopumā. </w:t>
      </w:r>
    </w:p>
  </w:footnote>
  <w:footnote w:id="6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Izņēmumi ietver i) pasākumus, kas veikti, lai nodrošinātu tiesu sistēmas darbību Covid-19 pandēmijas laikā, ii) 2020. gada februārī pieņemtu tiesību aktu par publisku iegādi, ar kuru ieviesa jaunu potenciālu disciplināro procedūru tiesnešiem un kurš tika atzīts par antikonstitucionālu, iii) 2020. gada 30. decembra valdības ārkārtas rīkojumu, ar kuru kavēja to noteikumu stāšanos spēkā, ar ko palielina noteiktās tiesu kolēģijās nepieciešamo tiesnešu skaitu un kurus ir paredzēts atcelt, veicot pašlaik notiekošo tiesu likumu pārskatīšanu.</w:t>
      </w:r>
    </w:p>
  </w:footnote>
  <w:footnote w:id="6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gada 6. maija Lēmums Nr. 153/2020. Vēlāk parlaments pieņēma citu likumu par īpašo pensiju aplikšanu ar nodokļiem. Arī šis tiesību akts tika atzīts par antikonstitucionālu.</w:t>
      </w:r>
    </w:p>
  </w:footnote>
  <w:footnote w:id="64">
    <w:p>
      <w:pPr>
        <w:pStyle w:val="FootnoteText"/>
        <w:tabs>
          <w:tab w:val="left" w:pos="851"/>
        </w:tabs>
        <w:spacing w:after="0" w:line="240" w:lineRule="auto"/>
        <w:ind w:left="357" w:hanging="357"/>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Sk. rokasgrāmatu par Eiropas Cilvēktiesību konvencijas 6. panta piemērošanu — tiesības uz taisnīgu tiesu (civiltiesību joma):</w:t>
      </w:r>
    </w:p>
    <w:p>
      <w:pPr>
        <w:pStyle w:val="FootnoteText"/>
        <w:tabs>
          <w:tab w:val="left" w:pos="851"/>
        </w:tabs>
        <w:spacing w:after="0" w:line="240" w:lineRule="auto"/>
        <w:ind w:left="357" w:hanging="357"/>
        <w:contextualSpacing/>
        <w:jc w:val="both"/>
        <w:rPr>
          <w:rFonts w:ascii="Times New Roman" w:hAnsi="Times New Roman"/>
        </w:rPr>
      </w:pPr>
      <w:r>
        <w:rPr>
          <w:rFonts w:ascii="Times New Roman" w:hAnsi="Times New Roman"/>
        </w:rPr>
        <w:tab/>
      </w:r>
      <w:hyperlink r:id="rId5" w:history="1">
        <w:r>
          <w:rPr>
            <w:rStyle w:val="Hyperlink"/>
            <w:rFonts w:ascii="Times New Roman" w:hAnsi="Times New Roman"/>
          </w:rPr>
          <w:t>http://www.echr.coe.int/Documents/Guide_Art_6_ENG.pdf</w:t>
        </w:r>
      </w:hyperlink>
      <w:r>
        <w:rPr>
          <w:rFonts w:ascii="Times New Roman" w:hAnsi="Times New Roman"/>
        </w:rPr>
        <w:t xml:space="preserve">. </w:t>
      </w:r>
    </w:p>
  </w:footnote>
  <w:footnote w:id="6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Eiropas Cilvēktiesību tiesas </w:t>
      </w:r>
      <w:r>
        <w:rPr>
          <w:rFonts w:ascii="Times New Roman" w:hAnsi="Times New Roman"/>
          <w:bCs/>
        </w:rPr>
        <w:t xml:space="preserve">2005. gada 6. septembra spriedums lietā </w:t>
      </w:r>
      <w:r>
        <w:rPr>
          <w:rFonts w:ascii="Times New Roman" w:hAnsi="Times New Roman"/>
          <w:bCs/>
          <w:i/>
        </w:rPr>
        <w:t>Săcăleanu group / Rumānija</w:t>
      </w:r>
      <w:r>
        <w:rPr>
          <w:rFonts w:ascii="Times New Roman" w:hAnsi="Times New Roman"/>
          <w:bCs/>
        </w:rPr>
        <w:t xml:space="preserve"> (pieteikums Nr. 73970/01).</w:t>
      </w:r>
    </w:p>
  </w:footnote>
  <w:footnote w:id="66">
    <w:p>
      <w:pPr>
        <w:pStyle w:val="FootnoteText"/>
        <w:tabs>
          <w:tab w:val="left" w:pos="851"/>
        </w:tabs>
        <w:spacing w:after="0" w:line="240" w:lineRule="auto"/>
        <w:ind w:left="357" w:hanging="357"/>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Sk. Eiropas Padomes atsauci CM/Notes/1280/H46-21.</w:t>
      </w:r>
    </w:p>
  </w:footnote>
  <w:footnote w:id="6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Eiropas Padomes Ministru komiteja pastiprināti uzrauga Rumāniju saistībā ar šā sprieduma izpildi Rumānijā (lēmums CM/Del/Dec(2019)1340/H46-15).</w:t>
      </w:r>
    </w:p>
  </w:footnote>
  <w:footnote w:id="6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Memorands Nr. L1/1814/26.02.2019 par “pasākumiem, kuru mērķis ir nodrošināt pret publiskā sektora parādniekiem pieņemtu spriedumu izpildi saskaņā ar Eiropas Cilvēktiesību tiesas judikatūru attiecībā uz tādu spriedumu neizpildi vai aizkavētu izpildi, kuri pieņemti pret publiskā sektora parādnieku”.</w:t>
      </w:r>
    </w:p>
  </w:footnote>
  <w:footnote w:id="69">
    <w:p>
      <w:pPr>
        <w:tabs>
          <w:tab w:val="left" w:pos="851"/>
        </w:tabs>
        <w:spacing w:after="0" w:line="240" w:lineRule="auto"/>
        <w:ind w:left="357" w:hanging="357"/>
        <w:contextual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r>
      <w:r>
        <w:rPr>
          <w:rFonts w:ascii="Times New Roman" w:hAnsi="Times New Roman"/>
          <w:color w:val="000000"/>
          <w:sz w:val="20"/>
          <w:szCs w:val="20"/>
        </w:rPr>
        <w:t xml:space="preserve">2019. gada SPM ziņojumā tika arī atzīmēts, ka ar </w:t>
      </w:r>
      <w:r>
        <w:rPr>
          <w:rFonts w:ascii="Times New Roman" w:hAnsi="Times New Roman"/>
          <w:sz w:val="20"/>
          <w:szCs w:val="20"/>
        </w:rPr>
        <w:t>IT lietotni “ECRIS” būs iespējams noteikt to galīgo spriedumu skaitu, kuros publiskā sektora iestādes ir parādnieces vai kreditores. Šajā reģistrā būtu jānodrošina statistika par efektīvas izpildes panākšanu, un ar tā palīdzību varēs uzraudzīt spriedumu izpildi. Informācija par to, vai šis reģistrs pašlaik darbojas un ir pieejama statistika, netika saņemta.</w:t>
      </w:r>
    </w:p>
  </w:footnote>
  <w:footnote w:id="7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Valdības ģenerālsekretariātam, nevis Tieslietu ministrijai</w:t>
      </w:r>
      <w:r>
        <w:rPr>
          <w:rFonts w:ascii="Times New Roman" w:hAnsi="Times New Roman"/>
          <w:color w:val="000000"/>
        </w:rPr>
        <w:t>.</w:t>
      </w:r>
      <w:r>
        <w:rPr>
          <w:rFonts w:ascii="Times New Roman" w:hAnsi="Times New Roman"/>
        </w:rPr>
        <w:t xml:space="preserve"> </w:t>
      </w:r>
    </w:p>
  </w:footnote>
  <w:footnote w:id="7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2021. gada martā Ministru komiteja vēlreiz pārbaudīja šā sprieduma izpildi un “atkārtoti uzsvēra spēcīgas apņemšanās ārkārtīgi lielo nozīmi augstā politiskā līmenī, lai rastu ātru, visaptverošu un ilgtspējīgu risinājumu ar šiem spriedumiem atklātajām problēmām”, paužot “nopietnas bažas par to, ka ilgstoši nav panākts reāls progress”.</w:t>
      </w:r>
    </w:p>
  </w:footnote>
  <w:footnote w:id="7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Tās sastāvā ir tieslietu ministrs, Tiesnešu augstākās padomes priekšsēdētājs, Augstākās kasācijas tiesas priekšsēdētājs un ģenerālprokurors. </w:t>
      </w:r>
    </w:p>
  </w:footnote>
  <w:footnote w:id="7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Rīcības plāns ir apstiprināts ar valdības 2016. gada lēmumu Nr. 282.</w:t>
      </w:r>
    </w:p>
  </w:footnote>
  <w:footnote w:id="7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Tieslietu ministrija ziņoja, ka 2019. gada beigās bija īstenoti 32,11 % rādītāju, 41,14 % rādītāju īstenošana bija sākta, savukārt 25,42 % rādītāju īstenošana vēl nebija sākta, bet secinājumi saistībā ar 1,34 % rādītāju nebija pārliecinoši.</w:t>
      </w:r>
    </w:p>
  </w:footnote>
  <w:footnote w:id="75">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2021. gada 7. aprīlī Konstitucionālā tiesa lēma, ka sprieduma sagatavošana krimināllietā pēc tā pieņemšanas atņem notiesātajai personai tiesības uz iespēju vērsties tiesā un taisnīgu tiesu (</w:t>
      </w:r>
      <w:r>
        <w:rPr>
          <w:rFonts w:ascii="Times New Roman" w:hAnsi="Times New Roman"/>
          <w:i/>
          <w:iCs/>
        </w:rPr>
        <w:t>CCR</w:t>
      </w:r>
      <w:r>
        <w:rPr>
          <w:rFonts w:ascii="Times New Roman" w:hAnsi="Times New Roman"/>
        </w:rPr>
        <w:t xml:space="preserve"> 2021. gada 7. aprīļa nolēmums Nr. 233/2021). 12. maijā spēkā stājās jauns tiesību akts, kurā noteikts, ka spriedums krimināllietās ir jāapspriež, jāsagatavo un jāizsludina vienlaikus, noteiktā termiņā pēc debašu beigām. </w:t>
      </w:r>
    </w:p>
  </w:footnote>
  <w:footnote w:id="7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6" w:history="1">
        <w:r>
          <w:rPr>
            <w:rStyle w:val="Hyperlink"/>
            <w:rFonts w:ascii="Times New Roman" w:hAnsi="Times New Roman"/>
          </w:rPr>
          <w:t>https://www.csm1909.ro/PageDetails.aspx?FolderId=8305</w:t>
        </w:r>
      </w:hyperlink>
    </w:p>
  </w:footnote>
  <w:footnote w:id="7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Līdz apspriešanas beigām 2021. gada martā netika sagatavots neviens publisks dokuments, kas atspoguļotu tiesu vai prokuratūru, vai </w:t>
      </w:r>
      <w:r>
        <w:rPr>
          <w:rFonts w:ascii="Times New Roman" w:hAnsi="Times New Roman"/>
          <w:i/>
          <w:iCs/>
        </w:rPr>
        <w:t>SCM</w:t>
      </w:r>
      <w:r>
        <w:rPr>
          <w:rFonts w:ascii="Times New Roman" w:hAnsi="Times New Roman"/>
        </w:rPr>
        <w:t xml:space="preserve"> nostājas. </w:t>
      </w:r>
      <w:r>
        <w:rPr>
          <w:rFonts w:ascii="Times New Roman" w:hAnsi="Times New Roman"/>
          <w:i/>
          <w:iCs/>
        </w:rPr>
        <w:t>SCM</w:t>
      </w:r>
      <w:r>
        <w:rPr>
          <w:rFonts w:ascii="Times New Roman" w:hAnsi="Times New Roman"/>
        </w:rPr>
        <w:t xml:space="preserve"> tiesnešu un prokuroru nodaļas informēja Komisiju, ka tās ir attiecīgi apspriedušās ar tiesnešiem un prokuroriem un ka tieslietu ministram ir nosūtītas atsevišķas vēstules. Šīs vēstules netika publiskotas. </w:t>
      </w:r>
    </w:p>
  </w:footnote>
  <w:footnote w:id="7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Kopš pēdējā ziņojuma </w:t>
      </w:r>
      <w:r>
        <w:rPr>
          <w:rFonts w:ascii="Times New Roman" w:hAnsi="Times New Roman"/>
          <w:i/>
          <w:iCs/>
        </w:rPr>
        <w:t>SCM</w:t>
      </w:r>
      <w:r>
        <w:rPr>
          <w:rFonts w:ascii="Times New Roman" w:hAnsi="Times New Roman"/>
        </w:rPr>
        <w:t xml:space="preserve"> plēnumā izskatīšanai ir pieņemtas tikai divas lietas, kas saistītas ar tiesu sistēmas neatkarības aizstāvību, un abu šo lietu pamatā ir fakti no 2019. gada sākuma. Salīdzinot ar iepriekšējiem gadiem, ir arī samazinājies to pieprasījumu skaits un to pieņemto pieprasījumu skaits, kas ir saistīti ar atsevišķu tiesnešu un maģistrātu neatkarības un reputācijas aizsardzību. Joprojām ir jūtama kritika plašsaziņas līdzekļos un spiediens uz tiesnešiem un prokuroriem gan plašsaziņas līdzekļos, gan sociālajos medijos. Tomēr </w:t>
      </w:r>
      <w:r>
        <w:rPr>
          <w:rFonts w:ascii="Times New Roman" w:hAnsi="Times New Roman"/>
          <w:i/>
          <w:iCs/>
        </w:rPr>
        <w:t>SCM</w:t>
      </w:r>
      <w:r>
        <w:rPr>
          <w:rFonts w:ascii="Times New Roman" w:hAnsi="Times New Roman"/>
        </w:rPr>
        <w:t xml:space="preserve"> ir grozījusi tās kārtību, lai izsijātu lietas, kas ir acīmredzami nepieņemamas, lai varētu paātrināt Tiesu inspekcijas veiktās pārbaudes.</w:t>
      </w:r>
    </w:p>
  </w:footnote>
  <w:footnote w:id="7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Paziņojumu publicēja tikai Prokuroru nodaļa. </w:t>
      </w:r>
    </w:p>
  </w:footnote>
  <w:footnote w:id="8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Jo sevišķi Tiesnešu nodaļa un dažos gadījumos arī Prokuroru nodaļa ir sagatavojušas virkni publisku paziņojumu saistībā ar iespējamu spiedienu uz tiesu iestāžu neatkarību. Ja pieprasījums tika noraidīts plēnumā, dažkārt tas tika pārkvalificēts nodaļās. Ir arī piemēri, kad publiskus paziņojumus pauda vai darbības veica Tiesnešu nodaļa, taču attiecīgās problēmas bija saistītas gan ar tiesnešiem, gan prokuroriem. </w:t>
      </w:r>
    </w:p>
  </w:footnote>
  <w:footnote w:id="8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Šis tiesību akts tika atzīts par antikonstitucionālu.</w:t>
      </w:r>
    </w:p>
  </w:footnote>
  <w:footnote w:id="8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SCM</w:t>
      </w:r>
      <w:r>
        <w:rPr>
          <w:rFonts w:ascii="Times New Roman" w:hAnsi="Times New Roman"/>
        </w:rPr>
        <w:t xml:space="preserve"> 2021. gada 18. februāra paziņojums presei.</w:t>
      </w:r>
    </w:p>
  </w:footnote>
  <w:footnote w:id="8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gadā tika organizētas vairākas sanāksmes, jo īpaši par palīgdarbinieku skaita palielināšanu tiesās.</w:t>
      </w:r>
    </w:p>
  </w:footnote>
  <w:footnote w:id="8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Šīs stratēģijas mērķis ir atbalstīt tiesu iestāžu, tiesu un prokuratūras iestāžu saziņas pasākumus, un turpināt attīstīt iekšējo un ārējo saziņu un pārredzamību attiecībā uz iedzīvotājiem.</w:t>
      </w:r>
    </w:p>
  </w:footnote>
  <w:footnote w:id="85">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Tiesas 2021. gada 18. maija spriedums saistītajās lietās C-83/19, C-127/19, C-195/19, C-294/19, C-355/19 un C-379/19 — </w:t>
      </w:r>
      <w:r>
        <w:rPr>
          <w:rFonts w:ascii="Times New Roman" w:hAnsi="Times New Roman"/>
          <w:i/>
          <w:iCs/>
        </w:rPr>
        <w:t>Asociația “Forumul Judecătorilor din România”</w:t>
      </w:r>
      <w:r>
        <w:rPr>
          <w:rFonts w:ascii="Times New Roman" w:hAnsi="Times New Roman"/>
        </w:rPr>
        <w:t xml:space="preserve"> un citi, 200.–206. punkts.</w:t>
      </w:r>
    </w:p>
  </w:footnote>
  <w:footnote w:id="8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Attiecībā uz galveno inspektoru var veikt vienīgi ārēju revīziju, ko pasūta pati inspekcija, un pēc tam revīzijas ziņojumu izskata tikai neliels skaits atlasītu padomes locekļu.</w:t>
      </w:r>
    </w:p>
  </w:footnote>
  <w:footnote w:id="8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Iepriekšējā likumā, kas tika pieņemts 2004. gadā, bija noteikts, ka gan galveno inspektoru, gan tā vietnieku izvēlas </w:t>
      </w:r>
      <w:r>
        <w:rPr>
          <w:rFonts w:ascii="Times New Roman" w:hAnsi="Times New Roman"/>
          <w:i/>
          <w:iCs/>
        </w:rPr>
        <w:t>SCM</w:t>
      </w:r>
      <w:r>
        <w:rPr>
          <w:rFonts w:ascii="Times New Roman" w:hAnsi="Times New Roman"/>
        </w:rPr>
        <w:t xml:space="preserve"> plēnums konkursa kārtībā, kas ietver rakstveida pārbaudes darbu, interviju un pārvaldības projekta prezentēšanu. Kopš 2018. gada galveno inspektoru amatā ieceļ </w:t>
      </w:r>
      <w:r>
        <w:rPr>
          <w:rFonts w:ascii="Times New Roman" w:hAnsi="Times New Roman"/>
          <w:i/>
          <w:iCs/>
        </w:rPr>
        <w:t>SCM</w:t>
      </w:r>
      <w:r>
        <w:rPr>
          <w:rFonts w:ascii="Times New Roman" w:hAnsi="Times New Roman"/>
        </w:rPr>
        <w:t xml:space="preserve">, kam seko intervija ar komisiju, kuras sastāvā ir trīs tiesneši, viens prokurors un viens pilsoniskās sabiedrības pārstāvis. Tomēr </w:t>
      </w:r>
      <w:r>
        <w:rPr>
          <w:rFonts w:ascii="Times New Roman" w:hAnsi="Times New Roman"/>
          <w:i/>
          <w:iCs/>
        </w:rPr>
        <w:t>SCM</w:t>
      </w:r>
      <w:r>
        <w:rPr>
          <w:rFonts w:ascii="Times New Roman" w:hAnsi="Times New Roman"/>
        </w:rPr>
        <w:t xml:space="preserve"> plēnuma oficiāls lēmums var būt ar lielāku juridisku spēku nekā komisijas lēmums tikai tādā gadījumā, ja nav ievēroti noteikumi. Galvenā inspektora vietnieku un attiecīgo nodaļu vadītājus izvēlas galvenais inspektors, kuram ir tikušas palielinātas arī inspekcijas organizēšanas pilnvaras. </w:t>
      </w:r>
    </w:p>
  </w:footnote>
  <w:footnote w:id="8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Kā piemērus var minēt disciplinārlietas ar priekšlikumu preventīvi atstādināt no amata līdz disciplinārizmeklēšanas pabeigšanai un </w:t>
      </w:r>
      <w:r>
        <w:rPr>
          <w:rFonts w:ascii="Times New Roman" w:hAnsi="Times New Roman"/>
          <w:i/>
          <w:iCs/>
        </w:rPr>
        <w:t>SCM</w:t>
      </w:r>
      <w:r>
        <w:rPr>
          <w:rFonts w:ascii="Times New Roman" w:hAnsi="Times New Roman"/>
        </w:rPr>
        <w:t xml:space="preserve"> lēmums pret maģistrātu apvienību sastāvā esošiem tiesnešiem, kuri pretojās 2017.–2019. gadā veiktajām izmaiņām, kas izraisīja regresu, un iesniedza lūgumus sniegt prejudiciālus nolēmumus Tiesā (disciplinārlieta bija saistīta ar grupas sarunām, kuras bija tikušas nopludinātas no privātas sociālo tīklu grupas), kā arī gadījumu, kad tiesnesis tika atstādināts no amata uz sešiem mēnešiem par Tiesu inspekcijas un </w:t>
      </w:r>
      <w:r>
        <w:rPr>
          <w:rFonts w:ascii="Times New Roman" w:hAnsi="Times New Roman"/>
          <w:i/>
          <w:iCs/>
        </w:rPr>
        <w:t>SIIJ</w:t>
      </w:r>
      <w:r>
        <w:rPr>
          <w:rFonts w:ascii="Times New Roman" w:hAnsi="Times New Roman"/>
        </w:rPr>
        <w:t xml:space="preserve"> darbības publisku kritizēšanu.</w:t>
      </w:r>
    </w:p>
  </w:footnote>
  <w:footnote w:id="89">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SPM misiju laikā saņemta informācija.</w:t>
      </w:r>
    </w:p>
  </w:footnote>
  <w:footnote w:id="9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gadā Integritātes valsts aģentūra ir pabeigusi 1143 lietas, no kurām 175 lietās ir pieņemti galīgi un negrozāmi lēmumi. 2020. gadā tika piemēroti 204 administratīvi naudas sodi par līdzekļu un interešu nedeklarēšanu likumā noteiktajā termiņā, par nedisciplinārām sankcijām, kuras piemērotas pēc tam, kad pārbaudes akts ir kļuvis galīgs, un par tiesību aktos paredzēto noteikumu neievērošanu.</w:t>
      </w:r>
    </w:p>
  </w:footnote>
  <w:footnote w:id="9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Grozījums likumā Nr. 176/2010 par integritāti, pildot valsts amata pienākumus. No 2022. gada informācijas elektroniska iesniegšana būs obligāta. </w:t>
      </w:r>
    </w:p>
  </w:footnote>
  <w:footnote w:id="9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Sākotnējais budžets bija 34 802 000 </w:t>
      </w:r>
      <w:r>
        <w:rPr>
          <w:rFonts w:ascii="Times New Roman" w:hAnsi="Times New Roman"/>
          <w:i/>
          <w:iCs/>
        </w:rPr>
        <w:t>RON</w:t>
      </w:r>
      <w:r>
        <w:rPr>
          <w:rFonts w:ascii="Times New Roman" w:hAnsi="Times New Roman"/>
        </w:rPr>
        <w:t>, savukārt galīgais budžets bija 37 432 000 </w:t>
      </w:r>
      <w:r>
        <w:rPr>
          <w:rFonts w:ascii="Times New Roman" w:hAnsi="Times New Roman"/>
          <w:i/>
          <w:iCs/>
        </w:rPr>
        <w:t>RON</w:t>
      </w:r>
      <w:r>
        <w:rPr>
          <w:rFonts w:ascii="Times New Roman" w:hAnsi="Times New Roman"/>
        </w:rPr>
        <w:t xml:space="preserve">. </w:t>
      </w:r>
    </w:p>
  </w:footnote>
  <w:footnote w:id="93">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gadā netika organizēts neviens konkurss, jo Valsts padome integritātes jautājumos (</w:t>
      </w:r>
      <w:r>
        <w:rPr>
          <w:rFonts w:ascii="Times New Roman" w:hAnsi="Times New Roman"/>
          <w:i/>
          <w:iCs/>
        </w:rPr>
        <w:t>CNI</w:t>
      </w:r>
      <w:r>
        <w:rPr>
          <w:rFonts w:ascii="Times New Roman" w:hAnsi="Times New Roman"/>
        </w:rPr>
        <w:t xml:space="preserve">) — struktūra, kura uzrauga </w:t>
      </w:r>
      <w:r>
        <w:rPr>
          <w:rFonts w:ascii="Times New Roman" w:hAnsi="Times New Roman"/>
          <w:i/>
          <w:iCs/>
        </w:rPr>
        <w:t>ANI</w:t>
      </w:r>
      <w:r>
        <w:rPr>
          <w:rFonts w:ascii="Times New Roman" w:hAnsi="Times New Roman"/>
        </w:rPr>
        <w:t xml:space="preserve"> darbību un kuras kompetencē ir konkursa organizēšana uz priekšsēdētāja un priekšsēdētāja vietnieka amatu, — nevarēja sasniegt kvorumu, jo Senāts kopš 2018. gada nebija iecēlis jaunus šīs padomes locekļus. Galu galā 2020. gada martā tika iecelti jauni locekļi, un </w:t>
      </w:r>
      <w:r>
        <w:rPr>
          <w:rFonts w:ascii="Times New Roman" w:hAnsi="Times New Roman"/>
          <w:i/>
          <w:iCs/>
        </w:rPr>
        <w:t>CNI</w:t>
      </w:r>
      <w:r>
        <w:rPr>
          <w:rFonts w:ascii="Times New Roman" w:hAnsi="Times New Roman"/>
        </w:rPr>
        <w:t xml:space="preserve"> varēja sākt konkursa noteikumu gatavošanu. </w:t>
      </w:r>
    </w:p>
  </w:footnote>
  <w:footnote w:id="94">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Pastāv vairākas ar izpildi saistītas problēmas, kas ir radījušas nekonsekvenci. Iestādes, kuras bija atbildīgas par kandidātu vai mandātu apstiprināšanu pašvaldību vēlēšanās, neņēma vērā aizliegumu ieņemt vēlētu amatu un atļāva kandidātiem piedalīties vēlēšanās. Bija arī gadījumi, kad vairākas iestādes atzina par nederīgiem to personu jauniegūtos mandātus, kam piemērots šāds aizliegums. </w:t>
      </w:r>
    </w:p>
  </w:footnote>
  <w:footnote w:id="9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Ar pirmo grozījumu tika noteikts trīs gadu noilguma termiņš attiecībā uz dokumentiem, kuros konstatēta interešu konflikta vai amatu nesavienojamības esamība, kā rezultātā tika slēgtas daudzas tobrīd izskatāmas lietas un radās šaubas par sankciju noteikšanas iespējamību. Ar otro grozījumu ieviesa ierobežotu sankciju režīmu attiecībā uz interešu konfliktiem, kuros iesaistītas vietējās vēlētās amatpersonas. </w:t>
      </w:r>
      <w:r>
        <w:rPr>
          <w:rFonts w:ascii="Times New Roman" w:hAnsi="Times New Roman"/>
          <w:i/>
          <w:iCs/>
        </w:rPr>
        <w:t>ANI</w:t>
      </w:r>
      <w:r>
        <w:rPr>
          <w:rFonts w:ascii="Times New Roman" w:hAnsi="Times New Roman"/>
        </w:rPr>
        <w:t xml:space="preserve"> uzskatīja, ka šis grozījums neļauj piemērot atturošas sankcijas.</w:t>
      </w:r>
    </w:p>
  </w:footnote>
  <w:footnote w:id="9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i/>
          <w:iCs/>
        </w:rPr>
        <w:t>HCCJ</w:t>
      </w:r>
      <w:r>
        <w:rPr>
          <w:rFonts w:ascii="Times New Roman" w:hAnsi="Times New Roman"/>
        </w:rPr>
        <w:t xml:space="preserve"> 2020. gada 16. novembra nolēmums un </w:t>
      </w:r>
      <w:r>
        <w:rPr>
          <w:rFonts w:ascii="Times New Roman" w:hAnsi="Times New Roman"/>
          <w:i/>
          <w:iCs/>
        </w:rPr>
        <w:t>HCCJ</w:t>
      </w:r>
      <w:r>
        <w:rPr>
          <w:rFonts w:ascii="Times New Roman" w:hAnsi="Times New Roman"/>
        </w:rPr>
        <w:t xml:space="preserve"> nolēmums Nr. 1/2021. </w:t>
      </w:r>
    </w:p>
  </w:footnote>
  <w:footnote w:id="9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Piemēram, Deputātu palātā joprojām izskatīšanā ir priekšlikums grozīt Administratīvo kodeksu, kas pēdējoreiz apspriests 2020. gada maijā. </w:t>
      </w:r>
    </w:p>
  </w:footnote>
  <w:footnote w:id="9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2020. gadā </w:t>
      </w:r>
      <w:r>
        <w:rPr>
          <w:rFonts w:ascii="Times New Roman" w:hAnsi="Times New Roman"/>
          <w:i/>
          <w:iCs/>
        </w:rPr>
        <w:t>PREVENT</w:t>
      </w:r>
      <w:r>
        <w:rPr>
          <w:rFonts w:ascii="Times New Roman" w:hAnsi="Times New Roman"/>
        </w:rPr>
        <w:t xml:space="preserve"> sistēma veica 19 140 iepirkuma procedūru analīzi, lai noteiktu potenciālus interešu konfliktus. 2020. gadā integritātes inspektori izdeva 10 brīdinājumus par integritāti, kas bija saistīti ar pasākumiem aptuveni 11,1 miljona EUR vērtībā.</w:t>
      </w:r>
    </w:p>
  </w:footnote>
  <w:footnote w:id="9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Deputātu un senatoru reglamentā ir noteikts, ka viņiem ir jānorāda uz savu nesavienojamību ar attiecīgo amatu 15 dienu laikā un 30 dienu laikposmā jāatstāj viens no amatiem, kas radījis šādu nesavienojamību.</w:t>
      </w:r>
    </w:p>
  </w:footnote>
  <w:footnote w:id="10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2020. gadā lietas galvenokārt bija saistītas ar publisko iepirkumu, kukuļošanu un krāpšanu saistībā ar ES fondu līdzekļiem. Turklāt </w:t>
      </w:r>
      <w:r>
        <w:rPr>
          <w:rFonts w:ascii="Times New Roman" w:hAnsi="Times New Roman"/>
          <w:i/>
          <w:iCs/>
        </w:rPr>
        <w:t>DNA</w:t>
      </w:r>
      <w:r>
        <w:rPr>
          <w:rFonts w:ascii="Times New Roman" w:hAnsi="Times New Roman"/>
        </w:rPr>
        <w:t xml:space="preserve"> reģistrēja 105 korupcijas lietas saistībā ar cīņu pret Covid-19 pandēmiju.</w:t>
      </w:r>
    </w:p>
  </w:footnote>
  <w:footnote w:id="10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Šis pieaugums atspoguļo visu tiesu, kas izskata </w:t>
      </w:r>
      <w:r>
        <w:rPr>
          <w:rFonts w:ascii="Times New Roman" w:hAnsi="Times New Roman"/>
          <w:i/>
          <w:iCs/>
        </w:rPr>
        <w:t>DNA</w:t>
      </w:r>
      <w:r>
        <w:rPr>
          <w:rFonts w:ascii="Times New Roman" w:hAnsi="Times New Roman"/>
        </w:rPr>
        <w:t xml:space="preserve"> ierosinātās lietas, rezultātus. Augstākā kasācijas tiesa atrisināja mazāk lietu: pirmajā instancē trīs lietas 2020. gadā un vienu lietu 2021. gadā, pēdējā instancē — 4 lietas 2020. gadā. 2020. gadā astoņu lietu virzība tika apturēta. Kopumā tiesas ziņo, ka tiek reģistrēts mazāks skaits lietu. </w:t>
      </w:r>
      <w:r>
        <w:rPr>
          <w:rFonts w:ascii="Times New Roman" w:hAnsi="Times New Roman"/>
          <w:i/>
          <w:iCs/>
        </w:rPr>
        <w:t>DNA</w:t>
      </w:r>
      <w:r>
        <w:rPr>
          <w:rFonts w:ascii="Times New Roman" w:hAnsi="Times New Roman"/>
        </w:rPr>
        <w:t xml:space="preserve"> arī ziņo par mazāku attaisnošanas gadījumu skaitu 2020. gadā, lai gan šādu gadījumu skaits 2019. gadā bija uzpūsts noziedzīgo nodarījumu dekriminalizācijas dēļ.</w:t>
      </w:r>
    </w:p>
  </w:footnote>
  <w:footnote w:id="10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Vispārējās problēmas saistībā ar cilvēkresursiem, ar kurām saskaras tiesu iestādes un ietekmē arī </w:t>
      </w:r>
      <w:r>
        <w:rPr>
          <w:rFonts w:ascii="Times New Roman" w:hAnsi="Times New Roman"/>
          <w:i/>
          <w:iCs/>
        </w:rPr>
        <w:t>DNA</w:t>
      </w:r>
      <w:r>
        <w:rPr>
          <w:rFonts w:ascii="Times New Roman" w:hAnsi="Times New Roman"/>
        </w:rPr>
        <w:t xml:space="preserve">, ietver ierobežojumus deleģēšanai un ievērojamu pensionēšanās gadījumu skaitu. Problēmas, kas īpaši skar </w:t>
      </w:r>
      <w:r>
        <w:rPr>
          <w:rFonts w:ascii="Times New Roman" w:hAnsi="Times New Roman"/>
          <w:i/>
          <w:iCs/>
        </w:rPr>
        <w:t>DNA</w:t>
      </w:r>
      <w:r>
        <w:rPr>
          <w:rFonts w:ascii="Times New Roman" w:hAnsi="Times New Roman"/>
        </w:rPr>
        <w:t xml:space="preserve">, ietver to, ka amata stāža prasība darbam </w:t>
      </w:r>
      <w:r>
        <w:rPr>
          <w:rFonts w:ascii="Times New Roman" w:hAnsi="Times New Roman"/>
          <w:i/>
          <w:iCs/>
        </w:rPr>
        <w:t>DNA</w:t>
      </w:r>
      <w:r>
        <w:rPr>
          <w:rFonts w:ascii="Times New Roman" w:hAnsi="Times New Roman"/>
        </w:rPr>
        <w:t xml:space="preserve"> tika pēkšņi mainīta uz 10 gadiem, un </w:t>
      </w:r>
      <w:r>
        <w:rPr>
          <w:rFonts w:ascii="Times New Roman" w:hAnsi="Times New Roman"/>
          <w:i/>
          <w:iCs/>
        </w:rPr>
        <w:t>SCM</w:t>
      </w:r>
      <w:r>
        <w:rPr>
          <w:rFonts w:ascii="Times New Roman" w:hAnsi="Times New Roman"/>
        </w:rPr>
        <w:t xml:space="preserve"> pārstāvju pieņemtais mutiskais eksāmens uz amatiem, kas nav saistīti ar vadību, tiek raidīts publiski (atšķirībā no citām prokuratūras nodaļām), un tas attur kandidātus. Nodaļu vadītāju amata stāžam ir jābūt vismaz 15 gadi.</w:t>
      </w:r>
    </w:p>
  </w:footnote>
  <w:footnote w:id="10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2021. gadā </w:t>
      </w:r>
      <w:r>
        <w:rPr>
          <w:rFonts w:ascii="Times New Roman" w:hAnsi="Times New Roman"/>
          <w:i/>
          <w:iCs/>
        </w:rPr>
        <w:t>DNA</w:t>
      </w:r>
      <w:r>
        <w:rPr>
          <w:rFonts w:ascii="Times New Roman" w:hAnsi="Times New Roman"/>
        </w:rPr>
        <w:t xml:space="preserve"> ziņoja, ka tikai 75 % vakanču ir aizpildītas (131 iecelts un 14 deleģēti 145 amatos) un ka bija vakanti divi vadošie amati. </w:t>
      </w:r>
    </w:p>
  </w:footnote>
  <w:footnote w:id="10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Paredzams, ka ar pašlaik izskatīšanā esošu valdības lēmumu </w:t>
      </w:r>
      <w:r>
        <w:rPr>
          <w:rFonts w:ascii="Times New Roman" w:hAnsi="Times New Roman"/>
          <w:i/>
          <w:iCs/>
        </w:rPr>
        <w:t>DNA</w:t>
      </w:r>
      <w:r>
        <w:rPr>
          <w:rFonts w:ascii="Times New Roman" w:hAnsi="Times New Roman"/>
        </w:rPr>
        <w:t xml:space="preserve"> darbinieku loku papildinās 90 policijas ierēdņi. </w:t>
      </w:r>
    </w:p>
  </w:footnote>
  <w:footnote w:id="105">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Skatīt pirmo kritēriju par tiesu likumiem.</w:t>
      </w:r>
    </w:p>
  </w:footnote>
  <w:footnote w:id="10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i/>
          <w:iCs/>
        </w:rPr>
        <w:t>DNA</w:t>
      </w:r>
      <w:r>
        <w:rPr>
          <w:rFonts w:ascii="Times New Roman" w:hAnsi="Times New Roman"/>
        </w:rPr>
        <w:t xml:space="preserve"> lēš, ka Konstitucionālās tiesas lēmumu dēļ 2020. gadā tika attaisnotas vismaz 45 aizdomās turētas personas. Nesens 2021. gada 6. aprīlī pieņemts </w:t>
      </w:r>
      <w:r>
        <w:rPr>
          <w:rFonts w:ascii="Times New Roman" w:hAnsi="Times New Roman"/>
          <w:i/>
          <w:iCs/>
        </w:rPr>
        <w:t>CCR</w:t>
      </w:r>
      <w:r>
        <w:rPr>
          <w:rFonts w:ascii="Times New Roman" w:hAnsi="Times New Roman"/>
        </w:rPr>
        <w:t xml:space="preserve"> nolēmums ietekmē vismaz vēl 67 izmeklēšanas procesus, ko pašlaik veic </w:t>
      </w:r>
      <w:r>
        <w:rPr>
          <w:rFonts w:ascii="Times New Roman" w:hAnsi="Times New Roman"/>
          <w:i/>
          <w:iCs/>
        </w:rPr>
        <w:t>DNA</w:t>
      </w:r>
      <w:r>
        <w:rPr>
          <w:rFonts w:ascii="Times New Roman" w:hAnsi="Times New Roman"/>
        </w:rPr>
        <w:t>, jo tie būs jāsāk no sākuma.</w:t>
      </w:r>
    </w:p>
  </w:footnote>
  <w:footnote w:id="10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Lai gan Konstitucionālās tiesas nolēmumi neattiecas uz senākām lietām, kurās ir pieņemts galīgs spriedums, var rasties sekas attiecībā uz pašlaik izskatītajām lietām. Nolēmums par piecu tiesnešu kolēģiju noteiktos apstākļos ir devis iespēju iesniegt ārkārtas apelāciju lietās, kurās pieņemts galīgs spriedums, savukārt nolēmums par trīs tiesnešu kolēģiju varētu nozīmēt, ka tiesvedība jāsāk no sākuma ar jaunieceltu kolēģiju. </w:t>
      </w:r>
      <w:r>
        <w:rPr>
          <w:rFonts w:ascii="Times New Roman" w:hAnsi="Times New Roman"/>
          <w:i/>
          <w:iCs/>
        </w:rPr>
        <w:t>DNA</w:t>
      </w:r>
      <w:r>
        <w:rPr>
          <w:rFonts w:ascii="Times New Roman" w:hAnsi="Times New Roman"/>
        </w:rPr>
        <w:t xml:space="preserve"> ziņo, ka astoņas lietas ar 41 atbildētāju pašlaik ir apturētas Augstākajā kasācijas tiesā, 10 lietas ar 107 atbildētājiem ir atsāktas pirmajā instancē un 5 lietas ar 90 atbildētājiem ir atsāktas no prejudiciālās palātas. Pašlaik izskatīšanā ir vairāki ar noteiktām lietām saistīti lūgumi sniegt prejudiciālus nolēmumus. </w:t>
      </w:r>
    </w:p>
  </w:footnote>
  <w:footnote w:id="108">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Tiesas 2021. gada 18. maija spriedums saistītajās lietās C-83/19, C-127/19, C-195/19, C-294/19, C-355/19 un C-379/19 — </w:t>
      </w:r>
      <w:r>
        <w:rPr>
          <w:rFonts w:ascii="Times New Roman" w:hAnsi="Times New Roman"/>
          <w:i/>
          <w:iCs/>
        </w:rPr>
        <w:t>Asociația “Forumul Judecătorilor din România”</w:t>
      </w:r>
      <w:r>
        <w:rPr>
          <w:rFonts w:ascii="Times New Roman" w:hAnsi="Times New Roman"/>
        </w:rPr>
        <w:t xml:space="preserve"> un citi, 251.–252. punkts.</w:t>
      </w:r>
    </w:p>
  </w:footnote>
  <w:footnote w:id="10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Savā 2021. gada marta ziņojumā </w:t>
      </w:r>
      <w:r>
        <w:rPr>
          <w:rFonts w:ascii="Times New Roman" w:hAnsi="Times New Roman"/>
          <w:i/>
          <w:iCs/>
        </w:rPr>
        <w:t>GRECO</w:t>
      </w:r>
      <w:r>
        <w:rPr>
          <w:rFonts w:ascii="Times New Roman" w:hAnsi="Times New Roman"/>
        </w:rPr>
        <w:t xml:space="preserve"> atzīmē, ka neoficiālā prasība prokuratūras iestādēm iesniegt visu lietu, ja ir sākta kriminālvajāšana pret ministru vai bijušo ministru, kurš ir arī parlamenta deputāts, ir acīmredzot atcelta ar vēstuli. </w:t>
      </w:r>
      <w:r>
        <w:rPr>
          <w:rFonts w:ascii="Times New Roman" w:hAnsi="Times New Roman"/>
          <w:i/>
          <w:iCs/>
        </w:rPr>
        <w:t>Greco</w:t>
      </w:r>
      <w:r>
        <w:rPr>
          <w:rFonts w:ascii="Times New Roman" w:hAnsi="Times New Roman"/>
        </w:rPr>
        <w:t xml:space="preserve"> RC4(2021)1.</w:t>
      </w:r>
    </w:p>
  </w:footnote>
  <w:footnote w:id="11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2020. gadā vairāk nekā puse lietu bija saistībā ar kukuļošanu, aktīvi pievēršot uzmanību apsūdzību par korupciju izmeklēšanai saistībā ar valsts pārvaldes</w:t>
      </w:r>
      <w:r>
        <w:rPr>
          <w:rFonts w:ascii="Times New Roman" w:hAnsi="Times New Roman"/>
          <w:vertAlign w:val="superscript"/>
        </w:rPr>
        <w:t xml:space="preserve"> </w:t>
      </w:r>
      <w:r>
        <w:rPr>
          <w:rFonts w:ascii="Times New Roman" w:hAnsi="Times New Roman"/>
        </w:rPr>
        <w:t>ierēdņiem (tādiem vēlētos amatos esošiem ierēdņiem kā mēriem un vicemēriem, kā arī tiesību aktos noteiktiem darbiniekiem).</w:t>
      </w:r>
    </w:p>
  </w:footnote>
  <w:footnote w:id="111">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COM(2019) 343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51"/>
    <w:multiLevelType w:val="hybridMultilevel"/>
    <w:tmpl w:val="69045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9C0315"/>
    <w:multiLevelType w:val="hybridMultilevel"/>
    <w:tmpl w:val="7D7A33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0B56E7"/>
    <w:multiLevelType w:val="hybridMultilevel"/>
    <w:tmpl w:val="A986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7692D"/>
    <w:multiLevelType w:val="hybridMultilevel"/>
    <w:tmpl w:val="DF3C9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9F2E7F"/>
    <w:multiLevelType w:val="hybridMultilevel"/>
    <w:tmpl w:val="F168B97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nsid w:val="192962E7"/>
    <w:multiLevelType w:val="hybridMultilevel"/>
    <w:tmpl w:val="2C82F3DA"/>
    <w:lvl w:ilvl="0" w:tplc="61929B74">
      <w:start w:val="2017"/>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CC43D57"/>
    <w:multiLevelType w:val="hybridMultilevel"/>
    <w:tmpl w:val="FAF0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5C5057"/>
    <w:multiLevelType w:val="hybridMultilevel"/>
    <w:tmpl w:val="F9224830"/>
    <w:lvl w:ilvl="0" w:tplc="769CB292">
      <w:numFmt w:val="bullet"/>
      <w:lvlText w:val=""/>
      <w:lvlJc w:val="left"/>
      <w:pPr>
        <w:ind w:left="1080" w:hanging="72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1E67C56"/>
    <w:multiLevelType w:val="hybridMultilevel"/>
    <w:tmpl w:val="9DAEA56A"/>
    <w:lvl w:ilvl="0" w:tplc="30B6268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3770F83"/>
    <w:multiLevelType w:val="hybridMultilevel"/>
    <w:tmpl w:val="690A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030FA9"/>
    <w:multiLevelType w:val="hybridMultilevel"/>
    <w:tmpl w:val="F60E1F82"/>
    <w:lvl w:ilvl="0" w:tplc="903CBA98">
      <w:numFmt w:val="bullet"/>
      <w:lvlText w:val="•"/>
      <w:lvlJc w:val="left"/>
      <w:pPr>
        <w:ind w:left="720" w:hanging="72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47E038C"/>
    <w:multiLevelType w:val="hybridMultilevel"/>
    <w:tmpl w:val="02A83288"/>
    <w:lvl w:ilvl="0" w:tplc="ED846C16">
      <w:start w:val="1"/>
      <w:numFmt w:val="bullet"/>
      <w:pStyle w:val="LTTBody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0B3E6B"/>
    <w:multiLevelType w:val="hybridMultilevel"/>
    <w:tmpl w:val="EE2CC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A252E1"/>
    <w:multiLevelType w:val="hybridMultilevel"/>
    <w:tmpl w:val="F2622C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7366EE"/>
    <w:multiLevelType w:val="hybridMultilevel"/>
    <w:tmpl w:val="6A081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5D2B46"/>
    <w:multiLevelType w:val="hybridMultilevel"/>
    <w:tmpl w:val="76A04E82"/>
    <w:lvl w:ilvl="0" w:tplc="903CBA98">
      <w:numFmt w:val="bullet"/>
      <w:lvlText w:val="•"/>
      <w:lvlJc w:val="left"/>
      <w:pPr>
        <w:ind w:left="720" w:hanging="72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4BBE03C6"/>
    <w:multiLevelType w:val="hybridMultilevel"/>
    <w:tmpl w:val="A08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400B5F"/>
    <w:multiLevelType w:val="hybridMultilevel"/>
    <w:tmpl w:val="BA2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A217BB"/>
    <w:multiLevelType w:val="hybridMultilevel"/>
    <w:tmpl w:val="2D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404E55"/>
    <w:multiLevelType w:val="hybridMultilevel"/>
    <w:tmpl w:val="9EFEE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2"/>
  </w:num>
  <w:num w:numId="5">
    <w:abstractNumId w:val="17"/>
  </w:num>
  <w:num w:numId="6">
    <w:abstractNumId w:val="16"/>
  </w:num>
  <w:num w:numId="7">
    <w:abstractNumId w:val="9"/>
  </w:num>
  <w:num w:numId="8">
    <w:abstractNumId w:val="3"/>
  </w:num>
  <w:num w:numId="9">
    <w:abstractNumId w:val="13"/>
  </w:num>
  <w:num w:numId="10">
    <w:abstractNumId w:val="12"/>
  </w:num>
  <w:num w:numId="11">
    <w:abstractNumId w:val="14"/>
  </w:num>
  <w:num w:numId="12">
    <w:abstractNumId w:val="1"/>
  </w:num>
  <w:num w:numId="13">
    <w:abstractNumId w:val="19"/>
  </w:num>
  <w:num w:numId="14">
    <w:abstractNumId w:val="15"/>
  </w:num>
  <w:num w:numId="15">
    <w:abstractNumId w:val="8"/>
  </w:num>
  <w:num w:numId="16">
    <w:abstractNumId w:val="10"/>
  </w:num>
  <w:num w:numId="17">
    <w:abstractNumId w:val="11"/>
  </w:num>
  <w:num w:numId="18">
    <w:abstractNumId w:val="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it-IT" w:vendorID="64" w:dllVersion="131078"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F0ACF92-9BFE-4C60-9092-6785CF05C43D"/>
    <w:docVar w:name="LW_COVERPAGE_TYPE" w:val="1"/>
    <w:docVar w:name="LW_CROSSREFERENCE" w:val="&lt;UNUSED&gt;"/>
    <w:docVar w:name="LW_DocType" w:val="NORMAL"/>
    <w:docVar w:name="LW_EMISSION" w:val="8.6.2021"/>
    <w:docVar w:name="LW_EMISSION_ISODATE" w:val="2021-06-08"/>
    <w:docVar w:name="LW_EMISSION_LOCATION" w:val="STR"/>
    <w:docVar w:name="LW_EMISSION_PREFIX" w:val="Strasbūrā, "/>
    <w:docVar w:name="LW_EMISSION_SUFFIX" w:val="."/>
    <w:docVar w:name="LW_ID_DOCTYPE_NONLW" w:val="CP-006"/>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1) 3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Par progresu Rum\u257?nij\u257? Sadarb\u299?bas un p\u257?rbaudes meh\u257?nisma ietvaros"/>
    <w:docVar w:name="LW_TYPE.DOC.CP" w:val="KOMISIJAS ZI\u325?OJUMS EIROPAS PARLAMENTAM UN PADOME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PlainText">
    <w:name w:val="Plain Text"/>
    <w:basedOn w:val="Normal"/>
    <w:link w:val="PlainTextChar"/>
    <w:uiPriority w:val="99"/>
    <w:unhideWhenUsed/>
    <w:pPr>
      <w:spacing w:after="0" w:line="240" w:lineRule="auto"/>
    </w:pPr>
    <w:rPr>
      <w:rFonts w:eastAsia="SimSun"/>
      <w:szCs w:val="21"/>
      <w:lang w:eastAsia="zh-TW"/>
    </w:rPr>
  </w:style>
  <w:style w:type="character" w:customStyle="1" w:styleId="PlainTextChar">
    <w:name w:val="Plain Text Char"/>
    <w:link w:val="PlainText"/>
    <w:uiPriority w:val="99"/>
    <w:rPr>
      <w:rFonts w:eastAsia="SimSun"/>
      <w:sz w:val="22"/>
      <w:szCs w:val="21"/>
      <w:lang w:val="lv-LV" w:eastAsia="zh-TW"/>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rFonts w:eastAsia="SimSun"/>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Ref"/>
    <w:basedOn w:val="DefaultParagraphFont"/>
    <w:link w:val="ftrefCharCharCharCharCharCharCharCharChar"/>
    <w:uiPriority w:val="99"/>
    <w:unhideWhenUsed/>
    <w:qFormat/>
    <w:rPr>
      <w:vertAlign w:val="superscript"/>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jc w:val="both"/>
    </w:pPr>
    <w:rPr>
      <w:sz w:val="20"/>
      <w:szCs w:val="20"/>
      <w:vertAlign w:val="superscript"/>
      <w:lang w:eastAsia="en-GB"/>
    </w:rPr>
  </w:style>
  <w:style w:type="character" w:styleId="Strong">
    <w:name w:val="Strong"/>
    <w:basedOn w:val="DefaultParagraphFont"/>
    <w:uiPriority w:val="22"/>
    <w:qFormat/>
    <w:rPr>
      <w:b/>
      <w:bCs/>
    </w:rPr>
  </w:style>
  <w:style w:type="paragraph" w:customStyle="1" w:styleId="LTTBody1">
    <w:name w:val="LTT Body 1"/>
    <w:basedOn w:val="Normal"/>
    <w:qFormat/>
    <w:pPr>
      <w:numPr>
        <w:numId w:val="17"/>
      </w:numPr>
      <w:spacing w:after="0" w:line="240" w:lineRule="auto"/>
    </w:pPr>
    <w:rPr>
      <w:rFonts w:eastAsia="Times New Roman" w:cs="Calibri"/>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PlainText">
    <w:name w:val="Plain Text"/>
    <w:basedOn w:val="Normal"/>
    <w:link w:val="PlainTextChar"/>
    <w:uiPriority w:val="99"/>
    <w:unhideWhenUsed/>
    <w:pPr>
      <w:spacing w:after="0" w:line="240" w:lineRule="auto"/>
    </w:pPr>
    <w:rPr>
      <w:rFonts w:eastAsia="SimSun"/>
      <w:szCs w:val="21"/>
      <w:lang w:eastAsia="zh-TW"/>
    </w:rPr>
  </w:style>
  <w:style w:type="character" w:customStyle="1" w:styleId="PlainTextChar">
    <w:name w:val="Plain Text Char"/>
    <w:link w:val="PlainText"/>
    <w:uiPriority w:val="99"/>
    <w:rPr>
      <w:rFonts w:eastAsia="SimSun"/>
      <w:sz w:val="22"/>
      <w:szCs w:val="21"/>
      <w:lang w:val="lv-LV" w:eastAsia="zh-TW"/>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rFonts w:eastAsia="SimSun"/>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Ref"/>
    <w:basedOn w:val="DefaultParagraphFont"/>
    <w:link w:val="ftrefCharCharCharCharCharCharCharCharChar"/>
    <w:uiPriority w:val="99"/>
    <w:unhideWhenUsed/>
    <w:qFormat/>
    <w:rPr>
      <w:vertAlign w:val="superscript"/>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jc w:val="both"/>
    </w:pPr>
    <w:rPr>
      <w:sz w:val="20"/>
      <w:szCs w:val="20"/>
      <w:vertAlign w:val="superscript"/>
      <w:lang w:eastAsia="en-GB"/>
    </w:rPr>
  </w:style>
  <w:style w:type="character" w:styleId="Strong">
    <w:name w:val="Strong"/>
    <w:basedOn w:val="DefaultParagraphFont"/>
    <w:uiPriority w:val="22"/>
    <w:qFormat/>
    <w:rPr>
      <w:b/>
      <w:bCs/>
    </w:rPr>
  </w:style>
  <w:style w:type="paragraph" w:customStyle="1" w:styleId="LTTBody1">
    <w:name w:val="LTT Body 1"/>
    <w:basedOn w:val="Normal"/>
    <w:qFormat/>
    <w:pPr>
      <w:numPr>
        <w:numId w:val="17"/>
      </w:numPr>
      <w:spacing w:after="0" w:line="240" w:lineRule="auto"/>
    </w:pPr>
    <w:rPr>
      <w:rFonts w:eastAsia="Times New Roman" w:cs="Calibri"/>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618">
      <w:bodyDiv w:val="1"/>
      <w:marLeft w:val="0"/>
      <w:marRight w:val="0"/>
      <w:marTop w:val="0"/>
      <w:marBottom w:val="0"/>
      <w:divBdr>
        <w:top w:val="none" w:sz="0" w:space="0" w:color="auto"/>
        <w:left w:val="none" w:sz="0" w:space="0" w:color="auto"/>
        <w:bottom w:val="none" w:sz="0" w:space="0" w:color="auto"/>
        <w:right w:val="none" w:sz="0" w:space="0" w:color="auto"/>
      </w:divBdr>
    </w:div>
    <w:div w:id="307638370">
      <w:bodyDiv w:val="1"/>
      <w:marLeft w:val="0"/>
      <w:marRight w:val="0"/>
      <w:marTop w:val="0"/>
      <w:marBottom w:val="0"/>
      <w:divBdr>
        <w:top w:val="none" w:sz="0" w:space="0" w:color="auto"/>
        <w:left w:val="none" w:sz="0" w:space="0" w:color="auto"/>
        <w:bottom w:val="none" w:sz="0" w:space="0" w:color="auto"/>
        <w:right w:val="none" w:sz="0" w:space="0" w:color="auto"/>
      </w:divBdr>
    </w:div>
    <w:div w:id="344674016">
      <w:bodyDiv w:val="1"/>
      <w:marLeft w:val="0"/>
      <w:marRight w:val="0"/>
      <w:marTop w:val="0"/>
      <w:marBottom w:val="0"/>
      <w:divBdr>
        <w:top w:val="none" w:sz="0" w:space="0" w:color="auto"/>
        <w:left w:val="none" w:sz="0" w:space="0" w:color="auto"/>
        <w:bottom w:val="none" w:sz="0" w:space="0" w:color="auto"/>
        <w:right w:val="none" w:sz="0" w:space="0" w:color="auto"/>
      </w:divBdr>
    </w:div>
    <w:div w:id="350766225">
      <w:bodyDiv w:val="1"/>
      <w:marLeft w:val="0"/>
      <w:marRight w:val="0"/>
      <w:marTop w:val="0"/>
      <w:marBottom w:val="0"/>
      <w:divBdr>
        <w:top w:val="none" w:sz="0" w:space="0" w:color="auto"/>
        <w:left w:val="none" w:sz="0" w:space="0" w:color="auto"/>
        <w:bottom w:val="none" w:sz="0" w:space="0" w:color="auto"/>
        <w:right w:val="none" w:sz="0" w:space="0" w:color="auto"/>
      </w:divBdr>
    </w:div>
    <w:div w:id="381104645">
      <w:bodyDiv w:val="1"/>
      <w:marLeft w:val="0"/>
      <w:marRight w:val="0"/>
      <w:marTop w:val="0"/>
      <w:marBottom w:val="0"/>
      <w:divBdr>
        <w:top w:val="none" w:sz="0" w:space="0" w:color="auto"/>
        <w:left w:val="none" w:sz="0" w:space="0" w:color="auto"/>
        <w:bottom w:val="none" w:sz="0" w:space="0" w:color="auto"/>
        <w:right w:val="none" w:sz="0" w:space="0" w:color="auto"/>
      </w:divBdr>
    </w:div>
    <w:div w:id="453644457">
      <w:bodyDiv w:val="1"/>
      <w:marLeft w:val="0"/>
      <w:marRight w:val="0"/>
      <w:marTop w:val="0"/>
      <w:marBottom w:val="0"/>
      <w:divBdr>
        <w:top w:val="none" w:sz="0" w:space="0" w:color="auto"/>
        <w:left w:val="none" w:sz="0" w:space="0" w:color="auto"/>
        <w:bottom w:val="none" w:sz="0" w:space="0" w:color="auto"/>
        <w:right w:val="none" w:sz="0" w:space="0" w:color="auto"/>
      </w:divBdr>
    </w:div>
    <w:div w:id="601567382">
      <w:bodyDiv w:val="1"/>
      <w:marLeft w:val="0"/>
      <w:marRight w:val="0"/>
      <w:marTop w:val="0"/>
      <w:marBottom w:val="0"/>
      <w:divBdr>
        <w:top w:val="none" w:sz="0" w:space="0" w:color="auto"/>
        <w:left w:val="none" w:sz="0" w:space="0" w:color="auto"/>
        <w:bottom w:val="none" w:sz="0" w:space="0" w:color="auto"/>
        <w:right w:val="none" w:sz="0" w:space="0" w:color="auto"/>
      </w:divBdr>
    </w:div>
    <w:div w:id="606276243">
      <w:bodyDiv w:val="1"/>
      <w:marLeft w:val="0"/>
      <w:marRight w:val="0"/>
      <w:marTop w:val="0"/>
      <w:marBottom w:val="0"/>
      <w:divBdr>
        <w:top w:val="none" w:sz="0" w:space="0" w:color="auto"/>
        <w:left w:val="none" w:sz="0" w:space="0" w:color="auto"/>
        <w:bottom w:val="none" w:sz="0" w:space="0" w:color="auto"/>
        <w:right w:val="none" w:sz="0" w:space="0" w:color="auto"/>
      </w:divBdr>
    </w:div>
    <w:div w:id="608969553">
      <w:bodyDiv w:val="1"/>
      <w:marLeft w:val="0"/>
      <w:marRight w:val="0"/>
      <w:marTop w:val="0"/>
      <w:marBottom w:val="0"/>
      <w:divBdr>
        <w:top w:val="none" w:sz="0" w:space="0" w:color="auto"/>
        <w:left w:val="none" w:sz="0" w:space="0" w:color="auto"/>
        <w:bottom w:val="none" w:sz="0" w:space="0" w:color="auto"/>
        <w:right w:val="none" w:sz="0" w:space="0" w:color="auto"/>
      </w:divBdr>
    </w:div>
    <w:div w:id="617226997">
      <w:bodyDiv w:val="1"/>
      <w:marLeft w:val="0"/>
      <w:marRight w:val="0"/>
      <w:marTop w:val="0"/>
      <w:marBottom w:val="0"/>
      <w:divBdr>
        <w:top w:val="none" w:sz="0" w:space="0" w:color="auto"/>
        <w:left w:val="none" w:sz="0" w:space="0" w:color="auto"/>
        <w:bottom w:val="none" w:sz="0" w:space="0" w:color="auto"/>
        <w:right w:val="none" w:sz="0" w:space="0" w:color="auto"/>
      </w:divBdr>
    </w:div>
    <w:div w:id="817109662">
      <w:bodyDiv w:val="1"/>
      <w:marLeft w:val="0"/>
      <w:marRight w:val="0"/>
      <w:marTop w:val="0"/>
      <w:marBottom w:val="0"/>
      <w:divBdr>
        <w:top w:val="none" w:sz="0" w:space="0" w:color="auto"/>
        <w:left w:val="none" w:sz="0" w:space="0" w:color="auto"/>
        <w:bottom w:val="none" w:sz="0" w:space="0" w:color="auto"/>
        <w:right w:val="none" w:sz="0" w:space="0" w:color="auto"/>
      </w:divBdr>
    </w:div>
    <w:div w:id="886795807">
      <w:bodyDiv w:val="1"/>
      <w:marLeft w:val="0"/>
      <w:marRight w:val="0"/>
      <w:marTop w:val="0"/>
      <w:marBottom w:val="0"/>
      <w:divBdr>
        <w:top w:val="none" w:sz="0" w:space="0" w:color="auto"/>
        <w:left w:val="none" w:sz="0" w:space="0" w:color="auto"/>
        <w:bottom w:val="none" w:sz="0" w:space="0" w:color="auto"/>
        <w:right w:val="none" w:sz="0" w:space="0" w:color="auto"/>
      </w:divBdr>
    </w:div>
    <w:div w:id="909924317">
      <w:bodyDiv w:val="1"/>
      <w:marLeft w:val="0"/>
      <w:marRight w:val="0"/>
      <w:marTop w:val="0"/>
      <w:marBottom w:val="0"/>
      <w:divBdr>
        <w:top w:val="none" w:sz="0" w:space="0" w:color="auto"/>
        <w:left w:val="none" w:sz="0" w:space="0" w:color="auto"/>
        <w:bottom w:val="none" w:sz="0" w:space="0" w:color="auto"/>
        <w:right w:val="none" w:sz="0" w:space="0" w:color="auto"/>
      </w:divBdr>
    </w:div>
    <w:div w:id="968976283">
      <w:bodyDiv w:val="1"/>
      <w:marLeft w:val="0"/>
      <w:marRight w:val="0"/>
      <w:marTop w:val="0"/>
      <w:marBottom w:val="0"/>
      <w:divBdr>
        <w:top w:val="none" w:sz="0" w:space="0" w:color="auto"/>
        <w:left w:val="none" w:sz="0" w:space="0" w:color="auto"/>
        <w:bottom w:val="none" w:sz="0" w:space="0" w:color="auto"/>
        <w:right w:val="none" w:sz="0" w:space="0" w:color="auto"/>
      </w:divBdr>
    </w:div>
    <w:div w:id="1000960405">
      <w:bodyDiv w:val="1"/>
      <w:marLeft w:val="0"/>
      <w:marRight w:val="0"/>
      <w:marTop w:val="0"/>
      <w:marBottom w:val="0"/>
      <w:divBdr>
        <w:top w:val="none" w:sz="0" w:space="0" w:color="auto"/>
        <w:left w:val="none" w:sz="0" w:space="0" w:color="auto"/>
        <w:bottom w:val="none" w:sz="0" w:space="0" w:color="auto"/>
        <w:right w:val="none" w:sz="0" w:space="0" w:color="auto"/>
      </w:divBdr>
    </w:div>
    <w:div w:id="1056513186">
      <w:bodyDiv w:val="1"/>
      <w:marLeft w:val="0"/>
      <w:marRight w:val="0"/>
      <w:marTop w:val="0"/>
      <w:marBottom w:val="0"/>
      <w:divBdr>
        <w:top w:val="none" w:sz="0" w:space="0" w:color="auto"/>
        <w:left w:val="none" w:sz="0" w:space="0" w:color="auto"/>
        <w:bottom w:val="none" w:sz="0" w:space="0" w:color="auto"/>
        <w:right w:val="none" w:sz="0" w:space="0" w:color="auto"/>
      </w:divBdr>
    </w:div>
    <w:div w:id="1079330659">
      <w:bodyDiv w:val="1"/>
      <w:marLeft w:val="0"/>
      <w:marRight w:val="0"/>
      <w:marTop w:val="0"/>
      <w:marBottom w:val="0"/>
      <w:divBdr>
        <w:top w:val="none" w:sz="0" w:space="0" w:color="auto"/>
        <w:left w:val="none" w:sz="0" w:space="0" w:color="auto"/>
        <w:bottom w:val="none" w:sz="0" w:space="0" w:color="auto"/>
        <w:right w:val="none" w:sz="0" w:space="0" w:color="auto"/>
      </w:divBdr>
    </w:div>
    <w:div w:id="1140417497">
      <w:bodyDiv w:val="1"/>
      <w:marLeft w:val="0"/>
      <w:marRight w:val="0"/>
      <w:marTop w:val="0"/>
      <w:marBottom w:val="0"/>
      <w:divBdr>
        <w:top w:val="none" w:sz="0" w:space="0" w:color="auto"/>
        <w:left w:val="none" w:sz="0" w:space="0" w:color="auto"/>
        <w:bottom w:val="none" w:sz="0" w:space="0" w:color="auto"/>
        <w:right w:val="none" w:sz="0" w:space="0" w:color="auto"/>
      </w:divBdr>
    </w:div>
    <w:div w:id="1182671814">
      <w:bodyDiv w:val="1"/>
      <w:marLeft w:val="0"/>
      <w:marRight w:val="0"/>
      <w:marTop w:val="0"/>
      <w:marBottom w:val="0"/>
      <w:divBdr>
        <w:top w:val="none" w:sz="0" w:space="0" w:color="auto"/>
        <w:left w:val="none" w:sz="0" w:space="0" w:color="auto"/>
        <w:bottom w:val="none" w:sz="0" w:space="0" w:color="auto"/>
        <w:right w:val="none" w:sz="0" w:space="0" w:color="auto"/>
      </w:divBdr>
    </w:div>
    <w:div w:id="1211918705">
      <w:bodyDiv w:val="1"/>
      <w:marLeft w:val="0"/>
      <w:marRight w:val="0"/>
      <w:marTop w:val="0"/>
      <w:marBottom w:val="0"/>
      <w:divBdr>
        <w:top w:val="none" w:sz="0" w:space="0" w:color="auto"/>
        <w:left w:val="none" w:sz="0" w:space="0" w:color="auto"/>
        <w:bottom w:val="none" w:sz="0" w:space="0" w:color="auto"/>
        <w:right w:val="none" w:sz="0" w:space="0" w:color="auto"/>
      </w:divBdr>
    </w:div>
    <w:div w:id="1247576016">
      <w:bodyDiv w:val="1"/>
      <w:marLeft w:val="0"/>
      <w:marRight w:val="0"/>
      <w:marTop w:val="0"/>
      <w:marBottom w:val="0"/>
      <w:divBdr>
        <w:top w:val="none" w:sz="0" w:space="0" w:color="auto"/>
        <w:left w:val="none" w:sz="0" w:space="0" w:color="auto"/>
        <w:bottom w:val="none" w:sz="0" w:space="0" w:color="auto"/>
        <w:right w:val="none" w:sz="0" w:space="0" w:color="auto"/>
      </w:divBdr>
    </w:div>
    <w:div w:id="1277716144">
      <w:bodyDiv w:val="1"/>
      <w:marLeft w:val="0"/>
      <w:marRight w:val="0"/>
      <w:marTop w:val="0"/>
      <w:marBottom w:val="0"/>
      <w:divBdr>
        <w:top w:val="none" w:sz="0" w:space="0" w:color="auto"/>
        <w:left w:val="none" w:sz="0" w:space="0" w:color="auto"/>
        <w:bottom w:val="none" w:sz="0" w:space="0" w:color="auto"/>
        <w:right w:val="none" w:sz="0" w:space="0" w:color="auto"/>
      </w:divBdr>
    </w:div>
    <w:div w:id="1281763777">
      <w:bodyDiv w:val="1"/>
      <w:marLeft w:val="0"/>
      <w:marRight w:val="0"/>
      <w:marTop w:val="0"/>
      <w:marBottom w:val="0"/>
      <w:divBdr>
        <w:top w:val="none" w:sz="0" w:space="0" w:color="auto"/>
        <w:left w:val="none" w:sz="0" w:space="0" w:color="auto"/>
        <w:bottom w:val="none" w:sz="0" w:space="0" w:color="auto"/>
        <w:right w:val="none" w:sz="0" w:space="0" w:color="auto"/>
      </w:divBdr>
    </w:div>
    <w:div w:id="1317302152">
      <w:bodyDiv w:val="1"/>
      <w:marLeft w:val="0"/>
      <w:marRight w:val="0"/>
      <w:marTop w:val="0"/>
      <w:marBottom w:val="0"/>
      <w:divBdr>
        <w:top w:val="none" w:sz="0" w:space="0" w:color="auto"/>
        <w:left w:val="none" w:sz="0" w:space="0" w:color="auto"/>
        <w:bottom w:val="none" w:sz="0" w:space="0" w:color="auto"/>
        <w:right w:val="none" w:sz="0" w:space="0" w:color="auto"/>
      </w:divBdr>
    </w:div>
    <w:div w:id="1579513600">
      <w:bodyDiv w:val="1"/>
      <w:marLeft w:val="0"/>
      <w:marRight w:val="0"/>
      <w:marTop w:val="0"/>
      <w:marBottom w:val="0"/>
      <w:divBdr>
        <w:top w:val="none" w:sz="0" w:space="0" w:color="auto"/>
        <w:left w:val="none" w:sz="0" w:space="0" w:color="auto"/>
        <w:bottom w:val="none" w:sz="0" w:space="0" w:color="auto"/>
        <w:right w:val="none" w:sz="0" w:space="0" w:color="auto"/>
      </w:divBdr>
    </w:div>
    <w:div w:id="20144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urldefense.com/v3/__https:/expertforum.ro/legile-justitiei-nu-redeschideti-cutia-pandorei/__;!!DOxrgLBm!RmM33NGrFOo9Domy-Y7vDuqD82O2de0DebBR9Bxg3viWj3ULX8jek1rdkvqg7yiIbIDF$" TargetMode="External"/><Relationship Id="rId2" Type="http://schemas.openxmlformats.org/officeDocument/2006/relationships/hyperlink" Target="https://ec.europa.eu/info/sites/info/files/2018-st15187_en.pdf" TargetMode="External"/><Relationship Id="rId1" Type="http://schemas.openxmlformats.org/officeDocument/2006/relationships/hyperlink" Target="https://ec.europa.eu/info/sites/info/files/20171212-st15587_en.pdf" TargetMode="External"/><Relationship Id="rId6" Type="http://schemas.openxmlformats.org/officeDocument/2006/relationships/hyperlink" Target="https://www.csm1909.ro/PageDetails.aspx?FolderId=8305" TargetMode="External"/><Relationship Id="rId5" Type="http://schemas.openxmlformats.org/officeDocument/2006/relationships/hyperlink" Target="http://www.echr.coe.int/Documents/Guide_Art_6_ENG.pdf" TargetMode="External"/><Relationship Id="rId4" Type="http://schemas.openxmlformats.org/officeDocument/2006/relationships/hyperlink" Target="https://www.juridice.ro/wp-content/uploads/2017/10/Codul-de-conduit&#2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9CD82AE9F4544B53E33BD22FF9EE5" ma:contentTypeVersion="0" ma:contentTypeDescription="Create a new document." ma:contentTypeScope="" ma:versionID="39600c98b3a2d329912fe2cbf31810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2051-3978-4E76-A75D-F5DDA4C1FAE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91CCADF-BEF2-400D-B93E-0169FEB1AAE6}">
  <ds:schemaRefs>
    <ds:schemaRef ds:uri="http://schemas.microsoft.com/sharepoint/v3/contenttype/forms"/>
  </ds:schemaRefs>
</ds:datastoreItem>
</file>

<file path=customXml/itemProps3.xml><?xml version="1.0" encoding="utf-8"?>
<ds:datastoreItem xmlns:ds="http://schemas.openxmlformats.org/officeDocument/2006/customXml" ds:itemID="{B9951A8F-3C51-47AC-B4AD-F4C187DBA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0EA2BF-AC2A-496A-907A-D664EA82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8482</Words>
  <Characters>56665</Characters>
  <Application>Microsoft Office Word</Application>
  <DocSecurity>0</DocSecurity>
  <Lines>821</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64989</CharactersWithSpaces>
  <SharedDoc>false</SharedDoc>
  <HLinks>
    <vt:vector size="24" baseType="variant">
      <vt:variant>
        <vt:i4>3407895</vt:i4>
      </vt:variant>
      <vt:variant>
        <vt:i4>9</vt:i4>
      </vt:variant>
      <vt:variant>
        <vt:i4>0</vt:i4>
      </vt:variant>
      <vt:variant>
        <vt:i4>5</vt:i4>
      </vt:variant>
      <vt:variant>
        <vt:lpwstr>http://www.echr.coe.int/Documents/Guide_Art_6_ENG.pdf</vt:lpwstr>
      </vt:variant>
      <vt:variant>
        <vt:lpwstr/>
      </vt:variant>
      <vt:variant>
        <vt:i4>6946874</vt:i4>
      </vt:variant>
      <vt:variant>
        <vt:i4>6</vt:i4>
      </vt:variant>
      <vt:variant>
        <vt:i4>0</vt:i4>
      </vt:variant>
      <vt:variant>
        <vt:i4>5</vt:i4>
      </vt:variant>
      <vt:variant>
        <vt:lpwstr>http://ec.europa.eu/COMMFrontOffice/PublicOpinion/index.cfm/Survey/getSurveyDetail/instruments/FLASH/surveyKy/2084</vt:lpwstr>
      </vt:variant>
      <vt:variant>
        <vt:lpwstr/>
      </vt:variant>
      <vt:variant>
        <vt:i4>1441889</vt:i4>
      </vt:variant>
      <vt:variant>
        <vt:i4>3</vt:i4>
      </vt:variant>
      <vt:variant>
        <vt:i4>0</vt:i4>
      </vt:variant>
      <vt:variant>
        <vt:i4>5</vt:i4>
      </vt:variant>
      <vt:variant>
        <vt:lpwstr>https://search.coe.int/cm/Pages/result_details.aspx?ObjectId=09000016806d8adb</vt:lpwstr>
      </vt:variant>
      <vt:variant>
        <vt:lpwstr/>
      </vt:variant>
      <vt:variant>
        <vt:i4>7209018</vt:i4>
      </vt:variant>
      <vt:variant>
        <vt:i4>0</vt:i4>
      </vt:variant>
      <vt:variant>
        <vt:i4>0</vt:i4>
      </vt:variant>
      <vt:variant>
        <vt:i4>5</vt:i4>
      </vt:variant>
      <vt:variant>
        <vt:lpwstr>http://www.inscop.ro/wp-content/uploads/2016/04/INSCOP-raport-martie-2016-INCREDERE-INSTITUTII.pdf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34</cp:revision>
  <cp:lastPrinted>2021-05-05T13:18:00Z</cp:lastPrinted>
  <dcterms:created xsi:type="dcterms:W3CDTF">2021-06-04T17:14:00Z</dcterms:created>
  <dcterms:modified xsi:type="dcterms:W3CDTF">2021-06-25T18:25:00Z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Created using">
    <vt:lpwstr>LW 6.0.1, Build 20180503</vt:lpwstr>
  </property>
  <property fmtid="{D5CDD505-2E9C-101B-9397-08002B2CF9AE}" pid="8" name="CPTemplateID">
    <vt:lpwstr>CP-006</vt:lpwstr>
  </property>
  <property fmtid="{D5CDD505-2E9C-101B-9397-08002B2CF9AE}" pid="9" name="_LW_INVALIDATED__LW_INVALIDATED__LW_INVALIDATED__LW_INVALIDATED__LW_INVALIDATED__LW_INVALIDATED__LW_INVALIDATED_ContentTypeId">
    <vt:lpwstr>0x0101003709CD82AE9F4544B53E33BD22FF9EE5</vt:lpwstr>
  </property>
  <property name="OP_sanitized" fmtid="{D5CDD505-2E9C-101B-9397-08002B2CF9AE}" pid="10">
    <vt:lpwstr>True</vt:lpwstr>
  </property>
</Properties>
</file>