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0328212C-F23B-46C4-AC95-771CE1918AB7" style="width:450.5pt;height:36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keepNext/>
        <w:tabs>
          <w:tab w:val="num" w:pos="482"/>
        </w:tabs>
        <w:spacing w:before="240" w:after="240" w:line="240" w:lineRule="auto"/>
        <w:ind w:left="482" w:hanging="482"/>
        <w:jc w:val="both"/>
        <w:outlineLvl w:val="0"/>
        <w:rPr>
          <w:rFonts w:ascii="Times New Roman" w:eastAsia="Times New Roman" w:hAnsi="Times New Roman" w:cs="Times New Roman"/>
          <w:b/>
          <w:smallCaps/>
          <w:noProof/>
          <w:sz w:val="23"/>
          <w:szCs w:val="23"/>
        </w:rPr>
      </w:pPr>
      <w:bookmarkStart w:id="1" w:name="_GoBack"/>
      <w:bookmarkEnd w:id="1"/>
      <w:r>
        <w:rPr>
          <w:rFonts w:ascii="Times New Roman" w:hAnsi="Times New Roman"/>
          <w:b/>
          <w:smallCaps/>
          <w:noProof/>
          <w:sz w:val="23"/>
          <w:szCs w:val="23"/>
        </w:rPr>
        <w:lastRenderedPageBreak/>
        <w:t>1.</w:t>
      </w:r>
      <w:r>
        <w:rPr>
          <w:rFonts w:ascii="Times New Roman" w:hAnsi="Times New Roman"/>
          <w:smallCaps/>
          <w:noProof/>
          <w:sz w:val="23"/>
          <w:szCs w:val="23"/>
        </w:rPr>
        <w:tab/>
      </w:r>
      <w:r>
        <w:rPr>
          <w:rFonts w:ascii="Times New Roman" w:hAnsi="Times New Roman"/>
          <w:b/>
          <w:smallCaps/>
          <w:noProof/>
          <w:sz w:val="23"/>
          <w:szCs w:val="23"/>
        </w:rPr>
        <w:t>Ievads</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Austrumu partnerība (AP) ir Eiropas Savienības, tās dalībvalstu un Armēnijas, Azerbaidžānas, Baltkrievijas, Gruzijas, Moldovas Republikas</w:t>
      </w:r>
      <w:r>
        <w:rPr>
          <w:rStyle w:val="FootnoteReference"/>
          <w:rFonts w:ascii="Times New Roman" w:eastAsia="Times New Roman" w:hAnsi="Times New Roman" w:cs="Times New Roman"/>
          <w:noProof/>
          <w:sz w:val="23"/>
          <w:szCs w:val="23"/>
          <w:lang w:eastAsia="en-GB"/>
        </w:rPr>
        <w:footnoteReference w:id="2"/>
      </w:r>
      <w:r>
        <w:rPr>
          <w:rFonts w:ascii="Times New Roman" w:hAnsi="Times New Roman"/>
          <w:noProof/>
          <w:sz w:val="23"/>
          <w:szCs w:val="23"/>
        </w:rPr>
        <w:t xml:space="preserve"> un Ukrainas (“partnervalstis”) kopīga iniciatīva. Austrumu partnerība, kas tika uzsākta 2009. gadā, ir stratēģiska un vērienīga partnerība, kuras pamatā ir kopīgas vērtības un noteikumi, savstarpējas intereses un saistības, kā arī kopīga atbildība un pienākumi. Tās mērķis ir stiprināt un padziļināt politiskās un ekonomiskās attiecības starp ES, tās dalībvalstīm un partnervalstīm, un AP palīdz tām panākt gan ekoloģisko, gan digitālo pāreju.   Tā atbalsta daudzu globālu politikas mērķu sasniegšanu, tajā skaitā Parīzes nolīgumu par klimata pārmaiņām un ANO programmu 2030. gadam un tās ilgtspējīgas attīstības mērķus. Tā palīdz sasniegt vispārējo mērķi – palielināt ES kaimiņvalstu stabilitāti, labklājību un noturību, kā izklāstīts Eiropas Savienības ārpolitikas un drošības politikas </w:t>
      </w:r>
      <w:r>
        <w:rPr>
          <w:rFonts w:ascii="Times New Roman" w:hAnsi="Times New Roman"/>
          <w:b/>
          <w:bCs/>
          <w:noProof/>
          <w:sz w:val="23"/>
          <w:szCs w:val="23"/>
        </w:rPr>
        <w:t>globālajā stratēģijā</w:t>
      </w:r>
      <w:r>
        <w:rPr>
          <w:rStyle w:val="FootnoteReference"/>
          <w:rFonts w:ascii="Times New Roman" w:eastAsia="Times New Roman" w:hAnsi="Times New Roman" w:cs="Times New Roman"/>
          <w:noProof/>
          <w:sz w:val="23"/>
          <w:szCs w:val="23"/>
          <w:lang w:eastAsia="en-GB"/>
        </w:rPr>
        <w:footnoteReference w:id="3"/>
      </w:r>
      <w:r>
        <w:rPr>
          <w:rFonts w:ascii="Times New Roman" w:hAnsi="Times New Roman"/>
          <w:noProof/>
          <w:sz w:val="23"/>
          <w:szCs w:val="23"/>
        </w:rPr>
        <w:t xml:space="preserve"> un 2015. gada </w:t>
      </w:r>
      <w:r>
        <w:rPr>
          <w:rFonts w:ascii="Times New Roman" w:hAnsi="Times New Roman"/>
          <w:b/>
          <w:bCs/>
          <w:noProof/>
          <w:sz w:val="23"/>
          <w:szCs w:val="23"/>
        </w:rPr>
        <w:t>Eiropas kaimiņattiecību politikas pārskatā</w:t>
      </w:r>
      <w:r>
        <w:rPr>
          <w:rFonts w:ascii="Times New Roman" w:hAnsi="Times New Roman"/>
          <w:noProof/>
          <w:sz w:val="23"/>
          <w:szCs w:val="23"/>
        </w:rPr>
        <w:t xml:space="preserve">. Tā ir pilnībā saskaņota ar Eiropas Komisijas </w:t>
      </w:r>
      <w:r>
        <w:rPr>
          <w:rFonts w:ascii="Times New Roman" w:hAnsi="Times New Roman"/>
          <w:b/>
          <w:noProof/>
          <w:sz w:val="23"/>
          <w:szCs w:val="23"/>
        </w:rPr>
        <w:t>politiskajām pamatnostādnēm 2019.–2024. gadam</w:t>
      </w:r>
      <w:r>
        <w:rPr>
          <w:rStyle w:val="FootnoteReference"/>
          <w:rFonts w:ascii="Times New Roman" w:eastAsia="Times New Roman" w:hAnsi="Times New Roman" w:cs="Times New Roman"/>
          <w:noProof/>
          <w:sz w:val="23"/>
          <w:szCs w:val="23"/>
          <w:lang w:eastAsia="en-GB"/>
        </w:rPr>
        <w:footnoteReference w:id="4"/>
      </w:r>
      <w:r>
        <w:rPr>
          <w:rFonts w:ascii="Times New Roman" w:hAnsi="Times New Roman"/>
          <w:noProof/>
          <w:sz w:val="23"/>
          <w:szCs w:val="23"/>
        </w:rPr>
        <w:t>. Visbeidzot, tā atspoguļo Komisijas pieņemtās visas būtiskās pamatstratēģijas</w:t>
      </w:r>
      <w:r>
        <w:rPr>
          <w:rStyle w:val="FootnoteReference"/>
          <w:rFonts w:ascii="Times New Roman" w:eastAsia="Times New Roman" w:hAnsi="Times New Roman" w:cs="Times New Roman"/>
          <w:noProof/>
          <w:sz w:val="23"/>
          <w:szCs w:val="23"/>
          <w:lang w:eastAsia="en-GB"/>
        </w:rPr>
        <w:footnoteReference w:id="5"/>
      </w:r>
      <w:r>
        <w:rPr>
          <w:rFonts w:ascii="Times New Roman" w:hAnsi="Times New Roman"/>
          <w:noProof/>
          <w:sz w:val="23"/>
          <w:szCs w:val="23"/>
        </w:rPr>
        <w:t>.</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Gadu gaitā AP ir bijusi nozīmīga </w:t>
      </w:r>
      <w:r>
        <w:rPr>
          <w:rFonts w:ascii="Times New Roman" w:hAnsi="Times New Roman"/>
          <w:b/>
          <w:noProof/>
          <w:sz w:val="23"/>
          <w:szCs w:val="23"/>
        </w:rPr>
        <w:t>ES un partnervalstu tuvināšanā</w:t>
      </w:r>
      <w:r>
        <w:rPr>
          <w:rFonts w:ascii="Times New Roman" w:hAnsi="Times New Roman"/>
          <w:noProof/>
          <w:sz w:val="23"/>
          <w:szCs w:val="23"/>
        </w:rPr>
        <w:t>. AP samits, kas notika 2017. gada novembrī Briselē, iezīmēja jaunu pieeju, pieņemot kopīgo reformu programmu ar nosaukumu “</w:t>
      </w:r>
      <w:r>
        <w:rPr>
          <w:rFonts w:ascii="Times New Roman" w:hAnsi="Times New Roman"/>
          <w:b/>
          <w:noProof/>
          <w:sz w:val="23"/>
          <w:szCs w:val="23"/>
        </w:rPr>
        <w:t>20 mērķuzdevumi 2020. gadam</w:t>
      </w:r>
      <w:r>
        <w:rPr>
          <w:rFonts w:ascii="Times New Roman" w:hAnsi="Times New Roman"/>
          <w:noProof/>
          <w:sz w:val="23"/>
          <w:szCs w:val="23"/>
        </w:rPr>
        <w:t xml:space="preserve">”. Šis vērienīgais darba plāns bija vērsts uz to, lai gūtu taustāmus rezultātus uz vietas un </w:t>
      </w:r>
      <w:r>
        <w:rPr>
          <w:rFonts w:ascii="Times New Roman" w:hAnsi="Times New Roman"/>
          <w:b/>
          <w:noProof/>
          <w:sz w:val="23"/>
          <w:szCs w:val="23"/>
        </w:rPr>
        <w:t>uzlabotu cilvēku dzīvi</w:t>
      </w:r>
      <w:r>
        <w:rPr>
          <w:rFonts w:ascii="Times New Roman" w:hAnsi="Times New Roman"/>
          <w:noProof/>
          <w:sz w:val="23"/>
          <w:szCs w:val="23"/>
        </w:rPr>
        <w:t xml:space="preserve"> četrās galvenajās politikas jomās: 1) spēcīgāka ekonomika; 2) spēcīgāka pārvaldība; 3) spēcīgāka savienojamība un 4) spēcīgāka sabiedrība, kopā ar mērķiem transversālos jautājumos par dzimumu līdztiesību, pilsonisko sabiedrību, plašsaziņas līdzekļiem un stratēģisko komunikāciju.</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AP mērķis arī turpmāk būs veidot demokrātijas, labklājības, stabilitātes un ciešākas sadarbības telpu, pamatojoties uz kopējām vērtībām. ES ir stratēģiska interese veicināt savu globālo vadošo lomu cilvēktiesību un demokrātijas jomā ārējā darbībā, tajā skaitā saistībā ar AP.  Cilvēktiesību ievērošana ir noturīgas, iekļaujošas un demokrātiskas sabiedrības svarīgs elements. Tādēļ uzmanība joprojām tiks pievērsta neatrisinātajiem jautājumiem saistībā ar pašreizējiem mērķiem, jo īpaši tiesiskumam, cilvēktiesību aizsardzībai, cīņai pret korupciju un diskrimināciju, neatkarīgu plašsaziņas līdzekļu un pilsoniskās sabiedrības lomai, un dzimumu līdztiesības veicināšanai. ES uz stimuliem balstītā pieeja (“vairāk par vairāk” un “mazāk par mazāk”) arī turpmāk sniegs labumu tām partnervalstīm, kas visvairāk veic reformas. Turpmākā politikas pieeja Austrumu partnerībai jābalsta uz jau saskaņotiem uzdevumiem, centieniem, mērķiem, principiem un sadarbības jomām.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Turpmāka sadarbība ar AP valstīm joprojām būs viena no ES pamatprioritātēm. AP politikas atjaunotā dinamika pastiprinās šo sadarbību, uzsverot šīs savstarpēji izdevīgās sadarbības nozīmi. Tās rezultātā tiks turpmāk attīstītas politiskās attiecības ar visām austrumu partnervalstīm gan divpusējā, gan daudzpusējā veidā. Turklāt, ņemot vērā AP reģiona ģeogrāfisko atrašanās vietu starp Eiropas Savienību, Āziju un plašāku kaimiņreģionu, tas sniedz lielāku vērtību ES ārpolitikai, jo īpaši ņemot vērā atšķirīgās ekonomiskās, sociālās un stratēģiskās saiknes ar kaimiņvalstīm. Citu reģionālo un globālo lielvaru klātbūtne un intereses, kā arī kultūras un ģeogrāfiskās saiknes ar Vidusāziju dod papildu iespējas veidot savstarpēji izdevīgas saiknes ar plašāku kaimiņreģionu. ES darbības šajā reģionā tiek </w:t>
      </w:r>
      <w:r>
        <w:rPr>
          <w:rFonts w:ascii="Times New Roman" w:hAnsi="Times New Roman"/>
          <w:noProof/>
          <w:sz w:val="23"/>
          <w:szCs w:val="23"/>
        </w:rPr>
        <w:lastRenderedPageBreak/>
        <w:t>papildinātas ar citiem politikas virzieniem un iniciatīvām, piemēram, Ziemeļu dimensiju un Melnās jūras reģiona sinerģiju.</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Eiropas Komisija 2019. gada maijā sāka apspriešanos par AP nākotni. Eiropadome šo pieeju apstiprināja 2019. gada jūnijā.</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Apspriešanās notika līdz 2019. gada oktobra beigām. Tā bija plaša un iekļaujoša, un tajā tika apkopoti vairāk nekā 200 rakstisku komentāru, tajā skaitā AP strukturētās apspriešanās tīmekļa lapā. Viedokļus iesniedza gandrīz visas ES dalībvalstis un visas partnervalstis, kā arī Eiropas Parlaments, Eiropas Ekonomikas un sociālo lietu komiteja un Reģionu komiteja. Citi dalībnieki bija Eiropas Investīciju banka, Eiropas Rekonstrukcijas un attīstības banka un citas starptautiskas finanšu iestādes, un plašs ieinteresēto personu loks, piemēram, pilsoniskās sabiedrības organizācijas (tajā skaitā Austrumu partnerības pilsoniskās sabiedrības forums), domnīcas, akadēmiskās iestādes un uzņēmēju organizācijas. Tika ņemti vērā Austrumu partnerības Jaunatnes foruma un Jauno Eiropas vēstnieku ieteikumi.</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Šis kopīgais paziņojums balstās arī uz atsauksmēm, kas saņemtas </w:t>
      </w:r>
      <w:r>
        <w:rPr>
          <w:rFonts w:ascii="Times New Roman" w:hAnsi="Times New Roman"/>
          <w:b/>
          <w:bCs/>
          <w:noProof/>
          <w:sz w:val="23"/>
          <w:szCs w:val="23"/>
        </w:rPr>
        <w:t>apspriešanās laikā katrā no sešām partnervalstīm</w:t>
      </w:r>
      <w:r>
        <w:rPr>
          <w:rFonts w:ascii="Times New Roman" w:hAnsi="Times New Roman"/>
          <w:noProof/>
          <w:sz w:val="23"/>
          <w:szCs w:val="23"/>
        </w:rPr>
        <w:t xml:space="preserve"> un daudzās ES dalībvalstīs. Tika apsvērtas arī platformās notikušās diskusijas un paneļdiskusijas par pašreizējo AP struktūru un saistītām sanāksmēm.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Kopumā pastāv plaša vienprātība par to, ka </w:t>
      </w:r>
      <w:r>
        <w:rPr>
          <w:rFonts w:ascii="Times New Roman" w:hAnsi="Times New Roman"/>
          <w:b/>
          <w:noProof/>
          <w:sz w:val="23"/>
          <w:szCs w:val="23"/>
        </w:rPr>
        <w:t>pašreizējais AP politikas satvars ir stabils un sniedz taustāmus rezultātus cilvēkiem</w:t>
      </w:r>
      <w:r>
        <w:rPr>
          <w:rFonts w:ascii="Times New Roman" w:hAnsi="Times New Roman"/>
          <w:noProof/>
          <w:sz w:val="23"/>
          <w:szCs w:val="23"/>
        </w:rPr>
        <w:t xml:space="preserve">. Kopīgajā paziņojumā izklāstīts, kā risināt </w:t>
      </w:r>
      <w:r>
        <w:rPr>
          <w:rFonts w:ascii="Times New Roman" w:hAnsi="Times New Roman"/>
          <w:b/>
          <w:noProof/>
          <w:sz w:val="23"/>
          <w:szCs w:val="23"/>
        </w:rPr>
        <w:t>kopīgas problēmas</w:t>
      </w:r>
      <w:r>
        <w:rPr>
          <w:rFonts w:ascii="Times New Roman" w:hAnsi="Times New Roman"/>
          <w:noProof/>
          <w:sz w:val="23"/>
          <w:szCs w:val="23"/>
        </w:rPr>
        <w:t xml:space="preserve"> un kā ES turpmāk sadarbosies ar partnervalstīm dažādās politikas jomās. Pamatojoties uz apspriešanās rezultātiem, šajā dokumentā izklāstīti jaunie </w:t>
      </w:r>
      <w:r>
        <w:rPr>
          <w:rFonts w:ascii="Times New Roman" w:hAnsi="Times New Roman"/>
          <w:b/>
          <w:noProof/>
          <w:sz w:val="23"/>
          <w:szCs w:val="23"/>
        </w:rPr>
        <w:t>ilgtermiņa politikas mērķi Austrumu partnerībai pēc 2020. gada</w:t>
      </w:r>
      <w:r>
        <w:rPr>
          <w:rFonts w:ascii="Times New Roman" w:hAnsi="Times New Roman"/>
          <w:noProof/>
          <w:sz w:val="23"/>
          <w:szCs w:val="23"/>
        </w:rPr>
        <w:t xml:space="preserve"> un aprakstīti pasākumi, kuru mērķis ir </w:t>
      </w:r>
      <w:r>
        <w:rPr>
          <w:rFonts w:ascii="Times New Roman" w:hAnsi="Times New Roman"/>
          <w:b/>
          <w:noProof/>
          <w:sz w:val="23"/>
          <w:szCs w:val="23"/>
        </w:rPr>
        <w:t>stiprināt noturību, veicināt ilgtspējīgu attīstību un sniegt taustāmus rezultātus sabiedrībai</w:t>
      </w:r>
      <w:r>
        <w:rPr>
          <w:rFonts w:ascii="Times New Roman" w:hAnsi="Times New Roman"/>
          <w:noProof/>
          <w:sz w:val="23"/>
          <w:szCs w:val="23"/>
        </w:rPr>
        <w:t>.</w:t>
      </w:r>
    </w:p>
    <w:p>
      <w:pPr>
        <w:tabs>
          <w:tab w:val="left" w:pos="567"/>
        </w:tabs>
        <w:spacing w:after="240" w:line="240" w:lineRule="auto"/>
        <w:jc w:val="both"/>
        <w:rPr>
          <w:rFonts w:ascii="Times New Roman" w:eastAsia="Times New Roman" w:hAnsi="Times New Roman" w:cs="Times New Roman"/>
          <w:b/>
          <w:smallCaps/>
          <w:noProof/>
          <w:sz w:val="23"/>
          <w:szCs w:val="23"/>
        </w:rPr>
      </w:pPr>
      <w:r>
        <w:rPr>
          <w:rFonts w:ascii="Times New Roman" w:hAnsi="Times New Roman"/>
          <w:b/>
          <w:smallCaps/>
          <w:noProof/>
          <w:sz w:val="23"/>
          <w:szCs w:val="23"/>
        </w:rPr>
        <w:t>2.</w:t>
      </w:r>
      <w:r>
        <w:rPr>
          <w:rFonts w:ascii="Times New Roman" w:hAnsi="Times New Roman"/>
          <w:b/>
          <w:smallCaps/>
          <w:noProof/>
          <w:sz w:val="23"/>
          <w:szCs w:val="23"/>
        </w:rPr>
        <w:tab/>
        <w:t xml:space="preserve">Austrumu partnerības galvenie sasniegumi </w:t>
      </w:r>
    </w:p>
    <w:p>
      <w:pPr>
        <w:spacing w:after="240" w:line="240" w:lineRule="auto"/>
        <w:jc w:val="both"/>
        <w:rPr>
          <w:rFonts w:ascii="Times New Roman" w:eastAsia="Times New Roman" w:hAnsi="Times New Roman" w:cs="Times New Roman"/>
          <w:bCs/>
          <w:noProof/>
          <w:sz w:val="23"/>
          <w:szCs w:val="23"/>
        </w:rPr>
      </w:pPr>
      <w:r>
        <w:rPr>
          <w:rFonts w:ascii="Times New Roman" w:hAnsi="Times New Roman"/>
          <w:noProof/>
          <w:sz w:val="23"/>
          <w:szCs w:val="23"/>
        </w:rPr>
        <w:t xml:space="preserve">ES dalībvalstis un partnervalstis 2015. gadā atzinīgi novērtēja </w:t>
      </w:r>
      <w:r>
        <w:rPr>
          <w:rFonts w:ascii="Times New Roman" w:hAnsi="Times New Roman"/>
          <w:b/>
          <w:noProof/>
          <w:sz w:val="23"/>
          <w:szCs w:val="23"/>
        </w:rPr>
        <w:t>Eiropas kaimiņattiecību</w:t>
      </w:r>
      <w:r>
        <w:rPr>
          <w:rFonts w:ascii="Times New Roman" w:hAnsi="Times New Roman"/>
          <w:noProof/>
          <w:sz w:val="23"/>
          <w:szCs w:val="23"/>
        </w:rPr>
        <w:t xml:space="preserve"> politikas pārskatīšanu saistībā ar ES globālo stratēģiju.</w:t>
      </w:r>
      <w:r>
        <w:rPr>
          <w:rFonts w:ascii="Times New Roman" w:hAnsi="Times New Roman"/>
          <w:bCs/>
          <w:noProof/>
          <w:sz w:val="23"/>
          <w:szCs w:val="23"/>
        </w:rPr>
        <w:t xml:space="preserve"> Tās aicināja nodrošināt lielāku </w:t>
      </w:r>
      <w:r>
        <w:rPr>
          <w:rFonts w:ascii="Times New Roman" w:hAnsi="Times New Roman"/>
          <w:b/>
          <w:bCs/>
          <w:noProof/>
          <w:sz w:val="23"/>
          <w:szCs w:val="23"/>
        </w:rPr>
        <w:t>diferenciāciju</w:t>
      </w:r>
      <w:r>
        <w:rPr>
          <w:rFonts w:ascii="Times New Roman" w:hAnsi="Times New Roman"/>
          <w:bCs/>
          <w:noProof/>
          <w:sz w:val="23"/>
          <w:szCs w:val="23"/>
        </w:rPr>
        <w:t xml:space="preserve">, lielāku </w:t>
      </w:r>
      <w:r>
        <w:rPr>
          <w:rFonts w:ascii="Times New Roman" w:hAnsi="Times New Roman"/>
          <w:b/>
          <w:bCs/>
          <w:noProof/>
          <w:sz w:val="23"/>
          <w:szCs w:val="23"/>
        </w:rPr>
        <w:t>līdzdalību</w:t>
      </w:r>
      <w:r>
        <w:rPr>
          <w:rFonts w:ascii="Times New Roman" w:hAnsi="Times New Roman"/>
          <w:bCs/>
          <w:noProof/>
          <w:sz w:val="23"/>
          <w:szCs w:val="23"/>
        </w:rPr>
        <w:t xml:space="preserve">, lielāku </w:t>
      </w:r>
      <w:r>
        <w:rPr>
          <w:rFonts w:ascii="Times New Roman" w:hAnsi="Times New Roman"/>
          <w:b/>
          <w:bCs/>
          <w:noProof/>
          <w:sz w:val="23"/>
          <w:szCs w:val="23"/>
        </w:rPr>
        <w:t>uzmanību</w:t>
      </w:r>
      <w:r>
        <w:rPr>
          <w:rFonts w:ascii="Times New Roman" w:hAnsi="Times New Roman"/>
          <w:bCs/>
          <w:noProof/>
          <w:sz w:val="23"/>
          <w:szCs w:val="23"/>
        </w:rPr>
        <w:t xml:space="preserve"> un lielāku </w:t>
      </w:r>
      <w:r>
        <w:rPr>
          <w:rFonts w:ascii="Times New Roman" w:hAnsi="Times New Roman"/>
          <w:b/>
          <w:bCs/>
          <w:noProof/>
          <w:sz w:val="23"/>
          <w:szCs w:val="23"/>
        </w:rPr>
        <w:t>elastību</w:t>
      </w:r>
      <w:r>
        <w:rPr>
          <w:rFonts w:ascii="Times New Roman" w:hAnsi="Times New Roman"/>
          <w:bCs/>
          <w:noProof/>
          <w:sz w:val="23"/>
          <w:szCs w:val="23"/>
        </w:rPr>
        <w:t>. Apspriešanās parādīja, ka AP ir guvusi plašus panākumus šo mērķu sasniegšanā.</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Attiecībā uz </w:t>
      </w:r>
      <w:r>
        <w:rPr>
          <w:rFonts w:ascii="Times New Roman" w:hAnsi="Times New Roman"/>
          <w:b/>
          <w:noProof/>
          <w:sz w:val="23"/>
          <w:szCs w:val="23"/>
        </w:rPr>
        <w:t>diferenciāciju</w:t>
      </w:r>
      <w:r>
        <w:rPr>
          <w:rFonts w:ascii="Times New Roman" w:hAnsi="Times New Roman"/>
          <w:noProof/>
          <w:sz w:val="23"/>
          <w:szCs w:val="23"/>
        </w:rPr>
        <w:t xml:space="preserve"> partnerība ir attīstījusies atbilstoši katra partnera interesēm, mērķiem un progresam. Pastāv jauni, tālejoši politiski un ekonomiski divpusēji nolīgumi starp ES un atsevišķām partnervalstīm. Attiecības ar Gruziju, Moldovu un Ukrainu nosaka asociācijas nolīgumi un padziļinātas un visaptverošas brīvās tirdzniecības zonas (</w:t>
      </w:r>
      <w:r>
        <w:rPr>
          <w:rFonts w:ascii="Times New Roman" w:hAnsi="Times New Roman"/>
          <w:i/>
          <w:noProof/>
          <w:sz w:val="23"/>
          <w:szCs w:val="23"/>
        </w:rPr>
        <w:t>DCFTA</w:t>
      </w:r>
      <w:r>
        <w:rPr>
          <w:rFonts w:ascii="Times New Roman" w:hAnsi="Times New Roman"/>
          <w:noProof/>
          <w:sz w:val="23"/>
          <w:szCs w:val="23"/>
        </w:rPr>
        <w:t>). Lai nodrošinātu šo vērienīgo nolīgumu pilnīgu īstenošanu, šīs trīs valstis vienojās noteikt “asociācijas programmas” īstermiņa un vidēja termiņa sadarbības prioritātēm. Starp ES un šīm valstīm ir ieviesti bezvīzu režīmi, lai atvieglotu cilvēku pārvietošanos pāri robežām. Visas trīs valstis ir pilnībā ieviesušas atpakaļuzņemšanas nolīgumus.</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Visaptverošs un uzlabots partnerības nolīgums veido pamatu ES attiecībām ar Armēniju, un notiek sarunas par jaunu nolīgumu ar Azerbaidžānu. Sadarbība ar šīm divām valstīm balstās uz saskaņotām partnerības prioritātēm. Nozaru dialogi veicina attiecības ar Baltkrieviju, kamēr notiek sarunas par partnerības prioritātēm. Vīzu režīma atvieglošanas un atpakaļuzņemšanas nolīgumi, kas noslēgti ar Armēniju, Azerbaidžānu un Baltkrieviju, ir bijuši būtiski, lai atvieglotu ceļošanu šo valstu iedzīvotājiem.</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ir </w:t>
      </w:r>
      <w:r>
        <w:rPr>
          <w:rFonts w:ascii="Times New Roman" w:hAnsi="Times New Roman"/>
          <w:b/>
          <w:noProof/>
          <w:sz w:val="23"/>
          <w:szCs w:val="23"/>
        </w:rPr>
        <w:t>mainījusi</w:t>
      </w:r>
      <w:r>
        <w:rPr>
          <w:rFonts w:ascii="Times New Roman" w:hAnsi="Times New Roman"/>
          <w:noProof/>
          <w:sz w:val="23"/>
          <w:szCs w:val="23"/>
        </w:rPr>
        <w:t xml:space="preserve"> sadarbības veidu ar partnervalstīm, lai veicinātu to lielāku </w:t>
      </w:r>
      <w:r>
        <w:rPr>
          <w:rFonts w:ascii="Times New Roman" w:hAnsi="Times New Roman"/>
          <w:b/>
          <w:noProof/>
          <w:sz w:val="23"/>
          <w:szCs w:val="23"/>
        </w:rPr>
        <w:t>līdzdalību</w:t>
      </w:r>
      <w:r>
        <w:rPr>
          <w:rFonts w:ascii="Times New Roman" w:hAnsi="Times New Roman"/>
          <w:noProof/>
          <w:sz w:val="23"/>
          <w:szCs w:val="23"/>
        </w:rPr>
        <w:t xml:space="preserve">. Lai palielinātu ietekmi, ES ir pārgājusi no finansiālās palīdzības, kas balstīta uz projektiem, uz atbalstu patiesi pārveidojošu </w:t>
      </w:r>
      <w:r>
        <w:rPr>
          <w:rFonts w:ascii="Times New Roman" w:hAnsi="Times New Roman"/>
          <w:b/>
          <w:noProof/>
          <w:sz w:val="23"/>
          <w:szCs w:val="23"/>
        </w:rPr>
        <w:t>reformu politikai</w:t>
      </w:r>
      <w:r>
        <w:rPr>
          <w:rFonts w:ascii="Times New Roman" w:hAnsi="Times New Roman"/>
          <w:noProof/>
          <w:sz w:val="23"/>
          <w:szCs w:val="23"/>
        </w:rPr>
        <w:t>. Šī jaunā pieeja ir devusi taustāmus ieguvumus cilvēkiem, piemēram, atbalstot decentralizāciju Ukrainā un augsta līmeņa energoefektivitātes iniciatīvas Armēnijā, Gruzijā un Ukrainā.</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ir pastiprinājusi sadarbību ar partnervalstu pārstāvjiem, kas ir atbildīgi par reformām. Kopā ar valstu iestādēm ES un tās dalībvalstis ir veikušas svarīgus pasākumus, lai pēc iespējas nodrošinātu </w:t>
      </w:r>
      <w:r>
        <w:rPr>
          <w:rFonts w:ascii="Times New Roman" w:hAnsi="Times New Roman"/>
          <w:b/>
          <w:noProof/>
          <w:sz w:val="23"/>
          <w:szCs w:val="23"/>
        </w:rPr>
        <w:t>kopīgu plānošanu</w:t>
      </w:r>
      <w:r>
        <w:rPr>
          <w:rFonts w:ascii="Times New Roman" w:hAnsi="Times New Roman"/>
          <w:noProof/>
          <w:sz w:val="23"/>
          <w:szCs w:val="23"/>
        </w:rPr>
        <w:t>. Tas garantē efektīvāku kolektīvu reaģēšanu uz partnervalstu vajadzībām, padarot sadarbību mazāk sadrumstalotu un tādējādi saskaņotāku un iedarbīgāku. Veiksmīgas kopīgas rīcības piemēri ir Ukraina un Moldova.</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ir pastiprinājusi stratēģisko sadarbību ar </w:t>
      </w:r>
      <w:r>
        <w:rPr>
          <w:rFonts w:ascii="Times New Roman" w:hAnsi="Times New Roman"/>
          <w:b/>
          <w:noProof/>
          <w:sz w:val="23"/>
          <w:szCs w:val="23"/>
        </w:rPr>
        <w:t>starptautiskajām finanšu iestādēm</w:t>
      </w:r>
      <w:r>
        <w:rPr>
          <w:rFonts w:ascii="Times New Roman" w:hAnsi="Times New Roman"/>
          <w:noProof/>
          <w:sz w:val="23"/>
          <w:szCs w:val="23"/>
        </w:rPr>
        <w:t xml:space="preserve"> (SFI). Izmantojot valstu, reģionālos un nozaru dialogus, ES un SFI ir sniegušas būtisku atbalstu maziem un vidējiem uzņēmumiem (MVU) un “zaļās” investīcijas energoefektivitātē un pašvaldību infrastruktūrā, tādējādi samazinot enerģijas patēriņu, piesārņojumu un siltumnīcefekta gāzu emisijas un stiprinot vides un klimata noturību visā reģionā.</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Sadarbībai ar pilsonisko sabiedrību ir bijusi izšķiroša nozīme efektīvu reformu nodrošināšanā, jo tā ir palielinājusi sabiedrības pārskatatbildību, uzlabojusi cilvēktiesības un vietējo attīstību un nodrošinājusi pakalpojumu sniegšanu visiem iedzīvotājiem, tajā skaitā neaizsargātām grupām. ES ir bijusi nozīmīga loma, atbalstot pilsoniskās sabiedrības ieguldījumu, kas savukārt ir virzījis sociālo inovāciju un palīdzējis veidot reformu koalīcijas valsts, reģionālā un vietējā līmenī.</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Apspriešanās laikā saņemtajās atbildēs uzsvērts, cik svarīga ir lielākas </w:t>
      </w:r>
      <w:r>
        <w:rPr>
          <w:rFonts w:ascii="Times New Roman" w:hAnsi="Times New Roman"/>
          <w:b/>
          <w:noProof/>
          <w:sz w:val="23"/>
          <w:szCs w:val="23"/>
        </w:rPr>
        <w:t>uzmanības</w:t>
      </w:r>
      <w:r>
        <w:rPr>
          <w:rFonts w:ascii="Times New Roman" w:hAnsi="Times New Roman"/>
          <w:noProof/>
          <w:sz w:val="23"/>
          <w:szCs w:val="23"/>
        </w:rPr>
        <w:t xml:space="preserve"> pievēršana kopējā politikā. “20 mērķuzdevumi 2020. gadam”, ko ES dalībvalstis un partnervalstis apstiprināja 2017. gada novembrī notikušajā AP samitā, nosaka kopīgu, uz rezultātiem orientētu darba kārtību, lai pievērstu vairāk uzmanības sadarbībai.</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Jaunajā Eiropas kaimiņattiecību politikā uzsvērta vajadzība pēc lielākas </w:t>
      </w:r>
      <w:r>
        <w:rPr>
          <w:rFonts w:ascii="Times New Roman" w:hAnsi="Times New Roman"/>
          <w:b/>
          <w:noProof/>
          <w:sz w:val="23"/>
          <w:szCs w:val="23"/>
        </w:rPr>
        <w:t>elastības</w:t>
      </w:r>
      <w:r>
        <w:rPr>
          <w:rFonts w:ascii="Times New Roman" w:hAnsi="Times New Roman"/>
          <w:noProof/>
          <w:sz w:val="23"/>
          <w:szCs w:val="23"/>
        </w:rPr>
        <w:t>, lai ES un partnervalstis varētu reaģēt uz pastāvīgi mainīgajām vajadzībām un apstākļiem. Lai palielinātu atbalstu un ietekmi, ES ir: i) pastiprinājusi sadarbību ar SFI, izmantojot ārējo investīciju plānu un strukturālo reformu mehānismu; ii) modernizējusi un stratēģiski saskaņojusi savus tehniskās palīdzības instrumentus (</w:t>
      </w:r>
      <w:r>
        <w:rPr>
          <w:rFonts w:ascii="Times New Roman" w:hAnsi="Times New Roman"/>
          <w:i/>
          <w:noProof/>
          <w:sz w:val="23"/>
          <w:szCs w:val="23"/>
        </w:rPr>
        <w:t>TAIEX</w:t>
      </w:r>
      <w:r>
        <w:rPr>
          <w:rFonts w:ascii="Times New Roman" w:hAnsi="Times New Roman"/>
          <w:noProof/>
          <w:sz w:val="23"/>
          <w:szCs w:val="23"/>
        </w:rPr>
        <w:t xml:space="preserve"> un mērķsadarbība) individuāli pielāgotam atbalstam un iii) pielāgojusi savas institucionālās struktūras reaģēšanai uz jaunām problēmām. Piemēram, “Ukrainas atbalsta grupa” ir unikāla struktūra, kas apvieno Eiropas Komisijas un ES dalībvalstu zināšanas, lai risinātu valsts galvenās problēmas. “EĀDD Austrumu stratēģiskās komunikācijas darba grupa”, kas izveidota pēc Eiropadomes 2015. gada marta secinājumiem par dezinformācijas apkarošanu, arī ir palīdzējusi ES komunikāciju un zīmolradi reģionā padarīt stratēģisku un ietekmīgu.</w:t>
      </w:r>
    </w:p>
    <w:p>
      <w:pPr>
        <w:keepNext/>
        <w:tabs>
          <w:tab w:val="num" w:pos="426"/>
        </w:tabs>
        <w:spacing w:before="240" w:after="240" w:line="240" w:lineRule="auto"/>
        <w:ind w:left="482" w:hanging="482"/>
        <w:jc w:val="both"/>
        <w:outlineLvl w:val="0"/>
        <w:rPr>
          <w:rFonts w:ascii="Times New Roman" w:eastAsia="Times New Roman" w:hAnsi="Times New Roman" w:cs="Times New Roman"/>
          <w:b/>
          <w:smallCaps/>
          <w:noProof/>
          <w:sz w:val="23"/>
          <w:szCs w:val="23"/>
        </w:rPr>
      </w:pPr>
      <w:r>
        <w:rPr>
          <w:rFonts w:ascii="Times New Roman" w:hAnsi="Times New Roman"/>
          <w:b/>
          <w:smallCaps/>
          <w:noProof/>
          <w:sz w:val="23"/>
          <w:szCs w:val="23"/>
        </w:rPr>
        <w:t>3.</w:t>
      </w:r>
      <w:r>
        <w:rPr>
          <w:rFonts w:ascii="Times New Roman" w:hAnsi="Times New Roman"/>
          <w:smallCaps/>
          <w:noProof/>
          <w:sz w:val="23"/>
          <w:szCs w:val="23"/>
        </w:rPr>
        <w:tab/>
      </w:r>
      <w:r>
        <w:rPr>
          <w:rFonts w:ascii="Times New Roman" w:hAnsi="Times New Roman"/>
          <w:b/>
          <w:smallCaps/>
          <w:noProof/>
          <w:sz w:val="23"/>
          <w:szCs w:val="23"/>
        </w:rPr>
        <w:t xml:space="preserve">Turpmākā politikas pieeja Austrumu partnerībai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Apspriešanās liecina, ka pastāv stingra vienprātība par to, ka “20 mērķuzdevumi 2020. gadam” dod taustāmus rezultātus sabiedrībai. Tie ir radījuši pārmaiņas trijās no četrām prioritārajām jomām, proti, </w:t>
      </w:r>
      <w:r>
        <w:rPr>
          <w:rFonts w:ascii="Times New Roman" w:hAnsi="Times New Roman"/>
          <w:b/>
          <w:bCs/>
          <w:noProof/>
          <w:sz w:val="23"/>
          <w:szCs w:val="23"/>
        </w:rPr>
        <w:t>spēcīgāka ekonomika, spēcīgāka savienojamība un spēcīgāka sabiedrība</w:t>
      </w:r>
      <w:r>
        <w:rPr>
          <w:rFonts w:ascii="Times New Roman" w:hAnsi="Times New Roman"/>
          <w:noProof/>
          <w:sz w:val="23"/>
          <w:szCs w:val="23"/>
        </w:rPr>
        <w:t xml:space="preserve">. Attiecībā uz </w:t>
      </w:r>
      <w:r>
        <w:rPr>
          <w:rFonts w:ascii="Times New Roman" w:hAnsi="Times New Roman"/>
          <w:b/>
          <w:bCs/>
          <w:noProof/>
          <w:sz w:val="23"/>
          <w:szCs w:val="23"/>
        </w:rPr>
        <w:t>spēcīgāku pārvaldību</w:t>
      </w:r>
      <w:r>
        <w:rPr>
          <w:rFonts w:ascii="Times New Roman" w:hAnsi="Times New Roman"/>
          <w:noProof/>
          <w:sz w:val="23"/>
          <w:szCs w:val="23"/>
        </w:rPr>
        <w:t xml:space="preserve"> sākotnējie sasniegumi ietver “vienotos kontaktpunktus”, kas nodrošina efektīvus un pieejamus sabiedriskos pakalpojumus, un e-aktīvu deklarācijas sistēmas lielākajā daļā partnervalstu.</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dalībvalstis, lielākā daļa partnervalstu un pilsoniskā sabiedrība uzsver </w:t>
      </w:r>
      <w:r>
        <w:rPr>
          <w:rFonts w:ascii="Times New Roman" w:hAnsi="Times New Roman"/>
          <w:b/>
          <w:bCs/>
          <w:noProof/>
          <w:sz w:val="23"/>
          <w:szCs w:val="23"/>
        </w:rPr>
        <w:t>nepieciešamību būtiski uzlabot rezultātus pārvaldības jomā, jo īpaši tiesiskumu, cīņu pret korupciju un organizēto noziedzību, kā arī neatkarīgu plašsaziņas līdzekļu un pilsoniskās sabiedrības lomu</w:t>
      </w:r>
      <w:r>
        <w:rPr>
          <w:rFonts w:ascii="Times New Roman" w:hAnsi="Times New Roman"/>
          <w:noProof/>
          <w:sz w:val="23"/>
          <w:szCs w:val="23"/>
        </w:rPr>
        <w:t xml:space="preserve">. Progress pārvaldības jomā ir tieši saistīts ar ilgtspējīgu ekonomikas attīstību. </w:t>
      </w:r>
      <w:r>
        <w:rPr>
          <w:rFonts w:ascii="Times New Roman" w:hAnsi="Times New Roman"/>
          <w:b/>
          <w:noProof/>
          <w:sz w:val="23"/>
          <w:szCs w:val="23"/>
        </w:rPr>
        <w:t>Juridiskā noteiktība un funkcionējošas demokrātiskas iestādes ir būtiskas, lai piesaistītu investīcijas, atbalstītu politisko stabilitāti un tiesiskuma reformas un veicinātu sociālekonomisko integrāciju.</w:t>
      </w:r>
      <w:r>
        <w:rPr>
          <w:rFonts w:ascii="Times New Roman" w:hAnsi="Times New Roman"/>
          <w:noProof/>
          <w:sz w:val="23"/>
          <w:szCs w:val="23"/>
        </w:rPr>
        <w:t xml:space="preserve"> Tāpēc turpmākajā politikā tiks nostiprināta uz rezultātiem orientēta darba kārtība, ko atbalsta profesionāli neatkarīga, kvalitatīva </w:t>
      </w:r>
      <w:r>
        <w:rPr>
          <w:rFonts w:ascii="Times New Roman" w:hAnsi="Times New Roman"/>
          <w:b/>
          <w:noProof/>
          <w:sz w:val="23"/>
          <w:szCs w:val="23"/>
        </w:rPr>
        <w:t>oficiālā statistika</w:t>
      </w:r>
      <w:r>
        <w:rPr>
          <w:rFonts w:ascii="Times New Roman" w:hAnsi="Times New Roman"/>
          <w:noProof/>
          <w:sz w:val="23"/>
          <w:szCs w:val="23"/>
        </w:rPr>
        <w:t>, kas ļaus uzraudzīt progresu un atbalstīt uz pierādījumiem balstītu lēmumu pieņemšanu.</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Uz </w:t>
      </w:r>
      <w:r>
        <w:rPr>
          <w:rFonts w:ascii="Times New Roman" w:hAnsi="Times New Roman"/>
          <w:b/>
          <w:noProof/>
          <w:sz w:val="23"/>
          <w:szCs w:val="23"/>
        </w:rPr>
        <w:t>stimuliem balstītai pieejai</w:t>
      </w:r>
      <w:r>
        <w:rPr>
          <w:rFonts w:ascii="Times New Roman" w:hAnsi="Times New Roman"/>
          <w:noProof/>
          <w:sz w:val="23"/>
          <w:szCs w:val="23"/>
        </w:rPr>
        <w:t xml:space="preserve"> ir vajadzīgi skaidrāki norādījumi par konkrētām reformu prioritātēm ar objektīviem, precīziem, detalizētiem un pārbaudāmiem kritērijiem. Sekmīgām reformām vajadzētu novest pie lielāka finansējuma un investīcijām. Nopietnai vai ilgstošai stagnācijai vai pat regresam reformu īstenošanā vajadzētu novest pie tā, ka tiek samazināts ES finansējums, izņemot atbalstu pilsoniskajai sabiedrībai.</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Apspriešanās parādīja visu partnervalstu vēlmi </w:t>
      </w:r>
      <w:r>
        <w:rPr>
          <w:rFonts w:ascii="Times New Roman" w:hAnsi="Times New Roman"/>
          <w:b/>
          <w:bCs/>
          <w:noProof/>
          <w:sz w:val="23"/>
          <w:szCs w:val="23"/>
        </w:rPr>
        <w:t>vēl vairāk pielāgot partnerību katras partnervalsts interesēm, mērķiem un progresam</w:t>
      </w:r>
      <w:r>
        <w:rPr>
          <w:rFonts w:ascii="Times New Roman" w:hAnsi="Times New Roman"/>
          <w:noProof/>
          <w:sz w:val="23"/>
          <w:szCs w:val="23"/>
        </w:rPr>
        <w:t>. Asociētās valstis sagaida, ka varēs piedalīties kopīgās iniciatīvās par jautājumiem, uz kuriem attiecas asociācijas nolīgumi un padziļinātas un visaptverošas brīvās tirdzniecības zonas, lai pilnībā izmantotu to potenciālu.</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Divpusēja sadarbība</w:t>
      </w:r>
      <w:r>
        <w:rPr>
          <w:rFonts w:ascii="Times New Roman" w:hAnsi="Times New Roman"/>
          <w:noProof/>
          <w:sz w:val="23"/>
          <w:szCs w:val="23"/>
        </w:rPr>
        <w:t xml:space="preserve"> joprojām ir </w:t>
      </w:r>
      <w:r>
        <w:rPr>
          <w:rFonts w:ascii="Times New Roman" w:hAnsi="Times New Roman"/>
          <w:b/>
          <w:bCs/>
          <w:noProof/>
          <w:sz w:val="23"/>
          <w:szCs w:val="23"/>
        </w:rPr>
        <w:t>galvenais veids, kā nodrošināt individuāli pielāgotu pieeju</w:t>
      </w:r>
      <w:r>
        <w:rPr>
          <w:rFonts w:ascii="Times New Roman" w:hAnsi="Times New Roman"/>
          <w:noProof/>
          <w:sz w:val="23"/>
          <w:szCs w:val="23"/>
        </w:rPr>
        <w:t xml:space="preserve">. Divpusēju nolīgumu īstenošana tiks paātrināta un papildināta ar </w:t>
      </w:r>
      <w:r>
        <w:rPr>
          <w:rFonts w:ascii="Times New Roman" w:hAnsi="Times New Roman"/>
          <w:b/>
          <w:bCs/>
          <w:noProof/>
          <w:sz w:val="23"/>
          <w:szCs w:val="23"/>
        </w:rPr>
        <w:t>ciešāku nozaru sadarbību</w:t>
      </w:r>
      <w:r>
        <w:rPr>
          <w:rFonts w:ascii="Times New Roman" w:hAnsi="Times New Roman"/>
          <w:noProof/>
          <w:sz w:val="23"/>
          <w:szCs w:val="23"/>
        </w:rPr>
        <w:t xml:space="preserve"> un </w:t>
      </w:r>
      <w:r>
        <w:rPr>
          <w:rFonts w:ascii="Times New Roman" w:hAnsi="Times New Roman"/>
          <w:b/>
          <w:bCs/>
          <w:noProof/>
          <w:sz w:val="23"/>
          <w:szCs w:val="23"/>
        </w:rPr>
        <w:t>apmaiņu starp ieinteresētajām partnervalstīm</w:t>
      </w:r>
      <w:r>
        <w:rPr>
          <w:rFonts w:ascii="Times New Roman" w:hAnsi="Times New Roman"/>
          <w:noProof/>
          <w:sz w:val="23"/>
          <w:szCs w:val="23"/>
        </w:rPr>
        <w:t xml:space="preserve">. ES turpinās sniegt atbalstu, tajā skaitā mērķorientētu nozaru palīdzību, divpusējos, reģionālos un daudzvalstu forumos saskaņā ar iekļautības un diferenciācijas principiem. Turklāt AP turpinās būt </w:t>
      </w:r>
      <w:r>
        <w:rPr>
          <w:rFonts w:ascii="Times New Roman" w:hAnsi="Times New Roman"/>
          <w:b/>
          <w:noProof/>
          <w:sz w:val="23"/>
          <w:szCs w:val="23"/>
        </w:rPr>
        <w:t>elastīga</w:t>
      </w:r>
      <w:r>
        <w:rPr>
          <w:rFonts w:ascii="Times New Roman" w:hAnsi="Times New Roman"/>
          <w:noProof/>
          <w:sz w:val="23"/>
          <w:szCs w:val="23"/>
        </w:rPr>
        <w:t xml:space="preserve"> un </w:t>
      </w:r>
      <w:r>
        <w:rPr>
          <w:rFonts w:ascii="Times New Roman" w:hAnsi="Times New Roman"/>
          <w:b/>
          <w:noProof/>
          <w:sz w:val="23"/>
          <w:szCs w:val="23"/>
        </w:rPr>
        <w:t>iekļaujoša</w:t>
      </w:r>
      <w:r>
        <w:rPr>
          <w:rFonts w:ascii="Times New Roman" w:hAnsi="Times New Roman"/>
          <w:noProof/>
          <w:sz w:val="23"/>
          <w:szCs w:val="23"/>
        </w:rPr>
        <w:t xml:space="preserve">, ļaujot valstīm </w:t>
      </w:r>
      <w:r>
        <w:rPr>
          <w:rFonts w:ascii="Times New Roman" w:hAnsi="Times New Roman"/>
          <w:b/>
          <w:noProof/>
          <w:sz w:val="23"/>
          <w:szCs w:val="23"/>
        </w:rPr>
        <w:t>kopīgi risināt kopīgas un globālas problēmas</w:t>
      </w:r>
      <w:r>
        <w:rPr>
          <w:rFonts w:ascii="Times New Roman" w:hAnsi="Times New Roman"/>
          <w:noProof/>
          <w:sz w:val="23"/>
          <w:szCs w:val="23"/>
        </w:rPr>
        <w:t xml:space="preserve"> dažādās jomās, veicinot </w:t>
      </w:r>
      <w:r>
        <w:rPr>
          <w:rFonts w:ascii="Times New Roman" w:hAnsi="Times New Roman"/>
          <w:b/>
          <w:noProof/>
          <w:sz w:val="23"/>
          <w:szCs w:val="23"/>
        </w:rPr>
        <w:t>reģionālo integrāciju</w:t>
      </w:r>
      <w:r>
        <w:rPr>
          <w:rFonts w:ascii="Times New Roman" w:hAnsi="Times New Roman"/>
          <w:noProof/>
          <w:sz w:val="23"/>
          <w:szCs w:val="23"/>
        </w:rPr>
        <w:t xml:space="preserve">.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Pamatojoties uz partnerības galvenajiem sasniegumiem un atzīstot, ka </w:t>
      </w:r>
      <w:r>
        <w:rPr>
          <w:rFonts w:ascii="Times New Roman" w:hAnsi="Times New Roman"/>
          <w:b/>
          <w:noProof/>
          <w:sz w:val="23"/>
          <w:szCs w:val="23"/>
        </w:rPr>
        <w:t>noturības stiprināšana ir primārs politikas satvars</w:t>
      </w:r>
      <w:r>
        <w:rPr>
          <w:rFonts w:ascii="Times New Roman" w:hAnsi="Times New Roman"/>
          <w:noProof/>
          <w:sz w:val="23"/>
          <w:szCs w:val="23"/>
        </w:rPr>
        <w:t>, kā izklāstīts Stratēģiskajā pieejā noturībai ES ārējā darbībā</w:t>
      </w:r>
      <w:r>
        <w:rPr>
          <w:rFonts w:ascii="Times New Roman" w:eastAsia="Times New Roman" w:hAnsi="Times New Roman" w:cs="Times New Roman"/>
          <w:noProof/>
          <w:sz w:val="23"/>
          <w:szCs w:val="23"/>
          <w:vertAlign w:val="superscript"/>
          <w:lang w:eastAsia="en-GB"/>
        </w:rPr>
        <w:footnoteReference w:id="6"/>
      </w:r>
      <w:r>
        <w:rPr>
          <w:rFonts w:ascii="Times New Roman" w:hAnsi="Times New Roman"/>
          <w:noProof/>
          <w:sz w:val="23"/>
          <w:szCs w:val="23"/>
        </w:rPr>
        <w:t xml:space="preserve">, ES, tās dalībvalstis un partnervalstis </w:t>
      </w:r>
      <w:r>
        <w:rPr>
          <w:rFonts w:ascii="Times New Roman" w:hAnsi="Times New Roman"/>
          <w:b/>
          <w:noProof/>
          <w:sz w:val="23"/>
          <w:szCs w:val="23"/>
        </w:rPr>
        <w:t>sadarbosies, lai sasniegtu šādus Austrumu partnerības ilgtermiņa politikas mērķus pēc 2020. gada</w:t>
      </w:r>
      <w:r>
        <w:rPr>
          <w:rFonts w:ascii="Times New Roman" w:hAnsi="Times New Roman"/>
          <w:noProof/>
          <w:sz w:val="23"/>
          <w:szCs w:val="23"/>
        </w:rPr>
        <w:t>:</w:t>
      </w:r>
    </w:p>
    <w:p>
      <w:pPr>
        <w:pStyle w:val="ListParagraph"/>
        <w:numPr>
          <w:ilvl w:val="0"/>
          <w:numId w:val="5"/>
        </w:num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vienoti noturīgai, ilgtspējīgai un integrētai ekonomikai;</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vienoti atbildīgām iestādēm, tiesiskumam un drošībai; </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vienoti ceļā uz noturību vides un klimata jomā; </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vienoti noturīgai digitālajai pārveidei un</w:t>
      </w:r>
    </w:p>
    <w:p>
      <w:pPr>
        <w:pStyle w:val="ListParagraph"/>
        <w:numPr>
          <w:ilvl w:val="0"/>
          <w:numId w:val="3"/>
        </w:num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vienoti noturīgai, taisnīgai un iekļaujošai sabiedrībai.</w:t>
      </w:r>
    </w:p>
    <w:p>
      <w:pPr>
        <w:spacing w:after="240" w:line="240" w:lineRule="auto"/>
        <w:jc w:val="both"/>
        <w:rPr>
          <w:rFonts w:ascii="Times New Roman" w:hAnsi="Times New Roman"/>
          <w:noProof/>
          <w:sz w:val="23"/>
          <w:szCs w:val="23"/>
        </w:rPr>
      </w:pPr>
      <w:r>
        <w:rPr>
          <w:rFonts w:ascii="Times New Roman" w:hAnsi="Times New Roman"/>
          <w:noProof/>
          <w:sz w:val="23"/>
          <w:szCs w:val="23"/>
        </w:rPr>
        <w:t>Eiropas Komisija ir aicinājusi ES un tās partnerus, jo īpaši no visa Eiropas kontinenta, risināt kopīgas problēmas un cieši sadarboties attiecībā uz jaunām politikas prioritātēm nākotnē, lai atbalstītu ekoloģisko pārveidi, digitālo pārveidi un nodrošinātu ekonomiku, kas darbojas visu labā, jo īpaši vairāk darba iespēju jauniešiem, un veicinātu dzimumu līdztiesību.  Šie jautājumi tiks iekļauti visos politikas mērķos.</w:t>
      </w:r>
    </w:p>
    <w:p>
      <w:pPr>
        <w:keepNext/>
        <w:tabs>
          <w:tab w:val="num" w:pos="482"/>
        </w:tabs>
        <w:spacing w:before="240" w:after="240" w:line="240" w:lineRule="auto"/>
        <w:ind w:left="482" w:hanging="482"/>
        <w:jc w:val="both"/>
        <w:outlineLvl w:val="0"/>
        <w:rPr>
          <w:rFonts w:ascii="Times New Roman" w:eastAsia="Times New Roman" w:hAnsi="Times New Roman" w:cs="Times New Roman"/>
          <w:b/>
          <w:smallCaps/>
          <w:noProof/>
          <w:sz w:val="23"/>
          <w:szCs w:val="23"/>
        </w:rPr>
      </w:pPr>
      <w:r>
        <w:rPr>
          <w:rFonts w:ascii="Times New Roman" w:hAnsi="Times New Roman"/>
          <w:b/>
          <w:smallCaps/>
          <w:noProof/>
          <w:sz w:val="23"/>
          <w:szCs w:val="23"/>
        </w:rPr>
        <w:t>4.</w:t>
      </w:r>
      <w:r>
        <w:rPr>
          <w:rFonts w:ascii="Times New Roman" w:hAnsi="Times New Roman"/>
          <w:b/>
          <w:smallCaps/>
          <w:noProof/>
          <w:sz w:val="23"/>
          <w:szCs w:val="23"/>
        </w:rPr>
        <w:tab/>
        <w:t>Turpmākās Austrumu partnerības galvenie politikas mērķi</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4.1. Vienoti noturīgai, ilgtspējīgai un integrētai ekonomikai</w:t>
      </w:r>
    </w:p>
    <w:p>
      <w:pPr>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Ekonomikas stiprināšana ir būtiska, lai attaisnotu iedzīvotāju cerības, mazinātu nevienlīdzību un padarītu partnervalstis par vietu, kur cilvēki vēlas veidot savu nākotni. Labāk integrēta ekonomika, kas ir iekļaujoša, ilgtspējīga un taisnīga, dod labumu visiem. Mērķis ir radīt pienācīgas darbvietas un ekonomiskas iespējas, nodrošinot labklājību cilvēkiem, kas dzīvo partnervalstīs.</w:t>
      </w:r>
    </w:p>
    <w:p>
      <w:pPr>
        <w:spacing w:before="240"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Tas nozīmēs </w:t>
      </w:r>
      <w:r>
        <w:rPr>
          <w:rFonts w:ascii="Times New Roman" w:hAnsi="Times New Roman"/>
          <w:b/>
          <w:noProof/>
          <w:sz w:val="23"/>
          <w:szCs w:val="23"/>
        </w:rPr>
        <w:t>pastiprinātu tirdzniecību un partnervalstu un ES ekonomikas turpmāku reģionālo un divpusējo integrāciju, kā arī sadarbību pakāpeniskai dekarbonizācijai virzībā uz klimata neitralitāti, izmantojot iespējas, ko sniedz gan ekoloģiskā, gan digitālā pārveide</w:t>
      </w:r>
      <w:r>
        <w:rPr>
          <w:rFonts w:ascii="Times New Roman" w:hAnsi="Times New Roman"/>
          <w:noProof/>
          <w:sz w:val="23"/>
          <w:szCs w:val="23"/>
        </w:rPr>
        <w:t xml:space="preserve">.  Pamatojoties uz spēkā esošajiem asociācijas nolīgumiem, </w:t>
      </w:r>
      <w:r>
        <w:rPr>
          <w:rFonts w:ascii="Times New Roman" w:hAnsi="Times New Roman"/>
          <w:i/>
          <w:noProof/>
          <w:sz w:val="23"/>
          <w:szCs w:val="23"/>
        </w:rPr>
        <w:t>DCFTA</w:t>
      </w:r>
      <w:r>
        <w:rPr>
          <w:rFonts w:ascii="Times New Roman" w:hAnsi="Times New Roman"/>
          <w:noProof/>
          <w:sz w:val="23"/>
          <w:szCs w:val="23"/>
        </w:rPr>
        <w:t xml:space="preserve"> un citiem tirdzniecības nolīgumiem, ES kopā ar partnervalstīm koncentrēsies uz atbalstu to pilnīgai īstenošanai, lai gūtu maksimālu labumu. Saskaņā ar ES jauno izaugsmes stratēģiju, Eiropas zaļo kursu un digitālo stratēģiju ES un partnervalstis turpinās atbalstīt AP valstu ekonomikas modernizāciju, padarot tās konkurētspējīgākas un inovatīvākas. Turklāt ES un partnervalstis veiks investīcijas fiziskajā savienojamībā un infrastruktūrā (transportā, enerģētikā un digitālajā jomā) kā ekonomikas attīstības pamatnosacījumos. Ekonomikas krīzes gadījumā ES ir gatava palīdzēt partnervalstīm saglabāt makroekonomisko stabilitāti un stimulēt strukturālās reformas, izmantojot ES makrofinansiālo palīdzību. Atbalstot strukturālās reformas, uzlabojot piekļuvi finansējumam un atbalstot MVU, tiks veicināta izaugsme un investīcijas. Investīcijas cilvēkos, jo īpaši jauniešos, un labāka izglītības, pētniecības un inovācijas sasaiste ar privātā sektora vajadzībām sagatavos partnervalstis nākotnes problēmu risināšanai.</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4.1.1. Tirdzniecība un ekonomiskā integrācija</w:t>
      </w:r>
    </w:p>
    <w:p>
      <w:pPr>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Pēdējās desmitgades laikā ES un AP </w:t>
      </w:r>
      <w:r>
        <w:rPr>
          <w:rFonts w:ascii="Times New Roman" w:hAnsi="Times New Roman"/>
          <w:b/>
          <w:noProof/>
          <w:sz w:val="23"/>
          <w:szCs w:val="23"/>
        </w:rPr>
        <w:t>tirdzniecība ir gandrīz divkāršojusies</w:t>
      </w:r>
      <w:r>
        <w:rPr>
          <w:rFonts w:ascii="Times New Roman" w:hAnsi="Times New Roman"/>
          <w:noProof/>
          <w:sz w:val="23"/>
          <w:szCs w:val="23"/>
        </w:rPr>
        <w:t>, tādējādi padarot partnervalstis par ES desmito lielāko tirdzniecības partneri.</w:t>
      </w:r>
      <w:r>
        <w:rPr>
          <w:noProof/>
        </w:rPr>
        <w:t xml:space="preserve"> </w:t>
      </w:r>
      <w:r>
        <w:rPr>
          <w:rFonts w:ascii="Times New Roman" w:hAnsi="Times New Roman"/>
          <w:b/>
          <w:noProof/>
          <w:sz w:val="23"/>
          <w:szCs w:val="23"/>
        </w:rPr>
        <w:t>ES ir pirmais tirdzniecības bloks četrām partnervalstīm</w:t>
      </w:r>
      <w:r>
        <w:rPr>
          <w:rFonts w:ascii="Times New Roman" w:hAnsi="Times New Roman"/>
          <w:noProof/>
          <w:sz w:val="23"/>
          <w:szCs w:val="23"/>
        </w:rPr>
        <w:t xml:space="preserve"> (Azerbaidžānai, Gruzijai, Moldovai un Ukrainai), bet Armēnijai un Baltkrievijai ES ir otrais lielākais tirdzniecības partneris. Šīs tirdzniecības attiecības ir novedušas arī pie partnervalstu preču eksporta diversifikācijas un to labākas integrācijas globālajās vērtības ķēdēs. Turklāt to uzņēmumu skaits, kas eksportē uz ES no Gruzijas, ir palielinājies par 46 %, no Moldovas – par 48 % un no Ukrainas – par 24 %. Tas skaidri atspoguļo AP savstarpējos ieguvumus. </w:t>
      </w:r>
    </w:p>
    <w:p>
      <w:pPr>
        <w:spacing w:after="0" w:line="240" w:lineRule="auto"/>
        <w:jc w:val="both"/>
        <w:rPr>
          <w:rFonts w:ascii="Times New Roman" w:eastAsia="Times New Roman" w:hAnsi="Times New Roman" w:cs="Times New Roman"/>
          <w:noProof/>
          <w:sz w:val="23"/>
          <w:szCs w:val="23"/>
          <w:lang w:eastAsia="en-GB"/>
        </w:rPr>
      </w:pPr>
    </w:p>
    <w:p>
      <w:pPr>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ierosina vēl vairāk </w:t>
      </w:r>
      <w:r>
        <w:rPr>
          <w:rFonts w:ascii="Times New Roman" w:hAnsi="Times New Roman"/>
          <w:b/>
          <w:bCs/>
          <w:noProof/>
          <w:sz w:val="23"/>
          <w:szCs w:val="23"/>
        </w:rPr>
        <w:t>padziļināt ekonomisko integrāciju ar partnervalstīm un to starpā</w:t>
      </w:r>
      <w:r>
        <w:rPr>
          <w:rFonts w:ascii="Times New Roman" w:hAnsi="Times New Roman"/>
          <w:noProof/>
          <w:sz w:val="23"/>
          <w:szCs w:val="23"/>
        </w:rPr>
        <w:t xml:space="preserve">, jo īpaši trim asociētajām valstīm, izmantojot turpmāku atbalstu pašreizējo </w:t>
      </w:r>
      <w:r>
        <w:rPr>
          <w:rFonts w:ascii="Times New Roman" w:hAnsi="Times New Roman"/>
          <w:i/>
          <w:noProof/>
          <w:sz w:val="23"/>
          <w:szCs w:val="23"/>
        </w:rPr>
        <w:t>DCFTA</w:t>
      </w:r>
      <w:r>
        <w:rPr>
          <w:rFonts w:ascii="Times New Roman" w:hAnsi="Times New Roman"/>
          <w:noProof/>
          <w:sz w:val="23"/>
          <w:szCs w:val="23"/>
        </w:rPr>
        <w:t xml:space="preserve"> pilnīgai īstenošanai. Divpusēji nolīgumi, jo īpaši </w:t>
      </w:r>
      <w:r>
        <w:rPr>
          <w:rFonts w:ascii="Times New Roman" w:hAnsi="Times New Roman"/>
          <w:i/>
          <w:noProof/>
          <w:sz w:val="23"/>
          <w:szCs w:val="23"/>
        </w:rPr>
        <w:t>DCFTA</w:t>
      </w:r>
      <w:r>
        <w:rPr>
          <w:rFonts w:ascii="Times New Roman" w:hAnsi="Times New Roman"/>
          <w:noProof/>
          <w:sz w:val="23"/>
          <w:szCs w:val="23"/>
        </w:rPr>
        <w:t xml:space="preserve">, piedāvā izaugsmes iespējas privātajam sektoram, kā arī augstāku darba aizsardzības līmeni, labākus darba apstākļus un iedzīvotāju piekļuvi atbilstīgiem un drošiem produktiem. Šie ieguvumi izpaudīsies pilnībā, ja tiks veiktas pašreizējās un turpmākās reformas, kas izriet no </w:t>
      </w:r>
      <w:r>
        <w:rPr>
          <w:rFonts w:ascii="Times New Roman" w:hAnsi="Times New Roman"/>
          <w:i/>
          <w:noProof/>
          <w:sz w:val="23"/>
          <w:szCs w:val="23"/>
        </w:rPr>
        <w:t>DCFTA</w:t>
      </w:r>
      <w:r>
        <w:rPr>
          <w:rFonts w:ascii="Times New Roman" w:hAnsi="Times New Roman"/>
          <w:noProof/>
          <w:sz w:val="23"/>
          <w:szCs w:val="23"/>
        </w:rPr>
        <w:t xml:space="preserve"> saistībām. Šis process ietver tiesību aktu saskaņošanu ar ES noteikumiem, spēju veidošanu saskaņoto reformu īstenošanai un tirdzniecības atvieglošanu. ES arī veicinās ciešāku sadarbību ar valstīm, kas nav </w:t>
      </w:r>
      <w:r>
        <w:rPr>
          <w:rFonts w:ascii="Times New Roman" w:hAnsi="Times New Roman"/>
          <w:i/>
          <w:noProof/>
          <w:sz w:val="23"/>
          <w:szCs w:val="23"/>
        </w:rPr>
        <w:t>DCFTA</w:t>
      </w:r>
      <w:r>
        <w:rPr>
          <w:rFonts w:ascii="Times New Roman" w:hAnsi="Times New Roman"/>
          <w:noProof/>
          <w:sz w:val="23"/>
          <w:szCs w:val="23"/>
        </w:rPr>
        <w:t xml:space="preserve"> dalībnieces. Nozaru tirdzniecības atvieglošanas pasākumiem, kas skar kopīgas intereses, būtu jāpaātrina ekonomiskā integrācija, iesaistot visas partnervalstis. Šajā sakarā, piemēram, ES iespēju robežās turpinās sadarboties ar partnervalstīm, lai noslēgtu nolīgumus par atzīto uzņēmēju savstarpēju atzīšanu.</w:t>
      </w:r>
    </w:p>
    <w:p>
      <w:pPr>
        <w:spacing w:after="0" w:line="240" w:lineRule="auto"/>
        <w:jc w:val="both"/>
        <w:rPr>
          <w:rFonts w:ascii="Times New Roman" w:eastAsia="Times New Roman" w:hAnsi="Times New Roman" w:cs="Times New Roman"/>
          <w:noProof/>
          <w:sz w:val="23"/>
          <w:szCs w:val="23"/>
          <w:lang w:eastAsia="en-GB"/>
        </w:rPr>
      </w:pPr>
    </w:p>
    <w:p>
      <w:pPr>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centīsies arī </w:t>
      </w:r>
      <w:r>
        <w:rPr>
          <w:rFonts w:ascii="Times New Roman" w:hAnsi="Times New Roman"/>
          <w:b/>
          <w:bCs/>
          <w:noProof/>
          <w:sz w:val="23"/>
          <w:szCs w:val="23"/>
        </w:rPr>
        <w:t>sadarboties un veidot alianses ar partnervalstīm</w:t>
      </w:r>
      <w:r>
        <w:rPr>
          <w:rFonts w:ascii="Times New Roman" w:hAnsi="Times New Roman"/>
          <w:noProof/>
          <w:sz w:val="23"/>
          <w:szCs w:val="23"/>
        </w:rPr>
        <w:t xml:space="preserve"> par attiecīgiem plašākiem, globāliem ekonomikas jautājumiem dažādos daudzpusējos forumos, tajā skaitā atbalstot pašreizējo trešo valstu pievienošanos Pasaules Tirdzniecības organizācijai.</w:t>
      </w:r>
    </w:p>
    <w:p>
      <w:pPr>
        <w:spacing w:after="0" w:line="240" w:lineRule="auto"/>
        <w:jc w:val="both"/>
        <w:rPr>
          <w:rFonts w:ascii="Times New Roman" w:eastAsia="Times New Roman" w:hAnsi="Times New Roman" w:cs="Times New Roman"/>
          <w:noProof/>
          <w:sz w:val="23"/>
          <w:szCs w:val="23"/>
          <w:lang w:eastAsia="en-GB"/>
        </w:rPr>
      </w:pPr>
    </w:p>
    <w:p>
      <w:pPr>
        <w:spacing w:after="0" w:line="240" w:lineRule="auto"/>
        <w:jc w:val="both"/>
        <w:rPr>
          <w:rFonts w:ascii="Times New Roman" w:eastAsia="Times New Roman" w:hAnsi="Times New Roman" w:cs="Times New Roman"/>
          <w:iCs/>
          <w:noProof/>
          <w:sz w:val="23"/>
          <w:szCs w:val="23"/>
        </w:rPr>
      </w:pPr>
      <w:r>
        <w:rPr>
          <w:rFonts w:ascii="Times New Roman" w:hAnsi="Times New Roman"/>
          <w:iCs/>
          <w:noProof/>
          <w:sz w:val="23"/>
          <w:szCs w:val="23"/>
        </w:rPr>
        <w:t>ES atbalstīs zaļo pāreju reģionā. Tās mērķis būs uz noteikumiem balstīta, neizkropļota un taisnīga tirdzniecība un investīcijas tīrās tehnoloģijās, zaļās precēs un pakalpojumos un saistītās stratēģiskās izejvielās. ES sadarbosies ar partnervalstīm, lai nodrošinātu resursu drošību un vienlaikus īstenotu Parīzes nolīgumu un ilgtspējīgas attīstības mērķus.</w:t>
      </w:r>
    </w:p>
    <w:p>
      <w:pPr>
        <w:spacing w:before="240" w:after="240" w:line="240" w:lineRule="auto"/>
        <w:jc w:val="both"/>
        <w:rPr>
          <w:rFonts w:ascii="Times New Roman" w:eastAsia="Times New Roman" w:hAnsi="Times New Roman" w:cs="Times New Roman"/>
          <w:b/>
          <w:bCs/>
          <w:noProof/>
          <w:sz w:val="23"/>
          <w:szCs w:val="23"/>
        </w:rPr>
      </w:pPr>
      <w:r>
        <w:rPr>
          <w:rFonts w:ascii="Times New Roman" w:hAnsi="Times New Roman"/>
          <w:noProof/>
          <w:sz w:val="23"/>
          <w:szCs w:val="23"/>
        </w:rPr>
        <w:t xml:space="preserve">Asociētajām valstīm turpinās pakāpeniska tirgus piekļuves liberalizācija. Turklāt </w:t>
      </w:r>
      <w:r>
        <w:rPr>
          <w:rFonts w:ascii="Times New Roman" w:hAnsi="Times New Roman"/>
          <w:i/>
          <w:noProof/>
          <w:sz w:val="23"/>
          <w:szCs w:val="23"/>
        </w:rPr>
        <w:t>DCFTA</w:t>
      </w:r>
      <w:r>
        <w:rPr>
          <w:rFonts w:ascii="Times New Roman" w:hAnsi="Times New Roman"/>
          <w:noProof/>
          <w:sz w:val="23"/>
          <w:szCs w:val="23"/>
        </w:rPr>
        <w:t xml:space="preserve"> ietvaros ir paredzēta šo valstu selektīva un pakāpeniska </w:t>
      </w:r>
      <w:r>
        <w:rPr>
          <w:rFonts w:ascii="Times New Roman" w:hAnsi="Times New Roman"/>
          <w:b/>
          <w:noProof/>
          <w:sz w:val="23"/>
          <w:szCs w:val="23"/>
        </w:rPr>
        <w:t>ekonomiskā integrācija</w:t>
      </w:r>
      <w:r>
        <w:rPr>
          <w:rFonts w:ascii="Times New Roman" w:hAnsi="Times New Roman"/>
          <w:noProof/>
          <w:sz w:val="23"/>
          <w:szCs w:val="23"/>
        </w:rPr>
        <w:t xml:space="preserve"> ES iekšējā tirgū. Tas ir atkarīgs no tā, vai šīs valstis būs panākušas regulējuma konverģenci ar ES </w:t>
      </w:r>
      <w:r>
        <w:rPr>
          <w:rFonts w:ascii="Times New Roman" w:hAnsi="Times New Roman"/>
          <w:i/>
          <w:iCs/>
          <w:noProof/>
          <w:sz w:val="23"/>
          <w:szCs w:val="23"/>
        </w:rPr>
        <w:t>acquis</w:t>
      </w:r>
      <w:r>
        <w:rPr>
          <w:rFonts w:ascii="Times New Roman" w:hAnsi="Times New Roman"/>
          <w:noProof/>
          <w:sz w:val="23"/>
          <w:szCs w:val="23"/>
        </w:rPr>
        <w:t xml:space="preserve"> un to efektīvu īstenošanu konkrētās jomās (publiskais iepirkums, tehniskie šķēršļi tirdzniecībai, tirgus uzraudzība, sanitārie un fitosanitārie pasākumi, muitas dienesti un labas nodokļu pārvaldības standarti).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4.1.2. Investīcijas un piekļuve finansējumam</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Pēdējās desmitgades laikā vairāk nekā </w:t>
      </w:r>
      <w:r>
        <w:rPr>
          <w:rFonts w:ascii="Times New Roman" w:hAnsi="Times New Roman"/>
          <w:b/>
          <w:noProof/>
          <w:sz w:val="23"/>
          <w:szCs w:val="23"/>
        </w:rPr>
        <w:t>125 000 MVU</w:t>
      </w:r>
      <w:r>
        <w:rPr>
          <w:rFonts w:ascii="Times New Roman" w:hAnsi="Times New Roman"/>
          <w:noProof/>
          <w:sz w:val="23"/>
          <w:szCs w:val="23"/>
        </w:rPr>
        <w:t xml:space="preserve"> tieši saņēma ES finansējumu (galvenokārt vietējā valūtā), tādējādi radot vai uzturot </w:t>
      </w:r>
      <w:r>
        <w:rPr>
          <w:rFonts w:ascii="Times New Roman" w:hAnsi="Times New Roman"/>
          <w:b/>
          <w:noProof/>
          <w:sz w:val="23"/>
          <w:szCs w:val="23"/>
        </w:rPr>
        <w:t>vairāk nekā 250 000 darbvietu</w:t>
      </w:r>
      <w:r>
        <w:rPr>
          <w:rFonts w:ascii="Times New Roman" w:hAnsi="Times New Roman"/>
          <w:noProof/>
          <w:sz w:val="23"/>
          <w:szCs w:val="23"/>
        </w:rPr>
        <w:t xml:space="preserve">. Finansējuma apvienošanas un garantiju labāka izmantošana ir maksimāli palielinājusi ietekmi, </w:t>
      </w:r>
      <w:r>
        <w:rPr>
          <w:rFonts w:ascii="Times New Roman" w:hAnsi="Times New Roman"/>
          <w:b/>
          <w:noProof/>
          <w:sz w:val="23"/>
          <w:szCs w:val="23"/>
        </w:rPr>
        <w:t>kopš 2009. gada investīcijās piesaistot 11 miljardus euro</w:t>
      </w:r>
      <w:r>
        <w:rPr>
          <w:rFonts w:ascii="Times New Roman" w:hAnsi="Times New Roman"/>
          <w:noProof/>
          <w:sz w:val="23"/>
          <w:szCs w:val="23"/>
        </w:rPr>
        <w:t>.</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Strukturālās reformas</w:t>
      </w:r>
      <w:r>
        <w:rPr>
          <w:rFonts w:ascii="Times New Roman" w:hAnsi="Times New Roman"/>
          <w:noProof/>
          <w:sz w:val="23"/>
          <w:szCs w:val="23"/>
        </w:rPr>
        <w:t xml:space="preserve"> ir svarīgas, lai atbalstītu ekonomikas attīstību, uzlabotu ekonomikas pārvaldību, piesaistītu ārvalstu tiešos ieguldījumus un palielinātu ekonomikas noturību. Tirdzniecībai un investīcijām ir vajadzīgi labvēlīgi apstākļi ilgtspējīgai ekonomikas attīstībai. Uzņēmējdarbības un investīciju videi jābūt vienkāršai, pārredzamai un uzticamai. Tas nozīmē, ka ir jāstrādā, lai nodrošinātu vienlīdzīgus konkurences apstākļus, uzlabotu darba tirgu un samazinātu neoficiālo darbu, uzlabotu ekonomikas pārvaldību un balstītos uz tiesiskuma reformām, tajā skaitā korupcijas novēršanu. Ekonomikas dalībniekiem ir jābūt skaidrai perspektīvai par notiekošo ekoloģisko pāreju. ES turpinās stiprināt partnervalstu galvenās reformas, tajā skaitā izmantojot </w:t>
      </w:r>
      <w:r>
        <w:rPr>
          <w:rFonts w:ascii="Times New Roman" w:hAnsi="Times New Roman"/>
          <w:b/>
          <w:noProof/>
          <w:sz w:val="23"/>
          <w:szCs w:val="23"/>
        </w:rPr>
        <w:t>ārējo investīciju plānu</w:t>
      </w:r>
      <w:r>
        <w:rPr>
          <w:rStyle w:val="FootnoteReference"/>
          <w:rFonts w:ascii="Times New Roman" w:eastAsia="Times New Roman" w:hAnsi="Times New Roman" w:cs="Times New Roman"/>
          <w:b/>
          <w:noProof/>
          <w:sz w:val="23"/>
          <w:szCs w:val="23"/>
          <w:lang w:eastAsia="en-GB"/>
        </w:rPr>
        <w:footnoteReference w:id="7"/>
      </w:r>
      <w:r>
        <w:rPr>
          <w:rFonts w:ascii="Times New Roman" w:hAnsi="Times New Roman"/>
          <w:noProof/>
          <w:sz w:val="23"/>
          <w:szCs w:val="23"/>
        </w:rPr>
        <w:t xml:space="preserve"> un jo īpaši </w:t>
      </w:r>
      <w:r>
        <w:rPr>
          <w:rFonts w:ascii="Times New Roman" w:hAnsi="Times New Roman"/>
          <w:b/>
          <w:noProof/>
          <w:sz w:val="23"/>
          <w:szCs w:val="23"/>
        </w:rPr>
        <w:t>strukturālo reformu mehānismu</w:t>
      </w:r>
      <w:r>
        <w:rPr>
          <w:rFonts w:ascii="Times New Roman" w:hAnsi="Times New Roman"/>
          <w:noProof/>
          <w:sz w:val="23"/>
          <w:szCs w:val="23"/>
        </w:rPr>
        <w:t>.</w:t>
      </w:r>
    </w:p>
    <w:p>
      <w:pPr>
        <w:spacing w:after="240" w:line="240" w:lineRule="auto"/>
        <w:jc w:val="both"/>
        <w:rPr>
          <w:rFonts w:ascii="Times New Roman" w:hAnsi="Times New Roman"/>
          <w:noProof/>
          <w:sz w:val="23"/>
          <w:szCs w:val="23"/>
        </w:rPr>
      </w:pPr>
      <w:r>
        <w:rPr>
          <w:rFonts w:ascii="Times New Roman" w:hAnsi="Times New Roman"/>
          <w:b/>
          <w:bCs/>
          <w:noProof/>
          <w:sz w:val="23"/>
          <w:szCs w:val="23"/>
        </w:rPr>
        <w:t>MVU</w:t>
      </w:r>
      <w:r>
        <w:rPr>
          <w:rFonts w:ascii="Times New Roman" w:hAnsi="Times New Roman"/>
          <w:noProof/>
          <w:sz w:val="23"/>
          <w:szCs w:val="23"/>
        </w:rPr>
        <w:t xml:space="preserve"> ir galvenie darba devēji lielākajā daļā partnervalstu un viens no galvenajiem kopīgās izaugsmes un inovācijas virzītājspēkiem. ES turpinās atbalstīt </w:t>
      </w:r>
      <w:r>
        <w:rPr>
          <w:rFonts w:ascii="Times New Roman" w:hAnsi="Times New Roman"/>
          <w:b/>
          <w:bCs/>
          <w:noProof/>
          <w:sz w:val="23"/>
          <w:szCs w:val="23"/>
        </w:rPr>
        <w:t>piekļuvi finansējumam</w:t>
      </w:r>
      <w:r>
        <w:rPr>
          <w:rFonts w:ascii="Times New Roman" w:hAnsi="Times New Roman"/>
          <w:noProof/>
          <w:sz w:val="23"/>
          <w:szCs w:val="23"/>
        </w:rPr>
        <w:t>, izmantojot garantiju shēmas, procentu likmju subsīdijas un investīciju stimulus. Tā arī paplašinās šo atbalstu, izmantojot ciešāku partnerību ar SFI, kā arī Eiropas Fondu ilgtspējīgai attīstībai (EFIA+) ierosinātā kaimiņattiecību, attīstības sadarbības un starptautiskās sadarbības instrumenta (</w:t>
      </w:r>
      <w:r>
        <w:rPr>
          <w:rFonts w:ascii="Times New Roman" w:hAnsi="Times New Roman"/>
          <w:i/>
          <w:noProof/>
          <w:sz w:val="23"/>
          <w:szCs w:val="23"/>
        </w:rPr>
        <w:t>NDICI</w:t>
      </w:r>
      <w:r>
        <w:rPr>
          <w:rFonts w:ascii="Times New Roman" w:hAnsi="Times New Roman"/>
          <w:noProof/>
          <w:sz w:val="23"/>
          <w:szCs w:val="23"/>
        </w:rPr>
        <w:t xml:space="preserve">) un Ārējās darbības garantijas ietvaros. Ilgtspējīgs finansējums un mikrofinansējums būs ES iesaistes neatņemama sastāvdaļa, tajā skaitā lauku apvidos, kur piekļuve finansējumam ir īpaši apgrūtināta. Lai maksimāli palielinātu atbalsta efektivitāti, ES kopā ar SFI analizēs galvenās jomas, kurās investīcijām būs ietekme (tajā skaitā izstrādājot “ietekmes investīciju matricu”). </w:t>
      </w:r>
    </w:p>
    <w:p>
      <w:pPr>
        <w:spacing w:after="240" w:line="240" w:lineRule="auto"/>
        <w:jc w:val="both"/>
        <w:rPr>
          <w:rFonts w:ascii="Times New Roman" w:hAnsi="Times New Roman"/>
          <w:noProof/>
          <w:sz w:val="23"/>
          <w:szCs w:val="23"/>
        </w:rPr>
      </w:pPr>
      <w:r>
        <w:rPr>
          <w:rFonts w:ascii="Times New Roman" w:hAnsi="Times New Roman"/>
          <w:noProof/>
          <w:sz w:val="23"/>
          <w:szCs w:val="23"/>
        </w:rPr>
        <w:t xml:space="preserve">Ņemot vērā steidzamo nepieciešamību palielināt ilgtspējīgas investīcijas, ES vēl vairāk stiprinās sadarbību ar partnervalstīm, lai izveidotu finanšu sistēmu, kas atbalsta ilgtspējīgu izaugsmi, jo īpaši izmantojot starptautiskos forumus, piemēram, </w:t>
      </w:r>
      <w:r>
        <w:rPr>
          <w:rFonts w:ascii="Times New Roman" w:hAnsi="Times New Roman"/>
          <w:b/>
          <w:noProof/>
          <w:sz w:val="23"/>
          <w:szCs w:val="23"/>
        </w:rPr>
        <w:t>starptautisko platformu ilgtspējīga finansējuma jomā</w:t>
      </w:r>
      <w:r>
        <w:rPr>
          <w:rFonts w:ascii="Times New Roman" w:hAnsi="Times New Roman"/>
          <w:noProof/>
          <w:sz w:val="23"/>
          <w:szCs w:val="23"/>
        </w:rPr>
        <w:t xml:space="preserve"> (</w:t>
      </w:r>
      <w:r>
        <w:rPr>
          <w:rFonts w:ascii="Times New Roman" w:hAnsi="Times New Roman"/>
          <w:i/>
          <w:noProof/>
          <w:sz w:val="23"/>
          <w:szCs w:val="23"/>
        </w:rPr>
        <w:t>IPSF</w:t>
      </w:r>
      <w:r>
        <w:rPr>
          <w:rFonts w:ascii="Times New Roman" w:hAnsi="Times New Roman"/>
          <w:noProof/>
          <w:sz w:val="23"/>
          <w:szCs w:val="23"/>
        </w:rPr>
        <w:t xml:space="preserve">).  ES un partnervalstis var dalīties ar paraugpraksi un koordinēt centienus attiecībā uz ekoloģiski ilgtspējīgām investīcijām, piemēram, zaļo taksonomiju, vides un klimata informācijas atklāšanu un standartiem un marķējumiem zaļiem finanšu produktiem.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Ņemot vērā austrumu partnervalstu ekonomisko un tirdzniecisko attiecību pastiprināšanos ar ES, </w:t>
      </w:r>
      <w:r>
        <w:rPr>
          <w:rFonts w:ascii="Times New Roman" w:hAnsi="Times New Roman"/>
          <w:b/>
          <w:noProof/>
          <w:sz w:val="23"/>
          <w:szCs w:val="23"/>
        </w:rPr>
        <w:t>euro lielāka izmantošana</w:t>
      </w:r>
      <w:r>
        <w:rPr>
          <w:rFonts w:ascii="Times New Roman" w:hAnsi="Times New Roman"/>
          <w:noProof/>
          <w:sz w:val="23"/>
          <w:szCs w:val="23"/>
        </w:rPr>
        <w:t xml:space="preserve"> to ārvalstu komercdarījumos vēl vairāk stiprinātu ekonomiskās attiecības ar ES un palīdzētu </w:t>
      </w:r>
      <w:r>
        <w:rPr>
          <w:rFonts w:ascii="Times New Roman" w:hAnsi="Times New Roman"/>
          <w:b/>
          <w:noProof/>
          <w:sz w:val="23"/>
          <w:szCs w:val="23"/>
        </w:rPr>
        <w:t>nodrošināt šo valstu ekonomisko un finansiālo stabilitāti</w:t>
      </w:r>
      <w:r>
        <w:rPr>
          <w:rFonts w:ascii="Times New Roman" w:hAnsi="Times New Roman"/>
          <w:noProof/>
          <w:sz w:val="23"/>
          <w:szCs w:val="23"/>
        </w:rPr>
        <w:t xml:space="preserve">.  Tā vēl vairāk samazinās ārvalstu valūtas risku, ar ko saskaras partnervalstis, tajā skaitā nodrošinot, ka ārvalstu valūtu kombinācija ārējos aizņēmumos, rezervju pārvaldībā un starptautiskajos darījumos ir labāk korelēta ar to galveno tirdzniecības un investīciju partneru valūtām, vienlaikus atbalstot lielāku </w:t>
      </w:r>
      <w:r>
        <w:rPr>
          <w:rFonts w:ascii="Times New Roman" w:hAnsi="Times New Roman"/>
          <w:b/>
          <w:noProof/>
          <w:sz w:val="23"/>
          <w:szCs w:val="23"/>
        </w:rPr>
        <w:t>euro starptautisko nozīmi</w:t>
      </w:r>
      <w:r>
        <w:rPr>
          <w:rFonts w:ascii="Times New Roman" w:hAnsi="Times New Roman"/>
          <w:noProof/>
          <w:sz w:val="23"/>
          <w:szCs w:val="23"/>
        </w:rPr>
        <w:t xml:space="preserve">. ES arī turpinās atbalstīt partnervalstu centienus izpildīt kritērijus, lai pievienotos </w:t>
      </w:r>
      <w:r>
        <w:rPr>
          <w:rFonts w:ascii="Times New Roman" w:hAnsi="Times New Roman"/>
          <w:b/>
          <w:noProof/>
          <w:sz w:val="23"/>
          <w:szCs w:val="23"/>
        </w:rPr>
        <w:t>vienotajai euro maksājumu telpai (</w:t>
      </w:r>
      <w:r>
        <w:rPr>
          <w:rFonts w:ascii="Times New Roman" w:hAnsi="Times New Roman"/>
          <w:b/>
          <w:i/>
          <w:noProof/>
          <w:sz w:val="23"/>
          <w:szCs w:val="23"/>
        </w:rPr>
        <w:t>SEPA</w:t>
      </w:r>
      <w:r>
        <w:rPr>
          <w:rFonts w:ascii="Times New Roman" w:hAnsi="Times New Roman"/>
          <w:b/>
          <w:noProof/>
          <w:sz w:val="23"/>
          <w:szCs w:val="23"/>
        </w:rPr>
        <w:t>)</w:t>
      </w:r>
      <w:r>
        <w:rPr>
          <w:rFonts w:ascii="Times New Roman" w:hAnsi="Times New Roman"/>
          <w:noProof/>
          <w:sz w:val="23"/>
          <w:szCs w:val="23"/>
        </w:rPr>
        <w:t xml:space="preserve">.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Lai reaģētu uz jaunuzņēmumu vajadzībām, ES kopā ar SFI izstrādās inovatīvu un viedu finansēšanas programmu (tajā skaitā pašu kapitāla, riska kapitāla, komerceņģeļu un kolektīvo finansēšanu). ES palīdzība vēl vairāk stiprinās uzņēmējdarbības atbalsta organizācijas, atbalstīs MVU internacionalizāciju un atvieglos publiskā un privātā sektora dialogu, vienlaikus pievēršoties vajadzībai pēc zināšanām un prasmēm, lai veicinātu inovāciju, uzņēmējdarbību un radošumu, kas atbilst nākotnes tirgus vajadzībām. ES turpinās atbalstīt uzņēmējdarbību, jo īpaši sieviešu vadītas iniciatīvas, un mudinās vairāk jauniešu kļūt par uzņēmējiem.</w:t>
      </w:r>
    </w:p>
    <w:p>
      <w:pPr>
        <w:spacing w:after="240" w:line="240" w:lineRule="auto"/>
        <w:jc w:val="both"/>
        <w:rPr>
          <w:rFonts w:ascii="Times New Roman" w:eastAsia="Times New Roman" w:hAnsi="Times New Roman" w:cs="Times New Roman"/>
          <w:iCs/>
          <w:noProof/>
          <w:sz w:val="23"/>
          <w:szCs w:val="23"/>
        </w:rPr>
      </w:pPr>
      <w:r>
        <w:rPr>
          <w:rFonts w:ascii="Times New Roman" w:hAnsi="Times New Roman"/>
          <w:noProof/>
          <w:sz w:val="23"/>
          <w:szCs w:val="23"/>
        </w:rPr>
        <w:t xml:space="preserve">Lai virzītos uz </w:t>
      </w:r>
      <w:r>
        <w:rPr>
          <w:rFonts w:ascii="Times New Roman" w:hAnsi="Times New Roman"/>
          <w:b/>
          <w:noProof/>
          <w:sz w:val="23"/>
          <w:szCs w:val="23"/>
        </w:rPr>
        <w:t>iekļaujošu un taisnīgu ekonomiku, kas sniedz labumu visiem</w:t>
      </w:r>
      <w:r>
        <w:rPr>
          <w:rFonts w:ascii="Times New Roman" w:hAnsi="Times New Roman"/>
          <w:noProof/>
          <w:sz w:val="23"/>
          <w:szCs w:val="23"/>
        </w:rPr>
        <w:t>, ES palīdzēs partnervalstīm atraisīt savu lauku apvidu ekonomisko potenciālu, tajā skaitā atbalstot lauksaimniekus un modernu kooperatīvu un ražotāju grupu izveidi. ES stiprinās sadarbību ārpus galvaspilsētām un veidos saiknes starp vietējiem pilsētu centriem un lauku apvidiem.</w:t>
      </w:r>
      <w:r>
        <w:rPr>
          <w:rFonts w:ascii="Times New Roman" w:hAnsi="Times New Roman"/>
          <w:iCs/>
          <w:noProof/>
          <w:sz w:val="23"/>
          <w:szCs w:val="23"/>
        </w:rPr>
        <w:t xml:space="preserve"> </w:t>
      </w:r>
      <w:r>
        <w:rPr>
          <w:rFonts w:ascii="Times New Roman" w:hAnsi="Times New Roman"/>
          <w:noProof/>
          <w:sz w:val="23"/>
          <w:szCs w:val="23"/>
        </w:rPr>
        <w:t>Tā pamatā ir Eiropas Komisijas pārdomātas specializācijas metodika, ko piemēro Eiropas Savienībā.</w:t>
      </w:r>
    </w:p>
    <w:p>
      <w:pPr>
        <w:pStyle w:val="ListParagraph"/>
        <w:keepNext/>
        <w:spacing w:after="240" w:line="240" w:lineRule="auto"/>
        <w:ind w:left="1922"/>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4.1.3. Pastiprināta savienojamība</w:t>
      </w:r>
    </w:p>
    <w:p>
      <w:pPr>
        <w:spacing w:after="0" w:line="240" w:lineRule="auto"/>
        <w:jc w:val="both"/>
        <w:rPr>
          <w:rFonts w:ascii="Times New Roman" w:eastAsia="Times New Roman" w:hAnsi="Times New Roman" w:cs="Times New Roman"/>
          <w:b/>
          <w:noProof/>
          <w:color w:val="000000" w:themeColor="text1"/>
          <w:sz w:val="23"/>
          <w:szCs w:val="23"/>
        </w:rPr>
      </w:pPr>
      <w:r>
        <w:rPr>
          <w:rFonts w:ascii="Times New Roman" w:hAnsi="Times New Roman"/>
          <w:b/>
          <w:noProof/>
          <w:color w:val="000000" w:themeColor="text1"/>
          <w:sz w:val="23"/>
          <w:szCs w:val="23"/>
        </w:rPr>
        <w:t>Spēcīgi starpsavienojumi starp ES un AP</w:t>
      </w:r>
      <w:r>
        <w:rPr>
          <w:rFonts w:ascii="Times New Roman" w:hAnsi="Times New Roman"/>
          <w:noProof/>
          <w:color w:val="000000" w:themeColor="text1"/>
          <w:sz w:val="23"/>
          <w:szCs w:val="23"/>
        </w:rPr>
        <w:t xml:space="preserve">, kā arī starp partnervalstīm ir svarīgi ekonomikas attīstības, reģionālās integrācijas, tirdzniecības un mobilitātes virzītājspēki. Ilgtspējīga, uz noteikumiem balstīta un droša savienojamība ir </w:t>
      </w:r>
      <w:r>
        <w:rPr>
          <w:rFonts w:ascii="Times New Roman" w:hAnsi="Times New Roman"/>
          <w:b/>
          <w:noProof/>
          <w:color w:val="000000" w:themeColor="text1"/>
          <w:sz w:val="23"/>
          <w:szCs w:val="23"/>
        </w:rPr>
        <w:t>būtiska gan ES, gan partnervalstīm</w:t>
      </w:r>
      <w:r>
        <w:rPr>
          <w:rFonts w:ascii="Times New Roman" w:hAnsi="Times New Roman"/>
          <w:noProof/>
          <w:color w:val="000000" w:themeColor="text1"/>
          <w:sz w:val="23"/>
          <w:szCs w:val="23"/>
        </w:rPr>
        <w:t>.</w:t>
      </w:r>
    </w:p>
    <w:p>
      <w:pPr>
        <w:spacing w:before="240" w:after="0" w:line="240" w:lineRule="auto"/>
        <w:jc w:val="both"/>
        <w:rPr>
          <w:rFonts w:ascii="Times New Roman" w:eastAsia="Times New Roman" w:hAnsi="Times New Roman" w:cs="Times New Roman"/>
          <w:noProof/>
          <w:color w:val="000000" w:themeColor="text1"/>
          <w:sz w:val="23"/>
          <w:szCs w:val="23"/>
        </w:rPr>
      </w:pPr>
      <w:r>
        <w:rPr>
          <w:rFonts w:ascii="Times New Roman" w:hAnsi="Times New Roman"/>
          <w:noProof/>
          <w:color w:val="000000" w:themeColor="text1"/>
          <w:sz w:val="23"/>
          <w:szCs w:val="23"/>
        </w:rPr>
        <w:t xml:space="preserve">Attiecībā uz </w:t>
      </w:r>
      <w:r>
        <w:rPr>
          <w:rFonts w:ascii="Times New Roman" w:hAnsi="Times New Roman"/>
          <w:b/>
          <w:bCs/>
          <w:noProof/>
          <w:color w:val="000000" w:themeColor="text1"/>
          <w:sz w:val="23"/>
          <w:szCs w:val="23"/>
        </w:rPr>
        <w:t>transportu</w:t>
      </w:r>
      <w:r>
        <w:rPr>
          <w:rFonts w:ascii="Times New Roman" w:hAnsi="Times New Roman"/>
          <w:noProof/>
          <w:color w:val="000000" w:themeColor="text1"/>
          <w:sz w:val="23"/>
          <w:szCs w:val="23"/>
        </w:rPr>
        <w:t xml:space="preserve"> ES koncentrēsies uz ilgtermiņa </w:t>
      </w:r>
      <w:r>
        <w:rPr>
          <w:rFonts w:ascii="Times New Roman" w:hAnsi="Times New Roman"/>
          <w:b/>
          <w:bCs/>
          <w:noProof/>
          <w:color w:val="000000" w:themeColor="text1"/>
          <w:sz w:val="23"/>
          <w:szCs w:val="23"/>
        </w:rPr>
        <w:t>prioritārajām investīcijām</w:t>
      </w:r>
      <w:r>
        <w:rPr>
          <w:rFonts w:ascii="Times New Roman" w:hAnsi="Times New Roman"/>
          <w:noProof/>
          <w:color w:val="000000" w:themeColor="text1"/>
          <w:sz w:val="23"/>
          <w:szCs w:val="23"/>
        </w:rPr>
        <w:t xml:space="preserve">, kas izklāstītas </w:t>
      </w:r>
      <w:r>
        <w:rPr>
          <w:rFonts w:ascii="Times New Roman" w:hAnsi="Times New Roman"/>
          <w:b/>
          <w:bCs/>
          <w:noProof/>
          <w:color w:val="000000" w:themeColor="text1"/>
          <w:sz w:val="23"/>
          <w:szCs w:val="23"/>
        </w:rPr>
        <w:t>Eiropas transporta tīkla</w:t>
      </w:r>
      <w:r>
        <w:rPr>
          <w:rFonts w:ascii="Times New Roman" w:hAnsi="Times New Roman"/>
          <w:noProof/>
          <w:color w:val="000000" w:themeColor="text1"/>
          <w:sz w:val="23"/>
          <w:szCs w:val="23"/>
        </w:rPr>
        <w:t xml:space="preserve"> (</w:t>
      </w:r>
      <w:r>
        <w:rPr>
          <w:rFonts w:ascii="Times New Roman" w:hAnsi="Times New Roman"/>
          <w:i/>
          <w:noProof/>
          <w:color w:val="000000" w:themeColor="text1"/>
          <w:sz w:val="23"/>
          <w:szCs w:val="23"/>
        </w:rPr>
        <w:t>TEN-T</w:t>
      </w:r>
      <w:r>
        <w:rPr>
          <w:rFonts w:ascii="Times New Roman" w:hAnsi="Times New Roman"/>
          <w:noProof/>
          <w:color w:val="000000" w:themeColor="text1"/>
          <w:sz w:val="23"/>
          <w:szCs w:val="23"/>
        </w:rPr>
        <w:t>) indikatīvajā investīciju rīcības plānā</w:t>
      </w:r>
      <w:r>
        <w:rPr>
          <w:rStyle w:val="FootnoteReference"/>
          <w:rFonts w:ascii="Times New Roman" w:eastAsia="Times New Roman" w:hAnsi="Times New Roman" w:cs="Times New Roman"/>
          <w:noProof/>
          <w:color w:val="000000" w:themeColor="text1"/>
          <w:sz w:val="23"/>
          <w:szCs w:val="23"/>
          <w:lang w:val="en-IE" w:eastAsia="en-GB"/>
        </w:rPr>
        <w:footnoteReference w:id="8"/>
      </w:r>
      <w:r>
        <w:rPr>
          <w:rFonts w:ascii="Times New Roman" w:hAnsi="Times New Roman"/>
          <w:noProof/>
          <w:color w:val="000000" w:themeColor="text1"/>
          <w:sz w:val="23"/>
          <w:szCs w:val="23"/>
        </w:rPr>
        <w:t>. Tas ietver galvenās fiziskās infrastruktūras uzlabošanu autoceļu, dzelzceļa, ostu, iekšējo ūdensceļu un lidostu objektos un loģistikas centros, lai vēl vairāk stiprinātu savienojamību starp ES un partnervalstīm, kā arī starp pašām partnervalstīm. To atbalstīs, izmantojot apvienošanu un garantijas Kaimiņattiecību politikas investīciju platformas ietvaros. ES palielinās arī ES un starptautisko transporta standartu izmantošanu, tajā skaitā ceļu satiksmes drošības jomā, saskaņā ar 2018. gada Austrumu partnerības deklarāciju par ceļu satiksmes drošību</w:t>
      </w:r>
      <w:r>
        <w:rPr>
          <w:rStyle w:val="FootnoteReference"/>
          <w:rFonts w:ascii="Times New Roman" w:eastAsia="Times New Roman" w:hAnsi="Times New Roman" w:cs="Times New Roman"/>
          <w:noProof/>
          <w:color w:val="000000" w:themeColor="text1"/>
          <w:sz w:val="23"/>
          <w:szCs w:val="23"/>
          <w:lang w:val="en-IE" w:eastAsia="en-GB"/>
        </w:rPr>
        <w:footnoteReference w:id="9"/>
      </w:r>
      <w:r>
        <w:rPr>
          <w:rFonts w:ascii="Times New Roman" w:hAnsi="Times New Roman"/>
          <w:noProof/>
          <w:color w:val="000000" w:themeColor="text1"/>
          <w:sz w:val="23"/>
          <w:szCs w:val="23"/>
        </w:rPr>
        <w:t>. Tā arī pastiprinās darbu pie kopējās aviācijas telpas nolīgumiem un aviācijas drošības. Atzīstot austrumu partnervalstu nozīmi Eiropas un Āzijas savienojamībā, ES veicinās un atbalstīs partnervalstu sadarbību stratēģijas par Eiropas un Āzijas savienojamību</w:t>
      </w:r>
      <w:r>
        <w:rPr>
          <w:rStyle w:val="FootnoteReference"/>
          <w:rFonts w:ascii="Times New Roman" w:eastAsia="Times New Roman" w:hAnsi="Times New Roman" w:cs="Times New Roman"/>
          <w:noProof/>
          <w:color w:val="000000" w:themeColor="text1"/>
          <w:sz w:val="23"/>
          <w:szCs w:val="23"/>
          <w:lang w:val="en-IE" w:eastAsia="en-GB"/>
        </w:rPr>
        <w:footnoteReference w:id="10"/>
      </w:r>
      <w:r>
        <w:rPr>
          <w:rFonts w:ascii="Times New Roman" w:hAnsi="Times New Roman"/>
          <w:noProof/>
          <w:color w:val="000000" w:themeColor="text1"/>
          <w:sz w:val="23"/>
          <w:szCs w:val="23"/>
        </w:rPr>
        <w:t xml:space="preserve"> īstenošanā.</w:t>
      </w:r>
    </w:p>
    <w:p>
      <w:pPr>
        <w:spacing w:before="240" w:after="0" w:line="240" w:lineRule="auto"/>
        <w:jc w:val="both"/>
        <w:rPr>
          <w:rFonts w:ascii="Times New Roman" w:eastAsia="Times New Roman" w:hAnsi="Times New Roman" w:cs="Times New Roman"/>
          <w:noProof/>
          <w:color w:val="000000" w:themeColor="text1"/>
          <w:sz w:val="23"/>
          <w:szCs w:val="23"/>
        </w:rPr>
      </w:pPr>
      <w:r>
        <w:rPr>
          <w:rFonts w:ascii="Times New Roman" w:hAnsi="Times New Roman"/>
          <w:noProof/>
          <w:color w:val="000000" w:themeColor="text1"/>
          <w:sz w:val="23"/>
          <w:szCs w:val="23"/>
        </w:rPr>
        <w:t xml:space="preserve">Attiecībā uz </w:t>
      </w:r>
      <w:r>
        <w:rPr>
          <w:rFonts w:ascii="Times New Roman" w:hAnsi="Times New Roman"/>
          <w:b/>
          <w:bCs/>
          <w:noProof/>
          <w:color w:val="000000" w:themeColor="text1"/>
          <w:sz w:val="23"/>
          <w:szCs w:val="23"/>
        </w:rPr>
        <w:t>energosavienojamību</w:t>
      </w:r>
      <w:r>
        <w:rPr>
          <w:rFonts w:ascii="Times New Roman" w:hAnsi="Times New Roman"/>
          <w:noProof/>
          <w:color w:val="000000" w:themeColor="text1"/>
          <w:sz w:val="23"/>
          <w:szCs w:val="23"/>
        </w:rPr>
        <w:t xml:space="preserve"> ES turpinās sadarboties ar partnervalstīm, lai stiprinātu pārrobežu un starpreģionālos starpsavienojumus. </w:t>
      </w:r>
      <w:r>
        <w:rPr>
          <w:rFonts w:ascii="Times New Roman" w:hAnsi="Times New Roman"/>
          <w:b/>
          <w:noProof/>
          <w:color w:val="000000" w:themeColor="text1"/>
          <w:sz w:val="23"/>
          <w:szCs w:val="23"/>
        </w:rPr>
        <w:t>Dienvidu gāzes koridora</w:t>
      </w:r>
      <w:r>
        <w:rPr>
          <w:rFonts w:ascii="Times New Roman" w:hAnsi="Times New Roman"/>
          <w:noProof/>
          <w:color w:val="000000" w:themeColor="text1"/>
          <w:sz w:val="23"/>
          <w:szCs w:val="23"/>
        </w:rPr>
        <w:t xml:space="preserve"> izveide tuvojas noslēgumam, un paredzams, ka 2020. gadā pirmo gāzi no Azerbaidžānas nogādās ES. Uz pierādījumiem balstīta enerģētikas politika un datu vākšana, izmantošana un pārvaldība tiks vēl vairāk atbalstīta ar iniciatīvu “EU4Energy” un enerģētikas politikas dialogu. Pašlaik notiekošā Enerģētikas kopienas līguma grozīšana, kurā piedalās trīs partnervalstis, būs vērsta uz to, lai padarītu Enerģētikas kopienu efektīvāku un piemērotāku ilgtspējīgas enerģijas nākotnei. ES arī palīdzēs partnervalstīm palielināt </w:t>
      </w:r>
      <w:r>
        <w:rPr>
          <w:rFonts w:ascii="Times New Roman" w:hAnsi="Times New Roman"/>
          <w:b/>
          <w:bCs/>
          <w:noProof/>
          <w:color w:val="000000" w:themeColor="text1"/>
          <w:sz w:val="23"/>
          <w:szCs w:val="23"/>
        </w:rPr>
        <w:t>energoapgādes drošību</w:t>
      </w:r>
      <w:r>
        <w:rPr>
          <w:rFonts w:ascii="Times New Roman" w:hAnsi="Times New Roman"/>
          <w:noProof/>
          <w:color w:val="000000" w:themeColor="text1"/>
          <w:sz w:val="23"/>
          <w:szCs w:val="23"/>
        </w:rPr>
        <w:t xml:space="preserve">, dažādojot naftas vai gāzes importu, </w:t>
      </w:r>
      <w:r>
        <w:rPr>
          <w:rFonts w:ascii="Times New Roman" w:hAnsi="Times New Roman"/>
          <w:b/>
          <w:bCs/>
          <w:noProof/>
          <w:color w:val="000000" w:themeColor="text1"/>
          <w:sz w:val="23"/>
          <w:szCs w:val="23"/>
        </w:rPr>
        <w:t>veicot investīcijas atjaunojamos energoresursos</w:t>
      </w:r>
      <w:r>
        <w:rPr>
          <w:rFonts w:ascii="Times New Roman" w:hAnsi="Times New Roman"/>
          <w:noProof/>
          <w:color w:val="000000" w:themeColor="text1"/>
          <w:sz w:val="23"/>
          <w:szCs w:val="23"/>
        </w:rPr>
        <w:t xml:space="preserve"> un </w:t>
      </w:r>
      <w:r>
        <w:rPr>
          <w:rFonts w:ascii="Times New Roman" w:hAnsi="Times New Roman"/>
          <w:b/>
          <w:bCs/>
          <w:noProof/>
          <w:color w:val="000000" w:themeColor="text1"/>
          <w:sz w:val="23"/>
          <w:szCs w:val="23"/>
        </w:rPr>
        <w:t>uzlabojot energoefektivitāti</w:t>
      </w:r>
      <w:r>
        <w:rPr>
          <w:rFonts w:ascii="Times New Roman" w:hAnsi="Times New Roman"/>
          <w:noProof/>
          <w:color w:val="000000" w:themeColor="text1"/>
          <w:sz w:val="23"/>
          <w:szCs w:val="23"/>
        </w:rPr>
        <w:t>, kā arī veicinot enerģijas tirgus integrāciju, pamatojoties uz atbilstīgiem tiesību aktiem.</w:t>
      </w:r>
    </w:p>
    <w:p>
      <w:pPr>
        <w:spacing w:before="240"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Uz satelītiem balstīta savienojamība veicina viedu un drošu transportu, zaļākas pilsētas un sekmē ekonomikas digitalizāciju un modernizāciju. Šajā kontekstā sadarbība ar partnervalstīm attiecībā uz Eiropas Ģeostacionārās navigācijas pārklājuma dienesta seguma paplašināšanu veicinās drošāku aviāciju saskaņā ar ES tiesību aktiem, izmaksu ziņā efektīvu jūras un dzelzceļa transportu un palīdzēs sekmēt augstas precizitātes lauksaimniecību.</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color w:val="000000" w:themeColor="text1"/>
          <w:sz w:val="23"/>
          <w:szCs w:val="23"/>
        </w:rPr>
        <w:t xml:space="preserve">Spēcīgam </w:t>
      </w:r>
      <w:r>
        <w:rPr>
          <w:rFonts w:ascii="Times New Roman" w:hAnsi="Times New Roman"/>
          <w:b/>
          <w:noProof/>
          <w:color w:val="000000" w:themeColor="text1"/>
          <w:sz w:val="23"/>
          <w:szCs w:val="23"/>
        </w:rPr>
        <w:t>politikas dialogam</w:t>
      </w:r>
      <w:r>
        <w:rPr>
          <w:rFonts w:ascii="Times New Roman" w:hAnsi="Times New Roman"/>
          <w:noProof/>
          <w:color w:val="000000" w:themeColor="text1"/>
          <w:sz w:val="23"/>
          <w:szCs w:val="23"/>
        </w:rPr>
        <w:t xml:space="preserve"> un vienota infrastruktūras projektu plānojuma izveidei ir būtiska nozīme, lai optimizētu </w:t>
      </w:r>
      <w:r>
        <w:rPr>
          <w:rFonts w:ascii="Times New Roman" w:hAnsi="Times New Roman"/>
          <w:b/>
          <w:noProof/>
          <w:color w:val="000000" w:themeColor="text1"/>
          <w:sz w:val="23"/>
          <w:szCs w:val="23"/>
        </w:rPr>
        <w:t>investīciju portfeli</w:t>
      </w:r>
      <w:r>
        <w:rPr>
          <w:rFonts w:ascii="Times New Roman" w:hAnsi="Times New Roman"/>
          <w:noProof/>
          <w:color w:val="000000" w:themeColor="text1"/>
          <w:sz w:val="23"/>
          <w:szCs w:val="23"/>
        </w:rPr>
        <w:t xml:space="preserve">. Pareiza makroekonomikas politika un publisko finanšu pārvaldība, fiskālo iespēju radīšana publiskajām investīcijām, vienlīdzīgu konkurences apstākļu nodrošināšana sadarbībai ar privāto sektoru, tajā skaitā ar publisko un privāto partnerību starpniecību, ir nepieciešami nosacījumi, lai nodrošinātu infrastruktūras ilgtspēju visās jomās. </w:t>
      </w:r>
    </w:p>
    <w:p>
      <w:pPr>
        <w:keepNext/>
        <w:tabs>
          <w:tab w:val="num" w:pos="1922"/>
        </w:tabs>
        <w:spacing w:after="240" w:line="240" w:lineRule="auto"/>
        <w:ind w:left="1202"/>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4.1.4. Investīcijas cilvēkos</w:t>
      </w:r>
    </w:p>
    <w:p>
      <w:pPr>
        <w:spacing w:before="120" w:after="120" w:line="240" w:lineRule="auto"/>
        <w:jc w:val="both"/>
        <w:rPr>
          <w:rFonts w:ascii="Times New Roman" w:eastAsia="Times New Roman" w:hAnsi="Times New Roman" w:cs="Times New Roman"/>
          <w:bCs/>
          <w:noProof/>
          <w:sz w:val="23"/>
          <w:szCs w:val="23"/>
        </w:rPr>
      </w:pPr>
      <w:r>
        <w:rPr>
          <w:rFonts w:ascii="Times New Roman" w:hAnsi="Times New Roman"/>
          <w:b/>
          <w:noProof/>
          <w:color w:val="000000"/>
          <w:sz w:val="23"/>
          <w:szCs w:val="23"/>
        </w:rPr>
        <w:t>Investīcijas cilvēkos ir būtiskas, lai sagatavotos nākotnei</w:t>
      </w:r>
      <w:r>
        <w:rPr>
          <w:rFonts w:ascii="Times New Roman" w:hAnsi="Times New Roman"/>
          <w:noProof/>
          <w:color w:val="000000"/>
          <w:sz w:val="23"/>
          <w:szCs w:val="23"/>
        </w:rPr>
        <w:t xml:space="preserve"> un veicinātu sabiedrības un ekonomikas noturību. </w:t>
      </w:r>
      <w:r>
        <w:rPr>
          <w:rFonts w:ascii="Times New Roman" w:hAnsi="Times New Roman"/>
          <w:noProof/>
          <w:sz w:val="23"/>
          <w:szCs w:val="23"/>
        </w:rPr>
        <w:t xml:space="preserve">Balstoties uz sasniegumiem jauniešu labā, ES ierosina </w:t>
      </w:r>
      <w:r>
        <w:rPr>
          <w:rFonts w:ascii="Times New Roman" w:hAnsi="Times New Roman"/>
          <w:b/>
          <w:noProof/>
          <w:sz w:val="23"/>
          <w:szCs w:val="23"/>
        </w:rPr>
        <w:t>jaunu kursu jauniešu labā</w:t>
      </w:r>
      <w:r>
        <w:rPr>
          <w:rFonts w:ascii="Times New Roman" w:hAnsi="Times New Roman"/>
          <w:noProof/>
          <w:sz w:val="23"/>
          <w:szCs w:val="23"/>
        </w:rPr>
        <w:t xml:space="preserve">, kas ietvers šādus elementus: i) plaisas mazināšana starp darba tirgu un izglītības nozari; ii) atbalsta palielināšana </w:t>
      </w:r>
      <w:r>
        <w:rPr>
          <w:rFonts w:ascii="Times New Roman" w:hAnsi="Times New Roman"/>
          <w:b/>
          <w:noProof/>
          <w:sz w:val="23"/>
          <w:szCs w:val="23"/>
        </w:rPr>
        <w:t>jauniešu nodarbinātībai</w:t>
      </w:r>
      <w:r>
        <w:rPr>
          <w:rFonts w:ascii="Times New Roman" w:hAnsi="Times New Roman"/>
          <w:noProof/>
          <w:sz w:val="23"/>
          <w:szCs w:val="23"/>
        </w:rPr>
        <w:t xml:space="preserve"> un </w:t>
      </w:r>
      <w:r>
        <w:rPr>
          <w:rFonts w:ascii="Times New Roman" w:hAnsi="Times New Roman"/>
          <w:b/>
          <w:noProof/>
          <w:sz w:val="23"/>
          <w:szCs w:val="23"/>
        </w:rPr>
        <w:t>jauniešu uzņēmējdarbībai</w:t>
      </w:r>
      <w:r>
        <w:rPr>
          <w:rFonts w:ascii="Times New Roman" w:hAnsi="Times New Roman"/>
          <w:noProof/>
          <w:sz w:val="23"/>
          <w:szCs w:val="23"/>
        </w:rPr>
        <w:t>;</w:t>
      </w:r>
      <w:r>
        <w:rPr>
          <w:rFonts w:ascii="Times New Roman" w:hAnsi="Times New Roman"/>
          <w:bCs/>
          <w:noProof/>
          <w:sz w:val="23"/>
          <w:szCs w:val="23"/>
        </w:rPr>
        <w:t xml:space="preserve"> </w:t>
      </w:r>
      <w:r>
        <w:rPr>
          <w:rFonts w:ascii="Times New Roman" w:hAnsi="Times New Roman"/>
          <w:noProof/>
          <w:sz w:val="23"/>
          <w:szCs w:val="23"/>
        </w:rPr>
        <w:t>iii) aktīvi darba tirgus pasākumi, piemēram, garantija jauniešiem, kas tiks pielāgota partnervalstu darba tirgiem,</w:t>
      </w:r>
      <w:r>
        <w:rPr>
          <w:rFonts w:ascii="Times New Roman" w:hAnsi="Times New Roman"/>
          <w:bCs/>
          <w:noProof/>
          <w:sz w:val="23"/>
          <w:szCs w:val="23"/>
        </w:rPr>
        <w:t xml:space="preserve"> </w:t>
      </w:r>
      <w:r>
        <w:rPr>
          <w:rFonts w:ascii="Times New Roman" w:hAnsi="Times New Roman"/>
          <w:noProof/>
          <w:sz w:val="23"/>
          <w:szCs w:val="23"/>
        </w:rPr>
        <w:t xml:space="preserve">un iv) balstoties uz jauno AP ierēdņu “ēnošanas” darbā izmēģinājuma shēmu, </w:t>
      </w:r>
      <w:r>
        <w:rPr>
          <w:rFonts w:ascii="Times New Roman" w:hAnsi="Times New Roman"/>
          <w:b/>
          <w:noProof/>
          <w:sz w:val="23"/>
          <w:szCs w:val="23"/>
        </w:rPr>
        <w:t>AP mobilitātes un apmaiņas programmas izveide, kas paredzēta jaunajiem profesionāļiem</w:t>
      </w:r>
      <w:r>
        <w:rPr>
          <w:rFonts w:ascii="Times New Roman" w:hAnsi="Times New Roman"/>
          <w:noProof/>
          <w:sz w:val="23"/>
          <w:szCs w:val="23"/>
        </w:rPr>
        <w:t>.</w:t>
      </w:r>
    </w:p>
    <w:p>
      <w:pPr>
        <w:spacing w:after="12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Izglītības reforma</w:t>
      </w:r>
      <w:r>
        <w:rPr>
          <w:rFonts w:ascii="Times New Roman" w:hAnsi="Times New Roman"/>
          <w:bCs/>
          <w:noProof/>
          <w:sz w:val="23"/>
          <w:szCs w:val="23"/>
        </w:rPr>
        <w:t xml:space="preserve"> būs stratēģiska prioritāte. </w:t>
      </w:r>
      <w:r>
        <w:rPr>
          <w:rFonts w:ascii="Times New Roman" w:hAnsi="Times New Roman"/>
          <w:noProof/>
          <w:sz w:val="23"/>
          <w:szCs w:val="23"/>
        </w:rPr>
        <w:t>Tā cita starpā ietvers i) pārvaldību un spēju veidošanu; ii) modernizāciju un inovāciju visos izglītības un apmācības līmeņos; iii) tiesību aktu un politikas saskaņošanu ar Eiropas norisēm, tajā skaitā Eiropas augstākās izglītības telpu (Boloņas process) vai Turīnas procesu</w:t>
      </w:r>
      <w:r>
        <w:rPr>
          <w:noProof/>
        </w:rPr>
        <w:t xml:space="preserve"> </w:t>
      </w:r>
      <w:r>
        <w:rPr>
          <w:rFonts w:ascii="Times New Roman" w:hAnsi="Times New Roman"/>
          <w:noProof/>
          <w:sz w:val="23"/>
          <w:szCs w:val="23"/>
        </w:rPr>
        <w:t xml:space="preserve">profesionālās izglītības un apmācības jomā; un iv) </w:t>
      </w:r>
      <w:r>
        <w:rPr>
          <w:rFonts w:ascii="Times New Roman" w:hAnsi="Times New Roman"/>
          <w:b/>
          <w:noProof/>
          <w:sz w:val="23"/>
          <w:szCs w:val="23"/>
        </w:rPr>
        <w:t>skolotāju apmācības</w:t>
      </w:r>
      <w:r>
        <w:rPr>
          <w:rFonts w:ascii="Times New Roman" w:hAnsi="Times New Roman"/>
          <w:noProof/>
          <w:sz w:val="23"/>
          <w:szCs w:val="23"/>
        </w:rPr>
        <w:t xml:space="preserve"> stiprināšanu, paraugprakses apmaiņu un atbalstu modernu mācību programmu un mācīšanas un mācīšanās prakses ieviešanai. </w:t>
      </w:r>
      <w:r>
        <w:rPr>
          <w:rFonts w:ascii="Times New Roman" w:hAnsi="Times New Roman"/>
          <w:b/>
          <w:noProof/>
          <w:sz w:val="23"/>
          <w:szCs w:val="23"/>
        </w:rPr>
        <w:t>Programma “Erasmus+”</w:t>
      </w:r>
      <w:r>
        <w:rPr>
          <w:rFonts w:ascii="Times New Roman" w:hAnsi="Times New Roman"/>
          <w:noProof/>
          <w:sz w:val="23"/>
          <w:szCs w:val="23"/>
        </w:rPr>
        <w:t xml:space="preserve">, kas ir būtisks elements ES atbalstā izglītības un apmācības sistēmu modernizācijai un internacionalizācijai, nodrošinās lielākas mobilitātes un spēju veidošanas iespējas formālajā un neformālajā izglītībā. Dalība </w:t>
      </w:r>
      <w:r>
        <w:rPr>
          <w:rFonts w:ascii="Times New Roman" w:hAnsi="Times New Roman"/>
          <w:b/>
          <w:bCs/>
          <w:noProof/>
          <w:sz w:val="23"/>
          <w:szCs w:val="23"/>
        </w:rPr>
        <w:t>Eiropas Solidaritātes korpusā</w:t>
      </w:r>
      <w:r>
        <w:rPr>
          <w:rFonts w:ascii="Times New Roman" w:hAnsi="Times New Roman"/>
          <w:noProof/>
          <w:sz w:val="23"/>
          <w:szCs w:val="23"/>
        </w:rPr>
        <w:t xml:space="preserve"> ļaus jauniešiem veikt brīvprātīgo darbu vai strādāt projektos, kas sniedz labumu kopienām un cilvēkiem visā Eiropā. Vadošā </w:t>
      </w:r>
      <w:r>
        <w:rPr>
          <w:rFonts w:ascii="Times New Roman" w:hAnsi="Times New Roman"/>
          <w:b/>
          <w:noProof/>
          <w:sz w:val="23"/>
          <w:szCs w:val="23"/>
        </w:rPr>
        <w:t>Eiropas skola Gruzijā</w:t>
      </w:r>
      <w:r>
        <w:rPr>
          <w:rFonts w:ascii="Times New Roman" w:hAnsi="Times New Roman"/>
          <w:noProof/>
          <w:sz w:val="23"/>
          <w:szCs w:val="23"/>
        </w:rPr>
        <w:t xml:space="preserve"> kļūs par pilntiesīgu vidusskolu jaunās telpās. </w:t>
      </w:r>
    </w:p>
    <w:p>
      <w:pPr>
        <w:spacing w:after="240" w:line="240" w:lineRule="auto"/>
        <w:jc w:val="both"/>
        <w:rPr>
          <w:rFonts w:ascii="Times New Roman" w:eastAsia="Times New Roman" w:hAnsi="Times New Roman" w:cs="Times New Roman"/>
          <w:b/>
          <w:bCs/>
          <w:noProof/>
          <w:sz w:val="23"/>
          <w:szCs w:val="23"/>
        </w:rPr>
      </w:pPr>
      <w:r>
        <w:rPr>
          <w:rFonts w:ascii="Times New Roman" w:hAnsi="Times New Roman"/>
          <w:b/>
          <w:noProof/>
          <w:sz w:val="23"/>
          <w:szCs w:val="23"/>
        </w:rPr>
        <w:t>Pētniecībai un inovācijai</w:t>
      </w:r>
      <w:r>
        <w:rPr>
          <w:rFonts w:ascii="Times New Roman" w:hAnsi="Times New Roman"/>
          <w:noProof/>
          <w:sz w:val="23"/>
          <w:szCs w:val="23"/>
        </w:rPr>
        <w:t xml:space="preserve"> ir izšķiroša nozīme pienācīgu un ilgtspējīgu darbvietu radīšanā. ES turpinās atbalstīt un stiprināt partnervalstu </w:t>
      </w:r>
      <w:r>
        <w:rPr>
          <w:rFonts w:ascii="Times New Roman" w:hAnsi="Times New Roman"/>
          <w:b/>
          <w:noProof/>
          <w:sz w:val="23"/>
          <w:szCs w:val="23"/>
        </w:rPr>
        <w:t>viedu specializāciju, tehnoloģiju nodošanu un inovācijas spējas</w:t>
      </w:r>
      <w:r>
        <w:rPr>
          <w:rFonts w:ascii="Times New Roman" w:hAnsi="Times New Roman"/>
          <w:noProof/>
          <w:sz w:val="23"/>
          <w:szCs w:val="23"/>
        </w:rPr>
        <w:t xml:space="preserve">, kā arī to lielāku līdzdalību tādās ES programmās kā “Apvārsnis Eiropa” un </w:t>
      </w:r>
      <w:r>
        <w:rPr>
          <w:rFonts w:ascii="Times New Roman" w:hAnsi="Times New Roman"/>
          <w:i/>
          <w:noProof/>
          <w:sz w:val="23"/>
          <w:szCs w:val="23"/>
        </w:rPr>
        <w:t>COSME</w:t>
      </w:r>
      <w:r>
        <w:rPr>
          <w:rFonts w:ascii="Times New Roman" w:hAnsi="Times New Roman"/>
          <w:noProof/>
          <w:sz w:val="23"/>
          <w:szCs w:val="23"/>
        </w:rPr>
        <w:t xml:space="preserve">. Valstu publiskās pētniecības un inovācijas sistēmām ir jāuzlabo darbības rezultāti un konkurētspēja, tajā skaitā turpinot </w:t>
      </w:r>
      <w:r>
        <w:rPr>
          <w:rFonts w:ascii="Times New Roman" w:hAnsi="Times New Roman"/>
          <w:b/>
          <w:noProof/>
          <w:sz w:val="23"/>
          <w:szCs w:val="23"/>
        </w:rPr>
        <w:t>reformas</w:t>
      </w:r>
      <w:r>
        <w:rPr>
          <w:rFonts w:ascii="Times New Roman" w:hAnsi="Times New Roman"/>
          <w:noProof/>
          <w:sz w:val="23"/>
          <w:szCs w:val="23"/>
        </w:rPr>
        <w:t xml:space="preserve">. Jāveicina </w:t>
      </w:r>
      <w:r>
        <w:rPr>
          <w:rFonts w:ascii="Times New Roman" w:hAnsi="Times New Roman"/>
          <w:b/>
          <w:noProof/>
          <w:sz w:val="23"/>
          <w:szCs w:val="23"/>
        </w:rPr>
        <w:t>zināšanu un inovācijas kopīgās telpas</w:t>
      </w:r>
      <w:r>
        <w:rPr>
          <w:rFonts w:ascii="Times New Roman" w:hAnsi="Times New Roman"/>
          <w:noProof/>
          <w:sz w:val="23"/>
          <w:szCs w:val="23"/>
        </w:rPr>
        <w:t xml:space="preserve"> izveide starp ES un tās partnervalstīm, izmantojot zinātniskus pierādījumus, lai radītu uz zināšanām balstītas darbvietas un piesaistītu investorus inovatīviem ES un kaimiņvalstu uzņēmumiem. Pētniecība, inovācija un zināšanu nodošana arī ir būtiska lauksaimniecības modernizācijā, kas lielai AP iedzīvotāju daļai ir ļoti svarīga nozare. Tā kā viena no ES galvenajām prioritātēm nākotnē ir gūt rezultātus ar </w:t>
      </w:r>
      <w:r>
        <w:rPr>
          <w:rFonts w:ascii="Times New Roman" w:hAnsi="Times New Roman"/>
          <w:b/>
          <w:noProof/>
          <w:sz w:val="23"/>
          <w:szCs w:val="23"/>
        </w:rPr>
        <w:t>Eiropas zaļo kursu</w:t>
      </w:r>
      <w:r>
        <w:rPr>
          <w:rFonts w:ascii="Times New Roman" w:hAnsi="Times New Roman"/>
          <w:noProof/>
          <w:sz w:val="23"/>
          <w:szCs w:val="23"/>
        </w:rPr>
        <w:t>, jo īpaši kļūt par pasaules pirmo klimatneitrālo kontinentu, partnervalstis tiek mudinātas noteikt pētniecības un inovācijas prioritātes, kas saistītas ar klimata pārmaiņu mazināšanu un pielāgošanos tām, un veidot jaunas inovatīvas un ilgtspējīgas vērtību ķēdes. Tiks veicināta kopīga apņemšanās šo prioritāšu īstenošanā, kā arī stratēģijas izstrāde, kas ļaus radīt risinājumus ātrai izvēršanai.</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Turklāt ES palīdzēs valstīm maksimāli izmantot to </w:t>
      </w:r>
      <w:r>
        <w:rPr>
          <w:rFonts w:ascii="Times New Roman" w:hAnsi="Times New Roman"/>
          <w:b/>
          <w:bCs/>
          <w:noProof/>
          <w:sz w:val="23"/>
          <w:szCs w:val="23"/>
        </w:rPr>
        <w:t>kultūras un radošo nozaru</w:t>
      </w:r>
      <w:r>
        <w:rPr>
          <w:rFonts w:ascii="Times New Roman" w:hAnsi="Times New Roman"/>
          <w:noProof/>
          <w:sz w:val="23"/>
          <w:szCs w:val="23"/>
        </w:rPr>
        <w:t xml:space="preserve"> potenciālu, jo tās ir ilgtspējīgas sociālās un ekonomiskās attīstības virzītājspēki. ES uzsvērs kultūras būtisko nozīmi atvērtības veidošanā un  Eiropas vērtību popularizēšanā un starpkultūru dialoga veicināšanā miermīlīgām starpkopienu attiecībām, kā arī stiprinās sadarbību kultūras mantojuma un radošo nozaru jomā, ieskaitot audiovizuālo nozari.</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4.2. Vienoti atbildīgām iestādēm, tiesiskumam un drošībai</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Laba pārvaldība</w:t>
      </w:r>
      <w:r>
        <w:rPr>
          <w:rFonts w:ascii="Times New Roman" w:hAnsi="Times New Roman"/>
          <w:noProof/>
          <w:sz w:val="23"/>
          <w:szCs w:val="23"/>
        </w:rPr>
        <w:t xml:space="preserve"> un </w:t>
      </w:r>
      <w:r>
        <w:rPr>
          <w:rFonts w:ascii="Times New Roman" w:hAnsi="Times New Roman"/>
          <w:b/>
          <w:bCs/>
          <w:noProof/>
          <w:sz w:val="23"/>
          <w:szCs w:val="23"/>
        </w:rPr>
        <w:t>demokrātiskas iestādes, tiesiskums,</w:t>
      </w:r>
      <w:r>
        <w:rPr>
          <w:rFonts w:ascii="Times New Roman" w:hAnsi="Times New Roman"/>
          <w:noProof/>
          <w:sz w:val="23"/>
          <w:szCs w:val="23"/>
        </w:rPr>
        <w:t xml:space="preserve"> veiksmīga </w:t>
      </w:r>
      <w:r>
        <w:rPr>
          <w:rFonts w:ascii="Times New Roman" w:hAnsi="Times New Roman"/>
          <w:b/>
          <w:bCs/>
          <w:noProof/>
          <w:sz w:val="23"/>
          <w:szCs w:val="23"/>
        </w:rPr>
        <w:t>korupcijas novēršanas politika, cīņa pret organizēto noziedzību,</w:t>
      </w:r>
      <w:r>
        <w:rPr>
          <w:rFonts w:ascii="Times New Roman" w:hAnsi="Times New Roman"/>
          <w:noProof/>
          <w:sz w:val="23"/>
          <w:szCs w:val="23"/>
        </w:rPr>
        <w:t xml:space="preserve"> </w:t>
      </w:r>
      <w:r>
        <w:rPr>
          <w:rFonts w:ascii="Times New Roman" w:hAnsi="Times New Roman"/>
          <w:b/>
          <w:bCs/>
          <w:noProof/>
          <w:sz w:val="23"/>
          <w:szCs w:val="23"/>
        </w:rPr>
        <w:t>cilvēktiesību</w:t>
      </w:r>
      <w:r>
        <w:rPr>
          <w:rFonts w:ascii="Times New Roman" w:hAnsi="Times New Roman"/>
          <w:noProof/>
          <w:sz w:val="23"/>
          <w:szCs w:val="23"/>
        </w:rPr>
        <w:t xml:space="preserve"> ievērošana, </w:t>
      </w:r>
      <w:r>
        <w:rPr>
          <w:rFonts w:ascii="Times New Roman" w:hAnsi="Times New Roman"/>
          <w:b/>
          <w:bCs/>
          <w:noProof/>
          <w:sz w:val="23"/>
          <w:szCs w:val="23"/>
        </w:rPr>
        <w:t>drošība</w:t>
      </w:r>
      <w:r>
        <w:rPr>
          <w:rFonts w:ascii="Times New Roman" w:hAnsi="Times New Roman"/>
          <w:noProof/>
          <w:sz w:val="23"/>
          <w:szCs w:val="23"/>
        </w:rPr>
        <w:t xml:space="preserve">, tajā skaitā atbalsts konflikta skartiem iedzīvotājiem, ir </w:t>
      </w:r>
      <w:r>
        <w:rPr>
          <w:rFonts w:ascii="Times New Roman" w:hAnsi="Times New Roman"/>
          <w:b/>
          <w:bCs/>
          <w:noProof/>
          <w:sz w:val="23"/>
          <w:szCs w:val="23"/>
        </w:rPr>
        <w:t>pamats spēcīgai un noturīgai valstij un sabiedrībai</w:t>
      </w:r>
      <w:r>
        <w:rPr>
          <w:rFonts w:ascii="Times New Roman" w:hAnsi="Times New Roman"/>
          <w:noProof/>
          <w:sz w:val="23"/>
          <w:szCs w:val="23"/>
        </w:rPr>
        <w:t>.</w:t>
      </w:r>
      <w:r>
        <w:rPr>
          <w:rFonts w:ascii="Times New Roman" w:hAnsi="Times New Roman"/>
          <w:noProof/>
        </w:rPr>
        <w:t xml:space="preserve"> Tie ir arī būtiski </w:t>
      </w:r>
      <w:r>
        <w:rPr>
          <w:rFonts w:ascii="Times New Roman" w:hAnsi="Times New Roman"/>
          <w:b/>
          <w:bCs/>
          <w:noProof/>
        </w:rPr>
        <w:t>priekšnosacījumi funkcionējošai tirgus ekonomikai</w:t>
      </w:r>
      <w:r>
        <w:rPr>
          <w:rFonts w:ascii="Times New Roman" w:hAnsi="Times New Roman"/>
          <w:noProof/>
        </w:rPr>
        <w:t xml:space="preserve"> un </w:t>
      </w:r>
      <w:r>
        <w:rPr>
          <w:rFonts w:ascii="Times New Roman" w:hAnsi="Times New Roman"/>
          <w:b/>
          <w:bCs/>
          <w:noProof/>
        </w:rPr>
        <w:t>ilgtspējīgai izaugsmei</w:t>
      </w:r>
      <w:r>
        <w:rPr>
          <w:rFonts w:ascii="Times New Roman" w:hAnsi="Times New Roman"/>
          <w:noProof/>
        </w:rPr>
        <w:t xml:space="preserve">. </w:t>
      </w:r>
      <w:r>
        <w:rPr>
          <w:rFonts w:ascii="Times New Roman" w:hAnsi="Times New Roman"/>
          <w:noProof/>
          <w:sz w:val="23"/>
          <w:szCs w:val="23"/>
        </w:rPr>
        <w:t>Jo īpaši tiesiskums ir būtisks faktors, lai nodrošinātu efektīvu uzņēmējdarbības vidi, un svarīgs apsvērums ārvalstu tiešo ieguldījumu piesaistē.</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Raugoties nākotnē, ir jāatjauno apņemšanās ievērot partnerības pamatprincipus, lai balstītos uz līdzšinējiem sasniegumiem. Jo īpaši ES atbalsts noturīgām iestādēm, tiesiskumam un drošībai būs: i) ierosināt veidus, kā labāk izmērīt tiesu iestāžu reformu ietekmi; ii) lemjot par palīdzību, ņemt vērā tiesiskuma reformu progresu; iii) pastiprināt ES atbalstu korupcijas un ekonomisko noziegumu apkarošanā; iv) uzlabot pārrobežu sadarbību, lai labāk aizsargātu cilvēkus pret organizēto noziedzību, un v) pastiprināt atbalstu drošības dialogiem un sadarbībai.</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4.2.1. Tiesu iestāžu reformas</w:t>
      </w:r>
    </w:p>
    <w:p>
      <w:pPr>
        <w:autoSpaceDE w:val="0"/>
        <w:autoSpaceDN w:val="0"/>
        <w:adjustRightInd w:val="0"/>
        <w:spacing w:after="240" w:line="240" w:lineRule="auto"/>
        <w:jc w:val="both"/>
        <w:rPr>
          <w:rFonts w:ascii="Times New Roman" w:hAnsi="Times New Roman" w:cs="Times New Roman"/>
          <w:noProof/>
          <w:color w:val="000000"/>
          <w:sz w:val="23"/>
          <w:szCs w:val="23"/>
        </w:rPr>
      </w:pPr>
      <w:r>
        <w:rPr>
          <w:rFonts w:ascii="Times New Roman" w:hAnsi="Times New Roman"/>
          <w:noProof/>
          <w:color w:val="000000"/>
          <w:sz w:val="23"/>
          <w:szCs w:val="23"/>
        </w:rPr>
        <w:t xml:space="preserve">Turpmāko reformu pamatā vajadzētu būt saskaņošanai ar </w:t>
      </w:r>
      <w:r>
        <w:rPr>
          <w:rFonts w:ascii="Times New Roman" w:hAnsi="Times New Roman"/>
          <w:b/>
          <w:noProof/>
          <w:color w:val="000000"/>
          <w:sz w:val="23"/>
          <w:szCs w:val="23"/>
        </w:rPr>
        <w:t>Eiropas standartiem</w:t>
      </w:r>
      <w:r>
        <w:rPr>
          <w:rFonts w:ascii="Times New Roman" w:hAnsi="Times New Roman"/>
          <w:noProof/>
          <w:color w:val="000000"/>
          <w:sz w:val="23"/>
          <w:szCs w:val="23"/>
        </w:rPr>
        <w:t xml:space="preserve">. Būtu vajadzīga </w:t>
      </w:r>
      <w:r>
        <w:rPr>
          <w:rFonts w:ascii="Times New Roman" w:hAnsi="Times New Roman"/>
          <w:b/>
          <w:noProof/>
          <w:color w:val="000000"/>
          <w:sz w:val="23"/>
          <w:szCs w:val="23"/>
        </w:rPr>
        <w:t>holistiska pieeja</w:t>
      </w:r>
      <w:r>
        <w:rPr>
          <w:rFonts w:ascii="Times New Roman" w:hAnsi="Times New Roman"/>
          <w:noProof/>
          <w:color w:val="000000"/>
          <w:sz w:val="23"/>
          <w:szCs w:val="23"/>
        </w:rPr>
        <w:t xml:space="preserve">, kas aptvertu prokuratūras un tiesībaizsardzības dienestus. Tiesu iestāžu un prokuratūras </w:t>
      </w:r>
      <w:r>
        <w:rPr>
          <w:rFonts w:ascii="Times New Roman" w:hAnsi="Times New Roman"/>
          <w:b/>
          <w:noProof/>
          <w:color w:val="000000"/>
          <w:sz w:val="23"/>
          <w:szCs w:val="23"/>
        </w:rPr>
        <w:t>neatkarība un pārskatatbildība</w:t>
      </w:r>
      <w:r>
        <w:rPr>
          <w:rFonts w:ascii="Times New Roman" w:hAnsi="Times New Roman"/>
          <w:noProof/>
          <w:color w:val="000000"/>
          <w:sz w:val="23"/>
          <w:szCs w:val="23"/>
        </w:rPr>
        <w:t xml:space="preserve"> ir svarīga pārbaužu un līdzsvara sistēmā, lai nodrošinātu, ka visas valsts iestādes ievēro tiesību aktus un ka iedzīvotājiem ir piekļuve tiesu iestādēm un tie var pilnībā izmantot savas tiesības. </w:t>
      </w:r>
    </w:p>
    <w:p>
      <w:pPr>
        <w:autoSpaceDE w:val="0"/>
        <w:autoSpaceDN w:val="0"/>
        <w:adjustRightInd w:val="0"/>
        <w:spacing w:after="240" w:line="240" w:lineRule="auto"/>
        <w:jc w:val="both"/>
        <w:rPr>
          <w:rFonts w:ascii="Times New Roman" w:hAnsi="Times New Roman" w:cs="Times New Roman"/>
          <w:noProof/>
          <w:color w:val="000000"/>
          <w:sz w:val="23"/>
          <w:szCs w:val="23"/>
        </w:rPr>
      </w:pPr>
      <w:r>
        <w:rPr>
          <w:rFonts w:ascii="Times New Roman" w:hAnsi="Times New Roman"/>
          <w:noProof/>
          <w:color w:val="000000"/>
          <w:sz w:val="23"/>
          <w:szCs w:val="23"/>
        </w:rPr>
        <w:t xml:space="preserve">ES veicinās </w:t>
      </w:r>
      <w:r>
        <w:rPr>
          <w:rFonts w:ascii="Times New Roman" w:hAnsi="Times New Roman"/>
          <w:b/>
          <w:noProof/>
          <w:color w:val="000000"/>
          <w:sz w:val="23"/>
          <w:szCs w:val="23"/>
        </w:rPr>
        <w:t>starptautisko iestāžu un ekspertu aktīvu lomu</w:t>
      </w:r>
      <w:r>
        <w:rPr>
          <w:rFonts w:ascii="Times New Roman" w:hAnsi="Times New Roman"/>
          <w:noProof/>
          <w:color w:val="000000"/>
          <w:sz w:val="23"/>
          <w:szCs w:val="23"/>
        </w:rPr>
        <w:t xml:space="preserve"> reformu procesu atbalstīšanā un leģitimēšanā un izmantos savu speciālistu zināšanas tiesiskuma jautājumos. Reformām būtu jābalstās uz </w:t>
      </w:r>
      <w:r>
        <w:rPr>
          <w:rFonts w:ascii="Times New Roman" w:hAnsi="Times New Roman"/>
          <w:b/>
          <w:noProof/>
          <w:color w:val="000000"/>
          <w:sz w:val="23"/>
          <w:szCs w:val="23"/>
        </w:rPr>
        <w:t>kvalitatīvām reformu stratēģijām</w:t>
      </w:r>
      <w:r>
        <w:rPr>
          <w:rFonts w:ascii="Times New Roman" w:hAnsi="Times New Roman"/>
          <w:noProof/>
          <w:color w:val="000000"/>
          <w:sz w:val="23"/>
          <w:szCs w:val="23"/>
        </w:rPr>
        <w:t xml:space="preserve">, kuru pamatā ir teicama risināmo problēmu diagnostika. Ir </w:t>
      </w:r>
      <w:r>
        <w:rPr>
          <w:rFonts w:ascii="Times New Roman" w:hAnsi="Times New Roman"/>
          <w:b/>
          <w:noProof/>
          <w:color w:val="000000"/>
          <w:sz w:val="23"/>
          <w:szCs w:val="23"/>
        </w:rPr>
        <w:t>labāk jānovērtē reformu reālie rezultāti/ietekme</w:t>
      </w:r>
      <w:r>
        <w:rPr>
          <w:rFonts w:ascii="Times New Roman" w:hAnsi="Times New Roman"/>
          <w:noProof/>
          <w:color w:val="000000"/>
          <w:sz w:val="23"/>
          <w:szCs w:val="23"/>
        </w:rPr>
        <w:t xml:space="preserve"> un jāsaprot, kā iedzīvotāji tās uztver. ES atbalstīs attiecīgo valsts iestāžu spēju palielināšanu, lai nodrošinātu tiesnešu apmācību par vērtībām un noteikumiem, kas tiesu iestāžu darbiniekiem, piemēram, tiesnešiem un prokuroriem, jāievēro savā darbā.</w:t>
      </w:r>
    </w:p>
    <w:p>
      <w:pPr>
        <w:autoSpaceDE w:val="0"/>
        <w:autoSpaceDN w:val="0"/>
        <w:adjustRightInd w:val="0"/>
        <w:spacing w:after="240" w:line="240" w:lineRule="auto"/>
        <w:jc w:val="both"/>
        <w:rPr>
          <w:rFonts w:ascii="Times New Roman" w:hAnsi="Times New Roman" w:cs="Times New Roman"/>
          <w:noProof/>
          <w:color w:val="000000"/>
          <w:sz w:val="23"/>
          <w:szCs w:val="23"/>
          <w:highlight w:val="yellow"/>
        </w:rPr>
      </w:pPr>
      <w:r>
        <w:rPr>
          <w:rFonts w:ascii="Times New Roman" w:hAnsi="Times New Roman"/>
          <w:noProof/>
          <w:color w:val="000000"/>
          <w:sz w:val="23"/>
          <w:szCs w:val="23"/>
        </w:rPr>
        <w:t xml:space="preserve">Šajā svarīgajā jomā ES veicinās </w:t>
      </w:r>
      <w:r>
        <w:rPr>
          <w:rFonts w:ascii="Times New Roman" w:hAnsi="Times New Roman"/>
          <w:b/>
          <w:noProof/>
          <w:color w:val="000000"/>
          <w:sz w:val="23"/>
          <w:szCs w:val="23"/>
        </w:rPr>
        <w:t>tiesiskuma kultūru</w:t>
      </w:r>
      <w:r>
        <w:rPr>
          <w:rFonts w:ascii="Times New Roman" w:hAnsi="Times New Roman"/>
          <w:noProof/>
          <w:color w:val="000000"/>
          <w:sz w:val="23"/>
          <w:szCs w:val="23"/>
        </w:rPr>
        <w:t>, cieši iesaistot pilsonisko sabiedrību un uzņēmēju aprindas, kā arī pastiprinot sadarbību ar ES ieinteresētajām personām.</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4.2.2. Korupcijas un ekonomisko noziegumu apkarošana</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Korupcija apdraud tiesiskumu un sabiedrības ilgtspējīgu attīstību. Jauni </w:t>
      </w:r>
      <w:r>
        <w:rPr>
          <w:rFonts w:ascii="Times New Roman" w:hAnsi="Times New Roman"/>
          <w:b/>
          <w:bCs/>
          <w:noProof/>
          <w:sz w:val="23"/>
          <w:szCs w:val="23"/>
        </w:rPr>
        <w:t>pretkorupcijas digitālie rīki</w:t>
      </w:r>
      <w:r>
        <w:rPr>
          <w:rFonts w:ascii="Times New Roman" w:hAnsi="Times New Roman"/>
          <w:noProof/>
          <w:sz w:val="23"/>
          <w:szCs w:val="23"/>
        </w:rPr>
        <w:t xml:space="preserve"> palīdz labāk </w:t>
      </w:r>
      <w:r>
        <w:rPr>
          <w:rFonts w:ascii="Times New Roman" w:hAnsi="Times New Roman"/>
          <w:b/>
          <w:bCs/>
          <w:noProof/>
          <w:sz w:val="23"/>
          <w:szCs w:val="23"/>
        </w:rPr>
        <w:t>novērst un atklāt</w:t>
      </w:r>
      <w:r>
        <w:rPr>
          <w:rFonts w:ascii="Times New Roman" w:hAnsi="Times New Roman"/>
          <w:noProof/>
          <w:sz w:val="23"/>
          <w:szCs w:val="23"/>
        </w:rPr>
        <w:t xml:space="preserve"> pārkāpumus, un pēdējos gados ir izveidotas vairākas specializētas struktūras korupcijas apkarošanai</w:t>
      </w:r>
      <w:r>
        <w:rPr>
          <w:rFonts w:ascii="Times New Roman" w:eastAsia="Times New Roman" w:hAnsi="Times New Roman" w:cs="Times New Roman"/>
          <w:noProof/>
          <w:sz w:val="23"/>
          <w:szCs w:val="23"/>
          <w:vertAlign w:val="superscript"/>
          <w:lang w:eastAsia="en-GB"/>
        </w:rPr>
        <w:footnoteReference w:id="11"/>
      </w:r>
      <w:r>
        <w:rPr>
          <w:rFonts w:ascii="Times New Roman" w:hAnsi="Times New Roman"/>
          <w:noProof/>
          <w:sz w:val="23"/>
          <w:szCs w:val="23"/>
        </w:rPr>
        <w:t xml:space="preserve">. Neraugoties uz to, ir vajadzīgs jauns stingrības līmenis, lai </w:t>
      </w:r>
      <w:r>
        <w:rPr>
          <w:rFonts w:ascii="Times New Roman" w:hAnsi="Times New Roman"/>
          <w:b/>
          <w:bCs/>
          <w:noProof/>
          <w:sz w:val="23"/>
          <w:szCs w:val="23"/>
        </w:rPr>
        <w:t>uzlabotu ekonomisko noziegumu izmeklēšanu, apsūdzību tajos un sankcijas par tiem</w:t>
      </w:r>
      <w:r>
        <w:rPr>
          <w:rFonts w:ascii="Times New Roman" w:hAnsi="Times New Roman"/>
          <w:noProof/>
          <w:sz w:val="23"/>
          <w:szCs w:val="23"/>
        </w:rPr>
        <w:t xml:space="preserve">, tādējādi pierādot, ka korupcijas apkarošanas un tiesībaizsardzības struktūras ir neatkarīgas un </w:t>
      </w:r>
      <w:r>
        <w:rPr>
          <w:rFonts w:ascii="Times New Roman" w:hAnsi="Times New Roman"/>
          <w:b/>
          <w:bCs/>
          <w:noProof/>
          <w:sz w:val="23"/>
          <w:szCs w:val="23"/>
        </w:rPr>
        <w:t>sniedz rezultātus</w:t>
      </w:r>
      <w:r>
        <w:rPr>
          <w:rFonts w:ascii="Times New Roman" w:hAnsi="Times New Roman"/>
          <w:noProof/>
          <w:sz w:val="23"/>
          <w:szCs w:val="23"/>
        </w:rPr>
        <w:t xml:space="preserve">. ES atbalstīs uz rezultātiem orientētu tiesisko un institucionālo sistēmu, koncentrējoties uz </w:t>
      </w:r>
      <w:r>
        <w:rPr>
          <w:rFonts w:ascii="Times New Roman" w:hAnsi="Times New Roman"/>
          <w:b/>
          <w:bCs/>
          <w:noProof/>
          <w:sz w:val="23"/>
          <w:szCs w:val="23"/>
        </w:rPr>
        <w:t>augsta līmeņa korupciju</w:t>
      </w:r>
      <w:r>
        <w:rPr>
          <w:rFonts w:ascii="Times New Roman" w:hAnsi="Times New Roman"/>
          <w:noProof/>
          <w:sz w:val="23"/>
          <w:szCs w:val="23"/>
        </w:rPr>
        <w:t xml:space="preserve">, un īpašu uzmanību pievērsīs </w:t>
      </w:r>
      <w:r>
        <w:rPr>
          <w:rFonts w:ascii="Times New Roman" w:hAnsi="Times New Roman"/>
          <w:b/>
          <w:bCs/>
          <w:noProof/>
          <w:sz w:val="23"/>
          <w:szCs w:val="23"/>
        </w:rPr>
        <w:t>publiskā iepirkuma</w:t>
      </w:r>
      <w:r>
        <w:rPr>
          <w:rFonts w:ascii="Times New Roman" w:hAnsi="Times New Roman"/>
          <w:noProof/>
          <w:sz w:val="23"/>
          <w:szCs w:val="23"/>
        </w:rPr>
        <w:t xml:space="preserve"> jomai. Šajā sakarā tiks pilnībā izpētīts digitālo risinājumu potenciāls publiskā iepirkuma sistēmu izsekojamības un pārredzamības uzlabošanā. ES arī palīdzēs partnervalstīm iestrādāt godprātību un pārskatatbildību visos valsts pārvaldes līmeņos.</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Korupcija ir viens no daudziem plašākas noziedzīgas parādības, proti, </w:t>
      </w:r>
      <w:r>
        <w:rPr>
          <w:rFonts w:ascii="Times New Roman" w:hAnsi="Times New Roman"/>
          <w:b/>
          <w:noProof/>
          <w:sz w:val="23"/>
          <w:szCs w:val="23"/>
        </w:rPr>
        <w:t>ekonomisko noziegumu</w:t>
      </w:r>
      <w:r>
        <w:rPr>
          <w:rFonts w:ascii="Times New Roman" w:hAnsi="Times New Roman"/>
          <w:noProof/>
          <w:sz w:val="23"/>
          <w:szCs w:val="23"/>
        </w:rPr>
        <w:t xml:space="preserve"> izpausmes veidiem. Partnervalstīm ir jāpastiprina centieni izveidot stabilu un efektīvu sistēmu cīņai pret ekonomiskajiem noziegumiem. Šajā sakarā </w:t>
      </w:r>
      <w:r>
        <w:rPr>
          <w:rFonts w:ascii="Times New Roman" w:hAnsi="Times New Roman"/>
          <w:b/>
          <w:bCs/>
          <w:noProof/>
          <w:sz w:val="23"/>
          <w:szCs w:val="23"/>
        </w:rPr>
        <w:t>cīņā pret nelikumīgi iegūtu līdzekļu legalizēšanu</w:t>
      </w:r>
      <w:r>
        <w:rPr>
          <w:rFonts w:ascii="Times New Roman" w:hAnsi="Times New Roman"/>
          <w:noProof/>
          <w:sz w:val="23"/>
          <w:szCs w:val="23"/>
        </w:rPr>
        <w:t xml:space="preserve"> būtiska nozīme ir faktisko īpašumtiesību reģistriem. Ir svarīgi, lai austrumu partneri ieviestu stabilas līdzekļu atguves sistēmas, tajā skaitā izveidojot funkcionējošus </w:t>
      </w:r>
      <w:r>
        <w:rPr>
          <w:rFonts w:ascii="Times New Roman" w:hAnsi="Times New Roman"/>
          <w:b/>
          <w:noProof/>
          <w:sz w:val="23"/>
          <w:szCs w:val="23"/>
        </w:rPr>
        <w:t>līdzekļu atguves dienestus</w:t>
      </w:r>
      <w:r>
        <w:rPr>
          <w:rFonts w:ascii="Times New Roman" w:hAnsi="Times New Roman"/>
          <w:noProof/>
          <w:sz w:val="23"/>
          <w:szCs w:val="23"/>
        </w:rPr>
        <w:t xml:space="preserve">, kas spēj izsekot un identificēt noziedzīgi iegūtus līdzekļus. Tas ir būtiski, lai iesaldētu un konfiscētu nelikumīgus līdzekļus un atgūtu noziedzīgi iegūtus līdzekļus, kas ir svarīgs instruments cīņā pret organizēto noziedzību.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4.2.3. Cīņa pret organizēto noziedzību un drošības stiprināšana</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Viena no kopīgajām problēmām plašajā drošības jomā ir </w:t>
      </w:r>
      <w:r>
        <w:rPr>
          <w:rFonts w:ascii="Times New Roman" w:hAnsi="Times New Roman"/>
          <w:b/>
          <w:bCs/>
          <w:noProof/>
          <w:sz w:val="23"/>
          <w:szCs w:val="23"/>
        </w:rPr>
        <w:t>organizētā noziedzība</w:t>
      </w:r>
      <w:r>
        <w:rPr>
          <w:rFonts w:ascii="Times New Roman" w:hAnsi="Times New Roman"/>
          <w:noProof/>
          <w:sz w:val="23"/>
          <w:szCs w:val="23"/>
        </w:rPr>
        <w:t xml:space="preserve">. Šajā sakarā ES turpinās atbalstīt: i) pastiprinātu </w:t>
      </w:r>
      <w:r>
        <w:rPr>
          <w:rFonts w:ascii="Times New Roman" w:hAnsi="Times New Roman"/>
          <w:b/>
          <w:noProof/>
          <w:sz w:val="23"/>
          <w:szCs w:val="23"/>
        </w:rPr>
        <w:t>sadarbību ar ES tieslietu un iekšlietu aģentūrām</w:t>
      </w:r>
      <w:r>
        <w:rPr>
          <w:rFonts w:ascii="Times New Roman" w:hAnsi="Times New Roman"/>
          <w:noProof/>
          <w:sz w:val="23"/>
          <w:szCs w:val="23"/>
        </w:rPr>
        <w:t xml:space="preserve">; ii) </w:t>
      </w:r>
      <w:r>
        <w:rPr>
          <w:rFonts w:ascii="Times New Roman" w:hAnsi="Times New Roman"/>
          <w:b/>
          <w:noProof/>
          <w:sz w:val="23"/>
          <w:szCs w:val="23"/>
        </w:rPr>
        <w:t>drošības sektora reformu</w:t>
      </w:r>
      <w:r>
        <w:rPr>
          <w:rFonts w:ascii="Times New Roman" w:hAnsi="Times New Roman"/>
          <w:noProof/>
          <w:sz w:val="23"/>
          <w:szCs w:val="23"/>
        </w:rPr>
        <w:t>;</w:t>
      </w:r>
      <w:r>
        <w:rPr>
          <w:rFonts w:ascii="Times New Roman" w:hAnsi="Times New Roman"/>
          <w:bCs/>
          <w:noProof/>
          <w:sz w:val="23"/>
          <w:szCs w:val="23"/>
        </w:rPr>
        <w:t xml:space="preserve"> iii) </w:t>
      </w:r>
      <w:r>
        <w:rPr>
          <w:rFonts w:ascii="Times New Roman" w:hAnsi="Times New Roman"/>
          <w:b/>
          <w:bCs/>
          <w:noProof/>
          <w:sz w:val="23"/>
          <w:szCs w:val="23"/>
        </w:rPr>
        <w:t>cīņu pret cilvēku un nelikumīgu preču</w:t>
      </w:r>
      <w:r>
        <w:rPr>
          <w:rFonts w:ascii="Times New Roman" w:hAnsi="Times New Roman"/>
          <w:bCs/>
          <w:noProof/>
          <w:sz w:val="23"/>
          <w:szCs w:val="23"/>
        </w:rPr>
        <w:t xml:space="preserve"> (jo īpaši narkotiku un šaujamieroču) </w:t>
      </w:r>
      <w:r>
        <w:rPr>
          <w:rFonts w:ascii="Times New Roman" w:hAnsi="Times New Roman"/>
          <w:b/>
          <w:bCs/>
          <w:noProof/>
          <w:sz w:val="23"/>
          <w:szCs w:val="23"/>
        </w:rPr>
        <w:t>tirdzniecību</w:t>
      </w:r>
      <w:r>
        <w:rPr>
          <w:rFonts w:ascii="Times New Roman" w:hAnsi="Times New Roman"/>
          <w:bCs/>
          <w:noProof/>
          <w:sz w:val="23"/>
          <w:szCs w:val="23"/>
        </w:rPr>
        <w:t xml:space="preserve"> </w:t>
      </w:r>
      <w:r>
        <w:rPr>
          <w:rFonts w:ascii="Times New Roman" w:hAnsi="Times New Roman"/>
          <w:noProof/>
          <w:sz w:val="23"/>
          <w:szCs w:val="23"/>
        </w:rPr>
        <w:t xml:space="preserve">un iv) </w:t>
      </w:r>
      <w:r>
        <w:rPr>
          <w:rFonts w:ascii="Times New Roman" w:hAnsi="Times New Roman"/>
          <w:b/>
          <w:noProof/>
          <w:sz w:val="23"/>
          <w:szCs w:val="23"/>
        </w:rPr>
        <w:t>integrētu robežu pārvaldību</w:t>
      </w:r>
      <w:r>
        <w:rPr>
          <w:rFonts w:ascii="Times New Roman" w:hAnsi="Times New Roman"/>
          <w:noProof/>
          <w:sz w:val="23"/>
          <w:szCs w:val="23"/>
        </w:rPr>
        <w:t xml:space="preserve">, lai uzlabotu partnervalstu spēju izturēt spiedienu, ar ko tās saskaras, un palielināt to noturību. ES turpinās sadarbību ar partnervalstīm </w:t>
      </w:r>
      <w:r>
        <w:rPr>
          <w:rFonts w:ascii="Times New Roman" w:hAnsi="Times New Roman"/>
          <w:b/>
          <w:noProof/>
          <w:sz w:val="23"/>
          <w:szCs w:val="23"/>
        </w:rPr>
        <w:t>kibernoturības</w:t>
      </w:r>
      <w:r>
        <w:rPr>
          <w:rFonts w:ascii="Times New Roman" w:hAnsi="Times New Roman"/>
          <w:noProof/>
          <w:sz w:val="23"/>
          <w:szCs w:val="23"/>
        </w:rPr>
        <w:t xml:space="preserve"> jomā. Turklāt būtisks ir funkcionāls un izpildāms regulējums cīņai pret kibernoziedzību, par pamatu ņemot Eiropas Padomes Budapeštas konvenciju.</w:t>
      </w:r>
    </w:p>
    <w:p>
      <w:pPr>
        <w:spacing w:after="240" w:line="240" w:lineRule="auto"/>
        <w:jc w:val="both"/>
        <w:rPr>
          <w:rFonts w:ascii="Times New Roman" w:eastAsia="Times New Roman" w:hAnsi="Times New Roman" w:cs="Times New Roman"/>
          <w:i/>
          <w:iCs/>
          <w:noProof/>
          <w:sz w:val="23"/>
          <w:szCs w:val="23"/>
        </w:rPr>
      </w:pPr>
      <w:r>
        <w:rPr>
          <w:rFonts w:ascii="Times New Roman" w:hAnsi="Times New Roman"/>
          <w:noProof/>
          <w:sz w:val="23"/>
          <w:szCs w:val="23"/>
        </w:rPr>
        <w:t xml:space="preserve">Pastāvīga sadarbība starp partnervalstīm un </w:t>
      </w:r>
      <w:r>
        <w:rPr>
          <w:rFonts w:ascii="Times New Roman" w:hAnsi="Times New Roman"/>
          <w:b/>
          <w:noProof/>
          <w:sz w:val="23"/>
          <w:szCs w:val="23"/>
        </w:rPr>
        <w:t>ES civilās aizsardzības mehānismu</w:t>
      </w:r>
      <w:r>
        <w:rPr>
          <w:rFonts w:ascii="Times New Roman" w:hAnsi="Times New Roman"/>
          <w:noProof/>
          <w:sz w:val="23"/>
          <w:szCs w:val="23"/>
        </w:rPr>
        <w:t xml:space="preserve">, kā arī starp partnervalstīm būs svarīga, lai uzlabotu dabas un cilvēku izraisītu katastrofu novēršanu, gatavību tām un reaģēšanu uz tām. Reģiona attīstību turpina kavēt arī neatrisinātie konflikti. Saskaņoto sarunu formātu un procesu ietvaros ES ir apņēmusies veicināt šo </w:t>
      </w:r>
      <w:r>
        <w:rPr>
          <w:rFonts w:ascii="Times New Roman" w:hAnsi="Times New Roman"/>
          <w:b/>
          <w:bCs/>
          <w:noProof/>
          <w:sz w:val="23"/>
          <w:szCs w:val="23"/>
        </w:rPr>
        <w:t>konfliktu</w:t>
      </w:r>
      <w:r>
        <w:rPr>
          <w:rFonts w:ascii="Times New Roman" w:hAnsi="Times New Roman"/>
          <w:noProof/>
          <w:sz w:val="23"/>
          <w:szCs w:val="23"/>
        </w:rPr>
        <w:t xml:space="preserve"> miermīlīgu noregulējumu. Apzinoties, kā tas var ietekmēt ekonomikas un sociālo attīstību, sieviešu un jauniešu loma miera veidošanā tiks stiprināta ar kopīgiem pasākumiem, lai veicinātu ES politisko apņemšanos īstenot programmu sieviešu, miera un drošības jomā</w:t>
      </w:r>
      <w:r>
        <w:rPr>
          <w:rStyle w:val="FootnoteReference"/>
          <w:rFonts w:ascii="Times New Roman" w:eastAsia="Times New Roman" w:hAnsi="Times New Roman" w:cs="Times New Roman"/>
          <w:noProof/>
          <w:sz w:val="23"/>
          <w:szCs w:val="23"/>
          <w:lang w:eastAsia="en-GB"/>
        </w:rPr>
        <w:footnoteReference w:id="12"/>
      </w:r>
      <w:r>
        <w:rPr>
          <w:rFonts w:ascii="Times New Roman" w:hAnsi="Times New Roman"/>
          <w:noProof/>
          <w:sz w:val="23"/>
          <w:szCs w:val="23"/>
        </w:rPr>
        <w:t xml:space="preserve"> reģionālā un starptautiskā līmenī. Jo īpaši ES turpinās centienus, lai atbalstītu konfliktu novēršanu, uzticības veidošanu un veicinātu konfliktu miermīlīgu noregulējumu sarunu ceļā. ES arī turpinās sniegt palīdzību konfliktu skartajiem iedzīvotājiem, lai uzlabotu viņu noturību. Tiks stiprināti arī </w:t>
      </w:r>
      <w:r>
        <w:rPr>
          <w:rFonts w:ascii="Times New Roman" w:hAnsi="Times New Roman"/>
          <w:b/>
          <w:bCs/>
          <w:noProof/>
          <w:sz w:val="23"/>
          <w:szCs w:val="23"/>
        </w:rPr>
        <w:t>drošības dialogi un praktiskā sadarbība kopējās drošības un aizsardzības politikas (KDAP)</w:t>
      </w:r>
      <w:r>
        <w:rPr>
          <w:rFonts w:ascii="Times New Roman" w:hAnsi="Times New Roman"/>
          <w:noProof/>
          <w:sz w:val="23"/>
          <w:szCs w:val="23"/>
        </w:rPr>
        <w:t xml:space="preserve"> jomā, lai atbalstītu partnervalstu ieguldījumu Eiropas civilajās un militārajās misijās un operācijās. ES apsvērs domu nodrošināt partnervalstīm apmācības iespējas un spēju veidošanu, tajā skaitā par hibrīddraudu novēršanu, ja nepieciešams.</w:t>
      </w:r>
    </w:p>
    <w:p>
      <w:pPr>
        <w:keepNext/>
        <w:spacing w:after="240" w:line="240" w:lineRule="auto"/>
        <w:ind w:left="720"/>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 xml:space="preserve">4.3. Vienoti ceļā uz noturību vides un klimata jomā </w:t>
      </w:r>
    </w:p>
    <w:p>
      <w:pPr>
        <w:spacing w:after="120" w:line="240" w:lineRule="auto"/>
        <w:jc w:val="both"/>
        <w:rPr>
          <w:rFonts w:ascii="Times New Roman" w:eastAsia="Times New Roman" w:hAnsi="Times New Roman" w:cs="Times New Roman"/>
          <w:noProof/>
          <w:color w:val="FF0000"/>
          <w:sz w:val="23"/>
          <w:szCs w:val="23"/>
        </w:rPr>
      </w:pPr>
      <w:r>
        <w:rPr>
          <w:rFonts w:ascii="Times New Roman" w:hAnsi="Times New Roman"/>
          <w:noProof/>
          <w:sz w:val="23"/>
          <w:szCs w:val="23"/>
        </w:rPr>
        <w:t>Eiropas zaļais kurss skaidri norāda, ka vides un klimata problēmas prasa ES un partnervalstu steidzamu rīcību. Ekonomikas un tirdzniecības modeļu modernizācija palīdzēs samazināt oglekļa emisiju pārvirzes risku. Tas ir nepieciešams arī tāpēc, ka ES un AP valstīs ir gūti panākumi ekonomikas integrācijā un mainījušās patērētāju vēlmes. Pārveidojot savu ekonomiku, ES turpinās iesaistīt partnervalstis arvien sarežģītākās un progresīvākās ekonomikas vērtības ķēdēs. ES palīdzēs partnervalstīm veikt valsts līmenī noteiktos ieguldījumus Parīzes nolīguma īstenošanā un modernizēt ekonomiku, samazinot to oglekļa pēdu un virzoties uz klimatneitralitāti, vienlaikus ņemot vērā investīciju piesaistes problēmas. Šajā sakarā partnervalstis dažādos forumos ir paudušas atbalstu visaptverošai pieejai pārmaiņām, kas izklāstīta Eiropas zaļajā kursā. Tikpat svarīgi ir īstenot Sendai ietvarprogrammu katastrofu riska mazināšanai un pastiprināt centienus, lai pielāgotos klimata pārmaiņām.</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sadarbosies ar partnervalstīm, lai pārveidotu reģionu par taisnīgu un pārtikušu sabiedrību ar modernu, resursu ziņā efektīvu, tīru, aprites un konkurētspējīgu ekonomiku, vienlaikus palielinot to </w:t>
      </w:r>
      <w:r>
        <w:rPr>
          <w:rFonts w:ascii="Times New Roman" w:hAnsi="Times New Roman"/>
          <w:b/>
          <w:noProof/>
          <w:sz w:val="23"/>
          <w:szCs w:val="23"/>
        </w:rPr>
        <w:t>vides un klimata noturību</w:t>
      </w:r>
      <w:r>
        <w:rPr>
          <w:rFonts w:ascii="Times New Roman" w:hAnsi="Times New Roman"/>
          <w:noProof/>
          <w:sz w:val="23"/>
          <w:szCs w:val="23"/>
        </w:rPr>
        <w:t xml:space="preserve">, tajā skaitā ilgtspējīgāk izmantojot dabas resursus. Vides un klimata programmas nozīme reģionā palielinās. Sabiedrības prasības pieaug, un tās ir šādas: i) uzlabot gaisa un ūdens kvalitāti; ii) efektīvi apsaimniekot atkritumus, zemi un ūdens resursus un iii) reaģēt uz ekstremāliem laikapstākļiem un nelikumīgu mežizstrādi un atmežošanu. Tā ir arī nozīmīga iespēja stimulēt darbību inovatīvās nozarēs. Vairākas partnervalstis ir pieņēmušas zaļās ekonomikas rīcības plānus un ilgtermiņa stratēģijas, kuru īstenošanu tās vēlas paātrināt. Tāpat arī privātā sektora partneri arvien vairāk apsver iespējas, ko sniedz zaļāka aprites ekonomika, un vēlas novērst klimata pārmaiņu radītos riskus. Partnervalstis jau tagad var izmantot </w:t>
      </w:r>
      <w:r>
        <w:rPr>
          <w:rFonts w:ascii="Times New Roman" w:hAnsi="Times New Roman"/>
          <w:i/>
          <w:noProof/>
          <w:sz w:val="23"/>
          <w:szCs w:val="23"/>
        </w:rPr>
        <w:t>Copernicus</w:t>
      </w:r>
      <w:r>
        <w:rPr>
          <w:rFonts w:ascii="Times New Roman" w:hAnsi="Times New Roman"/>
          <w:noProof/>
          <w:sz w:val="23"/>
          <w:szCs w:val="23"/>
        </w:rPr>
        <w:t xml:space="preserve"> datus un pakalpojumus, kas ir brīvi un atklāti pieejami, lai atbalstītu uz informāciju balstītu lēmumu pieņemšanu reģionā.</w:t>
      </w:r>
    </w:p>
    <w:p>
      <w:pPr>
        <w:spacing w:after="120" w:line="240" w:lineRule="auto"/>
        <w:jc w:val="both"/>
        <w:rPr>
          <w:rFonts w:ascii="Times New Roman" w:eastAsia="Times New Roman" w:hAnsi="Times New Roman" w:cs="Times New Roman"/>
          <w:noProof/>
          <w:color w:val="000000" w:themeColor="text1"/>
          <w:sz w:val="23"/>
          <w:szCs w:val="23"/>
        </w:rPr>
      </w:pPr>
      <w:r>
        <w:rPr>
          <w:rFonts w:ascii="Times New Roman" w:hAnsi="Times New Roman"/>
          <w:noProof/>
          <w:sz w:val="23"/>
          <w:szCs w:val="23"/>
        </w:rPr>
        <w:t xml:space="preserve">Tādēļ AP būs: i) jāpastiprina rīcība jomās, kas ir būtiskas cilvēku veselībai un labklājībai; ii) jāpalielina ekonomikas resursu izmantošanas efektivitāte; iii) jārada jaunas zaļās darbvietas un ekonomiskās iespējas, kas saistītas ar zaļo pāreju; iv) jāattīsta vietējie un atjaunojamie energoresursi un v) jāpārvalda dabas resursi, lai maksimāli palielinātu ilgtspēju. </w:t>
      </w:r>
      <w:r>
        <w:rPr>
          <w:rFonts w:ascii="Times New Roman" w:hAnsi="Times New Roman"/>
          <w:b/>
          <w:noProof/>
          <w:sz w:val="23"/>
          <w:szCs w:val="23"/>
        </w:rPr>
        <w:t>ES atbalstīs šo pāreju, pienācīgi ņemot vērā globālās problēmas un vides un klimata realitāti partnervalstīs, vispirms koncentrējoties uz vieglāk sasniedzamiem rezultātiem.</w:t>
      </w:r>
    </w:p>
    <w:p>
      <w:pPr>
        <w:keepNext/>
        <w:tabs>
          <w:tab w:val="num" w:pos="1922"/>
        </w:tabs>
        <w:spacing w:after="240" w:line="240" w:lineRule="auto"/>
        <w:ind w:left="1922" w:hanging="720"/>
        <w:jc w:val="both"/>
        <w:outlineLvl w:val="2"/>
        <w:rPr>
          <w:rFonts w:ascii="Times New Roman" w:eastAsia="Times New Roman" w:hAnsi="Times New Roman" w:cs="Times New Roman"/>
          <w:i/>
          <w:noProof/>
          <w:color w:val="000000" w:themeColor="text1"/>
          <w:sz w:val="23"/>
          <w:szCs w:val="23"/>
        </w:rPr>
      </w:pPr>
      <w:r>
        <w:rPr>
          <w:rFonts w:ascii="Times New Roman" w:hAnsi="Times New Roman"/>
          <w:i/>
          <w:noProof/>
          <w:sz w:val="23"/>
          <w:szCs w:val="23"/>
        </w:rPr>
        <w:t>4.3.1. Ieguvumi cilvēku veselībai un labklājībai</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Attiecībā uz dzīves kvalitāti, kas saistīta ar vidi, ir jāpieliek lielākas pūles, lai pilsētu attīstību padarītu ilgtspējīgāku un vēl vairāk uzlabotu </w:t>
      </w:r>
      <w:r>
        <w:rPr>
          <w:rFonts w:ascii="Times New Roman" w:hAnsi="Times New Roman"/>
          <w:b/>
          <w:noProof/>
          <w:sz w:val="23"/>
          <w:szCs w:val="23"/>
        </w:rPr>
        <w:t>vides pakalpojumu</w:t>
      </w:r>
      <w:r>
        <w:rPr>
          <w:rFonts w:ascii="Times New Roman" w:hAnsi="Times New Roman"/>
          <w:noProof/>
          <w:sz w:val="23"/>
          <w:szCs w:val="23"/>
        </w:rPr>
        <w:t xml:space="preserve"> sniegšanu, piemēram, ūdensapgādi un sanitāriju, atkritumu apsaimniekošanu, zaļās zonas un mobilitāti pilsētās. ES atbalstīs tādas darbības un politikas izstrādi, kuru mērķis ir novērst un samazināt piesārņojumu un tādējādi mazināt negatīvo ietekmi uz veselību, ko jo īpaši rada gaisa, ūdens un augsnes piesārņojums un toksiskas ķīmiskas vielas, par pamatnostādni izmantojot ES nulles piesārņojuma stratēģiju. ES pastiprinās atbalstu ēku </w:t>
      </w:r>
      <w:r>
        <w:rPr>
          <w:rFonts w:ascii="Times New Roman" w:hAnsi="Times New Roman"/>
          <w:b/>
          <w:noProof/>
          <w:sz w:val="23"/>
          <w:szCs w:val="23"/>
        </w:rPr>
        <w:t>energoefektivitātes</w:t>
      </w:r>
      <w:r>
        <w:rPr>
          <w:rFonts w:ascii="Times New Roman" w:hAnsi="Times New Roman"/>
          <w:noProof/>
          <w:sz w:val="23"/>
          <w:szCs w:val="23"/>
        </w:rPr>
        <w:t xml:space="preserve"> palielināšanai, kas ir būtiski, lai novērstu enerģētisko nabadzību un samazinātu siltumnīcefekta gāzu emisijas. Lai panāktu augstākus ēku renovācijas rādītājus, piesaistot privāto finansējumu, varētu izmantot inovatīvus finansēšanas instrumentus (piemēram, energoefektivitātes līgumus,  finansēšanu ar nodokļu un rēķinu starpniecību). ES atbalstīs </w:t>
      </w:r>
      <w:r>
        <w:rPr>
          <w:rFonts w:ascii="Times New Roman" w:hAnsi="Times New Roman"/>
          <w:b/>
          <w:noProof/>
          <w:sz w:val="23"/>
          <w:szCs w:val="23"/>
        </w:rPr>
        <w:t>atjaunojamo energoresursu</w:t>
      </w:r>
      <w:r>
        <w:rPr>
          <w:rFonts w:ascii="Times New Roman" w:hAnsi="Times New Roman"/>
          <w:noProof/>
          <w:sz w:val="23"/>
          <w:szCs w:val="23"/>
        </w:rPr>
        <w:t xml:space="preserve"> attīstību, jo īpaši, lai paātrinātu ogļu izmantošanas samazināšanu, kas ir būtiski gaisa piesārņojuma samazināšanai. ES kopā ar SFI turpinās ieviest instrumentus un īstenot augsta līmeņa energoefektivitātes iniciatīvu, lai modernizētu tiesību aktus enerģētikas jomā un ieviestu pārdomātu tiesisko regulējumu, kas veicina energoefektivitāti un atjaunojamos energoresursus, izmantojot zaļā finansējuma shēmas un iesaistot privāto sektoru.</w:t>
      </w:r>
      <w:r>
        <w:rPr>
          <w:rFonts w:ascii="Times New Roman" w:hAnsi="Times New Roman"/>
          <w:noProof/>
          <w:color w:val="000000" w:themeColor="text1"/>
          <w:sz w:val="23"/>
          <w:szCs w:val="23"/>
        </w:rPr>
        <w:t xml:space="preserve"> </w:t>
      </w:r>
      <w:r>
        <w:rPr>
          <w:rFonts w:ascii="Times New Roman" w:hAnsi="Times New Roman"/>
          <w:noProof/>
          <w:sz w:val="23"/>
          <w:szCs w:val="23"/>
        </w:rPr>
        <w:t xml:space="preserve">Tiks noteikti pasākumi to pilsētu vai reģionu pārveidošanai, kuri visvairāk cieš no piesārņojuma. </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noProof/>
          <w:sz w:val="23"/>
          <w:szCs w:val="23"/>
        </w:rPr>
        <w:t>Sabiedrības veselības</w:t>
      </w:r>
      <w:r>
        <w:rPr>
          <w:rFonts w:ascii="Times New Roman" w:hAnsi="Times New Roman"/>
          <w:noProof/>
          <w:sz w:val="23"/>
          <w:szCs w:val="23"/>
        </w:rPr>
        <w:t xml:space="preserve"> jomā ES atbalstīs partnervalstu medicīnas iestāžu modernizāciju, e-veselību, medicīnas darbinieku apmācību un pieejamas medicīniskās aprūpes nodrošināšanu plašiem sabiedrības slāņiem. Tas ietvers atbalstu tādu pārnēsājamu un nepārnēsājamu slimību labākai pārvaldībai kā, piemēram, koronavīrusa infekcija (Covid-19).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4.3.2. Aprites ekonomika</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Galvenais rīcības mērķis būs atvieglot pāreju uz resursu ziņā efektīvu aprites ekonomiku. Izšķērdīgas ražošanas samazināšana ir svarīgs sākumpunkts konkurētspējas palielināšanai ar salīdzinoši zemām izmaksām. Attiecībā uz jaunām ekonomikas iespējām un konkurētspēju ES veicinās zaļo aprites ekonomiku, pamatojoties uz nesenā politikas dialoga rezultātiem. ES atbalstīs uzņēmumus un uzņēmumu savstarpējos kontaktus šajā jomā. Pēc valstu pieprasījuma notiks apmeklējumi uz vietas saistībā ar </w:t>
      </w:r>
      <w:r>
        <w:rPr>
          <w:rFonts w:ascii="Times New Roman" w:hAnsi="Times New Roman"/>
          <w:b/>
          <w:noProof/>
          <w:sz w:val="23"/>
          <w:szCs w:val="23"/>
        </w:rPr>
        <w:t>aprites ekonomiku</w:t>
      </w:r>
      <w:r>
        <w:rPr>
          <w:rFonts w:ascii="Times New Roman" w:hAnsi="Times New Roman"/>
          <w:noProof/>
          <w:sz w:val="23"/>
          <w:szCs w:val="23"/>
        </w:rPr>
        <w:t>. Turpināsies darbs pie ilgtspējīgas produktu politikas veicināšanas, ekoinovācijas, paplašinātas ražotāja atbildības, citiem atkritumu rašanās novēršanas un samazināšanas veidiem, atkritumu apsaimniekošanas, zaļā publiskā iepirkuma un labākas patērētāju informēšanas. ES sadarbosies ar partnervalstīm, lai reformētu vairākas resursietilpīgas nozares, piemēram, plastmasas, tekstilizstrādājumu vai būvniecības nozari. Tiks rūpīgi apzinātas zaļo darbvietu iespējas. Galvenās nozares gūs labumu no iespējamo pasākumu analīzes par nodarbinātības un konkurētspējas veicināšanu, izmantojot zaļo aprites ekonomiku.</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4.3.3. Ekonomikas dabas resursu bāze</w:t>
      </w:r>
    </w:p>
    <w:p>
      <w:pPr>
        <w:spacing w:after="120" w:line="240" w:lineRule="auto"/>
        <w:jc w:val="both"/>
        <w:rPr>
          <w:rFonts w:ascii="Times New Roman" w:eastAsia="Times New Roman" w:hAnsi="Times New Roman" w:cs="Times New Roman"/>
          <w:b/>
          <w:bCs/>
          <w:noProof/>
          <w:color w:val="000000" w:themeColor="text1"/>
          <w:sz w:val="23"/>
          <w:szCs w:val="23"/>
        </w:rPr>
      </w:pPr>
      <w:r>
        <w:rPr>
          <w:rFonts w:ascii="Times New Roman" w:hAnsi="Times New Roman"/>
          <w:bCs/>
          <w:noProof/>
          <w:color w:val="000000" w:themeColor="text1"/>
          <w:sz w:val="23"/>
          <w:szCs w:val="23"/>
        </w:rPr>
        <w:t xml:space="preserve">Viens no sadarbības galvenajiem mērķiem būs </w:t>
      </w:r>
      <w:r>
        <w:rPr>
          <w:rFonts w:ascii="Times New Roman" w:hAnsi="Times New Roman"/>
          <w:b/>
          <w:bCs/>
          <w:noProof/>
          <w:color w:val="000000" w:themeColor="text1"/>
          <w:sz w:val="23"/>
          <w:szCs w:val="23"/>
        </w:rPr>
        <w:t>bioloģiskās daudzveidības</w:t>
      </w:r>
      <w:r>
        <w:rPr>
          <w:rFonts w:ascii="Times New Roman" w:hAnsi="Times New Roman"/>
          <w:bCs/>
          <w:noProof/>
          <w:color w:val="000000" w:themeColor="text1"/>
          <w:sz w:val="23"/>
          <w:szCs w:val="23"/>
        </w:rPr>
        <w:t xml:space="preserve"> samazināšanās apturēšana.  Tas ietver atmežošanas un pārtuksnešošanās novēršanu, konkrētu sugu aizsardzības pasākumu ieviešanu un aizsargājamo teritoriju paplašināšanu un efektīvu pārvaldību.</w:t>
      </w:r>
      <w:r>
        <w:rPr>
          <w:rFonts w:ascii="Times New Roman" w:hAnsi="Times New Roman"/>
          <w:b/>
          <w:bCs/>
          <w:noProof/>
          <w:color w:val="000000" w:themeColor="text1"/>
          <w:sz w:val="23"/>
          <w:szCs w:val="23"/>
        </w:rPr>
        <w:t xml:space="preserve"> </w:t>
      </w:r>
      <w:r>
        <w:rPr>
          <w:rFonts w:ascii="Times New Roman" w:hAnsi="Times New Roman"/>
          <w:bCs/>
          <w:noProof/>
          <w:color w:val="000000" w:themeColor="text1"/>
          <w:sz w:val="23"/>
          <w:szCs w:val="23"/>
        </w:rPr>
        <w:t xml:space="preserve">Te jāmin arī sadarbība ar citām nozarēm, lai samazinātu cilvēka darbības negatīvo ietekmi uz bioloģisko daudzveidību. Lai saglabātu dabas resursus, kas ir ekonomikas pamats, ES turpinās sadarboties ar partnervalstīm, lai risinātu ūdens kvalitātes un pieejamības jautājumus un uzlabotu zvejas darbību kontroli un pārraudzību nolūkā novērst pārmērīgu izmantošanu. Upju baseinu apsaimniekošanas plānošana tiks attiecināta uz visiem upju baseiniem. </w:t>
      </w:r>
      <w:r>
        <w:rPr>
          <w:rFonts w:ascii="Times New Roman" w:hAnsi="Times New Roman"/>
          <w:noProof/>
        </w:rPr>
        <w:t xml:space="preserve">Mēs turpināsim sadarbību pie </w:t>
      </w:r>
      <w:r>
        <w:rPr>
          <w:rFonts w:ascii="Times New Roman" w:hAnsi="Times New Roman"/>
          <w:b/>
          <w:bCs/>
          <w:noProof/>
        </w:rPr>
        <w:t>izejvielu</w:t>
      </w:r>
      <w:r>
        <w:rPr>
          <w:rFonts w:ascii="Times New Roman" w:hAnsi="Times New Roman"/>
          <w:noProof/>
        </w:rPr>
        <w:t xml:space="preserve"> sektora potenciāla atraisīšanas, lai veicinātu ilgtspējīgas attīstības mērķu sasniegšanu, atmežošanas novēršanas un mežu ilgtspējīgas apsaimniekošanas uzlabošanas, tajā skaitā oglekļa ilgtermiņa uzglabāšanas un fosilo aizstājēju jomā.  </w:t>
      </w:r>
      <w:r>
        <w:rPr>
          <w:rFonts w:ascii="Times New Roman" w:hAnsi="Times New Roman"/>
          <w:bCs/>
          <w:noProof/>
          <w:color w:val="000000" w:themeColor="text1"/>
          <w:sz w:val="23"/>
          <w:szCs w:val="23"/>
        </w:rPr>
        <w:t xml:space="preserve"> Tiks pieliktas pūles, lai samazinātu nelikumīgu mežizstrādi un nodrošinātu kokmateriālu izsekojamību. </w:t>
      </w:r>
      <w:r>
        <w:rPr>
          <w:rFonts w:ascii="Times New Roman" w:hAnsi="Times New Roman"/>
          <w:noProof/>
          <w:sz w:val="23"/>
          <w:szCs w:val="23"/>
        </w:rPr>
        <w:t xml:space="preserve">ES atbalstīs </w:t>
      </w:r>
      <w:r>
        <w:rPr>
          <w:rFonts w:ascii="Times New Roman" w:hAnsi="Times New Roman"/>
          <w:b/>
          <w:bCs/>
          <w:noProof/>
          <w:sz w:val="23"/>
          <w:szCs w:val="23"/>
        </w:rPr>
        <w:t>ilgtspējīgu lauksaimniecību, zveju un pārtikas nekaitīgumu</w:t>
      </w:r>
      <w:r>
        <w:rPr>
          <w:rFonts w:ascii="Times New Roman" w:hAnsi="Times New Roman"/>
          <w:noProof/>
          <w:sz w:val="23"/>
          <w:szCs w:val="23"/>
        </w:rPr>
        <w:t xml:space="preserve">, izmantojot zināšanu nodošanu un inovāciju, jo īpaši nozarēs ar lielu ieguvumu. Tā arī turpinās stiprināt lauksaimnieku un zvejnieku pozīciju vērtību ķēdē, vienlaikus uzlabojot dzīves kvalitāti lauku un jūras piekrastes teritorijās. </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4.3.4. Politika un pārvaldība zaļākas izaugsmes atbalstam</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Lai gūtu panākumus, partnervalstīm būs jāveic papildu investīcijas: i) </w:t>
      </w:r>
      <w:r>
        <w:rPr>
          <w:rFonts w:ascii="Times New Roman" w:hAnsi="Times New Roman"/>
          <w:b/>
          <w:bCs/>
          <w:noProof/>
          <w:sz w:val="23"/>
          <w:szCs w:val="23"/>
        </w:rPr>
        <w:t>vides pārvaldībā</w:t>
      </w:r>
      <w:r>
        <w:rPr>
          <w:rFonts w:ascii="Times New Roman" w:hAnsi="Times New Roman"/>
          <w:noProof/>
          <w:sz w:val="23"/>
          <w:szCs w:val="23"/>
        </w:rPr>
        <w:t>; ii) politikas un investīciju pārdomātā plānošanā; iii) administratīvās spējās īstenot un piemērot tiesību aktus; iv) uzlabotā sabiedrības piekļuvē informācijai, informētībā un līdzdalībā un v) pielāgotākos un efektīvākos finansēšanas mehānismos. Tam būs vajadzīgs spēcīgs politikas dialogs un labāka sadarbība ar visām ieinteresētajām personām, tajā skaitā attiecīgajām parlamentārajām komitejām.</w:t>
      </w:r>
      <w:r>
        <w:rPr>
          <w:rFonts w:ascii="Times New Roman" w:hAnsi="Times New Roman"/>
          <w:noProof/>
          <w:color w:val="000000" w:themeColor="text1"/>
          <w:sz w:val="23"/>
          <w:szCs w:val="23"/>
        </w:rPr>
        <w:t xml:space="preserve"> Svarīga būs arī </w:t>
      </w:r>
      <w:r>
        <w:rPr>
          <w:rFonts w:ascii="Times New Roman" w:hAnsi="Times New Roman"/>
          <w:b/>
          <w:bCs/>
          <w:noProof/>
          <w:color w:val="000000" w:themeColor="text1"/>
          <w:sz w:val="23"/>
          <w:szCs w:val="23"/>
        </w:rPr>
        <w:t>informētības palielināšana</w:t>
      </w:r>
      <w:r>
        <w:rPr>
          <w:rFonts w:ascii="Times New Roman" w:hAnsi="Times New Roman"/>
          <w:noProof/>
          <w:color w:val="000000" w:themeColor="text1"/>
          <w:sz w:val="23"/>
          <w:szCs w:val="23"/>
        </w:rPr>
        <w:t xml:space="preserve">, tajā skaitā sadarbojoties ar pilsonisko sabiedrību. </w:t>
      </w:r>
      <w:r>
        <w:rPr>
          <w:rFonts w:ascii="Times New Roman" w:hAnsi="Times New Roman"/>
          <w:noProof/>
          <w:sz w:val="23"/>
          <w:szCs w:val="23"/>
        </w:rPr>
        <w:t xml:space="preserve">ES labāk atbalstīs dalībvalstu un partnervalstu konkrētās vadošās lomas konkrētās jomās, lai veicinātu modernas politikas un prakses ātrāku īstenošanu un palielinātu valstu atbildību. </w:t>
      </w:r>
      <w:r>
        <w:rPr>
          <w:rFonts w:ascii="Times New Roman" w:hAnsi="Times New Roman"/>
          <w:b/>
          <w:bCs/>
          <w:noProof/>
          <w:sz w:val="23"/>
          <w:szCs w:val="23"/>
        </w:rPr>
        <w:t>Kopīgā jūrlietu programma Melnās jūras reģionam</w:t>
      </w:r>
      <w:r>
        <w:rPr>
          <w:rStyle w:val="FootnoteReference"/>
          <w:rFonts w:ascii="Times New Roman" w:eastAsia="Times New Roman" w:hAnsi="Times New Roman" w:cs="Times New Roman"/>
          <w:b/>
          <w:bCs/>
          <w:noProof/>
          <w:sz w:val="23"/>
          <w:szCs w:val="23"/>
          <w:lang w:eastAsia="en-GB"/>
        </w:rPr>
        <w:footnoteReference w:id="13"/>
      </w:r>
      <w:r>
        <w:rPr>
          <w:rFonts w:ascii="Times New Roman" w:hAnsi="Times New Roman"/>
          <w:noProof/>
          <w:sz w:val="23"/>
          <w:szCs w:val="23"/>
        </w:rPr>
        <w:t xml:space="preserve"> dos ieguldījumu kā reģionāls pārvaldības regulējums.</w:t>
      </w: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4.3.5. Energoapgādes drošības un kodoldrošības stiprināšana</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Lai stiprinātu energoapgādes drošību, ir nepieciešams dažādot energoresursu struktūru, jo īpaši izmantojot atjaunojamos energoresursus. Partnervalstis ir kompetentas </w:t>
      </w:r>
      <w:r>
        <w:rPr>
          <w:rFonts w:ascii="Times New Roman" w:hAnsi="Times New Roman"/>
          <w:b/>
          <w:bCs/>
          <w:noProof/>
          <w:sz w:val="23"/>
          <w:szCs w:val="23"/>
        </w:rPr>
        <w:t>lemt par savu energoresursu struktūru</w:t>
      </w:r>
      <w:r>
        <w:rPr>
          <w:rFonts w:ascii="Times New Roman" w:hAnsi="Times New Roman"/>
          <w:noProof/>
          <w:sz w:val="23"/>
          <w:szCs w:val="23"/>
        </w:rPr>
        <w:t xml:space="preserve">, lai sasniegtu savus attiecīgos mērķus klimata jomā. Dažas valstis, iespējams, izvēlēsies kodolenerģiju kā enerģijas avotu ar zemu oglekļa dioksīda emisiju līmeni, kas ļaus sasniegt šos mērķus. Šajā sakarā ES turpinās sniegt ieguldījumu </w:t>
      </w:r>
      <w:r>
        <w:rPr>
          <w:rFonts w:ascii="Times New Roman" w:hAnsi="Times New Roman"/>
          <w:b/>
          <w:bCs/>
          <w:noProof/>
          <w:sz w:val="23"/>
          <w:szCs w:val="23"/>
        </w:rPr>
        <w:t>starptautiskās kodoldrošības stiprināšanā</w:t>
      </w:r>
      <w:r>
        <w:rPr>
          <w:rFonts w:ascii="Times New Roman" w:hAnsi="Times New Roman"/>
          <w:noProof/>
          <w:sz w:val="23"/>
          <w:szCs w:val="23"/>
        </w:rPr>
        <w:t xml:space="preserve">. ES priekšgājēja loma saistošu kodolenerģijas jomas tiesību aktu izstrādē būs pamats turpmākai divpusējai apmaiņai. Mēs turpināsim organizēt kodolnoturības testu salīdzinošo izvērtēšanu un turpmākos pasākumus. </w:t>
      </w:r>
      <w:r>
        <w:rPr>
          <w:rFonts w:ascii="Times New Roman" w:hAnsi="Times New Roman"/>
          <w:b/>
          <w:bCs/>
          <w:noProof/>
          <w:sz w:val="23"/>
          <w:szCs w:val="23"/>
        </w:rPr>
        <w:t>ES arī dalīsies pieredzē</w:t>
      </w:r>
      <w:r>
        <w:rPr>
          <w:rFonts w:ascii="Times New Roman" w:hAnsi="Times New Roman"/>
          <w:noProof/>
          <w:sz w:val="23"/>
          <w:szCs w:val="23"/>
        </w:rPr>
        <w:t xml:space="preserve"> par ekspluatācijas pārtraukšanu, radioaktīvo atkritumu apsaimniekošanu un aizsardzību pret radiāciju. Būtiska nozīme ir arī partnervalstu līdzdalībai ES pasākumos par vides monitoringu – </w:t>
      </w:r>
      <w:r>
        <w:rPr>
          <w:rFonts w:ascii="Times New Roman" w:hAnsi="Times New Roman"/>
          <w:i/>
          <w:iCs/>
          <w:noProof/>
          <w:sz w:val="23"/>
          <w:szCs w:val="23"/>
        </w:rPr>
        <w:t>EURDEP</w:t>
      </w:r>
      <w:r>
        <w:rPr>
          <w:rFonts w:ascii="Times New Roman" w:hAnsi="Times New Roman"/>
          <w:noProof/>
          <w:sz w:val="23"/>
          <w:szCs w:val="23"/>
        </w:rPr>
        <w:t xml:space="preserve"> – un informācijas apmaiņu radiācijas vai kodolavārijas gadījumā – </w:t>
      </w:r>
      <w:r>
        <w:rPr>
          <w:rFonts w:ascii="Times New Roman" w:hAnsi="Times New Roman"/>
          <w:i/>
          <w:iCs/>
          <w:noProof/>
          <w:sz w:val="23"/>
          <w:szCs w:val="23"/>
        </w:rPr>
        <w:t>ECURIE</w:t>
      </w:r>
      <w:r>
        <w:rPr>
          <w:rFonts w:ascii="Times New Roman" w:hAnsi="Times New Roman"/>
          <w:noProof/>
          <w:sz w:val="23"/>
          <w:szCs w:val="23"/>
        </w:rPr>
        <w:t>.</w:t>
      </w: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4.3.6. Pārejas uz ilgtspējīgu un viedu mobilitāti paātrināšana</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Transportam ir jākļūst ilgtspējīgākam, un AP valstu transporta politika būtu jāpārveido, lai nodrošinātu siltumnīcefekta gāzu emisiju samazināšanu. Tāpēc ES arvien vairāk sadarbosies ar partnervalstīm, lai rastu </w:t>
      </w:r>
      <w:r>
        <w:rPr>
          <w:rFonts w:ascii="Times New Roman" w:hAnsi="Times New Roman"/>
          <w:b/>
          <w:bCs/>
          <w:noProof/>
          <w:sz w:val="23"/>
          <w:szCs w:val="23"/>
        </w:rPr>
        <w:t>zaļā transporta risinājumus</w:t>
      </w:r>
      <w:r>
        <w:rPr>
          <w:rFonts w:ascii="Times New Roman" w:hAnsi="Times New Roman"/>
          <w:noProof/>
          <w:sz w:val="23"/>
          <w:szCs w:val="23"/>
        </w:rPr>
        <w:t xml:space="preserve">, palīdzot veidot uz nākotni orientētas viedās pilsētas, izstrādājot pilsētu mobilitātes plānus transporta veidu integrēšanai pilsētu teritorijās. Attiecībā uz tālajiem reisiem tas ietvers transporta optimizāciju, tajā skaitā ar </w:t>
      </w:r>
      <w:r>
        <w:rPr>
          <w:rFonts w:ascii="Times New Roman" w:hAnsi="Times New Roman"/>
          <w:b/>
          <w:bCs/>
          <w:noProof/>
          <w:sz w:val="23"/>
          <w:szCs w:val="23"/>
        </w:rPr>
        <w:t>digitalizācijas</w:t>
      </w:r>
      <w:r>
        <w:rPr>
          <w:rFonts w:ascii="Times New Roman" w:hAnsi="Times New Roman"/>
          <w:noProof/>
          <w:sz w:val="23"/>
          <w:szCs w:val="23"/>
        </w:rPr>
        <w:t xml:space="preserve"> palīdzību.</w:t>
      </w:r>
    </w:p>
    <w:p>
      <w:pPr>
        <w:keepNext/>
        <w:tabs>
          <w:tab w:val="num" w:pos="1922"/>
        </w:tabs>
        <w:spacing w:after="240" w:line="240" w:lineRule="auto"/>
        <w:ind w:left="1922" w:hanging="720"/>
        <w:jc w:val="both"/>
        <w:outlineLvl w:val="2"/>
        <w:rPr>
          <w:rFonts w:ascii="Times New Roman" w:eastAsia="Times New Roman" w:hAnsi="Times New Roman" w:cs="Times New Roman"/>
          <w:noProof/>
          <w:sz w:val="23"/>
          <w:szCs w:val="23"/>
        </w:rPr>
      </w:pPr>
      <w:r>
        <w:rPr>
          <w:rFonts w:ascii="Times New Roman" w:hAnsi="Times New Roman"/>
          <w:b/>
          <w:noProof/>
          <w:sz w:val="23"/>
          <w:szCs w:val="23"/>
        </w:rPr>
        <w:t>4.4. Vienoti noturīgai digitālajai pārveidei</w:t>
      </w:r>
      <w:r>
        <w:rPr>
          <w:rFonts w:ascii="Times New Roman" w:hAnsi="Times New Roman"/>
          <w:i/>
          <w:noProof/>
          <w:sz w:val="23"/>
          <w:szCs w:val="23"/>
        </w:rPr>
        <w:t xml:space="preserve"> </w:t>
      </w:r>
    </w:p>
    <w:p>
      <w:pPr>
        <w:spacing w:line="240" w:lineRule="auto"/>
        <w:jc w:val="both"/>
        <w:rPr>
          <w:rFonts w:ascii="Times New Roman" w:hAnsi="Times New Roman" w:cs="Times New Roman"/>
          <w:noProof/>
          <w:color w:val="000000"/>
          <w:sz w:val="23"/>
          <w:szCs w:val="23"/>
        </w:rPr>
      </w:pPr>
      <w:r>
        <w:rPr>
          <w:rFonts w:ascii="Times New Roman" w:hAnsi="Times New Roman"/>
          <w:noProof/>
          <w:color w:val="000000"/>
          <w:sz w:val="23"/>
          <w:szCs w:val="23"/>
        </w:rPr>
        <w:t xml:space="preserve">Kā norādīts </w:t>
      </w:r>
      <w:r>
        <w:rPr>
          <w:rFonts w:ascii="Times New Roman" w:hAnsi="Times New Roman"/>
          <w:b/>
          <w:bCs/>
          <w:noProof/>
          <w:color w:val="000000"/>
          <w:sz w:val="23"/>
          <w:szCs w:val="23"/>
        </w:rPr>
        <w:t>Eiropas digitālās nākotnes veidošanas stratēģijā</w:t>
      </w:r>
      <w:r>
        <w:rPr>
          <w:rStyle w:val="FootnoteReference"/>
          <w:rFonts w:ascii="Times New Roman" w:hAnsi="Times New Roman" w:cs="Times New Roman"/>
          <w:b/>
          <w:noProof/>
          <w:color w:val="000000"/>
          <w:sz w:val="23"/>
          <w:szCs w:val="23"/>
        </w:rPr>
        <w:footnoteReference w:id="14"/>
      </w:r>
      <w:r>
        <w:rPr>
          <w:rFonts w:ascii="Times New Roman" w:hAnsi="Times New Roman"/>
          <w:noProof/>
          <w:color w:val="000000"/>
          <w:sz w:val="23"/>
          <w:szCs w:val="23"/>
        </w:rPr>
        <w:t xml:space="preserve">, spēcīga digitālā klātbūtne ES kaimiņvalstīs veicinās izaugsmi un ilgtspējīgu attīstību. Šajā sakarā ES turpinās ieguldīt partnervalstu </w:t>
      </w:r>
      <w:r>
        <w:rPr>
          <w:rFonts w:ascii="Times New Roman" w:hAnsi="Times New Roman"/>
          <w:b/>
          <w:bCs/>
          <w:noProof/>
          <w:color w:val="000000"/>
          <w:sz w:val="23"/>
          <w:szCs w:val="23"/>
        </w:rPr>
        <w:t>digitālajā pārveidē</w:t>
      </w:r>
      <w:r>
        <w:rPr>
          <w:rFonts w:ascii="Times New Roman" w:hAnsi="Times New Roman"/>
          <w:noProof/>
          <w:color w:val="000000"/>
          <w:sz w:val="23"/>
          <w:szCs w:val="23"/>
        </w:rPr>
        <w:t xml:space="preserve"> saskaņā ar ES tiesību aktiem un paraugpraksi. Darbs šajā jomā pēc 2020. gada būs vērsts uz to, lai paplašinātu digitālā vienotā tirgus sniegtās priekšrocības partnervalstīm un atbalstītu to saistību pilnīgu īstenošanu, ko partnervalstis uzņēmušās </w:t>
      </w:r>
      <w:r>
        <w:rPr>
          <w:rFonts w:ascii="Times New Roman" w:hAnsi="Times New Roman"/>
          <w:b/>
          <w:bCs/>
          <w:noProof/>
          <w:color w:val="000000"/>
          <w:sz w:val="23"/>
          <w:szCs w:val="23"/>
        </w:rPr>
        <w:t>asociācijas nolīgumos un citos divpusējos nolīgumos</w:t>
      </w:r>
      <w:r>
        <w:rPr>
          <w:rFonts w:ascii="Times New Roman" w:hAnsi="Times New Roman"/>
          <w:noProof/>
          <w:color w:val="000000"/>
          <w:sz w:val="23"/>
          <w:szCs w:val="23"/>
        </w:rPr>
        <w:t>.</w:t>
      </w:r>
      <w:r>
        <w:rPr>
          <w:rFonts w:ascii="Times New Roman" w:hAnsi="Times New Roman"/>
          <w:b/>
          <w:noProof/>
          <w:color w:val="000000"/>
          <w:sz w:val="23"/>
          <w:szCs w:val="23"/>
        </w:rPr>
        <w:t xml:space="preserve"> </w:t>
      </w:r>
      <w:r>
        <w:rPr>
          <w:rFonts w:ascii="Times New Roman" w:hAnsi="Times New Roman"/>
          <w:noProof/>
          <w:color w:val="000000"/>
          <w:sz w:val="23"/>
          <w:szCs w:val="23"/>
        </w:rPr>
        <w:t xml:space="preserve">Darbs balstīsies uz panākumiem, kas gūti, īstenojot AP </w:t>
      </w:r>
      <w:r>
        <w:rPr>
          <w:rFonts w:ascii="Times New Roman" w:hAnsi="Times New Roman"/>
          <w:b/>
          <w:bCs/>
          <w:noProof/>
          <w:color w:val="000000"/>
          <w:sz w:val="23"/>
          <w:szCs w:val="23"/>
        </w:rPr>
        <w:t>digitālo tirgu saskaņošanas</w:t>
      </w:r>
      <w:r>
        <w:rPr>
          <w:rFonts w:ascii="Times New Roman" w:hAnsi="Times New Roman"/>
          <w:noProof/>
          <w:color w:val="000000"/>
          <w:sz w:val="23"/>
          <w:szCs w:val="23"/>
        </w:rPr>
        <w:t xml:space="preserve"> politikas iniciatīvu un darbības programmas, kas uzsāktas saistībā ar zīmolu “</w:t>
      </w:r>
      <w:r>
        <w:rPr>
          <w:rFonts w:ascii="Times New Roman" w:hAnsi="Times New Roman"/>
          <w:b/>
          <w:bCs/>
          <w:noProof/>
          <w:color w:val="000000"/>
          <w:sz w:val="23"/>
          <w:szCs w:val="23"/>
        </w:rPr>
        <w:t>EU4Digital</w:t>
      </w:r>
      <w:r>
        <w:rPr>
          <w:rFonts w:ascii="Times New Roman" w:hAnsi="Times New Roman"/>
          <w:noProof/>
          <w:color w:val="000000"/>
          <w:sz w:val="23"/>
          <w:szCs w:val="23"/>
        </w:rPr>
        <w:t>”.</w:t>
      </w: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4.4.1. Digitālā infrastruktūra</w:t>
      </w:r>
    </w:p>
    <w:p>
      <w:pPr>
        <w:spacing w:line="240" w:lineRule="auto"/>
        <w:jc w:val="both"/>
        <w:rPr>
          <w:rFonts w:ascii="Times New Roman" w:hAnsi="Times New Roman" w:cs="Times New Roman"/>
          <w:noProof/>
          <w:color w:val="000000"/>
          <w:sz w:val="23"/>
          <w:szCs w:val="23"/>
        </w:rPr>
      </w:pPr>
      <w:r>
        <w:rPr>
          <w:rFonts w:ascii="Times New Roman" w:hAnsi="Times New Roman"/>
          <w:noProof/>
          <w:color w:val="000000"/>
          <w:sz w:val="23"/>
          <w:szCs w:val="23"/>
        </w:rPr>
        <w:t xml:space="preserve">Mūsdienīgu ekonomiku, kuras pamatā ir dati, var pilnībā īstenot tikai tad, ja iedzīvotājiem un uzņēmumiem ir piekļuve kvalitatīvai elektronisko sakaru infrastruktūrai un pakalpojumiem par pieņemamām cenām. ES turpinās atbalstīt </w:t>
      </w:r>
      <w:r>
        <w:rPr>
          <w:rFonts w:ascii="Times New Roman" w:hAnsi="Times New Roman"/>
          <w:b/>
          <w:bCs/>
          <w:noProof/>
          <w:color w:val="000000"/>
          <w:sz w:val="23"/>
          <w:szCs w:val="23"/>
        </w:rPr>
        <w:t>regulatīvo iestāžu</w:t>
      </w:r>
      <w:r>
        <w:rPr>
          <w:rFonts w:ascii="Times New Roman" w:hAnsi="Times New Roman"/>
          <w:noProof/>
          <w:color w:val="000000"/>
          <w:sz w:val="23"/>
          <w:szCs w:val="23"/>
        </w:rPr>
        <w:t xml:space="preserve"> neatkarības stiprināšanu, kur nepieciešams, un vajadzīgo regulatīvo pilnvaru izveidi, lai nodrošinātu elektronisko sakaru tirgu pienācīgu darbību partnervalstīs. ES arī turpinās atbalstīt, jo īpaši ar tehnisko palīdzību un paraugprakses apmaiņu, </w:t>
      </w:r>
      <w:r>
        <w:rPr>
          <w:rFonts w:ascii="Times New Roman" w:hAnsi="Times New Roman"/>
          <w:b/>
          <w:bCs/>
          <w:noProof/>
          <w:color w:val="000000"/>
          <w:sz w:val="23"/>
          <w:szCs w:val="23"/>
        </w:rPr>
        <w:t>drošas un ļoti augstas veiktspējas gigabitu platjoslas</w:t>
      </w:r>
      <w:r>
        <w:rPr>
          <w:rFonts w:ascii="Times New Roman" w:hAnsi="Times New Roman"/>
          <w:noProof/>
          <w:color w:val="000000"/>
          <w:sz w:val="23"/>
          <w:szCs w:val="23"/>
        </w:rPr>
        <w:t xml:space="preserve"> infrastruktūras paplašināšanu partnervalstīs, jo īpaši attālos vai mazāk blīvi apdzīvotos apgabalos, un veicināt tās izmantošanu. Lai maksimāli palielinātu ietekmi uz AP valstu iedzīvotājiem, būs svarīgi nodrošināt, ka pakalpojumi ir pieejami par pieņemamām cenām. Šajā sakarā ES atbalstīs </w:t>
      </w:r>
      <w:r>
        <w:rPr>
          <w:rFonts w:ascii="Times New Roman" w:hAnsi="Times New Roman"/>
          <w:b/>
          <w:bCs/>
          <w:noProof/>
          <w:color w:val="000000"/>
          <w:sz w:val="23"/>
          <w:szCs w:val="23"/>
        </w:rPr>
        <w:t>viesabonēšanas</w:t>
      </w:r>
      <w:r>
        <w:rPr>
          <w:rFonts w:ascii="Times New Roman" w:hAnsi="Times New Roman"/>
          <w:noProof/>
          <w:color w:val="000000"/>
          <w:sz w:val="23"/>
          <w:szCs w:val="23"/>
        </w:rPr>
        <w:t xml:space="preserve"> un </w:t>
      </w:r>
      <w:r>
        <w:rPr>
          <w:rFonts w:ascii="Times New Roman" w:hAnsi="Times New Roman"/>
          <w:b/>
          <w:bCs/>
          <w:noProof/>
          <w:color w:val="000000"/>
          <w:sz w:val="23"/>
          <w:szCs w:val="23"/>
        </w:rPr>
        <w:t>spektra</w:t>
      </w:r>
      <w:r>
        <w:rPr>
          <w:rFonts w:ascii="Times New Roman" w:hAnsi="Times New Roman"/>
          <w:noProof/>
          <w:color w:val="000000"/>
          <w:sz w:val="23"/>
          <w:szCs w:val="23"/>
        </w:rPr>
        <w:t xml:space="preserve"> nolīgumu īstenošanu starp partnervalstīm un attiecīgos gadījumos ar ES.</w:t>
      </w: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4.4.2. E-pārvaldība</w:t>
      </w:r>
    </w:p>
    <w:p>
      <w:pPr>
        <w:spacing w:line="240" w:lineRule="auto"/>
        <w:jc w:val="both"/>
        <w:rPr>
          <w:rFonts w:ascii="Times New Roman" w:hAnsi="Times New Roman" w:cs="Times New Roman"/>
          <w:noProof/>
          <w:color w:val="000000"/>
          <w:sz w:val="23"/>
          <w:szCs w:val="23"/>
        </w:rPr>
      </w:pPr>
      <w:r>
        <w:rPr>
          <w:rFonts w:ascii="Times New Roman" w:hAnsi="Times New Roman"/>
          <w:noProof/>
          <w:color w:val="000000"/>
          <w:sz w:val="23"/>
          <w:szCs w:val="23"/>
        </w:rPr>
        <w:t xml:space="preserve">ES turpinās atbalstīt </w:t>
      </w:r>
      <w:r>
        <w:rPr>
          <w:rFonts w:ascii="Times New Roman" w:hAnsi="Times New Roman"/>
          <w:b/>
          <w:bCs/>
          <w:noProof/>
          <w:color w:val="000000"/>
          <w:sz w:val="23"/>
          <w:szCs w:val="23"/>
        </w:rPr>
        <w:t>e-pārvaldības</w:t>
      </w:r>
      <w:r>
        <w:rPr>
          <w:rFonts w:ascii="Times New Roman" w:hAnsi="Times New Roman"/>
          <w:noProof/>
          <w:color w:val="000000"/>
          <w:sz w:val="23"/>
          <w:szCs w:val="23"/>
        </w:rPr>
        <w:t xml:space="preserve"> stiprināšanu AP reģionā, lai palielinātu valsts pārvaldes iestāžu efektivitāti, pārredzamību un pārskatatbildību un veicinātu reformas. Šajā sakarā ES atbalstīs tiesiskā regulējuma pieņemšanu attiecībā uz </w:t>
      </w:r>
      <w:r>
        <w:rPr>
          <w:rFonts w:ascii="Times New Roman" w:hAnsi="Times New Roman"/>
          <w:b/>
          <w:bCs/>
          <w:noProof/>
          <w:color w:val="000000"/>
          <w:sz w:val="23"/>
          <w:szCs w:val="23"/>
        </w:rPr>
        <w:t>elektroniskās identifikācijas</w:t>
      </w:r>
      <w:r>
        <w:rPr>
          <w:rFonts w:ascii="Times New Roman" w:hAnsi="Times New Roman"/>
          <w:noProof/>
          <w:color w:val="000000"/>
          <w:sz w:val="23"/>
          <w:szCs w:val="23"/>
        </w:rPr>
        <w:t xml:space="preserve"> shēmām un </w:t>
      </w:r>
      <w:r>
        <w:rPr>
          <w:rFonts w:ascii="Times New Roman" w:hAnsi="Times New Roman"/>
          <w:b/>
          <w:bCs/>
          <w:noProof/>
          <w:color w:val="000000"/>
          <w:sz w:val="23"/>
          <w:szCs w:val="23"/>
        </w:rPr>
        <w:t>elektroniskajiem uzticamības</w:t>
      </w:r>
      <w:r>
        <w:rPr>
          <w:rFonts w:ascii="Times New Roman" w:hAnsi="Times New Roman"/>
          <w:noProof/>
          <w:color w:val="000000"/>
          <w:sz w:val="23"/>
          <w:szCs w:val="23"/>
        </w:rPr>
        <w:t xml:space="preserve"> pakalpojumiem AP ietvaros saskaņā ar ES tiesību aktiem un paraugpraksi, lai pavērtu ceļu savstarpējas atzīšanas nolīgumiem starp partnervalstīm un ar ES. Tiks atbalstītas standartizētas sadarbspējīgas </w:t>
      </w:r>
      <w:r>
        <w:rPr>
          <w:rFonts w:ascii="Times New Roman" w:hAnsi="Times New Roman"/>
          <w:b/>
          <w:bCs/>
          <w:noProof/>
          <w:color w:val="000000"/>
          <w:sz w:val="23"/>
          <w:szCs w:val="23"/>
        </w:rPr>
        <w:t>e-pakalpojumu platformas</w:t>
      </w:r>
      <w:r>
        <w:rPr>
          <w:rFonts w:ascii="Times New Roman" w:hAnsi="Times New Roman"/>
          <w:noProof/>
          <w:color w:val="000000"/>
          <w:sz w:val="23"/>
          <w:szCs w:val="23"/>
        </w:rPr>
        <w:t>.</w:t>
      </w: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 xml:space="preserve">4.4.3. Digitālā ekonomika un inovācija </w:t>
      </w:r>
    </w:p>
    <w:p>
      <w:pPr>
        <w:spacing w:line="240" w:lineRule="auto"/>
        <w:jc w:val="both"/>
        <w:rPr>
          <w:rFonts w:ascii="Times New Roman" w:hAnsi="Times New Roman" w:cs="Times New Roman"/>
          <w:noProof/>
          <w:color w:val="000000"/>
          <w:sz w:val="23"/>
          <w:szCs w:val="23"/>
        </w:rPr>
      </w:pPr>
      <w:r>
        <w:rPr>
          <w:rFonts w:ascii="Times New Roman" w:hAnsi="Times New Roman"/>
          <w:noProof/>
          <w:color w:val="000000"/>
          <w:sz w:val="23"/>
          <w:szCs w:val="23"/>
        </w:rPr>
        <w:t xml:space="preserve">ES atbalstīs AP valstu valdības digitālo inovāciju programmu izstrādē un atbalstīs augsti inovatīvu digitālo </w:t>
      </w:r>
      <w:r>
        <w:rPr>
          <w:rFonts w:ascii="Times New Roman" w:hAnsi="Times New Roman"/>
          <w:b/>
          <w:bCs/>
          <w:noProof/>
          <w:color w:val="000000"/>
          <w:sz w:val="23"/>
          <w:szCs w:val="23"/>
        </w:rPr>
        <w:t>jaunuzņēmumu</w:t>
      </w:r>
      <w:r>
        <w:rPr>
          <w:rFonts w:ascii="Times New Roman" w:hAnsi="Times New Roman"/>
          <w:noProof/>
          <w:color w:val="000000"/>
          <w:sz w:val="23"/>
          <w:szCs w:val="23"/>
        </w:rPr>
        <w:t xml:space="preserve"> izvēršanu AP reģionā, paplašinot digitālās inovācijas un izvēršanas iniciatīvu uz partnervalstīm.</w:t>
      </w:r>
      <w:r>
        <w:rPr>
          <w:rFonts w:ascii="Times New Roman" w:hAnsi="Times New Roman"/>
          <w:bCs/>
          <w:noProof/>
          <w:color w:val="000000"/>
          <w:sz w:val="23"/>
          <w:szCs w:val="23"/>
        </w:rPr>
        <w:t xml:space="preserve"> </w:t>
      </w:r>
      <w:r>
        <w:rPr>
          <w:rFonts w:ascii="Times New Roman" w:hAnsi="Times New Roman"/>
          <w:noProof/>
          <w:sz w:val="23"/>
          <w:szCs w:val="23"/>
        </w:rPr>
        <w:t>Jo īpaši tā palīdzēs digitālajiem jaunuzņēmumiem un MVU uzlabot to piekļuvi finansējumam, labāk sasniegt ES tirgus un stiprināt saiknes ar ES inovācijas ekosistēmām.</w:t>
      </w:r>
      <w:r>
        <w:rPr>
          <w:noProof/>
        </w:rPr>
        <w:t xml:space="preserve"> </w:t>
      </w:r>
      <w:r>
        <w:rPr>
          <w:rFonts w:ascii="Times New Roman" w:hAnsi="Times New Roman"/>
          <w:noProof/>
          <w:sz w:val="23"/>
          <w:szCs w:val="23"/>
        </w:rPr>
        <w:t xml:space="preserve">ES pamatprogrammu </w:t>
      </w:r>
      <w:r>
        <w:rPr>
          <w:rFonts w:ascii="Times New Roman" w:hAnsi="Times New Roman"/>
          <w:i/>
          <w:iCs/>
          <w:noProof/>
          <w:sz w:val="23"/>
          <w:szCs w:val="23"/>
        </w:rPr>
        <w:t>Copernicus</w:t>
      </w:r>
      <w:r>
        <w:rPr>
          <w:rFonts w:ascii="Times New Roman" w:hAnsi="Times New Roman"/>
          <w:noProof/>
          <w:sz w:val="23"/>
          <w:szCs w:val="23"/>
        </w:rPr>
        <w:t xml:space="preserve"> un </w:t>
      </w:r>
      <w:r>
        <w:rPr>
          <w:rFonts w:ascii="Times New Roman" w:hAnsi="Times New Roman"/>
          <w:i/>
          <w:iCs/>
          <w:noProof/>
          <w:sz w:val="23"/>
          <w:szCs w:val="23"/>
        </w:rPr>
        <w:t>Galileo</w:t>
      </w:r>
      <w:r>
        <w:rPr>
          <w:rFonts w:ascii="Times New Roman" w:hAnsi="Times New Roman"/>
          <w:noProof/>
          <w:sz w:val="23"/>
          <w:szCs w:val="23"/>
        </w:rPr>
        <w:t xml:space="preserve"> uz kosmosu balstīti dati un pakalpojumi jau ir brīvi un atklāti pieejami. ES sadarbosies ar Austrumu partnerības valstīm, lai veicinātu to apguvi un tādējādi radītu iespējas inovatīviem jaunuzņēmumiem un MVU un atvieglotu uzņēmumu pārrobežu sadarbību.</w:t>
      </w:r>
    </w:p>
    <w:p>
      <w:pPr>
        <w:spacing w:after="240" w:line="240" w:lineRule="auto"/>
        <w:jc w:val="both"/>
        <w:rPr>
          <w:rFonts w:ascii="Times New Roman" w:hAnsi="Times New Roman" w:cs="Times New Roman"/>
          <w:noProof/>
          <w:color w:val="000000"/>
          <w:sz w:val="23"/>
          <w:szCs w:val="23"/>
        </w:rPr>
      </w:pPr>
      <w:r>
        <w:rPr>
          <w:rFonts w:ascii="Times New Roman" w:hAnsi="Times New Roman"/>
          <w:noProof/>
          <w:color w:val="000000"/>
          <w:sz w:val="23"/>
          <w:szCs w:val="23"/>
        </w:rPr>
        <w:t xml:space="preserve">ES turpinās atbalstīt partnervalstis, lai novērstu </w:t>
      </w:r>
      <w:r>
        <w:rPr>
          <w:rFonts w:ascii="Times New Roman" w:hAnsi="Times New Roman"/>
          <w:b/>
          <w:bCs/>
          <w:noProof/>
          <w:color w:val="000000"/>
          <w:sz w:val="23"/>
          <w:szCs w:val="23"/>
        </w:rPr>
        <w:t>digitālo prasmju</w:t>
      </w:r>
      <w:r>
        <w:rPr>
          <w:rFonts w:ascii="Times New Roman" w:hAnsi="Times New Roman"/>
          <w:noProof/>
          <w:color w:val="000000"/>
          <w:sz w:val="23"/>
          <w:szCs w:val="23"/>
        </w:rPr>
        <w:t xml:space="preserve"> trūkumu, īpašu uzmanību pievēršot dzimumu līdztiesībai un sociālajai iekļautībai.</w:t>
      </w:r>
    </w:p>
    <w:p>
      <w:pPr>
        <w:spacing w:after="240" w:line="240" w:lineRule="auto"/>
        <w:jc w:val="both"/>
        <w:rPr>
          <w:rFonts w:ascii="Times New Roman" w:hAnsi="Times New Roman" w:cs="Times New Roman"/>
          <w:noProof/>
          <w:color w:val="000000"/>
          <w:sz w:val="23"/>
          <w:szCs w:val="23"/>
        </w:rPr>
      </w:pPr>
    </w:p>
    <w:p>
      <w:pPr>
        <w:keepNext/>
        <w:tabs>
          <w:tab w:val="num" w:pos="1922"/>
        </w:tabs>
        <w:spacing w:after="240"/>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 xml:space="preserve">4.4.4. Kibernoturība </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turpinās atbalstīt partnervalstu </w:t>
      </w:r>
      <w:r>
        <w:rPr>
          <w:rFonts w:ascii="Times New Roman" w:hAnsi="Times New Roman"/>
          <w:b/>
          <w:bCs/>
          <w:noProof/>
          <w:sz w:val="23"/>
          <w:szCs w:val="23"/>
        </w:rPr>
        <w:t>kibernoturību</w:t>
      </w:r>
      <w:r>
        <w:rPr>
          <w:rFonts w:ascii="Times New Roman" w:hAnsi="Times New Roman"/>
          <w:noProof/>
          <w:sz w:val="23"/>
          <w:szCs w:val="23"/>
        </w:rPr>
        <w:t xml:space="preserve">. Turpināsies atbalsts stabilu tiesisko, politikas un operatīvo kiberdrošības regulējumu izstrādei partnervalstīs, pamatojoties uz ES tiesību aktiem un paraugpraksi, tajā skaitā ES </w:t>
      </w:r>
      <w:r>
        <w:rPr>
          <w:rFonts w:ascii="Times New Roman" w:hAnsi="Times New Roman"/>
          <w:b/>
          <w:bCs/>
          <w:noProof/>
          <w:sz w:val="23"/>
          <w:szCs w:val="23"/>
        </w:rPr>
        <w:t>kiberdrošības sertifikācijas</w:t>
      </w:r>
      <w:r>
        <w:rPr>
          <w:rFonts w:ascii="Times New Roman" w:hAnsi="Times New Roman"/>
          <w:noProof/>
          <w:sz w:val="23"/>
          <w:szCs w:val="23"/>
        </w:rPr>
        <w:t xml:space="preserve"> regulējumu.</w:t>
      </w:r>
    </w:p>
    <w:p>
      <w:pPr>
        <w:keepNext/>
        <w:spacing w:after="240" w:line="240" w:lineRule="auto"/>
        <w:ind w:left="851"/>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4.5. Vienoti noturīgai, taisnīgai un iekļaujošai sabiedrībai</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Pārredzama, uz iedzīvotājiem orientēta un atbildīga valsts pārvalde, kā arī brīvas un godīgas vēlēšanas ir demokrātijas neatņemama iezīme. Kopā ar iesaistītu pilsonisko sabiedrību, brīviem, plurāliem un neatkarīgiem plašsaziņas līdzekļiem un pilsoņu tiesību aizsardzību tie ir noturīgas, taisnīgas, iekļaujošas un demokrātiskas sabiedrības galvenie elementi.</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Sadarbība ar partnervalstīm šajās jomās būs viena no ES galvenajām prioritātēm. Piekļuve uz pierādījumiem balstītai informācijai atbalsta demokrātiskas sistēmas un dod cilvēkiem iespēju izdarīt apzinātu izvēli. Tā kā kopīga prioritāte ir arī migrācijas problēmu risināšana, ES turpinās sadarboties ar partnervalstīm, lai nodrošinātu mobilitāti un tiešus personiskus kontaktus drošā un labi pārvaldītā vidē, kā arī lai nodrošinātu atbalstu neaizsargātiem migrantiem un bēgļiem.</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4.5.1. Valsts pārvaldes reforma un pilsoniskā līdzdalība</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Lai nodrošinātu, ka iestādes </w:t>
      </w:r>
      <w:r>
        <w:rPr>
          <w:rFonts w:ascii="Times New Roman" w:hAnsi="Times New Roman"/>
          <w:b/>
          <w:bCs/>
          <w:noProof/>
          <w:sz w:val="23"/>
          <w:szCs w:val="23"/>
        </w:rPr>
        <w:t>iesaista iedzīvotājus lēmumu pieņemšanā</w:t>
      </w:r>
      <w:r>
        <w:rPr>
          <w:rFonts w:ascii="Times New Roman" w:hAnsi="Times New Roman"/>
          <w:noProof/>
          <w:sz w:val="23"/>
          <w:szCs w:val="23"/>
        </w:rPr>
        <w:t xml:space="preserve"> attiecībā uz valsts pārvaldes reformu, izšķiroša nozīme ir partnervalstu pastāvīgai politiskajai gribai. ES atbalstīs iekļaujošas un uz pierādījumiem balstītas politikas izstrādi, kā arī publisko finanšu pareizu pārvaldību ar mērķi uzlabot pakalpojumus cilvēkiem un uzņēmumiem. Partnervalstīm ir </w:t>
      </w:r>
      <w:r>
        <w:rPr>
          <w:rFonts w:ascii="Times New Roman" w:hAnsi="Times New Roman"/>
          <w:b/>
          <w:bCs/>
          <w:noProof/>
          <w:sz w:val="23"/>
          <w:szCs w:val="23"/>
        </w:rPr>
        <w:t>jāprofesionalizē</w:t>
      </w:r>
      <w:r>
        <w:rPr>
          <w:rFonts w:ascii="Times New Roman" w:hAnsi="Times New Roman"/>
          <w:noProof/>
          <w:sz w:val="23"/>
          <w:szCs w:val="23"/>
        </w:rPr>
        <w:t xml:space="preserve"> civildienests un jāpalielina pārskatatbildība visos pārvaldes līmeņos. Valsts pārvaldes reforma, tajā skaitā ar pārredzamību saistīti jautājumi, ir arī svarīgs ekonomikas izaugsmes virzītājspēks un var samazināt korupcijas riskus, piemēram, izmantojot e-pārvaldes risinājumus. Turklāt ES un partnervalstis apsvērs iespēju pastiprināt </w:t>
      </w:r>
      <w:r>
        <w:rPr>
          <w:rFonts w:ascii="Times New Roman" w:hAnsi="Times New Roman"/>
          <w:b/>
          <w:bCs/>
          <w:noProof/>
          <w:sz w:val="23"/>
          <w:szCs w:val="23"/>
        </w:rPr>
        <w:t>mācīšanos no līdzbiedriem</w:t>
      </w:r>
      <w:r>
        <w:rPr>
          <w:rFonts w:ascii="Times New Roman" w:hAnsi="Times New Roman"/>
          <w:noProof/>
          <w:sz w:val="23"/>
          <w:szCs w:val="23"/>
        </w:rPr>
        <w:t>, tajā skaitā izmantojot AP publiskās pārvaldes skolu. Reformu īstenošanas uzraudzība joprojām ir būtiska, un pilsoniskajai sabiedrībai šajā procesā būtu jāuzņemas lielāka loma.</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4.5.2. Pilsoniskā sabiedrība un jauniešu līdzdalība</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Balstoties uz inovatīvām darbībām un sadarbību līdz šim, ES turpinās atbalstīt </w:t>
      </w:r>
      <w:r>
        <w:rPr>
          <w:rFonts w:ascii="Times New Roman" w:hAnsi="Times New Roman"/>
          <w:b/>
          <w:bCs/>
          <w:noProof/>
          <w:sz w:val="23"/>
          <w:szCs w:val="23"/>
        </w:rPr>
        <w:t>pilsoniskās sabiedrības organizāciju</w:t>
      </w:r>
      <w:r>
        <w:rPr>
          <w:rFonts w:ascii="Times New Roman" w:hAnsi="Times New Roman"/>
          <w:noProof/>
          <w:sz w:val="23"/>
          <w:szCs w:val="23"/>
        </w:rPr>
        <w:t xml:space="preserve">, jo īpaši vietējā līmeņa organizāciju, </w:t>
      </w:r>
      <w:r>
        <w:rPr>
          <w:rFonts w:ascii="Times New Roman" w:hAnsi="Times New Roman"/>
          <w:b/>
          <w:bCs/>
          <w:noProof/>
          <w:sz w:val="23"/>
          <w:szCs w:val="23"/>
        </w:rPr>
        <w:t>spējas</w:t>
      </w:r>
      <w:r>
        <w:rPr>
          <w:rFonts w:ascii="Times New Roman" w:hAnsi="Times New Roman"/>
          <w:noProof/>
          <w:sz w:val="23"/>
          <w:szCs w:val="23"/>
        </w:rPr>
        <w:t xml:space="preserve"> jēgpilni iesaistīties politikas veidošanas procesos un politikas dialogā un veicināt reformas un publisko pārskatatbildību. Tā attīstīs turpmākas stratēģiskās partnerības ar galvenajām organizācijām, lai stiprinātu sadarbību, uzlabos pilsoniskās sabiedrības aktīvistu vadības prasmes un sadarbosies ar sociālajiem partneriem (arodbiedrībām un darba devēju organizācijām). Tiks atbalstīta arī sociālā inovācija un sociālā uzņēmējdarbība. Būtiska nozīme būs sadarbībai ar partnervalstīm, lai veicinātu pilsoniskajai sabiedrībai labvēlīgu vidi. AP pilsoniskās sabiedrības forums arī turpmāk būs svarīgs partneris pilsoniskās sabiedrības lomas veicināšanā politikas dialogā.</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arī arvien vairāk pievērsīsies </w:t>
      </w:r>
      <w:r>
        <w:rPr>
          <w:rFonts w:ascii="Times New Roman" w:hAnsi="Times New Roman"/>
          <w:b/>
          <w:bCs/>
          <w:noProof/>
          <w:sz w:val="23"/>
          <w:szCs w:val="23"/>
        </w:rPr>
        <w:t>jauniešu līdzdalībai un vadībai</w:t>
      </w:r>
      <w:r>
        <w:rPr>
          <w:rFonts w:ascii="Times New Roman" w:hAnsi="Times New Roman"/>
          <w:noProof/>
          <w:sz w:val="23"/>
          <w:szCs w:val="23"/>
        </w:rPr>
        <w:t>.</w:t>
      </w:r>
      <w:r>
        <w:rPr>
          <w:rFonts w:ascii="Times New Roman" w:hAnsi="Times New Roman"/>
          <w:b/>
          <w:bCs/>
          <w:noProof/>
          <w:sz w:val="23"/>
          <w:szCs w:val="23"/>
        </w:rPr>
        <w:t xml:space="preserve"> </w:t>
      </w:r>
      <w:r>
        <w:rPr>
          <w:rFonts w:ascii="Times New Roman" w:hAnsi="Times New Roman"/>
          <w:bCs/>
          <w:noProof/>
          <w:sz w:val="23"/>
          <w:szCs w:val="23"/>
        </w:rPr>
        <w:t>Programma “</w:t>
      </w:r>
      <w:r>
        <w:rPr>
          <w:rFonts w:ascii="Times New Roman" w:hAnsi="Times New Roman"/>
          <w:b/>
          <w:bCs/>
          <w:noProof/>
          <w:sz w:val="23"/>
          <w:szCs w:val="23"/>
        </w:rPr>
        <w:t>Erasmus+</w:t>
      </w:r>
      <w:r>
        <w:rPr>
          <w:rFonts w:ascii="Times New Roman" w:hAnsi="Times New Roman"/>
          <w:bCs/>
          <w:noProof/>
          <w:sz w:val="23"/>
          <w:szCs w:val="23"/>
        </w:rPr>
        <w:t xml:space="preserve">” un </w:t>
      </w:r>
      <w:r>
        <w:rPr>
          <w:rFonts w:ascii="Times New Roman" w:hAnsi="Times New Roman"/>
          <w:b/>
          <w:bCs/>
          <w:noProof/>
          <w:sz w:val="23"/>
          <w:szCs w:val="23"/>
        </w:rPr>
        <w:t>Eiropas Solidaritātes korpuss</w:t>
      </w:r>
      <w:r>
        <w:rPr>
          <w:rFonts w:ascii="Times New Roman" w:hAnsi="Times New Roman"/>
          <w:bCs/>
          <w:noProof/>
          <w:sz w:val="23"/>
          <w:szCs w:val="23"/>
        </w:rPr>
        <w:t xml:space="preserve"> radīs iespējas jaunajai paaudzei, sniedzot ieguldījumu iekļaujošas un uz pierādījumiem balstītas jaunatnes politikas izveidē, prasmju attīstīšanā, brīvprātīgā darba un sadarbības projektu atbalstīšanā. </w:t>
      </w:r>
      <w:r>
        <w:rPr>
          <w:rFonts w:ascii="Times New Roman" w:hAnsi="Times New Roman"/>
          <w:noProof/>
          <w:sz w:val="23"/>
          <w:szCs w:val="23"/>
        </w:rPr>
        <w:t xml:space="preserve">Tiks stiprināta </w:t>
      </w:r>
      <w:r>
        <w:rPr>
          <w:rFonts w:ascii="Times New Roman" w:hAnsi="Times New Roman"/>
          <w:b/>
          <w:bCs/>
          <w:noProof/>
          <w:sz w:val="23"/>
          <w:szCs w:val="23"/>
        </w:rPr>
        <w:t>pilsoniskās sabiedrības stipendiju shēma</w:t>
      </w:r>
      <w:r>
        <w:rPr>
          <w:rFonts w:ascii="Times New Roman" w:hAnsi="Times New Roman"/>
          <w:noProof/>
          <w:sz w:val="23"/>
          <w:szCs w:val="23"/>
        </w:rPr>
        <w:t xml:space="preserve"> un </w:t>
      </w:r>
      <w:r>
        <w:rPr>
          <w:rFonts w:ascii="Times New Roman" w:hAnsi="Times New Roman"/>
          <w:b/>
          <w:bCs/>
          <w:noProof/>
          <w:sz w:val="23"/>
          <w:szCs w:val="23"/>
        </w:rPr>
        <w:t>Jauno Eiropas vēstnieku</w:t>
      </w:r>
      <w:r>
        <w:rPr>
          <w:rFonts w:ascii="Times New Roman" w:hAnsi="Times New Roman"/>
          <w:noProof/>
          <w:sz w:val="23"/>
          <w:szCs w:val="23"/>
        </w:rPr>
        <w:t xml:space="preserve"> iniciatīva, lai labāk palīdzētu jauniešiem attīstīt pamata kompetences un prasmes, tajā skaitā izpratni par nepieciešamību risināt dzimumu nevienlīdzības problēmu un aktīvi piedalīties demokrātiskajā dzīvē, un veicināt pilsonisko līdzdalību. </w:t>
      </w:r>
      <w:r>
        <w:rPr>
          <w:rFonts w:ascii="Times New Roman" w:hAnsi="Times New Roman"/>
          <w:b/>
          <w:bCs/>
          <w:noProof/>
          <w:sz w:val="23"/>
          <w:szCs w:val="23"/>
        </w:rPr>
        <w:t>AP Jaunatnes forumam</w:t>
      </w:r>
      <w:r>
        <w:rPr>
          <w:rFonts w:ascii="Times New Roman" w:hAnsi="Times New Roman"/>
          <w:noProof/>
          <w:sz w:val="23"/>
          <w:szCs w:val="23"/>
        </w:rPr>
        <w:t xml:space="preserve"> būs vēl lielāka nozīme, un tas tiks labāk integrēts strukturētā jaunatnes politikas dialogā, kura pamatā ir ES iekšējais strukturētais dialogs par jaunatni, AP jaunatnes padomju tīkla ietvaros.</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4.5.3. Neatkarīgi plašsaziņas līdzekļi un uz faktiem balstīta informācija</w:t>
      </w:r>
    </w:p>
    <w:p>
      <w:pPr>
        <w:spacing w:after="12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Labi funkcionējošā </w:t>
      </w:r>
      <w:r>
        <w:rPr>
          <w:rFonts w:ascii="Times New Roman" w:hAnsi="Times New Roman"/>
          <w:b/>
          <w:bCs/>
          <w:noProof/>
          <w:sz w:val="23"/>
          <w:szCs w:val="23"/>
        </w:rPr>
        <w:t>plašsaziņas līdzekļu vidē</w:t>
      </w:r>
      <w:r>
        <w:rPr>
          <w:rFonts w:ascii="Times New Roman" w:hAnsi="Times New Roman"/>
          <w:noProof/>
          <w:sz w:val="23"/>
          <w:szCs w:val="23"/>
        </w:rPr>
        <w:t xml:space="preserve"> neatkarīgi žurnālisti, pilsoniskā sabiedrība un privātpersonas var nodrošināt pārbaudes un līdzsvaru un saukt valdības pie atbildības. Nodrošinot visiem piekļuvi precīzai un uz faktiem balstītai informācijai, cilvēkiem tiek dota iespēja pieņemt uz informāciju balstītus lēmumus un aktīvi piedalīties demokrātiskajā procesā. ES atbalstīs neatkarīgus plašsaziņas līdzekļus, kas ražo kvalitatīvu un daudzveidīgu saturu. 2018. gada decembrī pieņemot </w:t>
      </w:r>
      <w:r>
        <w:rPr>
          <w:rFonts w:ascii="Times New Roman" w:hAnsi="Times New Roman"/>
          <w:b/>
          <w:bCs/>
          <w:noProof/>
          <w:sz w:val="23"/>
          <w:szCs w:val="23"/>
        </w:rPr>
        <w:t>rīcības plānu pret dezinformāciju</w:t>
      </w:r>
      <w:r>
        <w:rPr>
          <w:rStyle w:val="FootnoteReference"/>
          <w:rFonts w:ascii="Times New Roman" w:eastAsia="Times New Roman" w:hAnsi="Times New Roman" w:cs="Times New Roman"/>
          <w:b/>
          <w:noProof/>
          <w:sz w:val="23"/>
          <w:szCs w:val="23"/>
          <w:lang w:eastAsia="en-GB"/>
        </w:rPr>
        <w:footnoteReference w:id="15"/>
      </w:r>
      <w:r>
        <w:rPr>
          <w:rFonts w:ascii="Times New Roman" w:hAnsi="Times New Roman"/>
          <w:noProof/>
          <w:sz w:val="23"/>
          <w:szCs w:val="23"/>
        </w:rPr>
        <w:t xml:space="preserve">, ES ieviesa stingru regulējumu, </w:t>
      </w:r>
      <w:r>
        <w:rPr>
          <w:rFonts w:ascii="Times New Roman" w:hAnsi="Times New Roman"/>
          <w:b/>
          <w:bCs/>
          <w:noProof/>
          <w:sz w:val="23"/>
          <w:szCs w:val="23"/>
        </w:rPr>
        <w:t>lai novērstu dezinformācijas draudus ES un ārpus tās</w:t>
      </w:r>
      <w:r>
        <w:rPr>
          <w:rFonts w:ascii="Times New Roman" w:hAnsi="Times New Roman"/>
          <w:noProof/>
          <w:sz w:val="23"/>
          <w:szCs w:val="23"/>
        </w:rPr>
        <w:t>.   Raugoties nākotnē, visiem attiecīgajiem dalībniekiem, tajā skaitā ES iestādēm, ES dalībvalstīm, partnervalstīm, nozarei un pilsoniskajai sabiedrībai, arī turpmāk būtu jāpiedalās neatkarīgu faktu pārbaudes pakalpojumu izvēršanā un plašsaziņas līdzekļu lietotprasmes veicināšanā. Izšķiroša nozīme būs arī sadarbības stiprināšanai ar pilsonisko sabiedrību, lai apkarotu dezinformāciju.</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4.5.4. Cilvēktiesību aizsardzība</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turpinās atbalstīt partnervalstis cilvēktiesību veicināšanā, tajā skaitā nodrošinot, ka ikviens var pilnībā izmantot pilsoniskās un politiskās, kā arī ekonomiskās, sociālās un kultūras tiesības. ES pastiprinās pasākumus, lai apkarotu visu veidu diskrimināciju, tajā skaitā diskrimināciju dzimuma, rases vai etniskās izcelsmes, reliģijas vai pārliecības, invaliditātes, vecuma vai seksuālās orientācijas dēļ. ES atbalstīs partnervalstis </w:t>
      </w:r>
      <w:r>
        <w:rPr>
          <w:rFonts w:ascii="Times New Roman" w:hAnsi="Times New Roman"/>
          <w:b/>
          <w:bCs/>
          <w:noProof/>
          <w:sz w:val="23"/>
          <w:szCs w:val="23"/>
        </w:rPr>
        <w:t>ANO Konvencijas par personu ar invaliditāti tiesībām</w:t>
      </w:r>
      <w:r>
        <w:rPr>
          <w:rFonts w:ascii="Times New Roman" w:hAnsi="Times New Roman"/>
          <w:noProof/>
          <w:sz w:val="23"/>
          <w:szCs w:val="23"/>
        </w:rPr>
        <w:t xml:space="preserve"> īstenošanā, kā arī tām pieejamu produktu un pakalpojumu izstrādē. ES arī turpinās atbalstīt partnervalstis, lai </w:t>
      </w:r>
      <w:r>
        <w:rPr>
          <w:rFonts w:ascii="Times New Roman" w:hAnsi="Times New Roman"/>
          <w:b/>
          <w:bCs/>
          <w:noProof/>
          <w:sz w:val="23"/>
          <w:szCs w:val="23"/>
        </w:rPr>
        <w:t>nodrošinātu minoritāšu pārstāvju un konfliktu skarto iedzīvotāju tiesību ievērošanu un veicinātu dzimumu līdztiesību</w:t>
      </w:r>
      <w:r>
        <w:rPr>
          <w:rFonts w:ascii="Times New Roman" w:hAnsi="Times New Roman"/>
          <w:noProof/>
          <w:sz w:val="23"/>
          <w:szCs w:val="23"/>
        </w:rPr>
        <w:t>.</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Lai nodrošinātu pamattiesību uz privātumu augstu aizsardzības līmeni un </w:t>
      </w:r>
      <w:r>
        <w:rPr>
          <w:rFonts w:ascii="Times New Roman" w:hAnsi="Times New Roman"/>
          <w:b/>
          <w:bCs/>
          <w:noProof/>
          <w:sz w:val="23"/>
          <w:szCs w:val="23"/>
        </w:rPr>
        <w:t>datu aizsardzību</w:t>
      </w:r>
      <w:r>
        <w:rPr>
          <w:rFonts w:ascii="Times New Roman" w:hAnsi="Times New Roman"/>
          <w:noProof/>
          <w:sz w:val="23"/>
          <w:szCs w:val="23"/>
        </w:rPr>
        <w:t>, ES turpinās sadarboties ar austrumu partnervalstīm, lai veicinātu turpmāku konverģenci ar ES un starptautiskajiem datu aizsardzības standartiem nolūkā veicināt komerciālu apmaiņu un sadarbību tiesībaizsardzības jomā.</w:t>
      </w:r>
    </w:p>
    <w:p>
      <w:pPr>
        <w:keepNext/>
        <w:tabs>
          <w:tab w:val="num" w:pos="1922"/>
        </w:tabs>
        <w:spacing w:after="240" w:line="240" w:lineRule="auto"/>
        <w:ind w:left="1922" w:hanging="720"/>
        <w:jc w:val="both"/>
        <w:outlineLvl w:val="2"/>
        <w:rPr>
          <w:rFonts w:ascii="Times New Roman" w:eastAsia="Times New Roman" w:hAnsi="Times New Roman" w:cs="Times New Roman"/>
          <w:i/>
          <w:noProof/>
          <w:sz w:val="23"/>
          <w:szCs w:val="23"/>
        </w:rPr>
      </w:pPr>
      <w:r>
        <w:rPr>
          <w:rFonts w:ascii="Times New Roman" w:hAnsi="Times New Roman"/>
          <w:i/>
          <w:noProof/>
          <w:sz w:val="23"/>
          <w:szCs w:val="23"/>
        </w:rPr>
        <w:t>4.5.5. Mobilitāte</w:t>
      </w:r>
    </w:p>
    <w:p>
      <w:pPr>
        <w:spacing w:after="120" w:line="240" w:lineRule="auto"/>
        <w:jc w:val="both"/>
        <w:rPr>
          <w:rFonts w:ascii="Times New Roman" w:eastAsia="Times New Roman" w:hAnsi="Times New Roman" w:cs="Times New Roman"/>
          <w:b/>
          <w:noProof/>
          <w:sz w:val="23"/>
          <w:szCs w:val="23"/>
        </w:rPr>
      </w:pPr>
      <w:r>
        <w:rPr>
          <w:rFonts w:ascii="Times New Roman" w:hAnsi="Times New Roman"/>
          <w:noProof/>
          <w:sz w:val="23"/>
          <w:szCs w:val="23"/>
        </w:rPr>
        <w:t xml:space="preserve">Lai nodrošinātu mobilitāti un tiešus personiskus kontaktus drošā un labi pārvaldītā vidē, ir būtiski sekmīgi īstenot spēkā esošos nolīgumus par </w:t>
      </w:r>
      <w:r>
        <w:rPr>
          <w:rFonts w:ascii="Times New Roman" w:hAnsi="Times New Roman"/>
          <w:b/>
          <w:bCs/>
          <w:noProof/>
          <w:sz w:val="23"/>
          <w:szCs w:val="23"/>
        </w:rPr>
        <w:t>vīzu režīma atvieglošanu un atpakaļuzņemšanu</w:t>
      </w:r>
      <w:r>
        <w:rPr>
          <w:rFonts w:ascii="Times New Roman" w:hAnsi="Times New Roman"/>
          <w:noProof/>
          <w:sz w:val="23"/>
          <w:szCs w:val="23"/>
        </w:rPr>
        <w:t xml:space="preserve">, kā arī pastāvīgi izpildīt attiecīgos vīzu režīma liberalizācijas kritērijus. Tiks apsvērta iespēja sākt jaunus dialogus par vīzu režīma liberalizāciju ar pārējām valstīm, kuru iedzīvotājiem ieceļošanai ES ir vajadzīgas vīzas, ar nosacījumu, ka ir ieviesti labi pārvaldītas un drošas mobilitātes priekšnoteikumi, tajā skaitā apmierinoši īstenoti vīzu režīma atvieglošanas un atpakaļuzņemšanas nolīgumi. ilgtspējīgu sadarbību nodrošinās arī līdzsvarotas un savstarpēji izdevīgas </w:t>
      </w:r>
      <w:r>
        <w:rPr>
          <w:rFonts w:ascii="Times New Roman" w:hAnsi="Times New Roman"/>
          <w:b/>
          <w:bCs/>
          <w:noProof/>
          <w:sz w:val="23"/>
          <w:szCs w:val="23"/>
        </w:rPr>
        <w:t>mobilitātes partnerības</w:t>
      </w:r>
      <w:r>
        <w:rPr>
          <w:rFonts w:ascii="Times New Roman" w:hAnsi="Times New Roman"/>
          <w:noProof/>
          <w:sz w:val="23"/>
          <w:szCs w:val="23"/>
        </w:rPr>
        <w:t xml:space="preserve">. Tiks apsvērtas </w:t>
      </w:r>
      <w:r>
        <w:rPr>
          <w:rFonts w:ascii="Times New Roman" w:hAnsi="Times New Roman"/>
          <w:b/>
          <w:bCs/>
          <w:noProof/>
          <w:sz w:val="23"/>
          <w:szCs w:val="23"/>
        </w:rPr>
        <w:t>darbaspēka migrācijas</w:t>
      </w:r>
      <w:r>
        <w:rPr>
          <w:rFonts w:ascii="Times New Roman" w:hAnsi="Times New Roman"/>
          <w:noProof/>
          <w:sz w:val="23"/>
          <w:szCs w:val="23"/>
        </w:rPr>
        <w:t xml:space="preserve"> iniciatīvas starp partnervalstīm, kā arī starp AP un ES valstīm, kuru mērķis ir izveidot partnerības, lai veicinātu legālo migrāciju un mobilitāti, uzlabotu sadarbību un prasmju un kompetenču savstarpēju papildināšanu, vienlaikus ņemot vērā intelektuālā darbaspēka emigrācijas ietekmi uz partnervalstu cilvēkkapitālu. Lai palīdzētu cilvēkiem un precēm pārvietoties pāri robežām, tiks stiprināta tehniskā un administratīvā sadarbība </w:t>
      </w:r>
      <w:r>
        <w:rPr>
          <w:rFonts w:ascii="Times New Roman" w:hAnsi="Times New Roman"/>
          <w:b/>
          <w:bCs/>
          <w:noProof/>
          <w:sz w:val="23"/>
          <w:szCs w:val="23"/>
        </w:rPr>
        <w:t>integrētā robežu pārvaldībā</w:t>
      </w:r>
      <w:r>
        <w:rPr>
          <w:rFonts w:ascii="Times New Roman" w:hAnsi="Times New Roman"/>
          <w:noProof/>
          <w:sz w:val="23"/>
          <w:szCs w:val="23"/>
        </w:rPr>
        <w:t>.</w:t>
      </w:r>
    </w:p>
    <w:p>
      <w:pPr>
        <w:keepNext/>
        <w:numPr>
          <w:ilvl w:val="0"/>
          <w:numId w:val="1"/>
        </w:numPr>
        <w:spacing w:before="240" w:after="240" w:line="240" w:lineRule="auto"/>
        <w:jc w:val="both"/>
        <w:outlineLvl w:val="0"/>
        <w:rPr>
          <w:rFonts w:ascii="Times New Roman" w:eastAsia="Times New Roman" w:hAnsi="Times New Roman" w:cs="Times New Roman"/>
          <w:b/>
          <w:smallCaps/>
          <w:noProof/>
          <w:sz w:val="23"/>
          <w:szCs w:val="23"/>
        </w:rPr>
      </w:pPr>
      <w:bookmarkStart w:id="2" w:name="da"/>
      <w:bookmarkEnd w:id="2"/>
      <w:r>
        <w:rPr>
          <w:rFonts w:ascii="Times New Roman" w:hAnsi="Times New Roman"/>
          <w:b/>
          <w:smallCaps/>
          <w:noProof/>
          <w:sz w:val="23"/>
          <w:szCs w:val="23"/>
        </w:rPr>
        <w:t>Stratēģiskā komunikācija, pārvaldība un īstenošana</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5.1. Stratēģiskā komunikācija</w:t>
      </w:r>
    </w:p>
    <w:p>
      <w:pPr>
        <w:spacing w:after="20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Stratēģiskajai komunikācijai</w:t>
      </w:r>
      <w:r>
        <w:rPr>
          <w:rFonts w:ascii="Times New Roman" w:hAnsi="Times New Roman"/>
          <w:noProof/>
          <w:sz w:val="23"/>
          <w:szCs w:val="23"/>
        </w:rPr>
        <w:t xml:space="preserve"> ir izšķiroša nozīme noturības veidošanā, un tā ir politikas veidotāju pamatpienākums iedzīvotāju labā. AP ietvaros aicinājums īstenot spēcīgāku un stratēģiskāku pieeju komunikācijai pēdējos gados ir ieguvis lielu politisko uzmanību, arī ņemot vērā pret ES vērtībām vērsto pieaugošo dezinformāciju. Tāpēc Eiropas Komisijas dienestu un Eiropas Ārējās darbības dienesta kopīgā darba mērķis ir stiprināt ES komunikāciju partnervalstīs, izmantojot skaidru, uz stāstījumiem balstītu, individuāli pielāgotu ziņu plūsmu un palielinot informētību par </w:t>
      </w:r>
      <w:r>
        <w:rPr>
          <w:rFonts w:ascii="Times New Roman" w:hAnsi="Times New Roman"/>
          <w:b/>
          <w:bCs/>
          <w:noProof/>
          <w:sz w:val="23"/>
          <w:szCs w:val="23"/>
        </w:rPr>
        <w:t>ES politikas</w:t>
      </w:r>
      <w:r>
        <w:rPr>
          <w:rFonts w:ascii="Times New Roman" w:hAnsi="Times New Roman"/>
          <w:noProof/>
          <w:sz w:val="23"/>
          <w:szCs w:val="23"/>
        </w:rPr>
        <w:t xml:space="preserve"> un darbību </w:t>
      </w:r>
      <w:r>
        <w:rPr>
          <w:rFonts w:ascii="Times New Roman" w:hAnsi="Times New Roman"/>
          <w:b/>
          <w:bCs/>
          <w:noProof/>
          <w:sz w:val="23"/>
          <w:szCs w:val="23"/>
        </w:rPr>
        <w:t>pozitīvo ietekmi</w:t>
      </w:r>
      <w:r>
        <w:rPr>
          <w:rFonts w:ascii="Times New Roman" w:hAnsi="Times New Roman"/>
          <w:noProof/>
          <w:sz w:val="23"/>
          <w:szCs w:val="23"/>
        </w:rPr>
        <w:t xml:space="preserve"> uz cilvēkiem visā reģionā, ar visaptverošu vēstījumu “Spēcīgāka kopīga rīcība”. ES ir arī veikusi nozīmīgus pasākumus, lai veicinātu labāku ES pamanāmību, pārejot no komunikācijas, kuras pamatā ir projekti, uz valsts līmeņa un </w:t>
      </w:r>
      <w:r>
        <w:rPr>
          <w:rFonts w:ascii="Times New Roman" w:hAnsi="Times New Roman"/>
          <w:b/>
          <w:bCs/>
          <w:noProof/>
          <w:sz w:val="23"/>
          <w:szCs w:val="23"/>
        </w:rPr>
        <w:t>tematiskāku, uz kampaņu balstītu komunikāciju</w:t>
      </w:r>
      <w:r>
        <w:rPr>
          <w:rFonts w:ascii="Times New Roman" w:hAnsi="Times New Roman"/>
          <w:noProof/>
          <w:sz w:val="23"/>
          <w:szCs w:val="23"/>
        </w:rPr>
        <w:t xml:space="preserve">, lai izvairītos no zīmolrades fragmentācijas. ES darbībām tiek sistemātiski radīts zīmols ar tekstu “EU4” (piemēram, </w:t>
      </w:r>
      <w:r>
        <w:rPr>
          <w:rFonts w:ascii="Times New Roman" w:hAnsi="Times New Roman"/>
          <w:i/>
          <w:iCs/>
          <w:noProof/>
          <w:sz w:val="23"/>
          <w:szCs w:val="23"/>
        </w:rPr>
        <w:t>EU4Energy, EU4Business, EU4Digital un EU4Georgia</w:t>
      </w:r>
      <w:r>
        <w:rPr>
          <w:rFonts w:ascii="Times New Roman" w:hAnsi="Times New Roman"/>
          <w:noProof/>
          <w:sz w:val="23"/>
          <w:szCs w:val="23"/>
        </w:rPr>
        <w:t xml:space="preserve">). Zīmola izveide ir arī elastīgi ļāvusi veikt valstij specifisku pozicionēšanu (piemēram, turpmāka kopīga virzība (“Moving Forward Together”) Ukrainā). Galvenā uzmanība ir pievērsta </w:t>
      </w:r>
      <w:r>
        <w:rPr>
          <w:rFonts w:ascii="Times New Roman" w:hAnsi="Times New Roman"/>
          <w:b/>
          <w:bCs/>
          <w:noProof/>
          <w:sz w:val="23"/>
          <w:szCs w:val="23"/>
        </w:rPr>
        <w:t>galveno viedokļa izplatītāju</w:t>
      </w:r>
      <w:r>
        <w:rPr>
          <w:rFonts w:ascii="Times New Roman" w:hAnsi="Times New Roman"/>
          <w:noProof/>
          <w:sz w:val="23"/>
          <w:szCs w:val="23"/>
        </w:rPr>
        <w:t xml:space="preserve">, piemēram, jauniešu, </w:t>
      </w:r>
      <w:r>
        <w:rPr>
          <w:rFonts w:ascii="Times New Roman" w:hAnsi="Times New Roman"/>
          <w:b/>
          <w:bCs/>
          <w:noProof/>
          <w:sz w:val="23"/>
          <w:szCs w:val="23"/>
        </w:rPr>
        <w:t>informēšanai</w:t>
      </w:r>
      <w:r>
        <w:rPr>
          <w:rFonts w:ascii="Times New Roman" w:hAnsi="Times New Roman"/>
          <w:noProof/>
          <w:sz w:val="23"/>
          <w:szCs w:val="23"/>
        </w:rPr>
        <w:t xml:space="preserve">, lai palīdzētu popularizēt ES vērtības un darbības partnervalstīs. Piemēram, iniciatīvā “Jaunie Eiropas vēstnieki” ir iesaistīti 740 jaunieši, kuri savās vietējās kopienās izplata pozitīvus vēstījumus par ES. Šī pastiprinātā un koordinētā pieeja ir veicinājusi labāku izpratni par ES un </w:t>
      </w:r>
      <w:r>
        <w:rPr>
          <w:rFonts w:ascii="Times New Roman" w:hAnsi="Times New Roman"/>
          <w:b/>
          <w:bCs/>
          <w:noProof/>
          <w:sz w:val="23"/>
          <w:szCs w:val="23"/>
        </w:rPr>
        <w:t>lielāku uzticamību</w:t>
      </w:r>
      <w:r>
        <w:rPr>
          <w:rFonts w:ascii="Times New Roman" w:hAnsi="Times New Roman"/>
          <w:noProof/>
          <w:sz w:val="23"/>
          <w:szCs w:val="23"/>
        </w:rPr>
        <w:t xml:space="preserve"> tai iedzīvotāju vidū visās Austrumu partnerības valstīs</w:t>
      </w:r>
      <w:r>
        <w:rPr>
          <w:rStyle w:val="FootnoteReference"/>
          <w:rFonts w:ascii="Times New Roman" w:eastAsia="Times New Roman" w:hAnsi="Times New Roman" w:cs="Times New Roman"/>
          <w:noProof/>
          <w:sz w:val="23"/>
          <w:szCs w:val="23"/>
          <w:lang w:val="en-IE" w:eastAsia="en-GB"/>
        </w:rPr>
        <w:footnoteReference w:id="16"/>
      </w:r>
      <w:r>
        <w:rPr>
          <w:rFonts w:ascii="Times New Roman" w:hAnsi="Times New Roman"/>
          <w:noProof/>
          <w:sz w:val="23"/>
          <w:szCs w:val="23"/>
        </w:rPr>
        <w:t>.</w:t>
      </w:r>
    </w:p>
    <w:p>
      <w:pPr>
        <w:spacing w:after="200" w:line="240" w:lineRule="auto"/>
        <w:jc w:val="both"/>
        <w:rPr>
          <w:rFonts w:ascii="Times New Roman" w:eastAsia="Times New Roman" w:hAnsi="Times New Roman" w:cs="Times New Roman"/>
          <w:b/>
          <w:bCs/>
          <w:noProof/>
          <w:sz w:val="23"/>
          <w:szCs w:val="23"/>
        </w:rPr>
      </w:pPr>
      <w:r>
        <w:rPr>
          <w:rFonts w:ascii="Times New Roman" w:hAnsi="Times New Roman"/>
          <w:noProof/>
          <w:sz w:val="23"/>
          <w:szCs w:val="23"/>
        </w:rPr>
        <w:t xml:space="preserve">Strukturētā apspriešanās par AP nākotni parādīja ieinteresēto personu un iedzīvotāju </w:t>
      </w:r>
      <w:r>
        <w:rPr>
          <w:rFonts w:ascii="Times New Roman" w:hAnsi="Times New Roman"/>
          <w:b/>
          <w:bCs/>
          <w:noProof/>
          <w:sz w:val="23"/>
          <w:szCs w:val="23"/>
        </w:rPr>
        <w:t>plašo vienprātību un cerības</w:t>
      </w:r>
      <w:r>
        <w:rPr>
          <w:rFonts w:ascii="Times New Roman" w:hAnsi="Times New Roman"/>
          <w:noProof/>
          <w:sz w:val="23"/>
          <w:szCs w:val="23"/>
        </w:rPr>
        <w:t xml:space="preserve"> turpināt darbu pie </w:t>
      </w:r>
      <w:r>
        <w:rPr>
          <w:rFonts w:ascii="Times New Roman" w:hAnsi="Times New Roman"/>
          <w:b/>
          <w:bCs/>
          <w:noProof/>
          <w:sz w:val="23"/>
          <w:szCs w:val="23"/>
        </w:rPr>
        <w:t>sekmīgām iniciatīvām un stiprināt tās</w:t>
      </w:r>
      <w:r>
        <w:rPr>
          <w:rFonts w:ascii="Times New Roman" w:hAnsi="Times New Roman"/>
          <w:noProof/>
          <w:sz w:val="23"/>
          <w:szCs w:val="23"/>
        </w:rPr>
        <w:t xml:space="preserve">, lai padarītu ES komunikāciju stratēģiskāku un iedarbīgāku, ņemot vērā </w:t>
      </w:r>
      <w:r>
        <w:rPr>
          <w:rFonts w:ascii="Times New Roman" w:hAnsi="Times New Roman"/>
          <w:b/>
          <w:bCs/>
          <w:noProof/>
          <w:sz w:val="23"/>
          <w:szCs w:val="23"/>
        </w:rPr>
        <w:t>pret ES vērtībām vērsto pieaugošo dezinformāciju</w:t>
      </w:r>
      <w:r>
        <w:rPr>
          <w:rFonts w:ascii="Times New Roman" w:hAnsi="Times New Roman"/>
          <w:noProof/>
          <w:sz w:val="23"/>
          <w:szCs w:val="23"/>
        </w:rPr>
        <w:t>.</w:t>
      </w:r>
    </w:p>
    <w:p>
      <w:pPr>
        <w:spacing w:after="200" w:line="240" w:lineRule="auto"/>
        <w:jc w:val="both"/>
        <w:rPr>
          <w:rFonts w:ascii="Times New Roman" w:eastAsia="Times New Roman" w:hAnsi="Times New Roman" w:cs="Times New Roman"/>
          <w:noProof/>
          <w:sz w:val="23"/>
          <w:szCs w:val="23"/>
          <w:u w:val="single"/>
        </w:rPr>
      </w:pPr>
      <w:r>
        <w:rPr>
          <w:rFonts w:ascii="Times New Roman" w:hAnsi="Times New Roman"/>
          <w:noProof/>
          <w:sz w:val="23"/>
          <w:szCs w:val="23"/>
        </w:rPr>
        <w:t xml:space="preserve">Komunikācija par Eiropas Savienību un tās attiecībām ar partnervalstīm būtu jāveic, uzņemoties </w:t>
      </w:r>
      <w:r>
        <w:rPr>
          <w:rFonts w:ascii="Times New Roman" w:hAnsi="Times New Roman"/>
          <w:b/>
          <w:bCs/>
          <w:noProof/>
          <w:sz w:val="23"/>
          <w:szCs w:val="23"/>
        </w:rPr>
        <w:t>līdzatbildību</w:t>
      </w:r>
      <w:r>
        <w:rPr>
          <w:rFonts w:ascii="Times New Roman" w:hAnsi="Times New Roman"/>
          <w:noProof/>
          <w:sz w:val="23"/>
          <w:szCs w:val="23"/>
        </w:rPr>
        <w:t xml:space="preserve"> un </w:t>
      </w:r>
      <w:r>
        <w:rPr>
          <w:rFonts w:ascii="Times New Roman" w:hAnsi="Times New Roman"/>
          <w:b/>
          <w:bCs/>
          <w:noProof/>
          <w:sz w:val="23"/>
          <w:szCs w:val="23"/>
        </w:rPr>
        <w:t>kopīgu atbildību gan ES dalībvalstu, gan partnervalstu iedzīvotāju</w:t>
      </w:r>
      <w:r>
        <w:rPr>
          <w:rFonts w:ascii="Times New Roman" w:hAnsi="Times New Roman"/>
          <w:noProof/>
          <w:sz w:val="23"/>
          <w:szCs w:val="23"/>
        </w:rPr>
        <w:t xml:space="preserve"> priekšā.</w:t>
      </w:r>
      <w:r>
        <w:rPr>
          <w:rFonts w:ascii="Times New Roman" w:hAnsi="Times New Roman"/>
          <w:b/>
          <w:bCs/>
          <w:noProof/>
          <w:sz w:val="23"/>
          <w:szCs w:val="23"/>
        </w:rPr>
        <w:t xml:space="preserve"> </w:t>
      </w:r>
      <w:r>
        <w:rPr>
          <w:rFonts w:ascii="Times New Roman" w:hAnsi="Times New Roman"/>
          <w:noProof/>
          <w:sz w:val="23"/>
          <w:szCs w:val="23"/>
        </w:rPr>
        <w:t xml:space="preserve">Šajā sakarā ES valstīm, partnervalstu valdībām, vietējām pārvaldes iestādēm, ES finansēto projektu īstenošanas partneriem un ES iestādēm (tajā skaitā ES delegācijām) būtu </w:t>
      </w:r>
      <w:r>
        <w:rPr>
          <w:rFonts w:ascii="Times New Roman" w:hAnsi="Times New Roman"/>
          <w:b/>
          <w:bCs/>
          <w:noProof/>
          <w:sz w:val="23"/>
          <w:szCs w:val="23"/>
        </w:rPr>
        <w:t>jāsadarbojas</w:t>
      </w:r>
      <w:r>
        <w:rPr>
          <w:rFonts w:ascii="Times New Roman" w:hAnsi="Times New Roman"/>
          <w:noProof/>
          <w:sz w:val="23"/>
          <w:szCs w:val="23"/>
        </w:rPr>
        <w:t xml:space="preserve">, lai informētu par sadarbības priekšrocībām, pamatojoties uz kopīgām politikas prioritātēm un kopumā popularizējot ES reģionā. Šai komunikācijai vajadzētu notikt </w:t>
      </w:r>
      <w:r>
        <w:rPr>
          <w:rFonts w:ascii="Times New Roman" w:hAnsi="Times New Roman"/>
          <w:b/>
          <w:bCs/>
          <w:noProof/>
          <w:sz w:val="23"/>
          <w:szCs w:val="23"/>
        </w:rPr>
        <w:t>kopīga Eiropas vēstījuma</w:t>
      </w:r>
      <w:r>
        <w:rPr>
          <w:rFonts w:ascii="Times New Roman" w:hAnsi="Times New Roman"/>
          <w:noProof/>
          <w:sz w:val="23"/>
          <w:szCs w:val="23"/>
        </w:rPr>
        <w:t xml:space="preserve"> ietvaros, kura pamatā ir </w:t>
      </w:r>
      <w:r>
        <w:rPr>
          <w:rFonts w:ascii="Times New Roman" w:hAnsi="Times New Roman"/>
          <w:b/>
          <w:bCs/>
          <w:noProof/>
          <w:sz w:val="23"/>
          <w:szCs w:val="23"/>
        </w:rPr>
        <w:t>kopīgas vērtības</w:t>
      </w:r>
      <w:r>
        <w:rPr>
          <w:rFonts w:ascii="Times New Roman" w:hAnsi="Times New Roman"/>
          <w:noProof/>
          <w:sz w:val="23"/>
          <w:szCs w:val="23"/>
        </w:rPr>
        <w:t xml:space="preserve"> un sadarbības ieguvumi cilvēku dzīvē.</w:t>
      </w:r>
    </w:p>
    <w:p>
      <w:pPr>
        <w:spacing w:after="200" w:line="240" w:lineRule="auto"/>
        <w:jc w:val="both"/>
        <w:rPr>
          <w:rFonts w:ascii="Times New Roman" w:eastAsia="Times New Roman" w:hAnsi="Times New Roman" w:cs="Times New Roman"/>
          <w:noProof/>
          <w:sz w:val="23"/>
          <w:szCs w:val="23"/>
          <w:u w:val="single"/>
        </w:rPr>
      </w:pPr>
      <w:r>
        <w:rPr>
          <w:rFonts w:ascii="Times New Roman" w:hAnsi="Times New Roman"/>
          <w:noProof/>
          <w:sz w:val="23"/>
          <w:szCs w:val="23"/>
        </w:rPr>
        <w:t xml:space="preserve">Lai uzlabotu izpratni par ES vērtībām, politiskajām prioritātēm un darbībām, būtu jāpalielina sadarbība ar cilvēkiem </w:t>
      </w:r>
      <w:r>
        <w:rPr>
          <w:rFonts w:ascii="Times New Roman" w:hAnsi="Times New Roman"/>
          <w:b/>
          <w:bCs/>
          <w:noProof/>
          <w:sz w:val="23"/>
          <w:szCs w:val="23"/>
        </w:rPr>
        <w:t>vietējā līmenī</w:t>
      </w:r>
      <w:r>
        <w:rPr>
          <w:rFonts w:ascii="Times New Roman" w:hAnsi="Times New Roman"/>
          <w:noProof/>
          <w:sz w:val="23"/>
          <w:szCs w:val="23"/>
        </w:rPr>
        <w:t xml:space="preserve"> un valsts un minoritāšu valodās, kā arī krievu valodā. Tiks </w:t>
      </w:r>
      <w:r>
        <w:rPr>
          <w:rFonts w:ascii="Times New Roman" w:hAnsi="Times New Roman"/>
          <w:b/>
          <w:bCs/>
          <w:noProof/>
          <w:sz w:val="23"/>
          <w:szCs w:val="23"/>
        </w:rPr>
        <w:t>uzrunāti galvenie viedokļa izplatītāji un līderi</w:t>
      </w:r>
      <w:r>
        <w:rPr>
          <w:rFonts w:ascii="Times New Roman" w:hAnsi="Times New Roman"/>
          <w:noProof/>
          <w:sz w:val="23"/>
          <w:szCs w:val="23"/>
        </w:rPr>
        <w:t xml:space="preserve"> (tajā skaitā, bet ne tikai, vietējās pašvaldības, reliģiskie līderi un skolotāji, izmantojot mācību apmeklējumus, vietējus diskusiju forumus un apmācību), lai ES vēstījumu sadzirdētu reģionos.</w:t>
      </w:r>
    </w:p>
    <w:p>
      <w:pPr>
        <w:spacing w:after="20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Jauniešu</w:t>
      </w:r>
      <w:r>
        <w:rPr>
          <w:rFonts w:ascii="Times New Roman" w:hAnsi="Times New Roman"/>
          <w:noProof/>
          <w:sz w:val="23"/>
          <w:szCs w:val="23"/>
        </w:rPr>
        <w:t xml:space="preserve"> informētība palielināsies, piemēram, dažādos izglītības līmeņos veicinot mācīšanu un mācīšanos par Eiropas Savienību. Tiks atbalstīta ar ES saistītas informācijas iekļaušana skolu izglītības programmās.</w:t>
      </w:r>
    </w:p>
    <w:p>
      <w:pPr>
        <w:keepNext/>
        <w:tabs>
          <w:tab w:val="num" w:pos="1712"/>
        </w:tabs>
        <w:spacing w:after="240" w:line="240" w:lineRule="auto"/>
        <w:ind w:left="1712" w:hanging="720"/>
        <w:jc w:val="both"/>
        <w:outlineLvl w:val="1"/>
        <w:rPr>
          <w:rFonts w:ascii="Times New Roman" w:eastAsia="Times New Roman" w:hAnsi="Times New Roman" w:cs="Times New Roman"/>
          <w:b/>
          <w:noProof/>
          <w:sz w:val="23"/>
          <w:szCs w:val="23"/>
        </w:rPr>
      </w:pPr>
      <w:r>
        <w:rPr>
          <w:rFonts w:ascii="Times New Roman" w:hAnsi="Times New Roman"/>
          <w:b/>
          <w:noProof/>
          <w:sz w:val="23"/>
          <w:szCs w:val="23"/>
        </w:rPr>
        <w:t>5.2. Pārvaldība un īstenošana</w:t>
      </w:r>
    </w:p>
    <w:p>
      <w:pPr>
        <w:keepNext/>
        <w:tabs>
          <w:tab w:val="num" w:pos="1922"/>
        </w:tabs>
        <w:spacing w:after="240" w:line="240" w:lineRule="auto"/>
        <w:jc w:val="both"/>
        <w:outlineLvl w:val="2"/>
        <w:rPr>
          <w:rFonts w:ascii="Times New Roman" w:eastAsiaTheme="minorEastAsia" w:hAnsi="Times New Roman" w:cs="Times New Roman"/>
          <w:noProof/>
          <w:sz w:val="23"/>
          <w:szCs w:val="23"/>
        </w:rPr>
      </w:pPr>
      <w:r>
        <w:rPr>
          <w:rFonts w:ascii="Times New Roman" w:hAnsi="Times New Roman"/>
          <w:b/>
          <w:bCs/>
          <w:noProof/>
          <w:sz w:val="23"/>
          <w:szCs w:val="23"/>
        </w:rPr>
        <w:t>Pārskatītā daudzpusējā AP struktūra</w:t>
      </w:r>
      <w:r>
        <w:rPr>
          <w:rFonts w:ascii="Times New Roman" w:hAnsi="Times New Roman"/>
          <w:noProof/>
          <w:sz w:val="23"/>
          <w:szCs w:val="23"/>
        </w:rPr>
        <w:t xml:space="preserve">, ko pieņēma 2017. gada samitā, ir noderīgs satvars apmaiņai un sadarbībai, izmantojot regulāras sanāksmes un apmaiņu. Kā apspriešanās laikā apstiprināja lielākā daļa ieinteresēto personu, </w:t>
      </w:r>
      <w:r>
        <w:rPr>
          <w:rFonts w:ascii="Times New Roman" w:hAnsi="Times New Roman"/>
          <w:b/>
          <w:bCs/>
          <w:noProof/>
          <w:sz w:val="23"/>
          <w:szCs w:val="23"/>
        </w:rPr>
        <w:t>pašreizējais regulējums ir noderīgs un būtu jāturpina</w:t>
      </w:r>
      <w:r>
        <w:rPr>
          <w:rFonts w:ascii="Times New Roman" w:hAnsi="Times New Roman"/>
          <w:noProof/>
          <w:sz w:val="23"/>
          <w:szCs w:val="23"/>
        </w:rPr>
        <w:t xml:space="preserve">, veicot nepieciešamos pielāgojumus, lai to saskaņotu ar galvenajiem politikas mērķiem pēc 2020. gada, kas izklāstīti šajā kopīgajā paziņojumā. </w:t>
      </w:r>
      <w:r>
        <w:rPr>
          <w:rFonts w:ascii="Times New Roman" w:hAnsi="Times New Roman"/>
          <w:b/>
          <w:bCs/>
          <w:noProof/>
          <w:sz w:val="23"/>
          <w:szCs w:val="23"/>
        </w:rPr>
        <w:t xml:space="preserve">Galvenā uzmanība tiks pievērsta tam, lai esošās struktūras padarītu efektīvākas. </w:t>
      </w:r>
      <w:r>
        <w:rPr>
          <w:rFonts w:ascii="Times New Roman" w:hAnsi="Times New Roman"/>
          <w:noProof/>
          <w:sz w:val="23"/>
          <w:szCs w:val="23"/>
        </w:rPr>
        <w:t xml:space="preserve">Viens no pirmajiem platformu un paneļu uzdevumiem AP struktūrā būs </w:t>
      </w:r>
      <w:r>
        <w:rPr>
          <w:rFonts w:ascii="Times New Roman" w:hAnsi="Times New Roman"/>
          <w:b/>
          <w:bCs/>
          <w:noProof/>
          <w:sz w:val="23"/>
          <w:szCs w:val="23"/>
        </w:rPr>
        <w:t>noteikt turpmākos mērķuzdevumus, pamatojoties uz šajā kopīgajā paziņojumā noteiktajām prioritātēm</w:t>
      </w:r>
      <w:r>
        <w:rPr>
          <w:rFonts w:ascii="Times New Roman" w:hAnsi="Times New Roman"/>
          <w:noProof/>
          <w:sz w:val="23"/>
          <w:szCs w:val="23"/>
        </w:rPr>
        <w:t>.</w:t>
      </w:r>
    </w:p>
    <w:p>
      <w:pPr>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Šajā kopīgajā paziņojumā izklāstītās prioritātes būs pamatā arī </w:t>
      </w:r>
      <w:r>
        <w:rPr>
          <w:rFonts w:ascii="Times New Roman" w:hAnsi="Times New Roman"/>
          <w:b/>
          <w:bCs/>
          <w:noProof/>
          <w:sz w:val="23"/>
          <w:szCs w:val="23"/>
        </w:rPr>
        <w:t>ES palīdzības turpmākai plānošanai 2021.–2027. gadam</w:t>
      </w:r>
      <w:r>
        <w:rPr>
          <w:rFonts w:ascii="Times New Roman" w:hAnsi="Times New Roman"/>
          <w:noProof/>
          <w:sz w:val="23"/>
          <w:szCs w:val="23"/>
        </w:rPr>
        <w:t xml:space="preserve">, kā arī ES un partnervalstu kopīgiem dokumentiem, kuros izklāstītas kopīgas prioritātes (piemēram, partnerības prioritātes un asociācijas programmas). Saskaņā ar atjaunoto politiku ES un partnervalstis turpinās strādāt pie kopīgiem centieniem un darbībām un vajadzības gadījumā saņems atbalstu, palīdzību spēju veidošanā un zināšanas par konkrētiem mērķiem un politikas virzieniem. Uz vietas tiks īstenotas reģionālas programmas ar SFI finansiālu un loģistikas atbalstu. Būtu jānodrošina visu ES iniciatīvu saskaņotība un papildināmība, kā arī skaidra saikne starp politiku un plānošanu, tajā skaitā nākotnes </w:t>
      </w:r>
      <w:r>
        <w:rPr>
          <w:rFonts w:ascii="Times New Roman" w:hAnsi="Times New Roman"/>
          <w:i/>
          <w:iCs/>
          <w:noProof/>
          <w:sz w:val="23"/>
          <w:szCs w:val="23"/>
        </w:rPr>
        <w:t>Interreg NEXT</w:t>
      </w:r>
      <w:r>
        <w:rPr>
          <w:rFonts w:ascii="Times New Roman" w:hAnsi="Times New Roman"/>
          <w:noProof/>
          <w:sz w:val="23"/>
          <w:szCs w:val="23"/>
        </w:rPr>
        <w:t xml:space="preserve"> un citām teritoriālās sadarbības programmām.</w:t>
      </w:r>
    </w:p>
    <w:p>
      <w:pPr>
        <w:spacing w:after="0" w:line="240" w:lineRule="auto"/>
        <w:jc w:val="both"/>
        <w:rPr>
          <w:rFonts w:ascii="Times New Roman" w:hAnsi="Times New Roman" w:cs="Times New Roman"/>
          <w:noProof/>
          <w:sz w:val="23"/>
          <w:szCs w:val="23"/>
        </w:rPr>
      </w:pPr>
    </w:p>
    <w:p>
      <w:pPr>
        <w:spacing w:after="20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Pilsoniskās sabiedrības organizācijām</w:t>
      </w:r>
      <w:r>
        <w:rPr>
          <w:rFonts w:ascii="Times New Roman" w:hAnsi="Times New Roman"/>
          <w:noProof/>
          <w:sz w:val="23"/>
          <w:szCs w:val="23"/>
        </w:rPr>
        <w:t xml:space="preserve"> ir izšķiroša nozīme, lai izplatītu ES pozitīvus vēstījumus ārpus galvaspilsētām un nodrošinātu noturīgus rezultātus un labākus pakalpojumus cilvēkiem uz vietas. Īstenojot jauno pieeju partnervalstu pilsoniskajai sabiedrībai, ES ir izveidojusi partnerattiecību pamatnolīgumus ar galvenajām pilsoniskās sabiedrības organizācijām, lai labāk virzītu atbalstu un palielinātu ietekmi. Pastiprinātai tālākai dotāciju piešķiršanai ar šo galveno partneru starpniecību būtu vēl vairāk jāpalielina informētība austrumos, tajā skaitā caur mazākām vietējām organizācijām, kas darbojas vietējās valodās.</w:t>
      </w:r>
    </w:p>
    <w:p>
      <w:pPr>
        <w:spacing w:after="20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sistemātiskāk sadarbosies ar </w:t>
      </w:r>
      <w:r>
        <w:rPr>
          <w:rFonts w:ascii="Times New Roman" w:hAnsi="Times New Roman"/>
          <w:b/>
          <w:bCs/>
          <w:noProof/>
          <w:sz w:val="23"/>
          <w:szCs w:val="23"/>
        </w:rPr>
        <w:t>domnīcām AP ietvaros</w:t>
      </w:r>
      <w:r>
        <w:rPr>
          <w:rFonts w:ascii="Times New Roman" w:hAnsi="Times New Roman"/>
          <w:noProof/>
          <w:sz w:val="23"/>
          <w:szCs w:val="23"/>
        </w:rPr>
        <w:t>. Tādējādi tiks atbalstītas šo valstu izglītības un informētības veicināšanas iniciatīvas un tiks nodrošināts, ka cilvēki ir labāk informēti un tādēļ, visticamāk, atbalstīs attīstības reformas.</w:t>
      </w:r>
    </w:p>
    <w:p>
      <w:pPr>
        <w:spacing w:after="20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ES plāno vēl vairāk pastiprināt </w:t>
      </w:r>
      <w:r>
        <w:rPr>
          <w:rFonts w:ascii="Times New Roman" w:hAnsi="Times New Roman"/>
          <w:b/>
          <w:bCs/>
          <w:noProof/>
          <w:sz w:val="23"/>
          <w:szCs w:val="23"/>
        </w:rPr>
        <w:t>partnerību ar SFI</w:t>
      </w:r>
      <w:r>
        <w:rPr>
          <w:rFonts w:ascii="Times New Roman" w:hAnsi="Times New Roman"/>
          <w:noProof/>
          <w:sz w:val="23"/>
          <w:szCs w:val="23"/>
        </w:rPr>
        <w:t>, labāk izmantojot iespējas, ko sniedz EFIA garantijas, lai stiprinātu mūsu partnervalstu noturību un stimulētu privāto sektoru, vienlaikus ievērojot saistības, kas izriet no asociācijas nolīgumiem un citiem divpusējiem nolīgumiem.</w:t>
      </w:r>
    </w:p>
    <w:p>
      <w:pPr>
        <w:spacing w:after="20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ES arī stiprinās kopīgu atbildību un partnerību starp ES valstīm</w:t>
      </w:r>
      <w:r>
        <w:rPr>
          <w:rFonts w:ascii="Times New Roman" w:hAnsi="Times New Roman"/>
          <w:noProof/>
          <w:sz w:val="23"/>
          <w:szCs w:val="23"/>
        </w:rPr>
        <w:t>, lai labāk atbalstītu vērienīgo reformu programmu. Tādējādi partnervalstis var gūt labumu no ES zināšanām un pieredzes.</w:t>
      </w:r>
    </w:p>
    <w:p>
      <w:pPr>
        <w:keepNext/>
        <w:numPr>
          <w:ilvl w:val="0"/>
          <w:numId w:val="1"/>
        </w:numPr>
        <w:spacing w:before="240" w:after="240" w:line="240" w:lineRule="auto"/>
        <w:ind w:left="567" w:hanging="567"/>
        <w:jc w:val="both"/>
        <w:outlineLvl w:val="0"/>
        <w:rPr>
          <w:rFonts w:ascii="Times New Roman" w:eastAsia="Times New Roman" w:hAnsi="Times New Roman" w:cs="Times New Roman"/>
          <w:b/>
          <w:smallCaps/>
          <w:noProof/>
          <w:sz w:val="23"/>
          <w:szCs w:val="23"/>
        </w:rPr>
      </w:pPr>
      <w:r>
        <w:rPr>
          <w:rFonts w:ascii="Times New Roman" w:hAnsi="Times New Roman"/>
          <w:b/>
          <w:smallCaps/>
          <w:noProof/>
          <w:sz w:val="23"/>
          <w:szCs w:val="23"/>
        </w:rPr>
        <w:t>Secinājumi un turpmākā rīcība</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Nesenās strukturētās apspriešanās laikā tika skaidri uzsvērts, ka Austrumu partnerības turpmākie panākumi būs atkarīgi no kopīgas </w:t>
      </w:r>
      <w:r>
        <w:rPr>
          <w:rFonts w:ascii="Times New Roman" w:hAnsi="Times New Roman"/>
          <w:b/>
          <w:bCs/>
          <w:noProof/>
          <w:sz w:val="23"/>
          <w:szCs w:val="23"/>
        </w:rPr>
        <w:t>atbildības</w:t>
      </w:r>
      <w:r>
        <w:rPr>
          <w:rFonts w:ascii="Times New Roman" w:hAnsi="Times New Roman"/>
          <w:noProof/>
          <w:sz w:val="23"/>
          <w:szCs w:val="23"/>
        </w:rPr>
        <w:t xml:space="preserve"> stiprināšanas, </w:t>
      </w:r>
      <w:r>
        <w:rPr>
          <w:rFonts w:ascii="Times New Roman" w:hAnsi="Times New Roman"/>
          <w:b/>
          <w:bCs/>
          <w:noProof/>
          <w:sz w:val="23"/>
          <w:szCs w:val="23"/>
        </w:rPr>
        <w:t>vērienīgas</w:t>
      </w:r>
      <w:r>
        <w:rPr>
          <w:rFonts w:ascii="Times New Roman" w:hAnsi="Times New Roman"/>
          <w:noProof/>
          <w:sz w:val="23"/>
          <w:szCs w:val="23"/>
        </w:rPr>
        <w:t xml:space="preserve"> reformu programmas stiprināšanas un </w:t>
      </w:r>
      <w:r>
        <w:rPr>
          <w:rFonts w:ascii="Times New Roman" w:hAnsi="Times New Roman"/>
          <w:b/>
          <w:bCs/>
          <w:noProof/>
          <w:sz w:val="23"/>
          <w:szCs w:val="23"/>
        </w:rPr>
        <w:t>kopīgu problēmu risināšanas</w:t>
      </w:r>
      <w:r>
        <w:rPr>
          <w:rFonts w:ascii="Times New Roman" w:hAnsi="Times New Roman"/>
          <w:noProof/>
          <w:sz w:val="23"/>
          <w:szCs w:val="23"/>
        </w:rPr>
        <w:t xml:space="preserve">. ES dalībvalstīm, partnervalstīm un pilsoniskajai sabiedrībai ir kopīgs pienākums nodrošināt stabilu un atbilstīgu partnerību, kas sniedz labumu visai sabiedrībai. Kopīgā apņemšanās īstenot šo jauno pieeju nāks par labu visu partnervalstu iedzīvotājiem un palīdzēs veidot </w:t>
      </w:r>
      <w:r>
        <w:rPr>
          <w:rFonts w:ascii="Times New Roman" w:hAnsi="Times New Roman"/>
          <w:b/>
          <w:bCs/>
          <w:noProof/>
          <w:sz w:val="23"/>
          <w:szCs w:val="23"/>
        </w:rPr>
        <w:t>spēcīgāku Eiropu pasaulē</w:t>
      </w:r>
      <w:r>
        <w:rPr>
          <w:rFonts w:ascii="Times New Roman" w:hAnsi="Times New Roman"/>
          <w:noProof/>
          <w:sz w:val="23"/>
          <w:szCs w:val="23"/>
        </w:rPr>
        <w:t>.</w:t>
      </w: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Šajā kopīgajā paziņojumā kā galvenais mērķis ierosināts stiprināt </w:t>
      </w:r>
      <w:r>
        <w:rPr>
          <w:rFonts w:ascii="Times New Roman" w:hAnsi="Times New Roman"/>
          <w:b/>
          <w:bCs/>
          <w:noProof/>
          <w:sz w:val="23"/>
          <w:szCs w:val="23"/>
        </w:rPr>
        <w:t>noturību</w:t>
      </w:r>
      <w:r>
        <w:rPr>
          <w:rFonts w:ascii="Times New Roman" w:hAnsi="Times New Roman"/>
          <w:noProof/>
          <w:sz w:val="23"/>
          <w:szCs w:val="23"/>
        </w:rPr>
        <w:t>, ES, tās dalībvalstīm un partnervalstīm sadarbojoties, lai sasniegtu šādus AP ilgtermiņa politikas mērķus laikposmam pēc 2020. gada:</w:t>
      </w:r>
    </w:p>
    <w:p>
      <w:pPr>
        <w:numPr>
          <w:ilvl w:val="0"/>
          <w:numId w:val="2"/>
        </w:numPr>
        <w:spacing w:after="240" w:line="240" w:lineRule="auto"/>
        <w:contextualSpacing/>
        <w:jc w:val="both"/>
        <w:rPr>
          <w:rFonts w:ascii="Times New Roman" w:hAnsi="Times New Roman" w:cs="Times New Roman"/>
          <w:noProof/>
          <w:sz w:val="23"/>
          <w:szCs w:val="23"/>
        </w:rPr>
      </w:pPr>
      <w:r>
        <w:rPr>
          <w:rFonts w:ascii="Times New Roman" w:hAnsi="Times New Roman"/>
          <w:noProof/>
          <w:sz w:val="23"/>
          <w:szCs w:val="23"/>
        </w:rPr>
        <w:t>vienoti noturīgai, ilgtspējīgai un integrētai ekonomikai;</w:t>
      </w:r>
    </w:p>
    <w:p>
      <w:pPr>
        <w:numPr>
          <w:ilvl w:val="0"/>
          <w:numId w:val="2"/>
        </w:numPr>
        <w:spacing w:after="240" w:line="240" w:lineRule="auto"/>
        <w:contextualSpacing/>
        <w:jc w:val="both"/>
        <w:rPr>
          <w:rFonts w:ascii="Times New Roman" w:hAnsi="Times New Roman" w:cs="Times New Roman"/>
          <w:noProof/>
          <w:sz w:val="23"/>
          <w:szCs w:val="23"/>
        </w:rPr>
      </w:pPr>
      <w:r>
        <w:rPr>
          <w:rFonts w:ascii="Times New Roman" w:hAnsi="Times New Roman"/>
          <w:noProof/>
          <w:sz w:val="23"/>
          <w:szCs w:val="23"/>
        </w:rPr>
        <w:t>vienoti atbildīgām iestādēm, tiesiskumam un drošībai;</w:t>
      </w:r>
    </w:p>
    <w:p>
      <w:pPr>
        <w:numPr>
          <w:ilvl w:val="0"/>
          <w:numId w:val="2"/>
        </w:numPr>
        <w:spacing w:after="240" w:line="240" w:lineRule="auto"/>
        <w:contextualSpacing/>
        <w:jc w:val="both"/>
        <w:rPr>
          <w:rFonts w:ascii="Times New Roman" w:hAnsi="Times New Roman" w:cs="Times New Roman"/>
          <w:noProof/>
          <w:sz w:val="23"/>
          <w:szCs w:val="23"/>
        </w:rPr>
      </w:pPr>
      <w:r>
        <w:rPr>
          <w:rFonts w:ascii="Times New Roman" w:hAnsi="Times New Roman"/>
          <w:noProof/>
          <w:sz w:val="23"/>
          <w:szCs w:val="23"/>
        </w:rPr>
        <w:t>vienoti ceļā uz noturību vides un klimata jomā;</w:t>
      </w:r>
    </w:p>
    <w:p>
      <w:pPr>
        <w:numPr>
          <w:ilvl w:val="0"/>
          <w:numId w:val="2"/>
        </w:numPr>
        <w:spacing w:after="240" w:line="240" w:lineRule="auto"/>
        <w:contextualSpacing/>
        <w:jc w:val="both"/>
        <w:rPr>
          <w:rFonts w:ascii="Times New Roman" w:hAnsi="Times New Roman" w:cs="Times New Roman"/>
          <w:noProof/>
          <w:sz w:val="23"/>
          <w:szCs w:val="23"/>
        </w:rPr>
      </w:pPr>
      <w:r>
        <w:rPr>
          <w:rFonts w:ascii="Times New Roman" w:hAnsi="Times New Roman"/>
          <w:noProof/>
          <w:sz w:val="23"/>
          <w:szCs w:val="23"/>
        </w:rPr>
        <w:t xml:space="preserve">vienoti noturīgai digitālajai pārveidei; </w:t>
      </w:r>
    </w:p>
    <w:p>
      <w:pPr>
        <w:numPr>
          <w:ilvl w:val="0"/>
          <w:numId w:val="2"/>
        </w:numPr>
        <w:spacing w:after="240" w:line="240" w:lineRule="auto"/>
        <w:contextualSpacing/>
        <w:jc w:val="both"/>
        <w:rPr>
          <w:rFonts w:ascii="Times New Roman" w:hAnsi="Times New Roman" w:cs="Times New Roman"/>
          <w:noProof/>
          <w:sz w:val="23"/>
          <w:szCs w:val="23"/>
        </w:rPr>
      </w:pPr>
      <w:r>
        <w:rPr>
          <w:rFonts w:ascii="Times New Roman" w:hAnsi="Times New Roman"/>
          <w:noProof/>
          <w:sz w:val="23"/>
          <w:szCs w:val="23"/>
        </w:rPr>
        <w:t>vienoti noturīgai, taisnīgai un iekļaujošai sabiedrībai.</w:t>
      </w:r>
    </w:p>
    <w:p>
      <w:pPr>
        <w:spacing w:after="240" w:line="240" w:lineRule="auto"/>
        <w:ind w:left="720"/>
        <w:contextualSpacing/>
        <w:jc w:val="both"/>
        <w:rPr>
          <w:rFonts w:ascii="Times New Roman" w:hAnsi="Times New Roman" w:cs="Times New Roman"/>
          <w:b/>
          <w:bCs/>
          <w:noProof/>
          <w:sz w:val="23"/>
          <w:szCs w:val="23"/>
          <w:lang w:eastAsia="en-GB"/>
        </w:rPr>
      </w:pPr>
    </w:p>
    <w:p>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Eiropadome, Eiropas Parlaments un Padome tiek aicināti apstiprināt šo kopīgo paziņojumu, ko iesniegs arī Eiropas Ekonomikas un sociālo lietu komitejai un Reģionu komitejai.  To apspriedīs arī ar partnervalstīm, gatavojoties AP samitam 2020. gada jūnijā.</w:t>
      </w:r>
    </w:p>
    <w:p>
      <w:pPr>
        <w:spacing w:after="240" w:line="240" w:lineRule="auto"/>
        <w:jc w:val="both"/>
        <w:rPr>
          <w:rFonts w:ascii="Times New Roman" w:eastAsia="Times New Roman" w:hAnsi="Times New Roman" w:cs="Times New Roman"/>
          <w:noProof/>
          <w:sz w:val="23"/>
          <w:szCs w:val="23"/>
        </w:rPr>
      </w:pPr>
      <w:r>
        <w:rPr>
          <w:rFonts w:ascii="Times New Roman" w:hAnsi="Times New Roman"/>
          <w:b/>
          <w:bCs/>
          <w:noProof/>
          <w:sz w:val="23"/>
          <w:szCs w:val="23"/>
        </w:rPr>
        <w:t>AP samits</w:t>
      </w:r>
      <w:r>
        <w:rPr>
          <w:rFonts w:ascii="Times New Roman" w:hAnsi="Times New Roman"/>
          <w:noProof/>
          <w:sz w:val="23"/>
          <w:szCs w:val="23"/>
        </w:rPr>
        <w:t xml:space="preserve"> pilnvaros izstrādāt taustāmu rezultātu jaunu kopumu, pamatojoties uz pašreizējo darba kārtību, lai praksē īstenotu šajā dokumentā izklāstītos ieteikumus. Tāpēc 2020. gada otrajā pusē viens no galvenajiem uzdevumiem būs turpmāko rezultātu izstrāde laikposmam pēc 2020. gada.</w:t>
      </w:r>
    </w:p>
    <w:p>
      <w:pPr>
        <w:spacing w:after="240" w:line="240" w:lineRule="auto"/>
        <w:jc w:val="both"/>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code="9"/>
      <w:pgMar w:top="1021" w:right="1588" w:bottom="1021" w:left="1588" w:header="601" w:footer="85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68988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Turpmāk “Moldova”.</w:t>
      </w:r>
    </w:p>
  </w:footnote>
  <w:footnote w:id="3">
    <w:p>
      <w:pPr>
        <w:pStyle w:val="FootnoteText"/>
      </w:pPr>
      <w:r>
        <w:rPr>
          <w:rStyle w:val="FootnoteReference"/>
        </w:rPr>
        <w:footnoteRef/>
      </w:r>
      <w:r>
        <w:t xml:space="preserve"> </w:t>
      </w:r>
      <w:hyperlink r:id="rId1" w:history="1">
        <w:r>
          <w:rPr>
            <w:rStyle w:val="Hyperlink"/>
          </w:rPr>
          <w:t>https://eeas.europa.eu/sites/eeas/files/eugs_review_web_0.pdf</w:t>
        </w:r>
      </w:hyperlink>
    </w:p>
  </w:footnote>
  <w:footnote w:id="4">
    <w:p>
      <w:pPr>
        <w:pStyle w:val="FootnoteText"/>
      </w:pPr>
      <w:r>
        <w:rPr>
          <w:rStyle w:val="FootnoteReference"/>
        </w:rPr>
        <w:footnoteRef/>
      </w:r>
      <w:r>
        <w:t xml:space="preserve"> </w:t>
      </w:r>
      <w:hyperlink r:id="rId2" w:history="1">
        <w:r>
          <w:rPr>
            <w:rStyle w:val="Hyperlink"/>
          </w:rPr>
          <w:t>https://ec.europa.eu/commission/sites/beta-political/files/political-guidelines-next-commission_en.pdf</w:t>
        </w:r>
      </w:hyperlink>
    </w:p>
  </w:footnote>
  <w:footnote w:id="5">
    <w:p>
      <w:pPr>
        <w:pStyle w:val="FootnoteText"/>
      </w:pPr>
      <w:r>
        <w:rPr>
          <w:rStyle w:val="FootnoteReference"/>
        </w:rPr>
        <w:footnoteRef/>
      </w:r>
      <w:r>
        <w:t xml:space="preserve"> To vidū ir paziņojumi “Eiropas zaļais kurss” (COM(2019) 640), “Eiropas digitālās nākotnes veidošana” (COM(2020) 67) “Jauna Eiropas industriālā stratēģija” (COM(2020) 102) un “Savienība, kurā valda līdztiesība: dzimumu līdztiesības stratēģija 2020.–2025. gadam (COM(2020) 152).</w:t>
      </w:r>
    </w:p>
  </w:footnote>
  <w:footnote w:id="6">
    <w:p>
      <w:pPr>
        <w:pStyle w:val="FootnoteText"/>
      </w:pPr>
      <w:r>
        <w:rPr>
          <w:rStyle w:val="FootnoteReference"/>
        </w:rPr>
        <w:footnoteRef/>
      </w:r>
      <w:hyperlink r:id="rId3" w:history="1">
        <w:r>
          <w:rPr>
            <w:rStyle w:val="Hyperlink"/>
          </w:rPr>
          <w:t>https://eeas.europa.eu/sites/eeas/files/join_2017_21_f1_communication_from_commission_to_inst_en_v7_p1_916039.pdf</w:t>
        </w:r>
      </w:hyperlink>
    </w:p>
  </w:footnote>
  <w:footnote w:id="7">
    <w:p>
      <w:pPr>
        <w:pStyle w:val="FootnoteText"/>
      </w:pPr>
      <w:r>
        <w:rPr>
          <w:rStyle w:val="FootnoteReference"/>
        </w:rPr>
        <w:footnoteRef/>
      </w:r>
      <w:r>
        <w:t xml:space="preserve"> </w:t>
      </w:r>
      <w:hyperlink r:id="rId4" w:history="1">
        <w:r>
          <w:rPr>
            <w:rStyle w:val="Hyperlink"/>
          </w:rPr>
          <w:t>https://ec.europa.eu/commission/eu-external-investment-plan_en</w:t>
        </w:r>
      </w:hyperlink>
    </w:p>
  </w:footnote>
  <w:footnote w:id="8">
    <w:p>
      <w:pPr>
        <w:pStyle w:val="FootnoteText"/>
      </w:pPr>
      <w:r>
        <w:rPr>
          <w:rStyle w:val="FootnoteReference"/>
        </w:rPr>
        <w:footnoteRef/>
      </w:r>
      <w:hyperlink r:id="rId5" w:history="1">
        <w:r>
          <w:rPr>
            <w:rStyle w:val="Hyperlink"/>
          </w:rPr>
          <w:t>https://ec.europa.eu/transport/themes/international/european_neighbourhood_policy/eastern_partnership/tent-maps_en</w:t>
        </w:r>
      </w:hyperlink>
    </w:p>
  </w:footnote>
  <w:footnote w:id="9">
    <w:p>
      <w:pPr>
        <w:pStyle w:val="FootnoteText"/>
      </w:pPr>
      <w:r>
        <w:rPr>
          <w:rStyle w:val="FootnoteReference"/>
        </w:rPr>
        <w:footnoteRef/>
      </w:r>
      <w:r>
        <w:t xml:space="preserve"> </w:t>
      </w:r>
      <w:hyperlink r:id="rId6" w:history="1">
        <w:r>
          <w:rPr>
            <w:rStyle w:val="Hyperlink"/>
          </w:rPr>
          <w:t>https://ec.europa.eu/neighbourhood-enlargement/sites/near/files/eap_declaration_finalversion2604.pdf</w:t>
        </w:r>
      </w:hyperlink>
    </w:p>
  </w:footnote>
  <w:footnote w:id="10">
    <w:p>
      <w:pPr>
        <w:pStyle w:val="FootnoteText"/>
      </w:pPr>
      <w:r>
        <w:rPr>
          <w:rStyle w:val="FootnoteReference"/>
        </w:rPr>
        <w:footnoteRef/>
      </w:r>
      <w:r>
        <w:t xml:space="preserve"> </w:t>
      </w:r>
      <w:hyperlink r:id="rId7" w:history="1">
        <w:r>
          <w:rPr>
            <w:rStyle w:val="Hyperlink"/>
          </w:rPr>
          <w:t>https://eeas.europa.eu/headquarters/headquarters-homepage/50699/connecting-europe-asia-eu-strategy_en</w:t>
        </w:r>
      </w:hyperlink>
    </w:p>
    <w:p>
      <w:pPr>
        <w:pStyle w:val="FootnoteText"/>
      </w:pPr>
    </w:p>
  </w:footnote>
  <w:footnote w:id="11">
    <w:p>
      <w:pPr>
        <w:pStyle w:val="FootnoteText"/>
      </w:pPr>
      <w:r>
        <w:rPr>
          <w:rStyle w:val="FootnoteReference"/>
        </w:rPr>
        <w:footnoteRef/>
      </w:r>
      <w:r>
        <w:t xml:space="preserve"> Visas partnervalstis ir ratificējušas Apvienoto Nāciju Organizācijas Pretkorupcijas konvenciju.</w:t>
      </w:r>
    </w:p>
  </w:footnote>
  <w:footnote w:id="12">
    <w:p>
      <w:pPr>
        <w:pStyle w:val="FootnoteText"/>
      </w:pPr>
      <w:r>
        <w:rPr>
          <w:rStyle w:val="FootnoteReference"/>
        </w:rPr>
        <w:footnoteRef/>
      </w:r>
      <w:r>
        <w:t xml:space="preserve"> </w:t>
      </w:r>
      <w:hyperlink r:id="rId8" w:history="1">
        <w:r>
          <w:rPr>
            <w:rStyle w:val="Hyperlink"/>
          </w:rPr>
          <w:t>https://documents-dds-ny.un.org/doc/UNDOC/GEN/N00/720/18/PDF/N0072018.pdf?OpenElement</w:t>
        </w:r>
      </w:hyperlink>
    </w:p>
  </w:footnote>
  <w:footnote w:id="13">
    <w:p>
      <w:pPr>
        <w:pStyle w:val="FootnoteText"/>
      </w:pPr>
      <w:r>
        <w:rPr>
          <w:rStyle w:val="FootnoteReference"/>
        </w:rPr>
        <w:footnoteRef/>
      </w:r>
      <w:r>
        <w:t xml:space="preserve"> </w:t>
      </w:r>
      <w:hyperlink r:id="rId9" w:history="1">
        <w:r>
          <w:rPr>
            <w:rStyle w:val="Hyperlink"/>
          </w:rPr>
          <w:t>https://ec.europa.eu/maritimeaffairs/press/black-sea-ministers-endorse-common-maritime-agenda_en</w:t>
        </w:r>
      </w:hyperlink>
    </w:p>
    <w:p>
      <w:pPr>
        <w:pStyle w:val="FootnoteText"/>
      </w:pPr>
    </w:p>
  </w:footnote>
  <w:footnote w:id="14">
    <w:p>
      <w:pPr>
        <w:pStyle w:val="FootnoteText"/>
      </w:pPr>
      <w:r>
        <w:rPr>
          <w:rStyle w:val="FootnoteReference"/>
        </w:rPr>
        <w:footnoteRef/>
      </w:r>
      <w:r>
        <w:t xml:space="preserve"> </w:t>
      </w:r>
      <w:hyperlink r:id="rId10" w:history="1">
        <w:r>
          <w:rPr>
            <w:rStyle w:val="Hyperlink"/>
          </w:rPr>
          <w:t>https://ec.europa.eu/info/sites/info/files/communication-shaping-europes-digital-future-feb2020_en_4.pdf</w:t>
        </w:r>
      </w:hyperlink>
    </w:p>
    <w:p>
      <w:pPr>
        <w:pStyle w:val="FootnoteText"/>
      </w:pPr>
    </w:p>
  </w:footnote>
  <w:footnote w:id="15">
    <w:p>
      <w:pPr>
        <w:pStyle w:val="FootnoteText"/>
      </w:pPr>
      <w:r>
        <w:rPr>
          <w:rStyle w:val="FootnoteReference"/>
        </w:rPr>
        <w:footnoteRef/>
      </w:r>
      <w:r>
        <w:t xml:space="preserve"> </w:t>
      </w:r>
      <w:hyperlink r:id="rId11" w:history="1">
        <w:r>
          <w:rPr>
            <w:rStyle w:val="Hyperlink"/>
          </w:rPr>
          <w:t>https://eeas.europa.eu/sites/eeas/files/action_plan_against_disinformation.pdf</w:t>
        </w:r>
      </w:hyperlink>
    </w:p>
  </w:footnote>
  <w:footnote w:id="16">
    <w:p>
      <w:pPr>
        <w:pStyle w:val="FootnoteText"/>
      </w:pPr>
      <w:r>
        <w:rPr>
          <w:rStyle w:val="FootnoteReference"/>
        </w:rPr>
        <w:footnoteRef/>
      </w:r>
      <w:r>
        <w:t xml:space="preserve"> Ikgadējās sabiedriskās domas aptaujas, ko veic Eiropas Komisijas “ES austrumu kaimiņvalstis”, liecina, ka pastāvīgi palielinās visu partnervalstu iedzīvotāju pozitīvais priekšstats par ES, un 2019. gadā 52 % iedzīvotāju (par 7 procentpunktiem vairāk nekā 2016. gadā) bija pozitīvs priekšstats par ES. Kopumā 67 % iedzīvotāju (par 4 % vairāk) uzskata, ka attiecības starp viņu valsti un ES ir pozitīvas, un ES joprojām ir uzticamākā ārvalstu institūcija 58 % iedzīvotāju.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1D3"/>
    <w:multiLevelType w:val="hybridMultilevel"/>
    <w:tmpl w:val="93B4E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A80014"/>
    <w:multiLevelType w:val="hybridMultilevel"/>
    <w:tmpl w:val="611A9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BE1C36"/>
    <w:multiLevelType w:val="hybridMultilevel"/>
    <w:tmpl w:val="09BCD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845BDC"/>
    <w:multiLevelType w:val="hybridMultilevel"/>
    <w:tmpl w:val="7188F34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2785F15"/>
    <w:multiLevelType w:val="multilevel"/>
    <w:tmpl w:val="4C20EA5A"/>
    <w:lvl w:ilvl="0">
      <w:start w:val="1"/>
      <w:numFmt w:val="bullet"/>
      <w:lvlText w:val=""/>
      <w:lvlJc w:val="left"/>
      <w:pPr>
        <w:ind w:left="720" w:hanging="360"/>
      </w:pPr>
      <w:rPr>
        <w:rFonts w:ascii="Symbol" w:hAnsi="Symbol" w:hint="default"/>
      </w:rPr>
    </w:lvl>
    <w:lvl w:ilvl="1">
      <w:start w:val="1"/>
      <w:numFmt w:val="decimal"/>
      <w:isLgl/>
      <w:lvlText w:val="%1.%2"/>
      <w:lvlJc w:val="left"/>
      <w:pPr>
        <w:ind w:left="1306" w:hanging="525"/>
      </w:pPr>
      <w:rPr>
        <w:rFonts w:hint="default"/>
      </w:rPr>
    </w:lvl>
    <w:lvl w:ilvl="2">
      <w:start w:val="3"/>
      <w:numFmt w:val="decimal"/>
      <w:isLgl/>
      <w:lvlText w:val="%1.%2.%3"/>
      <w:lvlJc w:val="left"/>
      <w:pPr>
        <w:ind w:left="1922" w:hanging="720"/>
      </w:pPr>
      <w:rPr>
        <w:rFonts w:hint="default"/>
      </w:rPr>
    </w:lvl>
    <w:lvl w:ilvl="3">
      <w:start w:val="1"/>
      <w:numFmt w:val="decimal"/>
      <w:isLgl/>
      <w:lvlText w:val="%1.%2.%3.%4"/>
      <w:lvlJc w:val="left"/>
      <w:pPr>
        <w:ind w:left="2343" w:hanging="720"/>
      </w:pPr>
      <w:rPr>
        <w:rFonts w:hint="default"/>
      </w:rPr>
    </w:lvl>
    <w:lvl w:ilvl="4">
      <w:start w:val="1"/>
      <w:numFmt w:val="decimal"/>
      <w:isLgl/>
      <w:lvlText w:val="%1.%2.%3.%4.%5"/>
      <w:lvlJc w:val="left"/>
      <w:pPr>
        <w:ind w:left="3124" w:hanging="1080"/>
      </w:pPr>
      <w:rPr>
        <w:rFonts w:hint="default"/>
      </w:rPr>
    </w:lvl>
    <w:lvl w:ilvl="5">
      <w:start w:val="1"/>
      <w:numFmt w:val="decimal"/>
      <w:isLgl/>
      <w:lvlText w:val="%1.%2.%3.%4.%5.%6"/>
      <w:lvlJc w:val="left"/>
      <w:pPr>
        <w:ind w:left="3545" w:hanging="1080"/>
      </w:pPr>
      <w:rPr>
        <w:rFonts w:hint="default"/>
      </w:rPr>
    </w:lvl>
    <w:lvl w:ilvl="6">
      <w:start w:val="1"/>
      <w:numFmt w:val="decimal"/>
      <w:isLgl/>
      <w:lvlText w:val="%1.%2.%3.%4.%5.%6.%7"/>
      <w:lvlJc w:val="left"/>
      <w:pPr>
        <w:ind w:left="4326" w:hanging="1440"/>
      </w:pPr>
      <w:rPr>
        <w:rFonts w:hint="default"/>
      </w:rPr>
    </w:lvl>
    <w:lvl w:ilvl="7">
      <w:start w:val="1"/>
      <w:numFmt w:val="decimal"/>
      <w:isLgl/>
      <w:lvlText w:val="%1.%2.%3.%4.%5.%6.%7.%8"/>
      <w:lvlJc w:val="left"/>
      <w:pPr>
        <w:ind w:left="4747" w:hanging="1440"/>
      </w:pPr>
      <w:rPr>
        <w:rFonts w:hint="default"/>
      </w:rPr>
    </w:lvl>
    <w:lvl w:ilvl="8">
      <w:start w:val="1"/>
      <w:numFmt w:val="decimal"/>
      <w:isLgl/>
      <w:lvlText w:val="%1.%2.%3.%4.%5.%6.%7.%8.%9"/>
      <w:lvlJc w:val="left"/>
      <w:pPr>
        <w:ind w:left="5528" w:hanging="1800"/>
      </w:pPr>
      <w:rPr>
        <w:rFont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328212C-F23B-46C4-AC95-771CE1918AB7"/>
    <w:docVar w:name="LW_COVERPAGE_TYPE" w:val="1"/>
    <w:docVar w:name="LW_CROSSREFERENCE" w:val="{SWD(2020) 56 final}"/>
    <w:docVar w:name="LW_DocType" w:val="NORMAL"/>
    <w:docVar w:name="LW_EMISSION" w:val="18.3.2020"/>
    <w:docVar w:name="LW_EMISSION_ISODATE" w:val="2020-03-18"/>
    <w:docVar w:name="LW_EMISSION_LOCATION" w:val="BRX"/>
    <w:docVar w:name="LW_EMISSION_PREFIX" w:val="Briselē, "/>
    <w:docVar w:name="LW_EMISSION_SUFFIX" w:val="."/>
    <w:docVar w:name="LW_ID_DOCTYPE_NONLW" w:val="CP-042"/>
    <w:docVar w:name="LW_LANGUE" w:val="LV"/>
    <w:docVar w:name="LW_LEVEL_OF_SENSITIVITY" w:val="Standard treatment"/>
    <w:docVar w:name="LW_NOM.INST" w:val="EIROPAS KOMISIJA"/>
    <w:docVar w:name="LW_NOM.INST_JOINTDOC" w:val="SAVIEN\u298?BAS AUGSTAIS_x000b_P\u256?RST\u256?VIS \u256?RLIET\u256?S UN_x000b_DRO\u352?\u298?BAS POLITIKAS_x000b_JAUT\u256?JUMOS"/>
    <w:docVar w:name="LW_PART_NBR" w:val="1"/>
    <w:docVar w:name="LW_PART_NBR_TOTAL" w:val="1"/>
    <w:docVar w:name="LW_REF.II.NEW.CP" w:val="&lt;UNUSED&gt;"/>
    <w:docVar w:name="LW_REF.II.NEW.CP_NUMBER" w:val="&lt;UNUSED&gt;"/>
    <w:docVar w:name="LW_REF.II.NEW.CP_YEAR" w:val="2020"/>
    <w:docVar w:name="LW_REF.INST.NEW" w:val="JOIN"/>
    <w:docVar w:name="LW_REF.INST.NEW_ADOPTED" w:val="final"/>
    <w:docVar w:name="LW_REF.INST.NEW_TEXT" w:val="(2020) 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ustrumu partner\u299?bas politika p\u275?c 2020. gada_x000d__x000d__x000d__x000d__x000d__x000d__x000d__x000d__x000b__x000d__x000d__x000d__x000d__x000d__x000d__x000d__x000d__x000b_&lt;FMT:Italic&gt;Notur\u299?bas stiprin\u257?\u353?ana - Austrumu partner\u299?ba, kas sniedz labumu visiem&lt;/FMT&gt;"/>
    <w:docVar w:name="LW_TYPE.DOC.CP" w:val="KOP\u298?GS PAZI\u325?OJUMS EIROPAS PARLAMENTAM, EIROPADOMEI, PADOMEI, EIROPAS EKONOMIKAS UN SOCI\u256?LO LIETU KOMITEJAI UN RE\u290?IONU KOMITEJAI"/>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0"/>
    <w:qFormat/>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eastAsia="en-GB"/>
    </w:rPr>
  </w:style>
  <w:style w:type="paragraph" w:styleId="Heading2">
    <w:name w:val="heading 2"/>
    <w:basedOn w:val="Normal"/>
    <w:next w:val="Text2"/>
    <w:link w:val="Heading2Char"/>
    <w:uiPriority w:val="90"/>
    <w:qFormat/>
    <w:pPr>
      <w:keepNext/>
      <w:tabs>
        <w:tab w:val="num" w:pos="1712"/>
      </w:tabs>
      <w:spacing w:after="240" w:line="240" w:lineRule="auto"/>
      <w:ind w:left="1712" w:hanging="720"/>
      <w:jc w:val="both"/>
      <w:outlineLvl w:val="1"/>
    </w:pPr>
    <w:rPr>
      <w:rFonts w:ascii="Times New Roman" w:eastAsia="Times New Roman" w:hAnsi="Times New Roman" w:cs="Times New Roman"/>
      <w:b/>
      <w:sz w:val="24"/>
      <w:szCs w:val="20"/>
      <w:lang w:eastAsia="en-GB"/>
    </w:rPr>
  </w:style>
  <w:style w:type="paragraph" w:styleId="Heading3">
    <w:name w:val="heading 3"/>
    <w:basedOn w:val="Normal"/>
    <w:next w:val="Normal"/>
    <w:link w:val="Heading3Char"/>
    <w:uiPriority w:val="90"/>
    <w:qFormat/>
    <w:pPr>
      <w:keepNext/>
      <w:tabs>
        <w:tab w:val="num" w:pos="1922"/>
      </w:tabs>
      <w:spacing w:after="240" w:line="240" w:lineRule="auto"/>
      <w:ind w:left="1922" w:hanging="720"/>
      <w:jc w:val="both"/>
      <w:outlineLvl w:val="2"/>
    </w:pPr>
    <w:rPr>
      <w:rFonts w:ascii="Times New Roman" w:eastAsia="Times New Roman" w:hAnsi="Times New Roman" w:cs="Times New Roman"/>
      <w:i/>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eastAsia="en-GB"/>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Table/Figure Heading"/>
    <w:basedOn w:val="Normal"/>
    <w:link w:val="ListParagraphChar"/>
    <w:uiPriority w:val="34"/>
    <w:qFormat/>
    <w:pPr>
      <w:ind w:left="720"/>
      <w:contextualSpacing/>
    </w:pPr>
    <w:rPr>
      <w:lang w:eastAsia="en-GB"/>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basedOn w:val="DefaultParagraphFont"/>
    <w:link w:val="ListParagraph"/>
    <w:uiPriority w:val="34"/>
    <w:qFormat/>
    <w:locked/>
    <w:rPr>
      <w:lang w:eastAsia="en-GB"/>
    </w:rPr>
  </w:style>
  <w:style w:type="paragraph" w:customStyle="1" w:styleId="Default">
    <w:name w:val="Default"/>
    <w:pPr>
      <w:autoSpaceDE w:val="0"/>
      <w:autoSpaceDN w:val="0"/>
      <w:adjustRightInd w:val="0"/>
      <w:spacing w:after="240" w:line="240" w:lineRule="auto"/>
      <w:jc w:val="both"/>
    </w:pPr>
    <w:rPr>
      <w:rFonts w:ascii="Times New Roman" w:hAnsi="Times New Roman" w:cs="Times New Roman"/>
      <w:color w:val="000000"/>
      <w:sz w:val="24"/>
      <w:szCs w:val="24"/>
      <w:lang w:eastAsia="en-GB"/>
    </w:rPr>
  </w:style>
  <w:style w:type="paragraph" w:styleId="NormalWeb">
    <w:name w:val="Normal (Web)"/>
    <w:basedOn w:val="Normal"/>
    <w:uiPriority w:val="99"/>
    <w:unhideWhenUsed/>
    <w:pPr>
      <w:spacing w:after="150" w:line="240" w:lineRule="auto"/>
    </w:pPr>
    <w:rPr>
      <w:rFonts w:ascii="Times New Roman" w:eastAsia="Times New Roman" w:hAnsi="Times New Roman" w:cs="Times New Roman"/>
      <w:sz w:val="24"/>
      <w:szCs w:val="24"/>
      <w:lang w:eastAsia="en-GB"/>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rPr>
      <w:rFonts w:ascii="Times New Roman" w:eastAsia="Times New Roman" w:hAnsi="Times New Roman" w:cs="Times New Roman"/>
      <w:sz w:val="20"/>
      <w:szCs w:val="20"/>
      <w:lang w:eastAsia="en-GB"/>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character" w:styleId="EndnoteReference">
    <w:name w:val="endnote reference"/>
    <w:basedOn w:val="DefaultParagraphFont"/>
    <w:semiHidden/>
    <w:unhideWhenUsed/>
    <w:rPr>
      <w:vertAlign w:val="superscript"/>
    </w:rPr>
  </w:style>
  <w:style w:type="paragraph" w:customStyle="1" w:styleId="FooterLine">
    <w:name w:val="Footer Line"/>
    <w:basedOn w:val="Footer"/>
    <w:next w:val="Footer"/>
    <w:uiPriority w:val="99"/>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rossReference">
    <w:name w:val="Cross Reference"/>
    <w:basedOn w:val="DefaultParagraphFont"/>
    <w:uiPriority w:val="99"/>
    <w:rPr>
      <w:i/>
    </w:rPr>
  </w:style>
  <w:style w:type="character" w:styleId="Hyperlink">
    <w:name w:val="Hyperlink"/>
    <w:basedOn w:val="DefaultParagraphFont"/>
    <w:uiPriority w:val="99"/>
    <w:unhideWhenUsed/>
    <w:rPr>
      <w:color w:val="0000FF"/>
      <w:u w:val="single"/>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0"/>
    <w:qFormat/>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eastAsia="en-GB"/>
    </w:rPr>
  </w:style>
  <w:style w:type="paragraph" w:styleId="Heading2">
    <w:name w:val="heading 2"/>
    <w:basedOn w:val="Normal"/>
    <w:next w:val="Text2"/>
    <w:link w:val="Heading2Char"/>
    <w:uiPriority w:val="90"/>
    <w:qFormat/>
    <w:pPr>
      <w:keepNext/>
      <w:tabs>
        <w:tab w:val="num" w:pos="1712"/>
      </w:tabs>
      <w:spacing w:after="240" w:line="240" w:lineRule="auto"/>
      <w:ind w:left="1712" w:hanging="720"/>
      <w:jc w:val="both"/>
      <w:outlineLvl w:val="1"/>
    </w:pPr>
    <w:rPr>
      <w:rFonts w:ascii="Times New Roman" w:eastAsia="Times New Roman" w:hAnsi="Times New Roman" w:cs="Times New Roman"/>
      <w:b/>
      <w:sz w:val="24"/>
      <w:szCs w:val="20"/>
      <w:lang w:eastAsia="en-GB"/>
    </w:rPr>
  </w:style>
  <w:style w:type="paragraph" w:styleId="Heading3">
    <w:name w:val="heading 3"/>
    <w:basedOn w:val="Normal"/>
    <w:next w:val="Normal"/>
    <w:link w:val="Heading3Char"/>
    <w:uiPriority w:val="90"/>
    <w:qFormat/>
    <w:pPr>
      <w:keepNext/>
      <w:tabs>
        <w:tab w:val="num" w:pos="1922"/>
      </w:tabs>
      <w:spacing w:after="240" w:line="240" w:lineRule="auto"/>
      <w:ind w:left="1922" w:hanging="720"/>
      <w:jc w:val="both"/>
      <w:outlineLvl w:val="2"/>
    </w:pPr>
    <w:rPr>
      <w:rFonts w:ascii="Times New Roman" w:eastAsia="Times New Roman" w:hAnsi="Times New Roman" w:cs="Times New Roman"/>
      <w:i/>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eastAsia="en-GB"/>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Table/Figure Heading"/>
    <w:basedOn w:val="Normal"/>
    <w:link w:val="ListParagraphChar"/>
    <w:uiPriority w:val="34"/>
    <w:qFormat/>
    <w:pPr>
      <w:ind w:left="720"/>
      <w:contextualSpacing/>
    </w:pPr>
    <w:rPr>
      <w:lang w:eastAsia="en-GB"/>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basedOn w:val="DefaultParagraphFont"/>
    <w:link w:val="ListParagraph"/>
    <w:uiPriority w:val="34"/>
    <w:qFormat/>
    <w:locked/>
    <w:rPr>
      <w:lang w:eastAsia="en-GB"/>
    </w:rPr>
  </w:style>
  <w:style w:type="paragraph" w:customStyle="1" w:styleId="Default">
    <w:name w:val="Default"/>
    <w:pPr>
      <w:autoSpaceDE w:val="0"/>
      <w:autoSpaceDN w:val="0"/>
      <w:adjustRightInd w:val="0"/>
      <w:spacing w:after="240" w:line="240" w:lineRule="auto"/>
      <w:jc w:val="both"/>
    </w:pPr>
    <w:rPr>
      <w:rFonts w:ascii="Times New Roman" w:hAnsi="Times New Roman" w:cs="Times New Roman"/>
      <w:color w:val="000000"/>
      <w:sz w:val="24"/>
      <w:szCs w:val="24"/>
      <w:lang w:eastAsia="en-GB"/>
    </w:rPr>
  </w:style>
  <w:style w:type="paragraph" w:styleId="NormalWeb">
    <w:name w:val="Normal (Web)"/>
    <w:basedOn w:val="Normal"/>
    <w:uiPriority w:val="99"/>
    <w:unhideWhenUsed/>
    <w:pPr>
      <w:spacing w:after="150" w:line="240" w:lineRule="auto"/>
    </w:pPr>
    <w:rPr>
      <w:rFonts w:ascii="Times New Roman" w:eastAsia="Times New Roman" w:hAnsi="Times New Roman" w:cs="Times New Roman"/>
      <w:sz w:val="24"/>
      <w:szCs w:val="24"/>
      <w:lang w:eastAsia="en-GB"/>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rPr>
      <w:rFonts w:ascii="Times New Roman" w:eastAsia="Times New Roman" w:hAnsi="Times New Roman" w:cs="Times New Roman"/>
      <w:sz w:val="20"/>
      <w:szCs w:val="20"/>
      <w:lang w:eastAsia="en-GB"/>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character" w:styleId="EndnoteReference">
    <w:name w:val="endnote reference"/>
    <w:basedOn w:val="DefaultParagraphFont"/>
    <w:semiHidden/>
    <w:unhideWhenUsed/>
    <w:rPr>
      <w:vertAlign w:val="superscript"/>
    </w:rPr>
  </w:style>
  <w:style w:type="paragraph" w:customStyle="1" w:styleId="FooterLine">
    <w:name w:val="Footer Line"/>
    <w:basedOn w:val="Footer"/>
    <w:next w:val="Footer"/>
    <w:uiPriority w:val="99"/>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rossReference">
    <w:name w:val="Cross Reference"/>
    <w:basedOn w:val="DefaultParagraphFont"/>
    <w:uiPriority w:val="99"/>
    <w:rPr>
      <w:i/>
    </w:rPr>
  </w:style>
  <w:style w:type="character" w:styleId="Hyperlink">
    <w:name w:val="Hyperlink"/>
    <w:basedOn w:val="DefaultParagraphFont"/>
    <w:uiPriority w:val="99"/>
    <w:unhideWhenUsed/>
    <w:rPr>
      <w:color w:val="0000FF"/>
      <w:u w:val="single"/>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85497">
      <w:bodyDiv w:val="1"/>
      <w:marLeft w:val="0"/>
      <w:marRight w:val="0"/>
      <w:marTop w:val="0"/>
      <w:marBottom w:val="0"/>
      <w:divBdr>
        <w:top w:val="none" w:sz="0" w:space="0" w:color="auto"/>
        <w:left w:val="none" w:sz="0" w:space="0" w:color="auto"/>
        <w:bottom w:val="none" w:sz="0" w:space="0" w:color="auto"/>
        <w:right w:val="none" w:sz="0" w:space="0" w:color="auto"/>
      </w:divBdr>
    </w:div>
    <w:div w:id="712390240">
      <w:bodyDiv w:val="1"/>
      <w:marLeft w:val="0"/>
      <w:marRight w:val="0"/>
      <w:marTop w:val="0"/>
      <w:marBottom w:val="0"/>
      <w:divBdr>
        <w:top w:val="none" w:sz="0" w:space="0" w:color="auto"/>
        <w:left w:val="none" w:sz="0" w:space="0" w:color="auto"/>
        <w:bottom w:val="none" w:sz="0" w:space="0" w:color="auto"/>
        <w:right w:val="none" w:sz="0" w:space="0" w:color="auto"/>
      </w:divBdr>
    </w:div>
    <w:div w:id="909844840">
      <w:bodyDiv w:val="1"/>
      <w:marLeft w:val="0"/>
      <w:marRight w:val="0"/>
      <w:marTop w:val="0"/>
      <w:marBottom w:val="0"/>
      <w:divBdr>
        <w:top w:val="none" w:sz="0" w:space="0" w:color="auto"/>
        <w:left w:val="none" w:sz="0" w:space="0" w:color="auto"/>
        <w:bottom w:val="none" w:sz="0" w:space="0" w:color="auto"/>
        <w:right w:val="none" w:sz="0" w:space="0" w:color="auto"/>
      </w:divBdr>
    </w:div>
    <w:div w:id="1125779637">
      <w:bodyDiv w:val="1"/>
      <w:marLeft w:val="0"/>
      <w:marRight w:val="0"/>
      <w:marTop w:val="0"/>
      <w:marBottom w:val="0"/>
      <w:divBdr>
        <w:top w:val="none" w:sz="0" w:space="0" w:color="auto"/>
        <w:left w:val="none" w:sz="0" w:space="0" w:color="auto"/>
        <w:bottom w:val="none" w:sz="0" w:space="0" w:color="auto"/>
        <w:right w:val="none" w:sz="0" w:space="0" w:color="auto"/>
      </w:divBdr>
    </w:div>
    <w:div w:id="1244727331">
      <w:bodyDiv w:val="1"/>
      <w:marLeft w:val="0"/>
      <w:marRight w:val="0"/>
      <w:marTop w:val="0"/>
      <w:marBottom w:val="0"/>
      <w:divBdr>
        <w:top w:val="none" w:sz="0" w:space="0" w:color="auto"/>
        <w:left w:val="none" w:sz="0" w:space="0" w:color="auto"/>
        <w:bottom w:val="none" w:sz="0" w:space="0" w:color="auto"/>
        <w:right w:val="none" w:sz="0" w:space="0" w:color="auto"/>
      </w:divBdr>
    </w:div>
    <w:div w:id="189303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ocuments-dds-ny.un.org/doc/UNDOC/GEN/N00/720/18/PDF/N0072018.pdf?OpenElement" TargetMode="External"/><Relationship Id="rId3" Type="http://schemas.openxmlformats.org/officeDocument/2006/relationships/hyperlink" Target="https://eeas.europa.eu/sites/eeas/files/join_2017_21_f1_communication_from_commission_to_inst_en_v7_p1_916039.pdf" TargetMode="External"/><Relationship Id="rId7" Type="http://schemas.openxmlformats.org/officeDocument/2006/relationships/hyperlink" Target="https://eeas.europa.eu/headquarters/headquarters-homepage/50699/connecting-europe-asia-eu-strategy_en" TargetMode="External"/><Relationship Id="rId2" Type="http://schemas.openxmlformats.org/officeDocument/2006/relationships/hyperlink" Target="https://ec.europa.eu/commission/sites/beta-political/files/political-guidelines-next-commission_lv.pdf" TargetMode="External"/><Relationship Id="rId1" Type="http://schemas.openxmlformats.org/officeDocument/2006/relationships/hyperlink" Target="https://eeas.europa.eu/sites/eeas/files/eugs_review_web_0.pdf" TargetMode="External"/><Relationship Id="rId6" Type="http://schemas.openxmlformats.org/officeDocument/2006/relationships/hyperlink" Target="https://ec.europa.eu/neighbourhood-enlargement/sites/near/files/eap_declaration_finalversion2604.pdf" TargetMode="External"/><Relationship Id="rId11" Type="http://schemas.openxmlformats.org/officeDocument/2006/relationships/hyperlink" Target="https://eeas.europa.eu/sites/eeas/files/action_plan_against_disinformation.pdf" TargetMode="External"/><Relationship Id="rId5" Type="http://schemas.openxmlformats.org/officeDocument/2006/relationships/hyperlink" Target="https://ec.europa.eu/transport/themes/international/european_neighbourhood_policy/eastern_partnership/tent-maps_en" TargetMode="External"/><Relationship Id="rId10" Type="http://schemas.openxmlformats.org/officeDocument/2006/relationships/hyperlink" Target="https://ec.europa.eu/info/sites/info/files/communication-shaping-europes-digital-future-feb2020_en_4.pdf" TargetMode="External"/><Relationship Id="rId4" Type="http://schemas.openxmlformats.org/officeDocument/2006/relationships/hyperlink" Target="https://ec.europa.eu/commission/eu-external-investment-plan_en" TargetMode="External"/><Relationship Id="rId9" Type="http://schemas.openxmlformats.org/officeDocument/2006/relationships/hyperlink" Target="https://ec.europa.eu/maritimeaffairs/press/black-sea-ministers-endorse-common-maritime-agenda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C6517-2D4A-4676-9564-16DA78F2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7725</Words>
  <Characters>55316</Characters>
  <Application>Microsoft Office Word</Application>
  <DocSecurity>0</DocSecurity>
  <Lines>779</Lines>
  <Paragraphs>160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2020-03-17T16:58:00Z</dcterms:created>
  <dcterms:modified xsi:type="dcterms:W3CDTF">2020-04-01T09:41:00Z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CP-042</vt:lpwstr>
  </property>
</Properties>
</file>