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70E54BC2-FFB7-4820-81BD-A14D8CE827A6"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before="360" w:after="0" w:line="240" w:lineRule="auto"/>
        <w:jc w:val="center"/>
        <w:rPr>
          <w:rFonts w:ascii="Times New Roman" w:hAnsi="Times New Roman"/>
          <w:b/>
          <w:noProof/>
          <w:sz w:val="24"/>
        </w:rPr>
      </w:pPr>
      <w:bookmarkStart w:id="1" w:name="_GoBack"/>
      <w:bookmarkEnd w:id="1"/>
      <w:r>
        <w:rPr>
          <w:rFonts w:ascii="Times New Roman" w:hAnsi="Times New Roman"/>
          <w:b/>
          <w:noProof/>
          <w:sz w:val="24"/>
        </w:rPr>
        <w:lastRenderedPageBreak/>
        <w:t>KOMISIJAS ZIŅOJUMS EIROPAS PARLAMENTAM UN PADOMEI</w:t>
      </w:r>
    </w:p>
    <w:p>
      <w:pPr>
        <w:spacing w:before="360" w:after="360" w:line="240" w:lineRule="auto"/>
        <w:jc w:val="center"/>
        <w:rPr>
          <w:rFonts w:ascii="Times New Roman" w:hAnsi="Times New Roman"/>
          <w:b/>
          <w:noProof/>
          <w:sz w:val="24"/>
        </w:rPr>
      </w:pPr>
      <w:r>
        <w:rPr>
          <w:rFonts w:ascii="Times New Roman" w:hAnsi="Times New Roman"/>
          <w:b/>
          <w:noProof/>
          <w:sz w:val="24"/>
        </w:rPr>
        <w:t>par to, kā tiek īstenotas deleģēto aktu pieņemšanas pilnvaras, kas Komisijai piešķirtas saskaņā ar Eiropas Parlamenta un Padomes 2014. gada 23. jūlija Direktīvu 2014/90/ES par kuģu aprīkojumu</w:t>
      </w:r>
    </w:p>
    <w:p>
      <w:pPr>
        <w:tabs>
          <w:tab w:val="left" w:pos="2070"/>
        </w:tabs>
        <w:spacing w:after="0" w:line="240" w:lineRule="auto"/>
        <w:rPr>
          <w:rFonts w:ascii="Times New Roman" w:eastAsia="Times New Roman" w:hAnsi="Times New Roman"/>
          <w:b/>
          <w:bCs/>
          <w:smallCaps/>
          <w:noProof/>
          <w:sz w:val="24"/>
          <w:szCs w:val="28"/>
        </w:rPr>
      </w:pPr>
      <w:r>
        <w:rPr>
          <w:noProof/>
        </w:rPr>
        <w:tab/>
      </w:r>
    </w:p>
    <w:p>
      <w:pPr>
        <w:keepNext/>
        <w:numPr>
          <w:ilvl w:val="0"/>
          <w:numId w:val="1"/>
        </w:numPr>
        <w:shd w:val="clear" w:color="auto" w:fill="FFFFFF"/>
        <w:spacing w:before="360" w:after="120" w:line="240" w:lineRule="auto"/>
        <w:jc w:val="both"/>
        <w:outlineLvl w:val="0"/>
        <w:rPr>
          <w:rFonts w:ascii="Times New Roman" w:hAnsi="Times New Roman"/>
          <w:b/>
          <w:bCs/>
          <w:smallCaps/>
          <w:noProof/>
          <w:sz w:val="24"/>
          <w:szCs w:val="28"/>
        </w:rPr>
      </w:pPr>
      <w:r>
        <w:rPr>
          <w:rFonts w:ascii="Times New Roman" w:hAnsi="Times New Roman"/>
          <w:b/>
          <w:smallCaps/>
          <w:noProof/>
          <w:sz w:val="24"/>
        </w:rPr>
        <w:t>Pamatinformācija</w:t>
      </w:r>
    </w:p>
    <w:p>
      <w:pPr>
        <w:spacing w:before="120" w:after="120" w:line="240" w:lineRule="auto"/>
        <w:ind w:left="850"/>
        <w:jc w:val="both"/>
        <w:rPr>
          <w:rFonts w:ascii="Times New Roman" w:hAnsi="Times New Roman"/>
          <w:noProof/>
          <w:sz w:val="24"/>
        </w:rPr>
      </w:pPr>
      <w:r>
        <w:rPr>
          <w:rFonts w:ascii="Times New Roman" w:hAnsi="Times New Roman"/>
          <w:noProof/>
          <w:sz w:val="24"/>
        </w:rPr>
        <w:t>Eiropas Parlamenta un Padomes 2014. gada 23. jūlija Direktīvas 2014/90/ES par kuģu aprīkojumu</w:t>
      </w:r>
      <w:r>
        <w:rPr>
          <w:rStyle w:val="FootnoteReference"/>
          <w:noProof/>
        </w:rPr>
        <w:footnoteReference w:id="1"/>
      </w:r>
      <w:r>
        <w:rPr>
          <w:rFonts w:ascii="Times New Roman" w:hAnsi="Times New Roman"/>
          <w:noProof/>
          <w:sz w:val="24"/>
        </w:rPr>
        <w:t xml:space="preserve"> 37. panta 1. punkts piešķir Komisijai pilnvaras pieņemt deleģētos aktus, ievērojot minētajā pantā izklāstītos nosacījumus. Saskaņā ar minētās direktīvas 37. panta 2. punktu pilnvaras pieņemt deleģētos aktus ir piešķirtas uz piecu gadu laikposmu no 2014. gada 17. septembra. Minētais laikposms beidzas 2019. gada 17. septembrī. Komisija saskaņā ar 37. pantu ir pilnvarota pieņemt minētās direktīvas 8., 11., 27. un 36. pantā noteiktos deleģētos aktus.</w:t>
      </w:r>
    </w:p>
    <w:p>
      <w:pPr>
        <w:spacing w:before="120" w:after="120" w:line="240" w:lineRule="auto"/>
        <w:ind w:left="850"/>
        <w:jc w:val="both"/>
        <w:rPr>
          <w:rFonts w:ascii="Times New Roman" w:hAnsi="Times New Roman"/>
          <w:noProof/>
          <w:sz w:val="24"/>
        </w:rPr>
      </w:pPr>
      <w:r>
        <w:rPr>
          <w:rFonts w:ascii="Times New Roman" w:hAnsi="Times New Roman"/>
          <w:noProof/>
          <w:sz w:val="24"/>
        </w:rPr>
        <w:t>Šie deleģētie akti var attiekties uz:</w:t>
      </w:r>
    </w:p>
    <w:p>
      <w:pPr>
        <w:numPr>
          <w:ilvl w:val="0"/>
          <w:numId w:val="4"/>
        </w:numPr>
        <w:spacing w:before="120" w:after="120" w:line="240" w:lineRule="auto"/>
        <w:contextualSpacing/>
        <w:jc w:val="both"/>
        <w:rPr>
          <w:rFonts w:ascii="Times New Roman" w:hAnsi="Times New Roman"/>
          <w:noProof/>
          <w:sz w:val="24"/>
        </w:rPr>
      </w:pPr>
      <w:r>
        <w:rPr>
          <w:rFonts w:ascii="Times New Roman" w:hAnsi="Times New Roman"/>
          <w:noProof/>
          <w:sz w:val="24"/>
        </w:rPr>
        <w:t xml:space="preserve">8. pantu: saskaņotu tehnisko specifikāciju un testēšanas standartu pieņemšanu, </w:t>
      </w:r>
    </w:p>
    <w:p>
      <w:pPr>
        <w:numPr>
          <w:ilvl w:val="5"/>
          <w:numId w:val="5"/>
        </w:numPr>
        <w:spacing w:before="120" w:after="120" w:line="240" w:lineRule="auto"/>
        <w:contextualSpacing/>
        <w:jc w:val="both"/>
        <w:rPr>
          <w:rFonts w:ascii="Times New Roman" w:hAnsi="Times New Roman"/>
          <w:noProof/>
          <w:sz w:val="24"/>
        </w:rPr>
      </w:pPr>
      <w:r>
        <w:rPr>
          <w:rFonts w:ascii="Times New Roman" w:hAnsi="Times New Roman"/>
          <w:noProof/>
          <w:sz w:val="24"/>
        </w:rPr>
        <w:t>ja nav attiecīga starptautiska standarta un</w:t>
      </w:r>
    </w:p>
    <w:p>
      <w:pPr>
        <w:numPr>
          <w:ilvl w:val="5"/>
          <w:numId w:val="5"/>
        </w:numPr>
        <w:spacing w:before="120" w:after="120" w:line="240" w:lineRule="auto"/>
        <w:contextualSpacing/>
        <w:jc w:val="both"/>
        <w:rPr>
          <w:rFonts w:ascii="Times New Roman" w:hAnsi="Times New Roman"/>
          <w:noProof/>
          <w:sz w:val="24"/>
        </w:rPr>
      </w:pPr>
      <w:r>
        <w:rPr>
          <w:rFonts w:ascii="Times New Roman" w:hAnsi="Times New Roman"/>
          <w:noProof/>
          <w:sz w:val="24"/>
        </w:rPr>
        <w:t>ja spēkā esošā standartā ir nopietns trūkums vai kļūda,</w:t>
      </w:r>
    </w:p>
    <w:p>
      <w:pPr>
        <w:spacing w:before="120" w:after="120" w:line="240" w:lineRule="auto"/>
        <w:ind w:left="1571"/>
        <w:contextualSpacing/>
        <w:jc w:val="both"/>
        <w:rPr>
          <w:rFonts w:ascii="Times New Roman" w:hAnsi="Times New Roman"/>
          <w:noProof/>
          <w:sz w:val="24"/>
        </w:rPr>
      </w:pPr>
      <w:r>
        <w:rPr>
          <w:rFonts w:ascii="Times New Roman" w:hAnsi="Times New Roman"/>
          <w:noProof/>
          <w:sz w:val="24"/>
        </w:rPr>
        <w:t>konkrētai kuģu aprīkojuma vienībai ārkārtas apstākļos, ja tas pienācīgi pamatots ar attiecīgu analīzi, un nolūkā novērstu nopietnus un nepieņemamus draudus kuģošanas drošībai, veselībai vai videi, ņemot vērā SJO līmenī veikto darbu;</w:t>
      </w:r>
    </w:p>
    <w:p>
      <w:pPr>
        <w:numPr>
          <w:ilvl w:val="0"/>
          <w:numId w:val="4"/>
        </w:numPr>
        <w:spacing w:before="120" w:after="120" w:line="240" w:lineRule="auto"/>
        <w:ind w:left="1571"/>
        <w:contextualSpacing/>
        <w:jc w:val="both"/>
        <w:rPr>
          <w:rFonts w:ascii="Times New Roman" w:hAnsi="Times New Roman"/>
          <w:noProof/>
          <w:sz w:val="24"/>
        </w:rPr>
      </w:pPr>
      <w:r>
        <w:rPr>
          <w:rFonts w:ascii="Times New Roman" w:hAnsi="Times New Roman"/>
          <w:noProof/>
          <w:sz w:val="24"/>
        </w:rPr>
        <w:t>11. pantu: tādu konkrētu kuģu aprīkojuma vienību apzināšanu, kuru elektroniska marķēšana var tam dot labumu;</w:t>
      </w:r>
    </w:p>
    <w:p>
      <w:pPr>
        <w:numPr>
          <w:ilvl w:val="0"/>
          <w:numId w:val="4"/>
        </w:numPr>
        <w:spacing w:before="120" w:after="120" w:line="240" w:lineRule="auto"/>
        <w:ind w:left="1571"/>
        <w:contextualSpacing/>
        <w:jc w:val="both"/>
        <w:rPr>
          <w:rFonts w:ascii="Times New Roman" w:hAnsi="Times New Roman"/>
          <w:noProof/>
          <w:sz w:val="24"/>
        </w:rPr>
      </w:pPr>
      <w:r>
        <w:rPr>
          <w:rFonts w:ascii="Times New Roman" w:hAnsi="Times New Roman"/>
          <w:noProof/>
          <w:sz w:val="24"/>
        </w:rPr>
        <w:t>27. pantu: saskaņotu pagaidu prasību un testēšanas standartu pieņemšanu attiecībā uz konkrētu kuģu aprīkojuma vienībām, kurām piemēro ES aizsardzības procedūru, ja kuģu aprīkojuma neatbilstība ir saistāma ar nepilnībām testēšanas standartos;</w:t>
      </w:r>
    </w:p>
    <w:p>
      <w:pPr>
        <w:numPr>
          <w:ilvl w:val="0"/>
          <w:numId w:val="4"/>
        </w:numPr>
        <w:spacing w:before="120" w:after="120" w:line="240" w:lineRule="auto"/>
        <w:ind w:left="1571"/>
        <w:contextualSpacing/>
        <w:jc w:val="both"/>
        <w:rPr>
          <w:rFonts w:ascii="Times New Roman" w:hAnsi="Times New Roman"/>
          <w:noProof/>
          <w:sz w:val="24"/>
        </w:rPr>
      </w:pPr>
      <w:r>
        <w:rPr>
          <w:rFonts w:ascii="Times New Roman" w:hAnsi="Times New Roman"/>
          <w:noProof/>
          <w:sz w:val="24"/>
        </w:rPr>
        <w:t>36. pantu: atjauninātu atsauces uz III pielikumā minētajiem standartiem, kas attiecas uz prasībām, kuras atbilstības novērtēšanas struktūrām jāizpilda, lai kļūtu par paziņotajām struktūrām (šobrīd EN ISO/IEC 17065:2012 un EN ISO/IEC 17025/2005).</w:t>
      </w:r>
    </w:p>
    <w:p>
      <w:pPr>
        <w:spacing w:before="120" w:after="120" w:line="240" w:lineRule="auto"/>
        <w:ind w:left="850"/>
        <w:jc w:val="both"/>
        <w:rPr>
          <w:rFonts w:ascii="Times New Roman" w:hAnsi="Times New Roman"/>
          <w:noProof/>
          <w:sz w:val="24"/>
        </w:rPr>
      </w:pP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Atbilstoši Direktīvas 2014/90/ES 37. panta 2. punktam Komisijai, vēlākais, deviņus mēnešus pirms piecu gadu laikposma beigām jāsagatavo ziņojums par pilnvaru deleģēšanu. Pilnvaru deleģēšana tiek automātiski pagarināta uz tāda paša ilguma laikposmiem, ja vien Eiropas Parlaments vai Padome neiebilst pret šādu pagarinājumu, vēlākais, trīs mēnešus pirms katra laikposma beigām. </w:t>
      </w:r>
    </w:p>
    <w:p>
      <w:pPr>
        <w:keepNext/>
        <w:numPr>
          <w:ilvl w:val="0"/>
          <w:numId w:val="1"/>
        </w:numPr>
        <w:shd w:val="clear" w:color="auto" w:fill="FFFFFF"/>
        <w:spacing w:before="360" w:after="120" w:line="240" w:lineRule="auto"/>
        <w:jc w:val="both"/>
        <w:outlineLvl w:val="0"/>
        <w:rPr>
          <w:rFonts w:ascii="Times New Roman" w:eastAsia="Times New Roman" w:hAnsi="Times New Roman"/>
          <w:b/>
          <w:bCs/>
          <w:smallCaps/>
          <w:noProof/>
          <w:sz w:val="24"/>
          <w:szCs w:val="28"/>
        </w:rPr>
      </w:pPr>
      <w:r>
        <w:rPr>
          <w:rFonts w:ascii="Times New Roman" w:hAnsi="Times New Roman"/>
          <w:b/>
          <w:smallCaps/>
          <w:noProof/>
          <w:sz w:val="24"/>
        </w:rPr>
        <w:t xml:space="preserve">Komisijai deleģēto pilnvaru īstenošana saskaņā ar Eiropas Parlamenta un Padomes 2014. gada 23. jūlija Direktīvu 2014/90/ES par kuģu aprīkojumu </w:t>
      </w:r>
    </w:p>
    <w:p>
      <w:pPr>
        <w:spacing w:before="120" w:after="120" w:line="240" w:lineRule="auto"/>
        <w:ind w:left="850"/>
        <w:jc w:val="both"/>
        <w:rPr>
          <w:rFonts w:ascii="Times New Roman" w:hAnsi="Times New Roman"/>
          <w:noProof/>
          <w:sz w:val="24"/>
        </w:rPr>
      </w:pPr>
      <w:r>
        <w:rPr>
          <w:rFonts w:ascii="Times New Roman" w:hAnsi="Times New Roman"/>
          <w:noProof/>
          <w:sz w:val="24"/>
        </w:rPr>
        <w:t>Ziņošanas laikposmā ar Direktīvu 2014/90/ES piešķirtās pilnvaras pieņemt deleģētos aktus Komisija ir izmantojusi vienu reizi.</w:t>
      </w:r>
    </w:p>
    <w:p>
      <w:pPr>
        <w:spacing w:before="120" w:after="120" w:line="240" w:lineRule="auto"/>
        <w:ind w:left="850"/>
        <w:jc w:val="both"/>
        <w:rPr>
          <w:rFonts w:ascii="Times New Roman" w:hAnsi="Times New Roman"/>
          <w:noProof/>
          <w:sz w:val="24"/>
        </w:rPr>
      </w:pPr>
      <w:r>
        <w:rPr>
          <w:rFonts w:ascii="Times New Roman" w:hAnsi="Times New Roman"/>
          <w:noProof/>
          <w:sz w:val="24"/>
        </w:rPr>
        <w:t>Pieņemtais akts ir Komisijas 2018. gada 9. janvāra Deleģētā regula (ES) 2018/414, ar ko Eiropas Parlamenta un Padomes Direktīvu 2014/90/ES papildina attiecībā uz tādu konkrētu kuģu aprīkojuma vienību identifikāciju, kuru elektroniska marķēšana var dot labumu.</w:t>
      </w:r>
    </w:p>
    <w:p>
      <w:pPr>
        <w:spacing w:before="120" w:after="120" w:line="240" w:lineRule="auto"/>
        <w:ind w:left="850"/>
        <w:jc w:val="both"/>
        <w:rPr>
          <w:rFonts w:ascii="Times New Roman" w:hAnsi="Times New Roman"/>
          <w:noProof/>
          <w:sz w:val="24"/>
        </w:rPr>
      </w:pPr>
      <w:r>
        <w:rPr>
          <w:rFonts w:ascii="Times New Roman" w:hAnsi="Times New Roman"/>
          <w:noProof/>
          <w:sz w:val="24"/>
        </w:rPr>
        <w:t>Tā tika pieņemta saskaņā ar Kuģu aprīkojuma direktīvas 11. pantu. Šāda kuģu aprīkojuma identifikācija, kuru elektroniska marķēšana var tam dot labumu, bija vajadzīga, lai ekonomikas dalībniekiem dotu iespēju brīvprātīgi izmantot elektronisko marķēšanu, atvieglotu tirgus uzraudzību un novērstu kuģu aprīkojuma konkrētu vienību viltošanu.</w:t>
      </w:r>
    </w:p>
    <w:p>
      <w:pPr>
        <w:keepNext/>
        <w:numPr>
          <w:ilvl w:val="0"/>
          <w:numId w:val="1"/>
        </w:numPr>
        <w:shd w:val="clear" w:color="auto" w:fill="FFFFFF"/>
        <w:spacing w:before="360" w:after="120" w:line="240" w:lineRule="auto"/>
        <w:jc w:val="both"/>
        <w:outlineLvl w:val="0"/>
        <w:rPr>
          <w:rFonts w:ascii="Times New Roman" w:hAnsi="Times New Roman"/>
          <w:b/>
          <w:bCs/>
          <w:smallCaps/>
          <w:noProof/>
          <w:sz w:val="24"/>
          <w:szCs w:val="28"/>
        </w:rPr>
      </w:pPr>
      <w:r>
        <w:rPr>
          <w:rFonts w:ascii="Times New Roman" w:hAnsi="Times New Roman"/>
          <w:b/>
          <w:smallCaps/>
          <w:noProof/>
          <w:sz w:val="24"/>
        </w:rPr>
        <w:t>Secinājumi</w:t>
      </w:r>
    </w:p>
    <w:p>
      <w:pPr>
        <w:spacing w:before="120" w:after="120" w:line="240" w:lineRule="auto"/>
        <w:ind w:left="850"/>
        <w:jc w:val="both"/>
        <w:rPr>
          <w:rFonts w:ascii="Times New Roman" w:hAnsi="Times New Roman"/>
          <w:noProof/>
          <w:sz w:val="24"/>
        </w:rPr>
      </w:pPr>
      <w:r>
        <w:rPr>
          <w:rFonts w:ascii="Times New Roman" w:hAnsi="Times New Roman"/>
          <w:noProof/>
          <w:sz w:val="24"/>
        </w:rPr>
        <w:t>Komisija uzskata, ka pilnvarojumu ir nepieciešams pagarināt, jo direktīvas noteikumi ir jāpapildina vai jāgroza, lai pastāvīgi mainītu to kuģu aprīkojuma vienību sarakstu, kas ir direktīvas darbības jomā (11. pants), pielāgotu to atjauninātiem starptautiskajiem standartiem, kas ir saistīti ar prasībām, kuras jāizpilda atbilstības novērtēšanas struktūrām (36. pants), un īsā laika posmā vajadzības gadījumā novērstu nopietnus un nepieņemamus draudus kuģošanas drošībai, veselībai vai videi (8. un 27. pants).</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rPr>
          <w:rFonts w:ascii="Times New Roman" w:hAnsi="Times New Roman"/>
        </w:rPr>
        <w:t>OV L 257, 28.8.2014., 168. lpp.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A47F3"/>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7908675B"/>
    <w:multiLevelType w:val="hybridMultilevel"/>
    <w:tmpl w:val="B844B158"/>
    <w:lvl w:ilvl="0" w:tplc="08090001">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gnword-docGUID" w:val="{8486E9B6-35E5-48F1-8B60-DDDD15B0357B}"/>
    <w:docVar w:name="dgnword-eventsink" w:val="735117944"/>
    <w:docVar w:name="DocStatus" w:val="Green"/>
    <w:docVar w:name="LW_CORRIGENDUM" w:val="&lt;UNUSED&gt;"/>
    <w:docVar w:name="LW_COVERPAGE_EXISTS" w:val="True"/>
    <w:docVar w:name="LW_COVERPAGE_GUID" w:val="70E54BC2-FFB7-4820-81BD-A14D8CE827A6"/>
    <w:docVar w:name="LW_COVERPAGE_TYPE" w:val="1"/>
    <w:docVar w:name="LW_CROSSREFERENCE" w:val="&lt;UNUSED&gt;"/>
    <w:docVar w:name="LW_DocType" w:val="NORMAL"/>
    <w:docVar w:name="LW_EMISSION" w:val="1.2.2019"/>
    <w:docVar w:name="LW_EMISSION_ISODATE" w:val="2019-02-01"/>
    <w:docVar w:name="LW_EMISSION_LOCATION" w:val="BRX"/>
    <w:docVar w:name="LW_EMISSION_PREFIX" w:val="Briselē, "/>
    <w:docVar w:name="LW_EMISSION_SUFFIX" w:val="."/>
    <w:docVar w:name="LW_ID_DOCTYPE_NONLW" w:val="CP-006"/>
    <w:docVar w:name="LW_LANGUE" w:val="LV"/>
    <w:docVar w:name="LW_LEVEL_OF_SENSITIVITY" w:val="Standard treatmen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19) 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par to, k\u257? tiek \u299?stenotas dele\u291?\u275?to aktu pie\u326?em\u353?anas pilnvaras, kas Komisijai pie\u353?\u311?irtas saska\u326?\u257? ar Eiropas Parlamenta un Padomes 2014. gada 23. j\u363?lija Direkt\u299?vu 2014/90/ES par ku\u291?u apr\u299?kojumu&lt;/FMT&gt;"/>
    <w:docVar w:name="LW_TYPE.DOC.CP" w:val="KOMISIJAS ZI\u325?OJUMS EIROPAS PARLAMENTAM UN PADOMEI"/>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lv-LV"/>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imes New Roman" w:hAnsi="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365F91"/>
      <w:sz w:val="28"/>
      <w:szCs w:val="28"/>
    </w:rPr>
  </w:style>
  <w:style w:type="character" w:customStyle="1" w:styleId="Heading2Char">
    <w:name w:val="Heading 2 Char"/>
    <w:link w:val="Heading2"/>
    <w:uiPriority w:val="9"/>
    <w:rPr>
      <w:rFonts w:ascii="Cambria" w:eastAsia="Times New Roman" w:hAnsi="Cambria" w:cs="Times New Roman"/>
      <w:b/>
      <w:bCs/>
      <w:color w:val="4F81BD"/>
      <w:sz w:val="26"/>
      <w:szCs w:val="26"/>
    </w:rPr>
  </w:style>
  <w:style w:type="character" w:customStyle="1" w:styleId="Heading3Char">
    <w:name w:val="Heading 3 Char"/>
    <w:link w:val="Heading3"/>
    <w:uiPriority w:val="9"/>
    <w:rPr>
      <w:rFonts w:ascii="Cambria" w:eastAsia="Times New Roman" w:hAnsi="Cambria" w:cs="Times New Roman"/>
      <w:b/>
      <w:bCs/>
      <w:color w:val="4F81BD"/>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rPr>
      <w:rFonts w:ascii="Calibri" w:hAnsi="Calibri"/>
      <w:sz w:val="20"/>
      <w:szCs w:val="20"/>
    </w:rPr>
  </w:style>
  <w:style w:type="character" w:customStyle="1" w:styleId="Heading4Char">
    <w:name w:val="Heading 4 Char"/>
    <w:link w:val="Heading4"/>
    <w:uiPriority w:val="9"/>
    <w:semiHidden/>
    <w:rPr>
      <w:rFonts w:ascii="Times New Roman" w:eastAsia="Times New Roman" w:hAnsi="Times New Roman" w:cs="Times New Roman"/>
      <w:bCs/>
      <w:iCs/>
      <w:sz w:val="24"/>
      <w:lang w:eastAsia="lv-LV"/>
    </w:rPr>
  </w:style>
  <w:style w:type="character" w:styleId="FootnoteReference">
    <w:name w:val="footnote reference"/>
    <w:uiPriority w:val="99"/>
    <w:unhideWhenUsed/>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Pr>
      <w:rFonts w:ascii="Times New Roman" w:hAnsi="Times New Roman"/>
      <w:sz w:val="24"/>
      <w:szCs w:val="22"/>
      <w:lang w:val="lv-LV" w:eastAsia="lv-LV"/>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Pr>
      <w:rFonts w:ascii="Times New Roman" w:hAnsi="Times New Roman"/>
      <w:sz w:val="24"/>
      <w:szCs w:val="22"/>
      <w:lang w:val="lv-LV" w:eastAsia="lv-LV"/>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rFonts w:ascii="Calibri" w:hAnsi="Calibri"/>
      <w:sz w:val="20"/>
      <w:szCs w:val="20"/>
    </w:rPr>
  </w:style>
  <w:style w:type="character" w:styleId="CommentReference">
    <w:name w:val="annotation reference"/>
    <w:uiPriority w:val="99"/>
    <w:semiHidden/>
    <w:unhideWhenUsed/>
    <w:rPr>
      <w:sz w:val="16"/>
      <w:szCs w:val="16"/>
    </w:rPr>
  </w:style>
  <w:style w:type="paragraph" w:customStyle="1" w:styleId="Titreobjet">
    <w:name w:val="Titre objet"/>
    <w:basedOn w:val="Normal"/>
    <w:next w:val="Normal"/>
    <w:pPr>
      <w:spacing w:before="360" w:after="360" w:line="240" w:lineRule="auto"/>
      <w:jc w:val="center"/>
    </w:pPr>
    <w:rPr>
      <w:rFonts w:ascii="Times New Roman" w:hAnsi="Times New Roman"/>
      <w:b/>
      <w:sz w:val="24"/>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CommentSubject">
    <w:name w:val="annotation subject"/>
    <w:basedOn w:val="CommentText"/>
    <w:next w:val="CommentText"/>
    <w:link w:val="CommentSubjectChar"/>
    <w:uiPriority w:val="99"/>
    <w:semiHidden/>
    <w:unhideWhenUsed/>
    <w:pPr>
      <w:spacing w:line="276" w:lineRule="auto"/>
    </w:pPr>
    <w:rPr>
      <w:b/>
      <w:bCs/>
    </w:rPr>
  </w:style>
  <w:style w:type="character" w:customStyle="1" w:styleId="CommentSubjectChar">
    <w:name w:val="Comment Subject Char"/>
    <w:link w:val="CommentSubject"/>
    <w:uiPriority w:val="99"/>
    <w:semiHidden/>
    <w:rPr>
      <w:rFonts w:ascii="Calibri" w:hAnsi="Calibri"/>
      <w:b/>
      <w:bCs/>
      <w:sz w:val="20"/>
      <w:szCs w:val="20"/>
      <w:lang w:val="lv-LV"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lv-LV"/>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imes New Roman" w:hAnsi="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365F91"/>
      <w:sz w:val="28"/>
      <w:szCs w:val="28"/>
    </w:rPr>
  </w:style>
  <w:style w:type="character" w:customStyle="1" w:styleId="Heading2Char">
    <w:name w:val="Heading 2 Char"/>
    <w:link w:val="Heading2"/>
    <w:uiPriority w:val="9"/>
    <w:rPr>
      <w:rFonts w:ascii="Cambria" w:eastAsia="Times New Roman" w:hAnsi="Cambria" w:cs="Times New Roman"/>
      <w:b/>
      <w:bCs/>
      <w:color w:val="4F81BD"/>
      <w:sz w:val="26"/>
      <w:szCs w:val="26"/>
    </w:rPr>
  </w:style>
  <w:style w:type="character" w:customStyle="1" w:styleId="Heading3Char">
    <w:name w:val="Heading 3 Char"/>
    <w:link w:val="Heading3"/>
    <w:uiPriority w:val="9"/>
    <w:rPr>
      <w:rFonts w:ascii="Cambria" w:eastAsia="Times New Roman" w:hAnsi="Cambria" w:cs="Times New Roman"/>
      <w:b/>
      <w:bCs/>
      <w:color w:val="4F81BD"/>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rPr>
      <w:rFonts w:ascii="Calibri" w:hAnsi="Calibri"/>
      <w:sz w:val="20"/>
      <w:szCs w:val="20"/>
    </w:rPr>
  </w:style>
  <w:style w:type="character" w:customStyle="1" w:styleId="Heading4Char">
    <w:name w:val="Heading 4 Char"/>
    <w:link w:val="Heading4"/>
    <w:uiPriority w:val="9"/>
    <w:semiHidden/>
    <w:rPr>
      <w:rFonts w:ascii="Times New Roman" w:eastAsia="Times New Roman" w:hAnsi="Times New Roman" w:cs="Times New Roman"/>
      <w:bCs/>
      <w:iCs/>
      <w:sz w:val="24"/>
      <w:lang w:eastAsia="lv-LV"/>
    </w:rPr>
  </w:style>
  <w:style w:type="character" w:styleId="FootnoteReference">
    <w:name w:val="footnote reference"/>
    <w:uiPriority w:val="99"/>
    <w:unhideWhenUsed/>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Pr>
      <w:rFonts w:ascii="Times New Roman" w:hAnsi="Times New Roman"/>
      <w:sz w:val="24"/>
      <w:szCs w:val="22"/>
      <w:lang w:val="lv-LV" w:eastAsia="lv-LV"/>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Pr>
      <w:rFonts w:ascii="Times New Roman" w:hAnsi="Times New Roman"/>
      <w:sz w:val="24"/>
      <w:szCs w:val="22"/>
      <w:lang w:val="lv-LV" w:eastAsia="lv-LV"/>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rFonts w:ascii="Calibri" w:hAnsi="Calibri"/>
      <w:sz w:val="20"/>
      <w:szCs w:val="20"/>
    </w:rPr>
  </w:style>
  <w:style w:type="character" w:styleId="CommentReference">
    <w:name w:val="annotation reference"/>
    <w:uiPriority w:val="99"/>
    <w:semiHidden/>
    <w:unhideWhenUsed/>
    <w:rPr>
      <w:sz w:val="16"/>
      <w:szCs w:val="16"/>
    </w:rPr>
  </w:style>
  <w:style w:type="paragraph" w:customStyle="1" w:styleId="Titreobjet">
    <w:name w:val="Titre objet"/>
    <w:basedOn w:val="Normal"/>
    <w:next w:val="Normal"/>
    <w:pPr>
      <w:spacing w:before="360" w:after="360" w:line="240" w:lineRule="auto"/>
      <w:jc w:val="center"/>
    </w:pPr>
    <w:rPr>
      <w:rFonts w:ascii="Times New Roman" w:hAnsi="Times New Roman"/>
      <w:b/>
      <w:sz w:val="24"/>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CommentSubject">
    <w:name w:val="annotation subject"/>
    <w:basedOn w:val="CommentText"/>
    <w:next w:val="CommentText"/>
    <w:link w:val="CommentSubjectChar"/>
    <w:uiPriority w:val="99"/>
    <w:semiHidden/>
    <w:unhideWhenUsed/>
    <w:pPr>
      <w:spacing w:line="276" w:lineRule="auto"/>
    </w:pPr>
    <w:rPr>
      <w:b/>
      <w:bCs/>
    </w:rPr>
  </w:style>
  <w:style w:type="character" w:customStyle="1" w:styleId="CommentSubjectChar">
    <w:name w:val="Comment Subject Char"/>
    <w:link w:val="CommentSubject"/>
    <w:uiPriority w:val="99"/>
    <w:semiHidden/>
    <w:rPr>
      <w:rFonts w:ascii="Calibri" w:hAnsi="Calibri"/>
      <w:b/>
      <w:bCs/>
      <w:sz w:val="20"/>
      <w:szCs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55929">
      <w:bodyDiv w:val="1"/>
      <w:marLeft w:val="0"/>
      <w:marRight w:val="0"/>
      <w:marTop w:val="0"/>
      <w:marBottom w:val="0"/>
      <w:divBdr>
        <w:top w:val="none" w:sz="0" w:space="0" w:color="auto"/>
        <w:left w:val="none" w:sz="0" w:space="0" w:color="auto"/>
        <w:bottom w:val="none" w:sz="0" w:space="0" w:color="auto"/>
        <w:right w:val="none" w:sz="0" w:space="0" w:color="auto"/>
      </w:divBdr>
    </w:div>
    <w:div w:id="381027463">
      <w:bodyDiv w:val="1"/>
      <w:marLeft w:val="0"/>
      <w:marRight w:val="0"/>
      <w:marTop w:val="0"/>
      <w:marBottom w:val="0"/>
      <w:divBdr>
        <w:top w:val="none" w:sz="0" w:space="0" w:color="auto"/>
        <w:left w:val="none" w:sz="0" w:space="0" w:color="auto"/>
        <w:bottom w:val="none" w:sz="0" w:space="0" w:color="auto"/>
        <w:right w:val="none" w:sz="0" w:space="0" w:color="auto"/>
      </w:divBdr>
    </w:div>
    <w:div w:id="82439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51B54-E088-49ED-B8D3-8F9286383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478</Words>
  <Characters>3147</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16</cp:revision>
  <dcterms:created xsi:type="dcterms:W3CDTF">2019-01-03T13:34:00Z</dcterms:created>
  <dcterms:modified xsi:type="dcterms:W3CDTF">2019-02-01T09:09:00Z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6.0.1, Build 20180503</vt:lpwstr>
  </property>
  <property fmtid="{D5CDD505-2E9C-101B-9397-08002B2CF9AE}" pid="7" name="Created using">
    <vt:lpwstr>LW 6.0.1, Build 20180503</vt:lpwstr>
  </property>
  <property name="OP_sanitized" fmtid="{D5CDD505-2E9C-101B-9397-08002B2CF9AE}" pid="8">
    <vt:lpwstr>True</vt:lpwstr>
  </property>
</Properties>
</file>