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6440919-09EE-4C31-9C55-AB8CB4F67B82" style="width:450.75pt;height:366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PASKAIDROJUMA RAKSTS</w:t>
      </w:r>
    </w:p>
    <w:p>
      <w:pPr>
        <w:pStyle w:val="ManualHeading1"/>
        <w:rPr>
          <w:noProof/>
        </w:rPr>
      </w:pPr>
      <w:r>
        <w:rPr>
          <w:noProof/>
        </w:rPr>
        <w:t>1.</w:t>
      </w:r>
      <w:r>
        <w:rPr>
          <w:noProof/>
        </w:rPr>
        <w:tab/>
        <w:t>PRIEKŠLIKUMA KONTEKSTS</w:t>
      </w:r>
    </w:p>
    <w:p>
      <w:pPr>
        <w:pStyle w:val="ManualHeading2"/>
        <w:rPr>
          <w:rFonts w:eastAsia="Arial Unicode MS"/>
          <w:noProof/>
        </w:rPr>
      </w:pPr>
      <w:r>
        <w:rPr>
          <w:noProof/>
          <w:color w:val="000000"/>
          <w:u w:color="000000"/>
          <w:bdr w:val="nil"/>
        </w:rPr>
        <w:t>•</w:t>
      </w:r>
      <w:r>
        <w:rPr>
          <w:noProof/>
        </w:rPr>
        <w:tab/>
        <w:t>Priekšlikuma pamatojums un mērķi</w:t>
      </w:r>
    </w:p>
    <w:p>
      <w:pPr>
        <w:rPr>
          <w:noProof/>
        </w:rPr>
      </w:pPr>
      <w:r>
        <w:rPr>
          <w:noProof/>
        </w:rPr>
        <w:t xml:space="preserve">Pielāgojot divus kopējās lauksaimniecības politikas (KLP) tiesību aktus, šā priekšlikuma mērķis ir 2019. un 2020. gadā nodrošināt Eiropas lauksaimniekiem paredzētā atbalsta noteiktību un nepārtrauktību. </w:t>
      </w:r>
    </w:p>
    <w:p>
      <w:pPr>
        <w:rPr>
          <w:noProof/>
        </w:rPr>
      </w:pPr>
      <w:r>
        <w:rPr>
          <w:noProof/>
        </w:rPr>
        <w:t>Attiecībā uz lauku attīstību ir vajadzīgi daži grozījumi Regulā (ES) Nr. 1305/2013 (Lauku attīstības regulā), lai plānošanas perioda pēdējos gados nodrošinātu politikas nepārtrauktību un netraucētu pāreju uz nākamo plānošanas laikposmu. Šie grozījumi attiecas uz tādu maksājumu jaunu pakāpeniskas samazināšanas grafiku, kas attiecas uz apgabaliem, kuros ir ievērojami dabas ierobežojumi, bet kuri nav kalnu apgabali (</w:t>
      </w:r>
      <w:r>
        <w:rPr>
          <w:i/>
          <w:noProof/>
        </w:rPr>
        <w:t>ANC</w:t>
      </w:r>
      <w:r>
        <w:rPr>
          <w:noProof/>
        </w:rPr>
        <w:t>), turklāt grozījumi arī attiecas uz Komisijas iniciētās ELFLA tehniskās palīdzības izmantošanu darbībām, ar kurām sagatavo turpmākās KLP īstenošanu.</w:t>
      </w:r>
    </w:p>
    <w:p>
      <w:pPr>
        <w:rPr>
          <w:noProof/>
        </w:rPr>
      </w:pPr>
      <w:r>
        <w:rPr>
          <w:noProof/>
        </w:rPr>
        <w:t xml:space="preserve">Attiecībā uz tiešajiem maksājumiem daži Regulas (ES) Nr. 1307/2013 (Tiešo maksājumu regulas) noteikumi neattiecas uz 2020. kalendāro gadu, jo izdevumi saistībā ar 2020. kalendāro gadu tiek veikti 2021. finanšu gadā, kas ir pirmais gads jaunajai 2021.–2027. gadam paredzētajai daudzgadu finanšu shēmai (DFS). Tāpēc regulas pieņemšanas laikā nebija iespējams uzņemties saistības par nākamo DFS. Ja Regulu (ES) Nr. 1307/2013 negroza, tad tas attiecīgi dažām dalībvalstīm var radīt tādu graujošu finansiālu ietekmi uz tiešajiem maksājumiem 2020. kalendārajā gadā, kas pārsniedz ietekmi, kas ir saistīta ar jauno DFS (DFS 2021.–2027. gadam). Minētās dalībvalstis var saskarties ar būtiskām izmaiņām tiešajos maksājumos un lauku attīstībai paredzētajā finansējumā un ievērojamu ietekmi uz lauksaimniekiem paredzētajiem maksājumiem abos pīlāros. Turklāt tika pievienoti arī citi tehniski elementi, jo tie var atvieglot pašreizējā tiesiskā regulējuma īstenošanu. </w:t>
      </w:r>
    </w:p>
    <w:p>
      <w:pPr>
        <w:pStyle w:val="ManualHeading2"/>
        <w:rPr>
          <w:rFonts w:eastAsia="Arial Unicode MS"/>
          <w:noProof/>
          <w:color w:val="000000"/>
          <w:u w:color="000000"/>
          <w:bdr w:val="nil"/>
        </w:rPr>
      </w:pPr>
      <w:r>
        <w:rPr>
          <w:noProof/>
          <w:color w:val="000000"/>
          <w:u w:color="000000"/>
          <w:bdr w:val="nil"/>
        </w:rPr>
        <w:t>•</w:t>
      </w:r>
      <w:r>
        <w:rPr>
          <w:noProof/>
        </w:rPr>
        <w:tab/>
        <w:t>Saskanība ar esošajiem rīcībpolitikas noteikumiem konkrētajā rīcībpolitikas jomā</w:t>
      </w:r>
    </w:p>
    <w:p>
      <w:pPr>
        <w:pBdr>
          <w:top w:val="nil"/>
          <w:left w:val="nil"/>
          <w:bottom w:val="nil"/>
          <w:right w:val="nil"/>
          <w:between w:val="nil"/>
          <w:bar w:val="nil"/>
        </w:pBdr>
        <w:spacing w:before="0" w:after="240"/>
        <w:rPr>
          <w:noProof/>
        </w:rPr>
      </w:pPr>
      <w:r>
        <w:rPr>
          <w:noProof/>
        </w:rPr>
        <w:t>Ierosinātie grozījumi atbilst Lauku attīstības regulai un Tiešo maksājumu regulai, tāpēc priekšlikums atbilst pašreizējiem KLP politikas noteikumiem.</w:t>
      </w:r>
    </w:p>
    <w:p>
      <w:pPr>
        <w:pStyle w:val="ManualHeading2"/>
        <w:rPr>
          <w:rFonts w:eastAsia="Arial Unicode MS"/>
          <w:noProof/>
        </w:rPr>
      </w:pPr>
      <w:r>
        <w:rPr>
          <w:noProof/>
          <w:color w:val="000000"/>
          <w:u w:color="000000"/>
          <w:bdr w:val="nil"/>
        </w:rPr>
        <w:t>•</w:t>
      </w:r>
      <w:r>
        <w:rPr>
          <w:noProof/>
        </w:rPr>
        <w:tab/>
        <w:t>Atbilstība pārējiem Savienības politikas virzieniem</w:t>
      </w:r>
    </w:p>
    <w:p>
      <w:pPr>
        <w:pBdr>
          <w:top w:val="nil"/>
          <w:left w:val="nil"/>
          <w:bottom w:val="nil"/>
          <w:right w:val="nil"/>
          <w:between w:val="nil"/>
          <w:bar w:val="nil"/>
        </w:pBdr>
        <w:spacing w:before="0" w:after="240"/>
        <w:rPr>
          <w:noProof/>
        </w:rPr>
      </w:pPr>
      <w:r>
        <w:rPr>
          <w:noProof/>
        </w:rPr>
        <w:t>Neattiecas.</w:t>
      </w:r>
    </w:p>
    <w:p>
      <w:pPr>
        <w:pStyle w:val="ManualHeading1"/>
        <w:rPr>
          <w:noProof/>
        </w:rPr>
      </w:pPr>
      <w:r>
        <w:rPr>
          <w:noProof/>
        </w:rPr>
        <w:t>2.</w:t>
      </w:r>
      <w:r>
        <w:rPr>
          <w:noProof/>
        </w:rPr>
        <w:tab/>
        <w:t>JURIDISKAIS PAMATS, SUBSIDIARITĀTE UN PROPORCIONALITĀTE</w:t>
      </w:r>
    </w:p>
    <w:p>
      <w:pPr>
        <w:pStyle w:val="ManualHeading2"/>
        <w:rPr>
          <w:rFonts w:eastAsia="Arial Unicode MS"/>
          <w:noProof/>
          <w:u w:color="000000"/>
          <w:bdr w:val="nil"/>
        </w:rPr>
      </w:pPr>
      <w:r>
        <w:rPr>
          <w:noProof/>
        </w:rPr>
        <w:t>•</w:t>
      </w:r>
      <w:r>
        <w:rPr>
          <w:noProof/>
        </w:rPr>
        <w:tab/>
        <w:t>Juridiskais pamats</w:t>
      </w:r>
    </w:p>
    <w:p>
      <w:pPr>
        <w:keepNext/>
        <w:tabs>
          <w:tab w:val="left" w:pos="0"/>
        </w:tabs>
        <w:outlineLvl w:val="1"/>
        <w:rPr>
          <w:noProof/>
          <w:u w:color="000000"/>
          <w:bdr w:val="nil"/>
        </w:rPr>
      </w:pPr>
      <w:r>
        <w:rPr>
          <w:noProof/>
        </w:rPr>
        <w:t xml:space="preserve">Līguma par Eiropas Savienības darbību (LESD) 42. pants un 43. panta 2. punkts. </w:t>
      </w:r>
    </w:p>
    <w:p>
      <w:pPr>
        <w:pStyle w:val="ManualHeading2"/>
        <w:rPr>
          <w:rFonts w:eastAsia="Arial Unicode MS"/>
          <w:noProof/>
          <w:u w:color="000000"/>
          <w:bdr w:val="nil"/>
        </w:rPr>
      </w:pPr>
      <w:r>
        <w:rPr>
          <w:noProof/>
        </w:rPr>
        <w:t>•</w:t>
      </w:r>
      <w:r>
        <w:rPr>
          <w:noProof/>
        </w:rPr>
        <w:tab/>
        <w:t xml:space="preserve">Subsidiaritāte (neekskluzīvas kompetences gadījumā) </w:t>
      </w:r>
    </w:p>
    <w:p>
      <w:pPr>
        <w:keepNext/>
        <w:tabs>
          <w:tab w:val="left" w:pos="0"/>
        </w:tabs>
        <w:outlineLvl w:val="1"/>
        <w:rPr>
          <w:noProof/>
          <w:u w:color="000000"/>
          <w:bdr w:val="nil"/>
        </w:rPr>
      </w:pPr>
      <w:r>
        <w:rPr>
          <w:noProof/>
        </w:rPr>
        <w:t xml:space="preserve">LESD ir norādīts, ka lauksaimniecība ir dalītā Savienības un dalībvalstu kompetencē. Savienība īsteno savu kompetenci, pieņemot dažādus tiesību aktus, kas tai dod iespēju noteikt un īstenot ES kopējo lauksaimniecības politiku, kā paredzēts Līguma par Eiropas Savienības darbību 38.–44. pantā. Ar Regulu (ES) Nr. 1305/2013 un Regulu (ES) Nr. 1307/2013 tika izveidota lauku attīstības un lauksaimniekiem paredzēto tiešo maksājumu atbalsta sistēma. Saskaņā ar LESD 39. pantu KLP mērķis ir, citstarp, nodrošināt lauksaimniekiem pietiekami augstu dzīves līmeni, un ierosinātā iniciatīva atbilst šim mērķim. Attiecīgi ar Eiropas Lauksaimniecības garantiju fonda (ELGF) līdzekļiem KLP finansē tiešos maksājumus, un </w:t>
      </w:r>
      <w:r>
        <w:rPr>
          <w:noProof/>
        </w:rPr>
        <w:lastRenderedPageBreak/>
        <w:t>Regula (ES) Nr. 1307/2013 reglamentē maksājumus Savienības līmenī. Lauku attīstības atbalsts ir KLP neatņemama sastāvdaļa, un tas palīdz sasniegt KLP mērķus, kā noteikts Līgumā par Eiropas Savienības darbību. Priekšlikuma pievienotā vērtība ir nodrošināt stabilitāti un pārliecību par to, ka 2020. gadā Eiropas lauksaimniekiem būs pieejams tiešais ienākumu atbalsts un ka pašreizējā plānošanas laikposma pēdējos gados būs pieejams atbalsts lauku attīstībai. Šos mērķus var sasniegt tikai tad, ja ES likumdevēji grozīs Regulu (ES) Nr. 1305/2013 un Regulu (ES) Nr. 1307/2013.</w:t>
      </w:r>
    </w:p>
    <w:p>
      <w:pPr>
        <w:pStyle w:val="ManualHeading2"/>
        <w:rPr>
          <w:rFonts w:eastAsia="Arial Unicode MS"/>
          <w:noProof/>
          <w:u w:color="000000"/>
          <w:bdr w:val="nil"/>
        </w:rPr>
      </w:pPr>
      <w:r>
        <w:rPr>
          <w:noProof/>
        </w:rPr>
        <w:t>•</w:t>
      </w:r>
      <w:r>
        <w:rPr>
          <w:noProof/>
        </w:rPr>
        <w:tab/>
        <w:t>Proporcionalitāte</w:t>
      </w:r>
    </w:p>
    <w:p>
      <w:pPr>
        <w:pBdr>
          <w:top w:val="nil"/>
          <w:left w:val="nil"/>
          <w:bottom w:val="nil"/>
          <w:right w:val="nil"/>
          <w:between w:val="nil"/>
          <w:bar w:val="nil"/>
        </w:pBdr>
        <w:spacing w:before="0" w:after="240"/>
        <w:rPr>
          <w:noProof/>
          <w:u w:color="000000"/>
          <w:bdr w:val="nil"/>
        </w:rPr>
      </w:pPr>
      <w:r>
        <w:rPr>
          <w:noProof/>
        </w:rPr>
        <w:t xml:space="preserve">Priekšlikums nerada nekādas jaunas politikas norises salīdzinājumā ar tiesību aktiem, kurus paredzēts grozīt. Ar šo priekšlikumu spēkā esošās regulas tiek grozītas tikai tiktāl, ciktāl tas ir vajadzīgs iepriekš minēto mērķu sasniegšanai. </w:t>
      </w:r>
    </w:p>
    <w:p>
      <w:pPr>
        <w:pStyle w:val="ManualHeading2"/>
        <w:rPr>
          <w:rFonts w:eastAsia="Arial Unicode MS"/>
          <w:noProof/>
          <w:u w:color="000000"/>
          <w:bdr w:val="nil"/>
        </w:rPr>
      </w:pPr>
      <w:r>
        <w:rPr>
          <w:noProof/>
        </w:rPr>
        <w:t>•</w:t>
      </w:r>
      <w:r>
        <w:rPr>
          <w:noProof/>
        </w:rPr>
        <w:tab/>
        <w:t>Juridiskā instrumenta izvēle</w:t>
      </w:r>
    </w:p>
    <w:p>
      <w:pPr>
        <w:pBdr>
          <w:top w:val="nil"/>
          <w:left w:val="nil"/>
          <w:bottom w:val="nil"/>
          <w:right w:val="nil"/>
          <w:between w:val="nil"/>
          <w:bar w:val="nil"/>
        </w:pBdr>
        <w:spacing w:before="0" w:after="240"/>
        <w:rPr>
          <w:noProof/>
          <w:u w:color="000000"/>
          <w:bdr w:val="nil"/>
        </w:rPr>
      </w:pPr>
      <w:r>
        <w:rPr>
          <w:noProof/>
        </w:rPr>
        <w:t xml:space="preserve">Tā kā sākotnējie tiesību akti ir Eiropas Parlamenta un Padomes regulas, grozījumi arī ir jāievieš ar Eiropas Parlamenta un Padomes regulu un tam ir jāpiemēro parastā likumdošanas procedūra. </w:t>
      </w:r>
    </w:p>
    <w:p>
      <w:pPr>
        <w:pStyle w:val="ManualHeading1"/>
        <w:rPr>
          <w:noProof/>
        </w:rPr>
      </w:pPr>
      <w:r>
        <w:rPr>
          <w:noProof/>
        </w:rPr>
        <w:t>3.</w:t>
      </w:r>
      <w:r>
        <w:rPr>
          <w:noProof/>
        </w:rPr>
        <w:tab/>
      </w:r>
      <w:r>
        <w:rPr>
          <w:i/>
          <w:noProof/>
        </w:rPr>
        <w:t>EX POST</w:t>
      </w:r>
      <w:r>
        <w:rPr>
          <w:noProof/>
        </w:rPr>
        <w:t xml:space="preserve"> IZVĒRTĒJUMU, APSPRIEŠANĀS AR IEINTERESĒTAJĀM PERSONĀM UN IETEKMES NOVĒRTĒJUMU REZULTĀTI</w:t>
      </w:r>
    </w:p>
    <w:p>
      <w:pPr>
        <w:rPr>
          <w:rFonts w:eastAsia="Times New Roman"/>
          <w:noProof/>
        </w:rPr>
      </w:pPr>
      <w:r>
        <w:rPr>
          <w:noProof/>
        </w:rPr>
        <w:t xml:space="preserve">Priekšlikums atšķiras no standarta prakses, kas noteikta labāka regulējuma pamatnostādnēs un attiecīgajā rīkkopā. Atkāpe no standarta prakses ir vajadzīga šādu iemeslu dēļ: </w:t>
      </w:r>
    </w:p>
    <w:p>
      <w:pPr>
        <w:rPr>
          <w:rFonts w:eastAsia="Times New Roman"/>
          <w:noProof/>
        </w:rPr>
      </w:pPr>
      <w:r>
        <w:rPr>
          <w:noProof/>
        </w:rPr>
        <w:t xml:space="preserve">– savā piemērošanas jomā priekšlikums ir ļoti tehnisks; </w:t>
      </w:r>
    </w:p>
    <w:p>
      <w:pPr>
        <w:rPr>
          <w:rFonts w:eastAsia="Times New Roman"/>
          <w:noProof/>
        </w:rPr>
      </w:pPr>
      <w:r>
        <w:rPr>
          <w:noProof/>
        </w:rPr>
        <w:t>– iniciatīva attiecas tikai uz pašreizējā plānošanas laikposma pēdējiem gadiem;</w:t>
      </w:r>
    </w:p>
    <w:p>
      <w:pPr>
        <w:rPr>
          <w:rFonts w:eastAsia="Times New Roman"/>
          <w:noProof/>
        </w:rPr>
      </w:pPr>
      <w:r>
        <w:rPr>
          <w:noProof/>
        </w:rPr>
        <w:t xml:space="preserve">– tā neievieš jaunas politiskas saistības. </w:t>
      </w:r>
    </w:p>
    <w:p>
      <w:pPr>
        <w:rPr>
          <w:noProof/>
        </w:rPr>
      </w:pPr>
      <w:r>
        <w:rPr>
          <w:noProof/>
        </w:rPr>
        <w:t xml:space="preserve">Tādēļ šā priekšlikuma kontekstā ietekmes novērtējums, sabiedriskā apspriešana un ceļvedis nav svarīgi. Turklāt, tā kā tiesību aktam jābūt spēkā 2019. gadā, likumdevējiem tas būtu jāpieņem steidzami. </w:t>
      </w:r>
    </w:p>
    <w:p>
      <w:pPr>
        <w:rPr>
          <w:noProof/>
        </w:rPr>
      </w:pPr>
    </w:p>
    <w:p>
      <w:pPr>
        <w:pStyle w:val="ManualHeading2"/>
        <w:rPr>
          <w:rFonts w:eastAsia="Arial Unicode MS"/>
          <w:noProof/>
          <w:u w:color="000000"/>
          <w:bdr w:val="nil"/>
        </w:rPr>
      </w:pPr>
      <w:r>
        <w:rPr>
          <w:noProof/>
        </w:rPr>
        <w:t>•</w:t>
      </w:r>
      <w:r>
        <w:rPr>
          <w:noProof/>
        </w:rPr>
        <w:tab/>
      </w:r>
      <w:r>
        <w:rPr>
          <w:i/>
          <w:noProof/>
        </w:rPr>
        <w:t>Ex post</w:t>
      </w:r>
      <w:r>
        <w:rPr>
          <w:noProof/>
        </w:rPr>
        <w:t xml:space="preserve"> izvērtējumi / spēkā esošo tiesību aktu atbilstības pārbaudes</w:t>
      </w:r>
    </w:p>
    <w:p>
      <w:pPr>
        <w:pBdr>
          <w:top w:val="nil"/>
          <w:left w:val="nil"/>
          <w:bottom w:val="nil"/>
          <w:right w:val="nil"/>
          <w:between w:val="nil"/>
          <w:bar w:val="nil"/>
        </w:pBdr>
        <w:spacing w:before="0" w:after="240"/>
        <w:rPr>
          <w:noProof/>
        </w:rPr>
      </w:pPr>
      <w:r>
        <w:rPr>
          <w:noProof/>
        </w:rPr>
        <w:t>Neattiecas.</w:t>
      </w:r>
    </w:p>
    <w:p>
      <w:pPr>
        <w:pStyle w:val="ManualHeading2"/>
        <w:rPr>
          <w:rFonts w:eastAsia="Arial Unicode MS"/>
          <w:noProof/>
          <w:u w:color="000000"/>
          <w:bdr w:val="nil"/>
        </w:rPr>
      </w:pPr>
      <w:r>
        <w:rPr>
          <w:noProof/>
        </w:rPr>
        <w:t>•</w:t>
      </w:r>
      <w:r>
        <w:rPr>
          <w:noProof/>
        </w:rPr>
        <w:tab/>
        <w:t>Apspriešanās ar ieinteresētajām personām</w:t>
      </w:r>
    </w:p>
    <w:p>
      <w:pPr>
        <w:pBdr>
          <w:top w:val="nil"/>
          <w:left w:val="nil"/>
          <w:bottom w:val="nil"/>
          <w:right w:val="nil"/>
          <w:between w:val="nil"/>
          <w:bar w:val="nil"/>
        </w:pBdr>
        <w:spacing w:before="0" w:after="240"/>
        <w:rPr>
          <w:noProof/>
        </w:rPr>
      </w:pPr>
      <w:r>
        <w:rPr>
          <w:noProof/>
        </w:rPr>
        <w:t>Neattiecas.</w:t>
      </w:r>
    </w:p>
    <w:p>
      <w:pPr>
        <w:pStyle w:val="ManualHeading2"/>
        <w:rPr>
          <w:rFonts w:eastAsia="Arial Unicode MS"/>
          <w:noProof/>
          <w:u w:color="000000"/>
          <w:bdr w:val="nil"/>
        </w:rPr>
      </w:pPr>
      <w:r>
        <w:rPr>
          <w:noProof/>
        </w:rPr>
        <w:t>•</w:t>
      </w:r>
      <w:r>
        <w:rPr>
          <w:noProof/>
        </w:rPr>
        <w:tab/>
        <w:t>Ekspertu atzinumu pieprasīšana un izmantošana</w:t>
      </w:r>
    </w:p>
    <w:p>
      <w:pPr>
        <w:pBdr>
          <w:top w:val="nil"/>
          <w:left w:val="nil"/>
          <w:bottom w:val="nil"/>
          <w:right w:val="nil"/>
          <w:between w:val="nil"/>
          <w:bar w:val="nil"/>
        </w:pBdr>
        <w:spacing w:before="0" w:after="240"/>
        <w:rPr>
          <w:noProof/>
        </w:rPr>
      </w:pPr>
      <w:r>
        <w:rPr>
          <w:noProof/>
        </w:rPr>
        <w:t>Neattiecas.</w:t>
      </w:r>
    </w:p>
    <w:p>
      <w:pPr>
        <w:pStyle w:val="ManualHeading2"/>
        <w:rPr>
          <w:rFonts w:eastAsia="Arial Unicode MS"/>
          <w:noProof/>
          <w:u w:color="000000"/>
          <w:bdr w:val="nil"/>
        </w:rPr>
      </w:pPr>
      <w:r>
        <w:rPr>
          <w:noProof/>
        </w:rPr>
        <w:t>•</w:t>
      </w:r>
      <w:r>
        <w:rPr>
          <w:noProof/>
        </w:rPr>
        <w:tab/>
        <w:t>Ietekmes novērtējums</w:t>
      </w:r>
    </w:p>
    <w:p>
      <w:pPr>
        <w:pBdr>
          <w:top w:val="nil"/>
          <w:left w:val="nil"/>
          <w:bottom w:val="nil"/>
          <w:right w:val="nil"/>
          <w:between w:val="nil"/>
          <w:bar w:val="nil"/>
        </w:pBdr>
        <w:spacing w:before="0" w:after="240"/>
        <w:rPr>
          <w:noProof/>
        </w:rPr>
      </w:pPr>
      <w:r>
        <w:rPr>
          <w:noProof/>
        </w:rPr>
        <w:t>Neattiecas.</w:t>
      </w:r>
    </w:p>
    <w:p>
      <w:pPr>
        <w:pStyle w:val="ManualHeading2"/>
        <w:rPr>
          <w:rFonts w:eastAsia="Arial Unicode MS"/>
          <w:noProof/>
          <w:u w:color="000000"/>
          <w:bdr w:val="nil"/>
        </w:rPr>
      </w:pPr>
      <w:r>
        <w:rPr>
          <w:noProof/>
        </w:rPr>
        <w:t>•</w:t>
      </w:r>
      <w:r>
        <w:rPr>
          <w:noProof/>
        </w:rPr>
        <w:tab/>
        <w:t>Normatīvā atbilstība un vienkāršošana</w:t>
      </w:r>
    </w:p>
    <w:p>
      <w:pPr>
        <w:pBdr>
          <w:top w:val="nil"/>
          <w:left w:val="nil"/>
          <w:bottom w:val="nil"/>
          <w:right w:val="nil"/>
          <w:between w:val="nil"/>
          <w:bar w:val="nil"/>
        </w:pBdr>
        <w:spacing w:before="0" w:after="240"/>
        <w:rPr>
          <w:noProof/>
        </w:rPr>
      </w:pPr>
      <w:r>
        <w:rPr>
          <w:noProof/>
        </w:rPr>
        <w:t>Neattiecas.</w:t>
      </w:r>
    </w:p>
    <w:p>
      <w:pPr>
        <w:pStyle w:val="ManualHeading2"/>
        <w:rPr>
          <w:rFonts w:eastAsia="Arial Unicode MS"/>
          <w:noProof/>
          <w:u w:color="000000"/>
          <w:bdr w:val="nil"/>
        </w:rPr>
      </w:pPr>
      <w:r>
        <w:rPr>
          <w:noProof/>
        </w:rPr>
        <w:lastRenderedPageBreak/>
        <w:t>•</w:t>
      </w:r>
      <w:r>
        <w:rPr>
          <w:noProof/>
        </w:rPr>
        <w:tab/>
        <w:t>Pamattiesības</w:t>
      </w:r>
    </w:p>
    <w:p>
      <w:pPr>
        <w:pBdr>
          <w:top w:val="nil"/>
          <w:left w:val="nil"/>
          <w:bottom w:val="nil"/>
          <w:right w:val="nil"/>
          <w:between w:val="nil"/>
          <w:bar w:val="nil"/>
        </w:pBdr>
        <w:spacing w:before="0" w:after="240"/>
        <w:rPr>
          <w:rFonts w:eastAsia="Arial Unicode MS"/>
          <w:noProof/>
        </w:rPr>
      </w:pPr>
      <w:r>
        <w:rPr>
          <w:noProof/>
        </w:rPr>
        <w:t>Šajā priekšlikumā tiek ievērotas pamattiesības, un tas atbilst principiem, kas jo īpaši atzīti Eiropas Savienības Pamattiesību hartā.</w:t>
      </w:r>
    </w:p>
    <w:p>
      <w:pPr>
        <w:pStyle w:val="ManualHeading1"/>
        <w:rPr>
          <w:noProof/>
        </w:rPr>
      </w:pPr>
      <w:r>
        <w:rPr>
          <w:noProof/>
        </w:rPr>
        <w:t>4.</w:t>
      </w:r>
      <w:r>
        <w:rPr>
          <w:noProof/>
        </w:rPr>
        <w:tab/>
        <w:t>IETEKME UZ BUDŽETU</w:t>
      </w:r>
    </w:p>
    <w:p>
      <w:pPr>
        <w:pBdr>
          <w:top w:val="nil"/>
          <w:left w:val="nil"/>
          <w:bottom w:val="nil"/>
          <w:right w:val="nil"/>
          <w:between w:val="nil"/>
          <w:bar w:val="nil"/>
        </w:pBdr>
        <w:spacing w:before="0" w:after="240"/>
        <w:rPr>
          <w:noProof/>
        </w:rPr>
      </w:pPr>
      <w:r>
        <w:rPr>
          <w:noProof/>
        </w:rPr>
        <w:t xml:space="preserve">Ierosinātā iespēja dalībvalstīm 2020. kalendārajā gadā (2021. finanšu gadā) turpināt pašreizējo elastību starp tiešajiem maksājumiem un lauku attīstību un samazināšanas summas aplēses rezultāta pārvietošana minētajā gadā no tiešajiem maksājumiem uz lauku attīstību var (atkarībā no dalībvalstu lēmumiem) ietekmēt sadalījumu starp tiešajiem maksājumiem un lauku attīstību. Tomēr budžeta saistību kopumu šāda pārvietošana neietekmēs. </w:t>
      </w:r>
    </w:p>
    <w:p>
      <w:pPr>
        <w:pBdr>
          <w:top w:val="nil"/>
          <w:left w:val="nil"/>
          <w:bottom w:val="nil"/>
          <w:right w:val="nil"/>
          <w:between w:val="nil"/>
          <w:bar w:val="nil"/>
        </w:pBdr>
        <w:spacing w:before="0" w:after="240"/>
        <w:rPr>
          <w:noProof/>
        </w:rPr>
      </w:pPr>
      <w:r>
        <w:rPr>
          <w:noProof/>
        </w:rPr>
        <w:t>Sīkāka informācija par šā priekšlikuma finansiālo ietekmi sniegta priekšlikumam pievienotajā finanšu pārskatā.</w:t>
      </w:r>
    </w:p>
    <w:p>
      <w:pPr>
        <w:pStyle w:val="ManualHeading1"/>
        <w:rPr>
          <w:noProof/>
        </w:rPr>
      </w:pPr>
      <w:r>
        <w:rPr>
          <w:noProof/>
        </w:rPr>
        <w:t>5.</w:t>
      </w:r>
      <w:r>
        <w:rPr>
          <w:noProof/>
        </w:rPr>
        <w:tab/>
        <w:t>CITI ELEMENTI</w:t>
      </w:r>
    </w:p>
    <w:p>
      <w:pPr>
        <w:pStyle w:val="ManualHeading2"/>
        <w:rPr>
          <w:rFonts w:eastAsia="Arial Unicode MS"/>
          <w:noProof/>
          <w:u w:color="000000"/>
          <w:bdr w:val="nil"/>
        </w:rPr>
      </w:pPr>
      <w:r>
        <w:rPr>
          <w:noProof/>
        </w:rPr>
        <w:t>•</w:t>
      </w:r>
      <w:r>
        <w:rPr>
          <w:noProof/>
        </w:rPr>
        <w:tab/>
        <w:t>Īstenošanas plāni un uzraudzīšanas, izvērtēšanas un ziņošanas kārtība</w:t>
      </w:r>
    </w:p>
    <w:p>
      <w:pPr>
        <w:pBdr>
          <w:top w:val="nil"/>
          <w:left w:val="nil"/>
          <w:bottom w:val="nil"/>
          <w:right w:val="nil"/>
          <w:between w:val="nil"/>
          <w:bar w:val="nil"/>
        </w:pBdr>
        <w:spacing w:before="0" w:after="240"/>
        <w:rPr>
          <w:noProof/>
        </w:rPr>
      </w:pPr>
      <w:r>
        <w:rPr>
          <w:noProof/>
        </w:rPr>
        <w:t>Neattiecas.</w:t>
      </w:r>
    </w:p>
    <w:p>
      <w:pPr>
        <w:pStyle w:val="ManualHeading2"/>
        <w:rPr>
          <w:rFonts w:eastAsia="Arial Unicode MS"/>
          <w:noProof/>
          <w:u w:color="000000"/>
          <w:bdr w:val="nil"/>
        </w:rPr>
      </w:pPr>
      <w:r>
        <w:rPr>
          <w:noProof/>
        </w:rPr>
        <w:t>•</w:t>
      </w:r>
      <w:r>
        <w:rPr>
          <w:noProof/>
        </w:rPr>
        <w:tab/>
        <w:t>Skaidrojošie dokumenti (direktīvām)</w:t>
      </w:r>
    </w:p>
    <w:p>
      <w:pPr>
        <w:pBdr>
          <w:top w:val="nil"/>
          <w:left w:val="nil"/>
          <w:bottom w:val="nil"/>
          <w:right w:val="nil"/>
          <w:between w:val="nil"/>
          <w:bar w:val="nil"/>
        </w:pBdr>
        <w:spacing w:before="0" w:after="240"/>
        <w:rPr>
          <w:noProof/>
        </w:rPr>
      </w:pPr>
      <w:r>
        <w:rPr>
          <w:noProof/>
        </w:rPr>
        <w:t>Neattiecas.</w:t>
      </w:r>
    </w:p>
    <w:p>
      <w:pPr>
        <w:pStyle w:val="ManualHeading2"/>
        <w:rPr>
          <w:noProof/>
          <w:highlight w:val="yellow"/>
        </w:rPr>
      </w:pPr>
      <w:r>
        <w:rPr>
          <w:noProof/>
        </w:rPr>
        <w:t>•</w:t>
      </w:r>
      <w:r>
        <w:rPr>
          <w:noProof/>
        </w:rPr>
        <w:tab/>
        <w:t>Detalizēts konkrētu priekšlikuma noteikumu skaidrojums</w:t>
      </w:r>
    </w:p>
    <w:p>
      <w:pPr>
        <w:pStyle w:val="Text1"/>
        <w:rPr>
          <w:noProof/>
        </w:rPr>
      </w:pPr>
    </w:p>
    <w:p>
      <w:pPr>
        <w:pStyle w:val="Bullet0"/>
        <w:numPr>
          <w:ilvl w:val="0"/>
          <w:numId w:val="9"/>
        </w:numPr>
        <w:rPr>
          <w:noProof/>
        </w:rPr>
      </w:pPr>
      <w:r>
        <w:rPr>
          <w:noProof/>
        </w:rPr>
        <w:t>Lauku attīstība</w:t>
      </w:r>
    </w:p>
    <w:p>
      <w:pPr>
        <w:pStyle w:val="Text1"/>
        <w:ind w:left="0"/>
        <w:rPr>
          <w:noProof/>
        </w:rPr>
      </w:pPr>
      <w:r>
        <w:rPr>
          <w:noProof/>
        </w:rPr>
        <w:t xml:space="preserve">Priekšlikums ļauj dalībvalstīm grozīt maksājumu pakāpeniskas samazināšanas grafiku attiecībā uz maksājumiem, kuri attiecas uz apgabaliem, kas ir saņēmuši šādus maksājumus iepriekšējā plānošanas laikposmā, bet kuri pašreizējā periodā vairs netiek klasificēti kā apgabali, kuros ir ievērojami dabas ierobežojumi, bet kuri nav kalnu apgabali, saskaņā ar Lauku attīstības regulas 31. panta 5. punktu. Šis grozījums izriet no tā, ka šādu apgabalu jaunu robežu noteikšanai tika paredzēta termiņa pagarināšana līdz 2019. gadam, ko ieviesa ar Regulu (ES) 2017/2393, un tas nozīmē, ka līdz pašreizējā plānošanas laikposma beigām lauksaimniekiem, kuri vairs nav tiesīgi saņemt šos maksājumus, pielāgošanās periods būs īsāks. Šim grozījumam vajadzētu ļaut aprēķināt pārejas posma maksājumus par 2019. un 2020. gadu, pamatojoties uz 2014.–2020. gada maksājumu līmeņiem. Turklāt pārejas maksājumu pakāpeniska samazināšana jābūt mazāk straujai, ņemot vērā to, ka dalībvalstis to nosaka tādā veidā, lai beigu līmenis atbilstu pusei no sākuma līmeņa. </w:t>
      </w:r>
    </w:p>
    <w:p>
      <w:pPr>
        <w:pStyle w:val="Text1"/>
        <w:ind w:left="0"/>
        <w:rPr>
          <w:noProof/>
          <w:highlight w:val="yellow"/>
        </w:rPr>
      </w:pPr>
      <w:r>
        <w:rPr>
          <w:noProof/>
        </w:rPr>
        <w:t>Priekšlikums paplašina Eiropas Lauksaimniecības fonda lauku attīstībai (ELFLA) finansētās tehniskās palīdzības izmantošanu pēc Komisijas iniciatīvas, attiecinot šo palīdzību arī uz darbībām, kas ir saistītas ar turpmākās KLP sagatavošanu.</w:t>
      </w:r>
    </w:p>
    <w:p>
      <w:pPr>
        <w:pStyle w:val="Bullet0"/>
        <w:numPr>
          <w:ilvl w:val="0"/>
          <w:numId w:val="9"/>
        </w:numPr>
        <w:rPr>
          <w:noProof/>
        </w:rPr>
      </w:pPr>
      <w:r>
        <w:rPr>
          <w:noProof/>
        </w:rPr>
        <w:t>Elastība starp pīlāriem 2020. gadā un tiešo maksājumu samazināšanas rezultāta pārvietošana uz lauku attīstību</w:t>
      </w:r>
    </w:p>
    <w:p>
      <w:pPr>
        <w:pStyle w:val="Text1"/>
        <w:ind w:left="0"/>
        <w:rPr>
          <w:noProof/>
        </w:rPr>
      </w:pPr>
      <w:r>
        <w:rPr>
          <w:noProof/>
        </w:rPr>
        <w:t xml:space="preserve">Priekšlikumā ir iekļauti noteikumi par dalībvalstīm doto iespēju 2020. kalendārajā gadā (kas atbilst 2021. finanšu gadam) pārvietot līdzekļus starp pīlāriem. Laikposmā no 2015. līdz 2019. gadam dalībvalstīm bija iespēja pārvietot summas no tiešajiem maksājumiem uz lauku attīstību un otrādi. Spēkā esošajos noteikumos šāda elastība attiecībā uz 2020. kalendāro </w:t>
      </w:r>
      <w:r>
        <w:rPr>
          <w:noProof/>
        </w:rPr>
        <w:lastRenderedPageBreak/>
        <w:t>gadu/2021. finanšu gadu nav noteikta.</w:t>
      </w:r>
      <w:r>
        <w:rPr>
          <w:b/>
          <w:noProof/>
        </w:rPr>
        <w:t xml:space="preserve"> </w:t>
      </w:r>
      <w:r>
        <w:rPr>
          <w:noProof/>
        </w:rPr>
        <w:t>Šis finanšu mehānisms ir svarīgs mehānisms, lai dalībvalstis varētu elastīgi pārvaldīt tām piešķirto finansējumu un optimizēt pieejamo līdzekļu izmantošanu. Pieredze liecina, ka šis mehānisms ir izrādījies iedarbīgs instruments dalībvalstīm, un tādēļ dažas dalībvalstis starp abiem pīlāriem pārvieto ievērojamas summas. Ja 2020. kalendārajā gadā/2021. finanšu gadā starp pīlāriem nebūs elastības, tas dažu dalībvalstu lauksaimniekiem var radīt nopietnus finansiālus traucējumus, jo ietekme uz tiem paredzēto finansējumu var būt ievērojama. Attiecīgi priekšlikumā tiek ierosināts 2020. kalendārajā gadā saglabāt līdzekļu pārvietošanas iespēju starp pīlāriem ar tādiem pašiem nosacījumiem kā pašlaik un samazināšanas summas aplēses rezultātu turpināt pārvietot no tiešajiem maksājumiem uz lauku attīstību.</w:t>
      </w:r>
    </w:p>
    <w:p>
      <w:pPr>
        <w:pStyle w:val="Text1"/>
        <w:ind w:left="0"/>
        <w:rPr>
          <w:noProof/>
        </w:rPr>
      </w:pPr>
    </w:p>
    <w:p>
      <w:pPr>
        <w:pStyle w:val="Text1"/>
        <w:ind w:left="0"/>
        <w:rPr>
          <w:noProof/>
        </w:rPr>
      </w:pPr>
    </w:p>
    <w:p>
      <w:pPr>
        <w:pBdr>
          <w:top w:val="nil"/>
          <w:left w:val="nil"/>
          <w:bottom w:val="nil"/>
          <w:right w:val="nil"/>
          <w:between w:val="nil"/>
          <w:bar w:val="nil"/>
        </w:pBdr>
        <w:spacing w:before="0" w:after="240"/>
        <w:jc w:val="left"/>
        <w:rPr>
          <w:rFonts w:eastAsia="Arial Unicode MS"/>
          <w:noProof/>
          <w:color w:val="008000"/>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2018/0414 (COD)</w:t>
      </w:r>
    </w:p>
    <w:p>
      <w:pPr>
        <w:pStyle w:val="Statut"/>
        <w:rPr>
          <w:noProof/>
        </w:rPr>
      </w:pPr>
      <w:r>
        <w:rPr>
          <w:noProof/>
        </w:rPr>
        <w:t>Priekšlikums</w:t>
      </w:r>
    </w:p>
    <w:p>
      <w:pPr>
        <w:pStyle w:val="Typedudocument"/>
        <w:rPr>
          <w:noProof/>
        </w:rPr>
      </w:pPr>
      <w:r>
        <w:rPr>
          <w:noProof/>
        </w:rPr>
        <w:t>EIROPAS PARLAMENTA UN PADOMES REGULA,</w:t>
      </w:r>
    </w:p>
    <w:p>
      <w:pPr>
        <w:pStyle w:val="Titreobjet"/>
        <w:rPr>
          <w:noProof/>
        </w:rPr>
      </w:pPr>
      <w:r>
        <w:rPr>
          <w:noProof/>
        </w:rPr>
        <w:t xml:space="preserve">ar ko Regulas (ES) Nr. 1305/2013 un (ES) Nr. 1307/2013 groza attiecībā uz konkrētiem noteikumiem par tiešajiem maksājumiem un atbalstu lauku attīstībai 2019. un 2020. gadā </w:t>
      </w:r>
    </w:p>
    <w:p>
      <w:pPr>
        <w:pStyle w:val="Institutionquiagit"/>
        <w:rPr>
          <w:noProof/>
        </w:rPr>
      </w:pPr>
      <w:r>
        <w:rPr>
          <w:noProof/>
        </w:rPr>
        <w:t>EIROPAS PARLAMENTS UN EIROPAS SAVIENĪBAS PADOME,</w:t>
      </w:r>
    </w:p>
    <w:p>
      <w:pPr>
        <w:rPr>
          <w:noProof/>
        </w:rPr>
      </w:pPr>
      <w:r>
        <w:rPr>
          <w:noProof/>
        </w:rPr>
        <w:t>ņemot vērā Līgumu par Eiropas Savienības darbību un jo īpaši tā 42. pantu un 43. panta 2. punktu,</w:t>
      </w:r>
    </w:p>
    <w:p>
      <w:pPr>
        <w:rPr>
          <w:noProof/>
        </w:rPr>
      </w:pPr>
      <w:r>
        <w:rPr>
          <w:noProof/>
        </w:rPr>
        <w:t>ņemot vērā Eiropas Komisijas priekšlikumu,</w:t>
      </w:r>
    </w:p>
    <w:p>
      <w:pPr>
        <w:rPr>
          <w:noProof/>
        </w:rPr>
      </w:pPr>
      <w:r>
        <w:rPr>
          <w:noProof/>
        </w:rPr>
        <w:t>pēc leģislatīvā akta projekta nosūtīšanas valstu parlamentiem,</w:t>
      </w:r>
    </w:p>
    <w:p>
      <w:pPr>
        <w:rPr>
          <w:noProof/>
        </w:rPr>
      </w:pPr>
      <w:r>
        <w:rPr>
          <w:noProof/>
        </w:rPr>
        <w:t>ņemot vērā Eiropas Ekonomikas un sociālo lietu komitejas atzinumu</w:t>
      </w:r>
      <w:r>
        <w:rPr>
          <w:rStyle w:val="FootnoteReference"/>
          <w:noProof/>
        </w:rPr>
        <w:footnoteReference w:id="1"/>
      </w:r>
      <w:r>
        <w:rPr>
          <w:noProof/>
        </w:rPr>
        <w:t>,</w:t>
      </w:r>
    </w:p>
    <w:p>
      <w:pPr>
        <w:rPr>
          <w:noProof/>
        </w:rPr>
      </w:pPr>
      <w:r>
        <w:rPr>
          <w:noProof/>
        </w:rPr>
        <w:t>saskaņā ar parasto likumdošanas procedūru,</w:t>
      </w:r>
    </w:p>
    <w:p>
      <w:pPr>
        <w:rPr>
          <w:noProof/>
        </w:rPr>
      </w:pPr>
      <w:r>
        <w:rPr>
          <w:noProof/>
        </w:rPr>
        <w:t>tā kā:</w:t>
      </w:r>
    </w:p>
    <w:p>
      <w:pPr>
        <w:pStyle w:val="ManualConsidrant"/>
        <w:rPr>
          <w:noProof/>
        </w:rPr>
      </w:pPr>
      <w:r>
        <w:rPr>
          <w:noProof/>
        </w:rPr>
        <w:t>(1)</w:t>
      </w:r>
      <w:r>
        <w:rPr>
          <w:noProof/>
        </w:rPr>
        <w:tab/>
        <w:t>Eiropas Parlamenta un Padomes Regula (ES) Nr. 1305/2013</w:t>
      </w:r>
      <w:r>
        <w:rPr>
          <w:rStyle w:val="FootnoteReference"/>
          <w:noProof/>
        </w:rPr>
        <w:footnoteReference w:id="2"/>
      </w:r>
      <w:r>
        <w:rPr>
          <w:noProof/>
        </w:rPr>
        <w:t xml:space="preserve"> ir tiesiskais regulējums, kas pašlaik reglamentē atbalstu lauku attīstībai. Tajā ir paredzēts atbalsts apgabaliem, kuros ir dabas ierobežojumi un kuri nav kalnu apgabali. Ņemot vērā to, ka Eiropas Parlamenta un Padomes Regulā (ES) 2017/2393</w:t>
      </w:r>
      <w:r>
        <w:rPr>
          <w:rStyle w:val="FootnoteReference"/>
          <w:noProof/>
        </w:rPr>
        <w:footnoteReference w:id="3"/>
      </w:r>
      <w:r>
        <w:rPr>
          <w:noProof/>
        </w:rPr>
        <w:t xml:space="preserve"> ir paredzēta termiņa pagarināšana līdz 2019. gadam attiecībā uz jaunu robežu noteikšanu apgabaliem, kuros ir dabas ierobežojumi, bet kuri nav kalnu apgabali, un to, ka lauksaimniekiem, kuri vairs nav tiesīgi saņemt maksājumus, pielāgošanās periods būs īsāks, pakāpeniski samazinātos pārejas posma maksājumus, kas sākas tikai 2019. gadā, būtu jāsāk izmaksāt ne vairāk kā 80 % apmērā no vidējiem maksājumiem, kas noteikti 2014.–2020. gada plānošanas laikposmā. Maksājumu līmenis būtu jānosaka tā, lai 2020. gadā beigu līmenis atbilstu pusei no sākuma līmeņa.</w:t>
      </w:r>
    </w:p>
    <w:p>
      <w:pPr>
        <w:pStyle w:val="ManualConsidrant"/>
        <w:rPr>
          <w:noProof/>
        </w:rPr>
      </w:pPr>
      <w:r>
        <w:rPr>
          <w:noProof/>
        </w:rPr>
        <w:t>(2)</w:t>
      </w:r>
      <w:r>
        <w:rPr>
          <w:noProof/>
        </w:rPr>
        <w:tab/>
        <w:t xml:space="preserve">Lai dalībvalstīm un ieinteresētajām personām palīdzētu laikus sagatavot turpmāko kopējo lauksaimniecības politiku (KLP) un nodrošināt netraucētu pāreju uz nākamo plānošanas laikposmu, būtu jāprecizē, ka darbības, kas saistītas ar turpmākās KLP </w:t>
      </w:r>
      <w:r>
        <w:rPr>
          <w:noProof/>
        </w:rPr>
        <w:lastRenderedPageBreak/>
        <w:t>sagatavošanu, ir iespējams finansēt, izmantojot tehnisko palīdzību pēc Komisijas iniciatīvas.</w:t>
      </w:r>
    </w:p>
    <w:p>
      <w:pPr>
        <w:pStyle w:val="ManualConsidrant"/>
        <w:rPr>
          <w:noProof/>
        </w:rPr>
      </w:pPr>
      <w:r>
        <w:rPr>
          <w:noProof/>
        </w:rPr>
        <w:t>(3)</w:t>
      </w:r>
      <w:r>
        <w:rPr>
          <w:noProof/>
        </w:rPr>
        <w:tab/>
        <w:t>Eiropas Parlamenta un Padomes Regula (ES) Nr. 1307/2013</w:t>
      </w:r>
      <w:r>
        <w:rPr>
          <w:rStyle w:val="FootnoteReference"/>
          <w:noProof/>
        </w:rPr>
        <w:footnoteReference w:id="4"/>
      </w:r>
      <w:r>
        <w:rPr>
          <w:noProof/>
        </w:rPr>
        <w:t xml:space="preserve"> ir tiesiskais regulējums, kas pašlaik reglamentē tiešos maksājumus. Lai gan lielāko daļu minētās regulas noteikumu var piemērot, kamēr tā ir spēkā, citos noteikumos ir skaidri norādīts 2015.–2019. kalendārais gads, uz kuru attiecas 2014.–2020. gadam paredzētā daudzgadu finanšu shēma. Dažiem citiem noteikumiem to piemērojamība pēc 2019. kalendārā gada nebija skaidri paredzēta. Komisija 2018. gada jūnijā iesniedza priekšlikumu jaunai regulai, kuras mērķis ir aizstāt Regulu (ES) Nr. 1307/2013, bet tikai no 2021. gada 1. janvāra. Tāpēc ir lietderīgi Regulā (ES) Nr. 1307/2013 veikt dažus tehniskus pielāgojumus, lai to varētu netraucēti piemērot 2020. kalendārajā gadā.</w:t>
      </w:r>
    </w:p>
    <w:p>
      <w:pPr>
        <w:pStyle w:val="ManualConsidrant"/>
        <w:rPr>
          <w:noProof/>
        </w:rPr>
      </w:pPr>
      <w:r>
        <w:rPr>
          <w:noProof/>
        </w:rPr>
        <w:t>(4)</w:t>
      </w:r>
      <w:r>
        <w:rPr>
          <w:noProof/>
        </w:rPr>
        <w:tab/>
        <w:t xml:space="preserve">Regulas (ES) Nr. 1307/2013 11. pantā noteiktais pienākums samazināt lauksaimniekam attiecīgajā kalendārajā gadā piešķiramās tiešo maksājumu summas daļu, kas pārsniedz 150 000 EUR, turpina būt spēkā, kamēr ir spēkā minētā regula. Tomēr pašlaik minētais pants dalībvalstīm paredz tikai paziņošanas pienākumu attiecībā uz to lēmumiem un samazināšanas summas aplēses rezultātu 2015.–2019. gadam. Lai nodrošinātu esošās sistēmas nepārtrauktību, būtu jānosaka, ka dalībvalstis paziņo arī savus lēmumus par 2020. gadu un samazināšanas summas aplēses rezultātu par minēto gadu. </w:t>
      </w:r>
    </w:p>
    <w:p>
      <w:pPr>
        <w:pStyle w:val="ManualConsidrant"/>
        <w:rPr>
          <w:noProof/>
        </w:rPr>
      </w:pPr>
      <w:r>
        <w:rPr>
          <w:noProof/>
        </w:rPr>
        <w:t>(5)</w:t>
      </w:r>
      <w:r>
        <w:rPr>
          <w:noProof/>
        </w:rPr>
        <w:tab/>
        <w:t xml:space="preserve">Elastība starp pīlāriem ir fakultatīva līdzekļu pārvietošana starp tiešajiem maksājumiem un lauku attīstību. Saskaņā ar pašlaik spēkā esošo Regulas (ES) Nr. 1307/2013 14. pantu dalībvalstis var izmantot šo elastību attiecībā uz 2014.–2019. kalendāro gadu. Lai nodrošinātu, ka dalībvalstis var saglabāt savu stratēģiju, elastība starp pīlāriem būtu jāpadara pieejama arī attiecībā uz 2020. kalendāro gadu, kas atbilst 2021. finanšu gadam. </w:t>
      </w:r>
    </w:p>
    <w:p>
      <w:pPr>
        <w:pStyle w:val="ManualConsidrant"/>
        <w:rPr>
          <w:noProof/>
        </w:rPr>
      </w:pPr>
      <w:r>
        <w:rPr>
          <w:noProof/>
        </w:rPr>
        <w:t>(6)</w:t>
      </w:r>
      <w:r>
        <w:rPr>
          <w:noProof/>
        </w:rPr>
        <w:tab/>
        <w:t>Ņemot vērā Regulas (ES) Nr. 1307/2013 14. panta grozījumu attiecībā uz 2020. kalendāro gadu, ir lietderīgi pielāgot atsauces uz minēto pantu tādā kontekstā, ka dalībvalstīm ir pienākums lineāri samazināt vai palielināt maksājumtiesību vērtību, ņemot vērā valsts gada maksimālā apjoma svārstības, kas izriet no paziņojumiem par elastības piemērošanu starp pīlāriem.</w:t>
      </w:r>
    </w:p>
    <w:p>
      <w:pPr>
        <w:pStyle w:val="ManualConsidrant"/>
        <w:rPr>
          <w:noProof/>
        </w:rPr>
      </w:pPr>
      <w:r>
        <w:rPr>
          <w:noProof/>
        </w:rPr>
        <w:t>(7)</w:t>
      </w:r>
      <w:r>
        <w:rPr>
          <w:noProof/>
        </w:rPr>
        <w:tab/>
        <w:t>Tādēļ Regulas (ES) Nr. 1305/2013 un (ES) Nr. 1307/2013 būtu attiecīgi jāgroza.</w:t>
      </w:r>
    </w:p>
    <w:p>
      <w:pPr>
        <w:pStyle w:val="ManualConsidrant"/>
        <w:rPr>
          <w:noProof/>
        </w:rPr>
      </w:pPr>
      <w:r>
        <w:rPr>
          <w:noProof/>
        </w:rPr>
        <w:t>(8)</w:t>
      </w:r>
      <w:r>
        <w:rPr>
          <w:noProof/>
        </w:rPr>
        <w:tab/>
        <w:t xml:space="preserve">Lai dalībvalstīm ātri nodrošinātu nepieciešamo elastību un 2014.–2020. gada plānošanas laikposma pēdējo gadu laikā garantētu lauku attīstības politikas nepārtrauktību, šī regula būtu jāpiemēro no 2019. gada 1. marta, </w:t>
      </w:r>
    </w:p>
    <w:p>
      <w:pPr>
        <w:rPr>
          <w:noProof/>
        </w:rPr>
      </w:pPr>
    </w:p>
    <w:p>
      <w:pPr>
        <w:pStyle w:val="Formuledadoption"/>
        <w:rPr>
          <w:noProof/>
        </w:rPr>
      </w:pPr>
      <w:r>
        <w:rPr>
          <w:noProof/>
        </w:rPr>
        <w:t>IR PIEŅĒMUŠI ŠO REGULU.</w:t>
      </w:r>
    </w:p>
    <w:p>
      <w:pPr>
        <w:pStyle w:val="Titrearticle"/>
        <w:rPr>
          <w:noProof/>
        </w:rPr>
      </w:pPr>
      <w:r>
        <w:rPr>
          <w:noProof/>
        </w:rPr>
        <w:t>1. pants</w:t>
      </w:r>
    </w:p>
    <w:p>
      <w:pPr>
        <w:jc w:val="center"/>
        <w:rPr>
          <w:b/>
          <w:noProof/>
        </w:rPr>
      </w:pPr>
      <w:r>
        <w:rPr>
          <w:b/>
          <w:noProof/>
        </w:rPr>
        <w:t>Grozījumi Regulā (ES) Nr. 1305/2013</w:t>
      </w:r>
    </w:p>
    <w:p>
      <w:pPr>
        <w:rPr>
          <w:noProof/>
        </w:rPr>
      </w:pPr>
      <w:r>
        <w:rPr>
          <w:noProof/>
        </w:rPr>
        <w:t>Regulu (ES) Nr. 1305/2013 groza šādi:</w:t>
      </w:r>
    </w:p>
    <w:p>
      <w:pPr>
        <w:pStyle w:val="Point0number"/>
        <w:numPr>
          <w:ilvl w:val="0"/>
          <w:numId w:val="12"/>
        </w:numPr>
        <w:rPr>
          <w:noProof/>
        </w:rPr>
      </w:pPr>
      <w:r>
        <w:rPr>
          <w:noProof/>
        </w:rPr>
        <w:t>regulas 31. panta 5. punktā iekļauj šādu otro daļu:</w:t>
      </w:r>
    </w:p>
    <w:p>
      <w:pPr>
        <w:pStyle w:val="Text1"/>
        <w:rPr>
          <w:i/>
          <w:noProof/>
        </w:rPr>
      </w:pPr>
      <w:r>
        <w:rPr>
          <w:noProof/>
        </w:rPr>
        <w:lastRenderedPageBreak/>
        <w:t>“Atkāpjoties no pirmās daļas, ja maksājumi pakāpeniski sākas tikai 2019. gadā, šos maksājumus sāk izmaksāt ne vairāk kā 80 % apmērā no vidējā maksājuma, kas noteikts 2014.–2020. gada plānošanas laikposmā. Maksājumu līmeni nosaka tā, lai 2020. gadā beigu līmenis atbilstu pusei no sākuma līmeņa.”;</w:t>
      </w:r>
      <w:r>
        <w:rPr>
          <w:noProof/>
        </w:rPr>
        <w:br/>
      </w:r>
    </w:p>
    <w:p>
      <w:pPr>
        <w:pStyle w:val="Point0number"/>
        <w:rPr>
          <w:noProof/>
        </w:rPr>
      </w:pPr>
      <w:r>
        <w:rPr>
          <w:noProof/>
        </w:rPr>
        <w:t>regulas 51. panta 1. punktā iekļauj šādu otro daļu:</w:t>
      </w:r>
    </w:p>
    <w:p>
      <w:pPr>
        <w:pStyle w:val="Text1"/>
        <w:rPr>
          <w:noProof/>
        </w:rPr>
      </w:pPr>
      <w:r>
        <w:rPr>
          <w:noProof/>
        </w:rPr>
        <w:t>“ELFLA var finansēt darbības, ar kurām tiek sagatavota KLP īstenošana nākamajā plānošanas laikposmā.”</w:t>
      </w:r>
    </w:p>
    <w:p>
      <w:pPr>
        <w:pStyle w:val="Text1"/>
        <w:ind w:left="0"/>
        <w:rPr>
          <w:noProof/>
        </w:rPr>
      </w:pPr>
    </w:p>
    <w:p>
      <w:pPr>
        <w:pStyle w:val="Titrearticle"/>
        <w:rPr>
          <w:noProof/>
        </w:rPr>
      </w:pPr>
      <w:r>
        <w:rPr>
          <w:noProof/>
        </w:rPr>
        <w:t>2. pants</w:t>
      </w:r>
    </w:p>
    <w:p>
      <w:pPr>
        <w:jc w:val="center"/>
        <w:rPr>
          <w:b/>
          <w:noProof/>
        </w:rPr>
      </w:pPr>
      <w:r>
        <w:rPr>
          <w:b/>
          <w:noProof/>
        </w:rPr>
        <w:t>Grozījumi Regulā (ES) Nr. 1307/2013</w:t>
      </w:r>
    </w:p>
    <w:p>
      <w:pPr>
        <w:rPr>
          <w:noProof/>
        </w:rPr>
      </w:pPr>
      <w:r>
        <w:rPr>
          <w:noProof/>
        </w:rPr>
        <w:t>Regulu (ES) Nr. 1307/2013 groza šādi:</w:t>
      </w:r>
    </w:p>
    <w:p>
      <w:pPr>
        <w:pStyle w:val="Point0number"/>
        <w:numPr>
          <w:ilvl w:val="0"/>
          <w:numId w:val="10"/>
        </w:numPr>
        <w:rPr>
          <w:noProof/>
        </w:rPr>
      </w:pPr>
      <w:r>
        <w:rPr>
          <w:noProof/>
        </w:rPr>
        <w:t xml:space="preserve"> regulas 7. panta 2. punktu aizstāj ar šādu:</w:t>
      </w:r>
    </w:p>
    <w:p>
      <w:pPr>
        <w:pStyle w:val="Text1"/>
        <w:rPr>
          <w:noProof/>
        </w:rPr>
      </w:pPr>
      <w:r>
        <w:rPr>
          <w:noProof/>
        </w:rPr>
        <w:t>“2. Katrai dalībvalstij un katram kalendārajam gadam tiek darīts pieejams 11. pantā minētās tiešo maksājumu samazināšanas summas aplēses rezultāts (kas ir starpība starp II pielikumā noteikto valsts maksimālo apjomu, kuram pieskaitīta saskaņā ar 58. pantu pieejamā summa, un III pielikumā noteikto neto maksimālo apjomu) kā Savienības atbalsts, ko finansē no Eiropas Lauksaimniecības fonda lauku attīstībai (ELFLA).”;</w:t>
      </w:r>
    </w:p>
    <w:p>
      <w:pPr>
        <w:ind w:left="360"/>
        <w:rPr>
          <w:noProof/>
        </w:rPr>
      </w:pPr>
    </w:p>
    <w:p>
      <w:pPr>
        <w:pStyle w:val="Point0number"/>
        <w:rPr>
          <w:noProof/>
        </w:rPr>
      </w:pPr>
      <w:r>
        <w:rPr>
          <w:noProof/>
        </w:rPr>
        <w:t>regulas 11. panta 6. punktā pievieno šādu trešo daļu:</w:t>
      </w:r>
    </w:p>
    <w:p>
      <w:pPr>
        <w:pStyle w:val="Text1"/>
        <w:rPr>
          <w:noProof/>
        </w:rPr>
      </w:pPr>
      <w:r>
        <w:rPr>
          <w:noProof/>
        </w:rPr>
        <w:t>“Attiecībā uz 2020. gadu dalībvalstis līdz 2019. gada 31. decembrim paziņo Komisijai par lēmumiem, kas pieņemti saskaņā ar šo pantu un par visiem samazināšanas summu aplēses rezultātiem.”;</w:t>
      </w:r>
    </w:p>
    <w:p>
      <w:pPr>
        <w:pStyle w:val="ListParagraph"/>
        <w:ind w:left="1080"/>
        <w:rPr>
          <w:b/>
          <w:i/>
          <w:noProof/>
        </w:rPr>
      </w:pPr>
    </w:p>
    <w:p>
      <w:pPr>
        <w:pStyle w:val="Point0number"/>
        <w:rPr>
          <w:noProof/>
        </w:rPr>
      </w:pPr>
      <w:r>
        <w:rPr>
          <w:noProof/>
        </w:rPr>
        <w:t>regulas14. pantu groza šādi:</w:t>
      </w:r>
    </w:p>
    <w:p>
      <w:pPr>
        <w:pStyle w:val="ListParagraph"/>
        <w:rPr>
          <w:noProof/>
        </w:rPr>
      </w:pPr>
    </w:p>
    <w:p>
      <w:pPr>
        <w:pStyle w:val="Point0letter"/>
        <w:rPr>
          <w:noProof/>
        </w:rPr>
      </w:pPr>
      <w:r>
        <w:rPr>
          <w:noProof/>
        </w:rPr>
        <w:t xml:space="preserve">panta 1. punktam pievieno šādu sesto daļu: </w:t>
      </w:r>
    </w:p>
    <w:p>
      <w:pPr>
        <w:pStyle w:val="Text1"/>
        <w:rPr>
          <w:noProof/>
        </w:rPr>
      </w:pPr>
      <w:r>
        <w:rPr>
          <w:noProof/>
        </w:rPr>
        <w:t>“Dalībvalstis līdz 2019. gada 31. decembrim var nolemt darīt pieejamus (kā papildu atbalstu, ko 2021. finanšu gadā finansē no ELFLA) līdz 15 % no valsts gada maksimālajiem apjomiem par 2020. kalendāro gadu, kā noteikts šīs regulas II pielikumā. Rezultātā attiecīgā summa vairs nav pieejama tiešo maksājumu piešķiršanai. Šo lēmumu paziņo Komisijai līdz 2019. gada 31. decembrim, un tajā nosaka izvēlēto procentuālo daļu.”;</w:t>
      </w:r>
    </w:p>
    <w:p>
      <w:pPr>
        <w:pStyle w:val="ListParagraph"/>
        <w:rPr>
          <w:noProof/>
        </w:rPr>
      </w:pPr>
    </w:p>
    <w:p>
      <w:pPr>
        <w:pStyle w:val="Point0letter"/>
        <w:rPr>
          <w:noProof/>
        </w:rPr>
      </w:pPr>
      <w:r>
        <w:rPr>
          <w:noProof/>
        </w:rPr>
        <w:t xml:space="preserve">panta 2. punktam pievieno šādu sesto daļu: </w:t>
      </w:r>
    </w:p>
    <w:p>
      <w:pPr>
        <w:pStyle w:val="Text1"/>
        <w:rPr>
          <w:noProof/>
        </w:rPr>
      </w:pPr>
      <w:r>
        <w:rPr>
          <w:noProof/>
        </w:rPr>
        <w:t xml:space="preserve">“Līdz 2019. gada 31. decembrim dalībvalstis var nolemt darīt pieejamus kā tiešos maksājumus līdz 15 % vai — Bulgārijas, Igaunijas, Spānijas, Latvijas, Lietuvas, Polijas, Portugāles, Rumānijas, Slovākijas, Somijas un Zviedrijas gadījumā — līdz 25 % no summas, kas ELFLA finansētajam atbalstam 2021. finanšu gadā piešķirta ar Savienības tiesību aktiem, kuri pieņemti, ņemot vērā regulu, ko Padome pieņēmusi </w:t>
      </w:r>
      <w:r>
        <w:rPr>
          <w:noProof/>
        </w:rPr>
        <w:lastRenderedPageBreak/>
        <w:t xml:space="preserve">saskaņā ar Līguma par Eiropas Savienības darbību 312. panta 2. punktu. Rezultātā attiecīgā summa vairs nav pieejama atbalstam, ko finansē saskaņā ar ELFLA. Šo lēmumu, kurā ir noteikta izvēlētā procentuālā daļa, paziņo Komisijai līdz 2019. gada 31. decembrim.”; </w:t>
      </w:r>
    </w:p>
    <w:p>
      <w:pPr>
        <w:pStyle w:val="ListParagraph"/>
        <w:rPr>
          <w:noProof/>
        </w:rPr>
      </w:pPr>
    </w:p>
    <w:p>
      <w:pPr>
        <w:pStyle w:val="Point0number"/>
        <w:rPr>
          <w:noProof/>
        </w:rPr>
      </w:pPr>
      <w:r>
        <w:rPr>
          <w:noProof/>
        </w:rPr>
        <w:t>regulas 22. panta 5. punktu aizstāj ar šādu:</w:t>
      </w:r>
    </w:p>
    <w:p>
      <w:pPr>
        <w:pStyle w:val="Text1"/>
        <w:rPr>
          <w:noProof/>
        </w:rPr>
      </w:pPr>
      <w:r>
        <w:rPr>
          <w:noProof/>
        </w:rPr>
        <w:t>“5. Ja maksimālais apjoms dalībvalstij, ko Komisija noteikusi atbilstīgi 1. punktam, atšķiras no iepriekšējā gada maksimālā apjoma tādēļ, ka minētā dalībvalsts ir pieņēmusi jebkādu lēmumu saskaņā ar šā panta 3. punktu, 14. panta 1. vai 2. punktu, 42. panta 1. punktu, 49. panta 1. punkta otro daļu, 51. panta 1. punkta otro daļu vai 53. pantu, minētā dalībvalsts lineāri samazina vai palielina visu maksājumtiesību vērtību, lai nodrošinātu atbilstību šā panta 4. punkta noteikumiem.”</w:t>
      </w:r>
    </w:p>
    <w:p>
      <w:pPr>
        <w:ind w:left="360"/>
        <w:rPr>
          <w:noProof/>
        </w:rPr>
      </w:pPr>
    </w:p>
    <w:p>
      <w:pPr>
        <w:pStyle w:val="Titrearticle"/>
        <w:rPr>
          <w:noProof/>
        </w:rPr>
      </w:pPr>
      <w:r>
        <w:rPr>
          <w:noProof/>
        </w:rPr>
        <w:t>3. pants</w:t>
      </w:r>
    </w:p>
    <w:p>
      <w:pPr>
        <w:jc w:val="center"/>
        <w:rPr>
          <w:b/>
          <w:noProof/>
        </w:rPr>
      </w:pPr>
      <w:r>
        <w:rPr>
          <w:b/>
          <w:noProof/>
        </w:rPr>
        <w:t>Stāšanās spēkā un piemērošana</w:t>
      </w:r>
    </w:p>
    <w:p>
      <w:pPr>
        <w:rPr>
          <w:noProof/>
        </w:rPr>
      </w:pPr>
      <w:r>
        <w:rPr>
          <w:noProof/>
        </w:rPr>
        <w:t xml:space="preserve">Šī regula stājas spēkā trešajā dienā pēc tās publicēšanas </w:t>
      </w:r>
      <w:r>
        <w:rPr>
          <w:i/>
          <w:noProof/>
        </w:rPr>
        <w:t>Eiropas Savienības Oficiālajā Vēstnesī</w:t>
      </w:r>
      <w:r>
        <w:rPr>
          <w:noProof/>
        </w:rPr>
        <w:t>.</w:t>
      </w:r>
    </w:p>
    <w:p>
      <w:pPr>
        <w:rPr>
          <w:noProof/>
        </w:rPr>
      </w:pPr>
      <w:r>
        <w:rPr>
          <w:noProof/>
        </w:rPr>
        <w:t xml:space="preserve">To piemēro no 2019. gada 1. marta. </w:t>
      </w:r>
    </w:p>
    <w:p>
      <w:pPr>
        <w:pStyle w:val="Applicationdirecte"/>
        <w:rPr>
          <w:noProof/>
        </w:rPr>
      </w:pPr>
      <w:r>
        <w:rPr>
          <w:noProof/>
        </w:rPr>
        <w:t>Šī regula uzliek saistības kopumā un ir tieši piemērojama visās dalībvalstīs.</w:t>
      </w:r>
    </w:p>
    <w:p>
      <w:pPr>
        <w:pStyle w:val="Fait"/>
        <w:rPr>
          <w:noProof/>
        </w:rPr>
      </w:pPr>
      <w:r>
        <w:t>Briselē,</w:t>
      </w:r>
    </w:p>
    <w:p>
      <w:pPr>
        <w:pStyle w:val="Institutionquisigne"/>
        <w:rPr>
          <w:noProof/>
        </w:rPr>
      </w:pPr>
      <w:r>
        <w:rPr>
          <w:noProof/>
        </w:rPr>
        <w:t>Eiropas Parlamenta vārdā –</w:t>
      </w:r>
      <w:r>
        <w:rPr>
          <w:noProof/>
        </w:rPr>
        <w:tab/>
        <w:t>Padomes vārdā –</w:t>
      </w:r>
    </w:p>
    <w:p>
      <w:pPr>
        <w:pStyle w:val="Personnequisigne"/>
        <w:rPr>
          <w:noProof/>
        </w:rPr>
        <w:sectPr>
          <w:footnotePr>
            <w:numRestart w:val="eachSect"/>
          </w:footnotePr>
          <w:pgSz w:w="11907" w:h="16839"/>
          <w:pgMar w:top="1134" w:right="1417" w:bottom="1134" w:left="1417" w:header="709" w:footer="709" w:gutter="0"/>
          <w:cols w:space="708"/>
          <w:docGrid w:linePitch="360"/>
        </w:sectPr>
      </w:pPr>
      <w:r>
        <w:rPr>
          <w:noProof/>
        </w:rPr>
        <w:t>priekšsēdētājs</w:t>
      </w:r>
      <w:r>
        <w:rPr>
          <w:noProof/>
        </w:rPr>
        <w:tab/>
        <w:t>priekšsēdētājs</w:t>
      </w:r>
    </w:p>
    <w:p>
      <w:pPr>
        <w:pStyle w:val="Fichefinanciretitre"/>
        <w:rPr>
          <w:noProof/>
        </w:rPr>
      </w:pPr>
      <w:r>
        <w:rPr>
          <w:noProof/>
        </w:rPr>
        <w:lastRenderedPageBreak/>
        <w:t>TIESĪBU AKTA PRIEKŠLIKUMA FINANŠU PĀRSKATS</w:t>
      </w:r>
    </w:p>
    <w:p>
      <w:pPr>
        <w:rPr>
          <w:noProof/>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67"/>
        <w:gridCol w:w="3884"/>
        <w:gridCol w:w="1275"/>
        <w:gridCol w:w="142"/>
        <w:gridCol w:w="1134"/>
        <w:gridCol w:w="14"/>
        <w:gridCol w:w="411"/>
        <w:gridCol w:w="567"/>
        <w:gridCol w:w="1134"/>
      </w:tblGrid>
      <w:tr>
        <w:trPr>
          <w:trHeight w:val="355"/>
        </w:trPr>
        <w:tc>
          <w:tcPr>
            <w:tcW w:w="7016" w:type="dxa"/>
            <w:gridSpan w:val="6"/>
            <w:vMerge w:val="restart"/>
          </w:tcPr>
          <w:p>
            <w:pPr>
              <w:jc w:val="center"/>
              <w:rPr>
                <w:rFonts w:eastAsia="Times New Roman"/>
                <w:b/>
                <w:noProof/>
                <w:sz w:val="40"/>
              </w:rPr>
            </w:pPr>
            <w:r>
              <w:rPr>
                <w:b/>
                <w:noProof/>
                <w:sz w:val="40"/>
              </w:rPr>
              <w:t>FINANŠU PĀRSKATS</w:t>
            </w:r>
          </w:p>
        </w:tc>
        <w:tc>
          <w:tcPr>
            <w:tcW w:w="2112" w:type="dxa"/>
            <w:gridSpan w:val="3"/>
          </w:tcPr>
          <w:p>
            <w:pPr>
              <w:spacing w:before="0" w:after="0"/>
              <w:jc w:val="center"/>
              <w:rPr>
                <w:rFonts w:eastAsia="Times New Roman"/>
                <w:noProof/>
                <w:sz w:val="20"/>
              </w:rPr>
            </w:pPr>
            <w:r>
              <w:rPr>
                <w:noProof/>
                <w:sz w:val="20"/>
              </w:rPr>
              <w:t>FS/18/CS/pl 5249450</w:t>
            </w:r>
          </w:p>
        </w:tc>
      </w:tr>
      <w:tr>
        <w:trPr>
          <w:trHeight w:val="355"/>
        </w:trPr>
        <w:tc>
          <w:tcPr>
            <w:tcW w:w="7016" w:type="dxa"/>
            <w:gridSpan w:val="6"/>
            <w:vMerge/>
            <w:tcBorders>
              <w:bottom w:val="nil"/>
            </w:tcBorders>
          </w:tcPr>
          <w:p>
            <w:pPr>
              <w:jc w:val="center"/>
              <w:rPr>
                <w:rFonts w:eastAsia="Times New Roman"/>
                <w:b/>
                <w:noProof/>
                <w:sz w:val="40"/>
              </w:rPr>
            </w:pPr>
          </w:p>
        </w:tc>
        <w:tc>
          <w:tcPr>
            <w:tcW w:w="2112" w:type="dxa"/>
            <w:gridSpan w:val="3"/>
          </w:tcPr>
          <w:p>
            <w:pPr>
              <w:spacing w:before="0" w:after="0"/>
              <w:jc w:val="center"/>
              <w:rPr>
                <w:rFonts w:eastAsia="Times New Roman"/>
                <w:noProof/>
                <w:sz w:val="20"/>
              </w:rPr>
            </w:pPr>
            <w:r>
              <w:rPr>
                <w:noProof/>
                <w:sz w:val="20"/>
              </w:rPr>
              <w:t>6.15.2018.1</w:t>
            </w:r>
          </w:p>
        </w:tc>
      </w:tr>
      <w:tr>
        <w:tc>
          <w:tcPr>
            <w:tcW w:w="7016" w:type="dxa"/>
            <w:gridSpan w:val="6"/>
            <w:tcBorders>
              <w:top w:val="nil"/>
            </w:tcBorders>
          </w:tcPr>
          <w:p>
            <w:pPr>
              <w:spacing w:before="0" w:after="0"/>
              <w:jc w:val="left"/>
              <w:rPr>
                <w:rFonts w:eastAsia="Times New Roman"/>
                <w:noProof/>
                <w:sz w:val="20"/>
              </w:rPr>
            </w:pPr>
          </w:p>
        </w:tc>
        <w:tc>
          <w:tcPr>
            <w:tcW w:w="2112" w:type="dxa"/>
            <w:gridSpan w:val="3"/>
          </w:tcPr>
          <w:p>
            <w:pPr>
              <w:spacing w:before="0" w:after="0"/>
              <w:jc w:val="left"/>
              <w:rPr>
                <w:rFonts w:eastAsia="Times New Roman"/>
                <w:noProof/>
                <w:sz w:val="20"/>
              </w:rPr>
            </w:pPr>
            <w:r>
              <w:rPr>
                <w:noProof/>
                <w:sz w:val="20"/>
              </w:rPr>
              <w:t>DATUMS: 13/09/2018</w:t>
            </w:r>
          </w:p>
          <w:p>
            <w:pPr>
              <w:spacing w:before="0" w:after="0"/>
              <w:jc w:val="left"/>
              <w:rPr>
                <w:rFonts w:eastAsia="Times New Roman"/>
                <w:noProof/>
                <w:sz w:val="20"/>
              </w:rPr>
            </w:pPr>
          </w:p>
        </w:tc>
      </w:tr>
      <w:tr>
        <w:tc>
          <w:tcPr>
            <w:tcW w:w="567" w:type="dxa"/>
            <w:tcBorders>
              <w:right w:val="nil"/>
            </w:tcBorders>
          </w:tcPr>
          <w:p>
            <w:pPr>
              <w:spacing w:before="0" w:after="0"/>
              <w:jc w:val="left"/>
              <w:rPr>
                <w:rFonts w:eastAsia="Times New Roman"/>
                <w:noProof/>
                <w:sz w:val="20"/>
              </w:rPr>
            </w:pPr>
            <w:r>
              <w:rPr>
                <w:noProof/>
                <w:sz w:val="20"/>
              </w:rPr>
              <w:t>1.</w:t>
            </w:r>
          </w:p>
        </w:tc>
        <w:tc>
          <w:tcPr>
            <w:tcW w:w="6449" w:type="dxa"/>
            <w:gridSpan w:val="5"/>
            <w:tcBorders>
              <w:left w:val="nil"/>
              <w:right w:val="nil"/>
            </w:tcBorders>
          </w:tcPr>
          <w:p>
            <w:pPr>
              <w:spacing w:before="0" w:after="0"/>
              <w:jc w:val="left"/>
              <w:rPr>
                <w:rFonts w:eastAsia="Times New Roman"/>
                <w:noProof/>
                <w:sz w:val="20"/>
              </w:rPr>
            </w:pPr>
            <w:r>
              <w:rPr>
                <w:noProof/>
                <w:sz w:val="20"/>
              </w:rPr>
              <w:t>BUDŽETA POZĪCIJA: pašreizējā DFS: 2. pozīcija, priekšlikums attiecībā uz DFS 2021.–2027. gadam: 3. pozīcija.</w:t>
            </w:r>
          </w:p>
          <w:p>
            <w:pPr>
              <w:spacing w:before="0" w:after="0"/>
              <w:jc w:val="left"/>
              <w:rPr>
                <w:rFonts w:eastAsia="Times New Roman"/>
                <w:noProof/>
                <w:sz w:val="20"/>
              </w:rPr>
            </w:pPr>
            <w:r>
              <w:rPr>
                <w:noProof/>
                <w:sz w:val="20"/>
              </w:rPr>
              <w:t>2019. gada budžeta projekts:</w:t>
            </w:r>
          </w:p>
          <w:p>
            <w:pPr>
              <w:spacing w:before="0" w:after="0"/>
              <w:jc w:val="left"/>
              <w:rPr>
                <w:rFonts w:eastAsia="Times New Roman"/>
                <w:noProof/>
                <w:sz w:val="20"/>
              </w:rPr>
            </w:pPr>
            <w:r>
              <w:rPr>
                <w:noProof/>
                <w:spacing w:val="-3"/>
                <w:sz w:val="20"/>
              </w:rPr>
              <w:t>05 03 – Tiešie maksājumi pēc finanšu disciplīnas:</w:t>
            </w:r>
          </w:p>
          <w:p>
            <w:pPr>
              <w:spacing w:before="0" w:after="0"/>
              <w:jc w:val="left"/>
              <w:rPr>
                <w:rFonts w:eastAsia="Times New Roman"/>
                <w:noProof/>
                <w:sz w:val="20"/>
              </w:rPr>
            </w:pPr>
            <w:r>
              <w:rPr>
                <w:noProof/>
                <w:sz w:val="20"/>
              </w:rPr>
              <w:t>05 04 60 – Eiropas Lauksaimniecības fonds lauku attīstībai (ELFLA), 2014.–2020. gads</w:t>
            </w:r>
          </w:p>
        </w:tc>
        <w:tc>
          <w:tcPr>
            <w:tcW w:w="2112" w:type="dxa"/>
            <w:gridSpan w:val="3"/>
            <w:tcBorders>
              <w:left w:val="nil"/>
            </w:tcBorders>
          </w:tcPr>
          <w:p>
            <w:pPr>
              <w:tabs>
                <w:tab w:val="left" w:pos="1736"/>
              </w:tabs>
              <w:spacing w:before="0" w:after="0"/>
              <w:ind w:right="136"/>
              <w:jc w:val="left"/>
              <w:rPr>
                <w:rFonts w:eastAsia="Times New Roman"/>
                <w:noProof/>
                <w:sz w:val="20"/>
              </w:rPr>
            </w:pPr>
            <w:r>
              <w:rPr>
                <w:noProof/>
                <w:sz w:val="20"/>
              </w:rPr>
              <w:t>APROPRIĀCIJAS</w:t>
            </w:r>
          </w:p>
          <w:p>
            <w:pPr>
              <w:tabs>
                <w:tab w:val="left" w:pos="1736"/>
              </w:tabs>
              <w:spacing w:before="0" w:after="0"/>
              <w:ind w:right="136"/>
              <w:jc w:val="left"/>
              <w:rPr>
                <w:rFonts w:eastAsia="Times New Roman"/>
                <w:noProof/>
                <w:sz w:val="20"/>
              </w:rPr>
            </w:pPr>
            <w:r>
              <w:rPr>
                <w:noProof/>
                <w:sz w:val="20"/>
              </w:rPr>
              <w:t>(miljonos EUR)</w:t>
            </w:r>
          </w:p>
          <w:p>
            <w:pPr>
              <w:tabs>
                <w:tab w:val="left" w:pos="1736"/>
              </w:tabs>
              <w:spacing w:before="0" w:after="0"/>
              <w:ind w:right="136"/>
              <w:jc w:val="right"/>
              <w:rPr>
                <w:rFonts w:eastAsia="Times New Roman"/>
                <w:noProof/>
                <w:sz w:val="20"/>
              </w:rPr>
            </w:pPr>
          </w:p>
          <w:p>
            <w:pPr>
              <w:tabs>
                <w:tab w:val="left" w:pos="1736"/>
              </w:tabs>
              <w:spacing w:before="0" w:after="0"/>
              <w:ind w:right="136"/>
              <w:jc w:val="right"/>
              <w:rPr>
                <w:rFonts w:eastAsia="Times New Roman"/>
                <w:noProof/>
                <w:sz w:val="20"/>
              </w:rPr>
            </w:pPr>
            <w:r>
              <w:rPr>
                <w:noProof/>
                <w:sz w:val="20"/>
              </w:rPr>
              <w:t>40 981,6</w:t>
            </w:r>
          </w:p>
          <w:p>
            <w:pPr>
              <w:tabs>
                <w:tab w:val="left" w:pos="1736"/>
              </w:tabs>
              <w:spacing w:before="0" w:after="0"/>
              <w:ind w:right="136"/>
              <w:jc w:val="right"/>
              <w:rPr>
                <w:rFonts w:eastAsia="Times New Roman"/>
                <w:noProof/>
                <w:sz w:val="20"/>
              </w:rPr>
            </w:pPr>
          </w:p>
          <w:p>
            <w:pPr>
              <w:tabs>
                <w:tab w:val="left" w:pos="1736"/>
              </w:tabs>
              <w:spacing w:before="0" w:after="0"/>
              <w:ind w:right="136"/>
              <w:jc w:val="right"/>
              <w:rPr>
                <w:rFonts w:eastAsia="Times New Roman"/>
                <w:noProof/>
                <w:sz w:val="20"/>
              </w:rPr>
            </w:pPr>
            <w:r>
              <w:rPr>
                <w:noProof/>
                <w:sz w:val="20"/>
              </w:rPr>
              <w:t>14 673,6</w:t>
            </w:r>
          </w:p>
        </w:tc>
      </w:tr>
      <w:tr>
        <w:tc>
          <w:tcPr>
            <w:tcW w:w="567" w:type="dxa"/>
            <w:tcBorders>
              <w:bottom w:val="nil"/>
              <w:right w:val="nil"/>
            </w:tcBorders>
          </w:tcPr>
          <w:p>
            <w:pPr>
              <w:spacing w:before="0" w:after="0"/>
              <w:jc w:val="left"/>
              <w:rPr>
                <w:rFonts w:eastAsia="Times New Roman"/>
                <w:noProof/>
                <w:sz w:val="20"/>
              </w:rPr>
            </w:pPr>
            <w:r>
              <w:rPr>
                <w:noProof/>
                <w:sz w:val="20"/>
              </w:rPr>
              <w:t>2.</w:t>
            </w:r>
          </w:p>
        </w:tc>
        <w:tc>
          <w:tcPr>
            <w:tcW w:w="8561" w:type="dxa"/>
            <w:gridSpan w:val="8"/>
            <w:tcBorders>
              <w:left w:val="nil"/>
            </w:tcBorders>
          </w:tcPr>
          <w:p>
            <w:pPr>
              <w:spacing w:before="0" w:after="0"/>
              <w:jc w:val="left"/>
              <w:rPr>
                <w:rFonts w:eastAsia="Times New Roman"/>
                <w:noProof/>
                <w:sz w:val="20"/>
              </w:rPr>
            </w:pPr>
            <w:r>
              <w:rPr>
                <w:noProof/>
                <w:sz w:val="20"/>
              </w:rPr>
              <w:t>NOSAUKUMS</w:t>
            </w:r>
          </w:p>
          <w:p>
            <w:pPr>
              <w:spacing w:before="0" w:after="0"/>
              <w:jc w:val="left"/>
              <w:rPr>
                <w:rFonts w:eastAsia="Times New Roman"/>
                <w:noProof/>
                <w:sz w:val="20"/>
              </w:rPr>
            </w:pPr>
            <w:r>
              <w:rPr>
                <w:noProof/>
                <w:sz w:val="20"/>
              </w:rPr>
              <w:t>Priekšlikums Eiropas Parlamenta un Padomes regulai, ar ko Regulas (ES) Nr. 1305/2013 un (ES) Nr. 1307/2013 groza attiecībā uz konkrētiem noteikumiem par tiešajiem maksājumiem un atbalstu lauku attīstībai 2019. un 2020. gadā</w:t>
            </w:r>
          </w:p>
          <w:p>
            <w:pPr>
              <w:spacing w:before="0" w:after="0"/>
              <w:jc w:val="left"/>
              <w:rPr>
                <w:rFonts w:eastAsia="Times New Roman"/>
                <w:noProof/>
                <w:sz w:val="20"/>
              </w:rPr>
            </w:pPr>
          </w:p>
        </w:tc>
      </w:tr>
      <w:tr>
        <w:tc>
          <w:tcPr>
            <w:tcW w:w="567" w:type="dxa"/>
            <w:tcBorders>
              <w:bottom w:val="nil"/>
              <w:right w:val="nil"/>
            </w:tcBorders>
          </w:tcPr>
          <w:p>
            <w:pPr>
              <w:spacing w:before="0" w:after="0"/>
              <w:jc w:val="left"/>
              <w:rPr>
                <w:rFonts w:eastAsia="Times New Roman"/>
                <w:noProof/>
                <w:sz w:val="20"/>
              </w:rPr>
            </w:pPr>
            <w:r>
              <w:rPr>
                <w:noProof/>
                <w:sz w:val="20"/>
              </w:rPr>
              <w:t>3.</w:t>
            </w:r>
          </w:p>
        </w:tc>
        <w:tc>
          <w:tcPr>
            <w:tcW w:w="8561" w:type="dxa"/>
            <w:gridSpan w:val="8"/>
            <w:tcBorders>
              <w:left w:val="nil"/>
            </w:tcBorders>
          </w:tcPr>
          <w:p>
            <w:pPr>
              <w:spacing w:before="0" w:after="0"/>
              <w:jc w:val="left"/>
              <w:rPr>
                <w:rFonts w:eastAsia="Times New Roman"/>
                <w:noProof/>
                <w:sz w:val="20"/>
              </w:rPr>
            </w:pPr>
            <w:r>
              <w:rPr>
                <w:noProof/>
                <w:sz w:val="20"/>
              </w:rPr>
              <w:t>JURIDISKAIS PAMATS</w:t>
            </w:r>
          </w:p>
          <w:p>
            <w:pPr>
              <w:spacing w:before="0" w:after="0"/>
              <w:jc w:val="left"/>
              <w:rPr>
                <w:rFonts w:eastAsia="Times New Roman"/>
                <w:noProof/>
                <w:sz w:val="20"/>
              </w:rPr>
            </w:pPr>
            <w:r>
              <w:rPr>
                <w:noProof/>
                <w:sz w:val="20"/>
              </w:rPr>
              <w:t xml:space="preserve">Līguma par Eiropas Savienības darbību 42. pants un 43. panta 2. punkts </w:t>
            </w:r>
          </w:p>
          <w:p>
            <w:pPr>
              <w:spacing w:before="0" w:after="0"/>
              <w:jc w:val="left"/>
              <w:rPr>
                <w:rFonts w:eastAsia="Times New Roman"/>
                <w:noProof/>
                <w:sz w:val="20"/>
              </w:rPr>
            </w:pPr>
          </w:p>
        </w:tc>
      </w:tr>
      <w:tr>
        <w:tc>
          <w:tcPr>
            <w:tcW w:w="567" w:type="dxa"/>
            <w:tcBorders>
              <w:right w:val="nil"/>
            </w:tcBorders>
          </w:tcPr>
          <w:p>
            <w:pPr>
              <w:spacing w:before="0" w:after="0"/>
              <w:jc w:val="left"/>
              <w:rPr>
                <w:rFonts w:eastAsia="Times New Roman"/>
                <w:noProof/>
                <w:sz w:val="20"/>
              </w:rPr>
            </w:pPr>
            <w:r>
              <w:rPr>
                <w:noProof/>
                <w:sz w:val="20"/>
              </w:rPr>
              <w:t>4.</w:t>
            </w:r>
          </w:p>
        </w:tc>
        <w:tc>
          <w:tcPr>
            <w:tcW w:w="8561" w:type="dxa"/>
            <w:gridSpan w:val="8"/>
            <w:tcBorders>
              <w:left w:val="nil"/>
            </w:tcBorders>
          </w:tcPr>
          <w:p>
            <w:pPr>
              <w:spacing w:before="0" w:after="0"/>
              <w:jc w:val="left"/>
              <w:rPr>
                <w:rFonts w:eastAsia="Times New Roman"/>
                <w:noProof/>
                <w:sz w:val="20"/>
              </w:rPr>
            </w:pPr>
            <w:r>
              <w:rPr>
                <w:noProof/>
                <w:sz w:val="20"/>
              </w:rPr>
              <w:t>MĒRĶI</w:t>
            </w:r>
          </w:p>
          <w:p>
            <w:pPr>
              <w:spacing w:before="0" w:after="0"/>
              <w:jc w:val="left"/>
              <w:rPr>
                <w:rFonts w:eastAsia="Times New Roman"/>
                <w:noProof/>
                <w:sz w:val="20"/>
              </w:rPr>
            </w:pPr>
            <w:r>
              <w:rPr>
                <w:noProof/>
                <w:sz w:val="20"/>
              </w:rPr>
              <w:t xml:space="preserve">Šā priekšlikuma mērķis ir 2019. un 2020. gadā nodrošināt Eiropas lauksaimniekiem paredzētā atbalsta nepārtrauktību, pielāgojot divus kopējās lauksaimniecības politikas (KLP) tiesību aktus — Regulu (ES) Nr. 1305/2013 (lauku attīstība) un Regulu (ES) Nr. 1307/2013 (tiešie maksājumi). </w:t>
            </w:r>
          </w:p>
          <w:p>
            <w:pPr>
              <w:spacing w:before="0" w:after="0"/>
              <w:jc w:val="left"/>
              <w:rPr>
                <w:rFonts w:eastAsia="Times New Roman"/>
                <w:noProof/>
                <w:sz w:val="20"/>
              </w:rPr>
            </w:pPr>
          </w:p>
        </w:tc>
      </w:tr>
      <w:tr>
        <w:tc>
          <w:tcPr>
            <w:tcW w:w="567" w:type="dxa"/>
            <w:tcBorders>
              <w:bottom w:val="nil"/>
              <w:right w:val="nil"/>
            </w:tcBorders>
          </w:tcPr>
          <w:p>
            <w:pPr>
              <w:spacing w:before="0" w:after="0"/>
              <w:jc w:val="left"/>
              <w:rPr>
                <w:rFonts w:eastAsia="Times New Roman"/>
                <w:noProof/>
                <w:sz w:val="20"/>
              </w:rPr>
            </w:pPr>
            <w:r>
              <w:rPr>
                <w:noProof/>
                <w:sz w:val="20"/>
              </w:rPr>
              <w:t>5.</w:t>
            </w:r>
          </w:p>
        </w:tc>
        <w:tc>
          <w:tcPr>
            <w:tcW w:w="3884" w:type="dxa"/>
            <w:tcBorders>
              <w:left w:val="nil"/>
            </w:tcBorders>
          </w:tcPr>
          <w:p>
            <w:pPr>
              <w:spacing w:before="0" w:after="0"/>
              <w:jc w:val="left"/>
              <w:rPr>
                <w:rFonts w:eastAsia="Times New Roman"/>
                <w:noProof/>
                <w:sz w:val="20"/>
              </w:rPr>
            </w:pPr>
            <w:r>
              <w:rPr>
                <w:noProof/>
                <w:sz w:val="20"/>
              </w:rPr>
              <w:t>FINANSIĀLĀ IETEKME</w:t>
            </w:r>
          </w:p>
        </w:tc>
        <w:tc>
          <w:tcPr>
            <w:tcW w:w="1417" w:type="dxa"/>
            <w:gridSpan w:val="2"/>
          </w:tcPr>
          <w:p>
            <w:pPr>
              <w:spacing w:before="0" w:after="0"/>
              <w:jc w:val="center"/>
              <w:rPr>
                <w:rFonts w:eastAsia="Times New Roman"/>
                <w:noProof/>
                <w:sz w:val="20"/>
              </w:rPr>
            </w:pPr>
            <w:r>
              <w:rPr>
                <w:noProof/>
                <w:sz w:val="20"/>
              </w:rPr>
              <w:t>12 MĒNEŠU PERIODS</w:t>
            </w:r>
            <w:r>
              <w:rPr>
                <w:rFonts w:eastAsia="Times New Roman"/>
                <w:noProof/>
                <w:sz w:val="20"/>
              </w:rPr>
              <w:br/>
            </w:r>
            <w:r>
              <w:rPr>
                <w:rFonts w:eastAsia="Times New Roman"/>
                <w:noProof/>
                <w:sz w:val="20"/>
              </w:rPr>
              <w:br/>
            </w:r>
            <w:r>
              <w:rPr>
                <w:rFonts w:eastAsia="Times New Roman"/>
                <w:noProof/>
                <w:sz w:val="20"/>
              </w:rPr>
              <w:br/>
            </w:r>
            <w:r>
              <w:rPr>
                <w:noProof/>
                <w:sz w:val="20"/>
              </w:rPr>
              <w:t>(miljonos EUR)</w:t>
            </w:r>
          </w:p>
        </w:tc>
        <w:tc>
          <w:tcPr>
            <w:tcW w:w="1559" w:type="dxa"/>
            <w:gridSpan w:val="3"/>
          </w:tcPr>
          <w:p>
            <w:pPr>
              <w:spacing w:before="0" w:after="0"/>
              <w:jc w:val="center"/>
              <w:rPr>
                <w:rFonts w:eastAsia="Times New Roman"/>
                <w:noProof/>
                <w:sz w:val="20"/>
              </w:rPr>
            </w:pPr>
            <w:r>
              <w:rPr>
                <w:noProof/>
                <w:sz w:val="20"/>
              </w:rPr>
              <w:t>KĀRTĒJAIS FINANŠU GADS</w:t>
            </w:r>
          </w:p>
          <w:p>
            <w:pPr>
              <w:spacing w:before="0" w:after="0"/>
              <w:jc w:val="center"/>
              <w:rPr>
                <w:rFonts w:eastAsia="Times New Roman"/>
                <w:noProof/>
                <w:sz w:val="20"/>
              </w:rPr>
            </w:pPr>
            <w:r>
              <w:rPr>
                <w:noProof/>
                <w:sz w:val="20"/>
              </w:rPr>
              <w:t>2018</w:t>
            </w:r>
          </w:p>
          <w:p>
            <w:pPr>
              <w:spacing w:before="0" w:after="0"/>
              <w:jc w:val="center"/>
              <w:rPr>
                <w:rFonts w:eastAsia="Times New Roman"/>
                <w:noProof/>
                <w:sz w:val="20"/>
              </w:rPr>
            </w:pPr>
            <w:r>
              <w:rPr>
                <w:noProof/>
                <w:sz w:val="20"/>
              </w:rPr>
              <w:t>(miljonos EUR)</w:t>
            </w:r>
          </w:p>
        </w:tc>
        <w:tc>
          <w:tcPr>
            <w:tcW w:w="1701" w:type="dxa"/>
            <w:gridSpan w:val="2"/>
          </w:tcPr>
          <w:p>
            <w:pPr>
              <w:spacing w:before="0" w:after="0"/>
              <w:jc w:val="center"/>
              <w:rPr>
                <w:rFonts w:eastAsia="Times New Roman"/>
                <w:noProof/>
                <w:sz w:val="20"/>
              </w:rPr>
            </w:pPr>
            <w:r>
              <w:rPr>
                <w:noProof/>
                <w:sz w:val="20"/>
              </w:rPr>
              <w:t>NĀKAMAIS FINANŠU GADS</w:t>
            </w:r>
          </w:p>
          <w:p>
            <w:pPr>
              <w:spacing w:before="0" w:after="0"/>
              <w:jc w:val="center"/>
              <w:rPr>
                <w:rFonts w:eastAsia="Times New Roman"/>
                <w:noProof/>
                <w:sz w:val="20"/>
              </w:rPr>
            </w:pPr>
            <w:r>
              <w:rPr>
                <w:noProof/>
                <w:sz w:val="20"/>
              </w:rPr>
              <w:t>2019</w:t>
            </w:r>
          </w:p>
          <w:p>
            <w:pPr>
              <w:spacing w:before="0" w:after="0"/>
              <w:jc w:val="center"/>
              <w:rPr>
                <w:rFonts w:eastAsia="Times New Roman"/>
                <w:noProof/>
                <w:sz w:val="20"/>
              </w:rPr>
            </w:pPr>
            <w:r>
              <w:rPr>
                <w:noProof/>
                <w:sz w:val="20"/>
              </w:rPr>
              <w:t>(miljonos EUR)</w:t>
            </w:r>
          </w:p>
        </w:tc>
      </w:tr>
      <w:tr>
        <w:tc>
          <w:tcPr>
            <w:tcW w:w="567" w:type="dxa"/>
            <w:tcBorders>
              <w:bottom w:val="nil"/>
              <w:right w:val="nil"/>
            </w:tcBorders>
          </w:tcPr>
          <w:p>
            <w:pPr>
              <w:spacing w:before="0" w:after="0"/>
              <w:jc w:val="left"/>
              <w:rPr>
                <w:rFonts w:eastAsia="Times New Roman"/>
                <w:noProof/>
                <w:sz w:val="20"/>
              </w:rPr>
            </w:pPr>
            <w:r>
              <w:rPr>
                <w:noProof/>
                <w:sz w:val="20"/>
              </w:rPr>
              <w:t>5.0.</w:t>
            </w:r>
          </w:p>
        </w:tc>
        <w:tc>
          <w:tcPr>
            <w:tcW w:w="3884" w:type="dxa"/>
            <w:tcBorders>
              <w:left w:val="nil"/>
            </w:tcBorders>
          </w:tcPr>
          <w:p>
            <w:pPr>
              <w:spacing w:before="0" w:after="0"/>
              <w:jc w:val="left"/>
              <w:rPr>
                <w:rFonts w:eastAsia="Times New Roman"/>
                <w:noProof/>
                <w:sz w:val="20"/>
              </w:rPr>
            </w:pPr>
            <w:r>
              <w:rPr>
                <w:noProof/>
                <w:sz w:val="20"/>
              </w:rPr>
              <w:t>IZDEVUMI</w:t>
            </w:r>
          </w:p>
          <w:p>
            <w:pPr>
              <w:spacing w:before="0" w:after="0"/>
              <w:jc w:val="left"/>
              <w:rPr>
                <w:rFonts w:eastAsia="Times New Roman"/>
                <w:noProof/>
                <w:sz w:val="20"/>
              </w:rPr>
            </w:pPr>
            <w:r>
              <w:rPr>
                <w:noProof/>
                <w:sz w:val="20"/>
              </w:rPr>
              <w:t>-</w:t>
            </w:r>
            <w:r>
              <w:rPr>
                <w:noProof/>
              </w:rPr>
              <w:tab/>
            </w:r>
            <w:r>
              <w:rPr>
                <w:noProof/>
                <w:sz w:val="20"/>
              </w:rPr>
              <w:t>KO SEDZ NO ES BUDŽETA</w:t>
            </w:r>
            <w:r>
              <w:rPr>
                <w:rFonts w:eastAsia="Times New Roman"/>
                <w:noProof/>
                <w:sz w:val="20"/>
              </w:rPr>
              <w:br/>
            </w:r>
            <w:r>
              <w:rPr>
                <w:noProof/>
                <w:sz w:val="20"/>
              </w:rPr>
              <w:t>(KOMPENSĀCIJAS/INTERVENCES PASĀKUMI)</w:t>
            </w:r>
          </w:p>
          <w:p>
            <w:pPr>
              <w:spacing w:before="0" w:after="0"/>
              <w:jc w:val="left"/>
              <w:rPr>
                <w:rFonts w:eastAsia="Times New Roman"/>
                <w:noProof/>
                <w:sz w:val="20"/>
              </w:rPr>
            </w:pPr>
            <w:r>
              <w:rPr>
                <w:noProof/>
                <w:sz w:val="20"/>
              </w:rPr>
              <w:t>-</w:t>
            </w:r>
            <w:r>
              <w:rPr>
                <w:noProof/>
              </w:rPr>
              <w:tab/>
            </w:r>
            <w:r>
              <w:rPr>
                <w:noProof/>
                <w:sz w:val="20"/>
              </w:rPr>
              <w:t>VALSTU IESTĀDES</w:t>
            </w:r>
          </w:p>
          <w:p>
            <w:pPr>
              <w:spacing w:before="0" w:after="0"/>
              <w:jc w:val="left"/>
              <w:rPr>
                <w:rFonts w:eastAsia="Times New Roman"/>
                <w:noProof/>
                <w:sz w:val="20"/>
              </w:rPr>
            </w:pPr>
            <w:r>
              <w:rPr>
                <w:noProof/>
                <w:sz w:val="20"/>
              </w:rPr>
              <w:t>-</w:t>
            </w:r>
            <w:r>
              <w:rPr>
                <w:noProof/>
              </w:rPr>
              <w:tab/>
            </w:r>
            <w:r>
              <w:rPr>
                <w:noProof/>
                <w:sz w:val="20"/>
              </w:rPr>
              <w:t>CITI</w:t>
            </w:r>
          </w:p>
        </w:tc>
        <w:tc>
          <w:tcPr>
            <w:tcW w:w="1417" w:type="dxa"/>
            <w:gridSpan w:val="2"/>
          </w:tcPr>
          <w:p>
            <w:pPr>
              <w:spacing w:before="0" w:after="0"/>
              <w:jc w:val="center"/>
              <w:rPr>
                <w:rFonts w:eastAsia="Times New Roman"/>
                <w:noProof/>
                <w:sz w:val="20"/>
              </w:rPr>
            </w:pPr>
          </w:p>
          <w:p>
            <w:pPr>
              <w:spacing w:before="0" w:after="0"/>
              <w:jc w:val="right"/>
              <w:rPr>
                <w:rFonts w:eastAsia="Times New Roman"/>
                <w:noProof/>
                <w:sz w:val="20"/>
              </w:rPr>
            </w:pPr>
          </w:p>
        </w:tc>
        <w:tc>
          <w:tcPr>
            <w:tcW w:w="1559" w:type="dxa"/>
            <w:gridSpan w:val="3"/>
          </w:tcPr>
          <w:p>
            <w:pPr>
              <w:spacing w:before="0" w:after="0"/>
              <w:jc w:val="center"/>
              <w:rPr>
                <w:rFonts w:eastAsia="Times New Roman"/>
                <w:noProof/>
                <w:sz w:val="20"/>
              </w:rPr>
            </w:pPr>
            <w:r>
              <w:rPr>
                <w:noProof/>
                <w:sz w:val="20"/>
              </w:rPr>
              <w:t>neattiecas</w:t>
            </w:r>
          </w:p>
        </w:tc>
        <w:tc>
          <w:tcPr>
            <w:tcW w:w="1701" w:type="dxa"/>
            <w:gridSpan w:val="2"/>
          </w:tcPr>
          <w:p>
            <w:pPr>
              <w:spacing w:before="0" w:after="0"/>
              <w:jc w:val="center"/>
              <w:rPr>
                <w:rFonts w:eastAsia="Times New Roman"/>
                <w:noProof/>
                <w:sz w:val="20"/>
              </w:rPr>
            </w:pPr>
            <w:r>
              <w:rPr>
                <w:noProof/>
                <w:sz w:val="20"/>
              </w:rPr>
              <w:t>neattiecas</w:t>
            </w:r>
          </w:p>
          <w:p>
            <w:pPr>
              <w:spacing w:before="0" w:after="0"/>
              <w:jc w:val="right"/>
              <w:rPr>
                <w:rFonts w:eastAsia="Times New Roman"/>
                <w:noProof/>
                <w:sz w:val="20"/>
              </w:rPr>
            </w:pPr>
          </w:p>
        </w:tc>
      </w:tr>
      <w:tr>
        <w:tc>
          <w:tcPr>
            <w:tcW w:w="567" w:type="dxa"/>
            <w:tcBorders>
              <w:right w:val="nil"/>
            </w:tcBorders>
          </w:tcPr>
          <w:p>
            <w:pPr>
              <w:spacing w:before="0" w:after="0"/>
              <w:jc w:val="left"/>
              <w:rPr>
                <w:rFonts w:eastAsia="Times New Roman"/>
                <w:noProof/>
                <w:sz w:val="20"/>
              </w:rPr>
            </w:pPr>
            <w:r>
              <w:rPr>
                <w:noProof/>
                <w:sz w:val="20"/>
              </w:rPr>
              <w:t>5.1.</w:t>
            </w:r>
          </w:p>
        </w:tc>
        <w:tc>
          <w:tcPr>
            <w:tcW w:w="3884" w:type="dxa"/>
            <w:tcBorders>
              <w:left w:val="nil"/>
            </w:tcBorders>
          </w:tcPr>
          <w:p>
            <w:pPr>
              <w:spacing w:before="0" w:after="0"/>
              <w:jc w:val="left"/>
              <w:rPr>
                <w:rFonts w:eastAsia="Times New Roman"/>
                <w:noProof/>
                <w:sz w:val="20"/>
              </w:rPr>
            </w:pPr>
            <w:r>
              <w:rPr>
                <w:noProof/>
                <w:sz w:val="20"/>
              </w:rPr>
              <w:t>IEŅĒMUMI</w:t>
            </w:r>
          </w:p>
          <w:p>
            <w:pPr>
              <w:spacing w:before="0" w:after="0"/>
              <w:jc w:val="left"/>
              <w:rPr>
                <w:rFonts w:eastAsia="Times New Roman"/>
                <w:noProof/>
                <w:sz w:val="20"/>
              </w:rPr>
            </w:pPr>
            <w:r>
              <w:rPr>
                <w:noProof/>
                <w:sz w:val="20"/>
              </w:rPr>
              <w:t>-</w:t>
            </w:r>
            <w:r>
              <w:rPr>
                <w:noProof/>
              </w:rPr>
              <w:tab/>
            </w:r>
            <w:r>
              <w:rPr>
                <w:noProof/>
                <w:sz w:val="20"/>
              </w:rPr>
              <w:t xml:space="preserve">ES PAŠU RESURSI </w:t>
            </w:r>
            <w:r>
              <w:rPr>
                <w:rFonts w:eastAsia="Times New Roman"/>
                <w:noProof/>
                <w:sz w:val="20"/>
              </w:rPr>
              <w:br/>
            </w:r>
            <w:r>
              <w:rPr>
                <w:noProof/>
                <w:sz w:val="20"/>
              </w:rPr>
              <w:t xml:space="preserve">(MAKSĀJUMI/MUITAS NODOKĻI) </w:t>
            </w:r>
          </w:p>
          <w:p>
            <w:pPr>
              <w:spacing w:before="0" w:after="0"/>
              <w:jc w:val="left"/>
              <w:rPr>
                <w:rFonts w:eastAsia="Times New Roman"/>
                <w:noProof/>
                <w:sz w:val="20"/>
              </w:rPr>
            </w:pPr>
            <w:r>
              <w:rPr>
                <w:noProof/>
                <w:sz w:val="20"/>
              </w:rPr>
              <w:t>-</w:t>
            </w:r>
            <w:r>
              <w:rPr>
                <w:noProof/>
              </w:rPr>
              <w:tab/>
            </w:r>
            <w:r>
              <w:rPr>
                <w:noProof/>
                <w:sz w:val="20"/>
              </w:rPr>
              <w:t>VALSTU</w:t>
            </w:r>
          </w:p>
        </w:tc>
        <w:tc>
          <w:tcPr>
            <w:tcW w:w="1417" w:type="dxa"/>
            <w:gridSpan w:val="2"/>
          </w:tcPr>
          <w:p>
            <w:pPr>
              <w:spacing w:before="0" w:after="0"/>
              <w:jc w:val="center"/>
              <w:rPr>
                <w:rFonts w:eastAsia="Times New Roman"/>
                <w:noProof/>
                <w:sz w:val="20"/>
              </w:rPr>
            </w:pPr>
          </w:p>
        </w:tc>
        <w:tc>
          <w:tcPr>
            <w:tcW w:w="1559" w:type="dxa"/>
            <w:gridSpan w:val="3"/>
          </w:tcPr>
          <w:p>
            <w:pPr>
              <w:spacing w:before="0" w:after="0"/>
              <w:jc w:val="center"/>
              <w:rPr>
                <w:rFonts w:eastAsia="Times New Roman"/>
                <w:noProof/>
                <w:sz w:val="20"/>
              </w:rPr>
            </w:pPr>
          </w:p>
        </w:tc>
        <w:tc>
          <w:tcPr>
            <w:tcW w:w="1701" w:type="dxa"/>
            <w:gridSpan w:val="2"/>
          </w:tcPr>
          <w:p>
            <w:pPr>
              <w:spacing w:before="0" w:after="0"/>
              <w:jc w:val="center"/>
              <w:rPr>
                <w:rFonts w:eastAsia="Times New Roman"/>
                <w:noProof/>
                <w:sz w:val="20"/>
              </w:rPr>
            </w:pPr>
          </w:p>
        </w:tc>
      </w:tr>
      <w:tr>
        <w:tc>
          <w:tcPr>
            <w:tcW w:w="567" w:type="dxa"/>
            <w:tcBorders>
              <w:bottom w:val="nil"/>
              <w:right w:val="nil"/>
            </w:tcBorders>
          </w:tcPr>
          <w:p>
            <w:pPr>
              <w:spacing w:before="0" w:after="0"/>
              <w:jc w:val="left"/>
              <w:rPr>
                <w:rFonts w:eastAsia="Times New Roman"/>
                <w:noProof/>
                <w:sz w:val="20"/>
              </w:rPr>
            </w:pPr>
          </w:p>
        </w:tc>
        <w:tc>
          <w:tcPr>
            <w:tcW w:w="3884" w:type="dxa"/>
            <w:tcBorders>
              <w:left w:val="nil"/>
              <w:bottom w:val="nil"/>
            </w:tcBorders>
          </w:tcPr>
          <w:p>
            <w:pPr>
              <w:spacing w:before="0" w:after="0"/>
              <w:jc w:val="left"/>
              <w:rPr>
                <w:rFonts w:eastAsia="Times New Roman"/>
                <w:noProof/>
                <w:sz w:val="20"/>
              </w:rPr>
            </w:pPr>
          </w:p>
        </w:tc>
        <w:tc>
          <w:tcPr>
            <w:tcW w:w="1275" w:type="dxa"/>
            <w:tcBorders>
              <w:bottom w:val="nil"/>
            </w:tcBorders>
          </w:tcPr>
          <w:p>
            <w:pPr>
              <w:spacing w:before="0" w:after="0"/>
              <w:jc w:val="center"/>
              <w:rPr>
                <w:rFonts w:eastAsia="Times New Roman"/>
                <w:noProof/>
                <w:sz w:val="20"/>
              </w:rPr>
            </w:pPr>
            <w:r>
              <w:rPr>
                <w:noProof/>
                <w:sz w:val="20"/>
              </w:rPr>
              <w:t>2017</w:t>
            </w:r>
          </w:p>
        </w:tc>
        <w:tc>
          <w:tcPr>
            <w:tcW w:w="1276" w:type="dxa"/>
            <w:gridSpan w:val="2"/>
            <w:tcBorders>
              <w:bottom w:val="nil"/>
            </w:tcBorders>
          </w:tcPr>
          <w:p>
            <w:pPr>
              <w:spacing w:before="0" w:after="0"/>
              <w:jc w:val="center"/>
              <w:rPr>
                <w:rFonts w:eastAsia="Times New Roman"/>
                <w:noProof/>
                <w:sz w:val="20"/>
              </w:rPr>
            </w:pPr>
            <w:r>
              <w:rPr>
                <w:noProof/>
                <w:sz w:val="20"/>
              </w:rPr>
              <w:t>2018</w:t>
            </w:r>
          </w:p>
        </w:tc>
        <w:tc>
          <w:tcPr>
            <w:tcW w:w="992" w:type="dxa"/>
            <w:gridSpan w:val="3"/>
            <w:tcBorders>
              <w:bottom w:val="nil"/>
            </w:tcBorders>
          </w:tcPr>
          <w:p>
            <w:pPr>
              <w:spacing w:before="0" w:after="0"/>
              <w:jc w:val="center"/>
              <w:rPr>
                <w:rFonts w:eastAsia="Times New Roman"/>
                <w:noProof/>
                <w:sz w:val="20"/>
              </w:rPr>
            </w:pPr>
            <w:r>
              <w:rPr>
                <w:noProof/>
                <w:sz w:val="20"/>
              </w:rPr>
              <w:t>2019</w:t>
            </w:r>
          </w:p>
        </w:tc>
        <w:tc>
          <w:tcPr>
            <w:tcW w:w="1134" w:type="dxa"/>
            <w:tcBorders>
              <w:bottom w:val="nil"/>
            </w:tcBorders>
          </w:tcPr>
          <w:p>
            <w:pPr>
              <w:spacing w:before="0" w:after="0"/>
              <w:jc w:val="center"/>
              <w:rPr>
                <w:rFonts w:eastAsia="Times New Roman"/>
                <w:noProof/>
                <w:sz w:val="20"/>
              </w:rPr>
            </w:pPr>
            <w:r>
              <w:rPr>
                <w:noProof/>
                <w:sz w:val="20"/>
              </w:rPr>
              <w:t>2020</w:t>
            </w:r>
          </w:p>
        </w:tc>
      </w:tr>
      <w:tr>
        <w:tc>
          <w:tcPr>
            <w:tcW w:w="567" w:type="dxa"/>
            <w:tcBorders>
              <w:top w:val="nil"/>
              <w:bottom w:val="nil"/>
              <w:right w:val="nil"/>
            </w:tcBorders>
          </w:tcPr>
          <w:p>
            <w:pPr>
              <w:spacing w:before="0" w:after="0"/>
              <w:jc w:val="left"/>
              <w:rPr>
                <w:rFonts w:eastAsia="Times New Roman"/>
                <w:noProof/>
                <w:sz w:val="20"/>
              </w:rPr>
            </w:pPr>
            <w:r>
              <w:rPr>
                <w:noProof/>
                <w:sz w:val="20"/>
              </w:rPr>
              <w:t>5.0.1.</w:t>
            </w:r>
          </w:p>
        </w:tc>
        <w:tc>
          <w:tcPr>
            <w:tcW w:w="3884" w:type="dxa"/>
            <w:tcBorders>
              <w:top w:val="nil"/>
              <w:left w:val="nil"/>
              <w:bottom w:val="nil"/>
            </w:tcBorders>
          </w:tcPr>
          <w:p>
            <w:pPr>
              <w:spacing w:before="0" w:after="0"/>
              <w:jc w:val="left"/>
              <w:rPr>
                <w:rFonts w:eastAsia="Times New Roman"/>
                <w:noProof/>
                <w:sz w:val="20"/>
              </w:rPr>
            </w:pPr>
            <w:r>
              <w:rPr>
                <w:noProof/>
                <w:sz w:val="20"/>
              </w:rPr>
              <w:t>PAREDZAMIE IZDEVUMI</w:t>
            </w:r>
          </w:p>
        </w:tc>
        <w:tc>
          <w:tcPr>
            <w:tcW w:w="1275" w:type="dxa"/>
            <w:tcBorders>
              <w:bottom w:val="nil"/>
            </w:tcBorders>
          </w:tcPr>
          <w:p>
            <w:pPr>
              <w:spacing w:before="0" w:after="0"/>
              <w:jc w:val="center"/>
              <w:rPr>
                <w:rFonts w:eastAsia="Times New Roman"/>
                <w:noProof/>
                <w:sz w:val="20"/>
              </w:rPr>
            </w:pPr>
          </w:p>
        </w:tc>
        <w:tc>
          <w:tcPr>
            <w:tcW w:w="1276" w:type="dxa"/>
            <w:gridSpan w:val="2"/>
            <w:tcBorders>
              <w:bottom w:val="nil"/>
            </w:tcBorders>
          </w:tcPr>
          <w:p>
            <w:pPr>
              <w:spacing w:before="0" w:after="0"/>
              <w:jc w:val="center"/>
              <w:rPr>
                <w:rFonts w:eastAsia="Times New Roman"/>
                <w:noProof/>
                <w:sz w:val="20"/>
              </w:rPr>
            </w:pPr>
          </w:p>
        </w:tc>
        <w:tc>
          <w:tcPr>
            <w:tcW w:w="992" w:type="dxa"/>
            <w:gridSpan w:val="3"/>
            <w:tcBorders>
              <w:bottom w:val="nil"/>
            </w:tcBorders>
          </w:tcPr>
          <w:p>
            <w:pPr>
              <w:spacing w:before="0" w:after="0"/>
              <w:jc w:val="center"/>
              <w:rPr>
                <w:rFonts w:eastAsia="Times New Roman"/>
                <w:noProof/>
                <w:sz w:val="20"/>
              </w:rPr>
            </w:pPr>
          </w:p>
        </w:tc>
        <w:tc>
          <w:tcPr>
            <w:tcW w:w="1134" w:type="dxa"/>
            <w:tcBorders>
              <w:bottom w:val="nil"/>
            </w:tcBorders>
          </w:tcPr>
          <w:p>
            <w:pPr>
              <w:spacing w:before="0" w:after="0"/>
              <w:jc w:val="center"/>
              <w:rPr>
                <w:rFonts w:eastAsia="Times New Roman"/>
                <w:noProof/>
                <w:sz w:val="20"/>
              </w:rPr>
            </w:pPr>
          </w:p>
        </w:tc>
      </w:tr>
      <w:tr>
        <w:tc>
          <w:tcPr>
            <w:tcW w:w="567" w:type="dxa"/>
            <w:tcBorders>
              <w:top w:val="nil"/>
              <w:right w:val="nil"/>
            </w:tcBorders>
          </w:tcPr>
          <w:p>
            <w:pPr>
              <w:spacing w:before="0" w:after="0"/>
              <w:jc w:val="left"/>
              <w:rPr>
                <w:rFonts w:eastAsia="Times New Roman"/>
                <w:noProof/>
                <w:sz w:val="20"/>
              </w:rPr>
            </w:pPr>
            <w:r>
              <w:rPr>
                <w:noProof/>
                <w:sz w:val="20"/>
              </w:rPr>
              <w:t>5.1.1.</w:t>
            </w:r>
          </w:p>
        </w:tc>
        <w:tc>
          <w:tcPr>
            <w:tcW w:w="3884" w:type="dxa"/>
            <w:tcBorders>
              <w:top w:val="nil"/>
              <w:left w:val="nil"/>
            </w:tcBorders>
          </w:tcPr>
          <w:p>
            <w:pPr>
              <w:spacing w:before="0" w:after="0"/>
              <w:jc w:val="left"/>
              <w:rPr>
                <w:rFonts w:eastAsia="Times New Roman"/>
                <w:noProof/>
                <w:sz w:val="20"/>
              </w:rPr>
            </w:pPr>
            <w:r>
              <w:rPr>
                <w:noProof/>
                <w:sz w:val="20"/>
              </w:rPr>
              <w:t>PAREDZAMIE IEŅĒMUMI</w:t>
            </w:r>
          </w:p>
        </w:tc>
        <w:tc>
          <w:tcPr>
            <w:tcW w:w="1275" w:type="dxa"/>
            <w:tcBorders>
              <w:top w:val="nil"/>
            </w:tcBorders>
          </w:tcPr>
          <w:p>
            <w:pPr>
              <w:spacing w:before="0" w:after="0"/>
              <w:jc w:val="center"/>
              <w:rPr>
                <w:rFonts w:eastAsia="Times New Roman"/>
                <w:noProof/>
                <w:sz w:val="20"/>
              </w:rPr>
            </w:pPr>
          </w:p>
        </w:tc>
        <w:tc>
          <w:tcPr>
            <w:tcW w:w="1276" w:type="dxa"/>
            <w:gridSpan w:val="2"/>
            <w:tcBorders>
              <w:top w:val="nil"/>
            </w:tcBorders>
          </w:tcPr>
          <w:p>
            <w:pPr>
              <w:spacing w:before="0" w:after="0"/>
              <w:jc w:val="center"/>
              <w:rPr>
                <w:rFonts w:eastAsia="Times New Roman"/>
                <w:noProof/>
                <w:sz w:val="20"/>
              </w:rPr>
            </w:pPr>
          </w:p>
        </w:tc>
        <w:tc>
          <w:tcPr>
            <w:tcW w:w="992" w:type="dxa"/>
            <w:gridSpan w:val="3"/>
            <w:tcBorders>
              <w:top w:val="nil"/>
            </w:tcBorders>
          </w:tcPr>
          <w:p>
            <w:pPr>
              <w:spacing w:before="0" w:after="0"/>
              <w:jc w:val="center"/>
              <w:rPr>
                <w:rFonts w:eastAsia="Times New Roman"/>
                <w:noProof/>
                <w:sz w:val="20"/>
              </w:rPr>
            </w:pPr>
          </w:p>
        </w:tc>
        <w:tc>
          <w:tcPr>
            <w:tcW w:w="1134" w:type="dxa"/>
            <w:tcBorders>
              <w:top w:val="nil"/>
            </w:tcBorders>
          </w:tcPr>
          <w:p>
            <w:pPr>
              <w:spacing w:before="0" w:after="0"/>
              <w:jc w:val="center"/>
              <w:rPr>
                <w:rFonts w:eastAsia="Times New Roman"/>
                <w:noProof/>
                <w:sz w:val="20"/>
              </w:rPr>
            </w:pPr>
          </w:p>
        </w:tc>
      </w:tr>
      <w:tr>
        <w:tc>
          <w:tcPr>
            <w:tcW w:w="567" w:type="dxa"/>
            <w:tcBorders>
              <w:right w:val="nil"/>
            </w:tcBorders>
          </w:tcPr>
          <w:p>
            <w:pPr>
              <w:spacing w:before="0" w:after="0"/>
              <w:jc w:val="left"/>
              <w:rPr>
                <w:rFonts w:eastAsia="Times New Roman"/>
                <w:noProof/>
                <w:sz w:val="20"/>
              </w:rPr>
            </w:pPr>
            <w:r>
              <w:rPr>
                <w:noProof/>
                <w:sz w:val="20"/>
              </w:rPr>
              <w:t>5.2.</w:t>
            </w:r>
          </w:p>
        </w:tc>
        <w:tc>
          <w:tcPr>
            <w:tcW w:w="8561" w:type="dxa"/>
            <w:gridSpan w:val="8"/>
            <w:tcBorders>
              <w:left w:val="nil"/>
            </w:tcBorders>
          </w:tcPr>
          <w:p>
            <w:pPr>
              <w:spacing w:before="60" w:after="60"/>
              <w:jc w:val="left"/>
              <w:rPr>
                <w:rFonts w:eastAsia="Times New Roman"/>
                <w:noProof/>
                <w:sz w:val="20"/>
              </w:rPr>
            </w:pPr>
            <w:r>
              <w:rPr>
                <w:noProof/>
                <w:sz w:val="20"/>
              </w:rPr>
              <w:t>APRĒĶINA METODE:</w:t>
            </w:r>
          </w:p>
          <w:p>
            <w:pPr>
              <w:spacing w:before="60" w:after="60"/>
              <w:jc w:val="left"/>
              <w:rPr>
                <w:rFonts w:eastAsia="Times New Roman"/>
                <w:noProof/>
                <w:sz w:val="20"/>
              </w:rPr>
            </w:pPr>
            <w:r>
              <w:rPr>
                <w:noProof/>
                <w:sz w:val="20"/>
              </w:rPr>
              <w:t>Sk. piezīmes</w:t>
            </w:r>
          </w:p>
        </w:tc>
      </w:tr>
      <w:tr>
        <w:tc>
          <w:tcPr>
            <w:tcW w:w="567" w:type="dxa"/>
            <w:tcBorders>
              <w:bottom w:val="nil"/>
              <w:right w:val="nil"/>
            </w:tcBorders>
          </w:tcPr>
          <w:p>
            <w:pPr>
              <w:spacing w:before="0" w:after="0"/>
              <w:jc w:val="left"/>
              <w:rPr>
                <w:rFonts w:eastAsia="Times New Roman"/>
                <w:noProof/>
                <w:sz w:val="20"/>
              </w:rPr>
            </w:pPr>
            <w:r>
              <w:rPr>
                <w:noProof/>
                <w:sz w:val="20"/>
              </w:rPr>
              <w:t>6.0.</w:t>
            </w:r>
          </w:p>
        </w:tc>
        <w:tc>
          <w:tcPr>
            <w:tcW w:w="7427" w:type="dxa"/>
            <w:gridSpan w:val="7"/>
            <w:tcBorders>
              <w:left w:val="nil"/>
              <w:right w:val="nil"/>
            </w:tcBorders>
          </w:tcPr>
          <w:p>
            <w:pPr>
              <w:spacing w:before="60" w:after="60"/>
              <w:jc w:val="left"/>
              <w:rPr>
                <w:rFonts w:eastAsia="Times New Roman"/>
                <w:noProof/>
                <w:sz w:val="20"/>
              </w:rPr>
            </w:pPr>
            <w:r>
              <w:rPr>
                <w:noProof/>
                <w:sz w:val="20"/>
              </w:rPr>
              <w:t>VAI PROJEKTU VAR FINANSĒT NO APROPRIĀCIJĀM, KAS IERAKSTĪTAS KĀRTĒJĀ BUDŽETA ATTIECĪGAJĀ NODAĻĀ?</w:t>
            </w:r>
          </w:p>
        </w:tc>
        <w:tc>
          <w:tcPr>
            <w:tcW w:w="1134" w:type="dxa"/>
            <w:tcBorders>
              <w:left w:val="nil"/>
              <w:bottom w:val="nil"/>
            </w:tcBorders>
          </w:tcPr>
          <w:p>
            <w:pPr>
              <w:spacing w:before="0" w:after="0"/>
              <w:jc w:val="center"/>
              <w:rPr>
                <w:rFonts w:eastAsia="Times New Roman"/>
                <w:noProof/>
                <w:sz w:val="20"/>
              </w:rPr>
            </w:pPr>
            <w:r>
              <w:rPr>
                <w:noProof/>
                <w:sz w:val="20"/>
              </w:rPr>
              <w:t>neattiecas</w:t>
            </w:r>
          </w:p>
        </w:tc>
      </w:tr>
      <w:tr>
        <w:tc>
          <w:tcPr>
            <w:tcW w:w="567" w:type="dxa"/>
            <w:tcBorders>
              <w:bottom w:val="nil"/>
              <w:right w:val="nil"/>
            </w:tcBorders>
          </w:tcPr>
          <w:p>
            <w:pPr>
              <w:spacing w:before="0" w:after="0"/>
              <w:jc w:val="left"/>
              <w:rPr>
                <w:rFonts w:eastAsia="Times New Roman"/>
                <w:noProof/>
                <w:sz w:val="20"/>
              </w:rPr>
            </w:pPr>
            <w:r>
              <w:rPr>
                <w:noProof/>
                <w:sz w:val="20"/>
              </w:rPr>
              <w:t>6.1.</w:t>
            </w:r>
          </w:p>
        </w:tc>
        <w:tc>
          <w:tcPr>
            <w:tcW w:w="7427" w:type="dxa"/>
            <w:gridSpan w:val="7"/>
            <w:tcBorders>
              <w:left w:val="nil"/>
              <w:right w:val="nil"/>
            </w:tcBorders>
          </w:tcPr>
          <w:p>
            <w:pPr>
              <w:spacing w:before="60" w:after="60"/>
              <w:jc w:val="left"/>
              <w:rPr>
                <w:rFonts w:eastAsia="Times New Roman"/>
                <w:noProof/>
                <w:sz w:val="20"/>
              </w:rPr>
            </w:pPr>
            <w:r>
              <w:rPr>
                <w:noProof/>
                <w:sz w:val="20"/>
              </w:rPr>
              <w:t>VAI PROJEKTU VAR FINANSĒT, VEICOT KĀRTĒJĀ BUDŽETA STARPNODAĻU PĀRVIETOJUMUS?</w:t>
            </w:r>
          </w:p>
        </w:tc>
        <w:tc>
          <w:tcPr>
            <w:tcW w:w="1134" w:type="dxa"/>
            <w:tcBorders>
              <w:left w:val="nil"/>
              <w:bottom w:val="nil"/>
            </w:tcBorders>
          </w:tcPr>
          <w:p>
            <w:pPr>
              <w:spacing w:before="0" w:after="0"/>
              <w:jc w:val="center"/>
              <w:rPr>
                <w:rFonts w:eastAsia="Times New Roman"/>
                <w:noProof/>
                <w:sz w:val="20"/>
              </w:rPr>
            </w:pPr>
            <w:r>
              <w:rPr>
                <w:noProof/>
                <w:sz w:val="20"/>
              </w:rPr>
              <w:t>neattiecas</w:t>
            </w:r>
          </w:p>
        </w:tc>
      </w:tr>
      <w:tr>
        <w:tc>
          <w:tcPr>
            <w:tcW w:w="567" w:type="dxa"/>
            <w:tcBorders>
              <w:bottom w:val="nil"/>
              <w:right w:val="nil"/>
            </w:tcBorders>
          </w:tcPr>
          <w:p>
            <w:pPr>
              <w:spacing w:before="0" w:after="0"/>
              <w:jc w:val="left"/>
              <w:rPr>
                <w:rFonts w:eastAsia="Times New Roman"/>
                <w:noProof/>
                <w:sz w:val="20"/>
              </w:rPr>
            </w:pPr>
            <w:r>
              <w:rPr>
                <w:noProof/>
                <w:sz w:val="20"/>
              </w:rPr>
              <w:t>6.2.</w:t>
            </w:r>
          </w:p>
        </w:tc>
        <w:tc>
          <w:tcPr>
            <w:tcW w:w="7427" w:type="dxa"/>
            <w:gridSpan w:val="7"/>
            <w:tcBorders>
              <w:left w:val="nil"/>
              <w:right w:val="nil"/>
            </w:tcBorders>
          </w:tcPr>
          <w:p>
            <w:pPr>
              <w:spacing w:before="60" w:after="60"/>
              <w:jc w:val="left"/>
              <w:rPr>
                <w:rFonts w:eastAsia="Times New Roman"/>
                <w:noProof/>
                <w:sz w:val="20"/>
              </w:rPr>
            </w:pPr>
            <w:r>
              <w:rPr>
                <w:noProof/>
                <w:sz w:val="20"/>
              </w:rPr>
              <w:t>VAI BŪS VAJADZĪGS PAPILDU BUDŽETS?</w:t>
            </w:r>
          </w:p>
        </w:tc>
        <w:tc>
          <w:tcPr>
            <w:tcW w:w="1134" w:type="dxa"/>
            <w:tcBorders>
              <w:left w:val="nil"/>
              <w:bottom w:val="nil"/>
            </w:tcBorders>
          </w:tcPr>
          <w:p>
            <w:pPr>
              <w:spacing w:before="0" w:after="0"/>
              <w:jc w:val="center"/>
              <w:rPr>
                <w:rFonts w:eastAsia="Times New Roman"/>
                <w:noProof/>
                <w:sz w:val="20"/>
              </w:rPr>
            </w:pPr>
            <w:r>
              <w:rPr>
                <w:noProof/>
                <w:sz w:val="20"/>
              </w:rPr>
              <w:t>NĒ</w:t>
            </w:r>
          </w:p>
        </w:tc>
      </w:tr>
      <w:tr>
        <w:tc>
          <w:tcPr>
            <w:tcW w:w="567" w:type="dxa"/>
            <w:tcBorders>
              <w:right w:val="nil"/>
            </w:tcBorders>
          </w:tcPr>
          <w:p>
            <w:pPr>
              <w:spacing w:before="0" w:after="0"/>
              <w:jc w:val="left"/>
              <w:rPr>
                <w:rFonts w:eastAsia="Times New Roman"/>
                <w:noProof/>
                <w:sz w:val="20"/>
              </w:rPr>
            </w:pPr>
            <w:r>
              <w:rPr>
                <w:noProof/>
                <w:sz w:val="20"/>
              </w:rPr>
              <w:t>6.3.</w:t>
            </w:r>
          </w:p>
        </w:tc>
        <w:tc>
          <w:tcPr>
            <w:tcW w:w="7427" w:type="dxa"/>
            <w:gridSpan w:val="7"/>
            <w:tcBorders>
              <w:left w:val="nil"/>
              <w:right w:val="nil"/>
            </w:tcBorders>
          </w:tcPr>
          <w:p>
            <w:pPr>
              <w:spacing w:before="60" w:after="60"/>
              <w:jc w:val="left"/>
              <w:rPr>
                <w:rFonts w:eastAsia="Times New Roman"/>
                <w:noProof/>
                <w:sz w:val="20"/>
              </w:rPr>
            </w:pPr>
            <w:r>
              <w:rPr>
                <w:noProof/>
                <w:sz w:val="20"/>
              </w:rPr>
              <w:t>VAI APROPRIĀCIJAS BŪS JĀIERAKSTA NĀKAMO GADU BUDŽETOS?</w:t>
            </w:r>
          </w:p>
        </w:tc>
        <w:tc>
          <w:tcPr>
            <w:tcW w:w="1134" w:type="dxa"/>
            <w:tcBorders>
              <w:left w:val="nil"/>
            </w:tcBorders>
          </w:tcPr>
          <w:p>
            <w:pPr>
              <w:spacing w:before="0" w:after="0"/>
              <w:jc w:val="center"/>
              <w:rPr>
                <w:rFonts w:eastAsia="Times New Roman"/>
                <w:noProof/>
                <w:sz w:val="20"/>
              </w:rPr>
            </w:pPr>
            <w:r>
              <w:rPr>
                <w:noProof/>
                <w:sz w:val="20"/>
              </w:rPr>
              <w:t>JĀ (sk. piezīmes)</w:t>
            </w:r>
          </w:p>
        </w:tc>
      </w:tr>
      <w:tr>
        <w:tc>
          <w:tcPr>
            <w:tcW w:w="9128" w:type="dxa"/>
            <w:gridSpan w:val="9"/>
          </w:tcPr>
          <w:p>
            <w:pPr>
              <w:spacing w:before="0" w:after="0"/>
              <w:jc w:val="left"/>
              <w:rPr>
                <w:rFonts w:eastAsia="Times New Roman"/>
                <w:noProof/>
                <w:sz w:val="20"/>
              </w:rPr>
            </w:pPr>
            <w:r>
              <w:rPr>
                <w:noProof/>
                <w:sz w:val="20"/>
              </w:rPr>
              <w:t>PIEZĪMES</w:t>
            </w:r>
          </w:p>
          <w:p>
            <w:pPr>
              <w:spacing w:before="0" w:after="0"/>
              <w:jc w:val="left"/>
              <w:rPr>
                <w:rFonts w:eastAsia="Times New Roman"/>
                <w:noProof/>
                <w:sz w:val="16"/>
                <w:szCs w:val="16"/>
              </w:rPr>
            </w:pPr>
          </w:p>
          <w:p>
            <w:pPr>
              <w:spacing w:before="0"/>
              <w:jc w:val="left"/>
              <w:rPr>
                <w:rFonts w:eastAsia="Times New Roman"/>
                <w:noProof/>
                <w:sz w:val="20"/>
              </w:rPr>
            </w:pPr>
            <w:r>
              <w:rPr>
                <w:noProof/>
                <w:sz w:val="20"/>
              </w:rPr>
              <w:lastRenderedPageBreak/>
              <w:t xml:space="preserve">Ierosinātie grozījumi atbalstā lauku attīstībai saskaņā ar Regulu (ES) Nr. 1305/2013 (ELFLA) attiecas uz 2019.–2021. finanšu gadu, savukārt ierosinātie grozījumi tiešajos maksājumos saskaņā ar Regulu (ES) Nr. 1307/2013 attiecas uz 2020. kalendāro gadu/2021. finanšu gadu. </w:t>
            </w:r>
          </w:p>
          <w:p>
            <w:pPr>
              <w:spacing w:before="0"/>
              <w:jc w:val="left"/>
              <w:rPr>
                <w:rFonts w:eastAsia="Times New Roman"/>
                <w:noProof/>
                <w:sz w:val="20"/>
              </w:rPr>
            </w:pPr>
            <w:r>
              <w:rPr>
                <w:noProof/>
                <w:sz w:val="20"/>
              </w:rPr>
              <w:t xml:space="preserve">Priekšlikumam nav nekādas finansiālās ietekmes uz izdevumu pieaugumu. </w:t>
            </w:r>
          </w:p>
          <w:p>
            <w:pPr>
              <w:spacing w:before="0"/>
              <w:jc w:val="left"/>
              <w:rPr>
                <w:rFonts w:eastAsia="Times New Roman"/>
                <w:noProof/>
                <w:sz w:val="20"/>
              </w:rPr>
            </w:pPr>
            <w:r>
              <w:rPr>
                <w:noProof/>
                <w:sz w:val="20"/>
              </w:rPr>
              <w:t xml:space="preserve">Pašlaik nav iespējams aprēķināt nedz ietekmi, ko rada ierosinātie noteikumi, kuri dod dalībvalstīm iespēju pārvietot summas starp tiešo maksājumu piešķīrumiem 2020. kalendārajā gadā/2021. finanšu gadā un ELFLA 2021. finanšu gadā, nedz arī 2020. kalendārā gada tiešo maksājumu samazināšanas summas aplēses rezultāta pārvietošanu uz ELFLA 2021. finanšu gadā, jo tās būs atkarīgas no dalībvalstu īstenošanas. </w:t>
            </w:r>
          </w:p>
          <w:p>
            <w:pPr>
              <w:spacing w:before="0"/>
              <w:jc w:val="left"/>
              <w:rPr>
                <w:rFonts w:eastAsia="Times New Roman"/>
                <w:noProof/>
                <w:sz w:val="20"/>
              </w:rPr>
            </w:pPr>
            <w:r>
              <w:rPr>
                <w:noProof/>
                <w:sz w:val="20"/>
              </w:rPr>
              <w:t xml:space="preserve">Šādi pārvietojumi jebkurā gadījumā būs neitrāli attiecībā uz kopējām saistību apropriācijām, jo ikviens atskaitījums no tiešo maksājumu piešķīrumiem tiks kompensēts ar atbilstīgu ELFLA piešķīrumu palielinājumu un otrādi. </w:t>
            </w:r>
          </w:p>
          <w:p>
            <w:pPr>
              <w:spacing w:before="0"/>
              <w:jc w:val="left"/>
              <w:rPr>
                <w:rFonts w:eastAsia="Times New Roman"/>
                <w:noProof/>
                <w:sz w:val="20"/>
              </w:rPr>
            </w:pPr>
            <w:r>
              <w:rPr>
                <w:noProof/>
                <w:sz w:val="20"/>
              </w:rPr>
              <w:t xml:space="preserve">Attiecībā uz maksājumu apropriācijām — ja šo noteikumu īstenošana dalībvalstīs iztaisīs neto pārvietošanu uz ELFLA, tas (salīdzinājumā ar situāciju, kurā dalībvalstu īstenošana paredzētu neto pārvietošanu uz tiešo maksājumu piešķīrumiem vai neparedzētu nekādu pārvietošanu) nozīmētu, ka maksājumi no 2021. finanšu gada tiktu nedaudz atlikti uz nākamajiem gadiem. </w:t>
            </w:r>
          </w:p>
          <w:p>
            <w:pPr>
              <w:spacing w:before="0"/>
              <w:jc w:val="left"/>
              <w:rPr>
                <w:rFonts w:eastAsia="Times New Roman"/>
                <w:noProof/>
                <w:sz w:val="20"/>
              </w:rPr>
            </w:pPr>
            <w:r>
              <w:rPr>
                <w:noProof/>
                <w:sz w:val="20"/>
              </w:rPr>
              <w:t>Tomēr šajā posmā šo ietekmi nevar izteikt skaitliski, un ir sagaidāms, ka jebkurā gadījumā tā būs minimāla.</w:t>
            </w:r>
          </w:p>
          <w:p>
            <w:pPr>
              <w:spacing w:before="0"/>
              <w:jc w:val="left"/>
              <w:rPr>
                <w:rFonts w:eastAsia="Times New Roman"/>
                <w:noProof/>
                <w:sz w:val="20"/>
              </w:rPr>
            </w:pPr>
            <w:r>
              <w:rPr>
                <w:noProof/>
                <w:sz w:val="20"/>
              </w:rPr>
              <w:t xml:space="preserve">Piemēram, neskarot dalībvalstu izvēli par 2020. kalendāro gadu/2021. finanšu gadu, 2018. un 2019. finanšu gadam piešķirtā elastība ietver neto pārvietojumus uz ELFLA attiecīgi 612 miljonu euro un 920 miljonu euro apmērā. Samazināšanas summas aplēses rezultāta pārvietojumi tajos pašos finanšu gados uz ELFLA ir attiecīgi 110 miljoni euro un 111 miljoni euro. </w:t>
            </w:r>
          </w:p>
          <w:p>
            <w:pPr>
              <w:spacing w:before="0"/>
              <w:jc w:val="left"/>
              <w:rPr>
                <w:rFonts w:eastAsia="Times New Roman"/>
                <w:noProof/>
                <w:sz w:val="20"/>
              </w:rPr>
            </w:pPr>
            <w:r>
              <w:rPr>
                <w:noProof/>
                <w:sz w:val="20"/>
              </w:rPr>
              <w:t>Ņemot vērā iepriekšējo pieredzi un 2021.–2027. gadam ierosinātos budžeta līdzekļus, neto pārvietojums uz ELGF ir maz ticams; tomēr šajā posmā to nevar pilnībā izslēgt. Šādā gadījumā, lai ievērotu piemērojamos maksimālos apjomus, zemāka prioritāte būtu jāpiešķir diferencētiem izdevumiem, piemēram, maksājumiem saskaņā ar ELFLA.</w:t>
            </w:r>
          </w:p>
        </w:tc>
      </w:tr>
    </w:tbl>
    <w:p>
      <w:pPr>
        <w:rPr>
          <w:noProof/>
        </w:rPr>
      </w:pP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LV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OV C , , . lpp.</w:t>
      </w:r>
    </w:p>
  </w:footnote>
  <w:footnote w:id="2">
    <w:p>
      <w:pPr>
        <w:pStyle w:val="FootnoteText"/>
      </w:pPr>
      <w:r>
        <w:rPr>
          <w:rStyle w:val="FootnoteReference"/>
        </w:rPr>
        <w:footnoteRef/>
      </w:r>
      <w:r>
        <w:tab/>
        <w:t xml:space="preserve">Eiropas Parlamenta un Padomes 2013. gada 17. decembra Regula (ES) Nr. 1305/2013 par atbalstu lauku attīstībai no Eiropas Lauksaimniecības fonda lauku attīstībai (ELFLA) un ar ko atceļ Padomes Regulu (EK) Nr. 1698/2005 (OV L 347, 20.12.2013., 487. lpp.). </w:t>
      </w:r>
    </w:p>
  </w:footnote>
  <w:footnote w:id="3">
    <w:p>
      <w:pPr>
        <w:pStyle w:val="FootnoteText"/>
      </w:pPr>
      <w:r>
        <w:rPr>
          <w:rStyle w:val="FootnoteReference"/>
        </w:rPr>
        <w:footnoteRef/>
      </w:r>
      <w:r>
        <w:tab/>
        <w:t xml:space="preserve">Eiropas Parlamenta un Padomes 2017. gada 13. decembra Regula (ES) 2017/2393, ar ko groza Regulas (ES) Nr. 1305/2013 par atbalstu lauku attīstībai no Eiropas Lauksaimniecības fonda lauku attīstībai (ELFLA), (ES) Nr. 1306/2013 par kopējās lauksaimniecības politikas finansēšanu, pārvaldību un uzraudzību, (ES) Nr. 1307/2013, ar ko izveido noteikumus par lauksaimniekiem paredzētiem tiešajiem maksājumiem, kurus veic saskaņā ar kopējās lauksaimniecības politikas atbalsta shēmām, (ES) Nr. 1308/2013, ar ko izveido lauksaimniecības produktu tirgu kopīgu organizāciju un (ES) Nr. 652/2014, ar ko paredz noteikumus tādu izdevumu pārvaldībai, kuri attiecas uz pārtikas apriti, dzīvnieku veselību un dzīvnieku labturību, augu veselību un augu reproduktīvo materiālu (OV L 350, 29.12.2017., 15. lpp.). </w:t>
      </w:r>
    </w:p>
  </w:footnote>
  <w:footnote w:id="4">
    <w:p>
      <w:pPr>
        <w:pStyle w:val="FootnoteText"/>
      </w:pPr>
      <w:r>
        <w:rPr>
          <w:rStyle w:val="FootnoteReference"/>
        </w:rPr>
        <w:footnoteRef/>
      </w:r>
      <w:r>
        <w:tab/>
        <w:t>Eiropas Parlamenta un Padomes 2013. gada 17. decembra Regula (ES) Nr. 1307/2013, ar ko izveido noteikumus par lauksaimniekiem paredzētiem tiešajiem maksājumiem, kurus veic saskaņā ar kopējās lauksaimniecības politikas atbalsta shēmām, un ar ko atceļ Padomes Regulu (EK) Nr. 637/2008 un Padomes Regulu (EK) Nr. 73/2009 (OV L 347, 20.12.2013., 608. lpp.).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618911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B40E902"/>
    <w:lvl w:ilvl="0">
      <w:start w:val="1"/>
      <w:numFmt w:val="decimal"/>
      <w:pStyle w:val="ListNumber3"/>
      <w:lvlText w:val="%1."/>
      <w:lvlJc w:val="left"/>
      <w:pPr>
        <w:tabs>
          <w:tab w:val="num" w:pos="926"/>
        </w:tabs>
        <w:ind w:left="926" w:hanging="360"/>
      </w:pPr>
    </w:lvl>
  </w:abstractNum>
  <w:abstractNum w:abstractNumId="2">
    <w:nsid w:val="FFFFFF7F"/>
    <w:multiLevelType w:val="singleLevel"/>
    <w:tmpl w:val="1514E0BA"/>
    <w:lvl w:ilvl="0">
      <w:start w:val="1"/>
      <w:numFmt w:val="decimal"/>
      <w:pStyle w:val="ListNumber2"/>
      <w:lvlText w:val="%1."/>
      <w:lvlJc w:val="left"/>
      <w:pPr>
        <w:tabs>
          <w:tab w:val="num" w:pos="643"/>
        </w:tabs>
        <w:ind w:left="643" w:hanging="360"/>
      </w:pPr>
    </w:lvl>
  </w:abstractNum>
  <w:abstractNum w:abstractNumId="3">
    <w:nsid w:val="FFFFFF81"/>
    <w:multiLevelType w:val="singleLevel"/>
    <w:tmpl w:val="7EDE8B9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7D0753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EFADB1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5B20E9A"/>
    <w:lvl w:ilvl="0">
      <w:start w:val="1"/>
      <w:numFmt w:val="decimal"/>
      <w:pStyle w:val="ListNumber"/>
      <w:lvlText w:val="%1."/>
      <w:lvlJc w:val="left"/>
      <w:pPr>
        <w:tabs>
          <w:tab w:val="num" w:pos="360"/>
        </w:tabs>
        <w:ind w:left="360" w:hanging="360"/>
      </w:pPr>
    </w:lvl>
  </w:abstractNum>
  <w:abstractNum w:abstractNumId="7">
    <w:nsid w:val="FFFFFF89"/>
    <w:multiLevelType w:val="singleLevel"/>
    <w:tmpl w:val="31784AA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4"/>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hideSpellingErrors/>
  <w:hideGrammaticalErrors/>
  <w:attachedTemplate r:id="rId1"/>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2-07 15:18:18"/>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9"/>
    <w:docVar w:name="DQCResult_ModifiedMarkers" w:val="0;0"/>
    <w:docVar w:name="DQCResult_ModifiedNumbering" w:val="0;0"/>
    <w:docVar w:name="DQCResult_Objects" w:val="0;0"/>
    <w:docVar w:name="DQCResult_Sections" w:val="0;0"/>
    <w:docVar w:name="DQCResult_StructureCheck" w:val="0;0"/>
    <w:docVar w:name="DQCResult_SuperfluousWhitespace" w:val="0;14"/>
    <w:docVar w:name="DQCResult_UnknownFonts" w:val="0;0"/>
    <w:docVar w:name="DQCResult_UnknownStyles" w:val="0;4"/>
    <w:docVar w:name="DQCStatus" w:val="Green"/>
    <w:docVar w:name="DQCVersion" w:val="3"/>
    <w:docVar w:name="DQCWithWarnings" w:val="0"/>
    <w:docVar w:name="LW_CORRIGENDUM" w:val="&lt;UNUSED&gt;"/>
    <w:docVar w:name="LW_COVERPAGE_EXISTS" w:val="True"/>
    <w:docVar w:name="LW_COVERPAGE_GUID" w:val="F6440919-09EE-4C31-9C55-AB8CB4F67B82"/>
    <w:docVar w:name="LW_COVERPAGE_TYPE" w:val="1"/>
    <w:docVar w:name="LW_CROSSREFERENCE" w:val="&lt;UNUSED&gt;"/>
    <w:docVar w:name="LW_DocType" w:val="COM"/>
    <w:docVar w:name="LW_EMISSION" w:val="7.12.2018"/>
    <w:docVar w:name="LW_EMISSION_ISODATE" w:val="2018-12-07"/>
    <w:docVar w:name="LW_EMISSION_LOCATION" w:val="BRX"/>
    <w:docVar w:name="LW_EMISSION_PREFIX" w:val="Briselē,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OD"/>
    <w:docVar w:name="LW_REF.II.NEW.CP_NUMBER" w:val="0414"/>
    <w:docVar w:name="LW_REF.II.NEW.CP_YEAR" w:val="2018"/>
    <w:docVar w:name="LW_REF.INST.NEW" w:val="COM"/>
    <w:docVar w:name="LW_REF.INST.NEW_ADOPTED" w:val="final"/>
    <w:docVar w:name="LW_REF.INST.NEW_TEXT" w:val="(2018) 8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iek\u353?likums"/>
    <w:docVar w:name="LW_SUPERTITRE" w:val="&lt;UNUSED&gt;"/>
    <w:docVar w:name="LW_TITRE.OBJ.CP" w:val="ar ko Regulas (ES) Nr. 1305/2013 un (ES) Nr. 1307/2013 groza attiec\u299?b\u257? uz konkr\u275?tiem noteikumiem par tie\u353?ajiem maks\u257?jumiem un atbalstu lauku att\u299?st\u299?bai 2019. un 2020. gad\u257? "/>
    <w:docVar w:name="LW_TYPE.DOC.CP" w:val="EIROPAS PARLAMENTA UN PADOMES REGUL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ManualHeading2g1">
    <w:name w:val="Manual Heading 2g 1"/>
    <w:basedOn w:val="ManualHeading1"/>
    <w:rPr>
      <w:noProof/>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v-LV"/>
    </w:rPr>
  </w:style>
  <w:style w:type="character" w:styleId="Strong">
    <w:name w:val="Strong"/>
    <w:basedOn w:val="DefaultParagraphFont"/>
    <w:uiPriority w:val="22"/>
    <w:qFormat/>
    <w:rPr>
      <w:b/>
      <w:bCs/>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ManualHeading2g1">
    <w:name w:val="Manual Heading 2g 1"/>
    <w:basedOn w:val="ManualHeading1"/>
    <w:rPr>
      <w:noProof/>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v-LV"/>
    </w:rPr>
  </w:style>
  <w:style w:type="character" w:styleId="Strong">
    <w:name w:val="Strong"/>
    <w:basedOn w:val="DefaultParagraphFont"/>
    <w:uiPriority w:val="22"/>
    <w:qFormat/>
    <w:rPr>
      <w:b/>
      <w:bCs/>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06901">
      <w:bodyDiv w:val="1"/>
      <w:marLeft w:val="0"/>
      <w:marRight w:val="0"/>
      <w:marTop w:val="0"/>
      <w:marBottom w:val="0"/>
      <w:divBdr>
        <w:top w:val="none" w:sz="0" w:space="0" w:color="auto"/>
        <w:left w:val="none" w:sz="0" w:space="0" w:color="auto"/>
        <w:bottom w:val="none" w:sz="0" w:space="0" w:color="auto"/>
        <w:right w:val="none" w:sz="0" w:space="0" w:color="auto"/>
      </w:divBdr>
    </w:div>
    <w:div w:id="166300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A1D959551336834BAE63FDF645310974" ma:contentTypeVersion="0" ma:contentTypeDescription="Create a new document in this library." ma:contentTypeScope="" ma:versionID="2c0d669f53e33e182a613a132957d548">
  <xsd:schema xmlns:xsd="http://www.w3.org/2001/XMLSchema" xmlns:xs="http://www.w3.org/2001/XMLSchema" xmlns:p="http://schemas.microsoft.com/office/2006/metadata/properties" xmlns:ns2="http://schemas.microsoft.com/sharepoint/v3/fields" xmlns:ns3="43420428-275f-4ab9-a918-4cdd10fcb441" targetNamespace="http://schemas.microsoft.com/office/2006/metadata/properties" ma:root="true" ma:fieldsID="1a90ed334c09365c6decdcb9b9653cfd" ns2:_="" ns3:_="">
    <xsd:import namespace="http://schemas.microsoft.com/sharepoint/v3/fields"/>
    <xsd:import namespace="43420428-275f-4ab9-a918-4cdd10fcb44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3420428-275f-4ab9-a918-4cdd10fcb44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43420428-275f-4ab9-a918-4cdd10fcb441" xsi:nil="true"/>
    <_Status xmlns="http://schemas.microsoft.com/sharepoint/v3/fields">Not Started</_Status>
    <EC_Collab_DocumentLanguage xmlns="43420428-275f-4ab9-a918-4cdd10fcb441">EN</EC_Collab_DocumentLanguage>
    <EC_Collab_Status xmlns="43420428-275f-4ab9-a918-4cdd10fcb441">Not Started</EC_Collab_Statu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F633674-83DA-4802-A50A-8BD150A52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3420428-275f-4ab9-a918-4cdd10fcb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6A7E2-86B4-453F-A21F-13365291E87C}">
  <ds:schemaRefs>
    <ds:schemaRef ds:uri="http://schemas.microsoft.com/sharepoint/v3/contenttype/forms"/>
  </ds:schemaRefs>
</ds:datastoreItem>
</file>

<file path=customXml/itemProps3.xml><?xml version="1.0" encoding="utf-8"?>
<ds:datastoreItem xmlns:ds="http://schemas.openxmlformats.org/officeDocument/2006/customXml" ds:itemID="{88941651-53D3-45F0-A0AA-16660234FF31}">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43420428-275f-4ab9-a918-4cdd10fcb441"/>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969013A7-89B3-49E5-92F1-A5094BFE0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11</Pages>
  <Words>2723</Words>
  <Characters>17570</Characters>
  <Application>Microsoft Office Word</Application>
  <DocSecurity>0</DocSecurity>
  <Lines>408</Lines>
  <Paragraphs>200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33</cp:revision>
  <cp:lastPrinted>2018-09-12T11:21:00Z</cp:lastPrinted>
  <dcterms:created xsi:type="dcterms:W3CDTF">2018-12-07T11:23:00Z</dcterms:created>
  <dcterms:modified xsi:type="dcterms:W3CDTF">2018-12-07T14:18:00Z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0x010100258AA79CEB83498886A3A0868112325000A1D959551336834BAE63FDF645310974</vt:lpwstr>
  </property>
  <property fmtid="{D5CDD505-2E9C-101B-9397-08002B2CF9AE}" pid="11" name="DQCStatus">
    <vt:lpwstr>Green (DQC version 03)</vt:lpwstr>
  </property>
  <property name="OP_sanitized" fmtid="{D5CDD505-2E9C-101B-9397-08002B2CF9AE}" pid="12">
    <vt:lpwstr>True</vt:lpwstr>
  </property>
</Properties>
</file>