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51FBA3D-1BE4-4A1A-BB44-7CF4A5A42A60"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t>PASKAIDROJUMA RAKSTS</w:t>
      </w:r>
    </w:p>
    <w:p>
      <w:pPr>
        <w:rPr>
          <w:noProof/>
        </w:rPr>
      </w:pPr>
      <w:r>
        <w:rPr>
          <w:noProof/>
        </w:rPr>
        <w:t>Saskaņā ar 395. panta 1. punktu 2006. gada 28. novembra Direktīvā 2006/112/EK par kopējo pievienotās vērtības nodokļa sistēmu (“PVN direktīva”)</w:t>
      </w:r>
      <w:r>
        <w:rPr>
          <w:rStyle w:val="FootnoteReference"/>
          <w:noProof/>
        </w:rPr>
        <w:footnoteReference w:id="1"/>
      </w:r>
      <w:r>
        <w:rPr>
          <w:noProof/>
        </w:rPr>
        <w:t xml:space="preserve"> Padome pēc Komisijas priekšlikuma ar vienprātīgu lēmumu var atļaut jebkurai dalībvalstij ieviest īpašus pasākumus, lai atkāptos no minētās direktīvas noteikumiem nolūkā vienkāršot PVN iekasēšanas procedūru vai nepieļaut noteiktu veidu nodokļa nemaksāšanu vai izvairīšanos no nodokļa maksāšanas.</w:t>
      </w:r>
    </w:p>
    <w:p>
      <w:pPr>
        <w:rPr>
          <w:noProof/>
        </w:rPr>
      </w:pPr>
      <w:r>
        <w:rPr>
          <w:noProof/>
        </w:rPr>
        <w:t>Ar vēstuli, kas Komisijā reģistrēta 2018. gada 19. jūlijā, Nīderlande lūdza atļauju ieviest pasākumu, ar kuru atkāpjas no PVN direktīvas 285. panta un ļauj piemērot atbrīvojumu no PVN tādiem nodokļa maksātājiem, kuru gada apgrozījums nepārsniedz 25 000 EUR.</w:t>
      </w:r>
    </w:p>
    <w:p>
      <w:pPr>
        <w:rPr>
          <w:noProof/>
        </w:rPr>
      </w:pPr>
      <w:r>
        <w:rPr>
          <w:noProof/>
        </w:rPr>
        <w:t>Saskaņā ar PVN direktīvas 395. panta 2. punktu Komisija 2018. gada 9. augusta vēstulēs informēja pārējās dalībvalstis par Nīderlandes lūgumu, izņemot Spāniju un Kipru, kuras tika informētas 2018. gada 10. augusta vēstulēs. Ar 2018. gada 13. augusta vēstuli Komisija paziņoja Nīderlandei, ka tās rīcībā ir visa nepieciešamā informācija pieprasījuma izvērtēšanai.</w:t>
      </w:r>
    </w:p>
    <w:p>
      <w:pPr>
        <w:pStyle w:val="ManualHeading1"/>
        <w:rPr>
          <w:noProof/>
        </w:rPr>
      </w:pPr>
      <w:r>
        <w:rPr>
          <w:noProof/>
        </w:rPr>
        <w:t>1.</w:t>
      </w:r>
      <w:r>
        <w:rPr>
          <w:noProof/>
        </w:rPr>
        <w:tab/>
        <w:t>PRIEKŠLIKUMA KONTEKSTS</w:t>
      </w:r>
    </w:p>
    <w:p>
      <w:pPr>
        <w:pStyle w:val="ManualHeading2"/>
        <w:rPr>
          <w:rFonts w:eastAsia="Arial Unicode MS"/>
          <w:noProof/>
        </w:rPr>
      </w:pPr>
      <w:r>
        <w:rPr>
          <w:noProof/>
          <w:color w:val="000000"/>
          <w:u w:color="000000"/>
          <w:bdr w:val="nil"/>
        </w:rPr>
        <w:t>•</w:t>
      </w:r>
      <w:r>
        <w:rPr>
          <w:noProof/>
        </w:rPr>
        <w:tab/>
        <w:t>Priekšlikuma pamatojums un mērķi</w:t>
      </w:r>
    </w:p>
    <w:p>
      <w:pPr>
        <w:rPr>
          <w:noProof/>
        </w:rPr>
      </w:pPr>
      <w:r>
        <w:rPr>
          <w:noProof/>
        </w:rPr>
        <w:t>PVN direktīvas XII sadaļas 1. nodaļā dalībvalstīm ir paredzēta iespēja piemērot īpašus režīmus mazajiem uzņēmumiem, tostarp iespēja atbrīvot no PVN tādus nodokļa maksātājus, kuru gada apgrozījums nepārsniedz konkrētu robežvērtību. Šis atbrīvojums nozīmē to, ka nodokļa maksātājam nav jāiekasē PVN par piegādēm un rezultātā nodokļa maksātājs nevar atskaitīt priekšnodokli.</w:t>
      </w:r>
    </w:p>
    <w:p>
      <w:pPr>
        <w:rPr>
          <w:noProof/>
        </w:rPr>
      </w:pPr>
      <w:r>
        <w:rPr>
          <w:noProof/>
        </w:rPr>
        <w:t>Saskaņā ar PVN direktīvas 285. pantu dalībvalstis, kuras nav izmantojušas Padomes Otrās Direktīvas 67/228/EEK</w:t>
      </w:r>
      <w:r>
        <w:rPr>
          <w:rStyle w:val="FootnoteReference"/>
          <w:noProof/>
        </w:rPr>
        <w:footnoteReference w:id="2"/>
      </w:r>
      <w:r>
        <w:rPr>
          <w:noProof/>
        </w:rPr>
        <w:t xml:space="preserve"> 14. pantā paredzēto izvēles iespēju, var atbrīvot no PVN tādus nodokļa maksātājus, kuru gada apgrozījums nav lielāks par 5000 EUR. Nīderlande, kas ir viena no šīm dalībvalstīm, lūdza palielināt atbrīvojuma robežvērtību no 5000 EUR līdz 25 000 EUR, sākot no 2020. gada 1. janvāra.</w:t>
      </w:r>
    </w:p>
    <w:p>
      <w:pPr>
        <w:rPr>
          <w:rFonts w:eastAsia="Calibri"/>
          <w:noProof/>
        </w:rPr>
      </w:pPr>
      <w:r>
        <w:rPr>
          <w:noProof/>
        </w:rPr>
        <w:t xml:space="preserve">Saskaņā ar Nīderlandes sniegto informāciju tās pašreizējā sistēma ietver diferencētu nodokļa atbrīvojumu nodokļa maksātājiem, kuriem katru gadu un pēc priekšnodokļa atskaitīšanas ir jāmaksā PVN, kas nepārsniedz 1883 EUR. Diferencētā nodokļa atvieglojuma piešķiršanas process ir sarežģīts, un tajā ir augsts kļūdu līmenis. Tā kā Nīderlandē strauji pieaug mazo uzņēmumu skaits, palielinās Nīderlandes nodokļu iestāžu darbības izmaksas un uzņēmumu administratīvais slogs, savukārt ar to saistītie finansiālie ieguvumi joprojām ir mazi. Tāpēc Nīderlande vēlas modernizēt savu sistēmu, ieviešot fakultatīvu ar apgrozījumu saistītu PVN atbrīvojuma  shēmu ar atbrīvojuma robežvērtību 25 000 EUR. Šis pasākums ļautu samazināt PVN saistības mazajiem uzņēmumiem un vienkāršot PVN iekasēšanu nodokļu iestādēm.  </w:t>
      </w:r>
    </w:p>
    <w:p>
      <w:pPr>
        <w:rPr>
          <w:noProof/>
        </w:rPr>
      </w:pPr>
      <w:r>
        <w:rPr>
          <w:noProof/>
        </w:rPr>
        <w:t>Nīderlande arī norāda, ka šis pasākums ir saskaņā ar  direktīvas priekšlikuma par īpašo režīmu mazajiem uzņēmumiem, ko 2018. gada 18. janvārī publicēja Eiropas Komisija</w:t>
      </w:r>
      <w:r>
        <w:rPr>
          <w:rStyle w:val="FootnoteReference"/>
          <w:noProof/>
        </w:rPr>
        <w:footnoteReference w:id="3"/>
      </w:r>
      <w:r>
        <w:rPr>
          <w:noProof/>
        </w:rPr>
        <w:t xml:space="preserve">, darbības jomu. </w:t>
      </w:r>
    </w:p>
    <w:p>
      <w:pPr>
        <w:rPr>
          <w:noProof/>
        </w:rPr>
      </w:pPr>
      <w:r>
        <w:rPr>
          <w:noProof/>
        </w:rPr>
        <w:t>Tādēļ tiek ierosināts atļaut Nīderlandei palielināt atbrīvojuma robežvērtību MVU no 5000 EUR līdz 25 000 EUR līdz 2022. gada 31. decembrim vai datumam, no kura dalībvalstīm ir jāpiemēro valsts noteikumi, kas tām ir jāpieņem gadījumā, ja tiek pieņemta direktīva, ar kuru groza Direktīvas 2006/112/EK 281.–294. pantu, kas reglamentē īpašu režīmu mazajiem uzņēmumiem.</w:t>
      </w:r>
    </w:p>
    <w:p>
      <w:pPr>
        <w:pStyle w:val="ManualHeading2"/>
        <w:rPr>
          <w:rFonts w:eastAsia="Arial Unicode MS"/>
          <w:noProof/>
          <w:color w:val="000000"/>
          <w:u w:color="000000"/>
          <w:bdr w:val="nil"/>
        </w:rPr>
      </w:pPr>
      <w:r>
        <w:rPr>
          <w:noProof/>
          <w:color w:val="000000"/>
          <w:u w:color="000000"/>
          <w:bdr w:val="nil"/>
        </w:rPr>
        <w:t>•</w:t>
      </w:r>
      <w:r>
        <w:rPr>
          <w:noProof/>
        </w:rPr>
        <w:tab/>
        <w:t>Atbilstība pašreizējiem noteikumiem konkrētajā politikas jomā</w:t>
      </w:r>
    </w:p>
    <w:p>
      <w:pPr>
        <w:rPr>
          <w:noProof/>
          <w:color w:val="000000"/>
        </w:rPr>
      </w:pPr>
      <w:r>
        <w:rPr>
          <w:noProof/>
        </w:rPr>
        <w:t>Līdzīgas atkāpes ir piešķirtas arī citām dalībvalstīm.</w:t>
      </w:r>
      <w:r>
        <w:rPr>
          <w:noProof/>
          <w:color w:val="000000"/>
        </w:rPr>
        <w:t xml:space="preserve"> Luksemburgai</w:t>
      </w:r>
      <w:r>
        <w:rPr>
          <w:rStyle w:val="FootnoteReference"/>
          <w:noProof/>
          <w:color w:val="000000"/>
        </w:rPr>
        <w:footnoteReference w:id="4"/>
      </w:r>
      <w:r>
        <w:rPr>
          <w:noProof/>
          <w:color w:val="000000"/>
        </w:rPr>
        <w:t xml:space="preserve"> piešķīra robežvērtību 30 000 EUR apmērā, Polijai</w:t>
      </w:r>
      <w:r>
        <w:rPr>
          <w:rStyle w:val="FootnoteReference"/>
          <w:noProof/>
          <w:color w:val="000000"/>
        </w:rPr>
        <w:footnoteReference w:id="5"/>
      </w:r>
      <w:r>
        <w:rPr>
          <w:noProof/>
          <w:color w:val="000000"/>
        </w:rPr>
        <w:t xml:space="preserve"> un Igaunijai</w:t>
      </w:r>
      <w:r>
        <w:rPr>
          <w:rStyle w:val="FootnoteReference"/>
          <w:noProof/>
          <w:color w:val="000000"/>
        </w:rPr>
        <w:footnoteReference w:id="6"/>
      </w:r>
      <w:r>
        <w:rPr>
          <w:noProof/>
          <w:color w:val="000000"/>
        </w:rPr>
        <w:t> — 40 000 EUR, Itālijai</w:t>
      </w:r>
      <w:r>
        <w:rPr>
          <w:rStyle w:val="FootnoteReference"/>
          <w:noProof/>
          <w:color w:val="000000"/>
        </w:rPr>
        <w:footnoteReference w:id="7"/>
      </w:r>
      <w:r>
        <w:rPr>
          <w:noProof/>
          <w:color w:val="000000"/>
        </w:rPr>
        <w:t> — 65 000 EUR, Horvātijai</w:t>
      </w:r>
      <w:r>
        <w:rPr>
          <w:rStyle w:val="FootnoteReference"/>
          <w:noProof/>
          <w:color w:val="000000"/>
        </w:rPr>
        <w:footnoteReference w:id="8"/>
      </w:r>
      <w:r>
        <w:rPr>
          <w:noProof/>
          <w:color w:val="000000"/>
        </w:rPr>
        <w:t> — 45 000 EUR, Latvijai</w:t>
      </w:r>
      <w:r>
        <w:rPr>
          <w:rStyle w:val="FootnoteReference"/>
          <w:noProof/>
          <w:color w:val="000000"/>
        </w:rPr>
        <w:footnoteReference w:id="9"/>
      </w:r>
      <w:r>
        <w:rPr>
          <w:noProof/>
          <w:color w:val="000000"/>
        </w:rPr>
        <w:t> — 40 000 EUR un Rumānijai</w:t>
      </w:r>
      <w:r>
        <w:rPr>
          <w:rStyle w:val="FootnoteReference"/>
          <w:noProof/>
          <w:color w:val="000000"/>
        </w:rPr>
        <w:footnoteReference w:id="10"/>
      </w:r>
      <w:r>
        <w:rPr>
          <w:noProof/>
          <w:color w:val="000000"/>
        </w:rPr>
        <w:t xml:space="preserve"> — 88 500 EUR apmērā. </w:t>
      </w:r>
    </w:p>
    <w:p>
      <w:pPr>
        <w:rPr>
          <w:noProof/>
        </w:rPr>
      </w:pPr>
      <w:r>
        <w:rPr>
          <w:noProof/>
        </w:rPr>
        <w:t>Atkāpēm no PVN direktīvas vienmēr būtu jābūt ar noteiktu beigu termiņu, lai varētu novērtēt to ietekmi. Turklāt pašlaik tiek pārskatīti PVN direktīvas 281.–294. panta noteikumi par īpašu režīmu mazajiem uzņēmumiem. Kā paziņots rīcības plānā PVN jomā</w:t>
      </w:r>
      <w:r>
        <w:rPr>
          <w:rStyle w:val="FootnoteReference"/>
          <w:noProof/>
        </w:rPr>
        <w:footnoteReference w:id="11"/>
      </w:r>
      <w:r>
        <w:rPr>
          <w:noProof/>
        </w:rPr>
        <w:t xml:space="preserve"> un Komisijas 2017. gada darba programmā</w:t>
      </w:r>
      <w:r>
        <w:rPr>
          <w:rStyle w:val="FootnoteReference"/>
          <w:noProof/>
        </w:rPr>
        <w:footnoteReference w:id="12"/>
      </w:r>
      <w:r>
        <w:rPr>
          <w:noProof/>
        </w:rPr>
        <w:t>, nesen ir iesniegts Komisijas priekšlikums par režīmu attiecībā uz MVU.</w:t>
      </w:r>
    </w:p>
    <w:p>
      <w:pPr>
        <w:pStyle w:val="ManualHeading2"/>
        <w:rPr>
          <w:rFonts w:eastAsia="Arial Unicode MS"/>
          <w:noProof/>
        </w:rPr>
      </w:pPr>
      <w:r>
        <w:rPr>
          <w:noProof/>
          <w:color w:val="000000"/>
          <w:u w:color="000000"/>
          <w:bdr w:val="nil"/>
        </w:rPr>
        <w:t>•</w:t>
      </w:r>
      <w:r>
        <w:rPr>
          <w:noProof/>
        </w:rPr>
        <w:tab/>
        <w:t>Saskanība ar citām Savienības politikas jomām</w:t>
      </w:r>
    </w:p>
    <w:p>
      <w:pPr>
        <w:rPr>
          <w:noProof/>
        </w:rPr>
      </w:pPr>
      <w:r>
        <w:rPr>
          <w:noProof/>
        </w:rPr>
        <w:t>Pasākums ir saskaņā ar Savienības mērķiem, kas saistīti ar mazajiem uzņēmumiem un ir izklāstīti Komisijas paziņojumā “Vispirms domāt par mazākajiem” — Eiropas Mazās uzņēmējdarbības akts</w:t>
      </w:r>
      <w:r>
        <w:rPr>
          <w:rStyle w:val="FootnoteReference"/>
          <w:noProof/>
        </w:rPr>
        <w:footnoteReference w:id="13"/>
      </w:r>
      <w:r>
        <w:rPr>
          <w:noProof/>
        </w:rPr>
        <w:t>, kurā dalībvalstis tiek aicinātas tiesiskā regulējuma izstrādē ņemt vērā MVU īpatnības un tāpēc vienkāršot spēkā esošo regulējumu.</w:t>
      </w:r>
    </w:p>
    <w:p>
      <w:pPr>
        <w:pStyle w:val="ManualHeading1"/>
        <w:rPr>
          <w:noProof/>
        </w:rPr>
      </w:pPr>
      <w:r>
        <w:rPr>
          <w:noProof/>
        </w:rPr>
        <w:t>2.</w:t>
      </w:r>
      <w:r>
        <w:rPr>
          <w:noProof/>
        </w:rPr>
        <w:tab/>
        <w:t>JURIDISKAIS PAMATS, SUBSIDIARITĀTE UN PROPORCIONALITĀTE</w:t>
      </w:r>
    </w:p>
    <w:p>
      <w:pPr>
        <w:pStyle w:val="ManualHeading2"/>
        <w:rPr>
          <w:rFonts w:eastAsia="Arial Unicode MS"/>
          <w:noProof/>
          <w:u w:color="000000"/>
          <w:bdr w:val="nil"/>
        </w:rPr>
      </w:pPr>
      <w:r>
        <w:rPr>
          <w:noProof/>
        </w:rPr>
        <w:t>•</w:t>
      </w:r>
      <w:r>
        <w:rPr>
          <w:noProof/>
        </w:rPr>
        <w:tab/>
        <w:t>Juridiskais pamats</w:t>
      </w:r>
    </w:p>
    <w:p>
      <w:pPr>
        <w:rPr>
          <w:noProof/>
        </w:rPr>
      </w:pPr>
      <w:r>
        <w:rPr>
          <w:noProof/>
        </w:rPr>
        <w:t xml:space="preserve">PVN direktīvas 395. pants. </w:t>
      </w:r>
    </w:p>
    <w:p>
      <w:pPr>
        <w:pStyle w:val="ManualHeading2"/>
        <w:rPr>
          <w:rFonts w:eastAsia="Arial Unicode MS"/>
          <w:noProof/>
          <w:u w:color="000000"/>
          <w:bdr w:val="nil"/>
        </w:rPr>
      </w:pPr>
      <w:r>
        <w:rPr>
          <w:noProof/>
        </w:rPr>
        <w:t>•</w:t>
      </w:r>
      <w:r>
        <w:rPr>
          <w:noProof/>
        </w:rPr>
        <w:tab/>
        <w:t xml:space="preserve">Subsidiaritāte (neekskluzīvas kompetences gadījumā) </w:t>
      </w:r>
    </w:p>
    <w:p>
      <w:pPr>
        <w:pBdr>
          <w:top w:val="nil"/>
          <w:left w:val="nil"/>
          <w:bottom w:val="nil"/>
          <w:right w:val="nil"/>
          <w:between w:val="nil"/>
          <w:bar w:val="nil"/>
        </w:pBdr>
        <w:spacing w:before="0" w:after="240"/>
        <w:rPr>
          <w:rFonts w:eastAsia="Arial Unicode MS"/>
          <w:noProof/>
        </w:rPr>
      </w:pPr>
      <w:r>
        <w:rPr>
          <w:noProof/>
        </w:rPr>
        <w:t>Vadoties pēc PVN direktīvas noteikuma, kurš ir šā priekšlikuma pamatā, subsidiaritātes principu nepiemēro.</w:t>
      </w:r>
    </w:p>
    <w:p>
      <w:pPr>
        <w:pStyle w:val="ManualHeading2"/>
        <w:rPr>
          <w:rFonts w:eastAsia="Arial Unicode MS"/>
          <w:noProof/>
          <w:u w:color="000000"/>
          <w:bdr w:val="nil"/>
        </w:rPr>
      </w:pPr>
      <w:r>
        <w:rPr>
          <w:noProof/>
        </w:rPr>
        <w:t>•</w:t>
      </w:r>
      <w:r>
        <w:rPr>
          <w:noProof/>
        </w:rPr>
        <w:tab/>
        <w:t>Proporcionalitāte</w:t>
      </w:r>
    </w:p>
    <w:p>
      <w:pPr>
        <w:pBdr>
          <w:top w:val="nil"/>
          <w:left w:val="nil"/>
          <w:bottom w:val="nil"/>
          <w:right w:val="nil"/>
          <w:between w:val="nil"/>
          <w:bar w:val="nil"/>
        </w:pBdr>
        <w:spacing w:before="0" w:after="240"/>
        <w:rPr>
          <w:noProof/>
        </w:rPr>
      </w:pPr>
      <w:r>
        <w:rPr>
          <w:noProof/>
        </w:rPr>
        <w:t xml:space="preserve">Šis lēmums attiecas uz atļauju, ko piešķir dalībvalstij pēc tās pieprasījuma, un tas neuzliek nekādus pienākumus. </w:t>
      </w:r>
    </w:p>
    <w:p>
      <w:pPr>
        <w:rPr>
          <w:noProof/>
        </w:rPr>
      </w:pPr>
      <w:r>
        <w:rPr>
          <w:noProof/>
        </w:rPr>
        <w:t>Ievērojot minētās atkāpes ierobežoto darbības jomu, šis īpašais pasākums ir proporcionāls mērķim, proti, vienkāršojumam, kas attiektos uz mazajiem uzņēmumiem un nodokļu administrāciju.</w:t>
      </w:r>
    </w:p>
    <w:p>
      <w:pPr>
        <w:pStyle w:val="ManualHeading2"/>
        <w:rPr>
          <w:rFonts w:eastAsia="Arial Unicode MS"/>
          <w:noProof/>
          <w:u w:color="000000"/>
          <w:bdr w:val="nil"/>
        </w:rPr>
      </w:pPr>
      <w:r>
        <w:rPr>
          <w:noProof/>
        </w:rPr>
        <w:t>•</w:t>
      </w:r>
      <w:r>
        <w:rPr>
          <w:noProof/>
        </w:rPr>
        <w:tab/>
        <w:t>Juridiskā instrumenta izvēle</w:t>
      </w:r>
    </w:p>
    <w:p>
      <w:pPr>
        <w:spacing w:before="0" w:after="240"/>
        <w:rPr>
          <w:rFonts w:eastAsia="Arial Unicode MS"/>
          <w:noProof/>
        </w:rPr>
      </w:pPr>
      <w:r>
        <w:rPr>
          <w:noProof/>
        </w:rPr>
        <w:t>Ierosinātais juridiskais instruments: Padomes Īstenošanas lēmums.</w:t>
      </w:r>
    </w:p>
    <w:p>
      <w:pPr>
        <w:spacing w:before="0" w:after="240"/>
        <w:rPr>
          <w:rFonts w:eastAsia="Arial Unicode MS"/>
          <w:noProof/>
        </w:rPr>
      </w:pPr>
      <w:r>
        <w:rPr>
          <w:noProof/>
        </w:rPr>
        <w:t>Saskaņā ar Padomes Direktīvas 2006/112/EK 395. pantu atkāpe no kopējiem PVN noteikumiem iespējama tikai ar Padomes atļauju, ko pēc Komisijas priekšlikuma tā pieņem ar vienprātīgu lēmumu. Padomes īstenošanas lēmums ir vispiemērotākais instruments, jo to var adresēt atsevišķai dalībvalstij.</w:t>
      </w:r>
    </w:p>
    <w:p>
      <w:pPr>
        <w:pStyle w:val="ManualHeading1"/>
        <w:rPr>
          <w:noProof/>
        </w:rPr>
      </w:pPr>
      <w:r>
        <w:rPr>
          <w:noProof/>
        </w:rPr>
        <w:t>3.</w:t>
      </w:r>
      <w:r>
        <w:rPr>
          <w:noProof/>
        </w:rPr>
        <w:tab/>
      </w:r>
      <w:r>
        <w:rPr>
          <w:i/>
          <w:noProof/>
        </w:rPr>
        <w:t>EX POST</w:t>
      </w:r>
      <w:r>
        <w:rPr>
          <w:noProof/>
        </w:rPr>
        <w:t xml:space="preserve"> IZVĒRTĒJUMU, APSPRIEŠANĀS AR IEINTERESĒTAJĀM PERSONĀM UN IETEKMES NOVĒRTĒJUMU REZULTĀTI</w:t>
      </w:r>
    </w:p>
    <w:p>
      <w:pPr>
        <w:pStyle w:val="ManualHeading2"/>
        <w:rPr>
          <w:rFonts w:eastAsia="Arial Unicode MS"/>
          <w:noProof/>
          <w:u w:color="000000"/>
          <w:bdr w:val="nil"/>
        </w:rPr>
      </w:pPr>
      <w:r>
        <w:rPr>
          <w:noProof/>
        </w:rPr>
        <w:t>•</w:t>
      </w:r>
      <w:r>
        <w:rPr>
          <w:noProof/>
        </w:rPr>
        <w:tab/>
        <w:t>Apspriešanās ar ieinteresētajām personām</w:t>
      </w:r>
    </w:p>
    <w:p>
      <w:pPr>
        <w:pBdr>
          <w:top w:val="nil"/>
          <w:left w:val="nil"/>
          <w:bottom w:val="nil"/>
          <w:right w:val="nil"/>
          <w:between w:val="nil"/>
          <w:bar w:val="nil"/>
        </w:pBdr>
        <w:spacing w:before="0" w:after="240"/>
        <w:rPr>
          <w:rFonts w:eastAsia="Arial Unicode MS"/>
          <w:noProof/>
        </w:rPr>
      </w:pPr>
      <w:r>
        <w:rPr>
          <w:noProof/>
        </w:rPr>
        <w:t>Šā priekšlikuma pamatā ir Nīderlandes lūgums, un tas attiecas vienīgi uz šo dalībvalsti.</w:t>
      </w:r>
    </w:p>
    <w:p>
      <w:pPr>
        <w:pStyle w:val="ManualHeading2"/>
        <w:rPr>
          <w:rFonts w:eastAsia="Arial Unicode MS"/>
          <w:noProof/>
          <w:u w:color="000000"/>
          <w:bdr w:val="nil"/>
        </w:rPr>
      </w:pPr>
      <w:r>
        <w:rPr>
          <w:noProof/>
        </w:rPr>
        <w:t>•</w:t>
      </w:r>
      <w:r>
        <w:rPr>
          <w:noProof/>
        </w:rPr>
        <w:tab/>
        <w:t>Ekspertu atzinumu pieprasīšana un izmantošana</w:t>
      </w:r>
    </w:p>
    <w:p>
      <w:pPr>
        <w:spacing w:before="0" w:after="240"/>
        <w:rPr>
          <w:rFonts w:eastAsia="Arial Unicode MS"/>
          <w:noProof/>
        </w:rPr>
      </w:pPr>
      <w:r>
        <w:rPr>
          <w:noProof/>
        </w:rPr>
        <w:t>Neatkarīgu ekspertu atzinums nebija vajadzīgs.</w:t>
      </w:r>
    </w:p>
    <w:p>
      <w:pPr>
        <w:pStyle w:val="ManualHeading2"/>
        <w:rPr>
          <w:rFonts w:eastAsia="Arial Unicode MS"/>
          <w:noProof/>
          <w:u w:color="000000"/>
          <w:bdr w:val="nil"/>
        </w:rPr>
      </w:pPr>
      <w:r>
        <w:rPr>
          <w:noProof/>
        </w:rPr>
        <w:t>•</w:t>
      </w:r>
      <w:r>
        <w:rPr>
          <w:noProof/>
        </w:rPr>
        <w:tab/>
        <w:t>Ietekmes novērtējums</w:t>
      </w:r>
    </w:p>
    <w:p>
      <w:pPr>
        <w:pBdr>
          <w:top w:val="nil"/>
          <w:left w:val="nil"/>
          <w:bottom w:val="nil"/>
          <w:right w:val="nil"/>
          <w:between w:val="nil"/>
          <w:bar w:val="nil"/>
        </w:pBdr>
        <w:spacing w:before="0" w:after="240"/>
        <w:rPr>
          <w:noProof/>
        </w:rPr>
      </w:pPr>
      <w:r>
        <w:rPr>
          <w:noProof/>
        </w:rPr>
        <w:t>Saskaņā ar priekšlikumu Padomes Īstenošanas lēmumam Nīderlandei tiek atļauts no 2020. gada 1. janvāra piemērot atbrīvojumu no PVN tiem nodokļa maksātājiem, kuru gada apgrozījums nepārsniedz 25 000 EUR. Nodokļa maksātāji, kuru gada apgrozījums nepārsniedz robežvērtību, tiek atbrīvoti no daudziem vispārīgiem PVN pienākumiem, un šā pasākuma rezultātā samazināsies arī to administratīvais slogs. Turklāt šis pasākums vienkāršo nodokļu iekasēšanu Nīderlandes nodokļu iestādēm.</w:t>
      </w:r>
    </w:p>
    <w:p>
      <w:pPr>
        <w:rPr>
          <w:noProof/>
        </w:rPr>
      </w:pPr>
      <w:r>
        <w:rPr>
          <w:noProof/>
        </w:rPr>
        <w:t xml:space="preserve">Nīderlande uzskata, ka 25 000 EUR robežvērtības ieviešanai nebūs būtiskas ietekmes uz  kopējiem nodokļa ieņēmumiem galapatēriņa posmā. Paredzams, ka atbrīvojuma robežvērtību izmantos aptuveni 9 % nodokļu maksātāju, kas atbilst apmēram 0,09 % ietekmei uz valsts budžetu.  </w:t>
      </w:r>
    </w:p>
    <w:p>
      <w:pPr>
        <w:pStyle w:val="ManualHeading1"/>
        <w:rPr>
          <w:noProof/>
        </w:rPr>
      </w:pPr>
      <w:r>
        <w:rPr>
          <w:noProof/>
        </w:rPr>
        <w:t>4.</w:t>
      </w:r>
      <w:r>
        <w:rPr>
          <w:noProof/>
        </w:rPr>
        <w:tab/>
        <w:t>IETEKME UZ BUDŽETU</w:t>
      </w:r>
    </w:p>
    <w:p>
      <w:pPr>
        <w:rPr>
          <w:noProof/>
        </w:rPr>
      </w:pPr>
      <w:r>
        <w:rPr>
          <w:noProof/>
        </w:rPr>
        <w:t>Priekšlikums neietekmē ES budžetu, jo Nīderlande veiks kompensācijas aprēķinu saskaņā ar Padomes Regulas (EEK, EURATOM) 1553/89 6. pantu.</w:t>
      </w:r>
    </w:p>
    <w:p>
      <w:pPr>
        <w:pStyle w:val="ManualHeading1"/>
        <w:rPr>
          <w:noProof/>
        </w:rPr>
      </w:pPr>
      <w:r>
        <w:rPr>
          <w:noProof/>
        </w:rPr>
        <w:t>5.</w:t>
      </w:r>
      <w:r>
        <w:rPr>
          <w:noProof/>
        </w:rPr>
        <w:tab/>
        <w:t>CITI ELEMENTI</w:t>
      </w:r>
    </w:p>
    <w:p>
      <w:pPr>
        <w:pStyle w:val="ManualHeading2"/>
        <w:rPr>
          <w:rFonts w:eastAsia="Arial Unicode MS"/>
          <w:noProof/>
          <w:u w:color="000000"/>
          <w:bdr w:val="nil"/>
        </w:rPr>
      </w:pPr>
      <w:r>
        <w:rPr>
          <w:noProof/>
        </w:rPr>
        <w:t>•</w:t>
      </w:r>
      <w:r>
        <w:rPr>
          <w:noProof/>
        </w:rPr>
        <w:tab/>
        <w:t>Īstenošanas plāni un uzraudzīšanas, izvērtēšanas un ziņošanas kārtība</w:t>
      </w:r>
    </w:p>
    <w:p>
      <w:pPr>
        <w:rPr>
          <w:b/>
          <w:noProof/>
        </w:rPr>
      </w:pPr>
      <w:r>
        <w:rPr>
          <w:noProof/>
        </w:rPr>
        <w:t>Priekšlikumam ir noteikts termiņš.</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2018/0367 (NLE)</w:t>
      </w:r>
    </w:p>
    <w:p>
      <w:pPr>
        <w:pStyle w:val="Statut"/>
        <w:rPr>
          <w:noProof/>
        </w:rPr>
      </w:pPr>
      <w:r>
        <w:rPr>
          <w:noProof/>
        </w:rPr>
        <w:t>Priekšlikums</w:t>
      </w:r>
    </w:p>
    <w:p>
      <w:pPr>
        <w:pStyle w:val="Typedudocument"/>
        <w:rPr>
          <w:noProof/>
        </w:rPr>
      </w:pPr>
      <w:r>
        <w:rPr>
          <w:noProof/>
        </w:rPr>
        <w:t>PADOMES ĪSTENOŠANAS LĒMUMS</w:t>
      </w:r>
    </w:p>
    <w:p>
      <w:pPr>
        <w:pStyle w:val="Titreobjet"/>
        <w:rPr>
          <w:noProof/>
        </w:rPr>
      </w:pPr>
      <w:r>
        <w:rPr>
          <w:noProof/>
        </w:rPr>
        <w:t>ar ko Nīderlandei atļauj piemērot īpašu pasākumu, atkāpjoties no 285. panta Direktīvā 2006/112/EK par kopējo pievienotās vērtības nodokļa sistēmu</w:t>
      </w:r>
    </w:p>
    <w:p>
      <w:pPr>
        <w:pStyle w:val="Institutionquiagit"/>
        <w:rPr>
          <w:noProof/>
        </w:rPr>
      </w:pPr>
      <w:r>
        <w:rPr>
          <w:noProof/>
        </w:rPr>
        <w:t>EIROPAS SAVIENĪBAS PADOME,</w:t>
      </w:r>
    </w:p>
    <w:p>
      <w:pPr>
        <w:rPr>
          <w:noProof/>
        </w:rPr>
      </w:pPr>
      <w:r>
        <w:rPr>
          <w:noProof/>
        </w:rPr>
        <w:t xml:space="preserve">ņemot vērā Līgumu par Eiropas Savienības darbību, </w:t>
      </w:r>
    </w:p>
    <w:p>
      <w:pPr>
        <w:rPr>
          <w:noProof/>
        </w:rPr>
      </w:pPr>
      <w:r>
        <w:rPr>
          <w:noProof/>
        </w:rPr>
        <w:t>ņemot vērā Padomes 2006. gada 28. novembra Direktīvu 2006/112/EK par kopējo pievienotās vērtības nodokļa sistēmu</w:t>
      </w:r>
      <w:r>
        <w:rPr>
          <w:rStyle w:val="FootnoteReference"/>
          <w:noProof/>
        </w:rPr>
        <w:footnoteReference w:id="14"/>
      </w:r>
      <w:r>
        <w:rPr>
          <w:noProof/>
        </w:rPr>
        <w:t xml:space="preserve"> un jo īpaši tās 395. panta 1. punkta pirmo daļu,</w:t>
      </w:r>
    </w:p>
    <w:p>
      <w:pPr>
        <w:rPr>
          <w:noProof/>
        </w:rPr>
      </w:pPr>
      <w:r>
        <w:rPr>
          <w:noProof/>
        </w:rPr>
        <w:t>ņemot vērā Eiropas Komisijas priekšlikumu,</w:t>
      </w:r>
    </w:p>
    <w:p>
      <w:pPr>
        <w:rPr>
          <w:noProof/>
        </w:rPr>
      </w:pPr>
      <w:r>
        <w:rPr>
          <w:noProof/>
        </w:rPr>
        <w:t>tā kā:</w:t>
      </w:r>
    </w:p>
    <w:p>
      <w:pPr>
        <w:pStyle w:val="ManualConsidrant"/>
        <w:rPr>
          <w:noProof/>
        </w:rPr>
      </w:pPr>
      <w:r>
        <w:t>(1)</w:t>
      </w:r>
      <w:r>
        <w:tab/>
      </w:r>
      <w:r>
        <w:rPr>
          <w:noProof/>
        </w:rPr>
        <w:t>Saskaņā ar Direktīvas 2006/112/EK 285. panta pirmo daļu dalībvalstis, kuras nav izmantojušas Padomes Direktīvas 67/228/EEK</w:t>
      </w:r>
      <w:r>
        <w:rPr>
          <w:rStyle w:val="FootnoteReference"/>
          <w:noProof/>
        </w:rPr>
        <w:footnoteReference w:id="15"/>
      </w:r>
      <w:r>
        <w:rPr>
          <w:noProof/>
        </w:rPr>
        <w:t xml:space="preserve"> 14. pantā paredzēto izvēles iespēju, var atbrīvot no pievienotās vērtības nodokļa (PVN) tādus nodokļa maksātājus, kuru gada apgrozījums nav lielāks par 5000 EUR. </w:t>
      </w:r>
    </w:p>
    <w:p>
      <w:pPr>
        <w:pStyle w:val="ManualConsidrant"/>
        <w:rPr>
          <w:noProof/>
        </w:rPr>
      </w:pPr>
      <w:r>
        <w:t>(2)</w:t>
      </w:r>
      <w:r>
        <w:tab/>
      </w:r>
      <w:r>
        <w:rPr>
          <w:noProof/>
        </w:rPr>
        <w:t>Vēstulē, kas Komisijā reģistrēta 2018. gada 19. jūlijā, Nīderlande lūdza atļauju ieviest īpašu pasākumu, ar kuru atkāpjas no Direktīvas 2006/112/EK 285. panta, lai piemērotu atbrīvojuma robežvērtību 25 000 EUR. Ar šādu īpašu pasākumu nodokļa maksātāji, kuru gada apgrozījums nepārsniedz 25 000 EUR, būtu atbrīvoti no dažiem vai visiem  pienākumiem saistībā ar PVN, kuri minēti Direktīvas 2006/112/EK XI sadaļas 2.–6. nodaļā.</w:t>
      </w:r>
    </w:p>
    <w:p>
      <w:pPr>
        <w:pStyle w:val="ManualConsidrant"/>
        <w:rPr>
          <w:noProof/>
        </w:rPr>
      </w:pPr>
      <w:r>
        <w:t>(3)</w:t>
      </w:r>
      <w:r>
        <w:tab/>
      </w:r>
      <w:r>
        <w:rPr>
          <w:noProof/>
        </w:rPr>
        <w:t>Augstāka robežvērtība īpašajā režīmā mazajiem uzņēmumiem, kā paredzēts Direktīvas 2006/112/EK 281.–294. pantā, ir vienkāršošanas pasākums, jo tā var ievērojami samazināt mazo uzņēmumu pienākumus PVN jomā. Īpašā shēma nodokļa maksātājiem ir fakultatīva.</w:t>
      </w:r>
    </w:p>
    <w:p>
      <w:pPr>
        <w:pStyle w:val="ManualConsidrant"/>
        <w:rPr>
          <w:noProof/>
        </w:rPr>
      </w:pPr>
      <w:r>
        <w:t>(4)</w:t>
      </w:r>
      <w:r>
        <w:tab/>
      </w:r>
      <w:r>
        <w:rPr>
          <w:noProof/>
        </w:rPr>
        <w:t>Saskaņā ar Direktīvas 2006/112/EK 395. panta 2. punktu Komisija 2018. gada 9. augusta vēstulēs informēja pārējās dalībvalstis par Nīderlandes lūgumu, izņemot Spāniju un Kipru, kuras tika informētas 2018. gada 10. augusta vēstulēs. Ar 2018. gada 13. augusta vēstuli Komisija paziņoja Nīderlandei, ka tās rīcībā ir visa nepieciešamā informācija pieprasījuma izvērtēšanai.</w:t>
      </w:r>
    </w:p>
    <w:p>
      <w:pPr>
        <w:pStyle w:val="ManualConsidrant"/>
        <w:rPr>
          <w:noProof/>
        </w:rPr>
      </w:pPr>
      <w:r>
        <w:t>(5)</w:t>
      </w:r>
      <w:r>
        <w:tab/>
      </w:r>
      <w:r>
        <w:rPr>
          <w:noProof/>
        </w:rPr>
        <w:t>Lūgtā atkāpe ir saskaņā ar politikas mērķiem Komisijas paziņojumā “Vispirms domāt par mazākajiem” — Eiropas Mazās uzņēmējdarbības akts</w:t>
      </w:r>
      <w:r>
        <w:rPr>
          <w:rStyle w:val="FootnoteReference"/>
          <w:noProof/>
        </w:rPr>
        <w:footnoteReference w:id="16"/>
      </w:r>
      <w:r>
        <w:rPr>
          <w:noProof/>
        </w:rPr>
        <w:t>.</w:t>
      </w:r>
    </w:p>
    <w:p>
      <w:pPr>
        <w:pStyle w:val="ManualConsidrant"/>
        <w:rPr>
          <w:noProof/>
        </w:rPr>
      </w:pPr>
      <w:r>
        <w:t>(6)</w:t>
      </w:r>
      <w:r>
        <w:tab/>
      </w:r>
      <w:r>
        <w:rPr>
          <w:noProof/>
        </w:rPr>
        <w:t xml:space="preserve">Tā kā Nīderlande sagaida, ka palielinātās robežvērtības rezultātā samazināsies PVN saistības un līdz ar to arī mazo uzņēmumu administratīvais slogs un atbilstības nodrošināšanas izmaksas, Nīderlandei būtu jāsaņem atļauja piemērot šo īpašo pasākumu uz ierobežotu laiku līdz 2022. gada 31. decembrim. Īpašais režīms mazajiem uzņēmumiem ir fakultatīvs, tādēļ nodokļa maksātāji joprojām varēs izvēlēties parasto PVN režīmu. </w:t>
      </w:r>
    </w:p>
    <w:p>
      <w:pPr>
        <w:pStyle w:val="ManualConsidrant"/>
        <w:rPr>
          <w:noProof/>
        </w:rPr>
      </w:pPr>
      <w:r>
        <w:t>(7)</w:t>
      </w:r>
      <w:r>
        <w:tab/>
      </w:r>
      <w:r>
        <w:rPr>
          <w:noProof/>
        </w:rPr>
        <w:t>Direktīvas 2006/112/EK 281.–294. pants, ar ko reglamentē īpašo režīmu mazajiem uzņēmumiem, tiek pārskatīts, tādēļ ir iespējams, ka stāsies spēkā direktīva, ar ko groza minētos pantus un nosaka datumu, no kura dalībvalstīm ir jāpiemēro valsts noteikumi un kurš būs pirms atkāpes darbības termiņa beigām 2022. gada 31. decembrī. Ja tā notiks, šis lēmums būtu jābeidz piemērot.</w:t>
      </w:r>
    </w:p>
    <w:p>
      <w:pPr>
        <w:pStyle w:val="ManualConsidrant"/>
        <w:rPr>
          <w:noProof/>
        </w:rPr>
      </w:pPr>
      <w:r>
        <w:t>(8)</w:t>
      </w:r>
      <w:r>
        <w:tab/>
      </w:r>
      <w:r>
        <w:rPr>
          <w:noProof/>
        </w:rPr>
        <w:t>No Nīderlandes sniegtās informācijas izriet, ka palielinātajai robežvērtībai būs vien nenozīmīga ietekme uz galapatēriņa posmā iekasētajiem kopējiem nodokļa ieņēmumiem Nīderlandē.</w:t>
      </w:r>
    </w:p>
    <w:p>
      <w:pPr>
        <w:pStyle w:val="ManualConsidrant"/>
        <w:rPr>
          <w:noProof/>
        </w:rPr>
      </w:pPr>
      <w:r>
        <w:t>(9)</w:t>
      </w:r>
      <w:r>
        <w:tab/>
      </w:r>
      <w:r>
        <w:rPr>
          <w:noProof/>
        </w:rPr>
        <w:t>Atkāpei nav ietekmes uz Savienības pašu resursiem, ko veido PVN, jo Nīderlande veiks kompensācijas aprēķinu saskaņā ar Padomes Regulas (EEK, Euratom) 1553/89</w:t>
      </w:r>
      <w:r>
        <w:rPr>
          <w:rStyle w:val="FootnoteReference"/>
          <w:noProof/>
        </w:rPr>
        <w:footnoteReference w:id="17"/>
      </w:r>
      <w:r>
        <w:rPr>
          <w:noProof/>
        </w:rPr>
        <w:t xml:space="preserve"> 6. pantu,</w:t>
      </w:r>
    </w:p>
    <w:p>
      <w:pPr>
        <w:pStyle w:val="Formuledadoption"/>
        <w:rPr>
          <w:noProof/>
        </w:rPr>
      </w:pPr>
      <w:r>
        <w:rPr>
          <w:noProof/>
        </w:rPr>
        <w:t xml:space="preserve">IR PIEŅĒMUSI ŠO LĒMUMU. </w:t>
      </w:r>
    </w:p>
    <w:p>
      <w:pPr>
        <w:pStyle w:val="Titrearticle"/>
        <w:rPr>
          <w:noProof/>
        </w:rPr>
      </w:pPr>
      <w:r>
        <w:rPr>
          <w:noProof/>
        </w:rPr>
        <w:t>1. pants</w:t>
      </w:r>
    </w:p>
    <w:p>
      <w:pPr>
        <w:rPr>
          <w:noProof/>
          <w:color w:val="000000" w:themeColor="text1"/>
        </w:rPr>
      </w:pPr>
      <w:r>
        <w:rPr>
          <w:noProof/>
        </w:rPr>
        <w:t xml:space="preserve">Atkāpjoties no Direktīvas 2006/112/EK 285. panta, Nīderlandei ir atļauts atbrīvot no PVN nodokļa maksātājus, kuru gada apgrozījums nav lielāks par 25 000 EUR. </w:t>
      </w:r>
    </w:p>
    <w:p>
      <w:pPr>
        <w:pStyle w:val="Titrearticle"/>
        <w:rPr>
          <w:noProof/>
        </w:rPr>
      </w:pPr>
      <w:r>
        <w:rPr>
          <w:noProof/>
        </w:rPr>
        <w:t>2. pants</w:t>
      </w:r>
    </w:p>
    <w:p>
      <w:pPr>
        <w:rPr>
          <w:noProof/>
        </w:rPr>
      </w:pPr>
      <w:r>
        <w:rPr>
          <w:noProof/>
        </w:rPr>
        <w:t>Šo lēmumu piemēro no 2020. gada 1. janvāra līdz vienam no diviem turpmāk minētajiem datumiem, kurš iestājas ātrāk:</w:t>
      </w:r>
    </w:p>
    <w:p>
      <w:pPr>
        <w:rPr>
          <w:noProof/>
        </w:rPr>
      </w:pPr>
      <w:r>
        <w:rPr>
          <w:noProof/>
        </w:rPr>
        <w:t>a)</w:t>
      </w:r>
      <w:r>
        <w:rPr>
          <w:noProof/>
        </w:rPr>
        <w:tab/>
        <w:t>2022. gada 31. decembris;</w:t>
      </w:r>
    </w:p>
    <w:p>
      <w:pPr>
        <w:ind w:left="720" w:hanging="720"/>
        <w:rPr>
          <w:noProof/>
        </w:rPr>
      </w:pPr>
      <w:r>
        <w:rPr>
          <w:noProof/>
        </w:rPr>
        <w:t>b)</w:t>
      </w:r>
      <w:r>
        <w:rPr>
          <w:noProof/>
        </w:rPr>
        <w:tab/>
        <w:t>datums, no kura dalībvalstīm ir jāpiemēro valsts noteikumi, kas tām ir jāpieņem gadījumā, ja tiek pieņemta direktīva, ar kuru groza Direktīvas 2006/112/EK 281.–294. pantu, kas reglamentē īpašu režīmu mazajiem uzņēmumiem.</w:t>
      </w:r>
    </w:p>
    <w:p>
      <w:pPr>
        <w:pStyle w:val="Titrearticle"/>
        <w:rPr>
          <w:noProof/>
        </w:rPr>
      </w:pPr>
      <w:r>
        <w:rPr>
          <w:noProof/>
        </w:rPr>
        <w:t xml:space="preserve">3. pants </w:t>
      </w:r>
    </w:p>
    <w:p>
      <w:pPr>
        <w:rPr>
          <w:noProof/>
        </w:rPr>
      </w:pPr>
      <w:r>
        <w:rPr>
          <w:noProof/>
        </w:rPr>
        <w:t xml:space="preserve">Šis lēmums ir adresēts Nīderlandei. </w:t>
      </w:r>
    </w:p>
    <w:p>
      <w:pPr>
        <w:rPr>
          <w:noProof/>
        </w:rPr>
      </w:pPr>
    </w:p>
    <w:p>
      <w:pPr>
        <w:pStyle w:val="Fait"/>
        <w:rPr>
          <w:noProof/>
        </w:rPr>
      </w:pPr>
      <w:r>
        <w:t>Briselē,</w:t>
      </w:r>
    </w:p>
    <w:p>
      <w:pPr>
        <w:pStyle w:val="Institutionquisigne"/>
        <w:rPr>
          <w:noProof/>
        </w:rPr>
      </w:pPr>
      <w:r>
        <w:rPr>
          <w:noProof/>
        </w:rPr>
        <w:tab/>
        <w:t>Padomes vārdā —</w:t>
      </w:r>
    </w:p>
    <w:p>
      <w:pPr>
        <w:pStyle w:val="Personnequisigne"/>
        <w:rPr>
          <w:noProof/>
        </w:rPr>
      </w:pPr>
      <w:r>
        <w:rPr>
          <w:noProof/>
        </w:rPr>
        <w:tab/>
        <w:t>priekšsēdētājs</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OV L 347, 11.12.2006., 1. lpp.</w:t>
      </w:r>
    </w:p>
  </w:footnote>
  <w:footnote w:id="2">
    <w:p>
      <w:pPr>
        <w:pStyle w:val="FootnoteText"/>
      </w:pPr>
      <w:r>
        <w:rPr>
          <w:rStyle w:val="FootnoteReference"/>
        </w:rPr>
        <w:footnoteRef/>
      </w:r>
      <w:r>
        <w:tab/>
        <w:t>Padomes Otrā Direktīva 67/228/EEK (1967. gada 11. aprīlis) par to, kā saskaņojami dalībvalstu tiesību akti par apgrozījuma nodokļiem — Kopējās pievienotās vērtības nodokļu sistēmas struktūra un piemērošanas kārtība (OV 71, 14.4.1967.,1303/67. lpp.).</w:t>
      </w:r>
    </w:p>
  </w:footnote>
  <w:footnote w:id="3">
    <w:p>
      <w:pPr>
        <w:pStyle w:val="FootnoteText"/>
      </w:pPr>
      <w:r>
        <w:rPr>
          <w:rStyle w:val="FootnoteReference"/>
        </w:rPr>
        <w:footnoteRef/>
      </w:r>
      <w:r>
        <w:tab/>
        <w:t>Priekšlikums Padomes Direktīvai, ar ko Direktīvu 2006/112/EK par kopējo pievienotās vērtības nodokļa sistēmu groza attiecībā uz īpašo režīmu mazajiem uzņēmumiem, 18.1.2018., COM(2018) 21 final.</w:t>
      </w:r>
    </w:p>
  </w:footnote>
  <w:footnote w:id="4">
    <w:p>
      <w:pPr>
        <w:pStyle w:val="FootnoteText"/>
      </w:pPr>
      <w:r>
        <w:rPr>
          <w:rStyle w:val="FootnoteReference"/>
        </w:rPr>
        <w:footnoteRef/>
      </w:r>
      <w:r>
        <w:tab/>
        <w:t xml:space="preserve">Padomes Īstenošanas lēmums (ES) 2017/319 (2017. gada 21. februāris), ar kuru groza Īstenošanas lēmumu 2013/677/ES, ar ko Luksemburgai atļauj piemērot īpašu pasākumu, atkāpjoties no 285. panta Direktīvā 2006/112/EK par kopējo pievienotās vērtības nodokļa sistēmu (OV L 47, 24.2.2017., 7. lpp.). </w:t>
      </w:r>
    </w:p>
  </w:footnote>
  <w:footnote w:id="5">
    <w:p>
      <w:pPr>
        <w:pStyle w:val="FootnoteText"/>
      </w:pPr>
      <w:r>
        <w:rPr>
          <w:rStyle w:val="FootnoteReference"/>
        </w:rPr>
        <w:footnoteRef/>
      </w:r>
      <w:r>
        <w:tab/>
        <w:t>Padomes Īstenošanas lēmums (ES) 2016/2090 (2016. gada 21. novembris), ar kuru groza Lēmumu 2009/790/EK, ar ko Polijas Republikai atļauj piemērot pasākumu, ar kuru atkāpjas no 287. panta Direktīvā 2006/112/EK par kopējo pievienotās vērtības nodokļa sistēmu (OV L 324, 30.11.2016., 7. lpp.).</w:t>
      </w:r>
    </w:p>
  </w:footnote>
  <w:footnote w:id="6">
    <w:p>
      <w:pPr>
        <w:pStyle w:val="FootnoteText"/>
      </w:pPr>
      <w:r>
        <w:rPr>
          <w:rStyle w:val="FootnoteReference"/>
        </w:rPr>
        <w:footnoteRef/>
      </w:r>
      <w:r>
        <w:tab/>
        <w:t>Padomes Īstenošanas lēmums (ES) 2017/563 (2017. gada 21. marts), ar ko Igaunijas Republikai atļauj piemērot īpašu pasākumu, atkāpjoties no 287. panta Direktīvā 2006/112/EK par kopējo pievienotās vērtības nodokļa sistēmu (OV L 80, 25.3.2017., 33. lpp.).</w:t>
      </w:r>
    </w:p>
  </w:footnote>
  <w:footnote w:id="7">
    <w:p>
      <w:pPr>
        <w:pStyle w:val="FootnoteText"/>
      </w:pPr>
      <w:r>
        <w:rPr>
          <w:rStyle w:val="FootnoteReference"/>
        </w:rPr>
        <w:footnoteRef/>
      </w:r>
      <w:r>
        <w:tab/>
        <w:t>Padomes Īstenošanas lēmums (ES) 2016/1988 (2016. gada 8. novembris), ar kuru groza Īstenošanas lēmumu 2013/678/ES, ar ko Itālijas Republikai atļauj arī turpmāk piemērot īpašu pasākumu, atkāpjoties no 285. panta Direktīvā 2006/112/EK par kopējo pievienotās vērtības nodokļa sistēmu (OV L 306, 15.11.2016., 11. lpp.).</w:t>
      </w:r>
    </w:p>
  </w:footnote>
  <w:footnote w:id="8">
    <w:p>
      <w:pPr>
        <w:pStyle w:val="FootnoteText"/>
      </w:pPr>
      <w:r>
        <w:rPr>
          <w:rStyle w:val="FootnoteReference"/>
        </w:rPr>
        <w:footnoteRef/>
      </w:r>
      <w:r>
        <w:tab/>
        <w:t>Padomes Īstenošanas lēmums (ES) 2017/1768 (2017. gada 25. septembris), ar ko Horvātijas Republikai atļauj ieviest īpašu pasākumu, atkāpjoties no 287. panta Direktīvā 2006/112/EK par kopējo pievienotās vērtības nodokļa sistēmu (OV L 250, 28.9.2017., 71. lpp.).</w:t>
      </w:r>
    </w:p>
  </w:footnote>
  <w:footnote w:id="9">
    <w:p>
      <w:pPr>
        <w:pStyle w:val="FootnoteText"/>
      </w:pPr>
      <w:r>
        <w:rPr>
          <w:rStyle w:val="FootnoteReference"/>
        </w:rPr>
        <w:footnoteRef/>
      </w:r>
      <w:r>
        <w:tab/>
        <w:t>Padomes Īstenošanas lēmums (ES) 2017/2408 (2017. gada 18. decembris), ar ko Latvijas Republikai atļauj piemērot īpašu pasākumu, atkāpjoties no 287. panta Direktīvā 2006/112/EK par kopējo pievienotās vērtības nodokļa sistēmu (OV L 342, 21.12.2017., 8. lpp.).</w:t>
      </w:r>
    </w:p>
  </w:footnote>
  <w:footnote w:id="10">
    <w:p>
      <w:pPr>
        <w:pStyle w:val="FootnoteText"/>
      </w:pPr>
      <w:r>
        <w:rPr>
          <w:rStyle w:val="FootnoteReference"/>
        </w:rPr>
        <w:footnoteRef/>
      </w:r>
      <w:r>
        <w:tab/>
        <w:t>Padomes Īstenošanas lēmums (ES) 2017/1855 (2017. gada 10. oktobris), ar ko Rumānijai atļauj piemērot īpašu pasākumu, atkāpjoties no 287. panta Direktīvā 2006/112/EK par kopējo pievienotās vērtības nodokļa sistēmu (OV L 265, 14.10.2017., 19. lpp.).</w:t>
      </w:r>
    </w:p>
  </w:footnote>
  <w:footnote w:id="11">
    <w:p>
      <w:pPr>
        <w:pStyle w:val="FootnoteText"/>
      </w:pPr>
      <w:r>
        <w:rPr>
          <w:rStyle w:val="FootnoteReference"/>
        </w:rPr>
        <w:footnoteRef/>
      </w:r>
      <w:r>
        <w:tab/>
        <w:t>Komisijas Paziņojums Eiropas Parlamentam, Padomei un Eiropas Ekonomikas un sociālo lietu komitejai par rīcības plānu PVN jomā “Ceļā uz vienotu ES PVN zonu — laiks pieņemt lēmumu”, Briselē, 7.4.2016., COM(2016) 148 final.</w:t>
      </w:r>
    </w:p>
  </w:footnote>
  <w:footnote w:id="12">
    <w:p>
      <w:pPr>
        <w:pStyle w:val="FootnoteText"/>
      </w:pPr>
      <w:r>
        <w:rPr>
          <w:rStyle w:val="FootnoteReference"/>
        </w:rPr>
        <w:footnoteRef/>
      </w:r>
      <w:r>
        <w:tab/>
        <w:t>Komisijas 2017. gada darba programma “Panākot tādu Eiropu, kas aizsargā, dod iespējas un aizstāv”, Strasbūrā, 25.10.2016., COM(2016) 710 final.</w:t>
      </w:r>
    </w:p>
  </w:footnote>
  <w:footnote w:id="13">
    <w:p>
      <w:pPr>
        <w:pStyle w:val="FootnoteText"/>
      </w:pPr>
      <w:r>
        <w:rPr>
          <w:rStyle w:val="FootnoteReference"/>
        </w:rPr>
        <w:footnoteRef/>
      </w:r>
      <w:r>
        <w:tab/>
        <w:t>Komisijas paziņojums Padomei, Eiropas Parlamentam, Eiropas Ekonomikas un sociālo lietu komitejai un Reģionu komitejai “Vispirms domāt par mazākajiem” — Eiropas Mazās uzņēmējdarbības akts, Briselē, 25.6.2008., COM(2008) 394 final.</w:t>
      </w:r>
    </w:p>
  </w:footnote>
  <w:footnote w:id="14">
    <w:p>
      <w:pPr>
        <w:pStyle w:val="FootnoteText"/>
      </w:pPr>
      <w:r>
        <w:rPr>
          <w:rStyle w:val="FootnoteReference"/>
        </w:rPr>
        <w:footnoteRef/>
      </w:r>
      <w:r>
        <w:tab/>
        <w:t>OV L 347, 11.12.2006., 1. lpp.</w:t>
      </w:r>
    </w:p>
  </w:footnote>
  <w:footnote w:id="15">
    <w:p>
      <w:pPr>
        <w:pStyle w:val="FootnoteText"/>
      </w:pPr>
      <w:r>
        <w:rPr>
          <w:rStyle w:val="FootnoteReference"/>
        </w:rPr>
        <w:footnoteRef/>
      </w:r>
      <w:r>
        <w:tab/>
        <w:t>Padomes Otrā Direktīva 67/228/EEK (1967. gada 11. aprīlis) par to, kā saskaņojami dalībvalstu tiesību akti par apgrozījuma nodokļiem — Kopējās pievienotās vērtības nodokļu sistēmas struktūra un piemērošanas kārtība (OV 71, 14.4.1967.,1303/67. lpp.).</w:t>
      </w:r>
    </w:p>
  </w:footnote>
  <w:footnote w:id="16">
    <w:p>
      <w:pPr>
        <w:pStyle w:val="FootnoteText"/>
      </w:pPr>
      <w:r>
        <w:rPr>
          <w:rStyle w:val="FootnoteReference"/>
        </w:rPr>
        <w:footnoteRef/>
      </w:r>
      <w:r>
        <w:tab/>
        <w:t xml:space="preserve">Komisijas 2008. gada 25. jūnija paziņojums Padomei, Eiropas Parlamentam, Eiropas Ekonomikas un sociālo lietu komitejai un Reģionu komitejai “Vispirms domāt par mazākajiem” — Eiropas Mazās uzņēmējdarbības akts “Small Business Act”, COM(2008) 394 final. </w:t>
      </w:r>
    </w:p>
  </w:footnote>
  <w:footnote w:id="17">
    <w:p>
      <w:pPr>
        <w:pStyle w:val="FootnoteText"/>
      </w:pPr>
      <w:r>
        <w:rPr>
          <w:rStyle w:val="FootnoteReference"/>
        </w:rPr>
        <w:footnoteRef/>
      </w:r>
      <w:r>
        <w:tab/>
        <w:t>Padomes 1989. gada 29. maija Regula (EEK, Euratom) Nr. 1553/89 par galīgajiem vienotajiem pasākumiem, lai iekasētu pašu resursus, ko veido pievienotās vērtības nodokļi (OV L 155, 7.6.1989., 9.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6722AE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B5872C4"/>
    <w:lvl w:ilvl="0">
      <w:start w:val="1"/>
      <w:numFmt w:val="decimal"/>
      <w:pStyle w:val="ListNumber3"/>
      <w:lvlText w:val="%1."/>
      <w:lvlJc w:val="left"/>
      <w:pPr>
        <w:tabs>
          <w:tab w:val="num" w:pos="926"/>
        </w:tabs>
        <w:ind w:left="926" w:hanging="360"/>
      </w:pPr>
    </w:lvl>
  </w:abstractNum>
  <w:abstractNum w:abstractNumId="2">
    <w:nsid w:val="FFFFFF7F"/>
    <w:multiLevelType w:val="singleLevel"/>
    <w:tmpl w:val="27AC7B7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FD09C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D7EE06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6926DF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0A657AA"/>
    <w:lvl w:ilvl="0">
      <w:start w:val="1"/>
      <w:numFmt w:val="decimal"/>
      <w:pStyle w:val="ListNumber"/>
      <w:lvlText w:val="%1."/>
      <w:lvlJc w:val="left"/>
      <w:pPr>
        <w:tabs>
          <w:tab w:val="num" w:pos="360"/>
        </w:tabs>
        <w:ind w:left="360" w:hanging="360"/>
      </w:pPr>
    </w:lvl>
  </w:abstractNum>
  <w:abstractNum w:abstractNumId="7">
    <w:nsid w:val="FFFFFF89"/>
    <w:multiLevelType w:val="singleLevel"/>
    <w:tmpl w:val="0396D39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1"/>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0-19 15:36: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7"/>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51FBA3D-1BE4-4A1A-BB44-7CF4A5A42A60"/>
    <w:docVar w:name="LW_COVERPAGE_TYPE" w:val="1"/>
    <w:docVar w:name="LW_CROSSREFERENCE" w:val="&lt;UNUSED&gt;"/>
    <w:docVar w:name="LW_DocType" w:val="COM"/>
    <w:docVar w:name="LW_EMISSION" w:val="26.10.2018"/>
    <w:docVar w:name="LW_EMISSION_ISODATE" w:val="2018-10-26"/>
    <w:docVar w:name="LW_EMISSION_LOCATION" w:val="BRX"/>
    <w:docVar w:name="LW_EMISSION_PREFIX" w:val="Briselē, "/>
    <w:docVar w:name="LW_EMISSION_SUFFIX" w:val="."/>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NLE"/>
    <w:docVar w:name="LW_REF.II.NEW.CP_NUMBER" w:val="0367"/>
    <w:docVar w:name="LW_REF.II.NEW.CP_YEAR" w:val="2018"/>
    <w:docVar w:name="LW_REF.INST.NEW" w:val="COM"/>
    <w:docVar w:name="LW_REF.INST.NEW_ADOPTED" w:val="final"/>
    <w:docVar w:name="LW_REF.INST.NEW_TEXT" w:val="(2018) 71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ek\u353?likums"/>
    <w:docVar w:name="LW_SUPERTITRE" w:val="&lt;UNUSED&gt;"/>
    <w:docVar w:name="LW_TITRE.OBJ.CP" w:val="ar ko N\u299?derlandei at\u316?auj piem\u275?rot \u299?pa\u353?u pas\u257?kumu, atk\u257?pjoties no 285. panta Direkt\u299?v\u257? 2006/112/EK par kop\u275?jo pievienot\u257?s v\u275?rt\u299?bas nodok\u316?a sist\u275?mu"/>
    <w:docVar w:name="LW_TYPE.DOC.CP" w:val="PADOMES \u298?STENO\u352?ANAS L\u274?MUM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lv-LV"/>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v-LV"/>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v-LV"/>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v-LV"/>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v-LV"/>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8592326-1907-468C-9F17-1C34CB67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1407</Words>
  <Characters>9068</Characters>
  <Application>Microsoft Office Word</Application>
  <DocSecurity>0</DocSecurity>
  <Lines>167</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dcterms:created xsi:type="dcterms:W3CDTF">2018-10-19T07:35:00Z</dcterms:created>
  <dcterms:modified xsi:type="dcterms:W3CDTF">2018-10-19T13:36:00Z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