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F1F5FBF-9A18-48AE-9D20-36A7544435AF"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PASKAIDROJUMA RAKSTS</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autoSpaceDE w:val="0"/>
        <w:autoSpaceDN w:val="0"/>
        <w:adjustRightInd w:val="0"/>
        <w:rPr>
          <w:noProof/>
        </w:rPr>
      </w:pPr>
      <w:r>
        <w:rPr>
          <w:noProof/>
        </w:rPr>
        <w:t>Pašreizējais priekšlikums direktīvai, ar ko groza Padomes 2006. gada 28. novembra Direktīvu 2006/112/EK par kopējo pievienotās vērtības nodokļa sistēmu</w:t>
      </w:r>
      <w:r>
        <w:rPr>
          <w:rStyle w:val="FootnoteReference"/>
          <w:noProof/>
        </w:rPr>
        <w:footnoteReference w:id="1"/>
      </w:r>
      <w:r>
        <w:rPr>
          <w:noProof/>
        </w:rPr>
        <w:t xml:space="preserve"> (turpmāk “PVN direktīva”), ir izstrādāts, lai 1) dalībvalstis varētu ilgāk piemērot apgrieztās maksāšanas sistēmu</w:t>
      </w:r>
      <w:r>
        <w:rPr>
          <w:rStyle w:val="FootnoteReference"/>
          <w:noProof/>
        </w:rPr>
        <w:footnoteReference w:id="2"/>
      </w:r>
      <w:r>
        <w:rPr>
          <w:noProof/>
        </w:rPr>
        <w:t xml:space="preserve">, lai apkarotu pastāvošo krāpšanu saistībā ar PVN direktīvas 199.a panta 1. punktā minētajām preču piegādēm un pakalpojumu sniegšanu, un 2) varētu ilgāk izmantot ātrās reaģēšanas mehānismu (ĀRM) cīņā pret krāpšanu. </w:t>
      </w:r>
    </w:p>
    <w:p>
      <w:pPr>
        <w:rPr>
          <w:noProof/>
          <w:szCs w:val="20"/>
        </w:rPr>
      </w:pPr>
      <w:r>
        <w:rPr>
          <w:noProof/>
        </w:rPr>
        <w:t>Saskaņā ar PVN direktīvas 199.a pantu</w:t>
      </w:r>
      <w:r>
        <w:rPr>
          <w:rStyle w:val="FootnoteReference"/>
          <w:noProof/>
        </w:rPr>
        <w:footnoteReference w:id="3"/>
      </w:r>
      <w:r>
        <w:rPr>
          <w:noProof/>
        </w:rPr>
        <w:t xml:space="preserve"> dalībvalstis var fakultatīvi izmantot apgrieztās maksāšanas sistēmu, lai maksātu PVN par tādu iepriekš noteiktu preču piegādēm un tādu pakalpojumu sniegšanu, kas ir saistīti ar paaugstinātu krāpšanas risku, īpaši “pazudušā tirgotāja” krāpniecisku darbību Kopienā (</w:t>
      </w:r>
      <w:r>
        <w:rPr>
          <w:i/>
          <w:noProof/>
        </w:rPr>
        <w:t>MTIC</w:t>
      </w:r>
      <w:r>
        <w:rPr>
          <w:noProof/>
        </w:rPr>
        <w:t xml:space="preserve">). </w:t>
      </w:r>
    </w:p>
    <w:p>
      <w:pPr>
        <w:autoSpaceDE w:val="0"/>
        <w:autoSpaceDN w:val="0"/>
        <w:adjustRightInd w:val="0"/>
        <w:rPr>
          <w:noProof/>
        </w:rPr>
      </w:pPr>
      <w:r>
        <w:rPr>
          <w:noProof/>
        </w:rPr>
        <w:t>Ja dalībvalsts vēlētos piemērot apgrieztās maksāšanas sistēmu preču piegādēm vai pakalpojumu sniegšanai, kas nav minētas PVN direktīvas 199.a pantā, tad, pamatojoties uz PVN direktīvas 395. pantu, var tikt piešķirta atkāpe, lai vienkāršotu PVN iekasēšanas procedūru vai novērstu dažus nodokļu nemaksāšanas vai izvairīšanās no nodokļu maksāšanas veidus. Tomēr, lai tiktu piešķirta atkāpe uz minētā panta pamata, ir nepieciešams Komisijas priekšlikums un Padomes vienprātīgs apstiprinājums, un šis process ilgst vairākus mēnešus (saskaņā ar PVN direktīvas 395. pantu līdz pat astoņiem mēnešiem). Gadījumos, kad dalībvalsts pēkšņi saskaras ar masveida krāpšanu, procedūras ilgums atkāpes piešķiršanai, pamatojoties uz 395. pantu, var radīt nozīmīgus PVN ieņēmumu zaudējumus. PVN direktīvas 199.b pantā</w:t>
      </w:r>
      <w:r>
        <w:rPr>
          <w:rStyle w:val="FootnoteReference"/>
          <w:noProof/>
        </w:rPr>
        <w:footnoteReference w:id="4"/>
      </w:r>
      <w:r>
        <w:rPr>
          <w:noProof/>
        </w:rPr>
        <w:t xml:space="preserve"> minētais ĀRM nozīmē ātrāku procedūru, kas dalībvalstīm, ievērojot konkrētus stingrus nosacījumus, ļauj ieviest apgrieztās maksāšanas sistēmu, tādējādi ļaujot tām atbilstīgāk un efektīvāk reaģēt pēkšņas un masveida krāpšanas gadījumā. </w:t>
      </w:r>
    </w:p>
    <w:p>
      <w:pPr>
        <w:autoSpaceDE w:val="0"/>
        <w:autoSpaceDN w:val="0"/>
        <w:adjustRightInd w:val="0"/>
        <w:rPr>
          <w:noProof/>
        </w:rPr>
      </w:pPr>
      <w:r>
        <w:rPr>
          <w:noProof/>
        </w:rPr>
        <w:t xml:space="preserve">Direktīvas 199.a un 199.b pantā noteikto pasākumu mērķis ir ļaut dalībvalstīm ātri risināt ar </w:t>
      </w:r>
      <w:r>
        <w:rPr>
          <w:i/>
          <w:noProof/>
        </w:rPr>
        <w:t xml:space="preserve">MTIC </w:t>
      </w:r>
      <w:r>
        <w:rPr>
          <w:noProof/>
        </w:rPr>
        <w:t>krāpšanu saistītās problēmas: 199.a pantā ir noteikts, ka apgrieztās maksāšanas sistēmu var fakultatīvi piemērot norādītām preču piegādēm un pakalpojumu sniegšanai, un 199.b pantā tiek piedāvāta ātrāka procedūra apgrieztās maksāšanas sistēmas ieviešanai pēkšņas un masveida krāpšanas gadījumā. Abi panti ir spēkā līdz 2018. gada 31. decembrim</w:t>
      </w:r>
      <w:r>
        <w:rPr>
          <w:rStyle w:val="FootnoteReference"/>
          <w:noProof/>
        </w:rPr>
        <w:footnoteReference w:id="5"/>
      </w:r>
      <w:r>
        <w:rPr>
          <w:noProof/>
        </w:rPr>
        <w:t xml:space="preserve">. </w:t>
      </w:r>
    </w:p>
    <w:p>
      <w:pPr>
        <w:autoSpaceDE w:val="0"/>
        <w:autoSpaceDN w:val="0"/>
        <w:adjustRightInd w:val="0"/>
        <w:rPr>
          <w:noProof/>
        </w:rPr>
      </w:pPr>
      <w:r>
        <w:rPr>
          <w:i/>
          <w:noProof/>
        </w:rPr>
        <w:t>MTIC</w:t>
      </w:r>
      <w:r>
        <w:rPr>
          <w:noProof/>
        </w:rPr>
        <w:t xml:space="preserve"> krāpšana notiek, ja tirgotājs iegādājas preces, kas tiek transportētas vai piegādātas no citas dalībvalsts, izmantojot no PVN atbrīvotu piegādi, un tad pārdod šīs preces tālāk, iekļaujot PVN klientam izrakstītajā rēķinā. Pēc PVN summas saņemšanas no klienta šis tirgotājs pazūd, nesamaksājot PVN nodokļu iestādēm. Tajā pašā laikā klients, rīkojoties vai nerīkojoties labticīgi, var atskaitīt piegādātājam samaksāto PVN, izmantojot PVN deklarāciju. </w:t>
      </w:r>
      <w:r>
        <w:rPr>
          <w:noProof/>
        </w:rPr>
        <w:lastRenderedPageBreak/>
        <w:t xml:space="preserve">Fakultatīvā apgrieztās maksāšanas sistēma, pamatojoties uz PVN direktīvas 199.a pantu, šķiet lietderīgs un piesardzīgs instruments, kas palīdz dalībvalstīm iepriekš noteiktajās sensitīvajās jomās cīnīties pret šāda veida krāpšanu dalībvalstu teritorijā. Tad, kad tirgotājam ir pienākums izmantot apgrieztās maksāšanas sistēmu iekšzemes preču piegādēm vai pakalpojumu sniegšanai, viņš nevar rēķinā pieprasīt PVN. Tirgotājs attiecīgi nesaņems PVN no klienta un tādējādi nevarēs pazust ar saņemto PVN. Direktīvas 199.b pantā paredzētais ĀRM ir izņēmuma pasākums, kas ļauj dalībvalstīm ātri ieviest pagaidu apgrieztās maksāšanas sistēmu attiecībā uz preču piegādēm un pakalpojumu sniegšanu nozarēs, kurās notikusi pēkšņa un masveida krāpšana un kuras nav minētas PVN direktīvas 199.a pantā. Izmantojot šo sistēmu, dalībvalstīm ir pieejams pārejas posma risinājums, līdz tās saskaņā ar PVN direktīvas 395. pantu var iegūt parasto atkāpi. </w:t>
      </w:r>
    </w:p>
    <w:p>
      <w:pPr>
        <w:rPr>
          <w:noProof/>
          <w:szCs w:val="24"/>
        </w:rPr>
      </w:pPr>
      <w:r>
        <w:rPr>
          <w:noProof/>
        </w:rPr>
        <w:t>Saskaņā ar PVN direktīvu Komisija iesniedza ziņojumu par PVN direktīvas 199.a un 199.b pantā norādīto sistēmu ietekmi</w:t>
      </w:r>
      <w:r>
        <w:rPr>
          <w:rStyle w:val="FootnoteReference"/>
          <w:noProof/>
        </w:rPr>
        <w:footnoteReference w:id="6"/>
      </w:r>
      <w:r>
        <w:rPr>
          <w:noProof/>
        </w:rPr>
        <w:t>. Lai sagatavotu šo ziņojumu, dalībvalstis tika aicinātas dalīties pieredzē un novērtēt pasākumus. Lai nodrošinātu, ka tiek ņemtas vērā uzņēmēju atsauksmes, ieinteresētās personas no uzņēmēju aprindām tika lūgtas sniegt viedokli ar PVN ekspertu grupas</w:t>
      </w:r>
      <w:r>
        <w:rPr>
          <w:rStyle w:val="FootnoteReference"/>
          <w:noProof/>
        </w:rPr>
        <w:footnoteReference w:id="7"/>
      </w:r>
      <w:r>
        <w:rPr>
          <w:noProof/>
        </w:rPr>
        <w:t xml:space="preserve"> starpniecību. Dalībvalstis un apspriešanā iesaistītās ieinteresētās personas kopumā uzskata, ka PVN direktīvas 199.a pantā iekļautā apgrieztās maksāšanas sistēma ir efektīva un lietderīga kā pagaidu instruments cīņā pret krāpšanu PVN jomā. Attiecībā uz PVN direktīvas 199.b pantā iekļauto ĀRM (lai gan tas nekad nav īsti piemērots) lielākā daļa dalībvalstu uzskata, ka tas joprojām ir lietderīgs instruments un piesardzības pasākums izņēmuma gadījumos, ja ir notikusi krāpšana PVN jomā. </w:t>
      </w:r>
    </w:p>
    <w:p>
      <w:pPr>
        <w:rPr>
          <w:noProof/>
          <w:szCs w:val="24"/>
        </w:rPr>
      </w:pPr>
      <w:r>
        <w:rPr>
          <w:noProof/>
        </w:rPr>
        <w:t>Nesen Komisija iesniedza divus tiesību aktu priekšlikumus, kuru mērķis ir pašos pamatos cīnīties pret krāpšanu PVN jomā. Pirmais priekšlikums attiecas uz administratīvu sadarbību un krāpšanas apkarošanu PVN jomā</w:t>
      </w:r>
      <w:r>
        <w:rPr>
          <w:rStyle w:val="FootnoteReference"/>
          <w:noProof/>
        </w:rPr>
        <w:footnoteReference w:id="8"/>
      </w:r>
      <w:r>
        <w:rPr>
          <w:noProof/>
        </w:rPr>
        <w:t xml:space="preserve">, kas stiprinātu dalībvalstu sadarbību, lai efektīvi cīnītos pret pārrobežu krāpšanu. </w:t>
      </w:r>
    </w:p>
    <w:p>
      <w:pPr>
        <w:rPr>
          <w:rFonts w:eastAsiaTheme="majorEastAsia"/>
          <w:noProof/>
        </w:rPr>
      </w:pPr>
      <w:r>
        <w:rPr>
          <w:noProof/>
        </w:rPr>
        <w:t>Otrais priekšlikums iezīmē pamatus vienkāršākai un pret krāpšanu drošākai galīgai PVN sistēmai attiecībā uz tirdzniecību Savienībā</w:t>
      </w:r>
      <w:r>
        <w:rPr>
          <w:rStyle w:val="FootnoteReference"/>
          <w:noProof/>
        </w:rPr>
        <w:footnoteReference w:id="9"/>
      </w:r>
      <w:r>
        <w:rPr>
          <w:noProof/>
        </w:rPr>
        <w:t xml:space="preserve">. Šo pamatu ieviešana notiks divos posmos. Pirmajā posmā Komisija 2018. gada pirmajā pusgadā sagatavos priekšlikumu ar sīki izstrādātiem noteikumiem, lai saistībā ar </w:t>
      </w:r>
      <w:r>
        <w:rPr>
          <w:i/>
          <w:noProof/>
        </w:rPr>
        <w:t>B2B</w:t>
      </w:r>
      <w:r>
        <w:rPr>
          <w:noProof/>
        </w:rPr>
        <w:t xml:space="preserve"> (uzņēmumu darījumiem ar uzņēmumiem) preču piegādēm Savienībā darbotos galīgais režīms.</w:t>
      </w:r>
    </w:p>
    <w:p>
      <w:pPr>
        <w:rPr>
          <w:noProof/>
          <w:szCs w:val="24"/>
        </w:rPr>
      </w:pPr>
      <w:r>
        <w:rPr>
          <w:noProof/>
        </w:rPr>
        <w:t xml:space="preserve">Šim režīmam vajadzētu stāties spēkā 2022. gada 1. jūlijā, un tas nodrošinās fundamentālu reaģēšanu </w:t>
      </w:r>
      <w:r>
        <w:rPr>
          <w:i/>
          <w:noProof/>
        </w:rPr>
        <w:t>MTIC</w:t>
      </w:r>
      <w:r>
        <w:rPr>
          <w:noProof/>
        </w:rPr>
        <w:t xml:space="preserve"> krāpšanas gadījumos. Tā kā PVN tiks faktiski iekasēts par preču piegādēm vai pakalpojumu sniegšanu Savienībā, tirgotājs vairs nevarēs iegādāties no PVN atbrīvotas preces, kas tiek transportētas vai piegādātas no citas dalībvalsts (tas ir </w:t>
      </w:r>
      <w:r>
        <w:rPr>
          <w:i/>
          <w:noProof/>
        </w:rPr>
        <w:t>MTIC</w:t>
      </w:r>
      <w:r>
        <w:rPr>
          <w:noProof/>
        </w:rPr>
        <w:t xml:space="preserve"> krāpšanas pamatā). Tikai uzticami nodokļa maksātāji, kas ieguvuši sertificēta nodokļa maksātāja statusu, varēs iegādāties preces, kas tiek transportētas vai piegādātas no citas dalībvalsts, piegādātājam nepieprasot maksāt PVN. </w:t>
      </w:r>
    </w:p>
    <w:p>
      <w:pPr>
        <w:autoSpaceDE w:val="0"/>
        <w:autoSpaceDN w:val="0"/>
        <w:adjustRightInd w:val="0"/>
        <w:rPr>
          <w:noProof/>
        </w:rPr>
      </w:pPr>
      <w:r>
        <w:rPr>
          <w:noProof/>
        </w:rPr>
        <w:lastRenderedPageBreak/>
        <w:t xml:space="preserve">No iepriekš teiktā izriet, ka PVN direktīvas 199.a un 199.b pantā iekļautie pasākumi ir bijuši lietderīgi kā pagaidu un mērķtiecīgi pasākumi. Šiem pasākumiem beidzoties 2018. gada 31. decembrī, dalībvalstu rīcībā vairs nebūs efektīva instrumenta krāpšanas apkarošanai. </w:t>
      </w:r>
    </w:p>
    <w:p>
      <w:pPr>
        <w:rPr>
          <w:noProof/>
        </w:rPr>
      </w:pPr>
      <w:r>
        <w:rPr>
          <w:noProof/>
        </w:rPr>
        <w:t xml:space="preserve">Tāpēc ir atbilstīgi 199.a un 199.b pantā noteiktos pasākumus pagarināt līdz 2022. gada 30. jūnijam, kas ir datums, kurā saistībā ar </w:t>
      </w:r>
      <w:r>
        <w:rPr>
          <w:i/>
          <w:noProof/>
        </w:rPr>
        <w:t>B2B</w:t>
      </w:r>
      <w:r>
        <w:rPr>
          <w:noProof/>
        </w:rPr>
        <w:t xml:space="preserve"> preču piegādēm Savienībā vajadzētu stāties spēkā galīgajam režīmam. </w:t>
      </w:r>
    </w:p>
    <w:p>
      <w:pPr>
        <w:rPr>
          <w:rFonts w:eastAsia="Arial Unicode MS"/>
          <w:noProof/>
          <w:szCs w:val="24"/>
        </w:rPr>
      </w:pPr>
      <w:r>
        <w:rPr>
          <w:noProof/>
        </w:rPr>
        <w:t xml:space="preserve">Saskaņā ar PVN direktīvas 199.a panta 1. punktu dalībvalstis var piemērot apgrieztās maksāšanas sistēmu vismaz divus gadus. </w:t>
      </w:r>
      <w:r>
        <w:rPr>
          <w:noProof/>
          <w:color w:val="000000"/>
        </w:rPr>
        <w:t xml:space="preserve">Prasība par pasākuma piemērošanu vismaz divus gadus izrādījās šķērslis dažām dalībvalstīm, kas 2017. gadā vēlējās ieviest apgrieztās maksāšanas sistēmu, lai cīnītos pret jaunatklātiem PVN krāpšanas gadījumiem attiecībā uz 199.a panta sarakstā iekļautu preču piegādēm un/vai pakalpojumu sniegšanu. Attiecīgajām dalībvalstīm galu galā bija jāiesniedz pieprasījums pēc atkāpes, pamatojoties uz PVN direktīvas 395. pantu un saskaņā ar minētajā pantā iekļauto procedūru, bet līdz ar to tika aizkavēta dalībvalstu atbildes reakcija uz krāpšanas problēmu. Tāpēc tiek ierosināts izņemt no noteikumiem prasību par vismaz diviem gadiem. </w:t>
      </w:r>
    </w:p>
    <w:p>
      <w:pPr>
        <w:pStyle w:val="ManualHeading2"/>
        <w:rPr>
          <w:rFonts w:eastAsia="Arial Unicode MS"/>
          <w:noProof/>
          <w:color w:val="000000"/>
          <w:u w:color="000000"/>
          <w:bdr w:val="nil"/>
        </w:rPr>
      </w:pPr>
      <w:r>
        <w:rPr>
          <w:noProof/>
          <w:color w:val="000000"/>
          <w:u w:color="000000"/>
          <w:bdr w:val="nil"/>
        </w:rPr>
        <w:t>•</w:t>
      </w:r>
      <w:r>
        <w:rPr>
          <w:noProof/>
        </w:rPr>
        <w:tab/>
        <w:t>Atbilstība pašreizējiem noteikumiem konkrētajā politikas jomā</w:t>
      </w:r>
    </w:p>
    <w:p>
      <w:pPr>
        <w:pStyle w:val="Default"/>
        <w:jc w:val="both"/>
        <w:rPr>
          <w:noProof/>
        </w:rPr>
      </w:pPr>
      <w:r>
        <w:rPr>
          <w:noProof/>
        </w:rPr>
        <w:t>Pašreizējais priekšlikums neskar Komisijas priekšlikumu par vispārējās apgrieztās maksāšanas sistēmas pagaidu piemērošanu</w:t>
      </w:r>
      <w:r>
        <w:rPr>
          <w:rStyle w:val="FootnoteReference"/>
          <w:noProof/>
        </w:rPr>
        <w:footnoteReference w:id="10"/>
      </w:r>
      <w:r>
        <w:rPr>
          <w:noProof/>
        </w:rPr>
        <w:t xml:space="preserve">, kas ļautu dalībvalstīm, kuras īpaši skar krāpšana, ieviest vispārēju (nevis nozarei raksturīgu) apgrieztās maksāšanas sistēmu iekšzemes preču piegādēm un pakalpojumu sniegšanai, ja tiek ievēroti stingri nosacījumi. Ierosinātais tvērums un nosacījumi vispārējās apgrieztās maksāšanas sistēmas piemērošanai un PVN direktīvas 199.a un 199.b panta nosacījumi atšķiras. </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pBdr>
          <w:top w:val="nil"/>
          <w:left w:val="nil"/>
          <w:bottom w:val="nil"/>
          <w:right w:val="nil"/>
          <w:between w:val="nil"/>
          <w:bar w:val="nil"/>
        </w:pBdr>
        <w:spacing w:before="0" w:after="240"/>
        <w:rPr>
          <w:noProof/>
        </w:rPr>
      </w:pPr>
      <w:r>
        <w:rPr>
          <w:noProof/>
        </w:rPr>
        <w:t xml:space="preserve">Ar šo direktīvu tiek grozīta PVN direktīva, pamatojoties uz Līguma par Eiropas Savienības darbību 113. pantu. </w:t>
      </w:r>
    </w:p>
    <w:p>
      <w:pPr>
        <w:pBdr>
          <w:top w:val="nil"/>
          <w:left w:val="nil"/>
          <w:bottom w:val="nil"/>
          <w:right w:val="nil"/>
          <w:between w:val="nil"/>
          <w:bar w:val="nil"/>
        </w:pBdr>
        <w:spacing w:before="0" w:after="240"/>
        <w:rPr>
          <w:rFonts w:eastAsia="Arial Unicode MS"/>
          <w:noProof/>
          <w:color w:val="000000" w:themeColor="text1"/>
        </w:rPr>
      </w:pPr>
      <w:r>
        <w:rPr>
          <w:noProof/>
        </w:rPr>
        <w:t xml:space="preserve">Tā kā ar šo priekšlikumu tiek pagarināta dažu direktīvas noteikumu piemērošana, ir nepieciešami PVN direktīvas grozījumi. </w:t>
      </w:r>
    </w:p>
    <w:p>
      <w:pPr>
        <w:pStyle w:val="ManualHeading2"/>
        <w:rPr>
          <w:rFonts w:eastAsia="Arial Unicode MS"/>
          <w:noProof/>
          <w:u w:color="000000"/>
          <w:bdr w:val="nil"/>
        </w:rPr>
      </w:pPr>
      <w:r>
        <w:rPr>
          <w:noProof/>
        </w:rPr>
        <w:t>•</w:t>
      </w:r>
      <w:r>
        <w:rPr>
          <w:noProof/>
        </w:rPr>
        <w:tab/>
        <w:t xml:space="preserve">Subsidiaritāte (neekskluzīvas kompetences gadījumā) </w:t>
      </w:r>
    </w:p>
    <w:p>
      <w:pPr>
        <w:pStyle w:val="Text1"/>
        <w:ind w:left="0"/>
        <w:rPr>
          <w:noProof/>
        </w:rPr>
      </w:pPr>
      <w:r>
        <w:rPr>
          <w:noProof/>
        </w:rPr>
        <w:t>Saskaņā ar subsidiaritātes principu, kā izklāstīts Līguma par Eiropas Savienību 5. panta 3. punktā, Savienības līmeņa darbības var veikt tikai tad, ja dalībvalstis pašas nevar pietiekami labi īstenot paredzētos mērķus un tādējādi ierosināto darbību mēroga vai ietekmes dēļ tie ir labāk sasniedzami ES līmenī.</w:t>
      </w:r>
    </w:p>
    <w:p>
      <w:pPr>
        <w:pBdr>
          <w:top w:val="nil"/>
          <w:left w:val="nil"/>
          <w:bottom w:val="nil"/>
          <w:right w:val="nil"/>
          <w:between w:val="nil"/>
          <w:bar w:val="nil"/>
        </w:pBdr>
        <w:spacing w:before="0" w:after="240"/>
        <w:rPr>
          <w:rFonts w:eastAsia="Arial Unicode MS"/>
          <w:noProof/>
        </w:rPr>
      </w:pPr>
      <w:r>
        <w:rPr>
          <w:noProof/>
        </w:rPr>
        <w:t xml:space="preserve">Mērķi, kas ir krāpšanas apkarošana, piemērojot apgrieztās maksāšanas sistēmu un iespēju izmantot ātrās reaģēšanas mehānismu pēkšņas un masveida krāpšanas apkarošanai, vislabāk var sasniegt Savienības līmenī, un tā īpašais juridiskais pamats ir PVN direktīva. Tādēļ šo pasākumu pagarināšanai ir nepieciešami PVN direktīvas grozījumi. </w:t>
      </w:r>
    </w:p>
    <w:p>
      <w:pPr>
        <w:pStyle w:val="ManualHeading2"/>
        <w:rPr>
          <w:rFonts w:eastAsia="Arial Unicode MS"/>
          <w:noProof/>
          <w:u w:color="000000"/>
          <w:bdr w:val="nil"/>
        </w:rPr>
      </w:pPr>
      <w:r>
        <w:rPr>
          <w:noProof/>
        </w:rPr>
        <w:lastRenderedPageBreak/>
        <w:t>•</w:t>
      </w:r>
      <w:r>
        <w:rPr>
          <w:noProof/>
        </w:rPr>
        <w:tab/>
        <w:t>Proporcionalitāte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Ņemot vērā pagarināto pasākumu fakultatīvo un pagaidu raksturu, priekšlikums ir proporcionāls sasniedzamajam mērķim, kas ir apkarot krāpšanu saistībā ar noteiktām preču piegādēm un pakalpojumu sniegšanu un palīdzēt dalībvalstīm cīņā pret pēkšņu un masveida krāpšanu PVN jomā. </w:t>
      </w:r>
    </w:p>
    <w:p>
      <w:pPr>
        <w:pStyle w:val="ManualHeading2"/>
        <w:rPr>
          <w:rFonts w:eastAsia="Arial Unicode MS"/>
          <w:noProof/>
          <w:u w:color="000000"/>
          <w:bdr w:val="nil"/>
        </w:rPr>
      </w:pPr>
      <w:r>
        <w:rPr>
          <w:noProof/>
        </w:rPr>
        <w:t>•</w:t>
      </w:r>
      <w:r>
        <w:rPr>
          <w:noProof/>
        </w:rPr>
        <w:tab/>
        <w:t>Juridiskā instrumenta izvēle</w:t>
      </w:r>
    </w:p>
    <w:p>
      <w:pPr>
        <w:pBdr>
          <w:top w:val="nil"/>
          <w:left w:val="nil"/>
          <w:bottom w:val="nil"/>
          <w:right w:val="nil"/>
          <w:between w:val="nil"/>
          <w:bar w:val="nil"/>
        </w:pBdr>
        <w:spacing w:before="0" w:after="240"/>
        <w:rPr>
          <w:rFonts w:eastAsia="Arial Unicode MS"/>
          <w:noProof/>
          <w:color w:val="000000" w:themeColor="text1"/>
        </w:rPr>
      </w:pPr>
      <w:r>
        <w:rPr>
          <w:noProof/>
        </w:rPr>
        <w:t xml:space="preserve">Tiek ierosināta direktīva, ar ko groza PVN direktīvu. </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rPr>
          <w:rFonts w:eastAsia="Arial Unicode MS"/>
          <w:noProof/>
          <w:u w:color="000000"/>
          <w:bdr w:val="nil"/>
        </w:rPr>
      </w:pPr>
      <w:r>
        <w:rPr>
          <w:noProof/>
        </w:rPr>
        <w:t>•</w:t>
      </w:r>
      <w:r>
        <w:rPr>
          <w:noProof/>
        </w:rPr>
        <w:tab/>
        <w:t>Apspriešanās ar ieinteresētajām personām</w:t>
      </w:r>
    </w:p>
    <w:p>
      <w:pPr>
        <w:pBdr>
          <w:top w:val="nil"/>
          <w:left w:val="nil"/>
          <w:bottom w:val="nil"/>
          <w:right w:val="nil"/>
          <w:between w:val="nil"/>
          <w:bar w:val="nil"/>
        </w:pBdr>
        <w:spacing w:before="0" w:after="240"/>
        <w:rPr>
          <w:rFonts w:eastAsia="Arial Unicode MS"/>
          <w:noProof/>
        </w:rPr>
      </w:pPr>
      <w:r>
        <w:rPr>
          <w:noProof/>
        </w:rPr>
        <w:t xml:space="preserve">Dalībvalstu un ieinteresēto personu atsauksmes tika sniegtas Komisijas ziņojumā par PVN direktīvas 199.a un 199.b panta ietekmi uz krāpšanas apkarošanu. </w:t>
      </w:r>
    </w:p>
    <w:p>
      <w:pPr>
        <w:rPr>
          <w:noProof/>
          <w:szCs w:val="24"/>
        </w:rPr>
      </w:pPr>
      <w:r>
        <w:rPr>
          <w:noProof/>
        </w:rPr>
        <w:t xml:space="preserve">Ziņojumā norādīts, ka dalībvalstis kopumā uzskata, ka PVN direktīvas 199.a pantā iekļautā apgrieztās maksāšanas sistēma ir efektīvs un lietderīgs instruments cīņā pret krāpšanu PVN jomā. Pēc apgrieztās maksāšanas sistēmas ieviešanas krāpšana konkrētajās nozarēs ir ievērojami mazinājusies vai izzudusi. Šāds viedoklis tiek pausts arī atbildēs, ko sniedza aptaujātās ieinteresētās personas no uzņēmēju aprindām, kuras uzskata, ka apgrieztās maksāšanas sistēma ir efektīvs pagaidu pasākums krāpšanas apkarošanai. </w:t>
      </w:r>
    </w:p>
    <w:p>
      <w:pPr>
        <w:rPr>
          <w:noProof/>
          <w:szCs w:val="24"/>
        </w:rPr>
      </w:pPr>
      <w:r>
        <w:rPr>
          <w:noProof/>
        </w:rPr>
        <w:t xml:space="preserve">Attiecībā uz PVN direktīvas 199.b pantā iekļauto ātrās reaģēšanas mehānismu (lai gan tas nekad nav izmantots) lielākā daļa dalībvalstu uzskata, ka tas joprojām ir lietderīgs instruments un piesardzības pasākums izņēmuma gadījumos, kad ir notikusi pēkšņa krāpšana PVN jomā. </w:t>
      </w:r>
    </w:p>
    <w:p>
      <w:pPr>
        <w:pStyle w:val="ManualHeading2"/>
        <w:rPr>
          <w:rFonts w:eastAsia="Arial Unicode MS"/>
          <w:noProof/>
          <w:u w:color="000000"/>
          <w:bdr w:val="nil"/>
        </w:rPr>
      </w:pPr>
      <w:r>
        <w:rPr>
          <w:noProof/>
        </w:rPr>
        <w:t>•</w:t>
      </w:r>
      <w:r>
        <w:rPr>
          <w:noProof/>
        </w:rPr>
        <w:tab/>
        <w:t>Ekspertu atzinumu pieprasīšana un izmantošana</w:t>
      </w:r>
    </w:p>
    <w:p>
      <w:pPr>
        <w:pBdr>
          <w:top w:val="nil"/>
          <w:left w:val="nil"/>
          <w:bottom w:val="nil"/>
          <w:right w:val="nil"/>
          <w:between w:val="nil"/>
          <w:bar w:val="nil"/>
        </w:pBdr>
        <w:spacing w:before="0" w:after="240"/>
        <w:rPr>
          <w:noProof/>
        </w:rPr>
      </w:pPr>
      <w:r>
        <w:rPr>
          <w:noProof/>
        </w:rPr>
        <w:t xml:space="preserve">Notika apspriešanās ar PVN ekspertu grupu par PVN direktīvas 199.a pantā iekļautā pasākuma ietekmi. Atsauksmes liecina, ka apgrieztās maksāšanas sistēma noteiktām preču piegādēm un pakalpojumu sniegšanai tiek uzskatīta par efektīvu pagaidu instrumentu krāpšanas apkarošanai. </w:t>
      </w:r>
    </w:p>
    <w:p>
      <w:pPr>
        <w:pBdr>
          <w:top w:val="nil"/>
          <w:left w:val="nil"/>
          <w:bottom w:val="nil"/>
          <w:right w:val="nil"/>
          <w:between w:val="nil"/>
          <w:bar w:val="nil"/>
        </w:pBdr>
        <w:spacing w:before="0" w:after="240"/>
        <w:rPr>
          <w:noProof/>
          <w:color w:val="000000"/>
          <w:szCs w:val="24"/>
        </w:rPr>
      </w:pPr>
      <w:r>
        <w:rPr>
          <w:noProof/>
        </w:rPr>
        <w:t>Kopumā fakultatīvā apgrieztās maksāšanas sistēma ir izvērtēta iepriekš veiktos pētījumos. Saskaņā ar nesen veiktu pētījumu par fakultatīvās apgrieztās maksāšanas sistēmas novērtējumu</w:t>
      </w:r>
      <w:r>
        <w:rPr>
          <w:rStyle w:val="FootnoteReference"/>
          <w:noProof/>
        </w:rPr>
        <w:footnoteReference w:id="11"/>
      </w:r>
      <w:r>
        <w:rPr>
          <w:noProof/>
        </w:rPr>
        <w:t xml:space="preserve"> apgrieztās maksāšanas sistēma nozīmē, ka uzņēmumu atbilstības nodrošināšanas izmaksas pieaug par 43 %. Ietekmes novērtējumā, kas pievienots priekšlikumam par pagaidu vispārējās apgrieztās maksāšanas sistēmas piemērošanu, ir veikts vispārējas apgrieztās maksāšanas sistēmas novērtējums iekšējā tirgū (arī salīdzinājumā ar nozaru apgrieztās maksāšanas sistēmu)</w:t>
      </w:r>
      <w:r>
        <w:rPr>
          <w:rStyle w:val="FootnoteReference"/>
          <w:noProof/>
        </w:rPr>
        <w:footnoteReference w:id="12"/>
      </w:r>
      <w:r>
        <w:rPr>
          <w:noProof/>
        </w:rPr>
        <w:t>.</w:t>
      </w:r>
      <w:r>
        <w:rPr>
          <w:noProof/>
          <w:color w:val="000000"/>
        </w:rPr>
        <w:t xml:space="preserve"> Ņemot vērā ierobežoto tvērumu un laiku, nešķiet, ka konkrētajai apgrieztajai maksāšanas sistēmai būtu nozīmīgas negatīvas sekas. </w:t>
      </w:r>
    </w:p>
    <w:p>
      <w:pPr>
        <w:pStyle w:val="ManualHeading2"/>
        <w:rPr>
          <w:rFonts w:eastAsia="Arial Unicode MS"/>
          <w:noProof/>
          <w:u w:color="000000"/>
          <w:bdr w:val="nil"/>
        </w:rPr>
      </w:pPr>
      <w:r>
        <w:rPr>
          <w:noProof/>
        </w:rPr>
        <w:t>•</w:t>
      </w:r>
      <w:r>
        <w:rPr>
          <w:noProof/>
        </w:rPr>
        <w:tab/>
        <w:t>Ietekmes novērtējums</w:t>
      </w:r>
    </w:p>
    <w:p>
      <w:pPr>
        <w:rPr>
          <w:noProof/>
          <w:color w:val="000000" w:themeColor="text1"/>
        </w:rPr>
      </w:pPr>
      <w:r>
        <w:rPr>
          <w:noProof/>
          <w:color w:val="000000" w:themeColor="text1"/>
        </w:rPr>
        <w:t xml:space="preserve">Iniciatīva pagarina 199.a un 199.b pantā iekļautos pasākumus, lai sniegtu atbalstu dalībvalstīm cīņā pret krāpšanu PVN jomā, kamēr netiks ieviesta padziļināta PVN sistēmas reforma. </w:t>
      </w:r>
    </w:p>
    <w:p>
      <w:pPr>
        <w:rPr>
          <w:noProof/>
          <w:color w:val="000000" w:themeColor="text1"/>
        </w:rPr>
      </w:pPr>
      <w:r>
        <w:rPr>
          <w:noProof/>
          <w:color w:val="000000" w:themeColor="text1"/>
        </w:rPr>
        <w:lastRenderedPageBreak/>
        <w:t xml:space="preserve">Tā kā Komisija turpina darbu saistībā ar galīgo PVN režīmu un tā plānoto ietekmi uz krāpšanas apkarošanu, patlaban nebūtu lietderīgi veikt izvērtējumu ārpus nesenā ziņojuma vai pārskatīt pasākumus, jo ikviens secinājums būtu pagaidu un būtu jāpārvērtē, stājoties spēkā galīgajam režīmam. </w:t>
      </w:r>
    </w:p>
    <w:p>
      <w:pPr>
        <w:pStyle w:val="ManualHeading1"/>
        <w:rPr>
          <w:noProof/>
        </w:rPr>
      </w:pPr>
      <w:r>
        <w:rPr>
          <w:noProof/>
        </w:rPr>
        <w:t>4.</w:t>
      </w:r>
      <w:r>
        <w:rPr>
          <w:noProof/>
        </w:rPr>
        <w:tab/>
        <w:t>IETEKME UZ BUDŽETU</w:t>
      </w:r>
    </w:p>
    <w:p>
      <w:pPr>
        <w:pBdr>
          <w:top w:val="nil"/>
          <w:left w:val="nil"/>
          <w:bottom w:val="nil"/>
          <w:right w:val="nil"/>
          <w:between w:val="nil"/>
          <w:bar w:val="nil"/>
        </w:pBdr>
        <w:spacing w:before="0" w:after="240"/>
        <w:rPr>
          <w:rFonts w:eastAsia="Arial Unicode MS"/>
          <w:noProof/>
          <w:color w:val="000000" w:themeColor="text1"/>
        </w:rPr>
      </w:pPr>
      <w:r>
        <w:rPr>
          <w:noProof/>
        </w:rPr>
        <w:t xml:space="preserve">Priekšlikumam nebūs nelabvēlīgas ietekmes uz Savienības budžetu. </w:t>
      </w:r>
    </w:p>
    <w:p>
      <w:pPr>
        <w:pStyle w:val="ManualHeading1"/>
        <w:rPr>
          <w:noProof/>
        </w:rPr>
      </w:pPr>
      <w:r>
        <w:rPr>
          <w:noProof/>
        </w:rPr>
        <w:t>5.</w:t>
      </w:r>
      <w:r>
        <w:rPr>
          <w:noProof/>
        </w:rPr>
        <w:tab/>
        <w:t>CITI ELEMENTI</w:t>
      </w:r>
    </w:p>
    <w:p>
      <w:pPr>
        <w:rPr>
          <w:noProof/>
        </w:rPr>
      </w:pPr>
      <w:r>
        <w:rPr>
          <w:noProof/>
        </w:rPr>
        <w:t xml:space="preserve">Priekšlikumam ir noteikts termiņš. </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2018/0150 (CNS)</w:t>
      </w:r>
    </w:p>
    <w:p>
      <w:pPr>
        <w:pStyle w:val="Statut"/>
        <w:rPr>
          <w:noProof/>
        </w:rPr>
      </w:pPr>
      <w:r>
        <w:rPr>
          <w:noProof/>
        </w:rPr>
        <w:t>Priekšlikums</w:t>
      </w:r>
    </w:p>
    <w:p>
      <w:pPr>
        <w:pStyle w:val="Typedudocument"/>
        <w:rPr>
          <w:noProof/>
        </w:rPr>
      </w:pPr>
      <w:r>
        <w:rPr>
          <w:noProof/>
        </w:rPr>
        <w:t>PADOMES DIREKTĪVA,</w:t>
      </w:r>
    </w:p>
    <w:p>
      <w:pPr>
        <w:pStyle w:val="Titreobjet"/>
        <w:rPr>
          <w:noProof/>
        </w:rPr>
      </w:pPr>
      <w:r>
        <w:rPr>
          <w:noProof/>
        </w:rPr>
        <w:t>ar ko Direktīvu 2006/112/EK par kopējo pievienotās vērtības nodokļa sistēmu groza attiecībā uz fakultatīvas apgrieztās maksāšanas sistēmas piemērošanas periodu noteiktām preču piegādēm un pakalpojumu sniegšanai, kam ir paaugstināts krāpšanas risks, un attiecībā uz ātrās reaģēšanas mehānisma cīņai pret krāpšanu PVN jomā piemērošanas periodu</w:t>
      </w:r>
    </w:p>
    <w:p>
      <w:pPr>
        <w:pStyle w:val="Institutionquiagit"/>
        <w:rPr>
          <w:noProof/>
        </w:rPr>
      </w:pPr>
      <w:r>
        <w:rPr>
          <w:noProof/>
        </w:rPr>
        <w:t>EIROPAS SAVIENĪBAS PADOME,</w:t>
      </w:r>
    </w:p>
    <w:p>
      <w:pPr>
        <w:rPr>
          <w:noProof/>
        </w:rPr>
      </w:pPr>
      <w:r>
        <w:rPr>
          <w:noProof/>
        </w:rPr>
        <w:t>ņemot vērā Līgumu par Eiropas Savienības darbību un jo īpaši tā 113. pantu,</w:t>
      </w:r>
    </w:p>
    <w:p>
      <w:pPr>
        <w:rPr>
          <w:noProof/>
        </w:rPr>
      </w:pPr>
      <w:r>
        <w:rPr>
          <w:noProof/>
        </w:rPr>
        <w:t>ņemot vērā Eiropas Komisijas priekšlikumu,</w:t>
      </w:r>
    </w:p>
    <w:p>
      <w:pPr>
        <w:rPr>
          <w:noProof/>
        </w:rPr>
      </w:pPr>
      <w:r>
        <w:rPr>
          <w:noProof/>
        </w:rPr>
        <w:t>pēc leģislatīvā akta projekta nosūtīšanas valstu parlamentiem,</w:t>
      </w:r>
    </w:p>
    <w:p>
      <w:pPr>
        <w:rPr>
          <w:noProof/>
        </w:rPr>
      </w:pPr>
      <w:r>
        <w:rPr>
          <w:noProof/>
        </w:rPr>
        <w:t>ņemot vērā Eiropas Parlamenta atzinumu</w:t>
      </w:r>
      <w:r>
        <w:rPr>
          <w:rStyle w:val="FootnoteReference"/>
          <w:noProof/>
        </w:rPr>
        <w:footnoteReference w:id="13"/>
      </w:r>
      <w:r>
        <w:rPr>
          <w:noProof/>
        </w:rPr>
        <w:t xml:space="preserve">, </w:t>
      </w:r>
    </w:p>
    <w:p>
      <w:pPr>
        <w:rPr>
          <w:noProof/>
        </w:rPr>
      </w:pPr>
      <w:r>
        <w:rPr>
          <w:noProof/>
        </w:rPr>
        <w:t>ņemot vērā Eiropas Ekonomikas un sociālo lietu komitejas atzinumu</w:t>
      </w:r>
      <w:r>
        <w:rPr>
          <w:rStyle w:val="FootnoteReference"/>
          <w:noProof/>
        </w:rPr>
        <w:footnoteReference w:id="14"/>
      </w:r>
      <w:r>
        <w:rPr>
          <w:noProof/>
        </w:rPr>
        <w:t xml:space="preserve">, </w:t>
      </w:r>
    </w:p>
    <w:p>
      <w:pPr>
        <w:rPr>
          <w:noProof/>
        </w:rPr>
      </w:pPr>
      <w:r>
        <w:rPr>
          <w:noProof/>
        </w:rPr>
        <w:t>saskaņā ar īpašu likumdošanas procedūru,</w:t>
      </w:r>
    </w:p>
    <w:p>
      <w:pPr>
        <w:rPr>
          <w:noProof/>
        </w:rPr>
      </w:pPr>
      <w:r>
        <w:rPr>
          <w:noProof/>
        </w:rPr>
        <w:t>tā kā:</w:t>
      </w:r>
    </w:p>
    <w:p>
      <w:pPr>
        <w:pStyle w:val="ManualConsidrant"/>
        <w:rPr>
          <w:noProof/>
        </w:rPr>
      </w:pPr>
      <w:r>
        <w:t>(1)</w:t>
      </w:r>
      <w:r>
        <w:tab/>
      </w:r>
      <w:r>
        <w:rPr>
          <w:noProof/>
        </w:rPr>
        <w:t xml:space="preserve">Krāpšana pievienotās vērtības nodokļa (PVN) jomā rada ievērojamus zaudējumus budžetā un ietekmē iekšējā tirgus darbību. </w:t>
      </w:r>
    </w:p>
    <w:p>
      <w:pPr>
        <w:pStyle w:val="ManualConsidrant"/>
        <w:rPr>
          <w:noProof/>
        </w:rPr>
      </w:pPr>
      <w:r>
        <w:t>(2)</w:t>
      </w:r>
      <w:r>
        <w:tab/>
      </w:r>
      <w:r>
        <w:rPr>
          <w:noProof/>
        </w:rPr>
        <w:t>Saskaņā ar Padomes Direktīvas 2006/112/EK</w:t>
      </w:r>
      <w:r>
        <w:rPr>
          <w:rStyle w:val="FootnoteReference"/>
          <w:noProof/>
        </w:rPr>
        <w:footnoteReference w:id="15"/>
      </w:r>
      <w:r>
        <w:rPr>
          <w:noProof/>
        </w:rPr>
        <w:t xml:space="preserve"> 199.a pantu dalībvalstis var noteikt, ka persona, kas ir atbildīga par PVN nomaksu par šajā pantā minētajām preču piegādēm un pakalpojumu sniegšanu, ir nodokļa maksātājs, kurš saņēmis attiecīgās preces vai pakalpojumus (apgrieztās maksāšanas sistēma), lai ātri apkarotu problēmu, kas ir “pazudušā tirgotāja” krāpnieciska darbība Kopienas tirdzniecībā (</w:t>
      </w:r>
      <w:r>
        <w:rPr>
          <w:i/>
          <w:noProof/>
        </w:rPr>
        <w:t>MTIC</w:t>
      </w:r>
      <w:r>
        <w:rPr>
          <w:noProof/>
        </w:rPr>
        <w:t xml:space="preserve">). Dalībvalstis var piemērot šo sistēmu līdz 2018. gada 31. decembrim un vismaz divus gadus. </w:t>
      </w:r>
    </w:p>
    <w:p>
      <w:pPr>
        <w:pStyle w:val="ManualConsidrant"/>
        <w:rPr>
          <w:noProof/>
        </w:rPr>
      </w:pPr>
      <w:r>
        <w:t>(3)</w:t>
      </w:r>
      <w:r>
        <w:tab/>
      </w:r>
      <w:r>
        <w:rPr>
          <w:noProof/>
        </w:rPr>
        <w:t>Ātrās reaģēšanas mehānisma (ĀRM) īpašais pasākums ir noteikts Direktīvas 2006/112/EK 199.b pantā, un tas piedāvā dalībvalstīm ātrāku procedūru, ļaujot tām ieviest apgrieztās maksāšanas sistēmu konkrētu preču piegādēm un pakalpojumu sniegšanai, lai apkarotu pēkšņu un masveida krāpšanu, kas var radīt ievērojamus un neatgriezeniskus finansiālus zaudējumus. Saskaņā ar Padomes Direktīvas 2013/42/ES</w:t>
      </w:r>
      <w:r>
        <w:rPr>
          <w:rStyle w:val="FootnoteReference"/>
          <w:noProof/>
        </w:rPr>
        <w:footnoteReference w:id="16"/>
      </w:r>
      <w:r>
        <w:rPr>
          <w:noProof/>
        </w:rPr>
        <w:t xml:space="preserve"> 3. pantu dalībvalstis var piemērot ĀRM īpašo pasākumu līdz 2018. gada 31. decembrim. </w:t>
      </w:r>
    </w:p>
    <w:p>
      <w:pPr>
        <w:pStyle w:val="ManualConsidrant"/>
        <w:rPr>
          <w:noProof/>
        </w:rPr>
      </w:pPr>
      <w:r>
        <w:lastRenderedPageBreak/>
        <w:t>(4)</w:t>
      </w:r>
      <w:r>
        <w:tab/>
      </w:r>
      <w:r>
        <w:rPr>
          <w:noProof/>
        </w:rPr>
        <w:t>Komisija 2018. gada 8. martā sniedza ziņojumu Eiropas Parlamentam un Padomei par to, kā Direktīvas 2006/112/EK 199.a un 199.b pantā noteiktās sistēmas ietekmē krāpšanas apkarošanu</w:t>
      </w:r>
      <w:r>
        <w:rPr>
          <w:rStyle w:val="FootnoteReference"/>
          <w:noProof/>
        </w:rPr>
        <w:footnoteReference w:id="17"/>
      </w:r>
      <w:r>
        <w:rPr>
          <w:noProof/>
        </w:rPr>
        <w:t xml:space="preserve">. </w:t>
      </w:r>
    </w:p>
    <w:p>
      <w:pPr>
        <w:pStyle w:val="ManualConsidrant"/>
        <w:rPr>
          <w:rFonts w:eastAsia="Arial Unicode MS"/>
          <w:noProof/>
          <w:szCs w:val="24"/>
        </w:rPr>
      </w:pPr>
      <w:r>
        <w:t>(5)</w:t>
      </w:r>
      <w:r>
        <w:tab/>
      </w:r>
      <w:r>
        <w:rPr>
          <w:noProof/>
        </w:rPr>
        <w:t xml:space="preserve">Ziņojumā norādīts, ka dalībvalstis un ieinteresētās personas kopumā uzskata, ka Direktīvas 2006/112/EK 199.a pantā noteiktā apgrieztās maksāšanas sistēma ir efektīvs un lietderīgs pagaidu instruments krāpšanas apkarošanai PVN jomā noteiktās nozarēs vai krāpšanas novēršanai. </w:t>
      </w:r>
      <w:r>
        <w:rPr>
          <w:noProof/>
          <w:color w:val="000000"/>
        </w:rPr>
        <w:t xml:space="preserve">Ir izrādījies, ka prasība par 199.a panta 1. punktā norādītā pasākuma piemērošanu vismaz divus gadus ir šķērslis dažām dalībvalstīm, kas vēlas ieviest apgrieztās maksāšanas sistēmu un neizpilda šo nosacījumu. Tāpēc prasība par vismaz diviem gadiem tiek izņemta no noteikumiem. </w:t>
      </w:r>
    </w:p>
    <w:p>
      <w:pPr>
        <w:pStyle w:val="ManualConsidrant"/>
        <w:rPr>
          <w:noProof/>
        </w:rPr>
      </w:pPr>
      <w:r>
        <w:t>(6)</w:t>
      </w:r>
      <w:r>
        <w:tab/>
      </w:r>
      <w:r>
        <w:rPr>
          <w:noProof/>
        </w:rPr>
        <w:t>Attiecībā uz Direktīvas 2006/112/EK 199.b pantā iekļauto ĀRM īpašo pasākumu (lai gan tas nekad nav īsti izmantots) dalībvalstis uzskata, ka tas joprojām ir lietderīgs instruments un piesardzības pasākums izņēmuma gadījumos, ja ir notikusi krāpšana PVN jomā.</w:t>
      </w:r>
    </w:p>
    <w:p>
      <w:pPr>
        <w:pStyle w:val="ManualConsidrant"/>
        <w:rPr>
          <w:noProof/>
        </w:rPr>
      </w:pPr>
      <w:r>
        <w:t>(7)</w:t>
      </w:r>
      <w:r>
        <w:tab/>
      </w:r>
      <w:r>
        <w:rPr>
          <w:noProof/>
        </w:rPr>
        <w:t xml:space="preserve">Ņemot vērā ziņojumā konstatētos faktus un secinājumus, šķiet, ka Direktīvas 2006/112/EK 199.a un 199.b pantā noteiktie pasākumi ir izrādījušies lietderīgi pagaidu un mērķtiecīgi pasākumi krāpšanas apkarošanai PVN jomā. Šiem pasākumiem beidzoties 2018. gada 31. decembrī, dalībvalstu rīcībā vairs nebūs efektīva instrumenta krāpšanas apkarošanai PVN jomā. Tādēļ ir lietderīgi pagarināt šo pasākumu piemērošanu uz ierobežotu laiku, kamēr nestāsies spēkā plānotais galīgais PVN režīms. </w:t>
      </w:r>
    </w:p>
    <w:p>
      <w:pPr>
        <w:pStyle w:val="ManualConsidrant"/>
        <w:rPr>
          <w:noProof/>
        </w:rPr>
      </w:pPr>
      <w:r>
        <w:t>(8)</w:t>
      </w:r>
      <w:r>
        <w:tab/>
      </w:r>
      <w:r>
        <w:rPr>
          <w:noProof/>
        </w:rPr>
        <w:t>Tādēļ Direktīva 2006/112/EK būtu attiecīgi jāgroza,</w:t>
      </w:r>
    </w:p>
    <w:p>
      <w:pPr>
        <w:pStyle w:val="Formuledadoption"/>
        <w:rPr>
          <w:noProof/>
        </w:rPr>
      </w:pPr>
      <w:r>
        <w:rPr>
          <w:noProof/>
        </w:rPr>
        <w:t>IR PIEŅĒMUSI ŠO DIREKTĪVU.</w:t>
      </w:r>
    </w:p>
    <w:p>
      <w:pPr>
        <w:pStyle w:val="Titrearticle"/>
        <w:rPr>
          <w:noProof/>
        </w:rPr>
      </w:pPr>
      <w:r>
        <w:rPr>
          <w:noProof/>
        </w:rPr>
        <w:t>1. pants</w:t>
      </w:r>
    </w:p>
    <w:p>
      <w:pPr>
        <w:rPr>
          <w:noProof/>
        </w:rPr>
      </w:pPr>
      <w:r>
        <w:rPr>
          <w:noProof/>
        </w:rPr>
        <w:t>Direktīvu 2006/112/EK groza šādi:</w:t>
      </w:r>
    </w:p>
    <w:p>
      <w:pPr>
        <w:pStyle w:val="Point0number"/>
        <w:numPr>
          <w:ilvl w:val="0"/>
          <w:numId w:val="10"/>
        </w:numPr>
        <w:rPr>
          <w:noProof/>
        </w:rPr>
      </w:pPr>
      <w:r>
        <w:rPr>
          <w:noProof/>
        </w:rPr>
        <w:t>199.a panta 1. punkta ievadvārdus aizstāj ar šādu tekstu:</w:t>
      </w:r>
    </w:p>
    <w:p>
      <w:pPr>
        <w:pStyle w:val="Normal1"/>
        <w:ind w:left="851"/>
        <w:rPr>
          <w:noProof/>
        </w:rPr>
      </w:pPr>
      <w:r>
        <w:rPr>
          <w:noProof/>
        </w:rPr>
        <w:t>“Dalībvalstis var noteikt, ka līdz 2022. gada 30. jūnijam persona, kura atbildīga par PVN nomaksu, ir nodokļa maksātājs, kas ir saņēmis šādas piegādes:”;</w:t>
      </w:r>
    </w:p>
    <w:p>
      <w:pPr>
        <w:pStyle w:val="Point0number"/>
        <w:rPr>
          <w:noProof/>
        </w:rPr>
      </w:pPr>
      <w:r>
        <w:rPr>
          <w:noProof/>
        </w:rPr>
        <w:t>199.b pantu aizstāj ar šādu:</w:t>
      </w:r>
    </w:p>
    <w:p>
      <w:pPr>
        <w:pStyle w:val="Normal1"/>
        <w:spacing w:before="120" w:beforeAutospacing="0" w:after="120" w:afterAutospacing="0"/>
        <w:jc w:val="center"/>
        <w:rPr>
          <w:noProof/>
        </w:rPr>
      </w:pPr>
      <w:r>
        <w:rPr>
          <w:noProof/>
        </w:rPr>
        <w:t>“199.b pants</w:t>
      </w:r>
    </w:p>
    <w:p>
      <w:pPr>
        <w:pStyle w:val="Normal1"/>
        <w:spacing w:before="120" w:beforeAutospacing="0" w:after="120" w:afterAutospacing="0"/>
        <w:ind w:left="720"/>
        <w:jc w:val="both"/>
        <w:rPr>
          <w:noProof/>
        </w:rPr>
      </w:pPr>
      <w:r>
        <w:rPr>
          <w:noProof/>
        </w:rPr>
        <w:t>1. Lai apkarotu pēkšņu un masveida krāpšanu, kas varētu radīt ievērojamus un neatgriezeniskus finansiālus zaudējumus, dalībvalsts kā ātrās reaģēšanas mehānisma (“ĀRM”) īpašo pasākumu nenovēršamu un steidzamu iemeslu gadījumos un saskaņā ar 2. un 3. punktu var noteikt, ka saņēmējs ir persona, kas, atkāpjoties no 193. panta, ir atbildīga par PVN samaksu par konkrētām preču piegādēm un konkrētu pakalpojumu sniegšanu.</w:t>
      </w:r>
    </w:p>
    <w:p>
      <w:pPr>
        <w:pStyle w:val="Normal1"/>
        <w:ind w:left="720"/>
        <w:jc w:val="both"/>
        <w:rPr>
          <w:noProof/>
        </w:rPr>
      </w:pPr>
      <w:r>
        <w:rPr>
          <w:noProof/>
        </w:rPr>
        <w:t>ĀRM īpašajam pasākumam dalībvalsts piemēro atbilstīgus kontroles pasākumus attiecībā uz nodokļa maksātājiem, kas piegādā tādas preces vai sniedz tādus pakalpojumus, kuriem piemēro minēto pasākumu, un tas nepārsniedz deviņu mēnešu laikposmu.</w:t>
      </w:r>
    </w:p>
    <w:p>
      <w:pPr>
        <w:pStyle w:val="Normal1"/>
        <w:ind w:left="720"/>
        <w:jc w:val="both"/>
        <w:rPr>
          <w:noProof/>
        </w:rPr>
      </w:pPr>
      <w:r>
        <w:rPr>
          <w:noProof/>
        </w:rPr>
        <w:lastRenderedPageBreak/>
        <w:t>2. Dalībvalsts, kas vēlas ieviest ĀRM īpašo pasākumu, kā paredzēts 1. punktā, nosūta paziņojumu Komisijai, izmantojot saskaņā ar 4. punktu noteikto standarta veidlapu, un vienlaikus šo paziņojumu nosūta pārējām dalībvalstīm. Dalībvalsts Komisijai sniedz informāciju, norādot attiecīgo nozari, krāpšanas veidu un iezīmes, absolūtas steidzamības iemeslus, krāpšanas pēkšņo un masveida raksturu un tās sekas saistībā ar ievērojamiem un neatgriezeniskiem finansiāliem zaudējumiem. Ja Komisija uzskata, ka tās rīcībā nav visa vajadzīgā informācija, tā divu nedēļu laikā pēc paziņojuma saņemšanas sazinās ar attiecīgo dalībvalsti un norāda, kāda papildu informācija ir nepieciešama. Jebkādu papildu informāciju, ko attiecīgā dalībvalsts sniedz Komisijai, vienlaikus nosūta pārējām dalībvalstīm. Ja sniegtā papildu informācija nav pietiekama, Komisija attiecīgo dalībvalsti par to informē vienas nedēļas laikā.</w:t>
      </w:r>
    </w:p>
    <w:p>
      <w:pPr>
        <w:pStyle w:val="Normal1"/>
        <w:ind w:left="720"/>
        <w:jc w:val="both"/>
        <w:rPr>
          <w:noProof/>
        </w:rPr>
      </w:pPr>
      <w:r>
        <w:rPr>
          <w:noProof/>
        </w:rPr>
        <w:t>Dalībvalsts, kas vēlas ieviest ĀRM īpašo pasākumu, kā paredzēts 1. punktā, vienlaikus saskaņā ar 395. panta 2. un 3. punktā izklāstīto procedūru arī izdara pieprasījumu Komisijai.</w:t>
      </w:r>
    </w:p>
    <w:p>
      <w:pPr>
        <w:pStyle w:val="Normal1"/>
        <w:ind w:left="720"/>
        <w:jc w:val="both"/>
        <w:rPr>
          <w:noProof/>
        </w:rPr>
      </w:pPr>
      <w:r>
        <w:rPr>
          <w:noProof/>
        </w:rPr>
        <w:t>Nenovēršamu un steidzamu iemeslu gadījumos, kas izklāstīti šī panta 1. punktā, 395. panta 2. un 3. punktā izklāstīto procedūru pabeidz sešos mēnešos pēc tam, kad Komisija ir saņēmusi pieprasījumu.</w:t>
      </w:r>
    </w:p>
    <w:p>
      <w:pPr>
        <w:pStyle w:val="Normal1"/>
        <w:ind w:left="720"/>
        <w:jc w:val="both"/>
        <w:rPr>
          <w:noProof/>
        </w:rPr>
      </w:pPr>
      <w:r>
        <w:rPr>
          <w:noProof/>
        </w:rPr>
        <w:t>3. Tiklīdz Komisijas rīcībā ir visa informācija, ko tā uzskata par vajadzīgu, lai izvērtētu 2. punkta pirmajā daļā minēto paziņojumu, tā par to paziņo dalībvalstīm. Ja Komisija iebilst pret ĀRM īpašo pasākumu, tā viena mēneša laikā pēc minētā paziņojuma izstrādā negatīvu atzinumu un par to informē attiecīgo dalībvalsti un PVN komiteju. Ja Komisijai nav iebildumu, tā tajā pašā laikposmā to rakstiski apstiprina attiecīgajai dalībvalstij un PVN komitejai. Dalībvalsts var pieņemt ĀRM īpašo pasākumu no dienas, kad tā ir saņēmusi minēto apstiprinājumu. Izvērtējot paziņojumu, Komisija ņem vērā jebkuras citas dalībvalsts iesūtītos rakstiskos viedokļus.</w:t>
      </w:r>
    </w:p>
    <w:p>
      <w:pPr>
        <w:pStyle w:val="Normal1"/>
        <w:ind w:left="720"/>
        <w:jc w:val="both"/>
        <w:rPr>
          <w:noProof/>
        </w:rPr>
      </w:pPr>
      <w:r>
        <w:rPr>
          <w:noProof/>
        </w:rPr>
        <w:t>4. Komisija pieņem īstenošanas aktu, ar ko nosaka standarta veidlapu, lai iesniegtu paziņojumu par 2. punktā minēto ĀRM īpašo pasākumu un 2. punkta pirmajā daļā minēto informāciju. Minēto īstenošanas aktu pieņem saskaņā ar 5. punktā minēto pārbaudes procedūru.</w:t>
      </w:r>
    </w:p>
    <w:p>
      <w:pPr>
        <w:pStyle w:val="Normal1"/>
        <w:ind w:left="720"/>
        <w:jc w:val="both"/>
        <w:rPr>
          <w:noProof/>
        </w:rPr>
      </w:pPr>
      <w:r>
        <w:rPr>
          <w:noProof/>
        </w:rPr>
        <w:t>5. Ja ir atsauce uz šo punktu, piemēro Eiropas Parlamenta un Padomes Regulas (ES) Nr. 182/2011(*) 5. pantu, un šajā nolūkā komiteja ir komiteja, kas ir izveidota ar Padomes Regulas (ES) Nr. 904/2010(**) 58. pantu.</w:t>
      </w:r>
    </w:p>
    <w:p>
      <w:pPr>
        <w:pStyle w:val="Normal1"/>
        <w:ind w:left="720"/>
        <w:rPr>
          <w:noProof/>
        </w:rPr>
      </w:pPr>
      <w:r>
        <w:rPr>
          <w:noProof/>
        </w:rPr>
        <w:t>6. ĀRM īpašais pasākums, kā noteikts 1. punktā, tiek piemērots līdz 2022. gada 30. jūnijam.</w:t>
      </w:r>
    </w:p>
    <w:p>
      <w:pPr>
        <w:pStyle w:val="Normal1"/>
        <w:ind w:left="850"/>
        <w:rPr>
          <w:noProof/>
        </w:rPr>
      </w:pPr>
      <w:r>
        <w:rPr>
          <w:noProof/>
        </w:rPr>
        <w:t>__________</w:t>
      </w:r>
    </w:p>
    <w:p>
      <w:pPr>
        <w:pStyle w:val="Normal1"/>
        <w:ind w:left="850"/>
        <w:rPr>
          <w:noProof/>
        </w:rPr>
      </w:pPr>
      <w:r>
        <w:rPr>
          <w:noProof/>
        </w:rPr>
        <w:tab/>
        <w:t>(*)Eiropas Parlamenta un Padomes 2011. gada 16. februāra Regula (ES) Nr. 182/2011, ar ko nosaka normas un vispārīgus principus par dalībvalstu kontroles mehānismiem, kuri attiecas uz Komisijas īstenošanas pilnvaru izmantošanu (</w:t>
      </w:r>
      <w:hyperlink r:id="rId18">
        <w:r>
          <w:rPr>
            <w:rStyle w:val="Hyperlink"/>
            <w:noProof/>
          </w:rPr>
          <w:t>OV L 55, 28.2.2011., 13. lpp.</w:t>
        </w:r>
      </w:hyperlink>
      <w:r>
        <w:rPr>
          <w:noProof/>
        </w:rPr>
        <w:t>).</w:t>
      </w:r>
    </w:p>
    <w:p>
      <w:pPr>
        <w:pStyle w:val="Normal1"/>
        <w:ind w:left="850"/>
        <w:rPr>
          <w:noProof/>
        </w:rPr>
      </w:pPr>
      <w:r>
        <w:rPr>
          <w:noProof/>
        </w:rPr>
        <w:lastRenderedPageBreak/>
        <w:tab/>
        <w:t>(**) Padomes 2010. gada 7. oktobra Regula (ES) Nr. 904/2010 par administratīvu sadarbību un krāpšanas apkarošanu pievienotās vērtības nodokļa jomā (</w:t>
      </w:r>
      <w:hyperlink r:id="rId19">
        <w:r>
          <w:rPr>
            <w:rStyle w:val="Hyperlink"/>
            <w:noProof/>
          </w:rPr>
          <w:t>OV L 268, 12.10.2010., 1. lpp.</w:t>
        </w:r>
      </w:hyperlink>
      <w:r>
        <w:rPr>
          <w:noProof/>
        </w:rPr>
        <w:t>).";</w:t>
      </w:r>
    </w:p>
    <w:p>
      <w:pPr>
        <w:pStyle w:val="Point0number"/>
        <w:rPr>
          <w:noProof/>
        </w:rPr>
      </w:pPr>
      <w:r>
        <w:rPr>
          <w:noProof/>
        </w:rPr>
        <w:t>395. panta 5. punktu svītro.</w:t>
      </w:r>
    </w:p>
    <w:p>
      <w:pPr>
        <w:pStyle w:val="Titrearticle"/>
        <w:rPr>
          <w:noProof/>
        </w:rPr>
      </w:pPr>
      <w:r>
        <w:rPr>
          <w:noProof/>
        </w:rPr>
        <w:t>2. pants</w:t>
      </w:r>
    </w:p>
    <w:p>
      <w:pPr>
        <w:rPr>
          <w:noProof/>
        </w:rPr>
      </w:pPr>
      <w:r>
        <w:rPr>
          <w:noProof/>
        </w:rPr>
        <w:t xml:space="preserve">Šī direktīva stājas spēkā divdesmitajā dienā pēc tās publicēšanas </w:t>
      </w:r>
      <w:r>
        <w:rPr>
          <w:i/>
          <w:noProof/>
        </w:rPr>
        <w:t>Eiropas Savienības Oficiālajā Vēstnesī</w:t>
      </w:r>
      <w:r>
        <w:rPr>
          <w:noProof/>
        </w:rPr>
        <w:t>.</w:t>
      </w:r>
    </w:p>
    <w:p>
      <w:pPr>
        <w:pStyle w:val="Titrearticle"/>
        <w:rPr>
          <w:noProof/>
          <w:color w:val="000000" w:themeColor="text1"/>
        </w:rPr>
      </w:pPr>
      <w:r>
        <w:rPr>
          <w:noProof/>
        </w:rPr>
        <w:t>3. pants</w:t>
      </w:r>
    </w:p>
    <w:p>
      <w:pPr>
        <w:rPr>
          <w:noProof/>
        </w:rPr>
      </w:pPr>
      <w:r>
        <w:rPr>
          <w:noProof/>
        </w:rPr>
        <w:t>Šī direktīva ir adresēta dalībvalstīm.</w:t>
      </w:r>
    </w:p>
    <w:p>
      <w:pPr>
        <w:pStyle w:val="Fait"/>
        <w:rPr>
          <w:noProof/>
        </w:rPr>
      </w:pPr>
      <w:r>
        <w:t>Briselē,</w:t>
      </w:r>
    </w:p>
    <w:p>
      <w:pPr>
        <w:pStyle w:val="Institutionquisigne"/>
        <w:rPr>
          <w:noProof/>
        </w:rPr>
      </w:pPr>
      <w:r>
        <w:rPr>
          <w:noProof/>
        </w:rPr>
        <w:tab/>
        <w:t>Padomes vārdā –</w:t>
      </w:r>
    </w:p>
    <w:p>
      <w:pPr>
        <w:pStyle w:val="Personnequisigne"/>
        <w:rPr>
          <w:noProof/>
        </w:rPr>
      </w:pPr>
      <w:r>
        <w:rPr>
          <w:noProof/>
        </w:rPr>
        <w:tab/>
        <w:t>priekšsēdētājs</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Padomes 2006. gada 28. novembra Direktīva 2006/112/EK par kopējo pievienotās vērtības nodokļa sistēmu (OV L 347, 11.12.2006., 1. lpp.).</w:t>
      </w:r>
    </w:p>
  </w:footnote>
  <w:footnote w:id="2">
    <w:p>
      <w:pPr>
        <w:pStyle w:val="FootnoteText"/>
      </w:pPr>
      <w:r>
        <w:rPr>
          <w:rStyle w:val="FootnoteReference"/>
        </w:rPr>
        <w:footnoteRef/>
      </w:r>
      <w:r>
        <w:tab/>
        <w:t xml:space="preserve">Saskaņā ar PVN direktīvas 193. pantu PVN parasti maksā tas nodokļa maksātājs, kas piegādā preces vai sniedz pakalpojumus. Atkāpjoties no šāda sadalīta maksājuma principa, apgrieztās maksāšanas sistēma ļauj noteikt, ka par PVN maksājumu ir atbildīgs preču vai pakalpojumu saņēmējs (nodokļa maksātājs). </w:t>
      </w:r>
    </w:p>
  </w:footnote>
  <w:footnote w:id="3">
    <w:p>
      <w:pPr>
        <w:pStyle w:val="FootnoteText"/>
      </w:pPr>
      <w:r>
        <w:rPr>
          <w:rStyle w:val="FootnoteReference"/>
        </w:rPr>
        <w:footnoteRef/>
      </w:r>
      <w:r>
        <w:tab/>
      </w:r>
      <w:r>
        <w:rPr>
          <w:rStyle w:val="FootnoteTextChar"/>
          <w:lang w:val="lv-LV"/>
        </w:rPr>
        <w:t xml:space="preserve">Ietverts ar Padomes 2013. gada 22. jūlija Direktīvu 2013/43/ES, ar ko Direktīvu 2006/112/EK par kopējo pievienotās vērtības nodokļa sistēmu groza attiecībā uz fakultatīvu un pagaidu apgrieztas maksāšanas sistēmas piemērošanu saistībā ar noteiktu preču un pakalpojumu piegādi ar paaugstinātu krāpšanas risku (OV L 201, 26.7.2013., 4. lpp.). </w:t>
      </w:r>
    </w:p>
  </w:footnote>
  <w:footnote w:id="4">
    <w:p>
      <w:pPr>
        <w:pStyle w:val="FootnoteText"/>
      </w:pPr>
      <w:r>
        <w:rPr>
          <w:rStyle w:val="FootnoteReference"/>
        </w:rPr>
        <w:footnoteRef/>
      </w:r>
      <w:r>
        <w:tab/>
        <w:t xml:space="preserve">Ietverts ar Padomes 2013. gada 22. jūlija Direktīvu 2013/42/ES, ar ko attiecībā uz ātrās reaģēšanas mehānismu pret krāpšanu PVN jomā groza Direktīvu 2006/112/EK par kopējo pievienotās vērtības nodokļa sistēmu (OV L 201, 26.7.2013., 1. lpp.). </w:t>
      </w:r>
    </w:p>
  </w:footnote>
  <w:footnote w:id="5">
    <w:p>
      <w:pPr>
        <w:pStyle w:val="FootnoteText"/>
      </w:pPr>
      <w:r>
        <w:rPr>
          <w:rStyle w:val="FootnoteReference"/>
        </w:rPr>
        <w:footnoteRef/>
      </w:r>
      <w:r>
        <w:tab/>
        <w:t xml:space="preserve">Saistībā ar ĀRM sk. Padomes Direktīvas 2013/42/EK 2. pantu. </w:t>
      </w:r>
    </w:p>
  </w:footnote>
  <w:footnote w:id="6">
    <w:p>
      <w:pPr>
        <w:pStyle w:val="FootnoteText"/>
      </w:pPr>
      <w:r>
        <w:rPr>
          <w:rStyle w:val="FootnoteReference"/>
        </w:rPr>
        <w:footnoteRef/>
      </w:r>
      <w:r>
        <w:tab/>
        <w:t xml:space="preserve">Komisijas ziņojums Padomei un Eiropas Parlamentam par Padomes Direktīvas 2006/112/EK 199.a un 199.b panta ietekmi uz krāpšanas apkarošanu, COM(2018) 118/2. </w:t>
      </w:r>
    </w:p>
  </w:footnote>
  <w:footnote w:id="7">
    <w:p>
      <w:pPr>
        <w:pStyle w:val="FootnoteText"/>
      </w:pPr>
      <w:r>
        <w:rPr>
          <w:rStyle w:val="FootnoteReference"/>
        </w:rPr>
        <w:footnoteRef/>
      </w:r>
      <w:r>
        <w:tab/>
        <w:t xml:space="preserve">PVN ekspertu grupa atbalsta un konsultē Eiropas Komisiju PVN jautājumos. Grupā darbojas privātpersonas statusā ieceltas personas, kurām ir vajadzīgā pieredze PVN jomā, un organizācijas, kas pārstāv galvenokārt uzņēmumus un nodokļu speciālistus, kuri var palīdzēt izstrādāt un īstenot PVN politiku. </w:t>
      </w:r>
    </w:p>
  </w:footnote>
  <w:footnote w:id="8">
    <w:p>
      <w:pPr>
        <w:pStyle w:val="FootnoteText"/>
      </w:pPr>
      <w:r>
        <w:rPr>
          <w:rStyle w:val="FootnoteReference"/>
        </w:rPr>
        <w:footnoteRef/>
      </w:r>
      <w:r>
        <w:tab/>
        <w:t xml:space="preserve">“Ceļā uz vienotu ES PVN zonu — laiks rīkoties”. Grozīts priekšlikums Padomes regulai, </w:t>
      </w:r>
    </w:p>
    <w:p>
      <w:pPr>
        <w:pStyle w:val="FootnoteText"/>
        <w:ind w:firstLine="0"/>
      </w:pPr>
      <w:r>
        <w:t>ar kuru groza Regulu (ES) Nr. 904/2010 par administratīvu sadarbību un krāpšanas apkarošanu pievienotās vērtības nodokļa jomā, COM(2017) 706 </w:t>
      </w:r>
      <w:r>
        <w:rPr>
          <w:i/>
        </w:rPr>
        <w:t>final</w:t>
      </w:r>
      <w:r>
        <w:t xml:space="preserve">. </w:t>
      </w:r>
    </w:p>
  </w:footnote>
  <w:footnote w:id="9">
    <w:p>
      <w:pPr>
        <w:pStyle w:val="FootnoteText"/>
      </w:pPr>
      <w:r>
        <w:rPr>
          <w:rStyle w:val="FootnoteReference"/>
        </w:rPr>
        <w:footnoteRef/>
      </w:r>
      <w:r>
        <w:tab/>
      </w:r>
      <w:r>
        <w:rPr>
          <w:rStyle w:val="FootnoteTextChar"/>
          <w:lang w:val="lv-LV"/>
        </w:rPr>
        <w:t>Priekšlikums Padomes direktīvai, ar ko Direktīvu 2006/112/EK groza attiecībā uz pievienotās vērtības nodokļa sistēmas atsevišķu noteikumu saskaņošanu un vienkāršošanu un galīgās nodokļa uzlikšanas sistēmas ieviešanu tirdzniecībā starp dalībvalstīm (COM(2017) 569 </w:t>
      </w:r>
      <w:r>
        <w:rPr>
          <w:rStyle w:val="FootnoteTextChar"/>
          <w:i/>
          <w:lang w:val="lv-LV"/>
        </w:rPr>
        <w:t>final</w:t>
      </w:r>
      <w:r>
        <w:rPr>
          <w:rStyle w:val="FootnoteTextChar"/>
          <w:lang w:val="lv-LV"/>
        </w:rPr>
        <w:t>)</w:t>
      </w:r>
      <w:r>
        <w:t xml:space="preserve">. </w:t>
      </w:r>
    </w:p>
  </w:footnote>
  <w:footnote w:id="10">
    <w:p>
      <w:pPr>
        <w:pStyle w:val="FootnoteText"/>
        <w:rPr>
          <w:rStyle w:val="FootnoteTextChar"/>
          <w:lang w:val="lv-LV"/>
        </w:rPr>
      </w:pPr>
      <w:r>
        <w:rPr>
          <w:rStyle w:val="FootnoteReference"/>
        </w:rPr>
        <w:footnoteRef/>
      </w:r>
      <w:r>
        <w:tab/>
      </w:r>
      <w:r>
        <w:rPr>
          <w:rStyle w:val="FootnoteTextChar"/>
          <w:lang w:val="lv-LV"/>
        </w:rPr>
        <w:t xml:space="preserve">Priekšlikums Padomes direktīvai, ar ko attiecībā uz pagaidu vispārējās apgrieztās maksāšanas sistēmas piemērošanu saistībā ar noteiktu preču un pakalpojumu piegādēm, kam pārsniegta noteikta robežvērtība, groza Direktīvu 2006/112/EK par kopējo pievienotās vērtības nodokļa sistēmu, COM(2016) 811 </w:t>
      </w:r>
      <w:r>
        <w:rPr>
          <w:rStyle w:val="FootnoteTextChar"/>
          <w:i/>
          <w:lang w:val="lv-LV"/>
        </w:rPr>
        <w:t>final</w:t>
      </w:r>
      <w:r>
        <w:rPr>
          <w:rStyle w:val="FootnoteTextChar"/>
          <w:lang w:val="lv-LV"/>
        </w:rPr>
        <w:t xml:space="preserve">. </w:t>
      </w:r>
    </w:p>
  </w:footnote>
  <w:footnote w:id="11">
    <w:p>
      <w:pPr>
        <w:pStyle w:val="FootnoteText"/>
      </w:pPr>
      <w:r>
        <w:rPr>
          <w:rStyle w:val="FootnoteReference"/>
        </w:rPr>
        <w:footnoteRef/>
      </w:r>
      <w:r>
        <w:tab/>
      </w:r>
      <w:r>
        <w:rPr>
          <w:i/>
        </w:rPr>
        <w:t>EY</w:t>
      </w:r>
      <w:r>
        <w:t>, 2014. gads.</w:t>
      </w:r>
    </w:p>
  </w:footnote>
  <w:footnote w:id="12">
    <w:p>
      <w:pPr>
        <w:pStyle w:val="FootnoteText"/>
        <w:rPr>
          <w:rStyle w:val="FootnoteTextChar"/>
          <w:lang w:val="lv-LV"/>
        </w:rPr>
      </w:pPr>
      <w:r>
        <w:rPr>
          <w:rStyle w:val="FootnoteReference"/>
        </w:rPr>
        <w:footnoteRef/>
      </w:r>
      <w:r>
        <w:tab/>
      </w:r>
      <w:r>
        <w:rPr>
          <w:rStyle w:val="FootnoteTextChar"/>
          <w:lang w:val="lv-LV"/>
        </w:rPr>
        <w:t>Ietekmes novērtējums priekšlikumam attiecībā uz pagaidu vispārējās apgrieztās maksāšanas sistēmas piemērošanu saistībā ar preču piegādēm un pakalpojumu sniegšanu, kam pārsniegta noteikta robežvērtība, SWD(2016) 457.</w:t>
      </w:r>
    </w:p>
  </w:footnote>
  <w:footnote w:id="13">
    <w:p>
      <w:pPr>
        <w:pStyle w:val="FootnoteText"/>
      </w:pPr>
      <w:r>
        <w:rPr>
          <w:rStyle w:val="FootnoteReference"/>
        </w:rPr>
        <w:footnoteRef/>
      </w:r>
      <w:r>
        <w:tab/>
        <w:t>OV C , ,  lpp.</w:t>
      </w:r>
    </w:p>
  </w:footnote>
  <w:footnote w:id="14">
    <w:p>
      <w:pPr>
        <w:pStyle w:val="FootnoteText"/>
      </w:pPr>
      <w:r>
        <w:rPr>
          <w:rStyle w:val="FootnoteReference"/>
        </w:rPr>
        <w:footnoteRef/>
      </w:r>
      <w:r>
        <w:tab/>
        <w:t>OV C , , . lpp.</w:t>
      </w:r>
    </w:p>
  </w:footnote>
  <w:footnote w:id="15">
    <w:p>
      <w:pPr>
        <w:pStyle w:val="FootnoteText"/>
      </w:pPr>
      <w:r>
        <w:rPr>
          <w:rStyle w:val="FootnoteReference"/>
        </w:rPr>
        <w:footnoteRef/>
      </w:r>
      <w:r>
        <w:tab/>
        <w:t xml:space="preserve">Padomes 2006. gada 28. novembra Direktīva 2006/112/EK par kopējo pievienotās vērtības nodokļa sistēmu (OV L 347, 11.12.2006., 1. lpp.). </w:t>
      </w:r>
    </w:p>
  </w:footnote>
  <w:footnote w:id="16">
    <w:p>
      <w:pPr>
        <w:pStyle w:val="FootnoteText"/>
      </w:pPr>
      <w:r>
        <w:rPr>
          <w:rStyle w:val="FootnoteReference"/>
        </w:rPr>
        <w:footnoteRef/>
      </w:r>
      <w:r>
        <w:tab/>
        <w:t xml:space="preserve">Padomes 2013. gada 22. jūlija Direktīva 2013/42/ES, ar ko attiecībā uz ātrās reaģēšanas mehānismu pret krāpšanu PVN jomā groza Direktīvu 2006/112/EK par kopējo pievienotās vērtības nodokļa sistēmu (OV L 201, 26.7.2013., 1. lpp.). </w:t>
      </w:r>
    </w:p>
    <w:p>
      <w:pPr>
        <w:pStyle w:val="FootnoteText"/>
      </w:pPr>
    </w:p>
  </w:footnote>
  <w:footnote w:id="17">
    <w:p>
      <w:pPr>
        <w:pStyle w:val="FootnoteText"/>
      </w:pPr>
      <w:r>
        <w:rPr>
          <w:rStyle w:val="FootnoteReference"/>
        </w:rPr>
        <w:footnoteRef/>
      </w:r>
      <w:r>
        <w:tab/>
        <w:t xml:space="preserve">Komisijas ziņojums Padomei un Eiropas Parlamentam par Padomes Direktīvas 2006/112/EK 199.a un 199.b panta ietekmi uz krāpšanas apkarošanu, COM(2018) 118, 2018. gada 8. marts.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60E4B9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5C2F3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3F031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8B0E15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DE051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4CA05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87A6610"/>
    <w:lvl w:ilvl="0">
      <w:start w:val="1"/>
      <w:numFmt w:val="decimal"/>
      <w:pStyle w:val="ListNumber"/>
      <w:lvlText w:val="%1."/>
      <w:lvlJc w:val="left"/>
      <w:pPr>
        <w:tabs>
          <w:tab w:val="num" w:pos="360"/>
        </w:tabs>
        <w:ind w:left="360" w:hanging="360"/>
      </w:pPr>
    </w:lvl>
  </w:abstractNum>
  <w:abstractNum w:abstractNumId="7">
    <w:nsid w:val="FFFFFF89"/>
    <w:multiLevelType w:val="singleLevel"/>
    <w:tmpl w:val="78A2846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docVars>
    <w:docVar w:name="DQCDateTime" w:val="2018-05-25 17:21:1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5"/>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15"/>
    <w:docVar w:name="DQCStatus" w:val="Green"/>
    <w:docVar w:name="DQCVersion" w:val="3"/>
    <w:docVar w:name="DQCWithWarnings" w:val="0"/>
    <w:docVar w:name="LW_CORRIGENDUM" w:val="&lt;UNUSED&gt;"/>
    <w:docVar w:name="LW_COVERPAGE_EXISTS" w:val="True"/>
    <w:docVar w:name="LW_COVERPAGE_GUID" w:val="FF1F5FBF-9A18-48AE-9D20-36A7544435AF"/>
    <w:docVar w:name="LW_COVERPAGE_TYPE" w:val="1"/>
    <w:docVar w:name="LW_CROSSREFERENCE" w:val="&lt;UNUSED&gt;"/>
    <w:docVar w:name="LW_DocType" w:val="COM"/>
    <w:docVar w:name="LW_EMISSION" w:val="25.5.2018"/>
    <w:docVar w:name="LW_EMISSION_ISODATE" w:val="2018-05-25"/>
    <w:docVar w:name="LW_EMISSION_LOCATION" w:val="BRX"/>
    <w:docVar w:name="LW_EMISSION_PREFIX" w:val="Briselē,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NS"/>
    <w:docVar w:name="LW_REF.II.NEW.CP_NUMBER" w:val="0150"/>
    <w:docVar w:name="LW_REF.II.NEW.CP_YEAR" w:val="2018"/>
    <w:docVar w:name="LW_REF.INST.NEW" w:val="COM"/>
    <w:docVar w:name="LW_REF.INST.NEW_ADOPTED" w:val="final"/>
    <w:docVar w:name="LW_REF.INST.NEW_TEXT" w:val="(2018) 2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ar ko Direkt\u299?vu 2006/112/EK par kop\u275?jo pievienot\u257?s v\u275?rt\u299?bas nodok\u316?a sist\u275?mu groza attiec\u299?b\u257? uz fakultat\u299?vas apgriezt\u257?s maks\u257?\u353?anas sist\u275?mas piem\u275?ro\u353?anas periodu noteikt\u257?m pre\u269?u pieg\u257?d\u275?m un pakalpojumu snieg\u353?anai, kam ir paaugstin\u257?ts kr\u257?p\u353?anas risks, un attiec\u299?b\u257? uz \u257?tr\u257?s rea\u291?\u275?\u353?anas meh\u257?nisma c\u299?\u326?ai pret kr\u257?p\u353?anu PVN jom\u257? piem\u275?ro\u353?anas periodu"/>
    <w:docVar w:name="LW_TYPE.DOC.CP" w:val="PADOMES DIREKT\u298?VA,"/>
  </w:docVars>
  <m:mathPr>
    <m:mathFont m:val="Cambria Math"/>
    <m:brkBin m:val="before"/>
    <m:brkBinSub m:val="--"/>
    <m:smallFrac m:val="0"/>
    <m:dispDef/>
    <m:lMargin m:val="0"/>
    <m:rMargin m:val="0"/>
    <m:defJc m:val="centerGroup"/>
    <m:wrapIndent m:val="1440"/>
    <m:intLim m:val="subSup"/>
    <m:naryLim m:val="undOvr"/>
  </m:mathPr>
  <w:themeFontLang w:val="da-DK"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lv-LV"/>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DocumentMap">
    <w:name w:val="Document Map"/>
    <w:basedOn w:val="Normal"/>
    <w:link w:val="DocumentMapChar"/>
    <w:uiPriority w:val="99"/>
    <w:semiHidden/>
    <w:unhideWhenUse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lang w:val="lv-LV"/>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9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ur-lex.europa.eu/legal-content/LV/TXT/?uri=OJ:L:2011:055:T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eur-lex.europa.eu/legal-content/LV/TXT/?uri=OJ:L:2010:268:TO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1633-F294-4EE2-8638-59D8CF25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10</Pages>
  <Words>2583</Words>
  <Characters>16946</Characters>
  <Application>Microsoft Office Word</Application>
  <DocSecurity>0</DocSecurity>
  <Lines>287</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2018-04-24T10:25:00Z</cp:lastPrinted>
  <dcterms:created xsi:type="dcterms:W3CDTF">2018-05-24T12:52:00Z</dcterms:created>
  <dcterms:modified xsi:type="dcterms:W3CDTF">2018-05-25T15:21:00Z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