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A6152625-4D80-4F7E-811B-AF67E12D3731" style="width:450.8pt;height:348.1pt">
            <v:imagedata r:id="rId9" o:title=""/>
          </v:shape>
        </w:pict>
      </w:r>
    </w:p>
    <w:bookmarkEnd w:id="0"/>
    <w:p>
      <w:pPr>
        <w:pStyle w:val="Pagedecouverture"/>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numPr>
          <w:ilvl w:val="0"/>
          <w:numId w:val="14"/>
        </w:numPr>
        <w:spacing w:line="240" w:lineRule="auto"/>
        <w:contextualSpacing/>
        <w:jc w:val="both"/>
        <w:rPr>
          <w:rFonts w:ascii="Times New Roman" w:hAnsi="Times New Roman"/>
          <w:b/>
          <w:noProof/>
          <w:sz w:val="24"/>
        </w:rPr>
      </w:pPr>
      <w:bookmarkStart w:id="1" w:name="_GoBack"/>
      <w:bookmarkEnd w:id="1"/>
      <w:r>
        <w:rPr>
          <w:rFonts w:ascii="Times New Roman" w:hAnsi="Times New Roman"/>
          <w:b/>
          <w:noProof/>
          <w:sz w:val="24"/>
        </w:rPr>
        <w:lastRenderedPageBreak/>
        <w:t>Ievads</w:t>
      </w:r>
    </w:p>
    <w:p>
      <w:pPr>
        <w:spacing w:line="240" w:lineRule="auto"/>
        <w:ind w:left="720"/>
        <w:contextualSpacing/>
        <w:jc w:val="both"/>
        <w:rPr>
          <w:rFonts w:ascii="Times New Roman" w:hAnsi="Times New Roman"/>
          <w:b/>
          <w:noProof/>
          <w:sz w:val="24"/>
        </w:rPr>
      </w:pPr>
    </w:p>
    <w:p>
      <w:pPr>
        <w:spacing w:line="240" w:lineRule="auto"/>
        <w:jc w:val="both"/>
        <w:rPr>
          <w:rFonts w:ascii="Times New Roman" w:hAnsi="Times New Roman"/>
          <w:noProof/>
          <w:sz w:val="24"/>
        </w:rPr>
      </w:pPr>
      <w:r>
        <w:rPr>
          <w:rFonts w:ascii="Times New Roman" w:hAnsi="Times New Roman"/>
          <w:noProof/>
          <w:sz w:val="24"/>
        </w:rPr>
        <w:t>Eiropas Komisija pašlaik izvērtē to, kāda veida budžets ir nepieciešams nākotnes Eiropai</w:t>
      </w:r>
      <w:r>
        <w:rPr>
          <w:rFonts w:ascii="Times New Roman" w:hAnsi="Times New Roman"/>
          <w:noProof/>
          <w:sz w:val="20"/>
          <w:vertAlign w:val="superscript"/>
        </w:rPr>
        <w:footnoteReference w:id="1"/>
      </w:r>
      <w:r>
        <w:rPr>
          <w:rFonts w:ascii="Times New Roman" w:hAnsi="Times New Roman"/>
          <w:noProof/>
          <w:sz w:val="24"/>
        </w:rPr>
        <w:t xml:space="preserve">. Savienības budžeta efektīva un pienācīga izmantošana, tostarp dalībvalstīs, ir galvenais faktors, kas sekmē ES pilsoņu uzticēšanos, kā arī atbalsta Eiropas projekta stiprās puses un pievienoto vērtību. Programma </w:t>
      </w:r>
      <w:r>
        <w:rPr>
          <w:rFonts w:ascii="Times New Roman" w:hAnsi="Times New Roman"/>
          <w:i/>
          <w:noProof/>
          <w:sz w:val="24"/>
        </w:rPr>
        <w:t>Hercule</w:t>
      </w:r>
      <w:r>
        <w:rPr>
          <w:rFonts w:ascii="Times New Roman" w:hAnsi="Times New Roman"/>
          <w:noProof/>
          <w:sz w:val="24"/>
        </w:rPr>
        <w:t xml:space="preserve"> atbilst šim rīcības plānam, jo tā ir īpaši paredzēta ES finanšu interešu aizsardzībai. </w:t>
      </w:r>
    </w:p>
    <w:p>
      <w:pPr>
        <w:spacing w:line="240" w:lineRule="auto"/>
        <w:jc w:val="both"/>
        <w:rPr>
          <w:rFonts w:ascii="Times New Roman" w:hAnsi="Times New Roman"/>
          <w:noProof/>
          <w:sz w:val="24"/>
        </w:rPr>
      </w:pPr>
      <w:r>
        <w:rPr>
          <w:rFonts w:ascii="Times New Roman" w:hAnsi="Times New Roman"/>
          <w:noProof/>
          <w:sz w:val="24"/>
        </w:rPr>
        <w:t xml:space="preserve">Pašreizējā programma </w:t>
      </w:r>
      <w:r>
        <w:rPr>
          <w:rFonts w:ascii="Times New Roman" w:hAnsi="Times New Roman"/>
          <w:i/>
          <w:noProof/>
          <w:sz w:val="24"/>
        </w:rPr>
        <w:t>Hercule III</w:t>
      </w:r>
      <w:r>
        <w:rPr>
          <w:rFonts w:ascii="Times New Roman" w:hAnsi="Times New Roman"/>
          <w:noProof/>
          <w:sz w:val="24"/>
        </w:rPr>
        <w:t>, kuru pārvalda Eiropas Birojs krāpšanas apkarošanai (</w:t>
      </w:r>
      <w:r>
        <w:rPr>
          <w:rFonts w:ascii="Times New Roman" w:hAnsi="Times New Roman"/>
          <w:i/>
          <w:noProof/>
          <w:sz w:val="24"/>
        </w:rPr>
        <w:t>OLAF</w:t>
      </w:r>
      <w:r>
        <w:rPr>
          <w:rFonts w:ascii="Times New Roman" w:hAnsi="Times New Roman"/>
          <w:noProof/>
          <w:sz w:val="24"/>
        </w:rPr>
        <w:t>), kas darbojas Komisijas ietvaros, tika izveidota ar Regulu Nr. 250/2014</w:t>
      </w:r>
      <w:r>
        <w:rPr>
          <w:rFonts w:ascii="Times New Roman" w:hAnsi="Times New Roman"/>
          <w:noProof/>
          <w:sz w:val="24"/>
          <w:vertAlign w:val="superscript"/>
        </w:rPr>
        <w:footnoteReference w:id="2"/>
      </w:r>
      <w:r>
        <w:rPr>
          <w:rFonts w:ascii="Times New Roman" w:hAnsi="Times New Roman"/>
          <w:noProof/>
          <w:sz w:val="24"/>
        </w:rPr>
        <w:t xml:space="preserve"> (“Regula”). Programmas vispārējais mērķis ir “</w:t>
      </w:r>
      <w:r>
        <w:rPr>
          <w:rFonts w:ascii="Times New Roman" w:hAnsi="Times New Roman"/>
          <w:i/>
          <w:noProof/>
          <w:sz w:val="24"/>
        </w:rPr>
        <w:t>Savienības finanšu interešu aizsardzība, tādējādi stiprinot Savienības ekonomikas konkurētspēju un nodrošinot nodokļu maksātāju līdzekļu aizsardzību</w:t>
      </w:r>
      <w:r>
        <w:rPr>
          <w:rFonts w:ascii="Times New Roman" w:hAnsi="Times New Roman"/>
          <w:noProof/>
          <w:sz w:val="24"/>
        </w:rPr>
        <w:t>”</w:t>
      </w:r>
      <w:r>
        <w:rPr>
          <w:rFonts w:ascii="Times New Roman" w:hAnsi="Times New Roman"/>
          <w:noProof/>
          <w:sz w:val="24"/>
          <w:vertAlign w:val="superscript"/>
        </w:rPr>
        <w:footnoteReference w:id="3"/>
      </w:r>
      <w:r>
        <w:rPr>
          <w:rFonts w:ascii="Times New Roman" w:hAnsi="Times New Roman"/>
          <w:noProof/>
          <w:sz w:val="24"/>
        </w:rPr>
        <w:t>, savukārt konkrētais mērķis ir “</w:t>
      </w:r>
      <w:r>
        <w:rPr>
          <w:rFonts w:ascii="Times New Roman" w:hAnsi="Times New Roman"/>
          <w:i/>
          <w:noProof/>
          <w:sz w:val="24"/>
        </w:rPr>
        <w:t>novērst un apkarot krāpšanu, korupciju un jebkādas citas nelikumīgas darbības, kas ietekmē Savienības finanšu intereses</w:t>
      </w:r>
      <w:r>
        <w:rPr>
          <w:rFonts w:ascii="Times New Roman" w:hAnsi="Times New Roman"/>
          <w:noProof/>
          <w:sz w:val="24"/>
        </w:rPr>
        <w:t>”</w:t>
      </w:r>
      <w:r>
        <w:rPr>
          <w:rFonts w:ascii="Times New Roman" w:hAnsi="Times New Roman"/>
          <w:noProof/>
          <w:sz w:val="24"/>
          <w:vertAlign w:val="superscript"/>
        </w:rPr>
        <w:footnoteReference w:id="4"/>
      </w:r>
      <w:r>
        <w:rPr>
          <w:rFonts w:ascii="Times New Roman" w:hAnsi="Times New Roman"/>
          <w:noProof/>
          <w:sz w:val="24"/>
        </w:rPr>
        <w:t xml:space="preserve">. </w:t>
      </w:r>
    </w:p>
    <w:p>
      <w:pPr>
        <w:spacing w:line="240" w:lineRule="auto"/>
        <w:jc w:val="both"/>
        <w:rPr>
          <w:noProof/>
        </w:rPr>
      </w:pPr>
      <w:r>
        <w:rPr>
          <w:rFonts w:ascii="Times New Roman" w:hAnsi="Times New Roman"/>
          <w:noProof/>
          <w:sz w:val="24"/>
        </w:rPr>
        <w:t>Regulā ir noteikta prasība, ka Komisijai ir jāveic programmas starpposma izvērtēšana (13. panta 2. punkta a) apakšpunkts). Komisijas dienesti sagatavoja Komisijas dienestu darba dokumentu (</w:t>
      </w:r>
      <w:r>
        <w:rPr>
          <w:rFonts w:ascii="Times New Roman" w:hAnsi="Times New Roman"/>
          <w:i/>
          <w:noProof/>
          <w:sz w:val="24"/>
        </w:rPr>
        <w:t>SWD</w:t>
      </w:r>
      <w:r>
        <w:rPr>
          <w:rFonts w:ascii="Times New Roman" w:hAnsi="Times New Roman"/>
          <w:noProof/>
          <w:sz w:val="24"/>
        </w:rPr>
        <w:t xml:space="preserve">) par programmas </w:t>
      </w:r>
      <w:r>
        <w:rPr>
          <w:rFonts w:ascii="Times New Roman" w:hAnsi="Times New Roman"/>
          <w:i/>
          <w:noProof/>
          <w:sz w:val="24"/>
        </w:rPr>
        <w:t>Hercule III</w:t>
      </w:r>
      <w:r>
        <w:rPr>
          <w:rFonts w:ascii="Times New Roman" w:hAnsi="Times New Roman"/>
          <w:noProof/>
          <w:sz w:val="24"/>
        </w:rPr>
        <w:t xml:space="preserve"> starpposma izvērtējumu, kurā ietverti detalizēti izvērtējuma konstatējumi. Tā kā Regulā ir noteikta prasība, ka novērtējumam ir jābūt neatkarīgam, </w:t>
      </w:r>
      <w:r>
        <w:rPr>
          <w:rFonts w:ascii="Times New Roman" w:hAnsi="Times New Roman"/>
          <w:i/>
          <w:noProof/>
          <w:sz w:val="24"/>
        </w:rPr>
        <w:t>SWD</w:t>
      </w:r>
      <w:r>
        <w:rPr>
          <w:rFonts w:ascii="Times New Roman" w:hAnsi="Times New Roman"/>
          <w:noProof/>
          <w:sz w:val="24"/>
        </w:rPr>
        <w:t xml:space="preserve"> sagatavošanā tika izmantots ārēja līgumslēdzēja veikts pētījums. Izvērtējuma detalizētie konstatējumi un izmantotā metodika ir izklāstīti </w:t>
      </w:r>
      <w:r>
        <w:rPr>
          <w:rFonts w:ascii="Times New Roman" w:hAnsi="Times New Roman"/>
          <w:i/>
          <w:noProof/>
          <w:sz w:val="24"/>
        </w:rPr>
        <w:t>SWD</w:t>
      </w:r>
      <w:r>
        <w:rPr>
          <w:rFonts w:ascii="Times New Roman" w:hAnsi="Times New Roman"/>
          <w:noProof/>
          <w:sz w:val="24"/>
        </w:rPr>
        <w:t>.</w:t>
      </w:r>
    </w:p>
    <w:p>
      <w:pPr>
        <w:spacing w:line="240" w:lineRule="auto"/>
        <w:jc w:val="both"/>
        <w:rPr>
          <w:b/>
          <w:smallCaps/>
          <w:noProof/>
        </w:rPr>
      </w:pPr>
      <w:r>
        <w:rPr>
          <w:rFonts w:ascii="Times New Roman" w:hAnsi="Times New Roman"/>
          <w:noProof/>
          <w:sz w:val="24"/>
        </w:rPr>
        <w:t xml:space="preserve">Ņemot vērā Regulas 13. panta prasības un Komisijas labāka regulējuma programmu, izvērtējums attiecas uz sešām jomām: visu programmas mērķu būtiskums; programmas iekšējais un ārējais saskanīgums ar citām ES intervencēm; mērķu un plānoto rezultātu sasniegšanas efektivitāte; resursu izmantošanas efektivitāte; programmas pievienotā vērtība Eiropas Savienībai; ilgtspējība, t. i., programmas </w:t>
      </w:r>
      <w:r>
        <w:rPr>
          <w:rFonts w:ascii="Times New Roman" w:hAnsi="Times New Roman"/>
          <w:i/>
          <w:noProof/>
          <w:sz w:val="24"/>
        </w:rPr>
        <w:t>Hercule III</w:t>
      </w:r>
      <w:r>
        <w:rPr>
          <w:rFonts w:ascii="Times New Roman" w:hAnsi="Times New Roman"/>
          <w:noProof/>
          <w:sz w:val="24"/>
        </w:rPr>
        <w:t xml:space="preserve"> pasākumu ietekme pēc to pabeigšanas. Izvērtējums skar arī programmas ieguldījumu saistībā ar Savienības prioritātēm — gudru, ilgtspējīgu un iekļaujošu izaugsmi.</w:t>
      </w:r>
    </w:p>
    <w:p>
      <w:pPr>
        <w:spacing w:line="240" w:lineRule="auto"/>
        <w:jc w:val="both"/>
        <w:rPr>
          <w:rFonts w:ascii="Times New Roman" w:hAnsi="Times New Roman"/>
          <w:noProof/>
          <w:sz w:val="24"/>
        </w:rPr>
      </w:pPr>
      <w:r>
        <w:rPr>
          <w:rFonts w:ascii="Times New Roman" w:hAnsi="Times New Roman"/>
          <w:noProof/>
          <w:sz w:val="24"/>
        </w:rPr>
        <w:t xml:space="preserve">Izvērtējumā aptvertais laikposms ir programmas </w:t>
      </w:r>
      <w:r>
        <w:rPr>
          <w:rFonts w:ascii="Times New Roman" w:hAnsi="Times New Roman"/>
          <w:i/>
          <w:noProof/>
          <w:sz w:val="24"/>
        </w:rPr>
        <w:t>Hercule III</w:t>
      </w:r>
      <w:r>
        <w:rPr>
          <w:rFonts w:ascii="Times New Roman" w:hAnsi="Times New Roman"/>
          <w:noProof/>
          <w:sz w:val="24"/>
        </w:rPr>
        <w:t xml:space="preserve"> septiņus gadus ilgā darbības perioda pirmā puse — no 2014. gada 1. janvāra (datums, kad Regula stājās spēkā) līdz 2017. gada jūnijam.</w:t>
      </w:r>
    </w:p>
    <w:p>
      <w:pPr>
        <w:autoSpaceDE w:val="0"/>
        <w:autoSpaceDN w:val="0"/>
        <w:adjustRightInd w:val="0"/>
        <w:spacing w:after="0" w:line="240" w:lineRule="auto"/>
        <w:rPr>
          <w:rFonts w:ascii="Times New Roman" w:hAnsi="Times New Roman" w:cs="Times New Roman"/>
          <w:noProof/>
          <w:color w:val="000000"/>
          <w:sz w:val="24"/>
          <w:szCs w:val="24"/>
        </w:rPr>
      </w:pPr>
    </w:p>
    <w:p>
      <w:pPr>
        <w:numPr>
          <w:ilvl w:val="0"/>
          <w:numId w:val="14"/>
        </w:numPr>
        <w:spacing w:line="240" w:lineRule="auto"/>
        <w:contextualSpacing/>
        <w:jc w:val="both"/>
        <w:rPr>
          <w:rFonts w:ascii="Times New Roman" w:hAnsi="Times New Roman"/>
          <w:b/>
          <w:noProof/>
          <w:sz w:val="24"/>
        </w:rPr>
      </w:pPr>
      <w:r>
        <w:rPr>
          <w:rFonts w:ascii="Times New Roman" w:hAnsi="Times New Roman"/>
          <w:b/>
          <w:noProof/>
          <w:sz w:val="24"/>
        </w:rPr>
        <w:t xml:space="preserve">Programmas </w:t>
      </w:r>
      <w:r>
        <w:rPr>
          <w:rFonts w:ascii="Times New Roman" w:hAnsi="Times New Roman"/>
          <w:b/>
          <w:i/>
          <w:noProof/>
          <w:sz w:val="24"/>
        </w:rPr>
        <w:t>Hercule III</w:t>
      </w:r>
      <w:r>
        <w:rPr>
          <w:rFonts w:ascii="Times New Roman" w:hAnsi="Times New Roman"/>
          <w:b/>
          <w:noProof/>
          <w:sz w:val="24"/>
        </w:rPr>
        <w:t xml:space="preserve"> galvenie elementi</w:t>
      </w:r>
    </w:p>
    <w:p>
      <w:pPr>
        <w:spacing w:line="240" w:lineRule="auto"/>
        <w:ind w:left="720"/>
        <w:contextualSpacing/>
        <w:jc w:val="both"/>
        <w:rPr>
          <w:rFonts w:ascii="Times New Roman" w:hAnsi="Times New Roman"/>
          <w:b/>
          <w:noProof/>
          <w:sz w:val="24"/>
        </w:rPr>
      </w:pPr>
    </w:p>
    <w:p>
      <w:pPr>
        <w:spacing w:line="240" w:lineRule="auto"/>
        <w:jc w:val="both"/>
        <w:rPr>
          <w:rFonts w:ascii="Times New Roman" w:hAnsi="Times New Roman"/>
          <w:noProof/>
          <w:sz w:val="24"/>
        </w:rPr>
      </w:pPr>
      <w:r>
        <w:rPr>
          <w:rFonts w:ascii="Times New Roman" w:hAnsi="Times New Roman"/>
          <w:noProof/>
          <w:sz w:val="24"/>
        </w:rPr>
        <w:t xml:space="preserve">Programmas </w:t>
      </w:r>
      <w:r>
        <w:rPr>
          <w:rFonts w:ascii="Times New Roman" w:hAnsi="Times New Roman"/>
          <w:i/>
          <w:noProof/>
          <w:sz w:val="24"/>
        </w:rPr>
        <w:t>Hercule III</w:t>
      </w:r>
      <w:r>
        <w:rPr>
          <w:rFonts w:ascii="Times New Roman" w:hAnsi="Times New Roman"/>
          <w:noProof/>
          <w:sz w:val="24"/>
        </w:rPr>
        <w:t xml:space="preserve"> īstenošanai laikposmā no 2014. līdz 2020. gadam paredzētais finansējums ir EUR 104,9 miljoni. Struktūras, kas ir tiesīgas saņemt programmas </w:t>
      </w:r>
      <w:r>
        <w:rPr>
          <w:rFonts w:ascii="Times New Roman" w:hAnsi="Times New Roman"/>
          <w:noProof/>
          <w:sz w:val="24"/>
        </w:rPr>
        <w:lastRenderedPageBreak/>
        <w:t>finansējumu</w:t>
      </w:r>
      <w:r>
        <w:rPr>
          <w:rFonts w:ascii="Times New Roman" w:hAnsi="Times New Roman"/>
          <w:noProof/>
          <w:sz w:val="24"/>
          <w:vertAlign w:val="superscript"/>
        </w:rPr>
        <w:footnoteReference w:id="5"/>
      </w:r>
      <w:r>
        <w:rPr>
          <w:rFonts w:ascii="Times New Roman" w:hAnsi="Times New Roman"/>
          <w:noProof/>
          <w:sz w:val="24"/>
        </w:rPr>
        <w:t>, ir dalībvalstu valsts vai reģionālās pārvaldes iestādes, pētniecības un izglītības iestādes, kā arī bezpeļņas vienības.</w:t>
      </w:r>
    </w:p>
    <w:p>
      <w:pPr>
        <w:spacing w:line="240" w:lineRule="auto"/>
        <w:jc w:val="both"/>
        <w:rPr>
          <w:rFonts w:ascii="Times New Roman" w:hAnsi="Times New Roman"/>
          <w:noProof/>
          <w:sz w:val="24"/>
        </w:rPr>
      </w:pPr>
      <w:r>
        <w:rPr>
          <w:rFonts w:ascii="Times New Roman" w:hAnsi="Times New Roman"/>
          <w:noProof/>
          <w:sz w:val="24"/>
        </w:rPr>
        <w:t xml:space="preserve">Programma tiek īstenota, pamatojoties uz ikgadējiem cikliem, atbilstoši Komisijas pieņemtajām gada darba programmām. Programma </w:t>
      </w:r>
      <w:r>
        <w:rPr>
          <w:rFonts w:ascii="Times New Roman" w:hAnsi="Times New Roman"/>
          <w:i/>
          <w:noProof/>
          <w:sz w:val="24"/>
        </w:rPr>
        <w:t>Hercule III</w:t>
      </w:r>
      <w:r>
        <w:rPr>
          <w:rFonts w:ascii="Times New Roman" w:hAnsi="Times New Roman"/>
          <w:noProof/>
          <w:sz w:val="24"/>
        </w:rPr>
        <w:t xml:space="preserve"> sniedz finansiālu atbalstu šādām darbībām: i) tehniskā palīdzība (vismaz 70 % no programmas budžeta) tādiem pasākumiem kā tehnisko iekārtu un informācijas tehnoloģiju rīku iegāde, atbalsts pārrobežu sadarbībai un kopīgu operāciju veicināšana, darbinieku apmaiņa un datubāzu izstrāde un to pieejamības nodrošināšana dalībvalstīm un </w:t>
      </w:r>
      <w:r>
        <w:rPr>
          <w:rFonts w:ascii="Times New Roman" w:hAnsi="Times New Roman"/>
          <w:i/>
          <w:noProof/>
          <w:sz w:val="24"/>
        </w:rPr>
        <w:t>OLAF</w:t>
      </w:r>
      <w:r>
        <w:rPr>
          <w:rFonts w:ascii="Times New Roman" w:hAnsi="Times New Roman"/>
          <w:noProof/>
          <w:sz w:val="24"/>
        </w:rPr>
        <w:t>, ii) mācības (ne vairāk kā 25 % no programmas budžeta) saistībā ar tādiem pasākumiem kā konferences un semināri, lai veiktu pārrobežu pieredzes un labākās prakses apmaiņu, apmācībai digitālās kriminālistikas jomā un īpaši nozīmīgu pētniecības darbību un pētījumu attīstībai, un iii) jebkura cita darbība programmas ietvaros (ne vairāk kā 5 % no budžeta).</w:t>
      </w:r>
      <w:r>
        <w:rPr>
          <w:noProof/>
        </w:rPr>
        <w:t xml:space="preserve"> </w:t>
      </w:r>
      <w:r>
        <w:rPr>
          <w:rFonts w:ascii="Times New Roman" w:hAnsi="Times New Roman"/>
          <w:noProof/>
          <w:sz w:val="24"/>
        </w:rPr>
        <w:t>Programma nodrošina finansiālu atbalstu dotāciju un publiskā iepirkuma līgumu veidā un kā to izmaksu atlīdzinājumu, kādas dalībniekiem rodas, piedaloties programmas darbībās.</w:t>
      </w:r>
    </w:p>
    <w:p>
      <w:pPr>
        <w:numPr>
          <w:ilvl w:val="0"/>
          <w:numId w:val="14"/>
        </w:numPr>
        <w:spacing w:line="240" w:lineRule="auto"/>
        <w:contextualSpacing/>
        <w:jc w:val="both"/>
        <w:rPr>
          <w:rFonts w:ascii="Times New Roman" w:hAnsi="Times New Roman"/>
          <w:b/>
          <w:noProof/>
          <w:sz w:val="24"/>
        </w:rPr>
      </w:pPr>
      <w:r>
        <w:rPr>
          <w:rFonts w:ascii="Times New Roman" w:hAnsi="Times New Roman"/>
          <w:b/>
          <w:noProof/>
          <w:sz w:val="24"/>
        </w:rPr>
        <w:t xml:space="preserve">Starpposma izvērtēšanas metodika </w:t>
      </w:r>
    </w:p>
    <w:p>
      <w:pPr>
        <w:spacing w:line="240" w:lineRule="auto"/>
        <w:ind w:left="720"/>
        <w:contextualSpacing/>
        <w:jc w:val="both"/>
        <w:rPr>
          <w:rFonts w:ascii="Times New Roman" w:hAnsi="Times New Roman"/>
          <w:b/>
          <w:noProof/>
          <w:sz w:val="24"/>
        </w:rPr>
      </w:pPr>
    </w:p>
    <w:p>
      <w:pPr>
        <w:spacing w:line="240" w:lineRule="auto"/>
        <w:jc w:val="both"/>
        <w:rPr>
          <w:rFonts w:ascii="Times New Roman" w:hAnsi="Times New Roman"/>
          <w:noProof/>
          <w:sz w:val="24"/>
          <w:szCs w:val="24"/>
        </w:rPr>
      </w:pPr>
      <w:r>
        <w:rPr>
          <w:rFonts w:ascii="Times New Roman" w:hAnsi="Times New Roman"/>
          <w:noProof/>
          <w:sz w:val="24"/>
        </w:rPr>
        <w:t xml:space="preserve">Lai sagatavotu starpposma izvērtējumu, Komisijas dienesti galvenokārt izmantoja ārēja līgumslēdzēja veiktu pētījumu, kā arī ietekmes novērtējumu, kas veikts ar programmu saistīta tiesību akta priekšlikuma izstrādes laikā, Komisijas sagatavoto iepriekšējās programmas </w:t>
      </w:r>
      <w:r>
        <w:rPr>
          <w:rFonts w:ascii="Times New Roman" w:hAnsi="Times New Roman"/>
          <w:i/>
          <w:noProof/>
          <w:sz w:val="24"/>
        </w:rPr>
        <w:t>Hercule</w:t>
      </w:r>
      <w:r>
        <w:rPr>
          <w:rFonts w:ascii="Times New Roman" w:hAnsi="Times New Roman"/>
          <w:noProof/>
          <w:sz w:val="24"/>
        </w:rPr>
        <w:t xml:space="preserve"> izvērtējumu, </w:t>
      </w:r>
      <w:r>
        <w:rPr>
          <w:rFonts w:ascii="Times New Roman" w:hAnsi="Times New Roman"/>
          <w:i/>
          <w:noProof/>
          <w:sz w:val="24"/>
        </w:rPr>
        <w:t>Hercule III</w:t>
      </w:r>
      <w:r>
        <w:rPr>
          <w:rFonts w:ascii="Times New Roman" w:hAnsi="Times New Roman"/>
          <w:noProof/>
          <w:sz w:val="24"/>
        </w:rPr>
        <w:t xml:space="preserve"> gada darba programmas un Komisijas sagatavotos gada pārskatus par programmas īstenošanu, kas pievienoti Komisijas gada ziņojumam par Savienības finanšu interešu aizsardzību</w:t>
      </w:r>
      <w:r>
        <w:rPr>
          <w:rStyle w:val="FootnoteReference"/>
          <w:rFonts w:ascii="Times New Roman" w:hAnsi="Times New Roman"/>
          <w:noProof/>
          <w:sz w:val="24"/>
        </w:rPr>
        <w:footnoteReference w:id="6"/>
      </w:r>
      <w:r>
        <w:rPr>
          <w:rFonts w:ascii="Times New Roman" w:hAnsi="Times New Roman"/>
          <w:noProof/>
          <w:sz w:val="24"/>
        </w:rPr>
        <w:t>.</w:t>
      </w:r>
    </w:p>
    <w:p>
      <w:pPr>
        <w:spacing w:line="240" w:lineRule="auto"/>
        <w:jc w:val="both"/>
        <w:rPr>
          <w:rFonts w:ascii="Times New Roman" w:hAnsi="Times New Roman"/>
          <w:noProof/>
          <w:sz w:val="24"/>
        </w:rPr>
      </w:pPr>
      <w:r>
        <w:rPr>
          <w:rFonts w:ascii="Times New Roman" w:hAnsi="Times New Roman"/>
          <w:noProof/>
          <w:sz w:val="24"/>
        </w:rPr>
        <w:t>Starpposma izvērtēšana tika sākta 2016. gada jūnijā. Lai atbalstītu izvērtēšanas procesu, tika izveidota Komisijas dienestu Starpdienestu vadības grupa (</w:t>
      </w:r>
      <w:r>
        <w:rPr>
          <w:rFonts w:ascii="Times New Roman" w:hAnsi="Times New Roman"/>
          <w:i/>
          <w:noProof/>
          <w:sz w:val="24"/>
        </w:rPr>
        <w:t>ISSG</w:t>
      </w:r>
      <w:r>
        <w:rPr>
          <w:rFonts w:ascii="Times New Roman" w:hAnsi="Times New Roman"/>
          <w:noProof/>
          <w:sz w:val="24"/>
        </w:rPr>
        <w:t xml:space="preserve">). Tā pārskatīja ceļvedi, ārējā līguma darba uzdevumus, kā arī sākotnējos un noslēguma faktiskā darba ziņojumus. </w:t>
      </w:r>
      <w:r>
        <w:rPr>
          <w:rFonts w:ascii="Times New Roman" w:hAnsi="Times New Roman"/>
          <w:i/>
          <w:noProof/>
          <w:sz w:val="24"/>
        </w:rPr>
        <w:t>ISSG</w:t>
      </w:r>
      <w:r>
        <w:rPr>
          <w:rFonts w:ascii="Times New Roman" w:hAnsi="Times New Roman"/>
          <w:noProof/>
          <w:sz w:val="24"/>
        </w:rPr>
        <w:t xml:space="preserve"> arī aktīvi iesaistījās </w:t>
      </w:r>
      <w:r>
        <w:rPr>
          <w:rFonts w:ascii="Times New Roman" w:hAnsi="Times New Roman"/>
          <w:i/>
          <w:noProof/>
          <w:sz w:val="24"/>
        </w:rPr>
        <w:t xml:space="preserve">SWD </w:t>
      </w:r>
      <w:r>
        <w:rPr>
          <w:rFonts w:ascii="Times New Roman" w:hAnsi="Times New Roman"/>
          <w:noProof/>
          <w:sz w:val="24"/>
        </w:rPr>
        <w:t>sagatavošanā.</w:t>
      </w:r>
    </w:p>
    <w:p>
      <w:pPr>
        <w:spacing w:line="240" w:lineRule="auto"/>
        <w:jc w:val="both"/>
        <w:rPr>
          <w:rFonts w:ascii="Times New Roman" w:hAnsi="Times New Roman"/>
          <w:noProof/>
          <w:sz w:val="24"/>
        </w:rPr>
      </w:pPr>
      <w:r>
        <w:rPr>
          <w:rFonts w:ascii="Times New Roman" w:hAnsi="Times New Roman"/>
          <w:noProof/>
          <w:sz w:val="24"/>
        </w:rPr>
        <w:t xml:space="preserve">Starpposma izvērtējums aptver programmas </w:t>
      </w:r>
      <w:r>
        <w:rPr>
          <w:rFonts w:ascii="Times New Roman" w:hAnsi="Times New Roman"/>
          <w:i/>
          <w:noProof/>
          <w:sz w:val="24"/>
        </w:rPr>
        <w:t xml:space="preserve">Hercule III </w:t>
      </w:r>
      <w:r>
        <w:rPr>
          <w:rFonts w:ascii="Times New Roman" w:hAnsi="Times New Roman"/>
          <w:noProof/>
          <w:sz w:val="24"/>
        </w:rPr>
        <w:t>ietvaros atbalstītās intervences, kā arī sagatavošanas un īstenošanas darbības, ko saistībā ar šīm intervencēm veikušas ieinteresētās personas. Tas aptver arī tos iespējamo finansējuma saņēmēju iesniegtos dotāciju pieteikumus, kas tika noraidīti.</w:t>
      </w:r>
    </w:p>
    <w:p>
      <w:pPr>
        <w:spacing w:line="240" w:lineRule="auto"/>
        <w:jc w:val="both"/>
        <w:rPr>
          <w:rFonts w:ascii="Times New Roman" w:hAnsi="Times New Roman"/>
          <w:noProof/>
          <w:sz w:val="24"/>
        </w:rPr>
      </w:pPr>
      <w:r>
        <w:rPr>
          <w:rFonts w:ascii="Times New Roman" w:hAnsi="Times New Roman"/>
          <w:noProof/>
          <w:sz w:val="24"/>
        </w:rPr>
        <w:t xml:space="preserve">Ārējā pētījumā tika izmantoti primārie datu avoti, lai gūtu atbildes uz izvērtējuma jautājumiem, un tās tika apkopotas, veicot i) pārrunas ar ES un valstu civildienesta ierēdņiem, kā arī labuma guvējiem no programmas ietvaros finansētajām darbībām, un ii) tiešsaistes aptaujas ar finansējuma ieguvējiem, noraidīto pieteikumu iesniedzējiem, programmas ietvaros finansēto pasākumu dalībniekiem, kā arī programmas ietvaros iegādāto pakalpojumu lietotājiem. Tika izmantoti arī sekundārie dati, piemēram, no publiski pieejamiem avotiem (piem., </w:t>
      </w:r>
      <w:r>
        <w:rPr>
          <w:rFonts w:ascii="Times New Roman" w:hAnsi="Times New Roman"/>
          <w:i/>
          <w:noProof/>
          <w:sz w:val="24"/>
        </w:rPr>
        <w:t>Hercule III</w:t>
      </w:r>
      <w:r>
        <w:rPr>
          <w:rFonts w:ascii="Times New Roman" w:hAnsi="Times New Roman"/>
          <w:noProof/>
          <w:sz w:val="24"/>
        </w:rPr>
        <w:t xml:space="preserve"> gada darba programmas) un dati par iesniegtajiem pieteikumiem dotāciju saņemšanai un piešķirtajām līgumu slēgšanas tiesībām un dotācijām, kā arī finansējuma saņēmēju iesniegtie galīgie ziņojumi.</w:t>
      </w:r>
    </w:p>
    <w:p>
      <w:pPr>
        <w:spacing w:line="240" w:lineRule="auto"/>
        <w:jc w:val="both"/>
        <w:rPr>
          <w:rFonts w:ascii="Times New Roman" w:hAnsi="Times New Roman"/>
          <w:noProof/>
          <w:sz w:val="24"/>
        </w:rPr>
      </w:pPr>
      <w:r>
        <w:rPr>
          <w:rFonts w:ascii="Times New Roman" w:hAnsi="Times New Roman"/>
          <w:noProof/>
          <w:sz w:val="24"/>
        </w:rPr>
        <w:lastRenderedPageBreak/>
        <w:t>Ārējais pētījums bija saistīts ar dažiem ierobežojumiem laika ziņā, galvenokārt saistībā ar programmas normālo dzīves ciklu. To atspoguļo instrumenti, kurus varēja izmantot ārējais vērtētājs, kuram bija jāpaļaujas galvenokārt uz finansējuma saņēmēju, pieteikuma iesniedzēju, dalībnieku un Komisijas darbinieku pausto viedokli. Tas skaidrojams ar to, ka datu apkopošanas un interviju laikā, t. .i., galvenokārt 2017. gadā, bija pieejami salīdzinoši nedaudz rezultātu</w:t>
      </w:r>
      <w:r>
        <w:rPr>
          <w:rStyle w:val="FootnoteReference"/>
          <w:rFonts w:ascii="Times New Roman" w:hAnsi="Times New Roman"/>
          <w:noProof/>
          <w:sz w:val="24"/>
        </w:rPr>
        <w:footnoteReference w:id="7"/>
      </w:r>
      <w:r>
        <w:rPr>
          <w:rFonts w:ascii="Times New Roman" w:hAnsi="Times New Roman"/>
          <w:noProof/>
          <w:sz w:val="24"/>
        </w:rPr>
        <w:t>. Šis ierobežojums bija īpaši jūtams attiecībā uz tehniskās palīdzības darbībām. Tomēr, tā kā intervējamās personas veido lielu programmas ieinteresēto personu izlasi, var uzskatīt, ka ārējā pētījuma rezultāti ir pietiekami uzticami.</w:t>
      </w:r>
    </w:p>
    <w:p>
      <w:pPr>
        <w:numPr>
          <w:ilvl w:val="0"/>
          <w:numId w:val="14"/>
        </w:numPr>
        <w:spacing w:line="240" w:lineRule="auto"/>
        <w:contextualSpacing/>
        <w:jc w:val="both"/>
        <w:rPr>
          <w:rFonts w:ascii="Times New Roman" w:hAnsi="Times New Roman"/>
          <w:b/>
          <w:noProof/>
          <w:sz w:val="24"/>
        </w:rPr>
      </w:pPr>
      <w:r>
        <w:rPr>
          <w:rFonts w:ascii="Times New Roman" w:hAnsi="Times New Roman"/>
          <w:b/>
          <w:noProof/>
          <w:sz w:val="24"/>
        </w:rPr>
        <w:t>Starpposma izvērtējuma galvenie konstatējumi</w:t>
      </w:r>
    </w:p>
    <w:p>
      <w:pPr>
        <w:spacing w:line="240" w:lineRule="auto"/>
        <w:ind w:left="720"/>
        <w:contextualSpacing/>
        <w:jc w:val="both"/>
        <w:rPr>
          <w:rFonts w:ascii="Times New Roman" w:hAnsi="Times New Roman"/>
          <w:b/>
          <w:noProof/>
          <w:sz w:val="24"/>
        </w:rPr>
      </w:pPr>
    </w:p>
    <w:p>
      <w:pPr>
        <w:spacing w:line="240" w:lineRule="auto"/>
        <w:jc w:val="both"/>
        <w:rPr>
          <w:rFonts w:ascii="Times New Roman" w:hAnsi="Times New Roman"/>
          <w:noProof/>
          <w:sz w:val="24"/>
          <w:szCs w:val="24"/>
        </w:rPr>
      </w:pPr>
      <w:r>
        <w:rPr>
          <w:rFonts w:ascii="Times New Roman" w:hAnsi="Times New Roman"/>
          <w:noProof/>
          <w:sz w:val="24"/>
        </w:rPr>
        <w:t xml:space="preserve">Iemesli, kāpēc tika izvirzīts Komisijas priekšlikums par programmu </w:t>
      </w:r>
      <w:r>
        <w:rPr>
          <w:rFonts w:ascii="Times New Roman" w:hAnsi="Times New Roman"/>
          <w:i/>
          <w:noProof/>
          <w:sz w:val="24"/>
        </w:rPr>
        <w:t>Hercule III</w:t>
      </w:r>
      <w:r>
        <w:rPr>
          <w:rFonts w:ascii="Times New Roman" w:hAnsi="Times New Roman"/>
          <w:noProof/>
          <w:sz w:val="24"/>
        </w:rPr>
        <w:t xml:space="preserve">, joprojām pastāv, — jo īpaši krāpšana, kas skar ES finanšu intereses. Šajā kontekstā ārējais pētījums liecina, ka programmas konkrētie un darbības mērķi, kā arī tās ietvaros paredzētās darbības joprojām ir </w:t>
      </w:r>
      <w:r>
        <w:rPr>
          <w:rFonts w:ascii="Times New Roman" w:hAnsi="Times New Roman"/>
          <w:b/>
          <w:noProof/>
          <w:sz w:val="24"/>
        </w:rPr>
        <w:t>būtiskas</w:t>
      </w:r>
      <w:r>
        <w:rPr>
          <w:rFonts w:ascii="Times New Roman" w:hAnsi="Times New Roman"/>
          <w:noProof/>
          <w:sz w:val="24"/>
        </w:rPr>
        <w:t xml:space="preserve">. Intervētie finansējuma saņēmēji uzskata, ka atbalstītā tehniskā palīdzība un mācību pasākumi ir būtiski. Tika konstatēts, ka saistībā ar mērķu sasniegšanu ES finanšu interešu aizsardzības jomā daži īpaši pasākumi bija mazāk būtiski, piemēram, konfiscēto cigarešu un citu viltoto preču uzglabāšanas un iznīcināšanas pakalpojumu iegāde vai zinātnisku publikāciju finansēšana. Šis konstatējums galvenokārt ir skaidrojams ar to, ka minētās darbības attiecas uz šauru iespējamo dalībnieku grupu, tāpēc vairākums dalībnieku nesaskata to svarīgumu. </w:t>
      </w:r>
    </w:p>
    <w:p>
      <w:pPr>
        <w:spacing w:line="240" w:lineRule="auto"/>
        <w:jc w:val="both"/>
        <w:rPr>
          <w:rFonts w:ascii="Times New Roman" w:hAnsi="Times New Roman"/>
          <w:noProof/>
          <w:sz w:val="24"/>
          <w:szCs w:val="24"/>
        </w:rPr>
      </w:pPr>
      <w:r>
        <w:rPr>
          <w:rFonts w:ascii="Times New Roman" w:hAnsi="Times New Roman"/>
          <w:noProof/>
          <w:sz w:val="24"/>
        </w:rPr>
        <w:t>Daži finansējuma saņēmēji iesniedza nedaudzus priekšlikumus par iespējamiem papildu darbības mērķiem, kas varētu uzlabot programmas svarīgumu, jo īpaši šādās jomās: pārrobežu sadarbība starp dalībvalstīm, sadarbība ar partneriem ārpus ES, kā arī tehnoloģiskie jauninājumi. Ārējā pētījuma ietvaros netika pārbaudīts, cik lielā mērā šos priekšlikumus atbalsta pārējās ieinteresētās personas. Tāpēc to vērtība ir ierobežota. Tomēr tie atbilst Komisijas pieredzei saistībā ar programmas īstenošanu un darbības virzienam, kurā Komisija sākusi programmas pārvaldību dažos pēdējos gados.</w:t>
      </w:r>
    </w:p>
    <w:p>
      <w:pPr>
        <w:spacing w:line="240" w:lineRule="auto"/>
        <w:jc w:val="both"/>
        <w:rPr>
          <w:rFonts w:ascii="Times New Roman" w:hAnsi="Times New Roman"/>
          <w:noProof/>
          <w:sz w:val="24"/>
          <w:szCs w:val="24"/>
        </w:rPr>
      </w:pPr>
      <w:r>
        <w:rPr>
          <w:rFonts w:ascii="Times New Roman" w:hAnsi="Times New Roman"/>
          <w:noProof/>
          <w:sz w:val="24"/>
        </w:rPr>
        <w:t xml:space="preserve">Izvērtējums parādīja, ka tika nodrošināts programmas </w:t>
      </w:r>
      <w:r>
        <w:rPr>
          <w:rFonts w:ascii="Times New Roman" w:hAnsi="Times New Roman"/>
          <w:b/>
          <w:noProof/>
          <w:sz w:val="24"/>
        </w:rPr>
        <w:t>iekšējais un ārējais saskanīgums</w:t>
      </w:r>
      <w:r>
        <w:rPr>
          <w:rFonts w:ascii="Times New Roman" w:hAnsi="Times New Roman"/>
          <w:noProof/>
          <w:sz w:val="24"/>
        </w:rPr>
        <w:t xml:space="preserve">. Ārējā pētījumā tika konstatēts, ka iekšējais saskanīgums galvenokārt tiek nodrošināts, sadalot budžeta piešķīrumus laikposmam no 2014. līdz 2020. gadam starp dažādām darbību kategorijām. Turklāt Komisija atlases posmā izskata pieteikumus, lai novērstu arī iespējamo pārklāšanos un atkārtošanos. Ārējo saskanīgumu ar citām Komisijas izdevumu programmām nodrošina Komisijas iekšējās apspriešanās mehānismi, jo īpaši gada darba programmas izstrādes un dotāciju pieteikumu atlases posmā, un galvenokārt ņemot vērā mērķus, darbību veidus, dalībniekus un finansējuma saņēmējus atbilstoši tiesību aktiem, ar kuriem izveidotas dažādas izdevumu programmas. Šie iekšējās apspriešanās mehānismi ļauj izvairīties no dublēšanās un pārklāšanās ar citām Komisijas programmām, piemēram, muitas programmu vai iekšējās drošības programmām, kā arī stiprināt esošās un noteikt jaunas sinerģijas. </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Izvērtējumā tika konstatēts, ka programma ir bijusi </w:t>
      </w:r>
      <w:r>
        <w:rPr>
          <w:rFonts w:ascii="Times New Roman" w:hAnsi="Times New Roman"/>
          <w:b/>
          <w:noProof/>
          <w:sz w:val="24"/>
        </w:rPr>
        <w:t>lietderīga</w:t>
      </w:r>
      <w:r>
        <w:rPr>
          <w:rFonts w:ascii="Times New Roman" w:hAnsi="Times New Roman"/>
          <w:noProof/>
          <w:sz w:val="24"/>
        </w:rPr>
        <w:t>. Programma finansēja darbības, kas pēc sava rakstura uzskatāmi uzlaboja ES finanšu interešu aizsardzību (piem., finansējot skenerus kontrabandas preču atklāšanai vai atbalstot mācības digitālās kriminālistikas jomā valstu dienestiem, kas atbild par tādu gadījumu izmeklēšanu, kuri ir saistīti ar ES finanšu interesēm).</w:t>
      </w:r>
    </w:p>
    <w:p>
      <w:pPr>
        <w:spacing w:line="240" w:lineRule="auto"/>
        <w:jc w:val="both"/>
        <w:rPr>
          <w:rFonts w:ascii="Times New Roman" w:hAnsi="Times New Roman" w:cs="Times New Roman"/>
          <w:noProof/>
          <w:sz w:val="24"/>
          <w:szCs w:val="24"/>
        </w:rPr>
      </w:pPr>
      <w:r>
        <w:rPr>
          <w:rFonts w:ascii="Times New Roman" w:hAnsi="Times New Roman"/>
          <w:noProof/>
          <w:sz w:val="24"/>
        </w:rPr>
        <w:lastRenderedPageBreak/>
        <w:t>Attiecībā uz mācībām — ārējā pētījumā tika secināts, pamatojoties uz darbību galīgajiem ziņojumiem un finansējuma saņēmēju aptaujām, ka tika sasniegti rezultāti, kas galvenokārt atbilda gaidāmajam iznākumam. Tomēr tika konstatēts, ka tikai dažu darbību ietvaros tika veikta darbinieku apmaiņa starp valsts pārvaldes iestādēm vai tika īstenota starptautiska līdzdalība.</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Attiecībā uz tehnisko palīdzību — izvērtējuma veikšanas laiks, t. i., programmas dzīves cikla sākumā, apgrūtināja iespēju vairāk pamatot iepriekš minēto konstatējumu, ka programma ir lietderīga. </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Daudzo ārējo faktoru vidū, kuri traucē programmas mērķu sasniegšanu, par svarīgāko ir uzskatāma krāpnieku spēja </w:t>
      </w:r>
      <w:r>
        <w:rPr>
          <w:rFonts w:ascii="Times New Roman" w:hAnsi="Times New Roman"/>
          <w:i/>
          <w:noProof/>
          <w:sz w:val="24"/>
        </w:rPr>
        <w:t>“ātri pielāgoties jauniem apstākļiem ES līmenī, darboties pārrobežu mērogā un izmantot vājākās vietas ārējās robežās”</w:t>
      </w:r>
      <w:r>
        <w:rPr>
          <w:rFonts w:ascii="Times New Roman" w:hAnsi="Times New Roman"/>
          <w:noProof/>
          <w:sz w:val="24"/>
        </w:rPr>
        <w:t xml:space="preserve">. Šādi ārējie faktori parasti kaitē ES finanšu interesēm, un ir vajadzīgi pastāvīgi valsts pārvaldes iestāžu centieni, lai apkarotu un novērstu krāpšanu. Šos centienus, ciktāl iespējams, atbalsta programmas </w:t>
      </w:r>
      <w:r>
        <w:rPr>
          <w:rFonts w:ascii="Times New Roman" w:hAnsi="Times New Roman"/>
          <w:i/>
          <w:noProof/>
          <w:sz w:val="24"/>
        </w:rPr>
        <w:t>Hercule III</w:t>
      </w:r>
      <w:r>
        <w:rPr>
          <w:rFonts w:ascii="Times New Roman" w:hAnsi="Times New Roman"/>
          <w:noProof/>
          <w:sz w:val="24"/>
        </w:rPr>
        <w:t xml:space="preserve"> darbības. </w:t>
      </w:r>
    </w:p>
    <w:p>
      <w:pPr>
        <w:spacing w:line="240" w:lineRule="auto"/>
        <w:jc w:val="both"/>
        <w:rPr>
          <w:noProof/>
          <w:sz w:val="16"/>
          <w:szCs w:val="16"/>
        </w:rPr>
      </w:pPr>
      <w:r>
        <w:rPr>
          <w:rFonts w:ascii="Times New Roman" w:hAnsi="Times New Roman"/>
          <w:noProof/>
          <w:sz w:val="24"/>
        </w:rPr>
        <w:t xml:space="preserve">Izvērtējums apliecināja programmas kopējo </w:t>
      </w:r>
      <w:r>
        <w:rPr>
          <w:rFonts w:ascii="Times New Roman" w:hAnsi="Times New Roman"/>
          <w:b/>
          <w:noProof/>
          <w:sz w:val="24"/>
        </w:rPr>
        <w:t>efektivitāti</w:t>
      </w:r>
      <w:r>
        <w:rPr>
          <w:rFonts w:ascii="Times New Roman" w:hAnsi="Times New Roman"/>
          <w:noProof/>
          <w:sz w:val="24"/>
        </w:rPr>
        <w:t xml:space="preserve"> gan attiecībā uz mācībām, gan tehniskās palīdzības darbībām. Konkrētāk, ievērojams vairākums programmas ieinteresēto personu uzskata, ka pieteikumu iesniegšanas process nav pārāk apgrūtinošs. Daži pieteikuma iesniedzēji ierosināja mazināt slogu, ko rada pieteikuma iesniegšanas un ziņošanas process, piemēram, samazinot pieprasītās informācijas apjomu vai palielinot IT rīku izmantošanu pieteikuma iesniegšanas procesā. Vairums šo priekšlikumu pašlaik tiek izskatīti, un Komisija 2017. gadā sāka izmantot elektronisko pārvaldības sistēmu dotāciju pieteikumu iesniegšanai, apstrādei un pārvaldībai programmas ietvaros. Elektroniskā pārvaldības sistēma nodrošināja vairākus uzlabojumus, piemēram, visa pieteikumu iesniegšanas procesa digitalizāciju un elektronisko parakstu izmantošanas ieviešanu. Paredzams, ka elektroniskā sistēma ievērojami samazinās administratīvo slogu un jo īpaši ar pieteikumu iesniegšanu saistīto laiku un patērētos resursus.</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Izvērtējums apliecināja programmas </w:t>
      </w:r>
      <w:r>
        <w:rPr>
          <w:rFonts w:ascii="Times New Roman" w:hAnsi="Times New Roman"/>
          <w:b/>
          <w:noProof/>
          <w:sz w:val="24"/>
        </w:rPr>
        <w:t>ES pievienoto vērtību</w:t>
      </w:r>
      <w:r>
        <w:rPr>
          <w:rFonts w:ascii="Times New Roman" w:hAnsi="Times New Roman"/>
          <w:noProof/>
          <w:sz w:val="24"/>
        </w:rPr>
        <w:t xml:space="preserve">. Ieinteresētās personas gandrīz vienbalsīgi atzina programmas pievienoto vērtību un tās būtisko ieguldījumu, lai nodrošinātu ieguvumus. Vairums ieinteresēto personu arī uzskata, ka programmas izpildes rezultātā panāktie ieguvumi netiktu īstenoti bez atbalsta, ko sniedz programma </w:t>
      </w:r>
      <w:r>
        <w:rPr>
          <w:rFonts w:ascii="Times New Roman" w:hAnsi="Times New Roman"/>
          <w:i/>
          <w:noProof/>
          <w:sz w:val="24"/>
        </w:rPr>
        <w:t>Hercule III</w:t>
      </w:r>
      <w:r>
        <w:rPr>
          <w:rFonts w:ascii="Times New Roman" w:hAnsi="Times New Roman"/>
          <w:noProof/>
          <w:sz w:val="24"/>
        </w:rPr>
        <w:t xml:space="preserve"> vai līdzvērtīgs ES finansējums. Šīs darbības ļāva labāk aizsargāt Savienības ārējās robežas. Programma veicina pārrobežu sadarbību, jo īpaši informācijas un labākās prakses pārrobežu apmaiņu. Izvērtējumā arī tika konstatēts, ka, pateicoties programmas pārredzamības un ziņošanas prasībām, uzlabojas finansējuma saņēmēju plānošanas, uzraudzības un kvalitātes standarti, kā arī finansējuma saņēmēju finanšu pārvaldības kvalitāte kopumā.</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Izvērtējumā tika secināts, ka programma ir </w:t>
      </w:r>
      <w:r>
        <w:rPr>
          <w:rFonts w:ascii="Times New Roman" w:hAnsi="Times New Roman"/>
          <w:b/>
          <w:noProof/>
          <w:sz w:val="24"/>
        </w:rPr>
        <w:t>ilgtspējīga</w:t>
      </w:r>
      <w:r>
        <w:rPr>
          <w:rFonts w:ascii="Times New Roman" w:hAnsi="Times New Roman"/>
          <w:noProof/>
          <w:sz w:val="24"/>
        </w:rPr>
        <w:t>. Finansējuma saņēmēji vienprātīgi uzskata, ka programmas ietvaros finansētās darbības turpinās nodrošināt ieguvumus arī pēc to pabeigšanas. Tas bija īpaši būtiski attiecībā uz tehniskās palīdzības darbībām, kuru gadījumā iekārtu izvietošana turpinās nodrošināt rezultātus pēc darbības beigām. Tas attiecās arī uz mācībām, kuru gadījumā finansējuma saņēmēji galvenokārt pozitīvi vērtēja ilgtermiņa ietekmi, ko rada tīklošana, kā arī informācijas un labākās prakses apmaiņa. Tomēr ievērojams skaits finansējuma saņēmēju norādīja, ka viņi pārtrauktu darbības, kas tika finansētas programmas ietvaros, ja programma tiktu izbeigta. Šis konstatējums liecina, ka programmas pārtraukšana ietekmētu Savienības finanšu interešu vispārējo aizsardzību.</w:t>
      </w:r>
    </w:p>
    <w:p>
      <w:pPr>
        <w:spacing w:after="0" w:line="240" w:lineRule="auto"/>
        <w:jc w:val="both"/>
        <w:rPr>
          <w:rFonts w:ascii="Times New Roman" w:hAnsi="Times New Roman"/>
          <w:noProof/>
          <w:sz w:val="24"/>
          <w:szCs w:val="24"/>
        </w:rPr>
      </w:pPr>
      <w:r>
        <w:rPr>
          <w:rFonts w:ascii="Times New Roman" w:hAnsi="Times New Roman"/>
          <w:noProof/>
          <w:sz w:val="24"/>
        </w:rPr>
        <w:lastRenderedPageBreak/>
        <w:t xml:space="preserve">Izvērtējumā tika konstatēts, ka </w:t>
      </w:r>
      <w:r>
        <w:rPr>
          <w:rFonts w:ascii="Times New Roman" w:hAnsi="Times New Roman"/>
          <w:b/>
          <w:noProof/>
          <w:sz w:val="24"/>
        </w:rPr>
        <w:t xml:space="preserve">programmas </w:t>
      </w:r>
      <w:r>
        <w:rPr>
          <w:rFonts w:ascii="Times New Roman" w:hAnsi="Times New Roman"/>
          <w:b/>
          <w:i/>
          <w:noProof/>
          <w:sz w:val="24"/>
        </w:rPr>
        <w:t>Hercule III</w:t>
      </w:r>
      <w:r>
        <w:rPr>
          <w:rFonts w:ascii="Times New Roman" w:hAnsi="Times New Roman"/>
          <w:b/>
          <w:noProof/>
          <w:sz w:val="24"/>
        </w:rPr>
        <w:t xml:space="preserve"> ieguldījums saistībā ar gudru, ilgtspējīgu un iekļaujošu izaugsmi</w:t>
      </w:r>
      <w:r>
        <w:rPr>
          <w:rFonts w:ascii="Times New Roman" w:hAnsi="Times New Roman"/>
          <w:noProof/>
          <w:sz w:val="24"/>
        </w:rPr>
        <w:t>, kas paredzēta stratēģijā “Eiropa 2020”, ir netiešs. Ieņēmumu daļā tā veicina vajadzīgo finanšu līdzekļu nodrošināšanu iniciatīvām, kas uzsāktas, lai sasniegtu stratēģijas mērķus, un izdevumu daļā tā palīdz nodrošināt, ka šie resursi netiek novirzīti citiem mērķiem. Turklāt labāka ES ārējo robežu aizsardzība, ko atbalsta programma, veicina līdzvērtīgu apstākļu radīšanu ES uzņēmumiem un to konkurentiem, kas izveidoti trešās valstīs, — un tas tiek uzskatīts par vēl vienu nozīmīgu faktoru, lai varētu sasniegt stratēģijas “Eiropa 2020” mērķus.</w:t>
      </w:r>
    </w:p>
    <w:p>
      <w:pPr>
        <w:tabs>
          <w:tab w:val="left" w:pos="1605"/>
        </w:tabs>
        <w:spacing w:after="120" w:line="240" w:lineRule="auto"/>
        <w:jc w:val="both"/>
        <w:rPr>
          <w:rFonts w:ascii="Times New Roman" w:hAnsi="Times New Roman" w:cs="Times New Roman"/>
          <w:noProof/>
          <w:sz w:val="24"/>
          <w:szCs w:val="24"/>
        </w:rPr>
      </w:pPr>
      <w:r>
        <w:rPr>
          <w:noProof/>
        </w:rPr>
        <w:tab/>
      </w:r>
    </w:p>
    <w:p>
      <w:pPr>
        <w:numPr>
          <w:ilvl w:val="0"/>
          <w:numId w:val="14"/>
        </w:numPr>
        <w:spacing w:line="240" w:lineRule="auto"/>
        <w:contextualSpacing/>
        <w:jc w:val="both"/>
        <w:rPr>
          <w:rFonts w:ascii="Times New Roman" w:hAnsi="Times New Roman"/>
          <w:b/>
          <w:noProof/>
          <w:sz w:val="24"/>
        </w:rPr>
      </w:pPr>
      <w:r>
        <w:rPr>
          <w:rFonts w:ascii="Times New Roman" w:hAnsi="Times New Roman"/>
          <w:b/>
          <w:noProof/>
          <w:sz w:val="24"/>
        </w:rPr>
        <w:t>Turpmākā virzība</w:t>
      </w:r>
    </w:p>
    <w:p>
      <w:pPr>
        <w:keepNext/>
        <w:spacing w:before="360" w:after="120" w:line="240" w:lineRule="auto"/>
        <w:jc w:val="both"/>
        <w:rPr>
          <w:rFonts w:ascii="Times New Roman" w:hAnsi="Times New Roman" w:cs="Times New Roman"/>
          <w:noProof/>
          <w:sz w:val="24"/>
          <w:szCs w:val="24"/>
        </w:rPr>
      </w:pPr>
      <w:r>
        <w:rPr>
          <w:rFonts w:ascii="Times New Roman" w:hAnsi="Times New Roman"/>
          <w:noProof/>
          <w:sz w:val="24"/>
        </w:rPr>
        <w:t xml:space="preserve">Starpposma izvērtējums apliecināja, ka programma </w:t>
      </w:r>
      <w:r>
        <w:rPr>
          <w:rFonts w:ascii="Times New Roman" w:hAnsi="Times New Roman"/>
          <w:i/>
          <w:noProof/>
          <w:sz w:val="24"/>
        </w:rPr>
        <w:t>Hercule III</w:t>
      </w:r>
      <w:r>
        <w:rPr>
          <w:rFonts w:ascii="Times New Roman" w:hAnsi="Times New Roman"/>
          <w:noProof/>
          <w:sz w:val="24"/>
        </w:rPr>
        <w:t xml:space="preserve"> pašreizējā formā un šajā īstenošanas posmā pamatā ir izpildījusi savu uzdevumu. Ir pierādījies, ka tā ir būtiska, ir ieviesti mehānismi tās saskanīguma nodrošināšanai, un tā ir lietderīga un efektīva. Šādas programmas esamība ES līmenī nepārprotami nodrošina pievienoto vērtību, un tika atzīts, ka programmas darbības galvenokārt ir ilgtspējīgas. </w:t>
      </w:r>
    </w:p>
    <w:p>
      <w:pPr>
        <w:keepNext/>
        <w:spacing w:before="360" w:after="120" w:line="240" w:lineRule="auto"/>
        <w:jc w:val="both"/>
        <w:rPr>
          <w:rFonts w:ascii="Times New Roman" w:hAnsi="Times New Roman"/>
          <w:noProof/>
          <w:sz w:val="24"/>
          <w:szCs w:val="24"/>
        </w:rPr>
      </w:pPr>
      <w:r>
        <w:rPr>
          <w:rFonts w:ascii="Times New Roman" w:hAnsi="Times New Roman"/>
          <w:noProof/>
          <w:sz w:val="24"/>
        </w:rPr>
        <w:t>Ārējā izvērtēšanas procesa laikā tika sniegti daži priekšlikumi par iespējamiem jauniem mērķiem un darbībām turpmākai programmas virzībai. Ņemot vērā ierobežojumu, ka ārējā pētījuma ietvaros netika pārbaudīts, ciktāl šos priekšlikumus atbalsta vairums ieinteresēto personu, Komisijas dienesti tos varētu izmantot, pārdomājot programmas dzīves ciklu nākamajiem trim gadiem, jo īpaši šādās jomās: dalībvalstu pārrobežu sadarbība, sadarbība ar partneriem ārpus ES, kā arī tehnoloģiskie jauninājumi. Šie priekšlikumi arī tiks izmantoti plašākā apspriešanā par atbalstu krāpšanas apkarošanas darbībām saistībā ar gatavošanos nākamās daudzgadu finanšu shēmas izstrādei laikposmam pēc 2020. gada.</w:t>
      </w:r>
    </w:p>
    <w:sectPr>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9" w:footer="709" w:gutter="0"/>
      <w:pgNumType w:start="1"/>
      <w:cols w:space="708"/>
      <w:docGrid w:linePitch="360"/>
    </w:sectPr>
  </w:body>
</w:document>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6FA8966" w15:done="0"/>
  <w15:commentEx w15:paraId="2CE3554D"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LV</w:t>
    </w:r>
    <w:r>
      <w:rPr>
        <w:rFonts w:ascii="Arial" w:hAnsi="Arial" w:cs="Arial"/>
        <w:b/>
        <w:sz w:val="48"/>
      </w:rPr>
      <w:tab/>
    </w:r>
    <w:r>
      <w:rPr>
        <w:rFonts w:ascii="Arial" w:hAnsi="Arial" w:cs="Arial"/>
        <w:b/>
        <w:sz w:val="48"/>
      </w:rPr>
      <w:tab/>
    </w:r>
    <w:r>
      <w:tab/>
    </w:r>
    <w:r>
      <w:rPr>
        <w:rFonts w:ascii="Arial" w:hAnsi="Arial" w:cs="Arial"/>
        <w:b/>
        <w:sz w:val="48"/>
      </w:rPr>
      <w:t>LV</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pPr>
      <w:pStyle w:val="Footer"/>
      <w:framePr w:wrap="none" w:vAnchor="text" w:hAnchor="margin" w:xAlign="right" w:y="1"/>
      <w:ind w:right="360"/>
      <w:rPr>
        <w:rStyle w:val="PageNumber"/>
      </w:rPr>
    </w:pPr>
    <w:r>
      <w:rPr>
        <w:rStyle w:val="PageNumber"/>
      </w:rPr>
      <w:fldChar w:fldCharType="begin"/>
    </w:r>
    <w:r>
      <w:rPr>
        <w:rStyle w:val="PageNumber"/>
      </w:rPr>
      <w:instrText xml:space="preserve">PAGE  </w:instrText>
    </w:r>
    <w:r>
      <w:rPr>
        <w:rStyle w:val="PageNumber"/>
      </w:rPr>
      <w:fldChar w:fldCharType="end"/>
    </w:r>
  </w:p>
  <w:p>
    <w:pPr>
      <w:pStyle w:val="Footer"/>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4459479"/>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pPr>
      <w:pStyle w:val="Footer"/>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pPr>
      <w:r>
        <w:rPr>
          <w:rStyle w:val="FootnoteReference"/>
        </w:rPr>
        <w:footnoteRef/>
      </w:r>
      <w:r>
        <w:t xml:space="preserve"> </w:t>
      </w:r>
      <w:r>
        <w:tab/>
        <w:t>Eiropas Komisija, Pārdomu dokuments par ES finanšu nākotni, COM(2017) 358, 2017. gada 28. jūnijs.</w:t>
      </w:r>
    </w:p>
  </w:footnote>
  <w:footnote w:id="2">
    <w:p>
      <w:pPr>
        <w:pStyle w:val="FootnoteText"/>
        <w:spacing w:after="120"/>
      </w:pPr>
      <w:r>
        <w:rPr>
          <w:rStyle w:val="FootnoteReference"/>
        </w:rPr>
        <w:footnoteRef/>
      </w:r>
      <w:r>
        <w:t xml:space="preserve"> </w:t>
      </w:r>
      <w:r>
        <w:tab/>
        <w:t xml:space="preserve">Eiropas Parlamenta un Padomes 2014. gada 26. februāra Regula (ES) Nr. 250/2014, ar ko izveido programmu darbību veicināšanai Eiropas Savienības finanšu interešu aizsardzības jomā (programma </w:t>
      </w:r>
      <w:r>
        <w:rPr>
          <w:i/>
        </w:rPr>
        <w:t>Hercule III</w:t>
      </w:r>
      <w:r>
        <w:t>) un atceļ Lēmumu Nr. 804/2004/EK (OV L 84, 20.3.2014.).</w:t>
      </w:r>
    </w:p>
  </w:footnote>
  <w:footnote w:id="3">
    <w:p>
      <w:pPr>
        <w:pStyle w:val="FootnoteText"/>
        <w:spacing w:after="120"/>
      </w:pPr>
      <w:r>
        <w:rPr>
          <w:rStyle w:val="FootnoteReference"/>
        </w:rPr>
        <w:footnoteRef/>
      </w:r>
      <w:r>
        <w:t xml:space="preserve"> </w:t>
      </w:r>
      <w:r>
        <w:tab/>
        <w:t>Regulas (ES) Nr. 250/2014 3. pants.</w:t>
      </w:r>
    </w:p>
  </w:footnote>
  <w:footnote w:id="4">
    <w:p>
      <w:pPr>
        <w:pStyle w:val="FootnoteText"/>
        <w:spacing w:after="120"/>
      </w:pPr>
      <w:r>
        <w:rPr>
          <w:rStyle w:val="FootnoteReference"/>
        </w:rPr>
        <w:footnoteRef/>
      </w:r>
      <w:r>
        <w:t xml:space="preserve"> </w:t>
      </w:r>
      <w:r>
        <w:tab/>
        <w:t>Regulas (ES) Nr. 250/2014 4. pants.</w:t>
      </w:r>
    </w:p>
  </w:footnote>
  <w:footnote w:id="5">
    <w:p>
      <w:pPr>
        <w:pStyle w:val="FootnoteText"/>
        <w:spacing w:after="120"/>
      </w:pPr>
      <w:r>
        <w:rPr>
          <w:rStyle w:val="FootnoteReference"/>
        </w:rPr>
        <w:footnoteRef/>
      </w:r>
      <w:r>
        <w:t xml:space="preserve"> </w:t>
      </w:r>
      <w:r>
        <w:tab/>
        <w:t>Regulas (ES) Nr. 250/2014 6. pants.</w:t>
      </w:r>
    </w:p>
  </w:footnote>
  <w:footnote w:id="6">
    <w:p>
      <w:pPr>
        <w:pStyle w:val="FootnoteText"/>
        <w:jc w:val="both"/>
      </w:pPr>
      <w:r>
        <w:rPr>
          <w:rStyle w:val="FootnoteReference"/>
        </w:rPr>
        <w:footnoteRef/>
      </w:r>
      <w:r>
        <w:t xml:space="preserve"> </w:t>
      </w:r>
      <w:r>
        <w:tab/>
        <w:t>Eiropas Savienības finanšu interešu aizsardzība — cīņa pret krāpšanu. 2016. gada ziņojums, COM(2017) 383 </w:t>
      </w:r>
      <w:r>
        <w:rPr>
          <w:i/>
        </w:rPr>
        <w:t>final</w:t>
      </w:r>
      <w:r>
        <w:t>.</w:t>
      </w:r>
    </w:p>
  </w:footnote>
  <w:footnote w:id="7">
    <w:p>
      <w:pPr>
        <w:pStyle w:val="FootnoteText"/>
      </w:pPr>
      <w:r>
        <w:rPr>
          <w:rStyle w:val="FootnoteReference"/>
        </w:rPr>
        <w:footnoteRef/>
      </w:r>
      <w:r>
        <w:t xml:space="preserve"> </w:t>
      </w:r>
      <w:r>
        <w:tab/>
        <w:t>Pirmie rezultāti tika saņemti 2016. gada vidū.</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D5D7E"/>
    <w:multiLevelType w:val="hybridMultilevel"/>
    <w:tmpl w:val="0BCE4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6470F3"/>
    <w:multiLevelType w:val="hybridMultilevel"/>
    <w:tmpl w:val="E0362A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98F6E9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20B445D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254500C7"/>
    <w:multiLevelType w:val="hybridMultilevel"/>
    <w:tmpl w:val="1F86AEB6"/>
    <w:lvl w:ilvl="0" w:tplc="95FC79E0">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C7B1AC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35F83520"/>
    <w:multiLevelType w:val="hybridMultilevel"/>
    <w:tmpl w:val="C54EE426"/>
    <w:lvl w:ilvl="0" w:tplc="FEA6AA0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60C34B6"/>
    <w:multiLevelType w:val="hybridMultilevel"/>
    <w:tmpl w:val="43D840DA"/>
    <w:lvl w:ilvl="0" w:tplc="08090001">
      <w:start w:val="1"/>
      <w:numFmt w:val="bullet"/>
      <w:lvlText w:val=""/>
      <w:lvlJc w:val="left"/>
      <w:pPr>
        <w:ind w:left="720" w:hanging="360"/>
      </w:pPr>
      <w:rPr>
        <w:rFonts w:ascii="Symbol" w:hAnsi="Symbol" w:hint="default"/>
      </w:rPr>
    </w:lvl>
    <w:lvl w:ilvl="1" w:tplc="55A02BC2">
      <w:numFmt w:val="bullet"/>
      <w:lvlText w:val="-"/>
      <w:lvlJc w:val="left"/>
      <w:pPr>
        <w:ind w:left="1800" w:hanging="72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ED067B6"/>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nsid w:val="50C84CF8"/>
    <w:multiLevelType w:val="hybridMultilevel"/>
    <w:tmpl w:val="3686307A"/>
    <w:lvl w:ilvl="0" w:tplc="95FC79E0">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3B163E1"/>
    <w:multiLevelType w:val="hybridMultilevel"/>
    <w:tmpl w:val="ED5A2C06"/>
    <w:lvl w:ilvl="0" w:tplc="95FC79E0">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D8C0710"/>
    <w:multiLevelType w:val="hybridMultilevel"/>
    <w:tmpl w:val="58E82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65CA391F"/>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
    <w:nsid w:val="6A16125B"/>
    <w:multiLevelType w:val="hybridMultilevel"/>
    <w:tmpl w:val="C54EE426"/>
    <w:lvl w:ilvl="0" w:tplc="FEA6AA0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1"/>
  </w:num>
  <w:num w:numId="2">
    <w:abstractNumId w:val="9"/>
  </w:num>
  <w:num w:numId="3">
    <w:abstractNumId w:val="10"/>
  </w:num>
  <w:num w:numId="4">
    <w:abstractNumId w:val="4"/>
  </w:num>
  <w:num w:numId="5">
    <w:abstractNumId w:val="0"/>
  </w:num>
  <w:num w:numId="6">
    <w:abstractNumId w:val="8"/>
  </w:num>
  <w:num w:numId="7">
    <w:abstractNumId w:val="5"/>
  </w:num>
  <w:num w:numId="8">
    <w:abstractNumId w:val="12"/>
  </w:num>
  <w:num w:numId="9">
    <w:abstractNumId w:val="3"/>
  </w:num>
  <w:num w:numId="10">
    <w:abstractNumId w:val="2"/>
  </w:num>
  <w:num w:numId="11">
    <w:abstractNumId w:val="7"/>
  </w:num>
  <w:num w:numId="12">
    <w:abstractNumId w:val="13"/>
  </w:num>
  <w:num w:numId="13">
    <w:abstractNumId w:val="6"/>
  </w:num>
  <w:num w:numId="14">
    <w:abstractNumId w:val="1"/>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Irene Sacristán">
    <w15:presenceInfo w15:providerId="Windows Live" w15:userId="f770b25f8221e33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doNotDisplayPageBoundaries/>
  <w:hideSpellingErrors/>
  <w:hideGrammaticalErrors/>
  <w:revisionView w:markup="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A6152625-4D80-4F7E-811B-AF67E12D3731"/>
    <w:docVar w:name="LW_COVERPAGE_TYPE" w:val="1"/>
    <w:docVar w:name="LW_CROSSREFERENCE" w:val="{SWD(2018) 3 final}"/>
    <w:docVar w:name="LW_DocType" w:val="NORMAL"/>
    <w:docVar w:name="LW_EMISSION" w:val="10.1.2018"/>
    <w:docVar w:name="LW_EMISSION_ISODATE" w:val="2018-01-10"/>
    <w:docVar w:name="LW_EMISSION_LOCATION" w:val="BRX"/>
    <w:docVar w:name="LW_EMISSION_PREFIX" w:val="Briselē, "/>
    <w:docVar w:name="LW_EMISSION_SUFFIX" w:val="."/>
    <w:docVar w:name="LW_ID_DOCTYPE_NONLW" w:val="CP-006"/>
    <w:docVar w:name="LW_LANGUE" w:val="LV"/>
    <w:docVar w:name="LW_LEVEL_OF_SENSITIVITY" w:val="Standard treatment"/>
    <w:docVar w:name="LW_NOM.INST" w:val="EIROPAS KOMISIJA"/>
    <w:docVar w:name="LW_NOM.INST_JOINTDOC" w:val="&lt;EMPTY&gt;"/>
    <w:docVar w:name="LW_PART_NBR" w:val="1"/>
    <w:docVar w:name="LW_PART_NBR_TOTAL" w:val="1"/>
    <w:docVar w:name="LW_REF.INST.NEW" w:val="COM"/>
    <w:docVar w:name="LW_REF.INST.NEW_ADOPTED" w:val="final"/>
    <w:docVar w:name="LW_REF.INST.NEW_TEXT" w:val="(2018) 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OUS.TITRE.OBJ.CP" w:val="&lt;UNUSED&gt;"/>
    <w:docVar w:name="LW_SUPERTITRE" w:val="&lt;UNUSED&gt;"/>
    <w:docVar w:name="LW_TITRE.OBJ.CP" w:val="Eiropas Parlamenta un Padomes 2014. gada 26. febru\u257?ra Regulas (ES) Nr. 250/2014, ar ko izveido programmu darb\u299?bu veicin\u257?\u353?anai Eiropas Savien\u299?bas finan\u353?u intere\u353?u aizsardz\u299?bas jom\u257? (programma &lt;FMT:Italic&gt;Hercule III&lt;/FMT&gt;) un atce\u316? L\u275?mumu Nr. 804/2004/EK, starpposma izv\u275?rt\u275?\u353?ana"/>
    <w:docVar w:name="LW_TYPE.DOC.CP" w:val="KOMISIJAS ZI\u325?OJUMS EIROPAS PARLAMENTAM UN PADOMEI"/>
  </w:docVar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lv-LV" w:bidi="lv-LV"/>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numPr>
        <w:numId w:val="8"/>
      </w:numPr>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pPr>
      <w:keepNext/>
      <w:keepLines/>
      <w:numPr>
        <w:ilvl w:val="1"/>
        <w:numId w:val="8"/>
      </w:numPr>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pPr>
      <w:keepNext/>
      <w:keepLines/>
      <w:numPr>
        <w:ilvl w:val="2"/>
        <w:numId w:val="8"/>
      </w:numPr>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pPr>
      <w:keepNext/>
      <w:keepLines/>
      <w:numPr>
        <w:ilvl w:val="3"/>
        <w:numId w:val="8"/>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pPr>
      <w:keepNext/>
      <w:keepLines/>
      <w:numPr>
        <w:ilvl w:val="4"/>
        <w:numId w:val="8"/>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pPr>
      <w:keepNext/>
      <w:keepLines/>
      <w:numPr>
        <w:ilvl w:val="5"/>
        <w:numId w:val="8"/>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pPr>
      <w:keepNext/>
      <w:keepLines/>
      <w:numPr>
        <w:ilvl w:val="6"/>
        <w:numId w:val="8"/>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pPr>
      <w:keepNext/>
      <w:keepLines/>
      <w:numPr>
        <w:ilvl w:val="7"/>
        <w:numId w:val="8"/>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pPr>
      <w:keepNext/>
      <w:keepLines/>
      <w:numPr>
        <w:ilvl w:val="8"/>
        <w:numId w:val="8"/>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ußnotentext Char,Fußnotentext Char1 Char1,Fußnotentext Char Char Char Char,Fußnotentext Char1 Char Char Char,Fußnotentext Char Char,Fußnotentext Char1 Char Char Char Char,Fußnotentext Char Char Char Char Char Char,fn,Footnote,Fußnote,Char"/>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ußnotentext Char Char1,Fußnotentext Char1 Char1 Char,Fußnotentext Char Char Char Char Char,Fußnotentext Char1 Char Char Char Char1,Fußnotentext Char Char Char,Fußnotentext Char1 Char Char Char Char Char,fn Char,Footnote Char"/>
    <w:basedOn w:val="DefaultParagraphFont"/>
    <w:link w:val="FootnoteText"/>
    <w:uiPriority w:val="99"/>
    <w:rPr>
      <w:sz w:val="20"/>
      <w:szCs w:val="20"/>
    </w:rPr>
  </w:style>
  <w:style w:type="character" w:styleId="FootnoteReference">
    <w:name w:val="footnote reference"/>
    <w:aliases w:val="Voetnoot verwijzing,number,Footnote reference number,Footnote symbol,note TESI,-E Fußnotenzeichen,SUPERS,stylish,Footnote Reference_EP-LCA,BVI fnr,Odwołanie przypisu,Footnote Reference2,Footnote Reference Number,E FNZ,Footnote#,FR,F"/>
    <w:basedOn w:val="DefaultParagraphFont"/>
    <w:link w:val="SUPERSChar"/>
    <w:uiPriority w:val="99"/>
    <w:unhideWhenUsed/>
    <w:qFormat/>
    <w:rPr>
      <w:vertAlign w:val="superscript"/>
    </w:rPr>
  </w:style>
  <w:style w:type="paragraph" w:styleId="ListParagraph">
    <w:name w:val="List Paragraph"/>
    <w:basedOn w:val="Normal"/>
    <w:uiPriority w:val="34"/>
    <w:qFormat/>
    <w:pPr>
      <w:ind w:left="720"/>
      <w:contextualSpacing/>
    </w:pPr>
  </w:style>
  <w:style w:type="paragraph" w:customStyle="1" w:styleId="Point1">
    <w:name w:val="Point 1"/>
    <w:basedOn w:val="Normal"/>
    <w:pPr>
      <w:spacing w:before="120" w:after="120" w:line="360" w:lineRule="auto"/>
      <w:ind w:left="1417" w:hanging="567"/>
    </w:pPr>
    <w:rPr>
      <w:rFonts w:ascii="Times New Roman" w:hAnsi="Times New Roman" w:cs="Times New Roman"/>
      <w:sz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SUPERSChar">
    <w:name w:val="SUPERS Char"/>
    <w:aliases w:val="EN Footnote Reference Char"/>
    <w:basedOn w:val="Normal"/>
    <w:link w:val="FootnoteReference"/>
    <w:uiPriority w:val="99"/>
    <w:pPr>
      <w:widowControl w:val="0"/>
      <w:adjustRightInd w:val="0"/>
      <w:spacing w:after="160" w:line="240" w:lineRule="exact"/>
      <w:jc w:val="both"/>
      <w:textAlignment w:val="baseline"/>
    </w:pPr>
    <w:rPr>
      <w:vertAlign w:val="superscript"/>
    </w:rPr>
  </w:style>
  <w:style w:type="paragraph" w:customStyle="1" w:styleId="Default">
    <w:name w:val="Default"/>
    <w:pPr>
      <w:autoSpaceDE w:val="0"/>
      <w:autoSpaceDN w:val="0"/>
      <w:adjustRightInd w:val="0"/>
      <w:spacing w:after="0" w:line="240" w:lineRule="auto"/>
    </w:pPr>
    <w:rPr>
      <w:rFonts w:ascii="Tahoma" w:hAnsi="Tahoma" w:cs="Tahoma"/>
      <w:color w:val="000000"/>
      <w:sz w:val="24"/>
      <w:szCs w:val="24"/>
    </w:rPr>
  </w:style>
  <w:style w:type="character" w:styleId="Hyperlink">
    <w:name w:val="Hyperlink"/>
    <w:basedOn w:val="DefaultParagraphFont"/>
    <w:uiPriority w:val="99"/>
    <w:unhideWhenUsed/>
    <w:rPr>
      <w:color w:val="0000FF"/>
      <w:u w:val="single"/>
    </w:rPr>
  </w:style>
  <w:style w:type="paragraph" w:customStyle="1" w:styleId="Text3">
    <w:name w:val="Text 3"/>
    <w:basedOn w:val="Normal"/>
    <w:pPr>
      <w:spacing w:after="120" w:line="240" w:lineRule="auto"/>
      <w:jc w:val="both"/>
    </w:pPr>
    <w:rPr>
      <w:rFonts w:ascii="Times New Roman" w:eastAsia="Times New Roman" w:hAnsi="Times New Roman" w:cs="Times New Roman"/>
      <w:szCs w:val="20"/>
    </w:rPr>
  </w:style>
  <w:style w:type="paragraph" w:styleId="BodyText">
    <w:name w:val="Body Text"/>
    <w:basedOn w:val="Normal"/>
    <w:link w:val="BodyTextChar"/>
    <w:unhideWhenUsed/>
    <w:pPr>
      <w:spacing w:after="120" w:line="240" w:lineRule="auto"/>
      <w:jc w:val="both"/>
    </w:pPr>
    <w:rPr>
      <w:rFonts w:ascii="Times New Roman" w:eastAsia="Times New Roman" w:hAnsi="Times New Roman" w:cs="Times New Roman"/>
      <w:szCs w:val="20"/>
    </w:rPr>
  </w:style>
  <w:style w:type="character" w:customStyle="1" w:styleId="BodyTextChar">
    <w:name w:val="Body Text Char"/>
    <w:basedOn w:val="DefaultParagraphFont"/>
    <w:link w:val="BodyText"/>
    <w:rPr>
      <w:rFonts w:ascii="Times New Roman" w:eastAsia="Times New Roman" w:hAnsi="Times New Roman" w:cs="Times New Roman"/>
      <w:szCs w:val="20"/>
    </w:rPr>
  </w:style>
  <w:style w:type="paragraph" w:customStyle="1" w:styleId="CM1">
    <w:name w:val="CM1"/>
    <w:basedOn w:val="Default"/>
    <w:next w:val="Default"/>
    <w:uiPriority w:val="99"/>
    <w:rPr>
      <w:rFonts w:ascii="EUAlbertina" w:hAnsi="EUAlbertina" w:cstheme="minorBidi"/>
      <w:color w:val="auto"/>
    </w:rPr>
  </w:style>
  <w:style w:type="paragraph" w:customStyle="1" w:styleId="CM3">
    <w:name w:val="CM3"/>
    <w:basedOn w:val="Default"/>
    <w:next w:val="Default"/>
    <w:uiPriority w:val="99"/>
    <w:rPr>
      <w:rFonts w:ascii="EUAlbertina" w:hAnsi="EUAlbertina" w:cstheme="minorBidi"/>
      <w:color w:val="auto"/>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Pr>
      <w:rFonts w:ascii="Times New Roman" w:hAnsi="Times New Roman" w:cs="Times New Roman"/>
      <w:sz w:val="24"/>
    </w:rPr>
  </w:style>
  <w:style w:type="character" w:styleId="PageNumber">
    <w:name w:val="page number"/>
    <w:basedOn w:val="DefaultParagraphFont"/>
    <w:uiPriority w:val="99"/>
    <w:semiHidden/>
    <w:unhideWhenUsed/>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3">
    <w:name w:val="Body text (3)_"/>
    <w:basedOn w:val="DefaultParagraphFont"/>
    <w:link w:val="Bodytext30"/>
    <w:rPr>
      <w:rFonts w:ascii="Arial" w:eastAsia="Arial" w:hAnsi="Arial" w:cs="Arial"/>
      <w:sz w:val="21"/>
      <w:szCs w:val="21"/>
      <w:shd w:val="clear" w:color="auto" w:fill="FFFFFF"/>
      <w:lang w:val="lv-LV" w:eastAsia="lv-LV" w:bidi="lv-LV"/>
    </w:rPr>
  </w:style>
  <w:style w:type="character" w:customStyle="1" w:styleId="Bodytext4">
    <w:name w:val="Body text (4)_"/>
    <w:basedOn w:val="DefaultParagraphFont"/>
    <w:link w:val="Bodytext40"/>
    <w:rPr>
      <w:b/>
      <w:bCs/>
      <w:shd w:val="clear" w:color="auto" w:fill="FFFFFF"/>
    </w:rPr>
  </w:style>
  <w:style w:type="paragraph" w:customStyle="1" w:styleId="Bodytext30">
    <w:name w:val="Body text (3)"/>
    <w:basedOn w:val="Normal"/>
    <w:link w:val="Bodytext3"/>
    <w:pPr>
      <w:widowControl w:val="0"/>
      <w:shd w:val="clear" w:color="auto" w:fill="FFFFFF"/>
      <w:spacing w:after="1440" w:line="274" w:lineRule="exact"/>
    </w:pPr>
    <w:rPr>
      <w:rFonts w:ascii="Arial" w:eastAsia="Arial" w:hAnsi="Arial" w:cs="Arial"/>
      <w:sz w:val="21"/>
      <w:szCs w:val="21"/>
    </w:rPr>
  </w:style>
  <w:style w:type="paragraph" w:customStyle="1" w:styleId="Bodytext40">
    <w:name w:val="Body text (4)"/>
    <w:basedOn w:val="Normal"/>
    <w:link w:val="Bodytext4"/>
    <w:pPr>
      <w:widowControl w:val="0"/>
      <w:shd w:val="clear" w:color="auto" w:fill="FFFFFF"/>
      <w:spacing w:before="1440" w:after="0" w:line="624" w:lineRule="exact"/>
      <w:ind w:hanging="400"/>
      <w:jc w:val="center"/>
    </w:pPr>
    <w:rPr>
      <w:b/>
      <w:bCs/>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Pr>
      <w:rFonts w:ascii="Times New Roman" w:hAnsi="Times New Roman" w:cs="Times New Roman"/>
      <w:sz w:val="24"/>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sz w:val="21"/>
      <w:szCs w:val="21"/>
    </w:rPr>
  </w:style>
  <w:style w:type="character" w:styleId="Strong">
    <w:name w:val="Strong"/>
    <w:basedOn w:val="DefaultParagraphFont"/>
    <w:uiPriority w:val="22"/>
    <w:qFormat/>
    <w:rPr>
      <w:b/>
      <w:bCs/>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Bodytext3"/>
    <w:link w:val="FooterCoverPage"/>
    <w:rPr>
      <w:rFonts w:ascii="Times New Roman" w:eastAsia="Arial" w:hAnsi="Times New Roman" w:cs="Times New Roman"/>
      <w:sz w:val="24"/>
      <w:szCs w:val="21"/>
      <w:shd w:val="clear" w:color="auto" w:fill="FFFFFF"/>
      <w:lang w:val="lv-LV" w:eastAsia="lv-LV" w:bidi="lv-LV"/>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Bodytext3"/>
    <w:link w:val="HeaderCoverPage"/>
    <w:rPr>
      <w:rFonts w:ascii="Times New Roman" w:eastAsia="Arial" w:hAnsi="Times New Roman" w:cs="Times New Roman"/>
      <w:sz w:val="24"/>
      <w:szCs w:val="21"/>
      <w:shd w:val="clear" w:color="auto" w:fill="FFFFFF"/>
      <w:lang w:val="lv-LV" w:eastAsia="lv-LV" w:bidi="lv-LV"/>
    </w:r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lv-LV" w:bidi="lv-LV"/>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numPr>
        <w:numId w:val="8"/>
      </w:numPr>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pPr>
      <w:keepNext/>
      <w:keepLines/>
      <w:numPr>
        <w:ilvl w:val="1"/>
        <w:numId w:val="8"/>
      </w:numPr>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pPr>
      <w:keepNext/>
      <w:keepLines/>
      <w:numPr>
        <w:ilvl w:val="2"/>
        <w:numId w:val="8"/>
      </w:numPr>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pPr>
      <w:keepNext/>
      <w:keepLines/>
      <w:numPr>
        <w:ilvl w:val="3"/>
        <w:numId w:val="8"/>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pPr>
      <w:keepNext/>
      <w:keepLines/>
      <w:numPr>
        <w:ilvl w:val="4"/>
        <w:numId w:val="8"/>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pPr>
      <w:keepNext/>
      <w:keepLines/>
      <w:numPr>
        <w:ilvl w:val="5"/>
        <w:numId w:val="8"/>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pPr>
      <w:keepNext/>
      <w:keepLines/>
      <w:numPr>
        <w:ilvl w:val="6"/>
        <w:numId w:val="8"/>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pPr>
      <w:keepNext/>
      <w:keepLines/>
      <w:numPr>
        <w:ilvl w:val="7"/>
        <w:numId w:val="8"/>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pPr>
      <w:keepNext/>
      <w:keepLines/>
      <w:numPr>
        <w:ilvl w:val="8"/>
        <w:numId w:val="8"/>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ußnotentext Char,Fußnotentext Char1 Char1,Fußnotentext Char Char Char Char,Fußnotentext Char1 Char Char Char,Fußnotentext Char Char,Fußnotentext Char1 Char Char Char Char,Fußnotentext Char Char Char Char Char Char,fn,Footnote,Fußnote,Char"/>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ußnotentext Char Char1,Fußnotentext Char1 Char1 Char,Fußnotentext Char Char Char Char Char,Fußnotentext Char1 Char Char Char Char1,Fußnotentext Char Char Char,Fußnotentext Char1 Char Char Char Char Char,fn Char,Footnote Char"/>
    <w:basedOn w:val="DefaultParagraphFont"/>
    <w:link w:val="FootnoteText"/>
    <w:uiPriority w:val="99"/>
    <w:rPr>
      <w:sz w:val="20"/>
      <w:szCs w:val="20"/>
    </w:rPr>
  </w:style>
  <w:style w:type="character" w:styleId="FootnoteReference">
    <w:name w:val="footnote reference"/>
    <w:aliases w:val="Voetnoot verwijzing,number,Footnote reference number,Footnote symbol,note TESI,-E Fußnotenzeichen,SUPERS,stylish,Footnote Reference_EP-LCA,BVI fnr,Odwołanie przypisu,Footnote Reference2,Footnote Reference Number,E FNZ,Footnote#,FR,F"/>
    <w:basedOn w:val="DefaultParagraphFont"/>
    <w:link w:val="SUPERSChar"/>
    <w:uiPriority w:val="99"/>
    <w:unhideWhenUsed/>
    <w:qFormat/>
    <w:rPr>
      <w:vertAlign w:val="superscript"/>
    </w:rPr>
  </w:style>
  <w:style w:type="paragraph" w:styleId="ListParagraph">
    <w:name w:val="List Paragraph"/>
    <w:basedOn w:val="Normal"/>
    <w:uiPriority w:val="34"/>
    <w:qFormat/>
    <w:pPr>
      <w:ind w:left="720"/>
      <w:contextualSpacing/>
    </w:pPr>
  </w:style>
  <w:style w:type="paragraph" w:customStyle="1" w:styleId="Point1">
    <w:name w:val="Point 1"/>
    <w:basedOn w:val="Normal"/>
    <w:pPr>
      <w:spacing w:before="120" w:after="120" w:line="360" w:lineRule="auto"/>
      <w:ind w:left="1417" w:hanging="567"/>
    </w:pPr>
    <w:rPr>
      <w:rFonts w:ascii="Times New Roman" w:hAnsi="Times New Roman" w:cs="Times New Roman"/>
      <w:sz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SUPERSChar">
    <w:name w:val="SUPERS Char"/>
    <w:aliases w:val="EN Footnote Reference Char"/>
    <w:basedOn w:val="Normal"/>
    <w:link w:val="FootnoteReference"/>
    <w:uiPriority w:val="99"/>
    <w:pPr>
      <w:widowControl w:val="0"/>
      <w:adjustRightInd w:val="0"/>
      <w:spacing w:after="160" w:line="240" w:lineRule="exact"/>
      <w:jc w:val="both"/>
      <w:textAlignment w:val="baseline"/>
    </w:pPr>
    <w:rPr>
      <w:vertAlign w:val="superscript"/>
    </w:rPr>
  </w:style>
  <w:style w:type="paragraph" w:customStyle="1" w:styleId="Default">
    <w:name w:val="Default"/>
    <w:pPr>
      <w:autoSpaceDE w:val="0"/>
      <w:autoSpaceDN w:val="0"/>
      <w:adjustRightInd w:val="0"/>
      <w:spacing w:after="0" w:line="240" w:lineRule="auto"/>
    </w:pPr>
    <w:rPr>
      <w:rFonts w:ascii="Tahoma" w:hAnsi="Tahoma" w:cs="Tahoma"/>
      <w:color w:val="000000"/>
      <w:sz w:val="24"/>
      <w:szCs w:val="24"/>
    </w:rPr>
  </w:style>
  <w:style w:type="character" w:styleId="Hyperlink">
    <w:name w:val="Hyperlink"/>
    <w:basedOn w:val="DefaultParagraphFont"/>
    <w:uiPriority w:val="99"/>
    <w:unhideWhenUsed/>
    <w:rPr>
      <w:color w:val="0000FF"/>
      <w:u w:val="single"/>
    </w:rPr>
  </w:style>
  <w:style w:type="paragraph" w:customStyle="1" w:styleId="Text3">
    <w:name w:val="Text 3"/>
    <w:basedOn w:val="Normal"/>
    <w:pPr>
      <w:spacing w:after="120" w:line="240" w:lineRule="auto"/>
      <w:jc w:val="both"/>
    </w:pPr>
    <w:rPr>
      <w:rFonts w:ascii="Times New Roman" w:eastAsia="Times New Roman" w:hAnsi="Times New Roman" w:cs="Times New Roman"/>
      <w:szCs w:val="20"/>
    </w:rPr>
  </w:style>
  <w:style w:type="paragraph" w:styleId="BodyText">
    <w:name w:val="Body Text"/>
    <w:basedOn w:val="Normal"/>
    <w:link w:val="BodyTextChar"/>
    <w:unhideWhenUsed/>
    <w:pPr>
      <w:spacing w:after="120" w:line="240" w:lineRule="auto"/>
      <w:jc w:val="both"/>
    </w:pPr>
    <w:rPr>
      <w:rFonts w:ascii="Times New Roman" w:eastAsia="Times New Roman" w:hAnsi="Times New Roman" w:cs="Times New Roman"/>
      <w:szCs w:val="20"/>
    </w:rPr>
  </w:style>
  <w:style w:type="character" w:customStyle="1" w:styleId="BodyTextChar">
    <w:name w:val="Body Text Char"/>
    <w:basedOn w:val="DefaultParagraphFont"/>
    <w:link w:val="BodyText"/>
    <w:rPr>
      <w:rFonts w:ascii="Times New Roman" w:eastAsia="Times New Roman" w:hAnsi="Times New Roman" w:cs="Times New Roman"/>
      <w:szCs w:val="20"/>
    </w:rPr>
  </w:style>
  <w:style w:type="paragraph" w:customStyle="1" w:styleId="CM1">
    <w:name w:val="CM1"/>
    <w:basedOn w:val="Default"/>
    <w:next w:val="Default"/>
    <w:uiPriority w:val="99"/>
    <w:rPr>
      <w:rFonts w:ascii="EUAlbertina" w:hAnsi="EUAlbertina" w:cstheme="minorBidi"/>
      <w:color w:val="auto"/>
    </w:rPr>
  </w:style>
  <w:style w:type="paragraph" w:customStyle="1" w:styleId="CM3">
    <w:name w:val="CM3"/>
    <w:basedOn w:val="Default"/>
    <w:next w:val="Default"/>
    <w:uiPriority w:val="99"/>
    <w:rPr>
      <w:rFonts w:ascii="EUAlbertina" w:hAnsi="EUAlbertina" w:cstheme="minorBidi"/>
      <w:color w:val="auto"/>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Pr>
      <w:rFonts w:ascii="Times New Roman" w:hAnsi="Times New Roman" w:cs="Times New Roman"/>
      <w:sz w:val="24"/>
    </w:rPr>
  </w:style>
  <w:style w:type="character" w:styleId="PageNumber">
    <w:name w:val="page number"/>
    <w:basedOn w:val="DefaultParagraphFont"/>
    <w:uiPriority w:val="99"/>
    <w:semiHidden/>
    <w:unhideWhenUsed/>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3">
    <w:name w:val="Body text (3)_"/>
    <w:basedOn w:val="DefaultParagraphFont"/>
    <w:link w:val="Bodytext30"/>
    <w:rPr>
      <w:rFonts w:ascii="Arial" w:eastAsia="Arial" w:hAnsi="Arial" w:cs="Arial"/>
      <w:sz w:val="21"/>
      <w:szCs w:val="21"/>
      <w:shd w:val="clear" w:color="auto" w:fill="FFFFFF"/>
      <w:lang w:val="lv-LV" w:eastAsia="lv-LV" w:bidi="lv-LV"/>
    </w:rPr>
  </w:style>
  <w:style w:type="character" w:customStyle="1" w:styleId="Bodytext4">
    <w:name w:val="Body text (4)_"/>
    <w:basedOn w:val="DefaultParagraphFont"/>
    <w:link w:val="Bodytext40"/>
    <w:rPr>
      <w:b/>
      <w:bCs/>
      <w:shd w:val="clear" w:color="auto" w:fill="FFFFFF"/>
    </w:rPr>
  </w:style>
  <w:style w:type="paragraph" w:customStyle="1" w:styleId="Bodytext30">
    <w:name w:val="Body text (3)"/>
    <w:basedOn w:val="Normal"/>
    <w:link w:val="Bodytext3"/>
    <w:pPr>
      <w:widowControl w:val="0"/>
      <w:shd w:val="clear" w:color="auto" w:fill="FFFFFF"/>
      <w:spacing w:after="1440" w:line="274" w:lineRule="exact"/>
    </w:pPr>
    <w:rPr>
      <w:rFonts w:ascii="Arial" w:eastAsia="Arial" w:hAnsi="Arial" w:cs="Arial"/>
      <w:sz w:val="21"/>
      <w:szCs w:val="21"/>
    </w:rPr>
  </w:style>
  <w:style w:type="paragraph" w:customStyle="1" w:styleId="Bodytext40">
    <w:name w:val="Body text (4)"/>
    <w:basedOn w:val="Normal"/>
    <w:link w:val="Bodytext4"/>
    <w:pPr>
      <w:widowControl w:val="0"/>
      <w:shd w:val="clear" w:color="auto" w:fill="FFFFFF"/>
      <w:spacing w:before="1440" w:after="0" w:line="624" w:lineRule="exact"/>
      <w:ind w:hanging="400"/>
      <w:jc w:val="center"/>
    </w:pPr>
    <w:rPr>
      <w:b/>
      <w:bCs/>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Pr>
      <w:rFonts w:ascii="Times New Roman" w:hAnsi="Times New Roman" w:cs="Times New Roman"/>
      <w:sz w:val="24"/>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sz w:val="21"/>
      <w:szCs w:val="21"/>
    </w:rPr>
  </w:style>
  <w:style w:type="character" w:styleId="Strong">
    <w:name w:val="Strong"/>
    <w:basedOn w:val="DefaultParagraphFont"/>
    <w:uiPriority w:val="22"/>
    <w:qFormat/>
    <w:rPr>
      <w:b/>
      <w:bCs/>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Bodytext3"/>
    <w:link w:val="FooterCoverPage"/>
    <w:rPr>
      <w:rFonts w:ascii="Times New Roman" w:eastAsia="Arial" w:hAnsi="Times New Roman" w:cs="Times New Roman"/>
      <w:sz w:val="24"/>
      <w:szCs w:val="21"/>
      <w:shd w:val="clear" w:color="auto" w:fill="FFFFFF"/>
      <w:lang w:val="lv-LV" w:eastAsia="lv-LV" w:bidi="lv-LV"/>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Bodytext3"/>
    <w:link w:val="HeaderCoverPage"/>
    <w:rPr>
      <w:rFonts w:ascii="Times New Roman" w:eastAsia="Arial" w:hAnsi="Times New Roman" w:cs="Times New Roman"/>
      <w:sz w:val="24"/>
      <w:szCs w:val="21"/>
      <w:shd w:val="clear" w:color="auto" w:fill="FFFFFF"/>
      <w:lang w:val="lv-LV" w:eastAsia="lv-LV" w:bidi="lv-LV"/>
    </w:r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76870">
      <w:bodyDiv w:val="1"/>
      <w:marLeft w:val="0"/>
      <w:marRight w:val="0"/>
      <w:marTop w:val="0"/>
      <w:marBottom w:val="0"/>
      <w:divBdr>
        <w:top w:val="none" w:sz="0" w:space="0" w:color="auto"/>
        <w:left w:val="none" w:sz="0" w:space="0" w:color="auto"/>
        <w:bottom w:val="none" w:sz="0" w:space="0" w:color="auto"/>
        <w:right w:val="none" w:sz="0" w:space="0" w:color="auto"/>
      </w:divBdr>
      <w:divsChild>
        <w:div w:id="2092461641">
          <w:marLeft w:val="0"/>
          <w:marRight w:val="0"/>
          <w:marTop w:val="0"/>
          <w:marBottom w:val="0"/>
          <w:divBdr>
            <w:top w:val="none" w:sz="0" w:space="0" w:color="auto"/>
            <w:left w:val="none" w:sz="0" w:space="0" w:color="auto"/>
            <w:bottom w:val="none" w:sz="0" w:space="0" w:color="auto"/>
            <w:right w:val="none" w:sz="0" w:space="0" w:color="auto"/>
          </w:divBdr>
          <w:divsChild>
            <w:div w:id="286739290">
              <w:marLeft w:val="0"/>
              <w:marRight w:val="0"/>
              <w:marTop w:val="0"/>
              <w:marBottom w:val="0"/>
              <w:divBdr>
                <w:top w:val="none" w:sz="0" w:space="0" w:color="auto"/>
                <w:left w:val="none" w:sz="0" w:space="0" w:color="auto"/>
                <w:bottom w:val="none" w:sz="0" w:space="0" w:color="auto"/>
                <w:right w:val="none" w:sz="0" w:space="0" w:color="auto"/>
              </w:divBdr>
            </w:div>
            <w:div w:id="1250039502">
              <w:marLeft w:val="0"/>
              <w:marRight w:val="0"/>
              <w:marTop w:val="0"/>
              <w:marBottom w:val="0"/>
              <w:divBdr>
                <w:top w:val="none" w:sz="0" w:space="0" w:color="auto"/>
                <w:left w:val="none" w:sz="0" w:space="0" w:color="auto"/>
                <w:bottom w:val="none" w:sz="0" w:space="0" w:color="auto"/>
                <w:right w:val="none" w:sz="0" w:space="0" w:color="auto"/>
              </w:divBdr>
            </w:div>
            <w:div w:id="1630168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82648">
      <w:bodyDiv w:val="1"/>
      <w:marLeft w:val="0"/>
      <w:marRight w:val="0"/>
      <w:marTop w:val="0"/>
      <w:marBottom w:val="0"/>
      <w:divBdr>
        <w:top w:val="none" w:sz="0" w:space="0" w:color="auto"/>
        <w:left w:val="none" w:sz="0" w:space="0" w:color="auto"/>
        <w:bottom w:val="none" w:sz="0" w:space="0" w:color="auto"/>
        <w:right w:val="none" w:sz="0" w:space="0" w:color="auto"/>
      </w:divBdr>
    </w:div>
    <w:div w:id="98063613">
      <w:bodyDiv w:val="1"/>
      <w:marLeft w:val="0"/>
      <w:marRight w:val="0"/>
      <w:marTop w:val="0"/>
      <w:marBottom w:val="0"/>
      <w:divBdr>
        <w:top w:val="none" w:sz="0" w:space="0" w:color="auto"/>
        <w:left w:val="none" w:sz="0" w:space="0" w:color="auto"/>
        <w:bottom w:val="none" w:sz="0" w:space="0" w:color="auto"/>
        <w:right w:val="none" w:sz="0" w:space="0" w:color="auto"/>
      </w:divBdr>
    </w:div>
    <w:div w:id="428235062">
      <w:bodyDiv w:val="1"/>
      <w:marLeft w:val="0"/>
      <w:marRight w:val="0"/>
      <w:marTop w:val="0"/>
      <w:marBottom w:val="0"/>
      <w:divBdr>
        <w:top w:val="none" w:sz="0" w:space="0" w:color="auto"/>
        <w:left w:val="none" w:sz="0" w:space="0" w:color="auto"/>
        <w:bottom w:val="none" w:sz="0" w:space="0" w:color="auto"/>
        <w:right w:val="none" w:sz="0" w:space="0" w:color="auto"/>
      </w:divBdr>
    </w:div>
    <w:div w:id="616448247">
      <w:bodyDiv w:val="1"/>
      <w:marLeft w:val="0"/>
      <w:marRight w:val="0"/>
      <w:marTop w:val="0"/>
      <w:marBottom w:val="0"/>
      <w:divBdr>
        <w:top w:val="none" w:sz="0" w:space="0" w:color="auto"/>
        <w:left w:val="none" w:sz="0" w:space="0" w:color="auto"/>
        <w:bottom w:val="none" w:sz="0" w:space="0" w:color="auto"/>
        <w:right w:val="none" w:sz="0" w:space="0" w:color="auto"/>
      </w:divBdr>
    </w:div>
    <w:div w:id="682557973">
      <w:bodyDiv w:val="1"/>
      <w:marLeft w:val="0"/>
      <w:marRight w:val="0"/>
      <w:marTop w:val="0"/>
      <w:marBottom w:val="0"/>
      <w:divBdr>
        <w:top w:val="none" w:sz="0" w:space="0" w:color="auto"/>
        <w:left w:val="none" w:sz="0" w:space="0" w:color="auto"/>
        <w:bottom w:val="none" w:sz="0" w:space="0" w:color="auto"/>
        <w:right w:val="none" w:sz="0" w:space="0" w:color="auto"/>
      </w:divBdr>
    </w:div>
    <w:div w:id="691302460">
      <w:bodyDiv w:val="1"/>
      <w:marLeft w:val="0"/>
      <w:marRight w:val="0"/>
      <w:marTop w:val="0"/>
      <w:marBottom w:val="0"/>
      <w:divBdr>
        <w:top w:val="none" w:sz="0" w:space="0" w:color="auto"/>
        <w:left w:val="none" w:sz="0" w:space="0" w:color="auto"/>
        <w:bottom w:val="none" w:sz="0" w:space="0" w:color="auto"/>
        <w:right w:val="none" w:sz="0" w:space="0" w:color="auto"/>
      </w:divBdr>
      <w:divsChild>
        <w:div w:id="1922375963">
          <w:marLeft w:val="0"/>
          <w:marRight w:val="0"/>
          <w:marTop w:val="0"/>
          <w:marBottom w:val="0"/>
          <w:divBdr>
            <w:top w:val="none" w:sz="0" w:space="0" w:color="auto"/>
            <w:left w:val="none" w:sz="0" w:space="0" w:color="auto"/>
            <w:bottom w:val="none" w:sz="0" w:space="0" w:color="auto"/>
            <w:right w:val="none" w:sz="0" w:space="0" w:color="auto"/>
          </w:divBdr>
        </w:div>
        <w:div w:id="235476861">
          <w:marLeft w:val="0"/>
          <w:marRight w:val="0"/>
          <w:marTop w:val="0"/>
          <w:marBottom w:val="0"/>
          <w:divBdr>
            <w:top w:val="none" w:sz="0" w:space="0" w:color="auto"/>
            <w:left w:val="none" w:sz="0" w:space="0" w:color="auto"/>
            <w:bottom w:val="none" w:sz="0" w:space="0" w:color="auto"/>
            <w:right w:val="none" w:sz="0" w:space="0" w:color="auto"/>
          </w:divBdr>
        </w:div>
        <w:div w:id="930353323">
          <w:marLeft w:val="0"/>
          <w:marRight w:val="0"/>
          <w:marTop w:val="0"/>
          <w:marBottom w:val="0"/>
          <w:divBdr>
            <w:top w:val="none" w:sz="0" w:space="0" w:color="auto"/>
            <w:left w:val="none" w:sz="0" w:space="0" w:color="auto"/>
            <w:bottom w:val="none" w:sz="0" w:space="0" w:color="auto"/>
            <w:right w:val="none" w:sz="0" w:space="0" w:color="auto"/>
          </w:divBdr>
        </w:div>
        <w:div w:id="2067681954">
          <w:marLeft w:val="0"/>
          <w:marRight w:val="0"/>
          <w:marTop w:val="0"/>
          <w:marBottom w:val="0"/>
          <w:divBdr>
            <w:top w:val="none" w:sz="0" w:space="0" w:color="auto"/>
            <w:left w:val="none" w:sz="0" w:space="0" w:color="auto"/>
            <w:bottom w:val="none" w:sz="0" w:space="0" w:color="auto"/>
            <w:right w:val="none" w:sz="0" w:space="0" w:color="auto"/>
          </w:divBdr>
        </w:div>
      </w:divsChild>
    </w:div>
    <w:div w:id="702749529">
      <w:bodyDiv w:val="1"/>
      <w:marLeft w:val="0"/>
      <w:marRight w:val="0"/>
      <w:marTop w:val="0"/>
      <w:marBottom w:val="0"/>
      <w:divBdr>
        <w:top w:val="none" w:sz="0" w:space="0" w:color="auto"/>
        <w:left w:val="none" w:sz="0" w:space="0" w:color="auto"/>
        <w:bottom w:val="none" w:sz="0" w:space="0" w:color="auto"/>
        <w:right w:val="none" w:sz="0" w:space="0" w:color="auto"/>
      </w:divBdr>
    </w:div>
    <w:div w:id="740835754">
      <w:bodyDiv w:val="1"/>
      <w:marLeft w:val="0"/>
      <w:marRight w:val="0"/>
      <w:marTop w:val="0"/>
      <w:marBottom w:val="0"/>
      <w:divBdr>
        <w:top w:val="none" w:sz="0" w:space="0" w:color="auto"/>
        <w:left w:val="none" w:sz="0" w:space="0" w:color="auto"/>
        <w:bottom w:val="none" w:sz="0" w:space="0" w:color="auto"/>
        <w:right w:val="none" w:sz="0" w:space="0" w:color="auto"/>
      </w:divBdr>
    </w:div>
    <w:div w:id="836773535">
      <w:bodyDiv w:val="1"/>
      <w:marLeft w:val="0"/>
      <w:marRight w:val="0"/>
      <w:marTop w:val="0"/>
      <w:marBottom w:val="0"/>
      <w:divBdr>
        <w:top w:val="none" w:sz="0" w:space="0" w:color="auto"/>
        <w:left w:val="none" w:sz="0" w:space="0" w:color="auto"/>
        <w:bottom w:val="none" w:sz="0" w:space="0" w:color="auto"/>
        <w:right w:val="none" w:sz="0" w:space="0" w:color="auto"/>
      </w:divBdr>
    </w:div>
    <w:div w:id="915555495">
      <w:bodyDiv w:val="1"/>
      <w:marLeft w:val="0"/>
      <w:marRight w:val="0"/>
      <w:marTop w:val="0"/>
      <w:marBottom w:val="0"/>
      <w:divBdr>
        <w:top w:val="none" w:sz="0" w:space="0" w:color="auto"/>
        <w:left w:val="none" w:sz="0" w:space="0" w:color="auto"/>
        <w:bottom w:val="none" w:sz="0" w:space="0" w:color="auto"/>
        <w:right w:val="none" w:sz="0" w:space="0" w:color="auto"/>
      </w:divBdr>
      <w:divsChild>
        <w:div w:id="1537934330">
          <w:marLeft w:val="0"/>
          <w:marRight w:val="0"/>
          <w:marTop w:val="0"/>
          <w:marBottom w:val="0"/>
          <w:divBdr>
            <w:top w:val="none" w:sz="0" w:space="0" w:color="auto"/>
            <w:left w:val="none" w:sz="0" w:space="0" w:color="auto"/>
            <w:bottom w:val="none" w:sz="0" w:space="0" w:color="auto"/>
            <w:right w:val="none" w:sz="0" w:space="0" w:color="auto"/>
          </w:divBdr>
        </w:div>
        <w:div w:id="697631062">
          <w:marLeft w:val="0"/>
          <w:marRight w:val="0"/>
          <w:marTop w:val="0"/>
          <w:marBottom w:val="0"/>
          <w:divBdr>
            <w:top w:val="none" w:sz="0" w:space="0" w:color="auto"/>
            <w:left w:val="none" w:sz="0" w:space="0" w:color="auto"/>
            <w:bottom w:val="none" w:sz="0" w:space="0" w:color="auto"/>
            <w:right w:val="none" w:sz="0" w:space="0" w:color="auto"/>
          </w:divBdr>
        </w:div>
        <w:div w:id="1177765812">
          <w:marLeft w:val="0"/>
          <w:marRight w:val="0"/>
          <w:marTop w:val="0"/>
          <w:marBottom w:val="0"/>
          <w:divBdr>
            <w:top w:val="none" w:sz="0" w:space="0" w:color="auto"/>
            <w:left w:val="none" w:sz="0" w:space="0" w:color="auto"/>
            <w:bottom w:val="none" w:sz="0" w:space="0" w:color="auto"/>
            <w:right w:val="none" w:sz="0" w:space="0" w:color="auto"/>
          </w:divBdr>
        </w:div>
        <w:div w:id="1319460370">
          <w:marLeft w:val="0"/>
          <w:marRight w:val="0"/>
          <w:marTop w:val="0"/>
          <w:marBottom w:val="0"/>
          <w:divBdr>
            <w:top w:val="none" w:sz="0" w:space="0" w:color="auto"/>
            <w:left w:val="none" w:sz="0" w:space="0" w:color="auto"/>
            <w:bottom w:val="none" w:sz="0" w:space="0" w:color="auto"/>
            <w:right w:val="none" w:sz="0" w:space="0" w:color="auto"/>
          </w:divBdr>
        </w:div>
        <w:div w:id="94055822">
          <w:marLeft w:val="0"/>
          <w:marRight w:val="0"/>
          <w:marTop w:val="0"/>
          <w:marBottom w:val="0"/>
          <w:divBdr>
            <w:top w:val="none" w:sz="0" w:space="0" w:color="auto"/>
            <w:left w:val="none" w:sz="0" w:space="0" w:color="auto"/>
            <w:bottom w:val="none" w:sz="0" w:space="0" w:color="auto"/>
            <w:right w:val="none" w:sz="0" w:space="0" w:color="auto"/>
          </w:divBdr>
        </w:div>
        <w:div w:id="1080105137">
          <w:marLeft w:val="0"/>
          <w:marRight w:val="0"/>
          <w:marTop w:val="0"/>
          <w:marBottom w:val="0"/>
          <w:divBdr>
            <w:top w:val="none" w:sz="0" w:space="0" w:color="auto"/>
            <w:left w:val="none" w:sz="0" w:space="0" w:color="auto"/>
            <w:bottom w:val="none" w:sz="0" w:space="0" w:color="auto"/>
            <w:right w:val="none" w:sz="0" w:space="0" w:color="auto"/>
          </w:divBdr>
        </w:div>
        <w:div w:id="1352293604">
          <w:marLeft w:val="0"/>
          <w:marRight w:val="0"/>
          <w:marTop w:val="0"/>
          <w:marBottom w:val="0"/>
          <w:divBdr>
            <w:top w:val="none" w:sz="0" w:space="0" w:color="auto"/>
            <w:left w:val="none" w:sz="0" w:space="0" w:color="auto"/>
            <w:bottom w:val="none" w:sz="0" w:space="0" w:color="auto"/>
            <w:right w:val="none" w:sz="0" w:space="0" w:color="auto"/>
          </w:divBdr>
        </w:div>
      </w:divsChild>
    </w:div>
    <w:div w:id="1084182131">
      <w:bodyDiv w:val="1"/>
      <w:marLeft w:val="0"/>
      <w:marRight w:val="0"/>
      <w:marTop w:val="0"/>
      <w:marBottom w:val="0"/>
      <w:divBdr>
        <w:top w:val="none" w:sz="0" w:space="0" w:color="auto"/>
        <w:left w:val="none" w:sz="0" w:space="0" w:color="auto"/>
        <w:bottom w:val="none" w:sz="0" w:space="0" w:color="auto"/>
        <w:right w:val="none" w:sz="0" w:space="0" w:color="auto"/>
      </w:divBdr>
    </w:div>
    <w:div w:id="1220550844">
      <w:bodyDiv w:val="1"/>
      <w:marLeft w:val="0"/>
      <w:marRight w:val="0"/>
      <w:marTop w:val="0"/>
      <w:marBottom w:val="0"/>
      <w:divBdr>
        <w:top w:val="none" w:sz="0" w:space="0" w:color="auto"/>
        <w:left w:val="none" w:sz="0" w:space="0" w:color="auto"/>
        <w:bottom w:val="none" w:sz="0" w:space="0" w:color="auto"/>
        <w:right w:val="none" w:sz="0" w:space="0" w:color="auto"/>
      </w:divBdr>
    </w:div>
    <w:div w:id="1221211861">
      <w:bodyDiv w:val="1"/>
      <w:marLeft w:val="0"/>
      <w:marRight w:val="0"/>
      <w:marTop w:val="0"/>
      <w:marBottom w:val="0"/>
      <w:divBdr>
        <w:top w:val="none" w:sz="0" w:space="0" w:color="auto"/>
        <w:left w:val="none" w:sz="0" w:space="0" w:color="auto"/>
        <w:bottom w:val="none" w:sz="0" w:space="0" w:color="auto"/>
        <w:right w:val="none" w:sz="0" w:space="0" w:color="auto"/>
      </w:divBdr>
      <w:divsChild>
        <w:div w:id="1033772468">
          <w:marLeft w:val="0"/>
          <w:marRight w:val="0"/>
          <w:marTop w:val="0"/>
          <w:marBottom w:val="0"/>
          <w:divBdr>
            <w:top w:val="none" w:sz="0" w:space="0" w:color="auto"/>
            <w:left w:val="none" w:sz="0" w:space="0" w:color="auto"/>
            <w:bottom w:val="none" w:sz="0" w:space="0" w:color="auto"/>
            <w:right w:val="none" w:sz="0" w:space="0" w:color="auto"/>
          </w:divBdr>
        </w:div>
        <w:div w:id="328213758">
          <w:marLeft w:val="0"/>
          <w:marRight w:val="0"/>
          <w:marTop w:val="0"/>
          <w:marBottom w:val="0"/>
          <w:divBdr>
            <w:top w:val="none" w:sz="0" w:space="0" w:color="auto"/>
            <w:left w:val="none" w:sz="0" w:space="0" w:color="auto"/>
            <w:bottom w:val="none" w:sz="0" w:space="0" w:color="auto"/>
            <w:right w:val="none" w:sz="0" w:space="0" w:color="auto"/>
          </w:divBdr>
        </w:div>
      </w:divsChild>
    </w:div>
    <w:div w:id="1420566148">
      <w:bodyDiv w:val="1"/>
      <w:marLeft w:val="0"/>
      <w:marRight w:val="0"/>
      <w:marTop w:val="0"/>
      <w:marBottom w:val="0"/>
      <w:divBdr>
        <w:top w:val="none" w:sz="0" w:space="0" w:color="auto"/>
        <w:left w:val="none" w:sz="0" w:space="0" w:color="auto"/>
        <w:bottom w:val="none" w:sz="0" w:space="0" w:color="auto"/>
        <w:right w:val="none" w:sz="0" w:space="0" w:color="auto"/>
      </w:divBdr>
    </w:div>
    <w:div w:id="1504007086">
      <w:bodyDiv w:val="1"/>
      <w:marLeft w:val="0"/>
      <w:marRight w:val="0"/>
      <w:marTop w:val="0"/>
      <w:marBottom w:val="0"/>
      <w:divBdr>
        <w:top w:val="none" w:sz="0" w:space="0" w:color="auto"/>
        <w:left w:val="none" w:sz="0" w:space="0" w:color="auto"/>
        <w:bottom w:val="none" w:sz="0" w:space="0" w:color="auto"/>
        <w:right w:val="none" w:sz="0" w:space="0" w:color="auto"/>
      </w:divBdr>
    </w:div>
    <w:div w:id="1571689889">
      <w:bodyDiv w:val="1"/>
      <w:marLeft w:val="0"/>
      <w:marRight w:val="0"/>
      <w:marTop w:val="0"/>
      <w:marBottom w:val="0"/>
      <w:divBdr>
        <w:top w:val="none" w:sz="0" w:space="0" w:color="auto"/>
        <w:left w:val="none" w:sz="0" w:space="0" w:color="auto"/>
        <w:bottom w:val="none" w:sz="0" w:space="0" w:color="auto"/>
        <w:right w:val="none" w:sz="0" w:space="0" w:color="auto"/>
      </w:divBdr>
      <w:divsChild>
        <w:div w:id="775636507">
          <w:marLeft w:val="0"/>
          <w:marRight w:val="0"/>
          <w:marTop w:val="0"/>
          <w:marBottom w:val="0"/>
          <w:divBdr>
            <w:top w:val="none" w:sz="0" w:space="0" w:color="auto"/>
            <w:left w:val="none" w:sz="0" w:space="0" w:color="auto"/>
            <w:bottom w:val="none" w:sz="0" w:space="0" w:color="auto"/>
            <w:right w:val="none" w:sz="0" w:space="0" w:color="auto"/>
          </w:divBdr>
        </w:div>
        <w:div w:id="643436562">
          <w:marLeft w:val="0"/>
          <w:marRight w:val="0"/>
          <w:marTop w:val="0"/>
          <w:marBottom w:val="0"/>
          <w:divBdr>
            <w:top w:val="none" w:sz="0" w:space="0" w:color="auto"/>
            <w:left w:val="none" w:sz="0" w:space="0" w:color="auto"/>
            <w:bottom w:val="none" w:sz="0" w:space="0" w:color="auto"/>
            <w:right w:val="none" w:sz="0" w:space="0" w:color="auto"/>
          </w:divBdr>
        </w:div>
        <w:div w:id="384841397">
          <w:marLeft w:val="0"/>
          <w:marRight w:val="0"/>
          <w:marTop w:val="0"/>
          <w:marBottom w:val="0"/>
          <w:divBdr>
            <w:top w:val="none" w:sz="0" w:space="0" w:color="auto"/>
            <w:left w:val="none" w:sz="0" w:space="0" w:color="auto"/>
            <w:bottom w:val="none" w:sz="0" w:space="0" w:color="auto"/>
            <w:right w:val="none" w:sz="0" w:space="0" w:color="auto"/>
          </w:divBdr>
        </w:div>
      </w:divsChild>
    </w:div>
    <w:div w:id="1605919007">
      <w:bodyDiv w:val="1"/>
      <w:marLeft w:val="0"/>
      <w:marRight w:val="0"/>
      <w:marTop w:val="0"/>
      <w:marBottom w:val="0"/>
      <w:divBdr>
        <w:top w:val="none" w:sz="0" w:space="0" w:color="auto"/>
        <w:left w:val="none" w:sz="0" w:space="0" w:color="auto"/>
        <w:bottom w:val="none" w:sz="0" w:space="0" w:color="auto"/>
        <w:right w:val="none" w:sz="0" w:space="0" w:color="auto"/>
      </w:divBdr>
      <w:divsChild>
        <w:div w:id="1327201072">
          <w:marLeft w:val="0"/>
          <w:marRight w:val="0"/>
          <w:marTop w:val="0"/>
          <w:marBottom w:val="0"/>
          <w:divBdr>
            <w:top w:val="none" w:sz="0" w:space="0" w:color="auto"/>
            <w:left w:val="none" w:sz="0" w:space="0" w:color="auto"/>
            <w:bottom w:val="none" w:sz="0" w:space="0" w:color="auto"/>
            <w:right w:val="none" w:sz="0" w:space="0" w:color="auto"/>
          </w:divBdr>
        </w:div>
        <w:div w:id="77942305">
          <w:marLeft w:val="0"/>
          <w:marRight w:val="0"/>
          <w:marTop w:val="0"/>
          <w:marBottom w:val="0"/>
          <w:divBdr>
            <w:top w:val="none" w:sz="0" w:space="0" w:color="auto"/>
            <w:left w:val="none" w:sz="0" w:space="0" w:color="auto"/>
            <w:bottom w:val="none" w:sz="0" w:space="0" w:color="auto"/>
            <w:right w:val="none" w:sz="0" w:space="0" w:color="auto"/>
          </w:divBdr>
        </w:div>
        <w:div w:id="1596590603">
          <w:marLeft w:val="0"/>
          <w:marRight w:val="0"/>
          <w:marTop w:val="0"/>
          <w:marBottom w:val="0"/>
          <w:divBdr>
            <w:top w:val="none" w:sz="0" w:space="0" w:color="auto"/>
            <w:left w:val="none" w:sz="0" w:space="0" w:color="auto"/>
            <w:bottom w:val="none" w:sz="0" w:space="0" w:color="auto"/>
            <w:right w:val="none" w:sz="0" w:space="0" w:color="auto"/>
          </w:divBdr>
        </w:div>
        <w:div w:id="1470241546">
          <w:marLeft w:val="0"/>
          <w:marRight w:val="0"/>
          <w:marTop w:val="0"/>
          <w:marBottom w:val="0"/>
          <w:divBdr>
            <w:top w:val="none" w:sz="0" w:space="0" w:color="auto"/>
            <w:left w:val="none" w:sz="0" w:space="0" w:color="auto"/>
            <w:bottom w:val="none" w:sz="0" w:space="0" w:color="auto"/>
            <w:right w:val="none" w:sz="0" w:space="0" w:color="auto"/>
          </w:divBdr>
        </w:div>
      </w:divsChild>
    </w:div>
    <w:div w:id="1615209131">
      <w:bodyDiv w:val="1"/>
      <w:marLeft w:val="0"/>
      <w:marRight w:val="0"/>
      <w:marTop w:val="0"/>
      <w:marBottom w:val="0"/>
      <w:divBdr>
        <w:top w:val="none" w:sz="0" w:space="0" w:color="auto"/>
        <w:left w:val="none" w:sz="0" w:space="0" w:color="auto"/>
        <w:bottom w:val="none" w:sz="0" w:space="0" w:color="auto"/>
        <w:right w:val="none" w:sz="0" w:space="0" w:color="auto"/>
      </w:divBdr>
      <w:divsChild>
        <w:div w:id="1802070265">
          <w:marLeft w:val="0"/>
          <w:marRight w:val="0"/>
          <w:marTop w:val="0"/>
          <w:marBottom w:val="0"/>
          <w:divBdr>
            <w:top w:val="none" w:sz="0" w:space="0" w:color="auto"/>
            <w:left w:val="none" w:sz="0" w:space="0" w:color="auto"/>
            <w:bottom w:val="none" w:sz="0" w:space="0" w:color="auto"/>
            <w:right w:val="none" w:sz="0" w:space="0" w:color="auto"/>
          </w:divBdr>
        </w:div>
        <w:div w:id="766341304">
          <w:marLeft w:val="0"/>
          <w:marRight w:val="0"/>
          <w:marTop w:val="0"/>
          <w:marBottom w:val="0"/>
          <w:divBdr>
            <w:top w:val="none" w:sz="0" w:space="0" w:color="auto"/>
            <w:left w:val="none" w:sz="0" w:space="0" w:color="auto"/>
            <w:bottom w:val="none" w:sz="0" w:space="0" w:color="auto"/>
            <w:right w:val="none" w:sz="0" w:space="0" w:color="auto"/>
          </w:divBdr>
        </w:div>
      </w:divsChild>
    </w:div>
    <w:div w:id="1700817649">
      <w:bodyDiv w:val="1"/>
      <w:marLeft w:val="0"/>
      <w:marRight w:val="0"/>
      <w:marTop w:val="0"/>
      <w:marBottom w:val="0"/>
      <w:divBdr>
        <w:top w:val="none" w:sz="0" w:space="0" w:color="auto"/>
        <w:left w:val="none" w:sz="0" w:space="0" w:color="auto"/>
        <w:bottom w:val="none" w:sz="0" w:space="0" w:color="auto"/>
        <w:right w:val="none" w:sz="0" w:space="0" w:color="auto"/>
      </w:divBdr>
      <w:divsChild>
        <w:div w:id="1698500826">
          <w:marLeft w:val="0"/>
          <w:marRight w:val="0"/>
          <w:marTop w:val="0"/>
          <w:marBottom w:val="0"/>
          <w:divBdr>
            <w:top w:val="none" w:sz="0" w:space="0" w:color="auto"/>
            <w:left w:val="none" w:sz="0" w:space="0" w:color="auto"/>
            <w:bottom w:val="none" w:sz="0" w:space="0" w:color="auto"/>
            <w:right w:val="none" w:sz="0" w:space="0" w:color="auto"/>
          </w:divBdr>
        </w:div>
        <w:div w:id="237597953">
          <w:marLeft w:val="0"/>
          <w:marRight w:val="0"/>
          <w:marTop w:val="0"/>
          <w:marBottom w:val="0"/>
          <w:divBdr>
            <w:top w:val="none" w:sz="0" w:space="0" w:color="auto"/>
            <w:left w:val="none" w:sz="0" w:space="0" w:color="auto"/>
            <w:bottom w:val="none" w:sz="0" w:space="0" w:color="auto"/>
            <w:right w:val="none" w:sz="0" w:space="0" w:color="auto"/>
          </w:divBdr>
        </w:div>
        <w:div w:id="1693846648">
          <w:marLeft w:val="0"/>
          <w:marRight w:val="0"/>
          <w:marTop w:val="0"/>
          <w:marBottom w:val="0"/>
          <w:divBdr>
            <w:top w:val="none" w:sz="0" w:space="0" w:color="auto"/>
            <w:left w:val="none" w:sz="0" w:space="0" w:color="auto"/>
            <w:bottom w:val="none" w:sz="0" w:space="0" w:color="auto"/>
            <w:right w:val="none" w:sz="0" w:space="0" w:color="auto"/>
          </w:divBdr>
        </w:div>
      </w:divsChild>
    </w:div>
    <w:div w:id="1737430527">
      <w:bodyDiv w:val="1"/>
      <w:marLeft w:val="0"/>
      <w:marRight w:val="0"/>
      <w:marTop w:val="0"/>
      <w:marBottom w:val="0"/>
      <w:divBdr>
        <w:top w:val="none" w:sz="0" w:space="0" w:color="auto"/>
        <w:left w:val="none" w:sz="0" w:space="0" w:color="auto"/>
        <w:bottom w:val="none" w:sz="0" w:space="0" w:color="auto"/>
        <w:right w:val="none" w:sz="0" w:space="0" w:color="auto"/>
      </w:divBdr>
    </w:div>
    <w:div w:id="1897037168">
      <w:bodyDiv w:val="1"/>
      <w:marLeft w:val="0"/>
      <w:marRight w:val="0"/>
      <w:marTop w:val="0"/>
      <w:marBottom w:val="0"/>
      <w:divBdr>
        <w:top w:val="none" w:sz="0" w:space="0" w:color="auto"/>
        <w:left w:val="none" w:sz="0" w:space="0" w:color="auto"/>
        <w:bottom w:val="none" w:sz="0" w:space="0" w:color="auto"/>
        <w:right w:val="none" w:sz="0" w:space="0" w:color="auto"/>
      </w:divBdr>
      <w:divsChild>
        <w:div w:id="1086996354">
          <w:marLeft w:val="0"/>
          <w:marRight w:val="0"/>
          <w:marTop w:val="0"/>
          <w:marBottom w:val="0"/>
          <w:divBdr>
            <w:top w:val="none" w:sz="0" w:space="0" w:color="auto"/>
            <w:left w:val="none" w:sz="0" w:space="0" w:color="auto"/>
            <w:bottom w:val="none" w:sz="0" w:space="0" w:color="auto"/>
            <w:right w:val="none" w:sz="0" w:space="0" w:color="auto"/>
          </w:divBdr>
        </w:div>
        <w:div w:id="84805295">
          <w:marLeft w:val="0"/>
          <w:marRight w:val="0"/>
          <w:marTop w:val="0"/>
          <w:marBottom w:val="0"/>
          <w:divBdr>
            <w:top w:val="none" w:sz="0" w:space="0" w:color="auto"/>
            <w:left w:val="none" w:sz="0" w:space="0" w:color="auto"/>
            <w:bottom w:val="none" w:sz="0" w:space="0" w:color="auto"/>
            <w:right w:val="none" w:sz="0" w:space="0" w:color="auto"/>
          </w:divBdr>
        </w:div>
      </w:divsChild>
    </w:div>
    <w:div w:id="2075621928">
      <w:bodyDiv w:val="1"/>
      <w:marLeft w:val="0"/>
      <w:marRight w:val="0"/>
      <w:marTop w:val="0"/>
      <w:marBottom w:val="0"/>
      <w:divBdr>
        <w:top w:val="none" w:sz="0" w:space="0" w:color="auto"/>
        <w:left w:val="none" w:sz="0" w:space="0" w:color="auto"/>
        <w:bottom w:val="none" w:sz="0" w:space="0" w:color="auto"/>
        <w:right w:val="none" w:sz="0" w:space="0" w:color="auto"/>
      </w:divBdr>
    </w:div>
    <w:div w:id="2087146897">
      <w:bodyDiv w:val="1"/>
      <w:marLeft w:val="0"/>
      <w:marRight w:val="0"/>
      <w:marTop w:val="0"/>
      <w:marBottom w:val="0"/>
      <w:divBdr>
        <w:top w:val="none" w:sz="0" w:space="0" w:color="auto"/>
        <w:left w:val="none" w:sz="0" w:space="0" w:color="auto"/>
        <w:bottom w:val="none" w:sz="0" w:space="0" w:color="auto"/>
        <w:right w:val="none" w:sz="0" w:space="0" w:color="auto"/>
      </w:divBdr>
    </w:div>
    <w:div w:id="2094038041">
      <w:bodyDiv w:val="1"/>
      <w:marLeft w:val="0"/>
      <w:marRight w:val="0"/>
      <w:marTop w:val="0"/>
      <w:marBottom w:val="0"/>
      <w:divBdr>
        <w:top w:val="none" w:sz="0" w:space="0" w:color="auto"/>
        <w:left w:val="none" w:sz="0" w:space="0" w:color="auto"/>
        <w:bottom w:val="none" w:sz="0" w:space="0" w:color="auto"/>
        <w:right w:val="none" w:sz="0" w:space="0" w:color="auto"/>
      </w:divBdr>
    </w:div>
    <w:div w:id="2136749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 Id="rId27"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D0D343-8826-4B76-9F28-32B7FF5CB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1789</Words>
  <Characters>12530</Characters>
  <Application>Microsoft Office Word</Application>
  <DocSecurity>0</DocSecurity>
  <Lines>187</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2017-12-14T12:02:00Z</dcterms:created>
  <dcterms:modified xsi:type="dcterms:W3CDTF">2018-01-09T10:37:00Z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DocStatus">
    <vt:lpwstr>Green</vt:lpwstr>
  </property>
  <property fmtid="{D5CDD505-2E9C-101B-9397-08002B2CF9AE}" pid="4" name="Part">
    <vt:lpwstr>1</vt:lpwstr>
  </property>
  <property fmtid="{D5CDD505-2E9C-101B-9397-08002B2CF9AE}" pid="5" name="Total parts">
    <vt:lpwstr>1</vt:lpwstr>
  </property>
</Properties>
</file>