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7E5EC5A82F2E4E528958A88D9500BFC9" style="width:450.55pt;height:389.15pt">
            <v:imagedata r:id="rId8" o:title=""/>
          </v:shape>
        </w:pict>
      </w:r>
    </w:p>
    <w:p>
      <w:pPr>
        <w:rPr>
          <w:noProof/>
        </w:rPr>
        <w:sectPr>
          <w:headerReference w:type="even" r:id="rId9"/>
          <w:headerReference w:type="default" r:id="rId10"/>
          <w:footerReference w:type="even" r:id="rId11"/>
          <w:footerReference w:type="default" r:id="rId12"/>
          <w:headerReference w:type="first" r:id="rId13"/>
          <w:footerReference w:type="first" r:id="rId14"/>
          <w:pgSz w:w="11907" w:h="16839"/>
          <w:pgMar w:top="1134" w:right="1417" w:bottom="1134" w:left="1417" w:header="709" w:footer="709" w:gutter="0"/>
          <w:pgNumType w:start="1"/>
          <w:cols w:space="720"/>
          <w:docGrid w:linePitch="360"/>
        </w:sectPr>
      </w:pPr>
    </w:p>
    <w:p>
      <w:pPr>
        <w:pStyle w:val="Rfrenceinterinstitutionnelle"/>
        <w:rPr>
          <w:noProof/>
        </w:rPr>
      </w:pPr>
      <w:bookmarkStart w:id="0" w:name="_GoBack"/>
      <w:bookmarkEnd w:id="0"/>
      <w:r>
        <w:rPr>
          <w:noProof/>
        </w:rPr>
        <w:lastRenderedPageBreak/>
        <w:t>2012/0193 (COD)</w:t>
      </w:r>
    </w:p>
    <w:p>
      <w:pPr>
        <w:pStyle w:val="Typedudocument"/>
        <w:rPr>
          <w:noProof/>
        </w:rPr>
      </w:pPr>
      <w:r>
        <w:rPr>
          <w:noProof/>
        </w:rPr>
        <w:t>KOMISIJAS PAZIŅOJUMS EIROPAS PARLAMENTAM,</w:t>
      </w:r>
      <w:r>
        <w:rPr>
          <w:noProof/>
        </w:rPr>
        <w:br/>
      </w:r>
      <w:r>
        <w:rPr>
          <w:noProof/>
        </w:rPr>
        <w:br/>
        <w:t>ko izstrādā atbilstīgi Līguma par Eiropas Savienības darbību 294. panta 6. punktam,</w:t>
      </w:r>
      <w:r>
        <w:rPr>
          <w:noProof/>
        </w:rPr>
        <w:br/>
      </w:r>
      <w:r>
        <w:rPr>
          <w:noProof/>
        </w:rPr>
        <w:br/>
        <w:t>par</w:t>
      </w:r>
    </w:p>
    <w:p>
      <w:pPr>
        <w:pStyle w:val="Titreobjet"/>
        <w:rPr>
          <w:noProof/>
        </w:rPr>
      </w:pPr>
      <w:r>
        <w:rPr>
          <w:noProof/>
        </w:rPr>
        <w:t>Padomes nostāju pirmajā lasījumā, lai pieņemtu Eiropas Parlamenta un Padomes direktīvu par cīņu pret krāpšanu, kas skar Savienības finanšu intereses, izmantojot krimināltiesības</w:t>
      </w:r>
    </w:p>
    <w:p>
      <w:pPr>
        <w:pStyle w:val="ManualHeading1"/>
        <w:rPr>
          <w:noProof/>
          <w:sz w:val="22"/>
        </w:rPr>
      </w:pPr>
      <w:r>
        <w:rPr>
          <w:noProof/>
        </w:rPr>
        <w:t>1.</w:t>
      </w:r>
      <w:r>
        <w:rPr>
          <w:noProof/>
        </w:rPr>
        <w:tab/>
        <w:t>Vispārīga informācija</w:t>
      </w:r>
    </w:p>
    <w:tbl>
      <w:tblPr>
        <w:tblW w:w="0" w:type="auto"/>
        <w:tblLayout w:type="fixed"/>
        <w:tblLook w:val="0000" w:firstRow="0" w:lastRow="0" w:firstColumn="0" w:lastColumn="0" w:noHBand="0" w:noVBand="0"/>
      </w:tblPr>
      <w:tblGrid>
        <w:gridCol w:w="6804"/>
        <w:gridCol w:w="2483"/>
      </w:tblGrid>
      <w:tr>
        <w:tc>
          <w:tcPr>
            <w:tcW w:w="6804" w:type="dxa"/>
          </w:tcPr>
          <w:p>
            <w:pPr>
              <w:jc w:val="left"/>
              <w:rPr>
                <w:noProof/>
              </w:rPr>
            </w:pPr>
            <w:r>
              <w:rPr>
                <w:noProof/>
              </w:rPr>
              <w:t xml:space="preserve">Datums, kad priekšlikums nosūtīts Eiropas Parlamentam un Padomei (dokuments COM(2012) 363 </w:t>
            </w:r>
            <w:r>
              <w:rPr>
                <w:i/>
                <w:noProof/>
              </w:rPr>
              <w:t>final</w:t>
            </w:r>
            <w:r>
              <w:rPr>
                <w:noProof/>
              </w:rPr>
              <w:t xml:space="preserve"> – 2012/193 COD):</w:t>
            </w:r>
          </w:p>
        </w:tc>
        <w:tc>
          <w:tcPr>
            <w:tcW w:w="2483" w:type="dxa"/>
          </w:tcPr>
          <w:p>
            <w:pPr>
              <w:jc w:val="left"/>
              <w:rPr>
                <w:noProof/>
              </w:rPr>
            </w:pPr>
            <w:r>
              <w:rPr>
                <w:noProof/>
              </w:rPr>
              <w:t>2012. gada 11. jūlijs</w:t>
            </w:r>
          </w:p>
        </w:tc>
      </w:tr>
      <w:tr>
        <w:tc>
          <w:tcPr>
            <w:tcW w:w="6804" w:type="dxa"/>
          </w:tcPr>
          <w:p>
            <w:pPr>
              <w:rPr>
                <w:noProof/>
              </w:rPr>
            </w:pPr>
            <w:r>
              <w:rPr>
                <w:noProof/>
              </w:rPr>
              <w:t>Datums, kad atzinumu sniegusi Eiropas Ekonomikas un sociālo lietu komiteja:</w:t>
            </w:r>
          </w:p>
        </w:tc>
        <w:tc>
          <w:tcPr>
            <w:tcW w:w="2483" w:type="dxa"/>
          </w:tcPr>
          <w:p>
            <w:pPr>
              <w:jc w:val="left"/>
              <w:rPr>
                <w:noProof/>
              </w:rPr>
            </w:pPr>
            <w:r>
              <w:rPr>
                <w:noProof/>
              </w:rPr>
              <w:t>neattiecas</w:t>
            </w:r>
          </w:p>
        </w:tc>
      </w:tr>
      <w:tr>
        <w:tc>
          <w:tcPr>
            <w:tcW w:w="6804" w:type="dxa"/>
          </w:tcPr>
          <w:p>
            <w:pPr>
              <w:rPr>
                <w:noProof/>
              </w:rPr>
            </w:pPr>
            <w:r>
              <w:rPr>
                <w:noProof/>
              </w:rPr>
              <w:t>Datums, kad atzinumu sniegusi Eiropas Reģionu komiteja:</w:t>
            </w:r>
          </w:p>
        </w:tc>
        <w:tc>
          <w:tcPr>
            <w:tcW w:w="2483" w:type="dxa"/>
          </w:tcPr>
          <w:p>
            <w:pPr>
              <w:jc w:val="left"/>
              <w:rPr>
                <w:noProof/>
              </w:rPr>
            </w:pPr>
            <w:r>
              <w:rPr>
                <w:noProof/>
              </w:rPr>
              <w:t>2012. gada 18. decembris</w:t>
            </w:r>
          </w:p>
        </w:tc>
      </w:tr>
      <w:tr>
        <w:tc>
          <w:tcPr>
            <w:tcW w:w="6804" w:type="dxa"/>
          </w:tcPr>
          <w:p>
            <w:pPr>
              <w:rPr>
                <w:noProof/>
              </w:rPr>
            </w:pPr>
            <w:r>
              <w:rPr>
                <w:noProof/>
              </w:rPr>
              <w:t>Datums, kad nostāju paudis Eiropas Parlaments (pirmais lasījums):</w:t>
            </w:r>
          </w:p>
        </w:tc>
        <w:tc>
          <w:tcPr>
            <w:tcW w:w="2483" w:type="dxa"/>
          </w:tcPr>
          <w:p>
            <w:pPr>
              <w:jc w:val="left"/>
              <w:rPr>
                <w:noProof/>
              </w:rPr>
            </w:pPr>
            <w:r>
              <w:rPr>
                <w:noProof/>
              </w:rPr>
              <w:t>2014. gada 16. aprīlis</w:t>
            </w:r>
          </w:p>
        </w:tc>
      </w:tr>
      <w:tr>
        <w:tc>
          <w:tcPr>
            <w:tcW w:w="6804" w:type="dxa"/>
          </w:tcPr>
          <w:p>
            <w:pPr>
              <w:rPr>
                <w:noProof/>
              </w:rPr>
            </w:pPr>
            <w:r>
              <w:rPr>
                <w:noProof/>
              </w:rPr>
              <w:t>Datums, kad Padome pieņēmusi savu nostāju (pirmais lasījums):</w:t>
            </w:r>
          </w:p>
        </w:tc>
        <w:tc>
          <w:tcPr>
            <w:tcW w:w="2483" w:type="dxa"/>
          </w:tcPr>
          <w:p>
            <w:pPr>
              <w:jc w:val="left"/>
              <w:rPr>
                <w:noProof/>
              </w:rPr>
            </w:pPr>
            <w:r>
              <w:rPr>
                <w:noProof/>
              </w:rPr>
              <w:t>2017. gada 25. aprīlis</w:t>
            </w:r>
          </w:p>
        </w:tc>
      </w:tr>
    </w:tbl>
    <w:p>
      <w:pPr>
        <w:pStyle w:val="ManualHeading1"/>
        <w:rPr>
          <w:noProof/>
        </w:rPr>
      </w:pPr>
      <w:r>
        <w:rPr>
          <w:noProof/>
        </w:rPr>
        <w:t>2.</w:t>
      </w:r>
      <w:r>
        <w:rPr>
          <w:noProof/>
        </w:rPr>
        <w:tab/>
        <w:t>Komisijas priekšlikuma mērķis</w:t>
      </w:r>
    </w:p>
    <w:p>
      <w:pPr>
        <w:pStyle w:val="Text1"/>
        <w:ind w:left="0"/>
        <w:rPr>
          <w:noProof/>
        </w:rPr>
      </w:pPr>
      <w:r>
        <w:rPr>
          <w:noProof/>
        </w:rPr>
        <w:t xml:space="preserve">Direktīvas projekta mērķis ir noteikt noteikumu minimumu attiecībā uz noziedzīga nodarījuma definīciju, sodiem un noilguma termiņiem tādā jomā kā cīņa pret krāpšanu un citām nelikumīgām darbībām, kas skar Savienības finanšu intereses, nolūkā iedarbīgi veicināt stingrāku aizsardzību pret noziedzīgiem nodarījumiem, kuri skar minētās finanšu intereses, atbilstīgi Savienības </w:t>
      </w:r>
      <w:r>
        <w:rPr>
          <w:i/>
          <w:noProof/>
        </w:rPr>
        <w:t>acquis</w:t>
      </w:r>
      <w:r>
        <w:rPr>
          <w:noProof/>
        </w:rPr>
        <w:t xml:space="preserve"> šajā jomā. Direktīva uzlabos pašlaik pastāvošo aizsardzības līmeni, kas balstīts uz 1995. gada Konvenciju par Eiropas Kopienu finanšu interešu aizsardzību (turpmāk “konvencija”)</w:t>
      </w:r>
      <w:r>
        <w:rPr>
          <w:rStyle w:val="FootnoteReference"/>
          <w:noProof/>
        </w:rPr>
        <w:footnoteReference w:id="1"/>
      </w:r>
      <w:r>
        <w:rPr>
          <w:noProof/>
        </w:rPr>
        <w:t xml:space="preserve">, ko šī direktīva aizstās attiecībā uz dalībvalstīm, kurām konvencija ir saistoša. </w:t>
      </w:r>
    </w:p>
    <w:p>
      <w:pPr>
        <w:pStyle w:val="ManualHeading1"/>
        <w:rPr>
          <w:noProof/>
        </w:rPr>
      </w:pPr>
      <w:r>
        <w:rPr>
          <w:noProof/>
        </w:rPr>
        <w:t>3.</w:t>
      </w:r>
      <w:r>
        <w:rPr>
          <w:noProof/>
        </w:rPr>
        <w:tab/>
        <w:t>Komentāri par Padomes nostāju</w:t>
      </w:r>
    </w:p>
    <w:p>
      <w:pPr>
        <w:pStyle w:val="Text1"/>
        <w:ind w:left="0"/>
        <w:rPr>
          <w:noProof/>
        </w:rPr>
      </w:pPr>
      <w:r>
        <w:rPr>
          <w:noProof/>
        </w:rPr>
        <w:t xml:space="preserve">Attiecībā uz direktīvas materiālo tiesību normām Padomes nostājā pirmajā lasījumā izklāstīts sarunās starp Padomi un Eiropas Parlamentu panāktais kompromiss, ko sekmēja Komisija. </w:t>
      </w:r>
    </w:p>
    <w:p>
      <w:pPr>
        <w:pStyle w:val="Text1"/>
        <w:ind w:left="0"/>
        <w:rPr>
          <w:noProof/>
        </w:rPr>
      </w:pPr>
      <w:r>
        <w:rPr>
          <w:noProof/>
        </w:rPr>
        <w:t xml:space="preserve">Padomes nostājā pirmajā lasījumā ir pilnā apmērā saglabāti Komisijas priekšlikuma mērķi. Salīdzinājumā ar konvenciju šī direktīva ietvers skaidrākus un stingrākus noteikumus par vairākiem svarīgiem jautājumiem. Attiecībā uz noziedzīga nodarījuma definīciju direktīvā ietvertas atjauninātas definīcijas par aktīvu un pasīvu korupciju, arī par jaunu nodarījuma </w:t>
      </w:r>
      <w:r>
        <w:rPr>
          <w:noProof/>
        </w:rPr>
        <w:lastRenderedPageBreak/>
        <w:t xml:space="preserve">veidu – līdzekļu nelikumīga piesavināšanās, kas aptver civildienesta ierēdņu darbības, kuras nav tikai vienkāršas krāpnieciskas darbības, kā arī atjaunināta definīcija par civildienesta ierēdņiem. </w:t>
      </w:r>
    </w:p>
    <w:p>
      <w:pPr>
        <w:pStyle w:val="Text1"/>
        <w:ind w:left="0"/>
        <w:rPr>
          <w:noProof/>
        </w:rPr>
      </w:pPr>
      <w:r>
        <w:rPr>
          <w:noProof/>
        </w:rPr>
        <w:t>Turklāt pretēji sākotnējam Padomes ieskatam, ka ar PVN saistīta krāpšana būtu jāizslēdz no direktīvas darbības jomas, Padomes nostāja pirmajā lasījumā paredz, ka direktīvā kā nodarījums tiek iekļauta arī ar PVN saistīta smaga krāpšana, kas nozīmē, ka dalībvalstīm vajadzēs paredzēt kriminālatbildību par nodarījumiem, kas vērsti pret kopējo PVN sistēmu, vismaz tajos gadījumos, kad tie saistīti ar divu vai vairāku dalībvalstu teritoriju un kad ar tiem saistītā kaitējuma apmērs kopumā ir vismaz 10 miljoni euro. Komisija jau no paša sākuma uzskatīja, ka ar PVN saistīta krāpšana būtu jāietver direktīvas darbības jomā – tāpat, kā tas jau ir konvencijā</w:t>
      </w:r>
      <w:r>
        <w:rPr>
          <w:rStyle w:val="FootnoteReference"/>
          <w:noProof/>
        </w:rPr>
        <w:footnoteReference w:id="2"/>
      </w:r>
      <w:r>
        <w:rPr>
          <w:noProof/>
        </w:rPr>
        <w:t xml:space="preserve">. Komisija uzskata, ka ir būtiski direktīvā iekļaut vismaz smagus ar PVN saistītus pārrobežu krāpšanas nodarījumus, lai nepazeminātu konvencijā noteikto aizsardzības līmeni un turpinātu nodrošināt standartu minimumu attiecībā uz PVN krāpšanas nodarījumiem visā Savienībā, tādējādi nodrošinot Savienības finanšu interešu vienotu un labāku aizsardzību. Komisija piekrīt tam, ka direktīva ietvertu ne visus, bet tikai smagus ar PVN saistītus krāpšanas nodarījumus, un norāda, ka uz 10 miljonu euro slieksni attiecas pārskatīšanas klauzula. </w:t>
      </w:r>
    </w:p>
    <w:p>
      <w:pPr>
        <w:pStyle w:val="Text1"/>
        <w:ind w:left="0"/>
        <w:rPr>
          <w:noProof/>
        </w:rPr>
      </w:pPr>
      <w:r>
        <w:rPr>
          <w:noProof/>
        </w:rPr>
        <w:t>Attiecībā uz sodiem direktīva saskaņo maksimālos kriminālsodus fiziskām personām, tostarp maksimālo sodu ar brīvības atņemšanu uz vismaz četriem gadiem par direktīvā minētajiem nodarījumiem, ja tie rada ievērojamu kaitējumu vai priekšrocības vai ja šāds sods pamatojams ar citiem atbildību pastiprinošiem apstākļiem, kas noteikti valstu tiesību aktos.</w:t>
      </w:r>
    </w:p>
    <w:p>
      <w:pPr>
        <w:pStyle w:val="Text1"/>
        <w:ind w:left="0"/>
        <w:rPr>
          <w:noProof/>
        </w:rPr>
      </w:pPr>
      <w:r>
        <w:rPr>
          <w:noProof/>
        </w:rPr>
        <w:t xml:space="preserve">Lai gan konvencijā nav skarts jautājums par noilguma termiņiem, ar direktīvu tiek ieviests jaunu, saistošu noteikumu kopums par noilguma termiņiem, tai skaitā noteikumi par noilguma pārtraukšanu un apturēšanu attiecībā uz noziedzīgiem nodarījumiem, kas skar Savienības budžetu. Šis noteikumu kopums tiesībaizsardzības un tiesu iestādēm dos iespēju iedarbīgi veikt izmeklēšanu un kriminālvajāšanu, kā arī tiesvedību par attiecīgajiem nodarījumiem, kā arī nodrošināt piemēroto sodu izpildi. </w:t>
      </w:r>
    </w:p>
    <w:p>
      <w:pPr>
        <w:pStyle w:val="Text1"/>
        <w:ind w:left="0"/>
        <w:rPr>
          <w:noProof/>
        </w:rPr>
      </w:pPr>
      <w:r>
        <w:rPr>
          <w:noProof/>
        </w:rPr>
        <w:t>Komisijas priekšlikuma tiesiskais pamats bija  LESD 325. panta 4. punkts,  savukārt Padome un Eiropas Parlaments vienojās, ka atbilstīgais tiesiskais pamats tam, lai izveidotu noteikumu minimumu attiecībā uz noziedzīga nodarījuma definīciju un sodiem, tostarp attiecībā uz nodarījumiem tādā jomā kā cīņa pret krāpšanu, kas skar Savienības finanšu intereses, ir LESD 83. panta 1. un 2. punkts. Tādējādi Padome direktīvas projektu pirmajā lasījumā pieņēma, pamatojoties uz LESD 83. panta 2. punktu.</w:t>
      </w:r>
    </w:p>
    <w:p>
      <w:pPr>
        <w:rPr>
          <w:noProof/>
        </w:rPr>
      </w:pPr>
      <w:r>
        <w:rPr>
          <w:noProof/>
        </w:rPr>
        <w:t xml:space="preserve">Ņemot vērā iepriekš minēto, 2017. gada 7. februāra Padomes sēdē, kurā Padome panāca politisku vienošanos par direktīvu, un tās 2017. gada 25. aprīļa sēdē, kad Padome pieņēma savu nostāju pirmajā lasījumā, Komisija sniedza šādu paziņojumu: </w:t>
      </w:r>
    </w:p>
    <w:p>
      <w:pPr>
        <w:rPr>
          <w:noProof/>
          <w:szCs w:val="24"/>
        </w:rPr>
      </w:pPr>
      <w:r>
        <w:rPr>
          <w:noProof/>
        </w:rPr>
        <w:t>“Lai gan Komisijai nav iebildumu attiecībā uz direktīvas materiālo tiesību normām, tā uzskata, ka direktīvas pamatā vajadzētu būt LESD 325. pantam; Komisija  patur tiesības sākt Tiesā tiesvedību par juridisko pamatu.”</w:t>
      </w:r>
    </w:p>
    <w:p>
      <w:pPr>
        <w:pStyle w:val="ManualHeading1"/>
        <w:rPr>
          <w:noProof/>
        </w:rPr>
      </w:pPr>
      <w:r>
        <w:rPr>
          <w:noProof/>
        </w:rPr>
        <w:lastRenderedPageBreak/>
        <w:t>4.</w:t>
      </w:r>
      <w:r>
        <w:rPr>
          <w:noProof/>
        </w:rPr>
        <w:tab/>
        <w:t>Secinājums</w:t>
      </w:r>
    </w:p>
    <w:p>
      <w:pPr>
        <w:rPr>
          <w:noProof/>
          <w:color w:val="1F497D"/>
          <w:szCs w:val="24"/>
        </w:rPr>
      </w:pPr>
      <w:r>
        <w:rPr>
          <w:noProof/>
        </w:rPr>
        <w:t>Tāpēc Komisija atbalsta Padomes pirmajā lasījumā pieņemto nostāju attiecībā uz direktīvas materiālo tiesību normām. Tomēr Komisija uzskata, ka direktīvas pamatā vajadzētu būt LESD 325. pantam, un patur tiesības sākt Tiesā tiesvedību par juridisko pamatu.</w:t>
      </w:r>
    </w:p>
    <w:sectPr>
      <w:footerReference w:type="default" r:id="rId15"/>
      <w:footerReference w:type="first" r:id="rId16"/>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LV</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LV</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rPr>
        <w:rFonts w:ascii="Arial" w:hAnsi="Arial" w:cs="Arial"/>
        <w:b/>
        <w:sz w:val="48"/>
      </w:rPr>
    </w:pPr>
    <w:r>
      <w:rPr>
        <w:rFonts w:ascii="Arial" w:hAnsi="Arial" w:cs="Arial"/>
        <w:b/>
        <w:sz w:val="48"/>
      </w:rPr>
      <w:t>LV</w:t>
    </w:r>
    <w:r>
      <w:rPr>
        <w:rFonts w:ascii="Arial" w:hAnsi="Arial" w:cs="Arial"/>
        <w:b/>
        <w:sz w:val="48"/>
      </w:rPr>
      <w:tab/>
    </w:r>
    <w:r>
      <w:fldChar w:fldCharType="begin"/>
    </w:r>
    <w:r>
      <w:instrText xml:space="preserve"> PAGE  \* MERGEFORMAT </w:instrText>
    </w:r>
    <w:r>
      <w:fldChar w:fldCharType="separate"/>
    </w:r>
    <w:r>
      <w:rPr>
        <w:noProof/>
      </w:rPr>
      <w:t>1</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LV</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before="0" w:after="0"/>
      </w:pPr>
      <w:r>
        <w:separator/>
      </w:r>
    </w:p>
  </w:footnote>
  <w:footnote w:type="continuationSeparator" w:id="0">
    <w:p>
      <w:pPr>
        <w:spacing w:before="0" w:after="0"/>
      </w:pPr>
      <w:r>
        <w:continuationSeparator/>
      </w:r>
    </w:p>
  </w:footnote>
  <w:footnote w:id="1">
    <w:p>
      <w:pPr>
        <w:pStyle w:val="FootnoteText"/>
        <w:ind w:left="567" w:hanging="567"/>
      </w:pPr>
      <w:r>
        <w:rPr>
          <w:rStyle w:val="FootnoteReference"/>
        </w:rPr>
        <w:footnoteRef/>
      </w:r>
      <w:r>
        <w:tab/>
        <w:t>OV C 316, 27.11.1995., 48. lpp.</w:t>
      </w:r>
    </w:p>
  </w:footnote>
  <w:footnote w:id="2">
    <w:p>
      <w:pPr>
        <w:pStyle w:val="FootnoteText"/>
      </w:pPr>
      <w:r>
        <w:rPr>
          <w:rStyle w:val="FootnoteReference"/>
        </w:rPr>
        <w:footnoteRef/>
      </w:r>
      <w:r>
        <w:tab/>
        <w:t xml:space="preserve">Tas tika apstiprināts Eiropas Savienības Tiesas 2015. gada 8. septembra spriedumā lietā C-105/14 </w:t>
      </w:r>
      <w:r>
        <w:rPr>
          <w:i/>
        </w:rPr>
        <w:t>Taricco</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CEA8C338"/>
    <w:lvl w:ilvl="0">
      <w:start w:val="1"/>
      <w:numFmt w:val="decimal"/>
      <w:pStyle w:val="ListNumber4"/>
      <w:lvlText w:val="%1."/>
      <w:lvlJc w:val="left"/>
      <w:pPr>
        <w:tabs>
          <w:tab w:val="num" w:pos="1209"/>
        </w:tabs>
        <w:ind w:left="1209" w:hanging="360"/>
      </w:pPr>
    </w:lvl>
  </w:abstractNum>
  <w:abstractNum w:abstractNumId="1">
    <w:nsid w:val="FFFFFF7E"/>
    <w:multiLevelType w:val="singleLevel"/>
    <w:tmpl w:val="E040BC70"/>
    <w:lvl w:ilvl="0">
      <w:start w:val="1"/>
      <w:numFmt w:val="decimal"/>
      <w:pStyle w:val="ListNumber3"/>
      <w:lvlText w:val="%1."/>
      <w:lvlJc w:val="left"/>
      <w:pPr>
        <w:tabs>
          <w:tab w:val="num" w:pos="926"/>
        </w:tabs>
        <w:ind w:left="926" w:hanging="360"/>
      </w:pPr>
    </w:lvl>
  </w:abstractNum>
  <w:abstractNum w:abstractNumId="2">
    <w:nsid w:val="FFFFFF7F"/>
    <w:multiLevelType w:val="singleLevel"/>
    <w:tmpl w:val="68F61C9A"/>
    <w:lvl w:ilvl="0">
      <w:start w:val="1"/>
      <w:numFmt w:val="decimal"/>
      <w:pStyle w:val="ListNumber2"/>
      <w:lvlText w:val="%1."/>
      <w:lvlJc w:val="left"/>
      <w:pPr>
        <w:tabs>
          <w:tab w:val="num" w:pos="643"/>
        </w:tabs>
        <w:ind w:left="643" w:hanging="360"/>
      </w:pPr>
    </w:lvl>
  </w:abstractNum>
  <w:abstractNum w:abstractNumId="3">
    <w:nsid w:val="FFFFFF81"/>
    <w:multiLevelType w:val="singleLevel"/>
    <w:tmpl w:val="8354B69A"/>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FFFFFF82"/>
    <w:multiLevelType w:val="singleLevel"/>
    <w:tmpl w:val="56767FCE"/>
    <w:lvl w:ilvl="0">
      <w:start w:val="1"/>
      <w:numFmt w:val="bullet"/>
      <w:pStyle w:val="ListBullet3"/>
      <w:lvlText w:val=""/>
      <w:lvlJc w:val="left"/>
      <w:pPr>
        <w:tabs>
          <w:tab w:val="num" w:pos="926"/>
        </w:tabs>
        <w:ind w:left="926" w:hanging="360"/>
      </w:pPr>
      <w:rPr>
        <w:rFonts w:ascii="Symbol" w:hAnsi="Symbol" w:hint="default"/>
      </w:rPr>
    </w:lvl>
  </w:abstractNum>
  <w:abstractNum w:abstractNumId="5">
    <w:nsid w:val="FFFFFF83"/>
    <w:multiLevelType w:val="singleLevel"/>
    <w:tmpl w:val="A168B972"/>
    <w:lvl w:ilvl="0">
      <w:start w:val="1"/>
      <w:numFmt w:val="bullet"/>
      <w:pStyle w:val="ListBullet2"/>
      <w:lvlText w:val=""/>
      <w:lvlJc w:val="left"/>
      <w:pPr>
        <w:tabs>
          <w:tab w:val="num" w:pos="643"/>
        </w:tabs>
        <w:ind w:left="643" w:hanging="360"/>
      </w:pPr>
      <w:rPr>
        <w:rFonts w:ascii="Symbol" w:hAnsi="Symbol" w:hint="default"/>
      </w:rPr>
    </w:lvl>
  </w:abstractNum>
  <w:abstractNum w:abstractNumId="6">
    <w:nsid w:val="FFFFFF88"/>
    <w:multiLevelType w:val="singleLevel"/>
    <w:tmpl w:val="A7E8DB2C"/>
    <w:lvl w:ilvl="0">
      <w:start w:val="1"/>
      <w:numFmt w:val="decimal"/>
      <w:pStyle w:val="ListNumber"/>
      <w:lvlText w:val="%1."/>
      <w:lvlJc w:val="left"/>
      <w:pPr>
        <w:tabs>
          <w:tab w:val="num" w:pos="360"/>
        </w:tabs>
        <w:ind w:left="360" w:hanging="360"/>
      </w:pPr>
    </w:lvl>
  </w:abstractNum>
  <w:abstractNum w:abstractNumId="7">
    <w:nsid w:val="FFFFFF89"/>
    <w:multiLevelType w:val="singleLevel"/>
    <w:tmpl w:val="B6264C5A"/>
    <w:lvl w:ilvl="0">
      <w:start w:val="1"/>
      <w:numFmt w:val="bullet"/>
      <w:pStyle w:val="ListBullet"/>
      <w:lvlText w:val=""/>
      <w:lvlJc w:val="left"/>
      <w:pPr>
        <w:tabs>
          <w:tab w:val="num" w:pos="360"/>
        </w:tabs>
        <w:ind w:left="360" w:hanging="360"/>
      </w:pPr>
      <w:rPr>
        <w:rFonts w:ascii="Symbol" w:hAnsi="Symbol" w:hint="default"/>
      </w:rPr>
    </w:lvl>
  </w:abstractNum>
  <w:abstractNum w:abstractNumId="8">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1">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18"/>
  </w:num>
  <w:num w:numId="10">
    <w:abstractNumId w:val="12"/>
  </w:num>
  <w:num w:numId="11">
    <w:abstractNumId w:val="20"/>
  </w:num>
  <w:num w:numId="12">
    <w:abstractNumId w:val="11"/>
  </w:num>
  <w:num w:numId="13">
    <w:abstractNumId w:val="13"/>
  </w:num>
  <w:num w:numId="14">
    <w:abstractNumId w:val="9"/>
  </w:num>
  <w:num w:numId="15">
    <w:abstractNumId w:val="19"/>
  </w:num>
  <w:num w:numId="16">
    <w:abstractNumId w:val="8"/>
  </w:num>
  <w:num w:numId="17">
    <w:abstractNumId w:val="14"/>
  </w:num>
  <w:num w:numId="18">
    <w:abstractNumId w:val="16"/>
  </w:num>
  <w:num w:numId="19">
    <w:abstractNumId w:val="17"/>
  </w:num>
  <w:num w:numId="20">
    <w:abstractNumId w:val="10"/>
  </w:num>
  <w:num w:numId="21">
    <w:abstractNumId w:val="15"/>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hideSpellingErrors/>
  <w:hideGrammaticalErrors/>
  <w:attachedTemplate r:id="rId1"/>
  <w:revisionView w:markup="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7-05-15 12:45:33"/>
    <w:docVar w:name="DQCResult_Distribution" w:val="0;0"/>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8"/>
    <w:docVar w:name="DQCResult_ModifiedMarkers" w:val="0;0"/>
    <w:docVar w:name="DQCResult_ModifiedNumbering" w:val="0;0"/>
    <w:docVar w:name="DQCResult_Objects" w:val="0;0"/>
    <w:docVar w:name="DQCResult_Sections" w:val="0;0"/>
    <w:docVar w:name="DQCResult_StructureCheck" w:val="0;0"/>
    <w:docVar w:name="DQCResult_SuperfluousWhitespace" w:val="0;3"/>
    <w:docVar w:name="DQCResult_UnknownFonts" w:val="0;0"/>
    <w:docVar w:name="DQCResult_UnknownStyles" w:val="0;0"/>
    <w:docVar w:name="DQCStatus" w:val="Green"/>
    <w:docVar w:name="DQCVersion" w:val="3"/>
    <w:docVar w:name="DQCWithWarnings" w:val="0"/>
    <w:docVar w:name="LW_CONFIDENCE" w:val=" "/>
    <w:docVar w:name="LW_CONST_RESTREINT_UE" w:val="RESTREINT UE"/>
    <w:docVar w:name="LW_CORRIGENDUM" w:val="&lt;UNUSED&gt;"/>
    <w:docVar w:name="LW_COVERPAGE_GUID" w:val="7E5EC5A82F2E4E528958A88D9500BFC9"/>
    <w:docVar w:name="LW_CROSSREFERENCE" w:val="&lt;UNUSED&gt;"/>
    <w:docVar w:name="LW_DocType" w:val="COM"/>
    <w:docVar w:name="LW_EMISSION" w:val="16.5.2017"/>
    <w:docVar w:name="LW_EMISSION_ISODATE" w:val="2017-05-16"/>
    <w:docVar w:name="LW_EMISSION_LOCATION" w:val="BRX"/>
    <w:docVar w:name="LW_EMISSION_PREFIX" w:val="Brisel\u275?, "/>
    <w:docVar w:name="LW_EMISSION_SUFFIX" w:val="."/>
    <w:docVar w:name="LW_ID_DOCMODEL" w:val="SJ-028"/>
    <w:docVar w:name="LW_ID_DOCSTRUCTURE" w:val="COM/PL/CODEC"/>
    <w:docVar w:name="LW_ID_DOCTYPE" w:val="SJ-028"/>
    <w:docVar w:name="LW_INTERETEEE.CP" w:val="&lt;UNUSED&gt;"/>
    <w:docVar w:name="LW_LANGUE" w:val="LV"/>
    <w:docVar w:name="LW_MARKING" w:val="&lt;UNUSED&gt;"/>
    <w:docVar w:name="LW_NOM.INST" w:val="EIROPAS KOMISIJA"/>
    <w:docVar w:name="LW_NOM.INST_JOINTDOC" w:val="&lt;EMPTY&gt;"/>
    <w:docVar w:name="LW_PART_NBR" w:val="1"/>
    <w:docVar w:name="LW_PART_NBR_TOTAL" w:val="1"/>
    <w:docVar w:name="LW_REF.II.NEW.CP" w:val="COD"/>
    <w:docVar w:name="LW_REF.II.NEW.CP_NUMBER" w:val="0193"/>
    <w:docVar w:name="LW_REF.II.NEW.CP_YEAR" w:val="2012"/>
    <w:docVar w:name="LW_REF.INST.NEW" w:val="COM"/>
    <w:docVar w:name="LW_REF.INST.NEW_ADOPTED" w:val="final"/>
    <w:docVar w:name="LW_REF.INST.NEW_TEXT" w:val="(2017) 246"/>
    <w:docVar w:name="LW_REF.INTERNE" w:val="&lt;UNUSED&gt;"/>
    <w:docVar w:name="LW_SOUS.TITRE.OBJ.CP" w:val="&lt;UNUSED&gt;"/>
    <w:docVar w:name="LW_SUPERTITRE" w:val="&lt;UNUSED&gt;"/>
    <w:docVar w:name="LW_TITRE.OBJ.CP" w:val="Padomes nost\u257?ju pirmaj\u257? las\u299?jum\u257?, lai pie\u326?emtu Eiropas Parlamenta un Padomes direkt\u299?vu par c\u299?\u326?u pret kr\u257?p\u353?anu, kas skar Savien\u299?bas finan\u353?u intereses, izmantojot krimin\u257?lties\u299?bas"/>
    <w:docVar w:name="LW_TYPE.DOC.CP" w:val="KOMISIJAS PAZI\u325?OJUMS EIROPAS PARLAMENTAM,_x000b__x000b_ko izstr\u257?d\u257? atbilst\u299?gi L\u299?guma par Eiropas Savien\u299?bas darb\u299?bu 294. panta 6. punktam,_x000b__x000b_par"/>
  </w:docVar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lv-LV" w:bidi="lv-LV"/>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lv-LV"/>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lv-LV"/>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lv-LV" w:bidi="lv-LV"/>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before="120" w:after="120" w:line="240" w:lineRule="auto"/>
      <w:jc w:val="both"/>
    </w:pPr>
    <w:rPr>
      <w:rFonts w:ascii="Times New Roman" w:hAnsi="Times New Roman" w:cs="Times New Roman"/>
      <w:sz w:val="24"/>
    </w:rPr>
  </w:style>
  <w:style w:type="paragraph" w:styleId="Heading1">
    <w:name w:val="heading 1"/>
    <w:basedOn w:val="Normal"/>
    <w:next w:val="Text1"/>
    <w:link w:val="Heading1Char"/>
    <w:uiPriority w:val="9"/>
    <w:qFormat/>
    <w:pPr>
      <w:keepNext/>
      <w:numPr>
        <w:numId w:val="15"/>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5"/>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5"/>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5"/>
      </w:numPr>
      <w:outlineLvl w:val="3"/>
    </w:pPr>
    <w:rPr>
      <w:rFonts w:eastAsiaTheme="majorEastAsia"/>
      <w:bCs/>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semiHidden/>
    <w:unhideWhenUsed/>
    <w:qFormat/>
    <w:pPr>
      <w:spacing w:before="0" w:after="200"/>
    </w:pPr>
    <w:rPr>
      <w:b/>
      <w:bCs/>
      <w:color w:val="4F81BD" w:themeColor="accent1"/>
      <w:sz w:val="18"/>
      <w:szCs w:val="18"/>
    </w:rPr>
  </w:style>
  <w:style w:type="paragraph" w:styleId="TableofFigures">
    <w:name w:val="table of figures"/>
    <w:basedOn w:val="Normal"/>
    <w:next w:val="Normal"/>
    <w:uiPriority w:val="99"/>
    <w:semiHidden/>
    <w:unhideWhenUsed/>
    <w:pPr>
      <w:spacing w:after="0"/>
    </w:pPr>
  </w:style>
  <w:style w:type="paragraph" w:styleId="ListBullet">
    <w:name w:val="List Bullet"/>
    <w:basedOn w:val="Normal"/>
    <w:uiPriority w:val="99"/>
    <w:semiHidden/>
    <w:unhideWhenUsed/>
    <w:pPr>
      <w:numPr>
        <w:numId w:val="1"/>
      </w:numPr>
      <w:contextualSpacing/>
    </w:pPr>
  </w:style>
  <w:style w:type="paragraph" w:styleId="ListBullet2">
    <w:name w:val="List Bullet 2"/>
    <w:basedOn w:val="Normal"/>
    <w:uiPriority w:val="99"/>
    <w:semiHidden/>
    <w:unhideWhenUsed/>
    <w:pPr>
      <w:numPr>
        <w:numId w:val="2"/>
      </w:numPr>
      <w:contextualSpacing/>
    </w:pPr>
  </w:style>
  <w:style w:type="paragraph" w:styleId="ListBullet3">
    <w:name w:val="List Bullet 3"/>
    <w:basedOn w:val="Normal"/>
    <w:uiPriority w:val="99"/>
    <w:semiHidden/>
    <w:unhideWhenUsed/>
    <w:pPr>
      <w:numPr>
        <w:numId w:val="3"/>
      </w:numPr>
      <w:contextualSpacing/>
    </w:pPr>
  </w:style>
  <w:style w:type="paragraph" w:styleId="ListBullet4">
    <w:name w:val="List Bullet 4"/>
    <w:basedOn w:val="Normal"/>
    <w:uiPriority w:val="99"/>
    <w:semiHidden/>
    <w:unhideWhenUsed/>
    <w:pPr>
      <w:numPr>
        <w:numId w:val="4"/>
      </w:numPr>
      <w:contextualSpacing/>
    </w:pPr>
  </w:style>
  <w:style w:type="paragraph" w:styleId="ListNumber">
    <w:name w:val="List Number"/>
    <w:basedOn w:val="Normal"/>
    <w:uiPriority w:val="99"/>
    <w:semiHidden/>
    <w:unhideWhenUsed/>
    <w:pPr>
      <w:numPr>
        <w:numId w:val="5"/>
      </w:numPr>
      <w:contextualSpacing/>
    </w:pPr>
  </w:style>
  <w:style w:type="paragraph" w:styleId="ListNumber2">
    <w:name w:val="List Number 2"/>
    <w:basedOn w:val="Normal"/>
    <w:uiPriority w:val="99"/>
    <w:semiHidden/>
    <w:unhideWhenUsed/>
    <w:pPr>
      <w:numPr>
        <w:numId w:val="6"/>
      </w:numPr>
      <w:contextualSpacing/>
    </w:pPr>
  </w:style>
  <w:style w:type="paragraph" w:styleId="ListNumber3">
    <w:name w:val="List Number 3"/>
    <w:basedOn w:val="Normal"/>
    <w:uiPriority w:val="99"/>
    <w:semiHidden/>
    <w:unhideWhenUsed/>
    <w:pPr>
      <w:numPr>
        <w:numId w:val="7"/>
      </w:numPr>
      <w:contextualSpacing/>
    </w:pPr>
  </w:style>
  <w:style w:type="paragraph" w:styleId="ListNumber4">
    <w:name w:val="List Number 4"/>
    <w:basedOn w:val="Normal"/>
    <w:uiPriority w:val="99"/>
    <w:semiHidden/>
    <w:unhideWhenUsed/>
    <w:pPr>
      <w:numPr>
        <w:numId w:val="8"/>
      </w:numPr>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lang w:val="lv-LV"/>
    </w:rPr>
  </w:style>
  <w:style w:type="character" w:styleId="Hyperlink">
    <w:name w:val="Hyperlink"/>
    <w:basedOn w:val="DefaultParagraphFont"/>
    <w:uiPriority w:val="99"/>
    <w:unhideWhenUsed/>
    <w:rPr>
      <w:color w:val="0000FF" w:themeColor="hyperlink"/>
      <w:u w:val="single"/>
    </w:rPr>
  </w:style>
  <w:style w:type="paragraph" w:styleId="BalloonText">
    <w:name w:val="Balloon Text"/>
    <w:basedOn w:val="Normal"/>
    <w:link w:val="BalloonTextChar"/>
    <w:uiPriority w:val="99"/>
    <w:semiHidden/>
    <w:unhideWhenUsed/>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val="lv-LV"/>
    </w:rPr>
  </w:style>
  <w:style w:type="paragraph" w:styleId="Header">
    <w:name w:val="header"/>
    <w:basedOn w:val="Normal"/>
    <w:link w:val="HeaderChar"/>
    <w:uiPriority w:val="99"/>
    <w:unhideWhenUsed/>
    <w:pPr>
      <w:tabs>
        <w:tab w:val="center" w:pos="4535"/>
        <w:tab w:val="right" w:pos="9071"/>
      </w:tabs>
      <w:spacing w:before="0"/>
    </w:pPr>
    <w:rPr>
      <w:lang w:eastAsia="en-US" w:bidi="ar-SA"/>
    </w:rPr>
  </w:style>
  <w:style w:type="character" w:customStyle="1" w:styleId="HeaderChar">
    <w:name w:val="Header Char"/>
    <w:basedOn w:val="DefaultParagraphFont"/>
    <w:link w:val="Header"/>
    <w:uiPriority w:val="99"/>
    <w:rPr>
      <w:rFonts w:ascii="Times New Roman" w:hAnsi="Times New Roman" w:cs="Times New Roman"/>
      <w:sz w:val="24"/>
      <w:lang w:eastAsia="en-US" w:bidi="ar-SA"/>
    </w:rPr>
  </w:style>
  <w:style w:type="paragraph" w:styleId="Footer">
    <w:name w:val="footer"/>
    <w:basedOn w:val="Normal"/>
    <w:link w:val="FooterChar"/>
    <w:uiPriority w:val="99"/>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pPr>
  </w:style>
  <w:style w:type="paragraph" w:customStyle="1" w:styleId="HeaderLandscape">
    <w:name w:val="HeaderLandscape"/>
    <w:basedOn w:val="Normal"/>
    <w:pPr>
      <w:tabs>
        <w:tab w:val="center" w:pos="7285"/>
        <w:tab w:val="right" w:pos="14003"/>
      </w:tabs>
      <w:spacing w:before="0"/>
    </w:pPr>
    <w:rPr>
      <w:lang w:eastAsia="en-US" w:bidi="ar-SA"/>
    </w:r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Tiret0">
    <w:name w:val="Tiret 0"/>
    <w:basedOn w:val="Point0"/>
    <w:pPr>
      <w:numPr>
        <w:numId w:val="9"/>
      </w:numPr>
    </w:pPr>
  </w:style>
  <w:style w:type="paragraph" w:customStyle="1" w:styleId="Tiret1">
    <w:name w:val="Tiret 1"/>
    <w:basedOn w:val="Point1"/>
    <w:pPr>
      <w:numPr>
        <w:numId w:val="10"/>
      </w:numPr>
    </w:pPr>
  </w:style>
  <w:style w:type="paragraph" w:customStyle="1" w:styleId="Tiret2">
    <w:name w:val="Tiret 2"/>
    <w:basedOn w:val="Point2"/>
    <w:pPr>
      <w:numPr>
        <w:numId w:val="11"/>
      </w:numPr>
    </w:pPr>
  </w:style>
  <w:style w:type="paragraph" w:customStyle="1" w:styleId="Tiret3">
    <w:name w:val="Tiret 3"/>
    <w:basedOn w:val="Point3"/>
    <w:pPr>
      <w:numPr>
        <w:numId w:val="12"/>
      </w:numPr>
    </w:pPr>
  </w:style>
  <w:style w:type="paragraph" w:customStyle="1" w:styleId="Tiret4">
    <w:name w:val="Tiret 4"/>
    <w:basedOn w:val="Point4"/>
    <w:pPr>
      <w:numPr>
        <w:numId w:val="13"/>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4"/>
      </w:numPr>
    </w:pPr>
  </w:style>
  <w:style w:type="paragraph" w:customStyle="1" w:styleId="NumPar2">
    <w:name w:val="NumPar 2"/>
    <w:basedOn w:val="Normal"/>
    <w:next w:val="Text1"/>
    <w:pPr>
      <w:numPr>
        <w:ilvl w:val="1"/>
        <w:numId w:val="14"/>
      </w:numPr>
    </w:pPr>
  </w:style>
  <w:style w:type="paragraph" w:customStyle="1" w:styleId="NumPar3">
    <w:name w:val="NumPar 3"/>
    <w:basedOn w:val="Normal"/>
    <w:next w:val="Text1"/>
    <w:pPr>
      <w:numPr>
        <w:ilvl w:val="2"/>
        <w:numId w:val="14"/>
      </w:numPr>
    </w:pPr>
  </w:style>
  <w:style w:type="paragraph" w:customStyle="1" w:styleId="NumPar4">
    <w:name w:val="NumPar 4"/>
    <w:basedOn w:val="Normal"/>
    <w:next w:val="Text1"/>
    <w:pPr>
      <w:numPr>
        <w:ilvl w:val="3"/>
        <w:numId w:val="14"/>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6"/>
      </w:numPr>
    </w:pPr>
  </w:style>
  <w:style w:type="paragraph" w:customStyle="1" w:styleId="Point1number">
    <w:name w:val="Point 1 (number)"/>
    <w:basedOn w:val="Normal"/>
    <w:pPr>
      <w:numPr>
        <w:ilvl w:val="2"/>
        <w:numId w:val="16"/>
      </w:numPr>
    </w:pPr>
  </w:style>
  <w:style w:type="paragraph" w:customStyle="1" w:styleId="Point2number">
    <w:name w:val="Point 2 (number)"/>
    <w:basedOn w:val="Normal"/>
    <w:pPr>
      <w:numPr>
        <w:ilvl w:val="4"/>
        <w:numId w:val="16"/>
      </w:numPr>
    </w:pPr>
  </w:style>
  <w:style w:type="paragraph" w:customStyle="1" w:styleId="Point3number">
    <w:name w:val="Point 3 (number)"/>
    <w:basedOn w:val="Normal"/>
    <w:pPr>
      <w:numPr>
        <w:ilvl w:val="6"/>
        <w:numId w:val="16"/>
      </w:numPr>
    </w:pPr>
  </w:style>
  <w:style w:type="paragraph" w:customStyle="1" w:styleId="Point0letter">
    <w:name w:val="Point 0 (letter)"/>
    <w:basedOn w:val="Normal"/>
    <w:pPr>
      <w:numPr>
        <w:ilvl w:val="1"/>
        <w:numId w:val="16"/>
      </w:numPr>
    </w:pPr>
  </w:style>
  <w:style w:type="paragraph" w:customStyle="1" w:styleId="Point1letter">
    <w:name w:val="Point 1 (letter)"/>
    <w:basedOn w:val="Normal"/>
    <w:pPr>
      <w:numPr>
        <w:ilvl w:val="3"/>
        <w:numId w:val="16"/>
      </w:numPr>
    </w:pPr>
  </w:style>
  <w:style w:type="paragraph" w:customStyle="1" w:styleId="Point2letter">
    <w:name w:val="Point 2 (letter)"/>
    <w:basedOn w:val="Normal"/>
    <w:pPr>
      <w:numPr>
        <w:ilvl w:val="5"/>
        <w:numId w:val="16"/>
      </w:numPr>
    </w:pPr>
  </w:style>
  <w:style w:type="paragraph" w:customStyle="1" w:styleId="Point3letter">
    <w:name w:val="Point 3 (letter)"/>
    <w:basedOn w:val="Normal"/>
    <w:pPr>
      <w:numPr>
        <w:ilvl w:val="7"/>
        <w:numId w:val="16"/>
      </w:numPr>
    </w:pPr>
  </w:style>
  <w:style w:type="paragraph" w:customStyle="1" w:styleId="Point4letter">
    <w:name w:val="Point 4 (letter)"/>
    <w:basedOn w:val="Normal"/>
    <w:pPr>
      <w:numPr>
        <w:ilvl w:val="8"/>
        <w:numId w:val="16"/>
      </w:numPr>
    </w:pPr>
  </w:style>
  <w:style w:type="paragraph" w:customStyle="1" w:styleId="Bullet0">
    <w:name w:val="Bullet 0"/>
    <w:basedOn w:val="Normal"/>
    <w:pPr>
      <w:numPr>
        <w:numId w:val="17"/>
      </w:numPr>
    </w:pPr>
  </w:style>
  <w:style w:type="paragraph" w:customStyle="1" w:styleId="Bullet1">
    <w:name w:val="Bullet 1"/>
    <w:basedOn w:val="Normal"/>
    <w:pPr>
      <w:numPr>
        <w:numId w:val="18"/>
      </w:numPr>
    </w:pPr>
  </w:style>
  <w:style w:type="paragraph" w:customStyle="1" w:styleId="Bullet2">
    <w:name w:val="Bullet 2"/>
    <w:basedOn w:val="Normal"/>
    <w:pPr>
      <w:numPr>
        <w:numId w:val="19"/>
      </w:numPr>
    </w:pPr>
  </w:style>
  <w:style w:type="paragraph" w:customStyle="1" w:styleId="Bullet3">
    <w:name w:val="Bullet 3"/>
    <w:basedOn w:val="Normal"/>
    <w:pPr>
      <w:numPr>
        <w:numId w:val="20"/>
      </w:numPr>
    </w:pPr>
  </w:style>
  <w:style w:type="paragraph" w:customStyle="1" w:styleId="Bullet4">
    <w:name w:val="Bullet 4"/>
    <w:basedOn w:val="Normal"/>
    <w:pPr>
      <w:numPr>
        <w:numId w:val="21"/>
      </w:numPr>
    </w:p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2"/>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mission">
    <w:name w:val="Emission"/>
    <w:basedOn w:val="Normal"/>
    <w:next w:val="Rfrenceinstitutionnelle"/>
    <w:pPr>
      <w:spacing w:before="0" w:after="0"/>
      <w:ind w:left="5103"/>
      <w:jc w:val="left"/>
    </w:p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ManualConsidrant">
    <w:name w:val="Manual Considérant"/>
    <w:basedOn w:val="Normal"/>
    <w:pPr>
      <w:ind w:left="709" w:hanging="709"/>
    </w:p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stitutionnelle">
    <w:name w:val="Référence institutionnelle"/>
    <w:basedOn w:val="Normal"/>
    <w:next w:val="Confidentialit"/>
    <w:pPr>
      <w:spacing w:before="0" w:after="240"/>
      <w:ind w:left="5103"/>
      <w:jc w:val="left"/>
    </w:p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ous-titreobjet">
    <w:name w:val="Sous-titre objet"/>
    <w:basedOn w:val="Normal"/>
    <w:pPr>
      <w:spacing w:before="0" w:after="0"/>
      <w:jc w:val="center"/>
    </w:pPr>
    <w:rPr>
      <w:b/>
    </w:r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Sous-titreobjet"/>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Pagedecouverture">
    <w:name w:val="Page de couverture"/>
    <w:basedOn w:val="Normal"/>
    <w:next w:val="Normal"/>
    <w:pPr>
      <w:spacing w:before="0" w:after="0"/>
    </w:p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COM.dotm</Template>
  <TotalTime>2</TotalTime>
  <Pages>4</Pages>
  <Words>729</Words>
  <Characters>4810</Characters>
  <Application>Microsoft Office Word</Application>
  <DocSecurity>0</DocSecurity>
  <Lines>84</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16</cp:revision>
  <dcterms:created xsi:type="dcterms:W3CDTF">2017-05-15T09:19:00Z</dcterms:created>
  <dcterms:modified xsi:type="dcterms:W3CDTF">2017-05-15T10:45:00Z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COM/PL/CODEC</vt:lpwstr>
  </property>
  <property fmtid="{D5CDD505-2E9C-101B-9397-08002B2CF9AE}" pid="3" name="Classification">
    <vt:lpwstr> </vt:lpwstr>
  </property>
  <property fmtid="{D5CDD505-2E9C-101B-9397-08002B2CF9AE}" pid="4" name="Version">
    <vt:lpwstr>5.8.86.0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SJ-028</vt:lpwstr>
  </property>
  <property fmtid="{D5CDD505-2E9C-101B-9397-08002B2CF9AE}" pid="10" name="DQCStatus">
    <vt:lpwstr>Green (DQC version 03)</vt:lpwstr>
  </property>
  <property name="OP_sanitized" fmtid="{D5CDD505-2E9C-101B-9397-08002B2CF9AE}" pid="11">
    <vt:lpwstr>True</vt:lpwstr>
  </property>
</Properties>
</file>