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DEF" w:rsidRDefault="00722039" w:rsidP="00722039">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DCE1A9DCB4C64710967DD4F11A757852" style="width:450.75pt;height:365.25pt">
            <v:imagedata r:id="rId9" o:title=""/>
          </v:shape>
        </w:pict>
      </w:r>
    </w:p>
    <w:p w:rsidR="00F26DEF" w:rsidRDefault="00F26DEF">
      <w:pPr>
        <w:rPr>
          <w:noProof/>
        </w:rPr>
        <w:sectPr w:rsidR="00F26DEF" w:rsidSect="00722039">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rsidR="00F26DEF" w:rsidRDefault="00F26DEF">
      <w:pPr>
        <w:pStyle w:val="Exposdesmotifstitre"/>
        <w:rPr>
          <w:noProof/>
        </w:rPr>
      </w:pPr>
    </w:p>
    <w:p w:rsidR="00F26DEF" w:rsidRDefault="00F26DEF">
      <w:pPr>
        <w:rPr>
          <w:noProof/>
        </w:rPr>
      </w:pPr>
    </w:p>
    <w:p w:rsidR="00F26DEF" w:rsidRDefault="00722039" w:rsidP="00722039">
      <w:pPr>
        <w:pStyle w:val="Statut"/>
        <w:rPr>
          <w:noProof/>
        </w:rPr>
      </w:pPr>
      <w:r w:rsidRPr="00722039">
        <w:t>Ieteikums</w:t>
      </w:r>
    </w:p>
    <w:p w:rsidR="00F26DEF" w:rsidRDefault="00722039" w:rsidP="00722039">
      <w:pPr>
        <w:pStyle w:val="Typedudocument"/>
        <w:rPr>
          <w:noProof/>
        </w:rPr>
      </w:pPr>
      <w:r w:rsidRPr="00722039">
        <w:t>PADOMES IETEIKUMS</w:t>
      </w:r>
    </w:p>
    <w:p w:rsidR="00F26DEF" w:rsidRDefault="00722039" w:rsidP="00722039">
      <w:pPr>
        <w:pStyle w:val="Titreobjet"/>
        <w:rPr>
          <w:noProof/>
        </w:rPr>
      </w:pPr>
      <w:r w:rsidRPr="00722039">
        <w:t>par Spānijas 2017.</w:t>
      </w:r>
      <w:r>
        <w:t> </w:t>
      </w:r>
      <w:r w:rsidRPr="00722039">
        <w:t>gada valsts reformu programmu</w:t>
      </w:r>
      <w:r w:rsidRPr="00722039">
        <w:br/>
      </w:r>
      <w:r w:rsidRPr="00722039">
        <w:br/>
        <w:t>un ar ko sniedz Padomes atzinumu par Spānijas 2017.</w:t>
      </w:r>
      <w:r>
        <w:t> </w:t>
      </w:r>
      <w:r w:rsidRPr="00722039">
        <w:t>gada stabilitātes programmu</w:t>
      </w:r>
      <w:r w:rsidRPr="00722039">
        <w:br/>
      </w:r>
    </w:p>
    <w:p w:rsidR="00F26DEF" w:rsidRDefault="00722039">
      <w:pPr>
        <w:pStyle w:val="Institutionquiagit"/>
        <w:rPr>
          <w:noProof/>
        </w:rPr>
      </w:pPr>
      <w:r>
        <w:rPr>
          <w:noProof/>
        </w:rPr>
        <w:t>EIROPAS SAVIENĪBAS PADOME,</w:t>
      </w:r>
    </w:p>
    <w:p w:rsidR="00F26DEF" w:rsidRDefault="00722039">
      <w:pPr>
        <w:rPr>
          <w:noProof/>
        </w:rPr>
      </w:pPr>
      <w:r>
        <w:rPr>
          <w:noProof/>
        </w:rPr>
        <w:t>ņemot vērā Līgumu par Eiropas Savienības darbību un jo īpaši tā 121. panta 2. punktu un 148. panta 4. punktu,</w:t>
      </w:r>
    </w:p>
    <w:p w:rsidR="00F26DEF" w:rsidRDefault="00722039">
      <w:pPr>
        <w:rPr>
          <w:noProof/>
        </w:rPr>
      </w:pPr>
      <w:r>
        <w:rPr>
          <w:noProof/>
        </w:rPr>
        <w:t>ņemot vērā Padomes Regulu (EK) Nr. 1466/97 (1997. gada 7. jūli</w:t>
      </w:r>
      <w:r>
        <w:rPr>
          <w:noProof/>
        </w:rPr>
        <w:t>js) par budžeta stāvokļa uzraudzības un ekonomikas politikas uzraudzības un koordinācijas stiprināšanu</w:t>
      </w:r>
      <w:r>
        <w:rPr>
          <w:rStyle w:val="FootnoteReference"/>
          <w:noProof/>
        </w:rPr>
        <w:footnoteReference w:id="2"/>
      </w:r>
      <w:r>
        <w:rPr>
          <w:noProof/>
        </w:rPr>
        <w:t xml:space="preserve"> un jo īpaši tās 5. panta 2. punktu,</w:t>
      </w:r>
    </w:p>
    <w:p w:rsidR="00F26DEF" w:rsidRDefault="00722039">
      <w:pPr>
        <w:rPr>
          <w:noProof/>
        </w:rPr>
      </w:pPr>
      <w:r>
        <w:rPr>
          <w:noProof/>
        </w:rPr>
        <w:t xml:space="preserve">ņemot vērā Eiropas Parlamenta un Padomes Regulu (ES) Nr. 1176/2011 (2011. gada 16. novembris) par to, kā novērst un </w:t>
      </w:r>
      <w:r>
        <w:rPr>
          <w:noProof/>
        </w:rPr>
        <w:t>koriģēt makroekonomisko nelīdzsvarotību</w:t>
      </w:r>
      <w:r>
        <w:rPr>
          <w:rStyle w:val="FootnoteReference"/>
          <w:noProof/>
        </w:rPr>
        <w:footnoteReference w:id="3"/>
      </w:r>
      <w:r>
        <w:rPr>
          <w:noProof/>
        </w:rPr>
        <w:t>, un jo īpaši tās 6. panta 1. punktu,</w:t>
      </w:r>
    </w:p>
    <w:p w:rsidR="00F26DEF" w:rsidRDefault="00722039">
      <w:pPr>
        <w:rPr>
          <w:noProof/>
        </w:rPr>
      </w:pPr>
      <w:r>
        <w:rPr>
          <w:noProof/>
        </w:rPr>
        <w:t>ņemot vērā Eiropas Komisijas ieteikumu</w:t>
      </w:r>
      <w:r>
        <w:rPr>
          <w:rStyle w:val="FootnoteReference"/>
          <w:noProof/>
        </w:rPr>
        <w:footnoteReference w:id="4"/>
      </w:r>
      <w:r>
        <w:rPr>
          <w:noProof/>
        </w:rPr>
        <w:t>,</w:t>
      </w:r>
    </w:p>
    <w:p w:rsidR="00F26DEF" w:rsidRDefault="00722039">
      <w:pPr>
        <w:rPr>
          <w:noProof/>
        </w:rPr>
      </w:pPr>
      <w:r>
        <w:rPr>
          <w:noProof/>
        </w:rPr>
        <w:t>ņemot vērā Eiropas Parlamenta rezolūcijas</w:t>
      </w:r>
      <w:r>
        <w:rPr>
          <w:rStyle w:val="FootnoteReference"/>
          <w:noProof/>
        </w:rPr>
        <w:footnoteReference w:id="5"/>
      </w:r>
      <w:r>
        <w:rPr>
          <w:noProof/>
        </w:rPr>
        <w:t>,</w:t>
      </w:r>
    </w:p>
    <w:p w:rsidR="00F26DEF" w:rsidRDefault="00722039">
      <w:pPr>
        <w:outlineLvl w:val="0"/>
        <w:rPr>
          <w:noProof/>
        </w:rPr>
      </w:pPr>
      <w:r>
        <w:rPr>
          <w:noProof/>
        </w:rPr>
        <w:t>ņemot vērā Eiropadomes secinājumus,</w:t>
      </w:r>
    </w:p>
    <w:p w:rsidR="00F26DEF" w:rsidRDefault="00722039">
      <w:pPr>
        <w:rPr>
          <w:noProof/>
        </w:rPr>
      </w:pPr>
      <w:r>
        <w:rPr>
          <w:noProof/>
        </w:rPr>
        <w:t>ņemot vērā Nodarbinātības komitejas atzinumu,</w:t>
      </w:r>
    </w:p>
    <w:p w:rsidR="00F26DEF" w:rsidRDefault="00722039">
      <w:pPr>
        <w:rPr>
          <w:noProof/>
        </w:rPr>
      </w:pPr>
      <w:r>
        <w:rPr>
          <w:noProof/>
        </w:rPr>
        <w:t xml:space="preserve">ņemot vērā </w:t>
      </w:r>
      <w:r>
        <w:rPr>
          <w:noProof/>
        </w:rPr>
        <w:t>Ekonomikas un finanšu komitejas atzinumu,</w:t>
      </w:r>
    </w:p>
    <w:p w:rsidR="00F26DEF" w:rsidRDefault="00722039">
      <w:pPr>
        <w:rPr>
          <w:noProof/>
        </w:rPr>
      </w:pPr>
      <w:r>
        <w:rPr>
          <w:noProof/>
        </w:rPr>
        <w:t>ņemot vērā Sociālās aizsardzības komitejas atzinumu,</w:t>
      </w:r>
    </w:p>
    <w:p w:rsidR="00F26DEF" w:rsidRDefault="00722039">
      <w:pPr>
        <w:rPr>
          <w:noProof/>
        </w:rPr>
      </w:pPr>
      <w:r>
        <w:rPr>
          <w:noProof/>
        </w:rPr>
        <w:t>ņemot vērā Ekonomikas politikas komitejas atzinumu,</w:t>
      </w:r>
    </w:p>
    <w:p w:rsidR="00F26DEF" w:rsidRDefault="00722039">
      <w:pPr>
        <w:rPr>
          <w:noProof/>
        </w:rPr>
      </w:pPr>
      <w:r>
        <w:rPr>
          <w:noProof/>
        </w:rPr>
        <w:t>tā kā:</w:t>
      </w:r>
    </w:p>
    <w:p w:rsidR="00F26DEF" w:rsidRDefault="00722039">
      <w:pPr>
        <w:pStyle w:val="Point0number"/>
        <w:numPr>
          <w:ilvl w:val="0"/>
          <w:numId w:val="1"/>
        </w:numPr>
        <w:rPr>
          <w:noProof/>
        </w:rPr>
      </w:pPr>
      <w:r>
        <w:rPr>
          <w:noProof/>
        </w:rPr>
        <w:t>Komisija 2016. gada 16. novembrī pieņēma gada izaugsmes pētījumu</w:t>
      </w:r>
      <w:r>
        <w:rPr>
          <w:rStyle w:val="FootnoteReference"/>
          <w:noProof/>
        </w:rPr>
        <w:footnoteReference w:id="6"/>
      </w:r>
      <w:r>
        <w:rPr>
          <w:noProof/>
        </w:rPr>
        <w:t xml:space="preserve">, iezīmējot 2017. gada Eiropas </w:t>
      </w:r>
      <w:r>
        <w:rPr>
          <w:noProof/>
        </w:rPr>
        <w:t>ekonomikas politikas koordinēšanas pusgada sākumu. Gada izaugsmes pētījumā iekļautās prioritātes Eiropadome apstiprināja 2017. gada 9. un 10. martā. Komisija 2016. gada 16. novembrī, pamatojoties uz Regulu (ES) Nr. 1176/2011, pieņēma brīdināšanas mehānisma</w:t>
      </w:r>
      <w:r>
        <w:rPr>
          <w:noProof/>
        </w:rPr>
        <w:t xml:space="preserve"> ziņojumu</w:t>
      </w:r>
      <w:r>
        <w:rPr>
          <w:rStyle w:val="FootnoteReference"/>
          <w:noProof/>
        </w:rPr>
        <w:footnoteReference w:id="7"/>
      </w:r>
      <w:r>
        <w:rPr>
          <w:noProof/>
        </w:rPr>
        <w:t xml:space="preserve">, kurā Spānija bija minēta to dalībvalstu vidū, par kurām tiks izstrādāts padziļināts pārskats. Tajā pašā dienā Komisija pieņēma arī ieteikumu Padomes ieteikumam par eurozonas </w:t>
      </w:r>
      <w:r>
        <w:rPr>
          <w:noProof/>
        </w:rPr>
        <w:lastRenderedPageBreak/>
        <w:t>ekonomikas politiku. Eiropadome atbalstīja šo ieteikumu 2017. gada 9. </w:t>
      </w:r>
      <w:r>
        <w:rPr>
          <w:noProof/>
        </w:rPr>
        <w:t>un10. martā, un 2017. gada 21. martā Padome to pieņēma</w:t>
      </w:r>
      <w:r>
        <w:rPr>
          <w:rStyle w:val="FootnoteReference"/>
          <w:noProof/>
        </w:rPr>
        <w:footnoteReference w:id="8"/>
      </w:r>
      <w:r>
        <w:rPr>
          <w:noProof/>
        </w:rPr>
        <w:t>.</w:t>
      </w:r>
    </w:p>
    <w:p w:rsidR="00F26DEF" w:rsidRDefault="00722039">
      <w:pPr>
        <w:pStyle w:val="Point0number"/>
        <w:numPr>
          <w:ilvl w:val="0"/>
          <w:numId w:val="1"/>
        </w:numPr>
        <w:rPr>
          <w:noProof/>
        </w:rPr>
      </w:pPr>
      <w:r>
        <w:rPr>
          <w:noProof/>
        </w:rPr>
        <w:t>Tā kā Spānijas kā dalībvalsts valūta ir euro un ņemot vērā to, ka ekonomikas un monetārajā savienībā starp ekonomikām ir cieša savstarpēja saikne, Spānijai būtu jānodrošina pilnīga un savlaicīga iete</w:t>
      </w:r>
      <w:r>
        <w:rPr>
          <w:noProof/>
        </w:rPr>
        <w:t>ikuma par eurozonu, kas ir atspoguļots 1.–3. ieteikumā, īstenošana.</w:t>
      </w:r>
    </w:p>
    <w:p w:rsidR="00F26DEF" w:rsidRDefault="00722039">
      <w:pPr>
        <w:pStyle w:val="Point0number"/>
        <w:rPr>
          <w:noProof/>
        </w:rPr>
      </w:pPr>
      <w:r>
        <w:rPr>
          <w:noProof/>
        </w:rPr>
        <w:t>2017. gada ziņojums par Spāniju</w:t>
      </w:r>
      <w:r>
        <w:rPr>
          <w:rStyle w:val="FootnoteReference"/>
          <w:noProof/>
        </w:rPr>
        <w:footnoteReference w:id="9"/>
      </w:r>
      <w:r>
        <w:rPr>
          <w:noProof/>
        </w:rPr>
        <w:t xml:space="preserve"> tika publicēts 2017. gada 22. februārī. Tajā tika izvērtēti Spānijas panākumi attiecībā uz to, kā tiek īstenoti Padomes 2016. gada 12. jūlijā pieņemtie kon</w:t>
      </w:r>
      <w:r>
        <w:rPr>
          <w:noProof/>
        </w:rPr>
        <w:t>krētai valstij adresētie ieteikumi, turpmākie pasākumi, kas veikti pēc iepriekšējos gados pieņemtajiem ieteikumiem, un Spānijas progress virzībā uz stratēģijas „Eiropa 2020” valsts mērķu sasniegšanu. Tajā bija ietverts arī padziļināts pārskats, kurš veikts</w:t>
      </w:r>
      <w:r>
        <w:rPr>
          <w:noProof/>
        </w:rPr>
        <w:t xml:space="preserve"> saskaņā ar Regulas (ES) Nr. 1176/2011 5. pantu un kura rezultāti arī tika publicēti 2017. gada 22. februārī</w:t>
      </w:r>
      <w:r>
        <w:rPr>
          <w:rStyle w:val="FootnoteReference"/>
          <w:noProof/>
        </w:rPr>
        <w:footnoteReference w:id="10"/>
      </w:r>
      <w:r>
        <w:rPr>
          <w:noProof/>
        </w:rPr>
        <w:t>. Komisijas veiktā analīze ļauj secināt, ka Spānijā ir makroekonomikas nelīdzsvarotība, kurai ir pārrobežu nozīme. Konkrētāk – tekošā konta pārpali</w:t>
      </w:r>
      <w:r>
        <w:rPr>
          <w:noProof/>
        </w:rPr>
        <w:t>kumi samazina Spānijas neto ārējās saistības, taču tās joprojām ir diezgan lielas un pakļauj valsti izmaiņām tirgus noskaņojumā. Privātā sektora parāds ir ievērojami samazinājies, jo īpaši uzņēmumu gadījumā, taču mājsaimniecību parāds vēl aizvien ir augsts</w:t>
      </w:r>
      <w:r>
        <w:rPr>
          <w:noProof/>
        </w:rPr>
        <w:t>.</w:t>
      </w:r>
      <w:r>
        <w:rPr>
          <w:b/>
          <w:noProof/>
        </w:rPr>
        <w:t xml:space="preserve"> </w:t>
      </w:r>
      <w:r>
        <w:rPr>
          <w:noProof/>
        </w:rPr>
        <w:t>Ekonomikas izaugsme ir kļuvusi par galveno dzinuli parāda samazināšanai, taču fiskālās stabilitātes riski vidējā termiņā saglabājas augstā līmenī. Īpaši svarīgi ir rīkoties, lai samazinātu risku, ka nelīdzsvarotība nelabvēlīgi ietekmēs Spānijas ekonomiku</w:t>
      </w:r>
      <w:r>
        <w:rPr>
          <w:noProof/>
        </w:rPr>
        <w:t xml:space="preserve"> un – ņemot vērā valsts lielumu un pārrobežu nozīmi – ekonomisko un monetāro savienību. Finanšu sektors ir turpinājis saglabāt augstu stabilitātes līmeni, ko veicina šajā sektorā notiekošā pārstrukturēšana, nelielās finansēšanas izmaksas un ekonomikas atla</w:t>
      </w:r>
      <w:r>
        <w:rPr>
          <w:noProof/>
        </w:rPr>
        <w:t>bšana. Pēdējos gados ir vērojams spēcīgs darbvietu skaita pieaugums, un bezdarba līmenis ir strauji samazinājies, taču vēl aizvien ir ļoti augsts.</w:t>
      </w:r>
      <w:r>
        <w:rPr>
          <w:b/>
          <w:noProof/>
        </w:rPr>
        <w:t xml:space="preserve"> </w:t>
      </w:r>
      <w:r>
        <w:rPr>
          <w:noProof/>
        </w:rPr>
        <w:t>Darba tirgus reformas un algu mērenība pēdējos gados ir būtiski sekmējušas jaunu darbavietu spēcīgu izveidi u</w:t>
      </w:r>
      <w:r>
        <w:rPr>
          <w:noProof/>
        </w:rPr>
        <w:t>n konkurētspējas uzlabošanu.</w:t>
      </w:r>
    </w:p>
    <w:p w:rsidR="00F26DEF" w:rsidRDefault="00722039">
      <w:pPr>
        <w:pStyle w:val="Point0number"/>
        <w:rPr>
          <w:noProof/>
        </w:rPr>
      </w:pPr>
      <w:r>
        <w:rPr>
          <w:noProof/>
        </w:rPr>
        <w:t>Spānija 2017. gada 28. aprīlī iesniedza savu 2017. gada valsts reformu programmu, savukārt 2017. gada 29. aprīlī Spānija iesniedza 2017. gada stabilitātes programmu. Lai ņemtu vērā abu programmu savstarpējo saistību, tās tika i</w:t>
      </w:r>
      <w:r>
        <w:rPr>
          <w:noProof/>
        </w:rPr>
        <w:t>zvērtētas vienlaikus.</w:t>
      </w:r>
    </w:p>
    <w:p w:rsidR="00F26DEF" w:rsidRDefault="00722039">
      <w:pPr>
        <w:pStyle w:val="Point0number"/>
        <w:rPr>
          <w:noProof/>
        </w:rPr>
      </w:pPr>
      <w:r>
        <w:rPr>
          <w:noProof/>
        </w:rPr>
        <w:t>Attiecīgie konkrētai valstij adresētie ieteikumi ir ņemti vērā, veicot dalībvalstu programmu plānošanu attiecībā uz Eiropas strukturālajiem un investīciju fondiem (ESI fondi) 2014.–2020. gadam. Kā paredzēts tiesību aktā, kas reglament</w:t>
      </w:r>
      <w:r>
        <w:rPr>
          <w:noProof/>
        </w:rPr>
        <w:t>ē ESI fondus</w:t>
      </w:r>
      <w:r>
        <w:rPr>
          <w:rStyle w:val="FootnoteReference"/>
          <w:noProof/>
        </w:rPr>
        <w:footnoteReference w:id="11"/>
      </w:r>
      <w:r>
        <w:rPr>
          <w:noProof/>
        </w:rPr>
        <w:t>, ja ir nepieciešams atbalsts attiecīgo konkrētai valstij adresēto ieteikumu īstenošanā, Komisija var lūgt dalībvalsti pārskatīt un grozīt tās attiecīgās ESI fondu programmas. Komisija ir sniegusi papildu norādes par minēto noteikumu piemēroša</w:t>
      </w:r>
      <w:r>
        <w:rPr>
          <w:noProof/>
        </w:rPr>
        <w:t>nu</w:t>
      </w:r>
      <w:r>
        <w:rPr>
          <w:rStyle w:val="FootnoteReference"/>
          <w:noProof/>
        </w:rPr>
        <w:footnoteReference w:id="12"/>
      </w:r>
      <w:r>
        <w:rPr>
          <w:noProof/>
        </w:rPr>
        <w:t>.</w:t>
      </w:r>
    </w:p>
    <w:p w:rsidR="00F26DEF" w:rsidRDefault="00722039">
      <w:pPr>
        <w:pStyle w:val="Point0number"/>
        <w:rPr>
          <w:noProof/>
        </w:rPr>
      </w:pPr>
      <w:r>
        <w:rPr>
          <w:noProof/>
        </w:rPr>
        <w:t xml:space="preserve">Uz Spāniju pašlaik attiecas Stabilitātes un izaugsmes pakta preventīvā daļa. 2017. gada stabilitātes programmā Spānija plāno līdz 2018. gadam novērst pārmērīgo deficītu, kas atbilst Padomes 2016. gada 8. augusta paziņojumam. Tiek plānots, ka </w:t>
      </w:r>
      <w:r>
        <w:rPr>
          <w:noProof/>
        </w:rPr>
        <w:t>nominālais deficīts turpinās samazināties, 2020. gadā sasniedzot 0,5 % no IKP. Programmā izklāstīto izdevumu prognozēs ir ņemta vērā iespējamo saistību realizēšanās autoceļu jomā un finanšu nozarē; minētās saistības sasniedz gandrīz 0,4 % no IKP 2017. gadā</w:t>
      </w:r>
      <w:r>
        <w:rPr>
          <w:noProof/>
        </w:rPr>
        <w:t xml:space="preserve"> un 0,2 % no IKP 2018. gadā. Stabilitātes programmas darbības laikā netiek plānots sasniegt vidēja termiņa budžeta mērķi – līdzsvarotu budžeta stāvokli strukturālā izteiksmē. Prognozēts, ka pārrēķinātā strukturālā bilance</w:t>
      </w:r>
      <w:r>
        <w:rPr>
          <w:rStyle w:val="FootnoteReference"/>
          <w:noProof/>
        </w:rPr>
        <w:footnoteReference w:id="13"/>
      </w:r>
      <w:r>
        <w:rPr>
          <w:noProof/>
        </w:rPr>
        <w:t xml:space="preserve"> 2020. gadā sasniegs -1,9 % no IKP</w:t>
      </w:r>
      <w:r>
        <w:rPr>
          <w:noProof/>
        </w:rPr>
        <w:t>. Stabilitātes programmā prognozēts, ka valdības parāda attiecība pret IKP 2017. gadā samazināsies līdz 98,8 %, 2018. gadā – līdz 97,6 %, savukārt 2020. gadā – līdz 92,5 %. Programmas makroekonomiskie pieņēmumi ir ticami līdz 2018. gadam, savukārt attiecīb</w:t>
      </w:r>
      <w:r>
        <w:rPr>
          <w:noProof/>
        </w:rPr>
        <w:t>ā uz laikposmu pēc tam tie kļūst visai optimistiski. Plānotā mērķu sasniegšana kopumā joprojām ir atkarīga no labām ekonomikas attīstības perspektīvām, taču ir pakļauta riskiem. Citi riski fiskālo mērķu sasniegšanai ir saistīti ar neskaidrību par nesen īst</w:t>
      </w:r>
      <w:r>
        <w:rPr>
          <w:noProof/>
        </w:rPr>
        <w:t>enoto nodokļu pasākumu ietekmi. Turklāt, pieņemot, ka iespējamās saistības (kuras nav iekļautas Komisijas prognozē) realizējas, programma ir atkarīga no ievērojami lielākas izdevumu ierobežošanas 2017. un 2018. gadā, nekā paredzēts Komisijas prognozē. Visb</w:t>
      </w:r>
      <w:r>
        <w:rPr>
          <w:noProof/>
        </w:rPr>
        <w:t>eidzot, pasākumi, kas vajadzīgi, lai veicinātu plānoto deficīta mērķu sasniegšanu 2018. gadā, vēl nav precizēti.</w:t>
      </w:r>
    </w:p>
    <w:p w:rsidR="00F26DEF" w:rsidRDefault="00722039">
      <w:pPr>
        <w:pStyle w:val="Point0number"/>
        <w:rPr>
          <w:noProof/>
        </w:rPr>
      </w:pPr>
      <w:r>
        <w:rPr>
          <w:noProof/>
        </w:rPr>
        <w:t>Padome 2016. gada 8. augustā pieprasīja Spānijai līdz 2018. gadam novērst pārmērīgu budžeta deficīta situāciju un jo īpaši samazināt vispārējās</w:t>
      </w:r>
      <w:r>
        <w:rPr>
          <w:noProof/>
        </w:rPr>
        <w:t xml:space="preserve"> valdības budžeta deficītu 2016. gadā līdz 4,6 % no IKP, 2017. gadā – līdz 3,1 % no IKP un 2018. gadā – līdz 2,2 % no IKP. Pamatojoties uz Komisijas atjaunināto 2016. gada pavasara prognozi, šis vispārējās valdības bilances uzlabojums tika uzskatīts par at</w:t>
      </w:r>
      <w:r>
        <w:rPr>
          <w:noProof/>
        </w:rPr>
        <w:t>bilstošu strukturālās bilances pasliktinājumam par 0,4 % no IKP 2016. gadā un uzlabojumam par 0,5 % no IKP gan 2017., gan 2018. gadā. 2016. gadā Spānijas nominālais deficīts bija 4,5 % no IKP, kas ir nedaudz zem Padomes noteiktā mērķa. Saskaņā ar Komisijas</w:t>
      </w:r>
      <w:r>
        <w:rPr>
          <w:noProof/>
        </w:rPr>
        <w:t xml:space="preserve"> 2017. gada pavasara prognozi paredzams, ka nemainīgas politikas gadījumā nominālais deficīts 2017. gadā samazināsies līdz 3,2 % no IKP un turpinās samazināties 2018. gadā – līdz 2,6 % no IKP, kas par 0,1 % un 0,4 % no IKP pārsniedz stabilitātes programmā </w:t>
      </w:r>
      <w:r>
        <w:rPr>
          <w:noProof/>
        </w:rPr>
        <w:t>izklāstītos un Padomes noteiktos nominālā deficīta mērķus. Atšķirībā no stabilitātes programmas šajā prognozē netiek pieņemts, ka realizēsies iepriekš minētās iespējamās saistības. Paredzams, ka 2016. un 2017. gadā kumulatīvie fiskālie centieni tiks strikt</w:t>
      </w:r>
      <w:r>
        <w:rPr>
          <w:noProof/>
        </w:rPr>
        <w:t>i īstenoti, savukārt, pamatojoties uz pieņēmumu par nemainīgu politiku, tiek prognozēts, ka 2018. gadā tie nesasniegs Padomes pieprasīto apmēru. Turklāt Padome 2016. gada augustā lūdza Spāniju veikt pasākumus savas fiskālās sistēmas uzlabošanai, taču stabi</w:t>
      </w:r>
      <w:r>
        <w:rPr>
          <w:noProof/>
        </w:rPr>
        <w:t>litātes programmā nav informācijas par plāniem, kuru mērķis ir stiprināt Likumā par stabilitāti iekļautā izdevumu noteikuma ieguldījumu publisko finanšu stabilitātē. Kopumā Padome uzskata, ka būs vajadzīgi turpmāki pasākumi, jo īpaši 2018. gadā, lai ievēro</w:t>
      </w:r>
      <w:r>
        <w:rPr>
          <w:noProof/>
        </w:rPr>
        <w:t>tu Stabilitātes un izaugsmes pakta noteikumus un jo īpaši Padomes 2016. gada 8. augusta paziņojuma nosacījumus.</w:t>
      </w:r>
    </w:p>
    <w:p w:rsidR="00F26DEF" w:rsidRDefault="00722039">
      <w:pPr>
        <w:pStyle w:val="Point0number"/>
        <w:rPr>
          <w:noProof/>
        </w:rPr>
      </w:pPr>
      <w:r>
        <w:rPr>
          <w:noProof/>
        </w:rPr>
        <w:t>Spānijai joprojām trūkst skaidra un saskaņota publiskā iepirkuma politikas satvara, kas nodrošina atbilstību tiesību aktiem un augstu konkurence</w:t>
      </w:r>
      <w:r>
        <w:rPr>
          <w:noProof/>
        </w:rPr>
        <w:t xml:space="preserve">s un ekonomiskās efektivitātes līmeni, ko panāktu, izmantojot efektīvus </w:t>
      </w:r>
      <w:r>
        <w:rPr>
          <w:i/>
          <w:noProof/>
        </w:rPr>
        <w:t>ex ante</w:t>
      </w:r>
      <w:r>
        <w:rPr>
          <w:noProof/>
        </w:rPr>
        <w:t xml:space="preserve"> un </w:t>
      </w:r>
      <w:r>
        <w:rPr>
          <w:i/>
          <w:noProof/>
        </w:rPr>
        <w:t>ex post</w:t>
      </w:r>
      <w:r>
        <w:rPr>
          <w:noProof/>
        </w:rPr>
        <w:t xml:space="preserve"> kontroles mehānismus un nodrošinot lielāku pārredzamību un koordināciju līgumslēdzējās iestādēs un struktūrās visos valdības līmeņos. 2017. gadā valdība ir nākusi kl</w:t>
      </w:r>
      <w:r>
        <w:rPr>
          <w:noProof/>
        </w:rPr>
        <w:t>ajā ar dažiem pasākumiem, kuri uzlabotu publiskā iepirkuma uzraudzības sistēmu un pašlaik gaida parlamenta apstiprinājumu.</w:t>
      </w:r>
    </w:p>
    <w:p w:rsidR="00F26DEF" w:rsidRDefault="00722039">
      <w:pPr>
        <w:pStyle w:val="Point0number"/>
        <w:rPr>
          <w:noProof/>
        </w:rPr>
      </w:pPr>
      <w:r>
        <w:rPr>
          <w:noProof/>
        </w:rPr>
        <w:t>Spānija ir guvusi panākumus cīņā pret korupciju, jo īpaši attiecībā uz administratīvo lēmumu pieņemšanas procesa pārredzamību, konkrē</w:t>
      </w:r>
      <w:r>
        <w:rPr>
          <w:noProof/>
        </w:rPr>
        <w:t>tāk – tā ir ieviesusi tiesību aktus par partiju finansējuma pārredzamību, aktīvu atklāšanu un interešu konfliktiem. Uzsvars tagad tiek likts uz šo pasākumu īstenošanu. Tomēr, neraugoties uz to, ka vietējā un reģionālā līmenī ir pieaudzis korupcijas lietu i</w:t>
      </w:r>
      <w:r>
        <w:rPr>
          <w:noProof/>
        </w:rPr>
        <w:t>zmeklēšanas skaits, šajos valdības līmeņos nav izstrādātas individuāli pielāgotas un preventīvas stratēģijas korupcijas risku mazināšanai, kā arī nav ieviesta kopīga, dažādus valdības līmeņus aptveroša preventīva stratēģija. Vēl nav veikti specifiski turpm</w:t>
      </w:r>
      <w:r>
        <w:rPr>
          <w:noProof/>
        </w:rPr>
        <w:t>āki pasākumi attiecībā uz tādām citām nepilnībām kā, piemēram, trauksmes cēlēju aizsardzībai paredzētu tiesību aktu trūkums, nesen izveidotā interešu konfliktu novēršanas biroja neatkarības pakāpe un lobēšanas regulējuma trūkums. Vēl viens jautājums attiec</w:t>
      </w:r>
      <w:r>
        <w:rPr>
          <w:noProof/>
        </w:rPr>
        <w:t>as uz ilgstošām tiesas procedūrām korupcijas lietās. Kaut arī 2015. gadā tika grozīts Kriminālprocesa likums, lai ierobežotu izmeklēšanām atvēlēto laiku un samazinātu kriminālprocesu nepamatotu kavēšanos, šis pasākums rezultātā varētu nozīmēt nesodāmību sa</w:t>
      </w:r>
      <w:r>
        <w:rPr>
          <w:noProof/>
        </w:rPr>
        <w:t>režģītās korupcijas lietās, kurās laika termiņi nebūtu pietiekami, lai sagatavotu lietu iesniegšanai tiesā.</w:t>
      </w:r>
    </w:p>
    <w:p w:rsidR="00F26DEF" w:rsidRDefault="00722039">
      <w:pPr>
        <w:pStyle w:val="Point0number"/>
        <w:rPr>
          <w:noProof/>
        </w:rPr>
      </w:pPr>
      <w:r>
        <w:rPr>
          <w:noProof/>
        </w:rPr>
        <w:t>Neraugoties uz to, ka PVN standarta likme atbilst ES vidējam rādītājam, Spānijas ieņēmumi no PVN ir salīdzinoši mazi. Tas galvenokārt skaidrojams ar</w:t>
      </w:r>
      <w:r>
        <w:rPr>
          <w:noProof/>
        </w:rPr>
        <w:t xml:space="preserve"> to, ka Spānija dažādiem izstrādājumiem un pakalpojumiem plaši piemēro atbrīvojumus vai samazinātas likmes. Rezultātā Spānijā 2014. gadā bija Eiropas Savienībā vislielākais to iespējamo ieņēmumu īpatsvars, ko varētu gūt, ja piemērotu standarta PVN likmi (5</w:t>
      </w:r>
      <w:r>
        <w:rPr>
          <w:noProof/>
        </w:rPr>
        <w:t>9 % salīdzinājumā ar ES vidējo rādītāju, kas ir aptuveni 44 %). Līdzīgā kārtā arī Spānijas ieņēmumi no vides nodokļiem ir vieni no mazākajiem Eiropas Savienībā, neraugoties uz dažiem pasākumiem, kas veikti pēdējos gados, galvenokārt enerģētikas nozarē. Pie</w:t>
      </w:r>
      <w:r>
        <w:rPr>
          <w:noProof/>
        </w:rPr>
        <w:t>sārņojuma un resursu izmantošanas aplikšana ar nodokļiem var palielināt ieņēmumus un radīt būtiskus ieguvumus sociālajā un vides jomā. Regulējumā pastāv arī atšķirības, kas reģionālajā līmenī rada neviendabīgu pieeju dažiem vides nodokļiem. Attiecībā uz iz</w:t>
      </w:r>
      <w:r>
        <w:rPr>
          <w:noProof/>
        </w:rPr>
        <w:t xml:space="preserve">devumiem valdība ir uzdevusi Spānijas Neatkarīgajai fiskālajai iestādei </w:t>
      </w:r>
      <w:r>
        <w:rPr>
          <w:i/>
          <w:noProof/>
        </w:rPr>
        <w:t>AIReF</w:t>
      </w:r>
      <w:r>
        <w:rPr>
          <w:noProof/>
        </w:rPr>
        <w:t xml:space="preserve"> veikt izdevumu pārskatīšanu, kas aptver visus centrālās valdības līmeņus. Šī pārskatīšana var palīdzēt apzināt jomas, kurās izdevumu vajadzības var apmierināt, efektīvāk izmantoj</w:t>
      </w:r>
      <w:r>
        <w:rPr>
          <w:noProof/>
        </w:rPr>
        <w:t>ot resursus.</w:t>
      </w:r>
    </w:p>
    <w:p w:rsidR="00F26DEF" w:rsidRDefault="00722039">
      <w:pPr>
        <w:pStyle w:val="Point0number"/>
        <w:rPr>
          <w:noProof/>
        </w:rPr>
      </w:pPr>
      <w:r>
        <w:rPr>
          <w:noProof/>
        </w:rPr>
        <w:t>Pēdējos gados ir vērojams spēcīgs darbvietu skaita pieaugums, ko sekmē darba tirgus reformas un algu mērenība. Bezdarba līmenis ir strauji samazinājies, taču joprojām ir viens no augstākajiem Eiropas Savienībā, jo īpaši jauniešu un mazkvalific</w:t>
      </w:r>
      <w:r>
        <w:rPr>
          <w:noProof/>
        </w:rPr>
        <w:t>ētu personu vidū, radot risku, kas šie cilvēki attālinās no darba tirgus. Gandrīz puse bezdarbnieku ir bez darba vairāk nekā gadu. Spānija veic pasākumus, lai atbalstītu jauniešus, jo īpaši paplašinot shēmas „Garantija jauniešiem” atbilstības kritērijus, u</w:t>
      </w:r>
      <w:r>
        <w:rPr>
          <w:noProof/>
        </w:rPr>
        <w:t>n lai palielinātu individuālo atbalstu, ko saņem ilgtermiņa bezdarbnieki. Šo pasākumu efektivitāte ir arī atkarīga no reģionālo valsts nodarbinātības dienestu darbības rezultātiem. Pastāv iespējas pastiprināt šo dienestu sadarbību ar sociālajiem dienestiem</w:t>
      </w:r>
      <w:r>
        <w:rPr>
          <w:noProof/>
        </w:rPr>
        <w:t>, lai uzlabotu lielāka apmēra pakalpojumu sniegšanu darba meklētājiem, jo īpaši ilgtermiņa bezdarbniekiem un personām, kuras piedalās ienākumu garantēšanas shēmās. Vienlaikus varētu uzlabot valsts nodarbinātības dienestu sadarbību ar darba devējiem, jo īpa</w:t>
      </w:r>
      <w:r>
        <w:rPr>
          <w:noProof/>
        </w:rPr>
        <w:t>ši palielinot nodarbinātības dienestu piedāvāto vakanču īpatsvaru.</w:t>
      </w:r>
    </w:p>
    <w:p w:rsidR="00F26DEF" w:rsidRDefault="00722039">
      <w:pPr>
        <w:pStyle w:val="Point0number"/>
        <w:rPr>
          <w:noProof/>
        </w:rPr>
      </w:pPr>
      <w:r>
        <w:rPr>
          <w:noProof/>
        </w:rPr>
        <w:t>Pagaidu nodarbinātības īpatsvars Spānijā ir viens no augstākajiem Eiropas Savienībā, un daudziem pagaidu darba līgumiem ir ļoti īss termiņš. Rādītāji, kas raksturo pāreju no pagaidu uz past</w:t>
      </w:r>
      <w:r>
        <w:rPr>
          <w:noProof/>
        </w:rPr>
        <w:t>āvīgiem līgumiem, ir ļoti zemi salīdzinājumā ar ES vidējo līmeni. Plašā pagaidu līgumu izmantošana iet kopsolī ar mazāku ražīguma pieaugumu (tostarp tādēļ, ka ir mazāk iespēju piedāvāt apmācību darbavietā), sliktākiem darba apstākļiem un augstāku nabadzība</w:t>
      </w:r>
      <w:r>
        <w:rPr>
          <w:noProof/>
        </w:rPr>
        <w:t>s risku. Šķiet, ka nesenās darba tirgus reformas nelielā mērā ir pozitīvi ietekmējušas to, ka ir samazinājusies segmentācija starp pastāvīgiem un pagaidu līgumiem, un šobrīd notiekošā darba inspekciju pastiprināšana dod pozitīvus rezultātus pagaidu darba l</w:t>
      </w:r>
      <w:r>
        <w:rPr>
          <w:noProof/>
        </w:rPr>
        <w:t>īgumu ļaunprātīgas izmantošanas nepieļaušanā. Tomēr dažas Spānijas darba tirgus iezīmes joprojām varētu atturēt no pieņemšanas darbā ar pastāvīgiem līgumiem, tostarp neskaidrība, kas pastāv juridiska strīda gadījumā pēc atlaišanas no darba, kā arī salīdzin</w:t>
      </w:r>
      <w:r>
        <w:rPr>
          <w:noProof/>
        </w:rPr>
        <w:t>oši lieli atlaišanas pabalsti, kuri tiek maksāti darba ņēmējiem ar pastāvīgiem līgumiem. Turklāt darbā pieņemšanas stimulu sistēma vēl aizvien ir sadrumstalota un nav efektīvi vērsta uz to, lai sekmētu beztermiņa nodarbinātību. Kaut arī Spānija nesen – pēc</w:t>
      </w:r>
      <w:r>
        <w:rPr>
          <w:noProof/>
        </w:rPr>
        <w:t xml:space="preserve"> 2014. gadā panāktās vienošanās starp valdību un sociālajiem partneriem – izveidoja darba grupu nodarbinātības kvalitātes jautājumos, Spānija vēl nav izstrādājusi visaptverošu plānu darba tirgus segmentācijas apkarošanai.</w:t>
      </w:r>
    </w:p>
    <w:p w:rsidR="00F26DEF" w:rsidRDefault="00722039">
      <w:pPr>
        <w:pStyle w:val="Point0number"/>
        <w:rPr>
          <w:noProof/>
        </w:rPr>
      </w:pPr>
      <w:r>
        <w:rPr>
          <w:noProof/>
        </w:rPr>
        <w:t>Ienākumu garantiju shēmu attiecinā</w:t>
      </w:r>
      <w:r>
        <w:rPr>
          <w:noProof/>
        </w:rPr>
        <w:t>mības nosacījumi, kā arī saikne starp aktivizēšanu un aizsardzību joprojām atšķiras dažādu reģionu un shēmu starpā. Ienākumu garantiju noteikumos nav ietvertas konkrētas neaizsargāto mājsaimniecību kategorijas. Shēmu ierobežotā efektivitāte ir daļēji izska</w:t>
      </w:r>
      <w:r>
        <w:rPr>
          <w:noProof/>
        </w:rPr>
        <w:t>idrojama ar lielām reģionālo minimālo ienākumu shēmu atbilstības un piekļuves nosacījumu atšķirībām, kā arī ar to, ka valsts mēroga pabalstu sistēma ir sadalīta vairākās shēmās, kas pievēršas dažādām darba meklētāju kategorijām un ko pārvalda dažādas pārva</w:t>
      </w:r>
      <w:r>
        <w:rPr>
          <w:noProof/>
        </w:rPr>
        <w:t>ldes struktūras. Sadrumstalotība rada tā atbalsta pārtrauktību, ko piešķir personām, kurām tas vajadzīgs, un kavē integrētu risinājumu īstenošanu. Reaģējot uz daudzajām problēmām, pašlaik tiek veikts pētījums, kura mērķis ir novērtēt valsts un reģionālā mē</w:t>
      </w:r>
      <w:r>
        <w:rPr>
          <w:noProof/>
        </w:rPr>
        <w:t>roga ienākumu atbalsta shēmu efektivitāti. Ģimenes pabalsti nav mērķtiecīgi. Turklāt, ņemot vērā nodokļu kredītu ietekmi, nodokļu atvieglojumu sistēma kopumā ir nedaudz regresīva. Papildus tam bērnu aprūpes iespēju izmantošana būtiski palielinās tad, ja pi</w:t>
      </w:r>
      <w:r>
        <w:rPr>
          <w:noProof/>
        </w:rPr>
        <w:t>eaug ģimenes ienākumi, kas norāda uz to, ka vecāki ar maziem ienākumiem saskaras ar šķēršļiem šo iespēju izmantošanā. Ilgtermiņa aprūpes pakalpojumu sniegšana uzlabojas, taču atšķiras atkarībā no reģiona, un pašreizējās vajadzības vēl aizvien nav apmierinā</w:t>
      </w:r>
      <w:r>
        <w:rPr>
          <w:noProof/>
        </w:rPr>
        <w:t>tas.</w:t>
      </w:r>
    </w:p>
    <w:p w:rsidR="00F26DEF" w:rsidRDefault="00722039">
      <w:pPr>
        <w:pStyle w:val="Point0number"/>
        <w:rPr>
          <w:noProof/>
        </w:rPr>
      </w:pPr>
      <w:r>
        <w:rPr>
          <w:noProof/>
        </w:rPr>
        <w:t>Vāji izglītības rezultāti negatīvi ietekmē ražīguma pieauguma ilgtermiņa potenciālu Spānijā. Neraugoties uz būtiskiem uzlabojumiem pēdējos gados, priekšlaicīgas mācību pārtraukšanas rādītājs joprojām ir viens no augstākajiem Eiropas Savienībā. Priekšl</w:t>
      </w:r>
      <w:r>
        <w:rPr>
          <w:noProof/>
        </w:rPr>
        <w:t>aicīgas mācību pārtraukšanas rādītāji un skolēnu rezultāti dažādos reģionos ievērojami atšķiras, jo īpaši pamatprasmju gadījumā. Skolotāju apmācība un individuāls skolēnu atbalsts ir vieni no aspektiem, kas veicina sekmīgu izglītību skolās, kuras atrodas l</w:t>
      </w:r>
      <w:r>
        <w:rPr>
          <w:noProof/>
        </w:rPr>
        <w:t xml:space="preserve">abus rezultātus uzrādošos reģionos. Spānijā ir otrais augstākais klašu atkārtošanas rādītājs Eiropas Savienībā, kas palielina risku priekšlaicīgi pārtraukt mācības skolā, samazina izredzes iegūt augstāku izglītības līmeni un palielina izglītības izmaksas. </w:t>
      </w:r>
      <w:r>
        <w:rPr>
          <w:noProof/>
        </w:rPr>
        <w:t>Terciārās izglītības ieguvēju nodarbinātības līmenis joprojām ir salīdzinoši zems. Nelielā studentu un akadēmiskā personāla mobilitāte, ierobežotās stažēšanās iespējas, stimulu trūkums un augstskolu pārvaldības neelastība vēl aizvien ir šķēršļi, kas kavē s</w:t>
      </w:r>
      <w:r>
        <w:rPr>
          <w:noProof/>
        </w:rPr>
        <w:t>adarbību ar uzņēmumiem izglītības vai pētniecības jomā</w:t>
      </w:r>
      <w:r>
        <w:rPr>
          <w:rStyle w:val="CommentReference"/>
          <w:noProof/>
        </w:rPr>
        <w:t>.</w:t>
      </w:r>
      <w:r>
        <w:rPr>
          <w:noProof/>
        </w:rPr>
        <w:t xml:space="preserve"> </w:t>
      </w:r>
    </w:p>
    <w:p w:rsidR="00F26DEF" w:rsidRDefault="00722039">
      <w:pPr>
        <w:pStyle w:val="Point0number"/>
        <w:rPr>
          <w:noProof/>
        </w:rPr>
      </w:pPr>
      <w:r>
        <w:rPr>
          <w:noProof/>
        </w:rPr>
        <w:t>Lai sekmētu ražīgumu un konkurētspēju, Spānijai par labu nāktu turpmāka pētniecības un inovācijas veicināšana. Tomēr inovācijas rezultāti pasliktinās un tagad ir zemākā līmenī nekā 2007. gadā, savukā</w:t>
      </w:r>
      <w:r>
        <w:rPr>
          <w:noProof/>
        </w:rPr>
        <w:t>rt valsts atpalicība no ES vidējā rādītāja laika gaitā ir palielinājusies. Vāji rezultāti inovācijas jomā sakrīt ar privāto pētniecības un izstrādes izdevumu samazināšanos un norāda uz trūkumiem pētniecības un inovācijas pārvaldības satvarā. 2017. gada sāk</w:t>
      </w:r>
      <w:r>
        <w:rPr>
          <w:noProof/>
        </w:rPr>
        <w:t>umā darbību ir sākusi Valsts pētniecības aģentūra, kas atbild par centrālās valdības piešķirtā pētniecības un inovācijas finansējuma pārvaldību. Līdz šim nav ieviesta atbalsta programmu budžetu sistemātiska daudzgadu plānošana. Arī atbalsta programmu efekt</w:t>
      </w:r>
      <w:r>
        <w:rPr>
          <w:noProof/>
        </w:rPr>
        <w:t>ivitāte netiek sistemātiski izvērtēta, lai uzlabotu šo programmu struktūru un īstenošanu. Stimulu trūkuma un augstskolu pārvaldības neelastības dēļ arī publiskā un privātā sektora sadarbība joprojām ir vāja, un pētnieku mobilitāte starp publisko un privāto</w:t>
      </w:r>
      <w:r>
        <w:rPr>
          <w:noProof/>
        </w:rPr>
        <w:t xml:space="preserve"> sektoru ir zema. Koordinācija starp dažādiem valdības līmeņiem nav optimāla, kā rezultātā valsts un reģionālās politikas virzienos nav pilnīgas sinerģijas.</w:t>
      </w:r>
    </w:p>
    <w:p w:rsidR="00F26DEF" w:rsidRDefault="00722039">
      <w:pPr>
        <w:pStyle w:val="Point0number"/>
        <w:rPr>
          <w:noProof/>
        </w:rPr>
      </w:pPr>
      <w:r>
        <w:rPr>
          <w:noProof/>
        </w:rPr>
        <w:t>Šķiet, ka Spānijas mazo uzņēmumu ražīgums ir ievērojami zemāks par salīdzināmu uzņēmumu ražīgumu ci</w:t>
      </w:r>
      <w:r>
        <w:rPr>
          <w:noProof/>
        </w:rPr>
        <w:t>tās lielās ES dalībvalstīs. Ņemot vērā mazo uzņēmumu izplatību Spānijā, tas būtiski ietekmē ražīgumu ekonomikā kopumā. Tāpēc, mazinot šķēršļus uzņēmumu izveidei, darbībai un izaugsmei, palielinātos ieguldījumi un ražīgums. Spānijas valdība pēdējos gados pi</w:t>
      </w:r>
      <w:r>
        <w:rPr>
          <w:noProof/>
        </w:rPr>
        <w:t>eņēma vairākus pasākumus, kuru mērķis ir atvieglot uzņēmumu dibināšanu un izaugsmi. Šo reformu konsolidēšana un pilnīga īstenošana ir ļoti svarīga, lai pilnībā gūtu labumu no tām. 2013. gadā pieņemtais tirgus vienotības likums ir sekmējis to, ka tiek samaz</w:t>
      </w:r>
      <w:r>
        <w:rPr>
          <w:noProof/>
        </w:rPr>
        <w:t>inātas papildu izmaksas, ko uzņēmējiem rada uzņēmējdarbības normu būtiskās atšķirības un pārklāšanās dažādos reģionos. Tas, ka uzņēmumi aizvien biežāk izmanto šajā likumā paredzēto sūdzību izskatīšanas mehānismu, lai tirgus piekļuves šķēršļu gadījumos mekl</w:t>
      </w:r>
      <w:r>
        <w:rPr>
          <w:noProof/>
        </w:rPr>
        <w:t>ētu tiesisko aizsardzību, norāda uz nepieciešamību, iespējams, vēl vairāk vienkāršot licencēšanas procedūras. Jāpieliek lielākas pūles, lai panāktu koordināciju starp attiecīgajām valsts pārvaldes iestādēm, tostarp nozaru konferenču līmenī. Tas ir ļoti sva</w:t>
      </w:r>
      <w:r>
        <w:rPr>
          <w:noProof/>
        </w:rPr>
        <w:t>rīgi, lai nodrošinātu, ka esošie un gaidāmie tiesību akti visos līmeņos efektīvi novērš nevajadzīgos šķēršļus ienākšanai tirgū, tostarp attiecībā uz jauniem uzņēmējdarbības modeļiem sadarbīgajā ekonomikā. Divkāršas atļaujas mazumtirdzniecības uzņēmumu dibi</w:t>
      </w:r>
      <w:r>
        <w:rPr>
          <w:noProof/>
        </w:rPr>
        <w:t>nāšanai joprojām nevajadzīgi ierobežo ienākšanu tirgū mazumtirdzniecības nozarē. Tiesību aktos par tādu pakalpojumu nozari, kurus sniedz transportlīdzekļi ar vadītājiem, paredzētie tirgus piekļuves nosacījumi, kā arī reģionālā līmeņa tiesību akti, kas atti</w:t>
      </w:r>
      <w:r>
        <w:rPr>
          <w:noProof/>
        </w:rPr>
        <w:t>ecas uz izmitināšanas pakalpojumu īstermiņa īrēšanu, varētu nevajadzīgi kavēt līdzsvarotu sadarbīgās ekonomikas attīstību. 2017. gada pirmajos mēnešos Spānija ir veikusi pasākumus, lai ieviestu dzīvē tirgus vienotības likumu; kā piemērs ir minamas nesen pi</w:t>
      </w:r>
      <w:r>
        <w:rPr>
          <w:noProof/>
        </w:rPr>
        <w:t>eņemtās norādes šā likuma īstenošanai, kā arī publicētais katalogs par labo un slikto praksi likumā piemērošanā.</w:t>
      </w:r>
    </w:p>
    <w:p w:rsidR="00F26DEF" w:rsidRDefault="00722039">
      <w:pPr>
        <w:pStyle w:val="Point0number"/>
        <w:rPr>
          <w:noProof/>
        </w:rPr>
      </w:pPr>
      <w:r>
        <w:rPr>
          <w:noProof/>
        </w:rPr>
        <w:t>Profesionālo pakalpojumu regulējums joprojām ir visai ierobežojošs. Protekcionistiskas tiesības („rezervētās darbības”) tiek selektīvi piešķirt</w:t>
      </w:r>
      <w:r>
        <w:rPr>
          <w:noProof/>
        </w:rPr>
        <w:t>as dažiem pakalpojumu sniedzējiem, izslēdzot citus pakalpojumu sniedzējus ar attiecīgu līdzīgu kvalifikāciju. Ir daudzas profesijas, kuru pārstāvjiem obligāti jābūt profesionālas apvienības locekļiem. Būvinženieru, arhitektu un tūristu gidu profesijās iero</w:t>
      </w:r>
      <w:r>
        <w:rPr>
          <w:noProof/>
        </w:rPr>
        <w:t>bežotības līmenis Spānijā ir augstāks par vidējo svērto rādītāju Eiropas Savienībā. Patentu aģentu un juristu profesijās tas ir zemāks par ES vidējo rādītāju, kaut arī pieeja jurista profesijai ir stingrāk ierobežota nekā jebkurai citai profesijai Spānijā.</w:t>
      </w:r>
      <w:r>
        <w:rPr>
          <w:rStyle w:val="FootnoteReference"/>
          <w:noProof/>
        </w:rPr>
        <w:t xml:space="preserve"> </w:t>
      </w:r>
      <w:r>
        <w:rPr>
          <w:rStyle w:val="FootnoteReference"/>
          <w:noProof/>
        </w:rPr>
        <w:footnoteReference w:id="14"/>
      </w:r>
      <w:r>
        <w:rPr>
          <w:noProof/>
        </w:rPr>
        <w:t xml:space="preserve"> Vēl nav pieņemts likumprojekts par profesionālajiem pakalpojumiem, ar kuru cita starpā paredzēts racionalizēt noteikumus par dalību profesionālajās apvienībās. Ar šo reformu arī paredzēts palielināt profesionālo organizāciju pārredzamību un pārskatatbil</w:t>
      </w:r>
      <w:r>
        <w:rPr>
          <w:noProof/>
        </w:rPr>
        <w:t>dību, darīt pieejamas nepamatotas rezervētās darbības un aizsargāt tirgus vienotību attiecībā uz profesionālo pakalpojumu pieejamību un sniegšanu Spānijā.</w:t>
      </w:r>
    </w:p>
    <w:p w:rsidR="00F26DEF" w:rsidRDefault="00722039">
      <w:pPr>
        <w:pStyle w:val="Point0number"/>
        <w:rPr>
          <w:noProof/>
        </w:rPr>
      </w:pPr>
      <w:r>
        <w:rPr>
          <w:noProof/>
        </w:rPr>
        <w:t>Eiropas pusgada kontekstā Komisija ir veikusi Spānijas ekonomikas politikas visaptverošu analīzi un p</w:t>
      </w:r>
      <w:r>
        <w:rPr>
          <w:noProof/>
        </w:rPr>
        <w:t>ublicējusi to 2017. gada ziņojumā par valsti. Tā ir arī izvērtējusi stabilitātes programmu un valsts reformu programmu, kā arī pasākumus, kas veikti saistībā ar iepriekšējos gados Spānijai adresētiem ieteikumiem. Vērtējumā Komisija ņēma vērā ne tikai progr</w:t>
      </w:r>
      <w:r>
        <w:rPr>
          <w:noProof/>
        </w:rPr>
        <w:t>ammu lietderību ilgtspējīgas fiskālās un sociālekonomiskās politikas izveidē Spānijā, bet arī atbilstību ES noteikumiem un norādēm, ņemot vērā, ka ir jānostiprina ES vispārējā ekonomikas pārvaldība, turpmākajos valsts lēmumos nodrošinot ES līmeņa ieguldīju</w:t>
      </w:r>
      <w:r>
        <w:rPr>
          <w:noProof/>
        </w:rPr>
        <w:t>mu.</w:t>
      </w:r>
    </w:p>
    <w:p w:rsidR="00F26DEF" w:rsidRDefault="00722039">
      <w:pPr>
        <w:pStyle w:val="Point0number"/>
        <w:rPr>
          <w:noProof/>
        </w:rPr>
      </w:pPr>
      <w:r>
        <w:rPr>
          <w:noProof/>
        </w:rPr>
        <w:t>Ņemot vērā šo izvērtējumu, Padome ir izskatījusi stabilitātes programmu, un tās atzinums</w:t>
      </w:r>
      <w:r>
        <w:rPr>
          <w:rStyle w:val="FootnoteReference"/>
          <w:noProof/>
        </w:rPr>
        <w:footnoteReference w:id="15"/>
      </w:r>
      <w:r>
        <w:rPr>
          <w:noProof/>
        </w:rPr>
        <w:t xml:space="preserve"> ir atspoguļots jo īpaši 1. ieteikumā.</w:t>
      </w:r>
    </w:p>
    <w:p w:rsidR="00F26DEF" w:rsidRDefault="00722039">
      <w:pPr>
        <w:pStyle w:val="Point0number"/>
        <w:rPr>
          <w:noProof/>
        </w:rPr>
      </w:pPr>
      <w:r>
        <w:rPr>
          <w:noProof/>
        </w:rPr>
        <w:t xml:space="preserve">Ņemot vērā Komisijas padziļināto pārskatu un šo izvērtējumu, Padome ir izskatījusi valsts reformu programmu un stabilitātes </w:t>
      </w:r>
      <w:r>
        <w:rPr>
          <w:noProof/>
        </w:rPr>
        <w:t>programmu. Tās ieteikumi saskaņā ar Regulas (ES) Nr. 1176/2011 6. pantu ir atspoguļoti 1.–3. ieteikumā,</w:t>
      </w:r>
    </w:p>
    <w:p w:rsidR="00F26DEF" w:rsidRDefault="00722039">
      <w:pPr>
        <w:pStyle w:val="Formuledadoption"/>
        <w:rPr>
          <w:noProof/>
        </w:rPr>
      </w:pPr>
      <w:r>
        <w:rPr>
          <w:noProof/>
        </w:rPr>
        <w:t>AR ŠO IESAKA Spānijai 2017. un 2018. gadā rīkoties šādi.</w:t>
      </w:r>
    </w:p>
    <w:p w:rsidR="00F26DEF" w:rsidRDefault="00722039">
      <w:pPr>
        <w:pStyle w:val="ManualNumPar1"/>
        <w:rPr>
          <w:noProof/>
        </w:rPr>
      </w:pPr>
      <w:bookmarkStart w:id="1" w:name="_CopyToNewDocument_"/>
      <w:bookmarkEnd w:id="1"/>
      <w:r>
        <w:rPr>
          <w:noProof/>
        </w:rPr>
        <w:t>1.</w:t>
      </w:r>
      <w:r>
        <w:rPr>
          <w:noProof/>
        </w:rPr>
        <w:tab/>
        <w:t xml:space="preserve">Nodrošināt atbilstību Padomes 2016. gada 8. augusta lēmumam, ar ko pieprasa veikt pasākumus </w:t>
      </w:r>
      <w:r>
        <w:rPr>
          <w:noProof/>
        </w:rPr>
        <w:t>saskaņā ar pārmērīga budžeta deficīta novēršanas procedūru, tostarp pasākumus, kuru mērķis ir stiprināt fiskālo sistēmu un publiskā iepirkuma politikas satvaru. Veikt izdevumu visaptverošu pārskatu, lai apzinātu iespējamās jomas izdevumu efektivitātes uzla</w:t>
      </w:r>
      <w:r>
        <w:rPr>
          <w:noProof/>
        </w:rPr>
        <w:t>bošanai.</w:t>
      </w:r>
    </w:p>
    <w:p w:rsidR="00F26DEF" w:rsidRDefault="00722039">
      <w:pPr>
        <w:pStyle w:val="ManualNumPar1"/>
        <w:rPr>
          <w:noProof/>
        </w:rPr>
      </w:pPr>
      <w:r>
        <w:rPr>
          <w:noProof/>
        </w:rPr>
        <w:t>2.</w:t>
      </w:r>
      <w:r>
        <w:rPr>
          <w:noProof/>
        </w:rPr>
        <w:tab/>
        <w:t>Pastiprināt koordināciju starp reģionālajiem nodarbinātības dienestiem, sociālajiem dienestiem un darba devējiem, lai labāk ņemtu vērā darba meklētāju un darba devēju vajadzības. Veikt pasākumus, lai sekmētu pieņemšanu darbā ar beztermiņa līgum</w:t>
      </w:r>
      <w:r>
        <w:rPr>
          <w:noProof/>
        </w:rPr>
        <w:t xml:space="preserve">iem. Samazināt ienākumu garantiju shēmu reģionālās atšķirības un sadrumstalotību un uzlabot ģimenes atbalstu, tostarp kvalitatīvas bērnu aprūpes pieejamību. Palielināt terciārās izglītības atbilstību darba tirgum. Samazināt izglītības rezultātu reģionālās </w:t>
      </w:r>
      <w:r>
        <w:rPr>
          <w:noProof/>
        </w:rPr>
        <w:t>atšķirības, jo īpaši uzlabojot skolotāju apmācību un skolēniem paredzēto individuālo atbalstu.</w:t>
      </w:r>
    </w:p>
    <w:p w:rsidR="00F26DEF" w:rsidRDefault="00722039">
      <w:pPr>
        <w:pStyle w:val="ManualNumPar1"/>
        <w:rPr>
          <w:noProof/>
        </w:rPr>
      </w:pPr>
      <w:r>
        <w:rPr>
          <w:noProof/>
        </w:rPr>
        <w:t>3.</w:t>
      </w:r>
      <w:r>
        <w:rPr>
          <w:noProof/>
        </w:rPr>
        <w:tab/>
        <w:t>Nodrošināt pienācīgus un ilgtspējīgus ieguldījumus pētniecībā un inovācijā un uzlabot šo ieguldījumu pārvaldību visos valdības līmeņos. Nodrošināt tirgus vien</w:t>
      </w:r>
      <w:r>
        <w:rPr>
          <w:noProof/>
        </w:rPr>
        <w:t>otības likuma pienācīgu un laicīgu īstenošanu attiecībā uz esošajiem un turpmākajiem tiesību aktiem.</w:t>
      </w:r>
    </w:p>
    <w:p w:rsidR="00F26DEF" w:rsidRDefault="00F26DEF">
      <w:pPr>
        <w:rPr>
          <w:noProof/>
        </w:rPr>
      </w:pPr>
    </w:p>
    <w:p w:rsidR="00F26DEF" w:rsidRDefault="00722039" w:rsidP="00722039">
      <w:pPr>
        <w:pStyle w:val="Fait"/>
        <w:rPr>
          <w:noProof/>
        </w:rPr>
      </w:pPr>
      <w:r w:rsidRPr="00722039">
        <w:t>Briselē,</w:t>
      </w:r>
    </w:p>
    <w:p w:rsidR="00F26DEF" w:rsidRDefault="00722039">
      <w:pPr>
        <w:pStyle w:val="Institutionquisigne"/>
        <w:rPr>
          <w:noProof/>
        </w:rPr>
      </w:pPr>
      <w:r>
        <w:rPr>
          <w:noProof/>
        </w:rPr>
        <w:tab/>
        <w:t>Padomes vārdā –</w:t>
      </w:r>
    </w:p>
    <w:p w:rsidR="00F26DEF" w:rsidRDefault="00722039">
      <w:pPr>
        <w:pStyle w:val="Personnequisigne"/>
        <w:rPr>
          <w:noProof/>
        </w:rPr>
      </w:pPr>
      <w:r>
        <w:rPr>
          <w:noProof/>
        </w:rPr>
        <w:tab/>
        <w:t>priekšsēdētājs</w:t>
      </w:r>
    </w:p>
    <w:sectPr w:rsidR="00F26DEF" w:rsidSect="00722039">
      <w:footerReference w:type="default" r:id="rId16"/>
      <w:footerReference w:type="first" r:id="rId1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DEF" w:rsidRDefault="00722039">
      <w:pPr>
        <w:spacing w:before="0" w:after="0"/>
      </w:pPr>
      <w:r>
        <w:separator/>
      </w:r>
    </w:p>
  </w:endnote>
  <w:endnote w:type="continuationSeparator" w:id="0">
    <w:p w:rsidR="00F26DEF" w:rsidRDefault="00722039">
      <w:pPr>
        <w:spacing w:before="0" w:after="0"/>
      </w:pPr>
      <w:r>
        <w:continuationSeparator/>
      </w:r>
    </w:p>
  </w:endnote>
  <w:endnote w:type="continuationNotice" w:id="1">
    <w:p w:rsidR="00F26DEF" w:rsidRDefault="00F26DE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039" w:rsidRPr="00722039" w:rsidRDefault="00722039" w:rsidP="007220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DEF" w:rsidRPr="00722039" w:rsidRDefault="00722039" w:rsidP="00722039">
    <w:pPr>
      <w:pStyle w:val="Footer"/>
      <w:rPr>
        <w:rFonts w:ascii="Arial" w:hAnsi="Arial" w:cs="Arial"/>
        <w:b/>
        <w:sz w:val="48"/>
      </w:rPr>
    </w:pPr>
    <w:r w:rsidRPr="00722039">
      <w:rPr>
        <w:rFonts w:ascii="Arial" w:hAnsi="Arial" w:cs="Arial"/>
        <w:b/>
        <w:sz w:val="48"/>
      </w:rPr>
      <w:t>LV</w:t>
    </w:r>
    <w:r w:rsidRPr="00722039">
      <w:rPr>
        <w:rFonts w:ascii="Arial" w:hAnsi="Arial" w:cs="Arial"/>
        <w:b/>
        <w:sz w:val="48"/>
      </w:rPr>
      <w:tab/>
    </w:r>
    <w:r w:rsidRPr="00722039">
      <w:rPr>
        <w:rFonts w:ascii="Arial" w:hAnsi="Arial" w:cs="Arial"/>
        <w:b/>
        <w:sz w:val="48"/>
      </w:rPr>
      <w:tab/>
    </w:r>
    <w:fldSimple w:instr=" DOCVARIABLE &quot;LW_Confidence&quot; \* MERGEFORMAT ">
      <w:r>
        <w:t xml:space="preserve"> </w:t>
      </w:r>
    </w:fldSimple>
    <w:r w:rsidRPr="00722039">
      <w:tab/>
    </w:r>
    <w:r w:rsidRPr="00722039">
      <w:rPr>
        <w:rFonts w:ascii="Arial" w:hAnsi="Arial" w:cs="Arial"/>
        <w:b/>
        <w:sz w:val="48"/>
      </w:rPr>
      <w:t>LV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039" w:rsidRPr="00722039" w:rsidRDefault="00722039" w:rsidP="0072203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039" w:rsidRPr="00722039" w:rsidRDefault="00722039" w:rsidP="00722039">
    <w:pPr>
      <w:pStyle w:val="Footer"/>
      <w:rPr>
        <w:rFonts w:ascii="Arial" w:hAnsi="Arial" w:cs="Arial"/>
        <w:b/>
        <w:sz w:val="48"/>
      </w:rPr>
    </w:pPr>
    <w:r w:rsidRPr="00722039">
      <w:rPr>
        <w:rFonts w:ascii="Arial" w:hAnsi="Arial" w:cs="Arial"/>
        <w:b/>
        <w:sz w:val="48"/>
      </w:rPr>
      <w:t>LV</w:t>
    </w:r>
    <w:r w:rsidRPr="00722039">
      <w:rPr>
        <w:rFonts w:ascii="Arial" w:hAnsi="Arial" w:cs="Arial"/>
        <w:b/>
        <w:sz w:val="48"/>
      </w:rPr>
      <w:tab/>
    </w:r>
    <w:r>
      <w:fldChar w:fldCharType="begin"/>
    </w:r>
    <w:r>
      <w:instrText xml:space="preserve"> PAGE  \* MERGEFORMAT </w:instrText>
    </w:r>
    <w:r>
      <w:fldChar w:fldCharType="separate"/>
    </w:r>
    <w:r>
      <w:rPr>
        <w:noProof/>
      </w:rPr>
      <w:t>2</w:t>
    </w:r>
    <w:r>
      <w:fldChar w:fldCharType="end"/>
    </w:r>
    <w:r>
      <w:tab/>
    </w:r>
    <w:fldSimple w:instr=" DOCVARIABLE &quot;LW_Confidence&quot; \* MERGEFORMAT ">
      <w:r>
        <w:t xml:space="preserve"> </w:t>
      </w:r>
    </w:fldSimple>
    <w:r w:rsidRPr="00722039">
      <w:tab/>
    </w:r>
    <w:r w:rsidRPr="00722039">
      <w:rPr>
        <w:rFonts w:ascii="Arial" w:hAnsi="Arial" w:cs="Arial"/>
        <w:b/>
        <w:sz w:val="48"/>
      </w:rPr>
      <w:t>LV</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039" w:rsidRPr="00722039" w:rsidRDefault="00722039" w:rsidP="007220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DEF" w:rsidRDefault="00722039">
      <w:pPr>
        <w:spacing w:before="0" w:after="0"/>
      </w:pPr>
      <w:r>
        <w:separator/>
      </w:r>
    </w:p>
  </w:footnote>
  <w:footnote w:type="continuationSeparator" w:id="0">
    <w:p w:rsidR="00F26DEF" w:rsidRDefault="00722039">
      <w:pPr>
        <w:spacing w:before="0" w:after="0"/>
      </w:pPr>
      <w:r>
        <w:continuationSeparator/>
      </w:r>
    </w:p>
  </w:footnote>
  <w:footnote w:type="continuationNotice" w:id="1">
    <w:p w:rsidR="00F26DEF" w:rsidRDefault="00F26DEF">
      <w:pPr>
        <w:spacing w:before="0" w:after="0"/>
      </w:pPr>
    </w:p>
  </w:footnote>
  <w:footnote w:id="2">
    <w:p w:rsidR="00F26DEF" w:rsidRDefault="00722039">
      <w:pPr>
        <w:pStyle w:val="FootnoteText"/>
        <w:rPr>
          <w:lang w:val="nn-NO"/>
        </w:rPr>
      </w:pPr>
      <w:r>
        <w:rPr>
          <w:rStyle w:val="FootnoteReference"/>
        </w:rPr>
        <w:footnoteRef/>
      </w:r>
      <w:r>
        <w:tab/>
        <w:t xml:space="preserve">OV L 209, 2.8.1997., </w:t>
      </w:r>
      <w:r>
        <w:t>1. </w:t>
      </w:r>
      <w:proofErr w:type="spellStart"/>
      <w:r>
        <w:t>lpp</w:t>
      </w:r>
      <w:proofErr w:type="spellEnd"/>
      <w:r>
        <w:t>.</w:t>
      </w:r>
    </w:p>
  </w:footnote>
  <w:footnote w:id="3">
    <w:p w:rsidR="00F26DEF" w:rsidRDefault="00722039">
      <w:pPr>
        <w:pStyle w:val="FootnoteText"/>
        <w:rPr>
          <w:lang w:val="nn-NO"/>
        </w:rPr>
      </w:pPr>
      <w:r>
        <w:rPr>
          <w:rStyle w:val="FootnoteReference"/>
        </w:rPr>
        <w:footnoteRef/>
      </w:r>
      <w:r>
        <w:tab/>
      </w:r>
      <w:r>
        <w:t>OV L 306, 23.11.2011., 25. </w:t>
      </w:r>
      <w:proofErr w:type="spellStart"/>
      <w:r>
        <w:t>lpp</w:t>
      </w:r>
      <w:proofErr w:type="spellEnd"/>
      <w:r>
        <w:t>.</w:t>
      </w:r>
    </w:p>
  </w:footnote>
  <w:footnote w:id="4">
    <w:p w:rsidR="00F26DEF" w:rsidRDefault="00722039">
      <w:pPr>
        <w:pStyle w:val="FootnoteText"/>
        <w:rPr>
          <w:lang w:val="pt-PT"/>
        </w:rPr>
      </w:pPr>
      <w:r>
        <w:rPr>
          <w:rStyle w:val="FootnoteReference"/>
        </w:rPr>
        <w:footnoteRef/>
      </w:r>
      <w:r>
        <w:tab/>
      </w:r>
      <w:r>
        <w:t xml:space="preserve">COM(2017) 508 </w:t>
      </w:r>
      <w:proofErr w:type="spellStart"/>
      <w:r>
        <w:t>final</w:t>
      </w:r>
      <w:bookmarkStart w:id="0" w:name="_GoBack"/>
      <w:bookmarkEnd w:id="0"/>
      <w:proofErr w:type="spellEnd"/>
      <w:r>
        <w:t>.</w:t>
      </w:r>
    </w:p>
  </w:footnote>
  <w:footnote w:id="5">
    <w:p w:rsidR="00F26DEF" w:rsidRDefault="00722039">
      <w:pPr>
        <w:pStyle w:val="FootnoteText"/>
        <w:rPr>
          <w:lang w:val="pt-PT"/>
        </w:rPr>
      </w:pPr>
      <w:r>
        <w:rPr>
          <w:rStyle w:val="FootnoteReference"/>
        </w:rPr>
        <w:footnoteRef/>
      </w:r>
      <w:r>
        <w:tab/>
      </w:r>
      <w:r>
        <w:t>P8_ TA(2017)0038, P8_ TA(2017)0039 un P8_ TA(2017)0040.</w:t>
      </w:r>
    </w:p>
  </w:footnote>
  <w:footnote w:id="6">
    <w:p w:rsidR="00F26DEF" w:rsidRDefault="00722039">
      <w:pPr>
        <w:pStyle w:val="FootnoteText"/>
        <w:rPr>
          <w:lang w:val="pt-PT"/>
        </w:rPr>
      </w:pPr>
      <w:r>
        <w:rPr>
          <w:rStyle w:val="FootnoteReference"/>
        </w:rPr>
        <w:footnoteRef/>
      </w:r>
      <w:r>
        <w:tab/>
      </w:r>
      <w:r>
        <w:t xml:space="preserve">COM(2016) 725 </w:t>
      </w:r>
      <w:proofErr w:type="spellStart"/>
      <w:r>
        <w:rPr>
          <w:i/>
        </w:rPr>
        <w:t>final</w:t>
      </w:r>
      <w:proofErr w:type="spellEnd"/>
      <w:r>
        <w:t>.</w:t>
      </w:r>
    </w:p>
  </w:footnote>
  <w:footnote w:id="7">
    <w:p w:rsidR="00F26DEF" w:rsidRDefault="00722039">
      <w:pPr>
        <w:pStyle w:val="FootnoteText"/>
        <w:rPr>
          <w:lang w:val="pt-PT"/>
        </w:rPr>
      </w:pPr>
      <w:r>
        <w:rPr>
          <w:rStyle w:val="FootnoteReference"/>
        </w:rPr>
        <w:footnoteRef/>
      </w:r>
      <w:r>
        <w:tab/>
      </w:r>
      <w:r>
        <w:t xml:space="preserve">COM(2016) 728 </w:t>
      </w:r>
      <w:proofErr w:type="spellStart"/>
      <w:r>
        <w:rPr>
          <w:i/>
        </w:rPr>
        <w:t>final</w:t>
      </w:r>
      <w:proofErr w:type="spellEnd"/>
      <w:r>
        <w:t>.</w:t>
      </w:r>
    </w:p>
  </w:footnote>
  <w:footnote w:id="8">
    <w:p w:rsidR="00F26DEF" w:rsidRDefault="00722039">
      <w:pPr>
        <w:pStyle w:val="FootnoteText"/>
        <w:rPr>
          <w:lang w:val="pt-PT"/>
        </w:rPr>
      </w:pPr>
      <w:r>
        <w:rPr>
          <w:rStyle w:val="FootnoteReference"/>
        </w:rPr>
        <w:footnoteRef/>
      </w:r>
      <w:r>
        <w:tab/>
      </w:r>
      <w:r>
        <w:t>OV C 92/01, 24.3.2017., 1. </w:t>
      </w:r>
      <w:proofErr w:type="spellStart"/>
      <w:r>
        <w:t>lpp</w:t>
      </w:r>
      <w:proofErr w:type="spellEnd"/>
      <w:r>
        <w:t>.</w:t>
      </w:r>
    </w:p>
  </w:footnote>
  <w:footnote w:id="9">
    <w:p w:rsidR="00F26DEF" w:rsidRDefault="00722039">
      <w:pPr>
        <w:pStyle w:val="FootnoteText"/>
      </w:pPr>
      <w:r>
        <w:rPr>
          <w:rStyle w:val="FootnoteReference"/>
        </w:rPr>
        <w:footnoteRef/>
      </w:r>
      <w:r>
        <w:tab/>
      </w:r>
      <w:r>
        <w:t xml:space="preserve">SWD(2017) 74 </w:t>
      </w:r>
      <w:proofErr w:type="spellStart"/>
      <w:r>
        <w:rPr>
          <w:i/>
        </w:rPr>
        <w:t>final</w:t>
      </w:r>
      <w:proofErr w:type="spellEnd"/>
      <w:r>
        <w:t>.</w:t>
      </w:r>
    </w:p>
  </w:footnote>
  <w:footnote w:id="10">
    <w:p w:rsidR="00F26DEF" w:rsidRDefault="00722039">
      <w:pPr>
        <w:pStyle w:val="FootnoteText"/>
        <w:tabs>
          <w:tab w:val="left" w:pos="709"/>
        </w:tabs>
      </w:pPr>
      <w:r>
        <w:rPr>
          <w:rStyle w:val="FootnoteReference"/>
        </w:rPr>
        <w:footnoteRef/>
      </w:r>
      <w:r>
        <w:tab/>
      </w:r>
      <w:r>
        <w:t xml:space="preserve">COM(2017) 90 </w:t>
      </w:r>
      <w:proofErr w:type="spellStart"/>
      <w:r>
        <w:rPr>
          <w:i/>
        </w:rPr>
        <w:t>final</w:t>
      </w:r>
      <w:proofErr w:type="spellEnd"/>
      <w:r>
        <w:t>.</w:t>
      </w:r>
    </w:p>
  </w:footnote>
  <w:footnote w:id="11">
    <w:p w:rsidR="00F26DEF" w:rsidRDefault="00722039">
      <w:pPr>
        <w:pStyle w:val="FootnoteText"/>
      </w:pPr>
      <w:r>
        <w:rPr>
          <w:rStyle w:val="FootnoteReference"/>
        </w:rPr>
        <w:footnoteRef/>
      </w:r>
      <w:r>
        <w:tab/>
      </w:r>
      <w:r>
        <w:t>23. pants Eir</w:t>
      </w:r>
      <w:r>
        <w:t xml:space="preserve">opas Parlamenta un Padomes Regulā (ES) </w:t>
      </w:r>
      <w:proofErr w:type="spellStart"/>
      <w:r>
        <w:t>Nr</w:t>
      </w:r>
      <w:proofErr w:type="spellEnd"/>
      <w:r>
        <w:t>. 1303/2013 (2013. gada 17. decembris), ar ko paredz kopīgus noteikumus par Eiropas Reģionālās attīstības fondu, Eiropas Sociālo fondu, Kohēzijas fondu, Eiropas Lauksaimniecības fondu lauku attīstībai un Eiropas Jūr</w:t>
      </w:r>
      <w:r>
        <w:t xml:space="preserve">lietu un zivsaimniecības fondu un vispārīgus noteikumus par Eiropas Reģionālās attīstības fondu, Eiropas Sociālo fondu, Kohēzijas fondu un Eiropas Jūrlietu un zivsaimniecības fondu un atceļ Padomes Regulu (EK) </w:t>
      </w:r>
      <w:proofErr w:type="spellStart"/>
      <w:r>
        <w:t>Nr</w:t>
      </w:r>
      <w:proofErr w:type="spellEnd"/>
      <w:r>
        <w:t>. 1083/2006, OV L 347, 20.12.2013., 320. </w:t>
      </w:r>
      <w:proofErr w:type="spellStart"/>
      <w:r>
        <w:t>lpp</w:t>
      </w:r>
      <w:proofErr w:type="spellEnd"/>
      <w:r>
        <w:t>.</w:t>
      </w:r>
    </w:p>
  </w:footnote>
  <w:footnote w:id="12">
    <w:p w:rsidR="00F26DEF" w:rsidRDefault="00722039">
      <w:pPr>
        <w:pStyle w:val="FootnoteText"/>
      </w:pPr>
      <w:r>
        <w:rPr>
          <w:rStyle w:val="FootnoteReference"/>
        </w:rPr>
        <w:footnoteRef/>
      </w:r>
      <w:r>
        <w:tab/>
      </w:r>
      <w:r>
        <w:t xml:space="preserve">COM(2014) 494 </w:t>
      </w:r>
      <w:proofErr w:type="spellStart"/>
      <w:r>
        <w:rPr>
          <w:i/>
        </w:rPr>
        <w:t>final</w:t>
      </w:r>
      <w:proofErr w:type="spellEnd"/>
      <w:r>
        <w:t>.</w:t>
      </w:r>
    </w:p>
  </w:footnote>
  <w:footnote w:id="13">
    <w:p w:rsidR="00F26DEF" w:rsidRDefault="00722039">
      <w:pPr>
        <w:pStyle w:val="FootnoteText"/>
      </w:pPr>
      <w:r>
        <w:rPr>
          <w:rStyle w:val="FootnoteReference"/>
        </w:rPr>
        <w:footnoteRef/>
      </w:r>
      <w:r>
        <w:tab/>
      </w:r>
      <w:r>
        <w:t>Cikliski koriģētā bilance, atskaitot vienreizējus un citus pagaidu pasākumus, ko Komisija pārrēķina, izmantojot vispārpieņemtu metodiku.</w:t>
      </w:r>
    </w:p>
  </w:footnote>
  <w:footnote w:id="14">
    <w:p w:rsidR="00F26DEF" w:rsidRDefault="00722039">
      <w:pPr>
        <w:pStyle w:val="FootnoteText"/>
      </w:pPr>
      <w:r>
        <w:rPr>
          <w:rStyle w:val="FootnoteReference"/>
        </w:rPr>
        <w:footnoteRef/>
      </w:r>
      <w:r>
        <w:tab/>
      </w:r>
      <w:r>
        <w:t xml:space="preserve">COM(2016) 436 </w:t>
      </w:r>
      <w:proofErr w:type="spellStart"/>
      <w:r>
        <w:rPr>
          <w:i/>
        </w:rPr>
        <w:t>final</w:t>
      </w:r>
      <w:proofErr w:type="spellEnd"/>
      <w:r>
        <w:t>.</w:t>
      </w:r>
    </w:p>
  </w:footnote>
  <w:footnote w:id="15">
    <w:p w:rsidR="00F26DEF" w:rsidRDefault="00722039">
      <w:pPr>
        <w:pStyle w:val="FootnoteText"/>
      </w:pPr>
      <w:r>
        <w:rPr>
          <w:rStyle w:val="FootnoteReference"/>
        </w:rPr>
        <w:footnoteRef/>
      </w:r>
      <w:r>
        <w:tab/>
      </w:r>
      <w:r>
        <w:t xml:space="preserve">Atbilstīgi Padomes Regulas (EK) </w:t>
      </w:r>
      <w:proofErr w:type="spellStart"/>
      <w:r>
        <w:t>Nr</w:t>
      </w:r>
      <w:proofErr w:type="spellEnd"/>
      <w:r>
        <w:t>. 1466/97 5. panta 2. punktam.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039" w:rsidRPr="00722039" w:rsidRDefault="00722039" w:rsidP="007220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039" w:rsidRPr="00722039" w:rsidRDefault="00722039" w:rsidP="007220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039" w:rsidRPr="00722039" w:rsidRDefault="00722039" w:rsidP="007220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8BEC1C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E3E544C"/>
    <w:lvl w:ilvl="0">
      <w:start w:val="1"/>
      <w:numFmt w:val="decimal"/>
      <w:pStyle w:val="ListNumber3"/>
      <w:lvlText w:val="%1."/>
      <w:lvlJc w:val="left"/>
      <w:pPr>
        <w:tabs>
          <w:tab w:val="num" w:pos="926"/>
        </w:tabs>
        <w:ind w:left="926" w:hanging="360"/>
      </w:pPr>
    </w:lvl>
  </w:abstractNum>
  <w:abstractNum w:abstractNumId="2">
    <w:nsid w:val="FFFFFF7F"/>
    <w:multiLevelType w:val="singleLevel"/>
    <w:tmpl w:val="D6900F70"/>
    <w:lvl w:ilvl="0">
      <w:start w:val="1"/>
      <w:numFmt w:val="decimal"/>
      <w:pStyle w:val="ListNumber2"/>
      <w:lvlText w:val="%1."/>
      <w:lvlJc w:val="left"/>
      <w:pPr>
        <w:tabs>
          <w:tab w:val="num" w:pos="643"/>
        </w:tabs>
        <w:ind w:left="643" w:hanging="360"/>
      </w:pPr>
    </w:lvl>
  </w:abstractNum>
  <w:abstractNum w:abstractNumId="3">
    <w:nsid w:val="FFFFFF81"/>
    <w:multiLevelType w:val="singleLevel"/>
    <w:tmpl w:val="377258D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0342B4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060C5BB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C32E737A"/>
    <w:lvl w:ilvl="0">
      <w:start w:val="1"/>
      <w:numFmt w:val="decimal"/>
      <w:pStyle w:val="ListNumber"/>
      <w:lvlText w:val="%1."/>
      <w:lvlJc w:val="left"/>
      <w:pPr>
        <w:tabs>
          <w:tab w:val="num" w:pos="360"/>
        </w:tabs>
        <w:ind w:left="360" w:hanging="360"/>
      </w:pPr>
    </w:lvl>
  </w:abstractNum>
  <w:abstractNum w:abstractNumId="7">
    <w:nsid w:val="FFFFFF89"/>
    <w:multiLevelType w:val="singleLevel"/>
    <w:tmpl w:val="3C40E95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BANE DEMBLANS">
    <w15:presenceInfo w15:providerId="Windows Live" w15:userId="eb0a7c95d094d9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720"/>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5-29 16:03:26"/>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Yellow"/>
    <w:docVar w:name="DQCVersion" w:val="3"/>
    <w:docVar w:name="DQCWithWarnings" w:val="0"/>
    <w:docVar w:name="LW_CONFIDENCE" w:val=" "/>
    <w:docVar w:name="LW_CONST_RESTREINT_UE" w:val="RESTREINT UE/EU RESTRICTED"/>
    <w:docVar w:name="LW_CORRIGENDUM" w:val="&lt;UNUSED&gt;"/>
    <w:docVar w:name="LW_COVERPAGE_GUID" w:val="DCE1A9DCB4C64710967DD4F11A757852"/>
    <w:docVar w:name="LW_CROSSREFERENCE" w:val="&lt;UNUSED&gt;"/>
    <w:docVar w:name="LW_DocType" w:val="COM"/>
    <w:docVar w:name="LW_EMISSION" w:val="22.5.2017"/>
    <w:docVar w:name="LW_EMISSION_ISODATE" w:val="2017-05-22"/>
    <w:docVar w:name="LW_EMISSION_LOCATION" w:val="BRX"/>
    <w:docVar w:name="LW_EMISSION_PREFIX" w:val="Brisel\u275?, "/>
    <w:docVar w:name="LW_EMISSION_SUFFIX" w:val="."/>
    <w:docVar w:name="LW_ID_DOCMODEL" w:val="SG-002"/>
    <w:docVar w:name="LW_ID_DOCSIGNATURE" w:val="SG-002"/>
    <w:docVar w:name="LW_ID_DOCSTRUCTURE" w:val="COM/PL/ORG"/>
    <w:docVar w:name="LW_ID_DOCTYPE" w:val="SG-002"/>
    <w:docVar w:name="LW_ID_STATUT" w:val="SG-002"/>
    <w:docVar w:name="LW_INTERETEEE.CP" w:val="&lt;UNUSED&gt;"/>
    <w:docVar w:name="LW_LANGUE" w:val="LV"/>
    <w:docVar w:name="LW_MARKING" w:val="&lt;UNUSED&gt;"/>
    <w:docVar w:name="LW_NOM.INST" w:val="EIROPAS KOMISIJA"/>
    <w:docVar w:name="LW_NOM.INST_JOINTDOC" w:val="&lt;EMPTY&gt;"/>
    <w:docVar w:name="LW_PART_NBR" w:val="1"/>
    <w:docVar w:name="LW_PART_NBR_TOTAL" w:val="1"/>
    <w:docVar w:name="LW_REF.II.NEW.CP" w:val="&lt;UNUSED&gt;"/>
    <w:docVar w:name="LW_REF.II.NEW.CP_NUMBER" w:val="&lt;UNUSED&gt;"/>
    <w:docVar w:name="LW_REF.II.NEW.CP_YEAR" w:val="2017"/>
    <w:docVar w:name="LW_REF.INST.NEW" w:val="COM"/>
    <w:docVar w:name="LW_REF.INST.NEW_ADOPTED" w:val="final"/>
    <w:docVar w:name="LW_REF.INST.NEW_TEXT" w:val="(2017) 508"/>
    <w:docVar w:name="LW_REF.INTERNE" w:val="&lt;UNUSED&gt;"/>
    <w:docVar w:name="LW_SOUS.TITRE.OBJ.CP" w:val="&lt;UNUSED&gt;"/>
    <w:docVar w:name="LW_STATUT.CP" w:val="Ieteikums"/>
    <w:docVar w:name="LW_SUPERTITRE" w:val="&lt;UNUSED&gt;"/>
    <w:docVar w:name="LW_TITRE.OBJ.CP" w:val="par Sp\u257?nijas 2017. gada valsts reformu programmu_x000b__x000b_un ar ko sniedz Padomes atzinumu par Sp\u257?nijas 2017. gada stabilit\u257?tes programmu_x000b_"/>
    <w:docVar w:name="LW_TYPE.DOC.CP" w:val="PADOMES IETEIKUMS"/>
  </w:docVars>
  <w:rsids>
    <w:rsidRoot w:val="00F26DEF"/>
    <w:rsid w:val="00722039"/>
    <w:rsid w:val="00F26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lv-LV" w:bidi="lv-LV"/>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Pr>
      <w:sz w:val="16"/>
      <w:szCs w:val="16"/>
    </w:rPr>
  </w:style>
  <w:style w:type="character" w:customStyle="1" w:styleId="FootnoteTextChar1">
    <w:name w:val="Footnote Text Char1"/>
    <w:basedOn w:val="DefaultParagraphFont"/>
    <w:uiPriority w:val="99"/>
    <w:semiHidden/>
    <w:rPr>
      <w:rFonts w:ascii="Times New Roman" w:hAnsi="Times New Roman"/>
      <w:sz w:val="20"/>
      <w:szCs w:val="20"/>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lv-LV"/>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lv-LV"/>
    </w:rPr>
  </w:style>
  <w:style w:type="paragraph" w:styleId="ListParagraph">
    <w:name w:val="List Paragraph"/>
    <w:basedOn w:val="Normal"/>
    <w:uiPriority w:val="34"/>
    <w:qFormat/>
    <w:pPr>
      <w:spacing w:before="0" w:after="200" w:line="276" w:lineRule="auto"/>
      <w:ind w:left="720"/>
      <w:contextualSpacing/>
      <w:jc w:val="left"/>
    </w:pPr>
    <w:rPr>
      <w:rFonts w:asciiTheme="minorHAnsi" w:hAnsiTheme="minorHAnsi" w:cstheme="minorBidi"/>
      <w:sz w:val="22"/>
    </w:rPr>
  </w:style>
  <w:style w:type="paragraph" w:styleId="Header">
    <w:name w:val="header"/>
    <w:basedOn w:val="Normal"/>
    <w:link w:val="HeaderChar"/>
    <w:uiPriority w:val="99"/>
    <w:unhideWhenUsed/>
    <w:rsid w:val="00722039"/>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72203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722039"/>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lv-LV" w:bidi="lv-LV"/>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Pr>
      <w:sz w:val="16"/>
      <w:szCs w:val="16"/>
    </w:rPr>
  </w:style>
  <w:style w:type="character" w:customStyle="1" w:styleId="FootnoteTextChar1">
    <w:name w:val="Footnote Text Char1"/>
    <w:basedOn w:val="DefaultParagraphFont"/>
    <w:uiPriority w:val="99"/>
    <w:semiHidden/>
    <w:rPr>
      <w:rFonts w:ascii="Times New Roman" w:hAnsi="Times New Roman"/>
      <w:sz w:val="20"/>
      <w:szCs w:val="20"/>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lv-LV"/>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lv-LV"/>
    </w:rPr>
  </w:style>
  <w:style w:type="paragraph" w:styleId="ListParagraph">
    <w:name w:val="List Paragraph"/>
    <w:basedOn w:val="Normal"/>
    <w:uiPriority w:val="34"/>
    <w:qFormat/>
    <w:pPr>
      <w:spacing w:before="0" w:after="200" w:line="276" w:lineRule="auto"/>
      <w:ind w:left="720"/>
      <w:contextualSpacing/>
      <w:jc w:val="left"/>
    </w:pPr>
    <w:rPr>
      <w:rFonts w:asciiTheme="minorHAnsi" w:hAnsiTheme="minorHAnsi" w:cstheme="minorBidi"/>
      <w:sz w:val="22"/>
    </w:rPr>
  </w:style>
  <w:style w:type="paragraph" w:styleId="Header">
    <w:name w:val="header"/>
    <w:basedOn w:val="Normal"/>
    <w:link w:val="HeaderChar"/>
    <w:uiPriority w:val="99"/>
    <w:unhideWhenUsed/>
    <w:rsid w:val="00722039"/>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72203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722039"/>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E5B45-3E1D-45AA-9887-B091FA1CA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8</Pages>
  <Words>2904</Words>
  <Characters>19348</Characters>
  <Application>Microsoft Office Word</Application>
  <DocSecurity>0</DocSecurity>
  <Lines>302</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2017-05-16T13:12:00Z</cp:lastPrinted>
  <dcterms:created xsi:type="dcterms:W3CDTF">2017-05-29T09:41:00Z</dcterms:created>
  <dcterms:modified xsi:type="dcterms:W3CDTF">2017-05-30T07:43:00Z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SG-002</vt:lpwstr>
  </property>
  <property fmtid="{D5CDD505-2E9C-101B-9397-08002B2CF9AE}" pid="10" name="DQCStatus">
    <vt:lpwstr>Yellow (DQC version 03)</vt:lpwstr>
  </property>
  <property name="OP_sanitized" fmtid="{D5CDD505-2E9C-101B-9397-08002B2CF9AE}" pid="11">
    <vt:lpwstr>True</vt:lpwstr>
  </property>
</Properties>
</file>