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9D59D7E92C74E7FA8F1A1B368329DE5" style="width:450pt;height:348pt">
            <v:imagedata r:id="rId12" o:title=""/>
          </v:shape>
        </w:pict>
      </w:r>
    </w:p>
    <w:bookmarkEnd w:id="0"/>
    <w:p>
      <w:pPr>
        <w:spacing w:after="100" w:afterAutospacing="1" w:line="240" w:lineRule="auto"/>
        <w:jc w:val="both"/>
        <w:rPr>
          <w:rFonts w:ascii="Times New Roman" w:hAnsi="Times New Roman" w:cs="Times New Roman"/>
          <w:noProof/>
          <w:sz w:val="23"/>
          <w:szCs w:val="23"/>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numPr>
          <w:ilvl w:val="0"/>
          <w:numId w:val="32"/>
        </w:numPr>
        <w:suppressAutoHyphens/>
        <w:spacing w:after="100" w:afterAutospacing="1" w:line="240" w:lineRule="auto"/>
        <w:jc w:val="both"/>
        <w:rPr>
          <w:rFonts w:ascii="Times New Roman" w:eastAsia="SimSun" w:hAnsi="Times New Roman" w:cs="Times New Roman"/>
          <w:b/>
          <w:noProof/>
          <w:color w:val="000000"/>
          <w:sz w:val="23"/>
          <w:szCs w:val="23"/>
        </w:rPr>
      </w:pPr>
      <w:bookmarkStart w:id="1" w:name="_GoBack"/>
      <w:bookmarkEnd w:id="1"/>
      <w:r>
        <w:rPr>
          <w:rFonts w:ascii="Times New Roman" w:hAnsi="Times New Roman"/>
          <w:b/>
          <w:noProof/>
          <w:color w:val="000000"/>
          <w:sz w:val="23"/>
        </w:rPr>
        <w:lastRenderedPageBreak/>
        <w:t xml:space="preserve">EIROPAS ROBEŽU UN KRASTA APSARDZE – IEVIEŠOT EIROPAS INTEGRĒTO ROBEŽU PĀRVALDĪBU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Eiropas Savienības ārējo robežu aizsardzība, ko veic arī Eiropas Robežu un krasta apsardze, ir viens no galvenajiem balstiem vispusīgajā Eiropas migrācijas politikā, ko Eiropas Savienība īsteno, lai apmierinātu īstermiņa, vidēja termiņa un ilgtermiņa vajadzības, kuras apzinātas Eiropas programmā migrācijas jomā. Šajā ziņojumā sniegts pārskats par gūtajiem panākumiem Eiropas Robežu un krasta apsardzes darbībspējas nodrošināšanā kopš 2017. gada marta, kā arī par pirmajā un otrajā progresa ziņojumā noteikto pasākumu īstenošanu. Šajā ziņojumā ir sniegta jaunākā informācija par nesen pabeigtajiem neaizsargātības novērtējuma procesa posmiem un par pašlaik notiekošo izvietošanu priekšposteņa dalībvalstīs. Sniegta arī informācija par lēmumiem un diskusijām valdes nesenākajā sanāksmē, kas notika 2017. gada 29.–30. martā.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Šajā ziņojumā arī izklāstīts svarīgais process, kura mērķis ir izstrādāt Eiropas Robežu un krasta apsardzes regulas pamatkoncepciju, proti, izstrādāt stratēģisku satvaru, lai nodrošinātu, ka tiek ieviesta Eiropas ārējo robežu integrēta pārvaldība. Tas vēl vairāk attīstīs integrētas ārējo robežu pārvaldības sistēmas principu, kas minēts LESD 77. panta 2. punkta d) apakšpunktā. </w:t>
      </w:r>
    </w:p>
    <w:p>
      <w:pPr>
        <w:keepNext/>
        <w:numPr>
          <w:ilvl w:val="0"/>
          <w:numId w:val="32"/>
        </w:numPr>
        <w:suppressAutoHyphens/>
        <w:spacing w:after="100" w:afterAutospacing="1" w:line="240" w:lineRule="auto"/>
        <w:ind w:left="426" w:hanging="426"/>
        <w:jc w:val="both"/>
        <w:rPr>
          <w:rFonts w:ascii="Times New Roman" w:eastAsia="SimSun" w:hAnsi="Times New Roman" w:cs="Times New Roman"/>
          <w:noProof/>
          <w:color w:val="000000"/>
          <w:sz w:val="23"/>
          <w:szCs w:val="23"/>
        </w:rPr>
      </w:pPr>
      <w:r>
        <w:rPr>
          <w:rFonts w:ascii="Times New Roman" w:hAnsi="Times New Roman"/>
          <w:b/>
          <w:noProof/>
          <w:color w:val="000000"/>
          <w:sz w:val="23"/>
        </w:rPr>
        <w:t>DARBĪBAS ATBALSTS DALĪBVALSTĪM</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Eiropas Robežu un krasta apsardzes aģentūra turpina sniegt darbības atbalstu uz vietas dalībvalstīs robežu pārvaldības jomā, aģentūrai dažādos ES ārējo robežu posmos izvietojot 1500 robežsargus un citu attiecīgo personālu. </w:t>
      </w:r>
    </w:p>
    <w:p>
      <w:pPr>
        <w:suppressAutoHyphens/>
        <w:spacing w:after="100" w:afterAutospacing="1" w:line="240" w:lineRule="auto"/>
        <w:ind w:left="426" w:hanging="426"/>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2.1.</w:t>
      </w:r>
      <w:r>
        <w:rPr>
          <w:noProof/>
        </w:rPr>
        <w:tab/>
      </w:r>
      <w:r>
        <w:rPr>
          <w:rFonts w:ascii="Times New Roman" w:hAnsi="Times New Roman"/>
          <w:b/>
          <w:noProof/>
          <w:color w:val="000000"/>
          <w:sz w:val="23"/>
        </w:rPr>
        <w:t>Izvietošana priekšposteņa dalībvalstīs</w:t>
      </w:r>
    </w:p>
    <w:p>
      <w:p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Grieķija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Aģentūra Grieķijā īsteno 3 dažādas operācijas. Kopīgā operācija “Poseidon” Egejas jūrā sniedz atbalstu Grieķijai robežkontrolē un karsto punktu pieejas Egejas salās un ES un Turcijas paziņojuma īstenošanā.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Kopīgās operācijas “Poseidon” kontekstā aģentūra ir izvietojusi 866 amatpersonas, tostarp atpakaļuzņemšanas pasākumu atbalstam, un Grieķijas policija, izmantojot aģentūras līdzfinansējumu, ir izvietojusi 280 drošības speciālistus. Izvietoti arī 3 atkrastes patruļkuģi, 2 piekrastes patruļkuģi, 9 piekrastes patruļlaivas, 1 fiksētu spārnu gaisa kuģis, 2 helikopteri, 20 patruļmašīnas, 4 autobusi un 1 termiskās attēlveidošanas transportlīdzeklis.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Aģentūra atbalsta Grieķiju robežkontroles darbībās, arī iesaistoties kopīgās operācijās “Elastīgas operatīvās darbības” un “Kontaktpunkti”, un kopā izvietojusi 54 amatpersonas pie Grieķijas sauszemes robežām ar Turciju, Albāniju un bijušo Dienvidslāvijas Maķedonijas Republiku. Operatīvās darbības Ziemeļgrieķijā uzlabo robežu uzraudzību un novērš neatbilstīgu tālāku pārvietošanos, tādējādi vēl vairāk stiprinot ES reakciju uz problēmām, kas saistītas ar Rietumbalkānu maršrutu. Pašlaik ir izvietotas 17 amatpersonas, bet saskaņotajā darbības plānā paredzēta vairāk nekā 60 amatpersonu izvietošana; tas nozīmē, ka joprojām pietrūkst aptuveni 40 amatpersonu. </w:t>
      </w:r>
    </w:p>
    <w:p>
      <w:pPr>
        <w:keepNext/>
        <w:suppressAutoHyphens/>
        <w:spacing w:after="100" w:afterAutospacing="1" w:line="240" w:lineRule="auto"/>
        <w:jc w:val="both"/>
        <w:rPr>
          <w:rFonts w:ascii="Times New Roman" w:eastAsia="SimSun" w:hAnsi="Times New Roman" w:cs="Times New Roman"/>
          <w:i/>
          <w:noProof/>
          <w:sz w:val="23"/>
          <w:szCs w:val="23"/>
        </w:rPr>
      </w:pPr>
      <w:r>
        <w:rPr>
          <w:rFonts w:ascii="Times New Roman" w:hAnsi="Times New Roman"/>
          <w:i/>
          <w:noProof/>
          <w:sz w:val="23"/>
        </w:rPr>
        <w:lastRenderedPageBreak/>
        <w:t>Itālija</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Kopīgās operācijas “Triton” ietvaros Itālijā un Vidusjūras centrālajā daļā aģentūra ir izvietojusi 345 amatpersonas, tostarp izvietotās tehnikas apkalpes locekļus un ekspertus, kuri palīdz karsto punktu pieejas īstenošanā. Izvietoti 3 gaisa kuģi, 2 helikopteri, 2 atkrastes patruļkuģi, 6 piekrastes patruļkuģi un 3 piekrastes patruļlaivas. </w:t>
      </w:r>
    </w:p>
    <w:p>
      <w:p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Bulgārija </w:t>
      </w:r>
    </w:p>
    <w:p>
      <w:pPr>
        <w:suppressAutoHyphens/>
        <w:spacing w:after="100" w:afterAutospacing="1" w:line="240" w:lineRule="auto"/>
        <w:jc w:val="both"/>
        <w:rPr>
          <w:rFonts w:ascii="Times New Roman" w:eastAsia="SimSun" w:hAnsi="Times New Roman" w:cs="Times New Roman"/>
          <w:b/>
          <w:noProof/>
          <w:color w:val="000000"/>
          <w:sz w:val="23"/>
          <w:szCs w:val="23"/>
        </w:rPr>
      </w:pPr>
      <w:r>
        <w:rPr>
          <w:rFonts w:ascii="Times New Roman" w:hAnsi="Times New Roman"/>
          <w:noProof/>
          <w:color w:val="000000"/>
          <w:sz w:val="23"/>
        </w:rPr>
        <w:t>Aģentūra turpina palīdzēt Bulgārijai kontrolēt sauszemes robežas, citstarp, lai novērstu neatbilstīgas sekundāras kustības. Atbalsts tiek sniegts, īstenojot kopīgās operācijas “Elastīgas operatīvās darbības” un “Kontaktpunkti” pie Bulgārijas sauszemes robežas ar Turciju un Serbiju. Pašlaik ir izvietotas 149 amatpersonas, kurām atbalstu sniedz ar 11 suņu vienībām, 8 termiskās attēlveidošanas transportlīdzekļiem, 41 patruļmašīnu, 8 CO2 detektoriem un 39 </w:t>
      </w:r>
      <w:r>
        <w:rPr>
          <w:rFonts w:ascii="Times New Roman" w:hAnsi="Times New Roman"/>
          <w:i/>
          <w:noProof/>
          <w:color w:val="000000"/>
          <w:sz w:val="23"/>
        </w:rPr>
        <w:t>smartdeck</w:t>
      </w:r>
      <w:r>
        <w:rPr>
          <w:rFonts w:ascii="Times New Roman" w:hAnsi="Times New Roman"/>
          <w:noProof/>
          <w:color w:val="000000"/>
          <w:sz w:val="23"/>
        </w:rPr>
        <w:t xml:space="preserve"> kamerām. </w:t>
      </w:r>
    </w:p>
    <w:p>
      <w:p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Spānija</w:t>
      </w:r>
    </w:p>
    <w:p>
      <w:pPr>
        <w:suppressAutoHyphens/>
        <w:spacing w:after="100" w:afterAutospacing="1" w:line="240" w:lineRule="auto"/>
        <w:jc w:val="both"/>
        <w:rPr>
          <w:rFonts w:ascii="Times New Roman" w:eastAsia="SimSun" w:hAnsi="Times New Roman" w:cs="Times New Roman"/>
          <w:noProof/>
          <w:color w:val="000000"/>
          <w:sz w:val="23"/>
          <w:szCs w:val="23"/>
          <w:u w:val="single"/>
        </w:rPr>
      </w:pPr>
      <w:r>
        <w:rPr>
          <w:rFonts w:ascii="Times New Roman" w:hAnsi="Times New Roman"/>
          <w:noProof/>
          <w:color w:val="000000"/>
          <w:sz w:val="23"/>
        </w:rPr>
        <w:t>Lai kontrolētu neatbilstīgas migrācijas plūsmu uz ES un novērstu pārrobežu noziedzību, 2017. gada 3. maijā tika uzsākta kopīgā operācija “Indalo”, kuras mērķis ir atbalstīt saskaņotas operatīvās darbības pie ārējām jūras robežām Vidusjūras reģiona rietumu daļā. Maijā paredzēts izvietot 61 amatpersonu, ko atbalstīs 1 gaisa kuģis un 1 atkrastes patruļkuģis.</w:t>
      </w:r>
    </w:p>
    <w:p>
      <w:p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Rietumbalkāni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Lai palīdzētu robežu pārvaldībā Rietumbalkānu reģionā, citās dalībvalstīs pašlaik ir izvietotas 135 amatpersonas. Svarīgāko izvietošanu īsteno kopīgo operāciju elastīgo darbību ietvaros pie Horvātijas un Ungārijas sauszemes robežām ar Serbiju. Tām atbalstu sniedz ar 10 suņu vienībām, 4 termiskās attēlveidošanas transportlīdzekļiem, 33 patruļmašīnām, 1 CO2 detektoru un 12 </w:t>
      </w:r>
      <w:r>
        <w:rPr>
          <w:rFonts w:ascii="Times New Roman" w:hAnsi="Times New Roman"/>
          <w:i/>
          <w:noProof/>
          <w:color w:val="000000"/>
          <w:sz w:val="23"/>
        </w:rPr>
        <w:t>smartdeck</w:t>
      </w:r>
      <w:r>
        <w:rPr>
          <w:rFonts w:ascii="Times New Roman" w:hAnsi="Times New Roman"/>
          <w:noProof/>
          <w:color w:val="000000"/>
          <w:sz w:val="23"/>
        </w:rPr>
        <w:t xml:space="preserve"> kamerām. </w:t>
      </w:r>
    </w:p>
    <w:p>
      <w:pPr>
        <w:suppressAutoHyphens/>
        <w:spacing w:after="100" w:afterAutospacing="1" w:line="240" w:lineRule="auto"/>
        <w:ind w:left="426" w:hanging="426"/>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2.2.</w:t>
      </w:r>
      <w:r>
        <w:rPr>
          <w:noProof/>
        </w:rPr>
        <w:tab/>
      </w:r>
      <w:r>
        <w:rPr>
          <w:rFonts w:ascii="Times New Roman" w:hAnsi="Times New Roman"/>
          <w:b/>
          <w:noProof/>
          <w:color w:val="000000"/>
          <w:sz w:val="23"/>
        </w:rPr>
        <w:t>Resursu apvienošana un aģentūras spēju veidošana operatīva atbalsta nodrošināšanai</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Sanāksmē, kas notika 2017. gada 29.–30. martā, aģentūras valdei tika iesniegts 2017. gada ziņojuma projekts par dalībvalstu saistībām attiecībā uz Eiropas Robežu un krasta apsardzes vienībām un tehniskā aprīkojuma rezervi, un šo ziņojumu drīzumā iesniegs Eiropas Parlamentam saskaņā ar aģentūras ziņošanas pienākumiem</w:t>
      </w:r>
      <w:r>
        <w:rPr>
          <w:rStyle w:val="FootnoteReference"/>
          <w:rFonts w:ascii="Times New Roman" w:hAnsi="Times New Roman"/>
          <w:noProof/>
          <w:color w:val="000000"/>
          <w:sz w:val="23"/>
        </w:rPr>
        <w:footnoteReference w:id="2"/>
      </w:r>
      <w:r>
        <w:rPr>
          <w:rFonts w:ascii="Times New Roman" w:hAnsi="Times New Roman"/>
          <w:noProof/>
          <w:color w:val="000000"/>
          <w:sz w:val="23"/>
        </w:rPr>
        <w:t xml:space="preserve">.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Ziņojumā ir uzsvērts, ka 2016. gadā, salīdzinot ar iepriekšējiem gadiem, būtiski palielinājusies dalībvalstu iesaiste aģentūras operatīvajās darbībās. Izvietoto Eiropas Robežu un krasta apsardzes vienību dalībnieku skaits ir palielinājies vairāk nekā divas reizes (no 3584 izvietotiem dalībniekiem 2015. gadā līdz 8353 dalībniekiem 2016. gadā), un kopējais izvietojuma ilgums ir vairāk nekā trīskāršojies (no 128,607 cilvēkdienām 2015. gadā līdz 411,939 cilvēkdienām 2016. gadā). Salīdzinot ar 2015. gadu, 2016. gadā ir pieaudzis arī tehnisko līdzekļu nodrošinājums: atkrastes patruļkuģu patrulēšanas stundu skaits palielinājies par 14 %, piekrastes patruļkuģu – par 41 % un patruļmašīnu – par 34 %.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Tomēr notiekošajās operācijās joprojām konstatējams cilvēkresursu un tehniskā aprīkojuma būtisks iztrūkums salīdzinājumā ar vajadzībām, ko aģentūra noteikusi saskaņā ar riska izvērtējumu. Aģentūra lēš, ka attiecībā uz visām tās operācijām 2017. gadā izvietojumu cilvēkdienu kopējais iztrūkums varētu būt gandrīz 60 000 cilvēkdienu. </w:t>
      </w:r>
    </w:p>
    <w:p>
      <w:pPr>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Lai novērstu šo iztrūkumu, aģentūra kopš 2017. gada februāra beigām katru nedēļu informē dalībvalstis par nepieciešamajiem resursiem. Aģentūra ir arī palielinājusi savas spējas sniegt atbalstu priekšposteņa dalībvalstīm, nomājot vai pērkot preces vai pakalpojumus. Aģentūra pašlaik īsteno vairākas konkursa procedūras, kuru mērķis ir iepirkt pakalpojumus novērošanai no gaisa un mobilos birojus. </w:t>
      </w:r>
    </w:p>
    <w:p>
      <w:pPr>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Sākot no 2017. gada, aģentūra izmantos EUR 10 miljonus gadā (kopā EUR 40 miljonus laikposmā no 2017.–2020. gadam), lai iegādātos pašai savu aprīkojumu, jo īpaši maza un vidējā izmēra tehniku. Aģentūra jau pēta veidus, kā uzlabot savas pastāvīgās spējas un/vai saglabāt to darbībspēju pēc iegādes. </w:t>
      </w:r>
    </w:p>
    <w:p>
      <w:pPr>
        <w:spacing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Ir būtiski, lai Aģentūra izstrādātu </w:t>
      </w:r>
      <w:r>
        <w:rPr>
          <w:rFonts w:ascii="Times New Roman" w:hAnsi="Times New Roman"/>
          <w:b/>
          <w:noProof/>
          <w:color w:val="000000"/>
          <w:sz w:val="23"/>
        </w:rPr>
        <w:t>visaptverošu stratēģiju</w:t>
      </w:r>
      <w:r>
        <w:rPr>
          <w:rFonts w:ascii="Times New Roman" w:hAnsi="Times New Roman"/>
          <w:noProof/>
          <w:color w:val="000000"/>
          <w:sz w:val="23"/>
        </w:rPr>
        <w:t xml:space="preserve">, kas jāapstiprina valdei, par to, </w:t>
      </w:r>
      <w:r>
        <w:rPr>
          <w:rFonts w:ascii="Times New Roman" w:hAnsi="Times New Roman"/>
          <w:b/>
          <w:noProof/>
          <w:color w:val="000000"/>
          <w:sz w:val="23"/>
        </w:rPr>
        <w:t>kā aģentūras pašas spējas</w:t>
      </w:r>
      <w:r>
        <w:rPr>
          <w:rFonts w:ascii="Times New Roman" w:hAnsi="Times New Roman"/>
          <w:noProof/>
          <w:color w:val="000000"/>
          <w:sz w:val="23"/>
        </w:rPr>
        <w:t xml:space="preserve"> tiks izstrādātas/izmantotas laikposmā no 2017.–2020. gadam, ņemot vērā dažādās iespējas, kas pieejamas aģentūrai (piemēram, pirkšana, īre, noma, ilgtermiņa izvietošana). </w:t>
      </w:r>
    </w:p>
    <w:p>
      <w:pPr>
        <w:suppressAutoHyphens/>
        <w:spacing w:after="100" w:afterAutospacing="1" w:line="240" w:lineRule="auto"/>
        <w:jc w:val="both"/>
        <w:rPr>
          <w:rFonts w:ascii="Times New Roman" w:eastAsia="SimSun" w:hAnsi="Times New Roman" w:cs="Times New Roman"/>
          <w:b/>
          <w:i/>
          <w:noProof/>
          <w:color w:val="000000"/>
          <w:sz w:val="23"/>
          <w:szCs w:val="23"/>
        </w:rPr>
      </w:pPr>
      <w:r>
        <w:rPr>
          <w:rFonts w:ascii="Times New Roman" w:hAnsi="Times New Roman"/>
          <w:i/>
          <w:noProof/>
          <w:color w:val="000000"/>
          <w:sz w:val="23"/>
          <w:u w:val="single"/>
        </w:rPr>
        <w:t>Turpmākie pasākumi</w:t>
      </w:r>
      <w:r>
        <w:rPr>
          <w:rFonts w:ascii="Times New Roman" w:hAnsi="Times New Roman"/>
          <w:b/>
          <w:i/>
          <w:noProof/>
          <w:color w:val="000000"/>
          <w:sz w:val="23"/>
        </w:rPr>
        <w:t>:</w:t>
      </w:r>
    </w:p>
    <w:p>
      <w:p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b/>
          <w:noProof/>
          <w:color w:val="000000"/>
          <w:sz w:val="23"/>
        </w:rPr>
        <w:t xml:space="preserve">Eiropas Robežu un krasta apsardzes aģentūra  </w:t>
      </w:r>
    </w:p>
    <w:p>
      <w:pPr>
        <w:pStyle w:val="ListParagraph"/>
        <w:numPr>
          <w:ilvl w:val="0"/>
          <w:numId w:val="61"/>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Aktīvi cenšas ievākt notiekošajām operācijām vajadzīgos ieguldījumus, izmantojot divpusējus kontaktus ar dalībvalstīm. </w:t>
      </w:r>
    </w:p>
    <w:p>
      <w:pPr>
        <w:pStyle w:val="ListParagraph"/>
        <w:numPr>
          <w:ilvl w:val="0"/>
          <w:numId w:val="61"/>
        </w:numPr>
        <w:suppressAutoHyphens/>
        <w:spacing w:after="100" w:afterAutospacing="1" w:line="240" w:lineRule="auto"/>
        <w:jc w:val="both"/>
        <w:rPr>
          <w:rFonts w:ascii="Times New Roman" w:eastAsia="SimSun" w:hAnsi="Times New Roman" w:cs="Times New Roman"/>
          <w:b/>
          <w:noProof/>
          <w:color w:val="000000"/>
          <w:sz w:val="23"/>
          <w:szCs w:val="23"/>
        </w:rPr>
      </w:pPr>
      <w:r>
        <w:rPr>
          <w:rFonts w:ascii="Times New Roman" w:hAnsi="Times New Roman"/>
          <w:i/>
          <w:noProof/>
          <w:color w:val="000000"/>
          <w:sz w:val="23"/>
        </w:rPr>
        <w:t>Līdz 2017. gada novembrim izstrādās un iesniegs valdei apstiprināšanai visaptverošu stratēģiju par to, kā tiks izstrādātas/izmantotas aģentūras pašas spējas laikposmā no 2017.–2020. gadam.</w:t>
      </w:r>
    </w:p>
    <w:p>
      <w:pPr>
        <w:keepNext/>
        <w:suppressAutoHyphens/>
        <w:spacing w:after="100" w:afterAutospacing="1" w:line="240" w:lineRule="auto"/>
        <w:jc w:val="both"/>
        <w:rPr>
          <w:rFonts w:ascii="Times New Roman" w:eastAsia="SimSun" w:hAnsi="Times New Roman" w:cs="Times New Roman"/>
          <w:b/>
          <w:noProof/>
          <w:color w:val="000000"/>
          <w:sz w:val="23"/>
          <w:szCs w:val="23"/>
        </w:rPr>
      </w:pPr>
      <w:r>
        <w:rPr>
          <w:rFonts w:ascii="Times New Roman" w:hAnsi="Times New Roman"/>
          <w:b/>
          <w:noProof/>
          <w:color w:val="000000"/>
          <w:sz w:val="23"/>
        </w:rPr>
        <w:t xml:space="preserve">Dalībvalstis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Nodrošina, ka saskaņotie resursi ir pieejami aģentūrai gan pašreizējām operācijām, gan obligātajām rezervēm.</w:t>
      </w:r>
    </w:p>
    <w:p>
      <w:pPr>
        <w:numPr>
          <w:ilvl w:val="0"/>
          <w:numId w:val="33"/>
        </w:numPr>
        <w:suppressAutoHyphens/>
        <w:spacing w:after="100" w:afterAutospacing="1" w:line="240" w:lineRule="auto"/>
        <w:jc w:val="both"/>
        <w:rPr>
          <w:rFonts w:ascii="Times New Roman" w:eastAsia="SimSun" w:hAnsi="Times New Roman" w:cs="Times New Roman"/>
          <w:noProof/>
          <w:color w:val="000000"/>
          <w:sz w:val="23"/>
          <w:szCs w:val="23"/>
          <w:shd w:val="clear" w:color="auto" w:fill="FFFF00"/>
        </w:rPr>
      </w:pPr>
      <w:r>
        <w:rPr>
          <w:rFonts w:ascii="Times New Roman" w:hAnsi="Times New Roman"/>
          <w:i/>
          <w:noProof/>
          <w:color w:val="000000"/>
          <w:sz w:val="23"/>
        </w:rPr>
        <w:t>Nodrošina šādus resursus, pamatojoties uz pašlaik apzinātajiem iztrūkumiem.</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b/>
          <w:noProof/>
          <w:color w:val="000000"/>
          <w:sz w:val="23"/>
        </w:rPr>
        <w:t>Iztrūkumi Grieķijā</w:t>
      </w:r>
      <w:r>
        <w:rPr>
          <w:rFonts w:ascii="Times New Roman" w:hAnsi="Times New Roman"/>
          <w:noProof/>
          <w:color w:val="000000"/>
          <w:sz w:val="23"/>
        </w:rPr>
        <w:t xml:space="preserve"> </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Kopīgā operācija “Poseidon”</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2017. gada maijs: līdz 16. maijam 27 eksperti (darbības vajadzības:197 eksperti), 2 piekrastes patruļlaivas (20 % no darbības vajadzībām – piedāvājumu trūkuma dēļ šo iztrūkumu sedz no uzņemošās dalībvalsts aprīkojuma, ko finansē aģentūra), 1 atkrastes patruļkuģis (50 % no darbības vajadzībām – piedāvājumu trūkuma dēļ šo iztrūkumu sedz no uzņemošās dalībvalsts aprīkojuma, ko finansē aģentūra), 2 transportlīdzekļi (33 % no darbības vajadzībām)</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 xml:space="preserve">2017. gada 16. maijs–29. jūnijs: 3 eksperti (darbības vajadzības: 197 eksperti) </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2017. gada jūnijs: 3 piekrastes patruļlaivas (30 % no darbības vajadzībām – piedāvājumu trūkuma dēļ šo iztrūkumu daļēji sedz no uzņemošās dalībvalsts aprīkojuma, ko finansē aģentūra), 1 atkrastes patruļkuģis (50 % no darbības vajadzībām – piedāvājumu trūkuma dēļ šo iztrūkumu sedz no uzņemošās dalībvalsts aprīkojuma, ko finansē aģentūra), 2 transportlīdzekļi (33 % no darbības vajadzībām)</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2017. gada 27. jūnijs–17. augusts: 53 amatpersonas (darbības vajadzības: 197 eksperti)</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2017. gada jūlijs: 4 piekrastes patruļlaivas (40 % no darbības vajadzībām), 1 helikopters (50 % no darbības vajadzībām), 1 atkrastes patruļkuģis (50 % no darbības vajadzībām), 2. transportlīdzekļi (33 % no darbības vajadzībām)</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u w:val="single"/>
        </w:rPr>
      </w:pPr>
      <w:r>
        <w:rPr>
          <w:rFonts w:ascii="Times New Roman" w:hAnsi="Times New Roman"/>
          <w:noProof/>
          <w:color w:val="000000"/>
          <w:sz w:val="23"/>
        </w:rPr>
        <w:t>Kopīgā operācija “Elastīgas operatīvās darbības” un “Kontaktpunkti” pie Grieķijas sauszemes robežas ziemeļu daļā</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2017. gada 26. aprīlis–24. maijs: 34 amatpersonas (darbības vajadzības: 61 amatpersona), 1 termiskās attēlveidošanas transportlīdzeklis (100 % no darbības vajadzībām) un 14 patruļmašīnas (54 % no darbības vajadzībām), 2 suņu vienības (67 % no darbības vajadzībām), 2 transportlīdzekļi (100 % no darbības vajadzībām)</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2017. gada 24. maijs–21. jūnijs: 35 amatpersonas (darbības vajadzības: 61 amatpersona), 16 patruļmašīnas (62 % no darbības vajadzībām), 3 suņu vienības (100 % no darbības vajadzībām), 2 transportlīdzekļi (100 % no darbības vajadzībām)</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2017. gada 21. jūnijs–19. jūlijs: 42 amatpersonas (darbības vajadzības: 62 amatpersonas), 20 patruļmašīnas (77 % no darbības vajadzībām), 3 suņu vienības (100 % no darbības vajadzībām), 2 transportlīdzekļi (100 % no darbības vajadzībām)</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shd w:val="clear" w:color="auto" w:fill="FFFF00"/>
        </w:rPr>
      </w:pPr>
      <w:r>
        <w:rPr>
          <w:rFonts w:ascii="Times New Roman" w:hAnsi="Times New Roman"/>
          <w:b/>
          <w:noProof/>
          <w:color w:val="000000"/>
          <w:sz w:val="23"/>
        </w:rPr>
        <w:t xml:space="preserve">Iztrūkumi Bulgārijā </w:t>
      </w:r>
      <w:r>
        <w:rPr>
          <w:rFonts w:ascii="Times New Roman" w:hAnsi="Times New Roman"/>
          <w:noProof/>
          <w:color w:val="000000"/>
          <w:sz w:val="23"/>
        </w:rPr>
        <w:t xml:space="preserve">(Kopīgās operācijas “Elastīgas operatīvās darbības” un “Kontaktpunkti”) </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2017. gada 26. aprīlis–24. maijs: 45 amatpersonas (darbības vajadzības: 175 amatpersonas – piedāvājumu trūkuma dēļ 24 amatpersonas no uzņēmējas dalībvalsts līdzfinansēs aģentūra), 19 patruļmašīnas (32 % no darbības vajadzībām – piedāvājumu trūkuma dēļ 12 patruļmašīnas no uzņēmējas dalībvalsts līdzfinansēs aģentūra), 9 suņu vienības (43 % no darbības vajadzībām)</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2017. gada 24. maijs–21. jūnijs: 45 amatpersonas (darbības vajadzības: 175 amatpersonas – piedāvājumu trūkuma dēļ 24 amatpersonas no uzņēmējas dalībvalsts līdzfinansēs aģentūra), 2 termiskās attēlveidošanas transportlīdzekļi (25 % no darbības vajadzībām), 14 patruļmašīnas (23 % no darbības vajadzībām), 11 suņu vienības (52 % no darbības vajadzībām)</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2017. gada 21. jūnijs–19. jūlijs: 68 amatpersonas (darbības vajadzības: 175 amatpersonas – piedāvājumu trūkuma dēļ 24 amatpersonas no uzņēmējas dalībvalsts līdzfinansēs aģentūra), 3 termiskās attēlveidošanas transportlīdzekļi (38 % no darbības vajadzībām), 25 patruļmašīnas (42 % no darbības vajadzībām – piedāvājumu trūkuma dēļ 12 patruļmašīnas no uzņēmējas dalībvalsts līdzfinansēs aģentūra), 11 suņu vienības (52 % no darbības vajadzībām)</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shd w:val="clear" w:color="auto" w:fill="FFFF00"/>
        </w:rPr>
      </w:pPr>
      <w:r>
        <w:rPr>
          <w:rFonts w:ascii="Times New Roman" w:hAnsi="Times New Roman"/>
          <w:b/>
          <w:noProof/>
          <w:color w:val="000000"/>
          <w:sz w:val="23"/>
        </w:rPr>
        <w:t>Iztrūkumi Itālijā</w:t>
      </w:r>
      <w:r>
        <w:rPr>
          <w:rFonts w:ascii="Times New Roman" w:hAnsi="Times New Roman"/>
          <w:noProof/>
          <w:color w:val="000000"/>
          <w:sz w:val="23"/>
        </w:rPr>
        <w:t xml:space="preserve"> (kopīgā operācija “Triton”)</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2017. gada maijs: 14 amatpersonas, 2 piekrastes patruļlaivas (67 % no darbības vajadzībām – </w:t>
      </w:r>
      <w:r>
        <w:rPr>
          <w:rFonts w:ascii="Times New Roman" w:hAnsi="Times New Roman"/>
          <w:noProof/>
          <w:sz w:val="23"/>
        </w:rPr>
        <w:t>piedāvājumu trūkuma dēļ šo iztrūkumu daļēji sedz no uzņemošās dalībvalsts aprīkojuma, ko finansē aģentūra</w:t>
      </w:r>
      <w:r>
        <w:rPr>
          <w:rFonts w:ascii="Times New Roman" w:hAnsi="Times New Roman"/>
          <w:noProof/>
          <w:color w:val="000000"/>
          <w:sz w:val="23"/>
        </w:rPr>
        <w:t xml:space="preserve">), 4 piekrastes patruļkuģi (67 % no darbības vajadzībām </w:t>
      </w:r>
      <w:r>
        <w:rPr>
          <w:rFonts w:ascii="Times New Roman" w:hAnsi="Times New Roman"/>
          <w:noProof/>
          <w:sz w:val="23"/>
        </w:rPr>
        <w:t>– piedāvājumu trūkuma dēļ šo iztrūkumu sedz no uzņemošās dalībvalsts aprīkojuma, ko finansē aģentūra</w:t>
      </w:r>
      <w:r>
        <w:rPr>
          <w:rFonts w:ascii="Times New Roman" w:hAnsi="Times New Roman"/>
          <w:noProof/>
          <w:color w:val="000000"/>
          <w:sz w:val="23"/>
        </w:rPr>
        <w:t>), 1 atkrastes patruļkuģis (50 % no darbības vajadzībām)</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2017. gada jūnijs: 27 amatpersonas (darbības vajadzības: 126 amatpersonas), 1 piekrastes patruļlaiva (33 % no darbības vajadzībām – </w:t>
      </w:r>
      <w:r>
        <w:rPr>
          <w:rFonts w:ascii="Times New Roman" w:hAnsi="Times New Roman"/>
          <w:noProof/>
          <w:sz w:val="23"/>
        </w:rPr>
        <w:t>piedāvājumu trūkuma dēļ šo iztrūkumu daļēji sedz no uzņemošās dalībvalsts aprīkojuma, ko finansē aģentūra</w:t>
      </w:r>
      <w:r>
        <w:rPr>
          <w:rFonts w:ascii="Times New Roman" w:hAnsi="Times New Roman"/>
          <w:noProof/>
          <w:color w:val="000000"/>
          <w:sz w:val="23"/>
        </w:rPr>
        <w:t xml:space="preserve">), 4 piekrastes patruļkuģi (67 % no darbības vajadzībām </w:t>
      </w:r>
      <w:r>
        <w:rPr>
          <w:rFonts w:ascii="Times New Roman" w:hAnsi="Times New Roman"/>
          <w:noProof/>
          <w:sz w:val="23"/>
        </w:rPr>
        <w:t>– piedāvājumu trūkuma dēļ šo iztrūkumu sedz no uzņemošās dalībvalsts aprīkojuma, ko finansē aģentūra</w:t>
      </w:r>
      <w:r>
        <w:rPr>
          <w:rFonts w:ascii="Times New Roman" w:hAnsi="Times New Roman"/>
          <w:noProof/>
          <w:color w:val="000000"/>
          <w:sz w:val="23"/>
        </w:rPr>
        <w:t xml:space="preserve">) </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2017. gada jūlijs: 23 amatpersonas (darbības vajadzības: 126 amatpersonas), 1 piekrastes patruļlaiva (33 % no darbības vajadzībām), 4 piekrastes patruļkuģi (67 % no darbības vajadzībām), 0,5 mēnesi – fiksētu spārnu lidaparāts (25 % no darbības vajadzībām), 1 helikopters (50 % no darbības vajadzībām), 1 atkrastes patruļkuģis (33 % no darbības vajadzībām)</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shd w:val="clear" w:color="auto" w:fill="FFFF00"/>
        </w:rPr>
      </w:pPr>
      <w:r>
        <w:rPr>
          <w:rFonts w:ascii="Times New Roman" w:hAnsi="Times New Roman"/>
          <w:b/>
          <w:noProof/>
          <w:color w:val="000000"/>
          <w:sz w:val="23"/>
        </w:rPr>
        <w:t>Iztrūkumi Spānijā</w:t>
      </w:r>
      <w:r>
        <w:rPr>
          <w:rFonts w:ascii="Times New Roman" w:hAnsi="Times New Roman"/>
          <w:noProof/>
          <w:color w:val="000000"/>
          <w:sz w:val="23"/>
        </w:rPr>
        <w:t xml:space="preserve"> (kopīgā operācija “Indalo”)</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2017. gada maijs: 5 amatpersonas (darbības vajadzības: 11 amatpersonas – piedāvājumu trūkuma dēļ 3 amatpersonas no uzņemošās dalībvalsts līdzfinansēs aģentūra, 1 atkrastes patruļkuģis (100 % no darbības vajadzībām</w:t>
      </w:r>
      <w:r>
        <w:rPr>
          <w:rFonts w:ascii="Times New Roman" w:hAnsi="Times New Roman"/>
          <w:noProof/>
          <w:sz w:val="23"/>
        </w:rPr>
        <w:t xml:space="preserve"> – piedāvājumu trūkuma dēļ šo iztrūkumu sedz no uzņemošās dalībvalsts aprīkojuma, ko finansē aģentūra</w:t>
      </w:r>
      <w:r>
        <w:rPr>
          <w:rFonts w:ascii="Times New Roman" w:hAnsi="Times New Roman"/>
          <w:noProof/>
          <w:color w:val="000000"/>
          <w:sz w:val="23"/>
        </w:rPr>
        <w:t>)</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2017. gada jūnijs:</w:t>
      </w:r>
      <w:r>
        <w:rPr>
          <w:rFonts w:ascii="Times New Roman" w:hAnsi="Times New Roman"/>
          <w:noProof/>
          <w:sz w:val="23"/>
        </w:rPr>
        <w:t xml:space="preserve"> </w:t>
      </w:r>
      <w:r>
        <w:rPr>
          <w:rFonts w:ascii="Times New Roman" w:hAnsi="Times New Roman"/>
          <w:noProof/>
          <w:color w:val="000000"/>
          <w:sz w:val="23"/>
        </w:rPr>
        <w:t>4 amatpersonas (darbības vajadzības: 11 amatpersonas – piedāvājumu trūkuma dēļ 3 amatpersonas no uzņemošās dalībvalsts līdzfinansēs aģentūra, 1 atkrastes patruļkuģis (100 % no darbības vajadzībām</w:t>
      </w:r>
      <w:r>
        <w:rPr>
          <w:rFonts w:ascii="Times New Roman" w:hAnsi="Times New Roman"/>
          <w:noProof/>
          <w:sz w:val="23"/>
        </w:rPr>
        <w:t xml:space="preserve"> – piedāvājumu trūkuma dēļ šo iztrūkumu sedz no uzņemošās dalībvalsts aprīkojuma, ko finansē aģentūra</w:t>
      </w:r>
      <w:r>
        <w:rPr>
          <w:rFonts w:ascii="Times New Roman" w:hAnsi="Times New Roman"/>
          <w:noProof/>
          <w:color w:val="000000"/>
          <w:sz w:val="23"/>
        </w:rPr>
        <w:t>)</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2017. gada jūlijs: 3 amatpersonas (darbības vajadzības: 11 amatpersonas)</w:t>
      </w:r>
    </w:p>
    <w:p>
      <w:pPr>
        <w:keepNext/>
        <w:numPr>
          <w:ilvl w:val="0"/>
          <w:numId w:val="32"/>
        </w:numPr>
        <w:suppressAutoHyphens/>
        <w:spacing w:after="100" w:afterAutospacing="1" w:line="240" w:lineRule="auto"/>
        <w:ind w:left="426" w:hanging="426"/>
        <w:jc w:val="both"/>
        <w:rPr>
          <w:rFonts w:ascii="Times New Roman" w:eastAsia="SimSun" w:hAnsi="Times New Roman" w:cs="Times New Roman"/>
          <w:b/>
          <w:noProof/>
          <w:color w:val="000000"/>
          <w:sz w:val="23"/>
          <w:szCs w:val="23"/>
        </w:rPr>
      </w:pPr>
      <w:r>
        <w:rPr>
          <w:rFonts w:ascii="Times New Roman" w:hAnsi="Times New Roman"/>
          <w:b/>
          <w:noProof/>
          <w:color w:val="000000"/>
          <w:sz w:val="23"/>
        </w:rPr>
        <w:t xml:space="preserve">PANĀKUMI, KAS GŪTI PRIORITĀRO JOMU ĪSTENOŠANĀ </w:t>
      </w:r>
    </w:p>
    <w:p>
      <w:pPr>
        <w:suppressAutoHyphens/>
        <w:spacing w:after="100" w:afterAutospacing="1" w:line="240" w:lineRule="auto"/>
        <w:ind w:left="426" w:hanging="426"/>
        <w:jc w:val="both"/>
        <w:rPr>
          <w:rFonts w:ascii="Times New Roman" w:eastAsia="SimSun" w:hAnsi="Times New Roman" w:cs="Times New Roman"/>
          <w:noProof/>
          <w:color w:val="000000"/>
          <w:sz w:val="23"/>
          <w:szCs w:val="23"/>
        </w:rPr>
      </w:pPr>
      <w:r>
        <w:rPr>
          <w:rFonts w:ascii="Times New Roman" w:hAnsi="Times New Roman"/>
          <w:b/>
          <w:noProof/>
          <w:color w:val="000000"/>
          <w:sz w:val="23"/>
        </w:rPr>
        <w:t>3.1.</w:t>
      </w:r>
      <w:r>
        <w:rPr>
          <w:noProof/>
        </w:rPr>
        <w:tab/>
      </w:r>
      <w:r>
        <w:rPr>
          <w:rFonts w:ascii="Times New Roman" w:hAnsi="Times New Roman"/>
          <w:b/>
          <w:noProof/>
          <w:color w:val="000000"/>
          <w:sz w:val="23"/>
        </w:rPr>
        <w:t>Eiropas Robežu un krasta apsardzes aģentūras ātrās reaģēšanas spēju, tajā skaitā resursu obligātās apvienošanas, stiprināšana</w:t>
      </w:r>
    </w:p>
    <w:p>
      <w:pPr>
        <w:spacing w:line="240" w:lineRule="auto"/>
        <w:jc w:val="both"/>
        <w:rPr>
          <w:rFonts w:ascii="Times New Roman" w:hAnsi="Times New Roman" w:cs="Times New Roman"/>
          <w:i/>
          <w:noProof/>
          <w:sz w:val="23"/>
          <w:szCs w:val="23"/>
        </w:rPr>
      </w:pPr>
      <w:r>
        <w:rPr>
          <w:rFonts w:ascii="Times New Roman" w:hAnsi="Times New Roman"/>
          <w:i/>
          <w:noProof/>
          <w:sz w:val="23"/>
        </w:rPr>
        <w:t>Ātrās reaģēšanas rezerve</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Lai gan ir apstiprināta vairāk nekā 1500 robežsargu un citu amatpersonu pilnīga pieejamība, saskaņā ar Eiropas Robežu un krasta apsardzes regulu ātrās reaģēšanas rezerves pilnīgu gatavību joprojām ietekmē divi jautājumi.  </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1) Robežsargu izvirzīšana amatam </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Prasības robežsargu izvirzīšanai ir skaidri definētas Eiropas Robežu un krasta apsardzes regulas 20. panta 4. punktā. Lai nodrošinātu rezerves kontingenta kvalitāti, aģentūrai vajadzīgi amatpersonu vārdi un uzvārdi; šādi tā var pārbaudīt, vai izvirzītie robežsargi atbilst noteiktajām specializācijām, un nodrošināt, ka pirms piedalīšanās operatīvajās darbībās tie ir atbilstoši apmācīti. Līdz šim tikai dažas Šengenas valstis (Beļģija, Čehija, Somija, Francija, Rumānija un Šveice) ir iesniegušas ekspertu vārdus un uzvārdus, kas atbilst šo valstu attiecīgi izvirzāmo ekspertu skaitam, kurš paredzēts Eiropas Robežu un krasta apsardzes regulas 1. pielikumā. </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Komisija šo jautājumu apsprieda Tieslietu un iekšlietu padomes sanāksmē, kas notika 2017. gada 27. martā. Vairākas dalībvalstis pauda bažas, norādot, ka izvirzīto robežsargu pilnīgu pieejamību nevar garantēt brīvdienu, slimības atvaļinājuma vai cita veida prombūtnes dēļ. </w:t>
      </w:r>
    </w:p>
    <w:p>
      <w:pPr>
        <w:spacing w:line="240" w:lineRule="auto"/>
        <w:jc w:val="both"/>
        <w:rPr>
          <w:rFonts w:ascii="Times New Roman" w:hAnsi="Times New Roman" w:cs="Times New Roman"/>
          <w:noProof/>
          <w:sz w:val="23"/>
          <w:szCs w:val="23"/>
        </w:rPr>
      </w:pPr>
      <w:r>
        <w:rPr>
          <w:rFonts w:ascii="Times New Roman" w:hAnsi="Times New Roman"/>
          <w:noProof/>
          <w:sz w:val="23"/>
        </w:rPr>
        <w:t>Aģentūras valdes sanāksmē, kas notika 2017. gada 29.–30. martā, Komisija uzsvēra, ka būtu jāizstrādā praktisks risinājums, kas būtu pilnīgā saskaņā ar juridisko pamatu. Šāda praktiska risinājuma vispārējie elementi</w:t>
      </w:r>
      <w:r>
        <w:rPr>
          <w:rStyle w:val="FootnoteReference"/>
          <w:rFonts w:ascii="Times New Roman" w:hAnsi="Times New Roman"/>
          <w:noProof/>
          <w:sz w:val="23"/>
        </w:rPr>
        <w:footnoteReference w:id="3"/>
      </w:r>
      <w:r>
        <w:rPr>
          <w:rFonts w:ascii="Times New Roman" w:hAnsi="Times New Roman"/>
          <w:noProof/>
          <w:sz w:val="23"/>
        </w:rPr>
        <w:t xml:space="preserve"> tika izklāstīti resursu tīkla sanāksmē, kas notika 2017. gada 25.–26. aprīlī. Tomēr vairākos jautājumos bija vajadzīgi papildu precizējumi. Maija sākumā aģentūra izplatīs koncepcijas aprakstu, sīki izskaidrojot piedāvāto risinājumu. Dalībvalstis ar saviem ieguldījumiem Eiropas Robežu un krasta apsardzes rezerves kontingentā varēs rīkoties elastīgi, bet tajā pašā laikā aģentūra varēs pārbaudīt atbilstību specifikācijām un nodrošināt apmācību.</w:t>
      </w:r>
    </w:p>
    <w:p>
      <w:pPr>
        <w:spacing w:line="240" w:lineRule="auto"/>
        <w:jc w:val="both"/>
        <w:rPr>
          <w:rFonts w:ascii="Times New Roman" w:hAnsi="Times New Roman" w:cs="Times New Roman"/>
          <w:noProof/>
          <w:sz w:val="23"/>
          <w:szCs w:val="23"/>
        </w:rPr>
      </w:pPr>
      <w:r>
        <w:rPr>
          <w:rFonts w:ascii="Times New Roman" w:hAnsi="Times New Roman"/>
          <w:noProof/>
          <w:sz w:val="23"/>
        </w:rPr>
        <w:t>2) Specializāciju saskaņošana</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Aģentūra joprojām nav sasniegusi vajadzīgo ekspertu skaitu attiecībā uz dažām specializācijām, ko apņēmušās nodrošināt ES dalībvalstis saskaņā ar robežvērtībām, kuras noteiktas ar attiecīgo valdes īstenošanas lēmumu. Kaut arī ir piedāvājuma pārpalikums attiecībā uz 143 robežu uzraudzības amatpersonām un vairākām citu specializāciju amatpersonām, trūkst 167 reģistrācijas/pirkstu nospiedumu noņemšanas ekspertu un 38 pārbaužu ekspertu. Aģentūrai būtu aktīvi jārisina šis jautājums divpusējās sarunās ar dalībvalstīm, īpaši ar tām dalībvalstīm, kuras izvirzījušas visvairāk amatpersonu specializācijās, attiecībā uz kurām pastāv pārmērīgs piedāvājums, lai mainītu šo valstu piedāvājumu un mudinātu tās izvirzīt reģistrācijas/pirkstu nospiedumu ņemšanas speciālistus un pārbaužu veikšanas amatpersonas. </w:t>
      </w:r>
    </w:p>
    <w:p>
      <w:pPr>
        <w:spacing w:line="240" w:lineRule="auto"/>
        <w:jc w:val="both"/>
        <w:rPr>
          <w:rFonts w:ascii="Times New Roman" w:hAnsi="Times New Roman" w:cs="Times New Roman"/>
          <w:i/>
          <w:noProof/>
          <w:sz w:val="23"/>
          <w:szCs w:val="23"/>
        </w:rPr>
      </w:pPr>
      <w:r>
        <w:rPr>
          <w:rFonts w:ascii="Times New Roman" w:hAnsi="Times New Roman"/>
          <w:i/>
          <w:noProof/>
          <w:sz w:val="23"/>
        </w:rPr>
        <w:t>Ātrās reaģēšanas aprīkojuma rezerve</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Pēc pirmā un otrā progresa ziņojuma iesniegšanas aģentūra martā atkārtoti aicināja veikt papildu ieguldījumus rezerves sastāvā. Šo centienu rezultātā līdz 2017. gada aprīļa vidum bija novērsts patruļmašīnu iztrūkums un bija apsolītas papildu piekrastes patruļlaivas, atkrastes patruļkuģi un termiskās attēlveidošanas transportlīdzekļi. Tomēr </w:t>
      </w:r>
      <w:r>
        <w:rPr>
          <w:rFonts w:ascii="Times New Roman" w:hAnsi="Times New Roman"/>
          <w:b/>
          <w:noProof/>
          <w:sz w:val="23"/>
        </w:rPr>
        <w:t>ievērojams iztrūkums joprojām pastāv attiecībā uz lielāko daļu aprīkojuma</w:t>
      </w:r>
      <w:r>
        <w:rPr>
          <w:rFonts w:ascii="Times New Roman" w:hAnsi="Times New Roman"/>
          <w:noProof/>
          <w:sz w:val="23"/>
        </w:rPr>
        <w:t xml:space="preserve">. Komisija pauž nožēlu, ka citas dalībvalstis nav apņēmušās veikt ieguldījumus rezerves sastāvā, ko joprojām nodrošina tikai 14 dalībvalstis (Austrija, Bulgārija, Horvātija, Čehija, Vācija, Somija, Ungārija, Itālija, Latvija, Nīderlande, Polija, Portugāle, Rumānija un Slovēnija).  </w:t>
      </w:r>
    </w:p>
    <w:p>
      <w:pPr>
        <w:autoSpaceDE w:val="0"/>
        <w:autoSpaceDN w:val="0"/>
        <w:adjustRightInd w:val="0"/>
        <w:spacing w:after="100" w:afterAutospacing="1" w:line="240" w:lineRule="auto"/>
        <w:jc w:val="both"/>
        <w:rPr>
          <w:rFonts w:ascii="Times New Roman" w:eastAsia="Times New Roman" w:hAnsi="Times New Roman" w:cs="Times New Roman"/>
          <w:i/>
          <w:noProof/>
          <w:color w:val="000000"/>
          <w:sz w:val="23"/>
          <w:szCs w:val="23"/>
          <w:u w:val="single"/>
        </w:rPr>
      </w:pPr>
      <w:r>
        <w:rPr>
          <w:rFonts w:ascii="Times New Roman" w:hAnsi="Times New Roman"/>
          <w:i/>
          <w:noProof/>
          <w:color w:val="000000"/>
          <w:sz w:val="23"/>
          <w:u w:val="single"/>
        </w:rPr>
        <w:t xml:space="preserve">Turpmākie pasākumi </w:t>
      </w:r>
    </w:p>
    <w:p>
      <w:pPr>
        <w:autoSpaceDE w:val="0"/>
        <w:autoSpaceDN w:val="0"/>
        <w:adjustRightInd w:val="0"/>
        <w:spacing w:after="100" w:afterAutospacing="1" w:line="240" w:lineRule="auto"/>
        <w:jc w:val="both"/>
        <w:rPr>
          <w:rFonts w:ascii="Times New Roman" w:eastAsia="Times New Roman" w:hAnsi="Times New Roman" w:cs="Times New Roman"/>
          <w:b/>
          <w:bCs/>
          <w:noProof/>
          <w:color w:val="000000"/>
          <w:sz w:val="23"/>
          <w:szCs w:val="23"/>
        </w:rPr>
      </w:pPr>
      <w:r>
        <w:rPr>
          <w:rFonts w:ascii="Times New Roman" w:hAnsi="Times New Roman"/>
          <w:b/>
          <w:noProof/>
          <w:color w:val="000000"/>
          <w:sz w:val="23"/>
        </w:rPr>
        <w:t>Eiropas Robežu un krasta apsardzes aģentūra</w:t>
      </w:r>
    </w:p>
    <w:p>
      <w:pPr>
        <w:numPr>
          <w:ilvl w:val="0"/>
          <w:numId w:val="35"/>
        </w:numPr>
        <w:suppressAutoHyphens/>
        <w:autoSpaceDE w:val="0"/>
        <w:autoSpaceDN w:val="0"/>
        <w:adjustRightInd w:val="0"/>
        <w:spacing w:after="100" w:afterAutospacing="1" w:line="240" w:lineRule="auto"/>
        <w:jc w:val="both"/>
        <w:rPr>
          <w:rFonts w:ascii="Times New Roman" w:eastAsia="Times New Roman" w:hAnsi="Times New Roman" w:cs="Times New Roman"/>
          <w:i/>
          <w:iCs/>
          <w:noProof/>
          <w:color w:val="000000"/>
          <w:sz w:val="23"/>
          <w:szCs w:val="23"/>
        </w:rPr>
      </w:pPr>
      <w:r>
        <w:rPr>
          <w:rFonts w:ascii="Times New Roman" w:hAnsi="Times New Roman"/>
          <w:i/>
          <w:noProof/>
          <w:color w:val="000000"/>
          <w:sz w:val="23"/>
        </w:rPr>
        <w:t>Steidzami sāk divpusējas sarunas ar Šengenas valstīm, jo īpaši ar tām, kuras vēl nav sniegušas ieguldījumu Ātrās reaģēšanas aprīkojuma rezervē (Beļģija, Kipra, Dānija, Igaunija, Francija, Grieķija, Luksemburga, Malta, Norvēģija, Spānija, Lietuva, Slovākija, Zviedrija, Šveice), lai novērstu konstatēto aprīkojuma iztrūkumu.</w:t>
      </w:r>
    </w:p>
    <w:p>
      <w:pPr>
        <w:pStyle w:val="ListParagraph"/>
        <w:numPr>
          <w:ilvl w:val="0"/>
          <w:numId w:val="35"/>
        </w:numPr>
        <w:spacing w:line="240" w:lineRule="auto"/>
        <w:ind w:left="714" w:hanging="357"/>
        <w:jc w:val="both"/>
        <w:rPr>
          <w:rFonts w:ascii="Times New Roman" w:eastAsia="Times New Roman" w:hAnsi="Times New Roman" w:cs="Times New Roman"/>
          <w:i/>
          <w:iCs/>
          <w:noProof/>
          <w:color w:val="000000"/>
          <w:sz w:val="23"/>
          <w:szCs w:val="23"/>
        </w:rPr>
      </w:pPr>
      <w:r>
        <w:rPr>
          <w:rFonts w:ascii="Times New Roman" w:hAnsi="Times New Roman"/>
          <w:i/>
          <w:noProof/>
          <w:color w:val="000000"/>
          <w:sz w:val="23"/>
        </w:rPr>
        <w:t xml:space="preserve">Līdz 2017. gada maija beigām nodrošina, ka eksperti, kas izvirzīti ātrās reaģēšanas rezervei, jo īpaši reģistrācijas/pirkstu nospiedumu ņemšanas speciālisti un pārbaužu eksperti, tiek nodrošināti atbilstoši īpašo specializāciju skaitam, ko noteikusi valde. </w:t>
      </w:r>
    </w:p>
    <w:p>
      <w:pPr>
        <w:pStyle w:val="ListParagraph"/>
        <w:numPr>
          <w:ilvl w:val="0"/>
          <w:numId w:val="35"/>
        </w:numPr>
        <w:spacing w:line="240" w:lineRule="auto"/>
        <w:ind w:left="714" w:hanging="357"/>
        <w:jc w:val="both"/>
        <w:rPr>
          <w:rFonts w:ascii="Times New Roman" w:eastAsia="Times New Roman" w:hAnsi="Times New Roman" w:cs="Times New Roman"/>
          <w:i/>
          <w:iCs/>
          <w:noProof/>
          <w:color w:val="000000"/>
          <w:sz w:val="23"/>
          <w:szCs w:val="23"/>
        </w:rPr>
      </w:pPr>
      <w:r>
        <w:rPr>
          <w:rFonts w:ascii="Times New Roman" w:hAnsi="Times New Roman"/>
          <w:i/>
          <w:noProof/>
          <w:color w:val="000000"/>
          <w:sz w:val="23"/>
        </w:rPr>
        <w:t xml:space="preserve">Līdz 2017. gada jūnija beigām pārbauda visu ātrās reaģēšanas rezervē iekļauto 1500 robežsargu pieejamību un līdz 2017. gada oktobra beigām veic rezerves grupā iekļauto cilvēkresursu un tehnisko resursu izvietošanas imitāciju. </w:t>
      </w:r>
    </w:p>
    <w:p>
      <w:pPr>
        <w:keepNext/>
        <w:autoSpaceDE w:val="0"/>
        <w:autoSpaceDN w:val="0"/>
        <w:adjustRightInd w:val="0"/>
        <w:spacing w:after="100" w:afterAutospacing="1" w:line="240" w:lineRule="auto"/>
        <w:jc w:val="both"/>
        <w:rPr>
          <w:rFonts w:ascii="Times New Roman" w:eastAsia="Times New Roman" w:hAnsi="Times New Roman" w:cs="Times New Roman"/>
          <w:noProof/>
          <w:color w:val="000000"/>
          <w:sz w:val="23"/>
          <w:szCs w:val="23"/>
        </w:rPr>
      </w:pPr>
      <w:r>
        <w:rPr>
          <w:rFonts w:ascii="Times New Roman" w:hAnsi="Times New Roman"/>
          <w:b/>
          <w:noProof/>
          <w:color w:val="000000"/>
          <w:sz w:val="23"/>
        </w:rPr>
        <w:t xml:space="preserve">Dalībvalstis </w:t>
      </w:r>
    </w:p>
    <w:p>
      <w:pPr>
        <w:numPr>
          <w:ilvl w:val="0"/>
          <w:numId w:val="35"/>
        </w:numPr>
        <w:suppressAutoHyphens/>
        <w:autoSpaceDE w:val="0"/>
        <w:autoSpaceDN w:val="0"/>
        <w:adjustRightInd w:val="0"/>
        <w:spacing w:after="100" w:afterAutospacing="1" w:line="240" w:lineRule="auto"/>
        <w:jc w:val="both"/>
        <w:rPr>
          <w:rFonts w:ascii="Times New Roman" w:eastAsia="Times New Roman" w:hAnsi="Times New Roman" w:cs="Times New Roman"/>
          <w:noProof/>
          <w:color w:val="000000"/>
          <w:sz w:val="23"/>
          <w:szCs w:val="23"/>
        </w:rPr>
      </w:pPr>
      <w:r>
        <w:rPr>
          <w:rFonts w:ascii="Times New Roman" w:hAnsi="Times New Roman"/>
          <w:i/>
          <w:noProof/>
          <w:color w:val="000000"/>
          <w:sz w:val="23"/>
        </w:rPr>
        <w:t>Līdz 2017. gada maija beigām aizpilda konstatētos iztrūkumus ātrās reaģēšanas aprīkojuma rezervē. Īpašus centienus izrāda tās dalībvalstis, kas vēl nav sniegušas ieguldījumu rezervē.</w:t>
      </w:r>
    </w:p>
    <w:p>
      <w:pPr>
        <w:numPr>
          <w:ilvl w:val="0"/>
          <w:numId w:val="35"/>
        </w:numPr>
        <w:suppressAutoHyphens/>
        <w:spacing w:after="100" w:afterAutospacing="1" w:line="240" w:lineRule="auto"/>
        <w:contextualSpacing/>
        <w:jc w:val="both"/>
        <w:rPr>
          <w:rFonts w:ascii="Times New Roman" w:eastAsia="SimSun" w:hAnsi="Times New Roman" w:cs="Times New Roman"/>
          <w:i/>
          <w:noProof/>
          <w:color w:val="000000"/>
          <w:sz w:val="23"/>
          <w:szCs w:val="23"/>
        </w:rPr>
      </w:pPr>
      <w:r>
        <w:rPr>
          <w:rFonts w:ascii="Times New Roman" w:hAnsi="Times New Roman"/>
          <w:i/>
          <w:noProof/>
          <w:color w:val="000000"/>
          <w:sz w:val="23"/>
        </w:rPr>
        <w:t>Līdz 2017. gada jūnija beigām paziņo to ekspertu vārdus un uzvārdus, kurus paredzēts iekļaut ātrās reaģēšanas rezervē.</w:t>
      </w:r>
    </w:p>
    <w:p>
      <w:pPr>
        <w:suppressAutoHyphens/>
        <w:spacing w:after="100" w:afterAutospacing="1" w:line="240" w:lineRule="auto"/>
        <w:ind w:left="720"/>
        <w:contextualSpacing/>
        <w:jc w:val="both"/>
        <w:rPr>
          <w:rFonts w:ascii="Times New Roman" w:eastAsia="SimSun" w:hAnsi="Times New Roman" w:cs="Times New Roman"/>
          <w:i/>
          <w:noProof/>
          <w:color w:val="000000"/>
          <w:sz w:val="23"/>
          <w:szCs w:val="23"/>
        </w:rPr>
      </w:pPr>
    </w:p>
    <w:p>
      <w:pPr>
        <w:suppressAutoHyphens/>
        <w:spacing w:after="100" w:afterAutospacing="1" w:line="240" w:lineRule="auto"/>
        <w:ind w:left="426" w:hanging="426"/>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3.2.</w:t>
      </w:r>
      <w:r>
        <w:rPr>
          <w:noProof/>
        </w:rPr>
        <w:tab/>
      </w:r>
      <w:r>
        <w:rPr>
          <w:rFonts w:ascii="Times New Roman" w:hAnsi="Times New Roman"/>
          <w:b/>
          <w:noProof/>
          <w:color w:val="000000"/>
          <w:sz w:val="23"/>
        </w:rPr>
        <w:t>Preventīvu neaizsargātības novērtējumu veikšana, balstoties uz vienotu metodiku</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sz w:val="23"/>
        </w:rPr>
        <w:t xml:space="preserve">Preventīvo </w:t>
      </w:r>
      <w:r>
        <w:rPr>
          <w:rFonts w:ascii="Times New Roman" w:hAnsi="Times New Roman"/>
          <w:b/>
          <w:noProof/>
          <w:sz w:val="23"/>
        </w:rPr>
        <w:t>novērtējumu, kas garantē Šengenas zonas labu funkcionēšanu</w:t>
      </w:r>
      <w:r>
        <w:rPr>
          <w:rFonts w:ascii="Times New Roman" w:hAnsi="Times New Roman"/>
          <w:noProof/>
          <w:sz w:val="23"/>
        </w:rPr>
        <w:t>, pastiprināšana joprojām ir īpaša politiskā prioritāte Eiropas Savienībā.</w:t>
      </w:r>
      <w:r>
        <w:rPr>
          <w:rFonts w:ascii="Times New Roman" w:hAnsi="Times New Roman"/>
          <w:noProof/>
          <w:color w:val="000000"/>
          <w:sz w:val="23"/>
        </w:rPr>
        <w:t xml:space="preserve"> </w:t>
      </w:r>
      <w:r>
        <w:rPr>
          <w:rFonts w:ascii="Times New Roman" w:hAnsi="Times New Roman"/>
          <w:noProof/>
          <w:sz w:val="23"/>
        </w:rPr>
        <w:t xml:space="preserve">Aģentūra ir pielikusi daudz pūļu, lai saskaņā ar vienotu metodiku un saskaņotajā grafikā sagatavotu </w:t>
      </w:r>
      <w:r>
        <w:rPr>
          <w:rFonts w:ascii="Times New Roman" w:hAnsi="Times New Roman"/>
          <w:b/>
          <w:noProof/>
          <w:sz w:val="23"/>
        </w:rPr>
        <w:t>neaizsargātības novērtējumus</w:t>
      </w:r>
      <w:r>
        <w:rPr>
          <w:rFonts w:ascii="Times New Roman" w:hAnsi="Times New Roman"/>
          <w:noProof/>
          <w:sz w:val="23"/>
        </w:rPr>
        <w:t xml:space="preserve">, kas ir būtiski Šengenas </w:t>
      </w:r>
      <w:r>
        <w:rPr>
          <w:rFonts w:ascii="Times New Roman" w:hAnsi="Times New Roman"/>
          <w:b/>
          <w:noProof/>
          <w:sz w:val="23"/>
        </w:rPr>
        <w:t>kvalitātes kontroles</w:t>
      </w:r>
      <w:r>
        <w:rPr>
          <w:rFonts w:ascii="Times New Roman" w:hAnsi="Times New Roman"/>
          <w:noProof/>
          <w:sz w:val="23"/>
        </w:rPr>
        <w:t xml:space="preserve"> procesa nodrošināšanai.</w:t>
      </w:r>
      <w:r>
        <w:rPr>
          <w:rFonts w:ascii="Times New Roman" w:hAnsi="Times New Roman"/>
          <w:noProof/>
          <w:color w:val="000000"/>
          <w:sz w:val="23"/>
        </w:rPr>
        <w:t xml:space="preserve">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sz w:val="23"/>
        </w:rPr>
        <w:t>Visas dalībvalstis, izņemot Dāniju</w:t>
      </w:r>
      <w:r>
        <w:rPr>
          <w:rStyle w:val="FootnoteReference"/>
          <w:rFonts w:ascii="Times New Roman" w:hAnsi="Times New Roman"/>
          <w:noProof/>
          <w:sz w:val="23"/>
        </w:rPr>
        <w:footnoteReference w:id="4"/>
      </w:r>
      <w:r>
        <w:rPr>
          <w:rFonts w:ascii="Times New Roman" w:hAnsi="Times New Roman"/>
          <w:noProof/>
          <w:sz w:val="23"/>
        </w:rPr>
        <w:t xml:space="preserve">, ir iesniegušas aģentūrai </w:t>
      </w:r>
      <w:r>
        <w:rPr>
          <w:rFonts w:ascii="Times New Roman" w:hAnsi="Times New Roman"/>
          <w:b/>
          <w:noProof/>
          <w:sz w:val="23"/>
        </w:rPr>
        <w:t>datus par pašreizējām spējām</w:t>
      </w:r>
      <w:r>
        <w:rPr>
          <w:rFonts w:ascii="Times New Roman" w:hAnsi="Times New Roman"/>
          <w:noProof/>
          <w:sz w:val="23"/>
        </w:rPr>
        <w:t>.</w:t>
      </w:r>
      <w:r>
        <w:rPr>
          <w:rFonts w:ascii="Times New Roman" w:hAnsi="Times New Roman"/>
          <w:b/>
          <w:noProof/>
          <w:color w:val="000000"/>
          <w:sz w:val="23"/>
        </w:rPr>
        <w:t xml:space="preserve"> </w:t>
      </w:r>
      <w:r>
        <w:rPr>
          <w:rFonts w:ascii="Times New Roman" w:hAnsi="Times New Roman"/>
          <w:noProof/>
          <w:color w:val="000000"/>
          <w:sz w:val="23"/>
        </w:rPr>
        <w:t xml:space="preserve">Attiecībā uz lielāko daļu dalībvalstu datu pilnīgums ir apmierinošs. Tomēr 8 dalībvalstis (Francija, Ungārija, Itālija, Malta, Norvēģija, Zviedrija, Šveice, Spānija) bija sniegušas tikai daļējus datus (50–75 % no pieprasītajiem datiem). Ir būtiski, lai dalībvalstis ilgtermiņā pastiprinātu savas </w:t>
      </w:r>
      <w:r>
        <w:rPr>
          <w:rFonts w:ascii="Times New Roman" w:hAnsi="Times New Roman"/>
          <w:b/>
          <w:noProof/>
          <w:color w:val="000000"/>
          <w:sz w:val="23"/>
        </w:rPr>
        <w:t>spējas</w:t>
      </w:r>
      <w:r>
        <w:rPr>
          <w:rFonts w:ascii="Times New Roman" w:hAnsi="Times New Roman"/>
          <w:noProof/>
          <w:color w:val="000000"/>
          <w:sz w:val="23"/>
        </w:rPr>
        <w:t xml:space="preserve"> vākt šādus datus.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2017. gada martā un aprīlī aģentūra attiecībā uz visām dalībvalstīm (izņemot Dāniju un Vāciju, jo šīs valstis datus iesniedza novēloti) veica t. s. </w:t>
      </w:r>
      <w:r>
        <w:rPr>
          <w:rFonts w:ascii="Times New Roman" w:hAnsi="Times New Roman"/>
          <w:b/>
          <w:noProof/>
          <w:color w:val="000000"/>
          <w:sz w:val="23"/>
        </w:rPr>
        <w:t>pamatnovērtējumus</w:t>
      </w:r>
      <w:r>
        <w:rPr>
          <w:rFonts w:ascii="Times New Roman" w:hAnsi="Times New Roman"/>
          <w:noProof/>
          <w:color w:val="000000"/>
          <w:sz w:val="23"/>
        </w:rPr>
        <w:t xml:space="preserve">, t. i., padziļinātu analīzi par dalībvalstu esošajām spējām saistībā ar </w:t>
      </w:r>
      <w:r>
        <w:rPr>
          <w:rFonts w:ascii="Times New Roman" w:hAnsi="Times New Roman"/>
          <w:b/>
          <w:noProof/>
          <w:color w:val="000000"/>
          <w:sz w:val="23"/>
        </w:rPr>
        <w:t>esošajiem apdraudējuma rādītājiem</w:t>
      </w:r>
      <w:r>
        <w:rPr>
          <w:rFonts w:ascii="Times New Roman" w:hAnsi="Times New Roman"/>
          <w:noProof/>
          <w:color w:val="000000"/>
          <w:sz w:val="23"/>
        </w:rPr>
        <w:t>, pamatojoties uz objektīvu kritēriju kopumu. Pamatnovērtējumu projekti jau bija apspriesti ar dalībvalstīm. Galīgie individuālie ziņojumi, kuros izklāstīti novērtējumu galvenie secinājumi, it īpaši nosakot vissteidzamāk risināmos neaizsargātības aspektus, 8 dalībvalstīm tika paziņoti 2017. gada aprīļa beigās. Paredzams, ka galīgie individuāli ziņojumi pārējām dalībvalstīm tiks paziņoti maija sākumā, jo attiecīgās dalībvalstis novēloti iesniedza komentārus.</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Pamatojoties uz pamatnovērtējuma ziņojumiem, aģentūras izpilddirektors līdz 2017. gada maija beigām pieņems lēmumu par </w:t>
      </w:r>
      <w:r>
        <w:rPr>
          <w:rFonts w:ascii="Times New Roman" w:hAnsi="Times New Roman"/>
          <w:b/>
          <w:noProof/>
          <w:color w:val="000000"/>
          <w:sz w:val="23"/>
        </w:rPr>
        <w:t>iespējamu ieteikumu</w:t>
      </w:r>
      <w:r>
        <w:rPr>
          <w:rFonts w:ascii="Times New Roman" w:hAnsi="Times New Roman"/>
          <w:noProof/>
          <w:color w:val="000000"/>
          <w:sz w:val="23"/>
        </w:rPr>
        <w:t xml:space="preserve"> nosūtīšanu attiecīgajai(-ām) dalībvalstij (-īm). Ņemot vērā to, ka galvenais neaizsargātības novērtējumu mērķis ir jo īpaši tām dalībvalstīm, kas saskaras ar konkrētām un nesamērīgām problēmām, noteikt iespējamās tūlītējās sekas pie ārējās robežas un turpmākās sekas Šengenas zonas darbībai, ieteikumos prioritārā kārtībā </w:t>
      </w:r>
      <w:r>
        <w:rPr>
          <w:rFonts w:ascii="Times New Roman" w:hAnsi="Times New Roman"/>
          <w:b/>
          <w:noProof/>
          <w:color w:val="000000"/>
          <w:sz w:val="23"/>
        </w:rPr>
        <w:t>galvenā uzmanība būtu jāpievērš vissteidzamākajiem neaizsargātības aspektiem saistībā ar pašreizējām problēmām</w:t>
      </w:r>
      <w:r>
        <w:rPr>
          <w:rFonts w:ascii="Times New Roman" w:hAnsi="Times New Roman"/>
          <w:noProof/>
          <w:color w:val="000000"/>
          <w:sz w:val="23"/>
        </w:rPr>
        <w:t xml:space="preserve"> pie ārējās robežas, kas ietekmē Šengenas zonas labu funkcionēšanu.</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Būtiski ir arī tas, lai ieteikumos ierosinātie pasākumi būtu precīzi, izpildāmi un balstīti uz detalizētu tehnisko informāciju, kas iegūta no dalībvalstīm. Tikai tad, ja būs ievēroti minētie nosacījumi, aģentūra varēs efektīvi uzraudzīt, </w:t>
      </w:r>
      <w:r>
        <w:rPr>
          <w:rFonts w:ascii="Times New Roman" w:hAnsi="Times New Roman"/>
          <w:b/>
          <w:noProof/>
          <w:color w:val="000000"/>
          <w:sz w:val="23"/>
        </w:rPr>
        <w:t>kā dalībvalstis īsteno ieteikumus un pasākumus</w:t>
      </w:r>
      <w:r>
        <w:rPr>
          <w:rFonts w:ascii="Times New Roman" w:hAnsi="Times New Roman"/>
          <w:noProof/>
          <w:color w:val="000000"/>
          <w:sz w:val="23"/>
        </w:rPr>
        <w:t xml:space="preserve">. Gadījumā, ja pasākumi netiek īstenoti noteiktajā termiņā, izpilddirektors par to paziņo valdei un informē Komisiju. </w:t>
      </w:r>
    </w:p>
    <w:p>
      <w:pPr>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 xml:space="preserve">Pamatojoties uz pamatnovērtējumiem, tiks noteiktas dažas dalībvalstis, attiecībā uz kurām aģentūra īstenos tā dēvētos </w:t>
      </w:r>
      <w:r>
        <w:rPr>
          <w:rFonts w:ascii="Times New Roman" w:hAnsi="Times New Roman"/>
          <w:b/>
          <w:noProof/>
          <w:sz w:val="23"/>
        </w:rPr>
        <w:t>modelēšanas pasākumus</w:t>
      </w:r>
      <w:r>
        <w:rPr>
          <w:rFonts w:ascii="Times New Roman" w:hAnsi="Times New Roman"/>
          <w:noProof/>
          <w:sz w:val="23"/>
        </w:rPr>
        <w:t xml:space="preserve">, lai novērtētu šo valstu spēju risināt </w:t>
      </w:r>
      <w:r>
        <w:rPr>
          <w:rFonts w:ascii="Times New Roman" w:hAnsi="Times New Roman"/>
          <w:b/>
          <w:noProof/>
          <w:sz w:val="23"/>
        </w:rPr>
        <w:t>turpmākas problēmas</w:t>
      </w:r>
      <w:r>
        <w:rPr>
          <w:rFonts w:ascii="Times New Roman" w:hAnsi="Times New Roman"/>
          <w:noProof/>
          <w:sz w:val="23"/>
        </w:rPr>
        <w:t xml:space="preserve"> pie ārējām robežām. Šajos pasākumos tiks pētītas un pārbaudītas dalībvalstu spējas, jo īpaši to plāni ārkārtas situācijām attiecībā uz riskiem un scenārijiem, kas vēl nav īstenojušies, taču kuru īstenošanās būtu iespējama, pamatojoties uz situācijas analīzi kaimiņos esošajās trešās valstīs un galvenajās izcelsmes un tranzīta valstīs. Pēc tam, kad 2017. gada oktobra beigās būs pieejami modelēšanas pasākumu rezultāti, izpilddirektors attiecīgajām valstīm var nosūtīt </w:t>
      </w:r>
      <w:r>
        <w:rPr>
          <w:rFonts w:ascii="Times New Roman" w:hAnsi="Times New Roman"/>
          <w:b/>
          <w:noProof/>
          <w:sz w:val="23"/>
        </w:rPr>
        <w:t>iespējamo ieteikumu otro kārtu</w:t>
      </w:r>
      <w:r>
        <w:rPr>
          <w:rFonts w:ascii="Times New Roman" w:hAnsi="Times New Roman"/>
          <w:noProof/>
          <w:sz w:val="23"/>
        </w:rPr>
        <w:t>.</w:t>
      </w:r>
    </w:p>
    <w:p>
      <w:pPr>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 xml:space="preserve">Sagaidāms, ka, sākot ar 2017. gada aprīli, aģentūra veiks tā dēvēto </w:t>
      </w:r>
      <w:r>
        <w:rPr>
          <w:rFonts w:ascii="Times New Roman" w:hAnsi="Times New Roman"/>
          <w:b/>
          <w:noProof/>
          <w:sz w:val="23"/>
        </w:rPr>
        <w:t>jauno apdraudējumu novērtējumu</w:t>
      </w:r>
      <w:r>
        <w:rPr>
          <w:rFonts w:ascii="Times New Roman" w:hAnsi="Times New Roman"/>
          <w:noProof/>
          <w:sz w:val="23"/>
        </w:rPr>
        <w:t xml:space="preserve">. Pamatojoties uz dalībvalstu ikmēneša pārbaudi, kurā tiek izmantoti attiecīgi rādītāji, aģentūra jebkurā laikā var uzsākt īpašu novērtējumu / modelēšanas pasākumu, lai pārbaudītu dalībvalsts spējas tikt galā ar jauniem apdraudējumiem, un pēc tam izsniegt papildu ieteikumus attiecībā uz neaizsargātības aspektiem, kas nav ņemti vērā iepriekšējos pamatnovērtējumos vai modelēšanas pasākumos. </w:t>
      </w:r>
    </w:p>
    <w:p>
      <w:pPr>
        <w:autoSpaceDE w:val="0"/>
        <w:autoSpaceDN w:val="0"/>
        <w:adjustRightInd w:val="0"/>
        <w:spacing w:after="100" w:afterAutospacing="1" w:line="240" w:lineRule="auto"/>
        <w:jc w:val="both"/>
        <w:rPr>
          <w:rFonts w:ascii="Times New Roman" w:eastAsia="Times New Roman" w:hAnsi="Times New Roman" w:cs="Times New Roman"/>
          <w:i/>
          <w:noProof/>
          <w:color w:val="000000"/>
          <w:sz w:val="23"/>
          <w:szCs w:val="23"/>
          <w:u w:val="single"/>
        </w:rPr>
      </w:pPr>
      <w:r>
        <w:rPr>
          <w:rFonts w:ascii="Times New Roman" w:hAnsi="Times New Roman"/>
          <w:i/>
          <w:noProof/>
          <w:color w:val="000000"/>
          <w:sz w:val="23"/>
          <w:u w:val="single"/>
        </w:rPr>
        <w:t xml:space="preserve">Turpmākie pasākumi </w:t>
      </w:r>
    </w:p>
    <w:p>
      <w:pPr>
        <w:keepNext/>
        <w:autoSpaceDE w:val="0"/>
        <w:autoSpaceDN w:val="0"/>
        <w:adjustRightInd w:val="0"/>
        <w:spacing w:after="100" w:afterAutospacing="1" w:line="240" w:lineRule="auto"/>
        <w:jc w:val="both"/>
        <w:rPr>
          <w:rFonts w:ascii="Times New Roman" w:eastAsia="Times New Roman" w:hAnsi="Times New Roman" w:cs="Times New Roman"/>
          <w:b/>
          <w:bCs/>
          <w:noProof/>
          <w:color w:val="000000"/>
          <w:sz w:val="23"/>
          <w:szCs w:val="23"/>
        </w:rPr>
      </w:pPr>
      <w:r>
        <w:rPr>
          <w:rFonts w:ascii="Times New Roman" w:hAnsi="Times New Roman"/>
          <w:b/>
          <w:noProof/>
          <w:color w:val="000000"/>
          <w:sz w:val="23"/>
        </w:rPr>
        <w:t xml:space="preserve">Eiropas Robežu un krasta apsardzes aģentūra </w:t>
      </w:r>
    </w:p>
    <w:p>
      <w:pPr>
        <w:pStyle w:val="Default"/>
        <w:numPr>
          <w:ilvl w:val="0"/>
          <w:numId w:val="33"/>
        </w:numPr>
        <w:jc w:val="both"/>
        <w:rPr>
          <w:noProof/>
          <w:sz w:val="23"/>
          <w:szCs w:val="23"/>
        </w:rPr>
      </w:pPr>
      <w:r>
        <w:rPr>
          <w:i/>
          <w:noProof/>
          <w:sz w:val="23"/>
        </w:rPr>
        <w:t xml:space="preserve">Par prioritāti izvirza visaktuālāko neaizsargātības problēmu apzināšanu, pamatojoties uz neaizsargātības novērtēšanas procesa pirmajiem rezultātiem un citu informāciju.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Līdz 2017. gada vasarai nodrošina pietiekamu darbinieku skaitu darba grupā, kura iesaistīta neaizsargātības novērtējuma procesā.</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Pamatojoties uz pamatnovērtējumiem, līdz 2017. gada maija beigām sniedz ieteikumus attiecīgajām dalībvalstīm, lai prioritārā kārtībā risinātu vissteidzamākos neaizsargātības aspektus.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Līdz 2017. gada 15. jūnijam saskaņā ar Eiropas Robežu un krasta apsardzes regulas 13. panta 9. punktu nosūta neaizsargātības novērtējumu rezultātus Eiropas Parlamentam, Padomei un Komisijai.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Līdz 2017. gada oktobrim veic modelēšanas pasākumus attiecībā uz turpmākajām problēmām.</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Līdz 2017. gada novembra beigām pieņem neaizsargātības novērtējumu pārskatītu kopējo metodoloģiju, kas balstīta gūtajā pieredzē. </w:t>
      </w:r>
    </w:p>
    <w:p>
      <w:pPr>
        <w:autoSpaceDE w:val="0"/>
        <w:autoSpaceDN w:val="0"/>
        <w:adjustRightInd w:val="0"/>
        <w:spacing w:after="100" w:afterAutospacing="1" w:line="240" w:lineRule="auto"/>
        <w:jc w:val="both"/>
        <w:rPr>
          <w:rFonts w:ascii="Times New Roman" w:eastAsia="Times New Roman" w:hAnsi="Times New Roman" w:cs="Times New Roman"/>
          <w:b/>
          <w:bCs/>
          <w:noProof/>
          <w:color w:val="000000"/>
          <w:sz w:val="23"/>
          <w:szCs w:val="23"/>
        </w:rPr>
      </w:pPr>
      <w:r>
        <w:rPr>
          <w:rFonts w:ascii="Times New Roman" w:hAnsi="Times New Roman"/>
          <w:b/>
          <w:noProof/>
          <w:color w:val="000000"/>
          <w:sz w:val="23"/>
        </w:rPr>
        <w:t xml:space="preserve">Dalībvalstis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Dānijai līdz 2017. gada 15. maijam būtu jāiesniedz vajadzīgie dati, lai aģentūra varētu veikt pamatnovērtējumu.</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Dalībvalstīm, kuras neiesniedza pilnīgus datus par esošajām spējām, būtu valsts līmenī jāuzlabo </w:t>
      </w:r>
      <w:r>
        <w:rPr>
          <w:rFonts w:ascii="Times New Roman" w:hAnsi="Times New Roman"/>
          <w:i/>
          <w:noProof/>
          <w:sz w:val="23"/>
        </w:rPr>
        <w:t xml:space="preserve">datu vākšanas process.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Dalībvalstīm, kas pēc pamatnovērtējuma veikšanas saņems ieteikumus, būtu jāizveido nepieciešamie rīcības plāni un regulāri jāziņo aģentūrai.</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Visām dalībvalstīm, kuras izvēlētas modelēšanas pasākuma veikšanai, būtu ātri jāreaģē uz aģentūras lūgumiem attiecībā uz papildu datu un informācijas sniegšanu.</w:t>
      </w:r>
    </w:p>
    <w:p>
      <w:pPr>
        <w:suppressAutoHyphens/>
        <w:spacing w:after="100" w:afterAutospacing="1" w:line="240" w:lineRule="auto"/>
        <w:ind w:left="426" w:hanging="426"/>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3.3.</w:t>
      </w:r>
      <w:r>
        <w:rPr>
          <w:noProof/>
        </w:rPr>
        <w:tab/>
      </w:r>
      <w:r>
        <w:rPr>
          <w:rFonts w:ascii="Times New Roman" w:hAnsi="Times New Roman"/>
          <w:b/>
          <w:noProof/>
          <w:color w:val="000000"/>
          <w:sz w:val="23"/>
        </w:rPr>
        <w:t>Atbalsts atgriešanas nodrošināšanai</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Aģentūras atbalstīto atgriešanas operāciju temps turpina pieaugt. No 2017. gada 1. janvāra līdz 7. aprīlim aģentūra sniedza atbalstu 92 trešo valstu valstspiederīgo atgriešanas operācijām, nodrošinot 3879 trešo valstu valstspiederīgo atgriešanu.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48 no minētajām 92 operācijām bija saistītas ar lidojumu veikšanu uz Rietumbalkāniem. Tikai dažas operācijas ir veiktas attiecībā uz Ziemeļāfrikas un Rietumāfrikas valstīm. To var daļēji izskaidrot ar faktu, ka vairākas trešās valstis nepieņem līgumreisu lidojumus un atļauj savu valstspiederīgo atgriešanos tikai ar komerciāliem lidojumiem. Tāpēc aģentūrai būtu ātri jāsāk piedāvāt dalībvalstīm atbalsts operācijām, kurās izmantoti komerciālie lidojumi. </w:t>
      </w:r>
    </w:p>
    <w:p>
      <w:pPr>
        <w:suppressAutoHyphens/>
        <w:spacing w:after="100" w:afterAutospacing="1" w:line="240" w:lineRule="auto"/>
        <w:jc w:val="both"/>
        <w:rPr>
          <w:rFonts w:ascii="Times New Roman" w:eastAsia="SimSun" w:hAnsi="Times New Roman" w:cs="Times New Roman"/>
          <w:b/>
          <w:bCs/>
          <w:noProof/>
          <w:color w:val="000000"/>
          <w:sz w:val="23"/>
          <w:szCs w:val="23"/>
        </w:rPr>
      </w:pPr>
      <w:r>
        <w:rPr>
          <w:rFonts w:ascii="Times New Roman" w:hAnsi="Times New Roman"/>
          <w:noProof/>
          <w:color w:val="000000"/>
          <w:sz w:val="23"/>
        </w:rPr>
        <w:t xml:space="preserve">Kopš 2017. gada 7. janvāra izmantošanai operācijās ir pieejamas </w:t>
      </w:r>
      <w:r>
        <w:rPr>
          <w:rFonts w:ascii="Times New Roman" w:hAnsi="Times New Roman"/>
          <w:b/>
          <w:noProof/>
          <w:color w:val="000000"/>
          <w:sz w:val="23"/>
        </w:rPr>
        <w:t>trīs jaunas rezerves</w:t>
      </w:r>
      <w:r>
        <w:rPr>
          <w:rFonts w:ascii="Times New Roman" w:hAnsi="Times New Roman"/>
          <w:noProof/>
          <w:color w:val="000000"/>
          <w:sz w:val="23"/>
        </w:rPr>
        <w:t>, kas sastāv no piespiedu atgriešanas uzraudzības, piespiedu atgriešanas pavadīšanas un atgriešanas nodrošināšanas speciālistiem. Līdz 2017. gada 7. aprīlim 25 dalībvalstis ir sniegušas ieguldījumu šajās rezervēs, nodrošinot 536 no nepieciešamajiem 690 ekspertiem. Tām Šengenas valstīm, kas vēl nav sniegušas ieguldījumu rezervēs – Kiprai un Šveicei –, tas jādara steidzamības kārtā.</w:t>
      </w:r>
      <w:r>
        <w:rPr>
          <w:rFonts w:ascii="Times New Roman" w:hAnsi="Times New Roman"/>
          <w:b/>
          <w:noProof/>
          <w:color w:val="000000"/>
          <w:sz w:val="23"/>
        </w:rPr>
        <w:t xml:space="preserve">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Visām dalībvalstīm ir jānovērš iztrūkumi, jo īpaši attiecībā uz piespiedu atgriešanas pavadīšanas speciālistiem, kur pašlaik no kopumā pieprasītajiem 600 ekspertiem ir pieejami tikai 416 eksperti. Dalībvalstīm sadarbībā ar aģentūru būtu jānodrošina, ka visas prasmes un pieredze, kas nepieciešama atgriešanas darbību veikšanai, ir adekvāti pārstāvēta atgriešanas speciālistu rezerves kontingentā. Tas ir jo īpaši svarīgi, ņemot vērā pieaugošo atgriešanas operāciju skaitu salīdzinājumā ar iepriekšējiem gadiem un ņemot vērā atgriešanas operāciju nepieciešamību, kas var rasties tuvākajos mēnešos.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Atgriešanas rezerves ir tikušas praktiski izmantotas. Līdz 2017. gada 7. aprīlim, piedaloties piespiedu atgriešanas uzraudzības speciālistiem no rezerves kontingenta, ir uzraudzītas 19 atgriešanas operācijas. Līdz šim operatīvā atbalsta sniegšanai ir izvietoti 10 piespiedu atgriešanas pavadīšanas speciālisti no rezerves kontingenta.</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Neatrisināts ir jautājums par to, kā nodrošināt skaidrību par rezerves dalībnieku izvietojuma praktiskajiem aspektiem un noteikumiem, kā arī to operatīvajiem uzdevumiem un juridisko atbildību. Aģentūrai jācenšas noteikt šos elementus, sniedzot stingru regulējumu attiecībā uz rezerves kontingentu un nodrošinot, ka tie ir gatavi izvietošanai līdz 2017. gada maija beigām, kā tika prasīts iepriekšējā ziņojumā.</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Attiecībā uz papildu darba slodzi un lai pilnībā attaisnotu cerības saistībā ar jaunajām pilnvarām, aģentūrai būtu nekavējoties jārīkojas, lai nodrošinātu, ka ir aizpildītas brīvās personāla vietas un ka pilnībā tiek izmantots atgriešanas darbībām piešķirtais budžets.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Paziņojumā “Par efektīvāku atgriešanas politiku Eiropas Savienībā – atjaunināts rīcības plāns”</w:t>
      </w:r>
      <w:r>
        <w:rPr>
          <w:rStyle w:val="FootnoteReference"/>
          <w:rFonts w:ascii="Times New Roman" w:hAnsi="Times New Roman"/>
          <w:noProof/>
          <w:color w:val="000000"/>
          <w:sz w:val="23"/>
        </w:rPr>
        <w:footnoteReference w:id="5"/>
      </w:r>
      <w:r>
        <w:rPr>
          <w:rFonts w:ascii="Times New Roman" w:hAnsi="Times New Roman"/>
          <w:noProof/>
          <w:color w:val="000000"/>
          <w:sz w:val="23"/>
        </w:rPr>
        <w:t xml:space="preserve"> Komisija ierosināja papildu pasākumus un darbības, kas būtu jāveic aģentūrai, lai pastiprinātu atgriešanas darbības. Gūtie panākumi tiks analizēti nākamajā ziņojumā.</w:t>
      </w:r>
    </w:p>
    <w:p>
      <w:pPr>
        <w:suppressAutoHyphens/>
        <w:spacing w:after="100" w:afterAutospacing="1" w:line="240" w:lineRule="auto"/>
        <w:jc w:val="both"/>
        <w:rPr>
          <w:rFonts w:ascii="Times New Roman" w:eastAsia="SimSun" w:hAnsi="Times New Roman" w:cs="Times New Roman"/>
          <w:i/>
          <w:noProof/>
          <w:color w:val="000000"/>
          <w:sz w:val="23"/>
          <w:szCs w:val="23"/>
          <w:u w:val="single"/>
        </w:rPr>
      </w:pPr>
      <w:r>
        <w:rPr>
          <w:rFonts w:ascii="Times New Roman" w:hAnsi="Times New Roman"/>
          <w:i/>
          <w:noProof/>
          <w:color w:val="000000"/>
          <w:sz w:val="23"/>
          <w:u w:val="single"/>
        </w:rPr>
        <w:t>Turpmākie pasākumi</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b/>
          <w:noProof/>
          <w:color w:val="000000"/>
          <w:sz w:val="23"/>
        </w:rPr>
        <w:t>Eiropas Robežu un krasta apsardzes</w:t>
      </w:r>
      <w:r>
        <w:rPr>
          <w:rFonts w:ascii="Times New Roman" w:hAnsi="Times New Roman"/>
          <w:noProof/>
          <w:color w:val="000000"/>
          <w:sz w:val="23"/>
        </w:rPr>
        <w:t xml:space="preserve"> </w:t>
      </w:r>
      <w:r>
        <w:rPr>
          <w:rFonts w:ascii="Times New Roman" w:hAnsi="Times New Roman"/>
          <w:b/>
          <w:noProof/>
          <w:color w:val="000000"/>
          <w:sz w:val="23"/>
        </w:rPr>
        <w:t>aģentūra</w:t>
      </w:r>
    </w:p>
    <w:p>
      <w:pPr>
        <w:pStyle w:val="ListParagraph"/>
        <w:numPr>
          <w:ilvl w:val="0"/>
          <w:numId w:val="45"/>
        </w:numPr>
        <w:suppressAutoHyphens/>
        <w:spacing w:after="100" w:afterAutospacing="1" w:line="240" w:lineRule="auto"/>
        <w:jc w:val="both"/>
        <w:rPr>
          <w:rFonts w:ascii="Times New Roman" w:eastAsia="SimSun" w:hAnsi="Times New Roman" w:cs="Times New Roman"/>
          <w:bCs/>
          <w:i/>
          <w:noProof/>
          <w:color w:val="000000"/>
          <w:sz w:val="23"/>
          <w:szCs w:val="23"/>
        </w:rPr>
      </w:pPr>
      <w:r>
        <w:rPr>
          <w:rFonts w:ascii="Times New Roman" w:hAnsi="Times New Roman"/>
          <w:i/>
          <w:noProof/>
          <w:color w:val="000000"/>
          <w:sz w:val="23"/>
        </w:rPr>
        <w:t>Nosaka rezerves dalībnieku izvietošanas praktiskos aspektus, noteikumus, operatīvos uzdevumus un juridisko atbildību, lai nodrošinātu, ka rezerves ir pilnīgi gatavas izvietošanai, vēlākais, līdz 2017. gada maija beigām.</w:t>
      </w:r>
    </w:p>
    <w:p>
      <w:pPr>
        <w:pStyle w:val="ListParagraph"/>
        <w:numPr>
          <w:ilvl w:val="0"/>
          <w:numId w:val="45"/>
        </w:numPr>
        <w:suppressAutoHyphens/>
        <w:spacing w:after="100" w:afterAutospacing="1" w:line="240" w:lineRule="auto"/>
        <w:jc w:val="both"/>
        <w:rPr>
          <w:rFonts w:ascii="Times New Roman" w:eastAsia="SimSun" w:hAnsi="Times New Roman" w:cs="Times New Roman"/>
          <w:bCs/>
          <w:i/>
          <w:noProof/>
          <w:color w:val="000000"/>
          <w:sz w:val="23"/>
          <w:szCs w:val="23"/>
        </w:rPr>
      </w:pPr>
      <w:r>
        <w:rPr>
          <w:rFonts w:ascii="Times New Roman" w:hAnsi="Times New Roman"/>
          <w:i/>
          <w:noProof/>
          <w:color w:val="000000"/>
          <w:sz w:val="23"/>
        </w:rPr>
        <w:t xml:space="preserve">Līdz 2017. gada jūnijam aizpilda brīvās personāla vietas, kas piešķirtas atgriešanas darbībām. </w:t>
      </w:r>
    </w:p>
    <w:p>
      <w:pPr>
        <w:pStyle w:val="ListParagraph"/>
        <w:numPr>
          <w:ilvl w:val="0"/>
          <w:numId w:val="45"/>
        </w:numPr>
        <w:suppressAutoHyphens/>
        <w:spacing w:after="100" w:afterAutospacing="1" w:line="240" w:lineRule="auto"/>
        <w:jc w:val="both"/>
        <w:rPr>
          <w:rFonts w:ascii="Times New Roman" w:eastAsia="SimSun" w:hAnsi="Times New Roman" w:cs="Times New Roman"/>
          <w:bCs/>
          <w:i/>
          <w:noProof/>
          <w:color w:val="000000"/>
          <w:sz w:val="23"/>
          <w:szCs w:val="23"/>
        </w:rPr>
      </w:pPr>
      <w:r>
        <w:rPr>
          <w:rFonts w:ascii="Times New Roman" w:hAnsi="Times New Roman"/>
          <w:i/>
          <w:noProof/>
          <w:color w:val="000000"/>
          <w:sz w:val="23"/>
        </w:rPr>
        <w:t xml:space="preserve">Nodrošina atgriešanas darbībām 2017. gadā piešķirto finansiālo resursu pilnīgu izmantošanu.  </w:t>
      </w:r>
    </w:p>
    <w:p>
      <w:pPr>
        <w:suppressAutoHyphens/>
        <w:spacing w:after="100" w:afterAutospacing="1" w:line="240" w:lineRule="auto"/>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Dalībvalstis</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Nekavējoties sniedz ieguldījumu rezerves kontingentā, ja tās līdz šim to vēl nav izdarījušas (Kipra un Šveice).</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Novērš atlikušo iztrūkumu rezerves kontingentā.</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Nekavējoties sāk reizi mēnesī sniegt informāciju par valstu indikatīvo plānoto atgriešanas operāciju skaitu, tostarp par atgriežamo personu skaitu un trešām atgriešanas valstīm.</w:t>
      </w:r>
    </w:p>
    <w:p>
      <w:pPr>
        <w:suppressAutoHyphens/>
        <w:spacing w:after="100" w:afterAutospacing="1" w:line="240" w:lineRule="auto"/>
        <w:ind w:left="426" w:hanging="426"/>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3.4.</w:t>
      </w:r>
      <w:r>
        <w:rPr>
          <w:noProof/>
        </w:rPr>
        <w:tab/>
      </w:r>
      <w:r>
        <w:rPr>
          <w:rFonts w:ascii="Times New Roman" w:hAnsi="Times New Roman"/>
          <w:b/>
          <w:noProof/>
          <w:color w:val="000000"/>
          <w:sz w:val="23"/>
        </w:rPr>
        <w:t>Eiropas Robežu un krasta apsardzes aģentūras sūdzību mehānisma izveide</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Kopš iepriekšējā ziņojuma nav iesniegtas jaunas sūdzības. Aģentūrai ir jāuzlabo informācijas izplatīšana par mehānismu, tostarp jānodrošina sūdzības veidlapu labāka pieejamība aģentūras tīmekļa vietnē. Aģentūra turpmāk nodrošinās sūdzību labāku pārvaldību, izmantojot IT lietu pārvaldības sistēmu, kuru ir paredzēts pabeigt līdz 2017. gada jūnijam. Kad visa vajadzīgā infrastruktūra būs pilnīgi izveidota, aģentūrai vajadzētu sākt informācijas kampaņu, lai padarītu sūdzību mehānismu redzamāku.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Attiecībā uz papildu personālu, kas vajadzīgs pamattiesību amatpersonas atbalstam, martā ir pieņemts darbā viens pagaidu darbinieks, kurš pievienosies aģentūrai 2017. gada maijā. Divu asistentu (līgumdarbinieki) darbā pieņemšanas procedūra sākies 2017. gada maijā. Turklāt aģentūra plāno piešķirt papildu darbiniekus, kuri atbalstītu pamattiesību amatpersonas darbu.</w:t>
      </w:r>
    </w:p>
    <w:p>
      <w:pPr>
        <w:suppressAutoHyphens/>
        <w:spacing w:after="100" w:afterAutospacing="1" w:line="240" w:lineRule="auto"/>
        <w:jc w:val="both"/>
        <w:rPr>
          <w:rFonts w:ascii="Times New Roman" w:eastAsia="SimSun" w:hAnsi="Times New Roman" w:cs="Times New Roman"/>
          <w:i/>
          <w:noProof/>
          <w:color w:val="000000"/>
          <w:sz w:val="23"/>
          <w:szCs w:val="23"/>
          <w:u w:val="single"/>
        </w:rPr>
      </w:pPr>
      <w:r>
        <w:rPr>
          <w:rFonts w:ascii="Times New Roman" w:hAnsi="Times New Roman"/>
          <w:i/>
          <w:noProof/>
          <w:color w:val="000000"/>
          <w:sz w:val="23"/>
          <w:u w:val="single"/>
        </w:rPr>
        <w:t xml:space="preserve">Turpmākie pasākumi </w:t>
      </w:r>
    </w:p>
    <w:p>
      <w:pPr>
        <w:suppressAutoHyphens/>
        <w:spacing w:after="100" w:afterAutospacing="1" w:line="240" w:lineRule="auto"/>
        <w:jc w:val="both"/>
        <w:rPr>
          <w:rFonts w:ascii="Times New Roman" w:eastAsia="SimSun" w:hAnsi="Times New Roman" w:cs="Times New Roman"/>
          <w:b/>
          <w:noProof/>
          <w:color w:val="000000"/>
          <w:sz w:val="23"/>
          <w:szCs w:val="23"/>
        </w:rPr>
      </w:pPr>
      <w:r>
        <w:rPr>
          <w:rFonts w:ascii="Times New Roman" w:hAnsi="Times New Roman"/>
          <w:b/>
          <w:noProof/>
          <w:color w:val="000000"/>
          <w:sz w:val="23"/>
        </w:rPr>
        <w:t>Eiropas Robežu un krasta apsardzes aģentūra</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Līdz 2017. gada jūlija beigām pieņem darbā divus papildu darbiniekus, lai atbalstītu pamattiesību amatpersonu.</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Līdz 2017. gada jūnija beigām pabeidz IT infrastruktūru, lai padarītu pieejamākas sūdzību veidlapas.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Īsteno informācijas kampaņu, kuras mērķis ir labāk izplatīt informāciju par sūdzību mehānismu.</w:t>
      </w:r>
    </w:p>
    <w:p>
      <w:pPr>
        <w:suppressAutoHyphens/>
        <w:spacing w:after="100" w:afterAutospacing="1" w:line="240" w:lineRule="auto"/>
        <w:ind w:left="426" w:hanging="426"/>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3.5.</w:t>
      </w:r>
      <w:r>
        <w:rPr>
          <w:noProof/>
        </w:rPr>
        <w:tab/>
      </w:r>
      <w:r>
        <w:rPr>
          <w:rFonts w:ascii="Times New Roman" w:hAnsi="Times New Roman"/>
          <w:b/>
          <w:noProof/>
          <w:color w:val="000000"/>
          <w:sz w:val="23"/>
        </w:rPr>
        <w:t>Ar prioritārām trešām valstīm īstenotās operatīvās sadarbības uzlabošanas sagatavošana, nosakot statusa nolīguma paraugu</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Attiecībā uz aģentūras operatīvo sadarbību ar prioritārām trešām valstīm valde savā 2017. gada 29.–30. marta sanāksmē tika informēta par izpilddirektora ieceri atsākt sarunas par darba vienošanos noslēgšanu sadarbībai ar Lībiju.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Aģentūra arī iesniedza koncepcijas aprakstu par sadarbību starp aģentūras sadarbības koordinatoriem, dalībvalstu sadarbības koordinatoriem un Eiropas migrācijas sadarbības koordinatoriem, kas ir izvietoti tajās pašās vietās.</w:t>
      </w:r>
    </w:p>
    <w:p>
      <w:pP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Sadarbības koordinators, kas tiks izvietots Nigērā, pievienosies aģentūrai 2017. gada 16. maijā.  Ir pabeigta arī atlases procedūra sadarbības koordinatora amatam Rietumbalkānu valstīs, un paredzams, ka izraudzītais kandidāts pievienosies aģentūrai 2017. gada 1. jūlijā. Pirms to izvietošanas attiecīgi Nigērā (2017. gada jūnijā) un Serbijā (2017. gada vasarā) abiem kandidātiem būs jāiziet pirmsmisijas apmācība.</w:t>
      </w:r>
    </w:p>
    <w:p>
      <w:pPr>
        <w:suppressAutoHyphens/>
        <w:spacing w:after="100" w:afterAutospacing="1" w:line="240" w:lineRule="auto"/>
        <w:jc w:val="both"/>
        <w:rPr>
          <w:rFonts w:ascii="Times New Roman" w:eastAsia="SimSun" w:hAnsi="Times New Roman" w:cs="Times New Roman"/>
          <w:noProof/>
          <w:sz w:val="23"/>
          <w:szCs w:val="23"/>
        </w:rPr>
      </w:pPr>
      <w:r>
        <w:rPr>
          <w:rFonts w:ascii="Times New Roman" w:hAnsi="Times New Roman"/>
          <w:noProof/>
          <w:sz w:val="23"/>
        </w:rPr>
        <w:t xml:space="preserve">Padome 2017. gada 8. martā pieņēma attiecīgos lēmumus, ar ko pilnvaro Komisiju sākt sarunas ar Serbiju un bijušo Dienvidslāvijas Maķedonija Republiku, lai vienotos par </w:t>
      </w:r>
      <w:r>
        <w:rPr>
          <w:rFonts w:ascii="Times New Roman" w:hAnsi="Times New Roman"/>
          <w:b/>
          <w:noProof/>
          <w:sz w:val="23"/>
        </w:rPr>
        <w:t>statusa nolīgumiem</w:t>
      </w:r>
      <w:r>
        <w:rPr>
          <w:rFonts w:ascii="Times New Roman" w:hAnsi="Times New Roman"/>
          <w:noProof/>
          <w:sz w:val="23"/>
        </w:rPr>
        <w:t>, kas nepieciešami Eiropas Robežu un krasta apsardzes vienību izvietošanai šo valstu teritorijā. Pirmā sarunu kārta ar Serbiju notika 2017. gada 7. aprīlī, un nākamā sarunu kārta notiks 2017. gada 11. un 12. maijā. Komisijas mērķis ir noslēgt nolīgumus ar Serbiju un bijušo Dienvidslāvijas Maķedonijas Republiku pēc iespējas drīz.</w:t>
      </w:r>
    </w:p>
    <w:p>
      <w:pPr>
        <w:suppressAutoHyphens/>
        <w:spacing w:after="100" w:afterAutospacing="1" w:line="240" w:lineRule="auto"/>
        <w:jc w:val="both"/>
        <w:rPr>
          <w:rFonts w:ascii="Times New Roman" w:eastAsia="SimSun" w:hAnsi="Times New Roman" w:cs="Times New Roman"/>
          <w:i/>
          <w:noProof/>
          <w:color w:val="000000"/>
          <w:sz w:val="23"/>
          <w:szCs w:val="23"/>
          <w:u w:val="single"/>
        </w:rPr>
      </w:pPr>
      <w:r>
        <w:rPr>
          <w:rFonts w:ascii="Times New Roman" w:hAnsi="Times New Roman"/>
          <w:i/>
          <w:noProof/>
          <w:color w:val="000000"/>
          <w:sz w:val="23"/>
          <w:u w:val="single"/>
        </w:rPr>
        <w:t>Turpmākie pasākumi</w:t>
      </w:r>
    </w:p>
    <w:p>
      <w:pPr>
        <w:suppressAutoHyphens/>
        <w:spacing w:after="120" w:line="240" w:lineRule="auto"/>
        <w:jc w:val="both"/>
        <w:rPr>
          <w:rFonts w:ascii="Times New Roman" w:eastAsia="SimSun" w:hAnsi="Times New Roman" w:cs="Times New Roman"/>
          <w:b/>
          <w:noProof/>
          <w:color w:val="000000"/>
          <w:sz w:val="23"/>
          <w:szCs w:val="23"/>
        </w:rPr>
      </w:pPr>
      <w:r>
        <w:rPr>
          <w:rFonts w:ascii="Times New Roman" w:hAnsi="Times New Roman"/>
          <w:b/>
          <w:noProof/>
          <w:color w:val="000000"/>
          <w:sz w:val="23"/>
        </w:rPr>
        <w:t xml:space="preserve">Komisija </w:t>
      </w:r>
    </w:p>
    <w:p>
      <w:pPr>
        <w:pStyle w:val="ListParagraph"/>
        <w:numPr>
          <w:ilvl w:val="0"/>
          <w:numId w:val="6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Sāk oficiālas sarunas ar bijušo Dienvidslāvijas Maķedonijas Republiku, tiklīdz minētā valsts ir gatava sākt sarunas par statusa nolīgumu. </w:t>
      </w:r>
    </w:p>
    <w:p>
      <w:pPr>
        <w:pStyle w:val="Default"/>
        <w:spacing w:after="120"/>
        <w:jc w:val="both"/>
        <w:rPr>
          <w:b/>
          <w:bCs/>
          <w:noProof/>
          <w:sz w:val="23"/>
          <w:szCs w:val="23"/>
        </w:rPr>
      </w:pPr>
      <w:r>
        <w:rPr>
          <w:b/>
          <w:noProof/>
          <w:sz w:val="23"/>
        </w:rPr>
        <w:t>Eiropas Robežu un krasta apsardzes aģentūra</w:t>
      </w:r>
    </w:p>
    <w:p>
      <w:pPr>
        <w:pStyle w:val="Default"/>
        <w:numPr>
          <w:ilvl w:val="0"/>
          <w:numId w:val="63"/>
        </w:numPr>
        <w:jc w:val="both"/>
        <w:rPr>
          <w:rFonts w:eastAsia="SimSun"/>
          <w:i/>
          <w:noProof/>
          <w:sz w:val="23"/>
          <w:szCs w:val="23"/>
        </w:rPr>
      </w:pPr>
      <w:r>
        <w:rPr>
          <w:i/>
          <w:noProof/>
          <w:sz w:val="23"/>
        </w:rPr>
        <w:t xml:space="preserve">Attiecīgi līdz 2017. gada jūnijam un augustam pabeidz sadarbības koordinatoru ar Nigēru un Serbiju darbā pieņemšanu un izvietošanu. </w:t>
      </w:r>
    </w:p>
    <w:p>
      <w:pPr>
        <w:pStyle w:val="Default"/>
        <w:jc w:val="both"/>
        <w:rPr>
          <w:rFonts w:eastAsia="SimSun"/>
          <w:i/>
          <w:noProof/>
          <w:sz w:val="23"/>
          <w:szCs w:val="23"/>
        </w:rPr>
      </w:pPr>
    </w:p>
    <w:p>
      <w:pPr>
        <w:autoSpaceDE w:val="0"/>
        <w:autoSpaceDN w:val="0"/>
        <w:adjustRightInd w:val="0"/>
        <w:spacing w:after="120" w:line="240" w:lineRule="auto"/>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3.6.</w:t>
      </w:r>
      <w:r>
        <w:rPr>
          <w:noProof/>
        </w:rPr>
        <w:tab/>
      </w:r>
      <w:r>
        <w:rPr>
          <w:rFonts w:ascii="Times New Roman" w:hAnsi="Times New Roman"/>
          <w:b/>
          <w:noProof/>
          <w:color w:val="000000"/>
          <w:sz w:val="23"/>
        </w:rPr>
        <w:t xml:space="preserve">Mītnes nolīgums </w:t>
      </w:r>
    </w:p>
    <w:p>
      <w:pPr>
        <w:autoSpaceDE w:val="0"/>
        <w:autoSpaceDN w:val="0"/>
        <w:adjustRightInd w:val="0"/>
        <w:spacing w:after="0" w:line="240" w:lineRule="auto"/>
        <w:jc w:val="both"/>
        <w:rPr>
          <w:rFonts w:ascii="Times New Roman" w:eastAsia="Times New Roman" w:hAnsi="Times New Roman" w:cs="Times New Roman"/>
          <w:noProof/>
          <w:color w:val="000000"/>
          <w:sz w:val="23"/>
          <w:szCs w:val="23"/>
        </w:rPr>
      </w:pPr>
      <w:r>
        <w:rPr>
          <w:rFonts w:ascii="Times New Roman" w:hAnsi="Times New Roman"/>
          <w:noProof/>
          <w:color w:val="000000"/>
          <w:sz w:val="23"/>
        </w:rPr>
        <w:t xml:space="preserve">Komisija atzinīgi vērtē to, ka aģentūras izpilddirektors un Polijas iekšlietu ministrs 2017. gada 8. martā ir parakstījuši mītnes nolīgumu. Nolīgums stāsies spēkā trīs mēnešus pēc pušu pēdējā paziņojuma par to, ka ir pabeigtas iekšējās procedūras. Aģentūras procedūra ir pabeigta, valdei apstiprinot nolīgumu un izpilddirektoram to parakstot galīgajā redakcijā. Polijai nolīgums vēl jāratificē. </w:t>
      </w:r>
    </w:p>
    <w:p>
      <w:pPr>
        <w:autoSpaceDE w:val="0"/>
        <w:autoSpaceDN w:val="0"/>
        <w:adjustRightInd w:val="0"/>
        <w:spacing w:after="0" w:line="240" w:lineRule="auto"/>
        <w:jc w:val="both"/>
        <w:rPr>
          <w:rFonts w:ascii="Times New Roman" w:eastAsia="Times New Roman" w:hAnsi="Times New Roman" w:cs="Times New Roman"/>
          <w:i/>
          <w:noProof/>
          <w:color w:val="000000"/>
          <w:sz w:val="23"/>
          <w:szCs w:val="23"/>
          <w:u w:val="single"/>
        </w:rPr>
      </w:pPr>
    </w:p>
    <w:p>
      <w:pPr>
        <w:autoSpaceDE w:val="0"/>
        <w:autoSpaceDN w:val="0"/>
        <w:adjustRightInd w:val="0"/>
        <w:spacing w:after="0" w:line="240" w:lineRule="auto"/>
        <w:jc w:val="both"/>
        <w:rPr>
          <w:rFonts w:ascii="Times New Roman" w:eastAsia="Times New Roman" w:hAnsi="Times New Roman" w:cs="Times New Roman"/>
          <w:i/>
          <w:noProof/>
          <w:color w:val="000000"/>
          <w:sz w:val="23"/>
          <w:szCs w:val="23"/>
          <w:u w:val="single"/>
        </w:rPr>
      </w:pPr>
      <w:r>
        <w:rPr>
          <w:rFonts w:ascii="Times New Roman" w:hAnsi="Times New Roman"/>
          <w:i/>
          <w:noProof/>
          <w:color w:val="000000"/>
          <w:sz w:val="23"/>
          <w:u w:val="single"/>
        </w:rPr>
        <w:t>Nākamais pasākums</w:t>
      </w:r>
    </w:p>
    <w:p>
      <w:pPr>
        <w:autoSpaceDE w:val="0"/>
        <w:autoSpaceDN w:val="0"/>
        <w:adjustRightInd w:val="0"/>
        <w:spacing w:after="0" w:line="240" w:lineRule="auto"/>
        <w:jc w:val="both"/>
        <w:rPr>
          <w:rFonts w:ascii="Times New Roman" w:eastAsia="Times New Roman" w:hAnsi="Times New Roman" w:cs="Times New Roman"/>
          <w:noProof/>
          <w:color w:val="000000"/>
          <w:sz w:val="23"/>
          <w:szCs w:val="23"/>
          <w:u w:val="single"/>
        </w:rPr>
      </w:pPr>
    </w:p>
    <w:p>
      <w:pPr>
        <w:pStyle w:val="ListParagraph"/>
        <w:numPr>
          <w:ilvl w:val="0"/>
          <w:numId w:val="64"/>
        </w:numPr>
        <w:autoSpaceDE w:val="0"/>
        <w:autoSpaceDN w:val="0"/>
        <w:adjustRightInd w:val="0"/>
        <w:spacing w:after="0" w:line="240" w:lineRule="auto"/>
        <w:jc w:val="both"/>
        <w:rPr>
          <w:rFonts w:ascii="Times New Roman" w:eastAsia="Times New Roman" w:hAnsi="Times New Roman" w:cs="Times New Roman"/>
          <w:bCs/>
          <w:noProof/>
          <w:color w:val="000000"/>
          <w:sz w:val="23"/>
          <w:szCs w:val="23"/>
        </w:rPr>
      </w:pPr>
      <w:r>
        <w:rPr>
          <w:rFonts w:ascii="Times New Roman" w:hAnsi="Times New Roman"/>
          <w:noProof/>
          <w:color w:val="000000"/>
          <w:sz w:val="23"/>
        </w:rPr>
        <w:t xml:space="preserve">Polijai iespējami drīz būtu jāratificē mītnes nolīgums. </w:t>
      </w:r>
    </w:p>
    <w:p>
      <w:pPr>
        <w:autoSpaceDE w:val="0"/>
        <w:autoSpaceDN w:val="0"/>
        <w:adjustRightInd w:val="0"/>
        <w:spacing w:after="0" w:line="240" w:lineRule="auto"/>
        <w:jc w:val="both"/>
        <w:rPr>
          <w:rFonts w:ascii="Times New Roman" w:eastAsia="Times New Roman" w:hAnsi="Times New Roman" w:cs="Times New Roman"/>
          <w:bCs/>
          <w:noProof/>
          <w:color w:val="000000"/>
          <w:sz w:val="23"/>
          <w:szCs w:val="23"/>
        </w:rPr>
      </w:pPr>
    </w:p>
    <w:p>
      <w:pPr>
        <w:pStyle w:val="Default"/>
        <w:ind w:left="426" w:hanging="426"/>
        <w:jc w:val="both"/>
        <w:rPr>
          <w:b/>
          <w:bCs/>
          <w:noProof/>
          <w:sz w:val="23"/>
          <w:szCs w:val="23"/>
        </w:rPr>
      </w:pPr>
      <w:r>
        <w:rPr>
          <w:b/>
          <w:noProof/>
          <w:sz w:val="23"/>
        </w:rPr>
        <w:t>3.7. Sadarbības koordinatoru izvietošana dalībvalstīs</w:t>
      </w:r>
    </w:p>
    <w:p>
      <w:pPr>
        <w:pStyle w:val="Default"/>
        <w:jc w:val="both"/>
        <w:rPr>
          <w:b/>
          <w:bCs/>
          <w:noProof/>
          <w:sz w:val="23"/>
          <w:szCs w:val="23"/>
        </w:rPr>
      </w:pPr>
    </w:p>
    <w:p>
      <w:pPr>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Aģentūrai būtu regulāri jāuzrauga, kā dalībvalstis veic ārējo robežu pārvaldību, izmantojot ne tikai riska analīzi, informācijas apmaiņu un Eiropas Robežu uzraudzības sistēmu (</w:t>
      </w:r>
      <w:r>
        <w:rPr>
          <w:rFonts w:ascii="Times New Roman" w:hAnsi="Times New Roman"/>
          <w:i/>
          <w:noProof/>
          <w:sz w:val="23"/>
        </w:rPr>
        <w:t>EUROSUR</w:t>
      </w:r>
      <w:r>
        <w:rPr>
          <w:rFonts w:ascii="Times New Roman" w:hAnsi="Times New Roman"/>
          <w:noProof/>
          <w:sz w:val="23"/>
        </w:rPr>
        <w:t xml:space="preserve">), bet arī ar sava sadarbības koordinatora dalībvalstīs starpniecību. </w:t>
      </w:r>
    </w:p>
    <w:p>
      <w:pPr>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 xml:space="preserve">Valdes sanāksmē, kas notika 2017. gada 29.–30. martā, izpilddirektors valdei apstiprināšanai iesniedza lēmuma projektu, ar ko nosaka sadarbības koordinatoru uzdevumus un pienākumus, to piekļuvi informācijai, kā arī vairāku dalībvalstu apvienošanu, nosakot tām vienu sadarbības koordinatoru. Viens sadarbības koordinators varētu atbildēt par ne vairāk kā četrām dalībvalstīm, kas ir ģeogrāfiski tuvas viena otrai. Saprašanās memorandu ir iecerēts parakstīt 6 mēnešu laikā pēc valdes lēmuma sākt ar visām dalībvalstīm risināt jautājumu par izvietošanas kārtību. Pa to laiku aģentūra pieņems darbā un apmācīs atbilstošos kandidātus. </w:t>
      </w:r>
    </w:p>
    <w:p>
      <w:pPr>
        <w:pStyle w:val="Default"/>
        <w:jc w:val="both"/>
        <w:rPr>
          <w:i/>
          <w:noProof/>
          <w:sz w:val="23"/>
          <w:szCs w:val="23"/>
          <w:u w:val="single"/>
        </w:rPr>
      </w:pPr>
      <w:r>
        <w:rPr>
          <w:i/>
          <w:noProof/>
          <w:sz w:val="23"/>
          <w:u w:val="single"/>
        </w:rPr>
        <w:t xml:space="preserve">Turpmākie pasākumi </w:t>
      </w:r>
    </w:p>
    <w:p>
      <w:pPr>
        <w:spacing w:after="0" w:line="240" w:lineRule="auto"/>
        <w:jc w:val="both"/>
        <w:rPr>
          <w:rFonts w:ascii="Times New Roman" w:hAnsi="Times New Roman" w:cs="Times New Roman"/>
          <w:noProof/>
          <w:sz w:val="23"/>
          <w:szCs w:val="23"/>
        </w:rPr>
      </w:pPr>
    </w:p>
    <w:p>
      <w:pPr>
        <w:pStyle w:val="Default"/>
        <w:jc w:val="both"/>
        <w:rPr>
          <w:b/>
          <w:bCs/>
          <w:noProof/>
          <w:sz w:val="23"/>
          <w:szCs w:val="23"/>
        </w:rPr>
      </w:pPr>
      <w:r>
        <w:rPr>
          <w:b/>
          <w:noProof/>
          <w:sz w:val="23"/>
        </w:rPr>
        <w:t>Eiropas Robežu un krasta apsardzes aģentūra</w:t>
      </w:r>
    </w:p>
    <w:p>
      <w:pPr>
        <w:pStyle w:val="Default"/>
        <w:jc w:val="both"/>
        <w:rPr>
          <w:noProof/>
          <w:sz w:val="23"/>
          <w:szCs w:val="23"/>
        </w:rPr>
      </w:pPr>
      <w:r>
        <w:rPr>
          <w:b/>
          <w:noProof/>
          <w:sz w:val="23"/>
        </w:rPr>
        <w:t xml:space="preserve"> </w:t>
      </w:r>
    </w:p>
    <w:p>
      <w:pPr>
        <w:pStyle w:val="Default"/>
        <w:numPr>
          <w:ilvl w:val="0"/>
          <w:numId w:val="33"/>
        </w:numPr>
        <w:spacing w:after="45"/>
        <w:jc w:val="both"/>
        <w:rPr>
          <w:noProof/>
          <w:sz w:val="23"/>
          <w:szCs w:val="23"/>
        </w:rPr>
      </w:pPr>
      <w:r>
        <w:rPr>
          <w:i/>
          <w:noProof/>
          <w:sz w:val="23"/>
        </w:rPr>
        <w:t xml:space="preserve">Ierosina galīgo attiecīgā īstenošanas lēmuma projektu, kas valdei jāapstiprina līdz 2017. gada jūnija beigām. </w:t>
      </w:r>
    </w:p>
    <w:p>
      <w:pPr>
        <w:pStyle w:val="Default"/>
        <w:numPr>
          <w:ilvl w:val="0"/>
          <w:numId w:val="33"/>
        </w:numPr>
        <w:jc w:val="both"/>
        <w:rPr>
          <w:noProof/>
          <w:sz w:val="23"/>
          <w:szCs w:val="23"/>
        </w:rPr>
      </w:pPr>
      <w:r>
        <w:rPr>
          <w:i/>
          <w:noProof/>
          <w:sz w:val="23"/>
        </w:rPr>
        <w:t xml:space="preserve">Uzsāk attiecīgo atlases procedūru, lai pieņemtu darbā sadarbības koordinatorus, plānojot to iespējamu pieņemšanu darbā, apmācību un izvietošanu, vēlākais, līdz 2017. gada beigām. </w:t>
      </w:r>
    </w:p>
    <w:p>
      <w:pPr>
        <w:spacing w:after="0" w:line="240" w:lineRule="auto"/>
        <w:jc w:val="both"/>
        <w:rPr>
          <w:rFonts w:ascii="Times New Roman" w:hAnsi="Times New Roman" w:cs="Times New Roman"/>
          <w:noProof/>
          <w:sz w:val="23"/>
          <w:szCs w:val="23"/>
        </w:rPr>
      </w:pPr>
    </w:p>
    <w:p>
      <w:pPr>
        <w:spacing w:after="0" w:line="240" w:lineRule="auto"/>
        <w:jc w:val="both"/>
        <w:rPr>
          <w:rFonts w:ascii="Times New Roman" w:eastAsia="Calibri" w:hAnsi="Times New Roman" w:cs="Times New Roman"/>
          <w:b/>
          <w:noProof/>
          <w:sz w:val="23"/>
          <w:szCs w:val="23"/>
        </w:rPr>
      </w:pPr>
      <w:r>
        <w:rPr>
          <w:rFonts w:ascii="Times New Roman" w:hAnsi="Times New Roman"/>
          <w:b/>
          <w:noProof/>
          <w:sz w:val="23"/>
        </w:rPr>
        <w:t>Dalībvalstis</w:t>
      </w:r>
    </w:p>
    <w:p>
      <w:pPr>
        <w:spacing w:after="0" w:line="240" w:lineRule="auto"/>
        <w:jc w:val="both"/>
        <w:rPr>
          <w:rFonts w:ascii="Times New Roman" w:eastAsia="Calibri" w:hAnsi="Times New Roman" w:cs="Times New Roman"/>
          <w:b/>
          <w:noProof/>
          <w:sz w:val="23"/>
          <w:szCs w:val="23"/>
        </w:rPr>
      </w:pPr>
    </w:p>
    <w:p>
      <w:pPr>
        <w:pStyle w:val="ListParagraph"/>
        <w:numPr>
          <w:ilvl w:val="0"/>
          <w:numId w:val="46"/>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Līdz 2017. gada oktobrim vienojas ar aģentūru par Saprašanās memorandu, ar kuru nosaka sadarbības koordinatoru izvietošanas kārtību.</w:t>
      </w:r>
    </w:p>
    <w:p>
      <w:pPr>
        <w:pStyle w:val="Default"/>
        <w:jc w:val="both"/>
        <w:rPr>
          <w:b/>
          <w:bCs/>
          <w:noProof/>
          <w:sz w:val="23"/>
          <w:szCs w:val="23"/>
        </w:rPr>
      </w:pPr>
    </w:p>
    <w:p>
      <w:pPr>
        <w:pStyle w:val="Default"/>
        <w:ind w:left="426" w:hanging="426"/>
        <w:jc w:val="both"/>
        <w:rPr>
          <w:b/>
          <w:bCs/>
          <w:noProof/>
          <w:sz w:val="23"/>
          <w:szCs w:val="23"/>
        </w:rPr>
      </w:pPr>
      <w:r>
        <w:rPr>
          <w:b/>
          <w:noProof/>
          <w:sz w:val="23"/>
        </w:rPr>
        <w:t>3.8.</w:t>
      </w:r>
      <w:r>
        <w:rPr>
          <w:noProof/>
        </w:rPr>
        <w:tab/>
      </w:r>
      <w:r>
        <w:rPr>
          <w:b/>
          <w:noProof/>
          <w:sz w:val="23"/>
        </w:rPr>
        <w:t>Aģentūras darbinieku skaita palielināšana</w:t>
      </w:r>
    </w:p>
    <w:p>
      <w:pPr>
        <w:pStyle w:val="Default"/>
        <w:jc w:val="both"/>
        <w:rPr>
          <w:noProof/>
          <w:sz w:val="23"/>
          <w:szCs w:val="23"/>
        </w:rPr>
      </w:pPr>
    </w:p>
    <w:p>
      <w:pPr>
        <w:spacing w:after="0" w:line="240" w:lineRule="auto"/>
        <w:jc w:val="both"/>
        <w:rPr>
          <w:rFonts w:ascii="Times New Roman" w:hAnsi="Times New Roman" w:cs="Times New Roman"/>
          <w:noProof/>
          <w:sz w:val="23"/>
          <w:szCs w:val="23"/>
        </w:rPr>
      </w:pPr>
      <w:r>
        <w:rPr>
          <w:rFonts w:ascii="Times New Roman" w:hAnsi="Times New Roman"/>
          <w:noProof/>
          <w:sz w:val="23"/>
        </w:rPr>
        <w:t>2017. gada pirmajās 90 kalendārajās dienās aģentūrā strādāja 91 jauns darbinieks. Pašlaik notiek gandrīz 100 darbā pieņemšanas procedūras, un tuvākajos mēnešos tiks uzsāktas vēl 132 šādas procedūras. Paredzēts, ka līdz 2017. gada beigām aģentūrā strādās 655 darbinieki, kas ir gandrīz divreiz vairāk nekā 2015. gadā.</w:t>
      </w:r>
    </w:p>
    <w:p>
      <w:pPr>
        <w:spacing w:after="0" w:line="240" w:lineRule="auto"/>
        <w:jc w:val="both"/>
        <w:rPr>
          <w:noProof/>
          <w:sz w:val="23"/>
          <w:szCs w:val="23"/>
        </w:rPr>
      </w:pPr>
    </w:p>
    <w:p>
      <w:pPr>
        <w:pStyle w:val="Default"/>
        <w:jc w:val="both"/>
        <w:rPr>
          <w:i/>
          <w:iCs/>
          <w:noProof/>
          <w:sz w:val="23"/>
          <w:szCs w:val="23"/>
        </w:rPr>
      </w:pPr>
      <w:r>
        <w:rPr>
          <w:noProof/>
          <w:sz w:val="23"/>
        </w:rPr>
        <w:t xml:space="preserve">Aģentūrai ir grūtības nodrošināt pieņemšanu darbā, ievērojot pēc iespējas plašāku ģeogrāfisko teritoriju un izraugoties kandidātus no Eiropas Savienības dalībvalstu pilsoņiem, kā tas prasīts Civildienesta noteikumu 27. pantā. Aģentūrai ir arī problēmas aizpildīt jaunās amata vietas, kas paredzētas norīkotajiem valstu ekspertiem (apmēram 25 % no visām jaunajām amata vietām), ko rada dalībvalstu ierobežotā reaģēšana. </w:t>
      </w:r>
    </w:p>
    <w:p>
      <w:pPr>
        <w:pStyle w:val="Default"/>
        <w:jc w:val="both"/>
        <w:rPr>
          <w:i/>
          <w:noProof/>
          <w:sz w:val="23"/>
          <w:szCs w:val="23"/>
          <w:u w:val="single"/>
        </w:rPr>
      </w:pPr>
    </w:p>
    <w:p>
      <w:pPr>
        <w:pStyle w:val="Default"/>
        <w:jc w:val="both"/>
        <w:rPr>
          <w:i/>
          <w:noProof/>
          <w:sz w:val="23"/>
          <w:szCs w:val="23"/>
          <w:u w:val="single"/>
        </w:rPr>
      </w:pPr>
      <w:r>
        <w:rPr>
          <w:i/>
          <w:noProof/>
          <w:sz w:val="23"/>
          <w:u w:val="single"/>
        </w:rPr>
        <w:t xml:space="preserve">Turpmākie pasākumi </w:t>
      </w:r>
    </w:p>
    <w:p>
      <w:pPr>
        <w:spacing w:after="0" w:line="240" w:lineRule="auto"/>
        <w:jc w:val="both"/>
        <w:rPr>
          <w:rFonts w:ascii="Times New Roman" w:hAnsi="Times New Roman" w:cs="Times New Roman"/>
          <w:noProof/>
          <w:sz w:val="23"/>
          <w:szCs w:val="23"/>
        </w:rPr>
      </w:pPr>
    </w:p>
    <w:p>
      <w:pPr>
        <w:pStyle w:val="Default"/>
        <w:jc w:val="both"/>
        <w:rPr>
          <w:b/>
          <w:bCs/>
          <w:noProof/>
          <w:sz w:val="23"/>
          <w:szCs w:val="23"/>
        </w:rPr>
      </w:pPr>
      <w:r>
        <w:rPr>
          <w:b/>
          <w:noProof/>
          <w:sz w:val="23"/>
        </w:rPr>
        <w:t>Eiropas Robežu un krasta apsardzes aģentūra</w:t>
      </w:r>
    </w:p>
    <w:p>
      <w:pPr>
        <w:pStyle w:val="Default"/>
        <w:jc w:val="both"/>
        <w:rPr>
          <w:noProof/>
          <w:sz w:val="23"/>
          <w:szCs w:val="23"/>
        </w:rPr>
      </w:pPr>
      <w:r>
        <w:rPr>
          <w:b/>
          <w:noProof/>
          <w:sz w:val="23"/>
        </w:rPr>
        <w:t xml:space="preserve"> </w:t>
      </w:r>
    </w:p>
    <w:p>
      <w:pPr>
        <w:pStyle w:val="Default"/>
        <w:numPr>
          <w:ilvl w:val="0"/>
          <w:numId w:val="33"/>
        </w:numPr>
        <w:spacing w:after="45"/>
        <w:ind w:left="714" w:hanging="357"/>
        <w:jc w:val="both"/>
        <w:rPr>
          <w:noProof/>
          <w:sz w:val="23"/>
          <w:szCs w:val="23"/>
        </w:rPr>
      </w:pPr>
      <w:r>
        <w:rPr>
          <w:i/>
          <w:noProof/>
          <w:sz w:val="23"/>
        </w:rPr>
        <w:t xml:space="preserve">Līdz 2017. gada jūnija beigām uzsāk darbā pieņemšanas procedūru attiecībā uz visiem amatiem, kas paredzēti apstiprinātajā 2017. gada štatu sarakstā. </w:t>
      </w:r>
    </w:p>
    <w:p>
      <w:pPr>
        <w:pStyle w:val="Default"/>
        <w:numPr>
          <w:ilvl w:val="0"/>
          <w:numId w:val="33"/>
        </w:numPr>
        <w:ind w:left="714" w:hanging="357"/>
        <w:jc w:val="both"/>
        <w:rPr>
          <w:noProof/>
          <w:sz w:val="23"/>
          <w:szCs w:val="23"/>
        </w:rPr>
      </w:pPr>
      <w:r>
        <w:rPr>
          <w:i/>
          <w:noProof/>
          <w:sz w:val="23"/>
        </w:rPr>
        <w:t xml:space="preserve">Nodrošina papildu finansiālo resursu iedarbīgu apgūšanu atbilstīgi budžeta lēmējinstitūcijas atbalstītajām prioritātēm. </w:t>
      </w:r>
    </w:p>
    <w:p>
      <w:pPr>
        <w:spacing w:after="0" w:line="240" w:lineRule="auto"/>
        <w:jc w:val="both"/>
        <w:rPr>
          <w:rFonts w:ascii="Times New Roman" w:hAnsi="Times New Roman" w:cs="Times New Roman"/>
          <w:noProof/>
          <w:sz w:val="23"/>
          <w:szCs w:val="23"/>
        </w:rPr>
      </w:pPr>
    </w:p>
    <w:p>
      <w:pPr>
        <w:spacing w:after="0" w:line="240" w:lineRule="auto"/>
        <w:jc w:val="both"/>
        <w:rPr>
          <w:rFonts w:ascii="Times New Roman" w:eastAsia="Calibri" w:hAnsi="Times New Roman" w:cs="Times New Roman"/>
          <w:b/>
          <w:noProof/>
          <w:sz w:val="23"/>
          <w:szCs w:val="23"/>
        </w:rPr>
      </w:pPr>
      <w:r>
        <w:rPr>
          <w:rFonts w:ascii="Times New Roman" w:hAnsi="Times New Roman"/>
          <w:b/>
          <w:noProof/>
          <w:sz w:val="23"/>
        </w:rPr>
        <w:t>Komisija</w:t>
      </w:r>
    </w:p>
    <w:p>
      <w:pPr>
        <w:spacing w:after="0" w:line="240" w:lineRule="auto"/>
        <w:jc w:val="both"/>
        <w:rPr>
          <w:rFonts w:ascii="Times New Roman" w:eastAsia="Calibri" w:hAnsi="Times New Roman" w:cs="Times New Roman"/>
          <w:b/>
          <w:noProof/>
          <w:sz w:val="23"/>
          <w:szCs w:val="23"/>
        </w:rPr>
      </w:pPr>
    </w:p>
    <w:p>
      <w:pPr>
        <w:pStyle w:val="ListParagraph"/>
        <w:numPr>
          <w:ilvl w:val="0"/>
          <w:numId w:val="46"/>
        </w:numPr>
        <w:spacing w:after="0" w:line="240" w:lineRule="auto"/>
        <w:jc w:val="both"/>
        <w:rPr>
          <w:rFonts w:ascii="Times New Roman" w:eastAsia="Calibri" w:hAnsi="Times New Roman" w:cs="Times New Roman"/>
          <w:noProof/>
          <w:sz w:val="23"/>
          <w:szCs w:val="23"/>
        </w:rPr>
      </w:pPr>
      <w:r>
        <w:rPr>
          <w:rFonts w:ascii="Times New Roman" w:hAnsi="Times New Roman"/>
          <w:i/>
          <w:noProof/>
          <w:sz w:val="23"/>
        </w:rPr>
        <w:t xml:space="preserve">Kopā ar aģentūru meklē risinājumu problēmām, kas saistītas ar darbā pieņemšanu . </w:t>
      </w:r>
    </w:p>
    <w:p>
      <w:pPr>
        <w:spacing w:after="0" w:line="240" w:lineRule="auto"/>
        <w:jc w:val="both"/>
        <w:rPr>
          <w:rFonts w:ascii="Times New Roman" w:eastAsia="Calibri" w:hAnsi="Times New Roman" w:cs="Times New Roman"/>
          <w:noProof/>
          <w:sz w:val="23"/>
          <w:szCs w:val="23"/>
        </w:rPr>
      </w:pPr>
    </w:p>
    <w:p>
      <w:pPr>
        <w:spacing w:after="0" w:line="240" w:lineRule="auto"/>
        <w:jc w:val="both"/>
        <w:rPr>
          <w:rFonts w:ascii="Times New Roman" w:eastAsia="Calibri" w:hAnsi="Times New Roman" w:cs="Times New Roman"/>
          <w:b/>
          <w:noProof/>
          <w:sz w:val="23"/>
          <w:szCs w:val="23"/>
        </w:rPr>
      </w:pPr>
      <w:r>
        <w:rPr>
          <w:rFonts w:ascii="Times New Roman" w:hAnsi="Times New Roman"/>
          <w:b/>
          <w:noProof/>
          <w:sz w:val="23"/>
        </w:rPr>
        <w:t>Dalībvalstis</w:t>
      </w:r>
    </w:p>
    <w:p>
      <w:pPr>
        <w:spacing w:after="0" w:line="240" w:lineRule="auto"/>
        <w:jc w:val="both"/>
        <w:rPr>
          <w:rFonts w:ascii="Times New Roman" w:eastAsia="Calibri" w:hAnsi="Times New Roman" w:cs="Times New Roman"/>
          <w:b/>
          <w:noProof/>
          <w:sz w:val="23"/>
          <w:szCs w:val="23"/>
        </w:rPr>
      </w:pPr>
    </w:p>
    <w:p>
      <w:pPr>
        <w:pStyle w:val="ListParagraph"/>
        <w:numPr>
          <w:ilvl w:val="0"/>
          <w:numId w:val="46"/>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 xml:space="preserve">Nodrošina labākus rezultātus attiecībā uz norīkoto valsts ekspertu izvietošanu. </w:t>
      </w:r>
    </w:p>
    <w:p>
      <w:pPr>
        <w:autoSpaceDE w:val="0"/>
        <w:autoSpaceDN w:val="0"/>
        <w:adjustRightInd w:val="0"/>
        <w:spacing w:after="0" w:line="240" w:lineRule="auto"/>
        <w:jc w:val="both"/>
        <w:rPr>
          <w:rFonts w:ascii="Times New Roman" w:eastAsia="Times New Roman" w:hAnsi="Times New Roman" w:cs="Times New Roman"/>
          <w:i/>
          <w:iCs/>
          <w:noProof/>
          <w:color w:val="000000"/>
          <w:sz w:val="23"/>
          <w:szCs w:val="23"/>
        </w:rPr>
      </w:pPr>
    </w:p>
    <w:p>
      <w:pPr>
        <w:keepNext/>
        <w:numPr>
          <w:ilvl w:val="0"/>
          <w:numId w:val="32"/>
        </w:numPr>
        <w:suppressAutoHyphens/>
        <w:spacing w:after="100" w:afterAutospacing="1" w:line="240" w:lineRule="auto"/>
        <w:ind w:left="426" w:hanging="426"/>
        <w:jc w:val="both"/>
        <w:rPr>
          <w:rFonts w:ascii="Times New Roman" w:eastAsia="SimSun" w:hAnsi="Times New Roman" w:cs="Times New Roman"/>
          <w:b/>
          <w:noProof/>
          <w:color w:val="000000"/>
          <w:sz w:val="23"/>
          <w:szCs w:val="23"/>
        </w:rPr>
      </w:pPr>
      <w:r>
        <w:rPr>
          <w:rFonts w:ascii="Times New Roman" w:hAnsi="Times New Roman"/>
          <w:b/>
          <w:noProof/>
          <w:color w:val="000000"/>
          <w:sz w:val="23"/>
        </w:rPr>
        <w:t xml:space="preserve">EIROPAS INTEGRĒTĀ ROBEŽU PĀRVALDĪBA: TURPMĀKĀ VIRZĪBA </w:t>
      </w:r>
    </w:p>
    <w:p>
      <w:pPr>
        <w:spacing w:after="0" w:line="240" w:lineRule="auto"/>
        <w:jc w:val="both"/>
        <w:rPr>
          <w:rFonts w:ascii="Times New Roman" w:hAnsi="Times New Roman" w:cs="Times New Roman"/>
          <w:b/>
          <w:noProof/>
          <w:sz w:val="23"/>
          <w:szCs w:val="23"/>
        </w:rPr>
      </w:pPr>
      <w:r>
        <w:rPr>
          <w:rFonts w:ascii="Times New Roman" w:hAnsi="Times New Roman"/>
          <w:b/>
          <w:noProof/>
          <w:sz w:val="23"/>
        </w:rPr>
        <w:t>4.1. Integrēta robežu pārvaldība</w:t>
      </w:r>
    </w:p>
    <w:p>
      <w:pPr>
        <w:spacing w:after="0" w:line="240" w:lineRule="auto"/>
        <w:jc w:val="both"/>
        <w:rPr>
          <w:rFonts w:ascii="Times New Roman" w:hAnsi="Times New Roman" w:cs="Times New Roman"/>
          <w:noProof/>
          <w:sz w:val="23"/>
          <w:szCs w:val="23"/>
          <w:u w:val="single"/>
        </w:rPr>
      </w:pPr>
    </w:p>
    <w:p>
      <w:pPr>
        <w:spacing w:after="0" w:line="240" w:lineRule="auto"/>
        <w:jc w:val="both"/>
        <w:rPr>
          <w:rFonts w:ascii="Times New Roman" w:eastAsia="Times New Roman" w:hAnsi="Times New Roman" w:cs="Times New Roman"/>
          <w:bCs/>
          <w:iCs/>
          <w:noProof/>
          <w:sz w:val="23"/>
          <w:szCs w:val="23"/>
        </w:rPr>
      </w:pPr>
      <w:r>
        <w:rPr>
          <w:rFonts w:ascii="Times New Roman" w:hAnsi="Times New Roman"/>
          <w:noProof/>
          <w:sz w:val="23"/>
        </w:rPr>
        <w:t xml:space="preserve">Eiropas Robežu un krasta apsardzes regulā ir noteikti Eiropas integrētas robežu pārvaldības vispārīgie principi, un tādējādi pirmo reizi likumīgi ieviestas LESD 77. panta 2. punkta d) apakšpunktā ietvertās koncepcijas. </w:t>
      </w:r>
    </w:p>
    <w:p>
      <w:pPr>
        <w:spacing w:after="0" w:line="240" w:lineRule="auto"/>
        <w:jc w:val="both"/>
        <w:rPr>
          <w:rFonts w:ascii="Times New Roman" w:hAnsi="Times New Roman" w:cs="Times New Roman"/>
          <w:noProof/>
          <w:sz w:val="23"/>
          <w:szCs w:val="23"/>
        </w:rPr>
      </w:pPr>
    </w:p>
    <w:p>
      <w:pPr>
        <w:spacing w:after="0" w:line="240" w:lineRule="auto"/>
        <w:jc w:val="both"/>
        <w:rPr>
          <w:rFonts w:ascii="Times New Roman" w:hAnsi="Times New Roman" w:cs="Times New Roman"/>
          <w:noProof/>
          <w:sz w:val="23"/>
          <w:szCs w:val="23"/>
        </w:rPr>
      </w:pPr>
      <w:r>
        <w:rPr>
          <w:rFonts w:ascii="Times New Roman" w:hAnsi="Times New Roman"/>
          <w:noProof/>
          <w:sz w:val="23"/>
        </w:rPr>
        <w:t xml:space="preserve">Šajā regulā noteikts saraksts ar 11 stratēģiskiem elementiem, tostarp robežkontroli, meklēšanu un glābšanu situācijās, kuras var rasties, veicot robežu uzraudzības operācijas jūrā, riska analīzi, kā arī aģentūru sadarbību, sadarbību starp dalībvalstīm, Šengenas kvalitātes kontroles mehānismu un solidaritātes mehānismiem, jo īpaši Savienības finansēšanas instrumentiem. Šis ir pamats labi strukturēta stratēģiskā satvara izveidei, kas ļauj efektīvi īstenot Eiropas integrēto robežu pārvaldību valstu un Savienības līmenī. </w:t>
      </w:r>
    </w:p>
    <w:p>
      <w:pPr>
        <w:spacing w:after="0" w:line="240" w:lineRule="auto"/>
        <w:jc w:val="both"/>
        <w:rPr>
          <w:rFonts w:ascii="Times New Roman" w:hAnsi="Times New Roman" w:cs="Times New Roman"/>
          <w:noProof/>
          <w:sz w:val="23"/>
          <w:szCs w:val="23"/>
        </w:rPr>
      </w:pPr>
    </w:p>
    <w:p>
      <w:pPr>
        <w:spacing w:after="0" w:line="240" w:lineRule="auto"/>
        <w:jc w:val="both"/>
        <w:rPr>
          <w:rFonts w:ascii="Times New Roman" w:eastAsia="Times New Roman" w:hAnsi="Times New Roman" w:cs="Times New Roman"/>
          <w:noProof/>
          <w:sz w:val="23"/>
          <w:szCs w:val="23"/>
        </w:rPr>
      </w:pPr>
      <w:r>
        <w:rPr>
          <w:rFonts w:ascii="Times New Roman" w:hAnsi="Times New Roman"/>
          <w:noProof/>
          <w:sz w:val="23"/>
        </w:rPr>
        <w:t xml:space="preserve">Praksē integrētas robežu pārvaldības koncepcija jāīsteno ar </w:t>
      </w:r>
      <w:r>
        <w:rPr>
          <w:rFonts w:ascii="Times New Roman" w:hAnsi="Times New Roman"/>
          <w:b/>
          <w:noProof/>
          <w:sz w:val="23"/>
        </w:rPr>
        <w:t>stratēģiska procesa starpniecību, kurš sastāv no trim virzieniem</w:t>
      </w:r>
      <w:r>
        <w:rPr>
          <w:rFonts w:ascii="Times New Roman" w:hAnsi="Times New Roman"/>
          <w:noProof/>
          <w:sz w:val="23"/>
        </w:rPr>
        <w:t xml:space="preserve">, t. i., 1) ES iestādes politiskā līmenī definē Eiropas integrētās robežu pārvaldības stratēģiju, 2) Eiropas Robežu un krasta apsardzes aģentūra pieņem tehniskās un operatīvās darbības stratēģiju, un 3) katra dalībvalsts nosaka valsts integrētas robežu pārvaldības stratēģiju, lai nodrošinātu vienotu koncepcijas īstenošanu. Tās rezultātā Eiropas Robežu un krasta apsardzei vajadzētu izveidot sadarbspējīgu un vienotu Eiropas integrētas robežu pārvaldības stratēģisko satvaru, lai nodrošinātu tā efektīvu īstenošanu. </w:t>
      </w:r>
    </w:p>
    <w:p>
      <w:pPr>
        <w:spacing w:after="0" w:line="240" w:lineRule="auto"/>
        <w:jc w:val="both"/>
        <w:rPr>
          <w:rFonts w:ascii="Times New Roman" w:eastAsia="Times New Roman" w:hAnsi="Times New Roman" w:cs="Times New Roman"/>
          <w:iCs/>
          <w:noProof/>
          <w:sz w:val="23"/>
          <w:szCs w:val="23"/>
        </w:rPr>
      </w:pPr>
    </w:p>
    <w:p>
      <w:pPr>
        <w:spacing w:after="0" w:line="240" w:lineRule="auto"/>
        <w:ind w:left="426" w:hanging="426"/>
        <w:jc w:val="both"/>
        <w:rPr>
          <w:rFonts w:ascii="Times New Roman" w:eastAsia="Times New Roman" w:hAnsi="Times New Roman" w:cs="Times New Roman"/>
          <w:b/>
          <w:iCs/>
          <w:noProof/>
          <w:sz w:val="23"/>
          <w:szCs w:val="23"/>
        </w:rPr>
      </w:pPr>
      <w:r>
        <w:rPr>
          <w:rFonts w:ascii="Times New Roman" w:hAnsi="Times New Roman"/>
          <w:b/>
          <w:noProof/>
          <w:sz w:val="23"/>
        </w:rPr>
        <w:t>4.2.</w:t>
      </w:r>
      <w:r>
        <w:rPr>
          <w:noProof/>
        </w:rPr>
        <w:tab/>
      </w:r>
      <w:r>
        <w:rPr>
          <w:rFonts w:ascii="Times New Roman" w:hAnsi="Times New Roman"/>
          <w:b/>
          <w:noProof/>
          <w:sz w:val="23"/>
        </w:rPr>
        <w:t xml:space="preserve">ES iestāžu politiskais satvars </w:t>
      </w:r>
    </w:p>
    <w:p>
      <w:pPr>
        <w:spacing w:after="0" w:line="240" w:lineRule="auto"/>
        <w:jc w:val="both"/>
        <w:rPr>
          <w:rFonts w:ascii="Times New Roman" w:eastAsia="Times New Roman" w:hAnsi="Times New Roman" w:cs="Times New Roman"/>
          <w:iCs/>
          <w:noProof/>
          <w:sz w:val="23"/>
          <w:szCs w:val="23"/>
          <w:u w:val="single"/>
        </w:rPr>
      </w:pPr>
    </w:p>
    <w:p>
      <w:pPr>
        <w:spacing w:after="0" w:line="240" w:lineRule="auto"/>
        <w:jc w:val="both"/>
        <w:rPr>
          <w:rFonts w:ascii="Times New Roman" w:hAnsi="Times New Roman" w:cs="Times New Roman"/>
          <w:iCs/>
          <w:noProof/>
          <w:sz w:val="23"/>
          <w:szCs w:val="23"/>
        </w:rPr>
      </w:pPr>
      <w:r>
        <w:rPr>
          <w:rFonts w:ascii="Times New Roman" w:hAnsi="Times New Roman"/>
          <w:noProof/>
          <w:sz w:val="23"/>
        </w:rPr>
        <w:t xml:space="preserve">Saskaņā ar Eiropas Robežu un krasta apsardzes regulu par </w:t>
      </w:r>
      <w:r>
        <w:rPr>
          <w:rFonts w:ascii="Times New Roman" w:hAnsi="Times New Roman"/>
          <w:b/>
          <w:noProof/>
          <w:sz w:val="23"/>
        </w:rPr>
        <w:t>Eiropas integrētās robežu pārvaldības stratēģijas izstrādi</w:t>
      </w:r>
      <w:r>
        <w:rPr>
          <w:rFonts w:ascii="Times New Roman" w:hAnsi="Times New Roman"/>
          <w:noProof/>
          <w:sz w:val="23"/>
        </w:rPr>
        <w:t xml:space="preserve"> ir atbildīgas Savienības iestādes. </w:t>
      </w:r>
    </w:p>
    <w:p>
      <w:pPr>
        <w:spacing w:after="0" w:line="240" w:lineRule="auto"/>
        <w:jc w:val="both"/>
        <w:rPr>
          <w:rFonts w:ascii="Times New Roman" w:hAnsi="Times New Roman" w:cs="Times New Roman"/>
          <w:iCs/>
          <w:noProof/>
          <w:sz w:val="23"/>
          <w:szCs w:val="23"/>
        </w:rPr>
      </w:pPr>
    </w:p>
    <w:p>
      <w:pPr>
        <w:spacing w:after="0" w:line="240" w:lineRule="auto"/>
        <w:jc w:val="both"/>
        <w:rPr>
          <w:rFonts w:ascii="Times New Roman" w:eastAsia="Times New Roman" w:hAnsi="Times New Roman" w:cs="Times New Roman"/>
          <w:iCs/>
          <w:noProof/>
          <w:sz w:val="23"/>
          <w:szCs w:val="23"/>
        </w:rPr>
      </w:pPr>
      <w:r>
        <w:rPr>
          <w:rFonts w:ascii="Times New Roman" w:hAnsi="Times New Roman"/>
          <w:noProof/>
          <w:sz w:val="23"/>
        </w:rPr>
        <w:t xml:space="preserve">Eiropas integrētās robežu pārvaldības stratēģijas izveidē ļoti būtiska būs </w:t>
      </w:r>
      <w:r>
        <w:rPr>
          <w:rFonts w:ascii="Times New Roman" w:hAnsi="Times New Roman"/>
          <w:b/>
          <w:noProof/>
          <w:sz w:val="23"/>
        </w:rPr>
        <w:t>sadarbība starp Eiropas Komisiju, Eiropas Parlamentu un Padomi</w:t>
      </w:r>
      <w:r>
        <w:rPr>
          <w:rFonts w:ascii="Times New Roman" w:hAnsi="Times New Roman"/>
          <w:noProof/>
          <w:sz w:val="23"/>
        </w:rPr>
        <w:t xml:space="preserve">. Lai dotu iestādēm iespēju izstrādāt politisko stratēģiju, Komisija kopā ar aģentūru rīkos divus īpašus darbseminārus, kuros piedalīsies dalībvalstis un Eiropas Parlaments un kuru rezultātā tiks izstrādāts </w:t>
      </w:r>
      <w:r>
        <w:rPr>
          <w:rFonts w:ascii="Times New Roman" w:hAnsi="Times New Roman"/>
          <w:b/>
          <w:noProof/>
          <w:sz w:val="23"/>
        </w:rPr>
        <w:t>Eiropas integrētās robežu pārvaldības politiskais satvars</w:t>
      </w:r>
      <w:r>
        <w:rPr>
          <w:rFonts w:ascii="Times New Roman" w:hAnsi="Times New Roman"/>
          <w:noProof/>
          <w:sz w:val="23"/>
        </w:rPr>
        <w:t xml:space="preserve"> </w:t>
      </w:r>
      <w:r>
        <w:rPr>
          <w:rFonts w:ascii="Times New Roman" w:hAnsi="Times New Roman"/>
          <w:b/>
          <w:noProof/>
          <w:sz w:val="23"/>
        </w:rPr>
        <w:t>paziņojuma</w:t>
      </w:r>
      <w:r>
        <w:rPr>
          <w:rFonts w:ascii="Times New Roman" w:hAnsi="Times New Roman"/>
          <w:noProof/>
          <w:sz w:val="23"/>
        </w:rPr>
        <w:t xml:space="preserve"> veidā.</w:t>
      </w:r>
      <w:r>
        <w:rPr>
          <w:rFonts w:ascii="Times New Roman" w:hAnsi="Times New Roman"/>
          <w:b/>
          <w:noProof/>
          <w:sz w:val="23"/>
        </w:rPr>
        <w:t xml:space="preserve"> </w:t>
      </w:r>
      <w:r>
        <w:rPr>
          <w:rFonts w:ascii="Times New Roman" w:hAnsi="Times New Roman"/>
          <w:noProof/>
          <w:sz w:val="23"/>
        </w:rPr>
        <w:t>Eiropas Parlaments un Padome tiks aicināti apstiprināt šo paziņojumu.</w:t>
      </w:r>
    </w:p>
    <w:p>
      <w:pPr>
        <w:spacing w:after="0" w:line="240" w:lineRule="auto"/>
        <w:jc w:val="both"/>
        <w:rPr>
          <w:rFonts w:ascii="Times New Roman" w:eastAsia="Times New Roman" w:hAnsi="Times New Roman" w:cs="Times New Roman"/>
          <w:iCs/>
          <w:noProof/>
          <w:sz w:val="23"/>
          <w:szCs w:val="23"/>
          <w:u w:val="single"/>
        </w:rPr>
      </w:pPr>
    </w:p>
    <w:p>
      <w:pPr>
        <w:spacing w:after="0" w:line="240" w:lineRule="auto"/>
        <w:ind w:left="426" w:hanging="426"/>
        <w:jc w:val="both"/>
        <w:rPr>
          <w:rFonts w:ascii="Times New Roman" w:eastAsia="Times New Roman" w:hAnsi="Times New Roman" w:cs="Times New Roman"/>
          <w:b/>
          <w:iCs/>
          <w:noProof/>
          <w:sz w:val="23"/>
          <w:szCs w:val="23"/>
        </w:rPr>
      </w:pPr>
      <w:r>
        <w:rPr>
          <w:rFonts w:ascii="Times New Roman" w:hAnsi="Times New Roman"/>
          <w:b/>
          <w:noProof/>
          <w:sz w:val="23"/>
        </w:rPr>
        <w:t>4.3.</w:t>
      </w:r>
      <w:r>
        <w:rPr>
          <w:noProof/>
        </w:rPr>
        <w:tab/>
      </w:r>
      <w:r>
        <w:rPr>
          <w:rFonts w:ascii="Times New Roman" w:hAnsi="Times New Roman"/>
          <w:b/>
          <w:noProof/>
          <w:sz w:val="23"/>
        </w:rPr>
        <w:t>Aģentūras tehniskā un operatīvā stratēģija</w:t>
      </w:r>
    </w:p>
    <w:p>
      <w:pPr>
        <w:spacing w:after="0" w:line="240" w:lineRule="auto"/>
        <w:jc w:val="both"/>
        <w:rPr>
          <w:rFonts w:ascii="Times New Roman" w:eastAsia="Times New Roman" w:hAnsi="Times New Roman" w:cs="Times New Roman"/>
          <w:iCs/>
          <w:noProof/>
          <w:sz w:val="23"/>
          <w:szCs w:val="23"/>
          <w:u w:val="single"/>
        </w:rPr>
      </w:pPr>
    </w:p>
    <w:p>
      <w:pPr>
        <w:spacing w:line="240" w:lineRule="auto"/>
        <w:jc w:val="both"/>
        <w:rPr>
          <w:rFonts w:ascii="Times New Roman" w:eastAsia="Times New Roman" w:hAnsi="Times New Roman" w:cs="Times New Roman"/>
          <w:iCs/>
          <w:noProof/>
          <w:sz w:val="23"/>
          <w:szCs w:val="23"/>
        </w:rPr>
      </w:pPr>
      <w:r>
        <w:rPr>
          <w:rFonts w:ascii="Times New Roman" w:hAnsi="Times New Roman"/>
          <w:noProof/>
          <w:sz w:val="23"/>
        </w:rPr>
        <w:t xml:space="preserve">Saskaņā ar Eiropas Robežu un krasta apsardzes regulas 3. panta 2. punktu aģentūras uzdevums ir izstrādāt Eiropas integrētās robežu pārvaldības tehnisko un operatīvo stratēģiju. Lai gan aģentūrai pēc iespējas drīz ciešā sadarbībā ar Komisiju būtu jāsāk strādāt pie šā uzdevuma izpildes, aģentūras valdei būtu jāpieņem operatīvā un tehniskā stratēģija tikai pēc tam, kad attiecīgo politisko satvaru ir apstiprinājušas visas trīs iestādes. </w:t>
      </w:r>
    </w:p>
    <w:p>
      <w:pPr>
        <w:spacing w:line="240" w:lineRule="auto"/>
        <w:ind w:left="426" w:hanging="426"/>
        <w:jc w:val="both"/>
        <w:rPr>
          <w:rFonts w:ascii="Times New Roman" w:hAnsi="Times New Roman" w:cs="Times New Roman"/>
          <w:b/>
          <w:iCs/>
          <w:noProof/>
          <w:sz w:val="23"/>
          <w:szCs w:val="23"/>
        </w:rPr>
      </w:pPr>
      <w:r>
        <w:rPr>
          <w:rFonts w:ascii="Times New Roman" w:hAnsi="Times New Roman"/>
          <w:b/>
          <w:noProof/>
          <w:sz w:val="23"/>
        </w:rPr>
        <w:t>4.4.</w:t>
      </w:r>
      <w:r>
        <w:rPr>
          <w:noProof/>
        </w:rPr>
        <w:tab/>
      </w:r>
      <w:r>
        <w:rPr>
          <w:rFonts w:ascii="Times New Roman" w:hAnsi="Times New Roman"/>
          <w:b/>
          <w:noProof/>
          <w:sz w:val="23"/>
        </w:rPr>
        <w:t>Dalībvalstu valsts stratēģijas</w:t>
      </w:r>
    </w:p>
    <w:p>
      <w:pPr>
        <w:spacing w:after="0" w:line="240" w:lineRule="auto"/>
        <w:jc w:val="both"/>
        <w:rPr>
          <w:rFonts w:ascii="Times New Roman" w:eastAsia="Times New Roman" w:hAnsi="Times New Roman" w:cs="Times New Roman"/>
          <w:iCs/>
          <w:noProof/>
          <w:sz w:val="23"/>
          <w:szCs w:val="23"/>
        </w:rPr>
      </w:pPr>
      <w:r>
        <w:rPr>
          <w:rFonts w:ascii="Times New Roman" w:hAnsi="Times New Roman"/>
          <w:noProof/>
          <w:sz w:val="23"/>
        </w:rPr>
        <w:t>Eiropas integrētās robežu pārvaldības efektīva īstenošana būtu jānodrošina ar valstu centieniem. Eiropas Robežu un krasta apsardzes regulas 3. panta 3. punktā ir noteikts, ka dalībvalstis izveido savas valsts stratēģijas integrētai robežu pārvaldībai saskaņā ar operatīvo un tehnisko stratēģiju, ko noteikusi aģentūra.</w:t>
      </w:r>
    </w:p>
    <w:p>
      <w:pPr>
        <w:spacing w:after="0" w:line="240" w:lineRule="auto"/>
        <w:jc w:val="both"/>
        <w:rPr>
          <w:rFonts w:ascii="Times New Roman" w:eastAsia="Times New Roman" w:hAnsi="Times New Roman" w:cs="Times New Roman"/>
          <w:iCs/>
          <w:noProof/>
          <w:sz w:val="23"/>
          <w:szCs w:val="23"/>
        </w:rPr>
      </w:pPr>
    </w:p>
    <w:p>
      <w:pPr>
        <w:spacing w:after="0" w:line="240" w:lineRule="auto"/>
        <w:jc w:val="both"/>
        <w:rPr>
          <w:rFonts w:ascii="Times New Roman" w:eastAsia="Times New Roman" w:hAnsi="Times New Roman" w:cs="Times New Roman"/>
          <w:iCs/>
          <w:noProof/>
          <w:sz w:val="23"/>
          <w:szCs w:val="23"/>
        </w:rPr>
      </w:pPr>
      <w:r>
        <w:rPr>
          <w:rFonts w:ascii="Times New Roman" w:hAnsi="Times New Roman"/>
          <w:noProof/>
          <w:sz w:val="23"/>
        </w:rPr>
        <w:t xml:space="preserve">Katrai dalībvalstij būtu pēc iespējas drīz jāuzsāk sagatavošanas process, iesaistot visas attiecīgās valsts iestādes, kas atbild par robežu pārvaldību un atgriešanu, lai izveidotu vienotu valsts stratēģiju, ko papildina rīcības plāns. Dalībvalstīm būtu pilnībā jāizmanto apmācības programma, kuru izstrādājusi Komisija un aģentūra un kurā galvenā uzmanība pievērsta valsts integrētas robežu pārvaldības stratēģiju izstrādes metodoloģijai. Turpmākās sanāksmes ir paredzētas 2017. gada maijā, jūlijā, septembrī un novembrī. </w:t>
      </w:r>
    </w:p>
    <w:p>
      <w:pPr>
        <w:spacing w:after="0" w:line="240" w:lineRule="auto"/>
        <w:jc w:val="both"/>
        <w:rPr>
          <w:rFonts w:ascii="Times New Roman" w:eastAsia="Times New Roman" w:hAnsi="Times New Roman" w:cs="Times New Roman"/>
          <w:iCs/>
          <w:noProof/>
          <w:sz w:val="23"/>
          <w:szCs w:val="23"/>
        </w:rPr>
      </w:pPr>
    </w:p>
    <w:p>
      <w:pPr>
        <w:spacing w:after="0" w:line="240" w:lineRule="auto"/>
        <w:jc w:val="both"/>
        <w:rPr>
          <w:rFonts w:ascii="Times New Roman" w:eastAsia="Times New Roman" w:hAnsi="Times New Roman" w:cs="Times New Roman"/>
          <w:iCs/>
          <w:noProof/>
          <w:sz w:val="23"/>
          <w:szCs w:val="23"/>
        </w:rPr>
      </w:pPr>
      <w:r>
        <w:rPr>
          <w:rFonts w:ascii="Times New Roman" w:hAnsi="Times New Roman"/>
          <w:noProof/>
          <w:sz w:val="23"/>
        </w:rPr>
        <w:t>Pēc tam, kad ES iestādes būs apstiprinājušas politisko satvaru un būs izstrādāta aģentūras operatīvā un tehniskā stratēģija, dalībvalstīm attiecīgi būs jāizstrādā savas valsts stratēģijas.</w:t>
      </w:r>
    </w:p>
    <w:p>
      <w:pPr>
        <w:spacing w:after="0" w:line="240" w:lineRule="auto"/>
        <w:jc w:val="both"/>
        <w:rPr>
          <w:rFonts w:ascii="Times New Roman" w:eastAsia="Times New Roman" w:hAnsi="Times New Roman" w:cs="Times New Roman"/>
          <w:noProof/>
          <w:sz w:val="23"/>
          <w:szCs w:val="23"/>
        </w:rPr>
      </w:pPr>
    </w:p>
    <w:p>
      <w:pPr>
        <w:spacing w:after="0" w:line="240" w:lineRule="auto"/>
        <w:jc w:val="both"/>
        <w:rPr>
          <w:rFonts w:ascii="Times New Roman" w:eastAsia="Calibri" w:hAnsi="Times New Roman" w:cs="Times New Roman"/>
          <w:i/>
          <w:noProof/>
          <w:sz w:val="23"/>
          <w:szCs w:val="23"/>
          <w:u w:val="single"/>
        </w:rPr>
      </w:pPr>
      <w:r>
        <w:rPr>
          <w:rFonts w:ascii="Times New Roman" w:hAnsi="Times New Roman"/>
          <w:i/>
          <w:noProof/>
          <w:sz w:val="23"/>
          <w:u w:val="single"/>
        </w:rPr>
        <w:t>Turpmākie pasākumi</w:t>
      </w:r>
    </w:p>
    <w:p>
      <w:pPr>
        <w:spacing w:after="0" w:line="240" w:lineRule="auto"/>
        <w:jc w:val="both"/>
        <w:rPr>
          <w:rFonts w:ascii="Times New Roman" w:eastAsia="Calibri" w:hAnsi="Times New Roman" w:cs="Times New Roman"/>
          <w:noProof/>
          <w:sz w:val="23"/>
          <w:szCs w:val="23"/>
        </w:rPr>
      </w:pPr>
    </w:p>
    <w:p>
      <w:pPr>
        <w:spacing w:after="0" w:line="240" w:lineRule="auto"/>
        <w:jc w:val="both"/>
        <w:rPr>
          <w:rFonts w:ascii="Times New Roman" w:eastAsia="Calibri" w:hAnsi="Times New Roman" w:cs="Times New Roman"/>
          <w:b/>
          <w:noProof/>
          <w:sz w:val="23"/>
          <w:szCs w:val="23"/>
        </w:rPr>
      </w:pPr>
      <w:r>
        <w:rPr>
          <w:rFonts w:ascii="Times New Roman" w:hAnsi="Times New Roman"/>
          <w:b/>
          <w:noProof/>
          <w:sz w:val="23"/>
        </w:rPr>
        <w:t>Komisija</w:t>
      </w:r>
    </w:p>
    <w:p>
      <w:pPr>
        <w:spacing w:after="0" w:line="240" w:lineRule="auto"/>
        <w:jc w:val="both"/>
        <w:rPr>
          <w:rFonts w:ascii="Times New Roman" w:eastAsia="Calibri" w:hAnsi="Times New Roman" w:cs="Times New Roman"/>
          <w:noProof/>
          <w:sz w:val="23"/>
          <w:szCs w:val="23"/>
        </w:rPr>
      </w:pPr>
    </w:p>
    <w:p>
      <w:pPr>
        <w:pStyle w:val="ListParagraph"/>
        <w:numPr>
          <w:ilvl w:val="0"/>
          <w:numId w:val="46"/>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 xml:space="preserve">2017. gada jūnijā un septembrī organizē divus specializētus darbseminārus ar dalībvalstu un Eiropas Parlamenta pārstāvju piedalīšanos, lai apspriestu Eiropas integrētās robežu pārvaldības politisko satvaru. </w:t>
      </w:r>
    </w:p>
    <w:p>
      <w:pPr>
        <w:pStyle w:val="ListParagraph"/>
        <w:numPr>
          <w:ilvl w:val="0"/>
          <w:numId w:val="46"/>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 xml:space="preserve">Līdz 2017. gada oktobrim pieņem paziņojumu, kurā definēti Eiropas integrētās robežu pārvaldības politiskā satvara galvenie elementi. </w:t>
      </w:r>
    </w:p>
    <w:p>
      <w:pPr>
        <w:pStyle w:val="ListParagraph"/>
        <w:numPr>
          <w:ilvl w:val="0"/>
          <w:numId w:val="46"/>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Šengenas novērtējumā 2018. gadam iekļauj novērtējumu par valstu integrētās robežu pārvaldības stratēģijām.</w:t>
      </w:r>
    </w:p>
    <w:p>
      <w:pPr>
        <w:spacing w:after="0" w:line="240" w:lineRule="auto"/>
        <w:jc w:val="both"/>
        <w:rPr>
          <w:rFonts w:ascii="Times New Roman" w:eastAsia="Calibri" w:hAnsi="Times New Roman" w:cs="Times New Roman"/>
          <w:noProof/>
          <w:sz w:val="23"/>
          <w:szCs w:val="23"/>
        </w:rPr>
      </w:pPr>
    </w:p>
    <w:p>
      <w:pPr>
        <w:spacing w:after="0" w:line="240" w:lineRule="auto"/>
        <w:jc w:val="both"/>
        <w:rPr>
          <w:rFonts w:ascii="Times New Roman" w:eastAsia="Calibri" w:hAnsi="Times New Roman" w:cs="Times New Roman"/>
          <w:b/>
          <w:noProof/>
          <w:sz w:val="23"/>
          <w:szCs w:val="23"/>
        </w:rPr>
      </w:pPr>
      <w:r>
        <w:rPr>
          <w:rFonts w:ascii="Times New Roman" w:hAnsi="Times New Roman"/>
          <w:b/>
          <w:noProof/>
          <w:sz w:val="23"/>
        </w:rPr>
        <w:t>Eiropas Robežu un krasta apsardzes aģentūra</w:t>
      </w:r>
    </w:p>
    <w:p>
      <w:pPr>
        <w:spacing w:after="0" w:line="240" w:lineRule="auto"/>
        <w:jc w:val="both"/>
        <w:rPr>
          <w:rFonts w:ascii="Times New Roman" w:eastAsia="Calibri" w:hAnsi="Times New Roman" w:cs="Times New Roman"/>
          <w:noProof/>
          <w:sz w:val="23"/>
          <w:szCs w:val="23"/>
        </w:rPr>
      </w:pPr>
    </w:p>
    <w:p>
      <w:pPr>
        <w:pStyle w:val="ListParagraph"/>
        <w:numPr>
          <w:ilvl w:val="0"/>
          <w:numId w:val="48"/>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Ciešā sadarbībā ar Komisiju 2017. gada otrajā pusē sāk procesu integrētas robežu pārvaldības operatīvās un tehniskās stratēģijas izstrādei.</w:t>
      </w:r>
    </w:p>
    <w:p>
      <w:pPr>
        <w:pStyle w:val="ListParagraph"/>
        <w:numPr>
          <w:ilvl w:val="0"/>
          <w:numId w:val="48"/>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Pēc tam, kad ES iestādes ir vienojušās par integrētas robežu pārvaldības politisko stratēģiju, valde līdz 2018. gada februārim pieņem Eiropas integrētās robežu pārvaldības operatīvo un tehnisko stratēģiju.</w:t>
      </w:r>
    </w:p>
    <w:p>
      <w:pPr>
        <w:pStyle w:val="ListParagraph"/>
        <w:numPr>
          <w:ilvl w:val="0"/>
          <w:numId w:val="48"/>
        </w:numPr>
        <w:spacing w:after="0" w:line="240" w:lineRule="auto"/>
        <w:jc w:val="both"/>
        <w:rPr>
          <w:noProof/>
        </w:rPr>
      </w:pPr>
      <w:r>
        <w:rPr>
          <w:rFonts w:ascii="Times New Roman" w:hAnsi="Times New Roman"/>
          <w:i/>
          <w:noProof/>
          <w:sz w:val="23"/>
        </w:rPr>
        <w:t>Ciešā sadarbībā ar Komisiju izveido īpašu Šengenas novērtēšanas apmācību, kas paredzēta atlasītajiem integrētas robežu pārvaldības ekspertiem.</w:t>
      </w:r>
    </w:p>
    <w:p>
      <w:pPr>
        <w:spacing w:after="0" w:line="240" w:lineRule="auto"/>
        <w:jc w:val="both"/>
        <w:rPr>
          <w:rFonts w:ascii="Times New Roman" w:eastAsia="Calibri" w:hAnsi="Times New Roman" w:cs="Times New Roman"/>
          <w:b/>
          <w:noProof/>
          <w:sz w:val="23"/>
          <w:szCs w:val="23"/>
        </w:rPr>
      </w:pPr>
    </w:p>
    <w:p>
      <w:pPr>
        <w:spacing w:after="0" w:line="240" w:lineRule="auto"/>
        <w:jc w:val="both"/>
        <w:rPr>
          <w:rFonts w:ascii="Times New Roman" w:eastAsia="Calibri" w:hAnsi="Times New Roman" w:cs="Times New Roman"/>
          <w:b/>
          <w:noProof/>
          <w:sz w:val="23"/>
          <w:szCs w:val="23"/>
        </w:rPr>
      </w:pPr>
      <w:r>
        <w:rPr>
          <w:rFonts w:ascii="Times New Roman" w:hAnsi="Times New Roman"/>
          <w:b/>
          <w:noProof/>
          <w:sz w:val="23"/>
        </w:rPr>
        <w:t xml:space="preserve">Dalībvalstis </w:t>
      </w:r>
    </w:p>
    <w:p>
      <w:pPr>
        <w:spacing w:after="0" w:line="240" w:lineRule="auto"/>
        <w:jc w:val="both"/>
        <w:rPr>
          <w:rFonts w:ascii="Times New Roman" w:eastAsia="Calibri" w:hAnsi="Times New Roman" w:cs="Times New Roman"/>
          <w:b/>
          <w:noProof/>
          <w:sz w:val="23"/>
          <w:szCs w:val="23"/>
        </w:rPr>
      </w:pPr>
    </w:p>
    <w:p>
      <w:pPr>
        <w:pStyle w:val="ListParagraph"/>
        <w:numPr>
          <w:ilvl w:val="0"/>
          <w:numId w:val="49"/>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No 2017. gada jūlija līdz decembrim sāk valsts procedūras, lai izstrādātu valstu integrētas robežu pārvaldības stratēģijas.</w:t>
      </w:r>
    </w:p>
    <w:p>
      <w:pPr>
        <w:pStyle w:val="ListParagraph"/>
        <w:numPr>
          <w:ilvl w:val="0"/>
          <w:numId w:val="49"/>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Sešu mēnešu laikā pēc operatīvās un tehniskās stratēģijas pieņemšanas saskaņo attiecīgās valsts integrētās robežu pārvaldības stratēģijas ar politisko stratēģiju un operatīvo un tehnisko stratēģiju.</w:t>
      </w:r>
    </w:p>
    <w:p>
      <w:pPr>
        <w:pStyle w:val="ListParagraph"/>
        <w:numPr>
          <w:ilvl w:val="0"/>
          <w:numId w:val="49"/>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Ir gatavas Šengenas izvērtējumam attiecībā uz to valsts integrētās robežu pārvaldības stratēģijām (kas tiks sākts 2018. gada vēlā rudenī).</w:t>
      </w:r>
    </w:p>
    <w:p>
      <w:pPr>
        <w:spacing w:after="0" w:line="240" w:lineRule="auto"/>
        <w:jc w:val="both"/>
        <w:rPr>
          <w:rFonts w:ascii="Times New Roman" w:eastAsia="Calibri" w:hAnsi="Times New Roman" w:cs="Times New Roman"/>
          <w:i/>
          <w:noProof/>
          <w:sz w:val="23"/>
          <w:szCs w:val="23"/>
        </w:rPr>
      </w:pPr>
    </w:p>
    <w:p>
      <w:pPr>
        <w:keepNext/>
        <w:numPr>
          <w:ilvl w:val="0"/>
          <w:numId w:val="32"/>
        </w:numPr>
        <w:suppressAutoHyphens/>
        <w:spacing w:after="100" w:afterAutospacing="1" w:line="240" w:lineRule="auto"/>
        <w:ind w:left="426" w:hanging="426"/>
        <w:jc w:val="both"/>
        <w:rPr>
          <w:rFonts w:ascii="Times New Roman" w:eastAsia="SimSun" w:hAnsi="Times New Roman" w:cs="Times New Roman"/>
          <w:noProof/>
          <w:color w:val="000000"/>
          <w:sz w:val="23"/>
          <w:szCs w:val="23"/>
        </w:rPr>
      </w:pPr>
      <w:r>
        <w:rPr>
          <w:rFonts w:ascii="Times New Roman" w:hAnsi="Times New Roman"/>
          <w:b/>
          <w:noProof/>
          <w:color w:val="000000"/>
          <w:sz w:val="23"/>
        </w:rPr>
        <w:t>SECINĀJUMS</w:t>
      </w:r>
    </w:p>
    <w:p>
      <w:pPr>
        <w:suppressAutoHyphens/>
        <w:spacing w:line="240" w:lineRule="auto"/>
        <w:jc w:val="both"/>
        <w:rPr>
          <w:rFonts w:ascii="Times New Roman" w:hAnsi="Times New Roman" w:cs="Times New Roman"/>
          <w:noProof/>
          <w:sz w:val="23"/>
          <w:szCs w:val="23"/>
        </w:rPr>
      </w:pPr>
      <w:r>
        <w:rPr>
          <w:rFonts w:ascii="Times New Roman" w:hAnsi="Times New Roman"/>
          <w:noProof/>
          <w:sz w:val="23"/>
        </w:rPr>
        <w:t xml:space="preserve">Trešais ziņojums liecina, ka turpinās Eiropas Robežu un krasta apsardzes regulā noteikto pasākumu un instrumentu ieviešana, lai pēc iespējas ātrāk pastiprinātu ES spēju aizsargāt ārējās robežas. </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Aģentūra gandrīz visās dalībvalstīs izstrādāja pirmo neaizsargātības pamatnovērtējumu un tuvākajā laikā sniegs ieteikumus attiecīgajām dalībvalstīm, norādot konkrētus pasākumus konstatēto neaizsargātības aspektu novēršanai. Tāpat arī ātri pieņemtais Padomes lēmums, ar ko pilnvaro Komisiju risināt sarunas ar Serbiju un bijušo Dienvidslāvijas Maķedonijas Republiku par statusa nolīgumu, un tūlītēja pirmā kārta sarunās ar Serbiju liecina, ka Eiropas Robežu un krasta apsardzes darbībspējas nodrošināšana pastāvīgi tiek atzīta par politisko prioritāti.  </w:t>
      </w:r>
    </w:p>
    <w:p>
      <w:pPr>
        <w:spacing w:line="240" w:lineRule="auto"/>
        <w:jc w:val="both"/>
        <w:rPr>
          <w:rFonts w:ascii="Times New Roman" w:hAnsi="Times New Roman" w:cs="Times New Roman"/>
          <w:noProof/>
          <w:sz w:val="23"/>
          <w:szCs w:val="23"/>
        </w:rPr>
      </w:pPr>
      <w:r>
        <w:rPr>
          <w:rFonts w:ascii="Times New Roman" w:hAnsi="Times New Roman"/>
          <w:noProof/>
          <w:sz w:val="23"/>
        </w:rPr>
        <w:t>Tomēr dalībvalstis nav guvušas pietiekamus panākumus ātrās reaģēšanas rezerves pilnas darbības jaudas nodrošināšanā, jo īpaši iztrūkumu novēršanā attiecībā uz ātrās reaģēšanas aprīkojuma rezervi. Tāpat ir vajadzīgi arī kopīgi centieni, lai novērstu joprojām nepietiekamo izvietojumu pašreiz notiekošajās kopīgajās operācijās, kuru mērķis ir atbalstīt priekšposteņa dalībvalstis ārējo robežu efektīvā pārvaldībā. Šis iztrūkums ir jānovērš prioritārā kārtā. Dalībvalstis tiek arī mudinātas labāk izmantot pastiprināto aģentūras spēju sniegt palīdzību atgriešanas operāciju jomā.</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Komisija cer sadarboties ar Eiropas Parlamentu, Padomi un aģentūru, lai izstrādātu Eiropas integrētās robežu pārvaldības stratēģisko satvaru.   </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Lai paātrinātu Eiropas Robežu un krasta apsardzes darbībspējas nodrošināšanu, Komisija aicina Padomi izvērtēt līdz šim panākto virzību un veikt ierosinātos pasākumus. </w:t>
      </w:r>
    </w:p>
    <w:p>
      <w:pP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color w:val="000000"/>
          <w:sz w:val="23"/>
        </w:rPr>
        <w:t>Par ārējo robežu stiprināšanā gūto progresu Komisija atkārtoti ziņos vasarā.</w:t>
      </w:r>
    </w:p>
    <w:sectPr>
      <w:headerReference w:type="even" r:id="rId19"/>
      <w:headerReference w:type="default" r:id="rId20"/>
      <w:footerReference w:type="even" r:id="rId21"/>
      <w:footerReference w:type="default" r:id="rId22"/>
      <w:headerReference w:type="first" r:id="rId23"/>
      <w:footerReference w:type="first" r:id="rId24"/>
      <w:pgSz w:w="11907" w:h="16839" w:code="9"/>
      <w:pgMar w:top="1440" w:right="1800" w:bottom="1440" w:left="1800" w:header="720" w:footer="720" w:gutter="0"/>
      <w:pgNumType w:start="2"/>
      <w:cols w:space="720"/>
      <w:docGrid w:linePitch="299"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C Square Sans Pro">
    <w:charset w:val="00"/>
    <w:family w:val="swiss"/>
    <w:pitch w:val="variable"/>
    <w:sig w:usb0="A00002BF" w:usb1="5000E0F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r>
      <w:rPr>
        <w:rFonts w:ascii="Arial" w:hAnsi="Arial"/>
        <w:b/>
        <w:sz w:val="48"/>
      </w:rPr>
      <w:t>EN</w:t>
    </w:r>
    <w:r>
      <w:tab/>
    </w:r>
    <w:r>
      <w:tab/>
      <w:t xml:space="preserve"> </w:t>
    </w:r>
    <w:r>
      <w:tab/>
    </w:r>
    <w:r>
      <w:rPr>
        <w:rFonts w:ascii="Arial" w:hAnsi="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3962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284"/>
        </w:tabs>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Eiropas Robežu un krasta apsardzes regulas 20. panta 12. punkts un 39. panta 13. punkts.</w:t>
      </w:r>
    </w:p>
  </w:footnote>
  <w:footnote w:id="3">
    <w:p>
      <w:pPr>
        <w:pStyle w:val="FootnoteText"/>
        <w:ind w:left="284" w:hanging="284"/>
        <w:jc w:val="both"/>
      </w:pPr>
      <w:r>
        <w:rPr>
          <w:rStyle w:val="FootnoteReference"/>
          <w:rFonts w:ascii="Times New Roman" w:hAnsi="Times New Roman"/>
        </w:rPr>
        <w:t>2</w:t>
      </w:r>
      <w:r>
        <w:t xml:space="preserve"> </w:t>
      </w:r>
      <w:r>
        <w:tab/>
      </w:r>
      <w:r>
        <w:rPr>
          <w:rFonts w:ascii="Times New Roman" w:hAnsi="Times New Roman"/>
        </w:rPr>
        <w:t>Visas 5000 amatpersonas, kas veido Eiropas Robežu un krasta apsardzes pamatrezervi, tiks izvirzītas (reģistrētas ar vārdu un uzvārdu), un dalībvalstis norādīs, kuras no šīm 5000 amatpersonām veidos ātrās reaģēšanas rezervi 1500 amatpersonu sastāvā. Šo norādi var koriģēt jebkurā laikā gada laikā vai gadījumā, ja tiek aktivizēti ātrās reaģēšanas robežsardzes pasākumi un tiek veikta aizstāšana ar tām pašām specializācijām no Eiropas Robežu un krasta apsardzes pamatrezerves.</w:t>
      </w:r>
      <w:r>
        <w:t xml:space="preserve"> </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Saskaņā ar 4. pantu Protokolā Nr. 22 par Dānijas nostāju, kas pievienots Līgumam par Eiropas Savienību un Līgumam par Eiropas Savienības darbību, Dānija ir informējusi, ka tā īstenos Eiropas Robežu un krasta apsardzes regulu no 2017. gada 14. marta. </w:t>
      </w:r>
    </w:p>
  </w:footnote>
  <w:footnote w:id="5">
    <w:p>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200 </w:t>
      </w:r>
      <w:r>
        <w:rPr>
          <w:rFonts w:ascii="Times New Roman" w:hAnsi="Times New Roman"/>
          <w:i/>
        </w:rPr>
        <w:t>final</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1471EC"/>
    <w:lvl w:ilvl="0">
      <w:start w:val="1"/>
      <w:numFmt w:val="decimal"/>
      <w:lvlText w:val="%1."/>
      <w:lvlJc w:val="left"/>
      <w:pPr>
        <w:tabs>
          <w:tab w:val="num" w:pos="0"/>
        </w:tabs>
        <w:ind w:left="480" w:hanging="360"/>
      </w:pPr>
      <w:rPr>
        <w:b/>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nsid w:val="00000004"/>
    <w:multiLevelType w:val="multilevel"/>
    <w:tmpl w:val="00000004"/>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5"/>
    <w:multiLevelType w:val="multilevel"/>
    <w:tmpl w:val="00000005"/>
    <w:name w:val="WWNum2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32D048B"/>
    <w:multiLevelType w:val="hybridMultilevel"/>
    <w:tmpl w:val="D0FA83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32D0FA1"/>
    <w:multiLevelType w:val="hybridMultilevel"/>
    <w:tmpl w:val="A32C7886"/>
    <w:lvl w:ilvl="0" w:tplc="A7587D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37B45CA"/>
    <w:multiLevelType w:val="hybridMultilevel"/>
    <w:tmpl w:val="18D04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5291FB0"/>
    <w:multiLevelType w:val="hybridMultilevel"/>
    <w:tmpl w:val="018E04DC"/>
    <w:lvl w:ilvl="0" w:tplc="08090001">
      <w:start w:val="1"/>
      <w:numFmt w:val="bullet"/>
      <w:lvlText w:val=""/>
      <w:lvlJc w:val="left"/>
      <w:pPr>
        <w:ind w:left="720" w:hanging="720"/>
      </w:pPr>
      <w:rPr>
        <w:rFonts w:ascii="Symbol" w:hAnsi="Symbol" w:hint="default"/>
      </w:rPr>
    </w:lvl>
    <w:lvl w:ilvl="1" w:tplc="9D4008EE">
      <w:start w:val="2"/>
      <w:numFmt w:val="bullet"/>
      <w:lvlText w:val="-"/>
      <w:lvlJc w:val="left"/>
      <w:pPr>
        <w:ind w:left="1440" w:hanging="72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9E37BE9"/>
    <w:multiLevelType w:val="multilevel"/>
    <w:tmpl w:val="C0A85FA4"/>
    <w:lvl w:ilvl="0">
      <w:start w:val="1"/>
      <w:numFmt w:val="bullet"/>
      <w:lvlText w:val=""/>
      <w:lvlJc w:val="left"/>
      <w:pPr>
        <w:tabs>
          <w:tab w:val="num" w:pos="360"/>
        </w:tabs>
        <w:ind w:left="360" w:hanging="360"/>
      </w:pPr>
      <w:rPr>
        <w:rFonts w:ascii="Symbol" w:hAnsi="Symbol" w:hint="default"/>
        <w:spacing w:val="-20"/>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0A0C10C5"/>
    <w:multiLevelType w:val="hybridMultilevel"/>
    <w:tmpl w:val="F6F4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F43241"/>
    <w:multiLevelType w:val="multilevel"/>
    <w:tmpl w:val="33803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0F1B2CBB"/>
    <w:multiLevelType w:val="multilevel"/>
    <w:tmpl w:val="63F674B4"/>
    <w:lvl w:ilvl="0">
      <w:numFmt w:val="bullet"/>
      <w:lvlText w:val="-"/>
      <w:lvlJc w:val="left"/>
      <w:pPr>
        <w:tabs>
          <w:tab w:val="num" w:pos="0"/>
        </w:tabs>
        <w:ind w:left="219" w:hanging="360"/>
      </w:pPr>
      <w:rPr>
        <w:rFonts w:ascii="Times New Roman" w:eastAsia="SimSun" w:hAnsi="Times New Roman" w:cs="Times New Roman" w:hint="default"/>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F572FB1"/>
    <w:multiLevelType w:val="hybridMultilevel"/>
    <w:tmpl w:val="8610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864B35"/>
    <w:multiLevelType w:val="hybridMultilevel"/>
    <w:tmpl w:val="FC08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762D9E"/>
    <w:multiLevelType w:val="hybridMultilevel"/>
    <w:tmpl w:val="6978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4F52143"/>
    <w:multiLevelType w:val="hybridMultilevel"/>
    <w:tmpl w:val="778E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886016"/>
    <w:multiLevelType w:val="hybridMultilevel"/>
    <w:tmpl w:val="35D202FA"/>
    <w:lvl w:ilvl="0" w:tplc="0809000F">
      <w:start w:val="1"/>
      <w:numFmt w:val="decimal"/>
      <w:lvlText w:val="%1."/>
      <w:lvlJc w:val="left"/>
      <w:pPr>
        <w:ind w:left="48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8CC7FAC"/>
    <w:multiLevelType w:val="hybridMultilevel"/>
    <w:tmpl w:val="93A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1D1F77FF"/>
    <w:multiLevelType w:val="hybridMultilevel"/>
    <w:tmpl w:val="AA24D8C8"/>
    <w:lvl w:ilvl="0" w:tplc="BF9C4E88">
      <w:start w:val="2"/>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1D5F0CA2"/>
    <w:multiLevelType w:val="hybridMultilevel"/>
    <w:tmpl w:val="C8A2816C"/>
    <w:lvl w:ilvl="0" w:tplc="2EE2DD34">
      <w:start w:val="1"/>
      <w:numFmt w:val="upperRoman"/>
      <w:lvlText w:val="%1."/>
      <w:lvlJc w:val="left"/>
      <w:pPr>
        <w:ind w:left="5040" w:hanging="360"/>
      </w:pPr>
      <w:rPr>
        <w:rFonts w:cs="Times New Roman"/>
        <w:b/>
      </w:rPr>
    </w:lvl>
    <w:lvl w:ilvl="1" w:tplc="08090019">
      <w:start w:val="1"/>
      <w:numFmt w:val="lowerLetter"/>
      <w:lvlText w:val="%2."/>
      <w:lvlJc w:val="left"/>
      <w:pPr>
        <w:ind w:left="5760" w:hanging="360"/>
      </w:pPr>
      <w:rPr>
        <w:rFonts w:cs="Times New Roman"/>
      </w:rPr>
    </w:lvl>
    <w:lvl w:ilvl="2" w:tplc="0809001B">
      <w:start w:val="1"/>
      <w:numFmt w:val="lowerRoman"/>
      <w:lvlText w:val="%3."/>
      <w:lvlJc w:val="right"/>
      <w:pPr>
        <w:ind w:left="6480" w:hanging="180"/>
      </w:pPr>
      <w:rPr>
        <w:rFonts w:cs="Times New Roman"/>
      </w:rPr>
    </w:lvl>
    <w:lvl w:ilvl="3" w:tplc="0809000F">
      <w:start w:val="1"/>
      <w:numFmt w:val="decimal"/>
      <w:lvlText w:val="%4."/>
      <w:lvlJc w:val="left"/>
      <w:pPr>
        <w:ind w:left="7200" w:hanging="360"/>
      </w:pPr>
      <w:rPr>
        <w:rFonts w:cs="Times New Roman"/>
      </w:rPr>
    </w:lvl>
    <w:lvl w:ilvl="4" w:tplc="08090019">
      <w:start w:val="1"/>
      <w:numFmt w:val="lowerLetter"/>
      <w:lvlText w:val="%5."/>
      <w:lvlJc w:val="left"/>
      <w:pPr>
        <w:ind w:left="7920" w:hanging="360"/>
      </w:pPr>
      <w:rPr>
        <w:rFonts w:cs="Times New Roman"/>
      </w:rPr>
    </w:lvl>
    <w:lvl w:ilvl="5" w:tplc="0809001B">
      <w:start w:val="1"/>
      <w:numFmt w:val="lowerRoman"/>
      <w:lvlText w:val="%6."/>
      <w:lvlJc w:val="right"/>
      <w:pPr>
        <w:ind w:left="8640" w:hanging="180"/>
      </w:pPr>
      <w:rPr>
        <w:rFonts w:cs="Times New Roman"/>
      </w:rPr>
    </w:lvl>
    <w:lvl w:ilvl="6" w:tplc="0809000F">
      <w:start w:val="1"/>
      <w:numFmt w:val="decimal"/>
      <w:lvlText w:val="%7."/>
      <w:lvlJc w:val="left"/>
      <w:pPr>
        <w:ind w:left="9360" w:hanging="360"/>
      </w:pPr>
      <w:rPr>
        <w:rFonts w:cs="Times New Roman"/>
      </w:rPr>
    </w:lvl>
    <w:lvl w:ilvl="7" w:tplc="08090019">
      <w:start w:val="1"/>
      <w:numFmt w:val="lowerLetter"/>
      <w:lvlText w:val="%8."/>
      <w:lvlJc w:val="left"/>
      <w:pPr>
        <w:ind w:left="10080" w:hanging="360"/>
      </w:pPr>
      <w:rPr>
        <w:rFonts w:cs="Times New Roman"/>
      </w:rPr>
    </w:lvl>
    <w:lvl w:ilvl="8" w:tplc="0809001B">
      <w:start w:val="1"/>
      <w:numFmt w:val="lowerRoman"/>
      <w:lvlText w:val="%9."/>
      <w:lvlJc w:val="right"/>
      <w:pPr>
        <w:ind w:left="10800" w:hanging="180"/>
      </w:pPr>
      <w:rPr>
        <w:rFonts w:cs="Times New Roman"/>
      </w:rPr>
    </w:lvl>
  </w:abstractNum>
  <w:abstractNum w:abstractNumId="19">
    <w:nsid w:val="24B85871"/>
    <w:multiLevelType w:val="hybridMultilevel"/>
    <w:tmpl w:val="7A88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55C66E0"/>
    <w:multiLevelType w:val="hybridMultilevel"/>
    <w:tmpl w:val="B568FE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60121AE"/>
    <w:multiLevelType w:val="hybridMultilevel"/>
    <w:tmpl w:val="7886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68B5B8C"/>
    <w:multiLevelType w:val="hybridMultilevel"/>
    <w:tmpl w:val="AD18FD02"/>
    <w:lvl w:ilvl="0" w:tplc="0809000F">
      <w:start w:val="1"/>
      <w:numFmt w:val="decimal"/>
      <w:lvlText w:val="%1."/>
      <w:lvlJc w:val="left"/>
      <w:pPr>
        <w:ind w:left="144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84C34F1"/>
    <w:multiLevelType w:val="hybridMultilevel"/>
    <w:tmpl w:val="A3D001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E750827"/>
    <w:multiLevelType w:val="hybridMultilevel"/>
    <w:tmpl w:val="E91EA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2FB01E9B"/>
    <w:multiLevelType w:val="hybridMultilevel"/>
    <w:tmpl w:val="8B12DC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302534EA"/>
    <w:multiLevelType w:val="hybridMultilevel"/>
    <w:tmpl w:val="758AB312"/>
    <w:lvl w:ilvl="0" w:tplc="2EE2DD34">
      <w:start w:val="1"/>
      <w:numFmt w:val="upperRoman"/>
      <w:lvlText w:val="%1."/>
      <w:lvlJc w:val="left"/>
      <w:pPr>
        <w:ind w:left="5040" w:hanging="360"/>
      </w:pPr>
      <w:rPr>
        <w:rFonts w:cs="Times New Roman"/>
        <w:b/>
      </w:rPr>
    </w:lvl>
    <w:lvl w:ilvl="1" w:tplc="08090019">
      <w:start w:val="1"/>
      <w:numFmt w:val="lowerLetter"/>
      <w:lvlText w:val="%2."/>
      <w:lvlJc w:val="left"/>
      <w:pPr>
        <w:ind w:left="5760" w:hanging="360"/>
      </w:pPr>
      <w:rPr>
        <w:rFonts w:cs="Times New Roman"/>
      </w:rPr>
    </w:lvl>
    <w:lvl w:ilvl="2" w:tplc="0809001B">
      <w:start w:val="1"/>
      <w:numFmt w:val="lowerRoman"/>
      <w:lvlText w:val="%3."/>
      <w:lvlJc w:val="right"/>
      <w:pPr>
        <w:ind w:left="6480" w:hanging="180"/>
      </w:pPr>
      <w:rPr>
        <w:rFonts w:cs="Times New Roman"/>
      </w:rPr>
    </w:lvl>
    <w:lvl w:ilvl="3" w:tplc="0809000F">
      <w:start w:val="1"/>
      <w:numFmt w:val="decimal"/>
      <w:lvlText w:val="%4."/>
      <w:lvlJc w:val="left"/>
      <w:pPr>
        <w:ind w:left="7200" w:hanging="360"/>
      </w:pPr>
      <w:rPr>
        <w:rFonts w:cs="Times New Roman"/>
      </w:rPr>
    </w:lvl>
    <w:lvl w:ilvl="4" w:tplc="08090019">
      <w:start w:val="1"/>
      <w:numFmt w:val="lowerLetter"/>
      <w:lvlText w:val="%5."/>
      <w:lvlJc w:val="left"/>
      <w:pPr>
        <w:ind w:left="7920" w:hanging="360"/>
      </w:pPr>
      <w:rPr>
        <w:rFonts w:cs="Times New Roman"/>
      </w:rPr>
    </w:lvl>
    <w:lvl w:ilvl="5" w:tplc="0809001B">
      <w:start w:val="1"/>
      <w:numFmt w:val="lowerRoman"/>
      <w:lvlText w:val="%6."/>
      <w:lvlJc w:val="right"/>
      <w:pPr>
        <w:ind w:left="8640" w:hanging="180"/>
      </w:pPr>
      <w:rPr>
        <w:rFonts w:cs="Times New Roman"/>
      </w:rPr>
    </w:lvl>
    <w:lvl w:ilvl="6" w:tplc="0809000F">
      <w:start w:val="1"/>
      <w:numFmt w:val="decimal"/>
      <w:lvlText w:val="%7."/>
      <w:lvlJc w:val="left"/>
      <w:pPr>
        <w:ind w:left="9360" w:hanging="360"/>
      </w:pPr>
      <w:rPr>
        <w:rFonts w:cs="Times New Roman"/>
      </w:rPr>
    </w:lvl>
    <w:lvl w:ilvl="7" w:tplc="08090019">
      <w:start w:val="1"/>
      <w:numFmt w:val="lowerLetter"/>
      <w:lvlText w:val="%8."/>
      <w:lvlJc w:val="left"/>
      <w:pPr>
        <w:ind w:left="10080" w:hanging="360"/>
      </w:pPr>
      <w:rPr>
        <w:rFonts w:cs="Times New Roman"/>
      </w:rPr>
    </w:lvl>
    <w:lvl w:ilvl="8" w:tplc="0809001B">
      <w:start w:val="1"/>
      <w:numFmt w:val="lowerRoman"/>
      <w:lvlText w:val="%9."/>
      <w:lvlJc w:val="right"/>
      <w:pPr>
        <w:ind w:left="10800" w:hanging="180"/>
      </w:pPr>
      <w:rPr>
        <w:rFonts w:cs="Times New Roman"/>
      </w:rPr>
    </w:lvl>
  </w:abstractNum>
  <w:abstractNum w:abstractNumId="27">
    <w:nsid w:val="31EB49BF"/>
    <w:multiLevelType w:val="hybridMultilevel"/>
    <w:tmpl w:val="45D6966A"/>
    <w:lvl w:ilvl="0" w:tplc="BF9C4E88">
      <w:start w:val="2"/>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23A107B"/>
    <w:multiLevelType w:val="hybridMultilevel"/>
    <w:tmpl w:val="C66C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2DC66A1"/>
    <w:multiLevelType w:val="hybridMultilevel"/>
    <w:tmpl w:val="11A6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3435157"/>
    <w:multiLevelType w:val="hybridMultilevel"/>
    <w:tmpl w:val="604CC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D6043CF"/>
    <w:multiLevelType w:val="hybridMultilevel"/>
    <w:tmpl w:val="2A067C28"/>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nsid w:val="3E092BF9"/>
    <w:multiLevelType w:val="hybridMultilevel"/>
    <w:tmpl w:val="4BE8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E563500"/>
    <w:multiLevelType w:val="hybridMultilevel"/>
    <w:tmpl w:val="EF321256"/>
    <w:lvl w:ilvl="0" w:tplc="551C94B0">
      <w:numFmt w:val="bullet"/>
      <w:lvlText w:val="•"/>
      <w:lvlJc w:val="left"/>
      <w:pPr>
        <w:ind w:left="360" w:hanging="360"/>
      </w:pPr>
      <w:rPr>
        <w:rFonts w:ascii="Garamond" w:eastAsia="Times New Roman" w:hAnsi="Garamond"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nsid w:val="3EA73F19"/>
    <w:multiLevelType w:val="hybridMultilevel"/>
    <w:tmpl w:val="CA0E3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41ED5D1F"/>
    <w:multiLevelType w:val="hybridMultilevel"/>
    <w:tmpl w:val="4B5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A50519"/>
    <w:multiLevelType w:val="hybridMultilevel"/>
    <w:tmpl w:val="63D8B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43444D8E"/>
    <w:multiLevelType w:val="hybridMultilevel"/>
    <w:tmpl w:val="0A48F01A"/>
    <w:lvl w:ilvl="0" w:tplc="AD30BCF4">
      <w:start w:val="2"/>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5CC659C"/>
    <w:multiLevelType w:val="hybridMultilevel"/>
    <w:tmpl w:val="BCDE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66B37FF"/>
    <w:multiLevelType w:val="hybridMultilevel"/>
    <w:tmpl w:val="3572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BD20C04"/>
    <w:multiLevelType w:val="multilevel"/>
    <w:tmpl w:val="91BEA222"/>
    <w:lvl w:ilvl="0">
      <w:start w:val="1"/>
      <w:numFmt w:val="bullet"/>
      <w:pStyle w:val="FBulletPoin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C0504D" w:themeColor="accent2"/>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41">
    <w:nsid w:val="4E915F95"/>
    <w:multiLevelType w:val="hybridMultilevel"/>
    <w:tmpl w:val="1DE07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4F3607C6"/>
    <w:multiLevelType w:val="hybridMultilevel"/>
    <w:tmpl w:val="57A009C8"/>
    <w:lvl w:ilvl="0" w:tplc="2EE2DD34">
      <w:start w:val="1"/>
      <w:numFmt w:val="upperRoman"/>
      <w:lvlText w:val="%1."/>
      <w:lvlJc w:val="left"/>
      <w:pPr>
        <w:ind w:left="1080" w:hanging="72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3">
    <w:nsid w:val="4F3856C0"/>
    <w:multiLevelType w:val="hybridMultilevel"/>
    <w:tmpl w:val="867A72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4F6B706C"/>
    <w:multiLevelType w:val="hybridMultilevel"/>
    <w:tmpl w:val="5FA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4315EA"/>
    <w:multiLevelType w:val="hybridMultilevel"/>
    <w:tmpl w:val="D318007E"/>
    <w:lvl w:ilvl="0" w:tplc="59D6CB6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6">
    <w:nsid w:val="57FF0B60"/>
    <w:multiLevelType w:val="hybridMultilevel"/>
    <w:tmpl w:val="18A2457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7">
    <w:nsid w:val="589C3083"/>
    <w:multiLevelType w:val="hybridMultilevel"/>
    <w:tmpl w:val="A706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95F5080"/>
    <w:multiLevelType w:val="hybridMultilevel"/>
    <w:tmpl w:val="BD528118"/>
    <w:lvl w:ilvl="0" w:tplc="372AAB86">
      <w:numFmt w:val="bullet"/>
      <w:lvlText w:val="-"/>
      <w:lvlJc w:val="left"/>
      <w:pPr>
        <w:ind w:left="-207" w:hanging="360"/>
      </w:pPr>
      <w:rPr>
        <w:rFonts w:ascii="Times New Roman" w:eastAsia="SimSun" w:hAnsi="Times New Roman" w:cs="Times New Roman" w:hint="default"/>
        <w:i w:val="0"/>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49">
    <w:nsid w:val="600E3434"/>
    <w:multiLevelType w:val="hybridMultilevel"/>
    <w:tmpl w:val="CFAA3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1AF36DC"/>
    <w:multiLevelType w:val="hybridMultilevel"/>
    <w:tmpl w:val="BC26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62D66DA0"/>
    <w:multiLevelType w:val="hybridMultilevel"/>
    <w:tmpl w:val="DE4A3EC4"/>
    <w:lvl w:ilvl="0" w:tplc="0122F3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5CE60B6"/>
    <w:multiLevelType w:val="hybridMultilevel"/>
    <w:tmpl w:val="9132947E"/>
    <w:lvl w:ilvl="0" w:tplc="AD30BCF4">
      <w:start w:val="2"/>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nsid w:val="662262F0"/>
    <w:multiLevelType w:val="hybridMultilevel"/>
    <w:tmpl w:val="C2864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66F47901"/>
    <w:multiLevelType w:val="hybridMultilevel"/>
    <w:tmpl w:val="BD04EBC4"/>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55">
    <w:nsid w:val="6B433558"/>
    <w:multiLevelType w:val="hybridMultilevel"/>
    <w:tmpl w:val="486E1B5E"/>
    <w:lvl w:ilvl="0" w:tplc="318E8C58">
      <w:start w:val="1"/>
      <w:numFmt w:val="bullet"/>
      <w:lvlText w:val=""/>
      <w:lvlJc w:val="left"/>
      <w:pPr>
        <w:ind w:left="360" w:hanging="360"/>
      </w:pPr>
      <w:rPr>
        <w:rFonts w:ascii="Symbol" w:hAnsi="Symbol" w:hint="default"/>
        <w:spacing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6BD80C6E"/>
    <w:multiLevelType w:val="hybridMultilevel"/>
    <w:tmpl w:val="EAB6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D2B49AB"/>
    <w:multiLevelType w:val="hybridMultilevel"/>
    <w:tmpl w:val="C6AE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0AC54CD"/>
    <w:multiLevelType w:val="hybridMultilevel"/>
    <w:tmpl w:val="9014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31136C8"/>
    <w:multiLevelType w:val="hybridMultilevel"/>
    <w:tmpl w:val="3828CD64"/>
    <w:lvl w:ilvl="0" w:tplc="400EBBB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nsid w:val="7326422E"/>
    <w:multiLevelType w:val="hybridMultilevel"/>
    <w:tmpl w:val="1B9C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7DB54FA"/>
    <w:multiLevelType w:val="hybridMultilevel"/>
    <w:tmpl w:val="71EC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ABB1F7E"/>
    <w:multiLevelType w:val="hybridMultilevel"/>
    <w:tmpl w:val="09F2C960"/>
    <w:lvl w:ilvl="0" w:tplc="59D6CB6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BD5893CE">
      <w:start w:val="1"/>
      <w:numFmt w:val="bullet"/>
      <w:lvlText w:val="-"/>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9"/>
  </w:num>
  <w:num w:numId="4">
    <w:abstractNumId w:val="51"/>
  </w:num>
  <w:num w:numId="5">
    <w:abstractNumId w:val="23"/>
  </w:num>
  <w:num w:numId="6">
    <w:abstractNumId w:val="20"/>
  </w:num>
  <w:num w:numId="7">
    <w:abstractNumId w:val="4"/>
  </w:num>
  <w:num w:numId="8">
    <w:abstractNumId w:val="15"/>
  </w:num>
  <w:num w:numId="9">
    <w:abstractNumId w:val="53"/>
  </w:num>
  <w:num w:numId="10">
    <w:abstractNumId w:val="35"/>
  </w:num>
  <w:num w:numId="11">
    <w:abstractNumId w:val="10"/>
  </w:num>
  <w:num w:numId="12">
    <w:abstractNumId w:val="12"/>
  </w:num>
  <w:num w:numId="13">
    <w:abstractNumId w:val="27"/>
  </w:num>
  <w:num w:numId="14">
    <w:abstractNumId w:val="17"/>
  </w:num>
  <w:num w:numId="15">
    <w:abstractNumId w:val="6"/>
  </w:num>
  <w:num w:numId="16">
    <w:abstractNumId w:val="52"/>
  </w:num>
  <w:num w:numId="17">
    <w:abstractNumId w:val="37"/>
  </w:num>
  <w:num w:numId="18">
    <w:abstractNumId w:val="22"/>
  </w:num>
  <w:num w:numId="19">
    <w:abstractNumId w:val="31"/>
  </w:num>
  <w:num w:numId="20">
    <w:abstractNumId w:val="48"/>
  </w:num>
  <w:num w:numId="21">
    <w:abstractNumId w:val="25"/>
  </w:num>
  <w:num w:numId="22">
    <w:abstractNumId w:val="56"/>
  </w:num>
  <w:num w:numId="23">
    <w:abstractNumId w:val="57"/>
  </w:num>
  <w:num w:numId="24">
    <w:abstractNumId w:val="58"/>
  </w:num>
  <w:num w:numId="25">
    <w:abstractNumId w:val="56"/>
  </w:num>
  <w:num w:numId="26">
    <w:abstractNumId w:val="58"/>
  </w:num>
  <w:num w:numId="27">
    <w:abstractNumId w:val="43"/>
  </w:num>
  <w:num w:numId="28">
    <w:abstractNumId w:val="39"/>
  </w:num>
  <w:num w:numId="29">
    <w:abstractNumId w:val="21"/>
  </w:num>
  <w:num w:numId="30">
    <w:abstractNumId w:val="30"/>
  </w:num>
  <w:num w:numId="31">
    <w:abstractNumId w:val="47"/>
  </w:num>
  <w:num w:numId="32">
    <w:abstractNumId w:val="0"/>
  </w:num>
  <w:num w:numId="33">
    <w:abstractNumId w:val="1"/>
  </w:num>
  <w:num w:numId="34">
    <w:abstractNumId w:val="2"/>
  </w:num>
  <w:num w:numId="35">
    <w:abstractNumId w:val="38"/>
  </w:num>
  <w:num w:numId="36">
    <w:abstractNumId w:val="19"/>
  </w:num>
  <w:num w:numId="37">
    <w:abstractNumId w:val="9"/>
  </w:num>
  <w:num w:numId="38">
    <w:abstractNumId w:val="55"/>
  </w:num>
  <w:num w:numId="39">
    <w:abstractNumId w:val="7"/>
  </w:num>
  <w:num w:numId="40">
    <w:abstractNumId w:val="29"/>
  </w:num>
  <w:num w:numId="41">
    <w:abstractNumId w:val="8"/>
  </w:num>
  <w:num w:numId="42">
    <w:abstractNumId w:val="61"/>
  </w:num>
  <w:num w:numId="43">
    <w:abstractNumId w:val="32"/>
  </w:num>
  <w:num w:numId="44">
    <w:abstractNumId w:val="46"/>
  </w:num>
  <w:num w:numId="45">
    <w:abstractNumId w:val="14"/>
  </w:num>
  <w:num w:numId="46">
    <w:abstractNumId w:val="41"/>
  </w:num>
  <w:num w:numId="47">
    <w:abstractNumId w:val="50"/>
  </w:num>
  <w:num w:numId="48">
    <w:abstractNumId w:val="34"/>
  </w:num>
  <w:num w:numId="49">
    <w:abstractNumId w:val="24"/>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num>
  <w:num w:numId="55">
    <w:abstractNumId w:val="62"/>
  </w:num>
  <w:num w:numId="56">
    <w:abstractNumId w:val="33"/>
  </w:num>
  <w:num w:numId="57">
    <w:abstractNumId w:val="40"/>
  </w:num>
  <w:num w:numId="58">
    <w:abstractNumId w:val="16"/>
  </w:num>
  <w:num w:numId="59">
    <w:abstractNumId w:val="13"/>
  </w:num>
  <w:num w:numId="60">
    <w:abstractNumId w:val="36"/>
  </w:num>
  <w:num w:numId="61">
    <w:abstractNumId w:val="60"/>
  </w:num>
  <w:num w:numId="62">
    <w:abstractNumId w:val="11"/>
  </w:num>
  <w:num w:numId="63">
    <w:abstractNumId w:val="28"/>
  </w:num>
  <w:num w:numId="64">
    <w:abstractNumId w:val="44"/>
  </w:num>
  <w:num w:numId="65">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9D59D7E92C74E7FA8F1A1B368329DE5"/>
    <w:docVar w:name="LW_CROSSREFERENCE" w:val="&lt;UNUSED&gt;"/>
    <w:docVar w:name="LW_DocType" w:val="NORMAL"/>
    <w:docVar w:name="LW_EMISSION" w:val="2.5.2017"/>
    <w:docVar w:name="LW_EMISSION_ISODATE" w:val="2017-05-02"/>
    <w:docVar w:name="LW_EMISSION_LOCATION" w:val="BRX"/>
    <w:docVar w:name="LW_EMISSION_PREFIX" w:val="Briselē, "/>
    <w:docVar w:name="LW_EMISSION_SUFFIX" w:val="."/>
    <w:docVar w:name="LW_ID_DOCTYPE_NONLW" w:val="CP-003"/>
    <w:docVar w:name="LW_LANGUE" w:val="LV"/>
    <w:docVar w:name="LW_MARKING" w:val="&lt;UNUSED&g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7) 219"/>
    <w:docVar w:name="LW_REF.INTERNE" w:val="&lt;UNUSED&gt;"/>
    <w:docVar w:name="LW_SOUS.TITRE.OBJ.CP" w:val="&lt;UNUSED&gt;"/>
    <w:docVar w:name="LW_SUPERTITRE" w:val="&lt;UNUSED&gt;"/>
    <w:docVar w:name="LW_TITRE.OBJ.CP" w:val="KOMISIJAS TRE\u352?AIS ZI\u325?OJUMS EIROPAS PARLAMENTAM, EIROPADOMEI UN PADOMEI_x000b__x000b_par Eiropas Robe\u382?u un krasta apsardzes darb\u299?bsp\u275?jas nodro\u353?in\u257?\u353?anu_x000b_"/>
    <w:docVar w:name="LW_TYPE.DOC.CP" w:val="KOMISIJAS ZI\u325?OJUMS"/>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customStyle="1" w:styleId="Bodytext2">
    <w:name w:val="Body text (2)"/>
    <w:basedOn w:val="Normal"/>
    <w:qFormat/>
    <w:pPr>
      <w:keepNext/>
      <w:widowControl w:val="0"/>
      <w:shd w:val="clear" w:color="auto" w:fill="FFFFFF"/>
      <w:spacing w:after="0" w:line="234" w:lineRule="exact"/>
      <w:jc w:val="both"/>
    </w:pPr>
    <w:rPr>
      <w:rFonts w:ascii="Arial" w:eastAsia="Arial" w:hAnsi="Arial" w:cs="Arial"/>
      <w:color w:val="000000"/>
      <w:sz w:val="21"/>
      <w:szCs w:val="21"/>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uppressAutoHyphens/>
      <w:spacing w:before="100" w:after="100" w:line="240" w:lineRule="auto"/>
    </w:pPr>
    <w:rPr>
      <w:rFonts w:ascii="EC Square Sans Pro" w:eastAsia="SimSun" w:hAnsi="EC Square Sans Pro" w:cs="EC Square Sans Pro"/>
      <w:color w:val="000000"/>
      <w:kern w:val="1"/>
      <w:sz w:val="24"/>
      <w:szCs w:val="24"/>
    </w:rPr>
  </w:style>
  <w:style w:type="paragraph" w:styleId="BodyText">
    <w:name w:val="Body Text"/>
    <w:basedOn w:val="Normal"/>
    <w:link w:val="BodyTextChar"/>
    <w:pPr>
      <w:suppressAutoHyphens/>
      <w:spacing w:after="120" w:line="240" w:lineRule="auto"/>
    </w:pPr>
    <w:rPr>
      <w:rFonts w:ascii="EC Square Sans Pro" w:eastAsia="SimSun" w:hAnsi="EC Square Sans Pro" w:cs="EC Square Sans Pro"/>
      <w:color w:val="000000"/>
      <w:kern w:val="1"/>
      <w:sz w:val="24"/>
      <w:szCs w:val="24"/>
    </w:rPr>
  </w:style>
  <w:style w:type="character" w:customStyle="1" w:styleId="BodyTextChar">
    <w:name w:val="Body Text Char"/>
    <w:basedOn w:val="DefaultParagraphFont"/>
    <w:link w:val="BodyText"/>
    <w:rPr>
      <w:rFonts w:ascii="EC Square Sans Pro" w:eastAsia="SimSun" w:hAnsi="EC Square Sans Pro" w:cs="EC Square Sans Pro"/>
      <w:color w:val="000000"/>
      <w:kern w:val="1"/>
      <w:sz w:val="24"/>
      <w:szCs w:val="24"/>
      <w:lang w:eastAsia="lv-LV"/>
    </w:rPr>
  </w:style>
  <w:style w:type="character" w:customStyle="1" w:styleId="A3">
    <w:name w:val="A3"/>
    <w:rPr>
      <w:rFonts w:ascii="EC Square Sans Pro" w:hAnsi="EC Square Sans Pro" w:cs="EC Square Sans Pro" w:hint="default"/>
      <w:color w:val="000000"/>
      <w:sz w:val="22"/>
      <w:szCs w:val="22"/>
    </w:rPr>
  </w:style>
  <w:style w:type="paragraph" w:customStyle="1" w:styleId="Body">
    <w:name w:val="Body"/>
    <w:uiPriority w:val="99"/>
    <w:pPr>
      <w:spacing w:after="0" w:line="240" w:lineRule="auto"/>
    </w:pPr>
    <w:rPr>
      <w:rFonts w:ascii="Calibri" w:eastAsia="Calibri" w:hAnsi="Calibri" w:cs="Calibri"/>
      <w:color w:val="000000"/>
      <w:u w:color="000000"/>
    </w:rPr>
  </w:style>
  <w:style w:type="paragraph" w:styleId="Revision">
    <w:name w:val="Revision"/>
    <w:hidden/>
    <w:uiPriority w:val="99"/>
    <w:semiHidden/>
    <w:pPr>
      <w:spacing w:after="0" w:line="240" w:lineRule="auto"/>
    </w:pPr>
  </w:style>
  <w:style w:type="table" w:customStyle="1" w:styleId="MediumGrid3-Accent11">
    <w:name w:val="Medium Grid 3 - Accent 11"/>
    <w:basedOn w:val="TableNormal"/>
    <w:next w:val="MediumGrid3-Accent1"/>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t1">
    <w:name w:val="st1"/>
    <w:basedOn w:val="DefaultParagraphFont"/>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customStyle="1" w:styleId="FBulletPoint">
    <w:name w:val="F.Bullet Point"/>
    <w:basedOn w:val="Normal"/>
    <w:qFormat/>
    <w:pPr>
      <w:numPr>
        <w:numId w:val="57"/>
      </w:numPr>
      <w:spacing w:after="0" w:line="260" w:lineRule="exact"/>
    </w:pPr>
    <w:rPr>
      <w:rFonts w:ascii="Trebuchet MS" w:eastAsia="Calibri" w:hAnsi="Trebuchet MS" w:cs="Times New Roman"/>
      <w:color w:val="00000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customStyle="1" w:styleId="Bodytext2">
    <w:name w:val="Body text (2)"/>
    <w:basedOn w:val="Normal"/>
    <w:qFormat/>
    <w:pPr>
      <w:keepNext/>
      <w:widowControl w:val="0"/>
      <w:shd w:val="clear" w:color="auto" w:fill="FFFFFF"/>
      <w:spacing w:after="0" w:line="234" w:lineRule="exact"/>
      <w:jc w:val="both"/>
    </w:pPr>
    <w:rPr>
      <w:rFonts w:ascii="Arial" w:eastAsia="Arial" w:hAnsi="Arial" w:cs="Arial"/>
      <w:color w:val="000000"/>
      <w:sz w:val="21"/>
      <w:szCs w:val="21"/>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uppressAutoHyphens/>
      <w:spacing w:before="100" w:after="100" w:line="240" w:lineRule="auto"/>
    </w:pPr>
    <w:rPr>
      <w:rFonts w:ascii="EC Square Sans Pro" w:eastAsia="SimSun" w:hAnsi="EC Square Sans Pro" w:cs="EC Square Sans Pro"/>
      <w:color w:val="000000"/>
      <w:kern w:val="1"/>
      <w:sz w:val="24"/>
      <w:szCs w:val="24"/>
    </w:rPr>
  </w:style>
  <w:style w:type="paragraph" w:styleId="BodyText">
    <w:name w:val="Body Text"/>
    <w:basedOn w:val="Normal"/>
    <w:link w:val="BodyTextChar"/>
    <w:pPr>
      <w:suppressAutoHyphens/>
      <w:spacing w:after="120" w:line="240" w:lineRule="auto"/>
    </w:pPr>
    <w:rPr>
      <w:rFonts w:ascii="EC Square Sans Pro" w:eastAsia="SimSun" w:hAnsi="EC Square Sans Pro" w:cs="EC Square Sans Pro"/>
      <w:color w:val="000000"/>
      <w:kern w:val="1"/>
      <w:sz w:val="24"/>
      <w:szCs w:val="24"/>
    </w:rPr>
  </w:style>
  <w:style w:type="character" w:customStyle="1" w:styleId="BodyTextChar">
    <w:name w:val="Body Text Char"/>
    <w:basedOn w:val="DefaultParagraphFont"/>
    <w:link w:val="BodyText"/>
    <w:rPr>
      <w:rFonts w:ascii="EC Square Sans Pro" w:eastAsia="SimSun" w:hAnsi="EC Square Sans Pro" w:cs="EC Square Sans Pro"/>
      <w:color w:val="000000"/>
      <w:kern w:val="1"/>
      <w:sz w:val="24"/>
      <w:szCs w:val="24"/>
      <w:lang w:eastAsia="lv-LV"/>
    </w:rPr>
  </w:style>
  <w:style w:type="character" w:customStyle="1" w:styleId="A3">
    <w:name w:val="A3"/>
    <w:rPr>
      <w:rFonts w:ascii="EC Square Sans Pro" w:hAnsi="EC Square Sans Pro" w:cs="EC Square Sans Pro" w:hint="default"/>
      <w:color w:val="000000"/>
      <w:sz w:val="22"/>
      <w:szCs w:val="22"/>
    </w:rPr>
  </w:style>
  <w:style w:type="paragraph" w:customStyle="1" w:styleId="Body">
    <w:name w:val="Body"/>
    <w:uiPriority w:val="99"/>
    <w:pPr>
      <w:spacing w:after="0" w:line="240" w:lineRule="auto"/>
    </w:pPr>
    <w:rPr>
      <w:rFonts w:ascii="Calibri" w:eastAsia="Calibri" w:hAnsi="Calibri" w:cs="Calibri"/>
      <w:color w:val="000000"/>
      <w:u w:color="000000"/>
    </w:rPr>
  </w:style>
  <w:style w:type="paragraph" w:styleId="Revision">
    <w:name w:val="Revision"/>
    <w:hidden/>
    <w:uiPriority w:val="99"/>
    <w:semiHidden/>
    <w:pPr>
      <w:spacing w:after="0" w:line="240" w:lineRule="auto"/>
    </w:pPr>
  </w:style>
  <w:style w:type="table" w:customStyle="1" w:styleId="MediumGrid3-Accent11">
    <w:name w:val="Medium Grid 3 - Accent 11"/>
    <w:basedOn w:val="TableNormal"/>
    <w:next w:val="MediumGrid3-Accent1"/>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t1">
    <w:name w:val="st1"/>
    <w:basedOn w:val="DefaultParagraphFont"/>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customStyle="1" w:styleId="FBulletPoint">
    <w:name w:val="F.Bullet Point"/>
    <w:basedOn w:val="Normal"/>
    <w:qFormat/>
    <w:pPr>
      <w:numPr>
        <w:numId w:val="57"/>
      </w:numPr>
      <w:spacing w:after="0" w:line="260" w:lineRule="exact"/>
    </w:pPr>
    <w:rPr>
      <w:rFonts w:ascii="Trebuchet MS" w:eastAsia="Calibri" w:hAnsi="Trebuchet MS" w:cs="Times New Roman"/>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2909">
      <w:bodyDiv w:val="1"/>
      <w:marLeft w:val="0"/>
      <w:marRight w:val="0"/>
      <w:marTop w:val="0"/>
      <w:marBottom w:val="0"/>
      <w:divBdr>
        <w:top w:val="none" w:sz="0" w:space="0" w:color="auto"/>
        <w:left w:val="none" w:sz="0" w:space="0" w:color="auto"/>
        <w:bottom w:val="none" w:sz="0" w:space="0" w:color="auto"/>
        <w:right w:val="none" w:sz="0" w:space="0" w:color="auto"/>
      </w:divBdr>
    </w:div>
    <w:div w:id="229465915">
      <w:bodyDiv w:val="1"/>
      <w:marLeft w:val="0"/>
      <w:marRight w:val="0"/>
      <w:marTop w:val="0"/>
      <w:marBottom w:val="0"/>
      <w:divBdr>
        <w:top w:val="none" w:sz="0" w:space="0" w:color="auto"/>
        <w:left w:val="none" w:sz="0" w:space="0" w:color="auto"/>
        <w:bottom w:val="none" w:sz="0" w:space="0" w:color="auto"/>
        <w:right w:val="none" w:sz="0" w:space="0" w:color="auto"/>
      </w:divBdr>
    </w:div>
    <w:div w:id="240215939">
      <w:bodyDiv w:val="1"/>
      <w:marLeft w:val="0"/>
      <w:marRight w:val="0"/>
      <w:marTop w:val="0"/>
      <w:marBottom w:val="0"/>
      <w:divBdr>
        <w:top w:val="none" w:sz="0" w:space="0" w:color="auto"/>
        <w:left w:val="none" w:sz="0" w:space="0" w:color="auto"/>
        <w:bottom w:val="none" w:sz="0" w:space="0" w:color="auto"/>
        <w:right w:val="none" w:sz="0" w:space="0" w:color="auto"/>
      </w:divBdr>
    </w:div>
    <w:div w:id="380834207">
      <w:bodyDiv w:val="1"/>
      <w:marLeft w:val="0"/>
      <w:marRight w:val="0"/>
      <w:marTop w:val="0"/>
      <w:marBottom w:val="0"/>
      <w:divBdr>
        <w:top w:val="none" w:sz="0" w:space="0" w:color="auto"/>
        <w:left w:val="none" w:sz="0" w:space="0" w:color="auto"/>
        <w:bottom w:val="none" w:sz="0" w:space="0" w:color="auto"/>
        <w:right w:val="none" w:sz="0" w:space="0" w:color="auto"/>
      </w:divBdr>
    </w:div>
    <w:div w:id="487138003">
      <w:bodyDiv w:val="1"/>
      <w:marLeft w:val="0"/>
      <w:marRight w:val="0"/>
      <w:marTop w:val="0"/>
      <w:marBottom w:val="0"/>
      <w:divBdr>
        <w:top w:val="none" w:sz="0" w:space="0" w:color="auto"/>
        <w:left w:val="none" w:sz="0" w:space="0" w:color="auto"/>
        <w:bottom w:val="none" w:sz="0" w:space="0" w:color="auto"/>
        <w:right w:val="none" w:sz="0" w:space="0" w:color="auto"/>
      </w:divBdr>
    </w:div>
    <w:div w:id="635569871">
      <w:bodyDiv w:val="1"/>
      <w:marLeft w:val="0"/>
      <w:marRight w:val="0"/>
      <w:marTop w:val="0"/>
      <w:marBottom w:val="0"/>
      <w:divBdr>
        <w:top w:val="none" w:sz="0" w:space="0" w:color="auto"/>
        <w:left w:val="none" w:sz="0" w:space="0" w:color="auto"/>
        <w:bottom w:val="none" w:sz="0" w:space="0" w:color="auto"/>
        <w:right w:val="none" w:sz="0" w:space="0" w:color="auto"/>
      </w:divBdr>
    </w:div>
    <w:div w:id="652372287">
      <w:bodyDiv w:val="1"/>
      <w:marLeft w:val="0"/>
      <w:marRight w:val="0"/>
      <w:marTop w:val="0"/>
      <w:marBottom w:val="0"/>
      <w:divBdr>
        <w:top w:val="none" w:sz="0" w:space="0" w:color="auto"/>
        <w:left w:val="none" w:sz="0" w:space="0" w:color="auto"/>
        <w:bottom w:val="none" w:sz="0" w:space="0" w:color="auto"/>
        <w:right w:val="none" w:sz="0" w:space="0" w:color="auto"/>
      </w:divBdr>
    </w:div>
    <w:div w:id="697043059">
      <w:bodyDiv w:val="1"/>
      <w:marLeft w:val="0"/>
      <w:marRight w:val="0"/>
      <w:marTop w:val="0"/>
      <w:marBottom w:val="0"/>
      <w:divBdr>
        <w:top w:val="none" w:sz="0" w:space="0" w:color="auto"/>
        <w:left w:val="none" w:sz="0" w:space="0" w:color="auto"/>
        <w:bottom w:val="none" w:sz="0" w:space="0" w:color="auto"/>
        <w:right w:val="none" w:sz="0" w:space="0" w:color="auto"/>
      </w:divBdr>
    </w:div>
    <w:div w:id="717896968">
      <w:bodyDiv w:val="1"/>
      <w:marLeft w:val="0"/>
      <w:marRight w:val="0"/>
      <w:marTop w:val="0"/>
      <w:marBottom w:val="0"/>
      <w:divBdr>
        <w:top w:val="none" w:sz="0" w:space="0" w:color="auto"/>
        <w:left w:val="none" w:sz="0" w:space="0" w:color="auto"/>
        <w:bottom w:val="none" w:sz="0" w:space="0" w:color="auto"/>
        <w:right w:val="none" w:sz="0" w:space="0" w:color="auto"/>
      </w:divBdr>
    </w:div>
    <w:div w:id="769424563">
      <w:bodyDiv w:val="1"/>
      <w:marLeft w:val="0"/>
      <w:marRight w:val="0"/>
      <w:marTop w:val="0"/>
      <w:marBottom w:val="0"/>
      <w:divBdr>
        <w:top w:val="none" w:sz="0" w:space="0" w:color="auto"/>
        <w:left w:val="none" w:sz="0" w:space="0" w:color="auto"/>
        <w:bottom w:val="none" w:sz="0" w:space="0" w:color="auto"/>
        <w:right w:val="none" w:sz="0" w:space="0" w:color="auto"/>
      </w:divBdr>
    </w:div>
    <w:div w:id="782505272">
      <w:bodyDiv w:val="1"/>
      <w:marLeft w:val="0"/>
      <w:marRight w:val="0"/>
      <w:marTop w:val="0"/>
      <w:marBottom w:val="0"/>
      <w:divBdr>
        <w:top w:val="none" w:sz="0" w:space="0" w:color="auto"/>
        <w:left w:val="none" w:sz="0" w:space="0" w:color="auto"/>
        <w:bottom w:val="none" w:sz="0" w:space="0" w:color="auto"/>
        <w:right w:val="none" w:sz="0" w:space="0" w:color="auto"/>
      </w:divBdr>
    </w:div>
    <w:div w:id="833105439">
      <w:bodyDiv w:val="1"/>
      <w:marLeft w:val="0"/>
      <w:marRight w:val="0"/>
      <w:marTop w:val="0"/>
      <w:marBottom w:val="0"/>
      <w:divBdr>
        <w:top w:val="none" w:sz="0" w:space="0" w:color="auto"/>
        <w:left w:val="none" w:sz="0" w:space="0" w:color="auto"/>
        <w:bottom w:val="none" w:sz="0" w:space="0" w:color="auto"/>
        <w:right w:val="none" w:sz="0" w:space="0" w:color="auto"/>
      </w:divBdr>
    </w:div>
    <w:div w:id="909803315">
      <w:bodyDiv w:val="1"/>
      <w:marLeft w:val="0"/>
      <w:marRight w:val="0"/>
      <w:marTop w:val="0"/>
      <w:marBottom w:val="0"/>
      <w:divBdr>
        <w:top w:val="none" w:sz="0" w:space="0" w:color="auto"/>
        <w:left w:val="none" w:sz="0" w:space="0" w:color="auto"/>
        <w:bottom w:val="none" w:sz="0" w:space="0" w:color="auto"/>
        <w:right w:val="none" w:sz="0" w:space="0" w:color="auto"/>
      </w:divBdr>
    </w:div>
    <w:div w:id="955480453">
      <w:bodyDiv w:val="1"/>
      <w:marLeft w:val="0"/>
      <w:marRight w:val="0"/>
      <w:marTop w:val="0"/>
      <w:marBottom w:val="0"/>
      <w:divBdr>
        <w:top w:val="none" w:sz="0" w:space="0" w:color="auto"/>
        <w:left w:val="none" w:sz="0" w:space="0" w:color="auto"/>
        <w:bottom w:val="none" w:sz="0" w:space="0" w:color="auto"/>
        <w:right w:val="none" w:sz="0" w:space="0" w:color="auto"/>
      </w:divBdr>
    </w:div>
    <w:div w:id="1152676237">
      <w:bodyDiv w:val="1"/>
      <w:marLeft w:val="0"/>
      <w:marRight w:val="0"/>
      <w:marTop w:val="0"/>
      <w:marBottom w:val="0"/>
      <w:divBdr>
        <w:top w:val="none" w:sz="0" w:space="0" w:color="auto"/>
        <w:left w:val="none" w:sz="0" w:space="0" w:color="auto"/>
        <w:bottom w:val="none" w:sz="0" w:space="0" w:color="auto"/>
        <w:right w:val="none" w:sz="0" w:space="0" w:color="auto"/>
      </w:divBdr>
    </w:div>
    <w:div w:id="1183058919">
      <w:bodyDiv w:val="1"/>
      <w:marLeft w:val="0"/>
      <w:marRight w:val="0"/>
      <w:marTop w:val="0"/>
      <w:marBottom w:val="0"/>
      <w:divBdr>
        <w:top w:val="none" w:sz="0" w:space="0" w:color="auto"/>
        <w:left w:val="none" w:sz="0" w:space="0" w:color="auto"/>
        <w:bottom w:val="none" w:sz="0" w:space="0" w:color="auto"/>
        <w:right w:val="none" w:sz="0" w:space="0" w:color="auto"/>
      </w:divBdr>
    </w:div>
    <w:div w:id="1226646225">
      <w:bodyDiv w:val="1"/>
      <w:marLeft w:val="0"/>
      <w:marRight w:val="0"/>
      <w:marTop w:val="0"/>
      <w:marBottom w:val="0"/>
      <w:divBdr>
        <w:top w:val="none" w:sz="0" w:space="0" w:color="auto"/>
        <w:left w:val="none" w:sz="0" w:space="0" w:color="auto"/>
        <w:bottom w:val="none" w:sz="0" w:space="0" w:color="auto"/>
        <w:right w:val="none" w:sz="0" w:space="0" w:color="auto"/>
      </w:divBdr>
    </w:div>
    <w:div w:id="1451246373">
      <w:bodyDiv w:val="1"/>
      <w:marLeft w:val="0"/>
      <w:marRight w:val="0"/>
      <w:marTop w:val="0"/>
      <w:marBottom w:val="0"/>
      <w:divBdr>
        <w:top w:val="none" w:sz="0" w:space="0" w:color="auto"/>
        <w:left w:val="none" w:sz="0" w:space="0" w:color="auto"/>
        <w:bottom w:val="none" w:sz="0" w:space="0" w:color="auto"/>
        <w:right w:val="none" w:sz="0" w:space="0" w:color="auto"/>
      </w:divBdr>
    </w:div>
    <w:div w:id="1479809071">
      <w:bodyDiv w:val="1"/>
      <w:marLeft w:val="0"/>
      <w:marRight w:val="0"/>
      <w:marTop w:val="0"/>
      <w:marBottom w:val="0"/>
      <w:divBdr>
        <w:top w:val="none" w:sz="0" w:space="0" w:color="auto"/>
        <w:left w:val="none" w:sz="0" w:space="0" w:color="auto"/>
        <w:bottom w:val="none" w:sz="0" w:space="0" w:color="auto"/>
        <w:right w:val="none" w:sz="0" w:space="0" w:color="auto"/>
      </w:divBdr>
    </w:div>
    <w:div w:id="1496795789">
      <w:bodyDiv w:val="1"/>
      <w:marLeft w:val="0"/>
      <w:marRight w:val="0"/>
      <w:marTop w:val="0"/>
      <w:marBottom w:val="0"/>
      <w:divBdr>
        <w:top w:val="none" w:sz="0" w:space="0" w:color="auto"/>
        <w:left w:val="none" w:sz="0" w:space="0" w:color="auto"/>
        <w:bottom w:val="none" w:sz="0" w:space="0" w:color="auto"/>
        <w:right w:val="none" w:sz="0" w:space="0" w:color="auto"/>
      </w:divBdr>
    </w:div>
    <w:div w:id="1515337275">
      <w:bodyDiv w:val="1"/>
      <w:marLeft w:val="0"/>
      <w:marRight w:val="0"/>
      <w:marTop w:val="0"/>
      <w:marBottom w:val="0"/>
      <w:divBdr>
        <w:top w:val="none" w:sz="0" w:space="0" w:color="auto"/>
        <w:left w:val="none" w:sz="0" w:space="0" w:color="auto"/>
        <w:bottom w:val="none" w:sz="0" w:space="0" w:color="auto"/>
        <w:right w:val="none" w:sz="0" w:space="0" w:color="auto"/>
      </w:divBdr>
    </w:div>
    <w:div w:id="1559854287">
      <w:bodyDiv w:val="1"/>
      <w:marLeft w:val="0"/>
      <w:marRight w:val="0"/>
      <w:marTop w:val="0"/>
      <w:marBottom w:val="0"/>
      <w:divBdr>
        <w:top w:val="none" w:sz="0" w:space="0" w:color="auto"/>
        <w:left w:val="none" w:sz="0" w:space="0" w:color="auto"/>
        <w:bottom w:val="none" w:sz="0" w:space="0" w:color="auto"/>
        <w:right w:val="none" w:sz="0" w:space="0" w:color="auto"/>
      </w:divBdr>
    </w:div>
    <w:div w:id="1601989747">
      <w:bodyDiv w:val="1"/>
      <w:marLeft w:val="0"/>
      <w:marRight w:val="0"/>
      <w:marTop w:val="0"/>
      <w:marBottom w:val="0"/>
      <w:divBdr>
        <w:top w:val="none" w:sz="0" w:space="0" w:color="auto"/>
        <w:left w:val="none" w:sz="0" w:space="0" w:color="auto"/>
        <w:bottom w:val="none" w:sz="0" w:space="0" w:color="auto"/>
        <w:right w:val="none" w:sz="0" w:space="0" w:color="auto"/>
      </w:divBdr>
    </w:div>
    <w:div w:id="1662274896">
      <w:bodyDiv w:val="1"/>
      <w:marLeft w:val="0"/>
      <w:marRight w:val="0"/>
      <w:marTop w:val="0"/>
      <w:marBottom w:val="0"/>
      <w:divBdr>
        <w:top w:val="none" w:sz="0" w:space="0" w:color="auto"/>
        <w:left w:val="none" w:sz="0" w:space="0" w:color="auto"/>
        <w:bottom w:val="none" w:sz="0" w:space="0" w:color="auto"/>
        <w:right w:val="none" w:sz="0" w:space="0" w:color="auto"/>
      </w:divBdr>
    </w:div>
    <w:div w:id="1662806983">
      <w:bodyDiv w:val="1"/>
      <w:marLeft w:val="0"/>
      <w:marRight w:val="0"/>
      <w:marTop w:val="0"/>
      <w:marBottom w:val="0"/>
      <w:divBdr>
        <w:top w:val="none" w:sz="0" w:space="0" w:color="auto"/>
        <w:left w:val="none" w:sz="0" w:space="0" w:color="auto"/>
        <w:bottom w:val="none" w:sz="0" w:space="0" w:color="auto"/>
        <w:right w:val="none" w:sz="0" w:space="0" w:color="auto"/>
      </w:divBdr>
    </w:div>
    <w:div w:id="1696150072">
      <w:bodyDiv w:val="1"/>
      <w:marLeft w:val="0"/>
      <w:marRight w:val="0"/>
      <w:marTop w:val="0"/>
      <w:marBottom w:val="0"/>
      <w:divBdr>
        <w:top w:val="none" w:sz="0" w:space="0" w:color="auto"/>
        <w:left w:val="none" w:sz="0" w:space="0" w:color="auto"/>
        <w:bottom w:val="none" w:sz="0" w:space="0" w:color="auto"/>
        <w:right w:val="none" w:sz="0" w:space="0" w:color="auto"/>
      </w:divBdr>
    </w:div>
    <w:div w:id="1707096965">
      <w:bodyDiv w:val="1"/>
      <w:marLeft w:val="0"/>
      <w:marRight w:val="0"/>
      <w:marTop w:val="0"/>
      <w:marBottom w:val="0"/>
      <w:divBdr>
        <w:top w:val="none" w:sz="0" w:space="0" w:color="auto"/>
        <w:left w:val="none" w:sz="0" w:space="0" w:color="auto"/>
        <w:bottom w:val="none" w:sz="0" w:space="0" w:color="auto"/>
        <w:right w:val="none" w:sz="0" w:space="0" w:color="auto"/>
      </w:divBdr>
    </w:div>
    <w:div w:id="1710035516">
      <w:bodyDiv w:val="1"/>
      <w:marLeft w:val="0"/>
      <w:marRight w:val="0"/>
      <w:marTop w:val="0"/>
      <w:marBottom w:val="0"/>
      <w:divBdr>
        <w:top w:val="none" w:sz="0" w:space="0" w:color="auto"/>
        <w:left w:val="none" w:sz="0" w:space="0" w:color="auto"/>
        <w:bottom w:val="none" w:sz="0" w:space="0" w:color="auto"/>
        <w:right w:val="none" w:sz="0" w:space="0" w:color="auto"/>
      </w:divBdr>
    </w:div>
    <w:div w:id="1822505507">
      <w:bodyDiv w:val="1"/>
      <w:marLeft w:val="0"/>
      <w:marRight w:val="0"/>
      <w:marTop w:val="0"/>
      <w:marBottom w:val="0"/>
      <w:divBdr>
        <w:top w:val="none" w:sz="0" w:space="0" w:color="auto"/>
        <w:left w:val="none" w:sz="0" w:space="0" w:color="auto"/>
        <w:bottom w:val="none" w:sz="0" w:space="0" w:color="auto"/>
        <w:right w:val="none" w:sz="0" w:space="0" w:color="auto"/>
      </w:divBdr>
    </w:div>
    <w:div w:id="1857190520">
      <w:bodyDiv w:val="1"/>
      <w:marLeft w:val="0"/>
      <w:marRight w:val="0"/>
      <w:marTop w:val="0"/>
      <w:marBottom w:val="0"/>
      <w:divBdr>
        <w:top w:val="none" w:sz="0" w:space="0" w:color="auto"/>
        <w:left w:val="none" w:sz="0" w:space="0" w:color="auto"/>
        <w:bottom w:val="none" w:sz="0" w:space="0" w:color="auto"/>
        <w:right w:val="none" w:sz="0" w:space="0" w:color="auto"/>
      </w:divBdr>
    </w:div>
    <w:div w:id="1997801519">
      <w:bodyDiv w:val="1"/>
      <w:marLeft w:val="0"/>
      <w:marRight w:val="0"/>
      <w:marTop w:val="0"/>
      <w:marBottom w:val="0"/>
      <w:divBdr>
        <w:top w:val="none" w:sz="0" w:space="0" w:color="auto"/>
        <w:left w:val="none" w:sz="0" w:space="0" w:color="auto"/>
        <w:bottom w:val="none" w:sz="0" w:space="0" w:color="auto"/>
        <w:right w:val="none" w:sz="0" w:space="0" w:color="auto"/>
      </w:divBdr>
    </w:div>
    <w:div w:id="2045903564">
      <w:bodyDiv w:val="1"/>
      <w:marLeft w:val="0"/>
      <w:marRight w:val="0"/>
      <w:marTop w:val="0"/>
      <w:marBottom w:val="0"/>
      <w:divBdr>
        <w:top w:val="none" w:sz="0" w:space="0" w:color="auto"/>
        <w:left w:val="none" w:sz="0" w:space="0" w:color="auto"/>
        <w:bottom w:val="none" w:sz="0" w:space="0" w:color="auto"/>
        <w:right w:val="none" w:sz="0" w:space="0" w:color="auto"/>
      </w:divBdr>
    </w:div>
    <w:div w:id="210548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8fb342ca-75a7-4069-ad4d-5ddcc4ecb1ae" xsi:nil="true"/>
    <_Status xmlns="http://schemas.microsoft.com/sharepoint/v3/fields">Not Started</_Status>
    <EC_Collab_Status xmlns="8fb342ca-75a7-4069-ad4d-5ddcc4ecb1ae">Not Started</EC_Collab_Status>
    <EC_Collab_DocumentLanguage xmlns="8fb342ca-75a7-4069-ad4d-5ddcc4ecb1ae">EN</EC_Collab_DocumentLanguag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B98622DAD51734DAECB7C6A9A0CBDAE" ma:contentTypeVersion="1" ma:contentTypeDescription="Create a new document in this library." ma:contentTypeScope="" ma:versionID="188e7667f3e27baf64346ef3b2019285">
  <xsd:schema xmlns:xsd="http://www.w3.org/2001/XMLSchema" xmlns:xs="http://www.w3.org/2001/XMLSchema" xmlns:p="http://schemas.microsoft.com/office/2006/metadata/properties" xmlns:ns2="http://schemas.microsoft.com/sharepoint/v3/fields" xmlns:ns3="8fb342ca-75a7-4069-ad4d-5ddcc4ecb1ae" targetNamespace="http://schemas.microsoft.com/office/2006/metadata/properties" ma:root="true" ma:fieldsID="477d3d83d7cf2aad444637c782d42524" ns2:_="" ns3:_="">
    <xsd:import namespace="http://schemas.microsoft.com/sharepoint/v3/fields"/>
    <xsd:import namespace="8fb342ca-75a7-4069-ad4d-5ddcc4ecb1a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fb342ca-75a7-4069-ad4d-5ddcc4ecb1a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D24A9-9FAD-4B63-AB9C-7DEE1DAC5DAA}">
  <ds:schemaRefs>
    <ds:schemaRef ds:uri="http://schemas.microsoft.com/office/2006/metadata/properties"/>
    <ds:schemaRef ds:uri="http://schemas.microsoft.com/office/infopath/2007/PartnerControls"/>
    <ds:schemaRef ds:uri="8fb342ca-75a7-4069-ad4d-5ddcc4ecb1ae"/>
    <ds:schemaRef ds:uri="http://schemas.microsoft.com/sharepoint/v3/fields"/>
  </ds:schemaRefs>
</ds:datastoreItem>
</file>

<file path=customXml/itemProps2.xml><?xml version="1.0" encoding="utf-8"?>
<ds:datastoreItem xmlns:ds="http://schemas.openxmlformats.org/officeDocument/2006/customXml" ds:itemID="{494D461B-CF49-47CA-B368-74F44550296D}">
  <ds:schemaRefs>
    <ds:schemaRef ds:uri="http://schemas.microsoft.com/sharepoint/v3/contenttype/forms"/>
  </ds:schemaRefs>
</ds:datastoreItem>
</file>

<file path=customXml/itemProps3.xml><?xml version="1.0" encoding="utf-8"?>
<ds:datastoreItem xmlns:ds="http://schemas.openxmlformats.org/officeDocument/2006/customXml" ds:itemID="{97648315-D5E6-40C4-A4B0-6DB8AA3E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fb342ca-75a7-4069-ad4d-5ddcc4ecb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1E7D0-B4A2-420A-AF7B-B310611E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5078</Words>
  <Characters>35247</Characters>
  <Application>Microsoft Office Word</Application>
  <DocSecurity>0</DocSecurity>
  <Lines>618</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30</cp:revision>
  <cp:lastPrinted>2017-05-02T08:21:00Z</cp:lastPrinted>
  <dcterms:created xsi:type="dcterms:W3CDTF">2017-05-02T12:56:00Z</dcterms:created>
  <dcterms:modified xsi:type="dcterms:W3CDTF">2017-05-17T08:02:00Z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ContentTypeId">
    <vt:lpwstr>0x010100258AA79CEB83498886A3A08681123250001B98622DAD51734DAECB7C6A9A0CBDAE</vt:lpwstr>
  </property>
  <property name="OP_sanitized" fmtid="{D5CDD505-2E9C-101B-9397-08002B2CF9AE}" pid="7">
    <vt:lpwstr>True</vt:lpwstr>
  </property>
</Properties>
</file>