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57375B8036E45D79598C87EFA4F38DB" style="width:450.8pt;height:307.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both"/>
        <w:rPr>
          <w:rFonts w:ascii="Times New Roman" w:hAnsi="Times New Roman"/>
          <w:b/>
          <w:bCs/>
          <w:noProof/>
          <w:sz w:val="24"/>
          <w:szCs w:val="24"/>
        </w:rPr>
      </w:pPr>
      <w:bookmarkStart w:id="1" w:name="_GoBack"/>
      <w:bookmarkEnd w:id="1"/>
      <w:r>
        <w:rPr>
          <w:rFonts w:ascii="Times New Roman" w:hAnsi="Times New Roman"/>
          <w:b/>
          <w:noProof/>
          <w:sz w:val="24"/>
        </w:rPr>
        <w:lastRenderedPageBreak/>
        <w:t>1.</w:t>
      </w:r>
      <w:r>
        <w:rPr>
          <w:noProof/>
        </w:rPr>
        <w:tab/>
      </w:r>
      <w:r>
        <w:rPr>
          <w:rFonts w:ascii="Times New Roman" w:hAnsi="Times New Roman"/>
          <w:b/>
          <w:noProof/>
          <w:sz w:val="24"/>
        </w:rPr>
        <w:t>IEVADS</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Regula (ES) Nr. 98/2013</w:t>
      </w:r>
      <w:r>
        <w:rPr>
          <w:rStyle w:val="FootnoteReference"/>
          <w:rFonts w:ascii="Times New Roman" w:hAnsi="Times New Roman"/>
          <w:noProof/>
          <w:sz w:val="24"/>
        </w:rPr>
        <w:footnoteReference w:id="1"/>
      </w:r>
      <w:r>
        <w:rPr>
          <w:rFonts w:ascii="Times New Roman" w:hAnsi="Times New Roman"/>
          <w:noProof/>
          <w:sz w:val="24"/>
        </w:rPr>
        <w:t xml:space="preserve"> par sprāgstvielu prekursoru tirdzniecību un lietošanu (Regula) stājās spēkā 2013. gada 1. martā un ir piemērojama no 2014. gada 2. septembra. Tajā ir izstrādāti saskaņoti noteikumi par tādu ķīmisko vielu un maisījumu pieejamības nodrošināšanu, ievešanu, turēšanu īpašumā un lietošanu, kurus var ļaunprātīgi izmantot pašdarinātu spridzekļu nelikumīgai izgatavošanai. Regulā noteikto kontroli un ierobežojumus piemēro vielām, kas uzskaitītas pielikumos, un tās saturošiem maisījumiem un vielām.</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Regulas 18. panta 1. punktā ir noteikts, ka līdz 2017. gada 2. septembrim Komisija Eiropas Parlamentam un Padomei iesniedz ziņojumu, kurā izskata jebkādas problēmas, kādas ir izraisījusi šīs regulas piemērošana, kā arī vai ir vēlams un iespējams ierosināt izmaiņas tiesību aktos, lai sistēmu padarītu vēl stingrāku un saskaņotāku. Proti, vai ir iespējams paplašināt Regulas darbības jomu, aptverot profesionālos lietotājus un iekļaujot II pielikumā neiekļautos sprāgstvielu prekursorus.</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Turklāt 14. panta 2. punktā Komisijai tiek prasīts sagatavot ziņojumu par pilnvaru deleģēšanu, kas tai piešķirtas uz piecu gadu laikposmu no 2013. gada 1. marta, “vēlākais deviņus mēnešus pirms minētā piecu gadu laikposma beigām”, tas ir, līdz 2017. gada 1. jūnijam.</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Šā ziņojuma mērķis ir izpildīt abos iepriekš minētajos pantos noteiktās prasības. Lai vienkāršotu ziņojuma sagatavošanu un, ņemot vērā to, ka pilnvaru deleģēšana ir rīks izmaiņu veikšanai tiesību aktos, Komisija uzskata, ka ir lietderīgi un atbilstīgi abus ziņojumus apvienot vienā. Šā ziņojuma mērķis ir arī sniegt informāciju, lai ekonomikas dalībnieki un valsts iestādes varētu uzlabot atbilstību Regulas prasībām un lai veicinātu Komisijas politikas veidošanas procesa pārredzamību.</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Komisija ir sagatavojusi šo ziņojumu, pamatojoties uz apspriedēm un konsultācijām ar Pastāvīgo komiteju prekursoru jomā (</w:t>
      </w:r>
      <w:r>
        <w:rPr>
          <w:rFonts w:ascii="Times New Roman" w:hAnsi="Times New Roman"/>
          <w:i/>
          <w:noProof/>
          <w:sz w:val="24"/>
        </w:rPr>
        <w:t>SCP</w:t>
      </w:r>
      <w:r>
        <w:rPr>
          <w:rFonts w:ascii="Times New Roman" w:hAnsi="Times New Roman"/>
          <w:noProof/>
          <w:sz w:val="24"/>
        </w:rPr>
        <w:t>), Komisijas ekspertu grupu</w:t>
      </w:r>
      <w:r>
        <w:rPr>
          <w:rStyle w:val="FootnoteReference"/>
          <w:rFonts w:ascii="Times New Roman" w:hAnsi="Times New Roman"/>
          <w:noProof/>
          <w:sz w:val="24"/>
        </w:rPr>
        <w:footnoteReference w:id="2"/>
      </w:r>
      <w:r>
        <w:rPr>
          <w:rFonts w:ascii="Times New Roman" w:hAnsi="Times New Roman"/>
          <w:noProof/>
          <w:sz w:val="24"/>
        </w:rPr>
        <w:t>, kuras sastāvā ir ES dalībvalstu un EEZ trešo valstu kompetentās iestādes un ķīmisko vielu un mazumtirdzniecības piegādes ķēžu pārstāvji, kā arī pamatojoties uz Komisijas pašas apsvērumiem.</w:t>
      </w:r>
    </w:p>
    <w:p>
      <w:pPr>
        <w:autoSpaceDE w:val="0"/>
        <w:autoSpaceDN w:val="0"/>
        <w:adjustRightInd w:val="0"/>
        <w:spacing w:line="240" w:lineRule="auto"/>
        <w:jc w:val="both"/>
        <w:rPr>
          <w:rFonts w:ascii="Times New Roman" w:hAnsi="Times New Roman"/>
          <w:b/>
          <w:iCs/>
          <w:noProof/>
          <w:sz w:val="24"/>
          <w:szCs w:val="24"/>
        </w:rPr>
      </w:pPr>
      <w:r>
        <w:rPr>
          <w:rFonts w:ascii="Times New Roman" w:hAnsi="Times New Roman"/>
          <w:b/>
          <w:noProof/>
          <w:sz w:val="24"/>
        </w:rPr>
        <w:t>2.</w:t>
      </w:r>
      <w:r>
        <w:rPr>
          <w:noProof/>
        </w:rPr>
        <w:tab/>
      </w:r>
      <w:r>
        <w:rPr>
          <w:rFonts w:ascii="Times New Roman" w:hAnsi="Times New Roman"/>
          <w:b/>
          <w:noProof/>
          <w:sz w:val="24"/>
        </w:rPr>
        <w:t>VISPĀRĪGA INFORMĀCIJA</w:t>
      </w:r>
    </w:p>
    <w:p>
      <w:pPr>
        <w:autoSpaceDE w:val="0"/>
        <w:autoSpaceDN w:val="0"/>
        <w:adjustRightInd w:val="0"/>
        <w:spacing w:line="240" w:lineRule="auto"/>
        <w:jc w:val="both"/>
        <w:rPr>
          <w:rFonts w:ascii="Times New Roman" w:hAnsi="Times New Roman"/>
          <w:b/>
          <w:iCs/>
          <w:noProof/>
          <w:sz w:val="24"/>
          <w:szCs w:val="24"/>
        </w:rPr>
      </w:pPr>
      <w:r>
        <w:rPr>
          <w:rFonts w:ascii="Times New Roman" w:hAnsi="Times New Roman"/>
          <w:b/>
          <w:noProof/>
          <w:sz w:val="24"/>
        </w:rPr>
        <w:t>2.1.</w:t>
      </w:r>
      <w:r>
        <w:rPr>
          <w:noProof/>
        </w:rPr>
        <w:tab/>
      </w:r>
      <w:r>
        <w:rPr>
          <w:rFonts w:ascii="Times New Roman" w:hAnsi="Times New Roman"/>
          <w:b/>
          <w:noProof/>
          <w:sz w:val="24"/>
        </w:rPr>
        <w:t>Regulas atbilstības statuss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Uz 2017. gada 1. janvāri vairums dalībvalstu pildīja Regulas prasības:</w:t>
      </w:r>
    </w:p>
    <w:p>
      <w:pPr>
        <w:numPr>
          <w:ilvl w:val="0"/>
          <w:numId w:val="5"/>
        </w:num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visas dalībvalstis ir izveidojušas vienu vai vairākus valstu kontaktpunktus ziņošanai par aizdomīgiem darījumiem un būtiskiem pazušanas gadījumiem un zādzībām, precīzi norādot to tālruņa numuru un e-pasta adresi (9. panta 2. punkts);</w:t>
      </w:r>
    </w:p>
    <w:p>
      <w:pPr>
        <w:numPr>
          <w:ilvl w:val="0"/>
          <w:numId w:val="5"/>
        </w:num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23 dalībvalstis ir pilnīgi atbilstīgas, proti, ir izstrādājušas noteikumus par sankcijām (11. pants), regulāri izplatījušas </w:t>
      </w:r>
      <w:r>
        <w:rPr>
          <w:rFonts w:ascii="Times New Roman" w:hAnsi="Times New Roman"/>
          <w:i/>
          <w:noProof/>
          <w:sz w:val="24"/>
        </w:rPr>
        <w:t>SCP</w:t>
      </w:r>
      <w:r>
        <w:rPr>
          <w:rFonts w:ascii="Times New Roman" w:hAnsi="Times New Roman"/>
          <w:noProof/>
          <w:sz w:val="24"/>
        </w:rPr>
        <w:t xml:space="preserve"> sagatavotās pamatnostādnes (9. panta 6. punkts) un attiecīgā gadījumā informējušas Komisiju par pasākumiem, ko tās veic, lai īstenotu izņēmumus saskaņā ar licencēšanas un reģistrēšanas režīmu (4. punkta 4. punkts) vai ar iepriekš esošajiem režīmiem (13. panta 4. punkts);</w:t>
      </w:r>
    </w:p>
    <w:p>
      <w:pPr>
        <w:numPr>
          <w:ilvl w:val="0"/>
          <w:numId w:val="5"/>
        </w:num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piecas dalībvalstis ir daļēji atbilstīgas, proti, nav izstrādājušas noteikumus par sankcijām.</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Centienos nodrošināt, ka dalībvalstis pilnībā izpilda Regulas prasības, Komisija ir veikusi divpusējas sarunas ar dažām dalībvalstīm, ja ir radušās bažas par to atbilstību, un ierosinājusi tām pārkāpuma procedūras</w:t>
      </w:r>
      <w:r>
        <w:rPr>
          <w:rStyle w:val="FootnoteReference"/>
          <w:rFonts w:ascii="Times New Roman" w:hAnsi="Times New Roman"/>
          <w:noProof/>
          <w:sz w:val="24"/>
        </w:rPr>
        <w:footnoteReference w:id="3"/>
      </w:r>
      <w:r>
        <w:rPr>
          <w:rFonts w:ascii="Times New Roman" w:hAnsi="Times New Roman"/>
          <w:noProof/>
          <w:sz w:val="24"/>
        </w:rPr>
        <w:t>, kā arī turpinās šīs sarunas vajadzības gadījumā.</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Regula attiecas uz EEZ, tāpēc tā ir piemērojama arī Islandei, Lihtenšteinai un Norvēģijai. EBTA uzraudzības iestāde (</w:t>
      </w:r>
      <w:r>
        <w:rPr>
          <w:rFonts w:ascii="Times New Roman" w:hAnsi="Times New Roman"/>
          <w:i/>
          <w:noProof/>
          <w:sz w:val="24"/>
        </w:rPr>
        <w:t>ESA</w:t>
      </w:r>
      <w:r>
        <w:rPr>
          <w:rFonts w:ascii="Times New Roman" w:hAnsi="Times New Roman"/>
          <w:noProof/>
          <w:sz w:val="24"/>
        </w:rPr>
        <w:t xml:space="preserve">) ir kompetentā iestāde, kas atbild par Regulas piemērošanas pārraudzību šajās valstīs. Norvēģija un Lihtenšteina izpilda Regulas prasības, savukārt pret Islandi </w:t>
      </w:r>
      <w:r>
        <w:rPr>
          <w:rFonts w:ascii="Times New Roman" w:hAnsi="Times New Roman"/>
          <w:i/>
          <w:noProof/>
          <w:sz w:val="24"/>
        </w:rPr>
        <w:t>ESA</w:t>
      </w:r>
      <w:r>
        <w:rPr>
          <w:rFonts w:ascii="Times New Roman" w:hAnsi="Times New Roman"/>
          <w:noProof/>
          <w:sz w:val="24"/>
        </w:rPr>
        <w:t xml:space="preserve"> 2016. gada 17. novembrī iesniedza prasību EBTA tiesā par to, ka Islande nav veikusi pasākumus, kas nepieciešami, lai Regula tiktu iekļauta valsts tiesību sistēmā</w:t>
      </w:r>
      <w:r>
        <w:rPr>
          <w:rStyle w:val="FootnoteReference"/>
          <w:rFonts w:ascii="Times New Roman" w:hAnsi="Times New Roman"/>
          <w:noProof/>
          <w:sz w:val="24"/>
        </w:rPr>
        <w:footnoteReference w:id="4"/>
      </w:r>
      <w:r>
        <w:rPr>
          <w:noProof/>
        </w:rPr>
        <w:t>.</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Visbeidzot, Šveicei nav saistoši šīs regulas noteikumi, tomēr tā apsver iespēju pieņemt sprāgstvielu prekursoru kontroles un ierobežošanas pasākumus valsts līmenī. Tā jau ir izveidojusi valsts kontaktpunktu ziņošanai par aizdomīgiem darījumiem un būtiskiem pazušanas gadījumiem un zādzībām.</w:t>
      </w:r>
    </w:p>
    <w:p>
      <w:pPr>
        <w:autoSpaceDE w:val="0"/>
        <w:autoSpaceDN w:val="0"/>
        <w:adjustRightInd w:val="0"/>
        <w:spacing w:line="240" w:lineRule="auto"/>
        <w:jc w:val="both"/>
        <w:rPr>
          <w:rFonts w:ascii="Times New Roman" w:hAnsi="Times New Roman"/>
          <w:b/>
          <w:iCs/>
          <w:noProof/>
          <w:sz w:val="24"/>
          <w:szCs w:val="24"/>
        </w:rPr>
      </w:pPr>
      <w:r>
        <w:rPr>
          <w:rFonts w:ascii="Times New Roman" w:hAnsi="Times New Roman"/>
          <w:b/>
          <w:noProof/>
          <w:sz w:val="24"/>
        </w:rPr>
        <w:t>2.2.</w:t>
      </w:r>
      <w:r>
        <w:rPr>
          <w:noProof/>
        </w:rPr>
        <w:tab/>
      </w:r>
      <w:r>
        <w:rPr>
          <w:rFonts w:ascii="Times New Roman" w:hAnsi="Times New Roman"/>
          <w:b/>
          <w:noProof/>
          <w:sz w:val="24"/>
        </w:rPr>
        <w:t>Valstu īstenošanas pasākumi</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Saskaņā ar Regulas 4. panta 1. punktu ierobežotus sprāgstvielu prekursorus (kas uzskaitīti Regulas I pielikumā) nedara pieejamus plašas sabiedrības locekļiem, plašas sabiedrības locekļi tos neieved, netur īpašumā vai nelieto. Tomēr dalībvalstis var saglabāt vai noteikt licencēšanas un/vai reģistrēšanas režīmu, ar kuru kontrolētā veidā atļauj ierobežotus sprāgstvielu prekursorus darīt pieejamus plašas sabiedrības locekļiem (4. panta 2. un 3. punkts).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Uz 2017. gada 1. janvāri 16 dalībvalstīs ir izveidots licencēšanas un/vai reģistrēšanas režīms, savukārt pārējās 12 dalībvalstis saglabā aizliegumus</w:t>
      </w:r>
      <w:r>
        <w:rPr>
          <w:rStyle w:val="FootnoteReference"/>
          <w:rFonts w:ascii="Times New Roman" w:hAnsi="Times New Roman"/>
          <w:noProof/>
          <w:sz w:val="24"/>
        </w:rPr>
        <w:footnoteReference w:id="5"/>
      </w:r>
      <w:r>
        <w:rPr>
          <w:noProof/>
        </w:rPr>
        <w:t>.</w:t>
      </w:r>
      <w:r>
        <w:rPr>
          <w:rFonts w:ascii="Times New Roman" w:hAnsi="Times New Roman"/>
          <w:noProof/>
          <w:sz w:val="24"/>
        </w:rPr>
        <w:t xml:space="preserve"> Regulas līdzšinējā piemērošana liecina, ka ES līmenī nav vienprātības par to, vai ierobežotie sprāgstvielu prekursori būtu jāaizliedz vai jādara pieejami ierobežotā veidā.</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To dalībvalstu vidū, kas saglabā licencēšanas režīmu, būtiski atšķiras licenču pieprasīšanas procesi, pēc kādiem kritērijiem tās tiek piešķirtas vai noraidītas, un licences derīguma ilgums un veids. Dažas dalībvalstis uzskata, ka licences pieprasījumi ir jāapmierina, ja vien nav pamatota iemesla to nedarīt, savukārt citas piemēro pretēju pieeju, noraida licences pieprasījumus, ja vien nav pamatota iemesla to piešķirt. Tādējādi piešķirto un noraidīto licenču īpatsvars katrā dalībvalstī, kas sniegusi Komisijai šo informāciju, ir ļoti atšķirīgs. Līdz šim nav zināmu gadījumu, kad dalībvalstis būtu savstarpēji atzinušas licences.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Dažas dalībvalstis iespēju robežās piedāvā alternatīvas vielas vai koncentrācijas līmeni, ko var izmantot likumīgos nolūkos. Dalībvalstu sniegtā pieredze liecina, ka alternatīvas pastāv attiecībā uz daudziem likumīgiem lietojumiem, ja ne to vairumam.</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Dažas dalībvalstis ir noteikušas stingrākas minimālās prasības, nekā noteikts Regulā, un piemērojušas, piemēram, tādus pasākumus, kas nosaka, ka ekonomikas dalībniekiem jāreģistrējas kompetentajās iestādēs un periodiski jādeklarē visi savi darījumi, tostarp imports, ir jāpaplašina Regulas tvērums, iekļaujot profesionālos lietotājus, jānosaka uzglabāšanas nosacījumi, jāparedz attiecīgās informācijas pārrobežu apmaiņa ar citām dalībvalstīm vai jānosaka muitas iestāžu loma.</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Turklāt dažas dalībvalstis piemēro ierobežojumus un kontroli sarakstā neiekļautiem sprāgstvielu prekursoriem vai stingrākus ierobežojumus sarakstā iekļautajām vielām. Visos šajos gadījumos dalībvalstis jau bija ieviesušas ierobežojumus un kontroli vēl pirms Regulas pieņemšanas.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Paralēli tam, ka dalībvalstis pieņem un izpilda savus valsts pasākumus, vairums dalībvalstu ir atkārtoti veikušas informētības veicināšanas kampaņas ekonomikas dalībniekiem, kuri iesaistīti uzskaitīto sprāgstvielu prekursoru piegādes ķēdē. Kampaņu mērķis ir palielināt informētību par pienākumu ierobežot aizdomīgus darījumus un ziņot par tiem. Dažās dalībvalstīs aktīvi iesaista tiešsaistes piegādātājus un tirdzniecības punktus.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No datiem, kas iegūti par licencēm, reģistrāciju, ziņojumiem par aizdomīgiem darījumiem un izpildi, vēl ir pāragri izdarīt slēdzienus. Komisijas turpmākais mērķis būs apkopot un analizēt attiecīgos datus, lai ES līmenī identificētu apdraudējuma tendences, labu praksi un iespējamās jomas, ko varētu stiprināt un saskaņot.</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2.3.</w:t>
      </w:r>
      <w:r>
        <w:rPr>
          <w:noProof/>
        </w:rPr>
        <w:tab/>
      </w:r>
      <w:r>
        <w:rPr>
          <w:rFonts w:ascii="Times New Roman" w:hAnsi="Times New Roman"/>
          <w:b/>
          <w:noProof/>
          <w:sz w:val="24"/>
        </w:rPr>
        <w:t>Pastāvīgā komiteja prekursoru jomā (</w:t>
      </w:r>
      <w:r>
        <w:rPr>
          <w:rFonts w:ascii="Times New Roman" w:hAnsi="Times New Roman"/>
          <w:b/>
          <w:i/>
          <w:noProof/>
          <w:sz w:val="24"/>
        </w:rPr>
        <w:t>SCP</w:t>
      </w:r>
      <w:r>
        <w:rPr>
          <w:rFonts w:ascii="Times New Roman" w:hAnsi="Times New Roman"/>
          <w:b/>
          <w:noProof/>
          <w:sz w:val="24"/>
        </w:rPr>
        <w:t>)</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Kopš </w:t>
      </w:r>
      <w:r>
        <w:rPr>
          <w:rFonts w:ascii="Times New Roman" w:hAnsi="Times New Roman"/>
          <w:i/>
          <w:noProof/>
          <w:sz w:val="24"/>
        </w:rPr>
        <w:t>SCP</w:t>
      </w:r>
      <w:r>
        <w:rPr>
          <w:rFonts w:ascii="Times New Roman" w:hAnsi="Times New Roman"/>
          <w:noProof/>
          <w:sz w:val="24"/>
        </w:rPr>
        <w:t xml:space="preserve"> dibināšanas saskaņā ar ES 2008. gada Rīcības plānu, kā uzlabot sprāgstvielu drošību</w:t>
      </w:r>
      <w:r>
        <w:rPr>
          <w:rStyle w:val="FootnoteReference"/>
          <w:rFonts w:ascii="Times New Roman" w:hAnsi="Times New Roman"/>
          <w:noProof/>
          <w:sz w:val="24"/>
        </w:rPr>
        <w:footnoteReference w:id="6"/>
      </w:r>
      <w:r>
        <w:rPr>
          <w:rFonts w:ascii="Times New Roman" w:hAnsi="Times New Roman"/>
          <w:noProof/>
          <w:sz w:val="24"/>
        </w:rPr>
        <w:t>, tā ir aktīvi darbojusies, lai Eiropā palielinātu aizsardzību pret sprāgstvielu prekursoru izmantošanu pašdarinātu spridzekļu izgatavošanā.</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Kopš Regulas pieņemšanas 2013. gadā </w:t>
      </w:r>
      <w:r>
        <w:rPr>
          <w:rFonts w:ascii="Times New Roman" w:hAnsi="Times New Roman"/>
          <w:i/>
          <w:noProof/>
          <w:sz w:val="24"/>
        </w:rPr>
        <w:t>SCP</w:t>
      </w:r>
      <w:r>
        <w:rPr>
          <w:rFonts w:ascii="Times New Roman" w:hAnsi="Times New Roman"/>
          <w:noProof/>
          <w:sz w:val="24"/>
        </w:rPr>
        <w:t xml:space="preserve"> ir regulāri tikusies, lai veicinātu un pārraudzītu tās īstenošanu. Svarīgākais ir tas, ka </w:t>
      </w:r>
      <w:r>
        <w:rPr>
          <w:rFonts w:ascii="Times New Roman" w:hAnsi="Times New Roman"/>
          <w:i/>
          <w:noProof/>
          <w:sz w:val="24"/>
        </w:rPr>
        <w:t>SCP</w:t>
      </w:r>
      <w:r>
        <w:rPr>
          <w:rFonts w:ascii="Times New Roman" w:hAnsi="Times New Roman"/>
          <w:noProof/>
          <w:sz w:val="24"/>
        </w:rPr>
        <w:t xml:space="preserve"> nodrošina dalībvalstīm un piegādes ķēdē esošo ekonomikas dalībnieku pārstāvjiem informācijas un viedokļu apmaiņas platformu par Regulu un tās praktisko īstenošanu.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Vēl citi</w:t>
      </w:r>
      <w:r>
        <w:rPr>
          <w:rFonts w:ascii="Times New Roman" w:hAnsi="Times New Roman"/>
          <w:i/>
          <w:noProof/>
          <w:sz w:val="24"/>
        </w:rPr>
        <w:t xml:space="preserve"> SCP</w:t>
      </w:r>
      <w:r>
        <w:rPr>
          <w:rFonts w:ascii="Times New Roman" w:hAnsi="Times New Roman"/>
          <w:noProof/>
          <w:sz w:val="24"/>
        </w:rPr>
        <w:t xml:space="preserve"> sasniegumi ir Pamatnostādņu</w:t>
      </w:r>
      <w:r>
        <w:rPr>
          <w:rStyle w:val="FootnoteReference"/>
          <w:rFonts w:ascii="Times New Roman" w:hAnsi="Times New Roman"/>
          <w:noProof/>
          <w:sz w:val="24"/>
        </w:rPr>
        <w:footnoteReference w:id="7"/>
      </w:r>
      <w:r>
        <w:rPr>
          <w:rFonts w:ascii="Times New Roman" w:hAnsi="Times New Roman"/>
          <w:noProof/>
          <w:sz w:val="24"/>
        </w:rPr>
        <w:t xml:space="preserve"> pieņemšana un to regulāra pārskatīšana un priekšdarbi attiecībā uz trim deleģētajiem aktiem, ar kuriem II pielikumā ir pievienotas bīstamās vielas (sk. 4. sadaļu). </w:t>
      </w:r>
      <w:r>
        <w:rPr>
          <w:rFonts w:ascii="Times New Roman" w:hAnsi="Times New Roman"/>
          <w:i/>
          <w:noProof/>
          <w:sz w:val="24"/>
        </w:rPr>
        <w:t>SCP</w:t>
      </w:r>
      <w:r>
        <w:rPr>
          <w:rFonts w:ascii="Times New Roman" w:hAnsi="Times New Roman"/>
          <w:noProof/>
          <w:sz w:val="24"/>
        </w:rPr>
        <w:t xml:space="preserve"> ir arī panākusi lielāku informācijas pārrobežu apmaiņu attiecībā uz ziņojumiem par aizdomīgiem darījumiem, pazušanas gadījumiem un zādzībām un licenču piešķiršanu un atteikumiem, un ir atbalstījusi ķīmijas rūpniecības un mazumtirdzniecības nozares centienus veicināt informētību. 2013.–2015. gadā četri </w:t>
      </w:r>
      <w:r>
        <w:rPr>
          <w:rFonts w:ascii="Times New Roman" w:hAnsi="Times New Roman"/>
          <w:i/>
          <w:noProof/>
          <w:sz w:val="24"/>
        </w:rPr>
        <w:t>SCP</w:t>
      </w:r>
      <w:r>
        <w:rPr>
          <w:rFonts w:ascii="Times New Roman" w:hAnsi="Times New Roman"/>
          <w:noProof/>
          <w:sz w:val="24"/>
        </w:rPr>
        <w:t xml:space="preserve"> dalībnieki kopīgi vadīja ES finansēto projektu “Augsta riska ķīmisko vielu pārdošanas drošība”, kurā tika izstrādātas vadlīnijas mazumtirgotājiem, kas veic tirdzniecību gan fiziskās atrašanās vietās, gan internetā, un kompetentajām un tiesībaizsardzības iestādēm.</w:t>
      </w:r>
    </w:p>
    <w:p>
      <w:pPr>
        <w:tabs>
          <w:tab w:val="left" w:pos="720"/>
          <w:tab w:val="left" w:pos="1440"/>
          <w:tab w:val="left" w:pos="2160"/>
          <w:tab w:val="left" w:pos="2880"/>
          <w:tab w:val="left" w:pos="3600"/>
          <w:tab w:val="left" w:pos="4320"/>
          <w:tab w:val="left" w:pos="5040"/>
          <w:tab w:val="left" w:pos="5760"/>
          <w:tab w:val="left" w:pos="6161"/>
        </w:tabs>
        <w:autoSpaceDE w:val="0"/>
        <w:autoSpaceDN w:val="0"/>
        <w:adjustRightInd w:val="0"/>
        <w:spacing w:line="240" w:lineRule="auto"/>
        <w:jc w:val="both"/>
        <w:rPr>
          <w:rFonts w:ascii="Times New Roman" w:hAnsi="Times New Roman"/>
          <w:b/>
          <w:iCs/>
          <w:noProof/>
          <w:sz w:val="24"/>
          <w:szCs w:val="24"/>
        </w:rPr>
      </w:pPr>
      <w:r>
        <w:rPr>
          <w:rFonts w:ascii="Times New Roman" w:hAnsi="Times New Roman"/>
          <w:b/>
          <w:noProof/>
          <w:sz w:val="24"/>
        </w:rPr>
        <w:t>3.</w:t>
      </w:r>
      <w:r>
        <w:rPr>
          <w:noProof/>
        </w:rPr>
        <w:tab/>
      </w:r>
      <w:r>
        <w:rPr>
          <w:rFonts w:ascii="Times New Roman" w:hAnsi="Times New Roman"/>
          <w:b/>
          <w:noProof/>
          <w:sz w:val="24"/>
        </w:rPr>
        <w:t>PĀRSKATS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Eiropola 2016. gada Ziņojumā par terorisma situāciju un tendencēm ES ir teikts, ka “pašdarināti spridzekļi vienkopus ar konvencionālajiem ieročiem joprojām ir iecienīts teroristu ierocis to pieejamības, vienkāršības un efektivitātes dēļ”. Tomēr šajā ziņojumā un arī 2015., 2014. un 2013. gada ziņojumos tika atzīmēts, ka samazinās improvizētu vai pašdarinātu spridzekļu lietošana attiecībā uz šaujamieroču un/vai aizdedzināšanas ierīču lietošanu.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Regulas stāšanās spēkā ir veicinājusi to, ka Eiropā samazinās apdraudējums, ko rada sprāgstvielu prekursori. No </w:t>
      </w:r>
      <w:r>
        <w:rPr>
          <w:rFonts w:ascii="Times New Roman" w:hAnsi="Times New Roman"/>
          <w:i/>
          <w:noProof/>
          <w:sz w:val="24"/>
        </w:rPr>
        <w:t>SCP</w:t>
      </w:r>
      <w:r>
        <w:rPr>
          <w:rFonts w:ascii="Times New Roman" w:hAnsi="Times New Roman"/>
          <w:noProof/>
          <w:sz w:val="24"/>
        </w:rPr>
        <w:t xml:space="preserve"> sanāksmēm un apspriedēm, kā arī neatkarīgu ekspertu konsorcija veiktā pētījuma</w:t>
      </w:r>
      <w:r>
        <w:rPr>
          <w:rStyle w:val="FootnoteReference"/>
          <w:rFonts w:ascii="Times New Roman" w:hAnsi="Times New Roman"/>
          <w:noProof/>
          <w:sz w:val="24"/>
        </w:rPr>
        <w:footnoteReference w:id="8"/>
      </w:r>
      <w:r>
        <w:rPr>
          <w:rFonts w:ascii="Times New Roman" w:hAnsi="Times New Roman"/>
          <w:noProof/>
          <w:sz w:val="24"/>
        </w:rPr>
        <w:t xml:space="preserve"> izriet turpmāk norādītais.</w:t>
      </w:r>
    </w:p>
    <w:p>
      <w:pPr>
        <w:numPr>
          <w:ilvl w:val="0"/>
          <w:numId w:val="9"/>
        </w:numPr>
        <w:autoSpaceDE w:val="0"/>
        <w:autoSpaceDN w:val="0"/>
        <w:adjustRightInd w:val="0"/>
        <w:spacing w:line="240" w:lineRule="auto"/>
        <w:ind w:left="709" w:hanging="291"/>
        <w:jc w:val="both"/>
        <w:rPr>
          <w:rFonts w:ascii="Times New Roman" w:hAnsi="Times New Roman"/>
          <w:iCs/>
          <w:noProof/>
          <w:sz w:val="24"/>
          <w:szCs w:val="24"/>
        </w:rPr>
      </w:pPr>
      <w:r>
        <w:rPr>
          <w:rFonts w:ascii="Times New Roman" w:hAnsi="Times New Roman"/>
          <w:b/>
          <w:noProof/>
          <w:sz w:val="24"/>
        </w:rPr>
        <w:t>Tirgū pieejamo sprāgstvielu prekursoru apjoms ir mazinājies.</w:t>
      </w:r>
      <w:r>
        <w:rPr>
          <w:rFonts w:ascii="Times New Roman" w:hAnsi="Times New Roman"/>
          <w:noProof/>
          <w:sz w:val="24"/>
        </w:rPr>
        <w:t xml:space="preserve"> Tas daļēji ir tāpēc, ka daudzi ekonomikas dalībnieki piemēro ierobežojumus, un daļēji tāpēc, ka daži ražotāji brīvprātīgi ir apturējuši to izgatavošanu un daži ekonomikas dalībnieki ir pārstājuši tos tirgot. Piegādes ķēde nav ziņojusi, ka tādēļ būtu radušies būtiski traucējumi vai saimnieciski zaudējumi. Dažās dalībvalstīs, kas uztur licencēšanas režīmus, iestādes ir arī ziņojušas, ka licenču pieteikumu skaits šobrīd ir būtiski zemāks, nekā tas ir bijis Regulas piemērošanas pirmajā gadā. Tas liecina, ka plašas sabiedrības locekļi ir veiksmīgi pielāgojuši alternatīvas vielas (kas nav sprādzienbīstamas), lai turpinātu savas likumīgās neprofesionālās darbības.</w:t>
      </w:r>
    </w:p>
    <w:p>
      <w:pPr>
        <w:numPr>
          <w:ilvl w:val="0"/>
          <w:numId w:val="9"/>
        </w:numPr>
        <w:autoSpaceDE w:val="0"/>
        <w:autoSpaceDN w:val="0"/>
        <w:adjustRightInd w:val="0"/>
        <w:spacing w:line="240" w:lineRule="auto"/>
        <w:ind w:left="709" w:hanging="291"/>
        <w:jc w:val="both"/>
        <w:rPr>
          <w:rFonts w:ascii="Times New Roman" w:hAnsi="Times New Roman"/>
          <w:iCs/>
          <w:noProof/>
          <w:sz w:val="24"/>
          <w:szCs w:val="24"/>
        </w:rPr>
      </w:pPr>
      <w:r>
        <w:rPr>
          <w:rFonts w:ascii="Times New Roman" w:hAnsi="Times New Roman"/>
          <w:b/>
          <w:noProof/>
          <w:sz w:val="24"/>
        </w:rPr>
        <w:t>Ir palielinājusies kompetento un tiesībaizsardzības iestāžu spēja izmeklēt aizdomīgus starpgadījumus, kuros iesaistīti sprāgstvielu prekursori.</w:t>
      </w:r>
      <w:r>
        <w:rPr>
          <w:rFonts w:ascii="Times New Roman" w:hAnsi="Times New Roman"/>
          <w:noProof/>
          <w:sz w:val="24"/>
        </w:rPr>
        <w:t xml:space="preserve"> Dalībvalstis ir ziņojušas, ka palielinājies aizdomīgu darījumu, pazušanas gadījumu un zādzību ziņojumu skaits, jo ekonomikas dalībnieki, kuri rīkojas ar sprāgstvielu prekursoriem, ir kļuvuši informētāki. Turklāt dažas dalībvalstis </w:t>
      </w:r>
      <w:r>
        <w:rPr>
          <w:rFonts w:ascii="Times New Roman" w:hAnsi="Times New Roman"/>
          <w:i/>
          <w:noProof/>
          <w:sz w:val="24"/>
        </w:rPr>
        <w:t>ad hoc</w:t>
      </w:r>
      <w:r>
        <w:rPr>
          <w:rFonts w:ascii="Times New Roman" w:hAnsi="Times New Roman"/>
          <w:noProof/>
          <w:sz w:val="24"/>
        </w:rPr>
        <w:t xml:space="preserve"> kārtībā ir apmainījušās ar informāciju par ziņojumiem un atteiktajām licencēm. Visbeidzot, dalībvalstīs, kas uztur licencēšanas režīmus, kompetentās iestādes labāk saprot, kādu plašas sabiedrības locekļu rīcībā ir ierobežotās vielas un kādos nolūkos viņi tās izmanto.</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Vēl nav iespējams sīkāk novērtēt šīs regulas ietekmi. Tomēr dalībvalstu ziņoto starpgadījumu skaits liecina, ka Regulas piemērošana ir veicinājusi centienus novērst terora aktus, kuru veikšanai izmantoti pašdarināti spridzekļi.</w:t>
      </w:r>
    </w:p>
    <w:p>
      <w:pPr>
        <w:autoSpaceDE w:val="0"/>
        <w:autoSpaceDN w:val="0"/>
        <w:adjustRightInd w:val="0"/>
        <w:spacing w:line="240" w:lineRule="auto"/>
        <w:jc w:val="both"/>
        <w:rPr>
          <w:rFonts w:ascii="Times New Roman" w:hAnsi="Times New Roman"/>
          <w:b/>
          <w:iCs/>
          <w:noProof/>
          <w:sz w:val="24"/>
          <w:szCs w:val="24"/>
        </w:rPr>
      </w:pPr>
      <w:r>
        <w:rPr>
          <w:rFonts w:ascii="Times New Roman" w:hAnsi="Times New Roman"/>
          <w:b/>
          <w:noProof/>
          <w:sz w:val="24"/>
        </w:rPr>
        <w:t>3.1.</w:t>
      </w:r>
      <w:r>
        <w:rPr>
          <w:noProof/>
        </w:rPr>
        <w:tab/>
      </w:r>
      <w:r>
        <w:rPr>
          <w:rFonts w:ascii="Times New Roman" w:hAnsi="Times New Roman"/>
          <w:b/>
          <w:noProof/>
          <w:sz w:val="24"/>
        </w:rPr>
        <w:t>Izaicinājumi saistībā ar Regulas piemērošanu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Lai arī Regula kopumā ir pozitīvi ietekmējusi to, ka samazinās sprāgstvielu prekursoru pieejamība un palielinās to kontrole, tās piemērošana ir radījusi arī vairākas problēmas un izaicinājumus. Šajā sadaļā minētie piemēri nenozīmē, ka ar šīm problēmām ir saskārušās visas vai gandrīz visas dalībvalstis un ekonomikas dalībnieki. Tomēr tiem ir pietiekami plaša ietekme, kas nav attiecināma uz katras atsevišķas dalībvalsts vai dalībnieka konkrētajiem apstākļiem.</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Dalībvalsts kompetento iestāžu</w:t>
      </w:r>
      <w:r>
        <w:rPr>
          <w:rFonts w:ascii="Times New Roman" w:hAnsi="Times New Roman"/>
          <w:noProof/>
          <w:sz w:val="24"/>
        </w:rPr>
        <w:t xml:space="preserve"> galvenā problēma ir tā, ka ir liels skaits ekonomikas dalībnieku, kurus ietekmē Regulas ierobežojumi un kontrole. Tā kā daudzas ķīmiskās vielas un maisījumi, uz kuriem attiecas Regula, ir mājsaimniecības izstrādājumi, piegādes ķēde ir būtiski lielāka, nekā tā ir citiem izstrādājumiem, kam piemērojami īpaši kontroles pasākumi (piemēram, narkotisko vielu prekursoriem). Tāpēc kompetentajām iestādēm ir problemātiski sasniegt visus sprāgstvielu prekursoru piegādes ķēdē iesaistītos ekonomikas dalībniekus, lai informētu viņus par viņu pienākumiem. Tomēr kompetentās iestādes sadarbībā ar asociācijām, kas pārstāv ķīmijas rūpniecību un mazumtirdzniecības nozari, ir īstenojušas informētības veicināšanas kampaņas un iesaistījušas dažādu jomu ekonomikas dalībniekus — sākot no ražotājiem līdz mazumtirgotājiem, no lieliem uzņēmumiem līdz maziem neatkarīgiem veikaliem un no interneta tirgotājiem līdz fiziskiem tirdzniecības punktiem.</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Dalībvalstu iestādēm ir bijis problemātiski arī piemērot ierobežojumus un kontroli tirdzniecībai internetā, importam un apritei ES iekšienē. Liela apjoma produkcija bieži vien tiek transportēta un pārdota lielos daudzumos (piemēram, mēslojums), un tāpēc to ir salīdzinoši vieglāk identificēt un kontrolēt. Savukārt citi produkti tiek pārdoti mazos daudzumos un apjomos, tāpēc tos ir grūtāk izsekot, kad tie tiek transportēti pa jūru vai autoceļiem uz Eiropu un tās iekšienē. Lai risinātu šo problēmu, tiesībaizsardzības un muitas iestādes pieliek lielākas pūles, lai identificētu nelikumīgas iegādes vai iegūšanas valdījumā gadījumus, piemēram, paaugstinot iestāžu savstarpējo sadarbību un informācijas apmaiņu ES mērogā.</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Ekonomikas dalībniekiem</w:t>
      </w:r>
      <w:r>
        <w:rPr>
          <w:rFonts w:ascii="Times New Roman" w:hAnsi="Times New Roman"/>
          <w:noProof/>
          <w:sz w:val="24"/>
        </w:rPr>
        <w:t>, jo īpaši tiem, kuri darbojas mazumtirdzniecības nozarē, lielākā problēma ir identificēt ražojumus, kas ietilpst Regulas piemērošanas jomā. Ražojumi, kuru sastāvā ir ierobežotie sprāgstvielu prekursori, ir attiecīgi jāmarķē. Ja tas netiek laikus izdarīts piegādes ķēdes sākumposmā, ekonomikas dalībniekiem mazumtirdzniecības līmenī ir grūti pienācīgi pārliecināties, ka marķējums ir piestiprināts un ka uz ražojumu attiecas ierobežojumi. Turklāt Regulas II pielikumā uzskaitītie sprāgstvielu prekursori, kas netiek ierobežoti, nav jāmarķē. Ekonomikas dalībniekiem, jo īpaši tiem, kuriem ir liela personāla mainība, ir jāveltī daudz laika, lai identificētu ražojumus, kam jāpievērš uzmanība, un attiecīgi apmācītu savu personālu.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Ekonomikas dalībniekiem, kuri nodarbojas ar uzņēmējdarbību citās ES dalībvalstīs, arī ir jāpārvar problēmas, jo jāpiemērojas katras dalībvalsts konkrētajam režīmam, kas dalībvalstīs ir atšķirīgs. Regulā atļauts dalībvalstu iestādēm noteikt galvenos regulas piemērošanas aspektus savā teritorijā. Tādējādi ekonomikas dalībniekiem ir jābūt informētiem, kāda veida režīms tiek piemērots konkrētajā dalībvalstī, kurai paredzēts produkts, un attiecīgi jāreģistrē tirdzniecība, jāpārbauda licence vai jāaizliedz tirdzniecība. Daži uzņēmumi ir izstrādājuši stingras, pienācīgi rūpīgas iekšējās procedūras, kas atvieglina sarežģītā tiesiskā regulējuma izpildi. Savukārt uzņēmumiem, kuriem šādu procedūru nav un kuri bieži vien ir mazāki uzņēmumi, tas ir laikietilpīgs process.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Visbeidzot, ekonomikas dalībnieki, kuri pārdod produkciju gan plašai sabiedrībai, gan cita veida galalietotājiem, ir ziņojuši par grūtībām ar pienācīgu ticamību novērtēt, vai persona, kura iegādājas ierobežoto vielu, to dara ar tirdzniecību, uzņēmējdarbību, profesiju saistītā nolūkā vai kādā citādā nolūkā. Patiešām, Regulā nav noteikti kritēriji, lai novērtētu, kas kvalificējams par profesionālu lietojumu, vai lai pārbaudītu profesionālās darbības pilnvaras. Šie apsvērumi ir dalībvalstu iestāžu ziņā, tādēļ dažādās teritorijās var būt atšķirīgi kritēriji.</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 xml:space="preserve">Komisijai </w:t>
      </w:r>
      <w:r>
        <w:rPr>
          <w:rFonts w:ascii="Times New Roman" w:hAnsi="Times New Roman"/>
          <w:noProof/>
          <w:sz w:val="24"/>
        </w:rPr>
        <w:t xml:space="preserve">pastāvīgs izaicinājums ir spēt sekot mainīgajam drošības apdraudējumam. Lai pielāgotu Regulu attiecībā uz jauniem ķīmisko vielu lietošanas veidiem vai jaunām uzskaitīto vielu koncentrācijām, Komisija izmanto dalībvalstu sniegto informāciju un datus. 2016. gadā ar </w:t>
      </w:r>
      <w:r>
        <w:rPr>
          <w:rFonts w:ascii="Times New Roman" w:hAnsi="Times New Roman"/>
          <w:i/>
          <w:noProof/>
          <w:sz w:val="24"/>
        </w:rPr>
        <w:t>SCP</w:t>
      </w:r>
      <w:r>
        <w:rPr>
          <w:rFonts w:ascii="Times New Roman" w:hAnsi="Times New Roman"/>
          <w:noProof/>
          <w:sz w:val="24"/>
        </w:rPr>
        <w:t xml:space="preserve"> centieniem tika panākts, ka II pielikumā tika iekļautas trīs vielas, kas rada apdraudējumu (sk. 4. sadaļu).</w:t>
      </w:r>
    </w:p>
    <w:p>
      <w:pPr>
        <w:tabs>
          <w:tab w:val="left" w:pos="5184"/>
        </w:tabs>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Minēto izaicinājumu risināšana ir Komisijas galvenā prioritāte. Ciešā sadarbībā ar</w:t>
      </w:r>
      <w:r>
        <w:rPr>
          <w:rFonts w:ascii="Times New Roman" w:hAnsi="Times New Roman"/>
          <w:i/>
          <w:noProof/>
          <w:sz w:val="24"/>
        </w:rPr>
        <w:t xml:space="preserve"> SCP</w:t>
      </w:r>
      <w:r>
        <w:rPr>
          <w:rFonts w:ascii="Times New Roman" w:hAnsi="Times New Roman"/>
          <w:noProof/>
          <w:sz w:val="24"/>
        </w:rPr>
        <w:t xml:space="preserve"> Komisija izmantos tās rīcībā esošos rīkus (tostarp tiesību aktus, vadlīnijas un praktisko atbalstu), lai uzlabotu dalībvalstu iestāžu un ekonomikas dalībnieku spēju ar pilnu atbildību veikt savus pienākumus.</w:t>
      </w:r>
    </w:p>
    <w:p>
      <w:pPr>
        <w:autoSpaceDE w:val="0"/>
        <w:autoSpaceDN w:val="0"/>
        <w:adjustRightInd w:val="0"/>
        <w:spacing w:line="240" w:lineRule="auto"/>
        <w:jc w:val="both"/>
        <w:rPr>
          <w:rFonts w:ascii="Times New Roman" w:hAnsi="Times New Roman"/>
          <w:b/>
          <w:iCs/>
          <w:noProof/>
          <w:sz w:val="24"/>
          <w:szCs w:val="24"/>
        </w:rPr>
      </w:pPr>
      <w:r>
        <w:rPr>
          <w:rFonts w:ascii="Times New Roman" w:hAnsi="Times New Roman"/>
          <w:b/>
          <w:noProof/>
          <w:sz w:val="24"/>
        </w:rPr>
        <w:t>3.2.</w:t>
      </w:r>
      <w:r>
        <w:rPr>
          <w:noProof/>
        </w:rPr>
        <w:tab/>
      </w:r>
      <w:r>
        <w:rPr>
          <w:rFonts w:ascii="Times New Roman" w:hAnsi="Times New Roman"/>
          <w:b/>
          <w:noProof/>
          <w:sz w:val="24"/>
        </w:rPr>
        <w:t>Sistēmas turpmākas stiprināšanas un saskaņošanas vēlamība un iespējamība</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Apdraudējums, ko rada teroristi, kuri izgatavo pašdarinātus spridzekļus no ķīmiskām vielām, kurās ir sprāgstvielu prekursori, joprojām ir augsts un pastāvīgi mainās. Komisijas prioritāte papildus tam, ka ir pilnībā jāīsteno jau spēkā esošie noteikumi, ir izvērtēt, kādi pasākumi un rīcība varētu stiprināt sistēmu nākotnē</w:t>
      </w:r>
      <w:r>
        <w:rPr>
          <w:rStyle w:val="FootnoteReference"/>
          <w:rFonts w:ascii="Times New Roman" w:hAnsi="Times New Roman"/>
          <w:noProof/>
          <w:sz w:val="24"/>
        </w:rPr>
        <w:footnoteReference w:id="9"/>
      </w:r>
      <w:r>
        <w:rPr>
          <w:noProof/>
        </w:rPr>
        <w:t>.</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Regulas grozījumi var radīt papildu slogu valsts iestādēm, ekonomikas dalībniekiem un patērētājiem. Lai nodrošinātu, ka slogs nav nesamērīgs ar nospraustajiem mērķiem, Komisija 2017. gadā novērtēs ietekmi, kā arī visu ieinteresēto personu izmaksas un ieguvumus un iespējas vienkāršot pasākumus, kuru mērķis ir:</w:t>
      </w:r>
    </w:p>
    <w:p>
      <w:pPr>
        <w:numPr>
          <w:ilvl w:val="0"/>
          <w:numId w:val="12"/>
        </w:num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pastiprināt ierobežojumus un kontroli, Regulas darbības jomā iekļaujot jaunas vielas</w:t>
      </w:r>
      <w:r>
        <w:rPr>
          <w:rFonts w:ascii="Times New Roman" w:hAnsi="Times New Roman"/>
          <w:noProof/>
          <w:sz w:val="24"/>
        </w:rPr>
        <w:t>, kas rada bažas, un pastiprinot ierobežojumus vielām, uz kurām Regula jau attiecas;</w:t>
      </w:r>
    </w:p>
    <w:p>
      <w:pPr>
        <w:numPr>
          <w:ilvl w:val="0"/>
          <w:numId w:val="12"/>
        </w:num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palielināt dalībvalstu kompetento iestāžu spēju pārraudzīt sprāgstvielu prekursoru tirdzniecību un valdījumu.</w:t>
      </w:r>
      <w:r>
        <w:rPr>
          <w:rFonts w:ascii="Times New Roman" w:hAnsi="Times New Roman"/>
          <w:noProof/>
          <w:sz w:val="24"/>
        </w:rPr>
        <w:t xml:space="preserve"> Kompetentajām iestādēm būtu jāzina, kuri ekonomikas dalībnieki dara tirgū pieejamus sprāgstvielu prekursorus un kuras privātpersonas ierobežotos sprāgstvielu prekursorus iegādājas, tur savā valdījumā un izmanto. Šīs privātpersonas ir plašas sabiedrības locekļi un personas, kuras rīkojas saistībā ar savu profesiju. Paturot prātā šo mērķi, Komisija pārbaudīs, kādu ietekmi radīs tādi pasākumi kā prasība kompetentajām iestādēm reģistrēt ekonomikas dalībniekus un prasība ekonomikas dalībniekiem regulāri iesniegt kompetentajām iestādēm savu darījumu reģistrus. Komisija arī izvērtēs ietekmi, ko rada kopīgu licencēšanas kritēriju izstrāde, licenču piešķiršanas un atteikšanas nosacījumu saskaņošana un dalībvalstu savstarpējās atzīšanas veicināšana;</w:t>
      </w:r>
    </w:p>
    <w:p>
      <w:pPr>
        <w:numPr>
          <w:ilvl w:val="0"/>
          <w:numId w:val="12"/>
        </w:num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palielināt dalībvalstu kompetento un tiesībaizsardzības iestāžu spēju noteikt un izmeklēt iespējamos Regulas pārkāpumus.</w:t>
      </w:r>
      <w:r>
        <w:rPr>
          <w:rFonts w:ascii="Times New Roman" w:hAnsi="Times New Roman"/>
          <w:noProof/>
          <w:sz w:val="24"/>
        </w:rPr>
        <w:t xml:space="preserve"> Komisija izvērtēs pasākumus, kas veicami, lai stiprinātu aizdomīgu darījumu, pazušanas gadījumu un zādzību ziņošanas sistēmu, piemēram, nodrošinot tādas informācijas apmaiņu, kas varētu būt nozīmīga pārrobežu kontekstā. Komisija arī izvērtēs pasākumus, kas veicami, lai stiprinātu sistēmu attiecībā uz sprāgstvielu prekursoru ievešanu no trešajām valstīm (t. i., importu) un muitas iestāžu operatīvo nozīmi pie Savienības ārējām robežām;</w:t>
      </w:r>
    </w:p>
    <w:p>
      <w:pPr>
        <w:numPr>
          <w:ilvl w:val="0"/>
          <w:numId w:val="12"/>
        </w:num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palielināt ekonomikas dalībnieku spēju visā piegādes ķēdē.</w:t>
      </w:r>
      <w:r>
        <w:rPr>
          <w:rFonts w:ascii="Times New Roman" w:hAnsi="Times New Roman"/>
          <w:noProof/>
          <w:sz w:val="24"/>
        </w:rPr>
        <w:t xml:space="preserve"> Komisija izvērtēs pasākumus, kas veicami, lai uzlabotu informācijas nodošanu visā ķīmisko vielu ražošanas un mazumtirdzniecības piegādes ķēdē, piemēram, atkārtoti novērtējot regulas noteikumus attiecībā uz marķēšanu. Iespēju robežās Komisija centīsies samazināt juridisko nenoteiktību ekonomikas dalībniekiem.</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Vienlaikus Komisija pārskatīs ar amonija nitrātu saistīto noteikumu pārnesi no </w:t>
      </w:r>
      <w:r>
        <w:rPr>
          <w:rFonts w:ascii="Times New Roman" w:hAnsi="Times New Roman"/>
          <w:i/>
          <w:noProof/>
          <w:sz w:val="24"/>
        </w:rPr>
        <w:t>REACH</w:t>
      </w:r>
      <w:r>
        <w:rPr>
          <w:rFonts w:ascii="Times New Roman" w:hAnsi="Times New Roman"/>
          <w:noProof/>
          <w:sz w:val="24"/>
        </w:rPr>
        <w:t xml:space="preserve"> (EK Regula 1907/2006)</w:t>
      </w:r>
      <w:r>
        <w:rPr>
          <w:rStyle w:val="FootnoteReference"/>
          <w:rFonts w:ascii="Times New Roman" w:hAnsi="Times New Roman"/>
          <w:noProof/>
          <w:sz w:val="24"/>
        </w:rPr>
        <w:footnoteReference w:id="10"/>
      </w:r>
      <w:r>
        <w:rPr>
          <w:rFonts w:ascii="Times New Roman" w:hAnsi="Times New Roman"/>
          <w:noProof/>
          <w:sz w:val="24"/>
        </w:rPr>
        <w:t xml:space="preserve"> uz regulu</w:t>
      </w:r>
      <w:r>
        <w:rPr>
          <w:rStyle w:val="FootnoteReference"/>
          <w:rFonts w:ascii="Times New Roman" w:hAnsi="Times New Roman"/>
          <w:noProof/>
          <w:sz w:val="24"/>
        </w:rPr>
        <w:footnoteReference w:id="11"/>
      </w:r>
      <w:r>
        <w:rPr>
          <w:rFonts w:ascii="Times New Roman" w:hAnsi="Times New Roman"/>
          <w:noProof/>
          <w:sz w:val="24"/>
        </w:rPr>
        <w:t xml:space="preserve"> un, kā noteikts tās Pirmajā progresa ziņojumā virzībā uz efektīvu un patiesu drošības savienību</w:t>
      </w:r>
      <w:r>
        <w:rPr>
          <w:rStyle w:val="FootnoteReference"/>
          <w:rFonts w:ascii="Times New Roman" w:hAnsi="Times New Roman"/>
          <w:noProof/>
          <w:sz w:val="24"/>
        </w:rPr>
        <w:footnoteReference w:id="12"/>
      </w:r>
      <w:r>
        <w:rPr>
          <w:rFonts w:ascii="Times New Roman" w:hAnsi="Times New Roman"/>
          <w:noProof/>
          <w:sz w:val="24"/>
        </w:rPr>
        <w:t>, arī pārbaudīs, kādus rezultātus ir devuši ES finansētie pētniecības projekti, kuriem ir potenciāls samazināt draudus, ko rada pašdarināti spridzekļi, piemēram, novēršot noteiktu ķīmisko vielu un izstrādājumu sprādzienbīstamību.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Komisija izvērtēs arī ar likumdošanu nesaistītas darbības, kas var turpmāk stiprināt sistēmu. Piemēram, tā to darīs, stiprinot Eiropola lomu, izveidojot </w:t>
      </w:r>
      <w:r>
        <w:rPr>
          <w:rFonts w:ascii="Times New Roman" w:hAnsi="Times New Roman"/>
          <w:i/>
          <w:noProof/>
          <w:sz w:val="24"/>
        </w:rPr>
        <w:t>SCP ad hoc</w:t>
      </w:r>
      <w:r>
        <w:rPr>
          <w:rFonts w:ascii="Times New Roman" w:hAnsi="Times New Roman"/>
          <w:noProof/>
          <w:sz w:val="24"/>
        </w:rPr>
        <w:t xml:space="preserve"> apakšgrupas, lai apspriestu konkrētas problēmas (piemēram, interneta tirdzniecības pieejamību un kontroli vai muitas lomu), veicinot valsts kontaktpunktu sanāksmes un atbalstot centienus uzlabot sadarbību reģionālajā līmenī.</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3.3.</w:t>
      </w:r>
      <w:r>
        <w:rPr>
          <w:noProof/>
        </w:rPr>
        <w:tab/>
      </w:r>
      <w:r>
        <w:rPr>
          <w:rFonts w:ascii="Times New Roman" w:hAnsi="Times New Roman"/>
          <w:b/>
          <w:noProof/>
          <w:sz w:val="24"/>
        </w:rPr>
        <w:t>Regulas darbības jomas paplašināšanas vēlamība un iespējamība, lai iekļautu tajā profesionālos lietotājus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Regulā noteiktie ierobežojumi attiecas tikai uz “plašas sabiedrības locekļiem”. Personām, kuras darbojas ar tirdzniecību, uzņēmējdarbību vai profesiju saistītos nolūkos (parasti tiek dēvētas par “profesionālajiem lietotājiem”), joprojām ir neierobežota pieeja ierobežotajiem sprāgstvielu prekursoriem.</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Profesionālajiem lietotājiem ir piemērots atbrīvojums tāpēc, ka 1) tiek pieņemts, ka šī lietotāju kategorija nelikumīgi neizmantotu sprāgstvielu prekursorus, lai izgatavotu pašdarinātus spridzekļus un/vai 2) tiek uzskatīts, ka ekonomikas dalībniekiem būtu nesamērīgs slogs, ja ierobežojumi tiktu attiecināti uz šo lietotāju kategoriju.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Komisija tomēr uzskata, ka ir iespējamas drošības nepilnības, atbrīvojot profesionālos lietotājus no regulā noteiktajiem ierobežojumiem. Tāpēc Komisija izvērtēs, kādu ietekmi radīs jaunie pasākumi, kas paplašinās regulas darbības jomu, iekļaujot tajā profesionālos lietotājus, vienlaikus tā rūpīgi pārbaudīs ekonomikas dalībniekiem uzlikto slogu. Piemēram, varētu prasīt, ka ekonomikas dalībniekiem ir jāreģistrē visi darījumi ar profesionālajiem lietotājiem un šie pieraksti ir jādara pieejami kompetento iestāžu inspekcijai.</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Minētais pasākums varētu sniegt kompetentajām un tiesībaizsardzības iestādēm labāku ainu par to, kas piekļūst kādiem prekursoriem un kādā nolūkā. Tas varētu arī veicināt agrīnu izmeklēšanu un saukšanu pie atbildības par iespējamu ļaunprātīgu izmantošanu.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Turklāt Komisija izvērtēs iespēju ieviest saskaņotu termina “profesionāls lietotājs” definīciju un vienotus kritērijus, lai noteiktu, kas ir kvalificējams kā profesionāls lietotājs, un pārbaudītu profesionālā lietotāja pilnvaras.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b/>
          <w:noProof/>
          <w:sz w:val="24"/>
        </w:rPr>
        <w:t>3.4.</w:t>
      </w:r>
      <w:r>
        <w:rPr>
          <w:noProof/>
        </w:rPr>
        <w:tab/>
      </w:r>
      <w:r>
        <w:rPr>
          <w:rFonts w:ascii="Times New Roman" w:hAnsi="Times New Roman"/>
          <w:b/>
          <w:noProof/>
          <w:sz w:val="24"/>
        </w:rPr>
        <w:t>Sarakstā neiekļautu sprāgstvielu prekursoru iekļaušanas vēlamība un iespējamība noteikumos par aizdomīgu darījumu, pazušanas gadījumu un zādzību ziņošanu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Komisija neparedz piemērot noteikumus par aizdomīgu darījumu, pazušanas gadījumu un zādzību ziņošanu attiecībā uz sarakstā neiekļautu sprāgstvielu prekursoru vispārējo kategoriju. Ja tas tiktu darīts, tas būtu nesamērīgs slogs un nepamatots nenoteiktības līmenis ekonomikas dalībniekiem, kuri var arī nezināt, kādas ķīmiskas vielas var konkrētajā laikā izmantot kā sprāgstvielu prekursorus.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Tomēr Komisija uzskata, ka ir svarīgi atjaunināt II pielikumu pēc vajadzības, lai iekļautu tajā konkrētas vielas, kas rada apdraudējumu kā sprāgstvielu prekursori, un šajā sakarībā jau ir izmantojusi savas pilnvaras, lai pieņemtu deleģētos aktus (sk. 4. sadaļu).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Turklāt Komisija novērtēs, cik būtiski ir papildināt vielu kategorijas II pielikumā. Piemēram, tā novērtēs ietekmi, tostarp ekonomisko ietekmi, ko rada visu uzskaitīto nitrāta sāļu hidrātu iekļaušana, līdzīgā veidā kā Regulā (EK) Nr. 273/2004 tas ir noteikts attiecībā uz narkotisko vielu prekursoru sāļiem</w:t>
      </w:r>
      <w:r>
        <w:rPr>
          <w:rStyle w:val="FootnoteReference"/>
          <w:rFonts w:ascii="Times New Roman" w:hAnsi="Times New Roman"/>
          <w:noProof/>
          <w:sz w:val="24"/>
        </w:rPr>
        <w:footnoteReference w:id="13"/>
      </w:r>
      <w:r>
        <w:rPr>
          <w:rFonts w:ascii="Times New Roman" w:hAnsi="Times New Roman"/>
          <w:noProof/>
          <w:sz w:val="24"/>
        </w:rPr>
        <w:t>, kā arī visu mēslošanas līdzekļu ar augstu slāpekļa saturu iekļaušana.</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Minētie papildinājumi varētu novērst regulas pašreizējas nepilnības un arī atvieglot ekonomikas dalībnieku uzdevumu, vienkāršojot norādījumus par to, kuras vielas ir interešu lokā. Komisija pirms priekšlikuma pieņemšanas tomēr vispirms novērtēs, kā tieši šie papildinājumi ietekmēs piegādes ķēdi.</w:t>
      </w:r>
    </w:p>
    <w:p>
      <w:pPr>
        <w:autoSpaceDE w:val="0"/>
        <w:autoSpaceDN w:val="0"/>
        <w:adjustRightInd w:val="0"/>
        <w:spacing w:line="240" w:lineRule="auto"/>
        <w:jc w:val="both"/>
        <w:rPr>
          <w:rFonts w:ascii="Times New Roman" w:hAnsi="Times New Roman"/>
          <w:b/>
          <w:iCs/>
          <w:noProof/>
          <w:sz w:val="24"/>
          <w:szCs w:val="24"/>
        </w:rPr>
      </w:pPr>
      <w:r>
        <w:rPr>
          <w:rFonts w:ascii="Times New Roman" w:hAnsi="Times New Roman"/>
          <w:b/>
          <w:noProof/>
          <w:sz w:val="24"/>
        </w:rPr>
        <w:t>4.</w:t>
      </w:r>
      <w:r>
        <w:rPr>
          <w:noProof/>
        </w:rPr>
        <w:tab/>
      </w:r>
      <w:r>
        <w:rPr>
          <w:rFonts w:ascii="Times New Roman" w:hAnsi="Times New Roman"/>
          <w:b/>
          <w:noProof/>
          <w:sz w:val="24"/>
        </w:rPr>
        <w:t>PILNVARU ĪSTENOŠANA SAISTĪBĀ AR DELEĢĒTO AKTU PIEŅEMŠANU</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Saskaņā ar regulas 12. pantu Komisija ir pilnvarota pieņemt deleģētos aktus attiecībā uz izmaiņām I pielikumā noteiktajās robežvērtībās, ciktāl tas nepieciešams, lai pielāgotos tendencēm vielu ļaunprātīgā izmantošanā par sprāgstvielu prekursoriem, vai arī balstoties uz pētījumiem un testēšanu. Tā var pieņemt deleģētos aktus arī attiecībā uz to, lai vajadzības gadījumā iekļautu vielas II pielikumā, lai pielāgotos tendencēm vielu ļaunprātīgā izmantošanā par sprāgstvielu prekursoriem.</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2016. gadā Komisija ir īstenojusi savas pilnvaras pieņemt deleģētos aktus, lai II pielikumā iekļautu trīs vielas:</w:t>
      </w:r>
    </w:p>
    <w:p>
      <w:pPr>
        <w:numPr>
          <w:ilvl w:val="0"/>
          <w:numId w:val="8"/>
        </w:numPr>
        <w:autoSpaceDE w:val="0"/>
        <w:autoSpaceDN w:val="0"/>
        <w:adjustRightInd w:val="0"/>
        <w:spacing w:line="240" w:lineRule="auto"/>
        <w:rPr>
          <w:rFonts w:ascii="Times New Roman" w:hAnsi="Times New Roman"/>
          <w:iCs/>
          <w:noProof/>
          <w:sz w:val="24"/>
          <w:szCs w:val="24"/>
        </w:rPr>
      </w:pPr>
      <w:r>
        <w:rPr>
          <w:rFonts w:ascii="Times New Roman" w:hAnsi="Times New Roman"/>
          <w:noProof/>
          <w:sz w:val="24"/>
        </w:rPr>
        <w:t>Komisijas Deleģētā regula (ES), ar ko groza Eiropas Parlamenta un Padomes Regulu (ES) Nr. 98/2013 attiecībā uz alumīnija pulvera iekļaušanu II pielikumā uzskaitīto sprāgstvielu prekursoru sarakstā</w:t>
      </w:r>
      <w:r>
        <w:rPr>
          <w:rStyle w:val="FootnoteReference"/>
          <w:rFonts w:ascii="Times New Roman" w:hAnsi="Times New Roman"/>
          <w:noProof/>
          <w:sz w:val="24"/>
        </w:rPr>
        <w:footnoteReference w:id="14"/>
      </w:r>
      <w:r>
        <w:rPr>
          <w:noProof/>
        </w:rPr>
        <w:t>;</w:t>
      </w:r>
    </w:p>
    <w:p>
      <w:pPr>
        <w:numPr>
          <w:ilvl w:val="0"/>
          <w:numId w:val="8"/>
        </w:numPr>
        <w:autoSpaceDE w:val="0"/>
        <w:autoSpaceDN w:val="0"/>
        <w:adjustRightInd w:val="0"/>
        <w:spacing w:line="240" w:lineRule="auto"/>
        <w:rPr>
          <w:rFonts w:ascii="Times New Roman" w:hAnsi="Times New Roman"/>
          <w:iCs/>
          <w:noProof/>
          <w:sz w:val="24"/>
          <w:szCs w:val="24"/>
        </w:rPr>
      </w:pPr>
      <w:r>
        <w:rPr>
          <w:rFonts w:ascii="Times New Roman" w:hAnsi="Times New Roman"/>
          <w:noProof/>
          <w:sz w:val="24"/>
        </w:rPr>
        <w:t>Komisijas Deleģētā regula (ES), ar ko groza Eiropas Parlamenta un Padomes Regulu (ES) Nr. 98/2013 attiecībā uz magnija nitrāta heksahidrāta iekļaušanu II pielikumā uzskaitīto sprāgstvielu prekursoru sarakstā</w:t>
      </w:r>
      <w:r>
        <w:rPr>
          <w:rStyle w:val="FootnoteReference"/>
          <w:rFonts w:ascii="Times New Roman" w:hAnsi="Times New Roman"/>
          <w:noProof/>
          <w:sz w:val="24"/>
        </w:rPr>
        <w:footnoteReference w:id="15"/>
      </w:r>
      <w:r>
        <w:rPr>
          <w:rFonts w:ascii="Times New Roman" w:hAnsi="Times New Roman"/>
          <w:noProof/>
          <w:sz w:val="24"/>
        </w:rPr>
        <w:t>; un</w:t>
      </w:r>
    </w:p>
    <w:p>
      <w:pPr>
        <w:numPr>
          <w:ilvl w:val="0"/>
          <w:numId w:val="8"/>
        </w:numPr>
        <w:autoSpaceDE w:val="0"/>
        <w:autoSpaceDN w:val="0"/>
        <w:adjustRightInd w:val="0"/>
        <w:spacing w:line="240" w:lineRule="auto"/>
        <w:rPr>
          <w:rFonts w:ascii="Times New Roman" w:hAnsi="Times New Roman"/>
          <w:iCs/>
          <w:noProof/>
          <w:sz w:val="24"/>
          <w:szCs w:val="24"/>
        </w:rPr>
      </w:pPr>
      <w:r>
        <w:rPr>
          <w:rFonts w:ascii="Times New Roman" w:hAnsi="Times New Roman"/>
          <w:noProof/>
          <w:sz w:val="24"/>
        </w:rPr>
        <w:t>Komisijas Deleģētā regula (ES), ar ko groza Eiropas Parlamenta un Padomes Regulu (ES) Nr. 98/2013 attiecībā uz magnija pulvera iekļaušanu II pielikumā uzskaitīto sprāgstvielu prekursoru sarakstā</w:t>
      </w:r>
      <w:r>
        <w:rPr>
          <w:rStyle w:val="FootnoteReference"/>
          <w:rFonts w:ascii="Times New Roman" w:hAnsi="Times New Roman"/>
          <w:noProof/>
          <w:sz w:val="24"/>
        </w:rPr>
        <w:footnoteReference w:id="16"/>
      </w:r>
      <w:r>
        <w:rPr>
          <w:noProof/>
        </w:rPr>
        <w:t>.</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Minēto vielu iekļaušanu II pielikuma sarakstā </w:t>
      </w:r>
      <w:r>
        <w:rPr>
          <w:rFonts w:ascii="Times New Roman" w:hAnsi="Times New Roman"/>
          <w:i/>
          <w:noProof/>
          <w:sz w:val="24"/>
        </w:rPr>
        <w:t>SCP</w:t>
      </w:r>
      <w:r>
        <w:rPr>
          <w:rFonts w:ascii="Times New Roman" w:hAnsi="Times New Roman"/>
          <w:noProof/>
          <w:sz w:val="24"/>
        </w:rPr>
        <w:t xml:space="preserve"> bija ierosinājušas dalībvalstis. Sagatavojot deleģētos aktus, Komisija apspriedās ar visām ieinteresētajām personām, jo īpaši ķīmiskās rūpniecības un mazumtirdzniecības nozares pārstāvjiem, kā noteikts regulā, un sniedza analīzi, kas apliecina, ka šo vielu iekļaušana nevarētu radīt nesamērīgu slogu ekonomikas dalībniekiem un patērētājiem. </w:t>
      </w:r>
      <w:r>
        <w:rPr>
          <w:rFonts w:ascii="Times New Roman" w:hAnsi="Times New Roman"/>
          <w:i/>
          <w:noProof/>
          <w:sz w:val="24"/>
        </w:rPr>
        <w:t>SCP</w:t>
      </w:r>
      <w:r>
        <w:rPr>
          <w:rFonts w:ascii="Times New Roman" w:hAnsi="Times New Roman"/>
          <w:noProof/>
          <w:sz w:val="24"/>
        </w:rPr>
        <w:t xml:space="preserve"> dalībnieki un novērotāji apsprieda un kopumā atbalstīja šos iekļāvumus. Pirms pieņemšanas Komisija iesniedza arī deleģēto aktu projektus publiskai apspriešanai</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Visā procedūru un lēmumu pieņemšanas procesā Komisija nodrošināja, ka attiecīgie dokumenti tika savlaicīgi un atbilstīgi nosūtīti Eiropas Parlamentam un Padomei.</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Laikposmā, uz kuru attiecas šis ziņojums, Komisija nav izmantojusi tai piešķirtās pilnvaras grozīt I pielikumā iekļautās robežvērtības.</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Lai arī Komisija pašlaik nav identificējusi papildu vielas, kurām būtu jāpiemēro ziņojumu sniegšanas prasības, vai ierobežoto sprāgstvielu prekursorus, kuriem būtu jāgroza robežvērtības, šāda vajadzība var rasties nākotnē, un var rasties vajadzība to risināt ātri ar deleģēto aktu starpniecību, lai garantētu sabiedrības drošību. Tāpēc Komisija uzskata, ka saskaņā ar regulu tai piešķirtās pilnvaras pieņemt deleģētos aktus būtu automātiski jāpagarina uz pieciem gadiem saskaņā ar regulas 14. panta 2. punktu.</w:t>
      </w:r>
    </w:p>
    <w:p>
      <w:pPr>
        <w:autoSpaceDE w:val="0"/>
        <w:autoSpaceDN w:val="0"/>
        <w:adjustRightInd w:val="0"/>
        <w:spacing w:line="240" w:lineRule="auto"/>
        <w:jc w:val="both"/>
        <w:rPr>
          <w:rFonts w:ascii="Times New Roman" w:hAnsi="Times New Roman"/>
          <w:b/>
          <w:iCs/>
          <w:noProof/>
          <w:sz w:val="24"/>
          <w:szCs w:val="24"/>
        </w:rPr>
      </w:pPr>
      <w:r>
        <w:rPr>
          <w:rFonts w:ascii="Times New Roman" w:hAnsi="Times New Roman"/>
          <w:b/>
          <w:noProof/>
          <w:sz w:val="24"/>
        </w:rPr>
        <w:t>5.</w:t>
      </w:r>
      <w:r>
        <w:rPr>
          <w:noProof/>
        </w:rPr>
        <w:tab/>
      </w:r>
      <w:r>
        <w:rPr>
          <w:rFonts w:ascii="Times New Roman" w:hAnsi="Times New Roman"/>
          <w:b/>
          <w:noProof/>
          <w:sz w:val="24"/>
        </w:rPr>
        <w:t>SECINĀJUMS</w:t>
      </w:r>
    </w:p>
    <w:p>
      <w:pPr>
        <w:spacing w:line="240" w:lineRule="auto"/>
        <w:jc w:val="both"/>
        <w:rPr>
          <w:rFonts w:ascii="Times New Roman" w:hAnsi="Times New Roman"/>
          <w:iCs/>
          <w:noProof/>
          <w:sz w:val="24"/>
          <w:szCs w:val="24"/>
        </w:rPr>
      </w:pPr>
      <w:r>
        <w:rPr>
          <w:rFonts w:ascii="Times New Roman" w:hAnsi="Times New Roman"/>
          <w:noProof/>
          <w:sz w:val="24"/>
        </w:rPr>
        <w:t>Regulas (ES) Nr. 98/2013 stāšanās spēkā ir sekmējusi to, ka ir mazāk pieejami bīstamu sprāgstvielu prekursori, kurus var ļaunprātīgi izmantot pašdarinātu spridzekļu izgatavošanā, jo ir ieviesti galveno interesējošo vielu ierobežojumi un kontrole. Draudi, ko rada pašdarināti spridzekļi, tomēr joprojām ir augsti un pastāvīgi mainās. Ņemot vērā, ka Savienībā ir brīva preču, personu un pakalpojumu aprite, Eiropas pilsoņi un iedzīvotāji sagaida, ka pret terorismu tiek īstenota rīcība visas ES mērogā. Tāpēc Komisijai, dalībvalstīm un sprāgstvielu prekursoru piegādes ķēdes dalībniekiem Eiropā ir kopīgi jāapvieno savi centieni pilnībā īstenot spēkā esošos noteikumus un noteikt, kādi pasākumi un rīcība varētu nākotnē stiprināt sistēmu pašdarināto spridzekļu jomā.</w:t>
      </w:r>
    </w:p>
    <w:p>
      <w:pPr>
        <w:spacing w:line="240" w:lineRule="auto"/>
        <w:jc w:val="both"/>
        <w:rPr>
          <w:noProof/>
          <w:color w:val="1F497D"/>
        </w:rPr>
      </w:pPr>
      <w:r>
        <w:rPr>
          <w:rFonts w:ascii="Times New Roman" w:hAnsi="Times New Roman"/>
          <w:noProof/>
          <w:sz w:val="24"/>
        </w:rPr>
        <w:t xml:space="preserve">Komisija ciešā sadarbībā ar </w:t>
      </w:r>
      <w:r>
        <w:rPr>
          <w:rFonts w:ascii="Times New Roman" w:hAnsi="Times New Roman"/>
          <w:i/>
          <w:noProof/>
          <w:sz w:val="24"/>
        </w:rPr>
        <w:t>SCP</w:t>
      </w:r>
      <w:r>
        <w:rPr>
          <w:rFonts w:ascii="Times New Roman" w:hAnsi="Times New Roman"/>
          <w:noProof/>
          <w:sz w:val="24"/>
        </w:rPr>
        <w:t xml:space="preserve"> jau ir sākusi pārskatīt regulu, iekļaujot II pielikumā trīs sprāgstvielu prekursoru vielas. Tas ir nozīmīgs solis, lai labāk kontrolētu bīstamās vielas. Tomēr, ņemot vērā īstenošanas praktisko pieredzi, kas gūta kopš 2014. gada 2. septembra, kā arī globālo attīstību, ir obligāti jāizvērtē regulas papildu grozījumi, lai palielinātu visu ierobežojumus un kontroli īstenojošo un izpildošo dalībnieku spēju. Šajā saistībā Komisija rūpīgi izvērtēs, kādu ietekmi atstās vairāki iespējamie jaunie pasākumi, ko varētu ierosināt tuvākajā laikā.</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OV L 39, 9.2.2013., 1. lpp.</w:t>
      </w:r>
    </w:p>
  </w:footnote>
  <w:footnote w:id="2">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Grupas norāde E03245, sk. </w:t>
      </w:r>
      <w:hyperlink r:id="rId1">
        <w:r>
          <w:rPr>
            <w:rStyle w:val="Hyperlink"/>
            <w:rFonts w:ascii="Times New Roman" w:hAnsi="Times New Roman"/>
          </w:rPr>
          <w:t>http://ec.europa.eu/transparency/regexpert/index.cfm?do=groupDetail.groupDetail&amp;groupID=3245&amp;NewSearch=1&amp;NewSearch=1</w:t>
        </w:r>
      </w:hyperlink>
      <w:r>
        <w:rPr>
          <w:rFonts w:ascii="Times New Roman" w:hAnsi="Times New Roman"/>
        </w:rPr>
        <w:t>.</w:t>
      </w:r>
    </w:p>
  </w:footnote>
  <w:footnote w:id="3">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Saskaņā ar Līguma par Eiropas Savienības darbību 258. pantu.</w:t>
      </w:r>
    </w:p>
  </w:footnote>
  <w:footnote w:id="4">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EBTA tiesas Lieta E-18/16.</w:t>
      </w:r>
    </w:p>
  </w:footnote>
  <w:footnote w:id="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Pasākumu saraksts ir pieejams </w:t>
      </w:r>
      <w:hyperlink r:id="rId2">
        <w:r>
          <w:rPr>
            <w:rStyle w:val="Hyperlink"/>
            <w:rFonts w:ascii="Times New Roman" w:hAnsi="Times New Roman"/>
          </w:rPr>
          <w:t>http://ec.europa.eu/dgs/home-affairs/what-we-do/policies/crisis-and-terrorism/explosives/explosives-precursors/index_en.htm</w:t>
        </w:r>
      </w:hyperlink>
      <w:r>
        <w:rPr>
          <w:rFonts w:ascii="Times New Roman" w:hAnsi="Times New Roman"/>
        </w:rPr>
        <w:t>.</w:t>
      </w:r>
    </w:p>
  </w:footnote>
  <w:footnote w:id="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Padomes Dokuments 8311/08.</w:t>
      </w:r>
    </w:p>
  </w:footnote>
  <w:footnote w:id="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http://ec.europa.eu/dgs/home-affairs/what-we-do/policies/crisis-and-terrorism/explosives/explosives-precursors/docs/guidelines_on_the_marketing_and_use_of_explosives_precursors_en.pdf</w:t>
        </w:r>
      </w:hyperlink>
      <w:r>
        <w:rPr>
          <w:rFonts w:ascii="Times New Roman" w:hAnsi="Times New Roman"/>
        </w:rPr>
        <w:t>.</w:t>
      </w:r>
    </w:p>
  </w:footnote>
  <w:footnote w:id="8">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Priekšizpēte par to, kā tiek īstenota Regula (ES) Nr. 98/2013 par sprāgstvielu prekursoru tirdzniecību un lietošanu (2016. gada novembris). Eiropas Komisijas vajadzībām to koordinēja </w:t>
      </w:r>
      <w:r>
        <w:rPr>
          <w:rFonts w:ascii="Times New Roman" w:hAnsi="Times New Roman"/>
          <w:i/>
        </w:rPr>
        <w:t>ENCO</w:t>
      </w:r>
      <w:r>
        <w:rPr>
          <w:rFonts w:ascii="Times New Roman" w:hAnsi="Times New Roman"/>
        </w:rPr>
        <w:t xml:space="preserve"> saskaņā ar Pakalpojumu pamatlīgumu HOME/2014/ISFP/PR/CBRN/0025 – 1. lote.</w:t>
      </w:r>
    </w:p>
  </w:footnote>
  <w:footnote w:id="9">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COM(2015) 624 </w:t>
      </w:r>
      <w:r>
        <w:rPr>
          <w:rFonts w:ascii="Times New Roman" w:hAnsi="Times New Roman"/>
          <w:i/>
        </w:rPr>
        <w:t>final</w:t>
      </w:r>
      <w:r>
        <w:rPr>
          <w:rFonts w:ascii="Times New Roman" w:hAnsi="Times New Roman"/>
        </w:rPr>
        <w:t>.</w:t>
      </w:r>
    </w:p>
  </w:footnote>
  <w:footnote w:id="10">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OV L 396, 30.12.2006., 1. lpp.</w:t>
      </w:r>
    </w:p>
  </w:footnote>
  <w:footnote w:id="1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Komisijas viedoklis par pārnesi tika pieprasīts saskaņā ar Regulas 18. panta 2. punktu un ir izklāstīts dokumentā COM(2015) 122 </w:t>
      </w:r>
      <w:r>
        <w:rPr>
          <w:rFonts w:ascii="Times New Roman" w:hAnsi="Times New Roman"/>
          <w:i/>
        </w:rPr>
        <w:t>final</w:t>
      </w:r>
      <w:r>
        <w:rPr>
          <w:rFonts w:ascii="Times New Roman" w:hAnsi="Times New Roman"/>
        </w:rPr>
        <w:t>.</w:t>
      </w:r>
    </w:p>
  </w:footnote>
  <w:footnote w:id="12">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COM(2016) 670 </w:t>
      </w:r>
      <w:r>
        <w:rPr>
          <w:rFonts w:ascii="Times New Roman" w:hAnsi="Times New Roman"/>
          <w:i/>
        </w:rPr>
        <w:t>final</w:t>
      </w:r>
      <w:r>
        <w:rPr>
          <w:rFonts w:ascii="Times New Roman" w:hAnsi="Times New Roman"/>
        </w:rPr>
        <w:t>.</w:t>
      </w:r>
    </w:p>
  </w:footnote>
  <w:footnote w:id="13">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Eiropas Parlamenta un Padomes 2004. gada 11. februāra Regula (EK) Nr. 273/2004 par narkotisko vielu prekursoriem (OV L 47, 18.2.2004., 1. lpp.).</w:t>
      </w:r>
    </w:p>
  </w:footnote>
  <w:footnote w:id="14">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C(2016) 7647 </w:t>
      </w:r>
      <w:r>
        <w:rPr>
          <w:rFonts w:ascii="Times New Roman" w:hAnsi="Times New Roman"/>
          <w:i/>
        </w:rPr>
        <w:t>final</w:t>
      </w:r>
      <w:r>
        <w:rPr>
          <w:rFonts w:ascii="Times New Roman" w:hAnsi="Times New Roman"/>
        </w:rPr>
        <w:t>.</w:t>
      </w:r>
    </w:p>
  </w:footnote>
  <w:footnote w:id="1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C(2016) 7650 </w:t>
      </w:r>
      <w:r>
        <w:rPr>
          <w:rFonts w:ascii="Times New Roman" w:hAnsi="Times New Roman"/>
          <w:i/>
        </w:rPr>
        <w:t>final</w:t>
      </w:r>
      <w:r>
        <w:rPr>
          <w:rFonts w:ascii="Times New Roman" w:hAnsi="Times New Roman"/>
        </w:rPr>
        <w:t>.</w:t>
      </w:r>
    </w:p>
  </w:footnote>
  <w:footnote w:id="1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C(2016) 7657 </w:t>
      </w:r>
      <w:r>
        <w:rPr>
          <w:rFonts w:ascii="Times New Roman" w:hAnsi="Times New Roman"/>
          <w:i/>
        </w:rPr>
        <w:t>final</w:t>
      </w:r>
      <w:r>
        <w:rPr>
          <w:rFonts w:ascii="Times New Roman" w:hAnsi="Times New Roman"/>
        </w:rPr>
        <w:t>.</w:t>
      </w:r>
    </w:p>
  </w:footnote>
  <w:footnote w:id="1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Labāka regulējuma darba kārtības ietvaros Komisija aicināja sabiedrību sniegt atsauksmes par tiesību akta projektu, kas bija publicēts </w:t>
      </w:r>
      <w:hyperlink r:id="rId4">
        <w:r>
          <w:rPr>
            <w:rStyle w:val="Hyperlink"/>
            <w:rFonts w:ascii="Times New Roman" w:hAnsi="Times New Roman"/>
          </w:rPr>
          <w:t>https://ec.europa.eu/info/law/better-regulation/share-your-views_en</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E3E"/>
    <w:multiLevelType w:val="hybridMultilevel"/>
    <w:tmpl w:val="31F4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81D6E"/>
    <w:multiLevelType w:val="hybridMultilevel"/>
    <w:tmpl w:val="7B9CB19E"/>
    <w:lvl w:ilvl="0" w:tplc="F9C497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A96205"/>
    <w:multiLevelType w:val="hybridMultilevel"/>
    <w:tmpl w:val="2E8AEF7A"/>
    <w:lvl w:ilvl="0" w:tplc="F9C497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7B59D8"/>
    <w:multiLevelType w:val="hybridMultilevel"/>
    <w:tmpl w:val="0DD887AA"/>
    <w:lvl w:ilvl="0" w:tplc="F9C497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476C53"/>
    <w:multiLevelType w:val="hybridMultilevel"/>
    <w:tmpl w:val="F1D6649C"/>
    <w:lvl w:ilvl="0" w:tplc="F9C497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4C4625"/>
    <w:multiLevelType w:val="hybridMultilevel"/>
    <w:tmpl w:val="997E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3A68DF"/>
    <w:multiLevelType w:val="hybridMultilevel"/>
    <w:tmpl w:val="16BA62BA"/>
    <w:lvl w:ilvl="0" w:tplc="F9C497F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3B0486"/>
    <w:multiLevelType w:val="hybridMultilevel"/>
    <w:tmpl w:val="7382AF7E"/>
    <w:lvl w:ilvl="0" w:tplc="F9C497FE">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nsid w:val="5975241F"/>
    <w:multiLevelType w:val="hybridMultilevel"/>
    <w:tmpl w:val="9B8E2E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nsid w:val="611D59D7"/>
    <w:multiLevelType w:val="hybridMultilevel"/>
    <w:tmpl w:val="9FC4ABD6"/>
    <w:lvl w:ilvl="0" w:tplc="F9C497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75772A"/>
    <w:multiLevelType w:val="hybridMultilevel"/>
    <w:tmpl w:val="AE822046"/>
    <w:lvl w:ilvl="0" w:tplc="F9C497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26416F"/>
    <w:multiLevelType w:val="hybridMultilevel"/>
    <w:tmpl w:val="E8828B14"/>
    <w:lvl w:ilvl="0" w:tplc="F9C497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4"/>
  </w:num>
  <w:num w:numId="5">
    <w:abstractNumId w:val="8"/>
  </w:num>
  <w:num w:numId="6">
    <w:abstractNumId w:val="1"/>
  </w:num>
  <w:num w:numId="7">
    <w:abstractNumId w:val="6"/>
  </w:num>
  <w:num w:numId="8">
    <w:abstractNumId w:val="0"/>
  </w:num>
  <w:num w:numId="9">
    <w:abstractNumId w:val="7"/>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oNotTrackMoves/>
  <w:defaultTabStop w:val="720"/>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857375B8036E45D79598C87EFA4F38DB"/>
    <w:docVar w:name="LW_CROSSREFERENCE" w:val="&lt;UNUSED&gt;"/>
    <w:docVar w:name="LW_DocType" w:val="NORMAL"/>
    <w:docVar w:name="LW_EMISSION" w:val="28.2.2017"/>
    <w:docVar w:name="LW_EMISSION_ISODATE" w:val="2017-02-28"/>
    <w:docVar w:name="LW_EMISSION_LOCATION" w:val="BRX"/>
    <w:docVar w:name="LW_EMISSION_PREFIX" w:val="Briselē, "/>
    <w:docVar w:name="LW_EMISSION_SUFFIX" w:val="."/>
    <w:docVar w:name="LW_ID_DOCTYPE_NONLW" w:val="CP-006"/>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7) 103"/>
    <w:docVar w:name="LW_REF.INTERNE" w:val="&lt;UNUSED&gt;"/>
    <w:docVar w:name="LW_SOUS.TITRE.OBJ.CP" w:val="&lt;UNUSED&gt;"/>
    <w:docVar w:name="LW_SUPERTITRE" w:val="&lt;UNUSED&gt;"/>
    <w:docVar w:name="LW_TITRE.OBJ.CP" w:val="par pilnvaru izmanto\u353?anu un dele\u291?\u275?\u353?anu saska\u326?\u257? ar Eiropas Parlamenta un Padomes Regulu (ES) Nr. 98/2013 par spr\u257?gstvielu prekursoru tirdzniec\u299?bu un lieto\u353?anu"/>
    <w:docVar w:name="LW_TYPE.DOC.CP" w:val="KOMISIJAS ZI\u325?OJUMS EIROPAS PARLAMENTAM UN PADOMEI"/>
    <w:docVar w:name="Stamp" w:val="\\dossiers.dgt.cec.eu.int\dossiers\HOME\HOME-2016-00972\HOME-2016-00972-00-00-EN-REV-00.201610261525170956050.DOC"/>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rPr>
      <w:sz w:val="20"/>
      <w:szCs w:val="20"/>
    </w:rPr>
  </w:style>
  <w:style w:type="character" w:customStyle="1" w:styleId="FootnoteTextChar">
    <w:name w:val="Footnote Text Char"/>
    <w:uiPriority w:val="99"/>
    <w:semiHidden/>
    <w:rPr>
      <w:lang w:eastAsia="lv-LV"/>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lv-LV"/>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lv-LV"/>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v-LV"/>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lv-LV"/>
    </w:rPr>
  </w:style>
  <w:style w:type="paragraph" w:styleId="Revision">
    <w:name w:val="Revision"/>
    <w:hidden/>
    <w:uiPriority w:val="99"/>
    <w:semiHidden/>
    <w:rPr>
      <w:sz w:val="22"/>
      <w:szCs w:val="22"/>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bCs/>
      <w:sz w:val="24"/>
      <w:szCs w:val="24"/>
    </w:rPr>
  </w:style>
  <w:style w:type="character" w:customStyle="1" w:styleId="FooterCoverPageChar">
    <w:name w:val="Footer Cover Page Char"/>
    <w:link w:val="FooterCoverPage"/>
    <w:rPr>
      <w:rFonts w:ascii="Times New Roman" w:hAnsi="Times New Roman"/>
      <w:b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bCs/>
      <w:sz w:val="24"/>
      <w:szCs w:val="24"/>
    </w:rPr>
  </w:style>
  <w:style w:type="character" w:customStyle="1" w:styleId="HeaderCoverPageChar">
    <w:name w:val="Header Cover Page Char"/>
    <w:link w:val="HeaderCoverPage"/>
    <w:rPr>
      <w:rFonts w:ascii="Times New Roman" w:hAnsi="Times New Roman"/>
      <w:bCs/>
      <w:sz w:val="24"/>
      <w:szCs w:val="24"/>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pPr>
      <w:autoSpaceDE w:val="0"/>
      <w:autoSpaceDN w:val="0"/>
      <w:adjustRightInd w:val="0"/>
      <w:spacing w:after="0" w:line="240" w:lineRule="auto"/>
    </w:pPr>
    <w:rPr>
      <w:rFonts w:ascii="EUAlbertina" w:hAnsi="EUAlberti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4206">
      <w:bodyDiv w:val="1"/>
      <w:marLeft w:val="0"/>
      <w:marRight w:val="0"/>
      <w:marTop w:val="0"/>
      <w:marBottom w:val="0"/>
      <w:divBdr>
        <w:top w:val="none" w:sz="0" w:space="0" w:color="auto"/>
        <w:left w:val="none" w:sz="0" w:space="0" w:color="auto"/>
        <w:bottom w:val="none" w:sz="0" w:space="0" w:color="auto"/>
        <w:right w:val="none" w:sz="0" w:space="0" w:color="auto"/>
      </w:divBdr>
    </w:div>
    <w:div w:id="605892713">
      <w:bodyDiv w:val="1"/>
      <w:marLeft w:val="0"/>
      <w:marRight w:val="0"/>
      <w:marTop w:val="0"/>
      <w:marBottom w:val="0"/>
      <w:divBdr>
        <w:top w:val="none" w:sz="0" w:space="0" w:color="auto"/>
        <w:left w:val="none" w:sz="0" w:space="0" w:color="auto"/>
        <w:bottom w:val="none" w:sz="0" w:space="0" w:color="auto"/>
        <w:right w:val="none" w:sz="0" w:space="0" w:color="auto"/>
      </w:divBdr>
    </w:div>
    <w:div w:id="19502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crisis-and-terrorism/explosives/explosives-precursors/docs/guidelines_on_the_marketing_and_use_of_explosives_precursors_en.pdf" TargetMode="External"/><Relationship Id="rId2" Type="http://schemas.openxmlformats.org/officeDocument/2006/relationships/hyperlink" Target="http://ec.europa.eu/dgs/home-affairs/what-we-do/policies/crisis-and-terrorism/explosives/explosives-precursors/index_en.htm" TargetMode="External"/><Relationship Id="rId1" Type="http://schemas.openxmlformats.org/officeDocument/2006/relationships/hyperlink" Target="http://ec.europa.eu/transparency/regexpert/index.cfm?do=groupDetail.groupDetail&amp;groupID=3245&amp;NewSearch=1&amp;NewSearch=1" TargetMode="External"/><Relationship Id="rId4" Type="http://schemas.openxmlformats.org/officeDocument/2006/relationships/hyperlink" Target="https://ec.europa.eu/info/law/better-regulation/share-your-view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1B36-7E87-4405-B2CF-9A1BEC3C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10</Pages>
  <Words>3370</Words>
  <Characters>23155</Characters>
  <Application>Microsoft Office Word</Application>
  <DocSecurity>0</DocSecurity>
  <Lines>345</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26440</CharactersWithSpaces>
  <SharedDoc>false</SharedDoc>
  <HLinks>
    <vt:vector size="24" baseType="variant">
      <vt:variant>
        <vt:i4>2162719</vt:i4>
      </vt:variant>
      <vt:variant>
        <vt:i4>9</vt:i4>
      </vt:variant>
      <vt:variant>
        <vt:i4>0</vt:i4>
      </vt:variant>
      <vt:variant>
        <vt:i4>5</vt:i4>
      </vt:variant>
      <vt:variant>
        <vt:lpwstr>https://ec.europa.eu/info/law/better-regulation/share-your-views_en</vt:lpwstr>
      </vt:variant>
      <vt:variant>
        <vt:lpwstr/>
      </vt:variant>
      <vt:variant>
        <vt:i4>7798792</vt:i4>
      </vt:variant>
      <vt:variant>
        <vt:i4>6</vt:i4>
      </vt:variant>
      <vt:variant>
        <vt:i4>0</vt:i4>
      </vt:variant>
      <vt:variant>
        <vt:i4>5</vt:i4>
      </vt:variant>
      <vt:variant>
        <vt:lpwstr>http://ec.europa.eu/dgs/home-affairs/what-we-do/policies/crisis-and-terrorism/explosives/explosives-precursors/docs/guidelines_on_the_marketing_and_use_of_explosives_precursors_en.pdf</vt:lpwstr>
      </vt:variant>
      <vt:variant>
        <vt:lpwstr/>
      </vt:variant>
      <vt:variant>
        <vt:i4>4128786</vt:i4>
      </vt:variant>
      <vt:variant>
        <vt:i4>3</vt:i4>
      </vt:variant>
      <vt:variant>
        <vt:i4>0</vt:i4>
      </vt:variant>
      <vt:variant>
        <vt:i4>5</vt:i4>
      </vt:variant>
      <vt:variant>
        <vt:lpwstr>http://ec.europa.eu/dgs/home-affairs/what-we-do/policies/crisis-and-terrorism/explosives/explosives-precursors/index_en.htm</vt:lpwstr>
      </vt:variant>
      <vt:variant>
        <vt:lpwstr/>
      </vt:variant>
      <vt:variant>
        <vt:i4>5898333</vt:i4>
      </vt:variant>
      <vt:variant>
        <vt:i4>0</vt:i4>
      </vt:variant>
      <vt:variant>
        <vt:i4>0</vt:i4>
      </vt:variant>
      <vt:variant>
        <vt:i4>5</vt:i4>
      </vt:variant>
      <vt:variant>
        <vt:lpwstr>http://ec.europa.eu/transparency/regexpert/index.cfm?do=groupDetail.groupDetail&amp;groupID=3245&amp;NewSearch=1&amp;NewSearch=1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65</cp:revision>
  <cp:lastPrinted>2017-01-24T08:16:00Z</cp:lastPrinted>
  <dcterms:created xsi:type="dcterms:W3CDTF">2017-01-24T11:04:00Z</dcterms:created>
  <dcterms:modified xsi:type="dcterms:W3CDTF">2017-02-20T09:26:00Z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