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57105BA44CF42BA871FD159CD8A2C23" style="width:450.75pt;height:351.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PASKAIDROJUMA RAKSTS</w:t>
      </w:r>
    </w:p>
    <w:p>
      <w:pPr>
        <w:pStyle w:val="ManualHeading1"/>
        <w:rPr>
          <w:noProof/>
        </w:rPr>
      </w:pPr>
      <w:r>
        <w:rPr>
          <w:noProof/>
        </w:rPr>
        <w:t>1.</w:t>
      </w:r>
      <w:r>
        <w:rPr>
          <w:noProof/>
        </w:rPr>
        <w:tab/>
        <w:t>PRIEKŠLIKUMA KONTEKSTS</w:t>
      </w:r>
    </w:p>
    <w:p>
      <w:pPr>
        <w:pStyle w:val="ManualHeading2"/>
        <w:rPr>
          <w:rFonts w:eastAsia="Arial Unicode MS"/>
          <w:noProof/>
        </w:rPr>
      </w:pPr>
      <w:r>
        <w:rPr>
          <w:noProof/>
          <w:color w:val="000000"/>
          <w:u w:color="000000"/>
          <w:bdr w:val="nil"/>
        </w:rPr>
        <w:t>•</w:t>
      </w:r>
      <w:r>
        <w:rPr>
          <w:noProof/>
        </w:rPr>
        <w:tab/>
        <w:t>Priekšlikuma pamatojums un mērķi</w:t>
      </w:r>
    </w:p>
    <w:p>
      <w:pPr>
        <w:pStyle w:val="Text1"/>
        <w:spacing w:before="0" w:after="240"/>
        <w:ind w:left="0"/>
        <w:rPr>
          <w:noProof/>
        </w:rPr>
      </w:pPr>
      <w:r>
        <w:rPr>
          <w:noProof/>
        </w:rPr>
        <w:t>Pēdējā desmitgadē pasaules mērogā un Eiropā jaunu psihoaktīvu vielu (JPV) izplatība ir būtiski pieaugusi, un nav vērojama šīs tendences samazināšanās. 2015. gadā ES agrīnās brīdināšanas sistēmai (ABS) pirmo reizi tika ziņots par 100 jaunām vielām, un uzraudzītu jaunu vielu kopējais skaits tādējādi pārsniedza 560 — no tām vairāk nekā 380 (70 %) tika atklātas tikai pēdējo piecu gadu laikā</w:t>
      </w:r>
      <w:r>
        <w:rPr>
          <w:rStyle w:val="FootnoteReference"/>
          <w:noProof/>
        </w:rPr>
        <w:footnoteReference w:id="1"/>
      </w:r>
      <w:r>
        <w:rPr>
          <w:noProof/>
        </w:rPr>
        <w:t>.</w:t>
      </w:r>
      <w:r>
        <w:rPr>
          <w:rStyle w:val="CommentReference"/>
          <w:noProof/>
        </w:rPr>
        <w:t xml:space="preserve"> </w:t>
      </w:r>
      <w:r>
        <w:rPr>
          <w:noProof/>
        </w:rPr>
        <w:t xml:space="preserve"> </w:t>
      </w:r>
    </w:p>
    <w:p>
      <w:pPr>
        <w:pStyle w:val="Text1"/>
        <w:spacing w:before="0" w:after="240"/>
        <w:ind w:left="0"/>
        <w:rPr>
          <w:noProof/>
        </w:rPr>
      </w:pPr>
      <w:r>
        <w:rPr>
          <w:noProof/>
        </w:rPr>
        <w:t>Apvienoto Nāciju Organizācijas Ģenerālās asamblejas speciālajā sesijā par narkotiku problemātiku pasaulē (</w:t>
      </w:r>
      <w:r>
        <w:rPr>
          <w:i/>
          <w:noProof/>
        </w:rPr>
        <w:t>UNGASS</w:t>
      </w:r>
      <w:r>
        <w:rPr>
          <w:noProof/>
        </w:rPr>
        <w:t>, 2016. gada 19.-21. aprīlis) pieņēma noslēguma dokumentu "Mūsu kopīgā apņemšanās efektīvi risināt un apkarot ar narkotikām saistītās problēmas pasaulē"</w:t>
      </w:r>
      <w:r>
        <w:rPr>
          <w:rStyle w:val="FootnoteReference"/>
          <w:noProof/>
        </w:rPr>
        <w:footnoteReference w:id="2"/>
      </w:r>
      <w:r>
        <w:rPr>
          <w:noProof/>
        </w:rPr>
        <w:t xml:space="preserve">. Īpaša nodaļa ir veltīta jaunu un ieilgušu problēmu un apdraudējumu novēršanai, tostarp saistībā ar JPV. Kopīgās saistības prasa stiprināt pasākumus, lai risinātu ar jaunām psihoaktīvajām vielām saistītās problēmas, kā arī lai uzlabotu informācijas apmaiņu un agrīnās brīdināšanas tīklus. </w:t>
      </w:r>
    </w:p>
    <w:p>
      <w:pPr>
        <w:pBdr>
          <w:top w:val="nil"/>
          <w:left w:val="nil"/>
          <w:bottom w:val="nil"/>
          <w:right w:val="nil"/>
          <w:between w:val="nil"/>
          <w:bar w:val="nil"/>
        </w:pBdr>
        <w:spacing w:before="0" w:after="240"/>
        <w:rPr>
          <w:rFonts w:eastAsia="Arial Unicode MS"/>
          <w:noProof/>
          <w:color w:val="000000" w:themeColor="text1"/>
        </w:rPr>
      </w:pPr>
      <w:r>
        <w:rPr>
          <w:noProof/>
        </w:rPr>
        <w:t>Komisija 2013. gada 17. septembrī nāca klajā ar priekšlikumiem divu tiesību aktu paketei attiecībā uz jaunām psihoaktīvām vielām: priekšlikumu Regulai par jaunām psihoaktīvām vielām</w:t>
      </w:r>
      <w:r>
        <w:rPr>
          <w:rStyle w:val="FootnoteReference"/>
          <w:noProof/>
        </w:rPr>
        <w:footnoteReference w:id="3"/>
      </w:r>
      <w:r>
        <w:rPr>
          <w:noProof/>
        </w:rPr>
        <w:t xml:space="preserve"> un priekšlikumu Direktīvai, ar kuru attiecībā uz narkotisko vielu definīciju groza Padomes 2004. gada 25. oktobra Pamatlēmumu 2004/757/TI, ar ko paredz minimuma noteikumus par noziedzīgu darbību pazīmēm un sodiem narkotisko vielu nelikumīgas tirdzniecības jomā</w:t>
      </w:r>
      <w:r>
        <w:rPr>
          <w:rStyle w:val="FootnoteReference"/>
          <w:noProof/>
        </w:rPr>
        <w:footnoteReference w:id="4"/>
      </w:r>
      <w:r>
        <w:rPr>
          <w:noProof/>
        </w:rPr>
        <w:t>. Mērķis bija ar Savienības līmeņa rīcību, kas būtu ātrāku un efektīvāka par patlaban spēka esošo sistēmu, kuras pamatā ir Padomes 2005. gada 10. maija Lēmums 2005/387/TI par informācijas apmaiņu, riska novērtējumu un kontroli attiecībā uz jaunām psihoaktīvām vielām</w:t>
      </w:r>
      <w:r>
        <w:rPr>
          <w:rStyle w:val="FootnoteReference"/>
          <w:noProof/>
        </w:rPr>
        <w:footnoteReference w:id="5"/>
      </w:r>
      <w:r>
        <w:rPr>
          <w:noProof/>
        </w:rPr>
        <w:t>, samazināt tādu jaunu psihoaktīvu vielu pieejamību, kuras rada riskus.</w:t>
      </w:r>
    </w:p>
    <w:p>
      <w:pPr>
        <w:pBdr>
          <w:top w:val="nil"/>
          <w:left w:val="nil"/>
          <w:bottom w:val="nil"/>
          <w:right w:val="nil"/>
          <w:between w:val="nil"/>
          <w:bar w:val="nil"/>
        </w:pBdr>
        <w:spacing w:before="0" w:after="240"/>
        <w:rPr>
          <w:rFonts w:eastAsia="Arial Unicode MS"/>
          <w:noProof/>
        </w:rPr>
      </w:pPr>
      <w:r>
        <w:rPr>
          <w:noProof/>
        </w:rPr>
        <w:t>Starpiestāžu sarunas par šo tiesību aktu paketi norit jau vairāk nekā divus gadus. Eiropas Parlaments 2014. gada 17. aprīlī pieņēma normatīvās rezolūcijas</w:t>
      </w:r>
      <w:r>
        <w:rPr>
          <w:rStyle w:val="FootnoteReference"/>
          <w:noProof/>
        </w:rPr>
        <w:footnoteReference w:id="6"/>
      </w:r>
      <w:r>
        <w:rPr>
          <w:noProof/>
        </w:rPr>
        <w:t xml:space="preserve">. Padome nepieņēma vispārēju pieeju attiecībā uz priekšlikumiem; izskatot priekšlikumus, dalībvalstis pauda bažas par Līguma par Eiropas Savienības darbību (LESD) 114. panta kā ierosinātās regulas juridiskā pamata izvēli.  </w:t>
      </w:r>
    </w:p>
    <w:p>
      <w:pPr>
        <w:spacing w:before="0" w:after="240"/>
        <w:rPr>
          <w:rFonts w:eastAsia="Calibri"/>
          <w:noProof/>
          <w:szCs w:val="24"/>
        </w:rPr>
      </w:pPr>
      <w:r>
        <w:rPr>
          <w:noProof/>
        </w:rPr>
        <w:t>Lai sasniegtu minēto mērķi, proti, ātrāku un efektīvāku ES rīcību attiecībā uz JPV, Pastāvīgo pārstāvju komiteja (</w:t>
      </w:r>
      <w:r>
        <w:rPr>
          <w:i/>
          <w:noProof/>
        </w:rPr>
        <w:t>COREPER</w:t>
      </w:r>
      <w:r>
        <w:rPr>
          <w:noProof/>
        </w:rPr>
        <w:t>) 2016. gada 6. aprīlī</w:t>
      </w:r>
      <w:r>
        <w:rPr>
          <w:rStyle w:val="FootnoteReference"/>
          <w:noProof/>
        </w:rPr>
        <w:footnoteReference w:id="7"/>
      </w:r>
      <w:r>
        <w:rPr>
          <w:noProof/>
        </w:rPr>
        <w:t xml:space="preserve"> vienojās par pieeju, kuru savā diskusiju dokumentā ierosināja prezidentvalsts Nīderlande, tostarp par direktīvas projekta grozījumiem, pamatojoties uz LESD 83. pantu, kuros jo īpaši ietvers jaunu psihoaktīvu vielu definīciju un noteikumus par ātru lēmumu pieņemšanu Savienības līmenī, lai visās dalībvalstīs noteiktu kriminālatbildību par kaitīgām jaunām psihoaktīvām vielām. Turklāt </w:t>
      </w:r>
      <w:r>
        <w:rPr>
          <w:i/>
          <w:noProof/>
        </w:rPr>
        <w:t>COREPER</w:t>
      </w:r>
      <w:r>
        <w:rPr>
          <w:noProof/>
        </w:rPr>
        <w:t xml:space="preserve"> aicināja Komisiju iesniegt priekšlikumu, lai grozītu Eiropas Narkotiku un narkomānijas uzraudzības centra dibināšanas Regulu 1920/2006.</w:t>
      </w:r>
      <w:r>
        <w:rPr>
          <w:rFonts w:ascii="Calibri" w:hAnsi="Calibri"/>
          <w:noProof/>
          <w:color w:val="1F497D"/>
          <w:sz w:val="22"/>
        </w:rPr>
        <w:t xml:space="preserve"> </w:t>
      </w:r>
      <w:r>
        <w:rPr>
          <w:noProof/>
        </w:rPr>
        <w:t xml:space="preserve">Saskaņā ar </w:t>
      </w:r>
      <w:r>
        <w:rPr>
          <w:i/>
          <w:noProof/>
        </w:rPr>
        <w:t>COREPER</w:t>
      </w:r>
      <w:r>
        <w:rPr>
          <w:noProof/>
        </w:rPr>
        <w:t xml:space="preserve"> 2580. sanāksmes kopsavilkuma </w:t>
      </w:r>
      <w:r>
        <w:rPr>
          <w:noProof/>
        </w:rPr>
        <w:lastRenderedPageBreak/>
        <w:t>ziņojumu šā lēmuma rezultātā sākas 3 mēnešu termiņš to dalībvalstu dalības apstiprināšanai, uz kurām attiecas ES līgumam pievienotais 21. protokols; turklāt tam ir sekas saskaņā ar ES līgumam pievienoto 22. protokolu. Eiropas Parlaments par šīm izmaiņām ir informēts ar Padomes vēstuli.</w:t>
      </w:r>
    </w:p>
    <w:p>
      <w:pPr>
        <w:pBdr>
          <w:top w:val="nil"/>
          <w:left w:val="nil"/>
          <w:bottom w:val="nil"/>
          <w:right w:val="nil"/>
          <w:between w:val="nil"/>
          <w:bar w:val="nil"/>
        </w:pBdr>
        <w:spacing w:before="0" w:after="240"/>
        <w:rPr>
          <w:rFonts w:eastAsia="Calibri"/>
          <w:noProof/>
        </w:rPr>
      </w:pPr>
      <w:r>
        <w:rPr>
          <w:noProof/>
        </w:rPr>
        <w:t xml:space="preserve">Ņemot vērā to, ka ar Pastāvīgo pārstāvju komitejas lēmumu ir paredzēts sasniegt tos pašus mērķus, kuri tika ierosināti ar 2013. gada tiesību aktu paketi, Komisija ierosina mērķtiecīgus grozījumus Regulā 1920/2006, integrējot Eiropas Narkotiku un narkomānijas uzraudzības centra dibināšanas regulā noteikumu projektu par agrīnās brīdināšanas sistēmu un riska novērtēšanas procedūru, kas bija daļa no Komisijas 2013. gada priekšlikuma regulai par jaunām psihoaktīvām vielām. Komisija apsvērs priekšlikuma atsaukšanu attiecībā uz regulu par jaunām psihoaktīvām vielām, kamēr tiek sagatavota Komisijas darba programma 2017. gadam. </w:t>
      </w:r>
    </w:p>
    <w:p>
      <w:pPr>
        <w:pBdr>
          <w:top w:val="nil"/>
          <w:left w:val="nil"/>
          <w:bottom w:val="nil"/>
          <w:right w:val="nil"/>
          <w:between w:val="nil"/>
          <w:bar w:val="nil"/>
        </w:pBdr>
        <w:spacing w:before="0" w:after="240"/>
        <w:rPr>
          <w:rFonts w:eastAsia="Arial Unicode MS"/>
          <w:noProof/>
        </w:rPr>
      </w:pPr>
      <w:r>
        <w:rPr>
          <w:noProof/>
        </w:rPr>
        <w:t xml:space="preserve">Jaunā (tāpat kā iepriekšējā) priekšlikuma mērķis ir stiprināt ES agrīnās brīdināšanas sistēmu un riska novērtēšanu un vienkāršot procedūras, lai nodrošinātu efektīvāku un ātrāku darbību. Tāpēc, lai paātrinātu šo procesu, termiņi ir ievērojami saīsināti salīdzinājumā ar patlaban spēka esošo sistēmu, kuras pamatā ir Padomes Lēmums 2005/387/TI. Lai nodrošinātu ātru un efektīvu informācijas vākšanu par JPV, </w:t>
      </w:r>
      <w:r>
        <w:rPr>
          <w:i/>
          <w:noProof/>
        </w:rPr>
        <w:t>EMCDDA</w:t>
      </w:r>
      <w:r>
        <w:rPr>
          <w:noProof/>
        </w:rPr>
        <w:t xml:space="preserve"> būtu pēc šīs regulas publicēšanas </w:t>
      </w:r>
      <w:r>
        <w:rPr>
          <w:i/>
          <w:noProof/>
        </w:rPr>
        <w:t>Eiropas Savienības Oficiālajā Vēstnesī</w:t>
      </w:r>
      <w:r>
        <w:rPr>
          <w:noProof/>
        </w:rPr>
        <w:t xml:space="preserve"> bez nepamatotas kavēšanās jānoslēdz darba vienošanās ar Eiropolu, Eiropas Zāļu aģentūru, Eiropas Ķīmikāliju aģentūru un Eiropas Pārtikas nekaitīguma iestādi. </w:t>
      </w:r>
    </w:p>
    <w:p>
      <w:pPr>
        <w:pBdr>
          <w:top w:val="nil"/>
          <w:left w:val="nil"/>
          <w:bottom w:val="nil"/>
          <w:right w:val="nil"/>
          <w:between w:val="nil"/>
          <w:bar w:val="nil"/>
        </w:pBdr>
        <w:spacing w:before="0" w:after="240"/>
        <w:rPr>
          <w:rFonts w:eastAsia="Arial Unicode MS"/>
          <w:noProof/>
        </w:rPr>
      </w:pPr>
      <w:r>
        <w:rPr>
          <w:noProof/>
        </w:rPr>
        <w:t xml:space="preserve">Šis priekšlikums nodrošina arī Eiropola iesaistīšanos agrīnās brīdināšanas sistēmā un riska novērtēšanas procedūrā, jo īpaši, lai sniegtu informāciju par noziedzīgu grupu iesaistīšanos jaunu psihoaktīvu vielu ražošanā un izplatīšanā. </w:t>
      </w:r>
    </w:p>
    <w:p>
      <w:pPr>
        <w:pBdr>
          <w:top w:val="nil"/>
          <w:left w:val="nil"/>
          <w:bottom w:val="nil"/>
          <w:right w:val="nil"/>
          <w:between w:val="nil"/>
          <w:bar w:val="nil"/>
        </w:pBdr>
        <w:spacing w:before="0" w:after="240"/>
        <w:rPr>
          <w:rFonts w:eastAsia="Calibri"/>
          <w:noProof/>
        </w:rPr>
      </w:pPr>
      <w:r>
        <w:rPr>
          <w:noProof/>
        </w:rPr>
        <w:t xml:space="preserve">Saskaņā ar Regulas Nr. 1920/2006 23. pantu Komisija, ja tas vajadzīgs un ņemot vērā situācijas attīstību attiecībā uz regulatīvajām aģentūrām, pamatojoties uz Centra nākamo vērtējumu, var ierosināt turpmākus grozījumus </w:t>
      </w:r>
      <w:r>
        <w:rPr>
          <w:i/>
          <w:noProof/>
        </w:rPr>
        <w:t>EMCDDA</w:t>
      </w:r>
      <w:r>
        <w:rPr>
          <w:noProof/>
        </w:rPr>
        <w:t xml:space="preserve"> dibināšanas regulā. </w:t>
      </w:r>
    </w:p>
    <w:p>
      <w:pPr>
        <w:pBdr>
          <w:top w:val="nil"/>
          <w:left w:val="nil"/>
          <w:bottom w:val="nil"/>
          <w:right w:val="nil"/>
          <w:between w:val="nil"/>
          <w:bar w:val="nil"/>
        </w:pBdr>
        <w:spacing w:before="0" w:after="240"/>
        <w:rPr>
          <w:rFonts w:eastAsia="Arial Unicode MS"/>
          <w:b/>
          <w:noProof/>
          <w:color w:val="000000"/>
          <w:u w:color="000000"/>
          <w:bdr w:val="nil"/>
        </w:rPr>
      </w:pPr>
      <w:r>
        <w:rPr>
          <w:b/>
          <w:noProof/>
          <w:color w:val="000000"/>
          <w:u w:color="000000"/>
          <w:bdr w:val="nil"/>
        </w:rPr>
        <w:t>•</w:t>
      </w:r>
      <w:r>
        <w:rPr>
          <w:noProof/>
        </w:rPr>
        <w:tab/>
      </w:r>
      <w:r>
        <w:rPr>
          <w:b/>
          <w:noProof/>
        </w:rPr>
        <w:t>Saskanība ar spēkā esošajiem noteikumiem konkrētajā politikas jomā</w:t>
      </w:r>
    </w:p>
    <w:p>
      <w:pPr>
        <w:pBdr>
          <w:top w:val="nil"/>
          <w:left w:val="nil"/>
          <w:bottom w:val="nil"/>
          <w:right w:val="nil"/>
          <w:between w:val="nil"/>
          <w:bar w:val="nil"/>
        </w:pBdr>
        <w:spacing w:before="0" w:after="240"/>
        <w:rPr>
          <w:rFonts w:eastAsia="Arial Unicode MS"/>
          <w:noProof/>
          <w:color w:val="000000" w:themeColor="text1"/>
        </w:rPr>
      </w:pPr>
      <w:r>
        <w:rPr>
          <w:noProof/>
        </w:rPr>
        <w:t>Priekšlikums atspoguļo 2015. gada 28. aprīlī pieņemtajā Eiropas Drošības programmā</w:t>
      </w:r>
      <w:r>
        <w:rPr>
          <w:rStyle w:val="FootnoteReference"/>
          <w:noProof/>
        </w:rPr>
        <w:footnoteReference w:id="8"/>
      </w:r>
      <w:r>
        <w:rPr>
          <w:noProof/>
        </w:rPr>
        <w:t xml:space="preserve"> izklāstītās prioritātes. Eiropas Drošības programmā ir uzsvērts, ka nelegālo narkotiku tirgus joprojām ir viens no dinamiskākajiem noziedzīgajiem tirgiem un nesenākā tendence ir jaunu psihoaktīvu vielu izplatības pieaugums. Tajā arī norādīts, ka šo vielu ražošana aizvien lielākā mērā notiek Savienībā, kas ir pamats steidzamai jauna tiesiskā regulējuma pieņemšanai.</w:t>
      </w:r>
    </w:p>
    <w:p>
      <w:pPr>
        <w:pBdr>
          <w:top w:val="nil"/>
          <w:left w:val="nil"/>
          <w:bottom w:val="nil"/>
          <w:right w:val="nil"/>
          <w:between w:val="nil"/>
          <w:bar w:val="nil"/>
        </w:pBdr>
        <w:spacing w:before="0" w:after="240"/>
        <w:rPr>
          <w:rFonts w:eastAsia="Arial Unicode MS"/>
          <w:noProof/>
          <w:color w:val="000000" w:themeColor="text1"/>
        </w:rPr>
      </w:pPr>
      <w:r>
        <w:rPr>
          <w:noProof/>
        </w:rPr>
        <w:t>Priekšlikums ir jālasa saistībā ar Direktīvu (ES) …/ … [, ar kuru groza Padomes 2004. gada 25. oktobra Pamatlēmumu 2004/757/TI, ar ko paredz minimuma noteikumus par noziedzīgu darbību pazīmēm un sodiem narkotisko vielu nelikumīgas tirdzniecības jomā</w:t>
      </w:r>
      <w:r>
        <w:rPr>
          <w:rStyle w:val="FootnoteReference"/>
          <w:noProof/>
        </w:rPr>
        <w:footnoteReference w:id="9"/>
      </w:r>
      <w:r>
        <w:rPr>
          <w:noProof/>
        </w:rPr>
        <w:t>].</w:t>
      </w:r>
      <w:r>
        <w:rPr>
          <w:noProof/>
          <w:color w:val="000000" w:themeColor="text1"/>
        </w:rPr>
        <w:t xml:space="preserve"> Abi instrumenti paredzēti tam, lai aizstātu ar Padomes Lēmumu 2005/387/TI izveidoto mehānismu.</w:t>
      </w:r>
    </w:p>
    <w:p>
      <w:pPr>
        <w:keepNext/>
        <w:tabs>
          <w:tab w:val="left" w:pos="850"/>
        </w:tabs>
        <w:ind w:left="850" w:hanging="850"/>
        <w:outlineLvl w:val="1"/>
        <w:rPr>
          <w:b/>
          <w:noProof/>
        </w:rPr>
      </w:pPr>
      <w:r>
        <w:rPr>
          <w:b/>
          <w:noProof/>
        </w:rPr>
        <w:t>2.</w:t>
      </w:r>
      <w:r>
        <w:rPr>
          <w:noProof/>
        </w:rPr>
        <w:tab/>
      </w:r>
      <w:r>
        <w:rPr>
          <w:b/>
          <w:noProof/>
        </w:rPr>
        <w:t>JURIDISKAIS PAMATS, SUBSIDIARITĀTE UN PROPORCIONALITĀTE</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Juridiskais pamats</w:t>
      </w:r>
    </w:p>
    <w:p>
      <w:pPr>
        <w:pBdr>
          <w:top w:val="nil"/>
          <w:left w:val="nil"/>
          <w:bottom w:val="nil"/>
          <w:right w:val="nil"/>
          <w:between w:val="nil"/>
          <w:bar w:val="nil"/>
        </w:pBdr>
        <w:spacing w:before="0" w:after="240"/>
        <w:rPr>
          <w:rFonts w:eastAsia="Arial Unicode MS"/>
          <w:noProof/>
        </w:rPr>
      </w:pPr>
      <w:r>
        <w:rPr>
          <w:noProof/>
        </w:rPr>
        <w:t xml:space="preserve">Priekšlikums ir balstīts uz LESD 168. panta 5. punktu, kurā Eiropas Parlamentam un Padomei ir piešķirtas pilnvaras pieņemt pasākumus attiecībā uz nopietnu pārrobežu veselības apdraudējumu uzraudzību, agrīno brīdināšanu un cīņu pret tiem, neparedzot dalībvalstu normatīvo aktu saskaņošanu. </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Subsidiaritāte</w:t>
      </w:r>
    </w:p>
    <w:p>
      <w:pPr>
        <w:rPr>
          <w:rFonts w:eastAsia="Times New Roman"/>
          <w:noProof/>
          <w:szCs w:val="24"/>
        </w:rPr>
      </w:pPr>
      <w:r>
        <w:rPr>
          <w:noProof/>
        </w:rPr>
        <w:t>Ir nepārprotami skaidrs, ka attiecībā uz jaunām psihoaktīvām vielām ir nepieciešama ES rīcība. Dalībvalstis vienas pašas nespēj atrisināt problēmas, ko rada kaitīgu jaunu psihoaktīvo vielu izplatība. Nekoordinēta valstu līmeņa rīcība šajā jomā var radīt nevēlamas sekas, piemēram, kaitīgu vielu pārvietošanu no vienas dalībvalsts uz citu. Noziedzīgas grupas var izmantot šo situāciju.</w:t>
      </w:r>
    </w:p>
    <w:p>
      <w:pPr>
        <w:rPr>
          <w:rFonts w:eastAsia="Times New Roman"/>
          <w:noProof/>
          <w:szCs w:val="24"/>
        </w:rPr>
      </w:pPr>
      <w:r>
        <w:rPr>
          <w:noProof/>
        </w:rPr>
        <w:t xml:space="preserve">Tādējādi ir nepieciešama ES līmeņa rīcība, lai nodrošinātu, ka potenciāli kaitīgas jaunas psihoaktīvas vielas, kuras rada bažas visā ES, var identificēt, novērtēt un gadījumā, ja tās rada risku, paredzēt par tām kriminālatbildību visās dalībvalstīs. Tādēļ šī regula ir jālasa saistībā ar Direktīvu (ES) …/ … [, ar kuru groza Padomes 2004. gada 25. oktobra Pamatlēmumu 2004/757/TI, ar ko paredz minimuma noteikumus par noziedzīgu darbību pazīmēm un sodiem narkotisko vielu nelikumīgas tirdzniecības jomā], jo abi tiesību akti ir paredzēti tam, lai aizstātu ar Padomes Lēmumu 2005/387/TI izveidoto mehānismu. </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Proporcionalitāte</w:t>
      </w:r>
    </w:p>
    <w:p>
      <w:pPr>
        <w:rPr>
          <w:rFonts w:eastAsia="Times New Roman"/>
          <w:noProof/>
          <w:szCs w:val="24"/>
        </w:rPr>
      </w:pPr>
      <w:r>
        <w:rPr>
          <w:noProof/>
        </w:rPr>
        <w:t>Priekšlikums ir samērīgs un nepārsniedz to, kas ir nepieciešams, lai sasniegtu tā mērķus, jo attiecas vienīgi uz tām jaunajām psihoaktīvajām vielām, kuras rada bažas ES līmenī.</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Instrumenta izvēle</w:t>
      </w:r>
    </w:p>
    <w:p>
      <w:pPr>
        <w:pBdr>
          <w:top w:val="nil"/>
          <w:left w:val="nil"/>
          <w:bottom w:val="nil"/>
          <w:right w:val="nil"/>
          <w:between w:val="nil"/>
          <w:bar w:val="nil"/>
        </w:pBdr>
        <w:spacing w:before="0" w:after="240"/>
        <w:rPr>
          <w:rFonts w:eastAsia="Arial Unicode MS"/>
          <w:noProof/>
        </w:rPr>
      </w:pPr>
      <w:r>
        <w:rPr>
          <w:noProof/>
        </w:rPr>
        <w:t>Priekšlikums attiecas uz regulas grozījumu. Nekas nenorāda uz to, ka būtu piemērotāks kāds cits instruments, nevis regula.</w:t>
      </w:r>
    </w:p>
    <w:p>
      <w:pPr>
        <w:keepNext/>
        <w:tabs>
          <w:tab w:val="left" w:pos="850"/>
        </w:tabs>
        <w:spacing w:before="360"/>
        <w:ind w:left="850" w:hanging="850"/>
        <w:outlineLvl w:val="0"/>
        <w:rPr>
          <w:b/>
          <w:smallCaps/>
          <w:noProof/>
        </w:rPr>
      </w:pPr>
      <w:r>
        <w:rPr>
          <w:b/>
          <w:smallCaps/>
          <w:noProof/>
        </w:rPr>
        <w:t>3.</w:t>
      </w:r>
      <w:r>
        <w:rPr>
          <w:noProof/>
        </w:rPr>
        <w:tab/>
      </w:r>
      <w:r>
        <w:rPr>
          <w:b/>
          <w:i/>
          <w:smallCaps/>
          <w:noProof/>
        </w:rPr>
        <w:t>EX POST</w:t>
      </w:r>
      <w:r>
        <w:rPr>
          <w:b/>
          <w:smallCaps/>
          <w:noProof/>
        </w:rPr>
        <w:t xml:space="preserve"> IZVĒRTĒJUMU, APSPRIEŠANĀS AR IEINTERESĒTAJĀM PERSONĀM UN IETEKMES NOVĒRTĒJUMU REZULTĀTI</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Apspriešanās ar ieinteresētajām personām</w:t>
      </w:r>
    </w:p>
    <w:p>
      <w:pPr>
        <w:pBdr>
          <w:top w:val="nil"/>
          <w:left w:val="nil"/>
          <w:bottom w:val="nil"/>
          <w:right w:val="nil"/>
          <w:between w:val="nil"/>
          <w:bar w:val="nil"/>
        </w:pBdr>
        <w:spacing w:before="0" w:after="240"/>
        <w:rPr>
          <w:rFonts w:eastAsia="Arial Unicode MS"/>
          <w:noProof/>
          <w:color w:val="000000" w:themeColor="text1"/>
        </w:rPr>
      </w:pPr>
      <w:r>
        <w:rPr>
          <w:noProof/>
        </w:rPr>
        <w:t>Šis priekšlikums ir sagatavots, pamatojoties uz 2016. gada 6. aprīļa vienošanos ar Pastāvīgo pārstāvju komiteju par prezidentvalsts Nīderlandes ierosināto kompromisa pieeju.</w:t>
      </w:r>
      <w:r>
        <w:rPr>
          <w:noProof/>
          <w:color w:val="000000" w:themeColor="text1"/>
        </w:rPr>
        <w:t xml:space="preserve"> Eiropas Parlamenta Pilsoņu brīvību, tieslietu un iekšlietu komitejas (</w:t>
      </w:r>
      <w:r>
        <w:rPr>
          <w:i/>
          <w:noProof/>
          <w:color w:val="000000" w:themeColor="text1"/>
        </w:rPr>
        <w:t>LIBE</w:t>
      </w:r>
      <w:r>
        <w:rPr>
          <w:noProof/>
          <w:color w:val="000000" w:themeColor="text1"/>
        </w:rPr>
        <w:t>) 2016. gada 15. jūnija sanāksmē referenti un ēnu referenti paziņoja, ka ir pieņēmuši lēmumu izmantot šo jauno pieeju kā kopumu un sadarboties ar Padomi un Komisiju, lai panāktu vienošanos. Tā kā saturs atspoguļo šo vienošanos, šim jaunajam priekšlikumam nav nepieciešamas turpmākas apspriešanās ar ieinteresētajām personām.</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Ietekmes novērtējums</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 xml:space="preserve">Komisija veica politikas alternatīvu ietekmes novērtējumu saistībā ar 2013. gada 17. septembrī izvirzītajiem divu tiesību aktu paketes priekšlikumiem. </w:t>
      </w:r>
      <w:r>
        <w:rPr>
          <w:noProof/>
        </w:rPr>
        <w:t>Ietekmes novērtējumā jo īpaši secināja, ka ir jāuzlabo tās informācijas, kura pieejama ES līmenī un ar kuru apmainās dalībvalstis, kvalitāte un kvantitāte, kā arī spēja ātri identificēt un novērtēt jaunas psihoaktīvas vielas</w:t>
      </w:r>
      <w:r>
        <w:rPr>
          <w:rStyle w:val="FootnoteReference"/>
          <w:noProof/>
        </w:rPr>
        <w:footnoteReference w:id="10"/>
      </w:r>
      <w:r>
        <w:rPr>
          <w:noProof/>
        </w:rPr>
        <w:t>.</w:t>
      </w:r>
      <w:r>
        <w:rPr>
          <w:noProof/>
          <w:color w:val="000000" w:themeColor="text1"/>
        </w:rPr>
        <w:t xml:space="preserve"> Tāpēc šim priekšlikumam jauns ietekmes novērtējums nav vajadzīgs. </w:t>
      </w:r>
    </w:p>
    <w:p>
      <w:pPr>
        <w:keepNext/>
        <w:tabs>
          <w:tab w:val="left" w:pos="850"/>
        </w:tabs>
        <w:spacing w:before="360"/>
        <w:ind w:left="850" w:hanging="850"/>
        <w:outlineLvl w:val="0"/>
        <w:rPr>
          <w:b/>
          <w:smallCaps/>
          <w:noProof/>
        </w:rPr>
      </w:pPr>
      <w:r>
        <w:rPr>
          <w:b/>
          <w:smallCaps/>
          <w:noProof/>
        </w:rPr>
        <w:t>4.</w:t>
      </w:r>
      <w:r>
        <w:rPr>
          <w:noProof/>
        </w:rPr>
        <w:tab/>
      </w:r>
      <w:r>
        <w:rPr>
          <w:b/>
          <w:smallCaps/>
          <w:noProof/>
        </w:rPr>
        <w:t>IETEKME UZ BUDŽETU</w:t>
      </w:r>
    </w:p>
    <w:p>
      <w:pPr>
        <w:pBdr>
          <w:top w:val="nil"/>
          <w:left w:val="nil"/>
          <w:bottom w:val="nil"/>
          <w:right w:val="nil"/>
          <w:between w:val="nil"/>
          <w:bar w:val="nil"/>
        </w:pBdr>
        <w:spacing w:before="0" w:after="240"/>
        <w:rPr>
          <w:rFonts w:eastAsia="Arial Unicode MS"/>
          <w:noProof/>
        </w:rPr>
      </w:pPr>
      <w:r>
        <w:rPr>
          <w:i/>
          <w:noProof/>
        </w:rPr>
        <w:t>EMCDDA</w:t>
      </w:r>
      <w:r>
        <w:rPr>
          <w:noProof/>
        </w:rPr>
        <w:t xml:space="preserve"> uzdevumi ir saistīti ar informācijas apmaiņu, agrīnās brīdināšanas sistēmu un riska novērtēšanas procedūru attiecībā uz jaunām psihoaktīvām vielām. Centram paredzētā subsīdija jau ir iekļauta Savienības budžetā.</w:t>
      </w:r>
    </w:p>
    <w:p>
      <w:pPr>
        <w:pBdr>
          <w:top w:val="nil"/>
          <w:left w:val="nil"/>
          <w:bottom w:val="nil"/>
          <w:right w:val="nil"/>
          <w:between w:val="nil"/>
          <w:bar w:val="nil"/>
        </w:pBdr>
        <w:spacing w:before="0" w:after="240"/>
        <w:rPr>
          <w:rFonts w:eastAsia="Arial Unicode MS"/>
          <w:noProof/>
        </w:rPr>
      </w:pPr>
      <w:r>
        <w:rPr>
          <w:noProof/>
        </w:rPr>
        <w:t xml:space="preserve">Tomēr, lai Centrs varētu pienācīgi apstrādāt arvien pieaugošo skaitu pieprasījumu saistībā ar informācijas apmaiņu par jaunām psihoaktīvām vielām, kā arī ar ierosinātajām vienkāršotajām ES agrīnās brīdināšanas sistēmas un riska novērtēšanas procedūrām, Centra budžetam būs nepieciešams pievienot summu EUR 676 000 apmērā kopā par 2017.-2020. gada laikposmu sistēmas izstrādei un summu EUR 100 000 apmērā gadā, lai finansētu trīs papildu līgumdarbinieku nodarbināšanu. </w:t>
      </w:r>
    </w:p>
    <w:p>
      <w:pPr>
        <w:keepNext/>
        <w:tabs>
          <w:tab w:val="left" w:pos="850"/>
        </w:tabs>
        <w:spacing w:before="360"/>
        <w:ind w:left="850" w:hanging="850"/>
        <w:outlineLvl w:val="0"/>
        <w:rPr>
          <w:b/>
          <w:smallCaps/>
          <w:noProof/>
        </w:rPr>
      </w:pPr>
      <w:r>
        <w:rPr>
          <w:b/>
          <w:smallCaps/>
          <w:noProof/>
        </w:rPr>
        <w:t>5.</w:t>
      </w:r>
      <w:r>
        <w:rPr>
          <w:noProof/>
        </w:rPr>
        <w:tab/>
      </w:r>
      <w:r>
        <w:rPr>
          <w:b/>
          <w:smallCaps/>
          <w:noProof/>
        </w:rPr>
        <w:t>CITI ELEMENTI</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Uzraudzības, novērtēšanas un ziņošanas kārtība</w:t>
      </w:r>
    </w:p>
    <w:p>
      <w:pPr>
        <w:rPr>
          <w:rFonts w:eastAsia="Times New Roman"/>
          <w:noProof/>
          <w:szCs w:val="24"/>
        </w:rPr>
      </w:pPr>
      <w:r>
        <w:rPr>
          <w:i/>
          <w:noProof/>
        </w:rPr>
        <w:t>EMCDDA</w:t>
      </w:r>
      <w:r>
        <w:rPr>
          <w:noProof/>
        </w:rPr>
        <w:t xml:space="preserve"> regulāri novērtē saskaņā ar Regulas 1920/2006 23. pantu. Saskaņā ar šo pantu Komisija veic </w:t>
      </w:r>
      <w:r>
        <w:rPr>
          <w:i/>
          <w:noProof/>
        </w:rPr>
        <w:t>EMCDDA</w:t>
      </w:r>
      <w:r>
        <w:rPr>
          <w:noProof/>
        </w:rPr>
        <w:t xml:space="preserve"> ārēju novērtēšanu reizi sešos gados tā, lai tā atbilstu divu Centra trīs gadu programmu pabeigšanai.</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Konkrētu priekšlikuma noteikumu sīks skaidrojums</w:t>
      </w:r>
    </w:p>
    <w:p>
      <w:pPr>
        <w:rPr>
          <w:rFonts w:eastAsia="Times New Roman"/>
          <w:noProof/>
          <w:szCs w:val="24"/>
        </w:rPr>
      </w:pPr>
      <w:r>
        <w:rPr>
          <w:noProof/>
        </w:rPr>
        <w:t>1. pantā paredzēti šādi grozījumi Regulā 1920/2006:</w:t>
      </w:r>
    </w:p>
    <w:p>
      <w:pPr>
        <w:rPr>
          <w:rFonts w:eastAsia="Times New Roman"/>
          <w:i/>
          <w:noProof/>
          <w:szCs w:val="24"/>
        </w:rPr>
      </w:pPr>
      <w:r>
        <w:rPr>
          <w:i/>
          <w:noProof/>
        </w:rPr>
        <w:t>Jauns f) punkts 2. pantā (Uzdevumi) —</w:t>
      </w:r>
      <w:r>
        <w:rPr>
          <w:noProof/>
        </w:rPr>
        <w:t xml:space="preserve"> šajā pantā precizēts, ka </w:t>
      </w:r>
      <w:r>
        <w:rPr>
          <w:i/>
          <w:noProof/>
        </w:rPr>
        <w:t>EMCDDA</w:t>
      </w:r>
      <w:r>
        <w:rPr>
          <w:noProof/>
        </w:rPr>
        <w:t xml:space="preserve"> uzdevumi ir informācijas apmaiņa un agrīnā brīdināšana par jaunām psihoaktīvām vielām, kā arī riska novērtējuma veikšana. Turklāt Centrs uzrauga visas jaunās psihoaktīvās vielas, par kurām ir ziņojušas dalībvalstis.</w:t>
      </w:r>
    </w:p>
    <w:p>
      <w:pPr>
        <w:rPr>
          <w:rFonts w:eastAsia="Times New Roman"/>
          <w:noProof/>
          <w:szCs w:val="24"/>
        </w:rPr>
      </w:pPr>
      <w:r>
        <w:rPr>
          <w:i/>
          <w:noProof/>
        </w:rPr>
        <w:t>Jauns 5.a pants (Informācijas apmaiņa, agrīnās brīdināšanas sistēma un riska novērtējums attiecībā uz jaunām psihoaktīvām vielām)</w:t>
      </w:r>
      <w:r>
        <w:rPr>
          <w:noProof/>
        </w:rPr>
        <w:t xml:space="preserve"> — šajā pantā tiek paredzēti dalībvalstu, </w:t>
      </w:r>
      <w:r>
        <w:rPr>
          <w:i/>
          <w:noProof/>
        </w:rPr>
        <w:t>EMCDDA</w:t>
      </w:r>
      <w:r>
        <w:rPr>
          <w:noProof/>
        </w:rPr>
        <w:t xml:space="preserve"> un Eiropola attiecīgie uzdevumi informācijas apmaiņas un agrīnās brīdināšanas par jaunām psihoaktīvām vielām procesā.</w:t>
      </w:r>
    </w:p>
    <w:p>
      <w:pPr>
        <w:rPr>
          <w:rFonts w:eastAsia="Times New Roman"/>
          <w:noProof/>
          <w:szCs w:val="24"/>
        </w:rPr>
      </w:pPr>
      <w:r>
        <w:rPr>
          <w:i/>
          <w:noProof/>
        </w:rPr>
        <w:t xml:space="preserve">Jauns 5.b pants (Sākotnējais ziņojums) </w:t>
      </w:r>
      <w:r>
        <w:rPr>
          <w:noProof/>
        </w:rPr>
        <w:t xml:space="preserve">— šajā pantā noteikts sākotnējā ziņojuma par jaunām psihoaktīvām vielām saturs un procedūras tā sagatavošanai un nosūtīšanai, ko veic </w:t>
      </w:r>
      <w:r>
        <w:rPr>
          <w:i/>
          <w:noProof/>
        </w:rPr>
        <w:t>EMCDDA</w:t>
      </w:r>
      <w:r>
        <w:rPr>
          <w:noProof/>
        </w:rPr>
        <w:t>. Eiropols, Eiropas Zāļu aģentūra, Eiropas Ķīmikāliju aģentūra un Eiropas Pārtikas nekaitīguma iestāde piedalās informācijas vākšanā sākotnējam ziņojumam.</w:t>
      </w:r>
    </w:p>
    <w:p>
      <w:pPr>
        <w:rPr>
          <w:rFonts w:eastAsia="Times New Roman"/>
          <w:noProof/>
          <w:szCs w:val="24"/>
        </w:rPr>
      </w:pPr>
      <w:r>
        <w:rPr>
          <w:i/>
          <w:noProof/>
        </w:rPr>
        <w:t xml:space="preserve">Jauns 5.c pants (Riska novērtējuma procedūra un ziņojums) </w:t>
      </w:r>
      <w:r>
        <w:rPr>
          <w:noProof/>
        </w:rPr>
        <w:t xml:space="preserve">— šis pants pilnvaro Komisiju pieprasīt </w:t>
      </w:r>
      <w:r>
        <w:rPr>
          <w:i/>
          <w:noProof/>
        </w:rPr>
        <w:t>EMCDDA</w:t>
      </w:r>
      <w:r>
        <w:rPr>
          <w:noProof/>
        </w:rPr>
        <w:t xml:space="preserve"> novērtēt, kādus riskus rada jauna psihoaktīva viela, par kuru ir sagatavots sākotnējais ziņojums. Tajā noteiktas </w:t>
      </w:r>
      <w:r>
        <w:rPr>
          <w:i/>
          <w:noProof/>
        </w:rPr>
        <w:t>EMCDDA</w:t>
      </w:r>
      <w:r>
        <w:rPr>
          <w:noProof/>
        </w:rPr>
        <w:t xml:space="preserve"> Zinātniskās komitejas veiktā riska novērtējuma un riska novērtējuma ziņojuma sagatavošanas un nosūtīšanas procedūras. </w:t>
      </w:r>
    </w:p>
    <w:p>
      <w:pPr>
        <w:rPr>
          <w:rFonts w:eastAsia="Times New Roman"/>
          <w:noProof/>
          <w:szCs w:val="24"/>
        </w:rPr>
      </w:pPr>
      <w:r>
        <w:rPr>
          <w:i/>
          <w:noProof/>
        </w:rPr>
        <w:t>Jauns 5.d pants (Izslēgšana no riska novērtējuma)</w:t>
      </w:r>
      <w:r>
        <w:rPr>
          <w:noProof/>
        </w:rPr>
        <w:t xml:space="preserve"> — šajā pantā precizēti apstākļi, kad nav jāveic riska novērtējums par jaunu psihoaktīvu vielu.</w:t>
      </w:r>
    </w:p>
    <w:p>
      <w:pPr>
        <w:rPr>
          <w:rFonts w:eastAsia="Times New Roman"/>
          <w:noProof/>
          <w:szCs w:val="24"/>
        </w:rPr>
      </w:pPr>
      <w:r>
        <w:rPr>
          <w:noProof/>
        </w:rPr>
        <w:t xml:space="preserve">Regulas 2. pantā noteiks, kad tā stājas spēkā.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2016/0261 (COD)</w:t>
      </w:r>
    </w:p>
    <w:p>
      <w:pPr>
        <w:pStyle w:val="Statut"/>
        <w:rPr>
          <w:noProof/>
        </w:rPr>
      </w:pPr>
      <w:r>
        <w:rPr>
          <w:noProof/>
        </w:rPr>
        <w:t>Priekšlikums</w:t>
      </w:r>
    </w:p>
    <w:p>
      <w:pPr>
        <w:pStyle w:val="Typedudocument"/>
        <w:rPr>
          <w:noProof/>
        </w:rPr>
      </w:pPr>
      <w:r>
        <w:rPr>
          <w:noProof/>
        </w:rPr>
        <w:t>EIROPAS PARLAMENTA UN PADOMES REGULA,</w:t>
      </w:r>
    </w:p>
    <w:p>
      <w:pPr>
        <w:pStyle w:val="Titreobjet"/>
        <w:rPr>
          <w:noProof/>
        </w:rPr>
      </w:pPr>
      <w:r>
        <w:rPr>
          <w:noProof/>
        </w:rPr>
        <w:t>ar ko groza Regulu (EK) Nr. 1920/2006 attiecībā uz informācijas apmaiņu, agrīnās brīdināšanas sistēmu un riska novērtēšanu saistībā ar jaunām psihoaktīvām vielām</w:t>
      </w:r>
    </w:p>
    <w:p>
      <w:pPr>
        <w:pStyle w:val="Institutionquiagit"/>
        <w:rPr>
          <w:noProof/>
        </w:rPr>
      </w:pPr>
      <w:r>
        <w:rPr>
          <w:noProof/>
        </w:rPr>
        <w:t>EIROPAS PARLAMENTS UN EIROPAS SAVIENĪBAS PADOME,</w:t>
      </w:r>
    </w:p>
    <w:p>
      <w:pPr>
        <w:rPr>
          <w:noProof/>
        </w:rPr>
      </w:pPr>
      <w:r>
        <w:rPr>
          <w:noProof/>
        </w:rPr>
        <w:t>ņemot vērā Līgumu par Eiropas Savienības darbību un jo īpaši tā 168. panta 5. punktu,</w:t>
      </w:r>
    </w:p>
    <w:p>
      <w:pPr>
        <w:rPr>
          <w:noProof/>
        </w:rPr>
      </w:pPr>
      <w:r>
        <w:rPr>
          <w:noProof/>
        </w:rPr>
        <w:t>ņemot vērā Eiropas Komisijas priekšlikumu,</w:t>
      </w:r>
    </w:p>
    <w:p>
      <w:pPr>
        <w:rPr>
          <w:noProof/>
        </w:rPr>
      </w:pPr>
      <w:r>
        <w:rPr>
          <w:noProof/>
        </w:rPr>
        <w:t>pēc leģislatīvā akta projekta nosūtīšanas valstu parlamentiem,</w:t>
      </w:r>
    </w:p>
    <w:p>
      <w:pPr>
        <w:rPr>
          <w:noProof/>
        </w:rPr>
      </w:pPr>
      <w:r>
        <w:rPr>
          <w:noProof/>
        </w:rPr>
        <w:t>ņemot vērā Eiropas Ekonomikas un sociālo lietu komitejas atzinumu</w:t>
      </w:r>
      <w:r>
        <w:rPr>
          <w:rStyle w:val="FootnoteReference"/>
          <w:noProof/>
        </w:rPr>
        <w:footnoteReference w:id="11"/>
      </w:r>
      <w:r>
        <w:rPr>
          <w:noProof/>
        </w:rPr>
        <w:t xml:space="preserve">, </w:t>
      </w:r>
    </w:p>
    <w:p>
      <w:pPr>
        <w:rPr>
          <w:noProof/>
        </w:rPr>
      </w:pPr>
      <w:r>
        <w:rPr>
          <w:noProof/>
        </w:rPr>
        <w:t>ņemot vērā Reģionu komitejas atzinumu</w:t>
      </w:r>
      <w:r>
        <w:rPr>
          <w:rStyle w:val="FootnoteReference"/>
          <w:noProof/>
        </w:rPr>
        <w:footnoteReference w:id="12"/>
      </w:r>
      <w:r>
        <w:rPr>
          <w:noProof/>
        </w:rPr>
        <w:t xml:space="preserve">, </w:t>
      </w:r>
    </w:p>
    <w:p>
      <w:pPr>
        <w:rPr>
          <w:noProof/>
        </w:rPr>
      </w:pPr>
      <w:r>
        <w:rPr>
          <w:noProof/>
        </w:rPr>
        <w:t>saskaņā ar parasto likumdošanas procedūru,</w:t>
      </w:r>
    </w:p>
    <w:p>
      <w:pPr>
        <w:rPr>
          <w:noProof/>
        </w:rPr>
      </w:pPr>
      <w:r>
        <w:rPr>
          <w:noProof/>
        </w:rPr>
        <w:t>tā kā:</w:t>
      </w:r>
    </w:p>
    <w:p>
      <w:pPr>
        <w:pStyle w:val="ManualConsidrant"/>
        <w:rPr>
          <w:noProof/>
        </w:rPr>
      </w:pPr>
      <w:r>
        <w:t>(1)</w:t>
      </w:r>
      <w:r>
        <w:tab/>
      </w:r>
      <w:r>
        <w:rPr>
          <w:noProof/>
        </w:rPr>
        <w:t>Jaunas psihoaktīvas vielas var radīt nopietnu pārrobežu veselības apdraudējumu, kā rezultātā ir nepieciešams uzlabot šo apdraudējumu uzraudzību, agrīno brīdināšanu par tiem un to apkarošanu.</w:t>
      </w:r>
    </w:p>
    <w:p>
      <w:pPr>
        <w:pStyle w:val="ManualConsidrant"/>
        <w:rPr>
          <w:noProof/>
        </w:rPr>
      </w:pPr>
      <w:r>
        <w:t>(2)</w:t>
      </w:r>
      <w:r>
        <w:tab/>
      </w:r>
      <w:r>
        <w:rPr>
          <w:noProof/>
        </w:rPr>
        <w:t>Pēdējos gados dalībvalstis ir ziņojušas par arvien pieaugošu skaitu jaunu psihoaktīvu vielu, izmantojot ātrās informācijas apmaiņas mehānismu, kuru izveidoja ar Vienoto rīcību 97/396/TI, kuru Padome pieņēma, pamatojoties uz Līguma par Eiropas Savienību K3. pantu, par informācijas apmaiņu, riska novērtēšanu un kontroli attiecībā uz jaunām sintētiskām narkotikām</w:t>
      </w:r>
      <w:r>
        <w:rPr>
          <w:rStyle w:val="FootnoteReference"/>
          <w:noProof/>
        </w:rPr>
        <w:footnoteReference w:id="13"/>
      </w:r>
      <w:r>
        <w:rPr>
          <w:noProof/>
        </w:rPr>
        <w:t>, un kuru vēlāk nostiprināja ar Padomes Lēmumu 2005/387/TI</w:t>
      </w:r>
      <w:r>
        <w:rPr>
          <w:rStyle w:val="FootnoteReference"/>
          <w:noProof/>
        </w:rPr>
        <w:footnoteReference w:id="14"/>
      </w:r>
      <w:r>
        <w:rPr>
          <w:noProof/>
        </w:rPr>
        <w:t>.</w:t>
      </w:r>
    </w:p>
    <w:p>
      <w:pPr>
        <w:pStyle w:val="ManualConsidrant"/>
        <w:rPr>
          <w:noProof/>
        </w:rPr>
      </w:pPr>
      <w:r>
        <w:t>(3)</w:t>
      </w:r>
      <w:r>
        <w:tab/>
      </w:r>
      <w:r>
        <w:rPr>
          <w:noProof/>
        </w:rPr>
        <w:t>Problēmas saistībā ar jaunām psihoaktīvām vielām, kas rada veselības un sociālos riskus visā Savienībā, būtu jārisina Savienības līmenī. Tāpēc šī regula ir jālasa saistībā ar Padomes Pamatlēmumu 2004/757/TI</w:t>
      </w:r>
      <w:r>
        <w:rPr>
          <w:rStyle w:val="FootnoteReference"/>
          <w:noProof/>
        </w:rPr>
        <w:footnoteReference w:id="15"/>
      </w:r>
      <w:r>
        <w:rPr>
          <w:noProof/>
        </w:rPr>
        <w:t xml:space="preserve"> [kurā grozījumi izdarīti ar Direktīvu (ES).../...], jo abi tiesību akti ir paredzēti, lai aizstātu mehānismu, kas izveidots ar Padomes Lēmumu 2005/387/TI.</w:t>
      </w:r>
    </w:p>
    <w:p>
      <w:pPr>
        <w:pStyle w:val="ManualConsidrant"/>
        <w:rPr>
          <w:noProof/>
        </w:rPr>
      </w:pPr>
      <w:r>
        <w:t>(4)</w:t>
      </w:r>
      <w:r>
        <w:tab/>
      </w:r>
      <w:r>
        <w:rPr>
          <w:noProof/>
        </w:rPr>
        <w:t>Eiropas Parlamenta un Padomes Regulā (EK) 1920/2006</w:t>
      </w:r>
      <w:r>
        <w:rPr>
          <w:rStyle w:val="FootnoteReference"/>
          <w:noProof/>
        </w:rPr>
        <w:footnoteReference w:id="16"/>
      </w:r>
      <w:r>
        <w:rPr>
          <w:noProof/>
        </w:rPr>
        <w:t xml:space="preserve"> ir nepieciešams iekļaut noteikumus par informācijas apmaiņu un agrīnās brīdināšanas sistēmu attiecībā uz jaunām psihoaktīvām vielām, kā arī par riska novērtēšanas procedūru. Jo īpaši būtu jāstiprina noteikumi attiecībā uz agrīno brīdināšanu par jaunām psihoaktīvām vielām un jāpadara efektīvākas procedūras sākotnējā ziņojuma izstrādei un riska novērtējuma procedūras organizēšana. Būtu ievērojami jāsaīsina termiņi visos procedūras posmos.</w:t>
      </w:r>
    </w:p>
    <w:p>
      <w:pPr>
        <w:pStyle w:val="ManualConsidrant"/>
        <w:rPr>
          <w:noProof/>
        </w:rPr>
      </w:pPr>
      <w:r>
        <w:t>(5)</w:t>
      </w:r>
      <w:r>
        <w:tab/>
      </w:r>
      <w:r>
        <w:rPr>
          <w:noProof/>
        </w:rPr>
        <w:t xml:space="preserve">Jebkurai Savienības rīcībai saistībā ar jaunām psihoaktīvām vielām būtu jābalstās uz zinātniskiem pierādījumiem. </w:t>
      </w:r>
    </w:p>
    <w:p>
      <w:pPr>
        <w:pStyle w:val="ManualConsidrant"/>
        <w:rPr>
          <w:noProof/>
        </w:rPr>
      </w:pPr>
      <w:r>
        <w:t>(6)</w:t>
      </w:r>
      <w:r>
        <w:tab/>
      </w:r>
      <w:r>
        <w:rPr>
          <w:noProof/>
        </w:rPr>
        <w:t>Pēc riska novērtējuma procedūras Komisijai būtu jāizlemj, vai par jaunajām psihoaktīvajām vielām būtu jāparedz kriminālatbildība saskaņā ar procedūru, kas paredzēta Padomes Pamatlēmumā 2004/757/TI [kurā grozījumi izdarīti ar Direktīvu (ES).../...]. Šī regula stāsies spēkā direktīvas transponēšanas dienā, jo abi tiesību akti ir paredzēti, lai aizstātu mehānismu, kas izveidots ar Padomes Lēmumu 2005/387/TI.</w:t>
      </w:r>
    </w:p>
    <w:p>
      <w:pPr>
        <w:pStyle w:val="ManualConsidrant"/>
        <w:rPr>
          <w:noProof/>
        </w:rPr>
      </w:pPr>
      <w:r>
        <w:t>(7)</w:t>
      </w:r>
      <w:r>
        <w:tab/>
      </w:r>
      <w:r>
        <w:rPr>
          <w:noProof/>
        </w:rPr>
        <w:t>Riska novērtējums attiecībā uz jaunu psihoaktīvu vielu nebūtu jāveic, ja tā tiek izvērtēta saskaņā ar starptautiskām tiesībām vai ja tā ir zāļu vai veterināro zāļu aktīvā viela.</w:t>
      </w:r>
    </w:p>
    <w:p>
      <w:pPr>
        <w:pStyle w:val="ManualConsidrant"/>
        <w:rPr>
          <w:noProof/>
        </w:rPr>
      </w:pPr>
      <w:r>
        <w:t>(8)</w:t>
      </w:r>
      <w:r>
        <w:tab/>
      </w:r>
      <w:r>
        <w:rPr>
          <w:noProof/>
        </w:rPr>
        <w:t>Tāpēc būtu attiecīgi jāgroza Regula (EK) Nr. 1920/2006,</w:t>
      </w:r>
    </w:p>
    <w:p>
      <w:pPr>
        <w:pStyle w:val="Formuledadoption"/>
        <w:rPr>
          <w:noProof/>
        </w:rPr>
      </w:pPr>
      <w:r>
        <w:rPr>
          <w:noProof/>
        </w:rPr>
        <w:t>IR PIEŅĒMUŠI ŠO REGULU.</w:t>
      </w:r>
    </w:p>
    <w:p>
      <w:pPr>
        <w:pStyle w:val="Titrearticle"/>
        <w:rPr>
          <w:noProof/>
        </w:rPr>
      </w:pPr>
      <w:r>
        <w:rPr>
          <w:noProof/>
        </w:rPr>
        <w:t>1. pants</w:t>
      </w:r>
    </w:p>
    <w:p>
      <w:pPr>
        <w:keepNext/>
        <w:spacing w:before="0"/>
        <w:jc w:val="center"/>
        <w:rPr>
          <w:rFonts w:eastAsia="Times New Roman"/>
          <w:b/>
          <w:noProof/>
          <w:szCs w:val="24"/>
        </w:rPr>
      </w:pPr>
      <w:r>
        <w:rPr>
          <w:b/>
          <w:noProof/>
        </w:rPr>
        <w:t>Grozījumi Regulā (EK) Nr. 1920/2006</w:t>
      </w:r>
    </w:p>
    <w:p>
      <w:pPr>
        <w:rPr>
          <w:noProof/>
        </w:rPr>
      </w:pPr>
    </w:p>
    <w:p>
      <w:pPr>
        <w:rPr>
          <w:noProof/>
        </w:rPr>
      </w:pPr>
      <w:r>
        <w:rPr>
          <w:noProof/>
        </w:rPr>
        <w:t>Regulu (EK) Nr. 1920/2006 groza šādi:</w:t>
      </w:r>
    </w:p>
    <w:p>
      <w:pPr>
        <w:rPr>
          <w:rFonts w:eastAsia="Times New Roman"/>
          <w:noProof/>
          <w:szCs w:val="24"/>
        </w:rPr>
      </w:pPr>
    </w:p>
    <w:p>
      <w:pPr>
        <w:rPr>
          <w:rFonts w:eastAsia="Times New Roman"/>
          <w:noProof/>
          <w:szCs w:val="24"/>
        </w:rPr>
      </w:pPr>
      <w:r>
        <w:rPr>
          <w:noProof/>
        </w:rPr>
        <w:t>1) regulas 2. pantā pievieno šādu f) punktu:</w:t>
      </w:r>
    </w:p>
    <w:p>
      <w:pPr>
        <w:rPr>
          <w:rFonts w:eastAsia="Times New Roman"/>
          <w:noProof/>
          <w:szCs w:val="24"/>
        </w:rPr>
      </w:pPr>
    </w:p>
    <w:p>
      <w:pPr>
        <w:ind w:left="850" w:hanging="850"/>
        <w:rPr>
          <w:rFonts w:eastAsia="Times New Roman"/>
          <w:noProof/>
          <w:szCs w:val="24"/>
        </w:rPr>
      </w:pPr>
      <w:r>
        <w:rPr>
          <w:noProof/>
        </w:rPr>
        <w:t xml:space="preserve"> "f) </w:t>
      </w:r>
      <w:r>
        <w:rPr>
          <w:noProof/>
        </w:rPr>
        <w:tab/>
      </w:r>
      <w:r>
        <w:rPr>
          <w:b/>
          <w:noProof/>
        </w:rPr>
        <w:t>informācijas apmaiņas, agrīnās brīdināšanas sistēmas un riska novērtējuma jomā attiecībā uz jaunām psihoaktīvām vielām:</w:t>
      </w:r>
    </w:p>
    <w:p>
      <w:pPr>
        <w:autoSpaceDE w:val="0"/>
        <w:autoSpaceDN w:val="0"/>
        <w:adjustRightInd w:val="0"/>
        <w:ind w:left="720" w:hanging="720"/>
        <w:rPr>
          <w:rFonts w:eastAsia="Times New Roman"/>
          <w:noProof/>
          <w:szCs w:val="24"/>
        </w:rPr>
      </w:pPr>
    </w:p>
    <w:p>
      <w:pPr>
        <w:ind w:left="1440" w:hanging="720"/>
        <w:rPr>
          <w:rFonts w:eastAsia="Times New Roman"/>
          <w:noProof/>
          <w:szCs w:val="24"/>
        </w:rPr>
      </w:pPr>
      <w:r>
        <w:rPr>
          <w:noProof/>
        </w:rPr>
        <w:t xml:space="preserve">i) </w:t>
      </w:r>
      <w:r>
        <w:rPr>
          <w:noProof/>
        </w:rPr>
        <w:tab/>
        <w:t xml:space="preserve">vāc, apkopo, analizē un novērtē no </w:t>
      </w:r>
      <w:r>
        <w:rPr>
          <w:i/>
          <w:noProof/>
        </w:rPr>
        <w:t>Reitox</w:t>
      </w:r>
      <w:r>
        <w:rPr>
          <w:noProof/>
        </w:rPr>
        <w:t xml:space="preserve"> valstu koordinācijas centriem un Eiropola valstu vienībām pieejamo informāciju par jaunām psihoaktīvām vielām, kā definēts […] pantā Padomes Pamatlēmumā 2004/757/TI [kurā grozījumi izdarīti ar Direktīvu (ES).../...], un bez liekas kavēšanās paziņo šo informāciju </w:t>
      </w:r>
      <w:r>
        <w:rPr>
          <w:i/>
          <w:noProof/>
        </w:rPr>
        <w:t>Reitox</w:t>
      </w:r>
      <w:r>
        <w:rPr>
          <w:noProof/>
        </w:rPr>
        <w:t xml:space="preserve"> koordinācijas centriem un Eiropola valstu vienībām, kā arī Komisijai;</w:t>
      </w:r>
    </w:p>
    <w:p>
      <w:pPr>
        <w:rPr>
          <w:rFonts w:eastAsia="Times New Roman"/>
          <w:noProof/>
          <w:szCs w:val="24"/>
        </w:rPr>
      </w:pPr>
    </w:p>
    <w:p>
      <w:pPr>
        <w:ind w:left="1440" w:hanging="720"/>
        <w:rPr>
          <w:noProof/>
        </w:rPr>
      </w:pPr>
      <w:r>
        <w:rPr>
          <w:noProof/>
        </w:rPr>
        <w:t xml:space="preserve">ii) </w:t>
      </w:r>
      <w:r>
        <w:rPr>
          <w:noProof/>
        </w:rPr>
        <w:tab/>
        <w:t xml:space="preserve">sagatavo sākotnējo ziņojumu vai apvienotu sākotnējo ziņojumu saskaņā ar 5.b pantu; </w:t>
      </w:r>
    </w:p>
    <w:p>
      <w:pPr>
        <w:rPr>
          <w:noProof/>
        </w:rPr>
      </w:pPr>
    </w:p>
    <w:p>
      <w:pPr>
        <w:ind w:left="1440" w:hanging="720"/>
        <w:rPr>
          <w:noProof/>
        </w:rPr>
      </w:pPr>
      <w:r>
        <w:rPr>
          <w:noProof/>
        </w:rPr>
        <w:t xml:space="preserve">iii) </w:t>
      </w:r>
      <w:r>
        <w:rPr>
          <w:noProof/>
        </w:rPr>
        <w:tab/>
        <w:t>organizē riska novērtēšanas procedūru saskaņā ar 5.c un 5.d pantu;</w:t>
      </w:r>
    </w:p>
    <w:p>
      <w:pPr>
        <w:rPr>
          <w:noProof/>
        </w:rPr>
      </w:pPr>
    </w:p>
    <w:p>
      <w:pPr>
        <w:ind w:left="1440" w:hanging="720"/>
        <w:rPr>
          <w:rFonts w:eastAsia="Times New Roman"/>
          <w:noProof/>
          <w:szCs w:val="24"/>
        </w:rPr>
      </w:pPr>
      <w:r>
        <w:rPr>
          <w:noProof/>
        </w:rPr>
        <w:t xml:space="preserve">iv) </w:t>
      </w:r>
      <w:r>
        <w:rPr>
          <w:noProof/>
        </w:rPr>
        <w:tab/>
        <w:t xml:space="preserve">sadarbībā ar Eiropolu un ar </w:t>
      </w:r>
      <w:r>
        <w:rPr>
          <w:i/>
          <w:noProof/>
        </w:rPr>
        <w:t>Reitox</w:t>
      </w:r>
      <w:r>
        <w:rPr>
          <w:noProof/>
        </w:rPr>
        <w:t xml:space="preserve"> valstu koordinācijas centru un Eiropola valstu vienību atbalstu uzrauga visas jaunās psihoaktīvās vielas, par kurām ziņojušas dalībvalstis.";</w:t>
      </w:r>
    </w:p>
    <w:p>
      <w:pPr>
        <w:rPr>
          <w:noProof/>
        </w:rPr>
      </w:pPr>
    </w:p>
    <w:p>
      <w:pPr>
        <w:rPr>
          <w:noProof/>
        </w:rPr>
      </w:pPr>
      <w:r>
        <w:rPr>
          <w:noProof/>
        </w:rPr>
        <w:t xml:space="preserve">2) regulas 5. panta 2. punktā svītro otro un trešo daļu; </w:t>
      </w:r>
    </w:p>
    <w:p>
      <w:pPr>
        <w:rPr>
          <w:rFonts w:eastAsia="Times New Roman"/>
          <w:noProof/>
          <w:szCs w:val="24"/>
        </w:rPr>
      </w:pPr>
    </w:p>
    <w:p>
      <w:pPr>
        <w:rPr>
          <w:rFonts w:eastAsia="Times New Roman"/>
          <w:noProof/>
          <w:szCs w:val="24"/>
        </w:rPr>
      </w:pPr>
      <w:r>
        <w:rPr>
          <w:noProof/>
        </w:rPr>
        <w:t>3) pievieno šādu 5.a, 5.b, 5.c un 5.d pantu:</w:t>
      </w:r>
    </w:p>
    <w:p>
      <w:pPr>
        <w:keepNext/>
        <w:spacing w:before="360"/>
        <w:jc w:val="center"/>
        <w:rPr>
          <w:rFonts w:eastAsia="Times New Roman"/>
          <w:i/>
          <w:noProof/>
          <w:szCs w:val="24"/>
        </w:rPr>
      </w:pPr>
      <w:r>
        <w:rPr>
          <w:i/>
          <w:noProof/>
        </w:rPr>
        <w:t>"5.a pants</w:t>
      </w:r>
    </w:p>
    <w:p>
      <w:pPr>
        <w:keepNext/>
        <w:spacing w:before="0"/>
        <w:jc w:val="center"/>
        <w:rPr>
          <w:rFonts w:eastAsia="Times New Roman"/>
          <w:b/>
          <w:noProof/>
          <w:szCs w:val="24"/>
        </w:rPr>
      </w:pPr>
      <w:r>
        <w:rPr>
          <w:b/>
          <w:noProof/>
        </w:rPr>
        <w:t>Informācijas apmaiņa un agrīnās brīdināšanas sistēma attiecībā uz jaunām psihoaktīvām vielām</w:t>
      </w:r>
    </w:p>
    <w:p>
      <w:pPr>
        <w:autoSpaceDE w:val="0"/>
        <w:autoSpaceDN w:val="0"/>
        <w:adjustRightInd w:val="0"/>
        <w:rPr>
          <w:rFonts w:eastAsia="Times New Roman"/>
          <w:noProof/>
          <w:szCs w:val="24"/>
        </w:rPr>
      </w:pPr>
      <w:r>
        <w:rPr>
          <w:noProof/>
        </w:rPr>
        <w:t xml:space="preserve">Katra dalībvalsts nodrošina, ka tās </w:t>
      </w:r>
      <w:r>
        <w:rPr>
          <w:i/>
          <w:noProof/>
        </w:rPr>
        <w:t>Reitox</w:t>
      </w:r>
      <w:r>
        <w:rPr>
          <w:noProof/>
        </w:rPr>
        <w:t xml:space="preserve"> valstu koordinācijas centri un Eiropola valsts vienība laikus un bez liekas kavēšanās sniedz Centram un Eiropolam pieejamo informāciju par jaunām psihoaktīvām vielām. Informācija attiecas uz šo vielu atklāšanu un identificēšanu, lietošanu un lietošanas paradumiem, iespējamajiem un apzinātajiem riskiem, šo vielu izgatavošanu, ieguvi, izplatīšanu, tirdzniecību, to komerciālo, kā arī medicīnisko un zinātnisko izmantošanu.</w:t>
      </w:r>
    </w:p>
    <w:p>
      <w:pPr>
        <w:autoSpaceDE w:val="0"/>
        <w:autoSpaceDN w:val="0"/>
        <w:adjustRightInd w:val="0"/>
        <w:rPr>
          <w:rFonts w:eastAsia="Times New Roman"/>
          <w:noProof/>
          <w:szCs w:val="24"/>
        </w:rPr>
      </w:pPr>
      <w:r>
        <w:rPr>
          <w:noProof/>
        </w:rPr>
        <w:t>Centrs sadarbībā ar Eiropolu vāc, analizē, izvērtē un savlaicīgi paziņo šo informāciju dalībvalstīm ar mērķi sniegt dalībvalstīm visu informāciju, kas vajadzīga agrīnās brīdināšanas nolūkiem un tam, lai Centrs varētu sagatavot sākotnējo ziņojumu vai apvienotu sākotnējo ziņojumu saskaņā ar 5.b pantu.</w:t>
      </w:r>
    </w:p>
    <w:p>
      <w:pPr>
        <w:rPr>
          <w:rFonts w:eastAsia="Times New Roman"/>
          <w:noProof/>
          <w:szCs w:val="24"/>
        </w:rPr>
      </w:pPr>
    </w:p>
    <w:p>
      <w:pPr>
        <w:pStyle w:val="Titrearticle"/>
        <w:rPr>
          <w:noProof/>
        </w:rPr>
      </w:pPr>
      <w:r>
        <w:rPr>
          <w:noProof/>
        </w:rPr>
        <w:t xml:space="preserve"> 5.b pants</w:t>
      </w:r>
    </w:p>
    <w:p>
      <w:pPr>
        <w:keepNext/>
        <w:spacing w:before="0"/>
        <w:jc w:val="center"/>
        <w:rPr>
          <w:rFonts w:eastAsia="Times New Roman"/>
          <w:b/>
          <w:noProof/>
          <w:szCs w:val="24"/>
        </w:rPr>
      </w:pPr>
      <w:r>
        <w:rPr>
          <w:b/>
          <w:noProof/>
        </w:rPr>
        <w:t xml:space="preserve">Sākotnējais ziņojums </w:t>
      </w:r>
    </w:p>
    <w:p>
      <w:pPr>
        <w:ind w:left="850" w:hanging="850"/>
        <w:rPr>
          <w:rFonts w:eastAsia="Times New Roman"/>
          <w:noProof/>
          <w:szCs w:val="24"/>
        </w:rPr>
      </w:pPr>
      <w:r>
        <w:rPr>
          <w:noProof/>
        </w:rPr>
        <w:t>1.</w:t>
      </w:r>
      <w:r>
        <w:rPr>
          <w:noProof/>
        </w:rPr>
        <w:tab/>
        <w:t>Kad Centrs, Komisija vai Padome, rīkojoties saskaņā ar vienkārša dalībvalstu vairākuma principu, uzskata, ka saskaņā ar 5.a pantu vienā vai vairākās dalībvalstīs apkopotā informācija par jaunu psihoaktīvo vielu rada pamatu bažām, ka šī jaunā psihoaktīvā viela varētu radīt veselības apdraudējumu un sociālos riskus Savienības līmenī, Centrs sagatavo sākotnējo ziņojumu par jauno psihoaktīvo vielu.</w:t>
      </w:r>
    </w:p>
    <w:p>
      <w:pPr>
        <w:ind w:left="850" w:hanging="850"/>
        <w:rPr>
          <w:rFonts w:eastAsia="Times New Roman"/>
          <w:noProof/>
          <w:szCs w:val="24"/>
        </w:rPr>
      </w:pPr>
      <w:r>
        <w:rPr>
          <w:noProof/>
        </w:rPr>
        <w:t>2.</w:t>
      </w:r>
      <w:r>
        <w:rPr>
          <w:noProof/>
        </w:rPr>
        <w:tab/>
        <w:t xml:space="preserve">Sākotnējā ziņojumā ietver: </w:t>
      </w:r>
    </w:p>
    <w:p>
      <w:pPr>
        <w:ind w:left="1418" w:hanging="567"/>
        <w:rPr>
          <w:noProof/>
        </w:rPr>
      </w:pPr>
      <w:r>
        <w:rPr>
          <w:noProof/>
        </w:rPr>
        <w:t>a)</w:t>
      </w:r>
      <w:r>
        <w:rPr>
          <w:noProof/>
        </w:rPr>
        <w:tab/>
        <w:t>pirmo norādi par veselības un sociālo risku, kuri saistīti ar jauno psihoaktīvo vielu, veidu vai apmēru;</w:t>
      </w:r>
    </w:p>
    <w:p>
      <w:pPr>
        <w:ind w:left="1418" w:hanging="567"/>
        <w:rPr>
          <w:noProof/>
        </w:rPr>
      </w:pPr>
      <w:r>
        <w:rPr>
          <w:noProof/>
        </w:rPr>
        <w:t>b)</w:t>
      </w:r>
      <w:r>
        <w:rPr>
          <w:noProof/>
        </w:rPr>
        <w:tab/>
        <w:t>aprakstu par jaunās psihoaktīvās vielas ķīmiskajām un fizikālajām īpašībām un informāciju par tās izgatavošanai vai ieguvei izmantotajām metodēm un prekursoriem;</w:t>
      </w:r>
    </w:p>
    <w:p>
      <w:pPr>
        <w:ind w:left="1418" w:hanging="567"/>
        <w:rPr>
          <w:noProof/>
        </w:rPr>
      </w:pPr>
      <w:r>
        <w:rPr>
          <w:noProof/>
        </w:rPr>
        <w:t>c)</w:t>
      </w:r>
      <w:r>
        <w:rPr>
          <w:noProof/>
        </w:rPr>
        <w:tab/>
        <w:t>jaunās psihoaktīvās vielas farmakoloģisko un toksikoloģisko aprakstu;</w:t>
      </w:r>
    </w:p>
    <w:p>
      <w:pPr>
        <w:ind w:left="1418" w:hanging="567"/>
        <w:rPr>
          <w:noProof/>
        </w:rPr>
      </w:pPr>
      <w:r>
        <w:rPr>
          <w:noProof/>
        </w:rPr>
        <w:t>d)</w:t>
      </w:r>
      <w:r>
        <w:rPr>
          <w:noProof/>
        </w:rPr>
        <w:tab/>
        <w:t>informāciju par noziedzīgu grupu iesaistīšanos jaunās psihoaktīvās vielas izgatavošanā un izplatīšanā;</w:t>
      </w:r>
    </w:p>
    <w:p>
      <w:pPr>
        <w:ind w:left="1418" w:hanging="567"/>
        <w:rPr>
          <w:noProof/>
        </w:rPr>
      </w:pPr>
      <w:r>
        <w:rPr>
          <w:noProof/>
        </w:rPr>
        <w:t>e)</w:t>
      </w:r>
      <w:r>
        <w:rPr>
          <w:noProof/>
        </w:rPr>
        <w:tab/>
        <w:t>informāciju par jaunās psihoaktīvās vielas pielietojumu medicīnā un veterinārijā, tostarp izmantojot to kā zāļu vai veterināro zāļu aktīvo vielu;</w:t>
      </w:r>
    </w:p>
    <w:p>
      <w:pPr>
        <w:ind w:left="1418" w:hanging="567"/>
        <w:rPr>
          <w:noProof/>
        </w:rPr>
      </w:pPr>
      <w:r>
        <w:rPr>
          <w:noProof/>
        </w:rPr>
        <w:t>f)</w:t>
      </w:r>
      <w:r>
        <w:rPr>
          <w:noProof/>
        </w:rPr>
        <w:tab/>
        <w:t>informāciju par to, vai uz jauno psihoaktīvo vielu attiecas jebkādi ierobežojoši pasākumi dalībvalstīs;</w:t>
      </w:r>
    </w:p>
    <w:p>
      <w:pPr>
        <w:ind w:left="1418" w:hanging="567"/>
        <w:rPr>
          <w:noProof/>
        </w:rPr>
      </w:pPr>
      <w:r>
        <w:rPr>
          <w:noProof/>
        </w:rPr>
        <w:t>g)</w:t>
      </w:r>
      <w:r>
        <w:rPr>
          <w:noProof/>
        </w:rPr>
        <w:tab/>
        <w:t>informāciju par to, vai jaunā psihoaktīvā viela pašlaik tiek vērtēta vai jau ir izvērtēta saskaņā ar sistēmu, kas izveidota ar 1961. gada Vienoto konvenciju par narkotiskajām vielām, kura grozīta ar 1972. gada protokolu, vai saskaņā ar 1971. gada Konvenciju par psihotropajām vielām (Apvienoto Nāciju Organizācijas sistēma).</w:t>
      </w:r>
    </w:p>
    <w:p>
      <w:pPr>
        <w:ind w:left="850" w:hanging="850"/>
        <w:rPr>
          <w:rFonts w:eastAsia="Times New Roman"/>
          <w:noProof/>
          <w:szCs w:val="24"/>
        </w:rPr>
      </w:pPr>
      <w:r>
        <w:rPr>
          <w:noProof/>
        </w:rPr>
        <w:t>3.</w:t>
      </w:r>
      <w:r>
        <w:rPr>
          <w:noProof/>
        </w:rPr>
        <w:tab/>
        <w:t>Sākotnējā ziņojumā Centrs izmanto informāciju, kas jau ir tā rīcībā.</w:t>
      </w:r>
    </w:p>
    <w:p>
      <w:pPr>
        <w:ind w:left="850" w:hanging="850"/>
        <w:rPr>
          <w:rFonts w:eastAsia="Times New Roman"/>
          <w:noProof/>
          <w:szCs w:val="24"/>
        </w:rPr>
      </w:pPr>
      <w:r>
        <w:rPr>
          <w:noProof/>
        </w:rPr>
        <w:t>4.</w:t>
      </w:r>
      <w:r>
        <w:rPr>
          <w:noProof/>
        </w:rPr>
        <w:tab/>
        <w:t xml:space="preserve">Ja Centrs uzskata to par nepieciešamu, tas pieprasa </w:t>
      </w:r>
      <w:r>
        <w:rPr>
          <w:i/>
          <w:noProof/>
        </w:rPr>
        <w:t>Reitox</w:t>
      </w:r>
      <w:r>
        <w:rPr>
          <w:noProof/>
        </w:rPr>
        <w:t xml:space="preserve"> valstu koordinācijas centriem sniegt papildu informāciju par jaunām psihoaktīvām vielām. </w:t>
      </w:r>
      <w:r>
        <w:rPr>
          <w:i/>
          <w:noProof/>
        </w:rPr>
        <w:t>Reitox</w:t>
      </w:r>
      <w:r>
        <w:rPr>
          <w:noProof/>
        </w:rPr>
        <w:t xml:space="preserve"> valstu koordinācijas centri sniedz šo informāciju divu nedēļu laikā pēc pieprasījuma saņemšanas.</w:t>
      </w:r>
    </w:p>
    <w:p>
      <w:pPr>
        <w:ind w:left="850" w:hanging="850"/>
        <w:rPr>
          <w:rFonts w:eastAsia="Times New Roman"/>
          <w:noProof/>
          <w:szCs w:val="24"/>
        </w:rPr>
      </w:pPr>
      <w:r>
        <w:rPr>
          <w:noProof/>
        </w:rPr>
        <w:t>5.</w:t>
      </w:r>
      <w:r>
        <w:rPr>
          <w:noProof/>
        </w:rPr>
        <w:tab/>
        <w:t>Centrs pieprasa Eiropas Zāļu aģentūrai sniegt informāciju par to, vai Savienībā vai kādā dalībvalstī jaunā psihoaktīvā viela ir:</w:t>
      </w:r>
    </w:p>
    <w:p>
      <w:pPr>
        <w:ind w:left="1418" w:hanging="567"/>
        <w:rPr>
          <w:rFonts w:eastAsia="Times New Roman"/>
          <w:noProof/>
          <w:szCs w:val="24"/>
        </w:rPr>
      </w:pPr>
      <w:r>
        <w:rPr>
          <w:noProof/>
        </w:rPr>
        <w:t>a)</w:t>
      </w:r>
      <w:r>
        <w:rPr>
          <w:noProof/>
        </w:rPr>
        <w:tab/>
        <w:t>aktīva viela tādu zāļu vai veterināro zāļu sastāvā, kuras ir saņēmušas tirdzniecības atļauju;</w:t>
      </w:r>
    </w:p>
    <w:p>
      <w:pPr>
        <w:numPr>
          <w:ilvl w:val="3"/>
          <w:numId w:val="0"/>
        </w:numPr>
        <w:tabs>
          <w:tab w:val="num" w:pos="1417"/>
        </w:tabs>
        <w:ind w:left="1417" w:hanging="567"/>
        <w:rPr>
          <w:rFonts w:eastAsia="Times New Roman"/>
          <w:noProof/>
          <w:szCs w:val="24"/>
        </w:rPr>
      </w:pPr>
      <w:r>
        <w:rPr>
          <w:noProof/>
        </w:rPr>
        <w:t>b)</w:t>
      </w:r>
      <w:r>
        <w:rPr>
          <w:noProof/>
        </w:rPr>
        <w:tab/>
        <w:t>aktīva viela tādu zāļu vai veterināro zāļu sastāvā, par kurām iesniegts pieteikums tirdzniecības atļaujas saņemšanai;</w:t>
      </w:r>
    </w:p>
    <w:p>
      <w:pPr>
        <w:numPr>
          <w:ilvl w:val="3"/>
          <w:numId w:val="0"/>
        </w:numPr>
        <w:tabs>
          <w:tab w:val="num" w:pos="1417"/>
        </w:tabs>
        <w:ind w:left="1417" w:hanging="567"/>
        <w:rPr>
          <w:rFonts w:eastAsia="Times New Roman"/>
          <w:noProof/>
          <w:szCs w:val="24"/>
        </w:rPr>
      </w:pPr>
      <w:r>
        <w:rPr>
          <w:noProof/>
        </w:rPr>
        <w:t>c)</w:t>
      </w:r>
      <w:r>
        <w:rPr>
          <w:noProof/>
        </w:rPr>
        <w:tab/>
        <w:t xml:space="preserve">aktīva viela tādu zāļu vai veterināro zāļu sastāvā, kuras ir saņēmušas tirdzniecības atļauju, bet kompetentā iestāde to ir apturējusi; </w:t>
      </w:r>
    </w:p>
    <w:p>
      <w:pPr>
        <w:numPr>
          <w:ilvl w:val="3"/>
          <w:numId w:val="0"/>
        </w:numPr>
        <w:tabs>
          <w:tab w:val="num" w:pos="1417"/>
        </w:tabs>
        <w:ind w:left="1417" w:hanging="567"/>
        <w:rPr>
          <w:rFonts w:eastAsia="Times New Roman"/>
          <w:noProof/>
          <w:szCs w:val="24"/>
        </w:rPr>
      </w:pPr>
      <w:r>
        <w:rPr>
          <w:noProof/>
        </w:rPr>
        <w:t>d)</w:t>
      </w:r>
      <w:r>
        <w:rPr>
          <w:noProof/>
        </w:rPr>
        <w:tab/>
        <w:t>aktīva viela nereģistrētu zāļu sastāvā atbilstoši Eiropas Parlamenta un Padomes Direktīvas 2001/83/EK</w:t>
      </w:r>
      <w:r>
        <w:rPr>
          <w:rStyle w:val="FootnoteReference"/>
          <w:noProof/>
        </w:rPr>
        <w:footnoteReference w:id="17"/>
      </w:r>
      <w:r>
        <w:rPr>
          <w:noProof/>
        </w:rPr>
        <w:t xml:space="preserve"> 5. pantam vai tādu veterināro zāļu sastāvā, ko konkrētam gadījumam pagatavojusi persona, kurai tas atļauts saskaņā ar valsts tiesību aktiem, atbilstīgi Eiropas Parlamenta un Padomes Direktīvas 2001/82/EK</w:t>
      </w:r>
      <w:r>
        <w:rPr>
          <w:rStyle w:val="FootnoteReference"/>
          <w:noProof/>
        </w:rPr>
        <w:footnoteReference w:id="18"/>
      </w:r>
      <w:r>
        <w:rPr>
          <w:noProof/>
        </w:rPr>
        <w:t xml:space="preserve"> 10. panta 1. punkta c) apakšpunktam;</w:t>
      </w:r>
    </w:p>
    <w:p>
      <w:pPr>
        <w:numPr>
          <w:ilvl w:val="3"/>
          <w:numId w:val="0"/>
        </w:numPr>
        <w:tabs>
          <w:tab w:val="num" w:pos="1417"/>
        </w:tabs>
        <w:ind w:left="1417" w:hanging="567"/>
        <w:rPr>
          <w:rFonts w:eastAsia="Times New Roman"/>
          <w:noProof/>
          <w:szCs w:val="24"/>
        </w:rPr>
      </w:pPr>
      <w:r>
        <w:rPr>
          <w:noProof/>
        </w:rPr>
        <w:t xml:space="preserve">e) </w:t>
      </w:r>
      <w:r>
        <w:rPr>
          <w:noProof/>
        </w:rPr>
        <w:tab/>
        <w:t>aktīva viela atļautās klīniskās izpētēs un pētāmajos preparātos saskaņā ar Eiropas Parlamenta un Padomes Direktīvas 2001/20/EK</w:t>
      </w:r>
      <w:r>
        <w:rPr>
          <w:rStyle w:val="FootnoteReference"/>
          <w:noProof/>
        </w:rPr>
        <w:footnoteReference w:id="19"/>
      </w:r>
      <w:r>
        <w:rPr>
          <w:noProof/>
        </w:rPr>
        <w:t xml:space="preserve"> 2. panta d) punktu.</w:t>
      </w:r>
    </w:p>
    <w:p>
      <w:pPr>
        <w:ind w:left="850" w:hanging="850"/>
        <w:rPr>
          <w:rFonts w:eastAsia="Times New Roman"/>
          <w:noProof/>
          <w:szCs w:val="24"/>
        </w:rPr>
      </w:pPr>
      <w:r>
        <w:rPr>
          <w:noProof/>
        </w:rPr>
        <w:t>6.</w:t>
      </w:r>
      <w:r>
        <w:rPr>
          <w:noProof/>
        </w:rPr>
        <w:tab/>
        <w:t xml:space="preserve">Centrs pieprasa Eiropolam sniegt informāciju par noziedzīgu grupu iesaistīšanos jaunās psihoaktīvās vielas ražošanā un izplatīšanā un par jebkādu jaunās psihoaktīvās vielas izmantojumu.  </w:t>
      </w:r>
    </w:p>
    <w:p>
      <w:pPr>
        <w:ind w:left="850" w:hanging="850"/>
        <w:rPr>
          <w:rFonts w:eastAsia="Times New Roman"/>
          <w:noProof/>
          <w:szCs w:val="24"/>
        </w:rPr>
      </w:pPr>
      <w:r>
        <w:rPr>
          <w:noProof/>
        </w:rPr>
        <w:t>7.</w:t>
      </w:r>
      <w:r>
        <w:rPr>
          <w:noProof/>
        </w:rPr>
        <w:tab/>
        <w:t xml:space="preserve">Centrs pieprasa Eiropas Ķimikāliju aģentūrai un Eiropas Pārtikas nekaitīguma iestādei sniegt to rīcībā esošo informāciju un datus par jauno psihoaktīvo vielu.  </w:t>
      </w:r>
    </w:p>
    <w:p>
      <w:pPr>
        <w:ind w:left="850" w:hanging="850"/>
        <w:rPr>
          <w:rFonts w:eastAsia="Times New Roman"/>
          <w:noProof/>
          <w:szCs w:val="24"/>
        </w:rPr>
      </w:pPr>
      <w:r>
        <w:rPr>
          <w:noProof/>
        </w:rPr>
        <w:t>8.</w:t>
      </w:r>
      <w:r>
        <w:rPr>
          <w:noProof/>
        </w:rPr>
        <w:tab/>
        <w:t>Sadarbību starp Centru un 5., 6. un 7. punktā minētajām iestādēm un aģentūrām sīkāk reglamentē darba vienošanās. Šādas darba vienošanās noslēdz saskaņā ar 20. panta otro daļu.</w:t>
      </w:r>
    </w:p>
    <w:p>
      <w:pPr>
        <w:ind w:left="850" w:hanging="850"/>
        <w:rPr>
          <w:rFonts w:eastAsia="Times New Roman"/>
          <w:noProof/>
          <w:szCs w:val="24"/>
        </w:rPr>
      </w:pPr>
      <w:r>
        <w:rPr>
          <w:noProof/>
        </w:rPr>
        <w:t>9.</w:t>
      </w:r>
      <w:r>
        <w:rPr>
          <w:noProof/>
        </w:rPr>
        <w:tab/>
        <w:t>Centrs ievēro tam paziņotos informācijas izmantošanas nosacījumus, tostarp nosacījumus attiecībā uz informācijas un datu drošību un konfidenciālas komerciālās informācijas aizsardzību.</w:t>
      </w:r>
    </w:p>
    <w:p>
      <w:pPr>
        <w:ind w:left="850" w:hanging="850"/>
        <w:rPr>
          <w:rFonts w:eastAsia="Times New Roman"/>
          <w:noProof/>
          <w:szCs w:val="24"/>
        </w:rPr>
      </w:pPr>
      <w:r>
        <w:rPr>
          <w:noProof/>
        </w:rPr>
        <w:t>10.</w:t>
      </w:r>
      <w:r>
        <w:rPr>
          <w:noProof/>
        </w:rPr>
        <w:tab/>
        <w:t>Centrs sākotnējo ziņojumu iesniedz Komisijai un Padomei piecu nedēļu laikā pēc 5., 6. un 7. punktā minētās informācijas pieprasījumiem.</w:t>
      </w:r>
    </w:p>
    <w:p>
      <w:pPr>
        <w:ind w:left="850" w:hanging="850"/>
        <w:rPr>
          <w:rFonts w:eastAsia="Times New Roman"/>
          <w:noProof/>
          <w:szCs w:val="24"/>
        </w:rPr>
      </w:pPr>
      <w:r>
        <w:rPr>
          <w:noProof/>
        </w:rPr>
        <w:t>11.</w:t>
      </w:r>
      <w:r>
        <w:rPr>
          <w:noProof/>
        </w:rPr>
        <w:tab/>
        <w:t>Kad Centrs vāc informāciju par vairākām jaunām psihoaktīvām vielām ar līdzīgu ķīmisko struktūru, tas sešu nedēļu laikā pēc sākotnējā ziņojuma sniegšanas iesniedz Komisijai un Padomei atsevišķus sākotnējos ziņojumus vai apvienotus ziņojumus attiecībā uz vairākām jaunām psihoaktīvām vielām, ar nosacījumu, ka katras jaunās psihoaktīvās vielas īpašības ir skaidri norādītas.</w:t>
      </w:r>
    </w:p>
    <w:p>
      <w:pPr>
        <w:rPr>
          <w:rFonts w:eastAsia="Times New Roman"/>
          <w:noProof/>
          <w:szCs w:val="24"/>
        </w:rPr>
      </w:pPr>
    </w:p>
    <w:p>
      <w:pPr>
        <w:pStyle w:val="Titrearticle"/>
        <w:rPr>
          <w:noProof/>
        </w:rPr>
      </w:pPr>
      <w:r>
        <w:rPr>
          <w:noProof/>
        </w:rPr>
        <w:t xml:space="preserve"> 5.c pants</w:t>
      </w:r>
    </w:p>
    <w:p>
      <w:pPr>
        <w:keepNext/>
        <w:spacing w:before="0"/>
        <w:jc w:val="center"/>
        <w:rPr>
          <w:rFonts w:eastAsia="Times New Roman"/>
          <w:b/>
          <w:noProof/>
          <w:szCs w:val="24"/>
        </w:rPr>
      </w:pPr>
      <w:r>
        <w:rPr>
          <w:b/>
          <w:noProof/>
        </w:rPr>
        <w:t>Riska novērtējuma procedūra un ziņojums</w:t>
      </w:r>
    </w:p>
    <w:p>
      <w:pPr>
        <w:ind w:left="850" w:hanging="850"/>
        <w:rPr>
          <w:rFonts w:eastAsia="Times New Roman"/>
          <w:noProof/>
          <w:szCs w:val="24"/>
        </w:rPr>
      </w:pPr>
      <w:r>
        <w:rPr>
          <w:noProof/>
        </w:rPr>
        <w:t>1.</w:t>
      </w:r>
      <w:r>
        <w:rPr>
          <w:noProof/>
        </w:rPr>
        <w:tab/>
        <w:t xml:space="preserve">Divu nedēļu laikā pēc tam, kad saņemts 5.b panta 10. punktā minētais sākotnējais ziņojums, Komisija var pieprasīt Centram, lai tas novērtētu iespējamos jaunās psihoaktīvās vielas radītos riskus un sagatavotu riska novērtējuma ziņojumu. Riska novērtējumu veic Zinātniskā komiteja. </w:t>
      </w:r>
    </w:p>
    <w:p>
      <w:pPr>
        <w:ind w:left="850" w:hanging="850"/>
        <w:rPr>
          <w:rFonts w:eastAsia="Times New Roman"/>
          <w:noProof/>
          <w:szCs w:val="24"/>
        </w:rPr>
      </w:pPr>
      <w:r>
        <w:rPr>
          <w:noProof/>
        </w:rPr>
        <w:t>2.</w:t>
      </w:r>
      <w:r>
        <w:rPr>
          <w:noProof/>
        </w:rPr>
        <w:tab/>
        <w:t>Divu nedēļu laikā pēc tam, kad saņemts 5.b panta 11. punktā minētais apvienotais sākotnējais ziņojums, Komisija var pieprasīt Centram novērtēt iespējamos vairāku jaunu psihoaktīvu vielu ar līdzīgu ķīmisko struktūru radītos riskus un sagatavot apvienotu riska novērtējuma ziņojumu. Apvienoto riska novērtējumu veic Centra Zinātniskā komiteja.</w:t>
      </w:r>
    </w:p>
    <w:p>
      <w:pPr>
        <w:ind w:left="850" w:hanging="850"/>
        <w:rPr>
          <w:rFonts w:eastAsia="Times New Roman"/>
          <w:noProof/>
          <w:szCs w:val="24"/>
        </w:rPr>
      </w:pPr>
      <w:r>
        <w:rPr>
          <w:noProof/>
        </w:rPr>
        <w:t>3.</w:t>
      </w:r>
      <w:r>
        <w:rPr>
          <w:noProof/>
        </w:rPr>
        <w:tab/>
        <w:t xml:space="preserve">Riska novērtējuma ziņojums vai apvienotais riska novērtējuma ziņojums ietver: </w:t>
      </w:r>
    </w:p>
    <w:p>
      <w:pPr>
        <w:ind w:left="1418" w:hanging="567"/>
        <w:rPr>
          <w:noProof/>
        </w:rPr>
      </w:pPr>
      <w:r>
        <w:rPr>
          <w:noProof/>
        </w:rPr>
        <w:t>a)</w:t>
      </w:r>
      <w:r>
        <w:rPr>
          <w:noProof/>
        </w:rPr>
        <w:tab/>
        <w:t>informāciju par jaunās psihoaktīvās vielas ķīmiskajām un fizikālajām īpašībām, tās izgatavošanai vai ieguvei izmantotajām metodēm un prekursoriem;</w:t>
      </w:r>
    </w:p>
    <w:p>
      <w:pPr>
        <w:ind w:left="1418" w:hanging="567"/>
        <w:rPr>
          <w:noProof/>
        </w:rPr>
      </w:pPr>
      <w:r>
        <w:rPr>
          <w:noProof/>
        </w:rPr>
        <w:t>b)</w:t>
      </w:r>
      <w:r>
        <w:rPr>
          <w:noProof/>
        </w:rPr>
        <w:tab/>
        <w:t>informāciju par jaunās psihoaktīvās vielas farmakoloģiskajām un toksikoloģiskajām īpašībām;</w:t>
      </w:r>
    </w:p>
    <w:p>
      <w:pPr>
        <w:ind w:left="1418" w:hanging="567"/>
        <w:rPr>
          <w:noProof/>
        </w:rPr>
      </w:pPr>
      <w:r>
        <w:rPr>
          <w:noProof/>
        </w:rPr>
        <w:t>c)</w:t>
      </w:r>
      <w:r>
        <w:rPr>
          <w:noProof/>
        </w:rPr>
        <w:tab/>
        <w:t xml:space="preserve">analīzi par veselības riskiem, kas saistīti ar jauno psihoaktīvo vielu, jo īpaši attiecībā uz tās akūtu un hronisku toksiskumu, pārdozēšanas risku, spēju izraisīt atkarību, tās lietošanas fizisko ietekmi un tās ietekmi uz psihi un uzvedību; </w:t>
      </w:r>
    </w:p>
    <w:p>
      <w:pPr>
        <w:ind w:left="1418" w:hanging="567"/>
        <w:rPr>
          <w:noProof/>
        </w:rPr>
      </w:pPr>
      <w:r>
        <w:rPr>
          <w:noProof/>
        </w:rPr>
        <w:t>d)</w:t>
      </w:r>
      <w:r>
        <w:rPr>
          <w:noProof/>
        </w:rPr>
        <w:tab/>
        <w:t>analīzi par sociālajiem riskiem, kas saistīti ar jauno psihoaktīvo vielu, jo īpaši par tās ietekmi uz lietotāja sociālās funkcionēšanas spējām, sabiedrisko kārtību un noziedzīgām darbībām, noziedzīgu grupu iesaistīšanos jaunu psihoaktīvu vielu ražošanā un izplatīšanā;</w:t>
      </w:r>
    </w:p>
    <w:p>
      <w:pPr>
        <w:ind w:left="1418" w:hanging="567"/>
        <w:rPr>
          <w:noProof/>
        </w:rPr>
      </w:pPr>
      <w:r>
        <w:rPr>
          <w:noProof/>
        </w:rPr>
        <w:t>e)</w:t>
      </w:r>
      <w:r>
        <w:rPr>
          <w:noProof/>
        </w:rPr>
        <w:tab/>
        <w:t>informāciju par jaunās psihoaktīvās vielas izplatību un tās lietošanas paradumiem, tās pieejamību un izplatīšanās potenciālu Savienībā;</w:t>
      </w:r>
    </w:p>
    <w:p>
      <w:pPr>
        <w:ind w:left="1418" w:hanging="567"/>
        <w:rPr>
          <w:rFonts w:eastAsia="Times New Roman"/>
          <w:noProof/>
          <w:szCs w:val="24"/>
        </w:rPr>
      </w:pPr>
      <w:r>
        <w:rPr>
          <w:noProof/>
        </w:rPr>
        <w:t>f)</w:t>
      </w:r>
      <w:r>
        <w:rPr>
          <w:noProof/>
        </w:rPr>
        <w:tab/>
        <w:t>informāciju par jaunās psihoaktīvās vielas izmantošanu komerciāliem un rūpniecības mērķiem, par šāda(-u) lietojuma(-u) apmēru, kā arī tās izmantošanu zinātniskās pētniecības un attīstības nolūkos.</w:t>
      </w:r>
    </w:p>
    <w:p>
      <w:pPr>
        <w:ind w:left="850" w:hanging="850"/>
        <w:rPr>
          <w:rFonts w:eastAsia="Times New Roman"/>
          <w:noProof/>
          <w:szCs w:val="24"/>
        </w:rPr>
      </w:pPr>
      <w:r>
        <w:rPr>
          <w:noProof/>
        </w:rPr>
        <w:t>4.</w:t>
      </w:r>
      <w:r>
        <w:rPr>
          <w:noProof/>
        </w:rPr>
        <w:tab/>
        <w:t xml:space="preserve">Zinātniskā komiteja izvērtē riskus, ko rada jaunā psihoaktīvā viela vai jaunu psihoaktīvu vielu grupa. Komitejas sastāvu var paplašināt, ja to uzskata par nepieciešamu direktors, kurš rīkojas, konsultējoties ar Zinātniskās komitejas priekšsēdētāju, iekļaujot ekspertus no saistītām zinātnes jomām, lai nodrošinātu objektīvu novērtējumu par jaunās psihoaktīvās vielas radītajiem riskiem. Direktors izraugās ekspertus no ekspertu saraksta. Valde apstiprina ekspertu sarakstu reizi trijos gados. </w:t>
      </w:r>
    </w:p>
    <w:p>
      <w:pPr>
        <w:ind w:left="850"/>
        <w:rPr>
          <w:rFonts w:eastAsia="Times New Roman"/>
          <w:noProof/>
          <w:szCs w:val="24"/>
        </w:rPr>
      </w:pPr>
      <w:r>
        <w:rPr>
          <w:noProof/>
        </w:rPr>
        <w:t>Komisijai, Centram, Eiropolam un Eiropas Zāļu aģentūrai ir tiesības katram izvirzīt divus novērotājus.</w:t>
      </w:r>
    </w:p>
    <w:p>
      <w:pPr>
        <w:ind w:left="850" w:hanging="850"/>
        <w:rPr>
          <w:rFonts w:eastAsia="Times New Roman"/>
          <w:noProof/>
          <w:szCs w:val="24"/>
        </w:rPr>
      </w:pPr>
      <w:r>
        <w:rPr>
          <w:noProof/>
        </w:rPr>
        <w:t>5.</w:t>
      </w:r>
      <w:r>
        <w:rPr>
          <w:noProof/>
        </w:rPr>
        <w:tab/>
        <w:t xml:space="preserve">Zinātniskā komiteja veic riska novērtējumu, pamatojoties uz pieejamo informāciju un jebkuriem citiem relevantajiem zinātniskajiem pierādījumiem. Tiek ņemti vērā visu tās locekļu viedokļi. Centrs organizē riska novērtēšanas procesu, tostarp apzinot nākotnes vajadzības attiecībā uz informāciju un attiecīgiem pētījumiem. </w:t>
      </w:r>
    </w:p>
    <w:p>
      <w:pPr>
        <w:ind w:left="850" w:hanging="850"/>
        <w:rPr>
          <w:rFonts w:eastAsia="Times New Roman"/>
          <w:noProof/>
          <w:szCs w:val="24"/>
        </w:rPr>
      </w:pPr>
      <w:r>
        <w:rPr>
          <w:noProof/>
        </w:rPr>
        <w:t>6.</w:t>
      </w:r>
      <w:r>
        <w:rPr>
          <w:noProof/>
        </w:rPr>
        <w:tab/>
        <w:t>Centrs iesniedz Komisijai riska novērtējuma ziņojumu sešu nedēļu laikā pēc pieprasījuma saņemšanas no Komisijas.</w:t>
      </w:r>
    </w:p>
    <w:p>
      <w:pPr>
        <w:ind w:left="850" w:hanging="850"/>
        <w:rPr>
          <w:rFonts w:eastAsia="Times New Roman"/>
          <w:noProof/>
          <w:szCs w:val="24"/>
        </w:rPr>
      </w:pPr>
      <w:r>
        <w:rPr>
          <w:noProof/>
        </w:rPr>
        <w:t>7.</w:t>
      </w:r>
      <w:r>
        <w:rPr>
          <w:noProof/>
        </w:rPr>
        <w:tab/>
        <w:t>Pamatojoties uz pienācīgi pamatotu pieprasījumu, Komisija var pagarināt riska novērtējuma vai apvienotā riska novērtējuma sagatavošanas periodu, sniedzot iespēju veikt papildu pētījumus un savākt datus. Centra pieprasījumā iekļauj informāciju par laiku, kas vajadzīgs, lai pabeigtu riska novērtējumu vai apvienoto riska novērtējumu.</w:t>
      </w:r>
    </w:p>
    <w:p>
      <w:pPr>
        <w:rPr>
          <w:rFonts w:eastAsia="Times New Roman"/>
          <w:noProof/>
          <w:szCs w:val="24"/>
        </w:rPr>
      </w:pPr>
    </w:p>
    <w:p>
      <w:pPr>
        <w:pStyle w:val="Titrearticle"/>
        <w:rPr>
          <w:noProof/>
        </w:rPr>
      </w:pPr>
      <w:r>
        <w:rPr>
          <w:noProof/>
        </w:rPr>
        <w:t xml:space="preserve"> 5.d pants</w:t>
      </w:r>
    </w:p>
    <w:p>
      <w:pPr>
        <w:keepNext/>
        <w:spacing w:before="0"/>
        <w:jc w:val="center"/>
        <w:rPr>
          <w:rFonts w:eastAsia="Times New Roman"/>
          <w:b/>
          <w:noProof/>
          <w:szCs w:val="24"/>
        </w:rPr>
      </w:pPr>
      <w:r>
        <w:rPr>
          <w:b/>
          <w:noProof/>
        </w:rPr>
        <w:t>Izslēgšana no riska novērtējuma</w:t>
      </w:r>
    </w:p>
    <w:p>
      <w:pPr>
        <w:ind w:left="850" w:hanging="850"/>
        <w:rPr>
          <w:rFonts w:eastAsia="Times New Roman"/>
          <w:noProof/>
          <w:szCs w:val="24"/>
        </w:rPr>
      </w:pPr>
      <w:r>
        <w:rPr>
          <w:noProof/>
        </w:rPr>
        <w:t>1.</w:t>
      </w:r>
      <w:r>
        <w:rPr>
          <w:noProof/>
        </w:rPr>
        <w:tab/>
        <w:t>Riska novērtējumu neveic, ja jaunā psihoaktīvā viela ir Apvienoto Nāciju Organizācijas sistēmas izvērtēšanas beigu stadijā, proti, ja Pasaules Veselības organizācijas ekspertu komiteja par narkotiku atkarību ir publicējusi kritisku analīzi kopā ar rakstisku rekomendāciju, izņemot gadījumus, ja ir būtiska informācija, kas ir jauna vai īpaši nozīmīga Savienībai un kas nav ņemta vērā Apvienoto Nāciju Organizācijas sistēmā.</w:t>
      </w:r>
    </w:p>
    <w:p>
      <w:pPr>
        <w:ind w:left="850" w:hanging="850"/>
        <w:rPr>
          <w:rFonts w:eastAsia="Times New Roman"/>
          <w:noProof/>
          <w:szCs w:val="24"/>
        </w:rPr>
      </w:pPr>
      <w:r>
        <w:rPr>
          <w:noProof/>
        </w:rPr>
        <w:t>2.</w:t>
      </w:r>
      <w:r>
        <w:rPr>
          <w:noProof/>
        </w:rPr>
        <w:tab/>
        <w:t>Riska novērtējumu neveic, ja jaunā psihoaktīvā viela ir izvērtēta Apvienoto Nāciju Organizācijas sistēmā, bet ir pieņemts lēmums to neuzskaitīt atbilstīgi 1961. gada Vienotajai konvencijai par narkotiskajām vielām, kas grozīta ar 1972. gada protokolu, vai 1971. gada Konvencijai par psihotropajām vielām, izņemot gadījumus, ja ir būtiska informācija, kas ir jauna vai īpaši nozīmīga Savienībai.</w:t>
      </w:r>
    </w:p>
    <w:p>
      <w:pPr>
        <w:ind w:left="850" w:hanging="850"/>
        <w:rPr>
          <w:noProof/>
        </w:rPr>
      </w:pPr>
      <w:r>
        <w:rPr>
          <w:noProof/>
        </w:rPr>
        <w:t>3.</w:t>
      </w:r>
      <w:r>
        <w:rPr>
          <w:noProof/>
        </w:rPr>
        <w:tab/>
        <w:t xml:space="preserve">Riska novērtējumu neveic, ja jaunā psihoaktīvā viela ir: </w:t>
      </w:r>
    </w:p>
    <w:p>
      <w:pPr>
        <w:ind w:left="1418" w:hanging="567"/>
        <w:rPr>
          <w:noProof/>
        </w:rPr>
      </w:pPr>
      <w:r>
        <w:rPr>
          <w:noProof/>
        </w:rPr>
        <w:t>a)</w:t>
      </w:r>
      <w:r>
        <w:rPr>
          <w:noProof/>
        </w:rPr>
        <w:tab/>
        <w:t xml:space="preserve">aktīva viela tādu zāļu vai veterināro zāļu sastāvā, kuras ir saņēmušas tirdzniecības atļauju; </w:t>
      </w:r>
    </w:p>
    <w:p>
      <w:pPr>
        <w:ind w:left="1418" w:hanging="567"/>
        <w:rPr>
          <w:noProof/>
        </w:rPr>
      </w:pPr>
      <w:r>
        <w:rPr>
          <w:noProof/>
        </w:rPr>
        <w:t>b)</w:t>
      </w:r>
      <w:r>
        <w:rPr>
          <w:noProof/>
        </w:rPr>
        <w:tab/>
        <w:t>aktīva viela tādu zāļu vai veterināro zāļu sastāvā, par kurām iesniegts pieteikums tirdzniecības atļaujas saņemšanai;</w:t>
      </w:r>
    </w:p>
    <w:p>
      <w:pPr>
        <w:ind w:left="1418" w:hanging="567"/>
        <w:rPr>
          <w:noProof/>
        </w:rPr>
      </w:pPr>
      <w:r>
        <w:rPr>
          <w:noProof/>
        </w:rPr>
        <w:t>c)</w:t>
      </w:r>
      <w:r>
        <w:rPr>
          <w:noProof/>
        </w:rPr>
        <w:tab/>
        <w:t>aktīva viela tādu zāļu vai veterināro zāļu sastāvā, kuras ir saņēmušas tirdzniecības atļauju, bet kuru tirdzniecības atļauja ir apturēta un kompetentā iestāde to vēl nav anulējusi;</w:t>
      </w:r>
    </w:p>
    <w:p>
      <w:pPr>
        <w:ind w:left="1418" w:hanging="567"/>
        <w:rPr>
          <w:rFonts w:eastAsia="Times New Roman"/>
          <w:noProof/>
          <w:szCs w:val="24"/>
        </w:rPr>
      </w:pPr>
      <w:r>
        <w:rPr>
          <w:noProof/>
        </w:rPr>
        <w:t>d)</w:t>
      </w:r>
      <w:r>
        <w:rPr>
          <w:noProof/>
        </w:rPr>
        <w:tab/>
      </w:r>
      <w:r>
        <w:rPr>
          <w:noProof/>
        </w:rPr>
        <w:tab/>
        <w:t>aktīva viela, kas iesaistīta atļautās klīniskās izpētēs un pētāmajos preparātos.";</w:t>
      </w:r>
    </w:p>
    <w:p>
      <w:pPr>
        <w:rPr>
          <w:noProof/>
        </w:rPr>
      </w:pPr>
    </w:p>
    <w:p>
      <w:pPr>
        <w:rPr>
          <w:noProof/>
        </w:rPr>
      </w:pPr>
      <w:r>
        <w:rPr>
          <w:noProof/>
        </w:rPr>
        <w:t>4) regulas 13. panta 2. punkta ceturto daļu aizstāj ar šādu daļu:</w:t>
      </w:r>
    </w:p>
    <w:p>
      <w:pPr>
        <w:rPr>
          <w:noProof/>
        </w:rPr>
      </w:pPr>
    </w:p>
    <w:p>
      <w:pPr>
        <w:rPr>
          <w:noProof/>
        </w:rPr>
      </w:pPr>
      <w:r>
        <w:rPr>
          <w:noProof/>
        </w:rPr>
        <w:t>"Lai novērtētu riskus, ko rada psihoaktīva viela vai jaunu psihoaktīvo vielu grupa, Zinātniskās komitejas sastāvu var paplašināt saskaņā ar 5.c panta 4. punktā noteikto procedūru."</w:t>
      </w:r>
    </w:p>
    <w:p>
      <w:pPr>
        <w:jc w:val="left"/>
        <w:outlineLvl w:val="0"/>
        <w:rPr>
          <w:rFonts w:eastAsia="Times New Roman"/>
          <w:noProof/>
          <w:szCs w:val="24"/>
        </w:rPr>
      </w:pPr>
    </w:p>
    <w:p>
      <w:pPr>
        <w:pStyle w:val="Titrearticle"/>
        <w:rPr>
          <w:noProof/>
        </w:rPr>
      </w:pPr>
      <w:r>
        <w:rPr>
          <w:noProof/>
        </w:rPr>
        <w:t>2. pants</w:t>
      </w:r>
    </w:p>
    <w:p>
      <w:pPr>
        <w:rPr>
          <w:noProof/>
        </w:rPr>
      </w:pPr>
      <w:r>
        <w:rPr>
          <w:noProof/>
        </w:rPr>
        <w:t xml:space="preserve">Šī regula stājas spēkā [tajā pašā dienā, kas ir transponēšanas diena Direktīvai (ES).../... [, ar kuru groza Padomes 2004. gada 25. oktobra Pamatlēmumu 2004/757/TI, ar ko paredz minimuma noteikumus par noziedzīgu darbību pazīmēm un sodiem narkotisko vielu nelikumīgas tirdzniecības jomā]]. </w:t>
      </w:r>
    </w:p>
    <w:p>
      <w:pPr>
        <w:pStyle w:val="Applicationdirecte"/>
        <w:rPr>
          <w:noProof/>
        </w:rPr>
      </w:pPr>
      <w:r>
        <w:rPr>
          <w:noProof/>
        </w:rPr>
        <w:t>Šī regula uzliek saistības kopumā un ir tieši piemērojama visās dalībvalstīs.</w:t>
      </w:r>
    </w:p>
    <w:p>
      <w:pPr>
        <w:pStyle w:val="Fait"/>
        <w:rPr>
          <w:noProof/>
        </w:rPr>
      </w:pPr>
      <w:r>
        <w:rPr>
          <w:noProof/>
        </w:rPr>
        <w:t>Briselē,</w:t>
      </w:r>
    </w:p>
    <w:p>
      <w:pPr>
        <w:pStyle w:val="Institutionquisigne"/>
        <w:rPr>
          <w:noProof/>
        </w:rPr>
      </w:pPr>
      <w:r>
        <w:rPr>
          <w:noProof/>
        </w:rPr>
        <w:t>Eiropas Parlamenta vārdā –</w:t>
      </w:r>
      <w:r>
        <w:rPr>
          <w:noProof/>
        </w:rPr>
        <w:tab/>
        <w:t>Padomes vārdā –</w:t>
      </w:r>
    </w:p>
    <w:p>
      <w:pPr>
        <w:pStyle w:val="Personnequisigne"/>
        <w:rPr>
          <w:noProof/>
        </w:rPr>
      </w:pPr>
      <w:r>
        <w:rPr>
          <w:noProof/>
        </w:rPr>
        <w:t>priekšsēdētājs</w:t>
      </w:r>
      <w:r>
        <w:rPr>
          <w:noProof/>
        </w:rPr>
        <w:tab/>
        <w:t>priekšsēdētājs</w:t>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rPr>
          <w:noProof/>
        </w:rPr>
      </w:pPr>
      <w:r>
        <w:rPr>
          <w:noProof/>
        </w:rPr>
        <w:t>TIESĪBU AKTA PRIEKŠLIKUMA FINANŠU PĀRSKATS</w:t>
      </w:r>
    </w:p>
    <w:p>
      <w:pPr>
        <w:rPr>
          <w:noProof/>
        </w:rPr>
      </w:pPr>
      <w:r>
        <w:rPr>
          <w:noProof/>
        </w:rPr>
        <w:t>1.</w:t>
      </w:r>
      <w:r>
        <w:rPr>
          <w:noProof/>
        </w:rPr>
        <w:tab/>
        <w:t xml:space="preserve">PRIEKŠLIKUMA/INICIATĪVAS KONTEKSTS </w:t>
      </w:r>
    </w:p>
    <w:p>
      <w:pPr>
        <w:keepNext/>
        <w:tabs>
          <w:tab w:val="left" w:pos="850"/>
        </w:tabs>
        <w:ind w:left="850" w:hanging="850"/>
        <w:outlineLvl w:val="1"/>
        <w:rPr>
          <w:noProof/>
        </w:rPr>
      </w:pPr>
      <w:r>
        <w:rPr>
          <w:noProof/>
        </w:rPr>
        <w:tab/>
        <w:t>1.1.</w:t>
      </w:r>
      <w:r>
        <w:rPr>
          <w:noProof/>
        </w:rPr>
        <w:tab/>
        <w:t xml:space="preserve">Priekšlikuma/iniciatīvas nosaukums </w:t>
      </w:r>
    </w:p>
    <w:p>
      <w:pPr>
        <w:keepNext/>
        <w:tabs>
          <w:tab w:val="left" w:pos="850"/>
        </w:tabs>
        <w:ind w:left="850" w:hanging="850"/>
        <w:outlineLvl w:val="1"/>
        <w:rPr>
          <w:noProof/>
        </w:rPr>
      </w:pPr>
      <w:r>
        <w:rPr>
          <w:noProof/>
        </w:rPr>
        <w:tab/>
        <w:t>1.2.</w:t>
      </w:r>
      <w:r>
        <w:rPr>
          <w:noProof/>
        </w:rPr>
        <w:tab/>
        <w:t>Attiecīgās politikas jomas ABM/ABB struktūrā</w:t>
      </w:r>
    </w:p>
    <w:p>
      <w:pPr>
        <w:keepNext/>
        <w:tabs>
          <w:tab w:val="left" w:pos="850"/>
        </w:tabs>
        <w:ind w:left="850" w:hanging="850"/>
        <w:outlineLvl w:val="1"/>
        <w:rPr>
          <w:noProof/>
        </w:rPr>
      </w:pPr>
      <w:r>
        <w:rPr>
          <w:noProof/>
        </w:rPr>
        <w:tab/>
        <w:t>1.3.</w:t>
      </w:r>
      <w:r>
        <w:rPr>
          <w:noProof/>
        </w:rPr>
        <w:tab/>
        <w:t xml:space="preserve">Priekšlikuma/iniciatīvas būtība </w:t>
      </w:r>
    </w:p>
    <w:p>
      <w:pPr>
        <w:keepNext/>
        <w:tabs>
          <w:tab w:val="left" w:pos="850"/>
        </w:tabs>
        <w:ind w:left="850" w:hanging="850"/>
        <w:outlineLvl w:val="1"/>
        <w:rPr>
          <w:noProof/>
        </w:rPr>
      </w:pPr>
      <w:r>
        <w:rPr>
          <w:noProof/>
        </w:rPr>
        <w:tab/>
        <w:t>1.4.</w:t>
      </w:r>
      <w:r>
        <w:rPr>
          <w:noProof/>
        </w:rPr>
        <w:tab/>
        <w:t xml:space="preserve">Mērķis(-i) </w:t>
      </w:r>
    </w:p>
    <w:p>
      <w:pPr>
        <w:keepNext/>
        <w:tabs>
          <w:tab w:val="left" w:pos="850"/>
        </w:tabs>
        <w:ind w:left="850" w:hanging="850"/>
        <w:outlineLvl w:val="1"/>
        <w:rPr>
          <w:noProof/>
        </w:rPr>
      </w:pPr>
      <w:r>
        <w:rPr>
          <w:noProof/>
        </w:rPr>
        <w:tab/>
        <w:t>1.5.</w:t>
      </w:r>
      <w:r>
        <w:rPr>
          <w:noProof/>
        </w:rPr>
        <w:tab/>
        <w:t xml:space="preserve">Priekšlikuma/iniciatīvas pamatojums </w:t>
      </w:r>
    </w:p>
    <w:p>
      <w:pPr>
        <w:keepNext/>
        <w:tabs>
          <w:tab w:val="left" w:pos="850"/>
        </w:tabs>
        <w:ind w:left="850" w:hanging="850"/>
        <w:outlineLvl w:val="1"/>
        <w:rPr>
          <w:noProof/>
        </w:rPr>
      </w:pPr>
      <w:r>
        <w:rPr>
          <w:noProof/>
        </w:rPr>
        <w:tab/>
        <w:t>1.6.</w:t>
      </w:r>
      <w:r>
        <w:rPr>
          <w:noProof/>
        </w:rPr>
        <w:tab/>
        <w:t xml:space="preserve">Ilgums un finansiālā ietekme </w:t>
      </w:r>
    </w:p>
    <w:p>
      <w:pPr>
        <w:keepNext/>
        <w:tabs>
          <w:tab w:val="left" w:pos="850"/>
        </w:tabs>
        <w:ind w:left="850" w:hanging="850"/>
        <w:outlineLvl w:val="1"/>
        <w:rPr>
          <w:noProof/>
        </w:rPr>
      </w:pPr>
      <w:r>
        <w:rPr>
          <w:noProof/>
        </w:rPr>
        <w:tab/>
        <w:t>1.7.</w:t>
      </w:r>
      <w:r>
        <w:rPr>
          <w:noProof/>
        </w:rPr>
        <w:tab/>
        <w:t xml:space="preserve">Paredzētie pārvaldības veidi </w:t>
      </w:r>
    </w:p>
    <w:p>
      <w:pPr>
        <w:keepNext/>
        <w:tabs>
          <w:tab w:val="left" w:pos="850"/>
        </w:tabs>
        <w:spacing w:before="360"/>
        <w:ind w:left="850" w:hanging="850"/>
        <w:outlineLvl w:val="0"/>
        <w:rPr>
          <w:b/>
          <w:smallCaps/>
          <w:noProof/>
        </w:rPr>
      </w:pPr>
      <w:r>
        <w:rPr>
          <w:b/>
          <w:smallCaps/>
          <w:noProof/>
        </w:rPr>
        <w:t>2.</w:t>
      </w:r>
      <w:r>
        <w:rPr>
          <w:noProof/>
        </w:rPr>
        <w:tab/>
      </w:r>
      <w:r>
        <w:rPr>
          <w:b/>
          <w:smallCaps/>
          <w:noProof/>
        </w:rPr>
        <w:t xml:space="preserve">PĀRVALDĪBAS PASĀKUMI </w:t>
      </w:r>
    </w:p>
    <w:p>
      <w:pPr>
        <w:keepNext/>
        <w:tabs>
          <w:tab w:val="left" w:pos="850"/>
        </w:tabs>
        <w:ind w:left="850" w:hanging="850"/>
        <w:outlineLvl w:val="1"/>
        <w:rPr>
          <w:noProof/>
        </w:rPr>
      </w:pPr>
      <w:r>
        <w:rPr>
          <w:noProof/>
        </w:rPr>
        <w:tab/>
        <w:t>2.1.</w:t>
      </w:r>
      <w:r>
        <w:rPr>
          <w:noProof/>
        </w:rPr>
        <w:tab/>
        <w:t xml:space="preserve">Uzraudzības un ziņošanas noteikumi </w:t>
      </w:r>
    </w:p>
    <w:p>
      <w:pPr>
        <w:keepNext/>
        <w:tabs>
          <w:tab w:val="left" w:pos="850"/>
        </w:tabs>
        <w:ind w:left="850" w:hanging="850"/>
        <w:outlineLvl w:val="1"/>
        <w:rPr>
          <w:noProof/>
        </w:rPr>
      </w:pPr>
      <w:r>
        <w:rPr>
          <w:noProof/>
        </w:rPr>
        <w:tab/>
        <w:t>2.2.</w:t>
      </w:r>
      <w:r>
        <w:rPr>
          <w:noProof/>
        </w:rPr>
        <w:tab/>
        <w:t xml:space="preserve">Pārvaldības un kontroles sistēma </w:t>
      </w:r>
    </w:p>
    <w:p>
      <w:pPr>
        <w:keepNext/>
        <w:tabs>
          <w:tab w:val="left" w:pos="850"/>
        </w:tabs>
        <w:ind w:left="850" w:hanging="850"/>
        <w:outlineLvl w:val="1"/>
        <w:rPr>
          <w:noProof/>
        </w:rPr>
      </w:pPr>
      <w:r>
        <w:rPr>
          <w:noProof/>
        </w:rPr>
        <w:tab/>
        <w:t>2.3.</w:t>
      </w:r>
      <w:r>
        <w:rPr>
          <w:noProof/>
        </w:rPr>
        <w:tab/>
        <w:t xml:space="preserve">Krāpšanas un pārkāpumu novēršanas pasākumi </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PRIEKŠLIKUMA/INICIATĪVAS PAREDZAMĀ FINANSIĀLĀ IETEKME </w:t>
      </w:r>
    </w:p>
    <w:p>
      <w:pPr>
        <w:keepNext/>
        <w:tabs>
          <w:tab w:val="left" w:pos="850"/>
        </w:tabs>
        <w:ind w:left="850" w:hanging="850"/>
        <w:outlineLvl w:val="1"/>
        <w:rPr>
          <w:noProof/>
        </w:rPr>
      </w:pPr>
      <w:r>
        <w:rPr>
          <w:noProof/>
        </w:rPr>
        <w:tab/>
        <w:t>3.1.</w:t>
      </w:r>
      <w:r>
        <w:rPr>
          <w:noProof/>
        </w:rPr>
        <w:tab/>
        <w:t xml:space="preserve">Attiecīgās daudzgadu finanšu shēmas izdevumu kategorijas un budžeta izdevumu pozīcijas </w:t>
      </w:r>
    </w:p>
    <w:p>
      <w:pPr>
        <w:keepNext/>
        <w:tabs>
          <w:tab w:val="left" w:pos="850"/>
        </w:tabs>
        <w:ind w:left="850" w:hanging="850"/>
        <w:outlineLvl w:val="1"/>
        <w:rPr>
          <w:b/>
          <w:noProof/>
        </w:rPr>
      </w:pPr>
      <w:r>
        <w:rPr>
          <w:noProof/>
        </w:rPr>
        <w:tab/>
        <w:t>3.2.</w:t>
      </w:r>
      <w:r>
        <w:rPr>
          <w:noProof/>
        </w:rPr>
        <w:tab/>
        <w:t>Paredzamā ietekme uz izdevumiem</w:t>
      </w:r>
      <w:r>
        <w:rPr>
          <w:b/>
          <w:noProof/>
        </w:rPr>
        <w:t xml:space="preserve"> </w:t>
      </w:r>
    </w:p>
    <w:p>
      <w:pPr>
        <w:keepNext/>
        <w:tabs>
          <w:tab w:val="left" w:pos="850"/>
        </w:tabs>
        <w:ind w:left="850" w:hanging="850"/>
        <w:outlineLvl w:val="2"/>
        <w:rPr>
          <w:i/>
          <w:noProof/>
        </w:rPr>
      </w:pPr>
      <w:r>
        <w:rPr>
          <w:noProof/>
        </w:rPr>
        <w:tab/>
      </w:r>
      <w:r>
        <w:rPr>
          <w:i/>
          <w:noProof/>
        </w:rPr>
        <w:t>3.2.1.</w:t>
      </w:r>
      <w:r>
        <w:rPr>
          <w:noProof/>
        </w:rPr>
        <w:tab/>
      </w:r>
      <w:r>
        <w:rPr>
          <w:i/>
          <w:noProof/>
        </w:rPr>
        <w:t xml:space="preserve">Kopsavilkums par paredzamo ietekmi uz izdevumiem </w:t>
      </w:r>
    </w:p>
    <w:p>
      <w:pPr>
        <w:keepNext/>
        <w:tabs>
          <w:tab w:val="left" w:pos="850"/>
        </w:tabs>
        <w:ind w:left="850" w:hanging="850"/>
        <w:outlineLvl w:val="2"/>
        <w:rPr>
          <w:i/>
          <w:noProof/>
        </w:rPr>
      </w:pPr>
      <w:r>
        <w:rPr>
          <w:noProof/>
        </w:rPr>
        <w:tab/>
      </w:r>
      <w:r>
        <w:rPr>
          <w:i/>
          <w:noProof/>
        </w:rPr>
        <w:t>3.2.2.</w:t>
      </w:r>
      <w:r>
        <w:rPr>
          <w:noProof/>
        </w:rPr>
        <w:tab/>
      </w:r>
      <w:r>
        <w:rPr>
          <w:i/>
          <w:noProof/>
        </w:rPr>
        <w:t xml:space="preserve">Paredzamā ietekme uz darbības apropriācijām </w:t>
      </w:r>
    </w:p>
    <w:p>
      <w:pPr>
        <w:keepNext/>
        <w:tabs>
          <w:tab w:val="left" w:pos="850"/>
        </w:tabs>
        <w:ind w:left="850" w:hanging="850"/>
        <w:outlineLvl w:val="2"/>
        <w:rPr>
          <w:i/>
          <w:noProof/>
        </w:rPr>
      </w:pPr>
      <w:r>
        <w:rPr>
          <w:noProof/>
        </w:rPr>
        <w:tab/>
      </w:r>
      <w:r>
        <w:rPr>
          <w:i/>
          <w:noProof/>
        </w:rPr>
        <w:t>3.2.3.</w:t>
      </w:r>
      <w:r>
        <w:rPr>
          <w:noProof/>
        </w:rPr>
        <w:tab/>
      </w:r>
      <w:r>
        <w:rPr>
          <w:i/>
          <w:noProof/>
        </w:rPr>
        <w:t>Paredzamā ietekme uz administratīvajām apropriācijām</w:t>
      </w:r>
    </w:p>
    <w:p>
      <w:pPr>
        <w:keepNext/>
        <w:tabs>
          <w:tab w:val="left" w:pos="850"/>
        </w:tabs>
        <w:ind w:left="850" w:hanging="850"/>
        <w:outlineLvl w:val="2"/>
        <w:rPr>
          <w:i/>
          <w:noProof/>
        </w:rPr>
      </w:pPr>
      <w:r>
        <w:rPr>
          <w:noProof/>
        </w:rPr>
        <w:tab/>
      </w:r>
      <w:r>
        <w:rPr>
          <w:i/>
          <w:noProof/>
        </w:rPr>
        <w:t>3.2.4.</w:t>
      </w:r>
      <w:r>
        <w:rPr>
          <w:noProof/>
        </w:rPr>
        <w:tab/>
      </w:r>
      <w:r>
        <w:rPr>
          <w:i/>
          <w:noProof/>
        </w:rPr>
        <w:t>Saderība ar kārtējo daudzgadu finanšu shēmu</w:t>
      </w:r>
    </w:p>
    <w:p>
      <w:pPr>
        <w:keepNext/>
        <w:tabs>
          <w:tab w:val="left" w:pos="850"/>
        </w:tabs>
        <w:ind w:left="850" w:hanging="850"/>
        <w:outlineLvl w:val="2"/>
        <w:rPr>
          <w:i/>
          <w:noProof/>
        </w:rPr>
      </w:pPr>
      <w:r>
        <w:rPr>
          <w:noProof/>
        </w:rPr>
        <w:tab/>
      </w:r>
      <w:r>
        <w:rPr>
          <w:i/>
          <w:noProof/>
        </w:rPr>
        <w:t>3.2.5.</w:t>
      </w:r>
      <w:r>
        <w:rPr>
          <w:noProof/>
        </w:rPr>
        <w:tab/>
      </w:r>
      <w:r>
        <w:rPr>
          <w:i/>
          <w:noProof/>
        </w:rPr>
        <w:t xml:space="preserve">Trešo personu iemaksas </w:t>
      </w:r>
    </w:p>
    <w:p>
      <w:pPr>
        <w:keepNext/>
        <w:tabs>
          <w:tab w:val="left" w:pos="850"/>
        </w:tabs>
        <w:ind w:left="850" w:hanging="850"/>
        <w:jc w:val="left"/>
        <w:outlineLvl w:val="1"/>
        <w:rPr>
          <w:noProof/>
        </w:rPr>
        <w:sectPr>
          <w:pgSz w:w="11907" w:h="16840" w:code="9"/>
          <w:pgMar w:top="1134" w:right="1418" w:bottom="1134" w:left="1418" w:header="709" w:footer="709" w:gutter="0"/>
          <w:cols w:space="708"/>
          <w:docGrid w:linePitch="360"/>
        </w:sectPr>
      </w:pPr>
      <w:r>
        <w:rPr>
          <w:noProof/>
        </w:rPr>
        <w:tab/>
        <w:t>3.3.</w:t>
      </w:r>
      <w:r>
        <w:rPr>
          <w:noProof/>
        </w:rPr>
        <w:tab/>
        <w:t>Paredzamā ietekme uz ieņēmumiem</w:t>
      </w:r>
    </w:p>
    <w:p>
      <w:pPr>
        <w:jc w:val="center"/>
        <w:rPr>
          <w:b/>
          <w:noProof/>
          <w:u w:val="single"/>
        </w:rPr>
      </w:pPr>
      <w:r>
        <w:rPr>
          <w:b/>
          <w:noProof/>
          <w:u w:val="single"/>
        </w:rPr>
        <w:t>TIESĪBU AKTA PRIEKŠLIKUMA FINANŠU PĀRSKATS</w:t>
      </w:r>
    </w:p>
    <w:p>
      <w:pPr>
        <w:pStyle w:val="ManualNumPar1"/>
        <w:rPr>
          <w:noProof/>
        </w:rPr>
      </w:pPr>
      <w:r>
        <w:t>1.</w:t>
      </w:r>
      <w:r>
        <w:tab/>
      </w:r>
      <w:r>
        <w:rPr>
          <w:noProof/>
        </w:rPr>
        <w:t xml:space="preserve">PRIEKŠLIKUMA/INICIATĪVAS KONTEKSTS </w:t>
      </w:r>
    </w:p>
    <w:p>
      <w:pPr>
        <w:pStyle w:val="ManualNumPar2"/>
        <w:rPr>
          <w:noProof/>
        </w:rPr>
      </w:pPr>
      <w:r>
        <w:t>1.1.</w:t>
      </w:r>
      <w:r>
        <w:tab/>
      </w:r>
      <w:r>
        <w:rPr>
          <w:noProof/>
        </w:rPr>
        <w:t xml:space="preserve">Priekšlikuma/iniciatīvas nosaukums </w:t>
      </w:r>
    </w:p>
    <w:p>
      <w:pPr>
        <w:pBdr>
          <w:top w:val="single" w:sz="4" w:space="1" w:color="auto"/>
          <w:left w:val="single" w:sz="4" w:space="4" w:color="auto"/>
          <w:bottom w:val="single" w:sz="4" w:space="1" w:color="auto"/>
          <w:right w:val="single" w:sz="4" w:space="4" w:color="auto"/>
        </w:pBdr>
        <w:ind w:left="850"/>
        <w:rPr>
          <w:noProof/>
        </w:rPr>
      </w:pPr>
      <w:r>
        <w:rPr>
          <w:noProof/>
        </w:rPr>
        <w:t>Priekšlikums Eiropas Parlamenta un Padomes Regulai, ar ko groza 2006. gada 12. decembra Regulu (EK) Nr. 1920/2006 par Eiropas Narkotiku un narkomānijas uzraudzības centru attiecībā uz informācijas apmaiņu, agrīnās brīdināšanas sistēmu un riska novērtēšanu saistībā ar jaunām psihoaktīvām vielām</w:t>
      </w:r>
    </w:p>
    <w:p>
      <w:pPr>
        <w:pStyle w:val="ManualNumPar2"/>
        <w:rPr>
          <w:noProof/>
        </w:rPr>
      </w:pPr>
      <w:r>
        <w:t>1.2.</w:t>
      </w:r>
      <w:r>
        <w:tab/>
      </w:r>
      <w:r>
        <w:rPr>
          <w:noProof/>
        </w:rPr>
        <w:t>Attiecīgās politikas jomas ABM/ABB struktūrā</w:t>
      </w:r>
      <w:r>
        <w:rPr>
          <w:rStyle w:val="FootnoteReference"/>
          <w:b/>
          <w:noProof/>
        </w:rPr>
        <w:footnoteReference w:id="20"/>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18 – Migrācija un iekšlietas</w:t>
      </w:r>
    </w:p>
    <w:p>
      <w:pPr>
        <w:pStyle w:val="ManualNumPar2"/>
        <w:rPr>
          <w:noProof/>
        </w:rPr>
      </w:pPr>
      <w:r>
        <w:t>1.3.</w:t>
      </w:r>
      <w:r>
        <w:tab/>
      </w:r>
      <w:r>
        <w:rPr>
          <w:noProof/>
        </w:rPr>
        <w:t xml:space="preserve">Priekšlikuma/iniciatīvas būtība </w:t>
      </w:r>
    </w:p>
    <w:p>
      <w:pPr>
        <w:ind w:left="850"/>
        <w:rPr>
          <w:b/>
          <w:noProof/>
          <w:sz w:val="22"/>
        </w:rPr>
      </w:pPr>
      <w:r>
        <w:rPr>
          <w:noProof/>
          <w:sz w:val="22"/>
        </w:rPr>
        <w:sym w:font="Wingdings" w:char="F0FD"/>
      </w:r>
      <w:r>
        <w:rPr>
          <w:b/>
          <w:i/>
          <w:noProof/>
          <w:sz w:val="22"/>
        </w:rPr>
        <w:t xml:space="preserve"> </w:t>
      </w:r>
      <w:r>
        <w:rPr>
          <w:noProof/>
        </w:rPr>
        <w:t xml:space="preserve">Priekšlikums/iniciatīva attiecas uz </w:t>
      </w:r>
      <w:r>
        <w:rPr>
          <w:b/>
          <w:noProof/>
        </w:rPr>
        <w:t>jaunu darbību Aģentūras pilnvaru ietvaros</w:t>
      </w:r>
      <w:r>
        <w:rPr>
          <w:noProof/>
        </w:rPr>
        <w:t xml:space="preserve"> </w:t>
      </w:r>
      <w:r>
        <w:rPr>
          <w:b/>
          <w:noProof/>
        </w:rPr>
        <w:t>(eksponenciāls pieaugums)</w:t>
      </w:r>
    </w:p>
    <w:p>
      <w:pPr>
        <w:ind w:left="850"/>
        <w:rPr>
          <w:noProof/>
          <w:sz w:val="22"/>
        </w:rPr>
      </w:pPr>
      <w:r>
        <w:rPr>
          <w:noProof/>
          <w:sz w:val="22"/>
        </w:rPr>
        <w:sym w:font="Wingdings" w:char="F0A8"/>
      </w:r>
      <w:r>
        <w:rPr>
          <w:i/>
          <w:noProof/>
          <w:sz w:val="22"/>
        </w:rPr>
        <w:t xml:space="preserve"> </w:t>
      </w:r>
      <w:r>
        <w:rPr>
          <w:noProof/>
        </w:rPr>
        <w:t xml:space="preserve">Priekšlikums/iniciatīva attiecas uz </w:t>
      </w:r>
      <w:r>
        <w:rPr>
          <w:b/>
          <w:noProof/>
        </w:rPr>
        <w:t>jaunu darbību, pamatojoties uz izmēģinājuma projektu/sagatavošanas darbību</w:t>
      </w:r>
      <w:r>
        <w:rPr>
          <w:rStyle w:val="FootnoteReference"/>
          <w:noProof/>
        </w:rPr>
        <w:footnoteReference w:id="21"/>
      </w:r>
      <w:r>
        <w:rPr>
          <w:noProof/>
          <w:sz w:val="22"/>
        </w:rPr>
        <w:t xml:space="preserve"> </w:t>
      </w:r>
    </w:p>
    <w:p>
      <w:pPr>
        <w:ind w:left="850"/>
        <w:rPr>
          <w:noProof/>
          <w:sz w:val="22"/>
        </w:rPr>
      </w:pPr>
      <w:r>
        <w:rPr>
          <w:noProof/>
          <w:sz w:val="22"/>
        </w:rPr>
        <w:sym w:font="Wingdings" w:char="F0A8"/>
      </w:r>
      <w:r>
        <w:rPr>
          <w:i/>
          <w:noProof/>
          <w:sz w:val="22"/>
        </w:rPr>
        <w:t xml:space="preserve"> </w:t>
      </w:r>
      <w:r>
        <w:rPr>
          <w:noProof/>
        </w:rPr>
        <w:t xml:space="preserve">Priekšlikums/iniciatīva attiecas uz </w:t>
      </w:r>
      <w:r>
        <w:rPr>
          <w:b/>
          <w:noProof/>
        </w:rPr>
        <w:t>esošas darbības pagarināšanu</w:t>
      </w:r>
      <w:r>
        <w:rPr>
          <w:noProof/>
          <w:sz w:val="22"/>
        </w:rPr>
        <w:t xml:space="preserve"> </w:t>
      </w:r>
    </w:p>
    <w:p>
      <w:pPr>
        <w:ind w:left="850"/>
        <w:rPr>
          <w:noProof/>
        </w:rPr>
      </w:pPr>
      <w:r>
        <w:rPr>
          <w:noProof/>
          <w:sz w:val="22"/>
        </w:rPr>
        <w:sym w:font="Wingdings" w:char="F0A8"/>
      </w:r>
      <w:r>
        <w:rPr>
          <w:i/>
          <w:noProof/>
          <w:sz w:val="22"/>
        </w:rPr>
        <w:t xml:space="preserve"> </w:t>
      </w:r>
      <w:r>
        <w:rPr>
          <w:noProof/>
        </w:rPr>
        <w:t xml:space="preserve">Priekšlikums/iniciatīva attiecas uz </w:t>
      </w:r>
      <w:r>
        <w:rPr>
          <w:b/>
          <w:noProof/>
        </w:rPr>
        <w:t>darbību, kas pārveidota jaunā darbībā</w:t>
      </w:r>
      <w:r>
        <w:rPr>
          <w:noProof/>
        </w:rPr>
        <w:t xml:space="preserve"> </w:t>
      </w:r>
    </w:p>
    <w:p>
      <w:pPr>
        <w:pStyle w:val="ManualNumPar2"/>
        <w:rPr>
          <w:noProof/>
        </w:rPr>
      </w:pPr>
      <w:r>
        <w:t>1.4.</w:t>
      </w:r>
      <w:r>
        <w:tab/>
      </w:r>
      <w:r>
        <w:rPr>
          <w:noProof/>
        </w:rPr>
        <w:t>Mērķis(-i)</w:t>
      </w:r>
    </w:p>
    <w:p>
      <w:pPr>
        <w:pStyle w:val="ManualNumPar3"/>
        <w:rPr>
          <w:noProof/>
        </w:rPr>
      </w:pPr>
      <w:r>
        <w:t>1.4.1.</w:t>
      </w:r>
      <w:r>
        <w:tab/>
      </w:r>
      <w:r>
        <w:rPr>
          <w:noProof/>
        </w:rPr>
        <w:t xml:space="preserve">Komisijas daudzgadu stratēģiskie mērķi, kurus plānots sasniegt ar priekšlikumu/iniciatīvu </w:t>
      </w:r>
    </w:p>
    <w:p>
      <w:pPr>
        <w:pBdr>
          <w:top w:val="single" w:sz="4" w:space="1" w:color="auto"/>
          <w:left w:val="single" w:sz="4" w:space="4" w:color="auto"/>
          <w:bottom w:val="single" w:sz="4" w:space="1" w:color="auto"/>
          <w:right w:val="single" w:sz="4" w:space="4" w:color="auto"/>
        </w:pBdr>
        <w:ind w:left="850"/>
        <w:rPr>
          <w:noProof/>
        </w:rPr>
      </w:pPr>
      <w:r>
        <w:rPr>
          <w:noProof/>
        </w:rPr>
        <w:t xml:space="preserve">Komisijas darba programmas 2016. gadam sadaļa "Tiesiskuma un pamattiesību telpa, kuras pamatā ir savstarpēja uzticēšanās" attiecas uz Eiropas drošības programmas īstenošanu (COM(2015) 185 </w:t>
      </w:r>
      <w:r>
        <w:rPr>
          <w:i/>
          <w:noProof/>
        </w:rPr>
        <w:t>final</w:t>
      </w:r>
      <w:r>
        <w:rPr>
          <w:noProof/>
        </w:rPr>
        <w:t xml:space="preserve">, pieņemta 28.4.2015.). Eiropas Drošības programmā ir noteikts: </w:t>
      </w:r>
    </w:p>
    <w:p>
      <w:pPr>
        <w:pBdr>
          <w:top w:val="single" w:sz="4" w:space="1" w:color="auto"/>
          <w:left w:val="single" w:sz="4" w:space="4" w:color="auto"/>
          <w:bottom w:val="single" w:sz="4" w:space="1" w:color="auto"/>
          <w:right w:val="single" w:sz="4" w:space="4" w:color="auto"/>
        </w:pBdr>
        <w:ind w:left="850"/>
        <w:rPr>
          <w:noProof/>
        </w:rPr>
      </w:pPr>
      <w:r>
        <w:rPr>
          <w:noProof/>
        </w:rPr>
        <w:t>"Nelikumīgu narkotisko vielu tirgus joprojām ir visdinamiskākais no noziedzīgajiem tirgiem, kurā pēdējā laika tendence ir jaunu psihoaktīvo vielu (</w:t>
      </w:r>
      <w:r>
        <w:rPr>
          <w:i/>
          <w:noProof/>
        </w:rPr>
        <w:t>NPS</w:t>
      </w:r>
      <w:r>
        <w:rPr>
          <w:noProof/>
        </w:rPr>
        <w:t xml:space="preserve">) izplatīšanās. </w:t>
      </w:r>
      <w:r>
        <w:rPr>
          <w:i/>
          <w:noProof/>
        </w:rPr>
        <w:t>NPS</w:t>
      </w:r>
      <w:r>
        <w:rPr>
          <w:noProof/>
        </w:rPr>
        <w:t xml:space="preserve"> ražošana arvien biežāk notiek ES — tas norāda, ka ir steidzami jāpieņem jauns ES tiesiskais regulējums."</w:t>
      </w:r>
    </w:p>
    <w:p>
      <w:pPr>
        <w:pStyle w:val="ManualNumPar3"/>
        <w:rPr>
          <w:noProof/>
        </w:rPr>
      </w:pPr>
      <w:r>
        <w:t>1.4.2.</w:t>
      </w:r>
      <w:r>
        <w:tab/>
      </w:r>
      <w:r>
        <w:rPr>
          <w:noProof/>
        </w:rPr>
        <w:t xml:space="preserve">Konkrētie mērķi un attiecīgās ABM/ABB darbības </w:t>
      </w:r>
    </w:p>
    <w:p>
      <w:pPr>
        <w:pBdr>
          <w:top w:val="single" w:sz="4" w:space="1" w:color="auto"/>
          <w:left w:val="single" w:sz="4" w:space="4" w:color="auto"/>
          <w:bottom w:val="single" w:sz="4" w:space="1" w:color="auto"/>
          <w:right w:val="single" w:sz="4" w:space="4" w:color="auto"/>
        </w:pBdr>
        <w:ind w:left="850"/>
        <w:rPr>
          <w:bCs/>
          <w:noProof/>
        </w:rPr>
      </w:pPr>
      <w:r>
        <w:rPr>
          <w:noProof/>
          <w:u w:val="single"/>
        </w:rPr>
        <w:t>Attiecīgais vispārējais mērķis:</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Veicināt augsta drošības līmeņa nodrošināšanu Eiropas Savienībā, nodrošinot robežu vienādu un augsta līmeņa kontroli un Šengenas vīzu efektīvu apstrādi atbilstoši Savienības saistībām ievērot pamatbrīvības un cilvēktiesības un tādējādi atvieglojot likumīgu ceļošanu.</w:t>
      </w: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 xml:space="preserve">Konkrētais mērķis Nr. 6: </w:t>
      </w:r>
    </w:p>
    <w:p>
      <w:pPr>
        <w:pBdr>
          <w:top w:val="single" w:sz="4" w:space="1" w:color="auto"/>
          <w:left w:val="single" w:sz="4" w:space="4" w:color="auto"/>
          <w:bottom w:val="single" w:sz="4" w:space="1" w:color="auto"/>
          <w:right w:val="single" w:sz="4" w:space="4" w:color="auto"/>
        </w:pBdr>
        <w:ind w:left="850"/>
        <w:rPr>
          <w:bCs/>
          <w:noProof/>
        </w:rPr>
      </w:pPr>
      <w:r>
        <w:rPr>
          <w:noProof/>
        </w:rPr>
        <w:t>Atbalstīt iniciatīvas narkomānijas apkarošanas politikas jomā attiecībā uz tiesu iestāžu sadarbību un noziedzības novēršanas aspektiem, kas ir cieši saistīti ar programmas "Tiesiskums" vispārējo mērķi, ciktāl tos jau neatbalsta no Iekšējās drošības fonda vai programmas "Veselība izaugsmei" līdzekļiem.</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 xml:space="preserve">Konkrētais mērķis Nr. 7: </w:t>
      </w:r>
    </w:p>
    <w:p>
      <w:pPr>
        <w:pBdr>
          <w:top w:val="single" w:sz="4" w:space="1" w:color="auto"/>
          <w:left w:val="single" w:sz="4" w:space="4" w:color="auto"/>
          <w:bottom w:val="single" w:sz="4" w:space="1" w:color="auto"/>
          <w:right w:val="single" w:sz="4" w:space="4" w:color="auto"/>
        </w:pBdr>
        <w:ind w:left="850"/>
        <w:rPr>
          <w:noProof/>
        </w:rPr>
      </w:pPr>
      <w:r>
        <w:rPr>
          <w:noProof/>
        </w:rPr>
        <w:t xml:space="preserve">Palīdzēt samazināt narkotiku lietošanu un tirdzniecību un kaitējumu, ko narkotikas nodara personām un sabiedrībai, veicot pasākumus, lai samazinātu jaunu narkotiku pieejamību, uzlabotu narkotiku pieprasījuma samazināšanas dienestu kvalitāti un izpratni par narkotiku piedāvājumu, atbalstot darbības, lai vairotu izpratni par narkotikām, uzlabotu ārstēšanas efektivitāti un atbalstītu pārrobežu operatīvo sadarbību narkotiku apkarošanā. </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Attiecīgās ABM/ABB darbības</w:t>
      </w:r>
    </w:p>
    <w:p>
      <w:pPr>
        <w:pBdr>
          <w:top w:val="single" w:sz="4" w:space="1" w:color="auto"/>
          <w:left w:val="single" w:sz="4" w:space="4" w:color="auto"/>
          <w:bottom w:val="single" w:sz="4" w:space="1" w:color="auto"/>
          <w:right w:val="single" w:sz="4" w:space="4" w:color="auto"/>
        </w:pBdr>
        <w:ind w:left="850"/>
        <w:rPr>
          <w:noProof/>
        </w:rPr>
      </w:pPr>
      <w:r>
        <w:rPr>
          <w:noProof/>
        </w:rPr>
        <w:t>Narkotiku apkarošana</w:t>
      </w:r>
    </w:p>
    <w:p>
      <w:pPr>
        <w:pStyle w:val="ManualNumPar3"/>
        <w:rPr>
          <w:noProof/>
        </w:rPr>
      </w:pPr>
      <w:r>
        <w:t>1.4.3.</w:t>
      </w:r>
      <w:r>
        <w:tab/>
      </w:r>
      <w:r>
        <w:rPr>
          <w:noProof/>
        </w:rPr>
        <w:t>Paredzamais(-ie) rezultāts(-i) un ietekme</w:t>
      </w:r>
    </w:p>
    <w:p>
      <w:pPr>
        <w:ind w:left="850"/>
        <w:rPr>
          <w:i/>
          <w:noProof/>
          <w:sz w:val="20"/>
        </w:rPr>
      </w:pPr>
      <w:r>
        <w:rPr>
          <w:i/>
          <w:noProof/>
          <w:sz w:val="20"/>
        </w:rPr>
        <w:t>Norādīt, kāda ir priekšlikuma/iniciatīvas iecerētā ietekme uz finansējuma saņēmējiem/mērķgrupām.</w:t>
      </w:r>
    </w:p>
    <w:p>
      <w:pPr>
        <w:pBdr>
          <w:top w:val="single" w:sz="4" w:space="1" w:color="auto"/>
          <w:left w:val="single" w:sz="4" w:space="4" w:color="auto"/>
          <w:bottom w:val="single" w:sz="4" w:space="1" w:color="auto"/>
          <w:right w:val="single" w:sz="4" w:space="4" w:color="auto"/>
        </w:pBdr>
        <w:ind w:left="850"/>
        <w:rPr>
          <w:noProof/>
        </w:rPr>
      </w:pPr>
      <w:r>
        <w:rPr>
          <w:noProof/>
        </w:rPr>
        <w:t>Nodrošināt efektīvu un iedarbīgu agrīnās brīdināšanas sistēmu un riska novērtēšanas procedūru attiecībā uz jaunām psihoaktīvām vielām, lai aktīvi aizsargātu pret jaunu psihoaktīvu vielu radītiem nopietniem kaitējumiem, apzinātu tos, apstiprinātu, reaģētu uz tiem un novērstu tos un lai nodrošinātu, ka par kaitīgām jaunām psihoaktīvām vielām var tikt paredzēta kriminālatbildība visās dalībvalstīs, pamatojoties uz Padomes Pamatlēmumu 2004/757/TI [kurā grozījumi izdarīti ar Direktīvu (ES).../...]</w:t>
      </w:r>
    </w:p>
    <w:p>
      <w:pPr>
        <w:pStyle w:val="ManualNumPar3"/>
        <w:rPr>
          <w:noProof/>
        </w:rPr>
      </w:pPr>
      <w:r>
        <w:t>1.4.4.</w:t>
      </w:r>
      <w:r>
        <w:tab/>
      </w:r>
      <w:r>
        <w:rPr>
          <w:noProof/>
        </w:rPr>
        <w:t xml:space="preserve">Rezultātu un ietekmes rādītāji </w:t>
      </w:r>
    </w:p>
    <w:p>
      <w:pPr>
        <w:ind w:left="850"/>
        <w:rPr>
          <w:i/>
          <w:noProof/>
          <w:sz w:val="20"/>
        </w:rPr>
      </w:pPr>
      <w:r>
        <w:rPr>
          <w:i/>
          <w:noProof/>
          <w:sz w:val="20"/>
        </w:rPr>
        <w:t>Norādīt priekšlikuma/iniciatīvas īstenošanas uzraudzībā izmantojamos rādītājus.</w:t>
      </w:r>
    </w:p>
    <w:p>
      <w:pPr>
        <w:pBdr>
          <w:top w:val="single" w:sz="4" w:space="1" w:color="auto"/>
          <w:left w:val="single" w:sz="4" w:space="4" w:color="auto"/>
          <w:bottom w:val="single" w:sz="4" w:space="1" w:color="auto"/>
          <w:right w:val="single" w:sz="4" w:space="4" w:color="auto"/>
        </w:pBdr>
        <w:ind w:left="850"/>
        <w:rPr>
          <w:bCs/>
          <w:noProof/>
        </w:rPr>
      </w:pPr>
      <w:r>
        <w:rPr>
          <w:noProof/>
          <w:u w:val="single"/>
        </w:rPr>
        <w:t>Rezultātu rādītājs Nr. 1 (mērķis Nr. 6):</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 xml:space="preserve">To jauno psihoaktīvo vielu skaits, kuras novērtētas (tostarp nepieciešamības gadījumā veicot testus), lai ES vai dalībvalstis varētu attiecīgi rīkoties patērētāju aizsargāšanai atkarībā no riska veida un līmeņa, ko tās var radīt, ja tās lieto cilvēki. </w:t>
      </w:r>
    </w:p>
    <w:p>
      <w:pPr>
        <w:pBdr>
          <w:top w:val="single" w:sz="4" w:space="1" w:color="auto"/>
          <w:left w:val="single" w:sz="4" w:space="4" w:color="auto"/>
          <w:bottom w:val="single" w:sz="4" w:space="1" w:color="auto"/>
          <w:right w:val="single" w:sz="4" w:space="4" w:color="auto"/>
        </w:pBdr>
        <w:ind w:left="850"/>
        <w:rPr>
          <w:bCs/>
          <w:noProof/>
        </w:rPr>
      </w:pPr>
      <w:r>
        <w:rPr>
          <w:noProof/>
          <w:u w:val="single"/>
        </w:rPr>
        <w:t>Rezultātu rādītājs Nr. 3 (mērķis Nr. 7):</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Cik lielā mērā attiecībā uz jaunām psihoaktīvām vielām, par kurām paziņojušas vairākas dalībvalstis un kuras, šķiet, rada riskus, tiek veikts riska novērtējums (tostarp nepieciešamības gadījumā testēšana), lai ES vai dalībvalstis varētu attiecīgi rīkoties patērētāju aizsargāšanai.</w:t>
      </w:r>
    </w:p>
    <w:p>
      <w:pPr>
        <w:pStyle w:val="ManualNumPar2"/>
        <w:rPr>
          <w:noProof/>
        </w:rPr>
      </w:pPr>
      <w:r>
        <w:rPr>
          <w:noProof/>
        </w:rPr>
        <w:br w:type="page"/>
      </w:r>
      <w:r>
        <w:t>1.5.</w:t>
      </w:r>
      <w:r>
        <w:tab/>
      </w:r>
      <w:r>
        <w:rPr>
          <w:noProof/>
        </w:rPr>
        <w:t xml:space="preserve">Priekšlikuma/iniciatīvas pamatojums </w:t>
      </w:r>
    </w:p>
    <w:p>
      <w:pPr>
        <w:pStyle w:val="ManualNumPar3"/>
        <w:rPr>
          <w:noProof/>
        </w:rPr>
      </w:pPr>
      <w:r>
        <w:t>1.5.1.</w:t>
      </w:r>
      <w:r>
        <w:tab/>
      </w:r>
      <w:r>
        <w:rPr>
          <w:noProof/>
        </w:rPr>
        <w:t xml:space="preserve">Īstermiņa vai ilgtermiņa vajadzības </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aizsargāt cilvēku veselību pret risku, ko rada kaitīgas jaunas psihoaktīvas vielas</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izveidot pamatu lēmumu pieņemšanai Savienības līmenī attiecībā uz kriminālatbildības paredzēšanu par kaitīgām jaunām psihoaktīvām vielām, pamatojoties uz Padomes Pamatlēmumu 2004/757/TI [kurā grozījumi izdarīti ar Direktīvu (ES).../...]</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uzlabot spēju ātri identificēt un novērtēt jaunas psihoaktīvās vielas</w:t>
      </w:r>
    </w:p>
    <w:p>
      <w:pPr>
        <w:pStyle w:val="ManualNumPar3"/>
        <w:rPr>
          <w:noProof/>
        </w:rPr>
      </w:pPr>
      <w:r>
        <w:t>1.5.2.</w:t>
      </w:r>
      <w:r>
        <w:tab/>
      </w:r>
      <w:r>
        <w:rPr>
          <w:noProof/>
        </w:rPr>
        <w:t>ES iesaistīšanās pievienotā vērtība</w:t>
      </w:r>
    </w:p>
    <w:p>
      <w:pPr>
        <w:pBdr>
          <w:top w:val="single" w:sz="4" w:space="1" w:color="auto"/>
          <w:left w:val="single" w:sz="4" w:space="4" w:color="auto"/>
          <w:bottom w:val="single" w:sz="4" w:space="1" w:color="auto"/>
          <w:right w:val="single" w:sz="4" w:space="4" w:color="auto"/>
        </w:pBdr>
        <w:ind w:left="850"/>
        <w:rPr>
          <w:noProof/>
        </w:rPr>
      </w:pPr>
      <w:r>
        <w:rPr>
          <w:noProof/>
        </w:rPr>
        <w:t>Stiprināta agrīnās brīdināšanas sistēma veicinātu informācijas apmaiņu starp dalībvalstīm, un nepārprotama pievienotā vērtība būtu tā, ka dalībvalstis tiktu brīdinātas par potenciāli kaitīgām vielām, kuras parādījušās citās dalībvalstīs, lai tās varētu jau iepriekš paredzēt iespējamo apdraudējumu sabiedrības veselībai. Turklāt riska novērtējums attiecībā uz jaunām psihoaktīvām vielām ES līmenī sniedz iespēju arī apvienot visas Savienības mēroga zinātniskos un analītiskos resursus, lai sniegtu vislabākos pieejamos pierādījumus par vielu, tādējādi veidojot stabilu pamatu lēmumu pieņemšanai Savienības līmenī attiecībā uz jaunām psihoaktīvām vielām, pamatojoties uz Padomes Pamatlēmumu 2004/757/TI [kurā grozījumi izdarīti ar Direktīvu (ES).../...].</w:t>
      </w:r>
    </w:p>
    <w:p>
      <w:pPr>
        <w:pStyle w:val="ManualNumPar3"/>
        <w:rPr>
          <w:noProof/>
        </w:rPr>
      </w:pPr>
      <w:r>
        <w:t>1.5.3.</w:t>
      </w:r>
      <w:r>
        <w:tab/>
      </w:r>
      <w:r>
        <w:rPr>
          <w:noProof/>
        </w:rPr>
        <w:t>Līdzīgas līdzšinējās pieredzes rezultātā gūtās atziņas</w:t>
      </w:r>
    </w:p>
    <w:p>
      <w:pPr>
        <w:pBdr>
          <w:top w:val="single" w:sz="4" w:space="1" w:color="auto"/>
          <w:left w:val="single" w:sz="4" w:space="4" w:color="auto"/>
          <w:bottom w:val="single" w:sz="4" w:space="1" w:color="auto"/>
          <w:right w:val="single" w:sz="4" w:space="4" w:color="auto"/>
        </w:pBdr>
        <w:ind w:left="850"/>
        <w:rPr>
          <w:noProof/>
        </w:rPr>
      </w:pPr>
      <w:r>
        <w:rPr>
          <w:noProof/>
        </w:rPr>
        <w:t>Pašreizējā sistēma, kas pamatojas uz Padomes Lēmumu 2005/387/TI par informācijas apmaiņu, riska novērtējumu un kontroli attiecībā uz jaunām psihoaktīvām vielām, funkcionē pārāk lēni, lai efektīvi risinātu situāciju saistībā ar jaunu psihoaktīvo vielu skaita straujo pieaugumu.</w:t>
      </w:r>
    </w:p>
    <w:p>
      <w:pPr>
        <w:pStyle w:val="ManualNumPar3"/>
        <w:rPr>
          <w:noProof/>
        </w:rPr>
      </w:pPr>
      <w:r>
        <w:t>1.5.4.</w:t>
      </w:r>
      <w:r>
        <w:tab/>
      </w:r>
      <w:r>
        <w:rPr>
          <w:noProof/>
        </w:rPr>
        <w:t>Saderība un iespējamā sinerģija ar citiem atbilstošiem instrumentiem</w:t>
      </w:r>
    </w:p>
    <w:p>
      <w:pPr>
        <w:pBdr>
          <w:top w:val="single" w:sz="4" w:space="1" w:color="auto"/>
          <w:left w:val="single" w:sz="4" w:space="4" w:color="auto"/>
          <w:bottom w:val="single" w:sz="4" w:space="1" w:color="auto"/>
          <w:right w:val="single" w:sz="4" w:space="4" w:color="auto"/>
        </w:pBdr>
        <w:ind w:left="850"/>
        <w:rPr>
          <w:noProof/>
        </w:rPr>
      </w:pPr>
      <w:r>
        <w:rPr>
          <w:noProof/>
        </w:rPr>
        <w:t>Rīcība jaunu psihoaktīvu vielu jomā atbilst Savienības stratēģiskajiem politikas dokumentiem, jo īpaši Eiropas drošības stratēģijai</w:t>
      </w:r>
      <w:r>
        <w:rPr>
          <w:rStyle w:val="FootnoteReference"/>
          <w:noProof/>
        </w:rPr>
        <w:footnoteReference w:id="22"/>
      </w:r>
      <w:r>
        <w:rPr>
          <w:noProof/>
        </w:rPr>
        <w:t xml:space="preserve"> un ES Narkomānijas apkarošanas stratēģijai 2013.–2020. gadam. ES rīcība jaunu psihoaktīvu vielu jomā pilnībā saskan arī ar rīcību ANO līmenī.</w:t>
      </w:r>
    </w:p>
    <w:p>
      <w:pPr>
        <w:pStyle w:val="ManualNumPar2"/>
        <w:rPr>
          <w:noProof/>
        </w:rPr>
      </w:pPr>
      <w:r>
        <w:t>1.6.</w:t>
      </w:r>
      <w:r>
        <w:tab/>
      </w:r>
      <w:r>
        <w:rPr>
          <w:noProof/>
        </w:rPr>
        <w:t xml:space="preserve">Ilgums un finansiālā ietekme </w:t>
      </w:r>
    </w:p>
    <w:p>
      <w:pPr>
        <w:ind w:left="850"/>
        <w:rPr>
          <w:noProof/>
        </w:rPr>
      </w:pPr>
      <w:r>
        <w:rPr>
          <w:noProof/>
        </w:rPr>
        <w:sym w:font="Wingdings" w:char="F0A8"/>
      </w:r>
      <w:r>
        <w:rPr>
          <w:noProof/>
        </w:rPr>
        <w:t xml:space="preserve"> Ierobežota ilguma priekšlikums/iniciatīva </w:t>
      </w:r>
    </w:p>
    <w:p>
      <w:pPr>
        <w:pStyle w:val="Tiret0"/>
        <w:numPr>
          <w:ilvl w:val="0"/>
          <w:numId w:val="17"/>
        </w:numPr>
        <w:ind w:firstLine="284"/>
        <w:rPr>
          <w:noProof/>
        </w:rPr>
      </w:pPr>
      <w:r>
        <w:rPr>
          <w:noProof/>
        </w:rPr>
        <w:sym w:font="Wingdings" w:char="F0A8"/>
      </w:r>
      <w:r>
        <w:rPr>
          <w:noProof/>
        </w:rPr>
        <w:t xml:space="preserve"> Priekšlikuma/iniciatīvas darbības laiks: [DD.MM.]GGGG.–[DD.MM.]GGGG. </w:t>
      </w:r>
    </w:p>
    <w:p>
      <w:pPr>
        <w:pStyle w:val="Tiret0"/>
        <w:ind w:firstLine="284"/>
        <w:rPr>
          <w:noProof/>
        </w:rPr>
      </w:pPr>
      <w:r>
        <w:rPr>
          <w:noProof/>
        </w:rPr>
        <w:sym w:font="Wingdings" w:char="F0A8"/>
      </w:r>
      <w:r>
        <w:rPr>
          <w:noProof/>
        </w:rPr>
        <w:t xml:space="preserve"> Finansiālā ietekme: GGGG.–GGGG. </w:t>
      </w:r>
    </w:p>
    <w:p>
      <w:pPr>
        <w:ind w:left="850"/>
        <w:rPr>
          <w:noProof/>
        </w:rPr>
      </w:pPr>
      <w:r>
        <w:rPr>
          <w:noProof/>
        </w:rPr>
        <w:sym w:font="Wingdings" w:char="F0FD"/>
      </w:r>
      <w:r>
        <w:rPr>
          <w:b/>
          <w:i/>
          <w:noProof/>
        </w:rPr>
        <w:t xml:space="preserve"> </w:t>
      </w:r>
      <w:r>
        <w:rPr>
          <w:b/>
          <w:noProof/>
        </w:rPr>
        <w:t>Beztermiņa</w:t>
      </w:r>
      <w:r>
        <w:rPr>
          <w:noProof/>
        </w:rPr>
        <w:t xml:space="preserve"> priekšlikums/iniciatīva</w:t>
      </w:r>
    </w:p>
    <w:p>
      <w:pPr>
        <w:pStyle w:val="Tiret0"/>
        <w:ind w:firstLine="284"/>
        <w:rPr>
          <w:noProof/>
        </w:rPr>
      </w:pPr>
      <w:r>
        <w:rPr>
          <w:noProof/>
        </w:rPr>
        <w:sym w:font="Wingdings" w:char="F0A8"/>
      </w:r>
      <w:r>
        <w:rPr>
          <w:noProof/>
        </w:rPr>
        <w:t xml:space="preserve"> Īstenošana ar uzsākšanas periodu no 2017. līdz 2020. gadam,</w:t>
      </w:r>
    </w:p>
    <w:p>
      <w:pPr>
        <w:pStyle w:val="Tiret0"/>
        <w:ind w:firstLine="284"/>
        <w:rPr>
          <w:noProof/>
        </w:rPr>
      </w:pPr>
      <w:r>
        <w:rPr>
          <w:noProof/>
        </w:rPr>
        <w:sym w:font="Wingdings" w:char="F0A8"/>
      </w:r>
      <w:r>
        <w:rPr>
          <w:noProof/>
        </w:rPr>
        <w:t xml:space="preserve"> pēc kura turpinās normāla darbība</w:t>
      </w:r>
    </w:p>
    <w:p>
      <w:pPr>
        <w:pStyle w:val="ManualNumPar2"/>
        <w:rPr>
          <w:noProof/>
        </w:rPr>
      </w:pPr>
      <w:r>
        <w:t>1.7.</w:t>
      </w:r>
      <w:r>
        <w:tab/>
      </w:r>
      <w:r>
        <w:rPr>
          <w:noProof/>
        </w:rPr>
        <w:t>Paredzētie pārvaldības veidi</w:t>
      </w:r>
      <w:r>
        <w:rPr>
          <w:rStyle w:val="FootnoteReference"/>
          <w:b/>
          <w:noProof/>
        </w:rPr>
        <w:footnoteReference w:id="23"/>
      </w:r>
    </w:p>
    <w:p>
      <w:pPr>
        <w:ind w:left="850"/>
        <w:rPr>
          <w:noProof/>
        </w:rPr>
      </w:pPr>
      <w:r>
        <w:rPr>
          <w:noProof/>
        </w:rPr>
        <w:sym w:font="Wingdings" w:char="F0A8"/>
      </w:r>
      <w:r>
        <w:rPr>
          <w:i/>
          <w:noProof/>
        </w:rPr>
        <w:t xml:space="preserve"> </w:t>
      </w:r>
      <w:r>
        <w:rPr>
          <w:noProof/>
        </w:rPr>
        <w:t xml:space="preserve">Komisijas īstenota </w:t>
      </w:r>
      <w:r>
        <w:rPr>
          <w:b/>
          <w:noProof/>
        </w:rPr>
        <w:t>tieša pārvaldība</w:t>
      </w:r>
    </w:p>
    <w:p>
      <w:pPr>
        <w:pStyle w:val="Tiret0"/>
        <w:ind w:firstLine="284"/>
        <w:rPr>
          <w:noProof/>
        </w:rPr>
      </w:pPr>
      <w:r>
        <w:rPr>
          <w:noProof/>
        </w:rPr>
        <w:sym w:font="Wingdings" w:char="F0A8"/>
      </w:r>
      <w:r>
        <w:rPr>
          <w:noProof/>
        </w:rPr>
        <w:t xml:space="preserve"> ko veic tās struktūrvienības, tostarp personāls Savienības delegācijās; </w:t>
      </w:r>
    </w:p>
    <w:p>
      <w:pPr>
        <w:pStyle w:val="Tiret0"/>
        <w:ind w:firstLine="284"/>
        <w:rPr>
          <w:noProof/>
        </w:rPr>
      </w:pPr>
      <w:r>
        <w:rPr>
          <w:noProof/>
        </w:rPr>
        <w:sym w:font="Wingdings" w:char="F0A8"/>
      </w:r>
      <w:r>
        <w:rPr>
          <w:noProof/>
        </w:rPr>
        <w:t xml:space="preserve"> ko veic izpildaģentūras </w:t>
      </w:r>
    </w:p>
    <w:p>
      <w:pPr>
        <w:ind w:left="850"/>
        <w:rPr>
          <w:noProof/>
        </w:rPr>
      </w:pPr>
      <w:r>
        <w:rPr>
          <w:noProof/>
        </w:rPr>
        <w:sym w:font="Wingdings" w:char="F0A8"/>
      </w:r>
      <w:r>
        <w:rPr>
          <w:b/>
          <w:i/>
          <w:noProof/>
        </w:rPr>
        <w:t xml:space="preserve"> </w:t>
      </w:r>
      <w:r>
        <w:rPr>
          <w:b/>
          <w:noProof/>
        </w:rPr>
        <w:t>Dalīta pārvaldība</w:t>
      </w:r>
      <w:r>
        <w:rPr>
          <w:noProof/>
        </w:rPr>
        <w:t xml:space="preserve"> kopā ar dalībvalstīm </w:t>
      </w:r>
    </w:p>
    <w:p>
      <w:pPr>
        <w:ind w:left="850"/>
        <w:rPr>
          <w:noProof/>
        </w:rPr>
      </w:pPr>
      <w:r>
        <w:rPr>
          <w:noProof/>
        </w:rPr>
        <w:sym w:font="Wingdings" w:char="F0FD"/>
      </w:r>
      <w:r>
        <w:rPr>
          <w:i/>
          <w:noProof/>
        </w:rPr>
        <w:t xml:space="preserve"> </w:t>
      </w:r>
      <w:r>
        <w:rPr>
          <w:b/>
          <w:noProof/>
        </w:rPr>
        <w:t>Netieša pārvaldība</w:t>
      </w:r>
      <w:r>
        <w:rPr>
          <w:noProof/>
        </w:rPr>
        <w:t>, kurā budžeta īstenošanas uzdevumi uzticēti:</w:t>
      </w:r>
    </w:p>
    <w:p>
      <w:pPr>
        <w:pStyle w:val="Tiret0"/>
        <w:ind w:firstLine="284"/>
        <w:rPr>
          <w:noProof/>
        </w:rPr>
      </w:pPr>
      <w:r>
        <w:rPr>
          <w:noProof/>
        </w:rPr>
        <w:sym w:font="Wingdings" w:char="F0A8"/>
      </w:r>
      <w:r>
        <w:rPr>
          <w:noProof/>
        </w:rPr>
        <w:t xml:space="preserve"> trešām valstīm vai to noteiktām struktūrām;</w:t>
      </w:r>
    </w:p>
    <w:p>
      <w:pPr>
        <w:pStyle w:val="Tiret0"/>
        <w:ind w:firstLine="284"/>
        <w:rPr>
          <w:noProof/>
        </w:rPr>
      </w:pPr>
      <w:r>
        <w:rPr>
          <w:noProof/>
        </w:rPr>
        <w:sym w:font="Wingdings" w:char="F0A8"/>
      </w:r>
      <w:r>
        <w:rPr>
          <w:noProof/>
        </w:rPr>
        <w:t xml:space="preserve"> starptautiskām organizācijām un to aģentūrām (precizēt);</w:t>
      </w:r>
    </w:p>
    <w:p>
      <w:pPr>
        <w:pStyle w:val="Tiret0"/>
        <w:ind w:firstLine="284"/>
        <w:rPr>
          <w:noProof/>
        </w:rPr>
      </w:pPr>
      <w:r>
        <w:rPr>
          <w:noProof/>
        </w:rPr>
        <w:sym w:font="Wingdings" w:char="F0A8"/>
      </w:r>
      <w:r>
        <w:rPr>
          <w:noProof/>
        </w:rPr>
        <w:t xml:space="preserve"> EIB un Eiropas Investīciju fondam;</w:t>
      </w:r>
    </w:p>
    <w:p>
      <w:pPr>
        <w:pStyle w:val="Tiret0"/>
        <w:ind w:firstLine="284"/>
        <w:rPr>
          <w:noProof/>
        </w:rPr>
      </w:pPr>
      <w:r>
        <w:rPr>
          <w:noProof/>
        </w:rPr>
        <w:sym w:font="Wingdings" w:char="F0FD"/>
      </w:r>
      <w:r>
        <w:rPr>
          <w:noProof/>
        </w:rPr>
        <w:t xml:space="preserve"> Finanšu regulas 208. un 209. pantā minētajām struktūrām;</w:t>
      </w:r>
    </w:p>
    <w:p>
      <w:pPr>
        <w:pStyle w:val="Tiret0"/>
        <w:ind w:firstLine="284"/>
        <w:rPr>
          <w:noProof/>
        </w:rPr>
      </w:pPr>
      <w:r>
        <w:rPr>
          <w:noProof/>
        </w:rPr>
        <w:sym w:font="Wingdings" w:char="F0A8"/>
      </w:r>
      <w:r>
        <w:rPr>
          <w:noProof/>
        </w:rPr>
        <w:t xml:space="preserve"> publisko tiesību subjektiem;</w:t>
      </w:r>
    </w:p>
    <w:p>
      <w:pPr>
        <w:pStyle w:val="Tiret0"/>
        <w:tabs>
          <w:tab w:val="clear" w:pos="850"/>
          <w:tab w:val="num" w:pos="1418"/>
        </w:tabs>
        <w:ind w:left="1418" w:hanging="284"/>
        <w:rPr>
          <w:noProof/>
        </w:rPr>
      </w:pPr>
      <w:r>
        <w:rPr>
          <w:noProof/>
        </w:rPr>
        <w:sym w:font="Wingdings" w:char="F0A8"/>
      </w:r>
      <w:r>
        <w:rPr>
          <w:noProof/>
        </w:rPr>
        <w:t xml:space="preserve"> privāttiesību subjektiem, kas veic valsts pārvaldes uzdevumus, ja tie sniedz pienācīgas finanšu garantijas;</w:t>
      </w:r>
    </w:p>
    <w:p>
      <w:pPr>
        <w:pStyle w:val="Tiret0"/>
        <w:tabs>
          <w:tab w:val="clear" w:pos="850"/>
          <w:tab w:val="num" w:pos="1418"/>
        </w:tabs>
        <w:ind w:left="1418" w:hanging="284"/>
        <w:rPr>
          <w:noProof/>
        </w:rPr>
      </w:pPr>
      <w:r>
        <w:rPr>
          <w:noProof/>
        </w:rPr>
        <w:sym w:font="Wingdings" w:char="F0A8"/>
      </w:r>
      <w:r>
        <w:rPr>
          <w:noProof/>
        </w:rPr>
        <w:t xml:space="preserve"> struktūrām, kuru darbību reglamentē dalībvalsts privāttiesības, kurām ir uzticēta publiskā un privātā sektora partnerības īstenošana un kuras sniedz pienācīgas finanšu garantijas;</w:t>
      </w:r>
    </w:p>
    <w:p>
      <w:pPr>
        <w:pStyle w:val="Tiret0"/>
        <w:tabs>
          <w:tab w:val="clear" w:pos="850"/>
          <w:tab w:val="num" w:pos="1418"/>
        </w:tabs>
        <w:ind w:left="1418" w:hanging="284"/>
        <w:rPr>
          <w:noProof/>
        </w:rPr>
      </w:pPr>
      <w:r>
        <w:rPr>
          <w:noProof/>
        </w:rPr>
        <w:sym w:font="Wingdings" w:char="F0A8"/>
      </w:r>
      <w:r>
        <w:rPr>
          <w:noProof/>
        </w:rPr>
        <w:t xml:space="preserve"> personām, kurām ir uzticēts veikt īpašas darbības KĀDP saskaņā ar Līguma par Eiropas Savienību V sadaļu un kuras ir noteiktas attiecīgā pamataktā.</w:t>
      </w:r>
    </w:p>
    <w:p>
      <w:pPr>
        <w:pStyle w:val="Tiret0"/>
        <w:tabs>
          <w:tab w:val="clear" w:pos="850"/>
          <w:tab w:val="num" w:pos="1418"/>
        </w:tabs>
        <w:ind w:left="1418" w:hanging="284"/>
        <w:rPr>
          <w:noProof/>
          <w:sz w:val="20"/>
          <w:szCs w:val="20"/>
        </w:rPr>
      </w:pPr>
      <w:r>
        <w:rPr>
          <w:noProof/>
          <w:sz w:val="20"/>
        </w:rPr>
        <w:t>Ja norādīti vairāki pārvaldības veidi, sniedziet papildu informāciju iedaļā "Piezīmes".</w:t>
      </w:r>
    </w:p>
    <w:p>
      <w:pPr>
        <w:rPr>
          <w:noProof/>
        </w:rPr>
      </w:pPr>
      <w:r>
        <w:rPr>
          <w:noProof/>
        </w:rPr>
        <w:t xml:space="preserve">Piezīmes </w:t>
      </w: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NumPar1"/>
        <w:rPr>
          <w:noProof/>
        </w:rPr>
      </w:pPr>
      <w:r>
        <w:t>2.</w:t>
      </w:r>
      <w:r>
        <w:tab/>
      </w:r>
      <w:r>
        <w:rPr>
          <w:noProof/>
        </w:rPr>
        <w:t xml:space="preserve">PĀRVALDĪBAS PASĀKUMI </w:t>
      </w:r>
    </w:p>
    <w:p>
      <w:pPr>
        <w:pStyle w:val="ManualNumPar2"/>
        <w:rPr>
          <w:noProof/>
        </w:rPr>
      </w:pPr>
      <w:r>
        <w:t>2.1.</w:t>
      </w:r>
      <w:r>
        <w:tab/>
      </w:r>
      <w:r>
        <w:rPr>
          <w:noProof/>
        </w:rPr>
        <w:t xml:space="preserve">Uzraudzības un ziņošanas noteikumi </w:t>
      </w:r>
    </w:p>
    <w:p>
      <w:pPr>
        <w:ind w:left="850"/>
        <w:rPr>
          <w:i/>
          <w:noProof/>
          <w:sz w:val="20"/>
          <w:u w:val="single"/>
        </w:rPr>
      </w:pPr>
      <w:r>
        <w:rPr>
          <w:i/>
          <w:noProof/>
          <w:sz w:val="20"/>
        </w:rPr>
        <w:t>Norādīt periodiskumu un nosacījumus.</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Saskaņā ar 23. pantu Regulā Nr. 1920/2006, ar ko izveido Eiropas Narkotiku un narkomānijas uzraudzības centru, Centra ārēju izvērtēšanu veic reizi sešos gados tā, lai tā atbilstu divām secīgām Centra 3 gadu darba programmām.</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Saskaņā ar 9. panta 7. punktu Regulā Nr. 1920/2006, ar ko izveido Eiropas Narkotiku un narkomānijas uzraudzības centru, "Administratīvā valde pieņem gada ziņojumu par Centra darbību un līdz 15. jūnijam nosūta to Eiropas Parlamentam, Padomei, Komisijai, Revīzijas palātai un dalībvalstīm".</w:t>
      </w:r>
    </w:p>
    <w:p>
      <w:pPr>
        <w:pStyle w:val="ManualNumPar2"/>
        <w:rPr>
          <w:noProof/>
        </w:rPr>
      </w:pPr>
      <w:r>
        <w:t>2.2.</w:t>
      </w:r>
      <w:r>
        <w:tab/>
      </w:r>
      <w:r>
        <w:rPr>
          <w:noProof/>
        </w:rPr>
        <w:t xml:space="preserve">Pārvaldības un kontroles sistēma </w:t>
      </w:r>
    </w:p>
    <w:p>
      <w:pPr>
        <w:pStyle w:val="ManualNumPar3"/>
        <w:rPr>
          <w:noProof/>
        </w:rPr>
      </w:pPr>
      <w:r>
        <w:t>2.2.1.</w:t>
      </w:r>
      <w:r>
        <w:tab/>
      </w:r>
      <w:r>
        <w:rPr>
          <w:noProof/>
        </w:rPr>
        <w:t xml:space="preserve">Apzinātie riski </w:t>
      </w:r>
    </w:p>
    <w:p>
      <w:pPr>
        <w:pBdr>
          <w:top w:val="single" w:sz="4" w:space="1" w:color="auto"/>
          <w:left w:val="single" w:sz="4" w:space="4" w:color="auto"/>
          <w:bottom w:val="single" w:sz="4" w:space="1" w:color="auto"/>
          <w:right w:val="single" w:sz="4" w:space="4" w:color="auto"/>
        </w:pBdr>
        <w:ind w:left="850"/>
        <w:rPr>
          <w:noProof/>
        </w:rPr>
      </w:pPr>
      <w:r>
        <w:rPr>
          <w:noProof/>
        </w:rPr>
        <w:t>Iespējami kavējumi īstenošanā, kuri mazināmas, veicot regulāru uzraudzību</w:t>
      </w:r>
    </w:p>
    <w:p>
      <w:pPr>
        <w:pStyle w:val="ManualNumPar3"/>
        <w:rPr>
          <w:noProof/>
        </w:rPr>
      </w:pPr>
      <w:r>
        <w:t>2.2.2.</w:t>
      </w:r>
      <w:r>
        <w:tab/>
      </w:r>
      <w:r>
        <w:rPr>
          <w:noProof/>
        </w:rPr>
        <w:t>Informācija par izveidoto iekšējās kontroles sistēmu</w:t>
      </w:r>
    </w:p>
    <w:p>
      <w:pPr>
        <w:pBdr>
          <w:top w:val="single" w:sz="4" w:space="1" w:color="auto"/>
          <w:left w:val="single" w:sz="4" w:space="4" w:color="auto"/>
          <w:bottom w:val="single" w:sz="4" w:space="1" w:color="auto"/>
          <w:right w:val="single" w:sz="4" w:space="4" w:color="auto"/>
        </w:pBdr>
        <w:ind w:left="850"/>
        <w:rPr>
          <w:noProof/>
        </w:rPr>
      </w:pPr>
      <w:r>
        <w:rPr>
          <w:noProof/>
        </w:rPr>
        <w:t>Komisijas standarta kontroles/pārkāpumu procedūras attiecībā uz grozītās regulas piemērošanu</w:t>
      </w:r>
    </w:p>
    <w:p>
      <w:pPr>
        <w:pStyle w:val="ManualNumPar3"/>
        <w:rPr>
          <w:noProof/>
        </w:rPr>
      </w:pPr>
      <w:r>
        <w:t>2.2.3.</w:t>
      </w:r>
      <w:r>
        <w:tab/>
      </w:r>
      <w:r>
        <w:rPr>
          <w:noProof/>
        </w:rPr>
        <w:t xml:space="preserve">Paredzamās pārbaužu izmaksas un ieguvumi un gaidāmā kļūdas riska līmeņa novērtējums </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Neattiecas, jo riski nav apzināti</w:t>
      </w:r>
    </w:p>
    <w:p>
      <w:pPr>
        <w:pStyle w:val="ManualNumPar2"/>
        <w:rPr>
          <w:noProof/>
        </w:rPr>
      </w:pPr>
      <w:r>
        <w:t>2.3.</w:t>
      </w:r>
      <w:r>
        <w:tab/>
      </w:r>
      <w:r>
        <w:rPr>
          <w:noProof/>
        </w:rPr>
        <w:t xml:space="preserve">Krāpšanas un pārkāpumu novēršanas pasākumi </w:t>
      </w:r>
    </w:p>
    <w:p>
      <w:pPr>
        <w:ind w:left="850"/>
        <w:rPr>
          <w:i/>
          <w:noProof/>
          <w:sz w:val="20"/>
        </w:rPr>
      </w:pPr>
      <w:r>
        <w:rPr>
          <w:i/>
          <w:noProof/>
          <w:sz w:val="20"/>
        </w:rPr>
        <w:t>Norādīt esošos vai plānotos novēršanas pasākumus un citus pretpasākumus.</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Saskaņā ar 16. pantu Regulā Nr. 1920/2006, ar ko izveido Eiropas Narkotiku un narkomānijas uzraudzības centru, lai apkarotu krāpšanu, korupciju un citas nelikumīgas darbības, kas apdraud Kopienas finanšu intereses, uz Centru bez ierobežojumiem attiecas Regula (EK) Nr. 1073/1999.</w:t>
      </w:r>
    </w:p>
    <w:p>
      <w:pPr>
        <w:rPr>
          <w:noProof/>
        </w:rPr>
        <w:sectPr>
          <w:pgSz w:w="11907" w:h="16840" w:code="9"/>
          <w:pgMar w:top="1134" w:right="1418" w:bottom="1134" w:left="1418" w:header="709" w:footer="709" w:gutter="0"/>
          <w:cols w:space="708"/>
          <w:docGrid w:linePitch="360"/>
        </w:sectPr>
      </w:pPr>
    </w:p>
    <w:p>
      <w:pPr>
        <w:pStyle w:val="ManualNumPar1"/>
        <w:rPr>
          <w:noProof/>
        </w:rPr>
      </w:pPr>
      <w:r>
        <w:t>3.</w:t>
      </w:r>
      <w:r>
        <w:tab/>
      </w:r>
      <w:r>
        <w:rPr>
          <w:noProof/>
        </w:rPr>
        <w:t xml:space="preserve">PRIEKŠLIKUMA/INICIATĪVAS PAREDZAMĀ FINANSIĀLĀ IETEKME </w:t>
      </w:r>
    </w:p>
    <w:p>
      <w:pPr>
        <w:pStyle w:val="ManualNumPar2"/>
        <w:rPr>
          <w:noProof/>
        </w:rPr>
      </w:pPr>
      <w:r>
        <w:t>3.1.</w:t>
      </w:r>
      <w:r>
        <w:tab/>
      </w:r>
      <w:r>
        <w:rPr>
          <w:noProof/>
        </w:rPr>
        <w:t xml:space="preserve">Attiecīgās daudzgadu finanšu shēmas izdevumu kategorijas un budžeta izdevumu pozīcijas </w:t>
      </w:r>
    </w:p>
    <w:p>
      <w:pPr>
        <w:pStyle w:val="Bullet1"/>
        <w:numPr>
          <w:ilvl w:val="0"/>
          <w:numId w:val="14"/>
        </w:numPr>
        <w:rPr>
          <w:noProof/>
        </w:rPr>
      </w:pPr>
      <w:r>
        <w:rPr>
          <w:noProof/>
        </w:rPr>
        <w:t xml:space="preserve">Esošās budžeta pozīcijas </w:t>
      </w:r>
    </w:p>
    <w:p>
      <w:pPr>
        <w:ind w:left="850"/>
        <w:rPr>
          <w:noProof/>
        </w:rPr>
      </w:pPr>
      <w:r>
        <w:rPr>
          <w:noProof/>
          <w:u w:val="single"/>
        </w:rPr>
        <w:t>Sarindotas</w:t>
      </w:r>
      <w:r>
        <w:rPr>
          <w:noProof/>
        </w:rPr>
        <w:t xml:space="preserve"> pa daudzgadu finanšu shēmas izdevumu kategorijām un budžeta pozīcijām.</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Daudzgadu finanšu shēmas izdevumu kategorija</w:t>
            </w:r>
          </w:p>
        </w:tc>
        <w:tc>
          <w:tcPr>
            <w:tcW w:w="3960" w:type="dxa"/>
            <w:vAlign w:val="center"/>
          </w:tcPr>
          <w:p>
            <w:pPr>
              <w:spacing w:before="60" w:after="60"/>
              <w:jc w:val="center"/>
              <w:rPr>
                <w:noProof/>
                <w:sz w:val="22"/>
              </w:rPr>
            </w:pPr>
            <w:r>
              <w:rPr>
                <w:noProof/>
                <w:sz w:val="20"/>
              </w:rPr>
              <w:t>Budžeta pozīcija</w:t>
            </w:r>
          </w:p>
        </w:tc>
        <w:tc>
          <w:tcPr>
            <w:tcW w:w="1080" w:type="dxa"/>
            <w:vAlign w:val="center"/>
          </w:tcPr>
          <w:p>
            <w:pPr>
              <w:spacing w:before="60" w:after="60"/>
              <w:jc w:val="center"/>
              <w:rPr>
                <w:noProof/>
                <w:sz w:val="22"/>
              </w:rPr>
            </w:pPr>
            <w:r>
              <w:rPr>
                <w:noProof/>
                <w:sz w:val="18"/>
              </w:rPr>
              <w:t xml:space="preserve">Izdevumu </w:t>
            </w:r>
            <w:r>
              <w:rPr>
                <w:noProof/>
                <w:sz w:val="22"/>
              </w:rPr>
              <w:br/>
            </w:r>
            <w:r>
              <w:rPr>
                <w:noProof/>
                <w:sz w:val="18"/>
              </w:rPr>
              <w:t>veids</w:t>
            </w:r>
          </w:p>
        </w:tc>
        <w:tc>
          <w:tcPr>
            <w:tcW w:w="4440" w:type="dxa"/>
            <w:gridSpan w:val="4"/>
            <w:vAlign w:val="center"/>
          </w:tcPr>
          <w:p>
            <w:pPr>
              <w:spacing w:before="60" w:after="60"/>
              <w:jc w:val="center"/>
              <w:rPr>
                <w:noProof/>
                <w:sz w:val="22"/>
              </w:rPr>
            </w:pPr>
            <w:r>
              <w:rPr>
                <w:noProof/>
                <w:sz w:val="20"/>
              </w:rPr>
              <w:t xml:space="preserve">Iemaksas </w:t>
            </w:r>
          </w:p>
        </w:tc>
      </w:tr>
      <w:tr>
        <w:tc>
          <w:tcPr>
            <w:tcW w:w="1080" w:type="dxa"/>
            <w:vMerge/>
            <w:vAlign w:val="center"/>
          </w:tcPr>
          <w:p>
            <w:pPr>
              <w:jc w:val="center"/>
              <w:rPr>
                <w:noProof/>
                <w:sz w:val="22"/>
              </w:rPr>
            </w:pPr>
          </w:p>
        </w:tc>
        <w:tc>
          <w:tcPr>
            <w:tcW w:w="3960" w:type="dxa"/>
            <w:vAlign w:val="center"/>
          </w:tcPr>
          <w:p>
            <w:pPr>
              <w:rPr>
                <w:noProof/>
                <w:sz w:val="22"/>
              </w:rPr>
            </w:pPr>
            <w:r>
              <w:rPr>
                <w:noProof/>
                <w:sz w:val="20"/>
                <w:szCs w:val="20"/>
              </w:rPr>
              <w:t xml:space="preserve">Numurs </w:t>
            </w:r>
            <w:r>
              <w:rPr>
                <w:noProof/>
                <w:sz w:val="22"/>
              </w:rPr>
              <w:br/>
            </w:r>
            <w:r>
              <w:rPr>
                <w:noProof/>
                <w:sz w:val="20"/>
              </w:rPr>
              <w:t>3. izdevumu kategorija</w:t>
            </w:r>
          </w:p>
        </w:tc>
        <w:tc>
          <w:tcPr>
            <w:tcW w:w="1080" w:type="dxa"/>
            <w:vAlign w:val="center"/>
          </w:tcPr>
          <w:p>
            <w:pPr>
              <w:jc w:val="center"/>
              <w:rPr>
                <w:noProof/>
                <w:sz w:val="22"/>
              </w:rPr>
            </w:pPr>
            <w:r>
              <w:rPr>
                <w:noProof/>
                <w:sz w:val="18"/>
                <w:szCs w:val="18"/>
              </w:rPr>
              <w:t>Dif./nedif</w:t>
            </w:r>
            <w:r>
              <w:rPr>
                <w:noProof/>
              </w:rPr>
              <w:t>.</w:t>
            </w:r>
            <w:r>
              <w:rPr>
                <w:rStyle w:val="FootnoteReference"/>
                <w:noProof/>
              </w:rPr>
              <w:footnoteReference w:id="24"/>
            </w:r>
            <w:r>
              <w:rPr>
                <w:rStyle w:val="CommentReference"/>
                <w:noProof/>
              </w:rPr>
              <w:t xml:space="preserve"> </w:t>
            </w:r>
          </w:p>
        </w:tc>
        <w:tc>
          <w:tcPr>
            <w:tcW w:w="956" w:type="dxa"/>
            <w:vAlign w:val="center"/>
          </w:tcPr>
          <w:p>
            <w:pPr>
              <w:jc w:val="center"/>
              <w:rPr>
                <w:noProof/>
                <w:sz w:val="22"/>
              </w:rPr>
            </w:pPr>
            <w:r>
              <w:rPr>
                <w:noProof/>
                <w:sz w:val="18"/>
              </w:rPr>
              <w:t>no EBTA valstīm</w:t>
            </w:r>
            <w:r>
              <w:rPr>
                <w:rStyle w:val="FootnoteReference"/>
                <w:noProof/>
              </w:rPr>
              <w:footnoteReference w:id="25"/>
            </w:r>
          </w:p>
          <w:p>
            <w:pPr>
              <w:spacing w:before="0" w:after="0"/>
              <w:jc w:val="center"/>
              <w:rPr>
                <w:b/>
                <w:noProof/>
                <w:sz w:val="18"/>
              </w:rPr>
            </w:pPr>
          </w:p>
        </w:tc>
        <w:tc>
          <w:tcPr>
            <w:tcW w:w="1080" w:type="dxa"/>
            <w:vAlign w:val="center"/>
          </w:tcPr>
          <w:p>
            <w:pPr>
              <w:jc w:val="center"/>
              <w:rPr>
                <w:noProof/>
                <w:sz w:val="22"/>
              </w:rPr>
            </w:pPr>
            <w:r>
              <w:rPr>
                <w:noProof/>
                <w:sz w:val="18"/>
              </w:rPr>
              <w:t>no kandidātvalstīm</w:t>
            </w:r>
            <w:r>
              <w:rPr>
                <w:rStyle w:val="FootnoteReference"/>
                <w:noProof/>
              </w:rPr>
              <w:footnoteReference w:id="26"/>
            </w:r>
          </w:p>
          <w:p>
            <w:pPr>
              <w:spacing w:before="0" w:after="0"/>
              <w:jc w:val="center"/>
              <w:rPr>
                <w:noProof/>
                <w:sz w:val="18"/>
              </w:rPr>
            </w:pPr>
          </w:p>
        </w:tc>
        <w:tc>
          <w:tcPr>
            <w:tcW w:w="956" w:type="dxa"/>
            <w:vAlign w:val="center"/>
          </w:tcPr>
          <w:p>
            <w:pPr>
              <w:jc w:val="center"/>
              <w:rPr>
                <w:noProof/>
                <w:sz w:val="18"/>
              </w:rPr>
            </w:pPr>
            <w:r>
              <w:rPr>
                <w:noProof/>
                <w:sz w:val="18"/>
              </w:rPr>
              <w:t>no trešām valstīm</w:t>
            </w:r>
          </w:p>
        </w:tc>
        <w:tc>
          <w:tcPr>
            <w:tcW w:w="1448" w:type="dxa"/>
            <w:vAlign w:val="center"/>
          </w:tcPr>
          <w:p>
            <w:pPr>
              <w:jc w:val="center"/>
              <w:rPr>
                <w:noProof/>
                <w:sz w:val="22"/>
              </w:rPr>
            </w:pPr>
            <w:r>
              <w:rPr>
                <w:noProof/>
                <w:sz w:val="16"/>
              </w:rPr>
              <w:t xml:space="preserve">Finanšu regulas 21. panta 2. punkta b) apakšpunkta nozīmē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Eiropas Narkotiku un narkomānijas uzraudzības centrs (</w:t>
            </w:r>
            <w:r>
              <w:rPr>
                <w:i/>
                <w:noProof/>
                <w:sz w:val="22"/>
              </w:rPr>
              <w:t>EMCDDA</w:t>
            </w:r>
            <w:r>
              <w:rPr>
                <w:noProof/>
                <w:sz w:val="22"/>
              </w:rPr>
              <w:t>)</w:t>
            </w:r>
          </w:p>
          <w:p>
            <w:pPr>
              <w:spacing w:before="60"/>
              <w:rPr>
                <w:noProof/>
                <w:sz w:val="22"/>
              </w:rPr>
            </w:pPr>
            <w:r>
              <w:rPr>
                <w:noProof/>
                <w:sz w:val="22"/>
              </w:rPr>
              <w:t>18 06 02</w:t>
            </w:r>
          </w:p>
          <w:p>
            <w:pPr>
              <w:spacing w:after="60"/>
              <w:rPr>
                <w:noProof/>
                <w:sz w:val="22"/>
              </w:rPr>
            </w:pPr>
          </w:p>
        </w:tc>
        <w:tc>
          <w:tcPr>
            <w:tcW w:w="1080" w:type="dxa"/>
            <w:vAlign w:val="center"/>
          </w:tcPr>
          <w:p>
            <w:pPr>
              <w:jc w:val="center"/>
              <w:rPr>
                <w:noProof/>
                <w:color w:val="0000FF"/>
                <w:sz w:val="22"/>
              </w:rPr>
            </w:pPr>
            <w:r>
              <w:rPr>
                <w:noProof/>
                <w:sz w:val="22"/>
              </w:rPr>
              <w:t>Dif.</w:t>
            </w:r>
          </w:p>
        </w:tc>
        <w:tc>
          <w:tcPr>
            <w:tcW w:w="956" w:type="dxa"/>
            <w:vAlign w:val="center"/>
          </w:tcPr>
          <w:p>
            <w:pPr>
              <w:jc w:val="center"/>
              <w:rPr>
                <w:noProof/>
                <w:sz w:val="22"/>
              </w:rPr>
            </w:pPr>
            <w:r>
              <w:rPr>
                <w:noProof/>
                <w:sz w:val="22"/>
              </w:rPr>
              <w:t>NĒ</w:t>
            </w:r>
          </w:p>
        </w:tc>
        <w:tc>
          <w:tcPr>
            <w:tcW w:w="1080" w:type="dxa"/>
            <w:vAlign w:val="center"/>
          </w:tcPr>
          <w:p>
            <w:pPr>
              <w:jc w:val="center"/>
              <w:rPr>
                <w:noProof/>
                <w:sz w:val="22"/>
              </w:rPr>
            </w:pPr>
            <w:r>
              <w:rPr>
                <w:noProof/>
                <w:sz w:val="22"/>
              </w:rPr>
              <w:t>NĒ</w:t>
            </w:r>
          </w:p>
        </w:tc>
        <w:tc>
          <w:tcPr>
            <w:tcW w:w="956" w:type="dxa"/>
            <w:vAlign w:val="center"/>
          </w:tcPr>
          <w:p>
            <w:pPr>
              <w:jc w:val="center"/>
              <w:rPr>
                <w:noProof/>
                <w:sz w:val="22"/>
              </w:rPr>
            </w:pPr>
            <w:r>
              <w:rPr>
                <w:noProof/>
                <w:sz w:val="22"/>
              </w:rPr>
              <w:t>NĒ</w:t>
            </w:r>
          </w:p>
        </w:tc>
        <w:tc>
          <w:tcPr>
            <w:tcW w:w="1448" w:type="dxa"/>
            <w:vAlign w:val="center"/>
          </w:tcPr>
          <w:p>
            <w:pPr>
              <w:jc w:val="center"/>
              <w:rPr>
                <w:noProof/>
                <w:sz w:val="22"/>
              </w:rPr>
            </w:pPr>
            <w:r>
              <w:rPr>
                <w:noProof/>
                <w:sz w:val="22"/>
              </w:rPr>
              <w:t>NĒ</w:t>
            </w:r>
          </w:p>
        </w:tc>
      </w:tr>
    </w:tbl>
    <w:p>
      <w:pPr>
        <w:pStyle w:val="Bullet1"/>
        <w:rPr>
          <w:noProof/>
        </w:rPr>
      </w:pPr>
      <w:r>
        <w:rPr>
          <w:noProof/>
        </w:rPr>
        <w:t>No jauna veidojamās budžeta pozīcijas - neattiecas</w:t>
      </w:r>
    </w:p>
    <w:p>
      <w:pPr>
        <w:ind w:left="850"/>
        <w:rPr>
          <w:i/>
          <w:noProof/>
          <w:sz w:val="20"/>
        </w:rPr>
      </w:pPr>
      <w:r>
        <w:rPr>
          <w:i/>
          <w:noProof/>
          <w:u w:val="single"/>
        </w:rPr>
        <w:t>Sarindotas</w:t>
      </w:r>
      <w:r>
        <w:rPr>
          <w:i/>
          <w:noProof/>
        </w:rPr>
        <w:t xml:space="preserve"> pa daudzgadu finanšu shēmas izdevumu kategorijām un budžeta pozīcijām</w:t>
      </w:r>
      <w:r>
        <w:rPr>
          <w:noProof/>
        </w:rPr>
        <w:t>.</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Daudzgadu finanšu shēmas izdevumu kategorija</w:t>
            </w:r>
          </w:p>
        </w:tc>
        <w:tc>
          <w:tcPr>
            <w:tcW w:w="3960" w:type="dxa"/>
            <w:vAlign w:val="center"/>
          </w:tcPr>
          <w:p>
            <w:pPr>
              <w:spacing w:before="60" w:after="60"/>
              <w:jc w:val="center"/>
              <w:rPr>
                <w:noProof/>
                <w:sz w:val="22"/>
              </w:rPr>
            </w:pPr>
            <w:r>
              <w:rPr>
                <w:noProof/>
                <w:sz w:val="20"/>
              </w:rPr>
              <w:t>Budžeta pozīcija</w:t>
            </w:r>
          </w:p>
        </w:tc>
        <w:tc>
          <w:tcPr>
            <w:tcW w:w="1080" w:type="dxa"/>
            <w:vAlign w:val="center"/>
          </w:tcPr>
          <w:p>
            <w:pPr>
              <w:spacing w:before="60" w:after="60"/>
              <w:jc w:val="center"/>
              <w:rPr>
                <w:noProof/>
                <w:sz w:val="18"/>
                <w:szCs w:val="18"/>
              </w:rPr>
            </w:pPr>
            <w:r>
              <w:rPr>
                <w:noProof/>
                <w:sz w:val="18"/>
                <w:szCs w:val="18"/>
              </w:rPr>
              <w:t>Izdevumu</w:t>
            </w:r>
            <w:r>
              <w:rPr>
                <w:noProof/>
                <w:sz w:val="18"/>
                <w:szCs w:val="18"/>
              </w:rPr>
              <w:br/>
              <w:t>veids</w:t>
            </w:r>
          </w:p>
        </w:tc>
        <w:tc>
          <w:tcPr>
            <w:tcW w:w="4440" w:type="dxa"/>
            <w:gridSpan w:val="4"/>
            <w:vAlign w:val="center"/>
          </w:tcPr>
          <w:p>
            <w:pPr>
              <w:spacing w:before="60" w:after="60"/>
              <w:jc w:val="center"/>
              <w:rPr>
                <w:noProof/>
                <w:sz w:val="22"/>
              </w:rPr>
            </w:pPr>
            <w:r>
              <w:rPr>
                <w:noProof/>
                <w:sz w:val="20"/>
              </w:rPr>
              <w:t xml:space="preserve">Iemaksas </w:t>
            </w:r>
          </w:p>
        </w:tc>
      </w:tr>
      <w:tr>
        <w:tc>
          <w:tcPr>
            <w:tcW w:w="1080" w:type="dxa"/>
            <w:vMerge/>
            <w:vAlign w:val="center"/>
          </w:tcPr>
          <w:p>
            <w:pPr>
              <w:jc w:val="center"/>
              <w:rPr>
                <w:noProof/>
                <w:sz w:val="22"/>
              </w:rPr>
            </w:pPr>
          </w:p>
        </w:tc>
        <w:tc>
          <w:tcPr>
            <w:tcW w:w="3960" w:type="dxa"/>
            <w:vAlign w:val="center"/>
          </w:tcPr>
          <w:p>
            <w:pPr>
              <w:rPr>
                <w:noProof/>
                <w:sz w:val="22"/>
              </w:rPr>
            </w:pPr>
            <w:r>
              <w:rPr>
                <w:noProof/>
                <w:sz w:val="20"/>
                <w:szCs w:val="20"/>
              </w:rPr>
              <w:t xml:space="preserve">Numurs </w:t>
            </w:r>
            <w:r>
              <w:rPr>
                <w:noProof/>
                <w:sz w:val="22"/>
              </w:rPr>
              <w:br/>
            </w:r>
            <w:r>
              <w:rPr>
                <w:noProof/>
                <w:color w:val="0000FF"/>
                <w:sz w:val="22"/>
              </w:rPr>
              <w:t>[…]</w:t>
            </w:r>
            <w:r>
              <w:rPr>
                <w:noProof/>
                <w:sz w:val="20"/>
              </w:rPr>
              <w:t>[Izdevumu kategorija………………………………………]</w:t>
            </w:r>
          </w:p>
        </w:tc>
        <w:tc>
          <w:tcPr>
            <w:tcW w:w="1080" w:type="dxa"/>
            <w:vAlign w:val="center"/>
          </w:tcPr>
          <w:p>
            <w:pPr>
              <w:jc w:val="center"/>
              <w:rPr>
                <w:noProof/>
                <w:sz w:val="22"/>
              </w:rPr>
            </w:pPr>
            <w:r>
              <w:rPr>
                <w:noProof/>
                <w:sz w:val="18"/>
              </w:rPr>
              <w:t>Dif./nedif.</w:t>
            </w:r>
          </w:p>
        </w:tc>
        <w:tc>
          <w:tcPr>
            <w:tcW w:w="956" w:type="dxa"/>
            <w:vAlign w:val="center"/>
          </w:tcPr>
          <w:p>
            <w:pPr>
              <w:jc w:val="center"/>
              <w:rPr>
                <w:noProof/>
                <w:sz w:val="18"/>
              </w:rPr>
            </w:pPr>
            <w:r>
              <w:rPr>
                <w:noProof/>
                <w:sz w:val="18"/>
              </w:rPr>
              <w:t>no EBTA valstīm</w:t>
            </w:r>
          </w:p>
        </w:tc>
        <w:tc>
          <w:tcPr>
            <w:tcW w:w="1080" w:type="dxa"/>
            <w:vAlign w:val="center"/>
          </w:tcPr>
          <w:p>
            <w:pPr>
              <w:jc w:val="center"/>
              <w:rPr>
                <w:noProof/>
                <w:sz w:val="18"/>
              </w:rPr>
            </w:pPr>
            <w:r>
              <w:rPr>
                <w:noProof/>
                <w:sz w:val="18"/>
              </w:rPr>
              <w:t>no kandidātvalstīm</w:t>
            </w:r>
          </w:p>
        </w:tc>
        <w:tc>
          <w:tcPr>
            <w:tcW w:w="956" w:type="dxa"/>
            <w:vAlign w:val="center"/>
          </w:tcPr>
          <w:p>
            <w:pPr>
              <w:jc w:val="center"/>
              <w:rPr>
                <w:noProof/>
                <w:sz w:val="18"/>
              </w:rPr>
            </w:pPr>
            <w:r>
              <w:rPr>
                <w:noProof/>
                <w:sz w:val="18"/>
              </w:rPr>
              <w:t>no trešām valstīm</w:t>
            </w:r>
          </w:p>
        </w:tc>
        <w:tc>
          <w:tcPr>
            <w:tcW w:w="1448" w:type="dxa"/>
            <w:vAlign w:val="center"/>
          </w:tcPr>
          <w:p>
            <w:pPr>
              <w:jc w:val="center"/>
              <w:rPr>
                <w:noProof/>
                <w:sz w:val="22"/>
              </w:rPr>
            </w:pPr>
            <w:r>
              <w:rPr>
                <w:noProof/>
                <w:sz w:val="16"/>
              </w:rPr>
              <w:t xml:space="preserve">Finanšu regulas 21. panta 2. punkta b) apakšpunkta nozīmē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color w:val="0000FF"/>
                <w:sz w:val="22"/>
              </w:rPr>
              <w:t>[…]</w:t>
            </w:r>
            <w:r>
              <w:rPr>
                <w:noProof/>
                <w:sz w:val="22"/>
              </w:rPr>
              <w:t>[XX.YY.YY.YY]</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jc w:val="center"/>
              <w:rPr>
                <w:noProof/>
                <w:sz w:val="22"/>
              </w:rPr>
            </w:pPr>
            <w:r>
              <w:rPr>
                <w:noProof/>
                <w:sz w:val="22"/>
              </w:rPr>
              <w:t>JĀ/NĒ</w:t>
            </w:r>
          </w:p>
        </w:tc>
        <w:tc>
          <w:tcPr>
            <w:tcW w:w="1080" w:type="dxa"/>
            <w:vAlign w:val="center"/>
          </w:tcPr>
          <w:p>
            <w:pPr>
              <w:jc w:val="center"/>
              <w:rPr>
                <w:noProof/>
                <w:color w:val="0000FF"/>
                <w:sz w:val="18"/>
              </w:rPr>
            </w:pPr>
            <w:r>
              <w:rPr>
                <w:noProof/>
                <w:sz w:val="22"/>
              </w:rPr>
              <w:t>JĀ/NĒ</w:t>
            </w:r>
          </w:p>
        </w:tc>
        <w:tc>
          <w:tcPr>
            <w:tcW w:w="956" w:type="dxa"/>
            <w:vAlign w:val="center"/>
          </w:tcPr>
          <w:p>
            <w:pPr>
              <w:jc w:val="center"/>
              <w:rPr>
                <w:noProof/>
                <w:color w:val="0000FF"/>
                <w:sz w:val="18"/>
              </w:rPr>
            </w:pPr>
            <w:r>
              <w:rPr>
                <w:noProof/>
                <w:sz w:val="22"/>
              </w:rPr>
              <w:t>JĀ/NĒ</w:t>
            </w:r>
          </w:p>
        </w:tc>
        <w:tc>
          <w:tcPr>
            <w:tcW w:w="1448" w:type="dxa"/>
            <w:vAlign w:val="center"/>
          </w:tcPr>
          <w:p>
            <w:pPr>
              <w:jc w:val="center"/>
              <w:rPr>
                <w:noProof/>
                <w:sz w:val="22"/>
              </w:rPr>
            </w:pPr>
            <w:r>
              <w:rPr>
                <w:noProof/>
                <w:sz w:val="22"/>
              </w:rPr>
              <w:t>JĀ/NĒ</w:t>
            </w:r>
          </w:p>
        </w:tc>
      </w:tr>
    </w:tbl>
    <w:p>
      <w:pPr>
        <w:rPr>
          <w:noProof/>
        </w:rPr>
        <w:sectPr>
          <w:pgSz w:w="11907" w:h="16840" w:code="1"/>
          <w:pgMar w:top="1134" w:right="1418" w:bottom="1134" w:left="1418" w:header="709" w:footer="709" w:gutter="0"/>
          <w:cols w:space="708"/>
          <w:docGrid w:linePitch="360"/>
        </w:sectPr>
      </w:pPr>
    </w:p>
    <w:p>
      <w:pPr>
        <w:pStyle w:val="ManualNumPar2"/>
        <w:rPr>
          <w:noProof/>
        </w:rPr>
      </w:pPr>
      <w:r>
        <w:t>3.2.</w:t>
      </w:r>
      <w:r>
        <w:tab/>
      </w:r>
      <w:r>
        <w:rPr>
          <w:noProof/>
        </w:rPr>
        <w:t xml:space="preserve">Paredzamā ietekme uz izdevumiem </w:t>
      </w:r>
    </w:p>
    <w:p>
      <w:pPr>
        <w:pStyle w:val="ManualNumPar3"/>
        <w:rPr>
          <w:noProof/>
        </w:rPr>
      </w:pPr>
      <w:r>
        <w:t>3.2.1.</w:t>
      </w:r>
      <w:r>
        <w:tab/>
      </w:r>
      <w:r>
        <w:rPr>
          <w:noProof/>
        </w:rPr>
        <w:t xml:space="preserve">Kopsavilkums par paredzamo ietekmi uz izdevumiem </w:t>
      </w:r>
    </w:p>
    <w:p>
      <w:pPr>
        <w:jc w:val="right"/>
        <w:rPr>
          <w:noProof/>
          <w:sz w:val="20"/>
        </w:rPr>
      </w:pPr>
      <w:r>
        <w:rPr>
          <w:noProof/>
          <w:sz w:val="20"/>
        </w:rPr>
        <w:t>EUR miljonos (trīs zīmes aiz komata)</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Daudzgadu finanšu shēmas izdevumu</w:t>
            </w:r>
            <w:r>
              <w:rPr>
                <w:noProof/>
                <w:sz w:val="22"/>
              </w:rPr>
              <w:br/>
            </w:r>
            <w:r>
              <w:rPr>
                <w:b/>
                <w:noProof/>
                <w:sz w:val="22"/>
              </w:rPr>
              <w:t xml:space="preserve">kategorija </w:t>
            </w:r>
          </w:p>
        </w:tc>
        <w:tc>
          <w:tcPr>
            <w:tcW w:w="1080" w:type="dxa"/>
            <w:vAlign w:val="center"/>
          </w:tcPr>
          <w:p>
            <w:pPr>
              <w:spacing w:before="60" w:after="60"/>
              <w:jc w:val="center"/>
              <w:rPr>
                <w:noProof/>
                <w:sz w:val="22"/>
              </w:rPr>
            </w:pPr>
            <w:r>
              <w:rPr>
                <w:noProof/>
                <w:sz w:val="22"/>
              </w:rPr>
              <w:t>Numurs</w:t>
            </w:r>
          </w:p>
        </w:tc>
        <w:tc>
          <w:tcPr>
            <w:tcW w:w="7817" w:type="dxa"/>
            <w:vAlign w:val="center"/>
          </w:tcPr>
          <w:p>
            <w:pPr>
              <w:spacing w:before="60" w:after="60"/>
              <w:rPr>
                <w:noProof/>
                <w:sz w:val="22"/>
              </w:rPr>
            </w:pPr>
            <w:r>
              <w:rPr>
                <w:noProof/>
                <w:sz w:val="22"/>
              </w:rPr>
              <w:t xml:space="preserve"> 3. izdevumu kategorija</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sz w:val="22"/>
              </w:rPr>
            </w:pPr>
            <w:r>
              <w:rPr>
                <w:i/>
                <w:noProof/>
                <w:sz w:val="22"/>
              </w:rPr>
              <w:t>EMCDDA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szCs w:val="20"/>
              </w:rPr>
              <w:t>Gads</w:t>
            </w:r>
            <w:r>
              <w:rPr>
                <w:noProof/>
                <w:sz w:val="20"/>
                <w:szCs w:val="20"/>
              </w:rPr>
              <w:br/>
            </w:r>
            <w:r>
              <w:rPr>
                <w:b/>
                <w:noProof/>
                <w:sz w:val="20"/>
                <w:szCs w:val="20"/>
              </w:rPr>
              <w:t>2017</w:t>
            </w:r>
            <w:r>
              <w:rPr>
                <w:rStyle w:val="FootnoteReference"/>
                <w:noProof/>
              </w:rPr>
              <w:footnoteReference w:id="27"/>
            </w:r>
          </w:p>
        </w:tc>
        <w:tc>
          <w:tcPr>
            <w:tcW w:w="868" w:type="dxa"/>
            <w:vAlign w:val="center"/>
          </w:tcPr>
          <w:p>
            <w:pPr>
              <w:jc w:val="center"/>
              <w:rPr>
                <w:noProof/>
                <w:sz w:val="20"/>
                <w:szCs w:val="20"/>
              </w:rPr>
            </w:pPr>
            <w:r>
              <w:rPr>
                <w:noProof/>
                <w:sz w:val="20"/>
                <w:szCs w:val="20"/>
              </w:rPr>
              <w:t>Gads</w:t>
            </w:r>
            <w:r>
              <w:rPr>
                <w:noProof/>
                <w:sz w:val="20"/>
                <w:szCs w:val="20"/>
              </w:rPr>
              <w:br/>
            </w:r>
            <w:r>
              <w:rPr>
                <w:b/>
                <w:noProof/>
                <w:sz w:val="20"/>
                <w:szCs w:val="20"/>
              </w:rPr>
              <w:t>2018</w:t>
            </w:r>
          </w:p>
        </w:tc>
        <w:tc>
          <w:tcPr>
            <w:tcW w:w="868" w:type="dxa"/>
            <w:vAlign w:val="center"/>
          </w:tcPr>
          <w:p>
            <w:pPr>
              <w:jc w:val="center"/>
              <w:rPr>
                <w:b/>
                <w:noProof/>
                <w:sz w:val="20"/>
                <w:szCs w:val="20"/>
              </w:rPr>
            </w:pPr>
            <w:r>
              <w:rPr>
                <w:noProof/>
                <w:sz w:val="20"/>
                <w:szCs w:val="20"/>
              </w:rPr>
              <w:t>Gads</w:t>
            </w:r>
            <w:r>
              <w:rPr>
                <w:noProof/>
                <w:sz w:val="20"/>
                <w:szCs w:val="20"/>
              </w:rPr>
              <w:br/>
            </w:r>
            <w:r>
              <w:rPr>
                <w:b/>
                <w:noProof/>
                <w:sz w:val="20"/>
                <w:szCs w:val="20"/>
              </w:rPr>
              <w:t>2019</w:t>
            </w:r>
          </w:p>
        </w:tc>
        <w:tc>
          <w:tcPr>
            <w:tcW w:w="868" w:type="dxa"/>
            <w:vAlign w:val="center"/>
          </w:tcPr>
          <w:p>
            <w:pPr>
              <w:jc w:val="center"/>
              <w:rPr>
                <w:noProof/>
                <w:sz w:val="20"/>
                <w:szCs w:val="20"/>
              </w:rPr>
            </w:pPr>
            <w:r>
              <w:rPr>
                <w:noProof/>
                <w:sz w:val="20"/>
                <w:szCs w:val="20"/>
              </w:rPr>
              <w:t>Gads</w:t>
            </w:r>
            <w:r>
              <w:rPr>
                <w:noProof/>
                <w:sz w:val="20"/>
                <w:szCs w:val="20"/>
              </w:rPr>
              <w:br/>
            </w:r>
            <w:r>
              <w:rPr>
                <w:b/>
                <w:noProof/>
                <w:sz w:val="20"/>
                <w:szCs w:val="20"/>
              </w:rPr>
              <w:t>2020</w:t>
            </w:r>
          </w:p>
        </w:tc>
        <w:tc>
          <w:tcPr>
            <w:tcW w:w="2604" w:type="dxa"/>
            <w:gridSpan w:val="3"/>
            <w:vAlign w:val="center"/>
          </w:tcPr>
          <w:p>
            <w:pPr>
              <w:jc w:val="center"/>
              <w:rPr>
                <w:b/>
                <w:noProof/>
                <w:sz w:val="18"/>
              </w:rPr>
            </w:pPr>
            <w:r>
              <w:rPr>
                <w:noProof/>
                <w:sz w:val="18"/>
              </w:rPr>
              <w:t>Norādīt tik gadu, cik nepieciešams ietekmes ilguma atspoguļošanai (sk. 1.6. punktu)</w:t>
            </w:r>
          </w:p>
        </w:tc>
        <w:tc>
          <w:tcPr>
            <w:tcW w:w="1777" w:type="dxa"/>
            <w:vAlign w:val="center"/>
          </w:tcPr>
          <w:p>
            <w:pPr>
              <w:jc w:val="center"/>
              <w:rPr>
                <w:b/>
                <w:noProof/>
                <w:sz w:val="20"/>
              </w:rPr>
            </w:pPr>
            <w:r>
              <w:rPr>
                <w:b/>
                <w:noProof/>
                <w:sz w:val="20"/>
              </w:rPr>
              <w:t>KOPĀ</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Darbības apropriācijas</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sz w:val="22"/>
              </w:rPr>
            </w:pPr>
            <w:r>
              <w:rPr>
                <w:noProof/>
                <w:sz w:val="20"/>
              </w:rPr>
              <w:t xml:space="preserve">Budžeta pozīcijas numurs – </w:t>
            </w:r>
            <w:r>
              <w:rPr>
                <w:b/>
                <w:noProof/>
                <w:sz w:val="20"/>
              </w:rPr>
              <w:t>18 06 02</w:t>
            </w:r>
          </w:p>
        </w:tc>
        <w:tc>
          <w:tcPr>
            <w:tcW w:w="1440" w:type="dxa"/>
            <w:vAlign w:val="center"/>
          </w:tcPr>
          <w:p>
            <w:pPr>
              <w:spacing w:before="20" w:after="20"/>
              <w:rPr>
                <w:noProof/>
                <w:sz w:val="18"/>
              </w:rPr>
            </w:pPr>
            <w:r>
              <w:rPr>
                <w:noProof/>
                <w:sz w:val="18"/>
              </w:rPr>
              <w:t>Saistības</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sz w:val="20"/>
                <w:szCs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Maksājumi</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val="restart"/>
            <w:vAlign w:val="center"/>
          </w:tcPr>
          <w:p>
            <w:pPr>
              <w:rPr>
                <w:noProof/>
                <w:sz w:val="22"/>
              </w:rPr>
            </w:pPr>
            <w:r>
              <w:rPr>
                <w:noProof/>
                <w:sz w:val="20"/>
              </w:rPr>
              <w:t>Budžeta pozīcijas numurs</w:t>
            </w:r>
          </w:p>
        </w:tc>
        <w:tc>
          <w:tcPr>
            <w:tcW w:w="1440" w:type="dxa"/>
            <w:vAlign w:val="center"/>
          </w:tcPr>
          <w:p>
            <w:pPr>
              <w:spacing w:before="20" w:after="20"/>
              <w:rPr>
                <w:noProof/>
                <w:sz w:val="18"/>
              </w:rPr>
            </w:pPr>
            <w:r>
              <w:rPr>
                <w:noProof/>
                <w:sz w:val="18"/>
              </w:rPr>
              <w:t>Saistības</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Maksājumi</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231"/>
        </w:trPr>
        <w:tc>
          <w:tcPr>
            <w:tcW w:w="6054" w:type="dxa"/>
            <w:gridSpan w:val="4"/>
            <w:vAlign w:val="center"/>
          </w:tcPr>
          <w:p>
            <w:pPr>
              <w:spacing w:before="20" w:after="20"/>
              <w:rPr>
                <w:noProof/>
                <w:sz w:val="22"/>
              </w:rPr>
            </w:pPr>
            <w:r>
              <w:rPr>
                <w:noProof/>
                <w:sz w:val="21"/>
              </w:rPr>
              <w:t>Administratīvās apropriācijas, kas tiek finansētas no konkrētu programmu piešķīrumiem</w:t>
            </w:r>
            <w:r>
              <w:rPr>
                <w:rStyle w:val="FootnoteReference"/>
                <w:noProof/>
              </w:rPr>
              <w:footnoteReference w:id="28"/>
            </w:r>
            <w:r>
              <w:rPr>
                <w:noProof/>
                <w:sz w:val="21"/>
              </w:rPr>
              <w:t xml:space="preserve"> </w:t>
            </w:r>
          </w:p>
          <w:p>
            <w:pPr>
              <w:spacing w:before="0" w:after="0"/>
              <w:rPr>
                <w:noProof/>
                <w:sz w:val="22"/>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sz w:val="22"/>
              </w:rPr>
            </w:pPr>
            <w:r>
              <w:rPr>
                <w:noProof/>
                <w:sz w:val="20"/>
              </w:rPr>
              <w:t>Budžeta pozīcijas numurs</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b/>
                <w:noProof/>
                <w:sz w:val="22"/>
              </w:rPr>
            </w:pPr>
            <w:r>
              <w:rPr>
                <w:b/>
                <w:noProof/>
                <w:sz w:val="22"/>
              </w:rPr>
              <w:t>KOPĀ — apropriācijas</w:t>
            </w:r>
            <w:r>
              <w:rPr>
                <w:noProof/>
                <w:sz w:val="22"/>
              </w:rPr>
              <w:br/>
            </w:r>
            <w:r>
              <w:rPr>
                <w:b/>
                <w:i/>
                <w:noProof/>
                <w:sz w:val="22"/>
              </w:rPr>
              <w:t>EMCDDA</w:t>
            </w:r>
          </w:p>
        </w:tc>
        <w:tc>
          <w:tcPr>
            <w:tcW w:w="1440" w:type="dxa"/>
            <w:vAlign w:val="center"/>
          </w:tcPr>
          <w:p>
            <w:pPr>
              <w:rPr>
                <w:noProof/>
                <w:sz w:val="18"/>
              </w:rPr>
            </w:pPr>
            <w:r>
              <w:rPr>
                <w:noProof/>
                <w:sz w:val="18"/>
              </w:rPr>
              <w:t>Saistības</w:t>
            </w:r>
          </w:p>
        </w:tc>
        <w:tc>
          <w:tcPr>
            <w:tcW w:w="654" w:type="dxa"/>
            <w:gridSpan w:val="2"/>
            <w:vAlign w:val="center"/>
          </w:tcPr>
          <w:p>
            <w:pPr>
              <w:jc w:val="center"/>
              <w:rPr>
                <w:noProof/>
                <w:sz w:val="14"/>
              </w:rPr>
            </w:pPr>
            <w:r>
              <w:rPr>
                <w:noProof/>
                <w:sz w:val="14"/>
              </w:rPr>
              <w:t>=1+1a +3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rPr>
                <w:noProof/>
                <w:sz w:val="20"/>
              </w:rPr>
            </w:pPr>
          </w:p>
        </w:tc>
        <w:tc>
          <w:tcPr>
            <w:tcW w:w="1440" w:type="dxa"/>
            <w:vAlign w:val="center"/>
          </w:tcPr>
          <w:p>
            <w:pPr>
              <w:rPr>
                <w:noProof/>
                <w:sz w:val="18"/>
              </w:rPr>
            </w:pPr>
            <w:r>
              <w:rPr>
                <w:noProof/>
                <w:sz w:val="18"/>
              </w:rPr>
              <w:t>Maksājumi</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277"/>
        </w:trPr>
        <w:tc>
          <w:tcPr>
            <w:tcW w:w="3960" w:type="dxa"/>
            <w:vMerge w:val="restart"/>
            <w:vAlign w:val="center"/>
          </w:tcPr>
          <w:p>
            <w:pPr>
              <w:spacing w:before="20" w:after="20"/>
              <w:rPr>
                <w:noProof/>
                <w:sz w:val="21"/>
                <w:szCs w:val="21"/>
              </w:rPr>
            </w:pPr>
            <w:r>
              <w:rPr>
                <w:noProof/>
              </w:rPr>
              <w:br w:type="page"/>
            </w:r>
            <w:r>
              <w:rPr>
                <w:noProof/>
                <w:sz w:val="21"/>
                <w:szCs w:val="21"/>
              </w:rPr>
              <w:sym w:font="Wingdings" w:char="F09F"/>
            </w:r>
            <w:r>
              <w:rPr>
                <w:noProof/>
                <w:sz w:val="21"/>
                <w:szCs w:val="21"/>
              </w:rPr>
              <w:t xml:space="preserve"> KOPĀ darbības apropriācijas</w:t>
            </w:r>
          </w:p>
        </w:tc>
        <w:tc>
          <w:tcPr>
            <w:tcW w:w="1440" w:type="dxa"/>
            <w:vAlign w:val="center"/>
          </w:tcPr>
          <w:p>
            <w:pPr>
              <w:spacing w:beforeLines="20" w:before="48" w:afterLines="20" w:after="48"/>
              <w:rPr>
                <w:noProof/>
                <w:sz w:val="18"/>
              </w:rPr>
            </w:pPr>
            <w:r>
              <w:rPr>
                <w:noProof/>
                <w:sz w:val="18"/>
              </w:rPr>
              <w:t>Saistības</w:t>
            </w:r>
          </w:p>
        </w:tc>
        <w:tc>
          <w:tcPr>
            <w:tcW w:w="654" w:type="dxa"/>
            <w:gridSpan w:val="2"/>
            <w:vAlign w:val="center"/>
          </w:tcPr>
          <w:p>
            <w:pPr>
              <w:spacing w:beforeLines="20" w:before="48" w:afterLines="20" w:after="48"/>
              <w:jc w:val="center"/>
              <w:rPr>
                <w:noProof/>
                <w:sz w:val="14"/>
              </w:rPr>
            </w:pPr>
            <w:r>
              <w:rPr>
                <w:noProof/>
                <w:sz w:val="14"/>
              </w:rPr>
              <w:t>(4)</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Maksājumi</w:t>
            </w:r>
          </w:p>
        </w:tc>
        <w:tc>
          <w:tcPr>
            <w:tcW w:w="654" w:type="dxa"/>
            <w:gridSpan w:val="2"/>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533"/>
        </w:trPr>
        <w:tc>
          <w:tcPr>
            <w:tcW w:w="5400" w:type="dxa"/>
            <w:gridSpan w:val="2"/>
            <w:vAlign w:val="center"/>
          </w:tcPr>
          <w:p>
            <w:pPr>
              <w:spacing w:before="20" w:after="20"/>
              <w:rPr>
                <w:noProof/>
                <w:sz w:val="22"/>
              </w:rPr>
            </w:pPr>
            <w:r>
              <w:rPr>
                <w:noProof/>
                <w:sz w:val="21"/>
                <w:szCs w:val="21"/>
              </w:rPr>
              <w:sym w:font="Wingdings" w:char="F09F"/>
            </w:r>
            <w:r>
              <w:rPr>
                <w:noProof/>
                <w:sz w:val="21"/>
                <w:szCs w:val="21"/>
              </w:rPr>
              <w:t xml:space="preserve"> KOPĀ administratīvās apropriācijas, kas tiek finansētas no konkrētu programmu piešķīrumiem</w:t>
            </w:r>
          </w:p>
        </w:tc>
        <w:tc>
          <w:tcPr>
            <w:tcW w:w="654" w:type="dxa"/>
            <w:gridSpan w:val="2"/>
            <w:vAlign w:val="center"/>
          </w:tcPr>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sz w:val="22"/>
              </w:rPr>
            </w:pPr>
            <w:r>
              <w:rPr>
                <w:b/>
                <w:noProof/>
                <w:sz w:val="22"/>
              </w:rPr>
              <w:t>KOPĀ — apropriācijas</w:t>
            </w:r>
            <w:r>
              <w:rPr>
                <w:noProof/>
                <w:sz w:val="22"/>
              </w:rPr>
              <w:br/>
              <w:t>saskaņā ar daudzgadu finanšu shēmas</w:t>
            </w:r>
            <w:r>
              <w:rPr>
                <w:noProof/>
                <w:sz w:val="22"/>
              </w:rPr>
              <w:br/>
            </w:r>
            <w:r>
              <w:rPr>
                <w:b/>
                <w:noProof/>
                <w:sz w:val="22"/>
              </w:rPr>
              <w:t>3. IZDEVUMU KATEGORIJU</w:t>
            </w:r>
          </w:p>
        </w:tc>
        <w:tc>
          <w:tcPr>
            <w:tcW w:w="1440" w:type="dxa"/>
            <w:vAlign w:val="center"/>
          </w:tcPr>
          <w:p>
            <w:pPr>
              <w:rPr>
                <w:noProof/>
                <w:sz w:val="18"/>
              </w:rPr>
            </w:pPr>
            <w:r>
              <w:rPr>
                <w:noProof/>
                <w:sz w:val="18"/>
              </w:rPr>
              <w:t>Saistības</w:t>
            </w:r>
          </w:p>
        </w:tc>
        <w:tc>
          <w:tcPr>
            <w:tcW w:w="654" w:type="dxa"/>
            <w:gridSpan w:val="2"/>
            <w:vAlign w:val="center"/>
          </w:tcPr>
          <w:p>
            <w:pPr>
              <w:jc w:val="center"/>
              <w:rPr>
                <w:noProof/>
                <w:sz w:val="14"/>
              </w:rPr>
            </w:pPr>
            <w:r>
              <w:rPr>
                <w:noProof/>
                <w:sz w:val="14"/>
              </w:rPr>
              <w:t>=4+ 6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Maksājumi</w:t>
            </w:r>
          </w:p>
        </w:tc>
        <w:tc>
          <w:tcPr>
            <w:tcW w:w="654" w:type="dxa"/>
            <w:gridSpan w:val="2"/>
            <w:vAlign w:val="center"/>
          </w:tcPr>
          <w:p>
            <w:pPr>
              <w:jc w:val="center"/>
              <w:rPr>
                <w:noProof/>
                <w:sz w:val="14"/>
              </w:rPr>
            </w:pPr>
            <w:r>
              <w:rPr>
                <w:noProof/>
                <w:sz w:val="14"/>
              </w:rPr>
              <w:t>=5+ 6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bl>
    <w:p>
      <w:pPr>
        <w:spacing w:after="40"/>
        <w:rPr>
          <w:b/>
          <w:noProof/>
          <w:color w:val="000000" w:themeColor="text1"/>
          <w:sz w:val="22"/>
          <w:u w:val="single"/>
        </w:rPr>
      </w:pPr>
      <w:r>
        <w:rPr>
          <w:b/>
          <w:noProof/>
          <w:color w:val="000000" w:themeColor="text1"/>
          <w:sz w:val="22"/>
          <w:u w:val="single"/>
        </w:rPr>
        <w:t xml:space="preserve">Ja priekšlikums/iniciatīva ietekmē vairākas izdevumu kategorijas — </w:t>
      </w:r>
      <w:r>
        <w:rPr>
          <w:b/>
          <w:noProof/>
          <w:color w:val="000000" w:themeColor="text1"/>
          <w:sz w:val="22"/>
        </w:rPr>
        <w:t>neattiecas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noProof/>
                <w:color w:val="000000" w:themeColor="text1"/>
                <w:sz w:val="22"/>
              </w:rPr>
            </w:pPr>
            <w:r>
              <w:rPr>
                <w:noProof/>
                <w:sz w:val="21"/>
                <w:szCs w:val="21"/>
              </w:rPr>
              <w:sym w:font="Wingdings" w:char="F09F"/>
            </w:r>
            <w:r>
              <w:rPr>
                <w:noProof/>
                <w:sz w:val="21"/>
                <w:szCs w:val="21"/>
              </w:rPr>
              <w:t xml:space="preserve"> KOPĀ darbības apropriācijas</w:t>
            </w:r>
          </w:p>
        </w:tc>
        <w:tc>
          <w:tcPr>
            <w:tcW w:w="1440" w:type="dxa"/>
            <w:vAlign w:val="center"/>
          </w:tcPr>
          <w:p>
            <w:pPr>
              <w:spacing w:beforeLines="20" w:before="48" w:afterLines="20" w:after="48"/>
              <w:rPr>
                <w:noProof/>
                <w:color w:val="000000" w:themeColor="text1"/>
                <w:sz w:val="18"/>
              </w:rPr>
            </w:pPr>
            <w:r>
              <w:rPr>
                <w:noProof/>
                <w:color w:val="000000" w:themeColor="text1"/>
                <w:sz w:val="18"/>
              </w:rPr>
              <w:t>Saistības</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Maksājumi</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rPr>
          <w:trHeight w:val="533"/>
        </w:trPr>
        <w:tc>
          <w:tcPr>
            <w:tcW w:w="5400" w:type="dxa"/>
            <w:gridSpan w:val="2"/>
            <w:vAlign w:val="center"/>
          </w:tcPr>
          <w:p>
            <w:pPr>
              <w:spacing w:before="20" w:after="20"/>
              <w:rPr>
                <w:noProof/>
                <w:color w:val="000000" w:themeColor="text1"/>
                <w:sz w:val="22"/>
              </w:rPr>
            </w:pPr>
            <w:r>
              <w:rPr>
                <w:noProof/>
                <w:sz w:val="21"/>
                <w:szCs w:val="21"/>
              </w:rPr>
              <w:sym w:font="Wingdings" w:char="F09F"/>
            </w:r>
            <w:r>
              <w:rPr>
                <w:noProof/>
                <w:sz w:val="21"/>
                <w:szCs w:val="21"/>
              </w:rPr>
              <w:t xml:space="preserve"> KOPĀ administratīvās apropriācijas, kas tiek finansētas no konkrētu programmu piešķīrumiem</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shd w:val="thinDiagStripe" w:color="C0C0C0" w:fill="auto"/>
            <w:vAlign w:val="center"/>
          </w:tcPr>
          <w:p>
            <w:pPr>
              <w:jc w:val="center"/>
              <w:rPr>
                <w:b/>
                <w:noProof/>
                <w:color w:val="000000" w:themeColor="text1"/>
                <w:sz w:val="22"/>
              </w:rPr>
            </w:pPr>
            <w:r>
              <w:rPr>
                <w:b/>
                <w:noProof/>
                <w:sz w:val="22"/>
              </w:rPr>
              <w:t>KOPĀ — apropriācijas</w:t>
            </w:r>
            <w:r>
              <w:rPr>
                <w:noProof/>
                <w:color w:val="000000" w:themeColor="text1"/>
                <w:sz w:val="22"/>
              </w:rPr>
              <w:br/>
              <w:t>saskaņā ar daudzgadu finanšu shēmas</w:t>
            </w:r>
            <w:r>
              <w:rPr>
                <w:noProof/>
                <w:color w:val="000000" w:themeColor="text1"/>
                <w:sz w:val="22"/>
              </w:rPr>
              <w:br/>
            </w:r>
            <w:r>
              <w:rPr>
                <w:b/>
                <w:noProof/>
                <w:color w:val="000000" w:themeColor="text1"/>
                <w:sz w:val="22"/>
              </w:rPr>
              <w:t>1. līdz 4. IZDEVUMU KATEGORIJU</w:t>
            </w:r>
            <w:r>
              <w:rPr>
                <w:noProof/>
                <w:color w:val="000000" w:themeColor="text1"/>
                <w:sz w:val="22"/>
              </w:rPr>
              <w:br/>
              <w:t>(Pamatsumma)</w:t>
            </w:r>
          </w:p>
        </w:tc>
        <w:tc>
          <w:tcPr>
            <w:tcW w:w="1440" w:type="dxa"/>
            <w:vAlign w:val="center"/>
          </w:tcPr>
          <w:p>
            <w:pPr>
              <w:rPr>
                <w:noProof/>
                <w:color w:val="000000" w:themeColor="text1"/>
                <w:sz w:val="18"/>
              </w:rPr>
            </w:pPr>
            <w:r>
              <w:rPr>
                <w:noProof/>
                <w:color w:val="000000" w:themeColor="text1"/>
                <w:sz w:val="18"/>
              </w:rPr>
              <w:t>Saistības</w:t>
            </w:r>
          </w:p>
        </w:tc>
        <w:tc>
          <w:tcPr>
            <w:tcW w:w="654" w:type="dxa"/>
            <w:vAlign w:val="center"/>
          </w:tcPr>
          <w:p>
            <w:pPr>
              <w:jc w:val="center"/>
              <w:rPr>
                <w:noProof/>
                <w:color w:val="000000" w:themeColor="text1"/>
                <w:sz w:val="14"/>
              </w:rPr>
            </w:pPr>
            <w:r>
              <w:rPr>
                <w:noProof/>
                <w:color w:val="000000" w:themeColor="text1"/>
                <w:sz w:val="14"/>
              </w:rPr>
              <w:t>=4+ 6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shd w:val="thinDiagStripe" w:color="C0C0C0" w:fill="auto"/>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Maksājumi</w:t>
            </w:r>
          </w:p>
        </w:tc>
        <w:tc>
          <w:tcPr>
            <w:tcW w:w="654" w:type="dxa"/>
            <w:vAlign w:val="center"/>
          </w:tcPr>
          <w:p>
            <w:pPr>
              <w:jc w:val="center"/>
              <w:rPr>
                <w:noProof/>
                <w:color w:val="000000" w:themeColor="text1"/>
                <w:sz w:val="14"/>
              </w:rPr>
            </w:pPr>
            <w:r>
              <w:rPr>
                <w:noProof/>
                <w:color w:val="000000" w:themeColor="text1"/>
                <w:sz w:val="14"/>
              </w:rPr>
              <w:t>=5+ 6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rPr>
          <w:noProof/>
          <w:color w:val="000000" w:themeColor="text1"/>
        </w:rPr>
      </w:pP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Daudzgadu finanšu shēmas izdevumu</w:t>
            </w:r>
            <w:r>
              <w:rPr>
                <w:noProof/>
                <w:sz w:val="22"/>
              </w:rPr>
              <w:br/>
            </w:r>
            <w:r>
              <w:rPr>
                <w:b/>
                <w:noProof/>
                <w:sz w:val="22"/>
              </w:rPr>
              <w:t xml:space="preserve">kategorija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"Administratīvie izdevumi"</w:t>
            </w:r>
          </w:p>
        </w:tc>
      </w:tr>
    </w:tbl>
    <w:p>
      <w:pPr>
        <w:jc w:val="right"/>
        <w:rPr>
          <w:noProof/>
          <w:sz w:val="20"/>
        </w:rPr>
      </w:pPr>
      <w:r>
        <w:rPr>
          <w:noProof/>
          <w:sz w:val="20"/>
        </w:rPr>
        <w:t>EUR miljonos (trīs zīmes aiz komata)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szCs w:val="20"/>
              </w:rPr>
            </w:pPr>
            <w:r>
              <w:rPr>
                <w:noProof/>
                <w:sz w:val="20"/>
                <w:szCs w:val="20"/>
              </w:rPr>
              <w:t>Gads</w:t>
            </w:r>
            <w:r>
              <w:rPr>
                <w:noProof/>
                <w:sz w:val="20"/>
                <w:szCs w:val="20"/>
              </w:rPr>
              <w:br/>
            </w:r>
            <w:r>
              <w:rPr>
                <w:b/>
                <w:noProof/>
                <w:sz w:val="20"/>
                <w:szCs w:val="20"/>
              </w:rPr>
              <w:t>2017</w:t>
            </w:r>
          </w:p>
        </w:tc>
        <w:tc>
          <w:tcPr>
            <w:tcW w:w="868" w:type="dxa"/>
            <w:vAlign w:val="center"/>
          </w:tcPr>
          <w:p>
            <w:pPr>
              <w:jc w:val="center"/>
              <w:rPr>
                <w:noProof/>
                <w:sz w:val="20"/>
                <w:szCs w:val="20"/>
              </w:rPr>
            </w:pPr>
            <w:r>
              <w:rPr>
                <w:noProof/>
                <w:sz w:val="20"/>
                <w:szCs w:val="20"/>
              </w:rPr>
              <w:t>Gads</w:t>
            </w:r>
            <w:r>
              <w:rPr>
                <w:noProof/>
                <w:sz w:val="20"/>
                <w:szCs w:val="20"/>
              </w:rPr>
              <w:br/>
            </w:r>
            <w:r>
              <w:rPr>
                <w:b/>
                <w:noProof/>
                <w:sz w:val="20"/>
                <w:szCs w:val="20"/>
              </w:rPr>
              <w:t>2018</w:t>
            </w:r>
          </w:p>
        </w:tc>
        <w:tc>
          <w:tcPr>
            <w:tcW w:w="868" w:type="dxa"/>
            <w:vAlign w:val="center"/>
          </w:tcPr>
          <w:p>
            <w:pPr>
              <w:jc w:val="center"/>
              <w:rPr>
                <w:noProof/>
                <w:sz w:val="20"/>
                <w:szCs w:val="20"/>
              </w:rPr>
            </w:pPr>
            <w:r>
              <w:rPr>
                <w:noProof/>
                <w:sz w:val="20"/>
                <w:szCs w:val="20"/>
              </w:rPr>
              <w:t>Gads</w:t>
            </w:r>
            <w:r>
              <w:rPr>
                <w:noProof/>
                <w:sz w:val="20"/>
                <w:szCs w:val="20"/>
              </w:rPr>
              <w:br/>
            </w:r>
            <w:r>
              <w:rPr>
                <w:b/>
                <w:noProof/>
                <w:sz w:val="20"/>
                <w:szCs w:val="20"/>
              </w:rPr>
              <w:t>2019</w:t>
            </w:r>
          </w:p>
        </w:tc>
        <w:tc>
          <w:tcPr>
            <w:tcW w:w="868" w:type="dxa"/>
            <w:vAlign w:val="center"/>
          </w:tcPr>
          <w:p>
            <w:pPr>
              <w:jc w:val="center"/>
              <w:rPr>
                <w:noProof/>
                <w:sz w:val="20"/>
                <w:szCs w:val="20"/>
              </w:rPr>
            </w:pPr>
            <w:r>
              <w:rPr>
                <w:noProof/>
                <w:sz w:val="20"/>
                <w:szCs w:val="20"/>
              </w:rPr>
              <w:t>Gads</w:t>
            </w:r>
            <w:r>
              <w:rPr>
                <w:noProof/>
                <w:sz w:val="20"/>
                <w:szCs w:val="20"/>
              </w:rPr>
              <w:br/>
            </w:r>
            <w:r>
              <w:rPr>
                <w:b/>
                <w:noProof/>
                <w:sz w:val="20"/>
                <w:szCs w:val="20"/>
              </w:rPr>
              <w:t>2020</w:t>
            </w:r>
          </w:p>
        </w:tc>
        <w:tc>
          <w:tcPr>
            <w:tcW w:w="2604" w:type="dxa"/>
            <w:gridSpan w:val="3"/>
            <w:vAlign w:val="center"/>
          </w:tcPr>
          <w:p>
            <w:pPr>
              <w:jc w:val="center"/>
              <w:rPr>
                <w:b/>
                <w:noProof/>
                <w:sz w:val="18"/>
              </w:rPr>
            </w:pPr>
            <w:r>
              <w:rPr>
                <w:noProof/>
                <w:sz w:val="18"/>
              </w:rPr>
              <w:t xml:space="preserve">Norādīt tik gadu, cik nepieciešams ietekmes ilguma atspoguļošanai (sk. 1.6. punktu) </w:t>
            </w:r>
          </w:p>
        </w:tc>
        <w:tc>
          <w:tcPr>
            <w:tcW w:w="1777" w:type="dxa"/>
            <w:vAlign w:val="center"/>
          </w:tcPr>
          <w:p>
            <w:pPr>
              <w:jc w:val="center"/>
              <w:rPr>
                <w:b/>
                <w:noProof/>
                <w:sz w:val="20"/>
              </w:rPr>
            </w:pPr>
            <w:r>
              <w:rPr>
                <w:b/>
                <w:noProof/>
                <w:sz w:val="20"/>
              </w:rPr>
              <w:t>KOPĀ</w:t>
            </w:r>
          </w:p>
        </w:tc>
      </w:tr>
      <w:tr>
        <w:trPr>
          <w:gridAfter w:val="10"/>
          <w:wAfter w:w="9947" w:type="dxa"/>
        </w:trPr>
        <w:tc>
          <w:tcPr>
            <w:tcW w:w="3960" w:type="dxa"/>
            <w:vAlign w:val="center"/>
          </w:tcPr>
          <w:p>
            <w:pPr>
              <w:spacing w:before="60" w:after="60"/>
              <w:jc w:val="center"/>
              <w:rPr>
                <w:noProof/>
                <w:sz w:val="22"/>
              </w:rPr>
            </w:pPr>
            <w:r>
              <w:rPr>
                <w:noProof/>
                <w:sz w:val="22"/>
              </w:rPr>
              <w:t xml:space="preserve">ĢD: </w:t>
            </w:r>
            <w:r>
              <w:rPr>
                <w:i/>
                <w:noProof/>
                <w:sz w:val="22"/>
              </w:rPr>
              <w:t>HOME</w:t>
            </w:r>
          </w:p>
        </w:tc>
      </w:tr>
      <w:tr>
        <w:trPr>
          <w:trHeight w:val="313"/>
        </w:trPr>
        <w:tc>
          <w:tcPr>
            <w:tcW w:w="6054" w:type="dxa"/>
            <w:gridSpan w:val="3"/>
            <w:vAlign w:val="center"/>
          </w:tcPr>
          <w:p>
            <w:pPr>
              <w:spacing w:before="20" w:after="20"/>
              <w:rPr>
                <w:noProof/>
                <w:sz w:val="22"/>
              </w:rPr>
            </w:pPr>
            <w:r>
              <w:rPr>
                <w:noProof/>
                <w:sz w:val="22"/>
              </w:rPr>
              <w:sym w:font="Wingdings" w:char="F09F"/>
            </w:r>
            <w:r>
              <w:rPr>
                <w:noProof/>
                <w:sz w:val="22"/>
              </w:rPr>
              <w:t xml:space="preserve"> Cilvēkresursi</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r>
        <w:trPr>
          <w:trHeight w:val="351"/>
        </w:trPr>
        <w:tc>
          <w:tcPr>
            <w:tcW w:w="6054" w:type="dxa"/>
            <w:gridSpan w:val="3"/>
            <w:vAlign w:val="center"/>
          </w:tcPr>
          <w:p>
            <w:pPr>
              <w:spacing w:before="20" w:after="20"/>
              <w:rPr>
                <w:noProof/>
                <w:sz w:val="22"/>
              </w:rPr>
            </w:pPr>
            <w:r>
              <w:rPr>
                <w:noProof/>
                <w:sz w:val="22"/>
              </w:rPr>
              <w:sym w:font="Wingdings" w:char="F09F"/>
            </w:r>
            <w:r>
              <w:rPr>
                <w:noProof/>
                <w:sz w:val="22"/>
              </w:rPr>
              <w:t xml:space="preserve"> Pārējie administratīvie izdevumi</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sz w:val="22"/>
              </w:rPr>
            </w:pPr>
            <w:r>
              <w:rPr>
                <w:b/>
                <w:noProof/>
                <w:sz w:val="22"/>
              </w:rPr>
              <w:t xml:space="preserve">KOPĀ </w:t>
            </w:r>
            <w:r>
              <w:rPr>
                <w:i/>
                <w:noProof/>
                <w:sz w:val="22"/>
              </w:rPr>
              <w:t>HOME</w:t>
            </w:r>
            <w:r>
              <w:rPr>
                <w:noProof/>
                <w:sz w:val="22"/>
              </w:rPr>
              <w:t xml:space="preserve"> ĢD</w:t>
            </w:r>
          </w:p>
        </w:tc>
        <w:tc>
          <w:tcPr>
            <w:tcW w:w="2094" w:type="dxa"/>
            <w:gridSpan w:val="2"/>
            <w:vAlign w:val="center"/>
          </w:tcPr>
          <w:p>
            <w:pPr>
              <w:rPr>
                <w:noProof/>
                <w:sz w:val="14"/>
              </w:rPr>
            </w:pPr>
            <w:r>
              <w:rPr>
                <w:noProof/>
                <w:sz w:val="18"/>
              </w:rPr>
              <w:t xml:space="preserve">Apropriācijas </w:t>
            </w:r>
          </w:p>
        </w:tc>
        <w:tc>
          <w:tcPr>
            <w:tcW w:w="868" w:type="dxa"/>
            <w:vAlign w:val="center"/>
          </w:tcPr>
          <w:p>
            <w:pPr>
              <w:spacing w:before="60" w:after="6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KOPĀ — apropriācijas</w:t>
            </w:r>
            <w:r>
              <w:rPr>
                <w:noProof/>
                <w:sz w:val="22"/>
              </w:rPr>
              <w:br/>
              <w:t>saskaņā ar daudzgadu finanšu shēmas</w:t>
            </w:r>
            <w:r>
              <w:rPr>
                <w:noProof/>
                <w:sz w:val="22"/>
              </w:rPr>
              <w:br/>
            </w:r>
            <w:r>
              <w:rPr>
                <w:b/>
                <w:noProof/>
                <w:sz w:val="22"/>
              </w:rPr>
              <w:t xml:space="preserve">5. IZDEVUMU KATEGORIJU </w:t>
            </w:r>
          </w:p>
        </w:tc>
        <w:tc>
          <w:tcPr>
            <w:tcW w:w="2094" w:type="dxa"/>
            <w:vAlign w:val="center"/>
          </w:tcPr>
          <w:p>
            <w:pPr>
              <w:spacing w:before="40" w:after="40"/>
              <w:rPr>
                <w:noProof/>
                <w:sz w:val="22"/>
              </w:rPr>
            </w:pPr>
            <w:r>
              <w:rPr>
                <w:noProof/>
                <w:sz w:val="18"/>
              </w:rPr>
              <w:t>(Saistību summa = maksājumu summa)</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jc w:val="right"/>
        <w:rPr>
          <w:noProof/>
          <w:sz w:val="20"/>
        </w:rPr>
      </w:pPr>
      <w:r>
        <w:rPr>
          <w:noProof/>
          <w:sz w:val="20"/>
        </w:rPr>
        <w:t>EUR miljonos (trīs zīmes aiz komata)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22"/>
        <w:gridCol w:w="914"/>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b/>
                <w:noProof/>
                <w:sz w:val="20"/>
              </w:rPr>
              <w:t>2017.</w:t>
            </w:r>
            <w:r>
              <w:rPr>
                <w:noProof/>
                <w:sz w:val="20"/>
              </w:rPr>
              <w:t xml:space="preserve"> gads</w:t>
            </w:r>
            <w:r>
              <w:rPr>
                <w:rStyle w:val="FootnoteReference"/>
                <w:noProof/>
                <w:sz w:val="20"/>
              </w:rPr>
              <w:footnoteReference w:id="29"/>
            </w:r>
          </w:p>
        </w:tc>
        <w:tc>
          <w:tcPr>
            <w:tcW w:w="868" w:type="dxa"/>
            <w:vAlign w:val="center"/>
          </w:tcPr>
          <w:p>
            <w:pPr>
              <w:jc w:val="center"/>
              <w:rPr>
                <w:noProof/>
                <w:sz w:val="20"/>
                <w:szCs w:val="20"/>
              </w:rPr>
            </w:pPr>
            <w:r>
              <w:rPr>
                <w:noProof/>
                <w:sz w:val="20"/>
                <w:szCs w:val="20"/>
              </w:rPr>
              <w:t>Gads</w:t>
            </w:r>
            <w:r>
              <w:rPr>
                <w:noProof/>
                <w:sz w:val="20"/>
                <w:szCs w:val="20"/>
              </w:rPr>
              <w:br/>
            </w:r>
            <w:r>
              <w:rPr>
                <w:b/>
                <w:noProof/>
                <w:sz w:val="20"/>
                <w:szCs w:val="20"/>
              </w:rPr>
              <w:t>2018</w:t>
            </w:r>
          </w:p>
        </w:tc>
        <w:tc>
          <w:tcPr>
            <w:tcW w:w="868" w:type="dxa"/>
            <w:vAlign w:val="center"/>
          </w:tcPr>
          <w:p>
            <w:pPr>
              <w:jc w:val="center"/>
              <w:rPr>
                <w:noProof/>
                <w:sz w:val="20"/>
                <w:szCs w:val="20"/>
              </w:rPr>
            </w:pPr>
            <w:r>
              <w:rPr>
                <w:noProof/>
                <w:sz w:val="20"/>
                <w:szCs w:val="20"/>
              </w:rPr>
              <w:t>Gads</w:t>
            </w:r>
            <w:r>
              <w:rPr>
                <w:noProof/>
                <w:sz w:val="20"/>
                <w:szCs w:val="20"/>
              </w:rPr>
              <w:br/>
            </w:r>
            <w:r>
              <w:rPr>
                <w:b/>
                <w:noProof/>
                <w:sz w:val="20"/>
                <w:szCs w:val="20"/>
              </w:rPr>
              <w:t>2019</w:t>
            </w:r>
          </w:p>
        </w:tc>
        <w:tc>
          <w:tcPr>
            <w:tcW w:w="822" w:type="dxa"/>
            <w:vAlign w:val="center"/>
          </w:tcPr>
          <w:p>
            <w:pPr>
              <w:jc w:val="center"/>
              <w:rPr>
                <w:noProof/>
                <w:sz w:val="20"/>
                <w:szCs w:val="20"/>
              </w:rPr>
            </w:pPr>
            <w:r>
              <w:rPr>
                <w:noProof/>
                <w:sz w:val="20"/>
                <w:szCs w:val="20"/>
              </w:rPr>
              <w:t>Gads</w:t>
            </w:r>
            <w:r>
              <w:rPr>
                <w:noProof/>
                <w:sz w:val="20"/>
                <w:szCs w:val="20"/>
              </w:rPr>
              <w:br/>
            </w:r>
            <w:r>
              <w:rPr>
                <w:b/>
                <w:noProof/>
                <w:sz w:val="20"/>
                <w:szCs w:val="20"/>
              </w:rPr>
              <w:t>2020</w:t>
            </w:r>
          </w:p>
        </w:tc>
        <w:tc>
          <w:tcPr>
            <w:tcW w:w="2650" w:type="dxa"/>
            <w:gridSpan w:val="3"/>
            <w:vAlign w:val="center"/>
          </w:tcPr>
          <w:p>
            <w:pPr>
              <w:jc w:val="center"/>
              <w:rPr>
                <w:b/>
                <w:noProof/>
                <w:sz w:val="18"/>
              </w:rPr>
            </w:pPr>
            <w:r>
              <w:rPr>
                <w:noProof/>
                <w:sz w:val="18"/>
              </w:rPr>
              <w:t>Norādīt tik gadu, cik nepieciešams ietekmes ilguma atspoguļošanai (sk. 1.6. punktu)</w:t>
            </w:r>
          </w:p>
        </w:tc>
        <w:tc>
          <w:tcPr>
            <w:tcW w:w="1777" w:type="dxa"/>
            <w:vAlign w:val="center"/>
          </w:tcPr>
          <w:p>
            <w:pPr>
              <w:jc w:val="center"/>
              <w:rPr>
                <w:b/>
                <w:noProof/>
                <w:sz w:val="20"/>
              </w:rPr>
            </w:pPr>
            <w:r>
              <w:rPr>
                <w:b/>
                <w:noProof/>
                <w:sz w:val="20"/>
              </w:rPr>
              <w:t>KOPĀ</w:t>
            </w:r>
          </w:p>
        </w:tc>
      </w:tr>
      <w:tr>
        <w:tc>
          <w:tcPr>
            <w:tcW w:w="3960" w:type="dxa"/>
            <w:vMerge w:val="restart"/>
            <w:shd w:val="clear" w:color="auto" w:fill="C0C0C0"/>
            <w:vAlign w:val="center"/>
          </w:tcPr>
          <w:p>
            <w:pPr>
              <w:jc w:val="center"/>
              <w:rPr>
                <w:b/>
                <w:noProof/>
                <w:sz w:val="22"/>
              </w:rPr>
            </w:pPr>
            <w:r>
              <w:rPr>
                <w:b/>
                <w:noProof/>
                <w:sz w:val="22"/>
              </w:rPr>
              <w:t>KOPĀ — apropriācijas</w:t>
            </w:r>
            <w:r>
              <w:rPr>
                <w:noProof/>
                <w:sz w:val="22"/>
              </w:rPr>
              <w:br/>
              <w:t>saskaņā ar daudzgadu finanšu shēmas</w:t>
            </w:r>
            <w:r>
              <w:rPr>
                <w:noProof/>
                <w:sz w:val="22"/>
              </w:rPr>
              <w:br/>
            </w:r>
            <w:r>
              <w:rPr>
                <w:b/>
                <w:noProof/>
                <w:sz w:val="22"/>
              </w:rPr>
              <w:t xml:space="preserve">1. līdz 5. IZDEVUMU KATEGORIJU </w:t>
            </w:r>
          </w:p>
        </w:tc>
        <w:tc>
          <w:tcPr>
            <w:tcW w:w="2094" w:type="dxa"/>
            <w:gridSpan w:val="2"/>
            <w:vAlign w:val="center"/>
          </w:tcPr>
          <w:p>
            <w:pPr>
              <w:rPr>
                <w:noProof/>
                <w:sz w:val="14"/>
              </w:rPr>
            </w:pPr>
            <w:r>
              <w:rPr>
                <w:noProof/>
                <w:sz w:val="18"/>
              </w:rPr>
              <w:t>Saistības</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822" w:type="dxa"/>
            <w:vAlign w:val="center"/>
          </w:tcPr>
          <w:p>
            <w:pPr>
              <w:spacing w:before="60" w:after="60"/>
              <w:jc w:val="right"/>
              <w:rPr>
                <w:noProof/>
                <w:sz w:val="20"/>
              </w:rPr>
            </w:pPr>
            <w:r>
              <w:rPr>
                <w:noProof/>
                <w:sz w:val="20"/>
              </w:rPr>
              <w:t>15,9906</w:t>
            </w:r>
          </w:p>
        </w:tc>
        <w:tc>
          <w:tcPr>
            <w:tcW w:w="914"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r>
        <w:tc>
          <w:tcPr>
            <w:tcW w:w="3960" w:type="dxa"/>
            <w:vMerge/>
            <w:shd w:val="clear" w:color="auto" w:fill="C0C0C0"/>
          </w:tcPr>
          <w:p>
            <w:pPr>
              <w:rPr>
                <w:noProof/>
                <w:sz w:val="20"/>
                <w:highlight w:val="yellow"/>
              </w:rPr>
            </w:pPr>
          </w:p>
        </w:tc>
        <w:tc>
          <w:tcPr>
            <w:tcW w:w="2094" w:type="dxa"/>
            <w:gridSpan w:val="2"/>
            <w:shd w:val="clear" w:color="auto" w:fill="FFFFFF" w:themeFill="background1"/>
            <w:vAlign w:val="center"/>
          </w:tcPr>
          <w:p>
            <w:pPr>
              <w:rPr>
                <w:noProof/>
                <w:sz w:val="14"/>
              </w:rPr>
            </w:pPr>
            <w:r>
              <w:rPr>
                <w:noProof/>
                <w:sz w:val="18"/>
              </w:rPr>
              <w:t>Maksājumi</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822" w:type="dxa"/>
            <w:vAlign w:val="center"/>
          </w:tcPr>
          <w:p>
            <w:pPr>
              <w:spacing w:before="60" w:after="60"/>
              <w:jc w:val="right"/>
              <w:rPr>
                <w:noProof/>
                <w:sz w:val="20"/>
              </w:rPr>
            </w:pPr>
            <w:r>
              <w:rPr>
                <w:noProof/>
                <w:sz w:val="20"/>
              </w:rPr>
              <w:t>15,9906</w:t>
            </w:r>
          </w:p>
        </w:tc>
        <w:tc>
          <w:tcPr>
            <w:tcW w:w="914"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NumPar3"/>
        <w:rPr>
          <w:noProof/>
        </w:rPr>
      </w:pPr>
      <w:r>
        <w:t>3.2.2.</w:t>
      </w:r>
      <w:r>
        <w:tab/>
      </w:r>
      <w:r>
        <w:rPr>
          <w:noProof/>
        </w:rPr>
        <w:t xml:space="preserve">Paredzamā ietekme uz darbības apropriācijām </w:t>
      </w:r>
    </w:p>
    <w:p>
      <w:pPr>
        <w:pStyle w:val="Tiret1"/>
        <w:numPr>
          <w:ilvl w:val="0"/>
          <w:numId w:val="15"/>
        </w:numPr>
        <w:tabs>
          <w:tab w:val="clear" w:pos="1417"/>
          <w:tab w:val="num" w:pos="1276"/>
          <w:tab w:val="left" w:pos="1701"/>
        </w:tabs>
        <w:rPr>
          <w:noProof/>
        </w:rPr>
      </w:pPr>
      <w:r>
        <w:rPr>
          <w:noProof/>
        </w:rPr>
        <w:sym w:font="Wingdings" w:char="F0A8"/>
      </w:r>
      <w:r>
        <w:rPr>
          <w:noProof/>
        </w:rPr>
        <w:tab/>
        <w:t xml:space="preserve">Priekšlikums/iniciatīva neparedz izmantot darbības apropriācijas </w:t>
      </w:r>
    </w:p>
    <w:p>
      <w:pPr>
        <w:pStyle w:val="Tiret1"/>
        <w:tabs>
          <w:tab w:val="clear" w:pos="1417"/>
          <w:tab w:val="num" w:pos="1276"/>
          <w:tab w:val="left" w:pos="1701"/>
        </w:tabs>
        <w:rPr>
          <w:noProof/>
        </w:rPr>
      </w:pPr>
      <w:r>
        <w:rPr>
          <w:noProof/>
        </w:rPr>
        <w:sym w:font="Wingdings" w:char="F0FD"/>
      </w:r>
      <w:r>
        <w:rPr>
          <w:noProof/>
        </w:rPr>
        <w:tab/>
        <w:t>Priekšlikums/iniciatīva paredz papildu darbības apropriācijas izmantot šādā veidā:</w:t>
      </w:r>
    </w:p>
    <w:p>
      <w:pPr>
        <w:jc w:val="right"/>
        <w:rPr>
          <w:noProof/>
          <w:sz w:val="20"/>
        </w:rPr>
      </w:pPr>
      <w:r>
        <w:rPr>
          <w:noProof/>
          <w:sz w:val="20"/>
        </w:rPr>
        <w:t>Saistību apropriācijas EUR miljonos (trīs zīmes aiz komata)</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79"/>
        <w:gridCol w:w="642"/>
        <w:gridCol w:w="504"/>
        <w:gridCol w:w="720"/>
        <w:gridCol w:w="540"/>
        <w:gridCol w:w="720"/>
        <w:gridCol w:w="720"/>
        <w:gridCol w:w="720"/>
        <w:gridCol w:w="900"/>
        <w:gridCol w:w="720"/>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Norādīt mērķus un rezultātus* </w:t>
            </w:r>
          </w:p>
          <w:p>
            <w:pPr>
              <w:ind w:right="-29"/>
              <w:jc w:val="center"/>
              <w:rPr>
                <w:b/>
                <w:noProof/>
                <w:sz w:val="18"/>
                <w:szCs w:val="18"/>
              </w:rPr>
            </w:pPr>
          </w:p>
          <w:p>
            <w:pPr>
              <w:ind w:right="-29"/>
              <w:jc w:val="center"/>
              <w:rPr>
                <w:noProof/>
                <w:sz w:val="18"/>
                <w:szCs w:val="18"/>
              </w:rPr>
            </w:pPr>
            <w:r>
              <w:rPr>
                <w:noProof/>
                <w:sz w:val="18"/>
              </w:rPr>
              <w:sym w:font="Wingdings" w:char="F0F2"/>
            </w:r>
          </w:p>
        </w:tc>
        <w:tc>
          <w:tcPr>
            <w:tcW w:w="779" w:type="dxa"/>
            <w:vAlign w:val="center"/>
          </w:tcPr>
          <w:p>
            <w:pPr>
              <w:ind w:right="-29"/>
              <w:jc w:val="center"/>
              <w:rPr>
                <w:noProof/>
                <w:sz w:val="18"/>
                <w:szCs w:val="18"/>
              </w:rPr>
            </w:pPr>
          </w:p>
        </w:tc>
        <w:tc>
          <w:tcPr>
            <w:tcW w:w="642"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szCs w:val="18"/>
              </w:rPr>
              <w:t>Gads</w:t>
            </w:r>
            <w:r>
              <w:rPr>
                <w:noProof/>
                <w:sz w:val="18"/>
                <w:szCs w:val="18"/>
              </w:rPr>
              <w:br/>
            </w:r>
            <w:r>
              <w:rPr>
                <w:b/>
                <w:noProof/>
                <w:sz w:val="18"/>
                <w:szCs w:val="18"/>
              </w:rPr>
              <w:t>2017</w:t>
            </w:r>
          </w:p>
        </w:tc>
        <w:tc>
          <w:tcPr>
            <w:tcW w:w="1260" w:type="dxa"/>
            <w:gridSpan w:val="2"/>
            <w:vAlign w:val="center"/>
          </w:tcPr>
          <w:p>
            <w:pPr>
              <w:ind w:right="-29"/>
              <w:jc w:val="center"/>
              <w:rPr>
                <w:noProof/>
                <w:sz w:val="18"/>
                <w:szCs w:val="18"/>
              </w:rPr>
            </w:pPr>
            <w:r>
              <w:rPr>
                <w:noProof/>
                <w:sz w:val="18"/>
                <w:szCs w:val="18"/>
              </w:rPr>
              <w:t>Gads</w:t>
            </w:r>
            <w:r>
              <w:rPr>
                <w:noProof/>
                <w:sz w:val="18"/>
                <w:szCs w:val="18"/>
              </w:rPr>
              <w:br/>
            </w:r>
            <w:r>
              <w:rPr>
                <w:b/>
                <w:noProof/>
                <w:sz w:val="18"/>
                <w:szCs w:val="18"/>
              </w:rPr>
              <w:t>2018</w:t>
            </w:r>
          </w:p>
        </w:tc>
        <w:tc>
          <w:tcPr>
            <w:tcW w:w="1440" w:type="dxa"/>
            <w:gridSpan w:val="2"/>
            <w:vAlign w:val="center"/>
          </w:tcPr>
          <w:p>
            <w:pPr>
              <w:ind w:right="-29"/>
              <w:jc w:val="center"/>
              <w:rPr>
                <w:noProof/>
                <w:sz w:val="18"/>
                <w:szCs w:val="18"/>
              </w:rPr>
            </w:pPr>
            <w:r>
              <w:rPr>
                <w:noProof/>
                <w:sz w:val="18"/>
                <w:szCs w:val="18"/>
              </w:rPr>
              <w:t>Gads</w:t>
            </w:r>
            <w:r>
              <w:rPr>
                <w:noProof/>
                <w:sz w:val="18"/>
                <w:szCs w:val="18"/>
              </w:rPr>
              <w:br/>
            </w:r>
            <w:r>
              <w:rPr>
                <w:b/>
                <w:noProof/>
                <w:sz w:val="18"/>
                <w:szCs w:val="18"/>
              </w:rPr>
              <w:t>2019</w:t>
            </w:r>
          </w:p>
        </w:tc>
        <w:tc>
          <w:tcPr>
            <w:tcW w:w="1620" w:type="dxa"/>
            <w:gridSpan w:val="2"/>
            <w:vAlign w:val="center"/>
          </w:tcPr>
          <w:p>
            <w:pPr>
              <w:ind w:right="-29"/>
              <w:jc w:val="center"/>
              <w:rPr>
                <w:noProof/>
                <w:sz w:val="18"/>
                <w:szCs w:val="18"/>
              </w:rPr>
            </w:pPr>
            <w:r>
              <w:rPr>
                <w:noProof/>
                <w:sz w:val="18"/>
                <w:szCs w:val="18"/>
              </w:rPr>
              <w:t>Gads</w:t>
            </w:r>
            <w:r>
              <w:rPr>
                <w:noProof/>
                <w:sz w:val="18"/>
                <w:szCs w:val="18"/>
              </w:rPr>
              <w:br/>
            </w:r>
            <w:r>
              <w:rPr>
                <w:b/>
                <w:noProof/>
                <w:sz w:val="18"/>
                <w:szCs w:val="18"/>
              </w:rPr>
              <w:t>2020</w:t>
            </w:r>
          </w:p>
        </w:tc>
        <w:tc>
          <w:tcPr>
            <w:tcW w:w="3600" w:type="dxa"/>
            <w:gridSpan w:val="6"/>
            <w:vAlign w:val="center"/>
          </w:tcPr>
          <w:p>
            <w:pPr>
              <w:jc w:val="center"/>
              <w:rPr>
                <w:noProof/>
                <w:sz w:val="18"/>
                <w:szCs w:val="18"/>
              </w:rPr>
            </w:pPr>
            <w:r>
              <w:rPr>
                <w:noProof/>
                <w:sz w:val="18"/>
              </w:rPr>
              <w:t>Norādīt tik gadu, cik nepieciešams ietekmes ilguma atspoguļošanai (sk. 1.6. punktu)</w:t>
            </w:r>
          </w:p>
        </w:tc>
        <w:tc>
          <w:tcPr>
            <w:tcW w:w="1620" w:type="dxa"/>
            <w:gridSpan w:val="2"/>
            <w:tcBorders>
              <w:left w:val="nil"/>
              <w:bottom w:val="nil"/>
            </w:tcBorders>
            <w:vAlign w:val="center"/>
          </w:tcPr>
          <w:p>
            <w:pPr>
              <w:ind w:right="-29"/>
              <w:jc w:val="center"/>
              <w:rPr>
                <w:noProof/>
                <w:sz w:val="18"/>
                <w:szCs w:val="18"/>
              </w:rPr>
            </w:pPr>
            <w:r>
              <w:rPr>
                <w:b/>
                <w:noProof/>
                <w:sz w:val="18"/>
              </w:rPr>
              <w:t>KOPĀ</w:t>
            </w:r>
          </w:p>
        </w:tc>
      </w:tr>
      <w:tr>
        <w:trPr>
          <w:jc w:val="center"/>
        </w:trPr>
        <w:tc>
          <w:tcPr>
            <w:tcW w:w="1423" w:type="dxa"/>
            <w:vMerge/>
            <w:vAlign w:val="center"/>
          </w:tcPr>
          <w:p>
            <w:pPr>
              <w:ind w:right="-29"/>
              <w:jc w:val="center"/>
              <w:rPr>
                <w:noProof/>
                <w:sz w:val="18"/>
                <w:szCs w:val="18"/>
              </w:rPr>
            </w:pPr>
          </w:p>
        </w:tc>
        <w:tc>
          <w:tcPr>
            <w:tcW w:w="12185" w:type="dxa"/>
            <w:gridSpan w:val="18"/>
            <w:vAlign w:val="center"/>
          </w:tcPr>
          <w:p>
            <w:pPr>
              <w:spacing w:before="60" w:after="60"/>
              <w:ind w:right="-29"/>
              <w:jc w:val="center"/>
              <w:rPr>
                <w:noProof/>
                <w:sz w:val="18"/>
                <w:szCs w:val="18"/>
              </w:rPr>
            </w:pPr>
            <w:r>
              <w:rPr>
                <w:b/>
                <w:noProof/>
                <w:sz w:val="18"/>
              </w:rPr>
              <w:t>REZULTĀTI</w:t>
            </w:r>
          </w:p>
        </w:tc>
      </w:tr>
      <w:tr>
        <w:trPr>
          <w:cantSplit/>
          <w:trHeight w:val="1134"/>
          <w:jc w:val="center"/>
        </w:trPr>
        <w:tc>
          <w:tcPr>
            <w:tcW w:w="1423" w:type="dxa"/>
            <w:vMerge/>
            <w:vAlign w:val="center"/>
          </w:tcPr>
          <w:p>
            <w:pPr>
              <w:rPr>
                <w:noProof/>
                <w:sz w:val="18"/>
                <w:szCs w:val="18"/>
              </w:rPr>
            </w:pPr>
          </w:p>
        </w:tc>
        <w:tc>
          <w:tcPr>
            <w:tcW w:w="779" w:type="dxa"/>
            <w:vAlign w:val="center"/>
          </w:tcPr>
          <w:p>
            <w:pPr>
              <w:jc w:val="center"/>
              <w:rPr>
                <w:noProof/>
                <w:sz w:val="18"/>
                <w:szCs w:val="18"/>
              </w:rPr>
            </w:pPr>
            <w:r>
              <w:rPr>
                <w:noProof/>
                <w:sz w:val="18"/>
              </w:rPr>
              <w:t>Rezultāta veids</w:t>
            </w:r>
            <w:r>
              <w:rPr>
                <w:rStyle w:val="FootnoteReference"/>
                <w:noProof/>
              </w:rPr>
              <w:footnoteReference w:id="30"/>
            </w:r>
          </w:p>
          <w:p>
            <w:pPr>
              <w:spacing w:before="0" w:after="0"/>
              <w:jc w:val="center"/>
              <w:rPr>
                <w:noProof/>
                <w:sz w:val="18"/>
                <w:szCs w:val="18"/>
              </w:rPr>
            </w:pPr>
          </w:p>
        </w:tc>
        <w:tc>
          <w:tcPr>
            <w:tcW w:w="642" w:type="dxa"/>
            <w:vAlign w:val="center"/>
          </w:tcPr>
          <w:p>
            <w:pPr>
              <w:jc w:val="center"/>
              <w:rPr>
                <w:noProof/>
                <w:sz w:val="18"/>
                <w:szCs w:val="18"/>
              </w:rPr>
            </w:pPr>
            <w:r>
              <w:rPr>
                <w:noProof/>
                <w:sz w:val="18"/>
              </w:rPr>
              <w:t>Vidējās izmaksas</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Skaits</w:t>
            </w:r>
          </w:p>
        </w:tc>
        <w:tc>
          <w:tcPr>
            <w:tcW w:w="720" w:type="dxa"/>
            <w:tcBorders>
              <w:left w:val="dashSmallGap" w:sz="4" w:space="0" w:color="auto"/>
            </w:tcBorders>
            <w:shd w:val="pct10" w:color="auto" w:fill="auto"/>
            <w:vAlign w:val="center"/>
          </w:tcPr>
          <w:p>
            <w:pPr>
              <w:jc w:val="center"/>
              <w:rPr>
                <w:noProof/>
                <w:sz w:val="18"/>
                <w:szCs w:val="18"/>
              </w:rPr>
            </w:pPr>
            <w:r>
              <w:rPr>
                <w:noProof/>
                <w:sz w:val="18"/>
              </w:rPr>
              <w:t>Izmaksas</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Skaits</w:t>
            </w:r>
          </w:p>
        </w:tc>
        <w:tc>
          <w:tcPr>
            <w:tcW w:w="720" w:type="dxa"/>
            <w:tcBorders>
              <w:left w:val="dashSmallGap" w:sz="4" w:space="0" w:color="auto"/>
            </w:tcBorders>
            <w:shd w:val="pct10" w:color="auto" w:fill="auto"/>
            <w:vAlign w:val="center"/>
          </w:tcPr>
          <w:p>
            <w:pPr>
              <w:jc w:val="center"/>
              <w:rPr>
                <w:noProof/>
                <w:sz w:val="18"/>
                <w:szCs w:val="18"/>
              </w:rPr>
            </w:pPr>
            <w:r>
              <w:rPr>
                <w:noProof/>
                <w:sz w:val="18"/>
              </w:rPr>
              <w:t>Izmaksas</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Skaits</w:t>
            </w:r>
          </w:p>
        </w:tc>
        <w:tc>
          <w:tcPr>
            <w:tcW w:w="720" w:type="dxa"/>
            <w:tcBorders>
              <w:left w:val="dashSmallGap" w:sz="4" w:space="0" w:color="auto"/>
            </w:tcBorders>
            <w:shd w:val="pct10" w:color="auto" w:fill="auto"/>
            <w:vAlign w:val="center"/>
          </w:tcPr>
          <w:p>
            <w:pPr>
              <w:jc w:val="center"/>
              <w:rPr>
                <w:noProof/>
                <w:sz w:val="18"/>
                <w:szCs w:val="18"/>
              </w:rPr>
            </w:pPr>
            <w:r>
              <w:rPr>
                <w:noProof/>
                <w:sz w:val="18"/>
              </w:rPr>
              <w:t>Izmaksas</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Skaits</w:t>
            </w:r>
          </w:p>
        </w:tc>
        <w:tc>
          <w:tcPr>
            <w:tcW w:w="720" w:type="dxa"/>
            <w:tcBorders>
              <w:left w:val="dashSmallGap" w:sz="4" w:space="0" w:color="auto"/>
            </w:tcBorders>
            <w:shd w:val="pct10" w:color="auto" w:fill="auto"/>
            <w:vAlign w:val="center"/>
          </w:tcPr>
          <w:p>
            <w:pPr>
              <w:jc w:val="center"/>
              <w:rPr>
                <w:noProof/>
                <w:sz w:val="18"/>
                <w:szCs w:val="18"/>
              </w:rPr>
            </w:pPr>
            <w:r>
              <w:rPr>
                <w:noProof/>
                <w:sz w:val="18"/>
              </w:rPr>
              <w:t>Izmaksas</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Skaits</w:t>
            </w:r>
          </w:p>
        </w:tc>
        <w:tc>
          <w:tcPr>
            <w:tcW w:w="648" w:type="dxa"/>
            <w:tcBorders>
              <w:left w:val="dashSmallGap" w:sz="4" w:space="0" w:color="auto"/>
            </w:tcBorders>
            <w:shd w:val="pct10" w:color="auto" w:fill="auto"/>
            <w:vAlign w:val="center"/>
          </w:tcPr>
          <w:p>
            <w:pPr>
              <w:jc w:val="center"/>
              <w:rPr>
                <w:noProof/>
                <w:sz w:val="18"/>
                <w:szCs w:val="18"/>
              </w:rPr>
            </w:pPr>
            <w:r>
              <w:rPr>
                <w:noProof/>
                <w:sz w:val="18"/>
              </w:rPr>
              <w:t>Izmaksas</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Skaits</w:t>
            </w:r>
          </w:p>
        </w:tc>
        <w:tc>
          <w:tcPr>
            <w:tcW w:w="720" w:type="dxa"/>
            <w:tcBorders>
              <w:left w:val="dashSmallGap" w:sz="4" w:space="0" w:color="auto"/>
            </w:tcBorders>
            <w:shd w:val="pct10" w:color="auto" w:fill="auto"/>
            <w:vAlign w:val="center"/>
          </w:tcPr>
          <w:p>
            <w:pPr>
              <w:jc w:val="center"/>
              <w:rPr>
                <w:noProof/>
                <w:sz w:val="18"/>
                <w:szCs w:val="18"/>
              </w:rPr>
            </w:pPr>
            <w:r>
              <w:rPr>
                <w:noProof/>
                <w:sz w:val="18"/>
              </w:rPr>
              <w:t>Izmaksas</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Skaits</w:t>
            </w:r>
          </w:p>
        </w:tc>
        <w:tc>
          <w:tcPr>
            <w:tcW w:w="720" w:type="dxa"/>
            <w:tcBorders>
              <w:left w:val="dashSmallGap" w:sz="4" w:space="0" w:color="auto"/>
            </w:tcBorders>
            <w:shd w:val="pct10" w:color="auto" w:fill="auto"/>
            <w:vAlign w:val="center"/>
          </w:tcPr>
          <w:p>
            <w:pPr>
              <w:jc w:val="center"/>
              <w:rPr>
                <w:noProof/>
                <w:sz w:val="18"/>
                <w:szCs w:val="18"/>
              </w:rPr>
            </w:pPr>
            <w:r>
              <w:rPr>
                <w:noProof/>
                <w:sz w:val="18"/>
              </w:rPr>
              <w:t>Izmaksas</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Kopējais rezultātu skaits</w:t>
            </w:r>
          </w:p>
        </w:tc>
        <w:tc>
          <w:tcPr>
            <w:tcW w:w="900" w:type="dxa"/>
            <w:tcBorders>
              <w:left w:val="dashSmallGap" w:sz="4" w:space="0" w:color="auto"/>
            </w:tcBorders>
            <w:shd w:val="pct10" w:color="auto" w:fill="auto"/>
            <w:vAlign w:val="center"/>
          </w:tcPr>
          <w:p>
            <w:pPr>
              <w:jc w:val="center"/>
              <w:rPr>
                <w:noProof/>
                <w:sz w:val="18"/>
                <w:szCs w:val="18"/>
              </w:rPr>
            </w:pPr>
            <w:r>
              <w:rPr>
                <w:noProof/>
                <w:sz w:val="18"/>
              </w:rPr>
              <w:t>Kopējās izmaksas</w:t>
            </w:r>
          </w:p>
        </w:tc>
      </w:tr>
      <w:tr>
        <w:trPr>
          <w:jc w:val="center"/>
        </w:trPr>
        <w:tc>
          <w:tcPr>
            <w:tcW w:w="2844" w:type="dxa"/>
            <w:gridSpan w:val="3"/>
            <w:vAlign w:val="center"/>
          </w:tcPr>
          <w:p>
            <w:pPr>
              <w:spacing w:before="60" w:after="60"/>
              <w:ind w:right="-29"/>
              <w:jc w:val="center"/>
              <w:rPr>
                <w:noProof/>
                <w:sz w:val="16"/>
                <w:szCs w:val="16"/>
              </w:rPr>
            </w:pPr>
            <w:r>
              <w:rPr>
                <w:noProof/>
                <w:sz w:val="16"/>
              </w:rPr>
              <w:t>KONKRĒTAIS MĒRĶIS Nr. 6 un 7</w:t>
            </w:r>
            <w:r>
              <w:rPr>
                <w:rStyle w:val="FootnoteReference"/>
                <w:noProof/>
              </w:rPr>
              <w:footnoteReference w:id="31"/>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664"/>
          <w:jc w:val="center"/>
        </w:trPr>
        <w:tc>
          <w:tcPr>
            <w:tcW w:w="1423" w:type="dxa"/>
          </w:tcPr>
          <w:p>
            <w:pPr>
              <w:ind w:right="-29"/>
              <w:jc w:val="center"/>
              <w:rPr>
                <w:noProof/>
                <w:sz w:val="18"/>
                <w:szCs w:val="18"/>
              </w:rPr>
            </w:pPr>
            <w:r>
              <w:rPr>
                <w:noProof/>
                <w:sz w:val="18"/>
              </w:rPr>
              <w:t>- Rezultāts</w:t>
            </w:r>
          </w:p>
        </w:tc>
        <w:tc>
          <w:tcPr>
            <w:tcW w:w="779" w:type="dxa"/>
          </w:tcPr>
          <w:p>
            <w:pPr>
              <w:ind w:right="-29"/>
              <w:jc w:val="center"/>
              <w:rPr>
                <w:noProof/>
                <w:sz w:val="16"/>
                <w:szCs w:val="16"/>
              </w:rPr>
            </w:pPr>
            <w:r>
              <w:rPr>
                <w:noProof/>
                <w:sz w:val="16"/>
              </w:rPr>
              <w:t>Sistēmas</w:t>
            </w:r>
          </w:p>
          <w:p>
            <w:pPr>
              <w:ind w:right="-29"/>
              <w:jc w:val="center"/>
              <w:rPr>
                <w:noProof/>
                <w:sz w:val="16"/>
                <w:szCs w:val="16"/>
              </w:rPr>
            </w:pPr>
            <w:r>
              <w:rPr>
                <w:noProof/>
                <w:sz w:val="16"/>
              </w:rPr>
              <w:t xml:space="preserve"> izveide</w:t>
            </w: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72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0,0966</w:t>
            </w:r>
          </w:p>
        </w:tc>
        <w:tc>
          <w:tcPr>
            <w:tcW w:w="90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0,0966</w:t>
            </w: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r>
              <w:rPr>
                <w:noProof/>
                <w:sz w:val="18"/>
              </w:rPr>
              <w:t>0 676</w:t>
            </w:r>
          </w:p>
        </w:tc>
      </w:tr>
      <w:tr>
        <w:trPr>
          <w:trHeight w:hRule="exact" w:val="664"/>
          <w:jc w:val="center"/>
        </w:trPr>
        <w:tc>
          <w:tcPr>
            <w:tcW w:w="1423" w:type="dxa"/>
          </w:tcPr>
          <w:p>
            <w:pPr>
              <w:ind w:right="-29"/>
              <w:jc w:val="center"/>
              <w:rPr>
                <w:noProof/>
                <w:sz w:val="18"/>
              </w:rPr>
            </w:pPr>
            <w:r>
              <w:rPr>
                <w:noProof/>
                <w:sz w:val="18"/>
              </w:rPr>
              <w:t>- Rezultāts</w:t>
            </w:r>
          </w:p>
        </w:tc>
        <w:tc>
          <w:tcPr>
            <w:tcW w:w="779" w:type="dxa"/>
          </w:tcPr>
          <w:p>
            <w:pPr>
              <w:ind w:right="-29"/>
              <w:jc w:val="center"/>
              <w:rPr>
                <w:noProof/>
                <w:sz w:val="16"/>
                <w:szCs w:val="16"/>
              </w:rPr>
            </w:pP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ind w:right="-29"/>
              <w:jc w:val="center"/>
              <w:rPr>
                <w:noProof/>
                <w:sz w:val="16"/>
                <w:szCs w:val="16"/>
              </w:rPr>
            </w:pPr>
            <w:r>
              <w:rPr>
                <w:noProof/>
                <w:sz w:val="16"/>
              </w:rPr>
              <w:t>Starpsumma – konkrētie mērķi Nr. 6 un Nr. 7</w:t>
            </w:r>
          </w:p>
        </w:tc>
        <w:tc>
          <w:tcPr>
            <w:tcW w:w="504"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72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0,0966</w:t>
            </w:r>
          </w:p>
        </w:tc>
        <w:tc>
          <w:tcPr>
            <w:tcW w:w="90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0,0966</w:t>
            </w: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r>
              <w:rPr>
                <w:noProof/>
                <w:sz w:val="18"/>
              </w:rPr>
              <w:t>0,676</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KOPĒJĀS IZMAKSAS</w:t>
            </w:r>
          </w:p>
        </w:tc>
        <w:tc>
          <w:tcPr>
            <w:tcW w:w="504"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54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90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0,676</w:t>
            </w:r>
          </w:p>
        </w:tc>
      </w:tr>
    </w:tbl>
    <w:p>
      <w:pPr>
        <w:rPr>
          <w:noProof/>
        </w:rPr>
        <w:sectPr>
          <w:pgSz w:w="16840" w:h="11907" w:orient="landscape" w:code="9"/>
          <w:pgMar w:top="1134" w:right="1418" w:bottom="567" w:left="1418" w:header="709" w:footer="709" w:gutter="0"/>
          <w:cols w:space="708"/>
          <w:docGrid w:linePitch="360"/>
        </w:sectPr>
      </w:pPr>
      <w:r>
        <w:rPr>
          <w:noProof/>
        </w:rPr>
        <w:t>* Norādītais rezultāts attiecas tikai uz jauno uzdevumu, kas saistīts ar JPV.</w:t>
      </w:r>
      <w:r>
        <w:rPr>
          <w:noProof/>
        </w:rPr>
        <w:tab/>
      </w:r>
    </w:p>
    <w:p>
      <w:pPr>
        <w:pStyle w:val="ManualNumPar3"/>
        <w:rPr>
          <w:noProof/>
        </w:rPr>
      </w:pPr>
      <w:r>
        <w:t>3.2.3.</w:t>
      </w:r>
      <w:r>
        <w:tab/>
      </w:r>
      <w:r>
        <w:rPr>
          <w:noProof/>
        </w:rPr>
        <w:t>Paredzamā ietekme uz administratīvajām apropriācijām</w:t>
      </w:r>
    </w:p>
    <w:p>
      <w:pPr>
        <w:pStyle w:val="ManualNumPar4"/>
        <w:rPr>
          <w:noProof/>
        </w:rPr>
      </w:pPr>
      <w:r>
        <w:t>3.2.3.1.</w:t>
      </w:r>
      <w:r>
        <w:tab/>
      </w:r>
      <w:r>
        <w:rPr>
          <w:noProof/>
        </w:rPr>
        <w:t xml:space="preserve">Kopsavilkums </w:t>
      </w:r>
    </w:p>
    <w:p>
      <w:pPr>
        <w:pStyle w:val="Tiret0"/>
        <w:numPr>
          <w:ilvl w:val="0"/>
          <w:numId w:val="16"/>
        </w:numPr>
        <w:tabs>
          <w:tab w:val="left" w:pos="1134"/>
        </w:tabs>
        <w:ind w:firstLine="1"/>
        <w:rPr>
          <w:noProof/>
        </w:rPr>
      </w:pPr>
      <w:r>
        <w:rPr>
          <w:noProof/>
        </w:rPr>
        <w:sym w:font="Wingdings" w:char="F0A8"/>
      </w:r>
      <w:r>
        <w:rPr>
          <w:noProof/>
        </w:rPr>
        <w:tab/>
        <w:t xml:space="preserve">Priekšlikums/iniciatīva neparedz izmantot administratīvās apropriācijas </w:t>
      </w:r>
    </w:p>
    <w:p>
      <w:pPr>
        <w:pStyle w:val="Tiret0"/>
        <w:tabs>
          <w:tab w:val="left" w:pos="1134"/>
        </w:tabs>
        <w:ind w:firstLine="1"/>
        <w:rPr>
          <w:noProof/>
        </w:rPr>
      </w:pPr>
      <w:r>
        <w:rPr>
          <w:noProof/>
        </w:rPr>
        <w:sym w:font="Wingdings" w:char="F0FD"/>
      </w:r>
      <w:r>
        <w:rPr>
          <w:noProof/>
        </w:rPr>
        <w:tab/>
        <w:t>Priekšlikums/iniciatīva paredz izmantot administratīvās apropriācijas šādā veidā:</w:t>
      </w:r>
    </w:p>
    <w:p>
      <w:pPr>
        <w:rPr>
          <w:noProof/>
          <w:sz w:val="20"/>
        </w:rPr>
      </w:pPr>
      <w:r>
        <w:rPr>
          <w:noProof/>
          <w:sz w:val="20"/>
        </w:rPr>
        <w:t>EUR miljonos (trīs zīmes aiz komata)</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2017</w:t>
            </w:r>
            <w:r>
              <w:rPr>
                <w:b/>
                <w:noProof/>
                <w:sz w:val="16"/>
              </w:rPr>
              <w:t xml:space="preserve"> </w:t>
            </w:r>
            <w:r>
              <w:rPr>
                <w:rStyle w:val="FootnoteReference"/>
                <w:b/>
                <w:noProof/>
                <w:sz w:val="16"/>
              </w:rPr>
              <w:footnoteReference w:id="32"/>
            </w:r>
          </w:p>
        </w:tc>
        <w:tc>
          <w:tcPr>
            <w:tcW w:w="1080" w:type="dxa"/>
            <w:vAlign w:val="center"/>
          </w:tcPr>
          <w:p>
            <w:pPr>
              <w:spacing w:before="60" w:after="60" w:line="200" w:lineRule="exact"/>
              <w:jc w:val="center"/>
              <w:rPr>
                <w:noProof/>
                <w:sz w:val="16"/>
                <w:szCs w:val="16"/>
              </w:rPr>
            </w:pPr>
            <w:r>
              <w:rPr>
                <w:noProof/>
                <w:sz w:val="16"/>
              </w:rPr>
              <w:t>2018</w:t>
            </w:r>
          </w:p>
        </w:tc>
        <w:tc>
          <w:tcPr>
            <w:tcW w:w="1080" w:type="dxa"/>
            <w:vAlign w:val="center"/>
          </w:tcPr>
          <w:p>
            <w:pPr>
              <w:spacing w:before="60" w:after="60" w:line="200" w:lineRule="exact"/>
              <w:jc w:val="center"/>
              <w:rPr>
                <w:noProof/>
                <w:sz w:val="16"/>
                <w:szCs w:val="16"/>
              </w:rPr>
            </w:pPr>
            <w:r>
              <w:rPr>
                <w:noProof/>
                <w:sz w:val="16"/>
              </w:rPr>
              <w:t>2019</w:t>
            </w:r>
          </w:p>
        </w:tc>
        <w:tc>
          <w:tcPr>
            <w:tcW w:w="1080" w:type="dxa"/>
            <w:vAlign w:val="center"/>
          </w:tcPr>
          <w:p>
            <w:pPr>
              <w:spacing w:before="60" w:after="60" w:line="200" w:lineRule="exact"/>
              <w:jc w:val="center"/>
              <w:rPr>
                <w:noProof/>
                <w:sz w:val="16"/>
                <w:szCs w:val="16"/>
              </w:rPr>
            </w:pPr>
            <w:r>
              <w:rPr>
                <w:noProof/>
                <w:sz w:val="16"/>
              </w:rPr>
              <w:t>2020</w:t>
            </w:r>
          </w:p>
        </w:tc>
        <w:tc>
          <w:tcPr>
            <w:tcW w:w="3240" w:type="dxa"/>
            <w:vAlign w:val="center"/>
          </w:tcPr>
          <w:p>
            <w:pPr>
              <w:spacing w:line="200" w:lineRule="exact"/>
              <w:jc w:val="center"/>
              <w:rPr>
                <w:b/>
                <w:noProof/>
                <w:sz w:val="16"/>
                <w:szCs w:val="16"/>
              </w:rPr>
            </w:pPr>
            <w:r>
              <w:rPr>
                <w:noProof/>
                <w:sz w:val="16"/>
              </w:rPr>
              <w:t>Norādīt tik gadu, cik nepieciešams ietekmes ilguma atspoguļošanai (sk. 1.6. punktu)</w:t>
            </w:r>
          </w:p>
        </w:tc>
        <w:tc>
          <w:tcPr>
            <w:tcW w:w="1080" w:type="dxa"/>
            <w:vAlign w:val="center"/>
          </w:tcPr>
          <w:p>
            <w:pPr>
              <w:spacing w:before="60" w:after="60" w:line="200" w:lineRule="exact"/>
              <w:jc w:val="center"/>
              <w:rPr>
                <w:b/>
                <w:noProof/>
                <w:sz w:val="16"/>
                <w:szCs w:val="16"/>
              </w:rPr>
            </w:pPr>
            <w:r>
              <w:rPr>
                <w:b/>
                <w:noProof/>
                <w:sz w:val="16"/>
              </w:rPr>
              <w:t>KOPĀ</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szCs w:val="16"/>
              </w:rPr>
              <w:t>daudzgadu finanšu shēmas</w:t>
            </w:r>
            <w:r>
              <w:rPr>
                <w:noProof/>
                <w:sz w:val="16"/>
                <w:szCs w:val="16"/>
              </w:rPr>
              <w:br/>
            </w:r>
            <w:r>
              <w:rPr>
                <w:b/>
                <w:noProof/>
                <w:sz w:val="16"/>
                <w:szCs w:val="16"/>
              </w:rPr>
              <w:t>5. IZDEVUMU KATEGORIJA</w:t>
            </w:r>
          </w:p>
        </w:tc>
        <w:tc>
          <w:tcPr>
            <w:tcW w:w="1080" w:type="dxa"/>
            <w:vAlign w:val="center"/>
          </w:tcPr>
          <w:p>
            <w:pPr>
              <w:spacing w:before="60" w:after="60" w:line="200" w:lineRule="exact"/>
              <w:jc w:val="right"/>
              <w:rPr>
                <w:noProof/>
                <w:sz w:val="16"/>
                <w:szCs w:val="16"/>
              </w:rPr>
            </w:pPr>
            <w:r>
              <w:rPr>
                <w:noProof/>
                <w:sz w:val="16"/>
              </w:rPr>
              <w:t>2017</w:t>
            </w:r>
          </w:p>
        </w:tc>
        <w:tc>
          <w:tcPr>
            <w:tcW w:w="1080" w:type="dxa"/>
            <w:vAlign w:val="center"/>
          </w:tcPr>
          <w:p>
            <w:pPr>
              <w:spacing w:before="60" w:after="60" w:line="200" w:lineRule="exact"/>
              <w:jc w:val="right"/>
              <w:rPr>
                <w:noProof/>
                <w:sz w:val="16"/>
                <w:szCs w:val="16"/>
              </w:rPr>
            </w:pPr>
            <w:r>
              <w:rPr>
                <w:noProof/>
                <w:sz w:val="16"/>
              </w:rPr>
              <w:t>2018</w:t>
            </w:r>
          </w:p>
        </w:tc>
        <w:tc>
          <w:tcPr>
            <w:tcW w:w="1080" w:type="dxa"/>
            <w:vAlign w:val="center"/>
          </w:tcPr>
          <w:p>
            <w:pPr>
              <w:spacing w:before="60" w:after="60" w:line="200" w:lineRule="exact"/>
              <w:jc w:val="right"/>
              <w:rPr>
                <w:noProof/>
                <w:sz w:val="16"/>
                <w:szCs w:val="16"/>
              </w:rPr>
            </w:pPr>
            <w:r>
              <w:rPr>
                <w:noProof/>
                <w:sz w:val="16"/>
              </w:rPr>
              <w:t>2019</w:t>
            </w:r>
          </w:p>
        </w:tc>
        <w:tc>
          <w:tcPr>
            <w:tcW w:w="1080" w:type="dxa"/>
            <w:vAlign w:val="center"/>
          </w:tcPr>
          <w:p>
            <w:pPr>
              <w:spacing w:before="60" w:after="60" w:line="200" w:lineRule="exact"/>
              <w:jc w:val="right"/>
              <w:rPr>
                <w:noProof/>
                <w:sz w:val="16"/>
                <w:szCs w:val="16"/>
              </w:rPr>
            </w:pPr>
            <w:r>
              <w:rPr>
                <w:noProof/>
                <w:sz w:val="16"/>
              </w:rPr>
              <w:t>2020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Cilvēkresursi (</w:t>
            </w:r>
            <w:r>
              <w:rPr>
                <w:i/>
                <w:noProof/>
                <w:sz w:val="16"/>
              </w:rPr>
              <w:t>HOME</w:t>
            </w:r>
            <w:r>
              <w:rPr>
                <w:noProof/>
                <w:sz w:val="16"/>
              </w:rPr>
              <w:t xml:space="preserve"> ĢD </w:t>
            </w:r>
            <w:r>
              <w:rPr>
                <w:i/>
                <w:noProof/>
                <w:sz w:val="16"/>
              </w:rPr>
              <w:t>FTE</w:t>
            </w:r>
            <w:r>
              <w:rPr>
                <w:noProof/>
                <w:sz w:val="16"/>
              </w:rPr>
              <w:t>)</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Pārējie administratīvie izdevumi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szCs w:val="16"/>
              </w:rPr>
              <w:t>Kopā — daudzgadu finanšu shēmas</w:t>
            </w:r>
            <w:r>
              <w:rPr>
                <w:noProof/>
                <w:sz w:val="16"/>
                <w:szCs w:val="16"/>
              </w:rPr>
              <w:br/>
            </w:r>
            <w:r>
              <w:rPr>
                <w:b/>
                <w:noProof/>
                <w:sz w:val="16"/>
                <w:szCs w:val="16"/>
              </w:rPr>
              <w:t xml:space="preserve">5. IZDEVUMU KATEGORIJA </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bl>
    <w:p>
      <w:pPr>
        <w:spacing w:line="200" w:lineRule="exact"/>
        <w:rPr>
          <w:noProof/>
          <w:sz w:val="16"/>
          <w:szCs w:val="16"/>
          <w:highlight w:val="yellow"/>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KOPĀ</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r>
              <w:rPr>
                <w:b/>
                <w:noProof/>
                <w:sz w:val="16"/>
              </w:rPr>
              <w:t>1,6080</w:t>
            </w:r>
          </w:p>
        </w:tc>
      </w:tr>
    </w:tbl>
    <w:p>
      <w:pPr>
        <w:rPr>
          <w:noProof/>
          <w:sz w:val="18"/>
        </w:rPr>
      </w:pPr>
      <w:r>
        <w:rPr>
          <w:noProof/>
          <w:sz w:val="18"/>
        </w:rPr>
        <w:t>Vajadzīgās cilvēkresursu un citu administratīvu izdevumu apropriācijas tiks nodrošinātas no ĢD apropriācijām, kas jau ir piešķirtas darbības pārvaldībai un/vai ir pārdalītas attiecīgajā ģenerāldirektorātā, vajadzības gadījumā izmantojot arī vadošajam ĢD gada budžeta sadales procedūrā piešķirtus papildu resursus un ņemot vērā budžeta ierobežojumus.</w:t>
      </w:r>
    </w:p>
    <w:p>
      <w:pPr>
        <w:rPr>
          <w:noProof/>
        </w:rPr>
      </w:pPr>
    </w:p>
    <w:p>
      <w:pPr>
        <w:pStyle w:val="ManualNumPar4"/>
        <w:rPr>
          <w:noProof/>
        </w:rPr>
      </w:pPr>
      <w:r>
        <w:t>3.2.3.2.</w:t>
      </w:r>
      <w:r>
        <w:tab/>
      </w:r>
      <w:r>
        <w:rPr>
          <w:noProof/>
        </w:rPr>
        <w:t>Paredzamās vajadzības pēc cilvēkresursiem</w:t>
      </w:r>
    </w:p>
    <w:p>
      <w:pPr>
        <w:pStyle w:val="Tiret0"/>
        <w:numPr>
          <w:ilvl w:val="0"/>
          <w:numId w:val="16"/>
        </w:numPr>
        <w:tabs>
          <w:tab w:val="left" w:pos="1134"/>
        </w:tabs>
        <w:ind w:firstLine="1"/>
        <w:rPr>
          <w:noProof/>
        </w:rPr>
      </w:pPr>
      <w:r>
        <w:rPr>
          <w:noProof/>
        </w:rPr>
        <w:sym w:font="Wingdings" w:char="F0A8"/>
      </w:r>
      <w:r>
        <w:rPr>
          <w:noProof/>
        </w:rPr>
        <w:tab/>
        <w:t xml:space="preserve">Priekšlikums/iniciatīva neparedz cilvēkresursu izmantošanu </w:t>
      </w:r>
    </w:p>
    <w:p>
      <w:pPr>
        <w:pStyle w:val="Tiret0"/>
        <w:numPr>
          <w:ilvl w:val="0"/>
          <w:numId w:val="16"/>
        </w:numPr>
        <w:tabs>
          <w:tab w:val="left" w:pos="1134"/>
        </w:tabs>
        <w:ind w:firstLine="1"/>
        <w:rPr>
          <w:noProof/>
        </w:rPr>
      </w:pPr>
      <w:r>
        <w:rPr>
          <w:noProof/>
        </w:rPr>
        <w:sym w:font="Wingdings" w:char="F0FD"/>
      </w:r>
      <w:r>
        <w:rPr>
          <w:noProof/>
        </w:rPr>
        <w:tab/>
        <w:t>Priekšlikums/iniciatīva paredz cilvēkresursu izmantošanu šādā veidā:</w:t>
      </w:r>
    </w:p>
    <w:p>
      <w:pPr>
        <w:spacing w:after="60"/>
        <w:jc w:val="right"/>
        <w:rPr>
          <w:i/>
          <w:noProof/>
          <w:sz w:val="20"/>
        </w:rPr>
      </w:pPr>
      <w:r>
        <w:rPr>
          <w:i/>
          <w:noProof/>
          <w:sz w:val="20"/>
        </w:rPr>
        <w:t>Aplēse izsakāma ar pilnslodzes ekvivalentu</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spacing w:before="40" w:after="4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16"/>
                <w:szCs w:val="16"/>
              </w:rPr>
              <w:t>Gads</w:t>
            </w:r>
            <w:r>
              <w:rPr>
                <w:noProof/>
                <w:sz w:val="16"/>
                <w:szCs w:val="16"/>
              </w:rPr>
              <w:br/>
            </w:r>
            <w:r>
              <w:rPr>
                <w:b/>
                <w:noProof/>
                <w:sz w:val="16"/>
                <w:szCs w:val="16"/>
              </w:rPr>
              <w:t>N</w:t>
            </w:r>
          </w:p>
        </w:tc>
        <w:tc>
          <w:tcPr>
            <w:tcW w:w="318" w:type="pct"/>
            <w:shd w:val="clear" w:color="auto" w:fill="auto"/>
            <w:vAlign w:val="center"/>
          </w:tcPr>
          <w:p>
            <w:pPr>
              <w:spacing w:before="20" w:after="20"/>
              <w:jc w:val="center"/>
              <w:rPr>
                <w:noProof/>
                <w:sz w:val="16"/>
                <w:szCs w:val="16"/>
              </w:rPr>
            </w:pPr>
            <w:r>
              <w:rPr>
                <w:noProof/>
                <w:sz w:val="16"/>
                <w:szCs w:val="16"/>
              </w:rPr>
              <w:t>Gads</w:t>
            </w:r>
            <w:r>
              <w:rPr>
                <w:noProof/>
                <w:sz w:val="16"/>
                <w:szCs w:val="16"/>
              </w:rPr>
              <w:br/>
            </w:r>
            <w:r>
              <w:rPr>
                <w:b/>
                <w:noProof/>
                <w:sz w:val="16"/>
                <w:szCs w:val="16"/>
              </w:rPr>
              <w:t>N+1</w:t>
            </w:r>
          </w:p>
        </w:tc>
        <w:tc>
          <w:tcPr>
            <w:tcW w:w="1891" w:type="pct"/>
            <w:shd w:val="clear" w:color="auto" w:fill="auto"/>
            <w:vAlign w:val="center"/>
          </w:tcPr>
          <w:p>
            <w:pPr>
              <w:spacing w:before="20" w:after="20"/>
              <w:jc w:val="center"/>
              <w:rPr>
                <w:noProof/>
                <w:sz w:val="16"/>
                <w:szCs w:val="16"/>
              </w:rPr>
            </w:pPr>
            <w:r>
              <w:rPr>
                <w:b/>
                <w:noProof/>
                <w:sz w:val="16"/>
              </w:rPr>
              <w:t>N+2</w:t>
            </w:r>
            <w:r>
              <w:rPr>
                <w:noProof/>
                <w:sz w:val="16"/>
              </w:rPr>
              <w:t xml:space="preserve"> gads</w:t>
            </w:r>
          </w:p>
        </w:tc>
        <w:tc>
          <w:tcPr>
            <w:tcW w:w="226" w:type="pct"/>
            <w:shd w:val="clear" w:color="auto" w:fill="auto"/>
            <w:vAlign w:val="center"/>
          </w:tcPr>
          <w:p>
            <w:pPr>
              <w:spacing w:before="20" w:after="20"/>
              <w:jc w:val="center"/>
              <w:rPr>
                <w:noProof/>
                <w:sz w:val="16"/>
                <w:szCs w:val="16"/>
              </w:rPr>
            </w:pPr>
            <w:r>
              <w:rPr>
                <w:b/>
                <w:noProof/>
                <w:sz w:val="16"/>
              </w:rPr>
              <w:t>N+3</w:t>
            </w:r>
            <w:r>
              <w:rPr>
                <w:noProof/>
                <w:sz w:val="16"/>
              </w:rPr>
              <w:t xml:space="preserve"> gads</w:t>
            </w:r>
          </w:p>
        </w:tc>
        <w:tc>
          <w:tcPr>
            <w:tcW w:w="345" w:type="pct"/>
            <w:gridSpan w:val="3"/>
            <w:shd w:val="clear" w:color="auto" w:fill="auto"/>
            <w:vAlign w:val="center"/>
          </w:tcPr>
          <w:p>
            <w:pPr>
              <w:jc w:val="center"/>
              <w:rPr>
                <w:b/>
                <w:noProof/>
                <w:sz w:val="16"/>
                <w:szCs w:val="16"/>
              </w:rPr>
            </w:pPr>
            <w:r>
              <w:rPr>
                <w:noProof/>
                <w:sz w:val="16"/>
              </w:rPr>
              <w:t>Norādīt tik gadu, cik nepieciešams ietekmes ilguma atspoguļošanai (sk. 1.6. punktu)</w:t>
            </w:r>
          </w:p>
        </w:tc>
      </w:tr>
      <w:tr>
        <w:trPr>
          <w:gridBefore w:val="1"/>
          <w:wBefore w:w="6" w:type="pct"/>
          <w:trHeight w:val="289"/>
          <w:jc w:val="center"/>
        </w:trPr>
        <w:tc>
          <w:tcPr>
            <w:tcW w:w="4424" w:type="pct"/>
            <w:gridSpan w:val="5"/>
            <w:shd w:val="clear" w:color="auto" w:fill="auto"/>
          </w:tcPr>
          <w:p>
            <w:pPr>
              <w:spacing w:before="20" w:after="20"/>
              <w:rPr>
                <w:noProof/>
                <w:sz w:val="16"/>
                <w:szCs w:val="16"/>
              </w:rPr>
            </w:pPr>
            <w:r>
              <w:rPr>
                <w:b/>
                <w:noProof/>
                <w:sz w:val="16"/>
                <w:szCs w:val="16"/>
              </w:rPr>
              <w:sym w:font="Wingdings" w:char="F09F"/>
            </w:r>
            <w:r>
              <w:rPr>
                <w:b/>
                <w:noProof/>
                <w:sz w:val="16"/>
                <w:szCs w:val="16"/>
              </w:rPr>
              <w:t xml:space="preserve"> Štatu sarakstā ietvertās amata vietas (ierēdņi un pagaidu darbinieki)</w:t>
            </w:r>
          </w:p>
        </w:tc>
        <w:tc>
          <w:tcPr>
            <w:tcW w:w="226" w:type="pct"/>
            <w:shd w:val="clear" w:color="auto" w:fill="auto"/>
            <w:vAlign w:val="center"/>
          </w:tcPr>
          <w:p>
            <w:pPr>
              <w:spacing w:before="20" w:after="20"/>
              <w:jc w:val="center"/>
              <w:rPr>
                <w:noProof/>
                <w:sz w:val="16"/>
                <w:szCs w:val="16"/>
              </w:rPr>
            </w:pPr>
          </w:p>
        </w:tc>
        <w:tc>
          <w:tcPr>
            <w:tcW w:w="345"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b/>
                <w:noProof/>
                <w:sz w:val="16"/>
                <w:szCs w:val="16"/>
              </w:rPr>
            </w:pPr>
            <w:r>
              <w:rPr>
                <w:noProof/>
                <w:sz w:val="16"/>
              </w:rPr>
              <w:t>18 01 01 01 (Galvenā mītne un Komisijas pārstāvniecības)</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1891" w:type="pct"/>
            <w:shd w:val="clear" w:color="auto" w:fill="auto"/>
            <w:vAlign w:val="center"/>
          </w:tcPr>
          <w:p>
            <w:pPr>
              <w:spacing w:beforeLines="20" w:before="48" w:afterLines="20" w:after="48"/>
              <w:jc w:val="center"/>
              <w:rPr>
                <w:noProof/>
                <w:sz w:val="16"/>
                <w:szCs w:val="16"/>
              </w:rPr>
            </w:pPr>
            <w:r>
              <w:rPr>
                <w:noProof/>
                <w:sz w:val="16"/>
              </w:rPr>
              <w:t>3</w:t>
            </w:r>
          </w:p>
        </w:tc>
        <w:tc>
          <w:tcPr>
            <w:tcW w:w="226" w:type="pct"/>
            <w:shd w:val="clear" w:color="auto" w:fill="auto"/>
            <w:vAlign w:val="center"/>
          </w:tcPr>
          <w:p>
            <w:pPr>
              <w:spacing w:beforeLines="20" w:before="48" w:afterLines="20" w:after="48"/>
              <w:jc w:val="center"/>
              <w:rPr>
                <w:noProof/>
                <w:sz w:val="16"/>
                <w:szCs w:val="16"/>
              </w:rPr>
            </w:pPr>
            <w:r>
              <w:rPr>
                <w:noProof/>
                <w:sz w:val="16"/>
              </w:rPr>
              <w:t>3</w:t>
            </w: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01 02 (Delegācijas)</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05 01 (Netiešā pētniecība)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10 01 05 01 (Tiešā pētniecība)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After w:val="4"/>
          <w:wAfter w:w="570" w:type="pct"/>
          <w:trHeight w:val="248"/>
          <w:jc w:val="center"/>
        </w:trPr>
        <w:tc>
          <w:tcPr>
            <w:tcW w:w="4430" w:type="pct"/>
            <w:gridSpan w:val="6"/>
            <w:shd w:val="clear" w:color="auto" w:fill="auto"/>
            <w:vAlign w:val="center"/>
          </w:tcPr>
          <w:p>
            <w:pPr>
              <w:spacing w:before="60" w:after="60"/>
              <w:jc w:val="left"/>
              <w:rPr>
                <w:b/>
                <w:noProof/>
                <w:sz w:val="16"/>
                <w:szCs w:val="16"/>
              </w:rPr>
            </w:pPr>
            <w:r>
              <w:rPr>
                <w:b/>
                <w:noProof/>
                <w:sz w:val="16"/>
                <w:szCs w:val="16"/>
              </w:rPr>
              <w:sym w:font="Wingdings" w:char="F09F"/>
            </w:r>
            <w:r>
              <w:rPr>
                <w:b/>
                <w:noProof/>
                <w:sz w:val="16"/>
                <w:szCs w:val="16"/>
              </w:rPr>
              <w:t xml:space="preserve"> Ārštata darbinieki (izsakot ar pilnslodzes ekvivalentu – </w:t>
            </w:r>
            <w:r>
              <w:rPr>
                <w:b/>
                <w:i/>
                <w:noProof/>
                <w:sz w:val="16"/>
                <w:szCs w:val="16"/>
              </w:rPr>
              <w:t>FTE</w:t>
            </w:r>
            <w:r>
              <w:rPr>
                <w:b/>
                <w:noProof/>
                <w:sz w:val="16"/>
                <w:szCs w:val="16"/>
              </w:rPr>
              <w:t>)</w:t>
            </w:r>
            <w:r>
              <w:rPr>
                <w:rStyle w:val="FootnoteReference"/>
                <w:b/>
                <w:noProof/>
                <w:sz w:val="16"/>
              </w:rPr>
              <w:footnoteReference w:id="33"/>
            </w:r>
            <w:r>
              <w:rPr>
                <w:rStyle w:val="CommentReference"/>
                <w:noProof/>
              </w:rPr>
              <w:t xml:space="preserve"> </w:t>
            </w:r>
          </w:p>
          <w:p>
            <w:pPr>
              <w:spacing w:before="0" w:after="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b/>
                <w:noProof/>
                <w:sz w:val="16"/>
                <w:szCs w:val="16"/>
              </w:rPr>
            </w:pPr>
            <w:r>
              <w:rPr>
                <w:noProof/>
                <w:sz w:val="16"/>
              </w:rPr>
              <w:t>XX 01 02 01 (</w:t>
            </w:r>
            <w:r>
              <w:rPr>
                <w:i/>
                <w:noProof/>
                <w:sz w:val="16"/>
              </w:rPr>
              <w:t>AC, END, INT</w:t>
            </w:r>
            <w:r>
              <w:rPr>
                <w:noProof/>
                <w:sz w:val="16"/>
              </w:rPr>
              <w:t>, ko finansē no vispārīgajām apropriācijām)</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XX 01 02 02 (</w:t>
            </w:r>
            <w:r>
              <w:rPr>
                <w:i/>
                <w:noProof/>
                <w:sz w:val="16"/>
              </w:rPr>
              <w:t>AC, AL, END, INT</w:t>
            </w:r>
            <w:r>
              <w:rPr>
                <w:noProof/>
                <w:sz w:val="16"/>
              </w:rPr>
              <w:t xml:space="preserve"> un </w:t>
            </w:r>
            <w:r>
              <w:rPr>
                <w:i/>
                <w:noProof/>
                <w:sz w:val="16"/>
              </w:rPr>
              <w:t>JED</w:t>
            </w:r>
            <w:r>
              <w:rPr>
                <w:noProof/>
                <w:sz w:val="16"/>
              </w:rPr>
              <w:t xml:space="preserve"> delegācijās)</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val="restart"/>
            <w:shd w:val="clear" w:color="auto" w:fill="auto"/>
            <w:vAlign w:val="center"/>
          </w:tcPr>
          <w:p>
            <w:pPr>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rStyle w:val="FootnoteReference"/>
                <w:b/>
                <w:noProof/>
                <w:sz w:val="16"/>
              </w:rPr>
              <w:footnoteReference w:id="34"/>
            </w:r>
          </w:p>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galvenajā mītnē</w:t>
            </w:r>
          </w:p>
          <w:p>
            <w:pPr>
              <w:spacing w:beforeLines="20" w:before="48" w:afterLines="20" w:after="48"/>
              <w:ind w:left="136"/>
              <w:jc w:val="left"/>
              <w:rPr>
                <w:b/>
                <w:noProof/>
                <w:sz w:val="16"/>
                <w:szCs w:val="16"/>
              </w:rPr>
            </w:pP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shd w:val="clear" w:color="auto" w:fill="auto"/>
            <w:vAlign w:val="center"/>
          </w:tcPr>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xml:space="preserve">- delegācijās </w:t>
            </w: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b/>
                <w:noProof/>
                <w:sz w:val="16"/>
              </w:rPr>
              <w:t>XX</w:t>
            </w:r>
            <w:r>
              <w:rPr>
                <w:noProof/>
                <w:sz w:val="16"/>
              </w:rPr>
              <w:t xml:space="preserve"> 01 05 02 (</w:t>
            </w:r>
            <w:r>
              <w:rPr>
                <w:i/>
                <w:noProof/>
                <w:sz w:val="16"/>
              </w:rPr>
              <w:t>AC, END, INT</w:t>
            </w:r>
            <w:r>
              <w:rPr>
                <w:noProof/>
                <w:sz w:val="16"/>
              </w:rPr>
              <w:t xml:space="preserve"> – netiešā pētniecība)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10 01 05 02 (</w:t>
            </w:r>
            <w:r>
              <w:rPr>
                <w:i/>
                <w:noProof/>
                <w:sz w:val="16"/>
              </w:rPr>
              <w:t>AC, END, INT</w:t>
            </w:r>
            <w:r>
              <w:rPr>
                <w:noProof/>
                <w:sz w:val="16"/>
              </w:rPr>
              <w:t xml:space="preserve"> – tiešā pētniecība)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spacing w:beforeLines="20" w:before="48" w:afterLines="20" w:after="48"/>
              <w:ind w:left="134"/>
              <w:jc w:val="left"/>
              <w:rPr>
                <w:noProof/>
                <w:sz w:val="16"/>
                <w:szCs w:val="16"/>
              </w:rPr>
            </w:pPr>
            <w:r>
              <w:rPr>
                <w:noProof/>
                <w:sz w:val="16"/>
              </w:rPr>
              <w:t>Citas budžeta pozīcijas (precizēt)</w:t>
            </w: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spacing w:beforeLines="20" w:before="48" w:afterLines="20" w:after="48"/>
              <w:ind w:left="136"/>
              <w:jc w:val="left"/>
              <w:rPr>
                <w:noProof/>
                <w:sz w:val="16"/>
                <w:szCs w:val="16"/>
              </w:rPr>
            </w:pPr>
            <w:r>
              <w:rPr>
                <w:b/>
                <w:noProof/>
                <w:sz w:val="16"/>
              </w:rPr>
              <w:t>KOPĀ</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891"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22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spacing w:before="60" w:after="60"/>
        <w:ind w:left="851"/>
        <w:rPr>
          <w:noProof/>
          <w:sz w:val="18"/>
          <w:szCs w:val="18"/>
        </w:rPr>
      </w:pPr>
      <w:r>
        <w:rPr>
          <w:b/>
          <w:noProof/>
          <w:sz w:val="18"/>
          <w:szCs w:val="18"/>
        </w:rPr>
        <w:t>XX</w:t>
      </w:r>
      <w:r>
        <w:rPr>
          <w:noProof/>
          <w:sz w:val="18"/>
          <w:szCs w:val="18"/>
        </w:rPr>
        <w:t xml:space="preserve"> ir attiecīgā politikas joma vai budžeta sadaļa.</w:t>
      </w:r>
    </w:p>
    <w:p>
      <w:pPr>
        <w:ind w:left="850"/>
        <w:rPr>
          <w:noProof/>
          <w:sz w:val="18"/>
          <w:szCs w:val="18"/>
        </w:rPr>
      </w:pPr>
      <w:r>
        <w:rPr>
          <w:noProof/>
          <w:sz w:val="18"/>
        </w:rPr>
        <w:t>Vajadzības pēc cilvēkresursiem tiks nodrošinātas, izmantojot attiecīgā ĢD darbiniekus, kuri jau ir iesaistīti konkrētās darbības pārvaldībā un/vai ir pārgrupēti attiecīgajā ģenerāldirektorātā, vajadzības gadījumā izmantojot arī vadošajam ĢD gada budžeta sadales procedūrā piešķirtus papildu resursus un ņemot vērā budžeta ierobežojumus.</w:t>
      </w:r>
    </w:p>
    <w:p>
      <w:pPr>
        <w:rPr>
          <w:noProof/>
          <w:sz w:val="20"/>
        </w:rPr>
      </w:pPr>
      <w:r>
        <w:rPr>
          <w:noProof/>
          <w:sz w:val="20"/>
        </w:rPr>
        <w:t>Veicamo uzdevumu apraksts</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Ierēdņi un pagaidu darbinieki</w:t>
            </w:r>
          </w:p>
        </w:tc>
        <w:tc>
          <w:tcPr>
            <w:tcW w:w="7200" w:type="dxa"/>
          </w:tcPr>
          <w:p>
            <w:pPr>
              <w:rPr>
                <w:noProof/>
                <w:sz w:val="20"/>
              </w:rPr>
            </w:pPr>
            <w:r>
              <w:rPr>
                <w:noProof/>
                <w:sz w:val="20"/>
              </w:rPr>
              <w:t>Pārstāvēt Komisiju aģentūras valdē. Izstrādāt Komisijas atzinumu par gada darba programmu un uzraudzīt tās īstenošanu. Pārraudzīt aģentūras budžeta sagatavošanu un uzraudzīt budžeta izpildi. Palīdzēt aģentūrai izstrādāt pasākumus saskaņā ar ES politiku, tostarp piedaloties ekspertu sanāksmēs.</w:t>
            </w:r>
          </w:p>
        </w:tc>
      </w:tr>
      <w:tr>
        <w:tc>
          <w:tcPr>
            <w:tcW w:w="3240" w:type="dxa"/>
          </w:tcPr>
          <w:p>
            <w:pPr>
              <w:spacing w:before="60" w:after="60"/>
              <w:rPr>
                <w:noProof/>
                <w:sz w:val="20"/>
              </w:rPr>
            </w:pPr>
            <w:r>
              <w:rPr>
                <w:noProof/>
                <w:sz w:val="20"/>
              </w:rPr>
              <w:t>Ārštata darbinieki</w:t>
            </w:r>
          </w:p>
        </w:tc>
        <w:tc>
          <w:tcPr>
            <w:tcW w:w="7200" w:type="dxa"/>
          </w:tcPr>
          <w:p>
            <w:pPr>
              <w:rPr>
                <w:noProof/>
                <w:sz w:val="20"/>
              </w:rPr>
            </w:pPr>
          </w:p>
        </w:tc>
      </w:tr>
    </w:tbl>
    <w:p>
      <w:pPr>
        <w:pStyle w:val="ManualNumPar3"/>
        <w:rPr>
          <w:noProof/>
        </w:rPr>
      </w:pPr>
      <w:r>
        <w:t>3.2.4.</w:t>
      </w:r>
      <w:r>
        <w:tab/>
      </w:r>
      <w:r>
        <w:rPr>
          <w:noProof/>
        </w:rPr>
        <w:t xml:space="preserve">Saderība ar kārtējo daudzgadu finanšu shēmu </w:t>
      </w:r>
    </w:p>
    <w:p>
      <w:pPr>
        <w:pStyle w:val="Tiret0"/>
        <w:numPr>
          <w:ilvl w:val="0"/>
          <w:numId w:val="16"/>
        </w:numPr>
        <w:tabs>
          <w:tab w:val="left" w:pos="1134"/>
        </w:tabs>
        <w:ind w:firstLine="1"/>
        <w:rPr>
          <w:noProof/>
        </w:rPr>
      </w:pPr>
      <w:r>
        <w:rPr>
          <w:noProof/>
        </w:rPr>
        <w:sym w:font="Wingdings" w:char="F0FD"/>
      </w:r>
      <w:r>
        <w:rPr>
          <w:noProof/>
        </w:rPr>
        <w:tab/>
        <w:t>Priekšlikums/iniciatīva atbilst kārtējai daudzgadu finanšu shēmai</w:t>
      </w:r>
    </w:p>
    <w:p>
      <w:pPr>
        <w:pStyle w:val="Tiret0"/>
        <w:numPr>
          <w:ilvl w:val="0"/>
          <w:numId w:val="16"/>
        </w:numPr>
        <w:tabs>
          <w:tab w:val="left" w:pos="1134"/>
        </w:tabs>
        <w:ind w:firstLine="1"/>
        <w:rPr>
          <w:noProof/>
        </w:rPr>
      </w:pPr>
      <w:r>
        <w:rPr>
          <w:noProof/>
        </w:rPr>
        <w:sym w:font="Wingdings" w:char="F0A8"/>
      </w:r>
      <w:r>
        <w:rPr>
          <w:noProof/>
        </w:rPr>
        <w:tab/>
        <w:t>Pieņemot priekšlikumu/iniciatīvu, jāpārplāno attiecīgā izdevumu kategorija daudzgadu finanšu shēmā.</w:t>
      </w:r>
    </w:p>
    <w:p>
      <w:pPr>
        <w:pBdr>
          <w:top w:val="single" w:sz="4" w:space="1" w:color="auto"/>
          <w:left w:val="single" w:sz="4" w:space="4" w:color="auto"/>
          <w:bottom w:val="single" w:sz="4" w:space="1" w:color="auto"/>
          <w:right w:val="single" w:sz="4" w:space="4" w:color="auto"/>
        </w:pBdr>
        <w:ind w:left="850"/>
        <w:rPr>
          <w:noProof/>
        </w:rPr>
      </w:pPr>
      <w:r>
        <w:rPr>
          <w:noProof/>
          <w:sz w:val="20"/>
        </w:rPr>
        <w:t>Aprakstīt, kas jāpārplāno, norādot attiecīgās budžeta pozīcijas un summas.</w:t>
      </w:r>
    </w:p>
    <w:p>
      <w:pPr>
        <w:pStyle w:val="Tiret0"/>
        <w:numPr>
          <w:ilvl w:val="0"/>
          <w:numId w:val="16"/>
        </w:numPr>
        <w:tabs>
          <w:tab w:val="left" w:pos="1134"/>
        </w:tabs>
        <w:ind w:firstLine="1"/>
        <w:rPr>
          <w:noProof/>
        </w:rPr>
      </w:pPr>
      <w:r>
        <w:rPr>
          <w:noProof/>
        </w:rPr>
        <w:sym w:font="Wingdings" w:char="F0A8"/>
      </w:r>
      <w:r>
        <w:rPr>
          <w:noProof/>
        </w:rPr>
        <w:tab/>
        <w:t>Pieņemot priekšlikumu/iniciatīvu, jāpiemēro elastības instruments vai jāpārskata daudzgadu finanšu shēma.</w:t>
      </w:r>
    </w:p>
    <w:p>
      <w:pPr>
        <w:pBdr>
          <w:top w:val="single" w:sz="4" w:space="1" w:color="auto"/>
          <w:left w:val="single" w:sz="4" w:space="4" w:color="auto"/>
          <w:bottom w:val="single" w:sz="4" w:space="1" w:color="auto"/>
          <w:right w:val="single" w:sz="4" w:space="4" w:color="auto"/>
        </w:pBdr>
        <w:ind w:left="850"/>
        <w:rPr>
          <w:noProof/>
        </w:rPr>
      </w:pPr>
      <w:r>
        <w:rPr>
          <w:noProof/>
          <w:sz w:val="20"/>
        </w:rPr>
        <w:t>Aprakstīt, kas jādara, norādot attiecīgās izdevumu kategorijas, budžeta pozīcijas un summas.</w:t>
      </w:r>
    </w:p>
    <w:p>
      <w:pPr>
        <w:pStyle w:val="ManualNumPar3"/>
        <w:rPr>
          <w:noProof/>
        </w:rPr>
      </w:pPr>
      <w:r>
        <w:t>3.2.5.</w:t>
      </w:r>
      <w:r>
        <w:tab/>
      </w:r>
      <w:r>
        <w:rPr>
          <w:noProof/>
        </w:rPr>
        <w:t xml:space="preserve">Trešo personu iemaksas </w:t>
      </w:r>
    </w:p>
    <w:p>
      <w:pPr>
        <w:pStyle w:val="Tiret0"/>
        <w:numPr>
          <w:ilvl w:val="0"/>
          <w:numId w:val="16"/>
        </w:numPr>
        <w:tabs>
          <w:tab w:val="left" w:pos="1134"/>
        </w:tabs>
        <w:ind w:firstLine="1"/>
        <w:rPr>
          <w:noProof/>
        </w:rPr>
      </w:pPr>
      <w:r>
        <w:rPr>
          <w:noProof/>
        </w:rPr>
        <w:sym w:font="Wingdings" w:char="F0FD"/>
      </w:r>
      <w:r>
        <w:rPr>
          <w:noProof/>
        </w:rPr>
        <w:tab/>
        <w:t xml:space="preserve">Priekšlikums/iniciatīva neparedz trešo personu līdzfinansējumu </w:t>
      </w:r>
    </w:p>
    <w:p>
      <w:pPr>
        <w:pStyle w:val="Tiret0"/>
        <w:numPr>
          <w:ilvl w:val="0"/>
          <w:numId w:val="16"/>
        </w:numPr>
        <w:tabs>
          <w:tab w:val="left" w:pos="1134"/>
        </w:tabs>
        <w:ind w:firstLine="1"/>
        <w:rPr>
          <w:noProof/>
        </w:rPr>
      </w:pPr>
      <w:r>
        <w:rPr>
          <w:noProof/>
        </w:rPr>
        <w:t>Priekšlikums/iniciatīva paredz šādu līdzfinansējumu:</w:t>
      </w:r>
    </w:p>
    <w:p>
      <w:pPr>
        <w:jc w:val="right"/>
        <w:rPr>
          <w:noProof/>
          <w:sz w:val="20"/>
        </w:rPr>
      </w:pPr>
      <w:r>
        <w:rPr>
          <w:noProof/>
          <w:sz w:val="20"/>
        </w:rPr>
        <w:t>Apropriācijas EUR miljonos (trīs zīmes aiz komata)</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szCs w:val="20"/>
              </w:rPr>
            </w:pPr>
            <w:r>
              <w:rPr>
                <w:noProof/>
                <w:sz w:val="20"/>
                <w:szCs w:val="20"/>
              </w:rPr>
              <w:t>Gads</w:t>
            </w:r>
            <w:r>
              <w:rPr>
                <w:noProof/>
                <w:sz w:val="20"/>
                <w:szCs w:val="20"/>
              </w:rPr>
              <w:br/>
            </w:r>
            <w:r>
              <w:rPr>
                <w:b/>
                <w:noProof/>
                <w:sz w:val="20"/>
                <w:szCs w:val="20"/>
              </w:rPr>
              <w:t>N</w:t>
            </w:r>
          </w:p>
        </w:tc>
        <w:tc>
          <w:tcPr>
            <w:tcW w:w="964" w:type="dxa"/>
            <w:vAlign w:val="center"/>
          </w:tcPr>
          <w:p>
            <w:pPr>
              <w:jc w:val="center"/>
              <w:rPr>
                <w:noProof/>
                <w:sz w:val="20"/>
                <w:szCs w:val="20"/>
              </w:rPr>
            </w:pPr>
            <w:r>
              <w:rPr>
                <w:noProof/>
                <w:sz w:val="20"/>
                <w:szCs w:val="20"/>
              </w:rPr>
              <w:t>Gads</w:t>
            </w:r>
            <w:r>
              <w:rPr>
                <w:noProof/>
                <w:sz w:val="20"/>
                <w:szCs w:val="20"/>
              </w:rPr>
              <w:br/>
            </w:r>
            <w:r>
              <w:rPr>
                <w:b/>
                <w:noProof/>
                <w:sz w:val="20"/>
                <w:szCs w:val="20"/>
              </w:rPr>
              <w:t>N+1</w:t>
            </w:r>
          </w:p>
        </w:tc>
        <w:tc>
          <w:tcPr>
            <w:tcW w:w="964" w:type="dxa"/>
            <w:vAlign w:val="center"/>
          </w:tcPr>
          <w:p>
            <w:pPr>
              <w:jc w:val="center"/>
              <w:rPr>
                <w:noProof/>
                <w:sz w:val="20"/>
                <w:szCs w:val="20"/>
              </w:rPr>
            </w:pPr>
            <w:r>
              <w:rPr>
                <w:noProof/>
                <w:sz w:val="20"/>
                <w:szCs w:val="20"/>
              </w:rPr>
              <w:t>Gads</w:t>
            </w:r>
            <w:r>
              <w:rPr>
                <w:noProof/>
                <w:sz w:val="20"/>
                <w:szCs w:val="20"/>
              </w:rPr>
              <w:br/>
            </w:r>
            <w:r>
              <w:rPr>
                <w:b/>
                <w:noProof/>
                <w:sz w:val="20"/>
                <w:szCs w:val="20"/>
              </w:rPr>
              <w:t>N+2</w:t>
            </w:r>
          </w:p>
        </w:tc>
        <w:tc>
          <w:tcPr>
            <w:tcW w:w="964" w:type="dxa"/>
            <w:vAlign w:val="center"/>
          </w:tcPr>
          <w:p>
            <w:pPr>
              <w:jc w:val="center"/>
              <w:rPr>
                <w:noProof/>
                <w:sz w:val="20"/>
                <w:szCs w:val="20"/>
              </w:rPr>
            </w:pPr>
            <w:r>
              <w:rPr>
                <w:noProof/>
                <w:sz w:val="20"/>
                <w:szCs w:val="20"/>
              </w:rPr>
              <w:t>Gads</w:t>
            </w:r>
            <w:r>
              <w:rPr>
                <w:noProof/>
                <w:sz w:val="20"/>
                <w:szCs w:val="20"/>
              </w:rPr>
              <w:br/>
            </w:r>
            <w:r>
              <w:rPr>
                <w:b/>
                <w:noProof/>
                <w:sz w:val="20"/>
                <w:szCs w:val="20"/>
              </w:rPr>
              <w:t>N+3</w:t>
            </w:r>
          </w:p>
        </w:tc>
        <w:tc>
          <w:tcPr>
            <w:tcW w:w="2892" w:type="dxa"/>
            <w:gridSpan w:val="3"/>
            <w:vAlign w:val="center"/>
          </w:tcPr>
          <w:p>
            <w:pPr>
              <w:jc w:val="center"/>
              <w:rPr>
                <w:b/>
                <w:noProof/>
                <w:sz w:val="20"/>
              </w:rPr>
            </w:pPr>
            <w:r>
              <w:rPr>
                <w:noProof/>
                <w:sz w:val="20"/>
              </w:rPr>
              <w:t>Norādīt tik gadu, cik nepieciešams ietekmes ilguma atspoguļošanai (sk. 1.6. punktu)</w:t>
            </w:r>
          </w:p>
        </w:tc>
        <w:tc>
          <w:tcPr>
            <w:tcW w:w="1158" w:type="dxa"/>
            <w:vAlign w:val="center"/>
          </w:tcPr>
          <w:p>
            <w:pPr>
              <w:spacing w:before="60" w:after="60"/>
              <w:jc w:val="center"/>
              <w:rPr>
                <w:noProof/>
                <w:sz w:val="20"/>
              </w:rPr>
            </w:pPr>
            <w:r>
              <w:rPr>
                <w:noProof/>
                <w:sz w:val="20"/>
              </w:rPr>
              <w:t>Kopā</w:t>
            </w:r>
          </w:p>
        </w:tc>
      </w:tr>
      <w:tr>
        <w:trPr>
          <w:cantSplit/>
        </w:trPr>
        <w:tc>
          <w:tcPr>
            <w:tcW w:w="2340" w:type="dxa"/>
          </w:tcPr>
          <w:p>
            <w:pPr>
              <w:rPr>
                <w:noProof/>
                <w:sz w:val="22"/>
              </w:rPr>
            </w:pPr>
            <w:r>
              <w:rPr>
                <w:noProof/>
                <w:sz w:val="20"/>
              </w:rPr>
              <w:t>Norādīt līdzfinansējuma struktūru</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KOPĀ – līdzfinansējuma apropriācijas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highlight w:val="yellow"/>
        </w:rPr>
      </w:pPr>
    </w:p>
    <w:p>
      <w:pPr>
        <w:pStyle w:val="ManualNumPar2"/>
        <w:rPr>
          <w:noProof/>
        </w:rPr>
      </w:pPr>
      <w:r>
        <w:t>3.3.</w:t>
      </w:r>
      <w:r>
        <w:tab/>
      </w:r>
      <w:r>
        <w:rPr>
          <w:noProof/>
        </w:rPr>
        <w:t xml:space="preserve">Paredzamā ietekme uz ieņēmumiem </w:t>
      </w:r>
    </w:p>
    <w:p>
      <w:pPr>
        <w:pStyle w:val="Tiret0"/>
        <w:numPr>
          <w:ilvl w:val="0"/>
          <w:numId w:val="16"/>
        </w:numPr>
        <w:tabs>
          <w:tab w:val="left" w:pos="1134"/>
        </w:tabs>
        <w:ind w:firstLine="1"/>
        <w:rPr>
          <w:noProof/>
        </w:rPr>
      </w:pPr>
      <w:r>
        <w:rPr>
          <w:noProof/>
        </w:rPr>
        <w:sym w:font="Wingdings" w:char="F0FD"/>
      </w:r>
      <w:r>
        <w:rPr>
          <w:noProof/>
        </w:rPr>
        <w:tab/>
        <w:t>Priekšlikums/iniciatīva finansiāli neietekmē ieņēmumus</w:t>
      </w:r>
    </w:p>
    <w:p>
      <w:pPr>
        <w:pStyle w:val="Tiret0"/>
        <w:numPr>
          <w:ilvl w:val="0"/>
          <w:numId w:val="16"/>
        </w:numPr>
        <w:tabs>
          <w:tab w:val="left" w:pos="1134"/>
        </w:tabs>
        <w:ind w:firstLine="1"/>
        <w:rPr>
          <w:noProof/>
        </w:rPr>
      </w:pPr>
      <w:r>
        <w:rPr>
          <w:noProof/>
        </w:rPr>
        <w:sym w:font="Wingdings" w:char="F0A8"/>
      </w:r>
      <w:r>
        <w:rPr>
          <w:noProof/>
        </w:rPr>
        <w:tab/>
        <w:t>Priekšlikums/iniciatīva finansiāli ietekmē:</w:t>
      </w:r>
    </w:p>
    <w:p>
      <w:pPr>
        <w:pStyle w:val="Tiret1"/>
        <w:tabs>
          <w:tab w:val="left" w:pos="1843"/>
        </w:tabs>
        <w:ind w:hanging="283"/>
        <w:rPr>
          <w:noProof/>
        </w:rPr>
      </w:pPr>
      <w:r>
        <w:rPr>
          <w:noProof/>
        </w:rPr>
        <w:sym w:font="Wingdings" w:char="F0A8"/>
      </w:r>
      <w:r>
        <w:rPr>
          <w:noProof/>
        </w:rPr>
        <w:tab/>
        <w:t xml:space="preserve">pašu resursus </w:t>
      </w:r>
    </w:p>
    <w:p>
      <w:pPr>
        <w:pStyle w:val="Tiret1"/>
        <w:tabs>
          <w:tab w:val="left" w:pos="1843"/>
        </w:tabs>
        <w:ind w:hanging="283"/>
        <w:rPr>
          <w:noProof/>
        </w:rPr>
      </w:pPr>
      <w:r>
        <w:rPr>
          <w:noProof/>
        </w:rPr>
        <w:sym w:font="Wingdings" w:char="F0A8"/>
      </w:r>
      <w:r>
        <w:rPr>
          <w:noProof/>
        </w:rPr>
        <w:tab/>
        <w:t xml:space="preserve">dažādus ieņēmumus </w:t>
      </w:r>
    </w:p>
    <w:p>
      <w:pPr>
        <w:jc w:val="right"/>
        <w:rPr>
          <w:i/>
          <w:noProof/>
          <w:sz w:val="20"/>
        </w:rPr>
      </w:pPr>
      <w:r>
        <w:rPr>
          <w:noProof/>
        </w:rPr>
        <w:t>EUR miljonos (trīs zīmes aiz komata)</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Budžeta ieņēmumu pozīcija</w:t>
            </w:r>
          </w:p>
        </w:tc>
        <w:tc>
          <w:tcPr>
            <w:tcW w:w="1276" w:type="dxa"/>
            <w:vMerge w:val="restart"/>
            <w:vAlign w:val="center"/>
          </w:tcPr>
          <w:p>
            <w:pPr>
              <w:jc w:val="center"/>
              <w:rPr>
                <w:noProof/>
                <w:sz w:val="18"/>
              </w:rPr>
            </w:pPr>
            <w:r>
              <w:rPr>
                <w:noProof/>
                <w:sz w:val="18"/>
              </w:rPr>
              <w:t>Kārtējā finanšu gadā pieejamās apropriācijas</w:t>
            </w:r>
          </w:p>
        </w:tc>
        <w:tc>
          <w:tcPr>
            <w:tcW w:w="7200" w:type="dxa"/>
            <w:gridSpan w:val="7"/>
            <w:vAlign w:val="center"/>
          </w:tcPr>
          <w:p>
            <w:pPr>
              <w:jc w:val="center"/>
              <w:rPr>
                <w:noProof/>
                <w:sz w:val="18"/>
              </w:rPr>
            </w:pPr>
            <w:r>
              <w:rPr>
                <w:noProof/>
                <w:sz w:val="18"/>
              </w:rPr>
              <w:t>Priekšlikuma/iniciatīvas ietekme</w:t>
            </w:r>
            <w:r>
              <w:rPr>
                <w:rStyle w:val="FootnoteReference"/>
                <w:noProof/>
              </w:rPr>
              <w:footnoteReference w:id="35"/>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szCs w:val="18"/>
              </w:rPr>
            </w:pPr>
            <w:r>
              <w:rPr>
                <w:noProof/>
                <w:sz w:val="18"/>
                <w:szCs w:val="18"/>
              </w:rPr>
              <w:t>Gads</w:t>
            </w:r>
            <w:r>
              <w:rPr>
                <w:noProof/>
                <w:sz w:val="18"/>
                <w:szCs w:val="18"/>
              </w:rPr>
              <w:br/>
            </w:r>
            <w:r>
              <w:rPr>
                <w:b/>
                <w:noProof/>
                <w:sz w:val="18"/>
                <w:szCs w:val="18"/>
              </w:rPr>
              <w:t>N</w:t>
            </w:r>
          </w:p>
        </w:tc>
        <w:tc>
          <w:tcPr>
            <w:tcW w:w="900" w:type="dxa"/>
            <w:vAlign w:val="center"/>
          </w:tcPr>
          <w:p>
            <w:pPr>
              <w:jc w:val="center"/>
              <w:rPr>
                <w:noProof/>
                <w:sz w:val="18"/>
                <w:szCs w:val="18"/>
              </w:rPr>
            </w:pPr>
            <w:r>
              <w:rPr>
                <w:noProof/>
                <w:sz w:val="18"/>
                <w:szCs w:val="18"/>
              </w:rPr>
              <w:t>Gads</w:t>
            </w:r>
            <w:r>
              <w:rPr>
                <w:noProof/>
                <w:sz w:val="18"/>
                <w:szCs w:val="18"/>
              </w:rPr>
              <w:br/>
            </w:r>
            <w:r>
              <w:rPr>
                <w:b/>
                <w:noProof/>
                <w:sz w:val="18"/>
                <w:szCs w:val="18"/>
              </w:rPr>
              <w:t>N+1</w:t>
            </w:r>
          </w:p>
        </w:tc>
        <w:tc>
          <w:tcPr>
            <w:tcW w:w="900" w:type="dxa"/>
            <w:vAlign w:val="center"/>
          </w:tcPr>
          <w:p>
            <w:pPr>
              <w:jc w:val="center"/>
              <w:rPr>
                <w:noProof/>
                <w:sz w:val="18"/>
                <w:szCs w:val="18"/>
              </w:rPr>
            </w:pPr>
            <w:r>
              <w:rPr>
                <w:noProof/>
                <w:sz w:val="18"/>
                <w:szCs w:val="18"/>
              </w:rPr>
              <w:t>Gads</w:t>
            </w:r>
            <w:r>
              <w:rPr>
                <w:noProof/>
                <w:sz w:val="18"/>
                <w:szCs w:val="18"/>
              </w:rPr>
              <w:br/>
            </w:r>
            <w:r>
              <w:rPr>
                <w:b/>
                <w:noProof/>
                <w:sz w:val="18"/>
                <w:szCs w:val="18"/>
              </w:rPr>
              <w:t>N+2</w:t>
            </w:r>
          </w:p>
        </w:tc>
        <w:tc>
          <w:tcPr>
            <w:tcW w:w="1080" w:type="dxa"/>
            <w:vAlign w:val="center"/>
          </w:tcPr>
          <w:p>
            <w:pPr>
              <w:jc w:val="center"/>
              <w:rPr>
                <w:noProof/>
                <w:sz w:val="18"/>
                <w:szCs w:val="18"/>
              </w:rPr>
            </w:pPr>
            <w:r>
              <w:rPr>
                <w:noProof/>
                <w:sz w:val="18"/>
                <w:szCs w:val="18"/>
              </w:rPr>
              <w:t>Gads</w:t>
            </w:r>
            <w:r>
              <w:rPr>
                <w:noProof/>
                <w:sz w:val="18"/>
                <w:szCs w:val="18"/>
              </w:rPr>
              <w:br/>
            </w:r>
            <w:r>
              <w:rPr>
                <w:b/>
                <w:noProof/>
                <w:sz w:val="18"/>
                <w:szCs w:val="18"/>
              </w:rPr>
              <w:t>N+3</w:t>
            </w:r>
          </w:p>
        </w:tc>
        <w:tc>
          <w:tcPr>
            <w:tcW w:w="3240" w:type="dxa"/>
            <w:gridSpan w:val="3"/>
            <w:vAlign w:val="center"/>
          </w:tcPr>
          <w:p>
            <w:pPr>
              <w:jc w:val="center"/>
              <w:rPr>
                <w:b/>
                <w:noProof/>
                <w:sz w:val="18"/>
              </w:rPr>
            </w:pPr>
            <w:r>
              <w:rPr>
                <w:noProof/>
                <w:sz w:val="18"/>
              </w:rPr>
              <w:t>Norādīt tik gadu, cik nepieciešams ietekmes ilguma atspoguļošanai (sk. 1.6. punktu)</w:t>
            </w:r>
          </w:p>
        </w:tc>
      </w:tr>
      <w:tr>
        <w:trPr>
          <w:trHeight w:val="388"/>
        </w:trPr>
        <w:tc>
          <w:tcPr>
            <w:tcW w:w="2144" w:type="dxa"/>
            <w:vAlign w:val="center"/>
          </w:tcPr>
          <w:p>
            <w:pPr>
              <w:spacing w:before="40" w:after="40"/>
              <w:rPr>
                <w:noProof/>
                <w:sz w:val="18"/>
              </w:rPr>
            </w:pPr>
            <w:r>
              <w:rPr>
                <w:noProof/>
                <w:sz w:val="18"/>
              </w:rPr>
              <w:t>…………. pants</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ind w:left="850"/>
        <w:rPr>
          <w:noProof/>
          <w:sz w:val="20"/>
        </w:rPr>
      </w:pPr>
      <w:r>
        <w:rPr>
          <w:noProof/>
          <w:sz w:val="20"/>
        </w:rPr>
        <w:t>Attiecībā uz dažādiem ieņēmumiem, kas ir "piešķirtie ieņēmumi", norādīt attiecīgo(-ās) izdevumu pozīciju(-as).</w:t>
      </w:r>
    </w:p>
    <w:p>
      <w:pPr>
        <w:pBdr>
          <w:top w:val="single" w:sz="4" w:space="1" w:color="auto"/>
          <w:left w:val="single" w:sz="4" w:space="4" w:color="auto"/>
          <w:bottom w:val="single" w:sz="4" w:space="1" w:color="auto"/>
          <w:right w:val="single" w:sz="4" w:space="4" w:color="auto"/>
        </w:pBdr>
        <w:ind w:left="850"/>
        <w:rPr>
          <w:noProof/>
        </w:rPr>
      </w:pPr>
    </w:p>
    <w:p>
      <w:pPr>
        <w:ind w:left="850"/>
        <w:rPr>
          <w:noProof/>
          <w:sz w:val="20"/>
        </w:rPr>
      </w:pPr>
      <w:r>
        <w:rPr>
          <w:noProof/>
          <w:sz w:val="20"/>
        </w:rPr>
        <w:t>Norādīt ietekmes uz ieņēmumiem aprēķināšanai izmantoto metodi.</w:t>
      </w:r>
    </w:p>
    <w:p>
      <w:pPr>
        <w:pStyle w:val="Text1"/>
        <w:pBdr>
          <w:top w:val="single" w:sz="4" w:space="1" w:color="auto"/>
          <w:left w:val="single" w:sz="4" w:space="4" w:color="auto"/>
          <w:bottom w:val="single" w:sz="4" w:space="1" w:color="auto"/>
          <w:right w:val="single" w:sz="4" w:space="4" w:color="auto"/>
        </w:pBdr>
        <w:rPr>
          <w:noProof/>
        </w:rPr>
      </w:pPr>
    </w:p>
    <w:sectPr>
      <w:headerReference w:type="default" r:id="rId17"/>
      <w:footerReference w:type="default" r:id="rId18"/>
      <w:headerReference w:type="first" r:id="rId19"/>
      <w:footerReference w:type="first" r:id="rId20"/>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LV</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LV</w:t>
    </w:r>
    <w:r>
      <w:rPr>
        <w:rFonts w:ascii="Arial" w:hAnsi="Arial" w:cs="Arial"/>
        <w:b/>
        <w:sz w:val="48"/>
      </w:rPr>
      <w:tab/>
    </w:r>
    <w:r>
      <w:fldChar w:fldCharType="begin"/>
    </w:r>
    <w:r>
      <w:instrText xml:space="preserve"> PAGE  \* MERGEFORMAT </w:instrText>
    </w:r>
    <w:r>
      <w:fldChar w:fldCharType="separate"/>
    </w:r>
    <w:r>
      <w:rPr>
        <w:noProof/>
      </w:rPr>
      <w:t>23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LV</w:t>
    </w:r>
    <w:r>
      <w:rPr>
        <w:rFonts w:ascii="Arial" w:hAnsi="Arial" w:cs="Arial"/>
        <w:b/>
        <w:sz w:val="48"/>
      </w:rPr>
      <w:tab/>
    </w:r>
    <w:r>
      <w:fldChar w:fldCharType="begin"/>
    </w:r>
    <w:r>
      <w:instrText xml:space="preserve"> PAGE  \* MERGEFORMAT </w:instrText>
    </w:r>
    <w:r>
      <w:fldChar w:fldCharType="separate"/>
    </w:r>
    <w:r>
      <w:rPr>
        <w:noProof/>
      </w:rPr>
      <w:t>23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ES ziņojums par narkotiku tirgu, 2016., 28. lpp.</w:t>
      </w:r>
    </w:p>
  </w:footnote>
  <w:footnote w:id="2">
    <w:p>
      <w:pPr>
        <w:pStyle w:val="FootnoteText"/>
      </w:pPr>
      <w:r>
        <w:rPr>
          <w:rStyle w:val="FootnoteReference"/>
        </w:rPr>
        <w:footnoteRef/>
      </w:r>
      <w:r>
        <w:tab/>
        <w:t>Ģenerālās asamblejas Rezolūcija A/RES/S-30/1.</w:t>
      </w:r>
    </w:p>
  </w:footnote>
  <w:footnote w:id="3">
    <w:p>
      <w:pPr>
        <w:pStyle w:val="FootnoteText"/>
      </w:pPr>
      <w:r>
        <w:rPr>
          <w:rStyle w:val="FootnoteReference"/>
        </w:rPr>
        <w:footnoteRef/>
      </w:r>
      <w:r>
        <w:tab/>
        <w:t xml:space="preserve">COM(2013) 619 </w:t>
      </w:r>
      <w:r>
        <w:rPr>
          <w:i/>
        </w:rPr>
        <w:t>final</w:t>
      </w:r>
      <w:r>
        <w:t>.</w:t>
      </w:r>
    </w:p>
  </w:footnote>
  <w:footnote w:id="4">
    <w:p>
      <w:pPr>
        <w:pStyle w:val="FootnoteText"/>
      </w:pPr>
      <w:r>
        <w:rPr>
          <w:rStyle w:val="FootnoteReference"/>
        </w:rPr>
        <w:footnoteRef/>
      </w:r>
      <w:r>
        <w:tab/>
        <w:t xml:space="preserve">COM(2013) 618 </w:t>
      </w:r>
      <w:r>
        <w:rPr>
          <w:i/>
        </w:rPr>
        <w:t>final</w:t>
      </w:r>
      <w:r>
        <w:t>.</w:t>
      </w:r>
    </w:p>
  </w:footnote>
  <w:footnote w:id="5">
    <w:p>
      <w:pPr>
        <w:pStyle w:val="FootnoteText"/>
      </w:pPr>
      <w:r>
        <w:rPr>
          <w:rStyle w:val="FootnoteReference"/>
        </w:rPr>
        <w:footnoteRef/>
      </w:r>
      <w:r>
        <w:tab/>
        <w:t xml:space="preserve">OV L 127, 10.5.2005., 32. lpp. Dažādie politikas risinājumi tika analizēti abiem priekšlikumiem pievienotajā ietekmes novērtējumā, SWD(2013) 319 </w:t>
      </w:r>
      <w:r>
        <w:rPr>
          <w:i/>
        </w:rPr>
        <w:t>final</w:t>
      </w:r>
      <w:r>
        <w:t>.</w:t>
      </w:r>
    </w:p>
  </w:footnote>
  <w:footnote w:id="6">
    <w:p>
      <w:pPr>
        <w:pStyle w:val="FootnoteText"/>
      </w:pPr>
      <w:r>
        <w:rPr>
          <w:rStyle w:val="FootnoteReference"/>
        </w:rPr>
        <w:footnoteRef/>
      </w:r>
      <w:r>
        <w:tab/>
        <w:t>Eiropas Parlamenta dokuments Nr. P7_TA(2014)0453.</w:t>
      </w:r>
    </w:p>
  </w:footnote>
  <w:footnote w:id="7">
    <w:p>
      <w:pPr>
        <w:pStyle w:val="FootnoteText"/>
      </w:pPr>
      <w:r>
        <w:rPr>
          <w:rStyle w:val="FootnoteReference"/>
        </w:rPr>
        <w:footnoteRef/>
      </w:r>
      <w:r>
        <w:tab/>
        <w:t>Kopsavilkums, Padomes dokuments Nr. 7908/1/16 REV 1 (2016. gada 27. maijs).</w:t>
      </w:r>
    </w:p>
  </w:footnote>
  <w:footnote w:id="8">
    <w:p>
      <w:pPr>
        <w:pStyle w:val="FootnoteText"/>
      </w:pPr>
      <w:r>
        <w:rPr>
          <w:rStyle w:val="FootnoteReference"/>
        </w:rPr>
        <w:footnoteRef/>
      </w:r>
      <w:r>
        <w:tab/>
        <w:t xml:space="preserve">COM(2015) 185 </w:t>
      </w:r>
      <w:r>
        <w:rPr>
          <w:i/>
        </w:rPr>
        <w:t>final</w:t>
      </w:r>
      <w:r>
        <w:t xml:space="preserve">. </w:t>
      </w:r>
    </w:p>
  </w:footnote>
  <w:footnote w:id="9">
    <w:p>
      <w:pPr>
        <w:pStyle w:val="FootnoteText"/>
      </w:pPr>
      <w:r>
        <w:rPr>
          <w:rStyle w:val="FootnoteReference"/>
        </w:rPr>
        <w:footnoteRef/>
      </w:r>
      <w:r>
        <w:tab/>
        <w:t>OV L 335, 11.11.2004., 8. lpp.</w:t>
      </w:r>
    </w:p>
  </w:footnote>
  <w:footnote w:id="10">
    <w:p>
      <w:pPr>
        <w:pStyle w:val="FootnoteText"/>
      </w:pPr>
      <w:r>
        <w:rPr>
          <w:rStyle w:val="FootnoteReference"/>
        </w:rPr>
        <w:footnoteRef/>
      </w:r>
      <w:r>
        <w:tab/>
        <w:t xml:space="preserve">SWD(2013) 319 </w:t>
      </w:r>
      <w:r>
        <w:rPr>
          <w:i/>
        </w:rPr>
        <w:t>final</w:t>
      </w:r>
      <w:r>
        <w:t>, 46.-75. lpp.</w:t>
      </w:r>
    </w:p>
  </w:footnote>
  <w:footnote w:id="11">
    <w:p>
      <w:pPr>
        <w:pStyle w:val="FootnoteText"/>
      </w:pPr>
      <w:r>
        <w:rPr>
          <w:rStyle w:val="FootnoteReference"/>
        </w:rPr>
        <w:footnoteRef/>
      </w:r>
      <w:r>
        <w:tab/>
        <w:t>OV C , , . lpp.</w:t>
      </w:r>
    </w:p>
  </w:footnote>
  <w:footnote w:id="12">
    <w:p>
      <w:pPr>
        <w:pStyle w:val="FootnoteText"/>
      </w:pPr>
      <w:r>
        <w:rPr>
          <w:rStyle w:val="FootnoteReference"/>
        </w:rPr>
        <w:footnoteRef/>
      </w:r>
      <w:r>
        <w:tab/>
        <w:t>OV C , , . lpp.</w:t>
      </w:r>
    </w:p>
  </w:footnote>
  <w:footnote w:id="13">
    <w:p>
      <w:pPr>
        <w:spacing w:before="0" w:after="0"/>
        <w:ind w:left="709" w:hanging="709"/>
      </w:pPr>
      <w:r>
        <w:rPr>
          <w:rStyle w:val="FootnoteReference"/>
        </w:rPr>
        <w:footnoteRef/>
      </w:r>
      <w:r>
        <w:tab/>
      </w:r>
      <w:r>
        <w:rPr>
          <w:sz w:val="20"/>
          <w:szCs w:val="20"/>
        </w:rPr>
        <w:t>Padomes Vienotā Rīcība 97/396/TI (1997. gada 16. jūnijs) par informācijas apmaiņu, riska novērtējumu un jaunu sintētisko narkotiku kontroli (OV L 167, 25.6.1997., 1. lpp.).</w:t>
      </w:r>
    </w:p>
  </w:footnote>
  <w:footnote w:id="14">
    <w:p>
      <w:pPr>
        <w:pStyle w:val="FootnoteText"/>
      </w:pPr>
      <w:r>
        <w:rPr>
          <w:rStyle w:val="FootnoteReference"/>
        </w:rPr>
        <w:footnoteRef/>
      </w:r>
      <w:r>
        <w:tab/>
        <w:t xml:space="preserve">Padomes Lēmums 2005/387/TI (2005. gada 10. maijs) par informācijas apmaiņu, riska novērtējumu un kontroli attiecībā uz jaunām psihoaktīvām vielām (OV L 127, 20.5.2005., 32. lpp.). </w:t>
      </w:r>
    </w:p>
  </w:footnote>
  <w:footnote w:id="15">
    <w:p>
      <w:pPr>
        <w:pStyle w:val="FootnoteText"/>
      </w:pPr>
      <w:r>
        <w:rPr>
          <w:rStyle w:val="FootnoteReference"/>
        </w:rPr>
        <w:footnoteRef/>
      </w:r>
      <w:r>
        <w:tab/>
        <w:t>Padomes Pamatlēmums 2004/757/TI (2004. gada 25. oktobris), ar ko paredz minimuma noteikumus par noziedzīgu darbību pazīmēm un sodiem narkotisko vielu nelikumīgas tirdzniecības jomā (OV L 335, 11.11.2004., 8. lpp.).</w:t>
      </w:r>
    </w:p>
  </w:footnote>
  <w:footnote w:id="16">
    <w:p>
      <w:pPr>
        <w:pStyle w:val="FootnoteText"/>
      </w:pPr>
      <w:r>
        <w:rPr>
          <w:rStyle w:val="FootnoteReference"/>
        </w:rPr>
        <w:footnoteRef/>
      </w:r>
      <w:r>
        <w:tab/>
        <w:t>Eiropas Parlamenta un Padomes  Regula (EK) Nr. 1920/2006 (2006. gada 12. decembris) par Eiropas Narkotiku un narkomānijas uzraudzības centru (OV L 376, 27.12.2006., 1. lpp.).</w:t>
      </w:r>
    </w:p>
  </w:footnote>
  <w:footnote w:id="17">
    <w:p>
      <w:pPr>
        <w:pStyle w:val="FootnoteText"/>
      </w:pPr>
      <w:r>
        <w:rPr>
          <w:rStyle w:val="FootnoteReference"/>
        </w:rPr>
        <w:footnoteRef/>
      </w:r>
      <w:r>
        <w:tab/>
        <w:t>Eiropas Parlamenta un Padomes Direktīva 2001/83/EK (2001. gada 6. novembris) par Kopienas kodeksu, kas attiecas uz cilvēkiem paredzētām zālēm (OV L 311, 28.11.2001., 67. lpp.).</w:t>
      </w:r>
    </w:p>
  </w:footnote>
  <w:footnote w:id="18">
    <w:p>
      <w:pPr>
        <w:pStyle w:val="FootnoteText"/>
      </w:pPr>
      <w:r>
        <w:rPr>
          <w:rStyle w:val="FootnoteReference"/>
        </w:rPr>
        <w:footnoteRef/>
      </w:r>
      <w:r>
        <w:tab/>
        <w:t>Eiropas Parlamenta un Padomes Direktīva 2001/82/EK (2001. gada 6. novembris) par Kopienas kodeksu, kas attiecas uz veterinārajām zālēm (OV L 311, 28.11.2001., 1. lpp.).</w:t>
      </w:r>
    </w:p>
  </w:footnote>
  <w:footnote w:id="19">
    <w:p>
      <w:pPr>
        <w:pStyle w:val="FootnoteText"/>
      </w:pPr>
      <w:r>
        <w:rPr>
          <w:rStyle w:val="FootnoteReference"/>
        </w:rPr>
        <w:footnoteRef/>
      </w:r>
      <w:r>
        <w:tab/>
        <w:t>Eiropas Parlamenta un Padomes Direktīva 2001/20/EK (2001. gada 4. aprīlis) par dalībvalstu normatīvo un administratīvo aktu tuvināšanu attiecībā uz labas klīniskās prakses ieviešanu klīniskās izpētes veikšanā ar cilvēkiem paredzētām zālēm (OV L 121, 1.5.2001., 34. lpp.).</w:t>
      </w:r>
    </w:p>
  </w:footnote>
  <w:footnote w:id="20">
    <w:p>
      <w:pPr>
        <w:pStyle w:val="FootnoteText"/>
      </w:pPr>
      <w:r>
        <w:rPr>
          <w:rStyle w:val="FootnoteReference"/>
        </w:rPr>
        <w:footnoteRef/>
      </w:r>
      <w:r>
        <w:tab/>
        <w:t>ABM: budžeta līdzekļu vadība pa darbības jomām; ABB: budžeta līdzekļu sadale pa darbības jomām.</w:t>
      </w:r>
    </w:p>
  </w:footnote>
  <w:footnote w:id="21">
    <w:p>
      <w:pPr>
        <w:pStyle w:val="FootnoteText"/>
        <w:rPr>
          <w:szCs w:val="24"/>
        </w:rPr>
      </w:pPr>
      <w:r>
        <w:rPr>
          <w:rStyle w:val="FootnoteReference"/>
        </w:rPr>
        <w:footnoteRef/>
      </w:r>
      <w:r>
        <w:tab/>
        <w:t>Kā paredzēts Finanšu regulas 54. panta 2. punkta a) vai b) apakšpunktā.</w:t>
      </w:r>
    </w:p>
  </w:footnote>
  <w:footnote w:id="22">
    <w:p>
      <w:pPr>
        <w:pStyle w:val="FootnoteText"/>
      </w:pPr>
      <w:r>
        <w:rPr>
          <w:rStyle w:val="FootnoteReference"/>
        </w:rPr>
        <w:footnoteRef/>
      </w:r>
      <w:r>
        <w:tab/>
        <w:t xml:space="preserve">COM(2015) 185 </w:t>
      </w:r>
      <w:r>
        <w:rPr>
          <w:i/>
        </w:rPr>
        <w:t>final</w:t>
      </w:r>
      <w:r>
        <w:t>.</w:t>
      </w:r>
    </w:p>
  </w:footnote>
  <w:footnote w:id="23">
    <w:p>
      <w:pPr>
        <w:pStyle w:val="FootnoteText"/>
      </w:pPr>
      <w:r>
        <w:rPr>
          <w:rStyle w:val="FootnoteReference"/>
        </w:rPr>
        <w:footnoteRef/>
      </w:r>
      <w:r>
        <w:tab/>
        <w:t xml:space="preserve">Skaidrojumus par pārvaldības veidiem un atsauces uz Finanšu regulu skatīt </w:t>
      </w:r>
      <w:r>
        <w:rPr>
          <w:i/>
        </w:rPr>
        <w:t>BudgWeb</w:t>
      </w:r>
      <w:r>
        <w:t xml:space="preserve"> tīmekļa vietnē: </w:t>
      </w:r>
      <w:hyperlink r:id="rId1">
        <w:r>
          <w:rPr>
            <w:rStyle w:val="Hyperlink"/>
            <w:sz w:val="18"/>
          </w:rPr>
          <w:t>http://www.cc.cec/budg/man/budgmanag/budgmanag_en.html</w:t>
        </w:r>
      </w:hyperlink>
    </w:p>
  </w:footnote>
  <w:footnote w:id="24">
    <w:p>
      <w:pPr>
        <w:pStyle w:val="FootnoteText"/>
      </w:pPr>
      <w:r>
        <w:rPr>
          <w:rStyle w:val="FootnoteReference"/>
        </w:rPr>
        <w:footnoteRef/>
      </w:r>
      <w:r>
        <w:tab/>
        <w:t>Dif. = diferencētās apropriācijas, nedif. = nediferencētās apropriācijas.</w:t>
      </w:r>
    </w:p>
  </w:footnote>
  <w:footnote w:id="25">
    <w:p>
      <w:pPr>
        <w:pStyle w:val="FootnoteText"/>
        <w:rPr>
          <w:szCs w:val="24"/>
        </w:rPr>
      </w:pPr>
      <w:r>
        <w:rPr>
          <w:rStyle w:val="FootnoteReference"/>
        </w:rPr>
        <w:footnoteRef/>
      </w:r>
      <w:r>
        <w:tab/>
        <w:t xml:space="preserve">EBTA: Eiropas Brīvās tirdzniecības asociācija. </w:t>
      </w:r>
    </w:p>
  </w:footnote>
  <w:footnote w:id="26">
    <w:p>
      <w:pPr>
        <w:pStyle w:val="FootnoteText"/>
        <w:rPr>
          <w:szCs w:val="24"/>
        </w:rPr>
      </w:pPr>
      <w:r>
        <w:rPr>
          <w:rStyle w:val="FootnoteReference"/>
        </w:rPr>
        <w:footnoteRef/>
      </w:r>
      <w:r>
        <w:tab/>
        <w:t>Kandidātvalstis un attiecīgā gadījumā potenciālās kandidātvalstis no Rietumbalkāniem.</w:t>
      </w:r>
    </w:p>
  </w:footnote>
  <w:footnote w:id="27">
    <w:p>
      <w:pPr>
        <w:pStyle w:val="FootnoteText"/>
        <w:rPr>
          <w:szCs w:val="24"/>
        </w:rPr>
      </w:pPr>
      <w:r>
        <w:rPr>
          <w:rStyle w:val="FootnoteReference"/>
        </w:rPr>
        <w:footnoteRef/>
      </w:r>
      <w:r>
        <w:tab/>
        <w:t>N gads ir gads, kurā priekšlikumu/iniciatīvu sāk īstenot.</w:t>
      </w:r>
    </w:p>
  </w:footnote>
  <w:footnote w:id="28">
    <w:p>
      <w:pPr>
        <w:pStyle w:val="FootnoteText"/>
        <w:rPr>
          <w:szCs w:val="24"/>
        </w:rPr>
      </w:pPr>
      <w:r>
        <w:rPr>
          <w:rStyle w:val="FootnoteReference"/>
        </w:rPr>
        <w:footnoteRef/>
      </w:r>
      <w:r>
        <w:tab/>
        <w:t>Tehniskais un/vai administratīvais atbalsts un ES programmu un/vai darbību īstenošanas atbalsta izdevumi (kādreizējās "BA" pozīcijas), netiešā pētniecība, tiešā pētniecība.</w:t>
      </w:r>
    </w:p>
  </w:footnote>
  <w:footnote w:id="29">
    <w:p>
      <w:pPr>
        <w:pStyle w:val="FootnoteText"/>
      </w:pPr>
      <w:r>
        <w:rPr>
          <w:rStyle w:val="FootnoteReference"/>
        </w:rPr>
        <w:footnoteRef/>
      </w:r>
      <w:r>
        <w:tab/>
        <w:t>N gads ir gads, kurā priekšlikumu/iniciatīvu sāk īstenot.</w:t>
      </w:r>
    </w:p>
  </w:footnote>
  <w:footnote w:id="30">
    <w:p>
      <w:pPr>
        <w:pStyle w:val="FootnoteText"/>
        <w:rPr>
          <w:szCs w:val="24"/>
        </w:rPr>
      </w:pPr>
      <w:r>
        <w:rPr>
          <w:rStyle w:val="FootnoteReference"/>
        </w:rPr>
        <w:footnoteRef/>
      </w:r>
      <w:r>
        <w:tab/>
        <w:t>Rezultāti ir attiecīgie produkti vai pakalpojumi (piem., finansēto studentu apmaiņu skaits, uzbūvēto ceļu garums kilometros utt.).</w:t>
      </w:r>
    </w:p>
  </w:footnote>
  <w:footnote w:id="31">
    <w:p>
      <w:pPr>
        <w:pStyle w:val="FootnoteText"/>
        <w:rPr>
          <w:szCs w:val="24"/>
        </w:rPr>
      </w:pPr>
      <w:r>
        <w:rPr>
          <w:rStyle w:val="FootnoteReference"/>
        </w:rPr>
        <w:footnoteRef/>
      </w:r>
      <w:r>
        <w:tab/>
        <w:t xml:space="preserve">Kā aprakstīts 1.4.2. punktā. "Konkrētais(-ie) mērķis(-i)…" </w:t>
      </w:r>
    </w:p>
  </w:footnote>
  <w:footnote w:id="32">
    <w:p>
      <w:pPr>
        <w:pStyle w:val="FootnoteText"/>
      </w:pPr>
      <w:r>
        <w:rPr>
          <w:rStyle w:val="FootnoteReference"/>
        </w:rPr>
        <w:footnoteRef/>
      </w:r>
      <w:r>
        <w:tab/>
        <w:t>N gads ir gads, kurā priekšlikumu/iniciatīvu sāk īstenot.</w:t>
      </w:r>
    </w:p>
  </w:footnote>
  <w:footnote w:id="33">
    <w:p>
      <w:pPr>
        <w:pStyle w:val="FootnoteText"/>
      </w:pPr>
      <w:r>
        <w:rPr>
          <w:rStyle w:val="FootnoteReference"/>
        </w:rPr>
        <w:footnoteRef/>
      </w:r>
      <w:r>
        <w:tab/>
        <w:t>AC – līgumdarbinieki; AL – vietējie darbinieki; END – valstu norīkotie eksperti; INT = aģentūras darbinieki; JED = jaunākie eksperti delegācijās.</w:t>
      </w:r>
    </w:p>
  </w:footnote>
  <w:footnote w:id="34">
    <w:p>
      <w:pPr>
        <w:pStyle w:val="FootnoteText"/>
      </w:pPr>
      <w:r>
        <w:rPr>
          <w:rStyle w:val="FootnoteReference"/>
        </w:rPr>
        <w:footnoteRef/>
      </w:r>
      <w:r>
        <w:tab/>
        <w:t>Ārštata darbiniekiem paredzēto maksimālo summu finansē no darbības apropriācijām (kādreizējām "BA" pozīcijām).</w:t>
      </w:r>
    </w:p>
  </w:footnote>
  <w:footnote w:id="35">
    <w:p>
      <w:pPr>
        <w:pStyle w:val="FootnoteText"/>
        <w:rPr>
          <w:szCs w:val="24"/>
        </w:rPr>
      </w:pPr>
      <w:r>
        <w:rPr>
          <w:rStyle w:val="FootnoteReference"/>
        </w:rPr>
        <w:footnoteRef/>
      </w:r>
      <w:r>
        <w:tab/>
        <w:t>Norādītajām tradicionālo pašu resursu (muitas nodokļi, cukura nodevas) summām jābūt neto summām, t. i., bruto summām, no kurām atskaitītas iekasēšanas izmaksas 25 % apmērā.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262F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CB40BD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F96E0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3210017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F8E7D9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4"/>
    <w:lvlOverride w:ilvl="0">
      <w:startOverride w:val="1"/>
    </w:lvlOverride>
  </w:num>
  <w:num w:numId="10">
    <w:abstractNumId w:val="2"/>
  </w:num>
  <w:num w:numId="11">
    <w:abstractNumId w:val="1"/>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num>
  <w:num w:numId="15">
    <w:abstractNumId w:val="10"/>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num>
  <w:num w:numId="19">
    <w:abstractNumId w:val="10"/>
  </w:num>
  <w:num w:numId="20">
    <w:abstractNumId w:val="21"/>
  </w:num>
  <w:num w:numId="21">
    <w:abstractNumId w:val="9"/>
  </w:num>
  <w:num w:numId="22">
    <w:abstractNumId w:val="11"/>
  </w:num>
  <w:num w:numId="23">
    <w:abstractNumId w:val="7"/>
  </w:num>
  <w:num w:numId="24">
    <w:abstractNumId w:val="20"/>
  </w:num>
  <w:num w:numId="25">
    <w:abstractNumId w:val="6"/>
  </w:num>
  <w:num w:numId="26">
    <w:abstractNumId w:val="12"/>
  </w:num>
  <w:num w:numId="27">
    <w:abstractNumId w:val="16"/>
  </w:num>
  <w:num w:numId="28">
    <w:abstractNumId w:val="17"/>
  </w:num>
  <w:num w:numId="29">
    <w:abstractNumId w:val="8"/>
  </w:num>
  <w:num w:numId="30">
    <w:abstractNumId w:val="15"/>
  </w:num>
  <w:num w:numId="31">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1"/>
  <w:hideSpellingErrors/>
  <w:hideGrammaticalErrors/>
  <w:attachedTemplate r:id="rId1"/>
  <w:revisionView w:markup="0"/>
  <w:defaultTabStop w:val="720"/>
  <w:hyphenationZone w:val="283"/>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25 11:49:44"/>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65"/>
    <w:docVar w:name="DQCResult_ModifiedMarkers" w:val="0;0"/>
    <w:docVar w:name="DQCResult_ModifiedNumbering" w:val="0;0"/>
    <w:docVar w:name="DQCResult_Objects" w:val="0;0"/>
    <w:docVar w:name="DQCResult_Sections" w:val="0;0"/>
    <w:docVar w:name="DQCResult_StructureCheck" w:val="0;0"/>
    <w:docVar w:name="DQCResult_SuperfluousWhitespace" w:val="0;40"/>
    <w:docVar w:name="DQCResult_UnknownFonts" w:val="0;0"/>
    <w:docVar w:name="DQCResult_UnknownStyles" w:val="0;1"/>
    <w:docVar w:name="DQCStatus" w:val="Green"/>
    <w:docVar w:name="DQCVersion" w:val="3"/>
    <w:docVar w:name="DQCWithWarnings" w:val="0"/>
    <w:docVar w:name="LW_CONFIDENCE" w:val=" "/>
    <w:docVar w:name="LW_CONST_RESTREINT_UE" w:val="RESTREINT UE"/>
    <w:docVar w:name="LW_CORRIGENDUM" w:val="&lt;UNUSED&gt;"/>
    <w:docVar w:name="LW_COVERPAGE_GUID" w:val="A57105BA44CF42BA871FD159CD8A2C23"/>
    <w:docVar w:name="LW_CROSSREFERENCE" w:val="&lt;UNUSED&gt;"/>
    <w:docVar w:name="LW_DocType" w:val="COM"/>
    <w:docVar w:name="LW_EMISSION" w:val="29.8.2016"/>
    <w:docVar w:name="LW_EMISSION_ISODATE" w:val="2016-08-29"/>
    <w:docVar w:name="LW_EMISSION_LOCATION" w:val="BRX"/>
    <w:docVar w:name="LW_EMISSION_PREFIX" w:val="Briselē, "/>
    <w:docVar w:name="LW_EMISSION_SUFFIX" w:val="."/>
    <w:docVar w:name="LW_ID_DOCMODEL" w:val="SJ-023"/>
    <w:docVar w:name="LW_ID_DOCSIGNATURE" w:val="SJ-023"/>
    <w:docVar w:name="LW_ID_DOCSTRUCTURE" w:val="COM/PL/ORG"/>
    <w:docVar w:name="LW_ID_DOCTYPE" w:val="SJ-023"/>
    <w:docVar w:name="LW_ID_STATUT" w:val="SJ-023"/>
    <w:docVar w:name="LW_INTERETEEE.CP" w:val="&lt;UNUSED&gt;"/>
    <w:docVar w:name="LW_LANGUE" w:val="LV"/>
    <w:docVar w:name="LW_MARKING" w:val="&lt;UNUSED&gt;"/>
    <w:docVar w:name="LW_NOM.INST" w:val="EIROPAS KOMISIJA"/>
    <w:docVar w:name="LW_NOM.INST_JOINTDOC" w:val="&lt;EMPTY&gt;"/>
    <w:docVar w:name="LW_PART_NBR" w:val="1"/>
    <w:docVar w:name="LW_PART_NBR_TOTAL" w:val="1"/>
    <w:docVar w:name="LW_REF.II.NEW.CP" w:val="COD"/>
    <w:docVar w:name="LW_REF.II.NEW.CP_NUMBER" w:val="0261"/>
    <w:docVar w:name="LW_REF.II.NEW.CP_YEAR" w:val="2016"/>
    <w:docVar w:name="LW_REF.INST.NEW" w:val="COM"/>
    <w:docVar w:name="LW_REF.INST.NEW_ADOPTED" w:val="final"/>
    <w:docVar w:name="LW_REF.INST.NEW_TEXT" w:val="(2016) 547"/>
    <w:docVar w:name="LW_REF.INTERNE" w:val="&lt;UNUSED&gt;"/>
    <w:docVar w:name="LW_SOUS.TITRE.OBJ.CP" w:val="&lt;UNUSED&gt;"/>
    <w:docVar w:name="LW_STATUT.CP" w:val="Priek\u353?likums"/>
    <w:docVar w:name="LW_SUPERTITRE" w:val="&lt;UNUSED&gt;"/>
    <w:docVar w:name="LW_TITRE.OBJ.CP" w:val="ar ko groza Regulu (EK) Nr. 1920/2006 attiec\u299?b\u257? uz inform\u257?cijas apmai\u326?u, agr\u299?n\u257?s br\u299?din\u257?\u353?anas sist\u275?mu un riska nov\u275?rt\u275?\u353?anu saist\u299?b\u257? ar jaun\u257?m psihoakt\u299?v\u257?m viel\u257?m"/>
    <w:docVar w:name="LW_TYPE.DOC.CP" w:val="EIROPAS PARLAMENTA UN PADOMES REGUL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v-LV"/>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v-LV"/>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v-LV"/>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v-LV"/>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912935">
      <w:bodyDiv w:val="1"/>
      <w:marLeft w:val="0"/>
      <w:marRight w:val="0"/>
      <w:marTop w:val="0"/>
      <w:marBottom w:val="0"/>
      <w:divBdr>
        <w:top w:val="none" w:sz="0" w:space="0" w:color="auto"/>
        <w:left w:val="none" w:sz="0" w:space="0" w:color="auto"/>
        <w:bottom w:val="none" w:sz="0" w:space="0" w:color="auto"/>
        <w:right w:val="none" w:sz="0" w:space="0" w:color="auto"/>
      </w:divBdr>
    </w:div>
    <w:div w:id="1017847218">
      <w:bodyDiv w:val="1"/>
      <w:marLeft w:val="0"/>
      <w:marRight w:val="0"/>
      <w:marTop w:val="0"/>
      <w:marBottom w:val="0"/>
      <w:divBdr>
        <w:top w:val="none" w:sz="0" w:space="0" w:color="auto"/>
        <w:left w:val="none" w:sz="0" w:space="0" w:color="auto"/>
        <w:bottom w:val="none" w:sz="0" w:space="0" w:color="auto"/>
        <w:right w:val="none" w:sz="0" w:space="0" w:color="auto"/>
      </w:divBdr>
    </w:div>
    <w:div w:id="150866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6002F-A8C0-4BC0-8446-9FF896CC8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26</Pages>
  <Words>5789</Words>
  <Characters>38907</Characters>
  <Application>Microsoft Office Word</Application>
  <DocSecurity>0</DocSecurity>
  <Lines>1496</Lines>
  <Paragraphs>709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2016-07-20T10:33:00Z</cp:lastPrinted>
  <dcterms:created xsi:type="dcterms:W3CDTF">2016-08-24T10:02:00Z</dcterms:created>
  <dcterms:modified xsi:type="dcterms:W3CDTF">2016-08-25T09:49:00Z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