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E9FE97071AD4F13A385D572885BF505" style="width:450.7pt;height:338.5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PASKAIDROJUMA RAKSTS</w:t>
      </w:r>
    </w:p>
    <w:p>
      <w:pPr>
        <w:pStyle w:val="ManualHeading1"/>
        <w:rPr>
          <w:noProof/>
        </w:rPr>
      </w:pPr>
      <w:r>
        <w:rPr>
          <w:noProof/>
        </w:rPr>
        <w:t>PRIEKŠLIKUMA KONTEKSTS</w:t>
      </w:r>
    </w:p>
    <w:p>
      <w:pPr>
        <w:pStyle w:val="ManualNumPar1"/>
        <w:rPr>
          <w:noProof/>
        </w:rPr>
      </w:pPr>
      <w:r>
        <w:t>1.</w:t>
      </w:r>
      <w:r>
        <w:tab/>
      </w:r>
      <w:r>
        <w:rPr>
          <w:noProof/>
        </w:rPr>
        <w:t>Noteikumi, kas piemērojami finansiālajiem ieguldījumiem no Eiropas Globalizācijas pielāgošanās fonda (EGF), ir izklāstīti Eiropas Parlamenta un Padomes 2013. gada 17. decembra Regulā (ES) Nr. 1309/2013 par Eiropas Globalizācijas pielāgošanās fondu (2014–2020) un ar ko atceļ Regulu (EK) Nr. 1927/2006</w:t>
      </w:r>
      <w:r>
        <w:rPr>
          <w:rStyle w:val="FootnoteReference"/>
          <w:noProof/>
        </w:rPr>
        <w:footnoteReference w:id="1"/>
      </w:r>
      <w:r>
        <w:rPr>
          <w:noProof/>
        </w:rPr>
        <w:t xml:space="preserve"> (turpmāk “EGF regula”).</w:t>
      </w:r>
    </w:p>
    <w:p>
      <w:pPr>
        <w:pStyle w:val="ManualNumPar1"/>
        <w:rPr>
          <w:noProof/>
        </w:rPr>
      </w:pPr>
      <w:r>
        <w:t>2.</w:t>
      </w:r>
      <w:r>
        <w:tab/>
      </w:r>
      <w:r>
        <w:rPr>
          <w:noProof/>
        </w:rPr>
        <w:t xml:space="preserve">Grieķija 2015. gada 26. novembrī iesniedza pieteikumu EGF/2015/011 GR/ </w:t>
      </w:r>
      <w:r>
        <w:rPr>
          <w:i/>
          <w:noProof/>
        </w:rPr>
        <w:t>Supermarket Larissa</w:t>
      </w:r>
      <w:r>
        <w:rPr>
          <w:noProof/>
        </w:rPr>
        <w:t xml:space="preserve"> par EGF finansiālo ieguldījumu pēc darba ņēmēju atlaišanas</w:t>
      </w:r>
      <w:r>
        <w:rPr>
          <w:rStyle w:val="FootnoteReference"/>
          <w:noProof/>
        </w:rPr>
        <w:footnoteReference w:id="2"/>
      </w:r>
      <w:r>
        <w:rPr>
          <w:noProof/>
        </w:rPr>
        <w:t xml:space="preserve"> uzņēmumā </w:t>
      </w:r>
      <w:r>
        <w:rPr>
          <w:i/>
          <w:noProof/>
        </w:rPr>
        <w:t>Supermarket Larissa ABEE</w:t>
      </w:r>
      <w:r>
        <w:rPr>
          <w:noProof/>
        </w:rPr>
        <w:t xml:space="preserve"> Grieķijā.</w:t>
      </w:r>
    </w:p>
    <w:p>
      <w:pPr>
        <w:pStyle w:val="ManualNumPar1"/>
        <w:rPr>
          <w:noProof/>
        </w:rPr>
      </w:pPr>
      <w:r>
        <w:t>3.</w:t>
      </w:r>
      <w:r>
        <w:tab/>
      </w:r>
      <w:r>
        <w:rPr>
          <w:noProof/>
        </w:rPr>
        <w:t xml:space="preserve">Pēc šā pieteikuma izvērtēšanas Komisija saskaņā ar visiem piemērojamajiem EGF regulas noteikumiem secināja, ka nosacījumi EGF finansiālā ieguldījuma saņemšanai ir izpildīti. </w:t>
      </w:r>
    </w:p>
    <w:p>
      <w:pPr>
        <w:pStyle w:val="ManualHeading1"/>
        <w:rPr>
          <w:noProof/>
        </w:rPr>
      </w:pPr>
      <w:r>
        <w:rPr>
          <w:noProof/>
        </w:rPr>
        <w:t>PIETEIKUMA KOPSAVILKUMS</w:t>
      </w:r>
    </w:p>
    <w:tbl>
      <w:tblPr>
        <w:tblW w:w="0" w:type="auto"/>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4668"/>
        <w:gridCol w:w="1560"/>
        <w:gridCol w:w="3059"/>
      </w:tblGrid>
      <w:tr>
        <w:tc>
          <w:tcPr>
            <w:tcW w:w="4668" w:type="dxa"/>
            <w:shd w:val="clear" w:color="auto" w:fill="auto"/>
          </w:tcPr>
          <w:p>
            <w:pPr>
              <w:spacing w:before="60" w:after="60"/>
              <w:jc w:val="left"/>
              <w:rPr>
                <w:rFonts w:eastAsia="Calibri"/>
                <w:noProof/>
              </w:rPr>
            </w:pPr>
            <w:r>
              <w:rPr>
                <w:noProof/>
              </w:rPr>
              <w:t>EGF pieteikums</w:t>
            </w:r>
          </w:p>
        </w:tc>
        <w:tc>
          <w:tcPr>
            <w:tcW w:w="4619" w:type="dxa"/>
            <w:gridSpan w:val="2"/>
            <w:shd w:val="clear" w:color="auto" w:fill="auto"/>
          </w:tcPr>
          <w:p>
            <w:pPr>
              <w:spacing w:before="60" w:after="60"/>
              <w:ind w:rightChars="192" w:right="461"/>
              <w:jc w:val="left"/>
              <w:rPr>
                <w:rFonts w:eastAsia="Calibri"/>
                <w:noProof/>
              </w:rPr>
            </w:pPr>
            <w:r>
              <w:rPr>
                <w:noProof/>
              </w:rPr>
              <w:t>EGF/2015/011 GR/</w:t>
            </w:r>
            <w:r>
              <w:rPr>
                <w:i/>
                <w:noProof/>
              </w:rPr>
              <w:t>Supermarket Larissa</w:t>
            </w:r>
          </w:p>
        </w:tc>
      </w:tr>
      <w:tr>
        <w:tc>
          <w:tcPr>
            <w:tcW w:w="4668" w:type="dxa"/>
            <w:shd w:val="clear" w:color="auto" w:fill="auto"/>
          </w:tcPr>
          <w:p>
            <w:pPr>
              <w:spacing w:before="60" w:after="60"/>
              <w:jc w:val="left"/>
              <w:rPr>
                <w:rFonts w:eastAsia="Calibri"/>
                <w:noProof/>
              </w:rPr>
            </w:pPr>
            <w:r>
              <w:rPr>
                <w:noProof/>
              </w:rPr>
              <w:t>Dalībvalsts</w:t>
            </w:r>
          </w:p>
        </w:tc>
        <w:tc>
          <w:tcPr>
            <w:tcW w:w="4619" w:type="dxa"/>
            <w:gridSpan w:val="2"/>
            <w:shd w:val="clear" w:color="auto" w:fill="auto"/>
          </w:tcPr>
          <w:p>
            <w:pPr>
              <w:spacing w:before="60" w:after="60"/>
              <w:ind w:rightChars="192" w:right="461"/>
              <w:jc w:val="left"/>
              <w:rPr>
                <w:rFonts w:eastAsia="Calibri"/>
                <w:noProof/>
              </w:rPr>
            </w:pPr>
            <w:r>
              <w:rPr>
                <w:noProof/>
              </w:rPr>
              <w:t>Grieķija</w:t>
            </w:r>
          </w:p>
        </w:tc>
      </w:tr>
      <w:tr>
        <w:tc>
          <w:tcPr>
            <w:tcW w:w="4668" w:type="dxa"/>
            <w:tcBorders>
              <w:bottom w:val="single" w:sz="4" w:space="0" w:color="auto"/>
            </w:tcBorders>
            <w:shd w:val="clear" w:color="auto" w:fill="auto"/>
          </w:tcPr>
          <w:p>
            <w:pPr>
              <w:spacing w:before="60" w:after="60"/>
              <w:jc w:val="left"/>
              <w:rPr>
                <w:rFonts w:eastAsia="Calibri"/>
                <w:noProof/>
              </w:rPr>
            </w:pPr>
            <w:r>
              <w:rPr>
                <w:noProof/>
              </w:rPr>
              <w:t>Attiecīgais(-ie) reģions(-i) (</w:t>
            </w:r>
            <w:r>
              <w:rPr>
                <w:i/>
                <w:noProof/>
              </w:rPr>
              <w:t>NUTS</w:t>
            </w:r>
            <w:r>
              <w:rPr>
                <w:rStyle w:val="FootnoteReference"/>
                <w:noProof/>
              </w:rPr>
              <w:footnoteReference w:id="3"/>
            </w:r>
            <w:r>
              <w:rPr>
                <w:noProof/>
              </w:rPr>
              <w:t xml:space="preserve"> 2. līmenis)</w:t>
            </w:r>
          </w:p>
        </w:tc>
        <w:tc>
          <w:tcPr>
            <w:tcW w:w="4619" w:type="dxa"/>
            <w:gridSpan w:val="2"/>
            <w:tcBorders>
              <w:bottom w:val="single" w:sz="4" w:space="0" w:color="auto"/>
            </w:tcBorders>
            <w:shd w:val="clear" w:color="auto" w:fill="auto"/>
          </w:tcPr>
          <w:p>
            <w:pPr>
              <w:spacing w:before="0" w:after="0"/>
              <w:ind w:rightChars="192" w:right="461"/>
              <w:jc w:val="left"/>
              <w:rPr>
                <w:noProof/>
                <w:szCs w:val="24"/>
              </w:rPr>
            </w:pPr>
            <w:r>
              <w:rPr>
                <w:noProof/>
              </w:rPr>
              <w:t xml:space="preserve">Centrālā Maķedonija </w:t>
            </w:r>
            <w:r>
              <w:rPr>
                <w:noProof/>
              </w:rPr>
              <w:br/>
              <w:t>(</w:t>
            </w:r>
            <w:r>
              <w:rPr>
                <w:i/>
                <w:noProof/>
              </w:rPr>
              <w:t>Κεντρική Μακεδονία</w:t>
            </w:r>
            <w:r>
              <w:rPr>
                <w:noProof/>
              </w:rPr>
              <w:t>) (EL12)</w:t>
            </w:r>
            <w:r>
              <w:rPr>
                <w:noProof/>
              </w:rPr>
              <w:br/>
              <w:t>Tesālija</w:t>
            </w:r>
            <w:r>
              <w:rPr>
                <w:noProof/>
              </w:rPr>
              <w:br/>
              <w:t>(</w:t>
            </w:r>
            <w:r>
              <w:rPr>
                <w:i/>
                <w:noProof/>
              </w:rPr>
              <w:t>Θεσσαλία</w:t>
            </w:r>
            <w:r>
              <w:rPr>
                <w:noProof/>
              </w:rPr>
              <w:t>) (EL14)</w:t>
            </w:r>
          </w:p>
        </w:tc>
      </w:tr>
      <w:tr>
        <w:tc>
          <w:tcPr>
            <w:tcW w:w="4668" w:type="dxa"/>
            <w:tcBorders>
              <w:bottom w:val="dotted" w:sz="4" w:space="0" w:color="auto"/>
            </w:tcBorders>
            <w:shd w:val="clear" w:color="auto" w:fill="auto"/>
          </w:tcPr>
          <w:p>
            <w:pPr>
              <w:spacing w:before="60" w:after="60"/>
              <w:jc w:val="left"/>
              <w:rPr>
                <w:rFonts w:eastAsia="Calibri"/>
                <w:noProof/>
              </w:rPr>
            </w:pPr>
            <w:r>
              <w:rPr>
                <w:noProof/>
              </w:rPr>
              <w:t>Pieteikuma iesniegšanas datums</w:t>
            </w:r>
          </w:p>
        </w:tc>
        <w:tc>
          <w:tcPr>
            <w:tcW w:w="4619" w:type="dxa"/>
            <w:gridSpan w:val="2"/>
            <w:tcBorders>
              <w:bottom w:val="dotted" w:sz="4" w:space="0" w:color="auto"/>
            </w:tcBorders>
            <w:shd w:val="clear" w:color="auto" w:fill="auto"/>
          </w:tcPr>
          <w:p>
            <w:pPr>
              <w:spacing w:before="60" w:after="60"/>
              <w:ind w:rightChars="192" w:right="461"/>
              <w:jc w:val="left"/>
              <w:rPr>
                <w:rFonts w:eastAsia="Calibri"/>
                <w:noProof/>
              </w:rPr>
            </w:pPr>
            <w:r>
              <w:rPr>
                <w:noProof/>
              </w:rPr>
              <w:t>2015. gada 26. novembris</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Pieteikuma saņemšanas apliecinājuma datums</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2015. gada 1. decembris</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Papildu informācijas pieprasījuma datums</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2015. gada 10. decembris</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Papildu informācijas iesniegšanas termiņš</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2016. gada 21. janvāris</w:t>
            </w:r>
          </w:p>
        </w:tc>
      </w:tr>
      <w:tr>
        <w:tc>
          <w:tcPr>
            <w:tcW w:w="4668" w:type="dxa"/>
            <w:tcBorders>
              <w:top w:val="dotted" w:sz="4" w:space="0" w:color="auto"/>
            </w:tcBorders>
            <w:shd w:val="clear" w:color="auto" w:fill="auto"/>
          </w:tcPr>
          <w:p>
            <w:pPr>
              <w:spacing w:before="60" w:after="60"/>
              <w:jc w:val="left"/>
              <w:rPr>
                <w:rFonts w:eastAsia="Calibri"/>
                <w:noProof/>
              </w:rPr>
            </w:pPr>
            <w:r>
              <w:rPr>
                <w:noProof/>
              </w:rPr>
              <w:t>Izvērtējuma pabeigšanas termiņš</w:t>
            </w:r>
          </w:p>
        </w:tc>
        <w:tc>
          <w:tcPr>
            <w:tcW w:w="4619" w:type="dxa"/>
            <w:gridSpan w:val="2"/>
            <w:tcBorders>
              <w:top w:val="dotted" w:sz="4" w:space="0" w:color="auto"/>
            </w:tcBorders>
            <w:shd w:val="clear" w:color="auto" w:fill="auto"/>
          </w:tcPr>
          <w:p>
            <w:pPr>
              <w:spacing w:before="60" w:after="60"/>
              <w:ind w:rightChars="192" w:right="461"/>
              <w:jc w:val="left"/>
              <w:rPr>
                <w:rFonts w:eastAsia="Calibri"/>
                <w:noProof/>
              </w:rPr>
            </w:pPr>
            <w:r>
              <w:rPr>
                <w:noProof/>
              </w:rPr>
              <w:t>2016. gada 14. aprīlis</w:t>
            </w:r>
          </w:p>
        </w:tc>
      </w:tr>
      <w:tr>
        <w:tc>
          <w:tcPr>
            <w:tcW w:w="4668" w:type="dxa"/>
            <w:shd w:val="clear" w:color="auto" w:fill="auto"/>
          </w:tcPr>
          <w:p>
            <w:pPr>
              <w:spacing w:before="60" w:after="60"/>
              <w:jc w:val="left"/>
              <w:rPr>
                <w:rFonts w:eastAsia="Calibri"/>
                <w:noProof/>
              </w:rPr>
            </w:pPr>
            <w:r>
              <w:rPr>
                <w:noProof/>
              </w:rPr>
              <w:t>Intervences kritērijs</w:t>
            </w:r>
          </w:p>
        </w:tc>
        <w:tc>
          <w:tcPr>
            <w:tcW w:w="4619" w:type="dxa"/>
            <w:gridSpan w:val="2"/>
            <w:shd w:val="clear" w:color="auto" w:fill="auto"/>
          </w:tcPr>
          <w:p>
            <w:pPr>
              <w:spacing w:before="60" w:after="60"/>
              <w:ind w:rightChars="192" w:right="461"/>
              <w:jc w:val="left"/>
              <w:rPr>
                <w:rFonts w:eastAsia="Calibri"/>
                <w:noProof/>
              </w:rPr>
            </w:pPr>
            <w:r>
              <w:rPr>
                <w:noProof/>
              </w:rPr>
              <w:t>EGF regulas 4. panta 1. punkta a) apakšpunkts</w:t>
            </w:r>
          </w:p>
        </w:tc>
      </w:tr>
      <w:tr>
        <w:tc>
          <w:tcPr>
            <w:tcW w:w="466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Galvenais uzņēmums</w:t>
            </w:r>
          </w:p>
        </w:tc>
        <w:tc>
          <w:tcPr>
            <w:tcW w:w="4619" w:type="dxa"/>
            <w:gridSpan w:val="2"/>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i/>
                <w:noProof/>
              </w:rPr>
              <w:t>Supermarket Larissa ABEE</w:t>
            </w:r>
          </w:p>
        </w:tc>
      </w:tr>
      <w:tr>
        <w:tc>
          <w:tcPr>
            <w:tcW w:w="4668" w:type="dxa"/>
            <w:tcBorders>
              <w:top w:val="single" w:sz="4" w:space="0" w:color="auto"/>
              <w:bottom w:val="single" w:sz="4" w:space="0" w:color="auto"/>
              <w:right w:val="single" w:sz="4" w:space="0" w:color="auto"/>
            </w:tcBorders>
            <w:shd w:val="clear" w:color="auto" w:fill="auto"/>
          </w:tcPr>
          <w:p>
            <w:pPr>
              <w:spacing w:before="60" w:after="60"/>
              <w:jc w:val="left"/>
              <w:rPr>
                <w:rFonts w:eastAsia="Calibri"/>
                <w:noProof/>
              </w:rPr>
            </w:pPr>
            <w:r>
              <w:rPr>
                <w:noProof/>
              </w:rPr>
              <w:br w:type="page"/>
              <w:t>Attiecīgo uzņēmumu skaits</w:t>
            </w:r>
          </w:p>
        </w:tc>
        <w:tc>
          <w:tcPr>
            <w:tcW w:w="4619" w:type="dxa"/>
            <w:gridSpan w:val="2"/>
            <w:tcBorders>
              <w:top w:val="single" w:sz="4" w:space="0" w:color="auto"/>
              <w:left w:val="single" w:sz="4" w:space="0" w:color="auto"/>
              <w:bottom w:val="single" w:sz="4" w:space="0" w:color="auto"/>
            </w:tcBorders>
            <w:shd w:val="clear" w:color="auto" w:fill="auto"/>
          </w:tcPr>
          <w:p>
            <w:pPr>
              <w:spacing w:before="60" w:after="60"/>
              <w:ind w:rightChars="192" w:right="461"/>
              <w:jc w:val="left"/>
              <w:rPr>
                <w:noProof/>
                <w:szCs w:val="24"/>
              </w:rPr>
            </w:pPr>
            <w:r>
              <w:rPr>
                <w:noProof/>
              </w:rPr>
              <w:t>1</w:t>
            </w:r>
          </w:p>
        </w:tc>
      </w:tr>
      <w:tr>
        <w:tc>
          <w:tcPr>
            <w:tcW w:w="4668" w:type="dxa"/>
            <w:shd w:val="clear" w:color="auto" w:fill="auto"/>
          </w:tcPr>
          <w:p>
            <w:pPr>
              <w:spacing w:before="60" w:after="60"/>
              <w:jc w:val="left"/>
              <w:rPr>
                <w:rFonts w:eastAsia="Calibri"/>
                <w:noProof/>
              </w:rPr>
            </w:pPr>
            <w:r>
              <w:rPr>
                <w:noProof/>
              </w:rPr>
              <w:t>Saimnieciskās darbības nozare</w:t>
            </w:r>
          </w:p>
          <w:p>
            <w:pPr>
              <w:spacing w:before="60" w:after="60"/>
              <w:jc w:val="left"/>
              <w:rPr>
                <w:rFonts w:eastAsia="Calibri"/>
                <w:noProof/>
              </w:rPr>
            </w:pPr>
            <w:r>
              <w:rPr>
                <w:noProof/>
              </w:rPr>
              <w:t>(</w:t>
            </w:r>
            <w:r>
              <w:rPr>
                <w:i/>
                <w:noProof/>
              </w:rPr>
              <w:t>NACE</w:t>
            </w:r>
            <w:r>
              <w:rPr>
                <w:noProof/>
              </w:rPr>
              <w:t xml:space="preserve"> 2. redakcijas nodaļa)</w:t>
            </w:r>
            <w:r>
              <w:rPr>
                <w:rStyle w:val="FootnoteReference"/>
                <w:noProof/>
              </w:rPr>
              <w:footnoteReference w:id="4"/>
            </w:r>
          </w:p>
        </w:tc>
        <w:tc>
          <w:tcPr>
            <w:tcW w:w="4619" w:type="dxa"/>
            <w:gridSpan w:val="2"/>
            <w:shd w:val="clear" w:color="auto" w:fill="auto"/>
          </w:tcPr>
          <w:p>
            <w:pPr>
              <w:spacing w:before="60" w:after="60"/>
              <w:ind w:rightChars="192" w:right="461"/>
              <w:jc w:val="left"/>
              <w:rPr>
                <w:rFonts w:eastAsia="Calibri"/>
                <w:noProof/>
              </w:rPr>
            </w:pPr>
            <w:r>
              <w:rPr>
                <w:noProof/>
              </w:rPr>
              <w:t>47. nodaļa (“Mazumtirdzniecība, izņemot automobiļus un motociklus”)</w:t>
            </w:r>
          </w:p>
        </w:tc>
      </w:tr>
      <w:tr>
        <w:tc>
          <w:tcPr>
            <w:tcW w:w="4668" w:type="dxa"/>
            <w:shd w:val="clear" w:color="auto" w:fill="auto"/>
          </w:tcPr>
          <w:p>
            <w:pPr>
              <w:spacing w:before="60" w:after="60"/>
              <w:jc w:val="left"/>
              <w:rPr>
                <w:rFonts w:eastAsia="Calibri"/>
                <w:noProof/>
              </w:rPr>
            </w:pPr>
            <w:r>
              <w:rPr>
                <w:noProof/>
              </w:rPr>
              <w:br w:type="page"/>
              <w:t>Meitasuzņēmumu, piegādes un pakārtotās ražošanas uzņēmumu skaits</w:t>
            </w:r>
          </w:p>
        </w:tc>
        <w:tc>
          <w:tcPr>
            <w:tcW w:w="4619" w:type="dxa"/>
            <w:gridSpan w:val="2"/>
            <w:shd w:val="clear" w:color="auto" w:fill="auto"/>
          </w:tcPr>
          <w:p>
            <w:pPr>
              <w:spacing w:before="60" w:after="60"/>
              <w:ind w:rightChars="192" w:right="461"/>
              <w:jc w:val="left"/>
              <w:rPr>
                <w:rFonts w:eastAsia="Calibri"/>
                <w:noProof/>
              </w:rPr>
            </w:pPr>
            <w:r>
              <w:rPr>
                <w:noProof/>
              </w:rPr>
              <w:t>0</w:t>
            </w:r>
          </w:p>
        </w:tc>
      </w:tr>
      <w:tr>
        <w:tc>
          <w:tcPr>
            <w:tcW w:w="4668" w:type="dxa"/>
            <w:tcBorders>
              <w:bottom w:val="single" w:sz="4" w:space="0" w:color="auto"/>
            </w:tcBorders>
            <w:shd w:val="clear" w:color="auto" w:fill="auto"/>
          </w:tcPr>
          <w:p>
            <w:pPr>
              <w:spacing w:before="60" w:after="60"/>
              <w:jc w:val="left"/>
              <w:rPr>
                <w:rFonts w:eastAsia="Calibri"/>
                <w:noProof/>
              </w:rPr>
            </w:pPr>
            <w:r>
              <w:rPr>
                <w:noProof/>
              </w:rPr>
              <w:t>Pārskata periods (četri mēneši)</w:t>
            </w:r>
          </w:p>
        </w:tc>
        <w:tc>
          <w:tcPr>
            <w:tcW w:w="4619" w:type="dxa"/>
            <w:gridSpan w:val="2"/>
            <w:tcBorders>
              <w:bottom w:val="single" w:sz="4" w:space="0" w:color="auto"/>
            </w:tcBorders>
            <w:shd w:val="clear" w:color="auto" w:fill="auto"/>
          </w:tcPr>
          <w:p>
            <w:pPr>
              <w:spacing w:before="60" w:after="60"/>
              <w:ind w:rightChars="192" w:right="461"/>
              <w:jc w:val="left"/>
              <w:rPr>
                <w:rFonts w:eastAsia="Calibri"/>
                <w:noProof/>
              </w:rPr>
            </w:pPr>
            <w:r>
              <w:rPr>
                <w:noProof/>
              </w:rPr>
              <w:t>2015. gada 3. maijs – 2015. gada 3. septembris</w:t>
            </w:r>
          </w:p>
        </w:tc>
      </w:tr>
      <w:tr>
        <w:tc>
          <w:tcPr>
            <w:tcW w:w="4668" w:type="dxa"/>
            <w:tcBorders>
              <w:bottom w:val="dotted" w:sz="4" w:space="0" w:color="auto"/>
            </w:tcBorders>
            <w:shd w:val="clear" w:color="auto" w:fill="auto"/>
          </w:tcPr>
          <w:p>
            <w:pPr>
              <w:spacing w:before="60" w:after="60"/>
              <w:jc w:val="left"/>
              <w:rPr>
                <w:rFonts w:eastAsia="Calibri"/>
                <w:noProof/>
                <w:highlight w:val="magenta"/>
              </w:rPr>
            </w:pPr>
            <w:r>
              <w:rPr>
                <w:noProof/>
              </w:rPr>
              <w:t>Atlaisto darba ņēmēju skaits pārskata periodā (</w:t>
            </w:r>
            <w:r>
              <w:rPr>
                <w:i/>
                <w:noProof/>
              </w:rPr>
              <w:t>a</w:t>
            </w:r>
            <w:r>
              <w:rPr>
                <w:noProof/>
              </w:rPr>
              <w:t>)</w:t>
            </w:r>
          </w:p>
        </w:tc>
        <w:tc>
          <w:tcPr>
            <w:tcW w:w="4619" w:type="dxa"/>
            <w:gridSpan w:val="2"/>
            <w:tcBorders>
              <w:bottom w:val="dotted" w:sz="4" w:space="0" w:color="auto"/>
            </w:tcBorders>
            <w:shd w:val="clear" w:color="auto" w:fill="auto"/>
          </w:tcPr>
          <w:p>
            <w:pPr>
              <w:spacing w:before="60" w:after="60"/>
              <w:ind w:rightChars="192" w:right="461"/>
              <w:jc w:val="left"/>
              <w:rPr>
                <w:rFonts w:eastAsia="Calibri"/>
                <w:noProof/>
                <w:highlight w:val="magenta"/>
              </w:rPr>
            </w:pPr>
            <w:r>
              <w:rPr>
                <w:noProof/>
              </w:rPr>
              <w:t>557</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highlight w:val="magenta"/>
              </w:rPr>
            </w:pPr>
            <w:r>
              <w:rPr>
                <w:noProof/>
              </w:rPr>
              <w:t>Atlaisto darba ņēmēju skaits pirms vai pēc pārskata perioda (</w:t>
            </w:r>
            <w:r>
              <w:rPr>
                <w:i/>
                <w:noProof/>
              </w:rPr>
              <w:t>b</w:t>
            </w:r>
            <w:r>
              <w:rPr>
                <w:noProof/>
              </w:rPr>
              <w:t>)</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0</w:t>
            </w:r>
          </w:p>
        </w:tc>
      </w:tr>
      <w:tr>
        <w:tc>
          <w:tcPr>
            <w:tcW w:w="466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Kopējais atlaisto darba ņēmēju skaits (</w:t>
            </w:r>
            <w:r>
              <w:rPr>
                <w:i/>
                <w:noProof/>
              </w:rPr>
              <w:t>a</w:t>
            </w:r>
            <w:r>
              <w:rPr>
                <w:noProof/>
              </w:rPr>
              <w:t xml:space="preserve"> + </w:t>
            </w:r>
            <w:r>
              <w:rPr>
                <w:i/>
                <w:noProof/>
              </w:rPr>
              <w:t>b</w:t>
            </w:r>
            <w:r>
              <w:rPr>
                <w:noProof/>
              </w:rPr>
              <w:t>)</w:t>
            </w:r>
          </w:p>
        </w:tc>
        <w:tc>
          <w:tcPr>
            <w:tcW w:w="4619" w:type="dxa"/>
            <w:gridSpan w:val="2"/>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557</w:t>
            </w:r>
          </w:p>
        </w:tc>
      </w:tr>
      <w:tr>
        <w:tc>
          <w:tcPr>
            <w:tcW w:w="4668" w:type="dxa"/>
            <w:tcBorders>
              <w:bottom w:val="dotted" w:sz="4" w:space="0" w:color="auto"/>
            </w:tcBorders>
            <w:shd w:val="clear" w:color="auto" w:fill="auto"/>
          </w:tcPr>
          <w:p>
            <w:pPr>
              <w:spacing w:before="60" w:after="60"/>
              <w:jc w:val="left"/>
              <w:rPr>
                <w:rFonts w:eastAsia="Calibri"/>
                <w:noProof/>
              </w:rPr>
            </w:pPr>
            <w:r>
              <w:rPr>
                <w:noProof/>
              </w:rPr>
              <w:t>Atbalsttiesīgo saņēmēju kopskaits</w:t>
            </w:r>
          </w:p>
        </w:tc>
        <w:tc>
          <w:tcPr>
            <w:tcW w:w="4619" w:type="dxa"/>
            <w:gridSpan w:val="2"/>
            <w:tcBorders>
              <w:bottom w:val="dotted" w:sz="4" w:space="0" w:color="auto"/>
            </w:tcBorders>
            <w:shd w:val="clear" w:color="auto" w:fill="auto"/>
          </w:tcPr>
          <w:p>
            <w:pPr>
              <w:spacing w:before="60" w:after="60"/>
              <w:ind w:rightChars="192" w:right="461"/>
              <w:jc w:val="left"/>
              <w:rPr>
                <w:rFonts w:eastAsia="Calibri"/>
                <w:noProof/>
              </w:rPr>
            </w:pPr>
            <w:r>
              <w:rPr>
                <w:noProof/>
              </w:rPr>
              <w:t>557</w:t>
            </w:r>
          </w:p>
        </w:tc>
      </w:tr>
      <w:tr>
        <w:tc>
          <w:tcPr>
            <w:tcW w:w="4668" w:type="dxa"/>
            <w:tcBorders>
              <w:top w:val="dotted" w:sz="4" w:space="0" w:color="auto"/>
              <w:bottom w:val="dotted" w:sz="4" w:space="0" w:color="auto"/>
            </w:tcBorders>
            <w:shd w:val="clear" w:color="auto" w:fill="auto"/>
          </w:tcPr>
          <w:p>
            <w:pPr>
              <w:spacing w:before="60" w:after="60"/>
              <w:jc w:val="left"/>
              <w:rPr>
                <w:rFonts w:eastAsia="Calibri"/>
                <w:noProof/>
              </w:rPr>
            </w:pPr>
            <w:r>
              <w:rPr>
                <w:noProof/>
              </w:rPr>
              <w:t>Paredzēto atbalsta saņēmēju kopskaits</w:t>
            </w:r>
          </w:p>
        </w:tc>
        <w:tc>
          <w:tcPr>
            <w:tcW w:w="4619" w:type="dxa"/>
            <w:gridSpan w:val="2"/>
            <w:tcBorders>
              <w:top w:val="dotted" w:sz="4" w:space="0" w:color="auto"/>
              <w:bottom w:val="dotted" w:sz="4" w:space="0" w:color="auto"/>
            </w:tcBorders>
            <w:shd w:val="clear" w:color="auto" w:fill="auto"/>
          </w:tcPr>
          <w:p>
            <w:pPr>
              <w:spacing w:before="60" w:after="60"/>
              <w:ind w:rightChars="192" w:right="461"/>
              <w:jc w:val="left"/>
              <w:rPr>
                <w:rFonts w:eastAsia="Calibri"/>
                <w:noProof/>
              </w:rPr>
            </w:pPr>
            <w:r>
              <w:rPr>
                <w:noProof/>
              </w:rPr>
              <w:t>557</w:t>
            </w:r>
          </w:p>
        </w:tc>
      </w:tr>
      <w:tr>
        <w:tc>
          <w:tcPr>
            <w:tcW w:w="4668" w:type="dxa"/>
            <w:tcBorders>
              <w:top w:val="dotted" w:sz="4" w:space="0" w:color="auto"/>
              <w:bottom w:val="single" w:sz="4" w:space="0" w:color="auto"/>
            </w:tcBorders>
            <w:shd w:val="clear" w:color="auto" w:fill="auto"/>
          </w:tcPr>
          <w:p>
            <w:pPr>
              <w:spacing w:before="60" w:after="60"/>
              <w:jc w:val="left"/>
              <w:rPr>
                <w:rFonts w:eastAsia="Calibri"/>
                <w:noProof/>
              </w:rPr>
            </w:pPr>
            <w:r>
              <w:rPr>
                <w:noProof/>
              </w:rPr>
              <w:t>Jauniešu skaits, kuri nav nodarbināti un nav iesaistīti izglītības vai apmācības procesā (</w:t>
            </w:r>
            <w:r>
              <w:rPr>
                <w:i/>
                <w:noProof/>
              </w:rPr>
              <w:t>NEET</w:t>
            </w:r>
            <w:r>
              <w:rPr>
                <w:noProof/>
              </w:rPr>
              <w:t>), kuriem paredzēts sniegt atbalstu</w:t>
            </w:r>
          </w:p>
        </w:tc>
        <w:tc>
          <w:tcPr>
            <w:tcW w:w="4619" w:type="dxa"/>
            <w:gridSpan w:val="2"/>
            <w:tcBorders>
              <w:top w:val="dotted" w:sz="4" w:space="0" w:color="auto"/>
              <w:bottom w:val="single" w:sz="4" w:space="0" w:color="auto"/>
            </w:tcBorders>
            <w:shd w:val="clear" w:color="auto" w:fill="auto"/>
          </w:tcPr>
          <w:p>
            <w:pPr>
              <w:spacing w:before="60" w:after="60"/>
              <w:ind w:rightChars="192" w:right="461"/>
              <w:jc w:val="left"/>
              <w:rPr>
                <w:rFonts w:eastAsia="Calibri"/>
                <w:noProof/>
              </w:rPr>
            </w:pPr>
            <w:r>
              <w:rPr>
                <w:noProof/>
              </w:rPr>
              <w:t>543</w:t>
            </w:r>
          </w:p>
        </w:tc>
      </w:tr>
      <w:tr>
        <w:tc>
          <w:tcPr>
            <w:tcW w:w="4668" w:type="dxa"/>
            <w:tcBorders>
              <w:bottom w:val="dotted" w:sz="4" w:space="0" w:color="auto"/>
            </w:tcBorders>
            <w:shd w:val="clear" w:color="auto" w:fill="auto"/>
            <w:vAlign w:val="center"/>
          </w:tcPr>
          <w:p>
            <w:pPr>
              <w:spacing w:before="0" w:after="0"/>
              <w:jc w:val="left"/>
              <w:rPr>
                <w:noProof/>
              </w:rPr>
            </w:pPr>
            <w:r>
              <w:rPr>
                <w:noProof/>
              </w:rPr>
              <w:t>Individualizēto pakalpojumu budžets (EUR)</w:t>
            </w:r>
          </w:p>
        </w:tc>
        <w:tc>
          <w:tcPr>
            <w:tcW w:w="1560" w:type="dxa"/>
            <w:tcBorders>
              <w:bottom w:val="dotted" w:sz="4" w:space="0" w:color="auto"/>
              <w:right w:val="nil"/>
            </w:tcBorders>
            <w:shd w:val="clear" w:color="auto" w:fill="auto"/>
            <w:vAlign w:val="center"/>
          </w:tcPr>
          <w:p>
            <w:pPr>
              <w:spacing w:before="0" w:after="0"/>
              <w:ind w:rightChars="100" w:right="240"/>
              <w:jc w:val="right"/>
              <w:rPr>
                <w:noProof/>
              </w:rPr>
            </w:pPr>
            <w:r>
              <w:rPr>
                <w:noProof/>
              </w:rPr>
              <w:t>10 530 000</w:t>
            </w:r>
          </w:p>
        </w:tc>
        <w:tc>
          <w:tcPr>
            <w:tcW w:w="3059" w:type="dxa"/>
            <w:tcBorders>
              <w:left w:val="nil"/>
              <w:bottom w:val="dotted" w:sz="4" w:space="0" w:color="auto"/>
            </w:tcBorders>
            <w:shd w:val="clear" w:color="auto" w:fill="auto"/>
            <w:vAlign w:val="center"/>
          </w:tcPr>
          <w:p>
            <w:pPr>
              <w:spacing w:before="0" w:after="0"/>
              <w:ind w:rightChars="192" w:right="461"/>
              <w:jc w:val="left"/>
              <w:rPr>
                <w:noProof/>
              </w:rPr>
            </w:pPr>
          </w:p>
        </w:tc>
      </w:tr>
      <w:tr>
        <w:tc>
          <w:tcPr>
            <w:tcW w:w="4668" w:type="dxa"/>
            <w:tcBorders>
              <w:top w:val="dotted" w:sz="4" w:space="0" w:color="auto"/>
              <w:bottom w:val="dotted" w:sz="4" w:space="0" w:color="auto"/>
            </w:tcBorders>
            <w:shd w:val="clear" w:color="auto" w:fill="auto"/>
            <w:vAlign w:val="center"/>
          </w:tcPr>
          <w:p>
            <w:pPr>
              <w:spacing w:before="0" w:after="0"/>
              <w:jc w:val="left"/>
              <w:rPr>
                <w:noProof/>
              </w:rPr>
            </w:pPr>
            <w:r>
              <w:rPr>
                <w:noProof/>
              </w:rPr>
              <w:t>EGF pasākumu īstenošanas budžets</w:t>
            </w:r>
            <w:r>
              <w:rPr>
                <w:rStyle w:val="FootnoteReference"/>
                <w:noProof/>
              </w:rPr>
              <w:footnoteReference w:id="5"/>
            </w:r>
            <w:r>
              <w:rPr>
                <w:noProof/>
              </w:rPr>
              <w:t xml:space="preserve"> (EUR)</w:t>
            </w:r>
          </w:p>
        </w:tc>
        <w:tc>
          <w:tcPr>
            <w:tcW w:w="1560" w:type="dxa"/>
            <w:tcBorders>
              <w:top w:val="dotted" w:sz="4" w:space="0" w:color="auto"/>
              <w:bottom w:val="dotted" w:sz="4" w:space="0" w:color="auto"/>
              <w:right w:val="nil"/>
            </w:tcBorders>
            <w:shd w:val="clear" w:color="auto" w:fill="auto"/>
            <w:vAlign w:val="center"/>
          </w:tcPr>
          <w:p>
            <w:pPr>
              <w:spacing w:before="0" w:after="0"/>
              <w:ind w:rightChars="100" w:right="240"/>
              <w:jc w:val="right"/>
              <w:rPr>
                <w:noProof/>
              </w:rPr>
            </w:pPr>
            <w:r>
              <w:rPr>
                <w:noProof/>
              </w:rPr>
              <w:t>250 000</w:t>
            </w:r>
          </w:p>
        </w:tc>
        <w:tc>
          <w:tcPr>
            <w:tcW w:w="3059" w:type="dxa"/>
            <w:tcBorders>
              <w:top w:val="dotted" w:sz="4" w:space="0" w:color="auto"/>
              <w:left w:val="nil"/>
              <w:bottom w:val="dotted" w:sz="4" w:space="0" w:color="auto"/>
            </w:tcBorders>
            <w:shd w:val="clear" w:color="auto" w:fill="auto"/>
            <w:vAlign w:val="center"/>
          </w:tcPr>
          <w:p>
            <w:pPr>
              <w:spacing w:before="0" w:after="0"/>
              <w:ind w:rightChars="192" w:right="461"/>
              <w:jc w:val="left"/>
              <w:rPr>
                <w:noProof/>
              </w:rPr>
            </w:pPr>
          </w:p>
        </w:tc>
      </w:tr>
      <w:tr>
        <w:tc>
          <w:tcPr>
            <w:tcW w:w="4668" w:type="dxa"/>
            <w:tcBorders>
              <w:top w:val="dotted" w:sz="4" w:space="0" w:color="auto"/>
              <w:bottom w:val="dotted" w:sz="4" w:space="0" w:color="auto"/>
            </w:tcBorders>
            <w:shd w:val="clear" w:color="auto" w:fill="auto"/>
            <w:vAlign w:val="center"/>
          </w:tcPr>
          <w:p>
            <w:pPr>
              <w:spacing w:before="0" w:after="0"/>
              <w:jc w:val="left"/>
              <w:rPr>
                <w:noProof/>
              </w:rPr>
            </w:pPr>
            <w:r>
              <w:rPr>
                <w:noProof/>
              </w:rPr>
              <w:t>Kopējais budžets (EUR)</w:t>
            </w:r>
          </w:p>
        </w:tc>
        <w:tc>
          <w:tcPr>
            <w:tcW w:w="1560" w:type="dxa"/>
            <w:tcBorders>
              <w:top w:val="dotted" w:sz="4" w:space="0" w:color="auto"/>
              <w:bottom w:val="dotted" w:sz="4" w:space="0" w:color="auto"/>
              <w:right w:val="nil"/>
            </w:tcBorders>
            <w:shd w:val="clear" w:color="auto" w:fill="auto"/>
            <w:vAlign w:val="center"/>
          </w:tcPr>
          <w:p>
            <w:pPr>
              <w:spacing w:before="0" w:after="0"/>
              <w:ind w:rightChars="100" w:right="240"/>
              <w:jc w:val="right"/>
              <w:rPr>
                <w:noProof/>
              </w:rPr>
            </w:pPr>
            <w:r>
              <w:rPr>
                <w:noProof/>
              </w:rPr>
              <w:t>10 780 000</w:t>
            </w:r>
          </w:p>
        </w:tc>
        <w:tc>
          <w:tcPr>
            <w:tcW w:w="3059" w:type="dxa"/>
            <w:tcBorders>
              <w:top w:val="dotted" w:sz="4" w:space="0" w:color="auto"/>
              <w:left w:val="nil"/>
              <w:bottom w:val="dotted" w:sz="4" w:space="0" w:color="auto"/>
            </w:tcBorders>
            <w:shd w:val="clear" w:color="auto" w:fill="auto"/>
            <w:vAlign w:val="center"/>
          </w:tcPr>
          <w:p>
            <w:pPr>
              <w:spacing w:before="0" w:after="0"/>
              <w:ind w:rightChars="192" w:right="461"/>
              <w:jc w:val="left"/>
              <w:rPr>
                <w:noProof/>
              </w:rPr>
            </w:pPr>
          </w:p>
        </w:tc>
      </w:tr>
      <w:tr>
        <w:tc>
          <w:tcPr>
            <w:tcW w:w="4668" w:type="dxa"/>
            <w:tcBorders>
              <w:top w:val="dotted" w:sz="4" w:space="0" w:color="auto"/>
            </w:tcBorders>
            <w:shd w:val="clear" w:color="auto" w:fill="auto"/>
            <w:vAlign w:val="center"/>
          </w:tcPr>
          <w:p>
            <w:pPr>
              <w:spacing w:before="0" w:after="0"/>
              <w:jc w:val="left"/>
              <w:rPr>
                <w:noProof/>
              </w:rPr>
            </w:pPr>
            <w:r>
              <w:rPr>
                <w:noProof/>
              </w:rPr>
              <w:t>EGF ieguldījums (60 %) (EUR)</w:t>
            </w:r>
          </w:p>
        </w:tc>
        <w:tc>
          <w:tcPr>
            <w:tcW w:w="1560" w:type="dxa"/>
            <w:tcBorders>
              <w:top w:val="dotted" w:sz="4" w:space="0" w:color="auto"/>
              <w:right w:val="nil"/>
            </w:tcBorders>
            <w:shd w:val="clear" w:color="auto" w:fill="auto"/>
            <w:vAlign w:val="center"/>
          </w:tcPr>
          <w:p>
            <w:pPr>
              <w:spacing w:before="0" w:after="0"/>
              <w:ind w:rightChars="100" w:right="240"/>
              <w:jc w:val="right"/>
              <w:rPr>
                <w:noProof/>
              </w:rPr>
            </w:pPr>
            <w:r>
              <w:rPr>
                <w:noProof/>
              </w:rPr>
              <w:t>6 468 000</w:t>
            </w:r>
          </w:p>
        </w:tc>
        <w:tc>
          <w:tcPr>
            <w:tcW w:w="3059" w:type="dxa"/>
            <w:tcBorders>
              <w:top w:val="dotted" w:sz="4" w:space="0" w:color="auto"/>
              <w:left w:val="nil"/>
            </w:tcBorders>
            <w:shd w:val="clear" w:color="auto" w:fill="auto"/>
            <w:vAlign w:val="center"/>
          </w:tcPr>
          <w:p>
            <w:pPr>
              <w:spacing w:before="0" w:after="0"/>
              <w:ind w:rightChars="192" w:right="461"/>
              <w:jc w:val="left"/>
              <w:rPr>
                <w:noProof/>
              </w:rPr>
            </w:pPr>
          </w:p>
        </w:tc>
      </w:tr>
    </w:tbl>
    <w:p>
      <w:pPr>
        <w:pStyle w:val="ManualHeading1"/>
        <w:rPr>
          <w:noProof/>
        </w:rPr>
      </w:pPr>
      <w:r>
        <w:rPr>
          <w:noProof/>
        </w:rPr>
        <w:t>PIETEIKUMA IZVĒRTĒJUMS</w:t>
      </w:r>
    </w:p>
    <w:p>
      <w:pPr>
        <w:pStyle w:val="ManualHeading2"/>
        <w:rPr>
          <w:noProof/>
        </w:rPr>
      </w:pPr>
      <w:r>
        <w:rPr>
          <w:noProof/>
        </w:rPr>
        <w:t>Procedūra</w:t>
      </w:r>
    </w:p>
    <w:p>
      <w:pPr>
        <w:pStyle w:val="ManualNumPar1"/>
        <w:rPr>
          <w:noProof/>
        </w:rPr>
      </w:pPr>
      <w:r>
        <w:t>4.</w:t>
      </w:r>
      <w:r>
        <w:tab/>
      </w:r>
      <w:r>
        <w:rPr>
          <w:noProof/>
        </w:rPr>
        <w:t>Pieteikumu EGF/2015/011 GR/</w:t>
      </w:r>
      <w:r>
        <w:rPr>
          <w:i/>
          <w:noProof/>
        </w:rPr>
        <w:t>Supermarket Larissa</w:t>
      </w:r>
      <w:r>
        <w:rPr>
          <w:noProof/>
        </w:rPr>
        <w:t xml:space="preserve"> Grieķija iesniedza 12 nedēļu laikā no dienas, kad bija izpildīti EGF regulas 4. punktā minētie intervences kritēriji, t. i., 2015. gada 26. novembrī. Komisija apliecināja, ka ir saņēmusi pieteikumu 2015. gada 1. decembrī, un 2015. gada 10. decembrī, t. i., divu nedēļu laikā no pieteikuma iesniegšanas dienas, pieprasīja papildu informāciju no Grieķijas. Šī papildu informācija tika sniegta sešu nedēļu laikā no pieprasījuma dienas. Termiņš, kurā Komisijai būtu jāizvērtē pieteikuma atbilstība finansiālā ieguldījuma piešķiršanas nosacījumiem, proti, 12 nedēļas no pilnīga pieteikuma saņemšanas dienas, beidzas 2016. gada 14. aprīlī. </w:t>
      </w:r>
    </w:p>
    <w:p>
      <w:pPr>
        <w:pStyle w:val="ManualHeading2"/>
        <w:rPr>
          <w:noProof/>
        </w:rPr>
      </w:pPr>
      <w:r>
        <w:rPr>
          <w:noProof/>
        </w:rPr>
        <w:t>Pieteikuma atbilstība</w:t>
      </w:r>
    </w:p>
    <w:p>
      <w:pPr>
        <w:pStyle w:val="ManualHeading3"/>
        <w:rPr>
          <w:noProof/>
        </w:rPr>
      </w:pPr>
      <w:r>
        <w:rPr>
          <w:noProof/>
        </w:rPr>
        <w:t>Attiecīgie uzņēmumi un atbalsta saņēmēji</w:t>
      </w:r>
    </w:p>
    <w:p>
      <w:pPr>
        <w:pStyle w:val="ManualNumPar1"/>
        <w:rPr>
          <w:noProof/>
        </w:rPr>
      </w:pPr>
      <w:r>
        <w:t>5.</w:t>
      </w:r>
      <w:r>
        <w:tab/>
      </w:r>
      <w:r>
        <w:rPr>
          <w:noProof/>
        </w:rPr>
        <w:t>Pieteikums attiecas uz 557 atlaistiem darba ņēmējiem</w:t>
      </w:r>
      <w:r>
        <w:rPr>
          <w:rStyle w:val="FootnoteReference"/>
          <w:noProof/>
        </w:rPr>
        <w:footnoteReference w:id="6"/>
      </w:r>
      <w:r>
        <w:rPr>
          <w:noProof/>
        </w:rPr>
        <w:t xml:space="preserve"> uzņēmumā </w:t>
      </w:r>
      <w:r>
        <w:rPr>
          <w:i/>
          <w:noProof/>
        </w:rPr>
        <w:t>Supermarket Larissa ABEE</w:t>
      </w:r>
      <w:r>
        <w:rPr>
          <w:noProof/>
        </w:rPr>
        <w:t xml:space="preserve">. Šis uzņēmums darbojas saimnieciskās darbības nozarē, kas klasificēta </w:t>
      </w:r>
      <w:r>
        <w:rPr>
          <w:i/>
          <w:noProof/>
        </w:rPr>
        <w:t>NACE</w:t>
      </w:r>
      <w:r>
        <w:rPr>
          <w:noProof/>
        </w:rPr>
        <w:t xml:space="preserve"> 2. red. 47. nodaļā ("Mazumtirdzniecība, izņemot automobiļus un motociklus"). </w:t>
      </w:r>
      <w:r>
        <w:rPr>
          <w:i/>
          <w:noProof/>
        </w:rPr>
        <w:t>Supermarket Larissa</w:t>
      </w:r>
      <w:r>
        <w:rPr>
          <w:noProof/>
        </w:rPr>
        <w:t xml:space="preserve"> veiktie atlaišanas gadījumi atrodas </w:t>
      </w:r>
      <w:r>
        <w:rPr>
          <w:i/>
          <w:noProof/>
        </w:rPr>
        <w:t>NUTS</w:t>
      </w:r>
      <w:r>
        <w:rPr>
          <w:noProof/>
        </w:rPr>
        <w:t xml:space="preserve"> 2. līmeņa reģionos —  Centrālā Maķedonija (</w:t>
      </w:r>
      <w:r>
        <w:rPr>
          <w:i/>
          <w:noProof/>
        </w:rPr>
        <w:t>Κεντρική Μακεδονία</w:t>
      </w:r>
      <w:r>
        <w:rPr>
          <w:noProof/>
        </w:rPr>
        <w:t>) (EL12) un Tesālija (</w:t>
      </w:r>
      <w:r>
        <w:rPr>
          <w:i/>
          <w:noProof/>
        </w:rPr>
        <w:t>Θεσσαλία</w:t>
      </w:r>
      <w:r>
        <w:rPr>
          <w:noProof/>
        </w:rPr>
        <w:t xml:space="preserve">) (EL14). </w:t>
      </w:r>
    </w:p>
    <w:p>
      <w:pPr>
        <w:pStyle w:val="ManualHeading3"/>
        <w:rPr>
          <w:noProof/>
        </w:rPr>
      </w:pPr>
      <w:r>
        <w:rPr>
          <w:noProof/>
        </w:rPr>
        <w:t>Intervences kritēriji</w:t>
      </w:r>
    </w:p>
    <w:p>
      <w:pPr>
        <w:pStyle w:val="ManualNumPar1"/>
        <w:rPr>
          <w:noProof/>
        </w:rPr>
      </w:pPr>
      <w:r>
        <w:t>6.</w:t>
      </w:r>
      <w:r>
        <w:tab/>
      </w:r>
      <w:r>
        <w:rPr>
          <w:noProof/>
        </w:rPr>
        <w:t>Grieķija iesniedza pieteikumu saskaņā ar EGF regulas 4. panta 1. punkta a) apakšpunktā minētajiem intervences kritērijiem, kuri par nosacījumu izvirza to, ka četru mēnešu pārskata periodā kopā vismaz 500 darba ņēmēji ir atlaisti kādā dalībvalsts uzņēmumā, ieskaitot darba ņēmēju atlaišanu uzņēmuma piegādes uzņēmumos un pakārtotās ražošanas uzņēmumos un/vai pašnodarbinātu personu darbības beigšanos.</w:t>
      </w:r>
    </w:p>
    <w:p>
      <w:pPr>
        <w:pStyle w:val="ManualNumPar1"/>
        <w:rPr>
          <w:noProof/>
        </w:rPr>
      </w:pPr>
      <w:r>
        <w:t>7.</w:t>
      </w:r>
      <w:r>
        <w:tab/>
      </w:r>
      <w:r>
        <w:rPr>
          <w:noProof/>
        </w:rPr>
        <w:t xml:space="preserve">Pieteikuma četru mēnešu pārskata periods ir no 2015. gada 3.maija līdz 2015. gada 3. septembrim. Pārskata periodā uzņēmumā </w:t>
      </w:r>
      <w:r>
        <w:rPr>
          <w:i/>
          <w:noProof/>
        </w:rPr>
        <w:t>Supermarket Larissa ABEE</w:t>
      </w:r>
      <w:r>
        <w:rPr>
          <w:noProof/>
        </w:rPr>
        <w:t xml:space="preserve"> tika atlaisti 557 darba ņēmēji.</w:t>
      </w:r>
    </w:p>
    <w:p>
      <w:pPr>
        <w:pStyle w:val="ManualHeading3"/>
        <w:rPr>
          <w:noProof/>
        </w:rPr>
      </w:pPr>
      <w:r>
        <w:rPr>
          <w:noProof/>
        </w:rPr>
        <w:t>Atlaisto darba ņēmēju skaita un darbības beigšanas aprēķināšana</w:t>
      </w:r>
    </w:p>
    <w:p>
      <w:pPr>
        <w:pStyle w:val="ManualNumPar1"/>
        <w:rPr>
          <w:noProof/>
        </w:rPr>
      </w:pPr>
      <w:r>
        <w:t>8.</w:t>
      </w:r>
      <w:r>
        <w:tab/>
      </w:r>
      <w:r>
        <w:rPr>
          <w:noProof/>
        </w:rPr>
        <w:t>Darba ņēmēju atlaišanas gadījumi pārskata periodā tika aprēķināti no faktiskās līguma pārtraukšanas dienas vai līguma termiņa beigām.</w:t>
      </w:r>
    </w:p>
    <w:p>
      <w:pPr>
        <w:pStyle w:val="ManualHeading3"/>
        <w:rPr>
          <w:noProof/>
        </w:rPr>
      </w:pPr>
      <w:r>
        <w:rPr>
          <w:noProof/>
        </w:rPr>
        <w:t>Atbalsttiesīgie saņēmēji</w:t>
      </w:r>
    </w:p>
    <w:p>
      <w:pPr>
        <w:pStyle w:val="ManualNumPar1"/>
        <w:rPr>
          <w:noProof/>
        </w:rPr>
      </w:pPr>
      <w:r>
        <w:t>9.</w:t>
      </w:r>
      <w:r>
        <w:tab/>
      </w:r>
      <w:r>
        <w:rPr>
          <w:noProof/>
        </w:rPr>
        <w:t>Kopējais atbalsttiesīgo saņēmēju skaits ir 557.</w:t>
      </w:r>
    </w:p>
    <w:p>
      <w:pPr>
        <w:pStyle w:val="ManualHeading3"/>
        <w:rPr>
          <w:noProof/>
        </w:rPr>
      </w:pPr>
      <w:r>
        <w:rPr>
          <w:noProof/>
        </w:rPr>
        <w:t>Saikne starp darba ņēmēju atlaišanu un globālo finanšu un ekonomikas krīzi, kas aplūkota Regulā (EK) Nr. 546/2009</w:t>
      </w:r>
    </w:p>
    <w:p>
      <w:pPr>
        <w:pStyle w:val="ManualNumPar1"/>
        <w:rPr>
          <w:noProof/>
        </w:rPr>
      </w:pPr>
      <w:r>
        <w:t>10.</w:t>
      </w:r>
      <w:r>
        <w:tab/>
      </w:r>
      <w:r>
        <w:rPr>
          <w:noProof/>
        </w:rPr>
        <w:t xml:space="preserve">Lai noteiktu saikni starp darba ņēmēju atlaišanu un globālo finanšu un ekonomikas krīzi, kas apskatīta Regulā (EK) Nr. 546/2009, Grieķija apgalvo, ka sešus gadus pēc kārtas (2008.‒2013. gads) Grieķijas ekonomika atradās dziļā recesijā. Saskaņā ar Grieķijas statistikas iestādes </w:t>
      </w:r>
      <w:r>
        <w:rPr>
          <w:i/>
          <w:noProof/>
        </w:rPr>
        <w:t>ELSTAT</w:t>
      </w:r>
      <w:r>
        <w:rPr>
          <w:noProof/>
        </w:rPr>
        <w:t xml:space="preserve"> sniegto informāciju kopš 2008. gada Grieķijas IKP ir samazinājies par 25,7 procentpunktiem, publiskais patēriņš par 21 procentpunktu un privātais patēriņš par 32,3 procentpunktiem, vienlaikus bezdarbam pieaugot par aptuveni 19 procentpunktiem. </w:t>
      </w:r>
    </w:p>
    <w:p>
      <w:pPr>
        <w:pStyle w:val="ManualNumPar1"/>
        <w:rPr>
          <w:noProof/>
        </w:rPr>
      </w:pPr>
      <w:r>
        <w:t>11.</w:t>
      </w:r>
      <w:r>
        <w:tab/>
      </w:r>
      <w:r>
        <w:rPr>
          <w:noProof/>
        </w:rPr>
        <w:t>Turklāt IKP samazināšanās ir palielinājusi atšķirību starp Grieķijas IKP uz vienu iedzīvotāju un ES IKP uz vienu iedzīvotāju, padarot par nebijušiem Grieķijas sasniegumus ekonomiskās konverģences jomā laikposmā no 1995. līdz 2007. gadam.</w:t>
      </w:r>
    </w:p>
    <w:p>
      <w:pPr>
        <w:pStyle w:val="ManualNumPar1"/>
        <w:rPr>
          <w:noProof/>
        </w:rPr>
      </w:pPr>
      <w:r>
        <w:t>12.</w:t>
      </w:r>
      <w:r>
        <w:tab/>
      </w:r>
      <w:r>
        <w:rPr>
          <w:noProof/>
        </w:rPr>
        <w:t xml:space="preserve">Turklāt, lai veiktu ārējā parāda maksājumus, kopš 2008. gada Grieķijas valdība īsteno tādus nepopulārus pasākumus kā nodokļu likmju palielināšana, valsts izdevumu racionalizācija un darbinieku algu samazināšana publiskajā sektorā. Arī privātajā sektorā algas ir samazinājušās, mēģinot palielināt Grieķijas ekonomikas konkurētspēju. </w:t>
      </w:r>
    </w:p>
    <w:p>
      <w:pPr>
        <w:pStyle w:val="ManualNumPar1"/>
        <w:rPr>
          <w:noProof/>
        </w:rPr>
      </w:pPr>
      <w:r>
        <w:t>13.</w:t>
      </w:r>
      <w:r>
        <w:tab/>
      </w:r>
      <w:r>
        <w:rPr>
          <w:noProof/>
        </w:rPr>
        <w:t xml:space="preserve">Kopš 2008. gada tūkstošiem uzņēmumu ir pārtraukuši darbību un slēgti, atlaižot personālu, un tūkstošiem pašnodarbinātu personu ir beigušas darbību, strauji palielinot jau minētā bezdarba rādītājus. </w:t>
      </w:r>
    </w:p>
    <w:p>
      <w:pPr>
        <w:pStyle w:val="ManualNumPar1"/>
        <w:rPr>
          <w:noProof/>
        </w:rPr>
      </w:pPr>
      <w:r>
        <w:t>14.</w:t>
      </w:r>
      <w:r>
        <w:tab/>
      </w:r>
      <w:r>
        <w:rPr>
          <w:noProof/>
        </w:rPr>
        <w:t>Samazināto ienākumu tūlītējā ietekme bija patēriņa samazināšanās. Mājsaimniecību patēriņa samazināšanās tendences 2009. gadā Grieķijā bija līdzīgas negatīvajām tendencēm ES-27 valstīs. Mājsaimniecību patēriņa rādītāji 2010., 2011. un 2013. gadā ES-27 uzlabojās. Mājsaimniecību patēriņš Grieķijā kopš finanšu un ekonomikas krīzes sākuma ir samazinājies, un rādītāji ir pasliktinājušies katru gadu laikposmā no 2008. līdz 20013. gadam.</w:t>
      </w:r>
    </w:p>
    <w:p>
      <w:pPr>
        <w:pStyle w:val="Text1"/>
        <w:jc w:val="center"/>
        <w:rPr>
          <w:b/>
          <w:noProof/>
        </w:rPr>
      </w:pPr>
      <w:r>
        <w:rPr>
          <w:b/>
          <w:noProof/>
        </w:rPr>
        <w:t>Mājsaimniecību patēriņš</w:t>
      </w:r>
      <w:r>
        <w:rPr>
          <w:b/>
          <w:noProof/>
        </w:rPr>
        <w:br/>
        <w:t>(% izmaiņas salīdzinājumā ar iepriekšējo gadu)</w:t>
      </w:r>
    </w:p>
    <w:tbl>
      <w:tblPr>
        <w:tblStyle w:val="TableGrid"/>
        <w:tblW w:w="0" w:type="auto"/>
        <w:tblInd w:w="948" w:type="dxa"/>
        <w:tblLook w:val="04A0" w:firstRow="1" w:lastRow="0" w:firstColumn="1" w:lastColumn="0" w:noHBand="0" w:noVBand="1"/>
      </w:tblPr>
      <w:tblGrid>
        <w:gridCol w:w="1191"/>
        <w:gridCol w:w="1191"/>
        <w:gridCol w:w="1192"/>
        <w:gridCol w:w="1191"/>
        <w:gridCol w:w="1192"/>
        <w:gridCol w:w="1191"/>
        <w:gridCol w:w="1192"/>
      </w:tblGrid>
      <w:tr>
        <w:trPr>
          <w:trHeight w:val="360"/>
        </w:trPr>
        <w:tc>
          <w:tcPr>
            <w:tcW w:w="1191" w:type="dxa"/>
          </w:tcPr>
          <w:p>
            <w:pPr>
              <w:rPr>
                <w:noProof/>
                <w:szCs w:val="24"/>
              </w:rPr>
            </w:pPr>
          </w:p>
        </w:tc>
        <w:tc>
          <w:tcPr>
            <w:tcW w:w="1191" w:type="dxa"/>
            <w:vAlign w:val="center"/>
          </w:tcPr>
          <w:p>
            <w:pPr>
              <w:jc w:val="right"/>
              <w:rPr>
                <w:noProof/>
                <w:szCs w:val="24"/>
              </w:rPr>
            </w:pPr>
            <w:r>
              <w:rPr>
                <w:noProof/>
              </w:rPr>
              <w:t>2008.</w:t>
            </w:r>
          </w:p>
        </w:tc>
        <w:tc>
          <w:tcPr>
            <w:tcW w:w="1192" w:type="dxa"/>
            <w:vAlign w:val="center"/>
          </w:tcPr>
          <w:p>
            <w:pPr>
              <w:jc w:val="right"/>
              <w:rPr>
                <w:noProof/>
                <w:szCs w:val="24"/>
              </w:rPr>
            </w:pPr>
            <w:r>
              <w:rPr>
                <w:noProof/>
              </w:rPr>
              <w:t>2009.</w:t>
            </w:r>
          </w:p>
        </w:tc>
        <w:tc>
          <w:tcPr>
            <w:tcW w:w="1191" w:type="dxa"/>
            <w:vAlign w:val="center"/>
          </w:tcPr>
          <w:p>
            <w:pPr>
              <w:jc w:val="right"/>
              <w:rPr>
                <w:noProof/>
                <w:szCs w:val="24"/>
              </w:rPr>
            </w:pPr>
            <w:r>
              <w:rPr>
                <w:noProof/>
              </w:rPr>
              <w:t>2010.</w:t>
            </w:r>
          </w:p>
        </w:tc>
        <w:tc>
          <w:tcPr>
            <w:tcW w:w="1192" w:type="dxa"/>
            <w:vAlign w:val="center"/>
          </w:tcPr>
          <w:p>
            <w:pPr>
              <w:jc w:val="right"/>
              <w:rPr>
                <w:noProof/>
                <w:szCs w:val="24"/>
              </w:rPr>
            </w:pPr>
            <w:r>
              <w:rPr>
                <w:noProof/>
              </w:rPr>
              <w:t>2011.</w:t>
            </w:r>
          </w:p>
        </w:tc>
        <w:tc>
          <w:tcPr>
            <w:tcW w:w="1191" w:type="dxa"/>
            <w:vAlign w:val="center"/>
          </w:tcPr>
          <w:p>
            <w:pPr>
              <w:jc w:val="right"/>
              <w:rPr>
                <w:noProof/>
                <w:szCs w:val="24"/>
              </w:rPr>
            </w:pPr>
            <w:r>
              <w:rPr>
                <w:noProof/>
              </w:rPr>
              <w:t>2012.</w:t>
            </w:r>
          </w:p>
        </w:tc>
        <w:tc>
          <w:tcPr>
            <w:tcW w:w="1192" w:type="dxa"/>
            <w:vAlign w:val="center"/>
          </w:tcPr>
          <w:p>
            <w:pPr>
              <w:jc w:val="right"/>
              <w:rPr>
                <w:noProof/>
                <w:szCs w:val="24"/>
              </w:rPr>
            </w:pPr>
            <w:r>
              <w:rPr>
                <w:noProof/>
              </w:rPr>
              <w:t>2013.</w:t>
            </w:r>
          </w:p>
        </w:tc>
      </w:tr>
      <w:tr>
        <w:trPr>
          <w:trHeight w:val="360"/>
        </w:trPr>
        <w:tc>
          <w:tcPr>
            <w:tcW w:w="1191" w:type="dxa"/>
          </w:tcPr>
          <w:p>
            <w:pPr>
              <w:rPr>
                <w:noProof/>
                <w:szCs w:val="24"/>
              </w:rPr>
            </w:pPr>
            <w:r>
              <w:rPr>
                <w:noProof/>
              </w:rPr>
              <w:t>ES-27 valstis</w:t>
            </w:r>
          </w:p>
        </w:tc>
        <w:tc>
          <w:tcPr>
            <w:tcW w:w="1191" w:type="dxa"/>
            <w:vAlign w:val="center"/>
          </w:tcPr>
          <w:p>
            <w:pPr>
              <w:jc w:val="right"/>
              <w:rPr>
                <w:noProof/>
                <w:szCs w:val="24"/>
              </w:rPr>
            </w:pPr>
            <w:r>
              <w:rPr>
                <w:noProof/>
              </w:rPr>
              <w:t>0,9</w:t>
            </w:r>
          </w:p>
        </w:tc>
        <w:tc>
          <w:tcPr>
            <w:tcW w:w="1192" w:type="dxa"/>
            <w:vAlign w:val="center"/>
          </w:tcPr>
          <w:p>
            <w:pPr>
              <w:jc w:val="right"/>
              <w:rPr>
                <w:noProof/>
                <w:szCs w:val="24"/>
              </w:rPr>
            </w:pPr>
            <w:r>
              <w:rPr>
                <w:noProof/>
              </w:rPr>
              <w:t>-0,6</w:t>
            </w:r>
          </w:p>
        </w:tc>
        <w:tc>
          <w:tcPr>
            <w:tcW w:w="1191" w:type="dxa"/>
            <w:vAlign w:val="center"/>
          </w:tcPr>
          <w:p>
            <w:pPr>
              <w:jc w:val="right"/>
              <w:rPr>
                <w:noProof/>
                <w:szCs w:val="24"/>
              </w:rPr>
            </w:pPr>
            <w:r>
              <w:rPr>
                <w:noProof/>
              </w:rPr>
              <w:t>1,0</w:t>
            </w:r>
          </w:p>
        </w:tc>
        <w:tc>
          <w:tcPr>
            <w:tcW w:w="1192" w:type="dxa"/>
            <w:vAlign w:val="center"/>
          </w:tcPr>
          <w:p>
            <w:pPr>
              <w:jc w:val="right"/>
              <w:rPr>
                <w:noProof/>
                <w:szCs w:val="24"/>
              </w:rPr>
            </w:pPr>
            <w:r>
              <w:rPr>
                <w:noProof/>
              </w:rPr>
              <w:t>0,2</w:t>
            </w:r>
          </w:p>
        </w:tc>
        <w:tc>
          <w:tcPr>
            <w:tcW w:w="1191" w:type="dxa"/>
            <w:vAlign w:val="center"/>
          </w:tcPr>
          <w:p>
            <w:pPr>
              <w:jc w:val="right"/>
              <w:rPr>
                <w:noProof/>
                <w:szCs w:val="24"/>
              </w:rPr>
            </w:pPr>
            <w:r>
              <w:rPr>
                <w:noProof/>
              </w:rPr>
              <w:t>-0,5</w:t>
            </w:r>
          </w:p>
        </w:tc>
        <w:tc>
          <w:tcPr>
            <w:tcW w:w="1192" w:type="dxa"/>
            <w:vAlign w:val="center"/>
          </w:tcPr>
          <w:p>
            <w:pPr>
              <w:jc w:val="right"/>
              <w:rPr>
                <w:noProof/>
                <w:szCs w:val="24"/>
              </w:rPr>
            </w:pPr>
            <w:r>
              <w:rPr>
                <w:noProof/>
              </w:rPr>
              <w:t>0,1</w:t>
            </w:r>
          </w:p>
        </w:tc>
      </w:tr>
      <w:tr>
        <w:trPr>
          <w:trHeight w:val="360"/>
        </w:trPr>
        <w:tc>
          <w:tcPr>
            <w:tcW w:w="1191" w:type="dxa"/>
            <w:tcBorders>
              <w:bottom w:val="single" w:sz="4" w:space="0" w:color="auto"/>
            </w:tcBorders>
          </w:tcPr>
          <w:p>
            <w:pPr>
              <w:rPr>
                <w:noProof/>
                <w:szCs w:val="24"/>
              </w:rPr>
            </w:pPr>
            <w:r>
              <w:rPr>
                <w:noProof/>
              </w:rPr>
              <w:t>Grieķija</w:t>
            </w:r>
          </w:p>
        </w:tc>
        <w:tc>
          <w:tcPr>
            <w:tcW w:w="1191" w:type="dxa"/>
            <w:tcBorders>
              <w:bottom w:val="single" w:sz="4" w:space="0" w:color="auto"/>
            </w:tcBorders>
            <w:vAlign w:val="center"/>
          </w:tcPr>
          <w:p>
            <w:pPr>
              <w:jc w:val="right"/>
              <w:rPr>
                <w:noProof/>
                <w:szCs w:val="24"/>
              </w:rPr>
            </w:pPr>
            <w:r>
              <w:rPr>
                <w:noProof/>
              </w:rPr>
              <w:t>2,9</w:t>
            </w:r>
          </w:p>
        </w:tc>
        <w:tc>
          <w:tcPr>
            <w:tcW w:w="1192" w:type="dxa"/>
            <w:tcBorders>
              <w:bottom w:val="single" w:sz="4" w:space="0" w:color="auto"/>
            </w:tcBorders>
            <w:vAlign w:val="center"/>
          </w:tcPr>
          <w:p>
            <w:pPr>
              <w:jc w:val="right"/>
              <w:rPr>
                <w:noProof/>
                <w:szCs w:val="24"/>
              </w:rPr>
            </w:pPr>
            <w:r>
              <w:rPr>
                <w:noProof/>
              </w:rPr>
              <w:t>-0,3</w:t>
            </w:r>
          </w:p>
        </w:tc>
        <w:tc>
          <w:tcPr>
            <w:tcW w:w="1191" w:type="dxa"/>
            <w:tcBorders>
              <w:bottom w:val="single" w:sz="4" w:space="0" w:color="auto"/>
            </w:tcBorders>
            <w:vAlign w:val="center"/>
          </w:tcPr>
          <w:p>
            <w:pPr>
              <w:jc w:val="right"/>
              <w:rPr>
                <w:noProof/>
                <w:szCs w:val="24"/>
              </w:rPr>
            </w:pPr>
            <w:r>
              <w:rPr>
                <w:noProof/>
              </w:rPr>
              <w:t>-6,8</w:t>
            </w:r>
          </w:p>
        </w:tc>
        <w:tc>
          <w:tcPr>
            <w:tcW w:w="1192" w:type="dxa"/>
            <w:tcBorders>
              <w:bottom w:val="single" w:sz="4" w:space="0" w:color="auto"/>
            </w:tcBorders>
            <w:vAlign w:val="center"/>
          </w:tcPr>
          <w:p>
            <w:pPr>
              <w:jc w:val="right"/>
              <w:rPr>
                <w:noProof/>
                <w:szCs w:val="24"/>
              </w:rPr>
            </w:pPr>
            <w:r>
              <w:rPr>
                <w:noProof/>
              </w:rPr>
              <w:t>-7,2</w:t>
            </w:r>
          </w:p>
        </w:tc>
        <w:tc>
          <w:tcPr>
            <w:tcW w:w="1191" w:type="dxa"/>
            <w:tcBorders>
              <w:bottom w:val="single" w:sz="4" w:space="0" w:color="auto"/>
            </w:tcBorders>
            <w:vAlign w:val="center"/>
          </w:tcPr>
          <w:p>
            <w:pPr>
              <w:jc w:val="right"/>
              <w:rPr>
                <w:noProof/>
                <w:szCs w:val="24"/>
              </w:rPr>
            </w:pPr>
            <w:r>
              <w:rPr>
                <w:noProof/>
              </w:rPr>
              <w:t>-8,9</w:t>
            </w:r>
          </w:p>
        </w:tc>
        <w:tc>
          <w:tcPr>
            <w:tcW w:w="1192" w:type="dxa"/>
            <w:tcBorders>
              <w:bottom w:val="single" w:sz="4" w:space="0" w:color="auto"/>
            </w:tcBorders>
            <w:vAlign w:val="center"/>
          </w:tcPr>
          <w:p>
            <w:pPr>
              <w:jc w:val="right"/>
              <w:rPr>
                <w:noProof/>
                <w:szCs w:val="24"/>
              </w:rPr>
            </w:pPr>
            <w:r>
              <w:rPr>
                <w:noProof/>
              </w:rPr>
              <w:t>-5,6</w:t>
            </w:r>
          </w:p>
        </w:tc>
      </w:tr>
      <w:tr>
        <w:trPr>
          <w:trHeight w:val="360"/>
        </w:trPr>
        <w:tc>
          <w:tcPr>
            <w:tcW w:w="8340" w:type="dxa"/>
            <w:gridSpan w:val="7"/>
            <w:tcBorders>
              <w:top w:val="single" w:sz="4" w:space="0" w:color="auto"/>
              <w:left w:val="nil"/>
              <w:bottom w:val="nil"/>
              <w:right w:val="nil"/>
            </w:tcBorders>
          </w:tcPr>
          <w:p>
            <w:pPr>
              <w:jc w:val="left"/>
              <w:rPr>
                <w:noProof/>
                <w:szCs w:val="24"/>
              </w:rPr>
            </w:pPr>
            <w:r>
              <w:rPr>
                <w:i/>
                <w:noProof/>
              </w:rPr>
              <w:t>Avots: Eurostat</w:t>
            </w:r>
            <w:r>
              <w:rPr>
                <w:rStyle w:val="FootnoteReference"/>
                <w:i/>
                <w:noProof/>
              </w:rPr>
              <w:footnoteReference w:id="7"/>
            </w:r>
            <w:r>
              <w:rPr>
                <w:i/>
                <w:noProof/>
              </w:rPr>
              <w:t>.</w:t>
            </w:r>
          </w:p>
        </w:tc>
      </w:tr>
    </w:tbl>
    <w:p>
      <w:pPr>
        <w:pStyle w:val="ManualNumPar1"/>
        <w:rPr>
          <w:noProof/>
        </w:rPr>
      </w:pPr>
      <w:r>
        <w:t>15.</w:t>
      </w:r>
      <w:r>
        <w:tab/>
      </w:r>
      <w:r>
        <w:rPr>
          <w:noProof/>
        </w:rPr>
        <w:t xml:space="preserve">Saskaņā ar 2014. gada jūlijā publicēto jaunāko </w:t>
      </w:r>
      <w:r>
        <w:rPr>
          <w:i/>
          <w:noProof/>
        </w:rPr>
        <w:t>INE-GSEE</w:t>
      </w:r>
      <w:r>
        <w:rPr>
          <w:rStyle w:val="FootnoteReference"/>
          <w:noProof/>
        </w:rPr>
        <w:footnoteReference w:id="8"/>
      </w:r>
      <w:r>
        <w:rPr>
          <w:noProof/>
        </w:rPr>
        <w:t xml:space="preserve"> pētījumu trīs no četriem darbiniekiem vai darba ņēmējiem norādīja, ka viņu ienākumu līmenis 2014. gadā darba samaksas samazinājumu dēļ ir krities salīdzinājumā ar iepriekšējo gadu. Turklāt 38 % respondentu, uzskatīdami, ka viņu darba samaksa nākamajā ceturksnī atkal tiks samazināta, bija attiecīgi samazinājuši savus izdevumus.</w:t>
      </w:r>
    </w:p>
    <w:p>
      <w:pPr>
        <w:pStyle w:val="ManualNumPar1"/>
        <w:rPr>
          <w:noProof/>
        </w:rPr>
      </w:pPr>
      <w:r>
        <w:t>16.</w:t>
      </w:r>
      <w:r>
        <w:tab/>
      </w:r>
      <w:r>
        <w:rPr>
          <w:noProof/>
        </w:rPr>
        <w:t>Laikposmā no 2009. līdz 2015. gadam patērētāju uzticēšanās rādītājs (pozitīvo un negatīvo atbilžu svērtais %) ir bijis negatīvs. Šis rādītājs ievērojami samazinājās pirmajos trīs gados (-46 (2009.), -63 (2010.), -74 (2011.)), sasniedzot sliktāko rezultātu 2012. gadā (-75). Kopš tā laika patērētāji ir atguvuši uzticēšanos un rādītājs ir gandrīz sasniedzis 2009. gada atzīmi: (-49 laikposmā no 2014. līdz 2015. gadam).</w:t>
      </w:r>
    </w:p>
    <w:p>
      <w:pPr>
        <w:pStyle w:val="ManualNumPar1"/>
        <w:rPr>
          <w:noProof/>
        </w:rPr>
      </w:pPr>
      <w:r>
        <w:t>17.</w:t>
      </w:r>
      <w:r>
        <w:tab/>
      </w:r>
      <w:r>
        <w:rPr>
          <w:noProof/>
        </w:rPr>
        <w:t xml:space="preserve">Saskaņā ar </w:t>
      </w:r>
      <w:r>
        <w:rPr>
          <w:i/>
          <w:noProof/>
        </w:rPr>
        <w:t>ELSTAT</w:t>
      </w:r>
      <w:r>
        <w:rPr>
          <w:noProof/>
        </w:rPr>
        <w:t xml:space="preserve"> ziņojumu par mājsaimniecību ieņēmumiem un dzīves apstākļiem 23 % no Grieķijas iedzīvotājiem 2012. gadā dzīvoja zem nabadzības sliekšņa</w:t>
      </w:r>
      <w:r>
        <w:rPr>
          <w:rStyle w:val="FootnoteReference"/>
          <w:noProof/>
        </w:rPr>
        <w:footnoteReference w:id="9"/>
      </w:r>
      <w:r>
        <w:rPr>
          <w:noProof/>
        </w:rPr>
        <w:t>.</w:t>
      </w:r>
    </w:p>
    <w:p>
      <w:pPr>
        <w:pStyle w:val="ManualNumPar1"/>
        <w:rPr>
          <w:noProof/>
        </w:rPr>
      </w:pPr>
      <w:r>
        <w:t>18.</w:t>
      </w:r>
      <w:r>
        <w:tab/>
      </w:r>
      <w:r>
        <w:rPr>
          <w:noProof/>
        </w:rPr>
        <w:t>Uz mazumtirdzniecības nozari līdz šim attiecas arī pieci citi EGF pieteikumi</w:t>
      </w:r>
      <w:r>
        <w:rPr>
          <w:rStyle w:val="FootnoteReference"/>
          <w:noProof/>
        </w:rPr>
        <w:footnoteReference w:id="10"/>
      </w:r>
      <w:r>
        <w:rPr>
          <w:noProof/>
        </w:rPr>
        <w:t>, kuri visi pamatoti ar globālo finanšu un ekonomikas krīzi.</w:t>
      </w:r>
    </w:p>
    <w:p>
      <w:pPr>
        <w:pStyle w:val="ManualHeading3"/>
        <w:rPr>
          <w:noProof/>
        </w:rPr>
      </w:pPr>
      <w:r>
        <w:rPr>
          <w:noProof/>
        </w:rPr>
        <w:t>Notikumi, kas izraisījuši darba ņēmēju atlaišanu un darbības beigšanu</w:t>
      </w:r>
    </w:p>
    <w:p>
      <w:pPr>
        <w:pStyle w:val="ManualNumPar1"/>
        <w:rPr>
          <w:noProof/>
        </w:rPr>
      </w:pPr>
      <w:r>
        <w:t>19.</w:t>
      </w:r>
      <w:r>
        <w:tab/>
      </w:r>
      <w:r>
        <w:rPr>
          <w:noProof/>
        </w:rPr>
        <w:t>Grieķijas iestādes apgalvo, ka darba ņēmēju atlaišanu izraisīja uzņēmuma bankrots un slēgšana. Uzņēmuma bankrotam bija divi galvenie iemesli: 1) mājsaimniecībām pieejamo ieņēmumu samazinājums, kas notika nodokļu sloga palielinājuma, algu samazinājuma (gan privātajā, gan publiskajā sektorā) un augošā bezdarba dēļ un kura rezultātā ievērojami pazeminājās pirktspēja; 2) spēcīga uzņēmumu un privātpersonu kreditēšanas samazināšanās, jo Grieķijas bankās trūka līdzekļu. Saskaņā ar Grieķijas Bankas sniegto informāciju kopš 2010. gada mājsaimniecībām un uzņēmumiem (izņemot finanšu uzņēmumus) piešķirto aizdevumu gada izaugsmes rādītājs ir bijis negatīvs naudas trūkuma dēļ Grieķijas bankās.</w:t>
      </w:r>
    </w:p>
    <w:p>
      <w:pPr>
        <w:pStyle w:val="ManualNumPar1"/>
        <w:rPr>
          <w:noProof/>
        </w:rPr>
      </w:pPr>
      <w:r>
        <w:t>20.</w:t>
      </w:r>
      <w:r>
        <w:tab/>
      </w:r>
      <w:r>
        <w:rPr>
          <w:noProof/>
        </w:rPr>
        <w:t>1986. gadā mazu pārtikas veikalu grupa Larisas apgabalā izveidoja kooperatīvu (</w:t>
      </w:r>
      <w:r>
        <w:rPr>
          <w:i/>
          <w:noProof/>
        </w:rPr>
        <w:t>Supermarket Larissa</w:t>
      </w:r>
      <w:r>
        <w:rPr>
          <w:noProof/>
        </w:rPr>
        <w:t xml:space="preserve">). Kooperatīvs strauji auga un atvēra jaunus veikalus, integrējot kooperatīvā jaunus darbiniekus-īpašniekus. Galu galā uzņēmumam bija 42 veikalu un 600 darba ņēmēju. Kooperatīva veiksmīgo attīstību pārtrauca ekonomikas un finanšu krīze. </w:t>
      </w:r>
    </w:p>
    <w:p>
      <w:pPr>
        <w:pStyle w:val="ManualNumPar1"/>
        <w:rPr>
          <w:noProof/>
        </w:rPr>
      </w:pPr>
      <w:r>
        <w:t>21.</w:t>
      </w:r>
      <w:r>
        <w:tab/>
      </w:r>
      <w:r>
        <w:rPr>
          <w:noProof/>
        </w:rPr>
        <w:t>Grieķijas mājsaimniecību pirktspējas pazemināšanās rezultātā pēc Grieķijas ekonomikas lejupslīdes kopš ekonomikas un finanšu krīzes sākuma strauji samazinājās pieprasījums pēc produktiem, pat pēc pamatproduktiem. 2015. gadā pēc lejupslīdes piecus gadus pēc kārtas pārtikas produktu, dzērienu un tabakas izstrādājumu mazumtirdzniecības apjoms bija vairāk nekā par 30 % zemāks kā krīzes sākumposmā 2008. gadā.</w:t>
      </w:r>
    </w:p>
    <w:p>
      <w:pPr>
        <w:pStyle w:val="Text1"/>
        <w:jc w:val="center"/>
        <w:rPr>
          <w:noProof/>
        </w:rPr>
      </w:pPr>
      <w:r>
        <w:rPr>
          <w:b/>
          <w:noProof/>
        </w:rPr>
        <w:br/>
        <w:t>Pārtikas produktu, dzērienu un tabakas izstrādājumu mazumtirdzniecības apjoms Grieķijā</w:t>
      </w:r>
      <w:r>
        <w:rPr>
          <w:b/>
          <w:noProof/>
        </w:rPr>
        <w:br/>
        <w:t>(ikgadējās pronetuālās izmaiņas)</w:t>
      </w:r>
    </w:p>
    <w:tbl>
      <w:tblPr>
        <w:tblStyle w:val="TableGrid"/>
        <w:tblW w:w="7560" w:type="dxa"/>
        <w:tblInd w:w="1068" w:type="dxa"/>
        <w:tblLayout w:type="fixed"/>
        <w:tblLook w:val="04A0" w:firstRow="1" w:lastRow="0" w:firstColumn="1" w:lastColumn="0" w:noHBand="0" w:noVBand="1"/>
      </w:tblPr>
      <w:tblGrid>
        <w:gridCol w:w="1320"/>
        <w:gridCol w:w="940"/>
        <w:gridCol w:w="1060"/>
        <w:gridCol w:w="1060"/>
        <w:gridCol w:w="1060"/>
        <w:gridCol w:w="1060"/>
        <w:gridCol w:w="820"/>
        <w:gridCol w:w="240"/>
      </w:tblGrid>
      <w:tr>
        <w:tc>
          <w:tcPr>
            <w:tcW w:w="1320" w:type="dxa"/>
          </w:tcPr>
          <w:p>
            <w:pPr>
              <w:spacing w:after="0"/>
              <w:rPr>
                <w:noProof/>
                <w:szCs w:val="24"/>
              </w:rPr>
            </w:pPr>
          </w:p>
        </w:tc>
        <w:tc>
          <w:tcPr>
            <w:tcW w:w="940" w:type="dxa"/>
            <w:vAlign w:val="center"/>
          </w:tcPr>
          <w:p>
            <w:pPr>
              <w:spacing w:after="0"/>
              <w:jc w:val="right"/>
              <w:rPr>
                <w:noProof/>
                <w:szCs w:val="24"/>
              </w:rPr>
            </w:pPr>
            <w:r>
              <w:rPr>
                <w:noProof/>
              </w:rPr>
              <w:t>2009.</w:t>
            </w:r>
          </w:p>
        </w:tc>
        <w:tc>
          <w:tcPr>
            <w:tcW w:w="1060" w:type="dxa"/>
            <w:vAlign w:val="center"/>
          </w:tcPr>
          <w:p>
            <w:pPr>
              <w:spacing w:after="0"/>
              <w:jc w:val="right"/>
              <w:rPr>
                <w:noProof/>
                <w:szCs w:val="24"/>
              </w:rPr>
            </w:pPr>
            <w:r>
              <w:rPr>
                <w:noProof/>
              </w:rPr>
              <w:t>2010.</w:t>
            </w:r>
          </w:p>
        </w:tc>
        <w:tc>
          <w:tcPr>
            <w:tcW w:w="1060" w:type="dxa"/>
            <w:vAlign w:val="center"/>
          </w:tcPr>
          <w:p>
            <w:pPr>
              <w:spacing w:after="0"/>
              <w:jc w:val="right"/>
              <w:rPr>
                <w:noProof/>
                <w:szCs w:val="24"/>
              </w:rPr>
            </w:pPr>
            <w:r>
              <w:rPr>
                <w:noProof/>
              </w:rPr>
              <w:t>2011.</w:t>
            </w:r>
          </w:p>
        </w:tc>
        <w:tc>
          <w:tcPr>
            <w:tcW w:w="1060" w:type="dxa"/>
            <w:vAlign w:val="center"/>
          </w:tcPr>
          <w:p>
            <w:pPr>
              <w:spacing w:after="0"/>
              <w:jc w:val="right"/>
              <w:rPr>
                <w:noProof/>
                <w:szCs w:val="24"/>
              </w:rPr>
            </w:pPr>
            <w:r>
              <w:rPr>
                <w:noProof/>
              </w:rPr>
              <w:t>2012.</w:t>
            </w:r>
          </w:p>
        </w:tc>
        <w:tc>
          <w:tcPr>
            <w:tcW w:w="1060" w:type="dxa"/>
            <w:vAlign w:val="center"/>
          </w:tcPr>
          <w:p>
            <w:pPr>
              <w:spacing w:after="0"/>
              <w:jc w:val="right"/>
              <w:rPr>
                <w:noProof/>
                <w:szCs w:val="24"/>
              </w:rPr>
            </w:pPr>
            <w:r>
              <w:rPr>
                <w:noProof/>
              </w:rPr>
              <w:t>2013.</w:t>
            </w:r>
          </w:p>
        </w:tc>
        <w:tc>
          <w:tcPr>
            <w:tcW w:w="1060" w:type="dxa"/>
            <w:gridSpan w:val="2"/>
          </w:tcPr>
          <w:p>
            <w:pPr>
              <w:rPr>
                <w:noProof/>
                <w:szCs w:val="24"/>
              </w:rPr>
            </w:pPr>
            <w:r>
              <w:rPr>
                <w:noProof/>
              </w:rPr>
              <w:t>2014.-2015.</w:t>
            </w:r>
            <w:r>
              <w:rPr>
                <w:rStyle w:val="FootnoteReference"/>
                <w:noProof/>
              </w:rPr>
              <w:footnoteReference w:id="11"/>
            </w:r>
          </w:p>
        </w:tc>
      </w:tr>
      <w:tr>
        <w:tc>
          <w:tcPr>
            <w:tcW w:w="1320" w:type="dxa"/>
            <w:tcBorders>
              <w:bottom w:val="single" w:sz="4" w:space="0" w:color="auto"/>
            </w:tcBorders>
          </w:tcPr>
          <w:p>
            <w:pPr>
              <w:spacing w:after="0"/>
              <w:rPr>
                <w:noProof/>
                <w:szCs w:val="24"/>
              </w:rPr>
            </w:pPr>
            <w:r>
              <w:rPr>
                <w:noProof/>
              </w:rPr>
              <w:t>Pārtikas produkti, dzērieni, tabakas izstrādājumi</w:t>
            </w:r>
            <w:r>
              <w:rPr>
                <w:rStyle w:val="FootnoteReference"/>
                <w:noProof/>
              </w:rPr>
              <w:footnoteReference w:id="12"/>
            </w:r>
          </w:p>
        </w:tc>
        <w:tc>
          <w:tcPr>
            <w:tcW w:w="940" w:type="dxa"/>
            <w:tcBorders>
              <w:bottom w:val="single" w:sz="4" w:space="0" w:color="auto"/>
            </w:tcBorders>
            <w:vAlign w:val="center"/>
          </w:tcPr>
          <w:p>
            <w:pPr>
              <w:spacing w:after="0"/>
              <w:jc w:val="right"/>
              <w:rPr>
                <w:noProof/>
                <w:szCs w:val="24"/>
              </w:rPr>
            </w:pPr>
            <w:r>
              <w:rPr>
                <w:noProof/>
              </w:rPr>
              <w:t>-6,1</w:t>
            </w:r>
          </w:p>
        </w:tc>
        <w:tc>
          <w:tcPr>
            <w:tcW w:w="1060" w:type="dxa"/>
            <w:tcBorders>
              <w:bottom w:val="single" w:sz="4" w:space="0" w:color="auto"/>
            </w:tcBorders>
            <w:vAlign w:val="center"/>
          </w:tcPr>
          <w:p>
            <w:pPr>
              <w:spacing w:after="0"/>
              <w:jc w:val="right"/>
              <w:rPr>
                <w:noProof/>
                <w:szCs w:val="24"/>
              </w:rPr>
            </w:pPr>
            <w:r>
              <w:rPr>
                <w:noProof/>
              </w:rPr>
              <w:t>-5,5</w:t>
            </w:r>
          </w:p>
        </w:tc>
        <w:tc>
          <w:tcPr>
            <w:tcW w:w="1060" w:type="dxa"/>
            <w:tcBorders>
              <w:bottom w:val="single" w:sz="4" w:space="0" w:color="auto"/>
            </w:tcBorders>
            <w:vAlign w:val="center"/>
          </w:tcPr>
          <w:p>
            <w:pPr>
              <w:spacing w:after="0"/>
              <w:jc w:val="right"/>
              <w:rPr>
                <w:noProof/>
                <w:szCs w:val="24"/>
              </w:rPr>
            </w:pPr>
            <w:r>
              <w:rPr>
                <w:noProof/>
              </w:rPr>
              <w:t>-6,0</w:t>
            </w:r>
          </w:p>
        </w:tc>
        <w:tc>
          <w:tcPr>
            <w:tcW w:w="1060" w:type="dxa"/>
            <w:tcBorders>
              <w:bottom w:val="single" w:sz="4" w:space="0" w:color="auto"/>
            </w:tcBorders>
            <w:vAlign w:val="center"/>
          </w:tcPr>
          <w:p>
            <w:pPr>
              <w:spacing w:after="0"/>
              <w:jc w:val="right"/>
              <w:rPr>
                <w:noProof/>
                <w:szCs w:val="24"/>
              </w:rPr>
            </w:pPr>
            <w:r>
              <w:rPr>
                <w:noProof/>
              </w:rPr>
              <w:t>-9,0</w:t>
            </w:r>
          </w:p>
        </w:tc>
        <w:tc>
          <w:tcPr>
            <w:tcW w:w="1060" w:type="dxa"/>
            <w:tcBorders>
              <w:bottom w:val="single" w:sz="4" w:space="0" w:color="auto"/>
            </w:tcBorders>
            <w:vAlign w:val="center"/>
          </w:tcPr>
          <w:p>
            <w:pPr>
              <w:spacing w:after="0"/>
              <w:jc w:val="right"/>
              <w:rPr>
                <w:noProof/>
                <w:szCs w:val="24"/>
              </w:rPr>
            </w:pPr>
            <w:r>
              <w:rPr>
                <w:noProof/>
              </w:rPr>
              <w:t>-9,1</w:t>
            </w:r>
          </w:p>
        </w:tc>
        <w:tc>
          <w:tcPr>
            <w:tcW w:w="1060" w:type="dxa"/>
            <w:gridSpan w:val="2"/>
            <w:tcBorders>
              <w:bottom w:val="single" w:sz="4" w:space="0" w:color="auto"/>
            </w:tcBorders>
            <w:vAlign w:val="center"/>
          </w:tcPr>
          <w:p>
            <w:pPr>
              <w:spacing w:after="0"/>
              <w:jc w:val="right"/>
              <w:rPr>
                <w:noProof/>
                <w:szCs w:val="24"/>
              </w:rPr>
            </w:pPr>
            <w:r>
              <w:rPr>
                <w:noProof/>
              </w:rPr>
              <w:t>0,4</w:t>
            </w:r>
          </w:p>
        </w:tc>
      </w:tr>
      <w:tr>
        <w:trPr>
          <w:gridAfter w:val="1"/>
          <w:wAfter w:w="240" w:type="dxa"/>
        </w:trPr>
        <w:tc>
          <w:tcPr>
            <w:tcW w:w="7320" w:type="dxa"/>
            <w:gridSpan w:val="7"/>
            <w:tcBorders>
              <w:top w:val="single" w:sz="4" w:space="0" w:color="auto"/>
              <w:left w:val="nil"/>
              <w:bottom w:val="nil"/>
              <w:right w:val="nil"/>
            </w:tcBorders>
            <w:vAlign w:val="center"/>
          </w:tcPr>
          <w:p>
            <w:pPr>
              <w:spacing w:before="0" w:after="0"/>
              <w:jc w:val="left"/>
              <w:rPr>
                <w:i/>
                <w:noProof/>
                <w:sz w:val="20"/>
                <w:szCs w:val="20"/>
              </w:rPr>
            </w:pPr>
            <w:r>
              <w:rPr>
                <w:i/>
                <w:noProof/>
                <w:sz w:val="20"/>
                <w:szCs w:val="20"/>
              </w:rPr>
              <w:br/>
            </w:r>
            <w:r>
              <w:rPr>
                <w:i/>
                <w:noProof/>
                <w:sz w:val="20"/>
              </w:rPr>
              <w:t>Avots: ELSTAT</w:t>
            </w:r>
          </w:p>
        </w:tc>
      </w:tr>
    </w:tbl>
    <w:p>
      <w:pPr>
        <w:pStyle w:val="ManualNumPar1"/>
        <w:rPr>
          <w:noProof/>
        </w:rPr>
      </w:pPr>
      <w:r>
        <w:t>22.</w:t>
      </w:r>
      <w:r>
        <w:tab/>
      </w:r>
      <w:r>
        <w:rPr>
          <w:i/>
          <w:noProof/>
        </w:rPr>
        <w:t>Supermarket Larissa</w:t>
      </w:r>
      <w:r>
        <w:rPr>
          <w:noProof/>
        </w:rPr>
        <w:t xml:space="preserve"> pārdošanas apjomu lejupslīde bija tāda pati kā Grieķijas ekonomikā, un 2013. gadā tā pārdošanas apjoms bija par 24 % zemāks nekā 2009. gadā.</w:t>
      </w:r>
    </w:p>
    <w:p>
      <w:pPr>
        <w:pStyle w:val="Text1"/>
        <w:jc w:val="center"/>
        <w:rPr>
          <w:b/>
          <w:noProof/>
        </w:rPr>
        <w:sectPr>
          <w:footerReference w:type="default" r:id="rId11"/>
          <w:footerReference w:type="first" r:id="rId12"/>
          <w:pgSz w:w="11907" w:h="16839"/>
          <w:pgMar w:top="1134" w:right="1417" w:bottom="1134" w:left="1417" w:header="709" w:footer="709" w:gutter="0"/>
          <w:cols w:space="708"/>
          <w:docGrid w:linePitch="360"/>
        </w:sectPr>
      </w:pPr>
    </w:p>
    <w:p>
      <w:pPr>
        <w:pStyle w:val="Text1"/>
        <w:jc w:val="center"/>
        <w:rPr>
          <w:b/>
          <w:noProof/>
        </w:rPr>
      </w:pPr>
      <w:r>
        <w:rPr>
          <w:b/>
          <w:i/>
          <w:noProof/>
        </w:rPr>
        <w:t>Supermarket Larissa ABEE</w:t>
      </w:r>
      <w:r>
        <w:rPr>
          <w:b/>
          <w:noProof/>
        </w:rPr>
        <w:t xml:space="preserve"> </w:t>
      </w:r>
      <w:r>
        <w:rPr>
          <w:b/>
          <w:noProof/>
        </w:rPr>
        <w:br/>
        <w:t>(pārdošanas apjoms - miljonos euro)</w:t>
      </w:r>
    </w:p>
    <w:tbl>
      <w:tblPr>
        <w:tblStyle w:val="TableGrid"/>
        <w:tblW w:w="0" w:type="auto"/>
        <w:tblInd w:w="1068" w:type="dxa"/>
        <w:tblLook w:val="04A0" w:firstRow="1" w:lastRow="0" w:firstColumn="1" w:lastColumn="0" w:noHBand="0" w:noVBand="1"/>
      </w:tblPr>
      <w:tblGrid>
        <w:gridCol w:w="1416"/>
        <w:gridCol w:w="1416"/>
        <w:gridCol w:w="1416"/>
        <w:gridCol w:w="1416"/>
        <w:gridCol w:w="1416"/>
      </w:tblGrid>
      <w:tr>
        <w:tc>
          <w:tcPr>
            <w:tcW w:w="1416" w:type="dxa"/>
            <w:vAlign w:val="center"/>
          </w:tcPr>
          <w:p>
            <w:pPr>
              <w:jc w:val="center"/>
              <w:rPr>
                <w:noProof/>
                <w:szCs w:val="24"/>
              </w:rPr>
            </w:pPr>
            <w:r>
              <w:rPr>
                <w:noProof/>
              </w:rPr>
              <w:t>2009.</w:t>
            </w:r>
          </w:p>
        </w:tc>
        <w:tc>
          <w:tcPr>
            <w:tcW w:w="1416" w:type="dxa"/>
            <w:vAlign w:val="center"/>
          </w:tcPr>
          <w:p>
            <w:pPr>
              <w:jc w:val="center"/>
              <w:rPr>
                <w:noProof/>
                <w:szCs w:val="24"/>
              </w:rPr>
            </w:pPr>
            <w:r>
              <w:rPr>
                <w:noProof/>
              </w:rPr>
              <w:t>2010.</w:t>
            </w:r>
          </w:p>
        </w:tc>
        <w:tc>
          <w:tcPr>
            <w:tcW w:w="1416" w:type="dxa"/>
            <w:vAlign w:val="center"/>
          </w:tcPr>
          <w:p>
            <w:pPr>
              <w:jc w:val="center"/>
              <w:rPr>
                <w:noProof/>
                <w:szCs w:val="24"/>
              </w:rPr>
            </w:pPr>
            <w:r>
              <w:rPr>
                <w:noProof/>
              </w:rPr>
              <w:t>2011.</w:t>
            </w:r>
          </w:p>
        </w:tc>
        <w:tc>
          <w:tcPr>
            <w:tcW w:w="1416" w:type="dxa"/>
            <w:vAlign w:val="center"/>
          </w:tcPr>
          <w:p>
            <w:pPr>
              <w:jc w:val="center"/>
              <w:rPr>
                <w:noProof/>
                <w:szCs w:val="24"/>
              </w:rPr>
            </w:pPr>
            <w:r>
              <w:rPr>
                <w:noProof/>
              </w:rPr>
              <w:t>2012.</w:t>
            </w:r>
          </w:p>
        </w:tc>
        <w:tc>
          <w:tcPr>
            <w:tcW w:w="1416" w:type="dxa"/>
            <w:vAlign w:val="center"/>
          </w:tcPr>
          <w:p>
            <w:pPr>
              <w:jc w:val="center"/>
              <w:rPr>
                <w:noProof/>
                <w:szCs w:val="24"/>
              </w:rPr>
            </w:pPr>
            <w:r>
              <w:rPr>
                <w:noProof/>
              </w:rPr>
              <w:t>2013.</w:t>
            </w:r>
          </w:p>
        </w:tc>
      </w:tr>
      <w:tr>
        <w:tc>
          <w:tcPr>
            <w:tcW w:w="1416" w:type="dxa"/>
            <w:vAlign w:val="center"/>
          </w:tcPr>
          <w:p>
            <w:pPr>
              <w:jc w:val="center"/>
              <w:rPr>
                <w:noProof/>
                <w:szCs w:val="24"/>
              </w:rPr>
            </w:pPr>
            <w:r>
              <w:rPr>
                <w:noProof/>
              </w:rPr>
              <w:t>67,6</w:t>
            </w:r>
          </w:p>
        </w:tc>
        <w:tc>
          <w:tcPr>
            <w:tcW w:w="1416" w:type="dxa"/>
            <w:vAlign w:val="center"/>
          </w:tcPr>
          <w:p>
            <w:pPr>
              <w:jc w:val="center"/>
              <w:rPr>
                <w:noProof/>
                <w:szCs w:val="24"/>
              </w:rPr>
            </w:pPr>
            <w:r>
              <w:rPr>
                <w:noProof/>
              </w:rPr>
              <w:t>66,9</w:t>
            </w:r>
          </w:p>
        </w:tc>
        <w:tc>
          <w:tcPr>
            <w:tcW w:w="1416" w:type="dxa"/>
            <w:vAlign w:val="center"/>
          </w:tcPr>
          <w:p>
            <w:pPr>
              <w:jc w:val="center"/>
              <w:rPr>
                <w:noProof/>
                <w:szCs w:val="24"/>
              </w:rPr>
            </w:pPr>
            <w:r>
              <w:rPr>
                <w:noProof/>
              </w:rPr>
              <w:t>64,5</w:t>
            </w:r>
          </w:p>
        </w:tc>
        <w:tc>
          <w:tcPr>
            <w:tcW w:w="1416" w:type="dxa"/>
            <w:vAlign w:val="center"/>
          </w:tcPr>
          <w:p>
            <w:pPr>
              <w:jc w:val="center"/>
              <w:rPr>
                <w:noProof/>
                <w:szCs w:val="24"/>
              </w:rPr>
            </w:pPr>
            <w:r>
              <w:rPr>
                <w:noProof/>
              </w:rPr>
              <w:t>58,6</w:t>
            </w:r>
          </w:p>
        </w:tc>
        <w:tc>
          <w:tcPr>
            <w:tcW w:w="1416" w:type="dxa"/>
            <w:vAlign w:val="center"/>
          </w:tcPr>
          <w:p>
            <w:pPr>
              <w:jc w:val="center"/>
              <w:rPr>
                <w:noProof/>
                <w:szCs w:val="24"/>
              </w:rPr>
            </w:pPr>
            <w:r>
              <w:rPr>
                <w:noProof/>
              </w:rPr>
              <w:t>51,6</w:t>
            </w:r>
          </w:p>
        </w:tc>
      </w:tr>
    </w:tbl>
    <w:p>
      <w:pPr>
        <w:pStyle w:val="ManualNumPar1"/>
        <w:rPr>
          <w:noProof/>
        </w:rPr>
      </w:pPr>
      <w:r>
        <w:t>23.</w:t>
      </w:r>
      <w:r>
        <w:tab/>
      </w:r>
      <w:r>
        <w:rPr>
          <w:noProof/>
        </w:rPr>
        <w:t xml:space="preserve">Lai pielāgotos tirgus situācijai, uzņēmums īstenoja dažus budžeta taupības pasākumus, piemēram, algu samazinājums (-30 %), vienošanās par jauniem nomas līguma nosacījumiem, atlikts rēķinu termiņš, lētāku produktu piedāvājums, darbības izmaksu samazinājums (piemēram, samazinot apgaismojuma stundas veikalos) utt. Tomēr uzņēmums nevarēja tikt galā ar zaudējumiem un 2014. gada 2. ceturksnī nācās vienu pēc otra veikalus slēgt. Uzņēmuma slēgšana un tam sekojošā darba ņēmēju atlaišana notika gadu vēlāk (2015. gada 2. ceturksnī), kad Tiesa lēma par bankrota pieteikumu, ko iesniedza </w:t>
      </w:r>
      <w:r>
        <w:rPr>
          <w:i/>
          <w:noProof/>
        </w:rPr>
        <w:t>Supermarket Larissa</w:t>
      </w:r>
      <w:r>
        <w:rPr>
          <w:noProof/>
        </w:rPr>
        <w:t xml:space="preserve"> piegādes uzņēmums.</w:t>
      </w:r>
    </w:p>
    <w:p>
      <w:pPr>
        <w:pStyle w:val="ManualHeading3"/>
        <w:rPr>
          <w:noProof/>
        </w:rPr>
      </w:pPr>
      <w:r>
        <w:rPr>
          <w:noProof/>
        </w:rPr>
        <w:t>Paredzamā atlaišanas ietekme uz ekonomiku un nodarbinātību vietējā, reģionālā vai valsts līmenī</w:t>
      </w:r>
    </w:p>
    <w:p>
      <w:pPr>
        <w:pStyle w:val="ManualNumPar1"/>
        <w:rPr>
          <w:noProof/>
        </w:rPr>
      </w:pPr>
      <w:r>
        <w:t>24.</w:t>
      </w:r>
      <w:r>
        <w:tab/>
      </w:r>
      <w:r>
        <w:rPr>
          <w:noProof/>
        </w:rPr>
        <w:t xml:space="preserve">Grieķijas iestādes apgalvo, ka darba ņēmēju atlaišana </w:t>
      </w:r>
      <w:r>
        <w:rPr>
          <w:i/>
          <w:noProof/>
        </w:rPr>
        <w:t>Supermarket Larissa</w:t>
      </w:r>
      <w:r>
        <w:rPr>
          <w:noProof/>
        </w:rPr>
        <w:t xml:space="preserve"> vēl vairāk pasliktinās bezdarba situāciju, kuru jau nelabvēlīgi bija ietekmējusi ekonomikas un finanšu krīze un kas šķiet īpaši nestabila. Grieķijā ir visaugstākais bezdarba līmenis ES dalībvalstīs un piektais augstākais visā pasaulē</w:t>
      </w:r>
      <w:r>
        <w:rPr>
          <w:rStyle w:val="FootnoteReference"/>
          <w:noProof/>
        </w:rPr>
        <w:footnoteReference w:id="13"/>
      </w:r>
      <w:r>
        <w:rPr>
          <w:noProof/>
        </w:rPr>
        <w:t>.</w:t>
      </w:r>
    </w:p>
    <w:p>
      <w:pPr>
        <w:pStyle w:val="Text1"/>
        <w:jc w:val="center"/>
        <w:rPr>
          <w:noProof/>
        </w:rPr>
      </w:pPr>
      <w:r>
        <w:rPr>
          <w:b/>
          <w:noProof/>
        </w:rPr>
        <w:t>Bezdarba līmenis</w:t>
      </w:r>
      <w:r>
        <w:rPr>
          <w:b/>
          <w:noProof/>
        </w:rPr>
        <w:br/>
      </w:r>
      <w:r>
        <w:rPr>
          <w:b/>
          <w:noProof/>
        </w:rPr>
        <w:br/>
      </w:r>
      <w:r>
        <w:rPr>
          <w:noProof/>
        </w:rPr>
        <w:t xml:space="preserve"> </w:t>
      </w:r>
      <w:r>
        <w:rPr>
          <w:noProof/>
          <w:lang w:val="en-US" w:eastAsia="en-US" w:bidi="ar-SA"/>
        </w:rPr>
        <w:drawing>
          <wp:inline distT="0" distB="0" distL="0" distR="0">
            <wp:extent cx="3848100" cy="244792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pStyle w:val="Text1"/>
        <w:rPr>
          <w:noProof/>
        </w:rPr>
      </w:pPr>
      <w:r>
        <w:rPr>
          <w:noProof/>
        </w:rPr>
        <w:tab/>
      </w:r>
      <w:r>
        <w:rPr>
          <w:noProof/>
        </w:rPr>
        <w:tab/>
      </w:r>
      <w:r>
        <w:rPr>
          <w:i/>
          <w:noProof/>
          <w:sz w:val="20"/>
        </w:rPr>
        <w:t>Avots: Eurostat</w:t>
      </w:r>
      <w:r>
        <w:rPr>
          <w:rStyle w:val="FootnoteReference"/>
          <w:noProof/>
        </w:rPr>
        <w:footnoteReference w:id="14"/>
      </w:r>
      <w:r>
        <w:rPr>
          <w:i/>
          <w:noProof/>
          <w:sz w:val="20"/>
        </w:rPr>
        <w:t xml:space="preserve"> </w:t>
      </w:r>
      <w:r>
        <w:rPr>
          <w:noProof/>
          <w:sz w:val="20"/>
        </w:rPr>
        <w:t>un</w:t>
      </w:r>
      <w:r>
        <w:rPr>
          <w:i/>
          <w:noProof/>
          <w:sz w:val="20"/>
        </w:rPr>
        <w:t xml:space="preserve"> ELSTAT.</w:t>
      </w:r>
    </w:p>
    <w:p>
      <w:pPr>
        <w:pStyle w:val="ManualNumPar1"/>
        <w:rPr>
          <w:noProof/>
        </w:rPr>
      </w:pPr>
      <w:r>
        <w:t>25.</w:t>
      </w:r>
      <w:r>
        <w:tab/>
      </w:r>
      <w:r>
        <w:rPr>
          <w:noProof/>
        </w:rPr>
        <w:t>Turklāt S</w:t>
      </w:r>
      <w:r>
        <w:rPr>
          <w:i/>
          <w:noProof/>
        </w:rPr>
        <w:t>upermarket Larissa</w:t>
      </w:r>
      <w:r>
        <w:rPr>
          <w:noProof/>
        </w:rPr>
        <w:t xml:space="preserve"> parādsaistības pret trešām personām tiek lēstas 33,5 miljonu euro apmērā. Tas jo īpaši skar lielveikala piegādātājus, kas izraisījis pakārtotu bankrotu vilni un papildu darba ņēmēju atlaišanu.</w:t>
      </w:r>
    </w:p>
    <w:p>
      <w:pPr>
        <w:pStyle w:val="ManualNumPar1"/>
        <w:rPr>
          <w:noProof/>
        </w:rPr>
      </w:pPr>
      <w:r>
        <w:t>26.</w:t>
      </w:r>
      <w:r>
        <w:tab/>
      </w:r>
      <w:r>
        <w:rPr>
          <w:noProof/>
        </w:rPr>
        <w:t xml:space="preserve">Lielākā daļa atlaišanas gadījumu (97,5 %) ir koncentrēti Tesālijā, </w:t>
      </w:r>
      <w:r>
        <w:rPr>
          <w:i/>
          <w:noProof/>
        </w:rPr>
        <w:t>NUTS</w:t>
      </w:r>
      <w:r>
        <w:rPr>
          <w:noProof/>
        </w:rPr>
        <w:t xml:space="preserve"> 3. līmeņa teritorijā Larisā (EL142). Nodarbinātības situācija Tesālijā, kas šķita mazliet labāka nekā vidēji valstī (51,8 % salīdzinājumā ar 50,8 % 2012. gadā un 49,6 % salīdzinājumā ar 48,8 % 2013. gadā) 2014. gadā bija nedaudz sliktāka (49 % salīdzinājumā ar 49,4 %)</w:t>
      </w:r>
      <w:r>
        <w:rPr>
          <w:rStyle w:val="FootnoteReference"/>
          <w:noProof/>
        </w:rPr>
        <w:footnoteReference w:id="15"/>
      </w:r>
      <w:r>
        <w:rPr>
          <w:noProof/>
        </w:rPr>
        <w:t>. Turklāt reģionā trūkst darbvietu salīdzinājumā ar lielo darba meklētāju skaitu. Tāpēc vairāk nekā 73,5 % bezdarbnieku Tesālijā ir bijuši bez darba vairāk nekā 12 mēnešus</w:t>
      </w:r>
      <w:r>
        <w:rPr>
          <w:rStyle w:val="FootnoteReference"/>
          <w:noProof/>
        </w:rPr>
        <w:footnoteReference w:id="16"/>
      </w:r>
      <w:r>
        <w:rPr>
          <w:noProof/>
        </w:rPr>
        <w:t>.</w:t>
      </w:r>
    </w:p>
    <w:p>
      <w:pPr>
        <w:pStyle w:val="ManualHeading2"/>
        <w:rPr>
          <w:noProof/>
        </w:rPr>
      </w:pPr>
      <w:r>
        <w:rPr>
          <w:noProof/>
        </w:rPr>
        <w:t>Paredzētie atbalsta saņēmēji un ierosinātās darbības</w:t>
      </w:r>
    </w:p>
    <w:p>
      <w:pPr>
        <w:pStyle w:val="ManualHeading3"/>
        <w:rPr>
          <w:noProof/>
        </w:rPr>
      </w:pPr>
      <w:r>
        <w:rPr>
          <w:noProof/>
        </w:rPr>
        <w:t>Paredzētie atbalsta saņēmēji</w:t>
      </w:r>
    </w:p>
    <w:p>
      <w:pPr>
        <w:pStyle w:val="ManualNumPar1"/>
        <w:rPr>
          <w:noProof/>
        </w:rPr>
      </w:pPr>
      <w:r>
        <w:t>27.</w:t>
      </w:r>
      <w:r>
        <w:tab/>
      </w:r>
      <w:r>
        <w:rPr>
          <w:noProof/>
        </w:rPr>
        <w:t>Paredzams, ka pasākumos piedalīsies visi atlaistie darba ņēmēji. Potenciālos dalībniekus pēc to dzimuma, valstspiederības un vecuma grupas var iedalīt šādi:</w:t>
      </w:r>
    </w:p>
    <w:tbl>
      <w:tblPr>
        <w:tblW w:w="0" w:type="auto"/>
        <w:jc w:val="center"/>
        <w:tblLook w:val="04A0" w:firstRow="1" w:lastRow="0" w:firstColumn="1" w:lastColumn="0" w:noHBand="0" w:noVBand="1"/>
      </w:tblPr>
      <w:tblGrid>
        <w:gridCol w:w="1776"/>
        <w:gridCol w:w="2063"/>
        <w:gridCol w:w="1176"/>
        <w:gridCol w:w="1176"/>
      </w:tblGrid>
      <w:tr>
        <w:trPr>
          <w:jc w:val="center"/>
        </w:trPr>
        <w:tc>
          <w:tcPr>
            <w:tcW w:w="3559" w:type="dxa"/>
            <w:gridSpan w:val="2"/>
            <w:tcBorders>
              <w:top w:val="single" w:sz="4" w:space="0" w:color="auto"/>
              <w:left w:val="nil"/>
              <w:bottom w:val="single" w:sz="4" w:space="0" w:color="auto"/>
              <w:right w:val="nil"/>
            </w:tcBorders>
            <w:hideMark/>
          </w:tcPr>
          <w:p>
            <w:pPr>
              <w:spacing w:before="60" w:after="60"/>
              <w:jc w:val="center"/>
              <w:rPr>
                <w:noProof/>
              </w:rPr>
            </w:pPr>
            <w:r>
              <w:rPr>
                <w:noProof/>
              </w:rPr>
              <w:t>Kategorija</w:t>
            </w:r>
          </w:p>
        </w:tc>
        <w:tc>
          <w:tcPr>
            <w:tcW w:w="2352" w:type="dxa"/>
            <w:gridSpan w:val="2"/>
            <w:tcBorders>
              <w:top w:val="single" w:sz="4" w:space="0" w:color="auto"/>
              <w:left w:val="nil"/>
              <w:bottom w:val="single" w:sz="4" w:space="0" w:color="auto"/>
              <w:right w:val="nil"/>
            </w:tcBorders>
            <w:hideMark/>
          </w:tcPr>
          <w:p>
            <w:pPr>
              <w:spacing w:before="60" w:after="60"/>
              <w:jc w:val="center"/>
              <w:rPr>
                <w:noProof/>
              </w:rPr>
            </w:pPr>
            <w:r>
              <w:rPr>
                <w:noProof/>
              </w:rPr>
              <w:t xml:space="preserve">Paredzēto atbalsta </w:t>
            </w:r>
            <w:r>
              <w:rPr>
                <w:noProof/>
              </w:rPr>
              <w:br/>
              <w:t>saņēmēju skaits</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Dzimums:</w:t>
            </w:r>
          </w:p>
        </w:tc>
        <w:tc>
          <w:tcPr>
            <w:tcW w:w="2063" w:type="dxa"/>
            <w:tcBorders>
              <w:top w:val="single" w:sz="4" w:space="0" w:color="auto"/>
              <w:left w:val="nil"/>
              <w:bottom w:val="nil"/>
              <w:right w:val="nil"/>
            </w:tcBorders>
            <w:hideMark/>
          </w:tcPr>
          <w:p>
            <w:pPr>
              <w:spacing w:before="60" w:after="60"/>
              <w:rPr>
                <w:noProof/>
              </w:rPr>
            </w:pPr>
            <w:r>
              <w:rPr>
                <w:noProof/>
              </w:rPr>
              <w:t>vīrieši:</w:t>
            </w:r>
          </w:p>
        </w:tc>
        <w:tc>
          <w:tcPr>
            <w:tcW w:w="1176" w:type="dxa"/>
            <w:tcBorders>
              <w:top w:val="single" w:sz="4" w:space="0" w:color="auto"/>
              <w:left w:val="nil"/>
              <w:bottom w:val="nil"/>
              <w:right w:val="nil"/>
            </w:tcBorders>
            <w:hideMark/>
          </w:tcPr>
          <w:p>
            <w:pPr>
              <w:spacing w:before="60" w:after="60"/>
              <w:jc w:val="right"/>
              <w:rPr>
                <w:noProof/>
              </w:rPr>
            </w:pPr>
            <w:r>
              <w:rPr>
                <w:noProof/>
              </w:rPr>
              <w:t>194</w:t>
            </w:r>
          </w:p>
        </w:tc>
        <w:tc>
          <w:tcPr>
            <w:tcW w:w="1176" w:type="dxa"/>
            <w:tcBorders>
              <w:top w:val="single" w:sz="4" w:space="0" w:color="auto"/>
              <w:left w:val="nil"/>
              <w:bottom w:val="nil"/>
              <w:right w:val="nil"/>
            </w:tcBorders>
            <w:hideMark/>
          </w:tcPr>
          <w:p>
            <w:pPr>
              <w:spacing w:before="60" w:after="60"/>
              <w:jc w:val="right"/>
              <w:rPr>
                <w:noProof/>
              </w:rPr>
            </w:pPr>
            <w:r>
              <w:rPr>
                <w:noProof/>
              </w:rPr>
              <w:t>(34,8 %)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sievietes:</w:t>
            </w:r>
          </w:p>
        </w:tc>
        <w:tc>
          <w:tcPr>
            <w:tcW w:w="1176" w:type="dxa"/>
            <w:tcBorders>
              <w:bottom w:val="single" w:sz="4" w:space="0" w:color="auto"/>
            </w:tcBorders>
            <w:hideMark/>
          </w:tcPr>
          <w:p>
            <w:pPr>
              <w:spacing w:before="60" w:after="60"/>
              <w:jc w:val="right"/>
              <w:rPr>
                <w:noProof/>
              </w:rPr>
            </w:pPr>
            <w:r>
              <w:rPr>
                <w:noProof/>
              </w:rPr>
              <w:t>363</w:t>
            </w:r>
          </w:p>
        </w:tc>
        <w:tc>
          <w:tcPr>
            <w:tcW w:w="1176" w:type="dxa"/>
            <w:tcBorders>
              <w:bottom w:val="single" w:sz="4" w:space="0" w:color="auto"/>
            </w:tcBorders>
            <w:hideMark/>
          </w:tcPr>
          <w:p>
            <w:pPr>
              <w:spacing w:before="60" w:after="60"/>
              <w:jc w:val="right"/>
              <w:rPr>
                <w:noProof/>
              </w:rPr>
            </w:pPr>
            <w:r>
              <w:rPr>
                <w:noProof/>
              </w:rPr>
              <w:t>(65,2 %)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Valstspiederība:</w:t>
            </w:r>
          </w:p>
        </w:tc>
        <w:tc>
          <w:tcPr>
            <w:tcW w:w="2063" w:type="dxa"/>
            <w:tcBorders>
              <w:top w:val="single" w:sz="4" w:space="0" w:color="auto"/>
              <w:left w:val="nil"/>
              <w:bottom w:val="nil"/>
              <w:right w:val="nil"/>
            </w:tcBorders>
            <w:hideMark/>
          </w:tcPr>
          <w:p>
            <w:pPr>
              <w:spacing w:before="60" w:after="60"/>
              <w:rPr>
                <w:noProof/>
              </w:rPr>
            </w:pPr>
            <w:r>
              <w:rPr>
                <w:noProof/>
              </w:rPr>
              <w:t>ES valstpiederīgie:</w:t>
            </w:r>
          </w:p>
        </w:tc>
        <w:tc>
          <w:tcPr>
            <w:tcW w:w="1176" w:type="dxa"/>
            <w:tcBorders>
              <w:top w:val="single" w:sz="4" w:space="0" w:color="auto"/>
            </w:tcBorders>
            <w:hideMark/>
          </w:tcPr>
          <w:p>
            <w:pPr>
              <w:spacing w:before="60" w:after="60"/>
              <w:jc w:val="right"/>
              <w:rPr>
                <w:noProof/>
              </w:rPr>
            </w:pPr>
            <w:r>
              <w:rPr>
                <w:noProof/>
              </w:rPr>
              <w:t>556</w:t>
            </w:r>
          </w:p>
        </w:tc>
        <w:tc>
          <w:tcPr>
            <w:tcW w:w="1176" w:type="dxa"/>
            <w:tcBorders>
              <w:top w:val="single" w:sz="4" w:space="0" w:color="auto"/>
            </w:tcBorders>
            <w:hideMark/>
          </w:tcPr>
          <w:p>
            <w:pPr>
              <w:spacing w:before="60" w:after="60"/>
              <w:jc w:val="right"/>
              <w:rPr>
                <w:noProof/>
              </w:rPr>
            </w:pPr>
            <w:r>
              <w:rPr>
                <w:noProof/>
              </w:rPr>
              <w:t>(99,8 %)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nav ES valstpiederīgie:</w:t>
            </w:r>
          </w:p>
        </w:tc>
        <w:tc>
          <w:tcPr>
            <w:tcW w:w="1176" w:type="dxa"/>
            <w:tcBorders>
              <w:bottom w:val="single" w:sz="4" w:space="0" w:color="auto"/>
            </w:tcBorders>
            <w:hideMark/>
          </w:tcPr>
          <w:p>
            <w:pPr>
              <w:spacing w:before="60" w:after="60"/>
              <w:jc w:val="right"/>
              <w:rPr>
                <w:noProof/>
              </w:rPr>
            </w:pPr>
            <w:r>
              <w:rPr>
                <w:noProof/>
              </w:rPr>
              <w:t>1</w:t>
            </w:r>
          </w:p>
        </w:tc>
        <w:tc>
          <w:tcPr>
            <w:tcW w:w="1176" w:type="dxa"/>
            <w:tcBorders>
              <w:bottom w:val="single" w:sz="4" w:space="0" w:color="auto"/>
            </w:tcBorders>
            <w:hideMark/>
          </w:tcPr>
          <w:p>
            <w:pPr>
              <w:spacing w:before="60" w:after="60"/>
              <w:jc w:val="right"/>
              <w:rPr>
                <w:noProof/>
              </w:rPr>
            </w:pPr>
            <w:r>
              <w:rPr>
                <w:noProof/>
              </w:rPr>
              <w:t>(0,2 %)</w:t>
            </w:r>
          </w:p>
        </w:tc>
      </w:tr>
      <w:tr>
        <w:trPr>
          <w:jc w:val="center"/>
        </w:trPr>
        <w:tc>
          <w:tcPr>
            <w:tcW w:w="1496" w:type="dxa"/>
            <w:tcBorders>
              <w:top w:val="single" w:sz="4" w:space="0" w:color="auto"/>
              <w:left w:val="nil"/>
              <w:bottom w:val="nil"/>
              <w:right w:val="nil"/>
            </w:tcBorders>
            <w:hideMark/>
          </w:tcPr>
          <w:p>
            <w:pPr>
              <w:spacing w:before="60" w:after="60"/>
              <w:rPr>
                <w:noProof/>
              </w:rPr>
            </w:pPr>
            <w:r>
              <w:rPr>
                <w:noProof/>
              </w:rPr>
              <w:t>Vecuma grupa:</w:t>
            </w:r>
          </w:p>
        </w:tc>
        <w:tc>
          <w:tcPr>
            <w:tcW w:w="2063" w:type="dxa"/>
            <w:tcBorders>
              <w:top w:val="single" w:sz="4" w:space="0" w:color="auto"/>
              <w:left w:val="nil"/>
              <w:bottom w:val="nil"/>
              <w:right w:val="nil"/>
            </w:tcBorders>
            <w:hideMark/>
          </w:tcPr>
          <w:p>
            <w:pPr>
              <w:spacing w:before="60" w:after="60"/>
              <w:rPr>
                <w:noProof/>
              </w:rPr>
            </w:pPr>
            <w:r>
              <w:rPr>
                <w:noProof/>
              </w:rPr>
              <w:t>15-24 gadi:</w:t>
            </w:r>
          </w:p>
        </w:tc>
        <w:tc>
          <w:tcPr>
            <w:tcW w:w="1176" w:type="dxa"/>
            <w:tcBorders>
              <w:top w:val="single" w:sz="4" w:space="0" w:color="auto"/>
            </w:tcBorders>
            <w:hideMark/>
          </w:tcPr>
          <w:p>
            <w:pPr>
              <w:spacing w:before="60" w:after="60"/>
              <w:jc w:val="right"/>
              <w:rPr>
                <w:noProof/>
              </w:rPr>
            </w:pPr>
            <w:r>
              <w:rPr>
                <w:noProof/>
              </w:rPr>
              <w:t>0</w:t>
            </w:r>
          </w:p>
        </w:tc>
        <w:tc>
          <w:tcPr>
            <w:tcW w:w="1176" w:type="dxa"/>
            <w:tcBorders>
              <w:top w:val="single" w:sz="4" w:space="0" w:color="auto"/>
            </w:tcBorders>
            <w:hideMark/>
          </w:tcPr>
          <w:p>
            <w:pPr>
              <w:spacing w:before="60" w:after="60"/>
              <w:jc w:val="right"/>
              <w:rPr>
                <w:noProof/>
              </w:rPr>
            </w:pPr>
            <w:r>
              <w:rPr>
                <w:noProof/>
              </w:rPr>
              <w:t>(0,0 %)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25-29 gadi:</w:t>
            </w:r>
          </w:p>
        </w:tc>
        <w:tc>
          <w:tcPr>
            <w:tcW w:w="1176" w:type="dxa"/>
            <w:hideMark/>
          </w:tcPr>
          <w:p>
            <w:pPr>
              <w:spacing w:before="60" w:after="60"/>
              <w:jc w:val="right"/>
              <w:rPr>
                <w:noProof/>
              </w:rPr>
            </w:pPr>
            <w:r>
              <w:rPr>
                <w:noProof/>
              </w:rPr>
              <w:t>50</w:t>
            </w:r>
          </w:p>
        </w:tc>
        <w:tc>
          <w:tcPr>
            <w:tcW w:w="1176" w:type="dxa"/>
            <w:hideMark/>
          </w:tcPr>
          <w:p>
            <w:pPr>
              <w:spacing w:before="60" w:after="60"/>
              <w:jc w:val="right"/>
              <w:rPr>
                <w:noProof/>
              </w:rPr>
            </w:pPr>
            <w:r>
              <w:rPr>
                <w:noProof/>
              </w:rPr>
              <w:t>(9,0 %)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30-54 gadi:</w:t>
            </w:r>
          </w:p>
        </w:tc>
        <w:tc>
          <w:tcPr>
            <w:tcW w:w="1176" w:type="dxa"/>
            <w:hideMark/>
          </w:tcPr>
          <w:p>
            <w:pPr>
              <w:spacing w:before="60" w:after="60"/>
              <w:jc w:val="right"/>
              <w:rPr>
                <w:noProof/>
              </w:rPr>
            </w:pPr>
            <w:r>
              <w:rPr>
                <w:noProof/>
              </w:rPr>
              <w:t>479</w:t>
            </w:r>
          </w:p>
        </w:tc>
        <w:tc>
          <w:tcPr>
            <w:tcW w:w="1176" w:type="dxa"/>
            <w:hideMark/>
          </w:tcPr>
          <w:p>
            <w:pPr>
              <w:spacing w:before="60" w:after="60"/>
              <w:jc w:val="right"/>
              <w:rPr>
                <w:noProof/>
              </w:rPr>
            </w:pPr>
            <w:r>
              <w:rPr>
                <w:noProof/>
              </w:rPr>
              <w:t>(86,0 %)</w:t>
            </w:r>
          </w:p>
        </w:tc>
      </w:tr>
      <w:tr>
        <w:trPr>
          <w:jc w:val="center"/>
        </w:trPr>
        <w:tc>
          <w:tcPr>
            <w:tcW w:w="1496" w:type="dxa"/>
          </w:tcPr>
          <w:p>
            <w:pPr>
              <w:spacing w:before="60" w:after="60"/>
              <w:rPr>
                <w:noProof/>
              </w:rPr>
            </w:pPr>
          </w:p>
        </w:tc>
        <w:tc>
          <w:tcPr>
            <w:tcW w:w="2063" w:type="dxa"/>
            <w:hideMark/>
          </w:tcPr>
          <w:p>
            <w:pPr>
              <w:spacing w:before="60" w:after="60"/>
              <w:rPr>
                <w:noProof/>
              </w:rPr>
            </w:pPr>
            <w:r>
              <w:rPr>
                <w:noProof/>
              </w:rPr>
              <w:t>55-64 gadi:</w:t>
            </w:r>
          </w:p>
        </w:tc>
        <w:tc>
          <w:tcPr>
            <w:tcW w:w="1176" w:type="dxa"/>
            <w:hideMark/>
          </w:tcPr>
          <w:p>
            <w:pPr>
              <w:spacing w:before="60" w:after="60"/>
              <w:jc w:val="right"/>
              <w:rPr>
                <w:noProof/>
              </w:rPr>
            </w:pPr>
            <w:r>
              <w:rPr>
                <w:noProof/>
              </w:rPr>
              <w:t>28</w:t>
            </w:r>
          </w:p>
        </w:tc>
        <w:tc>
          <w:tcPr>
            <w:tcW w:w="1176" w:type="dxa"/>
            <w:hideMark/>
          </w:tcPr>
          <w:p>
            <w:pPr>
              <w:spacing w:before="60" w:after="60"/>
              <w:jc w:val="right"/>
              <w:rPr>
                <w:noProof/>
              </w:rPr>
            </w:pPr>
            <w:r>
              <w:rPr>
                <w:noProof/>
              </w:rPr>
              <w:t>(5,0 %)</w:t>
            </w:r>
          </w:p>
        </w:tc>
      </w:tr>
      <w:tr>
        <w:trPr>
          <w:jc w:val="center"/>
        </w:trPr>
        <w:tc>
          <w:tcPr>
            <w:tcW w:w="1496" w:type="dxa"/>
            <w:tcBorders>
              <w:top w:val="nil"/>
              <w:left w:val="nil"/>
              <w:bottom w:val="single" w:sz="4" w:space="0" w:color="auto"/>
              <w:right w:val="nil"/>
            </w:tcBorders>
          </w:tcPr>
          <w:p>
            <w:pPr>
              <w:spacing w:before="60" w:after="60"/>
              <w:rPr>
                <w:noProof/>
              </w:rPr>
            </w:pPr>
          </w:p>
        </w:tc>
        <w:tc>
          <w:tcPr>
            <w:tcW w:w="2063" w:type="dxa"/>
            <w:tcBorders>
              <w:top w:val="nil"/>
              <w:left w:val="nil"/>
              <w:bottom w:val="single" w:sz="4" w:space="0" w:color="auto"/>
              <w:right w:val="nil"/>
            </w:tcBorders>
            <w:hideMark/>
          </w:tcPr>
          <w:p>
            <w:pPr>
              <w:spacing w:before="60" w:after="60"/>
              <w:rPr>
                <w:noProof/>
              </w:rPr>
            </w:pPr>
            <w:r>
              <w:rPr>
                <w:noProof/>
              </w:rPr>
              <w:t>vairāk nekā 64 gadi:</w:t>
            </w:r>
          </w:p>
        </w:tc>
        <w:tc>
          <w:tcPr>
            <w:tcW w:w="1176" w:type="dxa"/>
            <w:tcBorders>
              <w:top w:val="nil"/>
              <w:left w:val="nil"/>
              <w:bottom w:val="single" w:sz="4" w:space="0" w:color="auto"/>
              <w:right w:val="nil"/>
            </w:tcBorders>
            <w:hideMark/>
          </w:tcPr>
          <w:p>
            <w:pPr>
              <w:spacing w:before="60" w:after="60"/>
              <w:jc w:val="right"/>
              <w:rPr>
                <w:noProof/>
              </w:rPr>
            </w:pPr>
            <w:r>
              <w:rPr>
                <w:noProof/>
              </w:rPr>
              <w:t>0</w:t>
            </w:r>
          </w:p>
        </w:tc>
        <w:tc>
          <w:tcPr>
            <w:tcW w:w="1176" w:type="dxa"/>
            <w:tcBorders>
              <w:top w:val="nil"/>
              <w:left w:val="nil"/>
              <w:bottom w:val="single" w:sz="4" w:space="0" w:color="auto"/>
              <w:right w:val="nil"/>
            </w:tcBorders>
            <w:hideMark/>
          </w:tcPr>
          <w:p>
            <w:pPr>
              <w:spacing w:before="60" w:after="60"/>
              <w:jc w:val="right"/>
              <w:rPr>
                <w:noProof/>
              </w:rPr>
            </w:pPr>
            <w:r>
              <w:rPr>
                <w:noProof/>
              </w:rPr>
              <w:t>(0,0 %)</w:t>
            </w:r>
          </w:p>
        </w:tc>
      </w:tr>
    </w:tbl>
    <w:p>
      <w:pPr>
        <w:pStyle w:val="ManualNumPar1"/>
        <w:rPr>
          <w:noProof/>
        </w:rPr>
      </w:pPr>
      <w:r>
        <w:t>28.</w:t>
      </w:r>
      <w:r>
        <w:tab/>
      </w:r>
      <w:r>
        <w:rPr>
          <w:noProof/>
        </w:rPr>
        <w:t>Turklāt Grieķijas iestādes sniegs EGF līdzfinansētus individualizētus pakalpojumus līdz pat 543 jauniešiem, kuri nav nedz nodarbināti, nedz iesaistīti izglītībā vai apmācībā (</w:t>
      </w:r>
      <w:r>
        <w:rPr>
          <w:i/>
          <w:noProof/>
        </w:rPr>
        <w:t>NEET</w:t>
      </w:r>
      <w:r>
        <w:rPr>
          <w:noProof/>
        </w:rPr>
        <w:t xml:space="preserve">) un pieteikuma iesniegšanas dienā ir jaunāki par 30 gadiem, ņemot vērā, ka 5. punktā minēto darba ņēmēju atlaišana notika </w:t>
      </w:r>
      <w:r>
        <w:rPr>
          <w:i/>
          <w:noProof/>
        </w:rPr>
        <w:t>NUTS</w:t>
      </w:r>
      <w:r>
        <w:rPr>
          <w:noProof/>
        </w:rPr>
        <w:t xml:space="preserve"> 2. līmeņa reģionos — Tesālijā (</w:t>
      </w:r>
      <w:r>
        <w:rPr>
          <w:i/>
          <w:noProof/>
        </w:rPr>
        <w:t>Θεσσαλία</w:t>
      </w:r>
      <w:r>
        <w:rPr>
          <w:noProof/>
        </w:rPr>
        <w:t>) (EL14) un Centrālajā Maķedonijā (</w:t>
      </w:r>
      <w:r>
        <w:rPr>
          <w:i/>
          <w:noProof/>
        </w:rPr>
        <w:t>Κεντρική Μακεδονία</w:t>
      </w:r>
      <w:r>
        <w:rPr>
          <w:noProof/>
        </w:rPr>
        <w:t>) (EL12), kas ir tiesīgi saņemt atbalstu saskaņā ar Jaunatnes nodarbinātības iniciatīvu.</w:t>
      </w:r>
    </w:p>
    <w:p>
      <w:pPr>
        <w:pStyle w:val="ManualNumPar1"/>
        <w:rPr>
          <w:noProof/>
          <w:szCs w:val="20"/>
        </w:rPr>
      </w:pPr>
      <w:r>
        <w:t>29.</w:t>
      </w:r>
      <w:r>
        <w:tab/>
      </w:r>
      <w:r>
        <w:rPr>
          <w:noProof/>
        </w:rPr>
        <w:t>Tādējādi aplēsts, ka to paredzēto atbalsta saņēmēju kopskaits, kas piedalīsies pasākumos, ieskaitot jauniešus, kas nestrādā un nemācās, būs 1100.</w:t>
      </w:r>
    </w:p>
    <w:p>
      <w:pPr>
        <w:pStyle w:val="ManualHeading3"/>
        <w:rPr>
          <w:noProof/>
          <w:u w:val="single"/>
        </w:rPr>
      </w:pPr>
      <w:r>
        <w:rPr>
          <w:noProof/>
        </w:rPr>
        <w:t>Ierosināto darbību attiecināmība</w:t>
      </w:r>
    </w:p>
    <w:p>
      <w:pPr>
        <w:pStyle w:val="ManualNumPar1"/>
        <w:rPr>
          <w:noProof/>
        </w:rPr>
      </w:pPr>
      <w:r>
        <w:t>30.</w:t>
      </w:r>
      <w:r>
        <w:tab/>
      </w:r>
      <w:r>
        <w:rPr>
          <w:noProof/>
        </w:rPr>
        <w:t xml:space="preserve">Individualizētie pakalpojumi, kas sniedzami atlaistajiem darba ņēmējiem un jauniešiem, kuri nestrādā un nemācās, sastāv no šādām darbībām. </w:t>
      </w:r>
    </w:p>
    <w:p>
      <w:pPr>
        <w:pStyle w:val="Tiret1"/>
        <w:numPr>
          <w:ilvl w:val="0"/>
          <w:numId w:val="12"/>
        </w:numPr>
        <w:rPr>
          <w:noProof/>
        </w:rPr>
      </w:pPr>
      <w:r>
        <w:rPr>
          <w:noProof/>
          <w:u w:val="single"/>
        </w:rPr>
        <w:t>Profesionālā orientācija</w:t>
      </w:r>
      <w:r>
        <w:rPr>
          <w:noProof/>
        </w:rPr>
        <w:t>. Šis papildpasākums, kuru piedāvās visiem dalībniekiem, ietver turpmāk minētos posmus.</w:t>
      </w:r>
    </w:p>
    <w:p>
      <w:pPr>
        <w:pStyle w:val="Text2"/>
        <w:rPr>
          <w:noProof/>
        </w:rPr>
      </w:pPr>
      <w:r>
        <w:rPr>
          <w:b/>
          <w:noProof/>
        </w:rPr>
        <w:t xml:space="preserve">1. </w:t>
      </w:r>
      <w:r>
        <w:rPr>
          <w:b/>
          <w:i/>
          <w:noProof/>
        </w:rPr>
        <w:t>NEET</w:t>
      </w:r>
      <w:r>
        <w:rPr>
          <w:b/>
          <w:noProof/>
        </w:rPr>
        <w:t xml:space="preserve"> paredzētā informācija.</w:t>
      </w:r>
      <w:r>
        <w:rPr>
          <w:noProof/>
        </w:rPr>
        <w:t xml:space="preserve"> Atšķirībā no darba ņēmēju mērķgrupas, kas jau identificēta (bijušie S</w:t>
      </w:r>
      <w:r>
        <w:rPr>
          <w:i/>
          <w:noProof/>
        </w:rPr>
        <w:t>upermarket Larissa</w:t>
      </w:r>
      <w:r>
        <w:rPr>
          <w:noProof/>
        </w:rPr>
        <w:t xml:space="preserve"> darbinieki un darbinieki-īpašnieki), jauniešu, kas nav nodarbināti un nav iesaistīti izglītībā vai apmācībā, mērķgrupa vēl ir jādefinē. Nenodarbināto un izglītībā vai apmācībā neiesaistīto jauniešu mērķgrupas atlasei Grieķijas iestādes cita starpā izmantos kritērijus, kas atbilst Grieķijas Garantijas jauniešiem īstenošanas plānā iekļautajiem kritērijiem (t.i., izstumtības apdraudēti jaunieši, mājsaimniecību ienākumu līmenis, izglītības līmenis, bezdarba ilgums utt.), kā arī pausto ieinteresētību. Šajā nolūkā tās plāno veikt informatīvas kampaņas, kuru mērķauditorija būs tieši </w:t>
      </w:r>
      <w:r>
        <w:rPr>
          <w:i/>
          <w:noProof/>
        </w:rPr>
        <w:t>NEET</w:t>
      </w:r>
      <w:r>
        <w:rPr>
          <w:noProof/>
        </w:rPr>
        <w:t>.</w:t>
      </w:r>
    </w:p>
    <w:p>
      <w:pPr>
        <w:pStyle w:val="Text2"/>
        <w:rPr>
          <w:noProof/>
        </w:rPr>
      </w:pPr>
      <w:r>
        <w:rPr>
          <w:b/>
          <w:noProof/>
        </w:rPr>
        <w:t>2.</w:t>
      </w:r>
      <w:r>
        <w:rPr>
          <w:noProof/>
        </w:rPr>
        <w:t xml:space="preserve"> </w:t>
      </w:r>
      <w:r>
        <w:rPr>
          <w:b/>
          <w:noProof/>
        </w:rPr>
        <w:t>Uzņemšana un reģistrācija.</w:t>
      </w:r>
      <w:r>
        <w:rPr>
          <w:noProof/>
        </w:rPr>
        <w:t xml:space="preserve"> Pirmais visiem dalībniekiem (darba ņēmējiem un </w:t>
      </w:r>
      <w:r>
        <w:rPr>
          <w:i/>
          <w:noProof/>
        </w:rPr>
        <w:t xml:space="preserve">NEET </w:t>
      </w:r>
      <w:r>
        <w:rPr>
          <w:noProof/>
        </w:rPr>
        <w:t xml:space="preserve">jaunieši) sniegtais pasākums ietver informāciju par pieejamiem pakalpojumiem un apmācību programmām, kā arī par prasmēm un apmācību prasībām. </w:t>
      </w:r>
    </w:p>
    <w:p>
      <w:pPr>
        <w:pStyle w:val="Text2"/>
        <w:rPr>
          <w:noProof/>
        </w:rPr>
      </w:pPr>
      <w:r>
        <w:rPr>
          <w:b/>
          <w:noProof/>
        </w:rPr>
        <w:t>3. Personiskās un profesionālās atbilstības dokuments.</w:t>
      </w:r>
      <w:r>
        <w:rPr>
          <w:noProof/>
        </w:rPr>
        <w:t xml:space="preserve"> Šis posms paredzēts, lai palīdzētu darbiniekiem un jauniešiem, kuri nestrādā un nemācās, apzināt savas prasmes, trūkumus un iespējas saistībā ar savām interesēm un lai izveidotu reālu karjeras plānu.  Pēc izvērtēšanas tiek izveidots personiskās un profesionālās atbilstības dokuments, kurā noteikts individuālais projekts un rīcības plāns.</w:t>
      </w:r>
    </w:p>
    <w:p>
      <w:pPr>
        <w:pStyle w:val="Text2"/>
        <w:rPr>
          <w:noProof/>
        </w:rPr>
      </w:pPr>
      <w:r>
        <w:rPr>
          <w:b/>
          <w:noProof/>
        </w:rPr>
        <w:t>4. Atbalsts darba meklēšanā un profesionālā orientācija.</w:t>
      </w:r>
      <w:r>
        <w:rPr>
          <w:noProof/>
        </w:rPr>
        <w:t xml:space="preserve"> Tajā ietver turpmāk minēto. 1) Apmācība tādos horizontālos jautājumos kā sociālo prasmju pilnveidošana, pielāgošanās jaunām situācijām, lēmumu pieņemšana; 2) atbalsts darba meklēšanā, tostarp informācija par pieejamajām darbvietām, aktīva vietējo un reģionālo nodarbinātības iespēju izpēte, darba meklēšanas paņēmieni, kā arī apmācība, kas saistīta ar CV un pavadvēstules izstrādi un sagatavošanās darba pārrunām; 3) profesionālā ievirze. Konsultanti nodrošinās profesionālo orientāciju atlaistajiem darba ņēmējiem un </w:t>
      </w:r>
      <w:r>
        <w:rPr>
          <w:i/>
          <w:noProof/>
        </w:rPr>
        <w:t>NEET</w:t>
      </w:r>
      <w:r>
        <w:rPr>
          <w:noProof/>
        </w:rPr>
        <w:t>, orientējot viņus uz konkrētiem darba piedāvājumiem.</w:t>
      </w:r>
    </w:p>
    <w:p>
      <w:pPr>
        <w:pStyle w:val="Text2"/>
        <w:rPr>
          <w:noProof/>
        </w:rPr>
      </w:pPr>
      <w:r>
        <w:rPr>
          <w:b/>
          <w:noProof/>
        </w:rPr>
        <w:t>5.</w:t>
      </w:r>
      <w:r>
        <w:rPr>
          <w:noProof/>
        </w:rPr>
        <w:t xml:space="preserve"> </w:t>
      </w:r>
      <w:r>
        <w:rPr>
          <w:b/>
          <w:noProof/>
        </w:rPr>
        <w:t>Nodarbinātības ievirze.</w:t>
      </w:r>
      <w:r>
        <w:rPr>
          <w:noProof/>
        </w:rPr>
        <w:t xml:space="preserve"> Konsultanti arī palīdzēs darbiniekiem un </w:t>
      </w:r>
      <w:r>
        <w:rPr>
          <w:i/>
          <w:noProof/>
        </w:rPr>
        <w:t>NEET</w:t>
      </w:r>
      <w:r>
        <w:rPr>
          <w:noProof/>
        </w:rPr>
        <w:t xml:space="preserve"> īstenot mācību programmas un individuālo plānu, kas saistīts ar reintegrāciju nodarbinātībā. Dalībnieki, kas ir ieinteresēti uzņēmuma izveidē, šā profesionālās ievirzes pasākuma ietvaros saņems vispārīgu atbalstu un konsultācijas par uzņēmējdarbību.</w:t>
      </w:r>
    </w:p>
    <w:p>
      <w:pPr>
        <w:pStyle w:val="Text2"/>
        <w:rPr>
          <w:noProof/>
        </w:rPr>
      </w:pPr>
      <w:r>
        <w:rPr>
          <w:b/>
          <w:noProof/>
        </w:rPr>
        <w:t>6. Pārraudzība.</w:t>
      </w:r>
      <w:r>
        <w:rPr>
          <w:noProof/>
        </w:rPr>
        <w:t xml:space="preserve"> Tā paredzēta, lai uzraudzītu dalībniekus sešus mēnešus pēc pasākumu īstenošanas beigām. Šo darbību veiks uz dalībvalstu rēķina.</w:t>
      </w:r>
    </w:p>
    <w:p>
      <w:pPr>
        <w:pStyle w:val="Tiret1"/>
        <w:rPr>
          <w:noProof/>
        </w:rPr>
      </w:pPr>
      <w:r>
        <w:rPr>
          <w:noProof/>
          <w:u w:val="single"/>
        </w:rPr>
        <w:t>Apmācība, pārkvalifikācija un arodmācība</w:t>
      </w:r>
      <w:r>
        <w:rPr>
          <w:noProof/>
        </w:rPr>
        <w:t xml:space="preserve">. Šā pasākuma laikā tiek nodrošināti arodmācību kursi, kas atbilst darba ņēmēju un </w:t>
      </w:r>
      <w:r>
        <w:rPr>
          <w:i/>
          <w:noProof/>
        </w:rPr>
        <w:t>NEET</w:t>
      </w:r>
      <w:r>
        <w:rPr>
          <w:noProof/>
        </w:rPr>
        <w:t xml:space="preserve"> vajadzībām, kuras noteiktas profesionālās ievirzes konsultāciju laikā, un tajās jomās un nozarēs, kurās ir labas attīstības perspektīvas un kas atbilst atzītām vajadzībām darba tirgū. Apmācību kursus iespējams papildināt arī ar praksi.</w:t>
      </w:r>
    </w:p>
    <w:p>
      <w:pPr>
        <w:pStyle w:val="Tiret1"/>
        <w:rPr>
          <w:noProof/>
        </w:rPr>
      </w:pPr>
      <w:r>
        <w:rPr>
          <w:noProof/>
          <w:u w:val="single"/>
        </w:rPr>
        <w:t>Ieguldījums uzņēmuma izveidē.</w:t>
      </w:r>
      <w:r>
        <w:rPr>
          <w:noProof/>
        </w:rPr>
        <w:t xml:space="preserve"> Darba ņēmēji un </w:t>
      </w:r>
      <w:r>
        <w:rPr>
          <w:i/>
          <w:noProof/>
        </w:rPr>
        <w:t>NEET</w:t>
      </w:r>
      <w:r>
        <w:rPr>
          <w:noProof/>
        </w:rPr>
        <w:t>, kuri dibinās jaunus uzņēmumus, saņems līdz pat EUR 15 000 kā ieguldījumu, lai segtu dibināšanas izmaksas. Grieķijā viena no lielākajām problēmām, ar kurām uzņēmēji saskaras, sākot uzņēmējdarbību, ir piekļuve finansējumam. Nepietiekamu līdzekļu dēļ bankas noraida lielāko daļu no aizdevuma pieprasījumiem. Šā pasākuma mērķis ir veicināt uzņēmējdarbību, sniedzot finansiālu atbalstu. Šo ieguldījumu izmaksās pa daļām pēc tam, kad sasniegti konkrēti mērķi, piemēram, izstrādāts uzņēmējdarbības plāns, reģistrēts uzņēmums u.c. Ņemot vērā to, ka daudziem saņēmējiem ir iepriekšēja kooperatīva locekļu/ darbinieku-īpāsnieku pieredze, Grieķijas iestādes uzskata, ka ir ļoti iespējams, ka daži no jaunajiem uzņēmumiem būs sociālie kooperatīvi un tādējādi tiesīgi saņemt palīdzību saskaņā ar Grieķijas Likumu par sociālo ekonomiku un sociālo uzņēmējdarbību</w:t>
      </w:r>
      <w:r>
        <w:rPr>
          <w:rStyle w:val="FootnoteReference"/>
          <w:noProof/>
        </w:rPr>
        <w:footnoteReference w:id="17"/>
      </w:r>
      <w:r>
        <w:rPr>
          <w:noProof/>
        </w:rPr>
        <w:t>.</w:t>
      </w:r>
    </w:p>
    <w:p>
      <w:pPr>
        <w:pStyle w:val="Tiret1"/>
        <w:rPr>
          <w:noProof/>
        </w:rPr>
      </w:pPr>
      <w:r>
        <w:rPr>
          <w:noProof/>
          <w:u w:val="single"/>
        </w:rPr>
        <w:t>Dalības pabalsts un mācību pabalsts.</w:t>
      </w:r>
      <w:r>
        <w:rPr>
          <w:noProof/>
        </w:rPr>
        <w:t xml:space="preserve"> Lai segtu izdevumus, kas radušies, piedaloties profesionālās orientācijas pasākumā, atbalsta saņēmēji saņems EUR 50 par katru līdzdalības dienu. Apmeklējot mācības, pabalsts būs EUR 6 stundā.</w:t>
      </w:r>
    </w:p>
    <w:p>
      <w:pPr>
        <w:pStyle w:val="Tiret1"/>
        <w:rPr>
          <w:noProof/>
        </w:rPr>
      </w:pPr>
      <w:r>
        <w:rPr>
          <w:noProof/>
          <w:u w:val="single"/>
        </w:rPr>
        <w:t>Mobilitātes pabalsts</w:t>
      </w:r>
      <w:r>
        <w:rPr>
          <w:noProof/>
        </w:rPr>
        <w:t xml:space="preserve">. Tie darba ņēmēji vai </w:t>
      </w:r>
      <w:r>
        <w:rPr>
          <w:i/>
          <w:noProof/>
        </w:rPr>
        <w:t>NEET</w:t>
      </w:r>
      <w:r>
        <w:rPr>
          <w:noProof/>
        </w:rPr>
        <w:t xml:space="preserve"> jaunieši, kuri pieņems darba piedāvājumu, kas paredz dzīves vietas maiņu, saņems vienreizēju maksājumu EUR 2000, lai segtu nepieciešamos izdevumus.</w:t>
      </w:r>
    </w:p>
    <w:p>
      <w:pPr>
        <w:pStyle w:val="ManualNumPar1"/>
        <w:rPr>
          <w:noProof/>
        </w:rPr>
      </w:pPr>
      <w:r>
        <w:t>31.</w:t>
      </w:r>
      <w:r>
        <w:tab/>
      </w:r>
      <w:r>
        <w:rPr>
          <w:noProof/>
        </w:rPr>
        <w:t>Aprakstītās ierosinātās darbības ir aktīvi darba tirgus pasākumi atbilstīgi EGF regulas 7. pantā noteiktajām darbībām, par kurām ir tiesības saņemt atbalstu. Šīs darbības neaizstāj pasīvus sociālās aizsardzības pasākumus.</w:t>
      </w:r>
    </w:p>
    <w:p>
      <w:pPr>
        <w:pStyle w:val="ManualNumPar1"/>
        <w:rPr>
          <w:noProof/>
        </w:rPr>
      </w:pPr>
      <w:r>
        <w:t>32.</w:t>
      </w:r>
      <w:r>
        <w:tab/>
      </w:r>
      <w:r>
        <w:rPr>
          <w:noProof/>
        </w:rPr>
        <w:t>Grieķija ir sniegusi nepieciešamo informāciju par darbībām, kas attiecīgajam uzņēmumam ir obligāti jāveic saskaņā ar valsts tiesību aktiem vai koplīgumiem. Iestādes ir apliecinājušas, ka EGF finansiālais ieguldījums neaizstās minētās darbības.</w:t>
      </w:r>
    </w:p>
    <w:p>
      <w:pPr>
        <w:pStyle w:val="ManualHeading3"/>
        <w:rPr>
          <w:noProof/>
        </w:rPr>
      </w:pPr>
      <w:r>
        <w:rPr>
          <w:noProof/>
        </w:rPr>
        <w:t>Aplēstais budžets</w:t>
      </w:r>
    </w:p>
    <w:p>
      <w:pPr>
        <w:pStyle w:val="ManualNumPar1"/>
        <w:rPr>
          <w:noProof/>
        </w:rPr>
      </w:pPr>
      <w:r>
        <w:t>33.</w:t>
      </w:r>
      <w:r>
        <w:tab/>
      </w:r>
      <w:r>
        <w:rPr>
          <w:noProof/>
        </w:rPr>
        <w:t>Paredzamās kopējās izmaksas ir EUR 10 780 000, kas ietver izdevumus par individualizētajiem pakalpojumiem EUR 10 530 000 apmērā un izdevumus par sagatavošanās, pārvaldības, informācijas un reklāmas, kā arī kontroles un ziņošanas pasākumiem EUR 250 000 apmērā.</w:t>
      </w:r>
    </w:p>
    <w:p>
      <w:pPr>
        <w:pStyle w:val="ManualNumPar1"/>
        <w:rPr>
          <w:noProof/>
        </w:rPr>
      </w:pPr>
      <w:r>
        <w:t>34.</w:t>
      </w:r>
      <w:r>
        <w:tab/>
      </w:r>
      <w:r>
        <w:rPr>
          <w:noProof/>
        </w:rPr>
        <w:t>Kopējais finansiālais ieguldījums, kas pieprasīts no EGF, ir EUR 6 468 000 (60 % no kopējām izmaksām).</w:t>
      </w:r>
    </w:p>
    <w:p>
      <w:pPr>
        <w:pStyle w:val="Text1"/>
        <w:rPr>
          <w:noProof/>
        </w:rPr>
        <w:sectPr>
          <w:pgSz w:w="11907" w:h="16839"/>
          <w:pgMar w:top="1134" w:right="1417" w:bottom="1134" w:left="1417" w:header="709" w:footer="709"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ook w:val="01E0" w:firstRow="1" w:lastRow="1" w:firstColumn="1" w:lastColumn="1" w:noHBand="0" w:noVBand="0"/>
      </w:tblPr>
      <w:tblGrid>
        <w:gridCol w:w="4644"/>
        <w:gridCol w:w="1548"/>
        <w:gridCol w:w="1548"/>
        <w:gridCol w:w="1548"/>
      </w:tblGrid>
      <w:tr>
        <w:tc>
          <w:tcPr>
            <w:tcW w:w="4644" w:type="dxa"/>
            <w:shd w:val="clear" w:color="auto" w:fill="auto"/>
            <w:vAlign w:val="center"/>
          </w:tcPr>
          <w:p>
            <w:pPr>
              <w:spacing w:before="60" w:after="60"/>
              <w:jc w:val="center"/>
              <w:rPr>
                <w:rFonts w:eastAsia="Times New Roman"/>
                <w:noProof/>
                <w:sz w:val="22"/>
              </w:rPr>
            </w:pPr>
            <w:r>
              <w:rPr>
                <w:noProof/>
              </w:rPr>
              <w:br/>
            </w:r>
            <w:r>
              <w:rPr>
                <w:noProof/>
                <w:sz w:val="22"/>
              </w:rPr>
              <w:t>Darbības</w:t>
            </w:r>
          </w:p>
        </w:tc>
        <w:tc>
          <w:tcPr>
            <w:tcW w:w="1548" w:type="dxa"/>
            <w:shd w:val="clear" w:color="auto" w:fill="auto"/>
            <w:vAlign w:val="center"/>
          </w:tcPr>
          <w:p>
            <w:pPr>
              <w:spacing w:before="60" w:after="60"/>
              <w:jc w:val="center"/>
              <w:rPr>
                <w:rFonts w:eastAsia="Times New Roman"/>
                <w:noProof/>
                <w:sz w:val="22"/>
              </w:rPr>
            </w:pPr>
            <w:r>
              <w:rPr>
                <w:noProof/>
                <w:sz w:val="22"/>
              </w:rPr>
              <w:t>Aplēstais dalībnieku skaits</w:t>
            </w:r>
          </w:p>
        </w:tc>
        <w:tc>
          <w:tcPr>
            <w:tcW w:w="1548" w:type="dxa"/>
            <w:shd w:val="clear" w:color="auto" w:fill="auto"/>
            <w:vAlign w:val="center"/>
          </w:tcPr>
          <w:p>
            <w:pPr>
              <w:spacing w:before="60" w:after="60"/>
              <w:jc w:val="center"/>
              <w:rPr>
                <w:rFonts w:eastAsia="Times New Roman"/>
                <w:noProof/>
                <w:sz w:val="22"/>
              </w:rPr>
            </w:pPr>
            <w:r>
              <w:rPr>
                <w:noProof/>
                <w:sz w:val="22"/>
              </w:rPr>
              <w:t>Aplēstās izmaksas par vienu dalībnieku</w:t>
            </w:r>
            <w:r>
              <w:rPr>
                <w:rFonts w:eastAsia="Times New Roman"/>
                <w:noProof/>
                <w:sz w:val="22"/>
              </w:rPr>
              <w:br/>
            </w:r>
            <w:r>
              <w:rPr>
                <w:i/>
                <w:noProof/>
                <w:sz w:val="22"/>
              </w:rPr>
              <w:t>(EUR)</w:t>
            </w:r>
          </w:p>
        </w:tc>
        <w:tc>
          <w:tcPr>
            <w:tcW w:w="1548" w:type="dxa"/>
            <w:shd w:val="clear" w:color="auto" w:fill="auto"/>
            <w:vAlign w:val="center"/>
          </w:tcPr>
          <w:p>
            <w:pPr>
              <w:spacing w:before="60" w:after="60"/>
              <w:jc w:val="center"/>
              <w:rPr>
                <w:rFonts w:eastAsia="Times New Roman"/>
                <w:noProof/>
                <w:sz w:val="22"/>
              </w:rPr>
            </w:pPr>
            <w:r>
              <w:rPr>
                <w:noProof/>
                <w:sz w:val="22"/>
              </w:rPr>
              <w:t>Aplēstās kopējās izmaksas</w:t>
            </w:r>
          </w:p>
          <w:p>
            <w:pPr>
              <w:spacing w:before="60" w:after="60"/>
              <w:jc w:val="center"/>
              <w:rPr>
                <w:rFonts w:eastAsia="Times New Roman"/>
                <w:noProof/>
                <w:sz w:val="22"/>
              </w:rPr>
            </w:pPr>
            <w:r>
              <w:rPr>
                <w:i/>
                <w:noProof/>
                <w:sz w:val="22"/>
              </w:rPr>
              <w:t>(EUR)</w:t>
            </w:r>
          </w:p>
        </w:tc>
      </w:tr>
      <w:tr>
        <w:tc>
          <w:tcPr>
            <w:tcW w:w="9288" w:type="dxa"/>
            <w:gridSpan w:val="4"/>
            <w:shd w:val="clear" w:color="auto" w:fill="auto"/>
          </w:tcPr>
          <w:p>
            <w:pPr>
              <w:spacing w:before="60" w:after="60"/>
              <w:jc w:val="left"/>
              <w:rPr>
                <w:rFonts w:eastAsia="Times New Roman"/>
                <w:noProof/>
                <w:sz w:val="22"/>
              </w:rPr>
            </w:pPr>
            <w:r>
              <w:rPr>
                <w:noProof/>
                <w:sz w:val="22"/>
              </w:rPr>
              <w:t>Individualizēti pakalpojumi (darbības saskaņā ar EGF regulas 7. panta 1. punkta a) un c) apakšpunktu)</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Profesionālā orientācija</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1250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1 375 000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Apmācība, pārkvalifikācija un arodmācība</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2690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2 960 000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Ieguldījums uzņēmuma izveidē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15 000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3 000 000</w:t>
            </w:r>
          </w:p>
        </w:tc>
      </w:tr>
      <w:tr>
        <w:trPr>
          <w:trHeight w:val="398"/>
        </w:trPr>
        <w:tc>
          <w:tcPr>
            <w:tcW w:w="4644" w:type="dxa"/>
            <w:vMerge w:val="restart"/>
            <w:shd w:val="clear" w:color="auto" w:fill="auto"/>
            <w:vAlign w:val="center"/>
          </w:tcPr>
          <w:p>
            <w:pPr>
              <w:spacing w:before="60" w:after="60"/>
              <w:jc w:val="right"/>
              <w:rPr>
                <w:rFonts w:eastAsia="Times New Roman"/>
                <w:noProof/>
                <w:sz w:val="22"/>
              </w:rPr>
            </w:pPr>
            <w:r>
              <w:rPr>
                <w:noProof/>
                <w:sz w:val="22"/>
              </w:rPr>
              <w:t>Starpsumma (a):</w:t>
            </w:r>
          </w:p>
          <w:p>
            <w:pPr>
              <w:spacing w:before="60" w:after="60"/>
              <w:jc w:val="right"/>
              <w:rPr>
                <w:rFonts w:eastAsia="Times New Roman"/>
                <w:noProof/>
                <w:sz w:val="22"/>
              </w:rPr>
            </w:pPr>
            <w:r>
              <w:rPr>
                <w:noProof/>
                <w:sz w:val="22"/>
              </w:rPr>
              <w:t xml:space="preserve">Procentuāli no individualizēto pakalpojumu kopuma </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right"/>
              <w:rPr>
                <w:rFonts w:eastAsia="Times New Roman"/>
                <w:noProof/>
                <w:sz w:val="22"/>
              </w:rPr>
            </w:pPr>
            <w:r>
              <w:rPr>
                <w:noProof/>
              </w:rPr>
              <w:t>7 335 000</w:t>
            </w:r>
          </w:p>
        </w:tc>
      </w:tr>
      <w:tr>
        <w:trPr>
          <w:trHeight w:val="397"/>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right"/>
              <w:rPr>
                <w:rFonts w:eastAsia="Times New Roman"/>
                <w:noProof/>
                <w:sz w:val="22"/>
              </w:rPr>
            </w:pPr>
            <w:r>
              <w:rPr>
                <w:noProof/>
                <w:sz w:val="22"/>
              </w:rPr>
              <w:t>(</w:t>
            </w:r>
            <w:r>
              <w:rPr>
                <w:noProof/>
              </w:rPr>
              <w:t>69,66 </w:t>
            </w:r>
            <w:r>
              <w:rPr>
                <w:noProof/>
                <w:sz w:val="22"/>
              </w:rPr>
              <w:t>%)</w:t>
            </w:r>
          </w:p>
        </w:tc>
      </w:tr>
      <w:tr>
        <w:tc>
          <w:tcPr>
            <w:tcW w:w="9288" w:type="dxa"/>
            <w:gridSpan w:val="4"/>
            <w:shd w:val="clear" w:color="auto" w:fill="auto"/>
            <w:vAlign w:val="center"/>
          </w:tcPr>
          <w:p>
            <w:pPr>
              <w:spacing w:before="60" w:after="60"/>
              <w:jc w:val="left"/>
              <w:rPr>
                <w:noProof/>
                <w:sz w:val="22"/>
              </w:rPr>
            </w:pPr>
            <w:r>
              <w:rPr>
                <w:noProof/>
                <w:sz w:val="22"/>
              </w:rPr>
              <w:t>Pabalsti un stimuli (darbības saskaņā ar EGF regulas 7. panta 1. punkta b) apakšpunktu)</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Dalības pabalsts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1250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1 375 000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Mācību pabalsts</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900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1800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1 620 000</w:t>
            </w:r>
          </w:p>
        </w:tc>
      </w:tr>
      <w:tr>
        <w:trPr>
          <w:trHeight w:val="802"/>
        </w:trPr>
        <w:tc>
          <w:tcPr>
            <w:tcW w:w="4644" w:type="dxa"/>
            <w:tcBorders>
              <w:top w:val="single" w:sz="4" w:space="0" w:color="auto"/>
              <w:left w:val="nil"/>
              <w:bottom w:val="single" w:sz="4" w:space="0" w:color="auto"/>
              <w:right w:val="single" w:sz="4" w:space="0" w:color="auto"/>
            </w:tcBorders>
            <w:vAlign w:val="center"/>
            <w:hideMark/>
          </w:tcPr>
          <w:p>
            <w:pPr>
              <w:spacing w:before="60" w:after="60"/>
              <w:jc w:val="left"/>
              <w:rPr>
                <w:noProof/>
              </w:rPr>
            </w:pPr>
            <w:r>
              <w:rPr>
                <w:noProof/>
              </w:rPr>
              <w:t xml:space="preserve">Mobilitātes pabalsts un ieguldījums ceļa izdevumos </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100</w:t>
            </w:r>
          </w:p>
        </w:tc>
        <w:tc>
          <w:tcPr>
            <w:tcW w:w="1548" w:type="dxa"/>
            <w:tcBorders>
              <w:top w:val="single" w:sz="4" w:space="0" w:color="auto"/>
              <w:left w:val="single" w:sz="4" w:space="0" w:color="auto"/>
              <w:bottom w:val="single" w:sz="4" w:space="0" w:color="auto"/>
              <w:right w:val="single" w:sz="4" w:space="0" w:color="auto"/>
            </w:tcBorders>
            <w:vAlign w:val="center"/>
            <w:hideMark/>
          </w:tcPr>
          <w:p>
            <w:pPr>
              <w:spacing w:before="60" w:after="60"/>
              <w:jc w:val="center"/>
              <w:rPr>
                <w:noProof/>
              </w:rPr>
            </w:pPr>
            <w:r>
              <w:rPr>
                <w:noProof/>
              </w:rPr>
              <w:t>2000</w:t>
            </w:r>
          </w:p>
        </w:tc>
        <w:tc>
          <w:tcPr>
            <w:tcW w:w="1548" w:type="dxa"/>
            <w:tcBorders>
              <w:top w:val="single" w:sz="4" w:space="0" w:color="auto"/>
              <w:left w:val="single" w:sz="4" w:space="0" w:color="auto"/>
              <w:bottom w:val="single" w:sz="4" w:space="0" w:color="auto"/>
              <w:right w:val="nil"/>
            </w:tcBorders>
            <w:vAlign w:val="center"/>
            <w:hideMark/>
          </w:tcPr>
          <w:p>
            <w:pPr>
              <w:spacing w:before="60" w:after="60"/>
              <w:jc w:val="right"/>
              <w:rPr>
                <w:noProof/>
              </w:rPr>
            </w:pPr>
            <w:r>
              <w:rPr>
                <w:noProof/>
              </w:rPr>
              <w:t>200 000</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noProof/>
                <w:sz w:val="22"/>
              </w:rPr>
              <w:t>Starpsumma (b):</w:t>
            </w:r>
          </w:p>
          <w:p>
            <w:pPr>
              <w:spacing w:before="60" w:after="60"/>
              <w:jc w:val="right"/>
              <w:rPr>
                <w:rFonts w:eastAsia="Times New Roman"/>
                <w:noProof/>
                <w:sz w:val="22"/>
              </w:rPr>
            </w:pPr>
            <w:r>
              <w:rPr>
                <w:noProof/>
                <w:sz w:val="22"/>
              </w:rPr>
              <w:t>Procentuāli no individualizēto pakalpojumu kopuma</w:t>
            </w:r>
          </w:p>
        </w:tc>
        <w:tc>
          <w:tcPr>
            <w:tcW w:w="3096" w:type="dxa"/>
            <w:gridSpan w:val="2"/>
            <w:vMerge w:val="restart"/>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nil"/>
            </w:tcBorders>
            <w:shd w:val="clear" w:color="auto" w:fill="auto"/>
            <w:vAlign w:val="center"/>
          </w:tcPr>
          <w:p>
            <w:pPr>
              <w:spacing w:before="60" w:after="60"/>
              <w:jc w:val="right"/>
              <w:rPr>
                <w:rFonts w:eastAsia="Times New Roman"/>
                <w:noProof/>
                <w:sz w:val="22"/>
              </w:rPr>
            </w:pPr>
            <w:r>
              <w:rPr>
                <w:noProof/>
              </w:rPr>
              <w:t>3 195 000</w:t>
            </w:r>
          </w:p>
        </w:tc>
      </w:tr>
      <w:tr>
        <w:trPr>
          <w:trHeight w:val="202"/>
        </w:trPr>
        <w:tc>
          <w:tcPr>
            <w:tcW w:w="4644" w:type="dxa"/>
            <w:vMerge/>
            <w:shd w:val="clear" w:color="auto" w:fill="auto"/>
            <w:vAlign w:val="center"/>
          </w:tcPr>
          <w:p>
            <w:pPr>
              <w:spacing w:before="60" w:after="60"/>
              <w:jc w:val="right"/>
              <w:rPr>
                <w:rFonts w:eastAsia="Times New Roman"/>
                <w:noProof/>
                <w:sz w:val="22"/>
              </w:rPr>
            </w:pPr>
          </w:p>
        </w:tc>
        <w:tc>
          <w:tcPr>
            <w:tcW w:w="3096" w:type="dxa"/>
            <w:gridSpan w:val="2"/>
            <w:vMerge/>
            <w:shd w:val="clear" w:color="auto" w:fill="D9D9D9"/>
            <w:vAlign w:val="center"/>
          </w:tcPr>
          <w:p>
            <w:pPr>
              <w:spacing w:before="60" w:after="60"/>
              <w:jc w:val="center"/>
              <w:rPr>
                <w:rFonts w:eastAsia="Times New Roman"/>
                <w:noProof/>
                <w:sz w:val="22"/>
              </w:rPr>
            </w:pPr>
          </w:p>
        </w:tc>
        <w:tc>
          <w:tcPr>
            <w:tcW w:w="1548" w:type="dxa"/>
            <w:tcBorders>
              <w:top w:val="nil"/>
            </w:tcBorders>
            <w:shd w:val="clear" w:color="auto" w:fill="auto"/>
            <w:vAlign w:val="center"/>
          </w:tcPr>
          <w:p>
            <w:pPr>
              <w:spacing w:before="60" w:after="60"/>
              <w:jc w:val="right"/>
              <w:rPr>
                <w:rFonts w:eastAsia="Times New Roman"/>
                <w:noProof/>
                <w:sz w:val="22"/>
              </w:rPr>
            </w:pPr>
            <w:r>
              <w:rPr>
                <w:noProof/>
                <w:sz w:val="22"/>
              </w:rPr>
              <w:t>(</w:t>
            </w:r>
            <w:r>
              <w:rPr>
                <w:noProof/>
              </w:rPr>
              <w:t>30,34 </w:t>
            </w:r>
            <w:r>
              <w:rPr>
                <w:noProof/>
                <w:sz w:val="22"/>
              </w:rPr>
              <w:t>%)</w:t>
            </w:r>
          </w:p>
        </w:tc>
      </w:tr>
      <w:tr>
        <w:tc>
          <w:tcPr>
            <w:tcW w:w="9288" w:type="dxa"/>
            <w:gridSpan w:val="4"/>
            <w:shd w:val="clear" w:color="auto" w:fill="auto"/>
            <w:vAlign w:val="center"/>
          </w:tcPr>
          <w:p>
            <w:pPr>
              <w:spacing w:before="60" w:after="60"/>
              <w:jc w:val="left"/>
              <w:rPr>
                <w:rFonts w:eastAsia="Times New Roman"/>
                <w:noProof/>
                <w:sz w:val="22"/>
              </w:rPr>
            </w:pPr>
            <w:r>
              <w:rPr>
                <w:noProof/>
                <w:sz w:val="22"/>
              </w:rPr>
              <w:t>Darbības saskaņā ar EGF regulas 7. panta 4. punktu</w:t>
            </w:r>
          </w:p>
        </w:tc>
      </w:tr>
      <w:tr>
        <w:tc>
          <w:tcPr>
            <w:tcW w:w="4644" w:type="dxa"/>
            <w:shd w:val="clear" w:color="auto" w:fill="auto"/>
          </w:tcPr>
          <w:p>
            <w:pPr>
              <w:spacing w:before="60" w:after="60"/>
              <w:ind w:left="284"/>
              <w:jc w:val="left"/>
              <w:rPr>
                <w:rFonts w:eastAsia="Times New Roman"/>
                <w:noProof/>
                <w:sz w:val="22"/>
              </w:rPr>
            </w:pPr>
            <w:r>
              <w:rPr>
                <w:noProof/>
                <w:sz w:val="22"/>
              </w:rPr>
              <w:t>1. Sagatavošanās darbības</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rFonts w:eastAsia="Times New Roman"/>
                <w:noProof/>
                <w:sz w:val="22"/>
              </w:rPr>
            </w:pPr>
            <w:r>
              <w:rPr>
                <w:noProof/>
              </w:rPr>
              <w:t>40 000</w:t>
            </w:r>
          </w:p>
        </w:tc>
      </w:tr>
      <w:tr>
        <w:tc>
          <w:tcPr>
            <w:tcW w:w="4644" w:type="dxa"/>
            <w:shd w:val="clear" w:color="auto" w:fill="auto"/>
          </w:tcPr>
          <w:p>
            <w:pPr>
              <w:spacing w:before="60" w:after="60"/>
              <w:ind w:left="284"/>
              <w:jc w:val="left"/>
              <w:rPr>
                <w:rFonts w:eastAsia="Times New Roman"/>
                <w:noProof/>
                <w:sz w:val="22"/>
              </w:rPr>
            </w:pPr>
            <w:r>
              <w:rPr>
                <w:noProof/>
                <w:sz w:val="22"/>
              </w:rPr>
              <w:t>2. Pārvaldība</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rFonts w:eastAsia="Times New Roman"/>
                <w:noProof/>
                <w:sz w:val="22"/>
              </w:rPr>
            </w:pPr>
            <w:r>
              <w:rPr>
                <w:noProof/>
              </w:rPr>
              <w:t>110 000</w:t>
            </w:r>
          </w:p>
        </w:tc>
      </w:tr>
      <w:tr>
        <w:tc>
          <w:tcPr>
            <w:tcW w:w="4644" w:type="dxa"/>
            <w:shd w:val="clear" w:color="auto" w:fill="auto"/>
          </w:tcPr>
          <w:p>
            <w:pPr>
              <w:spacing w:before="60" w:after="60"/>
              <w:ind w:left="284"/>
              <w:jc w:val="left"/>
              <w:rPr>
                <w:rFonts w:eastAsia="Times New Roman"/>
                <w:noProof/>
                <w:sz w:val="22"/>
              </w:rPr>
            </w:pPr>
            <w:r>
              <w:rPr>
                <w:noProof/>
                <w:sz w:val="22"/>
              </w:rPr>
              <w:t>3. Informācija un reklāma</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rFonts w:eastAsia="Times New Roman"/>
                <w:noProof/>
                <w:sz w:val="22"/>
              </w:rPr>
            </w:pPr>
            <w:r>
              <w:rPr>
                <w:noProof/>
              </w:rPr>
              <w:t>50 000</w:t>
            </w:r>
          </w:p>
        </w:tc>
      </w:tr>
      <w:tr>
        <w:tc>
          <w:tcPr>
            <w:tcW w:w="4644" w:type="dxa"/>
            <w:shd w:val="clear" w:color="auto" w:fill="auto"/>
          </w:tcPr>
          <w:p>
            <w:pPr>
              <w:spacing w:before="60" w:after="60"/>
              <w:ind w:left="284"/>
              <w:jc w:val="left"/>
              <w:rPr>
                <w:rFonts w:eastAsia="Times New Roman"/>
                <w:noProof/>
                <w:sz w:val="22"/>
              </w:rPr>
            </w:pPr>
            <w:r>
              <w:rPr>
                <w:noProof/>
                <w:sz w:val="22"/>
              </w:rPr>
              <w:t>4. Kontrole un ziņošana</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tcBorders>
              <w:bottom w:val="single" w:sz="4" w:space="0" w:color="auto"/>
            </w:tcBorders>
            <w:shd w:val="clear" w:color="auto" w:fill="auto"/>
          </w:tcPr>
          <w:p>
            <w:pPr>
              <w:spacing w:before="60" w:after="60"/>
              <w:jc w:val="right"/>
              <w:rPr>
                <w:rFonts w:eastAsia="Times New Roman"/>
                <w:noProof/>
                <w:sz w:val="22"/>
              </w:rPr>
            </w:pPr>
            <w:r>
              <w:rPr>
                <w:noProof/>
              </w:rPr>
              <w:t>50 000</w:t>
            </w:r>
          </w:p>
        </w:tc>
      </w:tr>
      <w:tr>
        <w:trPr>
          <w:trHeight w:val="203"/>
        </w:trPr>
        <w:tc>
          <w:tcPr>
            <w:tcW w:w="4644" w:type="dxa"/>
            <w:vMerge w:val="restart"/>
            <w:shd w:val="clear" w:color="auto" w:fill="auto"/>
            <w:vAlign w:val="center"/>
          </w:tcPr>
          <w:p>
            <w:pPr>
              <w:spacing w:before="60" w:after="60"/>
              <w:jc w:val="right"/>
              <w:rPr>
                <w:rFonts w:eastAsia="Times New Roman"/>
                <w:noProof/>
                <w:sz w:val="22"/>
              </w:rPr>
            </w:pPr>
            <w:r>
              <w:rPr>
                <w:noProof/>
                <w:sz w:val="22"/>
              </w:rPr>
              <w:t>Starpsumma (c):</w:t>
            </w:r>
          </w:p>
          <w:p>
            <w:pPr>
              <w:spacing w:before="60" w:after="60"/>
              <w:jc w:val="right"/>
              <w:rPr>
                <w:rFonts w:eastAsia="Times New Roman"/>
                <w:noProof/>
                <w:sz w:val="22"/>
              </w:rPr>
            </w:pPr>
            <w:r>
              <w:rPr>
                <w:noProof/>
                <w:sz w:val="22"/>
              </w:rPr>
              <w:t>Procentuāli no kopējām izmaksām</w:t>
            </w:r>
          </w:p>
        </w:tc>
        <w:tc>
          <w:tcPr>
            <w:tcW w:w="3096" w:type="dxa"/>
            <w:gridSpan w:val="2"/>
            <w:vMerge w:val="restart"/>
            <w:shd w:val="clear" w:color="auto" w:fill="D9D9D9"/>
            <w:vAlign w:val="center"/>
          </w:tcPr>
          <w:p>
            <w:pPr>
              <w:spacing w:before="0" w:after="0"/>
              <w:jc w:val="center"/>
              <w:rPr>
                <w:rFonts w:eastAsia="Times New Roman"/>
                <w:noProof/>
                <w:sz w:val="22"/>
              </w:rPr>
            </w:pPr>
          </w:p>
        </w:tc>
        <w:tc>
          <w:tcPr>
            <w:tcW w:w="1548" w:type="dxa"/>
            <w:tcBorders>
              <w:bottom w:val="nil"/>
            </w:tcBorders>
            <w:shd w:val="clear" w:color="auto" w:fill="auto"/>
            <w:vAlign w:val="center"/>
          </w:tcPr>
          <w:p>
            <w:pPr>
              <w:spacing w:before="60" w:after="60"/>
              <w:jc w:val="right"/>
              <w:rPr>
                <w:rFonts w:eastAsia="Times New Roman"/>
                <w:noProof/>
                <w:sz w:val="22"/>
              </w:rPr>
            </w:pPr>
            <w:r>
              <w:rPr>
                <w:noProof/>
              </w:rPr>
              <w:t>250 000</w:t>
            </w:r>
          </w:p>
        </w:tc>
      </w:tr>
      <w:tr>
        <w:trPr>
          <w:trHeight w:val="202"/>
        </w:trPr>
        <w:tc>
          <w:tcPr>
            <w:tcW w:w="4644" w:type="dxa"/>
            <w:vMerge/>
            <w:shd w:val="clear" w:color="auto" w:fill="auto"/>
          </w:tcPr>
          <w:p>
            <w:pPr>
              <w:spacing w:before="0" w:after="0"/>
              <w:jc w:val="right"/>
              <w:rPr>
                <w:rFonts w:eastAsia="Times New Roman"/>
                <w:noProof/>
                <w:sz w:val="22"/>
              </w:rPr>
            </w:pPr>
          </w:p>
        </w:tc>
        <w:tc>
          <w:tcPr>
            <w:tcW w:w="3096" w:type="dxa"/>
            <w:gridSpan w:val="2"/>
            <w:vMerge/>
            <w:shd w:val="clear" w:color="auto" w:fill="D9D9D9"/>
            <w:vAlign w:val="center"/>
          </w:tcPr>
          <w:p>
            <w:pPr>
              <w:spacing w:before="0" w:after="0"/>
              <w:jc w:val="center"/>
              <w:rPr>
                <w:rFonts w:eastAsia="Times New Roman"/>
                <w:noProof/>
                <w:sz w:val="22"/>
              </w:rPr>
            </w:pPr>
          </w:p>
        </w:tc>
        <w:tc>
          <w:tcPr>
            <w:tcW w:w="1548" w:type="dxa"/>
            <w:tcBorders>
              <w:top w:val="nil"/>
            </w:tcBorders>
            <w:shd w:val="clear" w:color="auto" w:fill="auto"/>
            <w:vAlign w:val="center"/>
          </w:tcPr>
          <w:p>
            <w:pPr>
              <w:spacing w:before="60" w:after="60"/>
              <w:jc w:val="right"/>
              <w:rPr>
                <w:rFonts w:eastAsia="Times New Roman"/>
                <w:noProof/>
                <w:sz w:val="22"/>
              </w:rPr>
            </w:pPr>
            <w:r>
              <w:rPr>
                <w:noProof/>
                <w:sz w:val="22"/>
              </w:rPr>
              <w:t>(</w:t>
            </w:r>
            <w:r>
              <w:rPr>
                <w:noProof/>
              </w:rPr>
              <w:t>2,32 </w:t>
            </w:r>
            <w:r>
              <w:rPr>
                <w:noProof/>
                <w:sz w:val="22"/>
              </w:rPr>
              <w:t>%)</w:t>
            </w:r>
          </w:p>
        </w:tc>
      </w:tr>
      <w:tr>
        <w:tc>
          <w:tcPr>
            <w:tcW w:w="4644" w:type="dxa"/>
            <w:shd w:val="clear" w:color="auto" w:fill="auto"/>
          </w:tcPr>
          <w:p>
            <w:pPr>
              <w:spacing w:before="60" w:after="60"/>
              <w:jc w:val="left"/>
              <w:rPr>
                <w:rFonts w:eastAsia="Times New Roman"/>
                <w:noProof/>
                <w:sz w:val="22"/>
              </w:rPr>
            </w:pPr>
            <w:r>
              <w:rPr>
                <w:noProof/>
                <w:sz w:val="22"/>
              </w:rPr>
              <w:t>Kopējās izmaksas (a + b + c):</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noProof/>
                <w:sz w:val="22"/>
              </w:rPr>
            </w:pPr>
            <w:r>
              <w:rPr>
                <w:noProof/>
              </w:rPr>
              <w:t>10 780 000</w:t>
            </w:r>
          </w:p>
        </w:tc>
      </w:tr>
      <w:tr>
        <w:tc>
          <w:tcPr>
            <w:tcW w:w="4644" w:type="dxa"/>
            <w:shd w:val="clear" w:color="auto" w:fill="auto"/>
          </w:tcPr>
          <w:p>
            <w:pPr>
              <w:spacing w:before="60" w:after="60"/>
              <w:jc w:val="left"/>
              <w:rPr>
                <w:rFonts w:eastAsia="Times New Roman"/>
                <w:noProof/>
                <w:sz w:val="22"/>
              </w:rPr>
            </w:pPr>
            <w:r>
              <w:rPr>
                <w:noProof/>
                <w:sz w:val="22"/>
              </w:rPr>
              <w:t>EGF ieguldījums (60 % no kopējām izmaksām)</w:t>
            </w:r>
          </w:p>
        </w:tc>
        <w:tc>
          <w:tcPr>
            <w:tcW w:w="3096" w:type="dxa"/>
            <w:gridSpan w:val="2"/>
            <w:shd w:val="clear" w:color="auto" w:fill="D9D9D9"/>
            <w:vAlign w:val="center"/>
          </w:tcPr>
          <w:p>
            <w:pPr>
              <w:spacing w:before="60" w:after="60"/>
              <w:jc w:val="center"/>
              <w:rPr>
                <w:rFonts w:eastAsia="Times New Roman"/>
                <w:noProof/>
                <w:sz w:val="22"/>
              </w:rPr>
            </w:pPr>
            <w:r>
              <w:rPr>
                <w:noProof/>
                <w:sz w:val="22"/>
              </w:rPr>
              <w:t>–</w:t>
            </w:r>
          </w:p>
        </w:tc>
        <w:tc>
          <w:tcPr>
            <w:tcW w:w="1548" w:type="dxa"/>
            <w:shd w:val="clear" w:color="auto" w:fill="auto"/>
          </w:tcPr>
          <w:p>
            <w:pPr>
              <w:spacing w:before="60" w:after="60"/>
              <w:jc w:val="right"/>
              <w:rPr>
                <w:rFonts w:eastAsia="Times New Roman"/>
                <w:noProof/>
                <w:sz w:val="22"/>
              </w:rPr>
            </w:pPr>
            <w:r>
              <w:rPr>
                <w:noProof/>
              </w:rPr>
              <w:t>6 468 000</w:t>
            </w:r>
          </w:p>
        </w:tc>
      </w:tr>
    </w:tbl>
    <w:p>
      <w:pPr>
        <w:pStyle w:val="ManualNumPar1"/>
        <w:rPr>
          <w:noProof/>
          <w:szCs w:val="20"/>
        </w:rPr>
      </w:pPr>
      <w:r>
        <w:t>35.</w:t>
      </w:r>
      <w:r>
        <w:tab/>
      </w:r>
      <w:r>
        <w:rPr>
          <w:noProof/>
        </w:rPr>
        <w:t>To darbību izmaksas, kuras iepriekš minētajā tabulā noteiktas kā darbības saskaņā ar EGF regulas 7. panta 1. punkta b) apakšpunktu, nepārsniedz 35 % no saskaņotā individualizēto pakalpojumu kopuma kopējām izmaksām. Grieķija apstiprināja, ka šīs darbības ir atkarīgas no tā, vai paredzētie atbalsta saņēmēji piedalās darba meklēšanas vai apmācības pasākumos.</w:t>
      </w:r>
    </w:p>
    <w:p>
      <w:pPr>
        <w:pStyle w:val="ManualNumPar1"/>
        <w:rPr>
          <w:noProof/>
        </w:rPr>
      </w:pPr>
      <w:r>
        <w:t>36.</w:t>
      </w:r>
      <w:r>
        <w:tab/>
      </w:r>
      <w:r>
        <w:rPr>
          <w:noProof/>
        </w:rPr>
        <w:t>Grieķija apstiprināja, ka ieguldījumu izmaksas pašnodarbinātībai, uzņēmējdarbības sākšanai un darba ņēmēju pārņemšanai nepārsniegs EUR 15 000 vienam atbalsta saņēmējam.</w:t>
      </w:r>
    </w:p>
    <w:p>
      <w:pPr>
        <w:pStyle w:val="ManualHeading3"/>
        <w:rPr>
          <w:noProof/>
        </w:rPr>
      </w:pPr>
      <w:r>
        <w:rPr>
          <w:noProof/>
        </w:rPr>
        <w:t>Izdevumu atbilstības periods</w:t>
      </w:r>
    </w:p>
    <w:p>
      <w:pPr>
        <w:pStyle w:val="ManualNumPar1"/>
        <w:rPr>
          <w:noProof/>
        </w:rPr>
      </w:pPr>
      <w:r>
        <w:t>37.</w:t>
      </w:r>
      <w:r>
        <w:tab/>
      </w:r>
      <w:r>
        <w:rPr>
          <w:noProof/>
        </w:rPr>
        <w:t xml:space="preserve">Grieķija sāka sniegt individualizētos pakalpojumus paredzētajiem atbalsta saņēmējiem un jauniešiem, kas nav nodarbināti un nav iesaistīti izglītībā un apmācībā, 2016. gada 26. februārī. Tādēļ par izdevumiem, kas saistīti ar darbībām attiecībā uz darba ņēmējiem, ir tiesības saņemt EGF finansiālu ieguldījumu no 2016. gada 26. februāra līdz 2018. gada 26. februārim, savukārt par izdevumiem, kas saistīti ar darbībām attiecībā uz </w:t>
      </w:r>
      <w:r>
        <w:rPr>
          <w:i/>
          <w:noProof/>
        </w:rPr>
        <w:t>NEET</w:t>
      </w:r>
      <w:r>
        <w:rPr>
          <w:noProof/>
        </w:rPr>
        <w:t>, būs tiesības saņemt EGF finansiālu ieguldījumu no 2016. gada 26. februāra līdz 2017. gada 31. decembrim.</w:t>
      </w:r>
    </w:p>
    <w:p>
      <w:pPr>
        <w:pStyle w:val="ManualNumPar1"/>
        <w:rPr>
          <w:noProof/>
        </w:rPr>
      </w:pPr>
      <w:r>
        <w:t>38.</w:t>
      </w:r>
      <w:r>
        <w:tab/>
      </w:r>
      <w:r>
        <w:rPr>
          <w:noProof/>
        </w:rPr>
        <w:t xml:space="preserve">2016. gada 26. februārī Grieķijai radās pirmie administratīvie izdevumi saistībā ar EGF īstenošanu. Tāpēc par izdevumiem saistībā ar sagatavošanās, pārvaldības, informācijas un reklāmas, kontroles un ziņošanas darbībām ir tiesības saņemt EGF finansiālu ieguldījumu no 2016. gada 26. februāra līdz 2018. gada 26. augustam. </w:t>
      </w:r>
    </w:p>
    <w:p>
      <w:pPr>
        <w:pStyle w:val="ManualHeading3"/>
        <w:rPr>
          <w:noProof/>
        </w:rPr>
      </w:pPr>
      <w:r>
        <w:rPr>
          <w:noProof/>
        </w:rPr>
        <w:t>Papildināmība ar darbībām, ko finansē no valstu vai Savienības fondiem</w:t>
      </w:r>
    </w:p>
    <w:p>
      <w:pPr>
        <w:pStyle w:val="ManualNumPar1"/>
        <w:rPr>
          <w:i/>
          <w:noProof/>
        </w:rPr>
      </w:pPr>
      <w:r>
        <w:t>39.</w:t>
      </w:r>
      <w:r>
        <w:tab/>
      </w:r>
      <w:r>
        <w:rPr>
          <w:noProof/>
        </w:rPr>
        <w:t>Valsts priekšfinansējuma vai līdzfinansējuma avots ir valsts ieguldījuma programma.</w:t>
      </w:r>
    </w:p>
    <w:p>
      <w:pPr>
        <w:pStyle w:val="ManualNumPar1"/>
        <w:rPr>
          <w:noProof/>
        </w:rPr>
      </w:pPr>
      <w:r>
        <w:t>40.</w:t>
      </w:r>
      <w:r>
        <w:tab/>
      </w:r>
      <w:r>
        <w:rPr>
          <w:noProof/>
        </w:rPr>
        <w:t>Grieķija ir apstiprinājusi, ka iepriekš aprakstītie pasākumi, kas saņem EGF finansiālu ieguldījumu, nesaņems finansiālus ieguldījumus no citiem Savienības finanšu instrumentiem.</w:t>
      </w:r>
    </w:p>
    <w:p>
      <w:pPr>
        <w:pStyle w:val="ManualHeading3"/>
        <w:rPr>
          <w:noProof/>
          <w:u w:val="single"/>
        </w:rPr>
      </w:pPr>
      <w:r>
        <w:rPr>
          <w:noProof/>
        </w:rPr>
        <w:t>Procedūras, ko ievēro, apspriežoties ar paredzētajiem atbalsta saņēmējiem vai viņu pārstāvjiem, vai sociālajiem partneriem, kā arī vietējām un reģionālām iestādēm</w:t>
      </w:r>
    </w:p>
    <w:p>
      <w:pPr>
        <w:pStyle w:val="ManualNumPar1"/>
        <w:rPr>
          <w:noProof/>
        </w:rPr>
      </w:pPr>
      <w:r>
        <w:t>41.</w:t>
      </w:r>
      <w:r>
        <w:tab/>
      </w:r>
      <w:r>
        <w:rPr>
          <w:noProof/>
        </w:rPr>
        <w:t>Grieķija ir norādījusi, ka saskaņotais individualizēto pakalpojumu kopums ir izstrādāts, apspriežoties ar paredzēto saņēmēju pārstāvjiem un Grieķijas Vispārējās darba konfederācijas Darba institūtu (</w:t>
      </w:r>
      <w:r>
        <w:rPr>
          <w:i/>
          <w:noProof/>
        </w:rPr>
        <w:t>GSEE</w:t>
      </w:r>
      <w:r>
        <w:rPr>
          <w:noProof/>
        </w:rPr>
        <w:t>) un Darbaspēka nodarbinātības organizāciju (</w:t>
      </w:r>
      <w:r>
        <w:rPr>
          <w:i/>
          <w:noProof/>
        </w:rPr>
        <w:t>OAED</w:t>
      </w:r>
      <w:r>
        <w:rPr>
          <w:noProof/>
        </w:rPr>
        <w:t>)</w:t>
      </w:r>
      <w:r>
        <w:rPr>
          <w:rStyle w:val="FootnoteReference"/>
          <w:noProof/>
        </w:rPr>
        <w:footnoteReference w:id="18"/>
      </w:r>
      <w:r>
        <w:rPr>
          <w:noProof/>
        </w:rPr>
        <w:t xml:space="preserve">. Pirmā tikšanās notika 2015. gada martā, lai pārbaudītu lielveikala </w:t>
      </w:r>
      <w:r>
        <w:rPr>
          <w:i/>
          <w:noProof/>
        </w:rPr>
        <w:t>Larissa</w:t>
      </w:r>
      <w:r>
        <w:rPr>
          <w:noProof/>
        </w:rPr>
        <w:t xml:space="preserve"> bijušo darbinieku lietas atbilsttiesīgumu. Pēc vairākkārtējas apspriešanās starp Darba, sociālā nodrošinājuma un sociālās solidaritātes ministriju un darba ņēmēju pārstāvjiem 2015. gada jūlijā tika panākta vienošanās par pieteikuma projektu un integrētā pasākumu kopuma saturu.</w:t>
      </w:r>
    </w:p>
    <w:p>
      <w:pPr>
        <w:pStyle w:val="ManualHeading2"/>
        <w:rPr>
          <w:noProof/>
        </w:rPr>
      </w:pPr>
      <w:r>
        <w:rPr>
          <w:noProof/>
        </w:rPr>
        <w:t>Pārvaldības un kontroles sistēmas</w:t>
      </w:r>
    </w:p>
    <w:p>
      <w:pPr>
        <w:pStyle w:val="ManualNumPar1"/>
        <w:rPr>
          <w:noProof/>
        </w:rPr>
      </w:pPr>
      <w:r>
        <w:t>42.</w:t>
      </w:r>
      <w:r>
        <w:tab/>
      </w:r>
      <w:r>
        <w:rPr>
          <w:noProof/>
        </w:rPr>
        <w:t>Pieteikums ietver pārvaldības un kontroles sistēmas aprakstu, kurā norādīti iesaistīto struktūru pienākumi. Grieķija paziņoja Komisijai, ka finansiālos ieguldījumus pārvaldīs un kontrolēs tās pašas iestādes, kas pārvalda un kontrolē Eiropas Sociālā fonda (ESF) finansējumu Grieķijā. Eiropas Sociālā fonda (ESF) Darbību īstenošanas iestāde (</w:t>
      </w:r>
      <w:r>
        <w:rPr>
          <w:i/>
          <w:noProof/>
        </w:rPr>
        <w:t>EYE-EKT</w:t>
      </w:r>
      <w:r>
        <w:rPr>
          <w:noProof/>
        </w:rPr>
        <w:t>) darbosies kā vadošā iestāde, Finanšu ministrijas Fiskālās politikas ģenerālsekretariāta finanšu kontroles komiteja kā revīzijas iestāde un Ekonomikas, infrastruktūras, kuģošanas un tūrisma ministrijas līdzfinansēto programmu sertifikācijas un pārbaudes īpašais dienests – kā sertifikācijas iestāde.</w:t>
      </w:r>
    </w:p>
    <w:p>
      <w:pPr>
        <w:pStyle w:val="ManualHeading2"/>
        <w:rPr>
          <w:noProof/>
        </w:rPr>
      </w:pPr>
      <w:r>
        <w:rPr>
          <w:noProof/>
        </w:rPr>
        <w:t>Saistības, ko uzņemas attiecīgā dalībvalsts</w:t>
      </w:r>
    </w:p>
    <w:p>
      <w:pPr>
        <w:pStyle w:val="ManualNumPar1"/>
        <w:rPr>
          <w:noProof/>
        </w:rPr>
      </w:pPr>
      <w:r>
        <w:t>43.</w:t>
      </w:r>
      <w:r>
        <w:tab/>
      </w:r>
      <w:r>
        <w:rPr>
          <w:noProof/>
        </w:rPr>
        <w:t xml:space="preserve">Grieķija ir sniegusi visus nepieciešamos apliecinājumus tam, ka: </w:t>
      </w:r>
    </w:p>
    <w:p>
      <w:pPr>
        <w:pStyle w:val="Tiret1"/>
        <w:numPr>
          <w:ilvl w:val="0"/>
          <w:numId w:val="11"/>
        </w:numPr>
        <w:rPr>
          <w:noProof/>
        </w:rPr>
      </w:pPr>
      <w:r>
        <w:rPr>
          <w:noProof/>
        </w:rPr>
        <w:t>piekļuvē ierosinātajām darbībām un to īstenošanai tiks piemēroti vienlīdzīgas attieksmes un nediskriminācijas principi,</w:t>
      </w:r>
    </w:p>
    <w:p>
      <w:pPr>
        <w:pStyle w:val="Tiret1"/>
        <w:numPr>
          <w:ilvl w:val="0"/>
          <w:numId w:val="11"/>
        </w:numPr>
        <w:rPr>
          <w:noProof/>
        </w:rPr>
      </w:pPr>
      <w:r>
        <w:rPr>
          <w:noProof/>
        </w:rPr>
        <w:t>ir ievērotas valstu un ES tiesību aktos paredzētās prasības par kolektīvo atlaišanu,</w:t>
      </w:r>
    </w:p>
    <w:p>
      <w:pPr>
        <w:pStyle w:val="Tiret1"/>
        <w:numPr>
          <w:ilvl w:val="0"/>
          <w:numId w:val="11"/>
        </w:numPr>
        <w:rPr>
          <w:noProof/>
        </w:rPr>
      </w:pPr>
      <w:r>
        <w:rPr>
          <w:noProof/>
        </w:rPr>
        <w:t>ierosinātās darbības nesaņems finansiālu atbalstu no citiem Savienības fondiem vai finanšu instrumentiem, kā arī tiks novērsta jebkāda dubulta finansēšana,</w:t>
      </w:r>
    </w:p>
    <w:p>
      <w:pPr>
        <w:pStyle w:val="Tiret1"/>
        <w:numPr>
          <w:ilvl w:val="0"/>
          <w:numId w:val="11"/>
        </w:numPr>
        <w:rPr>
          <w:noProof/>
        </w:rPr>
      </w:pPr>
      <w:r>
        <w:rPr>
          <w:noProof/>
        </w:rPr>
        <w:t>ar ierosinātām darbībām papildinās no struktūrfondiem finansētās darbības,</w:t>
      </w:r>
    </w:p>
    <w:p>
      <w:pPr>
        <w:pStyle w:val="Tiret1"/>
        <w:numPr>
          <w:ilvl w:val="0"/>
          <w:numId w:val="11"/>
        </w:numPr>
        <w:rPr>
          <w:noProof/>
        </w:rPr>
      </w:pPr>
      <w:r>
        <w:rPr>
          <w:noProof/>
        </w:rPr>
        <w:t>EGF finansiālais ieguldījums atbildīs procesuālajiem un materiālajiem Savienības noteikumiem par valsts atbalstu.</w:t>
      </w:r>
    </w:p>
    <w:p>
      <w:pPr>
        <w:pStyle w:val="ManualHeading1"/>
        <w:rPr>
          <w:noProof/>
        </w:rPr>
      </w:pPr>
      <w:r>
        <w:rPr>
          <w:noProof/>
        </w:rPr>
        <w:t>IETEKME UZ BUDŽETU</w:t>
      </w:r>
    </w:p>
    <w:p>
      <w:pPr>
        <w:pStyle w:val="ManualHeading2"/>
        <w:rPr>
          <w:noProof/>
        </w:rPr>
      </w:pPr>
      <w:r>
        <w:rPr>
          <w:noProof/>
        </w:rPr>
        <w:t>Budžeta priekšlikums</w:t>
      </w:r>
    </w:p>
    <w:p>
      <w:pPr>
        <w:pStyle w:val="ManualNumPar1"/>
        <w:rPr>
          <w:noProof/>
        </w:rPr>
      </w:pPr>
      <w:r>
        <w:t>44.</w:t>
      </w:r>
      <w:r>
        <w:tab/>
      </w:r>
      <w:r>
        <w:rPr>
          <w:noProof/>
        </w:rPr>
        <w:t>EGF nepārsniedz maksimālo gada apjomu EUR 150 miljonu apmērā (2011. gada cenās), kā paredzēts 12. pantā Padomes 2013. gada 2. decembra Regulā (ES, Euratom) Nr. 1311/2013, ar ko nosaka daudzgadu finanšu shēmu 2014.–2020. gadam</w:t>
      </w:r>
      <w:r>
        <w:rPr>
          <w:rStyle w:val="FootnoteReference"/>
          <w:noProof/>
        </w:rPr>
        <w:footnoteReference w:id="19"/>
      </w:r>
      <w:r>
        <w:rPr>
          <w:noProof/>
        </w:rPr>
        <w:t>.</w:t>
      </w:r>
    </w:p>
    <w:p>
      <w:pPr>
        <w:pStyle w:val="ManualNumPar1"/>
        <w:rPr>
          <w:rFonts w:eastAsia="Calibri"/>
          <w:noProof/>
        </w:rPr>
      </w:pPr>
      <w:r>
        <w:t>45.</w:t>
      </w:r>
      <w:r>
        <w:tab/>
      </w:r>
      <w:r>
        <w:rPr>
          <w:noProof/>
        </w:rPr>
        <w:t>Pēc pieteikuma izskatīšanas attiecībā uz EGF regulas 13. panta 1. punktā paredzētajiem nosacījumiem un ņemot vērā paredzēto atbalsta saņēmēju skaitu, ierosinātās darbības un aplēstās izmaksas, Komisija ierosina izmantot EGF līdzekļus EUR 6 468 000 apmērā, kas veido 60 % no kopējām ierosināto darbību izmaksām, lai sniegtu finansiālu ieguldījumu saistībā ar pieteikumu.</w:t>
      </w:r>
    </w:p>
    <w:p>
      <w:pPr>
        <w:pStyle w:val="ManualNumPar1"/>
        <w:rPr>
          <w:rFonts w:eastAsia="Times New Roman"/>
          <w:noProof/>
        </w:rPr>
      </w:pPr>
      <w:r>
        <w:t>46.</w:t>
      </w:r>
      <w:r>
        <w:tab/>
      </w:r>
      <w:r>
        <w:rPr>
          <w:noProof/>
        </w:rPr>
        <w:t>Ierosināto lēmumu izmantot EGF pieņems kopā Eiropas Parlaments un Padome, kā paredzēts 13. punktā Eiropas Parlamenta, Padomes un Komisijas 2013. gada 2. decembra Iestāžu nolīgumā par budžeta disciplīnu, sadarbību budžeta jautājumos un pareizu finanšu pārvaldību</w:t>
      </w:r>
      <w:r>
        <w:rPr>
          <w:rStyle w:val="FootnoteReference"/>
          <w:noProof/>
        </w:rPr>
        <w:footnoteReference w:id="20"/>
      </w:r>
      <w:r>
        <w:rPr>
          <w:noProof/>
        </w:rPr>
        <w:t>.</w:t>
      </w:r>
    </w:p>
    <w:p>
      <w:pPr>
        <w:pStyle w:val="ManualHeading2"/>
        <w:rPr>
          <w:noProof/>
        </w:rPr>
      </w:pPr>
      <w:r>
        <w:rPr>
          <w:noProof/>
        </w:rPr>
        <w:t>Saistītie tiesību akti</w:t>
      </w:r>
    </w:p>
    <w:p>
      <w:pPr>
        <w:pStyle w:val="ManualNumPar1"/>
        <w:rPr>
          <w:noProof/>
        </w:rPr>
      </w:pPr>
      <w:r>
        <w:t>47.</w:t>
      </w:r>
      <w:r>
        <w:tab/>
      </w:r>
      <w:r>
        <w:rPr>
          <w:noProof/>
        </w:rPr>
        <w:t>Vienlaikus ar priekšlikumu lēmumam par EGF izmantošanu Komisija Eiropas Parlamentam un Padomei iesniegs priekšlikumu par līdzekļu pārvietošanu uz attiecīgo budžeta pozīciju EUR 6 468 000 apmērā.</w:t>
      </w:r>
    </w:p>
    <w:p>
      <w:pPr>
        <w:pStyle w:val="ManualNumPar1"/>
        <w:rPr>
          <w:noProof/>
        </w:rPr>
      </w:pPr>
      <w:r>
        <w:t>48.</w:t>
      </w:r>
      <w:r>
        <w:tab/>
      </w:r>
      <w:r>
        <w:rPr>
          <w:noProof/>
        </w:rPr>
        <w:t>Tajā pašā laikā, kad Komisija pieņem priekšlikumu lēmumam par EGF izmantošanu, tā ar īstenošanas aktu pieņems lēmumu par finansiālo ieguldījumu, kas stājas spēkā dienā, kad Eiropas Parlaments un Padome pieņem ierosināto lēmumu izmantot EGF.</w:t>
      </w:r>
    </w:p>
    <w:p>
      <w:pPr>
        <w:rPr>
          <w:noProof/>
        </w:rPr>
        <w:sectPr>
          <w:pgSz w:w="11907" w:h="16839"/>
          <w:pgMar w:top="1134" w:right="1417" w:bottom="1134" w:left="1417" w:header="709" w:footer="709" w:gutter="0"/>
          <w:cols w:space="708"/>
          <w:docGrid w:linePitch="360"/>
        </w:sectPr>
      </w:pPr>
    </w:p>
    <w:p>
      <w:pPr>
        <w:pStyle w:val="Statut"/>
        <w:rPr>
          <w:noProof/>
        </w:rPr>
      </w:pPr>
      <w:r>
        <w:rPr>
          <w:noProof/>
        </w:rPr>
        <w:t>Priekšlikums</w:t>
      </w:r>
    </w:p>
    <w:p>
      <w:pPr>
        <w:pStyle w:val="Typedudocument"/>
        <w:rPr>
          <w:noProof/>
        </w:rPr>
      </w:pPr>
      <w:r>
        <w:rPr>
          <w:noProof/>
        </w:rPr>
        <w:t>EIROPAS PARLAMENTA UN PADOMES LĒMUMS</w:t>
      </w:r>
    </w:p>
    <w:p>
      <w:pPr>
        <w:pStyle w:val="Titreobjet"/>
        <w:rPr>
          <w:noProof/>
        </w:rPr>
      </w:pPr>
      <w:r>
        <w:rPr>
          <w:noProof/>
        </w:rPr>
        <w:t xml:space="preserve">par Eiropas Globalizācijas pielāgošanās fonda izmantošanu </w:t>
      </w:r>
      <w:r>
        <w:rPr>
          <w:noProof/>
        </w:rPr>
        <w:br/>
        <w:t>(Grieķijas pieteikums — EGF/2015/011 GR/</w:t>
      </w:r>
      <w:r>
        <w:rPr>
          <w:i/>
          <w:noProof/>
        </w:rPr>
        <w:t>Supermarket Larissa</w:t>
      </w:r>
      <w:r>
        <w:rPr>
          <w:noProof/>
        </w:rPr>
        <w:t>)</w:t>
      </w:r>
    </w:p>
    <w:p>
      <w:pPr>
        <w:pStyle w:val="Institutionquiagit"/>
        <w:rPr>
          <w:noProof/>
        </w:rPr>
      </w:pPr>
      <w:r>
        <w:rPr>
          <w:noProof/>
        </w:rPr>
        <w:t>EIROPAS PARLAMENTS UN EIROPAS SAVIENĪBAS PADOME,</w:t>
      </w:r>
    </w:p>
    <w:p>
      <w:pPr>
        <w:rPr>
          <w:noProof/>
        </w:rPr>
      </w:pPr>
      <w:r>
        <w:rPr>
          <w:noProof/>
        </w:rPr>
        <w:t>ņemot vērā Līgumu par Eiropas Savienības darbību,</w:t>
      </w:r>
    </w:p>
    <w:p>
      <w:pPr>
        <w:rPr>
          <w:noProof/>
        </w:rPr>
      </w:pPr>
      <w:r>
        <w:rPr>
          <w:noProof/>
        </w:rPr>
        <w:t>ņemot vērā Eiropas Parlamenta un Padomes 2013. gada 17. decembra Regulu (ES) Nr. 1309/2013 par Eiropas Globalizācijas pielāgošanās fondu (2014–2020) un ar ko atceļ Regulu (EK) Nr. 1927/2006</w:t>
      </w:r>
      <w:r>
        <w:rPr>
          <w:rStyle w:val="FootnoteReference"/>
          <w:noProof/>
        </w:rPr>
        <w:footnoteReference w:id="21"/>
      </w:r>
      <w:r>
        <w:rPr>
          <w:noProof/>
        </w:rPr>
        <w:t>, un jo īpaši tās 15. panta 4. punktu,</w:t>
      </w:r>
    </w:p>
    <w:p>
      <w:pPr>
        <w:rPr>
          <w:noProof/>
        </w:rPr>
      </w:pPr>
      <w:r>
        <w:rPr>
          <w:noProof/>
        </w:rPr>
        <w:t>ņemot vērā Eiropas Parlamenta, Padomes un Komisijas 2013. gada 2. decembra Iestāžu nolīgumu par budžeta disciplīnu, sadarbību budžeta jautājumos un pareizu finanšu pārvaldību</w:t>
      </w:r>
      <w:r>
        <w:rPr>
          <w:rStyle w:val="FootnoteReference"/>
          <w:noProof/>
        </w:rPr>
        <w:footnoteReference w:id="22"/>
      </w:r>
      <w:r>
        <w:rPr>
          <w:noProof/>
        </w:rPr>
        <w:t xml:space="preserve"> un jo īpaši tā 13. punktu,</w:t>
      </w:r>
    </w:p>
    <w:p>
      <w:pPr>
        <w:rPr>
          <w:noProof/>
        </w:rPr>
      </w:pPr>
      <w:r>
        <w:rPr>
          <w:noProof/>
        </w:rPr>
        <w:t>ņemot vērā Eiropas Komisijas priekšlikumu,</w:t>
      </w:r>
    </w:p>
    <w:p>
      <w:pPr>
        <w:rPr>
          <w:noProof/>
        </w:rPr>
      </w:pPr>
      <w:r>
        <w:rPr>
          <w:noProof/>
        </w:rPr>
        <w:t>tā kā:</w:t>
      </w:r>
    </w:p>
    <w:p>
      <w:pPr>
        <w:pStyle w:val="ManualConsidrant"/>
        <w:rPr>
          <w:noProof/>
        </w:rPr>
      </w:pPr>
      <w:r>
        <w:t>(1)</w:t>
      </w:r>
      <w:r>
        <w:tab/>
      </w:r>
      <w:r>
        <w:rPr>
          <w:noProof/>
        </w:rPr>
        <w:t>Eiropas Globalizācijas pielāgošanās fonda (EGF) mērķis ir sniegt atbalstu darba ņēmējiem, kas atlaisti no darba, un pašnodarbinātām personām, kuru darbība ir beigusies tādēļ, ka globalizācijas dēļ ir notikušas lielas strukturālas pārmaiņas pasaules tirdzniecības modeļos, turpinās globālā finanšu un ekonomikas krīze vai ir sākusies jauna globāla finanšu un ekonomikas krīze, un lai palīdzētu viņiem no jauna iekļauties darba tirgū.</w:t>
      </w:r>
    </w:p>
    <w:p>
      <w:pPr>
        <w:pStyle w:val="ManualConsidrant"/>
        <w:rPr>
          <w:noProof/>
        </w:rPr>
      </w:pPr>
      <w:r>
        <w:t>(2)</w:t>
      </w:r>
      <w:r>
        <w:tab/>
      </w:r>
      <w:r>
        <w:rPr>
          <w:noProof/>
        </w:rPr>
        <w:t>EGF var izmantot, nepārsniedzot maksimālo summu EUR 150 miljoni gadā (2011. gada cenās), kā noteikts Padomes Regulas (ES, Euratom) Nr. 1311/2013</w:t>
      </w:r>
      <w:r>
        <w:rPr>
          <w:rStyle w:val="FootnoteReference"/>
          <w:noProof/>
        </w:rPr>
        <w:footnoteReference w:id="23"/>
      </w:r>
      <w:r>
        <w:rPr>
          <w:noProof/>
        </w:rPr>
        <w:t xml:space="preserve"> 12. pantā.</w:t>
      </w:r>
    </w:p>
    <w:p>
      <w:pPr>
        <w:pStyle w:val="ManualConsidrant"/>
        <w:rPr>
          <w:noProof/>
        </w:rPr>
      </w:pPr>
      <w:r>
        <w:t>(3)</w:t>
      </w:r>
      <w:r>
        <w:tab/>
      </w:r>
      <w:r>
        <w:rPr>
          <w:noProof/>
        </w:rPr>
        <w:t xml:space="preserve">Grieķija 2015. gada 26. novembrī iesniedza pieteikumu EGF/2015/011 GR/ </w:t>
      </w:r>
      <w:r>
        <w:rPr>
          <w:i/>
          <w:noProof/>
        </w:rPr>
        <w:t>Supermarket Larissa</w:t>
      </w:r>
      <w:r>
        <w:rPr>
          <w:noProof/>
        </w:rPr>
        <w:t xml:space="preserve"> par EGF finansiālo ieguldījumu pēc darba ņēmēju atlaišanas uzņēmumā </w:t>
      </w:r>
      <w:r>
        <w:rPr>
          <w:i/>
          <w:noProof/>
        </w:rPr>
        <w:t>Supermarket Larissa ABEE</w:t>
      </w:r>
      <w:r>
        <w:rPr>
          <w:noProof/>
        </w:rPr>
        <w:t xml:space="preserve"> Grieķijā. Pieteikums tika papildināts ar papildu informāciju saskaņā ar Regulas (ES) Nr. 1309/2013 8. panta 3. punktu. Minētais pieteikums atbilst Regulas (ES) Nr. 1309/2013 13. panta prasībām par EGF finansiālā ieguldījuma noteikšanu.</w:t>
      </w:r>
    </w:p>
    <w:p>
      <w:pPr>
        <w:pStyle w:val="ManualConsidrant"/>
        <w:rPr>
          <w:noProof/>
        </w:rPr>
      </w:pPr>
      <w:r>
        <w:t>(4)</w:t>
      </w:r>
      <w:r>
        <w:tab/>
      </w:r>
      <w:r>
        <w:rPr>
          <w:noProof/>
        </w:rPr>
        <w:t>Saskaņā ar Regulas (ES) Nr. 1309/2013 6. panta 2. punktu Grieķija nolēma no EGF līdzfinansētos individualizētos pakalpojumus sniegt arī 543 jauniešiem, kuri nav nedz nodarbināti, nedz iesaistīti izglītībā vai apmācībā (</w:t>
      </w:r>
      <w:r>
        <w:rPr>
          <w:i/>
          <w:noProof/>
        </w:rPr>
        <w:t>NEET</w:t>
      </w:r>
      <w:r>
        <w:rPr>
          <w:noProof/>
        </w:rPr>
        <w:t>).</w:t>
      </w:r>
    </w:p>
    <w:p>
      <w:pPr>
        <w:pStyle w:val="ManualConsidrant"/>
        <w:rPr>
          <w:noProof/>
        </w:rPr>
      </w:pPr>
      <w:r>
        <w:t>(5)</w:t>
      </w:r>
      <w:r>
        <w:tab/>
      </w:r>
      <w:r>
        <w:rPr>
          <w:noProof/>
        </w:rPr>
        <w:t>Tādēļ EGF būtu jāizmanto, lai sniegtu finansiālu ieguldījumu EUR 6 468 000 apmērā saistībā ar Grieķijas iesniegto pieteikumu.</w:t>
      </w:r>
    </w:p>
    <w:p>
      <w:pPr>
        <w:pStyle w:val="ManualConsidrant"/>
        <w:rPr>
          <w:noProof/>
        </w:rPr>
      </w:pPr>
      <w:r>
        <w:t>(6)</w:t>
      </w:r>
      <w:r>
        <w:tab/>
      </w:r>
      <w:r>
        <w:rPr>
          <w:noProof/>
        </w:rPr>
        <w:t>Lai pēc iespējas saīsinātu laiku, kas vajadzīgs EGF izmantošanai, šis lēmums būtu jāpiemēro no tā pieņemšanas dienas,</w:t>
      </w:r>
    </w:p>
    <w:p>
      <w:pPr>
        <w:pStyle w:val="Formuledadoption"/>
        <w:rPr>
          <w:noProof/>
        </w:rPr>
      </w:pPr>
      <w:r>
        <w:rPr>
          <w:noProof/>
        </w:rPr>
        <w:t xml:space="preserve">IR PIEŅĒMUŠI ŠO LĒMUMU. </w:t>
      </w:r>
    </w:p>
    <w:p>
      <w:pPr>
        <w:pStyle w:val="Titrearticle"/>
        <w:rPr>
          <w:noProof/>
        </w:rPr>
      </w:pPr>
      <w:r>
        <w:rPr>
          <w:noProof/>
        </w:rPr>
        <w:t>1. pants</w:t>
      </w:r>
    </w:p>
    <w:p>
      <w:pPr>
        <w:rPr>
          <w:noProof/>
        </w:rPr>
      </w:pPr>
      <w:r>
        <w:rPr>
          <w:noProof/>
        </w:rPr>
        <w:t>Eiropas Savienības 2016. finanšu gada vispārējā budžetā izmanto Eiropas Globalizācijas pielāgošanās fondu, lai piešķirtu EUR 6 468 000 saistību un maksājumu apropriācijās.</w:t>
      </w:r>
    </w:p>
    <w:p>
      <w:pPr>
        <w:pStyle w:val="Titrearticle"/>
        <w:rPr>
          <w:noProof/>
        </w:rPr>
      </w:pPr>
      <w:r>
        <w:rPr>
          <w:noProof/>
        </w:rPr>
        <w:t>2. pants</w:t>
      </w:r>
    </w:p>
    <w:p>
      <w:pPr>
        <w:keepNext/>
        <w:keepLines/>
        <w:rPr>
          <w:noProof/>
        </w:rPr>
      </w:pPr>
      <w:r>
        <w:rPr>
          <w:noProof/>
        </w:rPr>
        <w:t xml:space="preserve">Šis lēmums stājas spēkā dienā, kad to publicē </w:t>
      </w:r>
      <w:r>
        <w:rPr>
          <w:i/>
          <w:noProof/>
        </w:rPr>
        <w:t>Eiropas Savienības Oficiālajā Vēstnesī</w:t>
      </w:r>
      <w:r>
        <w:rPr>
          <w:noProof/>
        </w:rPr>
        <w:t xml:space="preserve">. To piemēro no </w:t>
      </w:r>
      <w:r>
        <w:rPr>
          <w:noProof/>
          <w:color w:val="FF0000"/>
        </w:rPr>
        <w:t>[</w:t>
      </w:r>
      <w:r>
        <w:rPr>
          <w:i/>
          <w:noProof/>
          <w:color w:val="FF0000"/>
        </w:rPr>
        <w:t>the date of its adoption</w:t>
      </w:r>
      <w:r>
        <w:rPr>
          <w:noProof/>
          <w:color w:val="FF0000"/>
        </w:rPr>
        <w:t>]</w:t>
      </w:r>
      <w:r>
        <w:rPr>
          <w:noProof/>
          <w:color w:val="FF0000"/>
          <w:vertAlign w:val="superscript"/>
          <w:lang w:eastAsia="en-US" w:bidi="ar-SA"/>
        </w:rPr>
        <w:t xml:space="preserve"> </w:t>
      </w:r>
      <w:r>
        <w:rPr>
          <w:noProof/>
          <w:color w:val="FF0000"/>
          <w:vertAlign w:val="superscript"/>
          <w:lang w:eastAsia="en-US" w:bidi="ar-SA"/>
        </w:rPr>
        <w:footnoteReference w:customMarkFollows="1" w:id="24"/>
        <w:sym w:font="Symbol" w:char="F02A"/>
      </w:r>
      <w:r>
        <w:rPr>
          <w:noProof/>
          <w:lang w:eastAsia="en-US" w:bidi="ar-SA"/>
        </w:rPr>
        <w:t>.</w:t>
      </w:r>
    </w:p>
    <w:p>
      <w:pPr>
        <w:pStyle w:val="Fait"/>
        <w:rPr>
          <w:noProof/>
        </w:rPr>
      </w:pPr>
      <w:r>
        <w:rPr>
          <w:noProof/>
        </w:rPr>
        <w:t>Briselē,</w:t>
      </w:r>
    </w:p>
    <w:p>
      <w:pPr>
        <w:pStyle w:val="Institutionquisigne"/>
        <w:rPr>
          <w:noProof/>
        </w:rPr>
      </w:pPr>
      <w:r>
        <w:rPr>
          <w:noProof/>
        </w:rPr>
        <w:t>Eiropas Parlamenta vārdā —</w:t>
      </w:r>
      <w:r>
        <w:rPr>
          <w:noProof/>
        </w:rPr>
        <w:tab/>
        <w:t>Padomes vārdā —</w:t>
      </w:r>
    </w:p>
    <w:p>
      <w:pPr>
        <w:pStyle w:val="Personnequisigne"/>
        <w:rPr>
          <w:noProof/>
        </w:rPr>
      </w:pPr>
      <w:r>
        <w:rPr>
          <w:noProof/>
        </w:rPr>
        <w:t>priekšsēdētājs</w:t>
      </w:r>
      <w:r>
        <w:rPr>
          <w:noProof/>
        </w:rPr>
        <w:tab/>
        <w:t>priekšsēdētājs</w:t>
      </w:r>
    </w:p>
    <w:sectPr>
      <w:endnotePr>
        <w:numFmt w:val="chicago"/>
      </w:end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LV</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LV</w:t>
    </w:r>
    <w:r>
      <w:rPr>
        <w:rFonts w:ascii="Arial" w:hAnsi="Arial" w:cs="Arial"/>
        <w:b/>
        <w:sz w:val="48"/>
      </w:rPr>
      <w:tab/>
    </w:r>
    <w:r>
      <w:fldChar w:fldCharType="begin"/>
    </w:r>
    <w:r>
      <w:instrText xml:space="preserve"> PAGE  \* MERGEFORMAT </w:instrText>
    </w:r>
    <w:r>
      <w:fldChar w:fldCharType="separate"/>
    </w:r>
    <w:r>
      <w:rPr>
        <w:noProof/>
      </w:rPr>
      <w:t>15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LV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OV L 347, 20.12.2013., 855. lpp.</w:t>
      </w:r>
    </w:p>
  </w:footnote>
  <w:footnote w:id="2">
    <w:p>
      <w:pPr>
        <w:pStyle w:val="FootnoteText"/>
      </w:pPr>
      <w:r>
        <w:rPr>
          <w:rStyle w:val="FootnoteReference"/>
        </w:rPr>
        <w:footnoteRef/>
      </w:r>
      <w:r>
        <w:tab/>
        <w:t>EGF regulas 3. panta nozīmē.</w:t>
      </w:r>
    </w:p>
  </w:footnote>
  <w:footnote w:id="3">
    <w:p>
      <w:pPr>
        <w:pStyle w:val="FootnoteText"/>
      </w:pPr>
      <w:r>
        <w:rPr>
          <w:rStyle w:val="FootnoteReference"/>
        </w:rPr>
        <w:footnoteRef/>
      </w:r>
      <w:r>
        <w:tab/>
        <w:t>Komisijas 2012. gada 8. novembra Regula (ES) Nr. 1046/2012, ar ko īsteno Eiropas Parlamenta un Padomes Regulu (EK) Nr. 1059/2003 par kopējas statistiski teritoriālo vienību klasifikācijas (</w:t>
      </w:r>
      <w:r>
        <w:rPr>
          <w:i/>
        </w:rPr>
        <w:t>NUTS</w:t>
      </w:r>
      <w:r>
        <w:t>) izveidi attiecībā uz jaunā reģionālā sadalījuma laikrindu nosūtīšanu (OV L 310, 9.11.2012., 34. lpp.).</w:t>
      </w:r>
    </w:p>
  </w:footnote>
  <w:footnote w:id="4">
    <w:p>
      <w:pPr>
        <w:pStyle w:val="FootnoteText"/>
      </w:pPr>
      <w:r>
        <w:rPr>
          <w:rStyle w:val="FootnoteReference"/>
        </w:rPr>
        <w:footnoteRef/>
      </w:r>
      <w:r>
        <w:tab/>
        <w:t>OV L 393, 30.12.2006., 1. lpp.</w:t>
      </w:r>
    </w:p>
  </w:footnote>
  <w:footnote w:id="5">
    <w:p>
      <w:pPr>
        <w:pStyle w:val="FootnoteText"/>
        <w:rPr>
          <w:lang w:val="es-ES"/>
        </w:rPr>
      </w:pPr>
      <w:r>
        <w:rPr>
          <w:rStyle w:val="FootnoteReference"/>
        </w:rPr>
        <w:footnoteRef/>
      </w:r>
      <w:r>
        <w:tab/>
        <w:t>Saskaņā ar Regulas (ES) Nr. 1309/2013 7. panta 4. punktu.</w:t>
      </w:r>
    </w:p>
  </w:footnote>
  <w:footnote w:id="6">
    <w:p>
      <w:pPr>
        <w:pStyle w:val="FootnoteText"/>
      </w:pPr>
      <w:r>
        <w:rPr>
          <w:rStyle w:val="FootnoteReference"/>
        </w:rPr>
        <w:footnoteRef/>
      </w:r>
      <w:r>
        <w:tab/>
        <w:t>422 darba ņēmēji un 135 darbinieki-īpašnieki.</w:t>
      </w:r>
    </w:p>
  </w:footnote>
  <w:footnote w:id="7">
    <w:p>
      <w:pPr>
        <w:pStyle w:val="FootnoteText"/>
      </w:pPr>
      <w:r>
        <w:rPr>
          <w:rStyle w:val="FootnoteReference"/>
        </w:rPr>
        <w:footnoteRef/>
      </w:r>
      <w:r>
        <w:tab/>
        <w:t>Kods: nama_fcs_k.</w:t>
      </w:r>
    </w:p>
  </w:footnote>
  <w:footnote w:id="8">
    <w:p>
      <w:pPr>
        <w:pStyle w:val="FootnoteText"/>
      </w:pPr>
      <w:r>
        <w:rPr>
          <w:rStyle w:val="FootnoteReference"/>
        </w:rPr>
        <w:footnoteRef/>
      </w:r>
      <w:r>
        <w:tab/>
        <w:t>http://www.inegsee.gr/wp-content/uploads/2014/07/Symperasmata.pdf.</w:t>
      </w:r>
    </w:p>
  </w:footnote>
  <w:footnote w:id="9">
    <w:p>
      <w:pPr>
        <w:pStyle w:val="FootnoteText"/>
      </w:pPr>
      <w:r>
        <w:rPr>
          <w:rStyle w:val="FootnoteReference"/>
        </w:rPr>
        <w:footnoteRef/>
      </w:r>
      <w:r>
        <w:tab/>
        <w:t>Grieķijā ir noteikts nabadzības slieksnis attiecībā uz fiziskām personām EUR 5708 gadā vienam cilvēkam un attiecībā uz mājsaimniecībām, kurās ir divi pieaugušie un divi bērni, kuri nav vecāki par 14 gadiem, — EUR 11 986.</w:t>
      </w:r>
    </w:p>
  </w:footnote>
  <w:footnote w:id="10">
    <w:p>
      <w:pPr>
        <w:pStyle w:val="FootnoteText"/>
        <w:jc w:val="left"/>
      </w:pPr>
      <w:r>
        <w:rPr>
          <w:rStyle w:val="FootnoteReference"/>
        </w:rPr>
        <w:footnoteRef/>
      </w:r>
      <w:r>
        <w:tab/>
      </w:r>
      <w:r>
        <w:rPr>
          <w:rStyle w:val="FootnoteReference"/>
        </w:rPr>
        <w:footnoteRef/>
      </w:r>
      <w:r>
        <w:t>EGF/2010/010 CZ</w:t>
      </w:r>
      <w:r>
        <w:rPr>
          <w:i/>
        </w:rPr>
        <w:t xml:space="preserve"> Unilever</w:t>
      </w:r>
      <w:r>
        <w:t>, COM(2011) 61;</w:t>
      </w:r>
      <w:r>
        <w:br/>
        <w:t xml:space="preserve">EGF/2010/016 ES </w:t>
      </w:r>
      <w:r>
        <w:rPr>
          <w:i/>
        </w:rPr>
        <w:t>Aragón retail</w:t>
      </w:r>
      <w:r>
        <w:t>, COM(2010) 615;</w:t>
      </w:r>
      <w:r>
        <w:br/>
        <w:t xml:space="preserve">EGF/2011/004 GR </w:t>
      </w:r>
      <w:r>
        <w:rPr>
          <w:i/>
        </w:rPr>
        <w:t>ALDI Hellas</w:t>
      </w:r>
      <w:r>
        <w:t>, COM(2011) 580;</w:t>
      </w:r>
      <w:r>
        <w:br/>
        <w:t xml:space="preserve">EGF/2014/009 GR </w:t>
      </w:r>
      <w:r>
        <w:rPr>
          <w:i/>
        </w:rPr>
        <w:t>Sprider Stores</w:t>
      </w:r>
      <w:r>
        <w:t>, COM(2014) 620;</w:t>
      </w:r>
      <w:r>
        <w:br/>
        <w:t xml:space="preserve">EGF/2014/013 GR </w:t>
      </w:r>
      <w:r>
        <w:rPr>
          <w:i/>
        </w:rPr>
        <w:t>Odyssefs Fokas</w:t>
      </w:r>
      <w:r>
        <w:t>, COM(2014) 702.</w:t>
      </w:r>
    </w:p>
  </w:footnote>
  <w:footnote w:id="11">
    <w:p>
      <w:pPr>
        <w:pStyle w:val="FootnoteText"/>
      </w:pPr>
      <w:r>
        <w:rPr>
          <w:rStyle w:val="FootnoteReference"/>
        </w:rPr>
        <w:footnoteRef/>
      </w:r>
      <w:r>
        <w:tab/>
        <w:t>Laikposms no 2014. gada janvāra līdz 2015. gada novembrim.</w:t>
      </w:r>
    </w:p>
  </w:footnote>
  <w:footnote w:id="12">
    <w:p>
      <w:pPr>
        <w:pStyle w:val="FootnoteText"/>
      </w:pPr>
      <w:r>
        <w:rPr>
          <w:rStyle w:val="FootnoteReference"/>
        </w:rPr>
        <w:footnoteRef/>
      </w:r>
      <w:r>
        <w:tab/>
        <w:t>Ietverot lielos pārtikas preču veikalus un specializētos pārtikas produktu, dzērienu, tabakas izstrādājumu veikalus.</w:t>
      </w:r>
    </w:p>
  </w:footnote>
  <w:footnote w:id="13">
    <w:p>
      <w:pPr>
        <w:pStyle w:val="FootnoteText"/>
        <w:jc w:val="left"/>
        <w:rPr>
          <w:lang w:val="fr-BE"/>
        </w:rPr>
      </w:pPr>
      <w:r>
        <w:rPr>
          <w:rStyle w:val="FootnoteReference"/>
        </w:rPr>
        <w:footnoteRef/>
      </w:r>
      <w:r>
        <w:tab/>
      </w:r>
      <w:r>
        <w:rPr>
          <w:rStyle w:val="FootnoteReference"/>
        </w:rPr>
        <w:footnoteRef/>
      </w:r>
      <w:r>
        <w:t xml:space="preserve">Avots: </w:t>
      </w:r>
      <w:r>
        <w:rPr>
          <w:i/>
        </w:rPr>
        <w:t>ILO</w:t>
      </w:r>
      <w:r>
        <w:t>.</w:t>
      </w:r>
      <w:r>
        <w:br/>
      </w:r>
      <w:hyperlink r:id="rId1">
        <w:r>
          <w:rPr>
            <w:rStyle w:val="Hyperlink"/>
          </w:rPr>
          <w:t>http://www.ilo.org/global/research/global-reports/global-employment-trends/2014/WCMS_233936/lang--en/index.htm.</w:t>
        </w:r>
      </w:hyperlink>
    </w:p>
  </w:footnote>
  <w:footnote w:id="14">
    <w:p>
      <w:pPr>
        <w:pStyle w:val="FootnoteText"/>
        <w:rPr>
          <w:lang w:val="fr-BE"/>
        </w:rPr>
      </w:pPr>
      <w:r>
        <w:rPr>
          <w:rStyle w:val="FootnoteReference"/>
        </w:rPr>
        <w:footnoteRef/>
      </w:r>
      <w:r>
        <w:tab/>
      </w:r>
      <w:r>
        <w:rPr>
          <w:rStyle w:val="FootnoteReference"/>
        </w:rPr>
        <w:footnoteRef/>
      </w:r>
      <w:r>
        <w:rPr>
          <w:i/>
        </w:rPr>
        <w:t>Eurostat</w:t>
      </w:r>
      <w:r>
        <w:t xml:space="preserve"> kods tsdec450.</w:t>
      </w:r>
    </w:p>
  </w:footnote>
  <w:footnote w:id="15">
    <w:p>
      <w:pPr>
        <w:pStyle w:val="FootnoteText"/>
        <w:rPr>
          <w:lang w:val="fr-BE"/>
        </w:rPr>
      </w:pPr>
      <w:r>
        <w:rPr>
          <w:rStyle w:val="FootnoteReference"/>
        </w:rPr>
        <w:footnoteRef/>
      </w:r>
      <w:r>
        <w:tab/>
      </w:r>
      <w:r>
        <w:rPr>
          <w:rStyle w:val="FootnoteReference"/>
        </w:rPr>
        <w:footnoteRef/>
      </w:r>
      <w:r>
        <w:t xml:space="preserve">Avots: </w:t>
      </w:r>
      <w:r>
        <w:rPr>
          <w:i/>
        </w:rPr>
        <w:t>Eurostat</w:t>
      </w:r>
      <w:r>
        <w:t xml:space="preserve"> [kodi (lfst_r_lfe2emprt) un (lfsi_emp_a)].</w:t>
      </w:r>
    </w:p>
  </w:footnote>
  <w:footnote w:id="16">
    <w:p>
      <w:pPr>
        <w:pStyle w:val="FootnoteText"/>
        <w:rPr>
          <w:lang w:val="fr-BE"/>
        </w:rPr>
      </w:pPr>
      <w:r>
        <w:rPr>
          <w:rStyle w:val="FootnoteReference"/>
        </w:rPr>
        <w:footnoteRef/>
      </w:r>
      <w:r>
        <w:tab/>
      </w:r>
      <w:r>
        <w:rPr>
          <w:rStyle w:val="FootnoteReference"/>
        </w:rPr>
        <w:footnoteRef/>
      </w:r>
      <w:r>
        <w:t xml:space="preserve">Avots: </w:t>
      </w:r>
      <w:r>
        <w:rPr>
          <w:i/>
        </w:rPr>
        <w:t>Eurostat</w:t>
      </w:r>
      <w:r>
        <w:t xml:space="preserve"> kods [lfst_r_lfu2ltu].</w:t>
      </w:r>
    </w:p>
  </w:footnote>
  <w:footnote w:id="17">
    <w:p>
      <w:pPr>
        <w:pStyle w:val="FootnoteText"/>
      </w:pPr>
      <w:r>
        <w:rPr>
          <w:rStyle w:val="FootnoteReference"/>
        </w:rPr>
        <w:footnoteRef/>
      </w:r>
      <w:r>
        <w:tab/>
        <w:t>Likums 4019/2011.</w:t>
      </w:r>
    </w:p>
  </w:footnote>
  <w:footnote w:id="18">
    <w:p>
      <w:pPr>
        <w:pStyle w:val="FootnoteText"/>
      </w:pPr>
      <w:r>
        <w:rPr>
          <w:rStyle w:val="FootnoteReference"/>
        </w:rPr>
        <w:footnoteRef/>
      </w:r>
      <w:r>
        <w:tab/>
      </w:r>
      <w:r>
        <w:rPr>
          <w:i/>
        </w:rPr>
        <w:t>OAED</w:t>
      </w:r>
      <w:r>
        <w:t xml:space="preserve"> ir galvenais instruments, lai īstenotu valdības politiku nodarbinātības jomā. Tā ir publisko tiesību juridiska persona tiešā Darba un sociālo lietu ministrijas pakļautībā.</w:t>
      </w:r>
    </w:p>
  </w:footnote>
  <w:footnote w:id="19">
    <w:p>
      <w:pPr>
        <w:pStyle w:val="FootnoteText"/>
        <w:rPr>
          <w:lang w:val="nn-NO"/>
        </w:rPr>
      </w:pPr>
      <w:r>
        <w:rPr>
          <w:rStyle w:val="FootnoteReference"/>
        </w:rPr>
        <w:footnoteRef/>
      </w:r>
      <w:r>
        <w:tab/>
      </w:r>
      <w:r>
        <w:rPr>
          <w:rStyle w:val="FootnoteReference"/>
        </w:rPr>
        <w:footnoteRef/>
      </w:r>
      <w:r>
        <w:t>OV L 347, 20.12.2013., 884. lpp.</w:t>
      </w:r>
    </w:p>
  </w:footnote>
  <w:footnote w:id="20">
    <w:p>
      <w:pPr>
        <w:pStyle w:val="FootnoteText"/>
        <w:rPr>
          <w:lang w:val="nn-NO"/>
        </w:rPr>
      </w:pPr>
      <w:r>
        <w:rPr>
          <w:rStyle w:val="FootnoteReference"/>
        </w:rPr>
        <w:footnoteRef/>
      </w:r>
      <w:r>
        <w:tab/>
      </w:r>
      <w:r>
        <w:rPr>
          <w:rStyle w:val="FootnoteReference"/>
        </w:rPr>
        <w:footnoteRef/>
      </w:r>
      <w:r>
        <w:t>OV C 373, 20.12.2013., 1. lpp.</w:t>
      </w:r>
    </w:p>
  </w:footnote>
  <w:footnote w:id="21">
    <w:p>
      <w:pPr>
        <w:pStyle w:val="FootnoteText"/>
        <w:rPr>
          <w:lang w:val="nn-NO"/>
        </w:rPr>
      </w:pPr>
      <w:r>
        <w:rPr>
          <w:rStyle w:val="FootnoteReference"/>
        </w:rPr>
        <w:footnoteRef/>
      </w:r>
      <w:r>
        <w:tab/>
      </w:r>
      <w:r>
        <w:rPr>
          <w:rStyle w:val="FootnoteReference"/>
        </w:rPr>
        <w:footnoteRef/>
      </w:r>
      <w:r>
        <w:t>OV L 347, 20.12.2013., 855. lpp.</w:t>
      </w:r>
    </w:p>
  </w:footnote>
  <w:footnote w:id="22">
    <w:p>
      <w:pPr>
        <w:pStyle w:val="FootnoteText"/>
      </w:pPr>
      <w:r>
        <w:rPr>
          <w:rStyle w:val="FootnoteReference"/>
        </w:rPr>
        <w:footnoteRef/>
      </w:r>
      <w:r>
        <w:tab/>
        <w:t>OV C 373, 20.12.2013., 1. lpp.</w:t>
      </w:r>
    </w:p>
  </w:footnote>
  <w:footnote w:id="23">
    <w:p>
      <w:pPr>
        <w:pStyle w:val="FootnoteText"/>
      </w:pPr>
      <w:r>
        <w:rPr>
          <w:rStyle w:val="FootnoteReference"/>
        </w:rPr>
        <w:footnoteRef/>
      </w:r>
      <w:r>
        <w:tab/>
        <w:t>Padomes Regula (ES, Euratom) Nr. 1311/2013, ar ko nosaka daudzgadu finanšu shēmu 2014.–2020. gadam (OV L 347, 20.12.2013., 884. lpp.).</w:t>
      </w:r>
    </w:p>
  </w:footnote>
  <w:footnote w:id="24">
    <w:p>
      <w:pPr>
        <w:pStyle w:val="FootnoteText"/>
        <w:rPr>
          <w:color w:val="FF0000"/>
        </w:rPr>
      </w:pPr>
      <w:r>
        <w:rPr>
          <w:rStyle w:val="FootnoteReference"/>
        </w:rPr>
        <w:sym w:font="Symbol" w:char="F02A"/>
      </w:r>
      <w:r>
        <w:rPr>
          <w:color w:val="FF0000"/>
        </w:rPr>
        <w:tab/>
        <w:t>Date to be inserted by the Parliament before the publication in OJ.</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BB686B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9E463D0"/>
    <w:lvl w:ilvl="0">
      <w:start w:val="1"/>
      <w:numFmt w:val="decimal"/>
      <w:pStyle w:val="ListNumber3"/>
      <w:lvlText w:val="%1."/>
      <w:lvlJc w:val="left"/>
      <w:pPr>
        <w:tabs>
          <w:tab w:val="num" w:pos="926"/>
        </w:tabs>
        <w:ind w:left="926" w:hanging="360"/>
      </w:pPr>
    </w:lvl>
  </w:abstractNum>
  <w:abstractNum w:abstractNumId="2">
    <w:nsid w:val="FFFFFF7F"/>
    <w:multiLevelType w:val="singleLevel"/>
    <w:tmpl w:val="780CFFF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498EC5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332C75C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F90476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C28232A"/>
    <w:lvl w:ilvl="0">
      <w:start w:val="1"/>
      <w:numFmt w:val="decimal"/>
      <w:pStyle w:val="ListNumber"/>
      <w:lvlText w:val="%1."/>
      <w:lvlJc w:val="left"/>
      <w:pPr>
        <w:tabs>
          <w:tab w:val="num" w:pos="360"/>
        </w:tabs>
        <w:ind w:left="360" w:hanging="360"/>
      </w:pPr>
    </w:lvl>
  </w:abstractNum>
  <w:abstractNum w:abstractNumId="7">
    <w:nsid w:val="FFFFFF89"/>
    <w:multiLevelType w:val="singleLevel"/>
    <w:tmpl w:val="45869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num>
  <w:num w:numId="7">
    <w:abstractNumId w:val="6"/>
  </w:num>
  <w:num w:numId="8">
    <w:abstractNumId w:val="2"/>
  </w:num>
  <w:num w:numId="9">
    <w:abstractNumId w:val="1"/>
  </w:num>
  <w:num w:numId="10">
    <w:abstractNumId w:val="0"/>
  </w:num>
  <w:num w:numId="11">
    <w:abstractNumId w:val="12"/>
  </w:num>
  <w:num w:numId="12">
    <w:abstractNumId w:val="12"/>
    <w:lvlOverride w:ilvl="0">
      <w:startOverride w:val="1"/>
    </w:lvlOverride>
  </w:num>
  <w:num w:numId="13">
    <w:abstractNumId w:val="18"/>
  </w:num>
  <w:num w:numId="14">
    <w:abstractNumId w:val="12"/>
  </w:num>
  <w:num w:numId="15">
    <w:abstractNumId w:val="20"/>
  </w:num>
  <w:num w:numId="16">
    <w:abstractNumId w:val="11"/>
  </w:num>
  <w:num w:numId="17">
    <w:abstractNumId w:val="13"/>
  </w:num>
  <w:num w:numId="18">
    <w:abstractNumId w:val="9"/>
  </w:num>
  <w:num w:numId="19">
    <w:abstractNumId w:val="19"/>
  </w:num>
  <w:num w:numId="20">
    <w:abstractNumId w:val="8"/>
  </w:num>
  <w:num w:numId="21">
    <w:abstractNumId w:val="14"/>
  </w:num>
  <w:num w:numId="22">
    <w:abstractNumId w:val="16"/>
  </w:num>
  <w:num w:numId="23">
    <w:abstractNumId w:val="17"/>
  </w:num>
  <w:num w:numId="24">
    <w:abstractNumId w:val="10"/>
  </w:num>
  <w:num w:numId="25">
    <w:abstractNumId w:val="15"/>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75"/>
  <w:hideSpellingErrors/>
  <w:hideGrammaticalErrors/>
  <w:attachedTemplate r:id="rId1"/>
  <w:revisionView w:markup="0"/>
  <w:documentProtection w:edit="forms" w:enforcement="0"/>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4-11 17:10:28"/>
    <w:docVar w:name="DQCResult_Distribution" w:val="0;0"/>
    <w:docVar w:name="DQCResult_DocumentContent" w:val="0;0"/>
    <w:docVar w:name="DQCResult_DocumentSize" w:val="0;0"/>
    <w:docVar w:name="DQCResult_DocumentVersions" w:val="0;0"/>
    <w:docVar w:name="DQCResult_ExistenceOfMacros" w:val="0;0"/>
    <w:docVar w:name="DQCResult_InvalidFootnotes" w:val="0;1"/>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8E9FE97071AD4F13A385D572885BF505"/>
    <w:docVar w:name="LW_CROSSREFERENCE" w:val="&lt;UNUSED&gt;"/>
    <w:docVar w:name="LW_DocType" w:val="COM"/>
    <w:docVar w:name="LW_EMISSION" w:val="14.4.2016"/>
    <w:docVar w:name="LW_EMISSION_ISODATE" w:val="2016-04-14"/>
    <w:docVar w:name="LW_EMISSION_LOCATION" w:val="BRX"/>
    <w:docVar w:name="LW_EMISSION_PREFIX" w:val="Briselē, "/>
    <w:docVar w:name="LW_EMISSION_SUFFIX" w:val="."/>
    <w:docVar w:name="LW_ID_DOCMODEL" w:val="SJ-026"/>
    <w:docVar w:name="LW_ID_DOCSIGNATURE" w:val="SJ-026"/>
    <w:docVar w:name="LW_ID_DOCSTRUCTURE" w:val="COM/PL/ORG"/>
    <w:docVar w:name="LW_ID_DOCTYPE" w:val="SJ-026"/>
    <w:docVar w:name="LW_ID_STATUT" w:val="SJ-026"/>
    <w:docVar w:name="LW_INTERETEEE.CP" w:val="&lt;UNUSED&gt;"/>
    <w:docVar w:name="LW_LANGUE" w:val="LV"/>
    <w:docVar w:name="LW_MARKING" w:val="&lt;UNUSED&gt;"/>
    <w:docVar w:name="LW_NOM.INST" w:val="EIROPAS KOMISIJA"/>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210"/>
    <w:docVar w:name="LW_REF.INTERNE" w:val="&lt;UNUSED&gt;"/>
    <w:docVar w:name="LW_SOUS.TITRE.OBJ.CP" w:val="&lt;UNUSED&gt;"/>
    <w:docVar w:name="LW_STATUT.CP" w:val="Priek\u353?likums"/>
    <w:docVar w:name="LW_SUPERTITRE" w:val="&lt;UNUSED&gt;"/>
    <w:docVar w:name="LW_TITRE.OBJ.CP" w:val="par Eiropas Globaliz\u257?cijas piel\u257?go\u353?an\u257?s fonda izmanto\u353?anu _x000b_(Grie\u311?ijas pieteikums \u8212? EGF/2015/011 GR/Supermarket Larissa)"/>
    <w:docVar w:name="LW_TITRE.OBJ_CONTENT_FMTD" w:val="par Eiropas Globaliz\u257?cijas piel\u257?go\u353?an\u257?s fonda izmanto\u353?anu _x000b_(Grie\u311?ijas pieteikums \u8212? EGF/2015/011 GR/&lt;FMT:italic&gt;Supermarket Larissa&lt;/FMT&gt;)"/>
    <w:docVar w:name="LW_TITRE.OBJ_USEMAINTEXTFORCP" w:val="1"/>
    <w:docVar w:name="LW_TYPE.DOC.CP" w:val="EIROPAS PARLAMENTA UN PADOMES L\u274?MUMS"/>
  </w:docVar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v-LV"/>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v-LV"/>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lv-LV" w:bidi="lv-LV"/>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v-LV"/>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lv-LV"/>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v-LV"/>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3"/>
      </w:numPr>
    </w:pPr>
  </w:style>
  <w:style w:type="paragraph" w:customStyle="1" w:styleId="Tiret1">
    <w:name w:val="Tiret 1"/>
    <w:basedOn w:val="Point1"/>
    <w:pPr>
      <w:numPr>
        <w:numId w:val="14"/>
      </w:numPr>
    </w:pPr>
  </w:style>
  <w:style w:type="paragraph" w:customStyle="1" w:styleId="Tiret2">
    <w:name w:val="Tiret 2"/>
    <w:basedOn w:val="Point2"/>
    <w:pPr>
      <w:numPr>
        <w:numId w:val="15"/>
      </w:numPr>
    </w:pPr>
  </w:style>
  <w:style w:type="paragraph" w:customStyle="1" w:styleId="Tiret3">
    <w:name w:val="Tiret 3"/>
    <w:basedOn w:val="Point3"/>
    <w:pPr>
      <w:numPr>
        <w:numId w:val="16"/>
      </w:numPr>
    </w:pPr>
  </w:style>
  <w:style w:type="paragraph" w:customStyle="1" w:styleId="Tiret4">
    <w:name w:val="Tiret 4"/>
    <w:basedOn w:val="Point4"/>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283066">
      <w:bodyDiv w:val="1"/>
      <w:marLeft w:val="0"/>
      <w:marRight w:val="0"/>
      <w:marTop w:val="0"/>
      <w:marBottom w:val="0"/>
      <w:divBdr>
        <w:top w:val="none" w:sz="0" w:space="0" w:color="auto"/>
        <w:left w:val="none" w:sz="0" w:space="0" w:color="auto"/>
        <w:bottom w:val="none" w:sz="0" w:space="0" w:color="auto"/>
        <w:right w:val="none" w:sz="0" w:space="0" w:color="auto"/>
      </w:divBdr>
    </w:div>
    <w:div w:id="483592220">
      <w:bodyDiv w:val="1"/>
      <w:marLeft w:val="0"/>
      <w:marRight w:val="0"/>
      <w:marTop w:val="0"/>
      <w:marBottom w:val="0"/>
      <w:divBdr>
        <w:top w:val="none" w:sz="0" w:space="0" w:color="auto"/>
        <w:left w:val="none" w:sz="0" w:space="0" w:color="auto"/>
        <w:bottom w:val="none" w:sz="0" w:space="0" w:color="auto"/>
        <w:right w:val="none" w:sz="0" w:space="0" w:color="auto"/>
      </w:divBdr>
    </w:div>
    <w:div w:id="492333814">
      <w:bodyDiv w:val="1"/>
      <w:marLeft w:val="0"/>
      <w:marRight w:val="0"/>
      <w:marTop w:val="0"/>
      <w:marBottom w:val="0"/>
      <w:divBdr>
        <w:top w:val="none" w:sz="0" w:space="0" w:color="auto"/>
        <w:left w:val="none" w:sz="0" w:space="0" w:color="auto"/>
        <w:bottom w:val="none" w:sz="0" w:space="0" w:color="auto"/>
        <w:right w:val="none" w:sz="0" w:space="0" w:color="auto"/>
      </w:divBdr>
    </w:div>
    <w:div w:id="560139115">
      <w:bodyDiv w:val="1"/>
      <w:marLeft w:val="0"/>
      <w:marRight w:val="0"/>
      <w:marTop w:val="0"/>
      <w:marBottom w:val="0"/>
      <w:divBdr>
        <w:top w:val="none" w:sz="0" w:space="0" w:color="auto"/>
        <w:left w:val="none" w:sz="0" w:space="0" w:color="auto"/>
        <w:bottom w:val="none" w:sz="0" w:space="0" w:color="auto"/>
        <w:right w:val="none" w:sz="0" w:space="0" w:color="auto"/>
      </w:divBdr>
    </w:div>
    <w:div w:id="643776604">
      <w:bodyDiv w:val="1"/>
      <w:marLeft w:val="0"/>
      <w:marRight w:val="0"/>
      <w:marTop w:val="0"/>
      <w:marBottom w:val="0"/>
      <w:divBdr>
        <w:top w:val="none" w:sz="0" w:space="0" w:color="auto"/>
        <w:left w:val="none" w:sz="0" w:space="0" w:color="auto"/>
        <w:bottom w:val="none" w:sz="0" w:space="0" w:color="auto"/>
        <w:right w:val="none" w:sz="0" w:space="0" w:color="auto"/>
      </w:divBdr>
    </w:div>
    <w:div w:id="668217216">
      <w:bodyDiv w:val="1"/>
      <w:marLeft w:val="0"/>
      <w:marRight w:val="0"/>
      <w:marTop w:val="0"/>
      <w:marBottom w:val="0"/>
      <w:divBdr>
        <w:top w:val="none" w:sz="0" w:space="0" w:color="auto"/>
        <w:left w:val="none" w:sz="0" w:space="0" w:color="auto"/>
        <w:bottom w:val="none" w:sz="0" w:space="0" w:color="auto"/>
        <w:right w:val="none" w:sz="0" w:space="0" w:color="auto"/>
      </w:divBdr>
    </w:div>
    <w:div w:id="676663619">
      <w:bodyDiv w:val="1"/>
      <w:marLeft w:val="0"/>
      <w:marRight w:val="0"/>
      <w:marTop w:val="0"/>
      <w:marBottom w:val="0"/>
      <w:divBdr>
        <w:top w:val="none" w:sz="0" w:space="0" w:color="auto"/>
        <w:left w:val="none" w:sz="0" w:space="0" w:color="auto"/>
        <w:bottom w:val="none" w:sz="0" w:space="0" w:color="auto"/>
        <w:right w:val="none" w:sz="0" w:space="0" w:color="auto"/>
      </w:divBdr>
    </w:div>
    <w:div w:id="696194753">
      <w:bodyDiv w:val="1"/>
      <w:marLeft w:val="0"/>
      <w:marRight w:val="0"/>
      <w:marTop w:val="0"/>
      <w:marBottom w:val="0"/>
      <w:divBdr>
        <w:top w:val="none" w:sz="0" w:space="0" w:color="auto"/>
        <w:left w:val="none" w:sz="0" w:space="0" w:color="auto"/>
        <w:bottom w:val="none" w:sz="0" w:space="0" w:color="auto"/>
        <w:right w:val="none" w:sz="0" w:space="0" w:color="auto"/>
      </w:divBdr>
    </w:div>
    <w:div w:id="776753268">
      <w:bodyDiv w:val="1"/>
      <w:marLeft w:val="0"/>
      <w:marRight w:val="0"/>
      <w:marTop w:val="0"/>
      <w:marBottom w:val="0"/>
      <w:divBdr>
        <w:top w:val="none" w:sz="0" w:space="0" w:color="auto"/>
        <w:left w:val="none" w:sz="0" w:space="0" w:color="auto"/>
        <w:bottom w:val="none" w:sz="0" w:space="0" w:color="auto"/>
        <w:right w:val="none" w:sz="0" w:space="0" w:color="auto"/>
      </w:divBdr>
    </w:div>
    <w:div w:id="929968872">
      <w:bodyDiv w:val="1"/>
      <w:marLeft w:val="0"/>
      <w:marRight w:val="0"/>
      <w:marTop w:val="0"/>
      <w:marBottom w:val="0"/>
      <w:divBdr>
        <w:top w:val="none" w:sz="0" w:space="0" w:color="auto"/>
        <w:left w:val="none" w:sz="0" w:space="0" w:color="auto"/>
        <w:bottom w:val="none" w:sz="0" w:space="0" w:color="auto"/>
        <w:right w:val="none" w:sz="0" w:space="0" w:color="auto"/>
      </w:divBdr>
    </w:div>
    <w:div w:id="1078016921">
      <w:bodyDiv w:val="1"/>
      <w:marLeft w:val="0"/>
      <w:marRight w:val="0"/>
      <w:marTop w:val="0"/>
      <w:marBottom w:val="0"/>
      <w:divBdr>
        <w:top w:val="none" w:sz="0" w:space="0" w:color="auto"/>
        <w:left w:val="none" w:sz="0" w:space="0" w:color="auto"/>
        <w:bottom w:val="none" w:sz="0" w:space="0" w:color="auto"/>
        <w:right w:val="none" w:sz="0" w:space="0" w:color="auto"/>
      </w:divBdr>
    </w:div>
    <w:div w:id="1136293205">
      <w:bodyDiv w:val="1"/>
      <w:marLeft w:val="0"/>
      <w:marRight w:val="0"/>
      <w:marTop w:val="0"/>
      <w:marBottom w:val="0"/>
      <w:divBdr>
        <w:top w:val="none" w:sz="0" w:space="0" w:color="auto"/>
        <w:left w:val="none" w:sz="0" w:space="0" w:color="auto"/>
        <w:bottom w:val="none" w:sz="0" w:space="0" w:color="auto"/>
        <w:right w:val="none" w:sz="0" w:space="0" w:color="auto"/>
      </w:divBdr>
    </w:div>
    <w:div w:id="1203060159">
      <w:bodyDiv w:val="1"/>
      <w:marLeft w:val="0"/>
      <w:marRight w:val="0"/>
      <w:marTop w:val="0"/>
      <w:marBottom w:val="0"/>
      <w:divBdr>
        <w:top w:val="none" w:sz="0" w:space="0" w:color="auto"/>
        <w:left w:val="none" w:sz="0" w:space="0" w:color="auto"/>
        <w:bottom w:val="none" w:sz="0" w:space="0" w:color="auto"/>
        <w:right w:val="none" w:sz="0" w:space="0" w:color="auto"/>
      </w:divBdr>
    </w:div>
    <w:div w:id="1433208756">
      <w:bodyDiv w:val="1"/>
      <w:marLeft w:val="0"/>
      <w:marRight w:val="0"/>
      <w:marTop w:val="0"/>
      <w:marBottom w:val="0"/>
      <w:divBdr>
        <w:top w:val="none" w:sz="0" w:space="0" w:color="auto"/>
        <w:left w:val="none" w:sz="0" w:space="0" w:color="auto"/>
        <w:bottom w:val="none" w:sz="0" w:space="0" w:color="auto"/>
        <w:right w:val="none" w:sz="0" w:space="0" w:color="auto"/>
      </w:divBdr>
    </w:div>
    <w:div w:id="1481577567">
      <w:bodyDiv w:val="1"/>
      <w:marLeft w:val="0"/>
      <w:marRight w:val="0"/>
      <w:marTop w:val="0"/>
      <w:marBottom w:val="0"/>
      <w:divBdr>
        <w:top w:val="none" w:sz="0" w:space="0" w:color="auto"/>
        <w:left w:val="none" w:sz="0" w:space="0" w:color="auto"/>
        <w:bottom w:val="none" w:sz="0" w:space="0" w:color="auto"/>
        <w:right w:val="none" w:sz="0" w:space="0" w:color="auto"/>
      </w:divBdr>
    </w:div>
    <w:div w:id="1515994892">
      <w:bodyDiv w:val="1"/>
      <w:marLeft w:val="0"/>
      <w:marRight w:val="0"/>
      <w:marTop w:val="0"/>
      <w:marBottom w:val="0"/>
      <w:divBdr>
        <w:top w:val="none" w:sz="0" w:space="0" w:color="auto"/>
        <w:left w:val="none" w:sz="0" w:space="0" w:color="auto"/>
        <w:bottom w:val="none" w:sz="0" w:space="0" w:color="auto"/>
        <w:right w:val="none" w:sz="0" w:space="0" w:color="auto"/>
      </w:divBdr>
    </w:div>
    <w:div w:id="1566329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ilo.org/global/research/global-reports/global-employment-trends/2014/WCMS_233936/lang--en/index.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net1.cec.eu.int\EMPL\F\F2\1.10.11.10%20EGF\05%20Individual%20cases\EGF_2014_001%20EL%20Nutriart\02%20Assessment\Hosehold%20consuption%20EL%20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unemployment!$A$5</c:f>
              <c:strCache>
                <c:ptCount val="1"/>
                <c:pt idx="0">
                  <c:v>EU-28</c:v>
                </c:pt>
              </c:strCache>
            </c:strRef>
          </c:tx>
          <c:spPr>
            <a:ln>
              <a:prstDash val="sysDash"/>
            </a:ln>
          </c:spPr>
          <c:marker>
            <c:symbol val="none"/>
          </c:marker>
          <c:cat>
            <c:numRef>
              <c:f>unemployment!$B$4:$I$4</c:f>
              <c:numCache>
                <c:formatCode>General</c:formatCode>
                <c:ptCount val="8"/>
                <c:pt idx="0">
                  <c:v>2008</c:v>
                </c:pt>
                <c:pt idx="1">
                  <c:v>2009</c:v>
                </c:pt>
                <c:pt idx="2">
                  <c:v>2010</c:v>
                </c:pt>
                <c:pt idx="3">
                  <c:v>2011</c:v>
                </c:pt>
                <c:pt idx="4">
                  <c:v>2012</c:v>
                </c:pt>
                <c:pt idx="5">
                  <c:v>2013</c:v>
                </c:pt>
                <c:pt idx="6">
                  <c:v>2014</c:v>
                </c:pt>
                <c:pt idx="7">
                  <c:v>2015</c:v>
                </c:pt>
              </c:numCache>
            </c:numRef>
          </c:cat>
          <c:val>
            <c:numRef>
              <c:f>unemployment!$B$5:$I$5</c:f>
              <c:numCache>
                <c:formatCode>General</c:formatCode>
                <c:ptCount val="8"/>
                <c:pt idx="0">
                  <c:v>7</c:v>
                </c:pt>
                <c:pt idx="1">
                  <c:v>9</c:v>
                </c:pt>
                <c:pt idx="2">
                  <c:v>9.6</c:v>
                </c:pt>
                <c:pt idx="3">
                  <c:v>9.6999999999999993</c:v>
                </c:pt>
                <c:pt idx="4">
                  <c:v>10.5</c:v>
                </c:pt>
                <c:pt idx="5">
                  <c:v>10.9</c:v>
                </c:pt>
                <c:pt idx="6">
                  <c:v>10.199999999999999</c:v>
                </c:pt>
                <c:pt idx="7">
                  <c:v>9.4</c:v>
                </c:pt>
              </c:numCache>
            </c:numRef>
          </c:val>
          <c:smooth val="0"/>
        </c:ser>
        <c:ser>
          <c:idx val="1"/>
          <c:order val="1"/>
          <c:tx>
            <c:strRef>
              <c:f>unemployment!$A$6</c:f>
              <c:strCache>
                <c:ptCount val="1"/>
                <c:pt idx="0">
                  <c:v>Greece</c:v>
                </c:pt>
              </c:strCache>
            </c:strRef>
          </c:tx>
          <c:marker>
            <c:symbol val="none"/>
          </c:marker>
          <c:cat>
            <c:numRef>
              <c:f>unemployment!$B$4:$I$4</c:f>
              <c:numCache>
                <c:formatCode>General</c:formatCode>
                <c:ptCount val="8"/>
                <c:pt idx="0">
                  <c:v>2008</c:v>
                </c:pt>
                <c:pt idx="1">
                  <c:v>2009</c:v>
                </c:pt>
                <c:pt idx="2">
                  <c:v>2010</c:v>
                </c:pt>
                <c:pt idx="3">
                  <c:v>2011</c:v>
                </c:pt>
                <c:pt idx="4">
                  <c:v>2012</c:v>
                </c:pt>
                <c:pt idx="5">
                  <c:v>2013</c:v>
                </c:pt>
                <c:pt idx="6">
                  <c:v>2014</c:v>
                </c:pt>
                <c:pt idx="7">
                  <c:v>2015</c:v>
                </c:pt>
              </c:numCache>
            </c:numRef>
          </c:cat>
          <c:val>
            <c:numRef>
              <c:f>unemployment!$B$6:$I$6</c:f>
              <c:numCache>
                <c:formatCode>General</c:formatCode>
                <c:ptCount val="8"/>
                <c:pt idx="0">
                  <c:v>7.8</c:v>
                </c:pt>
                <c:pt idx="1">
                  <c:v>9.6</c:v>
                </c:pt>
                <c:pt idx="2">
                  <c:v>12.7</c:v>
                </c:pt>
                <c:pt idx="3">
                  <c:v>17.899999999999999</c:v>
                </c:pt>
                <c:pt idx="4">
                  <c:v>24.5</c:v>
                </c:pt>
                <c:pt idx="5">
                  <c:v>27.5</c:v>
                </c:pt>
                <c:pt idx="6">
                  <c:v>26.5</c:v>
                </c:pt>
                <c:pt idx="7">
                  <c:v>25.6</c:v>
                </c:pt>
              </c:numCache>
            </c:numRef>
          </c:val>
          <c:smooth val="0"/>
        </c:ser>
        <c:dLbls>
          <c:showLegendKey val="0"/>
          <c:showVal val="0"/>
          <c:showCatName val="0"/>
          <c:showSerName val="0"/>
          <c:showPercent val="0"/>
          <c:showBubbleSize val="0"/>
        </c:dLbls>
        <c:marker val="1"/>
        <c:smooth val="0"/>
        <c:axId val="81362944"/>
        <c:axId val="81364480"/>
      </c:lineChart>
      <c:catAx>
        <c:axId val="81362944"/>
        <c:scaling>
          <c:orientation val="minMax"/>
        </c:scaling>
        <c:delete val="0"/>
        <c:axPos val="b"/>
        <c:numFmt formatCode="General" sourceLinked="1"/>
        <c:majorTickMark val="out"/>
        <c:minorTickMark val="none"/>
        <c:tickLblPos val="nextTo"/>
        <c:crossAx val="81364480"/>
        <c:crosses val="autoZero"/>
        <c:auto val="1"/>
        <c:lblAlgn val="ctr"/>
        <c:lblOffset val="100"/>
        <c:noMultiLvlLbl val="0"/>
      </c:catAx>
      <c:valAx>
        <c:axId val="81364480"/>
        <c:scaling>
          <c:orientation val="minMax"/>
        </c:scaling>
        <c:delete val="0"/>
        <c:axPos val="l"/>
        <c:majorGridlines/>
        <c:numFmt formatCode="General" sourceLinked="1"/>
        <c:majorTickMark val="out"/>
        <c:minorTickMark val="none"/>
        <c:tickLblPos val="nextTo"/>
        <c:crossAx val="81362944"/>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9663ED-E180-45B1-9591-A82EEAFFC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15</Pages>
  <Words>3587</Words>
  <Characters>23466</Characters>
  <Application>Microsoft Office Word</Application>
  <DocSecurity>0</DocSecurity>
  <Lines>617</Lines>
  <Paragraphs>342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26711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17</cp:revision>
  <cp:lastPrinted>2016-02-19T09:57:00Z</cp:lastPrinted>
  <dcterms:created xsi:type="dcterms:W3CDTF">2016-04-11T15:04:00Z</dcterms:created>
  <dcterms:modified xsi:type="dcterms:W3CDTF">2016-04-11T15:10:00Z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20140113</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