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5BE" w:rsidRDefault="007D647F">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2676AFF92194FD0969A8A528F746457" style="width:450.7pt;height:320.75pt">
            <v:imagedata r:id="rId9" o:title=""/>
          </v:shape>
        </w:pict>
      </w:r>
    </w:p>
    <w:bookmarkEnd w:id="0"/>
    <w:p w:rsidR="005035BE" w:rsidRDefault="005035BE">
      <w:pPr>
        <w:rPr>
          <w:noProof/>
        </w:rPr>
        <w:sectPr w:rsidR="005035BE">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bookmarkStart w:id="1" w:name="_Toc450906678" w:displacedByCustomXml="next"/>
    <w:bookmarkStart w:id="2" w:name="_Toc450906549" w:displacedByCustomXml="next"/>
    <w:sdt>
      <w:sdtPr>
        <w:rPr>
          <w:b w:val="0"/>
          <w:caps/>
          <w:noProof/>
          <w:sz w:val="23"/>
          <w:szCs w:val="23"/>
        </w:rPr>
        <w:id w:val="-1259133565"/>
        <w:docPartObj>
          <w:docPartGallery w:val="Table of Contents"/>
          <w:docPartUnique/>
        </w:docPartObj>
      </w:sdtPr>
      <w:sdtEndPr>
        <w:rPr>
          <w:bCs/>
        </w:rPr>
      </w:sdtEndPr>
      <w:sdtContent>
        <w:p w:rsidR="005035BE" w:rsidRDefault="007D647F">
          <w:pPr>
            <w:pStyle w:val="TOCHeading"/>
            <w:spacing w:before="0"/>
            <w:rPr>
              <w:b w:val="0"/>
              <w:noProof/>
              <w:sz w:val="23"/>
              <w:szCs w:val="23"/>
            </w:rPr>
          </w:pPr>
          <w:r>
            <w:rPr>
              <w:noProof/>
              <w:sz w:val="23"/>
            </w:rPr>
            <w:t>Saturs</w:t>
          </w:r>
        </w:p>
        <w:p w:rsidR="005035BE" w:rsidRDefault="007D647F">
          <w:pPr>
            <w:pStyle w:val="TOC1"/>
            <w:rPr>
              <w:rFonts w:asciiTheme="minorHAnsi" w:eastAsiaTheme="minorEastAsia" w:hAnsiTheme="minorHAnsi" w:cstheme="minorBidi"/>
              <w:caps w:val="0"/>
              <w:noProof/>
              <w:sz w:val="22"/>
              <w:szCs w:val="22"/>
              <w:lang w:bidi="ar-SA"/>
            </w:rPr>
          </w:pPr>
          <w:r>
            <w:rPr>
              <w:noProof/>
              <w:sz w:val="23"/>
              <w:szCs w:val="23"/>
            </w:rPr>
            <w:fldChar w:fldCharType="begin"/>
          </w:r>
          <w:r>
            <w:rPr>
              <w:noProof/>
              <w:sz w:val="23"/>
              <w:szCs w:val="23"/>
            </w:rPr>
            <w:instrText xml:space="preserve"> TOC \o "1-3" \h \z \u </w:instrText>
          </w:r>
          <w:r>
            <w:rPr>
              <w:noProof/>
              <w:sz w:val="23"/>
              <w:szCs w:val="23"/>
            </w:rPr>
            <w:fldChar w:fldCharType="separate"/>
          </w:r>
          <w:hyperlink w:anchor="_Toc472591162" w:history="1">
            <w:r>
              <w:rPr>
                <w:rStyle w:val="Hyperlink"/>
                <w:noProof/>
              </w:rPr>
              <w:t>1.</w:t>
            </w:r>
            <w:r>
              <w:rPr>
                <w:rFonts w:asciiTheme="minorHAnsi" w:eastAsiaTheme="minorEastAsia" w:hAnsiTheme="minorHAnsi" w:cstheme="minorBidi"/>
                <w:caps w:val="0"/>
                <w:noProof/>
                <w:sz w:val="22"/>
                <w:szCs w:val="22"/>
                <w:lang w:bidi="ar-SA"/>
              </w:rPr>
              <w:tab/>
            </w:r>
            <w:r>
              <w:rPr>
                <w:rStyle w:val="Hyperlink"/>
                <w:noProof/>
              </w:rPr>
              <w:t>IEVADS</w:t>
            </w:r>
            <w:r>
              <w:rPr>
                <w:noProof/>
                <w:webHidden/>
              </w:rPr>
              <w:tab/>
            </w:r>
            <w:r>
              <w:rPr>
                <w:noProof/>
                <w:webHidden/>
              </w:rPr>
              <w:fldChar w:fldCharType="begin"/>
            </w:r>
            <w:r>
              <w:rPr>
                <w:noProof/>
                <w:webHidden/>
              </w:rPr>
              <w:instrText xml:space="preserve"> PAGEREF _Toc472591162 \h </w:instrText>
            </w:r>
            <w:r>
              <w:rPr>
                <w:noProof/>
                <w:webHidden/>
              </w:rPr>
            </w:r>
            <w:r>
              <w:rPr>
                <w:noProof/>
                <w:webHidden/>
              </w:rPr>
              <w:fldChar w:fldCharType="separate"/>
            </w:r>
            <w:r>
              <w:rPr>
                <w:noProof/>
                <w:webHidden/>
              </w:rPr>
              <w:t>4</w:t>
            </w:r>
            <w:r>
              <w:rPr>
                <w:noProof/>
                <w:webHidden/>
              </w:rPr>
              <w:fldChar w:fldCharType="end"/>
            </w:r>
          </w:hyperlink>
        </w:p>
        <w:p w:rsidR="005035BE" w:rsidRDefault="007D647F">
          <w:pPr>
            <w:pStyle w:val="TOC2"/>
            <w:tabs>
              <w:tab w:val="left" w:pos="1077"/>
            </w:tabs>
            <w:rPr>
              <w:rFonts w:asciiTheme="minorHAnsi" w:eastAsiaTheme="minorEastAsia" w:hAnsiTheme="minorHAnsi" w:cstheme="minorBidi"/>
              <w:noProof/>
              <w:sz w:val="22"/>
              <w:szCs w:val="22"/>
              <w:lang w:bidi="ar-SA"/>
            </w:rPr>
          </w:pPr>
          <w:hyperlink w:anchor="_Toc472591163" w:history="1">
            <w:r>
              <w:rPr>
                <w:rStyle w:val="Hyperlink"/>
                <w:noProof/>
              </w:rPr>
              <w:t>1.1.</w:t>
            </w:r>
            <w:r>
              <w:rPr>
                <w:rFonts w:asciiTheme="minorHAnsi" w:eastAsiaTheme="minorEastAsia" w:hAnsiTheme="minorHAnsi" w:cstheme="minorBidi"/>
                <w:noProof/>
                <w:sz w:val="22"/>
                <w:szCs w:val="22"/>
                <w:lang w:bidi="ar-SA"/>
              </w:rPr>
              <w:tab/>
            </w:r>
            <w:r>
              <w:rPr>
                <w:rStyle w:val="Hyperlink"/>
                <w:noProof/>
              </w:rPr>
              <w:t>Direktīvas mērķi un tvērums</w:t>
            </w:r>
            <w:r>
              <w:rPr>
                <w:noProof/>
                <w:webHidden/>
              </w:rPr>
              <w:tab/>
            </w:r>
            <w:r>
              <w:rPr>
                <w:noProof/>
                <w:webHidden/>
              </w:rPr>
              <w:fldChar w:fldCharType="begin"/>
            </w:r>
            <w:r>
              <w:rPr>
                <w:noProof/>
                <w:webHidden/>
              </w:rPr>
              <w:instrText xml:space="preserve"> PAGEREF _Toc472591163 \h </w:instrText>
            </w:r>
            <w:r>
              <w:rPr>
                <w:noProof/>
                <w:webHidden/>
              </w:rPr>
            </w:r>
            <w:r>
              <w:rPr>
                <w:noProof/>
                <w:webHidden/>
              </w:rPr>
              <w:fldChar w:fldCharType="separate"/>
            </w:r>
            <w:r>
              <w:rPr>
                <w:noProof/>
                <w:webHidden/>
              </w:rPr>
              <w:t>4</w:t>
            </w:r>
            <w:r>
              <w:rPr>
                <w:noProof/>
                <w:webHidden/>
              </w:rPr>
              <w:fldChar w:fldCharType="end"/>
            </w:r>
          </w:hyperlink>
        </w:p>
        <w:p w:rsidR="005035BE" w:rsidRDefault="007D647F">
          <w:pPr>
            <w:pStyle w:val="TOC2"/>
            <w:tabs>
              <w:tab w:val="left" w:pos="1077"/>
            </w:tabs>
            <w:rPr>
              <w:rFonts w:asciiTheme="minorHAnsi" w:eastAsiaTheme="minorEastAsia" w:hAnsiTheme="minorHAnsi" w:cstheme="minorBidi"/>
              <w:noProof/>
              <w:sz w:val="22"/>
              <w:szCs w:val="22"/>
              <w:lang w:bidi="ar-SA"/>
            </w:rPr>
          </w:pPr>
          <w:hyperlink w:anchor="_Toc472591164" w:history="1">
            <w:r>
              <w:rPr>
                <w:rStyle w:val="Hyperlink"/>
                <w:noProof/>
              </w:rPr>
              <w:t>1.2.</w:t>
            </w:r>
            <w:r>
              <w:rPr>
                <w:rFonts w:asciiTheme="minorHAnsi" w:eastAsiaTheme="minorEastAsia" w:hAnsiTheme="minorHAnsi" w:cstheme="minorBidi"/>
                <w:noProof/>
                <w:sz w:val="22"/>
                <w:szCs w:val="22"/>
                <w:lang w:bidi="ar-SA"/>
              </w:rPr>
              <w:tab/>
            </w:r>
            <w:r>
              <w:rPr>
                <w:rStyle w:val="Hyperlink"/>
                <w:noProof/>
              </w:rPr>
              <w:t>Ziņojuma mērķis un metodika</w:t>
            </w:r>
            <w:r>
              <w:rPr>
                <w:noProof/>
                <w:webHidden/>
              </w:rPr>
              <w:tab/>
            </w:r>
            <w:r>
              <w:rPr>
                <w:noProof/>
                <w:webHidden/>
              </w:rPr>
              <w:fldChar w:fldCharType="begin"/>
            </w:r>
            <w:r>
              <w:rPr>
                <w:noProof/>
                <w:webHidden/>
              </w:rPr>
              <w:instrText xml:space="preserve"> PAGEREF _Toc472591164 \h </w:instrText>
            </w:r>
            <w:r>
              <w:rPr>
                <w:noProof/>
                <w:webHidden/>
              </w:rPr>
            </w:r>
            <w:r>
              <w:rPr>
                <w:noProof/>
                <w:webHidden/>
              </w:rPr>
              <w:fldChar w:fldCharType="separate"/>
            </w:r>
            <w:r>
              <w:rPr>
                <w:noProof/>
                <w:webHidden/>
              </w:rPr>
              <w:t>6</w:t>
            </w:r>
            <w:r>
              <w:rPr>
                <w:noProof/>
                <w:webHidden/>
              </w:rPr>
              <w:fldChar w:fldCharType="end"/>
            </w:r>
          </w:hyperlink>
        </w:p>
        <w:p w:rsidR="005035BE" w:rsidRDefault="007D647F">
          <w:pPr>
            <w:pStyle w:val="TOC1"/>
            <w:rPr>
              <w:rFonts w:asciiTheme="minorHAnsi" w:eastAsiaTheme="minorEastAsia" w:hAnsiTheme="minorHAnsi" w:cstheme="minorBidi"/>
              <w:caps w:val="0"/>
              <w:noProof/>
              <w:sz w:val="22"/>
              <w:szCs w:val="22"/>
              <w:lang w:bidi="ar-SA"/>
            </w:rPr>
          </w:pPr>
          <w:hyperlink w:anchor="_Toc472591165" w:history="1">
            <w:r>
              <w:rPr>
                <w:rStyle w:val="Hyperlink"/>
                <w:noProof/>
              </w:rPr>
              <w:t>2.</w:t>
            </w:r>
            <w:r>
              <w:rPr>
                <w:rFonts w:asciiTheme="minorHAnsi" w:eastAsiaTheme="minorEastAsia" w:hAnsiTheme="minorHAnsi" w:cstheme="minorBidi"/>
                <w:caps w:val="0"/>
                <w:noProof/>
                <w:sz w:val="22"/>
                <w:szCs w:val="22"/>
                <w:lang w:bidi="ar-SA"/>
              </w:rPr>
              <w:tab/>
            </w:r>
            <w:r>
              <w:rPr>
                <w:rStyle w:val="Hyperlink"/>
                <w:noProof/>
              </w:rPr>
              <w:t>TRANSPONĒŠANAS PASĀKUMI</w:t>
            </w:r>
            <w:r>
              <w:rPr>
                <w:noProof/>
                <w:webHidden/>
              </w:rPr>
              <w:tab/>
            </w:r>
            <w:r>
              <w:rPr>
                <w:noProof/>
                <w:webHidden/>
              </w:rPr>
              <w:fldChar w:fldCharType="begin"/>
            </w:r>
            <w:r>
              <w:rPr>
                <w:noProof/>
                <w:webHidden/>
              </w:rPr>
              <w:instrText xml:space="preserve"> PAGEREF _Toc472591165 \h </w:instrText>
            </w:r>
            <w:r>
              <w:rPr>
                <w:noProof/>
                <w:webHidden/>
              </w:rPr>
            </w:r>
            <w:r>
              <w:rPr>
                <w:noProof/>
                <w:webHidden/>
              </w:rPr>
              <w:fldChar w:fldCharType="separate"/>
            </w:r>
            <w:r>
              <w:rPr>
                <w:noProof/>
                <w:webHidden/>
              </w:rPr>
              <w:t>8</w:t>
            </w:r>
            <w:r>
              <w:rPr>
                <w:noProof/>
                <w:webHidden/>
              </w:rPr>
              <w:fldChar w:fldCharType="end"/>
            </w:r>
          </w:hyperlink>
        </w:p>
        <w:p w:rsidR="005035BE" w:rsidRDefault="007D647F">
          <w:pPr>
            <w:pStyle w:val="TOC2"/>
            <w:tabs>
              <w:tab w:val="left" w:pos="1077"/>
            </w:tabs>
            <w:rPr>
              <w:rFonts w:asciiTheme="minorHAnsi" w:eastAsiaTheme="minorEastAsia" w:hAnsiTheme="minorHAnsi" w:cstheme="minorBidi"/>
              <w:noProof/>
              <w:sz w:val="22"/>
              <w:szCs w:val="22"/>
              <w:lang w:bidi="ar-SA"/>
            </w:rPr>
          </w:pPr>
          <w:hyperlink w:anchor="_Toc472591166" w:history="1">
            <w:r>
              <w:rPr>
                <w:rStyle w:val="Hyperlink"/>
                <w:noProof/>
              </w:rPr>
              <w:t>2.1.</w:t>
            </w:r>
            <w:r>
              <w:rPr>
                <w:rFonts w:asciiTheme="minorHAnsi" w:eastAsiaTheme="minorEastAsia" w:hAnsiTheme="minorHAnsi" w:cstheme="minorBidi"/>
                <w:noProof/>
                <w:sz w:val="22"/>
                <w:szCs w:val="22"/>
                <w:lang w:bidi="ar-SA"/>
              </w:rPr>
              <w:tab/>
            </w:r>
            <w:r>
              <w:rPr>
                <w:rStyle w:val="Hyperlink"/>
                <w:noProof/>
              </w:rPr>
              <w:t>Nodarījumu izmeklēšana un saukšana pie kriminālatbildības par tiem (2.–9. pants un 11.–17. </w:t>
            </w:r>
            <w:r>
              <w:rPr>
                <w:rStyle w:val="Hyperlink"/>
                <w:noProof/>
              </w:rPr>
              <w:t>pants)</w:t>
            </w:r>
            <w:r>
              <w:rPr>
                <w:noProof/>
                <w:webHidden/>
              </w:rPr>
              <w:tab/>
            </w:r>
            <w:r>
              <w:rPr>
                <w:noProof/>
                <w:webHidden/>
              </w:rPr>
              <w:fldChar w:fldCharType="begin"/>
            </w:r>
            <w:r>
              <w:rPr>
                <w:noProof/>
                <w:webHidden/>
              </w:rPr>
              <w:instrText xml:space="preserve"> PAGEREF _Toc472591166 \h </w:instrText>
            </w:r>
            <w:r>
              <w:rPr>
                <w:noProof/>
                <w:webHidden/>
              </w:rPr>
            </w:r>
            <w:r>
              <w:rPr>
                <w:noProof/>
                <w:webHidden/>
              </w:rPr>
              <w:fldChar w:fldCharType="separate"/>
            </w:r>
            <w:r>
              <w:rPr>
                <w:noProof/>
                <w:webHidden/>
              </w:rPr>
              <w:t>8</w:t>
            </w:r>
            <w:r>
              <w:rPr>
                <w:noProof/>
                <w:webHidden/>
              </w:rPr>
              <w:fldChar w:fldCharType="end"/>
            </w:r>
          </w:hyperlink>
        </w:p>
        <w:p w:rsidR="005035BE" w:rsidRDefault="007D647F">
          <w:pPr>
            <w:pStyle w:val="TOC3"/>
            <w:tabs>
              <w:tab w:val="left" w:pos="1916"/>
            </w:tabs>
            <w:rPr>
              <w:rFonts w:asciiTheme="minorHAnsi" w:eastAsiaTheme="minorEastAsia" w:hAnsiTheme="minorHAnsi" w:cstheme="minorBidi"/>
              <w:noProof/>
              <w:sz w:val="22"/>
              <w:szCs w:val="22"/>
              <w:lang w:bidi="ar-SA"/>
            </w:rPr>
          </w:pPr>
          <w:hyperlink w:anchor="_Toc472591167" w:history="1">
            <w:r>
              <w:rPr>
                <w:rStyle w:val="Hyperlink"/>
                <w:noProof/>
                <w:lang w:val="en-GB"/>
              </w:rPr>
              <w:t>2.1.1.</w:t>
            </w:r>
            <w:r>
              <w:rPr>
                <w:rFonts w:asciiTheme="minorHAnsi" w:eastAsiaTheme="minorEastAsia" w:hAnsiTheme="minorHAnsi" w:cstheme="minorBidi"/>
                <w:noProof/>
                <w:sz w:val="22"/>
                <w:szCs w:val="22"/>
                <w:lang w:bidi="ar-SA"/>
              </w:rPr>
              <w:tab/>
            </w:r>
            <w:r>
              <w:rPr>
                <w:rStyle w:val="Hyperlink"/>
                <w:noProof/>
              </w:rPr>
              <w:t>Definīcijas (2. pants)</w:t>
            </w:r>
            <w:r>
              <w:rPr>
                <w:noProof/>
                <w:webHidden/>
              </w:rPr>
              <w:tab/>
            </w:r>
            <w:r>
              <w:rPr>
                <w:noProof/>
                <w:webHidden/>
              </w:rPr>
              <w:fldChar w:fldCharType="begin"/>
            </w:r>
            <w:r>
              <w:rPr>
                <w:noProof/>
                <w:webHidden/>
              </w:rPr>
              <w:instrText xml:space="preserve"> PAGEREF _Toc472591167 \h </w:instrText>
            </w:r>
            <w:r>
              <w:rPr>
                <w:noProof/>
                <w:webHidden/>
              </w:rPr>
            </w:r>
            <w:r>
              <w:rPr>
                <w:noProof/>
                <w:webHidden/>
              </w:rPr>
              <w:fldChar w:fldCharType="separate"/>
            </w:r>
            <w:r>
              <w:rPr>
                <w:noProof/>
                <w:webHidden/>
              </w:rPr>
              <w:t>8</w:t>
            </w:r>
            <w:r>
              <w:rPr>
                <w:noProof/>
                <w:webHidden/>
              </w:rPr>
              <w:fldChar w:fldCharType="end"/>
            </w:r>
          </w:hyperlink>
        </w:p>
        <w:p w:rsidR="005035BE" w:rsidRDefault="007D647F">
          <w:pPr>
            <w:pStyle w:val="TOC3"/>
            <w:tabs>
              <w:tab w:val="left" w:pos="1916"/>
            </w:tabs>
            <w:rPr>
              <w:rFonts w:asciiTheme="minorHAnsi" w:eastAsiaTheme="minorEastAsia" w:hAnsiTheme="minorHAnsi" w:cstheme="minorBidi"/>
              <w:noProof/>
              <w:sz w:val="22"/>
              <w:szCs w:val="22"/>
              <w:lang w:bidi="ar-SA"/>
            </w:rPr>
          </w:pPr>
          <w:hyperlink w:anchor="_Toc472591168" w:history="1">
            <w:r>
              <w:rPr>
                <w:rStyle w:val="Hyperlink"/>
                <w:noProof/>
                <w:lang w:val="en-GB"/>
              </w:rPr>
              <w:t>2.1.2.</w:t>
            </w:r>
            <w:r>
              <w:rPr>
                <w:rFonts w:asciiTheme="minorHAnsi" w:eastAsiaTheme="minorEastAsia" w:hAnsiTheme="minorHAnsi" w:cstheme="minorBidi"/>
                <w:noProof/>
                <w:sz w:val="22"/>
                <w:szCs w:val="22"/>
                <w:lang w:bidi="ar-SA"/>
              </w:rPr>
              <w:tab/>
            </w:r>
            <w:r>
              <w:rPr>
                <w:rStyle w:val="Hyperlink"/>
                <w:noProof/>
              </w:rPr>
              <w:t>Nodarījumi saistībā ar seksuālu vardarbību (3. pants)</w:t>
            </w:r>
            <w:r>
              <w:rPr>
                <w:noProof/>
                <w:webHidden/>
              </w:rPr>
              <w:tab/>
            </w:r>
            <w:r>
              <w:rPr>
                <w:noProof/>
                <w:webHidden/>
              </w:rPr>
              <w:fldChar w:fldCharType="begin"/>
            </w:r>
            <w:r>
              <w:rPr>
                <w:noProof/>
                <w:webHidden/>
              </w:rPr>
              <w:instrText xml:space="preserve"> PAGEREF _Toc472591168 \h </w:instrText>
            </w:r>
            <w:r>
              <w:rPr>
                <w:noProof/>
                <w:webHidden/>
              </w:rPr>
            </w:r>
            <w:r>
              <w:rPr>
                <w:noProof/>
                <w:webHidden/>
              </w:rPr>
              <w:fldChar w:fldCharType="separate"/>
            </w:r>
            <w:r>
              <w:rPr>
                <w:noProof/>
                <w:webHidden/>
              </w:rPr>
              <w:t>8</w:t>
            </w:r>
            <w:r>
              <w:rPr>
                <w:noProof/>
                <w:webHidden/>
              </w:rPr>
              <w:fldChar w:fldCharType="end"/>
            </w:r>
          </w:hyperlink>
        </w:p>
        <w:p w:rsidR="005035BE" w:rsidRDefault="007D647F">
          <w:pPr>
            <w:pStyle w:val="TOC3"/>
            <w:tabs>
              <w:tab w:val="left" w:pos="1916"/>
            </w:tabs>
            <w:rPr>
              <w:rFonts w:asciiTheme="minorHAnsi" w:eastAsiaTheme="minorEastAsia" w:hAnsiTheme="minorHAnsi" w:cstheme="minorBidi"/>
              <w:noProof/>
              <w:sz w:val="22"/>
              <w:szCs w:val="22"/>
              <w:lang w:bidi="ar-SA"/>
            </w:rPr>
          </w:pPr>
          <w:hyperlink w:anchor="_Toc472591169" w:history="1">
            <w:r>
              <w:rPr>
                <w:rStyle w:val="Hyperlink"/>
                <w:noProof/>
                <w:lang w:val="en-GB"/>
              </w:rPr>
              <w:t>2.1.3.</w:t>
            </w:r>
            <w:r>
              <w:rPr>
                <w:rFonts w:asciiTheme="minorHAnsi" w:eastAsiaTheme="minorEastAsia" w:hAnsiTheme="minorHAnsi" w:cstheme="minorBidi"/>
                <w:noProof/>
                <w:sz w:val="22"/>
                <w:szCs w:val="22"/>
                <w:lang w:bidi="ar-SA"/>
              </w:rPr>
              <w:tab/>
            </w:r>
            <w:r>
              <w:rPr>
                <w:rStyle w:val="Hyperlink"/>
                <w:noProof/>
              </w:rPr>
              <w:t>Nodarījumi saistībā ar seksuālu izmantošanu (4. pants)</w:t>
            </w:r>
            <w:r>
              <w:rPr>
                <w:noProof/>
                <w:webHidden/>
              </w:rPr>
              <w:tab/>
            </w:r>
            <w:r>
              <w:rPr>
                <w:noProof/>
                <w:webHidden/>
              </w:rPr>
              <w:fldChar w:fldCharType="begin"/>
            </w:r>
            <w:r>
              <w:rPr>
                <w:noProof/>
                <w:webHidden/>
              </w:rPr>
              <w:instrText xml:space="preserve"> PAGEREF _Toc472591169 \h </w:instrText>
            </w:r>
            <w:r>
              <w:rPr>
                <w:noProof/>
                <w:webHidden/>
              </w:rPr>
            </w:r>
            <w:r>
              <w:rPr>
                <w:noProof/>
                <w:webHidden/>
              </w:rPr>
              <w:fldChar w:fldCharType="separate"/>
            </w:r>
            <w:r>
              <w:rPr>
                <w:noProof/>
                <w:webHidden/>
              </w:rPr>
              <w:t>9</w:t>
            </w:r>
            <w:r>
              <w:rPr>
                <w:noProof/>
                <w:webHidden/>
              </w:rPr>
              <w:fldChar w:fldCharType="end"/>
            </w:r>
          </w:hyperlink>
        </w:p>
        <w:p w:rsidR="005035BE" w:rsidRDefault="007D647F">
          <w:pPr>
            <w:pStyle w:val="TOC3"/>
            <w:tabs>
              <w:tab w:val="left" w:pos="1916"/>
            </w:tabs>
            <w:rPr>
              <w:rFonts w:asciiTheme="minorHAnsi" w:eastAsiaTheme="minorEastAsia" w:hAnsiTheme="minorHAnsi" w:cstheme="minorBidi"/>
              <w:noProof/>
              <w:sz w:val="22"/>
              <w:szCs w:val="22"/>
              <w:lang w:bidi="ar-SA"/>
            </w:rPr>
          </w:pPr>
          <w:hyperlink w:anchor="_Toc472591170" w:history="1">
            <w:r>
              <w:rPr>
                <w:rStyle w:val="Hyperlink"/>
                <w:noProof/>
                <w:lang w:val="en-GB"/>
              </w:rPr>
              <w:t>2.1.4.</w:t>
            </w:r>
            <w:r>
              <w:rPr>
                <w:rFonts w:asciiTheme="minorHAnsi" w:eastAsiaTheme="minorEastAsia" w:hAnsiTheme="minorHAnsi" w:cstheme="minorBidi"/>
                <w:noProof/>
                <w:sz w:val="22"/>
                <w:szCs w:val="22"/>
                <w:lang w:bidi="ar-SA"/>
              </w:rPr>
              <w:tab/>
            </w:r>
            <w:r>
              <w:rPr>
                <w:rStyle w:val="Hyperlink"/>
                <w:noProof/>
              </w:rPr>
              <w:t xml:space="preserve">Nodarījumi saistībā ar </w:t>
            </w:r>
            <w:r>
              <w:rPr>
                <w:rStyle w:val="Hyperlink"/>
                <w:noProof/>
              </w:rPr>
              <w:t>bērnu pornogrāfiju (5. pants)</w:t>
            </w:r>
            <w:r>
              <w:rPr>
                <w:noProof/>
                <w:webHidden/>
              </w:rPr>
              <w:tab/>
            </w:r>
            <w:r>
              <w:rPr>
                <w:noProof/>
                <w:webHidden/>
              </w:rPr>
              <w:fldChar w:fldCharType="begin"/>
            </w:r>
            <w:r>
              <w:rPr>
                <w:noProof/>
                <w:webHidden/>
              </w:rPr>
              <w:instrText xml:space="preserve"> PAGEREF _Toc472591170 \h </w:instrText>
            </w:r>
            <w:r>
              <w:rPr>
                <w:noProof/>
                <w:webHidden/>
              </w:rPr>
            </w:r>
            <w:r>
              <w:rPr>
                <w:noProof/>
                <w:webHidden/>
              </w:rPr>
              <w:fldChar w:fldCharType="separate"/>
            </w:r>
            <w:r>
              <w:rPr>
                <w:noProof/>
                <w:webHidden/>
              </w:rPr>
              <w:t>10</w:t>
            </w:r>
            <w:r>
              <w:rPr>
                <w:noProof/>
                <w:webHidden/>
              </w:rPr>
              <w:fldChar w:fldCharType="end"/>
            </w:r>
          </w:hyperlink>
        </w:p>
        <w:p w:rsidR="005035BE" w:rsidRDefault="007D647F">
          <w:pPr>
            <w:pStyle w:val="TOC3"/>
            <w:tabs>
              <w:tab w:val="left" w:pos="1916"/>
            </w:tabs>
            <w:rPr>
              <w:rFonts w:asciiTheme="minorHAnsi" w:eastAsiaTheme="minorEastAsia" w:hAnsiTheme="minorHAnsi" w:cstheme="minorBidi"/>
              <w:noProof/>
              <w:sz w:val="22"/>
              <w:szCs w:val="22"/>
              <w:lang w:bidi="ar-SA"/>
            </w:rPr>
          </w:pPr>
          <w:hyperlink w:anchor="_Toc472591171" w:history="1">
            <w:r>
              <w:rPr>
                <w:rStyle w:val="Hyperlink"/>
                <w:noProof/>
                <w:lang w:val="en-GB"/>
              </w:rPr>
              <w:t>2.1.5.</w:t>
            </w:r>
            <w:r>
              <w:rPr>
                <w:rFonts w:asciiTheme="minorHAnsi" w:eastAsiaTheme="minorEastAsia" w:hAnsiTheme="minorHAnsi" w:cstheme="minorBidi"/>
                <w:noProof/>
                <w:sz w:val="22"/>
                <w:szCs w:val="22"/>
                <w:lang w:bidi="ar-SA"/>
              </w:rPr>
              <w:tab/>
            </w:r>
            <w:r>
              <w:rPr>
                <w:rStyle w:val="Hyperlink"/>
                <w:noProof/>
              </w:rPr>
              <w:t>Uzmākšanās bērniem seksuālos nolūkos (6. pants)</w:t>
            </w:r>
            <w:r>
              <w:rPr>
                <w:noProof/>
                <w:webHidden/>
              </w:rPr>
              <w:tab/>
            </w:r>
            <w:r>
              <w:rPr>
                <w:noProof/>
                <w:webHidden/>
              </w:rPr>
              <w:fldChar w:fldCharType="begin"/>
            </w:r>
            <w:r>
              <w:rPr>
                <w:noProof/>
                <w:webHidden/>
              </w:rPr>
              <w:instrText xml:space="preserve"> PAGEREF _Toc472591171 \h </w:instrText>
            </w:r>
            <w:r>
              <w:rPr>
                <w:noProof/>
                <w:webHidden/>
              </w:rPr>
            </w:r>
            <w:r>
              <w:rPr>
                <w:noProof/>
                <w:webHidden/>
              </w:rPr>
              <w:fldChar w:fldCharType="separate"/>
            </w:r>
            <w:r>
              <w:rPr>
                <w:noProof/>
                <w:webHidden/>
              </w:rPr>
              <w:t>10</w:t>
            </w:r>
            <w:r>
              <w:rPr>
                <w:noProof/>
                <w:webHidden/>
              </w:rPr>
              <w:fldChar w:fldCharType="end"/>
            </w:r>
          </w:hyperlink>
        </w:p>
        <w:p w:rsidR="005035BE" w:rsidRDefault="007D647F">
          <w:pPr>
            <w:pStyle w:val="TOC3"/>
            <w:tabs>
              <w:tab w:val="left" w:pos="1916"/>
            </w:tabs>
            <w:rPr>
              <w:rFonts w:asciiTheme="minorHAnsi" w:eastAsiaTheme="minorEastAsia" w:hAnsiTheme="minorHAnsi" w:cstheme="minorBidi"/>
              <w:noProof/>
              <w:sz w:val="22"/>
              <w:szCs w:val="22"/>
              <w:lang w:bidi="ar-SA"/>
            </w:rPr>
          </w:pPr>
          <w:hyperlink w:anchor="_Toc472591172" w:history="1">
            <w:r>
              <w:rPr>
                <w:rStyle w:val="Hyperlink"/>
                <w:noProof/>
                <w:lang w:val="en-GB"/>
              </w:rPr>
              <w:t>2.1.6.</w:t>
            </w:r>
            <w:r>
              <w:rPr>
                <w:rFonts w:asciiTheme="minorHAnsi" w:eastAsiaTheme="minorEastAsia" w:hAnsiTheme="minorHAnsi" w:cstheme="minorBidi"/>
                <w:noProof/>
                <w:sz w:val="22"/>
                <w:szCs w:val="22"/>
                <w:lang w:bidi="ar-SA"/>
              </w:rPr>
              <w:tab/>
            </w:r>
            <w:r>
              <w:rPr>
                <w:rStyle w:val="Hyperlink"/>
                <w:noProof/>
              </w:rPr>
              <w:t>Kūdīšana, palīdzēšana, atbalstīšana un mēģinājums (7. pants)</w:t>
            </w:r>
            <w:r>
              <w:rPr>
                <w:noProof/>
                <w:webHidden/>
              </w:rPr>
              <w:tab/>
            </w:r>
            <w:r>
              <w:rPr>
                <w:noProof/>
                <w:webHidden/>
              </w:rPr>
              <w:fldChar w:fldCharType="begin"/>
            </w:r>
            <w:r>
              <w:rPr>
                <w:noProof/>
                <w:webHidden/>
              </w:rPr>
              <w:instrText xml:space="preserve"> PAGEREF _Toc472591172 \h </w:instrText>
            </w:r>
            <w:r>
              <w:rPr>
                <w:noProof/>
                <w:webHidden/>
              </w:rPr>
            </w:r>
            <w:r>
              <w:rPr>
                <w:noProof/>
                <w:webHidden/>
              </w:rPr>
              <w:fldChar w:fldCharType="separate"/>
            </w:r>
            <w:r>
              <w:rPr>
                <w:noProof/>
                <w:webHidden/>
              </w:rPr>
              <w:t>11</w:t>
            </w:r>
            <w:r>
              <w:rPr>
                <w:noProof/>
                <w:webHidden/>
              </w:rPr>
              <w:fldChar w:fldCharType="end"/>
            </w:r>
          </w:hyperlink>
        </w:p>
        <w:p w:rsidR="005035BE" w:rsidRDefault="007D647F">
          <w:pPr>
            <w:pStyle w:val="TOC3"/>
            <w:tabs>
              <w:tab w:val="left" w:pos="1916"/>
            </w:tabs>
            <w:rPr>
              <w:rFonts w:asciiTheme="minorHAnsi" w:eastAsiaTheme="minorEastAsia" w:hAnsiTheme="minorHAnsi" w:cstheme="minorBidi"/>
              <w:noProof/>
              <w:sz w:val="22"/>
              <w:szCs w:val="22"/>
              <w:lang w:bidi="ar-SA"/>
            </w:rPr>
          </w:pPr>
          <w:hyperlink w:anchor="_Toc472591173" w:history="1">
            <w:r>
              <w:rPr>
                <w:rStyle w:val="Hyperlink"/>
                <w:noProof/>
                <w:lang w:val="en-GB"/>
              </w:rPr>
              <w:t>2.1.7.</w:t>
            </w:r>
            <w:r>
              <w:rPr>
                <w:rFonts w:asciiTheme="minorHAnsi" w:eastAsiaTheme="minorEastAsia" w:hAnsiTheme="minorHAnsi" w:cstheme="minorBidi"/>
                <w:noProof/>
                <w:sz w:val="22"/>
                <w:szCs w:val="22"/>
                <w:lang w:bidi="ar-SA"/>
              </w:rPr>
              <w:tab/>
            </w:r>
            <w:r>
              <w:rPr>
                <w:rStyle w:val="Hyperlink"/>
                <w:noProof/>
              </w:rPr>
              <w:t>Seksuālas darbības ar savstarpēju piekrišanu (8. pants)</w:t>
            </w:r>
            <w:r>
              <w:rPr>
                <w:noProof/>
                <w:webHidden/>
              </w:rPr>
              <w:tab/>
            </w:r>
            <w:r>
              <w:rPr>
                <w:noProof/>
                <w:webHidden/>
              </w:rPr>
              <w:fldChar w:fldCharType="begin"/>
            </w:r>
            <w:r>
              <w:rPr>
                <w:noProof/>
                <w:webHidden/>
              </w:rPr>
              <w:instrText xml:space="preserve"> PAGEREF _Toc472591173 \h </w:instrText>
            </w:r>
            <w:r>
              <w:rPr>
                <w:noProof/>
                <w:webHidden/>
              </w:rPr>
            </w:r>
            <w:r>
              <w:rPr>
                <w:noProof/>
                <w:webHidden/>
              </w:rPr>
              <w:fldChar w:fldCharType="separate"/>
            </w:r>
            <w:r>
              <w:rPr>
                <w:noProof/>
                <w:webHidden/>
              </w:rPr>
              <w:t>11</w:t>
            </w:r>
            <w:r>
              <w:rPr>
                <w:noProof/>
                <w:webHidden/>
              </w:rPr>
              <w:fldChar w:fldCharType="end"/>
            </w:r>
          </w:hyperlink>
        </w:p>
        <w:p w:rsidR="005035BE" w:rsidRDefault="007D647F">
          <w:pPr>
            <w:pStyle w:val="TOC3"/>
            <w:tabs>
              <w:tab w:val="left" w:pos="1916"/>
            </w:tabs>
            <w:rPr>
              <w:rFonts w:asciiTheme="minorHAnsi" w:eastAsiaTheme="minorEastAsia" w:hAnsiTheme="minorHAnsi" w:cstheme="minorBidi"/>
              <w:noProof/>
              <w:sz w:val="22"/>
              <w:szCs w:val="22"/>
              <w:lang w:bidi="ar-SA"/>
            </w:rPr>
          </w:pPr>
          <w:hyperlink w:anchor="_Toc472591174" w:history="1">
            <w:r>
              <w:rPr>
                <w:rStyle w:val="Hyperlink"/>
                <w:noProof/>
                <w:lang w:val="en-GB"/>
              </w:rPr>
              <w:t>2.1.8.</w:t>
            </w:r>
            <w:r>
              <w:rPr>
                <w:rFonts w:asciiTheme="minorHAnsi" w:eastAsiaTheme="minorEastAsia" w:hAnsiTheme="minorHAnsi" w:cstheme="minorBidi"/>
                <w:noProof/>
                <w:sz w:val="22"/>
                <w:szCs w:val="22"/>
                <w:lang w:bidi="ar-SA"/>
              </w:rPr>
              <w:tab/>
            </w:r>
            <w:r>
              <w:rPr>
                <w:rStyle w:val="Hyperlink"/>
                <w:noProof/>
              </w:rPr>
              <w:t>Atbildību pastipr</w:t>
            </w:r>
            <w:r>
              <w:rPr>
                <w:rStyle w:val="Hyperlink"/>
                <w:noProof/>
              </w:rPr>
              <w:t>inoši apstākļi (9. pants)</w:t>
            </w:r>
            <w:r>
              <w:rPr>
                <w:noProof/>
                <w:webHidden/>
              </w:rPr>
              <w:tab/>
            </w:r>
            <w:r>
              <w:rPr>
                <w:noProof/>
                <w:webHidden/>
              </w:rPr>
              <w:fldChar w:fldCharType="begin"/>
            </w:r>
            <w:r>
              <w:rPr>
                <w:noProof/>
                <w:webHidden/>
              </w:rPr>
              <w:instrText xml:space="preserve"> PAGEREF _Toc472591174 \h </w:instrText>
            </w:r>
            <w:r>
              <w:rPr>
                <w:noProof/>
                <w:webHidden/>
              </w:rPr>
            </w:r>
            <w:r>
              <w:rPr>
                <w:noProof/>
                <w:webHidden/>
              </w:rPr>
              <w:fldChar w:fldCharType="separate"/>
            </w:r>
            <w:r>
              <w:rPr>
                <w:noProof/>
                <w:webHidden/>
              </w:rPr>
              <w:t>11</w:t>
            </w:r>
            <w:r>
              <w:rPr>
                <w:noProof/>
                <w:webHidden/>
              </w:rPr>
              <w:fldChar w:fldCharType="end"/>
            </w:r>
          </w:hyperlink>
        </w:p>
        <w:p w:rsidR="005035BE" w:rsidRDefault="007D647F">
          <w:pPr>
            <w:pStyle w:val="TOC3"/>
            <w:tabs>
              <w:tab w:val="left" w:pos="1916"/>
            </w:tabs>
            <w:rPr>
              <w:rFonts w:asciiTheme="minorHAnsi" w:eastAsiaTheme="minorEastAsia" w:hAnsiTheme="minorHAnsi" w:cstheme="minorBidi"/>
              <w:noProof/>
              <w:sz w:val="22"/>
              <w:szCs w:val="22"/>
              <w:lang w:bidi="ar-SA"/>
            </w:rPr>
          </w:pPr>
          <w:hyperlink w:anchor="_Toc472591175" w:history="1">
            <w:r>
              <w:rPr>
                <w:rStyle w:val="Hyperlink"/>
                <w:noProof/>
                <w:lang w:val="en-GB"/>
              </w:rPr>
              <w:t>2.1.9.</w:t>
            </w:r>
            <w:r>
              <w:rPr>
                <w:rFonts w:asciiTheme="minorHAnsi" w:eastAsiaTheme="minorEastAsia" w:hAnsiTheme="minorHAnsi" w:cstheme="minorBidi"/>
                <w:noProof/>
                <w:sz w:val="22"/>
                <w:szCs w:val="22"/>
                <w:lang w:bidi="ar-SA"/>
              </w:rPr>
              <w:tab/>
            </w:r>
            <w:r>
              <w:rPr>
                <w:rStyle w:val="Hyperlink"/>
                <w:noProof/>
              </w:rPr>
              <w:t>Mantas arests un konfiskācija (11. pants)</w:t>
            </w:r>
            <w:r>
              <w:rPr>
                <w:noProof/>
                <w:webHidden/>
              </w:rPr>
              <w:tab/>
            </w:r>
            <w:r>
              <w:rPr>
                <w:noProof/>
                <w:webHidden/>
              </w:rPr>
              <w:fldChar w:fldCharType="begin"/>
            </w:r>
            <w:r>
              <w:rPr>
                <w:noProof/>
                <w:webHidden/>
              </w:rPr>
              <w:instrText xml:space="preserve"> PAGEREF _Toc472591175 \h </w:instrText>
            </w:r>
            <w:r>
              <w:rPr>
                <w:noProof/>
                <w:webHidden/>
              </w:rPr>
            </w:r>
            <w:r>
              <w:rPr>
                <w:noProof/>
                <w:webHidden/>
              </w:rPr>
              <w:fldChar w:fldCharType="separate"/>
            </w:r>
            <w:r>
              <w:rPr>
                <w:noProof/>
                <w:webHidden/>
              </w:rPr>
              <w:t>12</w:t>
            </w:r>
            <w:r>
              <w:rPr>
                <w:noProof/>
                <w:webHidden/>
              </w:rPr>
              <w:fldChar w:fldCharType="end"/>
            </w:r>
          </w:hyperlink>
        </w:p>
        <w:p w:rsidR="005035BE" w:rsidRDefault="007D647F">
          <w:pPr>
            <w:pStyle w:val="TOC3"/>
            <w:tabs>
              <w:tab w:val="left" w:pos="2880"/>
            </w:tabs>
            <w:rPr>
              <w:rFonts w:asciiTheme="minorHAnsi" w:eastAsiaTheme="minorEastAsia" w:hAnsiTheme="minorHAnsi" w:cstheme="minorBidi"/>
              <w:noProof/>
              <w:sz w:val="22"/>
              <w:szCs w:val="22"/>
              <w:lang w:bidi="ar-SA"/>
            </w:rPr>
          </w:pPr>
          <w:hyperlink w:anchor="_Toc472591176" w:history="1">
            <w:r>
              <w:rPr>
                <w:rStyle w:val="Hyperlink"/>
                <w:noProof/>
                <w:lang w:val="en-GB"/>
              </w:rPr>
              <w:t>2.1.10.</w:t>
            </w:r>
            <w:r>
              <w:rPr>
                <w:rFonts w:asciiTheme="minorHAnsi" w:eastAsiaTheme="minorEastAsia" w:hAnsiTheme="minorHAnsi" w:cstheme="minorBidi"/>
                <w:noProof/>
                <w:sz w:val="22"/>
                <w:szCs w:val="22"/>
                <w:lang w:bidi="ar-SA"/>
              </w:rPr>
              <w:tab/>
            </w:r>
            <w:r>
              <w:rPr>
                <w:rStyle w:val="Hyperlink"/>
                <w:noProof/>
              </w:rPr>
              <w:t>Juridisko personu atbildība (12. pants)</w:t>
            </w:r>
            <w:r>
              <w:rPr>
                <w:noProof/>
                <w:webHidden/>
              </w:rPr>
              <w:tab/>
            </w:r>
            <w:r>
              <w:rPr>
                <w:noProof/>
                <w:webHidden/>
              </w:rPr>
              <w:fldChar w:fldCharType="begin"/>
            </w:r>
            <w:r>
              <w:rPr>
                <w:noProof/>
                <w:webHidden/>
              </w:rPr>
              <w:instrText xml:space="preserve"> PAGEREF _Toc472591176 \h </w:instrText>
            </w:r>
            <w:r>
              <w:rPr>
                <w:noProof/>
                <w:webHidden/>
              </w:rPr>
            </w:r>
            <w:r>
              <w:rPr>
                <w:noProof/>
                <w:webHidden/>
              </w:rPr>
              <w:fldChar w:fldCharType="separate"/>
            </w:r>
            <w:r>
              <w:rPr>
                <w:noProof/>
                <w:webHidden/>
              </w:rPr>
              <w:t>12</w:t>
            </w:r>
            <w:r>
              <w:rPr>
                <w:noProof/>
                <w:webHidden/>
              </w:rPr>
              <w:fldChar w:fldCharType="end"/>
            </w:r>
          </w:hyperlink>
        </w:p>
        <w:p w:rsidR="005035BE" w:rsidRDefault="007D647F">
          <w:pPr>
            <w:pStyle w:val="TOC3"/>
            <w:tabs>
              <w:tab w:val="left" w:pos="2880"/>
            </w:tabs>
            <w:rPr>
              <w:rFonts w:asciiTheme="minorHAnsi" w:eastAsiaTheme="minorEastAsia" w:hAnsiTheme="minorHAnsi" w:cstheme="minorBidi"/>
              <w:noProof/>
              <w:sz w:val="22"/>
              <w:szCs w:val="22"/>
              <w:lang w:bidi="ar-SA"/>
            </w:rPr>
          </w:pPr>
          <w:hyperlink w:anchor="_Toc472591177" w:history="1">
            <w:r>
              <w:rPr>
                <w:rStyle w:val="Hyperlink"/>
                <w:noProof/>
                <w:lang w:val="en-GB"/>
              </w:rPr>
              <w:t>2.1.11.</w:t>
            </w:r>
            <w:r>
              <w:rPr>
                <w:rFonts w:asciiTheme="minorHAnsi" w:eastAsiaTheme="minorEastAsia" w:hAnsiTheme="minorHAnsi" w:cstheme="minorBidi"/>
                <w:noProof/>
                <w:sz w:val="22"/>
                <w:szCs w:val="22"/>
                <w:lang w:bidi="ar-SA"/>
              </w:rPr>
              <w:tab/>
            </w:r>
            <w:r>
              <w:rPr>
                <w:rStyle w:val="Hyperlink"/>
                <w:noProof/>
              </w:rPr>
              <w:t>Sankcijas pret juridiskām personām (13. pants)</w:t>
            </w:r>
            <w:r>
              <w:rPr>
                <w:noProof/>
                <w:webHidden/>
              </w:rPr>
              <w:tab/>
            </w:r>
            <w:r>
              <w:rPr>
                <w:noProof/>
                <w:webHidden/>
              </w:rPr>
              <w:fldChar w:fldCharType="begin"/>
            </w:r>
            <w:r>
              <w:rPr>
                <w:noProof/>
                <w:webHidden/>
              </w:rPr>
              <w:instrText xml:space="preserve"> PAGEREF _Toc472591177 \h </w:instrText>
            </w:r>
            <w:r>
              <w:rPr>
                <w:noProof/>
                <w:webHidden/>
              </w:rPr>
            </w:r>
            <w:r>
              <w:rPr>
                <w:noProof/>
                <w:webHidden/>
              </w:rPr>
              <w:fldChar w:fldCharType="separate"/>
            </w:r>
            <w:r>
              <w:rPr>
                <w:noProof/>
                <w:webHidden/>
              </w:rPr>
              <w:t>13</w:t>
            </w:r>
            <w:r>
              <w:rPr>
                <w:noProof/>
                <w:webHidden/>
              </w:rPr>
              <w:fldChar w:fldCharType="end"/>
            </w:r>
          </w:hyperlink>
        </w:p>
        <w:p w:rsidR="005035BE" w:rsidRDefault="007D647F">
          <w:pPr>
            <w:pStyle w:val="TOC3"/>
            <w:tabs>
              <w:tab w:val="left" w:pos="2880"/>
            </w:tabs>
            <w:rPr>
              <w:rFonts w:asciiTheme="minorHAnsi" w:eastAsiaTheme="minorEastAsia" w:hAnsiTheme="minorHAnsi" w:cstheme="minorBidi"/>
              <w:noProof/>
              <w:sz w:val="22"/>
              <w:szCs w:val="22"/>
              <w:lang w:bidi="ar-SA"/>
            </w:rPr>
          </w:pPr>
          <w:hyperlink w:anchor="_Toc472591178" w:history="1">
            <w:r>
              <w:rPr>
                <w:rStyle w:val="Hyperlink"/>
                <w:noProof/>
                <w:lang w:val="en-GB"/>
              </w:rPr>
              <w:t>2.1.12.</w:t>
            </w:r>
            <w:r>
              <w:rPr>
                <w:rFonts w:asciiTheme="minorHAnsi" w:eastAsiaTheme="minorEastAsia" w:hAnsiTheme="minorHAnsi" w:cstheme="minorBidi"/>
                <w:noProof/>
                <w:sz w:val="22"/>
                <w:szCs w:val="22"/>
                <w:lang w:bidi="ar-SA"/>
              </w:rPr>
              <w:tab/>
            </w:r>
            <w:r>
              <w:rPr>
                <w:rStyle w:val="Hyperlink"/>
                <w:noProof/>
              </w:rPr>
              <w:t>Cietušo atbrīvošana no apsūdzības un sankciju nepiemērošana (14. pants)</w:t>
            </w:r>
            <w:r>
              <w:rPr>
                <w:noProof/>
                <w:webHidden/>
              </w:rPr>
              <w:tab/>
            </w:r>
            <w:r>
              <w:rPr>
                <w:noProof/>
                <w:webHidden/>
              </w:rPr>
              <w:fldChar w:fldCharType="begin"/>
            </w:r>
            <w:r>
              <w:rPr>
                <w:noProof/>
                <w:webHidden/>
              </w:rPr>
              <w:instrText xml:space="preserve"> PAGEREF _Toc472591178 \h </w:instrText>
            </w:r>
            <w:r>
              <w:rPr>
                <w:noProof/>
                <w:webHidden/>
              </w:rPr>
            </w:r>
            <w:r>
              <w:rPr>
                <w:noProof/>
                <w:webHidden/>
              </w:rPr>
              <w:fldChar w:fldCharType="separate"/>
            </w:r>
            <w:r>
              <w:rPr>
                <w:noProof/>
                <w:webHidden/>
              </w:rPr>
              <w:t>13</w:t>
            </w:r>
            <w:r>
              <w:rPr>
                <w:noProof/>
                <w:webHidden/>
              </w:rPr>
              <w:fldChar w:fldCharType="end"/>
            </w:r>
          </w:hyperlink>
        </w:p>
        <w:p w:rsidR="005035BE" w:rsidRDefault="007D647F">
          <w:pPr>
            <w:pStyle w:val="TOC3"/>
            <w:tabs>
              <w:tab w:val="left" w:pos="2880"/>
            </w:tabs>
            <w:rPr>
              <w:rFonts w:asciiTheme="minorHAnsi" w:eastAsiaTheme="minorEastAsia" w:hAnsiTheme="minorHAnsi" w:cstheme="minorBidi"/>
              <w:noProof/>
              <w:sz w:val="22"/>
              <w:szCs w:val="22"/>
              <w:lang w:bidi="ar-SA"/>
            </w:rPr>
          </w:pPr>
          <w:hyperlink w:anchor="_Toc472591179" w:history="1">
            <w:r>
              <w:rPr>
                <w:rStyle w:val="Hyperlink"/>
                <w:noProof/>
                <w:lang w:val="en-GB"/>
              </w:rPr>
              <w:t>2.1.13.</w:t>
            </w:r>
            <w:r>
              <w:rPr>
                <w:rFonts w:asciiTheme="minorHAnsi" w:eastAsiaTheme="minorEastAsia" w:hAnsiTheme="minorHAnsi" w:cstheme="minorBidi"/>
                <w:noProof/>
                <w:sz w:val="22"/>
                <w:szCs w:val="22"/>
                <w:lang w:bidi="ar-SA"/>
              </w:rPr>
              <w:tab/>
            </w:r>
            <w:r>
              <w:rPr>
                <w:rStyle w:val="Hyperlink"/>
                <w:noProof/>
              </w:rPr>
              <w:t xml:space="preserve">Izmeklēšana </w:t>
            </w:r>
            <w:r>
              <w:rPr>
                <w:rStyle w:val="Hyperlink"/>
                <w:noProof/>
              </w:rPr>
              <w:t>un saukšana pie kriminālatbildības (15. pants)</w:t>
            </w:r>
            <w:r>
              <w:rPr>
                <w:noProof/>
                <w:webHidden/>
              </w:rPr>
              <w:tab/>
            </w:r>
            <w:r>
              <w:rPr>
                <w:noProof/>
                <w:webHidden/>
              </w:rPr>
              <w:fldChar w:fldCharType="begin"/>
            </w:r>
            <w:r>
              <w:rPr>
                <w:noProof/>
                <w:webHidden/>
              </w:rPr>
              <w:instrText xml:space="preserve"> PAGEREF _Toc472591179 \h </w:instrText>
            </w:r>
            <w:r>
              <w:rPr>
                <w:noProof/>
                <w:webHidden/>
              </w:rPr>
            </w:r>
            <w:r>
              <w:rPr>
                <w:noProof/>
                <w:webHidden/>
              </w:rPr>
              <w:fldChar w:fldCharType="separate"/>
            </w:r>
            <w:r>
              <w:rPr>
                <w:noProof/>
                <w:webHidden/>
              </w:rPr>
              <w:t>13</w:t>
            </w:r>
            <w:r>
              <w:rPr>
                <w:noProof/>
                <w:webHidden/>
              </w:rPr>
              <w:fldChar w:fldCharType="end"/>
            </w:r>
          </w:hyperlink>
        </w:p>
        <w:p w:rsidR="005035BE" w:rsidRDefault="007D647F">
          <w:pPr>
            <w:pStyle w:val="TOC3"/>
            <w:tabs>
              <w:tab w:val="left" w:pos="2880"/>
            </w:tabs>
            <w:rPr>
              <w:rFonts w:asciiTheme="minorHAnsi" w:eastAsiaTheme="minorEastAsia" w:hAnsiTheme="minorHAnsi" w:cstheme="minorBidi"/>
              <w:noProof/>
              <w:sz w:val="22"/>
              <w:szCs w:val="22"/>
              <w:lang w:bidi="ar-SA"/>
            </w:rPr>
          </w:pPr>
          <w:hyperlink w:anchor="_Toc472591180" w:history="1">
            <w:r>
              <w:rPr>
                <w:rStyle w:val="Hyperlink"/>
                <w:noProof/>
                <w:lang w:val="en-GB"/>
              </w:rPr>
              <w:t>2.1.14.</w:t>
            </w:r>
            <w:r>
              <w:rPr>
                <w:rFonts w:asciiTheme="minorHAnsi" w:eastAsiaTheme="minorEastAsia" w:hAnsiTheme="minorHAnsi" w:cstheme="minorBidi"/>
                <w:noProof/>
                <w:sz w:val="22"/>
                <w:szCs w:val="22"/>
                <w:lang w:bidi="ar-SA"/>
              </w:rPr>
              <w:tab/>
            </w:r>
            <w:r>
              <w:rPr>
                <w:rStyle w:val="Hyperlink"/>
                <w:noProof/>
              </w:rPr>
              <w:t xml:space="preserve">Ziņošana saistībā ar aizdomām par seksuālu izmantošanu vai seksuālu </w:t>
            </w:r>
            <w:r>
              <w:rPr>
                <w:rStyle w:val="Hyperlink"/>
                <w:noProof/>
              </w:rPr>
              <w:t>vardarbību (16. pants)</w:t>
            </w:r>
            <w:r>
              <w:rPr>
                <w:noProof/>
                <w:webHidden/>
              </w:rPr>
              <w:tab/>
            </w:r>
            <w:r>
              <w:rPr>
                <w:noProof/>
                <w:webHidden/>
              </w:rPr>
              <w:fldChar w:fldCharType="begin"/>
            </w:r>
            <w:r>
              <w:rPr>
                <w:noProof/>
                <w:webHidden/>
              </w:rPr>
              <w:instrText xml:space="preserve"> PAGEREF _Toc472591180 \h </w:instrText>
            </w:r>
            <w:r>
              <w:rPr>
                <w:noProof/>
                <w:webHidden/>
              </w:rPr>
            </w:r>
            <w:r>
              <w:rPr>
                <w:noProof/>
                <w:webHidden/>
              </w:rPr>
              <w:fldChar w:fldCharType="separate"/>
            </w:r>
            <w:r>
              <w:rPr>
                <w:noProof/>
                <w:webHidden/>
              </w:rPr>
              <w:t>14</w:t>
            </w:r>
            <w:r>
              <w:rPr>
                <w:noProof/>
                <w:webHidden/>
              </w:rPr>
              <w:fldChar w:fldCharType="end"/>
            </w:r>
          </w:hyperlink>
        </w:p>
        <w:p w:rsidR="005035BE" w:rsidRDefault="007D647F">
          <w:pPr>
            <w:pStyle w:val="TOC3"/>
            <w:tabs>
              <w:tab w:val="left" w:pos="2880"/>
            </w:tabs>
            <w:rPr>
              <w:rFonts w:asciiTheme="minorHAnsi" w:eastAsiaTheme="minorEastAsia" w:hAnsiTheme="minorHAnsi" w:cstheme="minorBidi"/>
              <w:noProof/>
              <w:sz w:val="22"/>
              <w:szCs w:val="22"/>
              <w:lang w:bidi="ar-SA"/>
            </w:rPr>
          </w:pPr>
          <w:hyperlink w:anchor="_Toc472591181" w:history="1">
            <w:r>
              <w:rPr>
                <w:rStyle w:val="Hyperlink"/>
                <w:noProof/>
                <w:lang w:val="en-GB"/>
              </w:rPr>
              <w:t>2.1.15.</w:t>
            </w:r>
            <w:r>
              <w:rPr>
                <w:rFonts w:asciiTheme="minorHAnsi" w:eastAsiaTheme="minorEastAsia" w:hAnsiTheme="minorHAnsi" w:cstheme="minorBidi"/>
                <w:noProof/>
                <w:sz w:val="22"/>
                <w:szCs w:val="22"/>
                <w:lang w:bidi="ar-SA"/>
              </w:rPr>
              <w:tab/>
            </w:r>
            <w:r>
              <w:rPr>
                <w:rStyle w:val="Hyperlink"/>
                <w:noProof/>
              </w:rPr>
              <w:t>Jurisdikcija un saukšanas pie kriminālatbildības koordinēšana (17. pants)</w:t>
            </w:r>
            <w:r>
              <w:rPr>
                <w:noProof/>
                <w:webHidden/>
              </w:rPr>
              <w:tab/>
            </w:r>
            <w:r>
              <w:rPr>
                <w:noProof/>
                <w:webHidden/>
              </w:rPr>
              <w:fldChar w:fldCharType="begin"/>
            </w:r>
            <w:r>
              <w:rPr>
                <w:noProof/>
                <w:webHidden/>
              </w:rPr>
              <w:instrText xml:space="preserve"> PAGEREF _Toc472591181</w:instrText>
            </w:r>
            <w:r>
              <w:rPr>
                <w:noProof/>
                <w:webHidden/>
              </w:rPr>
              <w:instrText xml:space="preserve"> \h </w:instrText>
            </w:r>
            <w:r>
              <w:rPr>
                <w:noProof/>
                <w:webHidden/>
              </w:rPr>
            </w:r>
            <w:r>
              <w:rPr>
                <w:noProof/>
                <w:webHidden/>
              </w:rPr>
              <w:fldChar w:fldCharType="separate"/>
            </w:r>
            <w:r>
              <w:rPr>
                <w:noProof/>
                <w:webHidden/>
              </w:rPr>
              <w:t>15</w:t>
            </w:r>
            <w:r>
              <w:rPr>
                <w:noProof/>
                <w:webHidden/>
              </w:rPr>
              <w:fldChar w:fldCharType="end"/>
            </w:r>
          </w:hyperlink>
        </w:p>
        <w:p w:rsidR="005035BE" w:rsidRDefault="007D647F">
          <w:pPr>
            <w:pStyle w:val="TOC2"/>
            <w:tabs>
              <w:tab w:val="left" w:pos="1077"/>
            </w:tabs>
            <w:rPr>
              <w:rFonts w:asciiTheme="minorHAnsi" w:eastAsiaTheme="minorEastAsia" w:hAnsiTheme="minorHAnsi" w:cstheme="minorBidi"/>
              <w:noProof/>
              <w:sz w:val="22"/>
              <w:szCs w:val="22"/>
              <w:lang w:bidi="ar-SA"/>
            </w:rPr>
          </w:pPr>
          <w:hyperlink w:anchor="_Toc472591182" w:history="1">
            <w:r>
              <w:rPr>
                <w:rStyle w:val="Hyperlink"/>
                <w:noProof/>
              </w:rPr>
              <w:t>2.2.</w:t>
            </w:r>
            <w:r>
              <w:rPr>
                <w:rFonts w:asciiTheme="minorHAnsi" w:eastAsiaTheme="minorEastAsia" w:hAnsiTheme="minorHAnsi" w:cstheme="minorBidi"/>
                <w:noProof/>
                <w:sz w:val="22"/>
                <w:szCs w:val="22"/>
                <w:lang w:bidi="ar-SA"/>
              </w:rPr>
              <w:tab/>
            </w:r>
            <w:r>
              <w:rPr>
                <w:rStyle w:val="Hyperlink"/>
                <w:noProof/>
              </w:rPr>
              <w:t>Palīdzība cietušajiem un to aizsardzība (18.–20. pants)</w:t>
            </w:r>
            <w:r>
              <w:rPr>
                <w:noProof/>
                <w:webHidden/>
              </w:rPr>
              <w:tab/>
            </w:r>
            <w:r>
              <w:rPr>
                <w:noProof/>
                <w:webHidden/>
              </w:rPr>
              <w:fldChar w:fldCharType="begin"/>
            </w:r>
            <w:r>
              <w:rPr>
                <w:noProof/>
                <w:webHidden/>
              </w:rPr>
              <w:instrText xml:space="preserve"> PAGEREF _Toc472591182 \h </w:instrText>
            </w:r>
            <w:r>
              <w:rPr>
                <w:noProof/>
                <w:webHidden/>
              </w:rPr>
            </w:r>
            <w:r>
              <w:rPr>
                <w:noProof/>
                <w:webHidden/>
              </w:rPr>
              <w:fldChar w:fldCharType="separate"/>
            </w:r>
            <w:r>
              <w:rPr>
                <w:noProof/>
                <w:webHidden/>
              </w:rPr>
              <w:t>16</w:t>
            </w:r>
            <w:r>
              <w:rPr>
                <w:noProof/>
                <w:webHidden/>
              </w:rPr>
              <w:fldChar w:fldCharType="end"/>
            </w:r>
          </w:hyperlink>
        </w:p>
        <w:p w:rsidR="005035BE" w:rsidRDefault="007D647F">
          <w:pPr>
            <w:pStyle w:val="TOC3"/>
            <w:tabs>
              <w:tab w:val="left" w:pos="1916"/>
            </w:tabs>
            <w:rPr>
              <w:rFonts w:asciiTheme="minorHAnsi" w:eastAsiaTheme="minorEastAsia" w:hAnsiTheme="minorHAnsi" w:cstheme="minorBidi"/>
              <w:noProof/>
              <w:sz w:val="22"/>
              <w:szCs w:val="22"/>
              <w:lang w:bidi="ar-SA"/>
            </w:rPr>
          </w:pPr>
          <w:hyperlink w:anchor="_Toc472591183" w:history="1">
            <w:r>
              <w:rPr>
                <w:rStyle w:val="Hyperlink"/>
                <w:noProof/>
                <w:lang w:val="en-GB"/>
              </w:rPr>
              <w:t>2.2.1.</w:t>
            </w:r>
            <w:r>
              <w:rPr>
                <w:rFonts w:asciiTheme="minorHAnsi" w:eastAsiaTheme="minorEastAsia" w:hAnsiTheme="minorHAnsi" w:cstheme="minorBidi"/>
                <w:noProof/>
                <w:sz w:val="22"/>
                <w:szCs w:val="22"/>
                <w:lang w:bidi="ar-SA"/>
              </w:rPr>
              <w:tab/>
            </w:r>
            <w:r>
              <w:rPr>
                <w:rStyle w:val="Hyperlink"/>
                <w:noProof/>
              </w:rPr>
              <w:t>Vispārēji noteikumi par palīdzību un atbalstu cietušajiem bērniem un viņu aizsardzības pasākumiem (18. pants)</w:t>
            </w:r>
            <w:r>
              <w:rPr>
                <w:noProof/>
                <w:webHidden/>
              </w:rPr>
              <w:tab/>
            </w:r>
            <w:r>
              <w:rPr>
                <w:noProof/>
                <w:webHidden/>
              </w:rPr>
              <w:fldChar w:fldCharType="begin"/>
            </w:r>
            <w:r>
              <w:rPr>
                <w:noProof/>
                <w:webHidden/>
              </w:rPr>
              <w:instrText xml:space="preserve"> PAGEREF _Toc472591183 \h </w:instrText>
            </w:r>
            <w:r>
              <w:rPr>
                <w:noProof/>
                <w:webHidden/>
              </w:rPr>
            </w:r>
            <w:r>
              <w:rPr>
                <w:noProof/>
                <w:webHidden/>
              </w:rPr>
              <w:fldChar w:fldCharType="separate"/>
            </w:r>
            <w:r>
              <w:rPr>
                <w:noProof/>
                <w:webHidden/>
              </w:rPr>
              <w:t>16</w:t>
            </w:r>
            <w:r>
              <w:rPr>
                <w:noProof/>
                <w:webHidden/>
              </w:rPr>
              <w:fldChar w:fldCharType="end"/>
            </w:r>
          </w:hyperlink>
        </w:p>
        <w:p w:rsidR="005035BE" w:rsidRDefault="007D647F">
          <w:pPr>
            <w:pStyle w:val="TOC3"/>
            <w:tabs>
              <w:tab w:val="left" w:pos="1916"/>
            </w:tabs>
            <w:rPr>
              <w:rFonts w:asciiTheme="minorHAnsi" w:eastAsiaTheme="minorEastAsia" w:hAnsiTheme="minorHAnsi" w:cstheme="minorBidi"/>
              <w:noProof/>
              <w:sz w:val="22"/>
              <w:szCs w:val="22"/>
              <w:lang w:bidi="ar-SA"/>
            </w:rPr>
          </w:pPr>
          <w:hyperlink w:anchor="_Toc472591184" w:history="1">
            <w:r>
              <w:rPr>
                <w:rStyle w:val="Hyperlink"/>
                <w:noProof/>
                <w:lang w:val="en-GB"/>
              </w:rPr>
              <w:t>2.2.2.</w:t>
            </w:r>
            <w:r>
              <w:rPr>
                <w:rFonts w:asciiTheme="minorHAnsi" w:eastAsiaTheme="minorEastAsia" w:hAnsiTheme="minorHAnsi" w:cstheme="minorBidi"/>
                <w:noProof/>
                <w:sz w:val="22"/>
                <w:szCs w:val="22"/>
                <w:lang w:bidi="ar-SA"/>
              </w:rPr>
              <w:tab/>
            </w:r>
            <w:r>
              <w:rPr>
                <w:rStyle w:val="Hyperlink"/>
                <w:noProof/>
              </w:rPr>
              <w:t>Palīdzība un atbalsts cietušajiem (19. pants)</w:t>
            </w:r>
            <w:r>
              <w:rPr>
                <w:noProof/>
                <w:webHidden/>
              </w:rPr>
              <w:tab/>
            </w:r>
            <w:r>
              <w:rPr>
                <w:noProof/>
                <w:webHidden/>
              </w:rPr>
              <w:fldChar w:fldCharType="begin"/>
            </w:r>
            <w:r>
              <w:rPr>
                <w:noProof/>
                <w:webHidden/>
              </w:rPr>
              <w:instrText xml:space="preserve"> PAGEREF _Toc472591184 \h </w:instrText>
            </w:r>
            <w:r>
              <w:rPr>
                <w:noProof/>
                <w:webHidden/>
              </w:rPr>
            </w:r>
            <w:r>
              <w:rPr>
                <w:noProof/>
                <w:webHidden/>
              </w:rPr>
              <w:fldChar w:fldCharType="separate"/>
            </w:r>
            <w:r>
              <w:rPr>
                <w:noProof/>
                <w:webHidden/>
              </w:rPr>
              <w:t>16</w:t>
            </w:r>
            <w:r>
              <w:rPr>
                <w:noProof/>
                <w:webHidden/>
              </w:rPr>
              <w:fldChar w:fldCharType="end"/>
            </w:r>
          </w:hyperlink>
        </w:p>
        <w:p w:rsidR="005035BE" w:rsidRDefault="007D647F">
          <w:pPr>
            <w:pStyle w:val="TOC3"/>
            <w:tabs>
              <w:tab w:val="left" w:pos="1916"/>
            </w:tabs>
            <w:rPr>
              <w:rFonts w:asciiTheme="minorHAnsi" w:eastAsiaTheme="minorEastAsia" w:hAnsiTheme="minorHAnsi" w:cstheme="minorBidi"/>
              <w:noProof/>
              <w:sz w:val="22"/>
              <w:szCs w:val="22"/>
              <w:lang w:bidi="ar-SA"/>
            </w:rPr>
          </w:pPr>
          <w:hyperlink w:anchor="_Toc472591185" w:history="1">
            <w:r>
              <w:rPr>
                <w:rStyle w:val="Hyperlink"/>
                <w:noProof/>
                <w:lang w:val="en-GB"/>
              </w:rPr>
              <w:t>2.2.3.</w:t>
            </w:r>
            <w:r>
              <w:rPr>
                <w:rFonts w:asciiTheme="minorHAnsi" w:eastAsiaTheme="minorEastAsia" w:hAnsiTheme="minorHAnsi" w:cstheme="minorBidi"/>
                <w:noProof/>
                <w:sz w:val="22"/>
                <w:szCs w:val="22"/>
                <w:lang w:bidi="ar-SA"/>
              </w:rPr>
              <w:tab/>
            </w:r>
            <w:r>
              <w:rPr>
                <w:rStyle w:val="Hyperlink"/>
                <w:noProof/>
              </w:rPr>
              <w:t xml:space="preserve">Cietušo bērnu aizsardzība </w:t>
            </w:r>
            <w:r>
              <w:rPr>
                <w:rStyle w:val="Hyperlink"/>
                <w:noProof/>
              </w:rPr>
              <w:t>kriminālizmeklēšanā un kriminālprocesā (20. pants)</w:t>
            </w:r>
            <w:r>
              <w:rPr>
                <w:noProof/>
                <w:webHidden/>
              </w:rPr>
              <w:tab/>
            </w:r>
            <w:r>
              <w:rPr>
                <w:noProof/>
                <w:webHidden/>
              </w:rPr>
              <w:fldChar w:fldCharType="begin"/>
            </w:r>
            <w:r>
              <w:rPr>
                <w:noProof/>
                <w:webHidden/>
              </w:rPr>
              <w:instrText xml:space="preserve"> PAGEREF _Toc472591185 \h </w:instrText>
            </w:r>
            <w:r>
              <w:rPr>
                <w:noProof/>
                <w:webHidden/>
              </w:rPr>
            </w:r>
            <w:r>
              <w:rPr>
                <w:noProof/>
                <w:webHidden/>
              </w:rPr>
              <w:fldChar w:fldCharType="separate"/>
            </w:r>
            <w:r>
              <w:rPr>
                <w:noProof/>
                <w:webHidden/>
              </w:rPr>
              <w:t>17</w:t>
            </w:r>
            <w:r>
              <w:rPr>
                <w:noProof/>
                <w:webHidden/>
              </w:rPr>
              <w:fldChar w:fldCharType="end"/>
            </w:r>
          </w:hyperlink>
        </w:p>
        <w:p w:rsidR="005035BE" w:rsidRDefault="007D647F">
          <w:pPr>
            <w:pStyle w:val="TOC2"/>
            <w:tabs>
              <w:tab w:val="left" w:pos="1077"/>
            </w:tabs>
            <w:rPr>
              <w:rFonts w:asciiTheme="minorHAnsi" w:eastAsiaTheme="minorEastAsia" w:hAnsiTheme="minorHAnsi" w:cstheme="minorBidi"/>
              <w:noProof/>
              <w:sz w:val="22"/>
              <w:szCs w:val="22"/>
              <w:lang w:bidi="ar-SA"/>
            </w:rPr>
          </w:pPr>
          <w:hyperlink w:anchor="_Toc472591186" w:history="1">
            <w:r>
              <w:rPr>
                <w:rStyle w:val="Hyperlink"/>
                <w:noProof/>
              </w:rPr>
              <w:t>2.3.</w:t>
            </w:r>
            <w:r>
              <w:rPr>
                <w:rFonts w:asciiTheme="minorHAnsi" w:eastAsiaTheme="minorEastAsia" w:hAnsiTheme="minorHAnsi" w:cstheme="minorBidi"/>
                <w:noProof/>
                <w:sz w:val="22"/>
                <w:szCs w:val="22"/>
                <w:lang w:bidi="ar-SA"/>
              </w:rPr>
              <w:tab/>
            </w:r>
            <w:r>
              <w:rPr>
                <w:rStyle w:val="Hyperlink"/>
                <w:noProof/>
              </w:rPr>
              <w:t>Preventīvi pasākumi (10. pants un 21.–25. pants)</w:t>
            </w:r>
            <w:r>
              <w:rPr>
                <w:noProof/>
                <w:webHidden/>
              </w:rPr>
              <w:tab/>
            </w:r>
            <w:r>
              <w:rPr>
                <w:noProof/>
                <w:webHidden/>
              </w:rPr>
              <w:fldChar w:fldCharType="begin"/>
            </w:r>
            <w:r>
              <w:rPr>
                <w:noProof/>
                <w:webHidden/>
              </w:rPr>
              <w:instrText xml:space="preserve"> PAGEREF _Toc472591186</w:instrText>
            </w:r>
            <w:r>
              <w:rPr>
                <w:noProof/>
                <w:webHidden/>
              </w:rPr>
              <w:instrText xml:space="preserve"> \h </w:instrText>
            </w:r>
            <w:r>
              <w:rPr>
                <w:noProof/>
                <w:webHidden/>
              </w:rPr>
            </w:r>
            <w:r>
              <w:rPr>
                <w:noProof/>
                <w:webHidden/>
              </w:rPr>
              <w:fldChar w:fldCharType="separate"/>
            </w:r>
            <w:r>
              <w:rPr>
                <w:noProof/>
                <w:webHidden/>
              </w:rPr>
              <w:t>18</w:t>
            </w:r>
            <w:r>
              <w:rPr>
                <w:noProof/>
                <w:webHidden/>
              </w:rPr>
              <w:fldChar w:fldCharType="end"/>
            </w:r>
          </w:hyperlink>
        </w:p>
        <w:p w:rsidR="005035BE" w:rsidRDefault="007D647F">
          <w:pPr>
            <w:pStyle w:val="TOC3"/>
            <w:tabs>
              <w:tab w:val="left" w:pos="1916"/>
            </w:tabs>
            <w:rPr>
              <w:rFonts w:asciiTheme="minorHAnsi" w:eastAsiaTheme="minorEastAsia" w:hAnsiTheme="minorHAnsi" w:cstheme="minorBidi"/>
              <w:noProof/>
              <w:sz w:val="22"/>
              <w:szCs w:val="22"/>
              <w:lang w:bidi="ar-SA"/>
            </w:rPr>
          </w:pPr>
          <w:hyperlink w:anchor="_Toc472591187" w:history="1">
            <w:r>
              <w:rPr>
                <w:rStyle w:val="Hyperlink"/>
                <w:noProof/>
                <w:lang w:val="en-GB"/>
              </w:rPr>
              <w:t>2.3.1.</w:t>
            </w:r>
            <w:r>
              <w:rPr>
                <w:rFonts w:asciiTheme="minorHAnsi" w:eastAsiaTheme="minorEastAsia" w:hAnsiTheme="minorHAnsi" w:cstheme="minorBidi"/>
                <w:noProof/>
                <w:sz w:val="22"/>
                <w:szCs w:val="22"/>
                <w:lang w:bidi="ar-SA"/>
              </w:rPr>
              <w:tab/>
            </w:r>
            <w:r>
              <w:rPr>
                <w:rStyle w:val="Hyperlink"/>
                <w:noProof/>
              </w:rPr>
              <w:t>Aizliegums veikt noteiktas darbības, kas izriet no notiesājošiem spriedumiem (10. pants)</w:t>
            </w:r>
            <w:r>
              <w:rPr>
                <w:noProof/>
                <w:webHidden/>
              </w:rPr>
              <w:tab/>
            </w:r>
            <w:r>
              <w:rPr>
                <w:noProof/>
                <w:webHidden/>
              </w:rPr>
              <w:fldChar w:fldCharType="begin"/>
            </w:r>
            <w:r>
              <w:rPr>
                <w:noProof/>
                <w:webHidden/>
              </w:rPr>
              <w:instrText xml:space="preserve"> PAGEREF _Toc472591187 \h </w:instrText>
            </w:r>
            <w:r>
              <w:rPr>
                <w:noProof/>
                <w:webHidden/>
              </w:rPr>
            </w:r>
            <w:r>
              <w:rPr>
                <w:noProof/>
                <w:webHidden/>
              </w:rPr>
              <w:fldChar w:fldCharType="separate"/>
            </w:r>
            <w:r>
              <w:rPr>
                <w:noProof/>
                <w:webHidden/>
              </w:rPr>
              <w:t>18</w:t>
            </w:r>
            <w:r>
              <w:rPr>
                <w:noProof/>
                <w:webHidden/>
              </w:rPr>
              <w:fldChar w:fldCharType="end"/>
            </w:r>
          </w:hyperlink>
        </w:p>
        <w:p w:rsidR="005035BE" w:rsidRDefault="007D647F">
          <w:pPr>
            <w:pStyle w:val="TOC3"/>
            <w:tabs>
              <w:tab w:val="left" w:pos="1916"/>
            </w:tabs>
            <w:rPr>
              <w:rFonts w:asciiTheme="minorHAnsi" w:eastAsiaTheme="minorEastAsia" w:hAnsiTheme="minorHAnsi" w:cstheme="minorBidi"/>
              <w:noProof/>
              <w:sz w:val="22"/>
              <w:szCs w:val="22"/>
              <w:lang w:bidi="ar-SA"/>
            </w:rPr>
          </w:pPr>
          <w:hyperlink w:anchor="_Toc472591188" w:history="1">
            <w:r>
              <w:rPr>
                <w:rStyle w:val="Hyperlink"/>
                <w:noProof/>
                <w:lang w:val="en-GB"/>
              </w:rPr>
              <w:t>2.3.2.</w:t>
            </w:r>
            <w:r>
              <w:rPr>
                <w:rFonts w:asciiTheme="minorHAnsi" w:eastAsiaTheme="minorEastAsia" w:hAnsiTheme="minorHAnsi" w:cstheme="minorBidi"/>
                <w:noProof/>
                <w:sz w:val="22"/>
                <w:szCs w:val="22"/>
                <w:lang w:bidi="ar-SA"/>
              </w:rPr>
              <w:tab/>
            </w:r>
            <w:r>
              <w:rPr>
                <w:rStyle w:val="Hyperlink"/>
                <w:noProof/>
              </w:rPr>
              <w:t>Pasākumi pret vardarbības iespēju un bērnu seksa tūrisma reklamēšanu (21. pants)</w:t>
            </w:r>
            <w:r>
              <w:rPr>
                <w:noProof/>
                <w:webHidden/>
              </w:rPr>
              <w:tab/>
            </w:r>
            <w:r>
              <w:rPr>
                <w:noProof/>
                <w:webHidden/>
              </w:rPr>
              <w:fldChar w:fldCharType="begin"/>
            </w:r>
            <w:r>
              <w:rPr>
                <w:noProof/>
                <w:webHidden/>
              </w:rPr>
              <w:instrText xml:space="preserve"> PAGEREF _Toc472591188 \h </w:instrText>
            </w:r>
            <w:r>
              <w:rPr>
                <w:noProof/>
                <w:webHidden/>
              </w:rPr>
            </w:r>
            <w:r>
              <w:rPr>
                <w:noProof/>
                <w:webHidden/>
              </w:rPr>
              <w:fldChar w:fldCharType="separate"/>
            </w:r>
            <w:r>
              <w:rPr>
                <w:noProof/>
                <w:webHidden/>
              </w:rPr>
              <w:t>19</w:t>
            </w:r>
            <w:r>
              <w:rPr>
                <w:noProof/>
                <w:webHidden/>
              </w:rPr>
              <w:fldChar w:fldCharType="end"/>
            </w:r>
          </w:hyperlink>
        </w:p>
        <w:p w:rsidR="005035BE" w:rsidRDefault="007D647F">
          <w:pPr>
            <w:pStyle w:val="TOC3"/>
            <w:tabs>
              <w:tab w:val="left" w:pos="1916"/>
            </w:tabs>
            <w:rPr>
              <w:rFonts w:asciiTheme="minorHAnsi" w:eastAsiaTheme="minorEastAsia" w:hAnsiTheme="minorHAnsi" w:cstheme="minorBidi"/>
              <w:noProof/>
              <w:sz w:val="22"/>
              <w:szCs w:val="22"/>
              <w:lang w:bidi="ar-SA"/>
            </w:rPr>
          </w:pPr>
          <w:hyperlink w:anchor="_Toc472591189" w:history="1">
            <w:r>
              <w:rPr>
                <w:rStyle w:val="Hyperlink"/>
                <w:noProof/>
                <w:lang w:val="en-GB"/>
              </w:rPr>
              <w:t>2.3.3.</w:t>
            </w:r>
            <w:r>
              <w:rPr>
                <w:rFonts w:asciiTheme="minorHAnsi" w:eastAsiaTheme="minorEastAsia" w:hAnsiTheme="minorHAnsi" w:cstheme="minorBidi"/>
                <w:noProof/>
                <w:sz w:val="22"/>
                <w:szCs w:val="22"/>
                <w:lang w:bidi="ar-SA"/>
              </w:rPr>
              <w:tab/>
            </w:r>
            <w:r>
              <w:rPr>
                <w:rStyle w:val="Hyperlink"/>
                <w:noProof/>
              </w:rPr>
              <w:t>Preventīvas intervences programmas vai pasākumi (22. pants)</w:t>
            </w:r>
            <w:r>
              <w:rPr>
                <w:noProof/>
                <w:webHidden/>
              </w:rPr>
              <w:tab/>
            </w:r>
            <w:r>
              <w:rPr>
                <w:noProof/>
                <w:webHidden/>
              </w:rPr>
              <w:fldChar w:fldCharType="begin"/>
            </w:r>
            <w:r>
              <w:rPr>
                <w:noProof/>
                <w:webHidden/>
              </w:rPr>
              <w:instrText xml:space="preserve"> PAGEREF _Toc472591189 \h </w:instrText>
            </w:r>
            <w:r>
              <w:rPr>
                <w:noProof/>
                <w:webHidden/>
              </w:rPr>
            </w:r>
            <w:r>
              <w:rPr>
                <w:noProof/>
                <w:webHidden/>
              </w:rPr>
              <w:fldChar w:fldCharType="separate"/>
            </w:r>
            <w:r>
              <w:rPr>
                <w:noProof/>
                <w:webHidden/>
              </w:rPr>
              <w:t>19</w:t>
            </w:r>
            <w:r>
              <w:rPr>
                <w:noProof/>
                <w:webHidden/>
              </w:rPr>
              <w:fldChar w:fldCharType="end"/>
            </w:r>
          </w:hyperlink>
        </w:p>
        <w:p w:rsidR="005035BE" w:rsidRDefault="007D647F">
          <w:pPr>
            <w:pStyle w:val="TOC3"/>
            <w:tabs>
              <w:tab w:val="left" w:pos="1916"/>
            </w:tabs>
            <w:rPr>
              <w:rFonts w:asciiTheme="minorHAnsi" w:eastAsiaTheme="minorEastAsia" w:hAnsiTheme="minorHAnsi" w:cstheme="minorBidi"/>
              <w:noProof/>
              <w:sz w:val="22"/>
              <w:szCs w:val="22"/>
              <w:lang w:bidi="ar-SA"/>
            </w:rPr>
          </w:pPr>
          <w:hyperlink w:anchor="_Toc472591190" w:history="1">
            <w:r>
              <w:rPr>
                <w:rStyle w:val="Hyperlink"/>
                <w:noProof/>
                <w:lang w:val="en-GB"/>
              </w:rPr>
              <w:t>2.3.4.</w:t>
            </w:r>
            <w:r>
              <w:rPr>
                <w:rFonts w:asciiTheme="minorHAnsi" w:eastAsiaTheme="minorEastAsia" w:hAnsiTheme="minorHAnsi" w:cstheme="minorBidi"/>
                <w:noProof/>
                <w:sz w:val="22"/>
                <w:szCs w:val="22"/>
                <w:lang w:bidi="ar-SA"/>
              </w:rPr>
              <w:tab/>
            </w:r>
            <w:r>
              <w:rPr>
                <w:rStyle w:val="Hyperlink"/>
                <w:noProof/>
              </w:rPr>
              <w:t>Preventīvi pasākumi (23. pants)</w:t>
            </w:r>
            <w:r>
              <w:rPr>
                <w:noProof/>
                <w:webHidden/>
              </w:rPr>
              <w:tab/>
            </w:r>
            <w:r>
              <w:rPr>
                <w:noProof/>
                <w:webHidden/>
              </w:rPr>
              <w:fldChar w:fldCharType="begin"/>
            </w:r>
            <w:r>
              <w:rPr>
                <w:noProof/>
                <w:webHidden/>
              </w:rPr>
              <w:instrText xml:space="preserve"> PAGEREF _Toc472591190 \h </w:instrText>
            </w:r>
            <w:r>
              <w:rPr>
                <w:noProof/>
                <w:webHidden/>
              </w:rPr>
            </w:r>
            <w:r>
              <w:rPr>
                <w:noProof/>
                <w:webHidden/>
              </w:rPr>
              <w:fldChar w:fldCharType="separate"/>
            </w:r>
            <w:r>
              <w:rPr>
                <w:noProof/>
                <w:webHidden/>
              </w:rPr>
              <w:t>19</w:t>
            </w:r>
            <w:r>
              <w:rPr>
                <w:noProof/>
                <w:webHidden/>
              </w:rPr>
              <w:fldChar w:fldCharType="end"/>
            </w:r>
          </w:hyperlink>
        </w:p>
        <w:p w:rsidR="005035BE" w:rsidRDefault="007D647F">
          <w:pPr>
            <w:pStyle w:val="TOC3"/>
            <w:tabs>
              <w:tab w:val="left" w:pos="1916"/>
            </w:tabs>
            <w:rPr>
              <w:rFonts w:asciiTheme="minorHAnsi" w:eastAsiaTheme="minorEastAsia" w:hAnsiTheme="minorHAnsi" w:cstheme="minorBidi"/>
              <w:noProof/>
              <w:sz w:val="22"/>
              <w:szCs w:val="22"/>
              <w:lang w:bidi="ar-SA"/>
            </w:rPr>
          </w:pPr>
          <w:hyperlink w:anchor="_Toc472591191" w:history="1">
            <w:r>
              <w:rPr>
                <w:rStyle w:val="Hyperlink"/>
                <w:noProof/>
                <w:lang w:val="en-GB"/>
              </w:rPr>
              <w:t>2.3.5.</w:t>
            </w:r>
            <w:r>
              <w:rPr>
                <w:rFonts w:asciiTheme="minorHAnsi" w:eastAsiaTheme="minorEastAsia" w:hAnsiTheme="minorHAnsi" w:cstheme="minorBidi"/>
                <w:noProof/>
                <w:sz w:val="22"/>
                <w:szCs w:val="22"/>
                <w:lang w:bidi="ar-SA"/>
              </w:rPr>
              <w:tab/>
            </w:r>
            <w:r>
              <w:rPr>
                <w:rStyle w:val="Hyperlink"/>
                <w:noProof/>
              </w:rPr>
              <w:t>Brī</w:t>
            </w:r>
            <w:bookmarkStart w:id="3" w:name="_GoBack"/>
            <w:bookmarkEnd w:id="3"/>
            <w:r>
              <w:rPr>
                <w:rStyle w:val="Hyperlink"/>
                <w:noProof/>
              </w:rPr>
              <w:t>vprātīgas intervences programmas vai pasākumi kriminālprocesa gaitā vai pēc tā (24. pants)</w:t>
            </w:r>
            <w:r>
              <w:rPr>
                <w:noProof/>
                <w:webHidden/>
              </w:rPr>
              <w:tab/>
            </w:r>
            <w:r>
              <w:rPr>
                <w:noProof/>
                <w:webHidden/>
              </w:rPr>
              <w:fldChar w:fldCharType="begin"/>
            </w:r>
            <w:r>
              <w:rPr>
                <w:noProof/>
                <w:webHidden/>
              </w:rPr>
              <w:instrText xml:space="preserve"> PAGEREF _Toc472591191 \h </w:instrText>
            </w:r>
            <w:r>
              <w:rPr>
                <w:noProof/>
                <w:webHidden/>
              </w:rPr>
            </w:r>
            <w:r>
              <w:rPr>
                <w:noProof/>
                <w:webHidden/>
              </w:rPr>
              <w:fldChar w:fldCharType="separate"/>
            </w:r>
            <w:r>
              <w:rPr>
                <w:noProof/>
                <w:webHidden/>
              </w:rPr>
              <w:t>20</w:t>
            </w:r>
            <w:r>
              <w:rPr>
                <w:noProof/>
                <w:webHidden/>
              </w:rPr>
              <w:fldChar w:fldCharType="end"/>
            </w:r>
          </w:hyperlink>
        </w:p>
        <w:p w:rsidR="005035BE" w:rsidRDefault="007D647F">
          <w:pPr>
            <w:pStyle w:val="TOC3"/>
            <w:tabs>
              <w:tab w:val="left" w:pos="1916"/>
            </w:tabs>
            <w:rPr>
              <w:rFonts w:asciiTheme="minorHAnsi" w:eastAsiaTheme="minorEastAsia" w:hAnsiTheme="minorHAnsi" w:cstheme="minorBidi"/>
              <w:noProof/>
              <w:sz w:val="22"/>
              <w:szCs w:val="22"/>
              <w:lang w:bidi="ar-SA"/>
            </w:rPr>
          </w:pPr>
          <w:hyperlink w:anchor="_Toc472591192" w:history="1">
            <w:r>
              <w:rPr>
                <w:rStyle w:val="Hyperlink"/>
                <w:noProof/>
                <w:lang w:val="en-GB"/>
              </w:rPr>
              <w:t>2.3.6.</w:t>
            </w:r>
            <w:r>
              <w:rPr>
                <w:rFonts w:asciiTheme="minorHAnsi" w:eastAsiaTheme="minorEastAsia" w:hAnsiTheme="minorHAnsi" w:cstheme="minorBidi"/>
                <w:noProof/>
                <w:sz w:val="22"/>
                <w:szCs w:val="22"/>
                <w:lang w:bidi="ar-SA"/>
              </w:rPr>
              <w:tab/>
            </w:r>
            <w:r>
              <w:rPr>
                <w:rStyle w:val="Hyperlink"/>
                <w:noProof/>
              </w:rPr>
              <w:t xml:space="preserve">Pasākumi </w:t>
            </w:r>
            <w:r>
              <w:rPr>
                <w:rStyle w:val="Hyperlink"/>
                <w:noProof/>
              </w:rPr>
              <w:t>pret tīmekļa vietnēm, kurās ir bērnu pornogrāfija vai caur kurām to izplata (25. pants)</w:t>
            </w:r>
            <w:r>
              <w:rPr>
                <w:noProof/>
                <w:webHidden/>
              </w:rPr>
              <w:tab/>
            </w:r>
            <w:r>
              <w:rPr>
                <w:noProof/>
                <w:webHidden/>
              </w:rPr>
              <w:fldChar w:fldCharType="begin"/>
            </w:r>
            <w:r>
              <w:rPr>
                <w:noProof/>
                <w:webHidden/>
              </w:rPr>
              <w:instrText xml:space="preserve"> PAGEREF _Toc472591192 \h </w:instrText>
            </w:r>
            <w:r>
              <w:rPr>
                <w:noProof/>
                <w:webHidden/>
              </w:rPr>
            </w:r>
            <w:r>
              <w:rPr>
                <w:noProof/>
                <w:webHidden/>
              </w:rPr>
              <w:fldChar w:fldCharType="separate"/>
            </w:r>
            <w:r>
              <w:rPr>
                <w:noProof/>
                <w:webHidden/>
              </w:rPr>
              <w:t>21</w:t>
            </w:r>
            <w:r>
              <w:rPr>
                <w:noProof/>
                <w:webHidden/>
              </w:rPr>
              <w:fldChar w:fldCharType="end"/>
            </w:r>
          </w:hyperlink>
        </w:p>
        <w:p w:rsidR="005035BE" w:rsidRDefault="007D647F">
          <w:pPr>
            <w:pStyle w:val="TOC1"/>
            <w:rPr>
              <w:rFonts w:asciiTheme="minorHAnsi" w:eastAsiaTheme="minorEastAsia" w:hAnsiTheme="minorHAnsi" w:cstheme="minorBidi"/>
              <w:caps w:val="0"/>
              <w:noProof/>
              <w:sz w:val="22"/>
              <w:szCs w:val="22"/>
              <w:lang w:bidi="ar-SA"/>
            </w:rPr>
          </w:pPr>
          <w:hyperlink w:anchor="_Toc472591193" w:history="1">
            <w:r>
              <w:rPr>
                <w:rStyle w:val="Hyperlink"/>
                <w:noProof/>
              </w:rPr>
              <w:t>3.</w:t>
            </w:r>
            <w:r>
              <w:rPr>
                <w:rFonts w:asciiTheme="minorHAnsi" w:eastAsiaTheme="minorEastAsia" w:hAnsiTheme="minorHAnsi" w:cstheme="minorBidi"/>
                <w:caps w:val="0"/>
                <w:noProof/>
                <w:sz w:val="22"/>
                <w:szCs w:val="22"/>
                <w:lang w:bidi="ar-SA"/>
              </w:rPr>
              <w:tab/>
            </w:r>
            <w:r>
              <w:rPr>
                <w:rStyle w:val="Hyperlink"/>
                <w:noProof/>
              </w:rPr>
              <w:t>SECINĀJUMI UN TURPMĀKĀ RĪCĪBA</w:t>
            </w:r>
            <w:r>
              <w:rPr>
                <w:noProof/>
                <w:webHidden/>
              </w:rPr>
              <w:tab/>
            </w:r>
            <w:r>
              <w:rPr>
                <w:noProof/>
                <w:webHidden/>
              </w:rPr>
              <w:fldChar w:fldCharType="begin"/>
            </w:r>
            <w:r>
              <w:rPr>
                <w:noProof/>
                <w:webHidden/>
              </w:rPr>
              <w:instrText xml:space="preserve"> PAGEREF _Toc472591193 \h </w:instrText>
            </w:r>
            <w:r>
              <w:rPr>
                <w:noProof/>
                <w:webHidden/>
              </w:rPr>
            </w:r>
            <w:r>
              <w:rPr>
                <w:noProof/>
                <w:webHidden/>
              </w:rPr>
              <w:fldChar w:fldCharType="separate"/>
            </w:r>
            <w:r>
              <w:rPr>
                <w:noProof/>
                <w:webHidden/>
              </w:rPr>
              <w:t>22</w:t>
            </w:r>
            <w:r>
              <w:rPr>
                <w:noProof/>
                <w:webHidden/>
              </w:rPr>
              <w:fldChar w:fldCharType="end"/>
            </w:r>
          </w:hyperlink>
        </w:p>
        <w:p w:rsidR="005035BE" w:rsidRDefault="007D647F">
          <w:pPr>
            <w:pStyle w:val="TOC1"/>
            <w:spacing w:line="209" w:lineRule="auto"/>
            <w:rPr>
              <w:rFonts w:asciiTheme="minorHAnsi" w:eastAsiaTheme="minorEastAsia" w:hAnsiTheme="minorHAnsi" w:cstheme="minorBidi"/>
              <w:caps w:val="0"/>
              <w:noProof/>
              <w:sz w:val="22"/>
              <w:szCs w:val="22"/>
            </w:rPr>
          </w:pPr>
          <w:r>
            <w:rPr>
              <w:bCs/>
              <w:noProof/>
              <w:sz w:val="23"/>
              <w:szCs w:val="23"/>
            </w:rPr>
            <w:fldChar w:fldCharType="end"/>
          </w:r>
        </w:p>
      </w:sdtContent>
    </w:sdt>
    <w:bookmarkStart w:id="4" w:name="_Toc469041928" w:displacedByCustomXml="prev"/>
    <w:bookmarkStart w:id="5" w:name="_Toc450907140" w:displacedByCustomXml="prev"/>
    <w:p w:rsidR="007D647F" w:rsidRDefault="007D647F">
      <w:pPr>
        <w:spacing w:after="0"/>
        <w:jc w:val="left"/>
        <w:rPr>
          <w:b/>
          <w:smallCaps/>
          <w:noProof/>
        </w:rPr>
      </w:pPr>
      <w:bookmarkStart w:id="6" w:name="_Toc472591162"/>
      <w:r>
        <w:rPr>
          <w:noProof/>
        </w:rPr>
        <w:br w:type="page"/>
      </w:r>
    </w:p>
    <w:p w:rsidR="005035BE" w:rsidRDefault="007D647F">
      <w:pPr>
        <w:pStyle w:val="Heading1"/>
        <w:rPr>
          <w:noProof/>
          <w:szCs w:val="24"/>
        </w:rPr>
      </w:pPr>
      <w:r>
        <w:rPr>
          <w:noProof/>
        </w:rPr>
        <w:t>IEVADS</w:t>
      </w:r>
      <w:bookmarkEnd w:id="6"/>
      <w:bookmarkEnd w:id="2"/>
      <w:bookmarkEnd w:id="1"/>
      <w:bookmarkEnd w:id="5"/>
      <w:bookmarkEnd w:id="4"/>
    </w:p>
    <w:p w:rsidR="005035BE" w:rsidRDefault="007D647F">
      <w:pPr>
        <w:pStyle w:val="Text2"/>
        <w:spacing w:after="120"/>
        <w:ind w:left="0"/>
        <w:rPr>
          <w:noProof/>
          <w:szCs w:val="24"/>
        </w:rPr>
      </w:pPr>
      <w:r>
        <w:rPr>
          <w:noProof/>
        </w:rPr>
        <w:t xml:space="preserve">Seksuāla vardarbība pret bērniem un bērnu seksuāla izmantošana ir īpaši smagi noziegumi. Tie rada ilgtermiņa fizisku, psiholoģisku un sociālu </w:t>
      </w:r>
      <w:r>
        <w:rPr>
          <w:noProof/>
        </w:rPr>
        <w:t>kaitējumu neaizsargātiem cietušajiem, kuriem ir tiesības uz īpašu aizsardzību un gādību, kas tiem ir nepieciešama. Turklāt seksuālu vardarbību pret bērniem attēlojoši materiāli, kas tiesību aktos tiek dēvēti par “bērnu pornogrāfiju”, veido vairākus noziegu</w:t>
      </w:r>
      <w:r>
        <w:rPr>
          <w:noProof/>
        </w:rPr>
        <w:t>mus pret ikvienu cietušo. Vispirms — seksuāla vardarbība, kas ir fotografēta vai ierakstīta. Pēc tam — katru reizi, kad attēli vai videomateriāli tiek publicēti, izplatīti vai aplūkoti, tiek īstenots rupjš bērna privātuma pārkāpums. Papildu trauma tiek rad</w:t>
      </w:r>
      <w:r>
        <w:rPr>
          <w:noProof/>
        </w:rPr>
        <w:t>īta, ja bērns zina, ka attēli un videomateriāli tiek izplatīti un draugi vai radinieki var tos redzēt.</w:t>
      </w:r>
    </w:p>
    <w:p w:rsidR="005035BE" w:rsidRDefault="007D647F">
      <w:pPr>
        <w:pStyle w:val="Text2"/>
        <w:spacing w:after="120"/>
        <w:ind w:left="0"/>
        <w:rPr>
          <w:noProof/>
          <w:szCs w:val="24"/>
        </w:rPr>
      </w:pPr>
      <w:bookmarkStart w:id="7" w:name="_Toc450906550"/>
      <w:bookmarkStart w:id="8" w:name="_Toc450906679"/>
      <w:bookmarkStart w:id="9" w:name="_Toc450907141"/>
      <w:r>
        <w:rPr>
          <w:noProof/>
        </w:rPr>
        <w:t xml:space="preserve">Lai efektīvi apkarotu šos noziegumus, ir nepieciešama integrēta un visaptveroša pieeja, kas ietver </w:t>
      </w:r>
      <w:r>
        <w:rPr>
          <w:b/>
          <w:noProof/>
        </w:rPr>
        <w:t>noziegumu izmeklēšanu un saukšanu pie kriminālatbildīb</w:t>
      </w:r>
      <w:r>
        <w:rPr>
          <w:b/>
          <w:noProof/>
        </w:rPr>
        <w:t>as par tiem, palīdzību cietušajiem un to aizsardzību, un preventīvus pasākumus</w:t>
      </w:r>
      <w:r>
        <w:rPr>
          <w:noProof/>
        </w:rPr>
        <w:t>.</w:t>
      </w:r>
    </w:p>
    <w:p w:rsidR="005035BE" w:rsidRDefault="007D647F">
      <w:pPr>
        <w:pStyle w:val="Heading2"/>
        <w:tabs>
          <w:tab w:val="clear" w:pos="1200"/>
        </w:tabs>
        <w:spacing w:before="240"/>
        <w:ind w:left="567" w:hanging="567"/>
        <w:rPr>
          <w:noProof/>
          <w:szCs w:val="24"/>
        </w:rPr>
      </w:pPr>
      <w:bookmarkStart w:id="10" w:name="_Toc469041929"/>
      <w:bookmarkStart w:id="11" w:name="_Toc472591163"/>
      <w:bookmarkEnd w:id="7"/>
      <w:bookmarkEnd w:id="8"/>
      <w:bookmarkEnd w:id="9"/>
      <w:r>
        <w:rPr>
          <w:noProof/>
        </w:rPr>
        <w:t>Direktīvas mērķi un tvērums</w:t>
      </w:r>
      <w:bookmarkEnd w:id="10"/>
      <w:bookmarkEnd w:id="11"/>
    </w:p>
    <w:p w:rsidR="005035BE" w:rsidRDefault="007D647F">
      <w:pPr>
        <w:pStyle w:val="Text2"/>
        <w:spacing w:after="120"/>
        <w:ind w:left="0"/>
        <w:rPr>
          <w:noProof/>
          <w:szCs w:val="24"/>
        </w:rPr>
      </w:pPr>
      <w:r>
        <w:rPr>
          <w:noProof/>
        </w:rPr>
        <w:t>Direktīvā ir ievērota visaptveroša pieeja, kas nepieciešama šo noziegumu efektīvai apkarošanai un kas ietver plašus juridisko instrumentu noteikumus</w:t>
      </w:r>
      <w:r>
        <w:rPr>
          <w:noProof/>
        </w:rPr>
        <w:t>, aptverot nodarījumu izmeklēšanu un saukšanu pie kriminālatbildību par tiem (2.–9. pants un 11.–17. pants), palīdzību cietušajiem un to aizsardzību (18.–20. pants) un preventīvos pasākumus (10. pants un 21.–25. pants).</w:t>
      </w:r>
    </w:p>
    <w:p w:rsidR="005035BE" w:rsidRDefault="007D647F">
      <w:pPr>
        <w:pStyle w:val="Text2"/>
        <w:spacing w:after="120"/>
        <w:ind w:left="0"/>
        <w:rPr>
          <w:noProof/>
          <w:szCs w:val="24"/>
        </w:rPr>
      </w:pPr>
      <w:r>
        <w:rPr>
          <w:noProof/>
        </w:rPr>
        <w:t xml:space="preserve">Lai efektīvi </w:t>
      </w:r>
      <w:r>
        <w:rPr>
          <w:b/>
          <w:noProof/>
        </w:rPr>
        <w:t>izmeklētu nodarījumus u</w:t>
      </w:r>
      <w:r>
        <w:rPr>
          <w:b/>
          <w:noProof/>
        </w:rPr>
        <w:t>n sauktu pie kriminālatbildības par tiem</w:t>
      </w:r>
      <w:r>
        <w:rPr>
          <w:noProof/>
        </w:rPr>
        <w:t>, direktīva jo īpaši ietver šādus punktus.</w:t>
      </w:r>
    </w:p>
    <w:p w:rsidR="005035BE" w:rsidRDefault="007D647F">
      <w:pPr>
        <w:numPr>
          <w:ilvl w:val="0"/>
          <w:numId w:val="28"/>
        </w:numPr>
        <w:kinsoku w:val="0"/>
        <w:overflowPunct w:val="0"/>
        <w:spacing w:after="120"/>
        <w:textAlignment w:val="baseline"/>
        <w:rPr>
          <w:noProof/>
          <w:szCs w:val="24"/>
        </w:rPr>
      </w:pPr>
      <w:r>
        <w:rPr>
          <w:noProof/>
          <w:color w:val="000000"/>
          <w:kern w:val="24"/>
        </w:rPr>
        <w:t>Kriminālatbildības paredzēšana par dažādām situācijām, kas ir saistītas ar seksuālu vardarbību pret bērniem un bērnu seksuālu izmantošanu gan tiešsaistē, gan bezsaistē (20 d</w:t>
      </w:r>
      <w:r>
        <w:rPr>
          <w:noProof/>
          <w:color w:val="000000"/>
          <w:kern w:val="24"/>
        </w:rPr>
        <w:t>ažādi nodarījumi, 2.–7. pants). To starpā ir jaunas parādības, piemēram, iedraudzināšana tiešsaistē (6. pants) un seksuāla vardarbība, izmantojot tīmekļa kameru, un vardarbību pret bērnu saturošu attēlu aplūkošana tiešsaistē, neveicot to lejupielādi (5. pa</w:t>
      </w:r>
      <w:r>
        <w:rPr>
          <w:noProof/>
          <w:color w:val="000000"/>
          <w:kern w:val="24"/>
        </w:rPr>
        <w:t>nts, jo īpaši 3. punkts).</w:t>
      </w:r>
    </w:p>
    <w:p w:rsidR="005035BE" w:rsidRDefault="007D647F">
      <w:pPr>
        <w:numPr>
          <w:ilvl w:val="0"/>
          <w:numId w:val="28"/>
        </w:numPr>
        <w:kinsoku w:val="0"/>
        <w:overflowPunct w:val="0"/>
        <w:spacing w:after="120"/>
        <w:textAlignment w:val="baseline"/>
        <w:rPr>
          <w:noProof/>
          <w:szCs w:val="24"/>
        </w:rPr>
      </w:pPr>
      <w:r>
        <w:rPr>
          <w:noProof/>
          <w:color w:val="000000"/>
          <w:kern w:val="24"/>
        </w:rPr>
        <w:t xml:space="preserve">Palielinātas soda pakāpes. Valstu tiesību aktos noteiktās maksimālās sankcijas nedrīkst būt zemākas par noteiktajām pakāpēm (cietumsods no 1 līdz 10 gadiem), kas ir atkarīgas no nodarījuma smaguma (3.–6. pants). Ir jāņem vērā arī </w:t>
      </w:r>
      <w:r>
        <w:rPr>
          <w:noProof/>
          <w:color w:val="000000"/>
          <w:kern w:val="24"/>
        </w:rPr>
        <w:t>vairāki atbildību pastiprinoši apstākļi (9. pants).</w:t>
      </w:r>
    </w:p>
    <w:p w:rsidR="005035BE" w:rsidRDefault="007D647F">
      <w:pPr>
        <w:numPr>
          <w:ilvl w:val="0"/>
          <w:numId w:val="28"/>
        </w:numPr>
        <w:kinsoku w:val="0"/>
        <w:overflowPunct w:val="0"/>
        <w:spacing w:after="120"/>
        <w:textAlignment w:val="baseline"/>
        <w:rPr>
          <w:noProof/>
          <w:szCs w:val="24"/>
        </w:rPr>
      </w:pPr>
      <w:r>
        <w:rPr>
          <w:noProof/>
          <w:color w:val="000000"/>
          <w:kern w:val="24"/>
        </w:rPr>
        <w:t>Noilguma pagarināšana pēc cietušā pilngadības sasniegšanas (15. panta 2. punkts).</w:t>
      </w:r>
    </w:p>
    <w:p w:rsidR="005035BE" w:rsidRDefault="007D647F">
      <w:pPr>
        <w:numPr>
          <w:ilvl w:val="0"/>
          <w:numId w:val="28"/>
        </w:numPr>
        <w:kinsoku w:val="0"/>
        <w:overflowPunct w:val="0"/>
        <w:spacing w:after="120"/>
        <w:textAlignment w:val="baseline"/>
        <w:rPr>
          <w:rFonts w:eastAsia="MS PGothic"/>
          <w:noProof/>
          <w:color w:val="000000"/>
          <w:kern w:val="24"/>
          <w:szCs w:val="24"/>
        </w:rPr>
      </w:pPr>
      <w:r>
        <w:rPr>
          <w:noProof/>
          <w:color w:val="000000"/>
          <w:kern w:val="24"/>
        </w:rPr>
        <w:t xml:space="preserve">Pienākums tiesībaizsardzības un prokuratūras dienestiem nodrošināt tādus efektīvus līdzekļus, kas tiek izmantoti </w:t>
      </w:r>
      <w:r>
        <w:rPr>
          <w:noProof/>
          <w:color w:val="000000"/>
          <w:kern w:val="24"/>
        </w:rPr>
        <w:t>organizētās noziedzības un smagu noziegumu izmeklēšanā, lai izmeklētu nodarījumus saistībā ar seksuālu vardarbību pret bērniem, bērnu seksuālu izmantošanu un bērnu pornogrāfiju (15. panta 3. punkts). Ir jāizveido arī tāda tiesībaizsardzība, lai identificēt</w:t>
      </w:r>
      <w:r>
        <w:rPr>
          <w:noProof/>
          <w:color w:val="000000"/>
          <w:kern w:val="24"/>
        </w:rPr>
        <w:t>u šajos nodarījumos cietušos (15. panta 4. punkts).</w:t>
      </w:r>
    </w:p>
    <w:p w:rsidR="005035BE" w:rsidRDefault="007D647F">
      <w:pPr>
        <w:numPr>
          <w:ilvl w:val="0"/>
          <w:numId w:val="28"/>
        </w:numPr>
        <w:kinsoku w:val="0"/>
        <w:overflowPunct w:val="0"/>
        <w:spacing w:after="120"/>
        <w:textAlignment w:val="baseline"/>
        <w:rPr>
          <w:rFonts w:eastAsia="MS PGothic"/>
          <w:noProof/>
          <w:color w:val="000000"/>
          <w:kern w:val="24"/>
          <w:szCs w:val="24"/>
        </w:rPr>
      </w:pPr>
      <w:r>
        <w:rPr>
          <w:noProof/>
          <w:color w:val="000000"/>
          <w:kern w:val="24"/>
        </w:rPr>
        <w:t>Šķēršļu (kurus radījuši konfidencialitātes noteikumi) novēršana attiecībā uz speciālistu, kuru galvenais pienākums ir darbs ar bērniem, veikto ziņošanu (16. pants).</w:t>
      </w:r>
    </w:p>
    <w:p w:rsidR="005035BE" w:rsidRDefault="007D647F">
      <w:pPr>
        <w:pStyle w:val="Text2"/>
        <w:numPr>
          <w:ilvl w:val="0"/>
          <w:numId w:val="28"/>
        </w:numPr>
        <w:spacing w:after="120"/>
        <w:rPr>
          <w:rFonts w:eastAsia="MS PGothic"/>
          <w:noProof/>
          <w:color w:val="000000"/>
          <w:kern w:val="24"/>
          <w:szCs w:val="24"/>
        </w:rPr>
      </w:pPr>
      <w:r>
        <w:rPr>
          <w:noProof/>
          <w:color w:val="000000"/>
          <w:kern w:val="24"/>
        </w:rPr>
        <w:t>Jurisdikcija lietām, kurās vainojami no</w:t>
      </w:r>
      <w:r>
        <w:rPr>
          <w:noProof/>
          <w:color w:val="000000"/>
          <w:kern w:val="24"/>
        </w:rPr>
        <w:t>darījumu izdarītāji, kas ir valsts, kurā tiek veikta izmeklēšana, valstspiederīgie, lai tos varētu saukt pie kriminālatbildības arī viņu valstī par noziegumiem, ko tie ir izdarījuši citās dalībvalstīs vai trešajās valstīs (17. panta 1.–3. punkts).</w:t>
      </w:r>
    </w:p>
    <w:p w:rsidR="005035BE" w:rsidRDefault="007D647F">
      <w:pPr>
        <w:pStyle w:val="Text2"/>
        <w:numPr>
          <w:ilvl w:val="0"/>
          <w:numId w:val="28"/>
        </w:numPr>
        <w:spacing w:after="120"/>
        <w:rPr>
          <w:rFonts w:eastAsia="MS PGothic"/>
          <w:noProof/>
          <w:color w:val="000000"/>
          <w:kern w:val="24"/>
          <w:szCs w:val="24"/>
        </w:rPr>
      </w:pPr>
      <w:r>
        <w:rPr>
          <w:noProof/>
          <w:color w:val="000000"/>
          <w:kern w:val="24"/>
        </w:rPr>
        <w:t>Nosacīju</w:t>
      </w:r>
      <w:r>
        <w:rPr>
          <w:noProof/>
          <w:color w:val="000000"/>
          <w:kern w:val="24"/>
        </w:rPr>
        <w:t>mu atcelšana attiecībā uz abpusējo sodāmību un ziņošanu valstī, kur nodarījums tika izdarīts, saucot pie kriminālatbildības par noziegumiem, kas izdarīti citās dalībvalstīs vai trešajās valstīs (17. panta 4. un 5. punkts).</w:t>
      </w:r>
    </w:p>
    <w:p w:rsidR="005035BE" w:rsidRDefault="007D647F">
      <w:pPr>
        <w:pStyle w:val="Text2"/>
        <w:keepNext/>
        <w:spacing w:after="120"/>
        <w:ind w:left="0"/>
        <w:rPr>
          <w:noProof/>
          <w:szCs w:val="24"/>
        </w:rPr>
      </w:pPr>
      <w:r>
        <w:rPr>
          <w:noProof/>
        </w:rPr>
        <w:t xml:space="preserve">Attiecībā uz </w:t>
      </w:r>
      <w:r>
        <w:rPr>
          <w:b/>
          <w:noProof/>
        </w:rPr>
        <w:t>palīdzību cietušajie</w:t>
      </w:r>
      <w:r>
        <w:rPr>
          <w:b/>
          <w:noProof/>
        </w:rPr>
        <w:t>m bērniem un viņu aizsardzību</w:t>
      </w:r>
      <w:r>
        <w:rPr>
          <w:noProof/>
        </w:rPr>
        <w:t xml:space="preserve"> direktīva jo īpaši ietver noteikumus, kas nosaka šādus punktus.</w:t>
      </w:r>
    </w:p>
    <w:p w:rsidR="005035BE" w:rsidRDefault="007D647F">
      <w:pPr>
        <w:numPr>
          <w:ilvl w:val="0"/>
          <w:numId w:val="29"/>
        </w:numPr>
        <w:kinsoku w:val="0"/>
        <w:overflowPunct w:val="0"/>
        <w:spacing w:after="120"/>
        <w:textAlignment w:val="baseline"/>
        <w:rPr>
          <w:rFonts w:eastAsia="MS PGothic"/>
          <w:noProof/>
          <w:color w:val="000000"/>
          <w:kern w:val="24"/>
          <w:szCs w:val="24"/>
        </w:rPr>
      </w:pPr>
      <w:r>
        <w:rPr>
          <w:noProof/>
          <w:color w:val="000000"/>
          <w:kern w:val="24"/>
        </w:rPr>
        <w:t>Plaši palīdzības, atbalsta un aizsardzības pasākumi, jo īpaši, lai neradītu cietušajiem bērniem papildu traumu attiecībā uz to iesaistīšanu kriminālizmeklēšanā un</w:t>
      </w:r>
      <w:r>
        <w:rPr>
          <w:noProof/>
          <w:color w:val="000000"/>
          <w:kern w:val="24"/>
        </w:rPr>
        <w:t xml:space="preserve"> kriminālprocesā, cita starpā izveidojot īpašus standartus cietušo bērnu pratināšanai (18.–20. pants).</w:t>
      </w:r>
    </w:p>
    <w:p w:rsidR="005035BE" w:rsidRDefault="007D647F">
      <w:pPr>
        <w:numPr>
          <w:ilvl w:val="0"/>
          <w:numId w:val="29"/>
        </w:numPr>
        <w:kinsoku w:val="0"/>
        <w:overflowPunct w:val="0"/>
        <w:spacing w:after="120"/>
        <w:textAlignment w:val="baseline"/>
        <w:rPr>
          <w:rFonts w:eastAsia="MS PGothic"/>
          <w:noProof/>
          <w:color w:val="000000"/>
          <w:kern w:val="24"/>
          <w:szCs w:val="24"/>
        </w:rPr>
      </w:pPr>
      <w:r>
        <w:rPr>
          <w:noProof/>
          <w:color w:val="000000"/>
          <w:kern w:val="24"/>
        </w:rPr>
        <w:t>Palīdzība un atbalsts, tiklīdz ir pamatots iemesls aizdomām par nodarījumu (18. panta 2. punkts).</w:t>
      </w:r>
    </w:p>
    <w:p w:rsidR="005035BE" w:rsidRDefault="007D647F">
      <w:pPr>
        <w:numPr>
          <w:ilvl w:val="0"/>
          <w:numId w:val="29"/>
        </w:numPr>
        <w:kinsoku w:val="0"/>
        <w:overflowPunct w:val="0"/>
        <w:spacing w:after="120"/>
        <w:textAlignment w:val="baseline"/>
        <w:rPr>
          <w:rFonts w:eastAsia="MS PGothic"/>
          <w:noProof/>
          <w:color w:val="000000"/>
          <w:kern w:val="24"/>
          <w:szCs w:val="24"/>
        </w:rPr>
      </w:pPr>
      <w:r>
        <w:rPr>
          <w:noProof/>
          <w:color w:val="000000"/>
          <w:kern w:val="24"/>
        </w:rPr>
        <w:t>Īpaša aizsardzība bērniem, kuri ziņo par vardarbību ģim</w:t>
      </w:r>
      <w:r>
        <w:rPr>
          <w:noProof/>
          <w:color w:val="000000"/>
          <w:kern w:val="24"/>
        </w:rPr>
        <w:t>enē (19. panta 1. punkts).</w:t>
      </w:r>
    </w:p>
    <w:p w:rsidR="005035BE" w:rsidRDefault="007D647F">
      <w:pPr>
        <w:numPr>
          <w:ilvl w:val="0"/>
          <w:numId w:val="29"/>
        </w:numPr>
        <w:kinsoku w:val="0"/>
        <w:overflowPunct w:val="0"/>
        <w:spacing w:after="120"/>
        <w:textAlignment w:val="baseline"/>
        <w:rPr>
          <w:rFonts w:eastAsia="MS PGothic"/>
          <w:noProof/>
          <w:color w:val="000000"/>
          <w:kern w:val="24"/>
          <w:szCs w:val="24"/>
        </w:rPr>
      </w:pPr>
      <w:r>
        <w:rPr>
          <w:noProof/>
          <w:color w:val="000000"/>
          <w:kern w:val="24"/>
        </w:rPr>
        <w:t>Palīdzība un atbalsts, kas nav atkarīga(-s) no sadarbošanās kriminālprocesā (19. panta 2. punkts).</w:t>
      </w:r>
    </w:p>
    <w:p w:rsidR="005035BE" w:rsidRDefault="007D647F">
      <w:pPr>
        <w:numPr>
          <w:ilvl w:val="0"/>
          <w:numId w:val="29"/>
        </w:numPr>
        <w:kinsoku w:val="0"/>
        <w:overflowPunct w:val="0"/>
        <w:spacing w:after="120"/>
        <w:textAlignment w:val="baseline"/>
        <w:rPr>
          <w:rFonts w:eastAsia="MS PGothic"/>
          <w:noProof/>
          <w:color w:val="000000"/>
          <w:kern w:val="24"/>
          <w:szCs w:val="24"/>
        </w:rPr>
      </w:pPr>
      <w:r>
        <w:rPr>
          <w:noProof/>
          <w:color w:val="000000"/>
          <w:kern w:val="24"/>
        </w:rPr>
        <w:t>Cietušo privātuma, identitātes un reputācijas aizsardzība (20. panta 6. punkts).</w:t>
      </w:r>
    </w:p>
    <w:p w:rsidR="005035BE" w:rsidRDefault="007D647F">
      <w:pPr>
        <w:pStyle w:val="Text2"/>
        <w:spacing w:after="120"/>
        <w:ind w:left="0"/>
        <w:rPr>
          <w:noProof/>
          <w:szCs w:val="24"/>
        </w:rPr>
      </w:pPr>
      <w:r>
        <w:rPr>
          <w:noProof/>
        </w:rPr>
        <w:t xml:space="preserve">Visbeidzot, </w:t>
      </w:r>
      <w:r>
        <w:rPr>
          <w:b/>
          <w:noProof/>
        </w:rPr>
        <w:t>lai novērstu šos noziegumus</w:t>
      </w:r>
      <w:r>
        <w:rPr>
          <w:noProof/>
        </w:rPr>
        <w:t>, direktīv</w:t>
      </w:r>
      <w:r>
        <w:rPr>
          <w:noProof/>
        </w:rPr>
        <w:t>a jo īpaši ietver šādus punktus.</w:t>
      </w:r>
    </w:p>
    <w:p w:rsidR="005035BE" w:rsidRDefault="007D647F">
      <w:pPr>
        <w:numPr>
          <w:ilvl w:val="0"/>
          <w:numId w:val="30"/>
        </w:numPr>
        <w:kinsoku w:val="0"/>
        <w:overflowPunct w:val="0"/>
        <w:spacing w:after="120"/>
        <w:textAlignment w:val="baseline"/>
        <w:rPr>
          <w:rFonts w:eastAsia="MS PGothic"/>
          <w:noProof/>
          <w:color w:val="000000"/>
          <w:kern w:val="24"/>
          <w:szCs w:val="24"/>
        </w:rPr>
      </w:pPr>
      <w:r>
        <w:rPr>
          <w:noProof/>
          <w:color w:val="000000"/>
          <w:kern w:val="24"/>
        </w:rPr>
        <w:t>Mehānismi, lai nodrošinātu, ka notiesātajiem nodarījumu izdarītājiem tiek liegts veikt profesionālu darbību, kas ietver tiešu un regulāru saskarsmi ar bērniem (10. panta 1. punkts).</w:t>
      </w:r>
    </w:p>
    <w:p w:rsidR="005035BE" w:rsidRDefault="007D647F">
      <w:pPr>
        <w:numPr>
          <w:ilvl w:val="0"/>
          <w:numId w:val="30"/>
        </w:numPr>
        <w:kinsoku w:val="0"/>
        <w:overflowPunct w:val="0"/>
        <w:spacing w:after="120"/>
        <w:textAlignment w:val="baseline"/>
        <w:rPr>
          <w:rFonts w:eastAsia="MS PGothic"/>
          <w:noProof/>
          <w:color w:val="000000"/>
          <w:kern w:val="24"/>
          <w:szCs w:val="24"/>
        </w:rPr>
      </w:pPr>
      <w:r>
        <w:rPr>
          <w:noProof/>
          <w:color w:val="000000"/>
          <w:kern w:val="24"/>
        </w:rPr>
        <w:t xml:space="preserve">Darba devēju tiesības pieprasīt </w:t>
      </w:r>
      <w:r>
        <w:rPr>
          <w:noProof/>
          <w:color w:val="000000"/>
          <w:kern w:val="24"/>
        </w:rPr>
        <w:t>informāciju par notiesājošiem spriedumiem un aizliegumiem veikt profesionālu vai organizētu brīvprātīgu darbību, kas ietver tiešu un regulāru saskarsmi ar bērniem (10. panta 2. punkts).</w:t>
      </w:r>
    </w:p>
    <w:p w:rsidR="005035BE" w:rsidRDefault="007D647F">
      <w:pPr>
        <w:numPr>
          <w:ilvl w:val="0"/>
          <w:numId w:val="30"/>
        </w:numPr>
        <w:kinsoku w:val="0"/>
        <w:overflowPunct w:val="0"/>
        <w:spacing w:after="120"/>
        <w:textAlignment w:val="baseline"/>
        <w:rPr>
          <w:rFonts w:eastAsia="MS PGothic"/>
          <w:noProof/>
          <w:color w:val="000000"/>
          <w:kern w:val="24"/>
          <w:szCs w:val="24"/>
        </w:rPr>
      </w:pPr>
      <w:r>
        <w:rPr>
          <w:noProof/>
          <w:color w:val="000000"/>
          <w:kern w:val="24"/>
        </w:rPr>
        <w:t xml:space="preserve">Informācijas apmaiņas starp valstu sodāmības reģistriem (izmantojot </w:t>
      </w:r>
      <w:r>
        <w:rPr>
          <w:i/>
          <w:noProof/>
          <w:color w:val="000000"/>
          <w:kern w:val="24"/>
        </w:rPr>
        <w:t>EC</w:t>
      </w:r>
      <w:r>
        <w:rPr>
          <w:i/>
          <w:noProof/>
          <w:color w:val="000000"/>
          <w:kern w:val="24"/>
        </w:rPr>
        <w:t>RIS</w:t>
      </w:r>
      <w:r>
        <w:rPr>
          <w:rStyle w:val="FootnoteReference"/>
          <w:noProof/>
          <w:color w:val="000000"/>
          <w:kern w:val="24"/>
        </w:rPr>
        <w:footnoteReference w:id="1"/>
      </w:r>
      <w:r>
        <w:rPr>
          <w:noProof/>
          <w:color w:val="000000"/>
          <w:kern w:val="24"/>
        </w:rPr>
        <w:t xml:space="preserve"> sistēmu) veicināšana, lai nodrošinātu, ka darba devēju veiktās iepriekšējās darbības pārbaudes ir pilnīgas un ietver informāciju par nodarījuma izdarītāju jebkur ES izdarītajiem nodarījumiem (10. panta 3. punkts).</w:t>
      </w:r>
    </w:p>
    <w:p w:rsidR="005035BE" w:rsidRDefault="007D647F">
      <w:pPr>
        <w:numPr>
          <w:ilvl w:val="0"/>
          <w:numId w:val="30"/>
        </w:numPr>
        <w:kinsoku w:val="0"/>
        <w:overflowPunct w:val="0"/>
        <w:spacing w:after="120"/>
        <w:textAlignment w:val="baseline"/>
        <w:rPr>
          <w:rFonts w:eastAsia="MS PGothic"/>
          <w:noProof/>
          <w:color w:val="000000"/>
          <w:kern w:val="24"/>
          <w:szCs w:val="24"/>
        </w:rPr>
      </w:pPr>
      <w:r>
        <w:rPr>
          <w:noProof/>
          <w:color w:val="000000"/>
          <w:kern w:val="24"/>
        </w:rPr>
        <w:t>Prasība dalībvalstīm īstenot interven</w:t>
      </w:r>
      <w:r>
        <w:rPr>
          <w:noProof/>
          <w:color w:val="000000"/>
          <w:kern w:val="24"/>
        </w:rPr>
        <w:t>ces programmas vai pasākumus, piemēram, notiesātajiem nodarījumu izdarītājiem un citām personām, kuras baidās, ka tās varētu izdarīt nodarījumus, pieejamo terapiju (22. un 24. punkts).</w:t>
      </w:r>
    </w:p>
    <w:p w:rsidR="005035BE" w:rsidRDefault="007D647F">
      <w:pPr>
        <w:numPr>
          <w:ilvl w:val="0"/>
          <w:numId w:val="30"/>
        </w:numPr>
        <w:kinsoku w:val="0"/>
        <w:overflowPunct w:val="0"/>
        <w:spacing w:after="120"/>
        <w:textAlignment w:val="baseline"/>
        <w:rPr>
          <w:rFonts w:eastAsia="MS PGothic"/>
          <w:noProof/>
          <w:color w:val="000000"/>
          <w:kern w:val="24"/>
          <w:szCs w:val="24"/>
        </w:rPr>
      </w:pPr>
      <w:r>
        <w:rPr>
          <w:noProof/>
          <w:color w:val="000000"/>
          <w:kern w:val="24"/>
        </w:rPr>
        <w:t>Pienākums dalībvalstīm īstenot preventīvus pasākumus, piemēram, amatper</w:t>
      </w:r>
      <w:r>
        <w:rPr>
          <w:noProof/>
          <w:color w:val="000000"/>
          <w:kern w:val="24"/>
        </w:rPr>
        <w:t>sonu izglītošanu, izpratnes veicināšanu un apmācību (23. pants).</w:t>
      </w:r>
    </w:p>
    <w:p w:rsidR="005035BE" w:rsidRDefault="007D647F">
      <w:pPr>
        <w:numPr>
          <w:ilvl w:val="0"/>
          <w:numId w:val="30"/>
        </w:numPr>
        <w:kinsoku w:val="0"/>
        <w:overflowPunct w:val="0"/>
        <w:spacing w:after="120"/>
        <w:textAlignment w:val="baseline"/>
        <w:rPr>
          <w:rFonts w:eastAsia="MS PGothic"/>
          <w:noProof/>
          <w:color w:val="000000"/>
          <w:kern w:val="24"/>
          <w:szCs w:val="24"/>
        </w:rPr>
      </w:pPr>
      <w:r>
        <w:rPr>
          <w:noProof/>
          <w:color w:val="000000"/>
          <w:kern w:val="24"/>
        </w:rPr>
        <w:t>Obligāts novērtējums par visu notiesāto nodarījumu izdarītāju bīstamību un recidīvisma risku (24. panta 4. punkts).</w:t>
      </w:r>
    </w:p>
    <w:p w:rsidR="005035BE" w:rsidRDefault="007D647F">
      <w:pPr>
        <w:numPr>
          <w:ilvl w:val="0"/>
          <w:numId w:val="30"/>
        </w:numPr>
        <w:kinsoku w:val="0"/>
        <w:overflowPunct w:val="0"/>
        <w:spacing w:after="120"/>
        <w:textAlignment w:val="baseline"/>
        <w:rPr>
          <w:rFonts w:eastAsia="MS PGothic"/>
          <w:noProof/>
          <w:color w:val="000000"/>
          <w:kern w:val="24"/>
          <w:szCs w:val="24"/>
        </w:rPr>
      </w:pPr>
      <w:r>
        <w:rPr>
          <w:noProof/>
          <w:color w:val="000000"/>
          <w:kern w:val="24"/>
        </w:rPr>
        <w:t>Pienākums dalībvalstīm nodrošināt nekavējošu tādu tīmekļa vietņu likvidēšan</w:t>
      </w:r>
      <w:r>
        <w:rPr>
          <w:noProof/>
          <w:color w:val="000000"/>
          <w:kern w:val="24"/>
        </w:rPr>
        <w:t>u, kurās ir bērnu pornogrāfija vai caur kurām to izplata, to teritorijā, un veikt pasākumus šādu vietņu likvidēšanai, ja to serveri atrodas ārpus to teritorijas (25. panta 1. punkts).</w:t>
      </w:r>
    </w:p>
    <w:p w:rsidR="005035BE" w:rsidRDefault="007D647F">
      <w:pPr>
        <w:numPr>
          <w:ilvl w:val="0"/>
          <w:numId w:val="30"/>
        </w:numPr>
        <w:kinsoku w:val="0"/>
        <w:overflowPunct w:val="0"/>
        <w:spacing w:after="120"/>
        <w:textAlignment w:val="baseline"/>
        <w:rPr>
          <w:rFonts w:eastAsia="MS PGothic"/>
          <w:noProof/>
          <w:color w:val="000000"/>
          <w:kern w:val="24"/>
          <w:szCs w:val="24"/>
        </w:rPr>
      </w:pPr>
      <w:r>
        <w:rPr>
          <w:noProof/>
          <w:color w:val="000000"/>
          <w:kern w:val="24"/>
        </w:rPr>
        <w:t>Iespēja dalībvalstīm bloķēt piekļuvi tīmekļa vietnēm, kurās ir bērnu por</w:t>
      </w:r>
      <w:r>
        <w:rPr>
          <w:noProof/>
          <w:color w:val="000000"/>
          <w:kern w:val="24"/>
        </w:rPr>
        <w:t>nogrāfija vai caur kurām to izplata, interneta lietotājiem to teritorijā, izmantojot dažādus līdzekļus, tostarp publisku rīcību un nozares pašregulējumu (25. panta 2. punkts).</w:t>
      </w:r>
    </w:p>
    <w:p w:rsidR="005035BE" w:rsidRDefault="005035BE">
      <w:pPr>
        <w:pStyle w:val="Text2"/>
        <w:spacing w:after="0"/>
        <w:ind w:left="0"/>
        <w:rPr>
          <w:noProof/>
          <w:szCs w:val="24"/>
        </w:rPr>
      </w:pPr>
    </w:p>
    <w:p w:rsidR="005035BE" w:rsidRDefault="007D647F">
      <w:pPr>
        <w:pStyle w:val="Heading2"/>
        <w:tabs>
          <w:tab w:val="clear" w:pos="1200"/>
        </w:tabs>
        <w:ind w:left="567" w:hanging="567"/>
        <w:rPr>
          <w:noProof/>
          <w:szCs w:val="24"/>
        </w:rPr>
      </w:pPr>
      <w:bookmarkStart w:id="12" w:name="_Toc469041930"/>
      <w:bookmarkStart w:id="13" w:name="_Toc472591164"/>
      <w:bookmarkStart w:id="14" w:name="_Toc450906551"/>
      <w:bookmarkStart w:id="15" w:name="_Toc450906680"/>
      <w:bookmarkStart w:id="16" w:name="_Toc450907142"/>
      <w:r>
        <w:rPr>
          <w:noProof/>
        </w:rPr>
        <w:t>Ziņojuma mērķis un metodika</w:t>
      </w:r>
      <w:bookmarkEnd w:id="12"/>
      <w:bookmarkEnd w:id="13"/>
      <w:bookmarkEnd w:id="14"/>
      <w:bookmarkEnd w:id="15"/>
      <w:bookmarkEnd w:id="16"/>
    </w:p>
    <w:p w:rsidR="005035BE" w:rsidRDefault="007D647F">
      <w:pPr>
        <w:pStyle w:val="Text2"/>
        <w:spacing w:after="120"/>
        <w:ind w:left="0"/>
        <w:rPr>
          <w:noProof/>
          <w:szCs w:val="24"/>
        </w:rPr>
      </w:pPr>
      <w:r>
        <w:rPr>
          <w:noProof/>
        </w:rPr>
        <w:t>Saskaņā ar direktīvas 27. pantu dalībvalstīs</w:t>
      </w:r>
      <w:r>
        <w:rPr>
          <w:rStyle w:val="FootnoteReference"/>
          <w:noProof/>
        </w:rPr>
        <w:footnoteReference w:id="2"/>
      </w:r>
      <w:r>
        <w:rPr>
          <w:noProof/>
        </w:rPr>
        <w:t xml:space="preserve"> ir jā</w:t>
      </w:r>
      <w:r>
        <w:rPr>
          <w:noProof/>
        </w:rPr>
        <w:t>būt spēkā normatīvajiem un administratīvajiem aktiem, kas vajadzīgi, lai izpildītu šīs direktīvas prasības līdz 2013. gada 18. decembrim, un ir jāpaziņo par tiem Komisijai.</w:t>
      </w:r>
    </w:p>
    <w:p w:rsidR="005035BE" w:rsidRDefault="007D647F">
      <w:pPr>
        <w:pStyle w:val="Text2"/>
        <w:spacing w:after="120"/>
        <w:ind w:left="0"/>
        <w:rPr>
          <w:noProof/>
          <w:szCs w:val="24"/>
        </w:rPr>
      </w:pPr>
      <w:r>
        <w:rPr>
          <w:noProof/>
        </w:rPr>
        <w:t>Ar šo ziņojumu tiek izpildīta direktīvas 28. panta 1. punkta noteiktā prasība Komis</w:t>
      </w:r>
      <w:r>
        <w:rPr>
          <w:noProof/>
        </w:rPr>
        <w:t>ijai sniegt ziņojumu Eiropas Parlamentam un Padomei, izvērtējot, cik lielā mērā dalībvalstis veikušas pasākumus, kas vajadzīgi, lai izpildītu šo direktīvu</w:t>
      </w:r>
      <w:r>
        <w:rPr>
          <w:rStyle w:val="FootnoteReference"/>
          <w:noProof/>
        </w:rPr>
        <w:footnoteReference w:id="3"/>
      </w:r>
      <w:r>
        <w:rPr>
          <w:noProof/>
        </w:rPr>
        <w:t xml:space="preserve">. Ziņojuma mērķis ir nodrošināt īsu, bet informatīvu pārskatu par galvenajiem dalībvalstu veiktajiem </w:t>
      </w:r>
      <w:r>
        <w:rPr>
          <w:noProof/>
        </w:rPr>
        <w:t>transponēšanas pasākumiem.</w:t>
      </w:r>
    </w:p>
    <w:p w:rsidR="005035BE" w:rsidRDefault="007D647F">
      <w:pPr>
        <w:pStyle w:val="Text2"/>
        <w:spacing w:after="120"/>
        <w:ind w:left="0"/>
        <w:rPr>
          <w:noProof/>
          <w:szCs w:val="24"/>
        </w:rPr>
      </w:pPr>
      <w:r>
        <w:rPr>
          <w:noProof/>
        </w:rPr>
        <w:t>Dalībvalstis ir saskārušās ar ievērojamām problēmām saistībā ar šādas visaptverošas un vērienīgas direktīvas transponēšanu un īstenošanu; kas:</w:t>
      </w:r>
    </w:p>
    <w:p w:rsidR="005035BE" w:rsidRDefault="007D647F">
      <w:pPr>
        <w:pStyle w:val="Text2"/>
        <w:numPr>
          <w:ilvl w:val="0"/>
          <w:numId w:val="20"/>
        </w:numPr>
        <w:spacing w:after="120"/>
        <w:rPr>
          <w:noProof/>
          <w:szCs w:val="24"/>
        </w:rPr>
      </w:pPr>
      <w:r>
        <w:rPr>
          <w:noProof/>
        </w:rPr>
        <w:t>paredz tiesību aktu pieņemšanu daudzās atšķirīgās jomās, tostarp materiālajās krimināl</w:t>
      </w:r>
      <w:r>
        <w:rPr>
          <w:noProof/>
        </w:rPr>
        <w:t>tiesībās (piemēram, nodarījumu un soda pakāpju, noilguma un juridisku personu atbildības definēšana) un kriminālprocesa tiesībās (piemēram, ekstrateritoriāla jurisdikcija, bērnu piedalīšanās kriminālprocesā un tiesiskā pārstāvība);</w:t>
      </w:r>
    </w:p>
    <w:p w:rsidR="005035BE" w:rsidRDefault="007D647F">
      <w:pPr>
        <w:pStyle w:val="Text2"/>
        <w:numPr>
          <w:ilvl w:val="0"/>
          <w:numId w:val="20"/>
        </w:numPr>
        <w:spacing w:after="120"/>
        <w:rPr>
          <w:noProof/>
          <w:szCs w:val="24"/>
        </w:rPr>
      </w:pPr>
      <w:r>
        <w:rPr>
          <w:noProof/>
        </w:rPr>
        <w:t>ietver plašus administra</w:t>
      </w:r>
      <w:r>
        <w:rPr>
          <w:noProof/>
        </w:rPr>
        <w:t>tīvos pasākumus, lai papildinātu tiesību aktus (piemēram, attiecībā uz piekļuvi informācijai un sodāmības reģistru informācijas apmaiņu starp dalībvalstīm, policijas un tiesu iestāžu apmācību un noteikumiem par bērnu aizsardzību, tiesībaizsardzību un ieslo</w:t>
      </w:r>
      <w:r>
        <w:rPr>
          <w:noProof/>
        </w:rPr>
        <w:t>dzījumu); un</w:t>
      </w:r>
    </w:p>
    <w:p w:rsidR="005035BE" w:rsidRDefault="007D647F">
      <w:pPr>
        <w:pStyle w:val="Text2"/>
        <w:numPr>
          <w:ilvl w:val="0"/>
          <w:numId w:val="20"/>
        </w:numPr>
        <w:spacing w:after="120"/>
        <w:rPr>
          <w:noProof/>
          <w:szCs w:val="24"/>
        </w:rPr>
      </w:pPr>
      <w:r>
        <w:rPr>
          <w:noProof/>
        </w:rPr>
        <w:t xml:space="preserve">iesaista daudzus dalībniekus ne tikai dalībvalsts iestādēs (t. i., dažādos valdības līmeņos, piemēram, valsts un reģionālā), bet arī sadarbībā ar nevalstiskajām organizācijām (piemēram, lai ar uzticības tālruņu un izpratnes veidošanas kampaņu </w:t>
      </w:r>
      <w:r>
        <w:rPr>
          <w:noProof/>
        </w:rPr>
        <w:t>palīdzību novērstu seksuālu vardarbību pret bērniem attēlojošu materiālu izplatīšanu), interneta pakalpojumu sniedzējiem (piemēram, lai novērstu seksuālu vardarbību pret bērniem attēlojošu materiālu izplatīšanu), klīniskās psiholoģijas speciālistiem (piemē</w:t>
      </w:r>
      <w:r>
        <w:rPr>
          <w:noProof/>
        </w:rPr>
        <w:t>ram, intervences programmās nodarījumu izdarītājiem), un citiem dalībniekiem.</w:t>
      </w:r>
    </w:p>
    <w:p w:rsidR="005035BE" w:rsidRDefault="007D647F">
      <w:pPr>
        <w:pStyle w:val="Text2"/>
        <w:spacing w:after="120"/>
        <w:ind w:left="0"/>
        <w:rPr>
          <w:noProof/>
          <w:szCs w:val="24"/>
        </w:rPr>
      </w:pPr>
      <w:r>
        <w:rPr>
          <w:noProof/>
        </w:rPr>
        <w:t>Dalībvalstu veiktā transponēšana ietver informācijas vākšanu par attiecīgajiem tiesību aktiem un administratīvajiem pasākumiem, to analizēšanu, jaunu tiesību aktu izstrādi vai es</w:t>
      </w:r>
      <w:r>
        <w:rPr>
          <w:noProof/>
        </w:rPr>
        <w:t>ošo aktu grozīšanu, to pieņemšanas panākšanu un visbeidzot ziņošanu Komisijai.</w:t>
      </w:r>
    </w:p>
    <w:p w:rsidR="005035BE" w:rsidRDefault="007D647F">
      <w:pPr>
        <w:pStyle w:val="Text2"/>
        <w:spacing w:after="120"/>
        <w:ind w:left="0"/>
        <w:rPr>
          <w:noProof/>
          <w:szCs w:val="24"/>
        </w:rPr>
      </w:pPr>
      <w:r>
        <w:rPr>
          <w:noProof/>
        </w:rPr>
        <w:t>Pamatojoties uz valsts transponēšanas pasākumiem, par kuriem tika oficiāli ziņots Komisijai, direktīva ir transponēta, izmantojot vairāk nekā 330 tiesību aktus, kas bija spēkā p</w:t>
      </w:r>
      <w:r>
        <w:rPr>
          <w:noProof/>
        </w:rPr>
        <w:t>irms direktīvas, un aptuveni 300 jaunus tiesību aktus, kas 2012. gadā tika ieviesti visās dalībvalstīs.</w:t>
      </w:r>
    </w:p>
    <w:p w:rsidR="005035BE" w:rsidRDefault="007D647F">
      <w:pPr>
        <w:pStyle w:val="Text2"/>
        <w:spacing w:after="120"/>
        <w:ind w:left="0"/>
        <w:rPr>
          <w:noProof/>
          <w:szCs w:val="24"/>
        </w:rPr>
      </w:pPr>
      <w:r>
        <w:rPr>
          <w:noProof/>
        </w:rPr>
        <w:t>Dalībvalstis nosūtīja Komisijai aptuveni 700 paziņojumus. 70 % no tiem tika saņemti pēc transponēšanas termiņa — 2013. gada 18. decembra. Tajos tika apr</w:t>
      </w:r>
      <w:r>
        <w:rPr>
          <w:noProof/>
        </w:rPr>
        <w:t>akstīti tiesību akti (jauni akti un aktu grozījumi), administratīvie noteikumi un darba kārtība. Nereti tie ietvēra veselus kriminālkodeksus un tiesību aktu grozījumus.</w:t>
      </w:r>
    </w:p>
    <w:p w:rsidR="005035BE" w:rsidRDefault="007D647F">
      <w:pPr>
        <w:pStyle w:val="Text2"/>
        <w:spacing w:after="120"/>
        <w:ind w:left="0"/>
        <w:rPr>
          <w:noProof/>
          <w:szCs w:val="24"/>
        </w:rPr>
      </w:pPr>
      <w:r>
        <w:rPr>
          <w:noProof/>
        </w:rPr>
        <w:t>Līdz transponēšanas termiņam tikai 12 dalībvalstis bija paziņojušas Komisijai, ka tās i</w:t>
      </w:r>
      <w:r>
        <w:rPr>
          <w:noProof/>
        </w:rPr>
        <w:t xml:space="preserve">r pabeigušas direktīvas transponēšanu. Tādēļ Komisija pret pārējām valstīm — </w:t>
      </w:r>
      <w:r>
        <w:rPr>
          <w:b/>
          <w:noProof/>
        </w:rPr>
        <w:t>BE, BG, IE, EL, ES, IT, CY, LT, HU, MT, NL, PT, RO, SI</w:t>
      </w:r>
      <w:r>
        <w:rPr>
          <w:noProof/>
        </w:rPr>
        <w:t xml:space="preserve"> un </w:t>
      </w:r>
      <w:r>
        <w:rPr>
          <w:b/>
          <w:noProof/>
        </w:rPr>
        <w:t>UK</w:t>
      </w:r>
      <w:r>
        <w:rPr>
          <w:rStyle w:val="FootnoteReference"/>
          <w:noProof/>
        </w:rPr>
        <w:footnoteReference w:id="4"/>
      </w:r>
      <w:r>
        <w:rPr>
          <w:noProof/>
        </w:rPr>
        <w:t xml:space="preserve"> — uzsāka pārkāpuma procedūras par valstu transponēšanas pasākumu nepaziņošanu. Visas šīs pārkāpuma procedūras tika </w:t>
      </w:r>
      <w:r>
        <w:rPr>
          <w:noProof/>
        </w:rPr>
        <w:t>pabeigtas līdz 2016. gada 8. decembrim. Valstu transponēšanas pasākumu novēlotā pieņemšana un paziņošana par tiem aizkavēja Komisijas analīzes veikšanu un transponēšanas ziņojumu publicēšanu.</w:t>
      </w:r>
    </w:p>
    <w:p w:rsidR="005035BE" w:rsidRDefault="007D647F">
      <w:pPr>
        <w:pStyle w:val="Text2"/>
        <w:tabs>
          <w:tab w:val="clear" w:pos="2302"/>
          <w:tab w:val="left" w:pos="0"/>
        </w:tabs>
        <w:spacing w:after="120"/>
        <w:ind w:left="0"/>
        <w:rPr>
          <w:noProof/>
          <w:szCs w:val="24"/>
        </w:rPr>
      </w:pPr>
      <w:r>
        <w:rPr>
          <w:noProof/>
        </w:rPr>
        <w:t xml:space="preserve">Šā ziņojuma apraksts un analīze ir balstīts(-a) uz informāciju, </w:t>
      </w:r>
      <w:r>
        <w:rPr>
          <w:noProof/>
        </w:rPr>
        <w:t>kuru dalībvalstis sniedza līdz 2016. gada 1. novembrim. Pēc šā datuma saņemtie paziņojumi nav ņemti vērā. Papildus ziņojumā apzinātajiem jautājumiem ir iespējamas gan turpmākas problēmas attiecībā uz transponēšanu un citiem noteikumiem, kas nav paziņoti Ko</w:t>
      </w:r>
      <w:r>
        <w:rPr>
          <w:noProof/>
        </w:rPr>
        <w:t>misijai, gan turpmākas izmaiņas leģislatīvos un neleģislatīvos jautājumos. Tādējādi šis ziņojums neliedz Komisija turpmāk veikt dažu noteikumu izvērtēšanu, lai turpinātu atbalstīt dalībvalstis direktīvas transponēšanā un īstenošanā.</w:t>
      </w:r>
    </w:p>
    <w:p w:rsidR="005035BE" w:rsidRDefault="005035BE">
      <w:pPr>
        <w:pStyle w:val="Heading1"/>
        <w:spacing w:before="0" w:after="120"/>
        <w:rPr>
          <w:noProof/>
          <w:szCs w:val="24"/>
        </w:rPr>
        <w:sectPr w:rsidR="005035BE">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pgNumType w:start="2"/>
          <w:cols w:space="720"/>
          <w:titlePg/>
          <w:docGrid w:linePitch="326"/>
        </w:sectPr>
      </w:pPr>
      <w:bookmarkStart w:id="17" w:name="_Toc469041931"/>
      <w:bookmarkStart w:id="18" w:name="_Toc450906552"/>
      <w:bookmarkStart w:id="19" w:name="_Toc450906681"/>
      <w:bookmarkStart w:id="20" w:name="_Toc450907143"/>
    </w:p>
    <w:p w:rsidR="005035BE" w:rsidRDefault="007D647F">
      <w:pPr>
        <w:pStyle w:val="Heading1"/>
        <w:rPr>
          <w:noProof/>
          <w:szCs w:val="24"/>
        </w:rPr>
      </w:pPr>
      <w:bookmarkStart w:id="21" w:name="_Toc472591165"/>
      <w:r>
        <w:rPr>
          <w:noProof/>
        </w:rPr>
        <w:t>TRANSPONĒŠANAS PASĀKUMI</w:t>
      </w:r>
      <w:bookmarkEnd w:id="17"/>
      <w:bookmarkEnd w:id="21"/>
    </w:p>
    <w:p w:rsidR="005035BE" w:rsidRDefault="007D647F">
      <w:pPr>
        <w:pStyle w:val="Heading2"/>
        <w:tabs>
          <w:tab w:val="clear" w:pos="1200"/>
        </w:tabs>
        <w:ind w:left="567" w:hanging="567"/>
        <w:rPr>
          <w:noProof/>
          <w:szCs w:val="24"/>
        </w:rPr>
      </w:pPr>
      <w:bookmarkStart w:id="22" w:name="_Toc469041932"/>
      <w:bookmarkStart w:id="23" w:name="_Toc472591166"/>
      <w:r>
        <w:rPr>
          <w:noProof/>
        </w:rPr>
        <w:t>Nodarījumu izmeklēšana un saukšana pie kriminālatbildības par tiem (2.–9. pants un 11.–17. pants)</w:t>
      </w:r>
      <w:bookmarkEnd w:id="22"/>
      <w:bookmarkEnd w:id="23"/>
    </w:p>
    <w:p w:rsidR="005035BE" w:rsidRDefault="007D647F">
      <w:pPr>
        <w:pStyle w:val="Heading3"/>
        <w:tabs>
          <w:tab w:val="clear" w:pos="1920"/>
          <w:tab w:val="num" w:pos="709"/>
        </w:tabs>
        <w:spacing w:after="0"/>
        <w:ind w:left="709"/>
        <w:rPr>
          <w:b/>
          <w:noProof/>
          <w:szCs w:val="24"/>
        </w:rPr>
      </w:pPr>
      <w:bookmarkStart w:id="24" w:name="_Toc469041933"/>
      <w:bookmarkStart w:id="25" w:name="_Toc472591167"/>
      <w:r>
        <w:rPr>
          <w:b/>
          <w:noProof/>
        </w:rPr>
        <w:t>Definīcijas (2. pants)</w:t>
      </w:r>
      <w:bookmarkEnd w:id="24"/>
      <w:bookmarkEnd w:id="25"/>
    </w:p>
    <w:p w:rsidR="005035BE" w:rsidRDefault="007D647F">
      <w:pPr>
        <w:pStyle w:val="Caption"/>
        <w:spacing w:before="0"/>
        <w:rPr>
          <w:b w:val="0"/>
          <w:noProof/>
          <w:szCs w:val="24"/>
        </w:rPr>
      </w:pPr>
      <w:r>
        <w:rPr>
          <w:b w:val="0"/>
          <w:noProof/>
        </w:rPr>
        <w:t>2. pantā ir noteiktas šādu direktīvā izmantoto termi</w:t>
      </w:r>
      <w:r>
        <w:rPr>
          <w:b w:val="0"/>
          <w:noProof/>
        </w:rPr>
        <w:t>nu definīcijas: bērns, dzimumpilngadības vecums, bērnu pornogrāfija, bērnu prostitūcija, pornogrāfisks priekšnesums un juridiska persona.</w:t>
      </w:r>
    </w:p>
    <w:p w:rsidR="005035BE" w:rsidRDefault="007D647F">
      <w:pPr>
        <w:pStyle w:val="ListParagraph"/>
        <w:numPr>
          <w:ilvl w:val="0"/>
          <w:numId w:val="21"/>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rPr>
        <w:t xml:space="preserve">Visas dalībvalstis, izņemot </w:t>
      </w:r>
      <w:r>
        <w:rPr>
          <w:rFonts w:ascii="Times New Roman" w:hAnsi="Times New Roman"/>
          <w:b/>
          <w:noProof/>
          <w:sz w:val="24"/>
        </w:rPr>
        <w:t>HU</w:t>
      </w:r>
      <w:r>
        <w:rPr>
          <w:rFonts w:ascii="Times New Roman" w:hAnsi="Times New Roman"/>
          <w:noProof/>
          <w:sz w:val="24"/>
        </w:rPr>
        <w:t>, definē bērnu kā personu, kas ir jaunāka par 18 gadiem.</w:t>
      </w:r>
    </w:p>
    <w:p w:rsidR="005035BE" w:rsidRDefault="007D647F">
      <w:pPr>
        <w:pStyle w:val="ListParagraph"/>
        <w:numPr>
          <w:ilvl w:val="0"/>
          <w:numId w:val="21"/>
        </w:numPr>
        <w:spacing w:after="120" w:line="240" w:lineRule="auto"/>
        <w:contextualSpacing w:val="0"/>
        <w:jc w:val="both"/>
        <w:rPr>
          <w:rFonts w:ascii="Times New Roman" w:eastAsia="Times New Roman" w:hAnsi="Times New Roman" w:cs="Times New Roman"/>
          <w:noProof/>
          <w:sz w:val="24"/>
          <w:szCs w:val="24"/>
        </w:rPr>
      </w:pPr>
      <w:r>
        <w:rPr>
          <w:rFonts w:ascii="Times New Roman" w:hAnsi="Times New Roman"/>
          <w:noProof/>
          <w:sz w:val="24"/>
        </w:rPr>
        <w:t>Dzimumpilngadības vecums dalībv</w:t>
      </w:r>
      <w:r>
        <w:rPr>
          <w:rFonts w:ascii="Times New Roman" w:hAnsi="Times New Roman"/>
          <w:noProof/>
          <w:sz w:val="24"/>
        </w:rPr>
        <w:t>alstīs ir atšķirīgs: 14 gadi (</w:t>
      </w:r>
      <w:r>
        <w:rPr>
          <w:rFonts w:ascii="Times New Roman" w:hAnsi="Times New Roman"/>
          <w:b/>
          <w:noProof/>
          <w:sz w:val="24"/>
        </w:rPr>
        <w:t>AT, BG, DE, EE, HU</w:t>
      </w:r>
      <w:r>
        <w:rPr>
          <w:rFonts w:ascii="Times New Roman" w:hAnsi="Times New Roman"/>
          <w:noProof/>
          <w:sz w:val="24"/>
        </w:rPr>
        <w:t xml:space="preserve"> un </w:t>
      </w:r>
      <w:r>
        <w:rPr>
          <w:rFonts w:ascii="Times New Roman" w:hAnsi="Times New Roman"/>
          <w:b/>
          <w:noProof/>
          <w:sz w:val="24"/>
        </w:rPr>
        <w:t>PT</w:t>
      </w:r>
      <w:r>
        <w:rPr>
          <w:rFonts w:ascii="Times New Roman" w:hAnsi="Times New Roman"/>
          <w:noProof/>
          <w:sz w:val="24"/>
        </w:rPr>
        <w:t>), 15 gadi (</w:t>
      </w:r>
      <w:r>
        <w:rPr>
          <w:rFonts w:ascii="Times New Roman" w:hAnsi="Times New Roman"/>
          <w:b/>
          <w:noProof/>
          <w:sz w:val="24"/>
        </w:rPr>
        <w:t>CZ, FR, HR, PL, SE, SI</w:t>
      </w:r>
      <w:r>
        <w:rPr>
          <w:rFonts w:ascii="Times New Roman" w:hAnsi="Times New Roman"/>
          <w:noProof/>
          <w:sz w:val="24"/>
        </w:rPr>
        <w:t xml:space="preserve"> un </w:t>
      </w:r>
      <w:r>
        <w:rPr>
          <w:rFonts w:ascii="Times New Roman" w:hAnsi="Times New Roman"/>
          <w:b/>
          <w:noProof/>
          <w:sz w:val="24"/>
        </w:rPr>
        <w:t>SK</w:t>
      </w:r>
      <w:r>
        <w:rPr>
          <w:rFonts w:ascii="Times New Roman" w:hAnsi="Times New Roman"/>
          <w:noProof/>
          <w:sz w:val="24"/>
        </w:rPr>
        <w:t>), 16 gadi (</w:t>
      </w:r>
      <w:r>
        <w:rPr>
          <w:rFonts w:ascii="Times New Roman" w:hAnsi="Times New Roman"/>
          <w:b/>
          <w:noProof/>
          <w:sz w:val="24"/>
        </w:rPr>
        <w:t>BE, ES, LT, LU, LV, NL</w:t>
      </w:r>
      <w:r>
        <w:rPr>
          <w:rFonts w:ascii="Times New Roman" w:hAnsi="Times New Roman"/>
          <w:noProof/>
          <w:sz w:val="24"/>
        </w:rPr>
        <w:t xml:space="preserve"> un </w:t>
      </w:r>
      <w:r>
        <w:rPr>
          <w:rFonts w:ascii="Times New Roman" w:hAnsi="Times New Roman"/>
          <w:b/>
          <w:noProof/>
          <w:sz w:val="24"/>
        </w:rPr>
        <w:t>UK</w:t>
      </w:r>
      <w:r>
        <w:rPr>
          <w:rFonts w:ascii="Times New Roman" w:hAnsi="Times New Roman"/>
          <w:noProof/>
          <w:sz w:val="24"/>
        </w:rPr>
        <w:t>), 17 gadi (</w:t>
      </w:r>
      <w:r>
        <w:rPr>
          <w:rFonts w:ascii="Times New Roman" w:hAnsi="Times New Roman"/>
          <w:b/>
          <w:noProof/>
          <w:sz w:val="24"/>
        </w:rPr>
        <w:t>CY</w:t>
      </w:r>
      <w:r>
        <w:rPr>
          <w:rFonts w:ascii="Times New Roman" w:hAnsi="Times New Roman"/>
          <w:noProof/>
          <w:sz w:val="24"/>
        </w:rPr>
        <w:t xml:space="preserve"> un </w:t>
      </w:r>
      <w:r>
        <w:rPr>
          <w:rFonts w:ascii="Times New Roman" w:hAnsi="Times New Roman"/>
          <w:b/>
          <w:noProof/>
          <w:sz w:val="24"/>
        </w:rPr>
        <w:t>IE</w:t>
      </w:r>
      <w:r>
        <w:rPr>
          <w:rFonts w:ascii="Times New Roman" w:hAnsi="Times New Roman"/>
          <w:noProof/>
          <w:sz w:val="24"/>
        </w:rPr>
        <w:t>) un 18 gadi (</w:t>
      </w:r>
      <w:r>
        <w:rPr>
          <w:rFonts w:ascii="Times New Roman" w:hAnsi="Times New Roman"/>
          <w:b/>
          <w:noProof/>
          <w:sz w:val="24"/>
        </w:rPr>
        <w:t>MT</w:t>
      </w:r>
      <w:r>
        <w:rPr>
          <w:rFonts w:ascii="Times New Roman" w:hAnsi="Times New Roman"/>
          <w:noProof/>
          <w:sz w:val="24"/>
        </w:rPr>
        <w:t xml:space="preserve">). </w:t>
      </w:r>
      <w:r>
        <w:rPr>
          <w:rFonts w:ascii="Times New Roman" w:hAnsi="Times New Roman"/>
          <w:b/>
          <w:noProof/>
          <w:sz w:val="24"/>
        </w:rPr>
        <w:t>FI, IT</w:t>
      </w:r>
      <w:r>
        <w:rPr>
          <w:rFonts w:ascii="Times New Roman" w:hAnsi="Times New Roman"/>
          <w:noProof/>
          <w:sz w:val="24"/>
        </w:rPr>
        <w:t xml:space="preserve"> un </w:t>
      </w:r>
      <w:r>
        <w:rPr>
          <w:rFonts w:ascii="Times New Roman" w:hAnsi="Times New Roman"/>
          <w:b/>
          <w:noProof/>
          <w:sz w:val="24"/>
        </w:rPr>
        <w:t>RO</w:t>
      </w:r>
      <w:r>
        <w:rPr>
          <w:rFonts w:ascii="Times New Roman" w:hAnsi="Times New Roman"/>
          <w:noProof/>
          <w:sz w:val="24"/>
        </w:rPr>
        <w:t xml:space="preserve"> dzimumpilngadības vecums atšķiras atkarībā no nodarījuma rakstura. </w:t>
      </w:r>
      <w:r>
        <w:rPr>
          <w:rFonts w:ascii="Times New Roman" w:hAnsi="Times New Roman"/>
          <w:b/>
          <w:noProof/>
          <w:sz w:val="24"/>
        </w:rPr>
        <w:t>EL</w:t>
      </w:r>
      <w:r>
        <w:rPr>
          <w:rFonts w:ascii="Times New Roman" w:hAnsi="Times New Roman"/>
          <w:noProof/>
          <w:sz w:val="24"/>
        </w:rPr>
        <w:t xml:space="preserve"> noteiktais dzimumpilngadības vecums attiecībā uz vīriešu homoseksuālām darbībām ar savstarpēju piekrišanu (17 gadi), heteroseksuālām darbībām un sieviešu homoseksuālām darbībām ar savstarpēju piekrišanu (15 gadi) ir atšķirīgs.</w:t>
      </w:r>
    </w:p>
    <w:p w:rsidR="005035BE" w:rsidRDefault="007D647F">
      <w:pPr>
        <w:pStyle w:val="ListParagraph"/>
        <w:numPr>
          <w:ilvl w:val="0"/>
          <w:numId w:val="21"/>
        </w:numPr>
        <w:spacing w:after="120" w:line="240" w:lineRule="auto"/>
        <w:contextualSpacing w:val="0"/>
        <w:jc w:val="both"/>
        <w:rPr>
          <w:rFonts w:ascii="Times New Roman" w:hAnsi="Times New Roman" w:cs="Times New Roman"/>
          <w:b/>
          <w:noProof/>
          <w:sz w:val="24"/>
          <w:szCs w:val="24"/>
        </w:rPr>
      </w:pPr>
      <w:r>
        <w:rPr>
          <w:rFonts w:ascii="Times New Roman" w:hAnsi="Times New Roman"/>
          <w:b/>
          <w:noProof/>
          <w:sz w:val="24"/>
        </w:rPr>
        <w:t xml:space="preserve">BE, CY, EE, EL, ES, HR, IE, </w:t>
      </w:r>
      <w:r>
        <w:rPr>
          <w:rFonts w:ascii="Times New Roman" w:hAnsi="Times New Roman"/>
          <w:b/>
          <w:noProof/>
          <w:sz w:val="24"/>
        </w:rPr>
        <w:t>IT, LV, PT, RO, SE, SK</w:t>
      </w:r>
      <w:r>
        <w:rPr>
          <w:rFonts w:ascii="Times New Roman" w:hAnsi="Times New Roman"/>
          <w:noProof/>
          <w:sz w:val="24"/>
        </w:rPr>
        <w:t xml:space="preserve"> un </w:t>
      </w:r>
      <w:r>
        <w:rPr>
          <w:rFonts w:ascii="Times New Roman" w:hAnsi="Times New Roman"/>
          <w:b/>
          <w:noProof/>
          <w:sz w:val="24"/>
        </w:rPr>
        <w:t>UK (Gibraltārs)</w:t>
      </w:r>
      <w:r>
        <w:rPr>
          <w:rFonts w:ascii="Times New Roman" w:hAnsi="Times New Roman"/>
          <w:noProof/>
          <w:sz w:val="24"/>
        </w:rPr>
        <w:t xml:space="preserve"> savos tiesību aktos izmanto terminu “bērnu pornogrāfija”. Visas pārējās dalībvalstis izmanto atšķirīgus terminus, piemēram, pornogrāfiski attēlojumi (</w:t>
      </w:r>
      <w:r>
        <w:rPr>
          <w:rFonts w:ascii="Times New Roman" w:hAnsi="Times New Roman"/>
          <w:b/>
          <w:noProof/>
          <w:sz w:val="24"/>
        </w:rPr>
        <w:t>AT</w:t>
      </w:r>
      <w:r>
        <w:rPr>
          <w:rFonts w:ascii="Times New Roman" w:hAnsi="Times New Roman"/>
          <w:noProof/>
          <w:sz w:val="24"/>
        </w:rPr>
        <w:t>), pornogrāfisks materiāls (</w:t>
      </w:r>
      <w:r>
        <w:rPr>
          <w:rFonts w:ascii="Times New Roman" w:hAnsi="Times New Roman"/>
          <w:b/>
          <w:noProof/>
          <w:sz w:val="24"/>
        </w:rPr>
        <w:t>BG</w:t>
      </w:r>
      <w:r>
        <w:rPr>
          <w:rFonts w:ascii="Times New Roman" w:hAnsi="Times New Roman"/>
          <w:noProof/>
          <w:sz w:val="24"/>
        </w:rPr>
        <w:t>), pornogrāfisks darbs (</w:t>
      </w:r>
      <w:r>
        <w:rPr>
          <w:rFonts w:ascii="Times New Roman" w:hAnsi="Times New Roman"/>
          <w:b/>
          <w:noProof/>
          <w:sz w:val="24"/>
        </w:rPr>
        <w:t>CZ</w:t>
      </w:r>
      <w:r>
        <w:rPr>
          <w:rFonts w:ascii="Times New Roman" w:hAnsi="Times New Roman"/>
          <w:noProof/>
          <w:sz w:val="24"/>
        </w:rPr>
        <w:t>), por</w:t>
      </w:r>
      <w:r>
        <w:rPr>
          <w:rFonts w:ascii="Times New Roman" w:hAnsi="Times New Roman"/>
          <w:noProof/>
          <w:sz w:val="24"/>
        </w:rPr>
        <w:t>nogrāfisks attēls vai attēlojums (</w:t>
      </w:r>
      <w:r>
        <w:rPr>
          <w:rFonts w:ascii="Times New Roman" w:hAnsi="Times New Roman"/>
          <w:b/>
          <w:noProof/>
          <w:sz w:val="24"/>
        </w:rPr>
        <w:t>FR</w:t>
      </w:r>
      <w:r>
        <w:rPr>
          <w:rFonts w:ascii="Times New Roman" w:hAnsi="Times New Roman"/>
          <w:noProof/>
          <w:sz w:val="24"/>
        </w:rPr>
        <w:t>) un citi.</w:t>
      </w:r>
    </w:p>
    <w:p w:rsidR="005035BE" w:rsidRDefault="007D647F">
      <w:pPr>
        <w:pStyle w:val="ListParagraph"/>
        <w:numPr>
          <w:ilvl w:val="0"/>
          <w:numId w:val="21"/>
        </w:numPr>
        <w:spacing w:after="120" w:line="240" w:lineRule="auto"/>
        <w:contextualSpacing w:val="0"/>
        <w:jc w:val="both"/>
        <w:rPr>
          <w:rFonts w:ascii="Times New Roman" w:hAnsi="Times New Roman" w:cs="Times New Roman"/>
          <w:b/>
          <w:noProof/>
          <w:sz w:val="24"/>
          <w:szCs w:val="24"/>
        </w:rPr>
      </w:pPr>
      <w:r>
        <w:rPr>
          <w:rFonts w:ascii="Times New Roman" w:hAnsi="Times New Roman"/>
          <w:noProof/>
          <w:sz w:val="24"/>
        </w:rPr>
        <w:t xml:space="preserve">Attiecībā uz bērnu prostitūciju </w:t>
      </w:r>
      <w:r>
        <w:rPr>
          <w:rFonts w:ascii="Times New Roman" w:hAnsi="Times New Roman"/>
          <w:b/>
          <w:noProof/>
          <w:sz w:val="24"/>
        </w:rPr>
        <w:t>CY</w:t>
      </w:r>
      <w:r>
        <w:rPr>
          <w:rFonts w:ascii="Times New Roman" w:hAnsi="Times New Roman"/>
          <w:noProof/>
          <w:sz w:val="24"/>
        </w:rPr>
        <w:t xml:space="preserve"> un </w:t>
      </w:r>
      <w:r>
        <w:rPr>
          <w:rFonts w:ascii="Times New Roman" w:hAnsi="Times New Roman"/>
          <w:b/>
          <w:noProof/>
          <w:sz w:val="24"/>
        </w:rPr>
        <w:t>SK</w:t>
      </w:r>
      <w:r>
        <w:rPr>
          <w:rFonts w:ascii="Times New Roman" w:hAnsi="Times New Roman"/>
          <w:noProof/>
          <w:sz w:val="24"/>
        </w:rPr>
        <w:t xml:space="preserve"> savos transponēšanas tiesību aktos ir iekļāvušas skaidru definīciju, kas ietver visus 2. panta d) punkta elementus. No otras puses, </w:t>
      </w:r>
      <w:r>
        <w:rPr>
          <w:rFonts w:ascii="Times New Roman" w:hAnsi="Times New Roman"/>
          <w:b/>
          <w:noProof/>
          <w:sz w:val="24"/>
        </w:rPr>
        <w:t>AT, BG, CZ, DE, EL, LT, LU, SE, SI</w:t>
      </w:r>
      <w:r>
        <w:rPr>
          <w:rFonts w:ascii="Times New Roman" w:hAnsi="Times New Roman"/>
          <w:noProof/>
          <w:sz w:val="24"/>
        </w:rPr>
        <w:t xml:space="preserve"> u</w:t>
      </w:r>
      <w:r>
        <w:rPr>
          <w:rFonts w:ascii="Times New Roman" w:hAnsi="Times New Roman"/>
          <w:noProof/>
          <w:sz w:val="24"/>
        </w:rPr>
        <w:t xml:space="preserve">n </w:t>
      </w:r>
      <w:r>
        <w:rPr>
          <w:rFonts w:ascii="Times New Roman" w:hAnsi="Times New Roman"/>
          <w:b/>
          <w:noProof/>
          <w:sz w:val="24"/>
        </w:rPr>
        <w:t>UK</w:t>
      </w:r>
      <w:r>
        <w:rPr>
          <w:rFonts w:ascii="Times New Roman" w:hAnsi="Times New Roman"/>
          <w:noProof/>
          <w:sz w:val="24"/>
        </w:rPr>
        <w:t xml:space="preserve"> transponēšana tiek veikta, pamatojoties uz judikatūru un citiem avotiem saistībā ar bērnu prostitūcijas nodarījumiem (4. panta 5.–7. punkts), savukārt </w:t>
      </w:r>
      <w:r>
        <w:rPr>
          <w:rFonts w:ascii="Times New Roman" w:hAnsi="Times New Roman"/>
          <w:b/>
          <w:noProof/>
          <w:sz w:val="24"/>
        </w:rPr>
        <w:t>BE, EE, ES, FI, FR, HR, IT, MT, NL, PL, PT</w:t>
      </w:r>
      <w:r>
        <w:rPr>
          <w:rFonts w:ascii="Times New Roman" w:hAnsi="Times New Roman"/>
          <w:noProof/>
          <w:sz w:val="24"/>
        </w:rPr>
        <w:t xml:space="preserve"> un </w:t>
      </w:r>
      <w:r>
        <w:rPr>
          <w:rFonts w:ascii="Times New Roman" w:hAnsi="Times New Roman"/>
          <w:b/>
          <w:noProof/>
          <w:sz w:val="24"/>
        </w:rPr>
        <w:t>RO</w:t>
      </w:r>
      <w:r>
        <w:rPr>
          <w:rFonts w:ascii="Times New Roman" w:hAnsi="Times New Roman"/>
          <w:noProof/>
          <w:sz w:val="24"/>
        </w:rPr>
        <w:t xml:space="preserve"> transponēšana tiek veikta, pamatojoties tikai uz bē</w:t>
      </w:r>
      <w:r>
        <w:rPr>
          <w:rFonts w:ascii="Times New Roman" w:hAnsi="Times New Roman"/>
          <w:noProof/>
          <w:sz w:val="24"/>
        </w:rPr>
        <w:t>rnu prostitūcijas nodarījumiem.</w:t>
      </w:r>
    </w:p>
    <w:p w:rsidR="005035BE" w:rsidRDefault="007D647F">
      <w:pPr>
        <w:pStyle w:val="ListParagraph"/>
        <w:numPr>
          <w:ilvl w:val="0"/>
          <w:numId w:val="21"/>
        </w:numPr>
        <w:spacing w:after="120" w:line="240" w:lineRule="auto"/>
        <w:contextualSpacing w:val="0"/>
        <w:jc w:val="both"/>
        <w:rPr>
          <w:rFonts w:ascii="Times New Roman" w:hAnsi="Times New Roman" w:cs="Times New Roman"/>
          <w:b/>
          <w:noProof/>
          <w:sz w:val="24"/>
          <w:szCs w:val="24"/>
        </w:rPr>
      </w:pPr>
      <w:r>
        <w:rPr>
          <w:rFonts w:ascii="Times New Roman" w:hAnsi="Times New Roman"/>
          <w:b/>
          <w:noProof/>
          <w:sz w:val="24"/>
        </w:rPr>
        <w:t>AT, BG, CY, EL, HU, IE, RO, SK</w:t>
      </w:r>
      <w:r>
        <w:rPr>
          <w:rFonts w:ascii="Times New Roman" w:hAnsi="Times New Roman"/>
          <w:noProof/>
          <w:sz w:val="24"/>
        </w:rPr>
        <w:t xml:space="preserve"> un </w:t>
      </w:r>
      <w:r>
        <w:rPr>
          <w:rFonts w:ascii="Times New Roman" w:hAnsi="Times New Roman"/>
          <w:b/>
          <w:noProof/>
          <w:sz w:val="24"/>
        </w:rPr>
        <w:t>UK (Gibraltāra)</w:t>
      </w:r>
      <w:r>
        <w:rPr>
          <w:rFonts w:ascii="Times New Roman" w:hAnsi="Times New Roman"/>
          <w:noProof/>
          <w:sz w:val="24"/>
        </w:rPr>
        <w:t xml:space="preserve"> tiesību aktos ir ietverta pornogrāfiska priekšnesuma skaidra definīcija. Citas dalībvalstis transponē 2. pantu saistībā ar 4. panta 2.–4. punktā minētajiem nodarījumiem un ti</w:t>
      </w:r>
      <w:r>
        <w:rPr>
          <w:rFonts w:ascii="Times New Roman" w:hAnsi="Times New Roman"/>
          <w:noProof/>
          <w:sz w:val="24"/>
        </w:rPr>
        <w:t>ešu atsauci uz informācijas un komunikācijas tehnoloģijām vai judikatūru.</w:t>
      </w:r>
    </w:p>
    <w:p w:rsidR="005035BE" w:rsidRDefault="007D647F">
      <w:pPr>
        <w:pStyle w:val="ListParagraph"/>
        <w:numPr>
          <w:ilvl w:val="0"/>
          <w:numId w:val="21"/>
        </w:numPr>
        <w:spacing w:after="120" w:line="240" w:lineRule="auto"/>
        <w:contextualSpacing w:val="0"/>
        <w:jc w:val="both"/>
        <w:rPr>
          <w:rFonts w:ascii="Times New Roman" w:hAnsi="Times New Roman" w:cs="Times New Roman"/>
          <w:b/>
          <w:noProof/>
          <w:sz w:val="24"/>
          <w:szCs w:val="24"/>
        </w:rPr>
      </w:pPr>
      <w:r>
        <w:rPr>
          <w:rFonts w:ascii="Times New Roman" w:hAnsi="Times New Roman"/>
          <w:noProof/>
          <w:sz w:val="24"/>
        </w:rPr>
        <w:t>Neviena no dalībvalstīm “juridiskas personas” jēdzienā neietver valstis vai publisko tiesību subjektus, kas īsteno valsts varu, kā arī starptautiskās sabiedriskās organizācijas.</w:t>
      </w:r>
    </w:p>
    <w:p w:rsidR="005035BE" w:rsidRDefault="005035BE">
      <w:pPr>
        <w:pStyle w:val="ListParagraph"/>
        <w:spacing w:after="120" w:line="240" w:lineRule="auto"/>
        <w:ind w:left="360"/>
        <w:contextualSpacing w:val="0"/>
        <w:jc w:val="both"/>
        <w:rPr>
          <w:rFonts w:ascii="Times New Roman" w:hAnsi="Times New Roman" w:cs="Times New Roman"/>
          <w:b/>
          <w:noProof/>
          <w:sz w:val="24"/>
          <w:szCs w:val="24"/>
        </w:rPr>
      </w:pPr>
    </w:p>
    <w:p w:rsidR="005035BE" w:rsidRDefault="007D647F">
      <w:pPr>
        <w:pStyle w:val="Heading3"/>
        <w:tabs>
          <w:tab w:val="clear" w:pos="1920"/>
          <w:tab w:val="num" w:pos="851"/>
        </w:tabs>
        <w:spacing w:after="120"/>
        <w:ind w:left="709"/>
        <w:rPr>
          <w:b/>
          <w:noProof/>
          <w:szCs w:val="24"/>
        </w:rPr>
      </w:pPr>
      <w:bookmarkStart w:id="26" w:name="_Toc469041934"/>
      <w:bookmarkStart w:id="27" w:name="_Toc472591168"/>
      <w:r>
        <w:rPr>
          <w:b/>
          <w:noProof/>
        </w:rPr>
        <w:t>Nod</w:t>
      </w:r>
      <w:r>
        <w:rPr>
          <w:b/>
          <w:noProof/>
        </w:rPr>
        <w:t>arījumi saistībā ar seksuālu vardarbību (3. pants)</w:t>
      </w:r>
      <w:bookmarkEnd w:id="26"/>
      <w:bookmarkEnd w:id="27"/>
    </w:p>
    <w:p w:rsidR="005035BE" w:rsidRDefault="007D647F">
      <w:pPr>
        <w:spacing w:after="120"/>
        <w:rPr>
          <w:noProof/>
          <w:szCs w:val="24"/>
        </w:rPr>
      </w:pPr>
      <w:r>
        <w:rPr>
          <w:noProof/>
        </w:rPr>
        <w:t>3. pantā ir definētas tīšas darbības, kuras veido nodarījumu saistībā ar seksuālu vardarbību.</w:t>
      </w:r>
    </w:p>
    <w:p w:rsidR="005035BE" w:rsidRDefault="007D647F">
      <w:pPr>
        <w:pStyle w:val="ListParagraph"/>
        <w:numPr>
          <w:ilvl w:val="0"/>
          <w:numId w:val="22"/>
        </w:numPr>
        <w:spacing w:after="120" w:line="240" w:lineRule="auto"/>
        <w:ind w:left="360"/>
        <w:contextualSpacing w:val="0"/>
        <w:jc w:val="both"/>
        <w:rPr>
          <w:rFonts w:ascii="Times New Roman" w:hAnsi="Times New Roman" w:cs="Times New Roman"/>
          <w:noProof/>
          <w:sz w:val="24"/>
          <w:szCs w:val="24"/>
        </w:rPr>
      </w:pPr>
      <w:r>
        <w:rPr>
          <w:rFonts w:ascii="Times New Roman" w:hAnsi="Times New Roman"/>
          <w:noProof/>
          <w:sz w:val="24"/>
        </w:rPr>
        <w:t>Lielākā daļa dalībvalstu ir pieņēmušas noteikumus, ar kuriem saskaņā ar direktīvā noteiktajām soda pakāpēm tiek</w:t>
      </w:r>
      <w:r>
        <w:rPr>
          <w:rFonts w:ascii="Times New Roman" w:hAnsi="Times New Roman"/>
          <w:noProof/>
          <w:sz w:val="24"/>
        </w:rPr>
        <w:t xml:space="preserve"> sodīts par bērna, kurš nav sasniedzis dzimumpilngadības vecumu, iesaistīšanu par seksuālu darbību (3. panta 2. punkts) vai seksuālas vardarbības (3. panta 3. punkts) liecinieku seksuālos nolūkos.</w:t>
      </w:r>
    </w:p>
    <w:p w:rsidR="005035BE" w:rsidRDefault="007D647F">
      <w:pPr>
        <w:pStyle w:val="ListParagraph"/>
        <w:numPr>
          <w:ilvl w:val="0"/>
          <w:numId w:val="22"/>
        </w:numPr>
        <w:spacing w:after="120" w:line="240" w:lineRule="auto"/>
        <w:ind w:left="360"/>
        <w:contextualSpacing w:val="0"/>
        <w:jc w:val="both"/>
        <w:rPr>
          <w:rFonts w:ascii="Times New Roman" w:hAnsi="Times New Roman" w:cs="Times New Roman"/>
          <w:noProof/>
          <w:sz w:val="24"/>
          <w:szCs w:val="24"/>
        </w:rPr>
      </w:pPr>
      <w:r>
        <w:rPr>
          <w:rFonts w:ascii="Times New Roman" w:hAnsi="Times New Roman"/>
          <w:b/>
          <w:noProof/>
          <w:sz w:val="24"/>
        </w:rPr>
        <w:t>CY, CZ, DE, EE, FR, IE, IT, LT, LV, MT, PL, SI</w:t>
      </w:r>
      <w:r>
        <w:rPr>
          <w:rFonts w:ascii="Times New Roman" w:hAnsi="Times New Roman"/>
          <w:noProof/>
          <w:sz w:val="24"/>
        </w:rPr>
        <w:t xml:space="preserve"> un </w:t>
      </w:r>
      <w:r>
        <w:rPr>
          <w:rFonts w:ascii="Times New Roman" w:hAnsi="Times New Roman"/>
          <w:b/>
          <w:noProof/>
          <w:sz w:val="24"/>
        </w:rPr>
        <w:t>SK</w:t>
      </w:r>
      <w:r>
        <w:rPr>
          <w:rFonts w:ascii="Times New Roman" w:hAnsi="Times New Roman"/>
          <w:noProof/>
          <w:sz w:val="24"/>
        </w:rPr>
        <w:t xml:space="preserve"> ietver nodarījumus saistībā ar iesaistīšanos jebkādās seksuālās darbībās ar bērnu, kurš nav sasniedzis dzimumpilngadības vecumu; tie tiek sodīti līdzīgi kā 3. panta 4. punktā minētie nodarījumi. </w:t>
      </w:r>
      <w:r>
        <w:rPr>
          <w:rFonts w:ascii="Times New Roman" w:hAnsi="Times New Roman"/>
          <w:b/>
          <w:noProof/>
          <w:sz w:val="24"/>
        </w:rPr>
        <w:t>AT, BE, BG, ES, HR, LU RO, PT</w:t>
      </w:r>
      <w:r>
        <w:rPr>
          <w:rFonts w:ascii="Times New Roman" w:hAnsi="Times New Roman"/>
          <w:noProof/>
          <w:sz w:val="24"/>
        </w:rPr>
        <w:t xml:space="preserve"> un </w:t>
      </w:r>
      <w:r>
        <w:rPr>
          <w:rFonts w:ascii="Times New Roman" w:hAnsi="Times New Roman"/>
          <w:b/>
          <w:noProof/>
          <w:sz w:val="24"/>
        </w:rPr>
        <w:t>SE</w:t>
      </w:r>
      <w:r>
        <w:rPr>
          <w:rFonts w:ascii="Times New Roman" w:hAnsi="Times New Roman"/>
          <w:noProof/>
          <w:sz w:val="24"/>
        </w:rPr>
        <w:t xml:space="preserve"> izšķir seksuālas darbība</w:t>
      </w:r>
      <w:r>
        <w:rPr>
          <w:rFonts w:ascii="Times New Roman" w:hAnsi="Times New Roman"/>
          <w:noProof/>
          <w:sz w:val="24"/>
        </w:rPr>
        <w:t>s, kas ietver penetrāciju, un darbības, kas to neietver.</w:t>
      </w:r>
    </w:p>
    <w:p w:rsidR="005035BE" w:rsidRDefault="007D647F">
      <w:pPr>
        <w:pStyle w:val="ListParagraph"/>
        <w:numPr>
          <w:ilvl w:val="0"/>
          <w:numId w:val="22"/>
        </w:numPr>
        <w:spacing w:after="120" w:line="240" w:lineRule="auto"/>
        <w:ind w:left="360"/>
        <w:contextualSpacing w:val="0"/>
        <w:jc w:val="both"/>
        <w:rPr>
          <w:rFonts w:ascii="Times New Roman" w:hAnsi="Times New Roman" w:cs="Times New Roman"/>
          <w:noProof/>
          <w:sz w:val="24"/>
          <w:szCs w:val="24"/>
        </w:rPr>
      </w:pPr>
      <w:r>
        <w:rPr>
          <w:rFonts w:ascii="Times New Roman" w:hAnsi="Times New Roman"/>
          <w:noProof/>
          <w:sz w:val="24"/>
        </w:rPr>
        <w:t>Attiecībā uz iesaistīšanos tādās seksuālās darbībās ar bērnu, kurās ļaunprātīgi izmantota atzīta uzticība, autoritāte vai ietekme (3. panta 5. punkta i) apakšpunkts) vai bērna īpaši neaizsargātā situ</w:t>
      </w:r>
      <w:r>
        <w:rPr>
          <w:rFonts w:ascii="Times New Roman" w:hAnsi="Times New Roman"/>
          <w:noProof/>
          <w:sz w:val="24"/>
        </w:rPr>
        <w:t>ācija (3. panta 5. punkta ii) apakšpunkts), lielākā daļa dalībvalstu ir pieņēmušas tiesību aktus, kas, šķiet, neaptver visas šīs situācijas, vai ir pieņēmušas soda pakāpes, kas ir pārāk zemas.</w:t>
      </w:r>
    </w:p>
    <w:p w:rsidR="005035BE" w:rsidRDefault="007D647F">
      <w:pPr>
        <w:pStyle w:val="ListParagraph"/>
        <w:spacing w:after="120" w:line="240" w:lineRule="auto"/>
        <w:ind w:left="360"/>
        <w:contextualSpacing w:val="0"/>
        <w:jc w:val="both"/>
        <w:rPr>
          <w:rFonts w:ascii="Times New Roman" w:hAnsi="Times New Roman" w:cs="Times New Roman"/>
          <w:noProof/>
          <w:sz w:val="24"/>
          <w:szCs w:val="24"/>
        </w:rPr>
      </w:pPr>
      <w:r>
        <w:rPr>
          <w:rFonts w:ascii="Times New Roman" w:hAnsi="Times New Roman"/>
          <w:noProof/>
          <w:sz w:val="24"/>
        </w:rPr>
        <w:t xml:space="preserve">No otras puses, lielākā daļa dalībvalstu ir pieņēmušas tiesību </w:t>
      </w:r>
      <w:r>
        <w:rPr>
          <w:rFonts w:ascii="Times New Roman" w:hAnsi="Times New Roman"/>
          <w:noProof/>
          <w:sz w:val="24"/>
        </w:rPr>
        <w:t xml:space="preserve">aktus, ar kuriem saskaņā ar direktīvā noteiktajām soda pakāpēm tiek sodīta iesaistīšanās seksuālās darbībās ar bērnu, izmantojot piespiešanu, spēku vai draudus (3. panta 5. punkta iii) apakšpunkts). </w:t>
      </w:r>
      <w:r>
        <w:rPr>
          <w:rFonts w:ascii="Times New Roman" w:hAnsi="Times New Roman"/>
          <w:b/>
          <w:noProof/>
          <w:sz w:val="24"/>
        </w:rPr>
        <w:t>CY, DE, LU</w:t>
      </w:r>
      <w:r>
        <w:rPr>
          <w:rFonts w:ascii="Times New Roman" w:hAnsi="Times New Roman"/>
          <w:noProof/>
          <w:sz w:val="24"/>
        </w:rPr>
        <w:t xml:space="preserve"> un </w:t>
      </w:r>
      <w:r>
        <w:rPr>
          <w:rFonts w:ascii="Times New Roman" w:hAnsi="Times New Roman"/>
          <w:b/>
          <w:noProof/>
          <w:sz w:val="24"/>
        </w:rPr>
        <w:t>MT</w:t>
      </w:r>
      <w:r>
        <w:rPr>
          <w:rFonts w:ascii="Times New Roman" w:hAnsi="Times New Roman"/>
          <w:noProof/>
          <w:sz w:val="24"/>
        </w:rPr>
        <w:t xml:space="preserve"> piemin “piespiešanu, spēku un draudus”, </w:t>
      </w:r>
      <w:r>
        <w:rPr>
          <w:rFonts w:ascii="Times New Roman" w:hAnsi="Times New Roman"/>
          <w:noProof/>
          <w:sz w:val="24"/>
        </w:rPr>
        <w:t>savukārt citas dalībvalstis atsaucas uz “vardarbību un draudiem” (</w:t>
      </w:r>
      <w:r>
        <w:rPr>
          <w:rFonts w:ascii="Times New Roman" w:hAnsi="Times New Roman"/>
          <w:b/>
          <w:noProof/>
          <w:sz w:val="24"/>
        </w:rPr>
        <w:t>CZ, EL, FI, FR, LT, LU, LV, NL, PT, SE</w:t>
      </w:r>
      <w:r>
        <w:rPr>
          <w:rFonts w:ascii="Times New Roman" w:hAnsi="Times New Roman"/>
          <w:noProof/>
          <w:sz w:val="24"/>
        </w:rPr>
        <w:t xml:space="preserve"> un </w:t>
      </w:r>
      <w:r>
        <w:rPr>
          <w:rFonts w:ascii="Times New Roman" w:hAnsi="Times New Roman"/>
          <w:b/>
          <w:noProof/>
          <w:sz w:val="24"/>
        </w:rPr>
        <w:t>SK</w:t>
      </w:r>
      <w:r>
        <w:rPr>
          <w:rFonts w:ascii="Times New Roman" w:hAnsi="Times New Roman"/>
          <w:noProof/>
          <w:sz w:val="24"/>
        </w:rPr>
        <w:t>), “spēku un draudiem” (</w:t>
      </w:r>
      <w:r>
        <w:rPr>
          <w:rFonts w:ascii="Times New Roman" w:hAnsi="Times New Roman"/>
          <w:b/>
          <w:noProof/>
          <w:sz w:val="24"/>
        </w:rPr>
        <w:t>BE, BG, DE, HR, HU, IT, PL</w:t>
      </w:r>
      <w:r>
        <w:rPr>
          <w:rFonts w:ascii="Times New Roman" w:hAnsi="Times New Roman"/>
          <w:noProof/>
          <w:sz w:val="24"/>
        </w:rPr>
        <w:t xml:space="preserve"> un </w:t>
      </w:r>
      <w:r>
        <w:rPr>
          <w:rFonts w:ascii="Times New Roman" w:hAnsi="Times New Roman"/>
          <w:b/>
          <w:noProof/>
          <w:sz w:val="24"/>
        </w:rPr>
        <w:t>SI</w:t>
      </w:r>
      <w:r>
        <w:rPr>
          <w:rFonts w:ascii="Times New Roman" w:hAnsi="Times New Roman"/>
          <w:noProof/>
          <w:sz w:val="24"/>
        </w:rPr>
        <w:t>), “vardarbību un iebiedēšanu” (</w:t>
      </w:r>
      <w:r>
        <w:rPr>
          <w:rFonts w:ascii="Times New Roman" w:hAnsi="Times New Roman"/>
          <w:b/>
          <w:noProof/>
          <w:sz w:val="24"/>
        </w:rPr>
        <w:t>ES</w:t>
      </w:r>
      <w:r>
        <w:rPr>
          <w:rFonts w:ascii="Times New Roman" w:hAnsi="Times New Roman"/>
          <w:noProof/>
          <w:sz w:val="24"/>
        </w:rPr>
        <w:t>), “pret bērna gribu” (</w:t>
      </w:r>
      <w:r>
        <w:rPr>
          <w:rFonts w:ascii="Times New Roman" w:hAnsi="Times New Roman"/>
          <w:b/>
          <w:noProof/>
          <w:sz w:val="24"/>
        </w:rPr>
        <w:t>EE</w:t>
      </w:r>
      <w:r>
        <w:rPr>
          <w:rFonts w:ascii="Times New Roman" w:hAnsi="Times New Roman"/>
          <w:noProof/>
          <w:sz w:val="24"/>
        </w:rPr>
        <w:t>), “piespiešanu, izmantojot spē</w:t>
      </w:r>
      <w:r>
        <w:rPr>
          <w:rFonts w:ascii="Times New Roman" w:hAnsi="Times New Roman"/>
          <w:noProof/>
          <w:sz w:val="24"/>
        </w:rPr>
        <w:t>ku” (</w:t>
      </w:r>
      <w:r>
        <w:rPr>
          <w:rFonts w:ascii="Times New Roman" w:hAnsi="Times New Roman"/>
          <w:b/>
          <w:noProof/>
          <w:sz w:val="24"/>
        </w:rPr>
        <w:t>AT</w:t>
      </w:r>
      <w:r>
        <w:rPr>
          <w:rFonts w:ascii="Times New Roman" w:hAnsi="Times New Roman"/>
          <w:noProof/>
          <w:sz w:val="24"/>
        </w:rPr>
        <w:t>) un citu terminoloģiju.</w:t>
      </w:r>
    </w:p>
    <w:p w:rsidR="005035BE" w:rsidRDefault="007D647F">
      <w:pPr>
        <w:pStyle w:val="ListParagraph"/>
        <w:numPr>
          <w:ilvl w:val="0"/>
          <w:numId w:val="22"/>
        </w:numPr>
        <w:spacing w:after="120" w:line="240" w:lineRule="auto"/>
        <w:ind w:left="360"/>
        <w:contextualSpacing w:val="0"/>
        <w:jc w:val="both"/>
        <w:rPr>
          <w:rFonts w:ascii="Times New Roman" w:hAnsi="Times New Roman" w:cs="Times New Roman"/>
          <w:noProof/>
          <w:sz w:val="24"/>
          <w:szCs w:val="24"/>
        </w:rPr>
      </w:pPr>
      <w:r>
        <w:rPr>
          <w:rFonts w:ascii="Times New Roman" w:hAnsi="Times New Roman"/>
          <w:noProof/>
          <w:sz w:val="24"/>
        </w:rPr>
        <w:t xml:space="preserve">Attiecībā uz bērna iesaistīšanu seksuālās darbībās ar trešajām personām, izmantojot piespiešanu, spēku vai draudus (3. panta 6. punkts), </w:t>
      </w:r>
      <w:r>
        <w:rPr>
          <w:rFonts w:ascii="Times New Roman" w:hAnsi="Times New Roman"/>
          <w:b/>
          <w:noProof/>
          <w:sz w:val="24"/>
        </w:rPr>
        <w:t>CY, DE, FR, LU, MT, NL</w:t>
      </w:r>
      <w:r>
        <w:rPr>
          <w:rFonts w:ascii="Times New Roman" w:hAnsi="Times New Roman"/>
          <w:noProof/>
          <w:sz w:val="24"/>
        </w:rPr>
        <w:t xml:space="preserve"> un </w:t>
      </w:r>
      <w:r>
        <w:rPr>
          <w:rFonts w:ascii="Times New Roman" w:hAnsi="Times New Roman"/>
          <w:b/>
          <w:noProof/>
          <w:sz w:val="24"/>
        </w:rPr>
        <w:t>PT</w:t>
      </w:r>
      <w:r>
        <w:rPr>
          <w:rFonts w:ascii="Times New Roman" w:hAnsi="Times New Roman"/>
          <w:noProof/>
          <w:sz w:val="24"/>
        </w:rPr>
        <w:t xml:space="preserve"> savos tiesību aktos skaidri atsaucas uz nodarījuma izdarīš</w:t>
      </w:r>
      <w:r>
        <w:rPr>
          <w:rFonts w:ascii="Times New Roman" w:hAnsi="Times New Roman"/>
          <w:noProof/>
          <w:sz w:val="24"/>
        </w:rPr>
        <w:t xml:space="preserve">anu kopā ar trešo personu, savukārt </w:t>
      </w:r>
      <w:r>
        <w:rPr>
          <w:rFonts w:ascii="Times New Roman" w:hAnsi="Times New Roman"/>
          <w:b/>
          <w:noProof/>
          <w:sz w:val="24"/>
        </w:rPr>
        <w:t>AT, BG, CZ, ES, HU, IE, IT, LT, RO, SE</w:t>
      </w:r>
      <w:r>
        <w:rPr>
          <w:rFonts w:ascii="Times New Roman" w:hAnsi="Times New Roman"/>
          <w:noProof/>
          <w:sz w:val="24"/>
        </w:rPr>
        <w:t xml:space="preserve"> un </w:t>
      </w:r>
      <w:r>
        <w:rPr>
          <w:rFonts w:ascii="Times New Roman" w:hAnsi="Times New Roman"/>
          <w:b/>
          <w:noProof/>
          <w:sz w:val="24"/>
        </w:rPr>
        <w:t>SI</w:t>
      </w:r>
      <w:r>
        <w:rPr>
          <w:rFonts w:ascii="Times New Roman" w:hAnsi="Times New Roman"/>
          <w:noProof/>
          <w:sz w:val="24"/>
        </w:rPr>
        <w:t xml:space="preserve"> to aptver netieši vai noteikumos par izvarošanu, seksuālu uzmākšanos vai seksuālu vardarbību, izmantojot piespiešanu, spēku vai draudus.</w:t>
      </w:r>
    </w:p>
    <w:p w:rsidR="005035BE" w:rsidRDefault="007D647F">
      <w:pPr>
        <w:spacing w:after="120"/>
        <w:rPr>
          <w:noProof/>
          <w:szCs w:val="24"/>
        </w:rPr>
      </w:pPr>
      <w:r>
        <w:rPr>
          <w:noProof/>
        </w:rPr>
        <w:t xml:space="preserve">   </w:t>
      </w:r>
    </w:p>
    <w:p w:rsidR="005035BE" w:rsidRDefault="007D647F">
      <w:pPr>
        <w:pStyle w:val="Heading3"/>
        <w:tabs>
          <w:tab w:val="clear" w:pos="1920"/>
          <w:tab w:val="num" w:pos="851"/>
        </w:tabs>
        <w:spacing w:after="120"/>
        <w:ind w:left="709"/>
        <w:rPr>
          <w:b/>
          <w:noProof/>
          <w:szCs w:val="24"/>
        </w:rPr>
      </w:pPr>
      <w:bookmarkStart w:id="28" w:name="_Toc457816590"/>
      <w:bookmarkStart w:id="29" w:name="_Toc469041935"/>
      <w:bookmarkStart w:id="30" w:name="_Toc472591169"/>
      <w:r>
        <w:rPr>
          <w:b/>
          <w:noProof/>
        </w:rPr>
        <w:t>Nodarījumi saistībā ar seksuālu iz</w:t>
      </w:r>
      <w:r>
        <w:rPr>
          <w:b/>
          <w:noProof/>
        </w:rPr>
        <w:t>mantošanu</w:t>
      </w:r>
      <w:bookmarkEnd w:id="28"/>
      <w:r>
        <w:rPr>
          <w:b/>
          <w:noProof/>
        </w:rPr>
        <w:t xml:space="preserve"> (4. pants)</w:t>
      </w:r>
      <w:bookmarkEnd w:id="29"/>
      <w:bookmarkEnd w:id="30"/>
    </w:p>
    <w:p w:rsidR="005035BE" w:rsidRDefault="007D647F">
      <w:pPr>
        <w:pStyle w:val="Text3"/>
        <w:spacing w:after="120"/>
        <w:ind w:left="0"/>
        <w:rPr>
          <w:noProof/>
          <w:szCs w:val="24"/>
        </w:rPr>
      </w:pPr>
      <w:r>
        <w:rPr>
          <w:noProof/>
        </w:rPr>
        <w:t>4. pantā ir definētas tīšas darbības, kas veido nodarījumu saistībā ar seksuālu izmantošanu.</w:t>
      </w:r>
    </w:p>
    <w:p w:rsidR="005035BE" w:rsidRDefault="007D647F">
      <w:pPr>
        <w:pStyle w:val="ListParagraph"/>
        <w:numPr>
          <w:ilvl w:val="0"/>
          <w:numId w:val="22"/>
        </w:numPr>
        <w:spacing w:after="120" w:line="240" w:lineRule="auto"/>
        <w:ind w:left="360"/>
        <w:contextualSpacing w:val="0"/>
        <w:jc w:val="both"/>
        <w:rPr>
          <w:rFonts w:ascii="Times New Roman" w:hAnsi="Times New Roman" w:cs="Times New Roman"/>
          <w:noProof/>
          <w:sz w:val="24"/>
          <w:szCs w:val="24"/>
        </w:rPr>
      </w:pPr>
      <w:r>
        <w:rPr>
          <w:rFonts w:ascii="Times New Roman" w:hAnsi="Times New Roman"/>
          <w:noProof/>
          <w:sz w:val="24"/>
        </w:rPr>
        <w:t xml:space="preserve">Attiecībā uz bērna iesaistīšanu vai bērna vervēšanu dalībai pornogrāfiskā priekšnesumā (4. panta 2. punkts) </w:t>
      </w:r>
      <w:r>
        <w:rPr>
          <w:rFonts w:ascii="Times New Roman" w:hAnsi="Times New Roman"/>
          <w:b/>
          <w:noProof/>
          <w:sz w:val="24"/>
        </w:rPr>
        <w:t>AT, BG, CY, DE, EL, ES, IT, LT, MT</w:t>
      </w:r>
      <w:r>
        <w:rPr>
          <w:rFonts w:ascii="Times New Roman" w:hAnsi="Times New Roman"/>
          <w:b/>
          <w:noProof/>
          <w:sz w:val="24"/>
        </w:rPr>
        <w:t>, NL, RO, SK</w:t>
      </w:r>
      <w:r>
        <w:rPr>
          <w:rFonts w:ascii="Times New Roman" w:hAnsi="Times New Roman"/>
          <w:noProof/>
          <w:sz w:val="24"/>
        </w:rPr>
        <w:t xml:space="preserve"> un </w:t>
      </w:r>
      <w:r>
        <w:rPr>
          <w:rFonts w:ascii="Times New Roman" w:hAnsi="Times New Roman"/>
          <w:b/>
          <w:noProof/>
          <w:sz w:val="24"/>
        </w:rPr>
        <w:t>UK</w:t>
      </w:r>
      <w:r>
        <w:rPr>
          <w:rFonts w:ascii="Times New Roman" w:hAnsi="Times New Roman"/>
          <w:noProof/>
          <w:sz w:val="24"/>
        </w:rPr>
        <w:t xml:space="preserve"> (</w:t>
      </w:r>
      <w:r>
        <w:rPr>
          <w:rFonts w:ascii="Times New Roman" w:hAnsi="Times New Roman"/>
          <w:b/>
          <w:noProof/>
          <w:sz w:val="24"/>
        </w:rPr>
        <w:t>Gibraltārs</w:t>
      </w:r>
      <w:r>
        <w:rPr>
          <w:rFonts w:ascii="Times New Roman" w:hAnsi="Times New Roman"/>
          <w:noProof/>
          <w:sz w:val="24"/>
        </w:rPr>
        <w:t>) ir ieviesušas tiesību aktus, ar kuriem transponē šo direktīvas noteikumu. No citām dalībvalstīm saņemtā informācija nebija pārliecinoša.</w:t>
      </w:r>
    </w:p>
    <w:p w:rsidR="005035BE" w:rsidRDefault="007D647F">
      <w:pPr>
        <w:pStyle w:val="ListParagraph"/>
        <w:numPr>
          <w:ilvl w:val="0"/>
          <w:numId w:val="22"/>
        </w:numPr>
        <w:spacing w:after="120" w:line="240" w:lineRule="auto"/>
        <w:ind w:left="360"/>
        <w:contextualSpacing w:val="0"/>
        <w:jc w:val="both"/>
        <w:rPr>
          <w:rFonts w:ascii="Times New Roman" w:hAnsi="Times New Roman" w:cs="Times New Roman"/>
          <w:noProof/>
          <w:sz w:val="24"/>
          <w:szCs w:val="24"/>
        </w:rPr>
      </w:pPr>
      <w:r>
        <w:rPr>
          <w:rFonts w:ascii="Times New Roman" w:hAnsi="Times New Roman"/>
          <w:noProof/>
          <w:sz w:val="24"/>
        </w:rPr>
        <w:t>Saskaņā ar 4. panta 3. punktu dalībvalstīm ir jāpiemēro sods par bērna iesaistīšanu por</w:t>
      </w:r>
      <w:r>
        <w:rPr>
          <w:rFonts w:ascii="Times New Roman" w:hAnsi="Times New Roman"/>
          <w:noProof/>
          <w:sz w:val="24"/>
        </w:rPr>
        <w:t xml:space="preserve">nogrāfiskā priekšnesumā, izmantojot piespiešanu vai spēku, vai par šādā nolūkā bērnam izteiktiem draudiem. </w:t>
      </w:r>
      <w:r>
        <w:rPr>
          <w:rFonts w:ascii="Times New Roman" w:hAnsi="Times New Roman"/>
          <w:b/>
          <w:noProof/>
          <w:sz w:val="24"/>
        </w:rPr>
        <w:t>AT, BG, CY, DE, EL, ES, IE, IT, LT, MT, NL, SI, SK</w:t>
      </w:r>
      <w:r>
        <w:rPr>
          <w:rFonts w:ascii="Times New Roman" w:hAnsi="Times New Roman"/>
          <w:noProof/>
          <w:sz w:val="24"/>
        </w:rPr>
        <w:t xml:space="preserve"> un </w:t>
      </w:r>
      <w:r>
        <w:rPr>
          <w:rFonts w:ascii="Times New Roman" w:hAnsi="Times New Roman"/>
          <w:b/>
          <w:noProof/>
          <w:sz w:val="24"/>
        </w:rPr>
        <w:t>UK</w:t>
      </w:r>
      <w:r>
        <w:rPr>
          <w:rFonts w:ascii="Times New Roman" w:hAnsi="Times New Roman"/>
          <w:noProof/>
          <w:sz w:val="24"/>
        </w:rPr>
        <w:t xml:space="preserve"> (</w:t>
      </w:r>
      <w:r>
        <w:rPr>
          <w:rFonts w:ascii="Times New Roman" w:hAnsi="Times New Roman"/>
          <w:b/>
          <w:noProof/>
          <w:sz w:val="24"/>
        </w:rPr>
        <w:t>Gibraltārā</w:t>
      </w:r>
      <w:r>
        <w:rPr>
          <w:rFonts w:ascii="Times New Roman" w:hAnsi="Times New Roman"/>
          <w:noProof/>
          <w:sz w:val="24"/>
        </w:rPr>
        <w:t>) ir izveidoti tiesību akti, ar kuriem transponē šo direktīvas noteikumu. Lai ats</w:t>
      </w:r>
      <w:r>
        <w:rPr>
          <w:rFonts w:ascii="Times New Roman" w:hAnsi="Times New Roman"/>
          <w:noProof/>
          <w:sz w:val="24"/>
        </w:rPr>
        <w:t xml:space="preserve">poguļotu “piespiešanu, spēku vai draudus”, dalībvalstis izmanto atšķirīgus formulējumus. Piemēram, </w:t>
      </w:r>
      <w:r>
        <w:rPr>
          <w:rFonts w:ascii="Times New Roman" w:hAnsi="Times New Roman"/>
          <w:b/>
          <w:noProof/>
          <w:sz w:val="24"/>
        </w:rPr>
        <w:t>BG, DE, HR, HU, IT, PL</w:t>
      </w:r>
      <w:r>
        <w:rPr>
          <w:rFonts w:ascii="Times New Roman" w:hAnsi="Times New Roman"/>
          <w:noProof/>
          <w:sz w:val="24"/>
        </w:rPr>
        <w:t xml:space="preserve"> un </w:t>
      </w:r>
      <w:r>
        <w:rPr>
          <w:rFonts w:ascii="Times New Roman" w:hAnsi="Times New Roman"/>
          <w:b/>
          <w:noProof/>
          <w:sz w:val="24"/>
        </w:rPr>
        <w:t>SI</w:t>
      </w:r>
      <w:r>
        <w:rPr>
          <w:rFonts w:ascii="Times New Roman" w:hAnsi="Times New Roman"/>
          <w:noProof/>
          <w:sz w:val="24"/>
        </w:rPr>
        <w:t xml:space="preserve"> atsaucas uz “spēku un draudiem”, </w:t>
      </w:r>
      <w:r>
        <w:rPr>
          <w:rFonts w:ascii="Times New Roman" w:hAnsi="Times New Roman"/>
          <w:b/>
          <w:noProof/>
          <w:sz w:val="24"/>
        </w:rPr>
        <w:t>BG</w:t>
      </w:r>
      <w:r>
        <w:rPr>
          <w:rFonts w:ascii="Times New Roman" w:hAnsi="Times New Roman"/>
          <w:noProof/>
          <w:sz w:val="24"/>
        </w:rPr>
        <w:t xml:space="preserve"> uz “spēku, draudiem par nopietna kaitējuma nodarīšanu”, </w:t>
      </w:r>
      <w:r>
        <w:rPr>
          <w:rFonts w:ascii="Times New Roman" w:hAnsi="Times New Roman"/>
          <w:b/>
          <w:noProof/>
          <w:sz w:val="24"/>
        </w:rPr>
        <w:t>EL</w:t>
      </w:r>
      <w:r>
        <w:rPr>
          <w:rFonts w:ascii="Times New Roman" w:hAnsi="Times New Roman"/>
          <w:noProof/>
          <w:sz w:val="24"/>
        </w:rPr>
        <w:t xml:space="preserve"> uz “piespiešanu vai vardarbību, v</w:t>
      </w:r>
      <w:r>
        <w:rPr>
          <w:rFonts w:ascii="Times New Roman" w:hAnsi="Times New Roman"/>
          <w:noProof/>
          <w:sz w:val="24"/>
        </w:rPr>
        <w:t xml:space="preserve">ai draudiem” un </w:t>
      </w:r>
      <w:r>
        <w:rPr>
          <w:rFonts w:ascii="Times New Roman" w:hAnsi="Times New Roman"/>
          <w:b/>
          <w:noProof/>
          <w:sz w:val="24"/>
        </w:rPr>
        <w:t>ES</w:t>
      </w:r>
      <w:r>
        <w:rPr>
          <w:rFonts w:ascii="Times New Roman" w:hAnsi="Times New Roman"/>
          <w:noProof/>
          <w:sz w:val="24"/>
        </w:rPr>
        <w:t xml:space="preserve"> uz “vardarbības izmantošanu vai iebiedēšanu”.</w:t>
      </w:r>
    </w:p>
    <w:p w:rsidR="005035BE" w:rsidRDefault="007D647F">
      <w:pPr>
        <w:pStyle w:val="ListParagraph"/>
        <w:numPr>
          <w:ilvl w:val="0"/>
          <w:numId w:val="22"/>
        </w:numPr>
        <w:spacing w:after="120" w:line="240" w:lineRule="auto"/>
        <w:ind w:left="360"/>
        <w:contextualSpacing w:val="0"/>
        <w:jc w:val="both"/>
        <w:rPr>
          <w:rFonts w:ascii="Times New Roman" w:hAnsi="Times New Roman" w:cs="Times New Roman"/>
          <w:noProof/>
          <w:sz w:val="24"/>
          <w:szCs w:val="24"/>
        </w:rPr>
      </w:pPr>
      <w:r>
        <w:rPr>
          <w:rFonts w:ascii="Times New Roman" w:hAnsi="Times New Roman"/>
          <w:noProof/>
          <w:sz w:val="24"/>
        </w:rPr>
        <w:t xml:space="preserve">4. panta 4. punkts paredz sodīšanu par apzinātu tādu pornogrāfisku priekšnesumu apmeklēšanu, kuros piedalās bērni. </w:t>
      </w:r>
      <w:r>
        <w:rPr>
          <w:rFonts w:ascii="Times New Roman" w:hAnsi="Times New Roman"/>
          <w:b/>
          <w:noProof/>
          <w:sz w:val="24"/>
        </w:rPr>
        <w:t>AT, BG, CY, DE, ES, FI, IE, IT, LT, MT, RO, SI, SK</w:t>
      </w:r>
      <w:r>
        <w:rPr>
          <w:rFonts w:ascii="Times New Roman" w:hAnsi="Times New Roman"/>
          <w:noProof/>
          <w:sz w:val="24"/>
        </w:rPr>
        <w:t xml:space="preserve"> un </w:t>
      </w:r>
      <w:r>
        <w:rPr>
          <w:rFonts w:ascii="Times New Roman" w:hAnsi="Times New Roman"/>
          <w:b/>
          <w:noProof/>
          <w:sz w:val="24"/>
        </w:rPr>
        <w:t>UK (Gibraltārā)</w:t>
      </w:r>
      <w:r>
        <w:rPr>
          <w:rFonts w:ascii="Times New Roman" w:hAnsi="Times New Roman"/>
          <w:noProof/>
          <w:sz w:val="24"/>
        </w:rPr>
        <w:t xml:space="preserve"> ir izveidoti tiesību akti, ar kuriem transponē šo direktīvas noteikumu. No citām dalībvalstīm saņemtā informācija nebija pārliecinoša.</w:t>
      </w:r>
    </w:p>
    <w:p w:rsidR="005035BE" w:rsidRDefault="007D647F">
      <w:pPr>
        <w:pStyle w:val="ListParagraph"/>
        <w:numPr>
          <w:ilvl w:val="0"/>
          <w:numId w:val="22"/>
        </w:numPr>
        <w:spacing w:after="120" w:line="240" w:lineRule="auto"/>
        <w:ind w:left="360"/>
        <w:contextualSpacing w:val="0"/>
        <w:jc w:val="both"/>
        <w:rPr>
          <w:rFonts w:ascii="Times New Roman" w:hAnsi="Times New Roman" w:cs="Times New Roman"/>
          <w:noProof/>
          <w:sz w:val="24"/>
          <w:szCs w:val="24"/>
        </w:rPr>
      </w:pPr>
      <w:r>
        <w:rPr>
          <w:rFonts w:ascii="Times New Roman" w:hAnsi="Times New Roman"/>
          <w:noProof/>
          <w:sz w:val="24"/>
        </w:rPr>
        <w:t>Saskaņā ar 4. panta 5. punktu dalībvalstīm ir jāpiemēro sods par bērna iesaistīšanu vai vervēšanu iesaistīties bērnu pro</w:t>
      </w:r>
      <w:r>
        <w:rPr>
          <w:rFonts w:ascii="Times New Roman" w:hAnsi="Times New Roman"/>
          <w:noProof/>
          <w:sz w:val="24"/>
        </w:rPr>
        <w:t xml:space="preserve">stitūcijā vai par labuma gūšanu no tā, vai bērna citādu izmantošanu šādā nolūkā. </w:t>
      </w:r>
      <w:r>
        <w:rPr>
          <w:rFonts w:ascii="Times New Roman" w:hAnsi="Times New Roman"/>
          <w:b/>
          <w:noProof/>
          <w:sz w:val="24"/>
        </w:rPr>
        <w:t>BE, BG, CY, CZ, DE, EL, ES, FR, HR, IT, LT, LU, MT, NL, PT, RO, SE, SI, SK</w:t>
      </w:r>
      <w:r>
        <w:rPr>
          <w:rFonts w:ascii="Times New Roman" w:hAnsi="Times New Roman"/>
          <w:noProof/>
          <w:sz w:val="24"/>
        </w:rPr>
        <w:t xml:space="preserve"> un </w:t>
      </w:r>
      <w:r>
        <w:rPr>
          <w:rFonts w:ascii="Times New Roman" w:hAnsi="Times New Roman"/>
          <w:b/>
          <w:noProof/>
          <w:sz w:val="24"/>
        </w:rPr>
        <w:t>UK</w:t>
      </w:r>
      <w:r>
        <w:rPr>
          <w:rFonts w:ascii="Times New Roman" w:hAnsi="Times New Roman"/>
          <w:noProof/>
          <w:sz w:val="24"/>
        </w:rPr>
        <w:t xml:space="preserve"> ir izveidoti tiesību akti, ar kuriem transponē šo direktīvas noteikumu. No citām dalībvalstīm </w:t>
      </w:r>
      <w:r>
        <w:rPr>
          <w:rFonts w:ascii="Times New Roman" w:hAnsi="Times New Roman"/>
          <w:noProof/>
          <w:sz w:val="24"/>
        </w:rPr>
        <w:t>saņemtā informācija nebija pārliecinoša.</w:t>
      </w:r>
    </w:p>
    <w:p w:rsidR="005035BE" w:rsidRDefault="007D647F">
      <w:pPr>
        <w:pStyle w:val="ListParagraph"/>
        <w:numPr>
          <w:ilvl w:val="0"/>
          <w:numId w:val="22"/>
        </w:numPr>
        <w:spacing w:after="120" w:line="240" w:lineRule="auto"/>
        <w:ind w:left="360"/>
        <w:contextualSpacing w:val="0"/>
        <w:jc w:val="both"/>
        <w:rPr>
          <w:rFonts w:ascii="Times New Roman" w:hAnsi="Times New Roman" w:cs="Times New Roman"/>
          <w:noProof/>
          <w:sz w:val="24"/>
          <w:szCs w:val="24"/>
        </w:rPr>
      </w:pPr>
      <w:r>
        <w:rPr>
          <w:rFonts w:ascii="Times New Roman" w:hAnsi="Times New Roman"/>
          <w:noProof/>
          <w:sz w:val="24"/>
        </w:rPr>
        <w:t xml:space="preserve">4. panta 6. punkts paredz sodīšanu par bērna iesaistīšanu bērnu prostitūcijā, izmantojot piespiešanu vai spēku, vai par šādā nolūkā bērnam izteiktiem draudiem. </w:t>
      </w:r>
      <w:r>
        <w:rPr>
          <w:rFonts w:ascii="Times New Roman" w:hAnsi="Times New Roman"/>
          <w:b/>
          <w:noProof/>
          <w:sz w:val="24"/>
        </w:rPr>
        <w:t>AT, BG, CY, CZ, DE, EE, EL, ES, FR, HR, IT, LT, LU, MT,</w:t>
      </w:r>
      <w:r>
        <w:rPr>
          <w:rFonts w:ascii="Times New Roman" w:hAnsi="Times New Roman"/>
          <w:b/>
          <w:noProof/>
          <w:sz w:val="24"/>
        </w:rPr>
        <w:t xml:space="preserve"> NL, PT, RO, SI, SK</w:t>
      </w:r>
      <w:r>
        <w:rPr>
          <w:rFonts w:ascii="Times New Roman" w:hAnsi="Times New Roman"/>
          <w:noProof/>
          <w:sz w:val="24"/>
        </w:rPr>
        <w:t xml:space="preserve"> un </w:t>
      </w:r>
      <w:r>
        <w:rPr>
          <w:rFonts w:ascii="Times New Roman" w:hAnsi="Times New Roman"/>
          <w:b/>
          <w:noProof/>
          <w:sz w:val="24"/>
        </w:rPr>
        <w:t>UK (Skotijā)</w:t>
      </w:r>
      <w:r>
        <w:rPr>
          <w:rFonts w:ascii="Times New Roman" w:hAnsi="Times New Roman"/>
          <w:noProof/>
          <w:sz w:val="24"/>
        </w:rPr>
        <w:t xml:space="preserve"> ir izveidoti tiesību akti, ar kuriem transponē šo direktīvas noteikumu. No citām dalībvalstīm saņemtā informācija nebija pārliecinoša.</w:t>
      </w:r>
    </w:p>
    <w:p w:rsidR="005035BE" w:rsidRDefault="007D647F">
      <w:pPr>
        <w:pStyle w:val="ListParagraph"/>
        <w:numPr>
          <w:ilvl w:val="0"/>
          <w:numId w:val="22"/>
        </w:numPr>
        <w:spacing w:after="120" w:line="240" w:lineRule="auto"/>
        <w:ind w:left="360"/>
        <w:contextualSpacing w:val="0"/>
        <w:jc w:val="both"/>
        <w:rPr>
          <w:rFonts w:ascii="Times New Roman" w:hAnsi="Times New Roman" w:cs="Times New Roman"/>
          <w:noProof/>
          <w:sz w:val="24"/>
          <w:szCs w:val="24"/>
        </w:rPr>
      </w:pPr>
      <w:r>
        <w:rPr>
          <w:rFonts w:ascii="Times New Roman" w:hAnsi="Times New Roman"/>
          <w:noProof/>
          <w:sz w:val="24"/>
        </w:rPr>
        <w:t>4. panta 7. punkts paredz sodīšanu par iesaistīšanos seksuālās darbībās ar bērnu, izm</w:t>
      </w:r>
      <w:r>
        <w:rPr>
          <w:rFonts w:ascii="Times New Roman" w:hAnsi="Times New Roman"/>
          <w:noProof/>
          <w:sz w:val="24"/>
        </w:rPr>
        <w:t xml:space="preserve">antojot bērnu prostitūciju. Lielākajā daļā dalībvalstu ir izveidoti tiesību akti, ar kuriem transponē šo noteikumu. Attiecībā uz </w:t>
      </w:r>
      <w:r>
        <w:rPr>
          <w:rFonts w:ascii="Times New Roman" w:hAnsi="Times New Roman"/>
          <w:b/>
          <w:noProof/>
          <w:sz w:val="24"/>
        </w:rPr>
        <w:t>HU, IE, LV, PL, PT, RO</w:t>
      </w:r>
      <w:r>
        <w:rPr>
          <w:rFonts w:ascii="Times New Roman" w:hAnsi="Times New Roman"/>
          <w:noProof/>
          <w:sz w:val="24"/>
        </w:rPr>
        <w:t xml:space="preserve"> un </w:t>
      </w:r>
      <w:r>
        <w:rPr>
          <w:rFonts w:ascii="Times New Roman" w:hAnsi="Times New Roman"/>
          <w:b/>
          <w:noProof/>
          <w:sz w:val="24"/>
        </w:rPr>
        <w:t>SE</w:t>
      </w:r>
      <w:r>
        <w:rPr>
          <w:rFonts w:ascii="Times New Roman" w:hAnsi="Times New Roman"/>
          <w:noProof/>
          <w:sz w:val="24"/>
        </w:rPr>
        <w:t xml:space="preserve"> sniegtā informācija nebija pārliecinoša.</w:t>
      </w:r>
    </w:p>
    <w:p w:rsidR="005035BE" w:rsidRDefault="007D647F">
      <w:pPr>
        <w:pStyle w:val="Heading3"/>
        <w:tabs>
          <w:tab w:val="clear" w:pos="1920"/>
          <w:tab w:val="num" w:pos="851"/>
        </w:tabs>
        <w:spacing w:before="240" w:after="120"/>
        <w:ind w:left="709"/>
        <w:rPr>
          <w:b/>
          <w:noProof/>
          <w:szCs w:val="24"/>
        </w:rPr>
      </w:pPr>
      <w:bookmarkStart w:id="31" w:name="_Toc457816591"/>
      <w:bookmarkStart w:id="32" w:name="_Toc469041936"/>
      <w:bookmarkStart w:id="33" w:name="_Toc472591170"/>
      <w:r>
        <w:rPr>
          <w:b/>
          <w:noProof/>
        </w:rPr>
        <w:t>Nodarījumi saistībā ar bērnu pornogrāfiju</w:t>
      </w:r>
      <w:bookmarkEnd w:id="31"/>
      <w:r>
        <w:rPr>
          <w:b/>
          <w:noProof/>
        </w:rPr>
        <w:t xml:space="preserve"> (5. pants)</w:t>
      </w:r>
      <w:bookmarkEnd w:id="32"/>
      <w:bookmarkEnd w:id="33"/>
    </w:p>
    <w:p w:rsidR="005035BE" w:rsidRDefault="007D647F">
      <w:pPr>
        <w:pStyle w:val="Text3"/>
        <w:spacing w:after="120"/>
        <w:ind w:left="0"/>
        <w:rPr>
          <w:noProof/>
          <w:szCs w:val="24"/>
        </w:rPr>
      </w:pPr>
      <w:r>
        <w:rPr>
          <w:noProof/>
        </w:rPr>
        <w:t>5. p</w:t>
      </w:r>
      <w:r>
        <w:rPr>
          <w:noProof/>
        </w:rPr>
        <w:t>antā ir definētas tīšas darbības, kas veido nodarījumu saistībā ar bērnu pornogrāfiju.</w:t>
      </w:r>
    </w:p>
    <w:p w:rsidR="005035BE" w:rsidRDefault="007D647F">
      <w:pPr>
        <w:pStyle w:val="Text3"/>
        <w:numPr>
          <w:ilvl w:val="0"/>
          <w:numId w:val="24"/>
        </w:numPr>
        <w:spacing w:after="120"/>
        <w:rPr>
          <w:noProof/>
          <w:szCs w:val="24"/>
        </w:rPr>
      </w:pPr>
      <w:r>
        <w:rPr>
          <w:noProof/>
        </w:rPr>
        <w:t xml:space="preserve">5. panta 2. punkts paredz sodīšanu par bērnu pornogrāfijas iegūšanu vai glabāšanu. Informācija, kuru sniedza lielākā daļa dalībvalstu, nebija pārliecinoša, izņemot </w:t>
      </w:r>
      <w:r>
        <w:rPr>
          <w:b/>
          <w:noProof/>
        </w:rPr>
        <w:t>AT, B</w:t>
      </w:r>
      <w:r>
        <w:rPr>
          <w:b/>
          <w:noProof/>
        </w:rPr>
        <w:t>G, CY, ES, FI, FR, LT, MT, RO</w:t>
      </w:r>
      <w:r>
        <w:rPr>
          <w:noProof/>
        </w:rPr>
        <w:t xml:space="preserve"> un </w:t>
      </w:r>
      <w:r>
        <w:rPr>
          <w:b/>
          <w:noProof/>
        </w:rPr>
        <w:t>SI</w:t>
      </w:r>
      <w:r>
        <w:rPr>
          <w:noProof/>
        </w:rPr>
        <w:t>.</w:t>
      </w:r>
    </w:p>
    <w:p w:rsidR="005035BE" w:rsidRDefault="007D647F">
      <w:pPr>
        <w:pStyle w:val="Text3"/>
        <w:numPr>
          <w:ilvl w:val="0"/>
          <w:numId w:val="24"/>
        </w:numPr>
        <w:spacing w:after="120"/>
        <w:rPr>
          <w:noProof/>
          <w:szCs w:val="24"/>
        </w:rPr>
      </w:pPr>
      <w:r>
        <w:rPr>
          <w:noProof/>
        </w:rPr>
        <w:t xml:space="preserve">5. panta 3. punkts paredz sodīšanu par apzinātu piekļuvi bērnu pornogrāfijai, izmantojot informācijas vai komunikācijas tehnoloģijas. Lielākā daļa dalībvalstu transponēja “apzinātas piekļuves” prasību, lai gan dažas no </w:t>
      </w:r>
      <w:r>
        <w:rPr>
          <w:noProof/>
        </w:rPr>
        <w:t xml:space="preserve">tām izmanto atšķirīgu terminoloģiju. Piemēram, </w:t>
      </w:r>
      <w:r>
        <w:rPr>
          <w:b/>
          <w:noProof/>
        </w:rPr>
        <w:t>DE</w:t>
      </w:r>
      <w:r>
        <w:rPr>
          <w:noProof/>
        </w:rPr>
        <w:t xml:space="preserve"> izmanto terminu “darbība ar mērķi iegūt” un </w:t>
      </w:r>
      <w:r>
        <w:rPr>
          <w:b/>
          <w:noProof/>
        </w:rPr>
        <w:t>HU</w:t>
      </w:r>
      <w:r>
        <w:rPr>
          <w:noProof/>
        </w:rPr>
        <w:t xml:space="preserve"> atsaucas uz “piekļuvi un glabāšanu”.</w:t>
      </w:r>
    </w:p>
    <w:p w:rsidR="005035BE" w:rsidRDefault="007D647F">
      <w:pPr>
        <w:pStyle w:val="Text3"/>
        <w:numPr>
          <w:ilvl w:val="0"/>
          <w:numId w:val="24"/>
        </w:numPr>
        <w:spacing w:after="120"/>
        <w:rPr>
          <w:noProof/>
          <w:szCs w:val="24"/>
        </w:rPr>
      </w:pPr>
      <w:r>
        <w:rPr>
          <w:noProof/>
        </w:rPr>
        <w:t>5. panta 4. punkts paredz sodīšanu par bērnu pornogrāfijas realizāciju, izplatīšanu vai pārsūtīšanu. Lielākā daļa dalībval</w:t>
      </w:r>
      <w:r>
        <w:rPr>
          <w:noProof/>
        </w:rPr>
        <w:t>stu, atsaucoties uz bērnu pornogrāfijas “realizāciju”, “izplatīšanu” vai “pārsūtīšanu”, izmanto atšķirīgu terminoloģiju. Piemēram, termins “pārsūtīšana” ir interpretēts kā līdzvērtīgs terminam “starpniecība” (</w:t>
      </w:r>
      <w:r>
        <w:rPr>
          <w:b/>
          <w:noProof/>
        </w:rPr>
        <w:t>CZ</w:t>
      </w:r>
      <w:r>
        <w:rPr>
          <w:noProof/>
        </w:rPr>
        <w:t>), “pārraidīšana” (</w:t>
      </w:r>
      <w:r>
        <w:rPr>
          <w:b/>
          <w:noProof/>
        </w:rPr>
        <w:t>BG</w:t>
      </w:r>
      <w:r>
        <w:rPr>
          <w:noProof/>
        </w:rPr>
        <w:t xml:space="preserve"> un </w:t>
      </w:r>
      <w:r>
        <w:rPr>
          <w:b/>
          <w:noProof/>
        </w:rPr>
        <w:t>DE</w:t>
      </w:r>
      <w:r>
        <w:rPr>
          <w:noProof/>
        </w:rPr>
        <w:t>), “izplatīšana” (</w:t>
      </w:r>
      <w:r>
        <w:rPr>
          <w:b/>
          <w:noProof/>
        </w:rPr>
        <w:t>IT</w:t>
      </w:r>
      <w:r>
        <w:rPr>
          <w:noProof/>
        </w:rPr>
        <w:t>) vai “piekļuves nodrošināšana” (</w:t>
      </w:r>
      <w:r>
        <w:rPr>
          <w:b/>
          <w:noProof/>
        </w:rPr>
        <w:t>LT</w:t>
      </w:r>
      <w:r>
        <w:rPr>
          <w:noProof/>
        </w:rPr>
        <w:t>).</w:t>
      </w:r>
    </w:p>
    <w:p w:rsidR="005035BE" w:rsidRDefault="007D647F">
      <w:pPr>
        <w:pStyle w:val="Text3"/>
        <w:numPr>
          <w:ilvl w:val="0"/>
          <w:numId w:val="24"/>
        </w:numPr>
        <w:spacing w:after="120"/>
        <w:rPr>
          <w:noProof/>
          <w:szCs w:val="24"/>
        </w:rPr>
      </w:pPr>
      <w:r>
        <w:rPr>
          <w:noProof/>
        </w:rPr>
        <w:t xml:space="preserve">5. panta 5. punkts paredz sodīšanu par bērnu pornogrāfijas piedāvāšanu, piegādi vai tās pieejamības nodrošināšanu. Lielākā daļa dalībvalstu attiecībā uz “piedāvāšanu”, “piegādi” vai “pieejamības nodrošināšanu” izmanto atšķirīgus terminus. Piemēram, </w:t>
      </w:r>
      <w:r>
        <w:rPr>
          <w:b/>
          <w:noProof/>
        </w:rPr>
        <w:t>CZ</w:t>
      </w:r>
      <w:r>
        <w:rPr>
          <w:noProof/>
        </w:rPr>
        <w:t xml:space="preserve"> term</w:t>
      </w:r>
      <w:r>
        <w:rPr>
          <w:noProof/>
        </w:rPr>
        <w:t xml:space="preserve">ina “piegāde” vietā izmanto terminus “importēšana”, “pārdošana” vai “nodrošināšana citā veidā”, savukārt </w:t>
      </w:r>
      <w:r>
        <w:rPr>
          <w:b/>
          <w:noProof/>
        </w:rPr>
        <w:t>SE</w:t>
      </w:r>
      <w:r>
        <w:rPr>
          <w:noProof/>
        </w:rPr>
        <w:t xml:space="preserve"> izmanto vispārīgu terminu “[bērnu pornogrāfijas] nodrošināšana”.</w:t>
      </w:r>
    </w:p>
    <w:p w:rsidR="005035BE" w:rsidRDefault="007D647F">
      <w:pPr>
        <w:pStyle w:val="Text3"/>
        <w:numPr>
          <w:ilvl w:val="0"/>
          <w:numId w:val="24"/>
        </w:numPr>
        <w:spacing w:after="120"/>
        <w:rPr>
          <w:noProof/>
          <w:szCs w:val="24"/>
        </w:rPr>
      </w:pPr>
      <w:r>
        <w:rPr>
          <w:noProof/>
        </w:rPr>
        <w:t>5. panta 6. punkts paredz sodīšanu par bērnu pornogrāfijas izgatavošanu. Visas dalī</w:t>
      </w:r>
      <w:r>
        <w:rPr>
          <w:noProof/>
        </w:rPr>
        <w:t xml:space="preserve">bvalstis transponējot izmanto vienotu terminu “izgatavošana”, izņemot </w:t>
      </w:r>
      <w:r>
        <w:rPr>
          <w:b/>
          <w:noProof/>
        </w:rPr>
        <w:t>FR</w:t>
      </w:r>
      <w:r>
        <w:rPr>
          <w:noProof/>
        </w:rPr>
        <w:t xml:space="preserve"> (“veidošana un ierakstīšana”) un </w:t>
      </w:r>
      <w:r>
        <w:rPr>
          <w:b/>
          <w:noProof/>
        </w:rPr>
        <w:t xml:space="preserve">UK </w:t>
      </w:r>
      <w:r>
        <w:rPr>
          <w:noProof/>
        </w:rPr>
        <w:t>(“uzņemšana”, “radīšana” un “uzņemšanas atļaušana”).</w:t>
      </w:r>
    </w:p>
    <w:p w:rsidR="005035BE" w:rsidRDefault="007D647F">
      <w:pPr>
        <w:pStyle w:val="Text3"/>
        <w:numPr>
          <w:ilvl w:val="0"/>
          <w:numId w:val="24"/>
        </w:numPr>
        <w:spacing w:after="120"/>
        <w:rPr>
          <w:noProof/>
          <w:szCs w:val="24"/>
        </w:rPr>
      </w:pPr>
      <w:r>
        <w:rPr>
          <w:noProof/>
        </w:rPr>
        <w:t>5. panta 7. un 8. punkts ir izvēles noteikumi attiecībā uz 5. panta piemērojamību īpašām situā</w:t>
      </w:r>
      <w:r>
        <w:rPr>
          <w:noProof/>
        </w:rPr>
        <w:t xml:space="preserve">cijām. Visa dalībvalstis, izņemot </w:t>
      </w:r>
      <w:r>
        <w:rPr>
          <w:b/>
          <w:noProof/>
        </w:rPr>
        <w:t>AT, DE, ES, SE</w:t>
      </w:r>
      <w:r>
        <w:rPr>
          <w:noProof/>
        </w:rPr>
        <w:t xml:space="preserve"> un </w:t>
      </w:r>
      <w:r>
        <w:rPr>
          <w:b/>
          <w:noProof/>
        </w:rPr>
        <w:t>UK</w:t>
      </w:r>
      <w:r>
        <w:rPr>
          <w:noProof/>
        </w:rPr>
        <w:t xml:space="preserve"> (5. panta 7. punkts) un </w:t>
      </w:r>
      <w:r>
        <w:rPr>
          <w:b/>
          <w:noProof/>
        </w:rPr>
        <w:t>AT</w:t>
      </w:r>
      <w:r>
        <w:rPr>
          <w:noProof/>
        </w:rPr>
        <w:t xml:space="preserve"> un </w:t>
      </w:r>
      <w:r>
        <w:rPr>
          <w:b/>
          <w:noProof/>
        </w:rPr>
        <w:t>DE</w:t>
      </w:r>
      <w:r>
        <w:rPr>
          <w:noProof/>
        </w:rPr>
        <w:t xml:space="preserve"> (5. panta 8. punkts), nolēma tos nepiemērot.</w:t>
      </w:r>
    </w:p>
    <w:p w:rsidR="005035BE" w:rsidRDefault="007D647F">
      <w:pPr>
        <w:pStyle w:val="Heading3"/>
        <w:tabs>
          <w:tab w:val="clear" w:pos="1920"/>
          <w:tab w:val="num" w:pos="851"/>
        </w:tabs>
        <w:spacing w:before="240" w:after="120"/>
        <w:ind w:left="709"/>
        <w:rPr>
          <w:b/>
          <w:noProof/>
          <w:szCs w:val="24"/>
        </w:rPr>
      </w:pPr>
      <w:bookmarkStart w:id="34" w:name="_Toc457816592"/>
      <w:bookmarkStart w:id="35" w:name="_Toc469041937"/>
      <w:bookmarkStart w:id="36" w:name="_Toc472591171"/>
      <w:r>
        <w:rPr>
          <w:b/>
          <w:noProof/>
        </w:rPr>
        <w:t>Uzmākšanās bērniem seksuālos nolūkos</w:t>
      </w:r>
      <w:bookmarkEnd w:id="34"/>
      <w:r>
        <w:rPr>
          <w:b/>
          <w:noProof/>
        </w:rPr>
        <w:t xml:space="preserve"> (6. pants)</w:t>
      </w:r>
      <w:bookmarkEnd w:id="35"/>
      <w:bookmarkEnd w:id="36"/>
    </w:p>
    <w:p w:rsidR="005035BE" w:rsidRDefault="007D647F">
      <w:pPr>
        <w:pStyle w:val="Text3"/>
        <w:spacing w:after="120"/>
        <w:ind w:left="0"/>
        <w:rPr>
          <w:noProof/>
          <w:szCs w:val="24"/>
        </w:rPr>
      </w:pPr>
      <w:r>
        <w:rPr>
          <w:noProof/>
        </w:rPr>
        <w:t xml:space="preserve">6. pantā ir definētas tīšas darbības, kas veido nodarījumu saistībā ar </w:t>
      </w:r>
      <w:r>
        <w:rPr>
          <w:noProof/>
        </w:rPr>
        <w:t>uzmākšanos bērniem seksuālos nolūkos.</w:t>
      </w:r>
    </w:p>
    <w:p w:rsidR="005035BE" w:rsidRDefault="007D647F">
      <w:pPr>
        <w:pStyle w:val="Text3"/>
        <w:spacing w:after="120"/>
        <w:ind w:left="0"/>
        <w:rPr>
          <w:noProof/>
          <w:szCs w:val="24"/>
        </w:rPr>
      </w:pPr>
      <w:r>
        <w:rPr>
          <w:noProof/>
        </w:rPr>
        <w:t xml:space="preserve">Lielākajā daļā dalībvalstu ir izveidoti tiesību akti, ar kuriem transponē šo pantu. Informācija attiecībā uz </w:t>
      </w:r>
      <w:r>
        <w:rPr>
          <w:b/>
          <w:noProof/>
        </w:rPr>
        <w:t>CY, HR, HU, IE, LU, LV, PL, RO</w:t>
      </w:r>
      <w:r>
        <w:rPr>
          <w:noProof/>
        </w:rPr>
        <w:t xml:space="preserve"> un </w:t>
      </w:r>
      <w:r>
        <w:rPr>
          <w:b/>
          <w:noProof/>
        </w:rPr>
        <w:t>UK</w:t>
      </w:r>
      <w:r>
        <w:rPr>
          <w:noProof/>
        </w:rPr>
        <w:t xml:space="preserve"> (6. panta 1. punkts), kā arī uz </w:t>
      </w:r>
      <w:r>
        <w:rPr>
          <w:b/>
          <w:noProof/>
        </w:rPr>
        <w:t>BE, CY, LV</w:t>
      </w:r>
      <w:r>
        <w:rPr>
          <w:noProof/>
        </w:rPr>
        <w:t xml:space="preserve"> un </w:t>
      </w:r>
      <w:r>
        <w:rPr>
          <w:b/>
          <w:noProof/>
        </w:rPr>
        <w:t>PL</w:t>
      </w:r>
      <w:r>
        <w:rPr>
          <w:noProof/>
        </w:rPr>
        <w:t xml:space="preserve"> (6. panta 2. punkts) ne</w:t>
      </w:r>
      <w:r>
        <w:rPr>
          <w:noProof/>
        </w:rPr>
        <w:t>bija pārliecinoša.</w:t>
      </w:r>
    </w:p>
    <w:p w:rsidR="005035BE" w:rsidRDefault="005035BE">
      <w:pPr>
        <w:pStyle w:val="Text3"/>
        <w:spacing w:after="120"/>
        <w:ind w:left="360"/>
        <w:rPr>
          <w:noProof/>
          <w:szCs w:val="24"/>
        </w:rPr>
      </w:pPr>
    </w:p>
    <w:p w:rsidR="005035BE" w:rsidRDefault="007D647F">
      <w:pPr>
        <w:pStyle w:val="Heading3"/>
        <w:tabs>
          <w:tab w:val="clear" w:pos="1920"/>
          <w:tab w:val="num" w:pos="851"/>
        </w:tabs>
        <w:spacing w:after="120"/>
        <w:ind w:left="709"/>
        <w:rPr>
          <w:b/>
          <w:noProof/>
          <w:szCs w:val="24"/>
        </w:rPr>
      </w:pPr>
      <w:bookmarkStart w:id="37" w:name="_Toc457816593"/>
      <w:bookmarkStart w:id="38" w:name="_Toc469041938"/>
      <w:bookmarkStart w:id="39" w:name="_Toc472591172"/>
      <w:r>
        <w:rPr>
          <w:b/>
          <w:noProof/>
        </w:rPr>
        <w:t>Kūdīšana, palīdzēšana, atbalstīšana un mēģinājums</w:t>
      </w:r>
      <w:bookmarkEnd w:id="37"/>
      <w:r>
        <w:rPr>
          <w:b/>
          <w:noProof/>
        </w:rPr>
        <w:t xml:space="preserve"> (7. pants)</w:t>
      </w:r>
      <w:bookmarkEnd w:id="38"/>
      <w:bookmarkEnd w:id="39"/>
    </w:p>
    <w:p w:rsidR="005035BE" w:rsidRDefault="007D647F">
      <w:pPr>
        <w:pStyle w:val="Text3"/>
        <w:spacing w:after="120"/>
        <w:ind w:left="0"/>
        <w:rPr>
          <w:noProof/>
          <w:szCs w:val="24"/>
        </w:rPr>
      </w:pPr>
      <w:bookmarkStart w:id="40" w:name="_Toc457816594"/>
      <w:r>
        <w:rPr>
          <w:noProof/>
        </w:rPr>
        <w:t>Saskaņā ar 7. pantu dalībvalstīm ir jāsoda par kūdīšanu, palīdzēšanu, atbalstīšanu un mēģinājumu veikt 3.–6. pantā ietvertos nodarījumus.</w:t>
      </w:r>
    </w:p>
    <w:p w:rsidR="005035BE" w:rsidRDefault="007D647F">
      <w:pPr>
        <w:pStyle w:val="Text3"/>
        <w:numPr>
          <w:ilvl w:val="0"/>
          <w:numId w:val="23"/>
        </w:numPr>
        <w:spacing w:after="120"/>
        <w:rPr>
          <w:noProof/>
          <w:szCs w:val="24"/>
        </w:rPr>
      </w:pPr>
      <w:r>
        <w:rPr>
          <w:noProof/>
        </w:rPr>
        <w:t>Visas dalībvalstis ir īstenojušas pas</w:t>
      </w:r>
      <w:r>
        <w:rPr>
          <w:noProof/>
        </w:rPr>
        <w:t>ākumus 7. panta 1. punkta transponēšanai.</w:t>
      </w:r>
    </w:p>
    <w:p w:rsidR="005035BE" w:rsidRDefault="007D647F">
      <w:pPr>
        <w:pStyle w:val="Text3"/>
        <w:numPr>
          <w:ilvl w:val="0"/>
          <w:numId w:val="23"/>
        </w:numPr>
        <w:spacing w:after="120"/>
        <w:rPr>
          <w:noProof/>
          <w:szCs w:val="24"/>
        </w:rPr>
      </w:pPr>
      <w:r>
        <w:rPr>
          <w:noProof/>
        </w:rPr>
        <w:t xml:space="preserve">7. panta 2. punkts lielākoties ir transponēts, īstenojot vispārējus noteikumus par mēģinājumu, izņemot </w:t>
      </w:r>
      <w:r>
        <w:rPr>
          <w:b/>
          <w:noProof/>
        </w:rPr>
        <w:t>CY, DE, FI, FR, HR, IE, LU, PT, RO</w:t>
      </w:r>
      <w:r>
        <w:rPr>
          <w:noProof/>
        </w:rPr>
        <w:t xml:space="preserve"> un </w:t>
      </w:r>
      <w:r>
        <w:rPr>
          <w:b/>
          <w:noProof/>
        </w:rPr>
        <w:t>SE</w:t>
      </w:r>
      <w:r>
        <w:rPr>
          <w:noProof/>
        </w:rPr>
        <w:t xml:space="preserve">, kuras ir ieviesušas īpašus noteikumus, ar kuriem soda par mēģinājumu </w:t>
      </w:r>
      <w:r>
        <w:rPr>
          <w:noProof/>
        </w:rPr>
        <w:t>veikt 7. panta 2. punktā uzskaitītos seksuālos nodarījumus.</w:t>
      </w:r>
    </w:p>
    <w:p w:rsidR="005035BE" w:rsidRDefault="007D647F">
      <w:pPr>
        <w:pStyle w:val="Heading3"/>
        <w:tabs>
          <w:tab w:val="clear" w:pos="1920"/>
          <w:tab w:val="num" w:pos="851"/>
        </w:tabs>
        <w:spacing w:before="240" w:after="120"/>
        <w:ind w:left="709"/>
        <w:rPr>
          <w:b/>
          <w:noProof/>
          <w:szCs w:val="24"/>
        </w:rPr>
      </w:pPr>
      <w:bookmarkStart w:id="41" w:name="_Toc469041939"/>
      <w:bookmarkStart w:id="42" w:name="_Toc472591173"/>
      <w:r>
        <w:rPr>
          <w:b/>
          <w:noProof/>
        </w:rPr>
        <w:t>Seksuālas darbības ar savstarpēju piekrišanu</w:t>
      </w:r>
      <w:bookmarkEnd w:id="40"/>
      <w:r>
        <w:rPr>
          <w:b/>
          <w:noProof/>
        </w:rPr>
        <w:t xml:space="preserve"> (8. pants)</w:t>
      </w:r>
      <w:bookmarkEnd w:id="41"/>
      <w:bookmarkEnd w:id="42"/>
    </w:p>
    <w:p w:rsidR="005035BE" w:rsidRDefault="007D647F">
      <w:pPr>
        <w:pStyle w:val="Text3"/>
        <w:spacing w:after="120"/>
        <w:ind w:left="0"/>
        <w:rPr>
          <w:noProof/>
          <w:szCs w:val="24"/>
        </w:rPr>
      </w:pPr>
      <w:r>
        <w:rPr>
          <w:noProof/>
        </w:rPr>
        <w:t xml:space="preserve">8. pantā ir noteikti trīs izvēles noteikumi attiecībā uz seksuālām darbībām ar savstarpēju piekrišanu. </w:t>
      </w:r>
      <w:r>
        <w:rPr>
          <w:b/>
          <w:noProof/>
        </w:rPr>
        <w:t>CY</w:t>
      </w:r>
      <w:r>
        <w:rPr>
          <w:noProof/>
        </w:rPr>
        <w:t xml:space="preserve"> un </w:t>
      </w:r>
      <w:r>
        <w:rPr>
          <w:b/>
          <w:noProof/>
        </w:rPr>
        <w:t>UK (Anglija/Velsa)</w:t>
      </w:r>
      <w:r>
        <w:rPr>
          <w:noProof/>
        </w:rPr>
        <w:t xml:space="preserve"> izvēlējās pi</w:t>
      </w:r>
      <w:r>
        <w:rPr>
          <w:noProof/>
        </w:rPr>
        <w:t xml:space="preserve">emērot visus trīs noteikumus, savukārt </w:t>
      </w:r>
      <w:r>
        <w:rPr>
          <w:b/>
          <w:noProof/>
        </w:rPr>
        <w:t>BE, BG, CZ, EE, IE, LU, LV, MT, NL, PL, SK</w:t>
      </w:r>
      <w:r>
        <w:rPr>
          <w:noProof/>
        </w:rPr>
        <w:t xml:space="preserve"> izvēlējās nepiemērot nevienu no tiem.</w:t>
      </w:r>
    </w:p>
    <w:p w:rsidR="005035BE" w:rsidRDefault="007D647F">
      <w:pPr>
        <w:pStyle w:val="Text3"/>
        <w:numPr>
          <w:ilvl w:val="0"/>
          <w:numId w:val="23"/>
        </w:numPr>
        <w:spacing w:after="120"/>
        <w:rPr>
          <w:noProof/>
          <w:szCs w:val="24"/>
        </w:rPr>
      </w:pPr>
      <w:r>
        <w:rPr>
          <w:b/>
          <w:noProof/>
        </w:rPr>
        <w:t>AT, CY, FI, EL, ES, HR, HU, IT, LT, LV, PT, RO, SE, SI</w:t>
      </w:r>
      <w:r>
        <w:rPr>
          <w:noProof/>
        </w:rPr>
        <w:t xml:space="preserve"> un </w:t>
      </w:r>
      <w:r>
        <w:rPr>
          <w:b/>
          <w:noProof/>
        </w:rPr>
        <w:t>UK (Anglija/Velsa</w:t>
      </w:r>
      <w:r>
        <w:rPr>
          <w:noProof/>
        </w:rPr>
        <w:t xml:space="preserve"> un </w:t>
      </w:r>
      <w:r>
        <w:rPr>
          <w:b/>
          <w:noProof/>
        </w:rPr>
        <w:t>Ziemeļīrija)</w:t>
      </w:r>
      <w:r>
        <w:rPr>
          <w:noProof/>
        </w:rPr>
        <w:t xml:space="preserve"> izvēlējās piemērot 8. panta 1. punktu.</w:t>
      </w:r>
    </w:p>
    <w:p w:rsidR="005035BE" w:rsidRDefault="007D647F">
      <w:pPr>
        <w:pStyle w:val="Text3"/>
        <w:numPr>
          <w:ilvl w:val="0"/>
          <w:numId w:val="23"/>
        </w:numPr>
        <w:spacing w:after="120"/>
        <w:rPr>
          <w:noProof/>
          <w:szCs w:val="24"/>
        </w:rPr>
      </w:pPr>
      <w:r>
        <w:rPr>
          <w:b/>
          <w:noProof/>
        </w:rPr>
        <w:t>CY, H</w:t>
      </w:r>
      <w:r>
        <w:rPr>
          <w:b/>
          <w:noProof/>
        </w:rPr>
        <w:t>R, SE</w:t>
      </w:r>
      <w:r>
        <w:rPr>
          <w:noProof/>
        </w:rPr>
        <w:t xml:space="preserve"> un </w:t>
      </w:r>
      <w:r>
        <w:rPr>
          <w:b/>
          <w:noProof/>
        </w:rPr>
        <w:t>UK (Anglija/Velsa</w:t>
      </w:r>
      <w:r>
        <w:rPr>
          <w:noProof/>
        </w:rPr>
        <w:t xml:space="preserve"> un </w:t>
      </w:r>
      <w:r>
        <w:rPr>
          <w:b/>
          <w:noProof/>
        </w:rPr>
        <w:t>Skotija)</w:t>
      </w:r>
      <w:r>
        <w:rPr>
          <w:noProof/>
        </w:rPr>
        <w:t xml:space="preserve"> izvēlējās piemērot 8. panta 2. punktu.</w:t>
      </w:r>
    </w:p>
    <w:p w:rsidR="005035BE" w:rsidRDefault="007D647F">
      <w:pPr>
        <w:pStyle w:val="Text3"/>
        <w:numPr>
          <w:ilvl w:val="0"/>
          <w:numId w:val="23"/>
        </w:numPr>
        <w:spacing w:after="120"/>
        <w:rPr>
          <w:noProof/>
          <w:szCs w:val="24"/>
        </w:rPr>
      </w:pPr>
      <w:r>
        <w:rPr>
          <w:b/>
          <w:noProof/>
        </w:rPr>
        <w:t>AT, CY, DE, FI, HR</w:t>
      </w:r>
      <w:r>
        <w:rPr>
          <w:noProof/>
        </w:rPr>
        <w:t xml:space="preserve"> un </w:t>
      </w:r>
      <w:r>
        <w:rPr>
          <w:b/>
          <w:noProof/>
        </w:rPr>
        <w:t>UK</w:t>
      </w:r>
      <w:r>
        <w:rPr>
          <w:noProof/>
        </w:rPr>
        <w:t xml:space="preserve"> izvēlējās piemērot 8. panta 3. punktu. </w:t>
      </w:r>
      <w:r>
        <w:rPr>
          <w:b/>
          <w:noProof/>
        </w:rPr>
        <w:t>DE, FI</w:t>
      </w:r>
      <w:r>
        <w:rPr>
          <w:noProof/>
        </w:rPr>
        <w:t xml:space="preserve"> un </w:t>
      </w:r>
      <w:r>
        <w:rPr>
          <w:b/>
          <w:noProof/>
        </w:rPr>
        <w:t>UK</w:t>
      </w:r>
      <w:r>
        <w:rPr>
          <w:noProof/>
        </w:rPr>
        <w:t xml:space="preserve"> piemēro iespēju gan attiecībā uz bērnu pornogrāfijas glabāšanu, gan tās izgatavošanu, savukārt </w:t>
      </w:r>
      <w:r>
        <w:rPr>
          <w:b/>
          <w:noProof/>
        </w:rPr>
        <w:t>FR</w:t>
      </w:r>
      <w:r>
        <w:rPr>
          <w:noProof/>
        </w:rPr>
        <w:t xml:space="preserve"> pie</w:t>
      </w:r>
      <w:r>
        <w:rPr>
          <w:noProof/>
        </w:rPr>
        <w:t>mēro to tikai attiecībā uz bērnu pornogrāfijas izgatavošanu.</w:t>
      </w:r>
    </w:p>
    <w:p w:rsidR="005035BE" w:rsidRDefault="007D647F">
      <w:pPr>
        <w:pStyle w:val="Heading3"/>
        <w:tabs>
          <w:tab w:val="clear" w:pos="1920"/>
          <w:tab w:val="num" w:pos="851"/>
        </w:tabs>
        <w:spacing w:before="240" w:after="120"/>
        <w:ind w:left="709"/>
        <w:rPr>
          <w:b/>
          <w:noProof/>
          <w:szCs w:val="24"/>
        </w:rPr>
      </w:pPr>
      <w:bookmarkStart w:id="43" w:name="_Toc457816595"/>
      <w:bookmarkStart w:id="44" w:name="_Toc469041940"/>
      <w:bookmarkStart w:id="45" w:name="_Toc472591174"/>
      <w:r>
        <w:rPr>
          <w:b/>
          <w:noProof/>
        </w:rPr>
        <w:t>Atbildību pastiprinoši apstākļi</w:t>
      </w:r>
      <w:bookmarkEnd w:id="43"/>
      <w:r>
        <w:rPr>
          <w:b/>
          <w:noProof/>
        </w:rPr>
        <w:t xml:space="preserve"> (9. pants)</w:t>
      </w:r>
      <w:bookmarkEnd w:id="44"/>
      <w:bookmarkEnd w:id="45"/>
    </w:p>
    <w:p w:rsidR="005035BE" w:rsidRDefault="007D647F">
      <w:pPr>
        <w:pStyle w:val="Text3"/>
        <w:spacing w:after="120"/>
        <w:ind w:left="0"/>
        <w:rPr>
          <w:noProof/>
          <w:szCs w:val="24"/>
        </w:rPr>
      </w:pPr>
      <w:r>
        <w:rPr>
          <w:noProof/>
        </w:rPr>
        <w:t>9. pantā ir definētas situācijas, kuras var uzskatīt par atbildību pastiprinošiem apstākļiem saistībā ar 3.–7. pantā minētajiem nodarījumiem.</w:t>
      </w:r>
    </w:p>
    <w:p w:rsidR="005035BE" w:rsidRDefault="007D647F">
      <w:pPr>
        <w:pStyle w:val="Text3"/>
        <w:spacing w:after="120"/>
        <w:ind w:left="0"/>
        <w:rPr>
          <w:noProof/>
          <w:szCs w:val="24"/>
        </w:rPr>
      </w:pPr>
      <w:r>
        <w:rPr>
          <w:noProof/>
        </w:rPr>
        <w:t xml:space="preserve">Lielākajā </w:t>
      </w:r>
      <w:r>
        <w:rPr>
          <w:noProof/>
        </w:rPr>
        <w:t xml:space="preserve">daļā dalībvalstu atbildību pastiprinošu apstākļu situācijas ir aprakstītas tiesību aktos. </w:t>
      </w:r>
      <w:r>
        <w:rPr>
          <w:b/>
          <w:noProof/>
        </w:rPr>
        <w:t>IE</w:t>
      </w:r>
      <w:r>
        <w:rPr>
          <w:noProof/>
        </w:rPr>
        <w:t xml:space="preserve"> un </w:t>
      </w:r>
      <w:r>
        <w:rPr>
          <w:b/>
          <w:noProof/>
        </w:rPr>
        <w:t>UK (Anglijā/Velsā, Ziemeļīrijā</w:t>
      </w:r>
      <w:r>
        <w:rPr>
          <w:noProof/>
        </w:rPr>
        <w:t xml:space="preserve"> un </w:t>
      </w:r>
      <w:r>
        <w:rPr>
          <w:b/>
          <w:noProof/>
        </w:rPr>
        <w:t>Skotijā)</w:t>
      </w:r>
      <w:r>
        <w:rPr>
          <w:noProof/>
        </w:rPr>
        <w:t>, kur tiesām ir lielāka rīcības brīvība notiesājot ņemt vērā atbildību pastiprinošus apstākļus, daži šā panta noteikum</w:t>
      </w:r>
      <w:r>
        <w:rPr>
          <w:noProof/>
        </w:rPr>
        <w:t>i tiesību aktos nebija ietverti.</w:t>
      </w:r>
    </w:p>
    <w:p w:rsidR="005035BE" w:rsidRDefault="007D647F">
      <w:pPr>
        <w:pStyle w:val="ListParagraph"/>
        <w:numPr>
          <w:ilvl w:val="0"/>
          <w:numId w:val="22"/>
        </w:numPr>
        <w:spacing w:after="120" w:line="240" w:lineRule="auto"/>
        <w:ind w:left="360"/>
        <w:contextualSpacing w:val="0"/>
        <w:jc w:val="both"/>
        <w:rPr>
          <w:rFonts w:ascii="Times New Roman" w:hAnsi="Times New Roman" w:cs="Times New Roman"/>
          <w:noProof/>
          <w:sz w:val="24"/>
          <w:szCs w:val="24"/>
        </w:rPr>
      </w:pPr>
      <w:r>
        <w:rPr>
          <w:rFonts w:ascii="Times New Roman" w:hAnsi="Times New Roman"/>
          <w:noProof/>
          <w:sz w:val="24"/>
        </w:rPr>
        <w:t>9. panta a) punkts attiecas uz nodarījumiem, kas ir izdarīti pret bērnu īpaši neaizsargātā situācijā — situācijā, kurā bērns ir atkarīgs, vai ir garīgas vai fiziskas nespējas stāvoklī. Lielākajā daļā dalībvalstu ir izveidot</w:t>
      </w:r>
      <w:r>
        <w:rPr>
          <w:rFonts w:ascii="Times New Roman" w:hAnsi="Times New Roman"/>
          <w:noProof/>
          <w:sz w:val="24"/>
        </w:rPr>
        <w:t xml:space="preserve">i tiesību akti, ar kuriem transponē šo noteikumu. Attiecībā uz </w:t>
      </w:r>
      <w:r>
        <w:rPr>
          <w:rFonts w:ascii="Times New Roman" w:hAnsi="Times New Roman"/>
          <w:b/>
          <w:noProof/>
          <w:sz w:val="24"/>
        </w:rPr>
        <w:t>BE, DE, ES, IE, LU, PL, SI</w:t>
      </w:r>
      <w:r>
        <w:rPr>
          <w:rFonts w:ascii="Times New Roman" w:hAnsi="Times New Roman"/>
          <w:noProof/>
          <w:sz w:val="24"/>
        </w:rPr>
        <w:t xml:space="preserve"> un </w:t>
      </w:r>
      <w:r>
        <w:rPr>
          <w:rFonts w:ascii="Times New Roman" w:hAnsi="Times New Roman"/>
          <w:b/>
          <w:noProof/>
          <w:sz w:val="24"/>
        </w:rPr>
        <w:t>UK (Angliju/Velsu, Skotiju</w:t>
      </w:r>
      <w:r>
        <w:rPr>
          <w:rFonts w:ascii="Times New Roman" w:hAnsi="Times New Roman"/>
          <w:noProof/>
          <w:sz w:val="24"/>
        </w:rPr>
        <w:t xml:space="preserve"> un </w:t>
      </w:r>
      <w:r>
        <w:rPr>
          <w:rFonts w:ascii="Times New Roman" w:hAnsi="Times New Roman"/>
          <w:b/>
          <w:noProof/>
          <w:sz w:val="24"/>
        </w:rPr>
        <w:t>Gibraltāru)</w:t>
      </w:r>
      <w:r>
        <w:rPr>
          <w:rFonts w:ascii="Times New Roman" w:hAnsi="Times New Roman"/>
          <w:noProof/>
          <w:sz w:val="24"/>
        </w:rPr>
        <w:t xml:space="preserve"> sniegtā informācija nebija pārliecinoša.</w:t>
      </w:r>
    </w:p>
    <w:p w:rsidR="005035BE" w:rsidRDefault="007D647F">
      <w:pPr>
        <w:pStyle w:val="Text3"/>
        <w:numPr>
          <w:ilvl w:val="0"/>
          <w:numId w:val="23"/>
        </w:numPr>
        <w:spacing w:after="120"/>
        <w:rPr>
          <w:noProof/>
          <w:szCs w:val="24"/>
        </w:rPr>
      </w:pPr>
      <w:r>
        <w:rPr>
          <w:noProof/>
        </w:rPr>
        <w:t>9. panta b) punkts attiecas uz nodarījumiem, ko ir izdarījis bērna ģimenes loceklis, persona, kura dzīvo kopā ar bērnu, vai persona, kura ļaunprātīgi izmantojusi atzītu uzticību vai autoritāti. Lielākajā daļā dalībvalstu ir izveidoti tiesību akti, ar kurie</w:t>
      </w:r>
      <w:r>
        <w:rPr>
          <w:noProof/>
        </w:rPr>
        <w:t xml:space="preserve">m transponē šo noteikumu. Attiecībā uz </w:t>
      </w:r>
      <w:r>
        <w:rPr>
          <w:b/>
          <w:noProof/>
        </w:rPr>
        <w:t>AT, BE, BG, DE, ES, IE, LT, LU, PL, RO, SI</w:t>
      </w:r>
      <w:r>
        <w:rPr>
          <w:noProof/>
        </w:rPr>
        <w:t xml:space="preserve"> un </w:t>
      </w:r>
      <w:r>
        <w:rPr>
          <w:b/>
          <w:noProof/>
        </w:rPr>
        <w:t>UK (Angliju/Velsu, Skotiju</w:t>
      </w:r>
      <w:r>
        <w:rPr>
          <w:noProof/>
        </w:rPr>
        <w:t xml:space="preserve"> un </w:t>
      </w:r>
      <w:r>
        <w:rPr>
          <w:b/>
          <w:noProof/>
        </w:rPr>
        <w:t>Gibraltāru)</w:t>
      </w:r>
      <w:r>
        <w:rPr>
          <w:noProof/>
        </w:rPr>
        <w:t xml:space="preserve"> sniegtā informācija nebija pārliecinoša.</w:t>
      </w:r>
    </w:p>
    <w:p w:rsidR="005035BE" w:rsidRDefault="007D647F">
      <w:pPr>
        <w:pStyle w:val="Text3"/>
        <w:numPr>
          <w:ilvl w:val="0"/>
          <w:numId w:val="23"/>
        </w:numPr>
        <w:spacing w:after="120"/>
        <w:rPr>
          <w:noProof/>
          <w:szCs w:val="24"/>
        </w:rPr>
      </w:pPr>
      <w:r>
        <w:rPr>
          <w:noProof/>
        </w:rPr>
        <w:t>Saskaņā ar 9. panta c) punktu, ja nodarījumu izdarījušas vairākas personas, kuras rīkoju</w:t>
      </w:r>
      <w:r>
        <w:rPr>
          <w:noProof/>
        </w:rPr>
        <w:t xml:space="preserve">šās kopīgi, tas ir uzskatāms par atbildību pastiprinošiem apstākļiem. </w:t>
      </w:r>
      <w:r>
        <w:rPr>
          <w:b/>
          <w:noProof/>
        </w:rPr>
        <w:t>CY</w:t>
      </w:r>
      <w:r>
        <w:rPr>
          <w:noProof/>
        </w:rPr>
        <w:t xml:space="preserve">, </w:t>
      </w:r>
      <w:r>
        <w:rPr>
          <w:b/>
          <w:noProof/>
        </w:rPr>
        <w:t>HR</w:t>
      </w:r>
      <w:r>
        <w:rPr>
          <w:noProof/>
        </w:rPr>
        <w:t xml:space="preserve"> un </w:t>
      </w:r>
      <w:r>
        <w:rPr>
          <w:b/>
          <w:noProof/>
        </w:rPr>
        <w:t>IT</w:t>
      </w:r>
      <w:r>
        <w:rPr>
          <w:noProof/>
        </w:rPr>
        <w:t xml:space="preserve"> skaidri atsaucas uz “vairākām personām”, kuras rīkojušās kopīgi, savukārt citas dalībvalstis izmanto atšķirīgu terminoloģiju. Piemēram, </w:t>
      </w:r>
      <w:r>
        <w:rPr>
          <w:b/>
          <w:noProof/>
        </w:rPr>
        <w:t>BE</w:t>
      </w:r>
      <w:r>
        <w:rPr>
          <w:noProof/>
        </w:rPr>
        <w:t xml:space="preserve"> piemin “vienu vai vairāk personas”</w:t>
      </w:r>
      <w:r>
        <w:rPr>
          <w:noProof/>
        </w:rPr>
        <w:t xml:space="preserve">, </w:t>
      </w:r>
      <w:r>
        <w:rPr>
          <w:b/>
          <w:noProof/>
        </w:rPr>
        <w:t>BG, EL, MT, NL</w:t>
      </w:r>
      <w:r>
        <w:rPr>
          <w:noProof/>
        </w:rPr>
        <w:t xml:space="preserve"> un </w:t>
      </w:r>
      <w:r>
        <w:rPr>
          <w:b/>
          <w:noProof/>
        </w:rPr>
        <w:t>PT</w:t>
      </w:r>
      <w:r>
        <w:rPr>
          <w:noProof/>
        </w:rPr>
        <w:t xml:space="preserve"> — “divas vai vairāk personas”, </w:t>
      </w:r>
      <w:r>
        <w:rPr>
          <w:b/>
          <w:noProof/>
        </w:rPr>
        <w:t>DE</w:t>
      </w:r>
      <w:r>
        <w:rPr>
          <w:noProof/>
        </w:rPr>
        <w:t xml:space="preserve"> un </w:t>
      </w:r>
      <w:r>
        <w:rPr>
          <w:b/>
          <w:noProof/>
        </w:rPr>
        <w:t>SE</w:t>
      </w:r>
      <w:r>
        <w:rPr>
          <w:noProof/>
        </w:rPr>
        <w:t> — “vairāk nekā vienu personu”.</w:t>
      </w:r>
    </w:p>
    <w:p w:rsidR="005035BE" w:rsidRDefault="007D647F">
      <w:pPr>
        <w:pStyle w:val="Text3"/>
        <w:numPr>
          <w:ilvl w:val="0"/>
          <w:numId w:val="23"/>
        </w:numPr>
        <w:spacing w:after="120"/>
        <w:rPr>
          <w:noProof/>
          <w:szCs w:val="24"/>
        </w:rPr>
      </w:pPr>
      <w:r>
        <w:rPr>
          <w:noProof/>
        </w:rPr>
        <w:t xml:space="preserve">Saskaņā ar 9. pants d) punktu noziegums ir sodāms bargāk, ja tas ticis izdarīts noziedzīgā organizācijā. Lielākajā daļā dalībvalstu ir izveidoti tiesību akti, ar </w:t>
      </w:r>
      <w:r>
        <w:rPr>
          <w:noProof/>
        </w:rPr>
        <w:t xml:space="preserve">kuriem transponē šo noteikumu, ietverot “noziedzīgas organizācijas” definīcijas transponēšanu; </w:t>
      </w:r>
      <w:r>
        <w:rPr>
          <w:b/>
          <w:noProof/>
        </w:rPr>
        <w:t>MT</w:t>
      </w:r>
      <w:r>
        <w:rPr>
          <w:noProof/>
        </w:rPr>
        <w:t xml:space="preserve"> tieši atsaucas uz Padomes 2008. gada 24. oktobra Pamatlēmumu 2008/841/TI par cīņu pret organizēto noziedzību.</w:t>
      </w:r>
    </w:p>
    <w:p w:rsidR="005035BE" w:rsidRDefault="007D647F">
      <w:pPr>
        <w:pStyle w:val="Text3"/>
        <w:numPr>
          <w:ilvl w:val="0"/>
          <w:numId w:val="23"/>
        </w:numPr>
        <w:spacing w:after="120"/>
        <w:rPr>
          <w:noProof/>
          <w:szCs w:val="24"/>
        </w:rPr>
      </w:pPr>
      <w:r>
        <w:rPr>
          <w:noProof/>
        </w:rPr>
        <w:t>Saskaņā ar 9. panta e) punktu, ja nodarījuma izd</w:t>
      </w:r>
      <w:r>
        <w:rPr>
          <w:noProof/>
        </w:rPr>
        <w:t xml:space="preserve">arītājs ir bijis iepriekš notiesāts par tāda paša rakstura nodarījumiem, tas veido atbildību pastiprinošus apstākļus. </w:t>
      </w:r>
      <w:r>
        <w:rPr>
          <w:b/>
          <w:noProof/>
        </w:rPr>
        <w:t>AT, BE, CZ, HR, IT, LV, PT</w:t>
      </w:r>
      <w:r>
        <w:rPr>
          <w:noProof/>
        </w:rPr>
        <w:t xml:space="preserve"> un </w:t>
      </w:r>
      <w:r>
        <w:rPr>
          <w:b/>
          <w:noProof/>
        </w:rPr>
        <w:t>SK</w:t>
      </w:r>
      <w:r>
        <w:rPr>
          <w:noProof/>
        </w:rPr>
        <w:t xml:space="preserve"> paredz vispārējus atbildību pastiprinošus apstākļus, neatkarīgi no tā, vai šāds nodarījums ir līdzīga rak</w:t>
      </w:r>
      <w:r>
        <w:rPr>
          <w:noProof/>
        </w:rPr>
        <w:t xml:space="preserve">stura, vai nē. Savukārt </w:t>
      </w:r>
      <w:r>
        <w:rPr>
          <w:b/>
          <w:noProof/>
        </w:rPr>
        <w:t>BG, CY, EE, ES, FI, HU, MT</w:t>
      </w:r>
      <w:r>
        <w:rPr>
          <w:noProof/>
        </w:rPr>
        <w:t xml:space="preserve"> un </w:t>
      </w:r>
      <w:r>
        <w:rPr>
          <w:b/>
          <w:noProof/>
        </w:rPr>
        <w:t>PL</w:t>
      </w:r>
      <w:r>
        <w:rPr>
          <w:noProof/>
        </w:rPr>
        <w:t xml:space="preserve"> ir noteikts, ka nodarījuma izdarīšanai ir jābūt tāda paša rakstura. </w:t>
      </w:r>
      <w:r>
        <w:rPr>
          <w:b/>
          <w:noProof/>
        </w:rPr>
        <w:t>FR</w:t>
      </w:r>
      <w:r>
        <w:rPr>
          <w:noProof/>
        </w:rPr>
        <w:t xml:space="preserve"> un </w:t>
      </w:r>
      <w:r>
        <w:rPr>
          <w:b/>
          <w:noProof/>
        </w:rPr>
        <w:t>LT</w:t>
      </w:r>
      <w:r>
        <w:rPr>
          <w:noProof/>
        </w:rPr>
        <w:t xml:space="preserve"> ir paredzēti atsevišķi apsvērumi abiem variantiem (līdzīgi nodarījumi un nesaistīti nodarījumi).</w:t>
      </w:r>
    </w:p>
    <w:p w:rsidR="005035BE" w:rsidRDefault="007D647F">
      <w:pPr>
        <w:pStyle w:val="Text3"/>
        <w:numPr>
          <w:ilvl w:val="0"/>
          <w:numId w:val="23"/>
        </w:numPr>
        <w:spacing w:after="120"/>
        <w:rPr>
          <w:noProof/>
          <w:szCs w:val="24"/>
        </w:rPr>
      </w:pPr>
      <w:r>
        <w:rPr>
          <w:noProof/>
        </w:rPr>
        <w:t>9. panta f) punkts paredz</w:t>
      </w:r>
      <w:r>
        <w:rPr>
          <w:noProof/>
        </w:rPr>
        <w:t xml:space="preserve"> atbildību pastiprinošus apstākļus, ja nodarījuma izdarītājs ar nodomu vai aiz neuzmanības ir apdraudējis bērna dzīvību. Lielākajā daļā dalībvalstu ir izveidoti tiesību akti, ar kuriem transponē šo noteikumu. Attiecībā uz </w:t>
      </w:r>
      <w:r>
        <w:rPr>
          <w:b/>
          <w:noProof/>
        </w:rPr>
        <w:t>BE, CZ, ES, FI, FR, IE, IT, LV, SK</w:t>
      </w:r>
      <w:r>
        <w:rPr>
          <w:noProof/>
        </w:rPr>
        <w:t xml:space="preserve"> un </w:t>
      </w:r>
      <w:r>
        <w:rPr>
          <w:b/>
          <w:noProof/>
        </w:rPr>
        <w:t>UK</w:t>
      </w:r>
      <w:r>
        <w:rPr>
          <w:noProof/>
        </w:rPr>
        <w:t xml:space="preserve"> sniegtā informācija nebija pārliecinoša.</w:t>
      </w:r>
    </w:p>
    <w:p w:rsidR="005035BE" w:rsidRDefault="007D647F">
      <w:pPr>
        <w:pStyle w:val="Text3"/>
        <w:numPr>
          <w:ilvl w:val="0"/>
          <w:numId w:val="23"/>
        </w:numPr>
        <w:spacing w:after="120"/>
        <w:rPr>
          <w:noProof/>
          <w:szCs w:val="24"/>
        </w:rPr>
      </w:pPr>
      <w:r>
        <w:rPr>
          <w:noProof/>
        </w:rPr>
        <w:t xml:space="preserve">Saskaņā ar 9. panta g) punktu ir jāapsver bargākas sankcijas, ja nodarījums ir ietvēris smagu vardarbību vai radījis nopietnu kaitējumu bērnam. Lielākajā daļā dalībvalstu ir izveidoti tiesību akti, ar kuriem </w:t>
      </w:r>
      <w:r>
        <w:rPr>
          <w:noProof/>
        </w:rPr>
        <w:t xml:space="preserve">transponē šo noteikumu. Attiecībā uz </w:t>
      </w:r>
      <w:r>
        <w:rPr>
          <w:b/>
          <w:noProof/>
        </w:rPr>
        <w:t>BG, ES, FI, IE, LT</w:t>
      </w:r>
      <w:r>
        <w:rPr>
          <w:noProof/>
        </w:rPr>
        <w:t xml:space="preserve"> un </w:t>
      </w:r>
      <w:r>
        <w:rPr>
          <w:b/>
          <w:noProof/>
        </w:rPr>
        <w:t>UK</w:t>
      </w:r>
      <w:r>
        <w:rPr>
          <w:noProof/>
        </w:rPr>
        <w:t xml:space="preserve"> (</w:t>
      </w:r>
      <w:r>
        <w:rPr>
          <w:b/>
          <w:noProof/>
        </w:rPr>
        <w:t>Skotiju</w:t>
      </w:r>
      <w:r>
        <w:rPr>
          <w:noProof/>
        </w:rPr>
        <w:t>) sniegtā informācija nebija pārliecinoša.</w:t>
      </w:r>
    </w:p>
    <w:p w:rsidR="005035BE" w:rsidRDefault="007D647F">
      <w:pPr>
        <w:pStyle w:val="Heading3"/>
        <w:tabs>
          <w:tab w:val="clear" w:pos="1920"/>
          <w:tab w:val="num" w:pos="851"/>
        </w:tabs>
        <w:spacing w:before="240" w:after="120"/>
        <w:ind w:left="709"/>
        <w:rPr>
          <w:b/>
          <w:noProof/>
          <w:szCs w:val="24"/>
        </w:rPr>
      </w:pPr>
      <w:bookmarkStart w:id="46" w:name="_Toc457816597"/>
      <w:bookmarkStart w:id="47" w:name="_Toc469041941"/>
      <w:bookmarkStart w:id="48" w:name="_Toc472591175"/>
      <w:r>
        <w:rPr>
          <w:b/>
          <w:noProof/>
        </w:rPr>
        <w:t>Mantas arests un konfiskācija</w:t>
      </w:r>
      <w:bookmarkEnd w:id="46"/>
      <w:r>
        <w:rPr>
          <w:b/>
          <w:noProof/>
        </w:rPr>
        <w:t xml:space="preserve"> (11. pants)</w:t>
      </w:r>
      <w:bookmarkEnd w:id="47"/>
      <w:bookmarkEnd w:id="48"/>
    </w:p>
    <w:p w:rsidR="005035BE" w:rsidRDefault="007D647F">
      <w:pPr>
        <w:pStyle w:val="Text3"/>
        <w:spacing w:after="120"/>
        <w:ind w:left="0"/>
        <w:rPr>
          <w:noProof/>
          <w:szCs w:val="24"/>
        </w:rPr>
      </w:pPr>
      <w:r>
        <w:rPr>
          <w:noProof/>
        </w:rPr>
        <w:t>Saskaņā ar 11. pantu dalībvalstīm ir jānodrošina, ka to kompetentās iestādes ir tiesīgas arestēt un k</w:t>
      </w:r>
      <w:r>
        <w:rPr>
          <w:noProof/>
        </w:rPr>
        <w:t>onfiscēt 3., 4. un 5. pantā minēto nodarījumu izdarīšanai izmantotos rīkus un šādos nodarījumos iegūtos līdzekļus.</w:t>
      </w:r>
    </w:p>
    <w:p w:rsidR="005035BE" w:rsidRDefault="007D647F">
      <w:pPr>
        <w:pStyle w:val="Text3"/>
        <w:spacing w:after="120"/>
        <w:ind w:left="0"/>
        <w:rPr>
          <w:noProof/>
          <w:szCs w:val="24"/>
        </w:rPr>
      </w:pPr>
      <w:r>
        <w:rPr>
          <w:noProof/>
        </w:rPr>
        <w:t>Dažas dalībvalstis (</w:t>
      </w:r>
      <w:r>
        <w:rPr>
          <w:b/>
          <w:noProof/>
        </w:rPr>
        <w:t>BG, CY, DE, HR, FR, IT, LU</w:t>
      </w:r>
      <w:r>
        <w:rPr>
          <w:noProof/>
        </w:rPr>
        <w:t xml:space="preserve"> un </w:t>
      </w:r>
      <w:r>
        <w:rPr>
          <w:b/>
          <w:noProof/>
        </w:rPr>
        <w:t>SI</w:t>
      </w:r>
      <w:r>
        <w:rPr>
          <w:noProof/>
        </w:rPr>
        <w:t xml:space="preserve">) ir ieviesušas īpašus noteikumus, kas paredz arestus un konfiskāciju 3., 4. un 5. pantā </w:t>
      </w:r>
      <w:r>
        <w:rPr>
          <w:noProof/>
        </w:rPr>
        <w:t>minēto nodarījumu gadījumā, savukārt pārējās dalībvalstis paļaujas uz vispārējiem noteikumiem par arestu un konfiskāciju saskaņā ar krimināltiesībām, kas piemērojamas visiem noziedzīgiem nodarījumiem.</w:t>
      </w:r>
    </w:p>
    <w:p w:rsidR="005035BE" w:rsidRDefault="007D647F">
      <w:pPr>
        <w:pStyle w:val="Text3"/>
        <w:spacing w:after="120"/>
        <w:ind w:left="0"/>
        <w:rPr>
          <w:noProof/>
          <w:szCs w:val="24"/>
        </w:rPr>
      </w:pPr>
      <w:r>
        <w:rPr>
          <w:noProof/>
        </w:rPr>
        <w:t xml:space="preserve">Visu dalībvalstu tiesību aktos pievēršas gan noziegumu </w:t>
      </w:r>
      <w:r>
        <w:rPr>
          <w:noProof/>
        </w:rPr>
        <w:t>izdarīšanai izmantotajiem rīkiem, gan tajos iegūtajiem līdzekļiem.</w:t>
      </w:r>
    </w:p>
    <w:p w:rsidR="005035BE" w:rsidRDefault="007D647F">
      <w:pPr>
        <w:pStyle w:val="Heading3"/>
        <w:tabs>
          <w:tab w:val="clear" w:pos="1920"/>
          <w:tab w:val="num" w:pos="851"/>
        </w:tabs>
        <w:spacing w:before="240" w:after="120"/>
        <w:ind w:left="709"/>
        <w:rPr>
          <w:b/>
          <w:noProof/>
          <w:szCs w:val="24"/>
        </w:rPr>
      </w:pPr>
      <w:bookmarkStart w:id="49" w:name="_Toc457816598"/>
      <w:bookmarkStart w:id="50" w:name="_Toc469041942"/>
      <w:bookmarkStart w:id="51" w:name="_Toc472591176"/>
      <w:r>
        <w:rPr>
          <w:b/>
          <w:noProof/>
        </w:rPr>
        <w:t>Juridisko personu atbildība</w:t>
      </w:r>
      <w:bookmarkEnd w:id="49"/>
      <w:r>
        <w:rPr>
          <w:b/>
          <w:noProof/>
        </w:rPr>
        <w:t xml:space="preserve"> (12. pants)</w:t>
      </w:r>
      <w:bookmarkEnd w:id="50"/>
      <w:bookmarkEnd w:id="51"/>
    </w:p>
    <w:p w:rsidR="005035BE" w:rsidRDefault="007D647F">
      <w:pPr>
        <w:pStyle w:val="Text3"/>
        <w:spacing w:after="120"/>
        <w:ind w:left="0"/>
        <w:rPr>
          <w:noProof/>
          <w:szCs w:val="24"/>
        </w:rPr>
      </w:pPr>
      <w:r>
        <w:rPr>
          <w:noProof/>
        </w:rPr>
        <w:t>Saskaņā ar 12. pantu dalībvalstīm ir jānodrošina, ka juridiskas personas var saukt pie atbildības par jebkuru no 3. līdz 7. pantā minētajiem nodarīju</w:t>
      </w:r>
      <w:r>
        <w:rPr>
          <w:noProof/>
        </w:rPr>
        <w:t>miem.</w:t>
      </w:r>
    </w:p>
    <w:p w:rsidR="005035BE" w:rsidRDefault="007D647F">
      <w:pPr>
        <w:pStyle w:val="Text3"/>
        <w:numPr>
          <w:ilvl w:val="0"/>
          <w:numId w:val="23"/>
        </w:numPr>
        <w:spacing w:after="120"/>
        <w:rPr>
          <w:noProof/>
          <w:szCs w:val="24"/>
        </w:rPr>
      </w:pPr>
      <w:r>
        <w:rPr>
          <w:noProof/>
        </w:rPr>
        <w:t xml:space="preserve">Attiecībā uz 12. panta 1. punkta a)–c) apakšpunktu </w:t>
      </w:r>
      <w:r>
        <w:rPr>
          <w:b/>
          <w:noProof/>
        </w:rPr>
        <w:t>CY, LT</w:t>
      </w:r>
      <w:r>
        <w:rPr>
          <w:noProof/>
        </w:rPr>
        <w:t xml:space="preserve"> un </w:t>
      </w:r>
      <w:r>
        <w:rPr>
          <w:b/>
          <w:noProof/>
        </w:rPr>
        <w:t>PL</w:t>
      </w:r>
      <w:r>
        <w:rPr>
          <w:noProof/>
        </w:rPr>
        <w:t xml:space="preserve"> izmanto tādu pašu vai gandrīz tādu pašu formulējumu kā direktīvā, savukārt citas dalībvalstis izmanto atšķirīgus terminus. Piemēram, transponējot 12. panta 1. punkta b) apakšpunktu, dalībvalstis atsaucas uz “vadītājiem”, “direktoriem” vai “direktoru padom</w:t>
      </w:r>
      <w:r>
        <w:rPr>
          <w:noProof/>
        </w:rPr>
        <w:t>i”, nevis “pilnvarām pieņemt lēmumus juridiskās personas vārdā”.</w:t>
      </w:r>
    </w:p>
    <w:p w:rsidR="005035BE" w:rsidRDefault="007D647F">
      <w:pPr>
        <w:pStyle w:val="Text3"/>
        <w:numPr>
          <w:ilvl w:val="0"/>
          <w:numId w:val="23"/>
        </w:numPr>
        <w:spacing w:after="120"/>
        <w:rPr>
          <w:noProof/>
          <w:szCs w:val="24"/>
        </w:rPr>
      </w:pPr>
      <w:r>
        <w:rPr>
          <w:noProof/>
        </w:rPr>
        <w:t xml:space="preserve">12. panta 2. punktā prasīto atbildību ir ieviesušas gandrīz visas dalībvalstis. Attiecībā uz </w:t>
      </w:r>
      <w:r>
        <w:rPr>
          <w:b/>
          <w:noProof/>
        </w:rPr>
        <w:t>BG, CZ, IE, LU, NL</w:t>
      </w:r>
      <w:r>
        <w:rPr>
          <w:noProof/>
        </w:rPr>
        <w:t xml:space="preserve"> un </w:t>
      </w:r>
      <w:r>
        <w:rPr>
          <w:b/>
          <w:noProof/>
        </w:rPr>
        <w:t>PT</w:t>
      </w:r>
      <w:r>
        <w:rPr>
          <w:noProof/>
        </w:rPr>
        <w:t xml:space="preserve"> sniegtā informācija nebija pārliecinoša.</w:t>
      </w:r>
    </w:p>
    <w:p w:rsidR="005035BE" w:rsidRDefault="007D647F">
      <w:pPr>
        <w:pStyle w:val="Text3"/>
        <w:numPr>
          <w:ilvl w:val="0"/>
          <w:numId w:val="23"/>
        </w:numPr>
        <w:spacing w:after="120"/>
        <w:rPr>
          <w:noProof/>
          <w:szCs w:val="24"/>
        </w:rPr>
      </w:pPr>
      <w:r>
        <w:rPr>
          <w:noProof/>
        </w:rPr>
        <w:t>Attiecībā uz 12. panta 3. punktu</w:t>
      </w:r>
      <w:r>
        <w:rPr>
          <w:noProof/>
        </w:rPr>
        <w:t xml:space="preserve"> visas dalībvalstis nodrošina iespēju īstenot kriminālprocesus pret fiziskām personām, kas ir nodarījumu izdarītāji, uzkūdītāji vai līdzdalībnieki, vienlaikus ar juridisku personu saukšanu pie atbildības. Tomēr informācija, ko </w:t>
      </w:r>
      <w:r>
        <w:rPr>
          <w:b/>
          <w:noProof/>
        </w:rPr>
        <w:t>IE</w:t>
      </w:r>
      <w:r>
        <w:rPr>
          <w:noProof/>
        </w:rPr>
        <w:t xml:space="preserve"> un </w:t>
      </w:r>
      <w:r>
        <w:rPr>
          <w:b/>
          <w:noProof/>
        </w:rPr>
        <w:t>PT</w:t>
      </w:r>
      <w:r>
        <w:rPr>
          <w:noProof/>
        </w:rPr>
        <w:t xml:space="preserve"> sniedza par aplūkota</w:t>
      </w:r>
      <w:r>
        <w:rPr>
          <w:noProof/>
        </w:rPr>
        <w:t>jiem nodarījumiem, nebija pārliecinoša.</w:t>
      </w:r>
    </w:p>
    <w:p w:rsidR="005035BE" w:rsidRDefault="007D647F">
      <w:pPr>
        <w:pStyle w:val="Heading3"/>
        <w:tabs>
          <w:tab w:val="clear" w:pos="1920"/>
          <w:tab w:val="num" w:pos="851"/>
        </w:tabs>
        <w:spacing w:before="240" w:after="120"/>
        <w:ind w:left="709"/>
        <w:rPr>
          <w:b/>
          <w:noProof/>
          <w:szCs w:val="24"/>
        </w:rPr>
      </w:pPr>
      <w:bookmarkStart w:id="52" w:name="_Toc457816599"/>
      <w:bookmarkStart w:id="53" w:name="_Toc469041943"/>
      <w:bookmarkStart w:id="54" w:name="_Toc472591177"/>
      <w:r>
        <w:rPr>
          <w:b/>
          <w:noProof/>
        </w:rPr>
        <w:t>Sankcijas pret juridiskām personām</w:t>
      </w:r>
      <w:bookmarkEnd w:id="52"/>
      <w:r>
        <w:rPr>
          <w:b/>
          <w:noProof/>
        </w:rPr>
        <w:t xml:space="preserve"> (13. pants)</w:t>
      </w:r>
      <w:bookmarkEnd w:id="53"/>
      <w:bookmarkEnd w:id="54"/>
    </w:p>
    <w:p w:rsidR="005035BE" w:rsidRDefault="007D647F">
      <w:pPr>
        <w:pStyle w:val="Text3"/>
        <w:spacing w:after="120"/>
        <w:ind w:left="0"/>
        <w:rPr>
          <w:noProof/>
          <w:szCs w:val="24"/>
        </w:rPr>
      </w:pPr>
      <w:r>
        <w:rPr>
          <w:noProof/>
        </w:rPr>
        <w:t xml:space="preserve">Saskaņā ar 13. pantu dalībvalstīm ir jāievieš sankcijas pret juridiskām personām, kuras sauc pie atbildības saskaņā ar 12. panta 1. vai 2. punktu, un tās var izvēlēties </w:t>
      </w:r>
      <w:r>
        <w:rPr>
          <w:noProof/>
        </w:rPr>
        <w:t>piemērot 13. panta 1. punkta a)–e) apakšpunktā paredzētās sankcijas.</w:t>
      </w:r>
    </w:p>
    <w:p w:rsidR="005035BE" w:rsidRDefault="007D647F">
      <w:pPr>
        <w:pStyle w:val="Text3"/>
        <w:numPr>
          <w:ilvl w:val="0"/>
          <w:numId w:val="23"/>
        </w:numPr>
        <w:spacing w:after="120"/>
        <w:rPr>
          <w:noProof/>
          <w:szCs w:val="24"/>
        </w:rPr>
      </w:pPr>
      <w:r>
        <w:rPr>
          <w:noProof/>
        </w:rPr>
        <w:t>Attiecībā uz 13. panta 1) punktu visas dalībvalstis ir ieviesušas administratīvās sankcijas vai kriminālsankcijas, kas piemērojamas juridiskām personām. Dažas dalībvalstis (</w:t>
      </w:r>
      <w:r>
        <w:rPr>
          <w:b/>
          <w:noProof/>
        </w:rPr>
        <w:t>BE, CZ, FR, PL</w:t>
      </w:r>
      <w:r>
        <w:rPr>
          <w:b/>
          <w:noProof/>
        </w:rPr>
        <w:t>, RO</w:t>
      </w:r>
      <w:r>
        <w:rPr>
          <w:noProof/>
        </w:rPr>
        <w:t xml:space="preserve"> un </w:t>
      </w:r>
      <w:r>
        <w:rPr>
          <w:b/>
          <w:noProof/>
        </w:rPr>
        <w:t>SK</w:t>
      </w:r>
      <w:r>
        <w:rPr>
          <w:noProof/>
        </w:rPr>
        <w:t xml:space="preserve">) ir izvēlējušās ieviest arī papildu sankciju — lēmuma/sprieduma, kurā juridiska persona atzīta par vainīgu noziegumā, publicēšana vai publiskošana. Lielākā daļa dalībvalstu, izņemot </w:t>
      </w:r>
      <w:r>
        <w:rPr>
          <w:b/>
          <w:noProof/>
        </w:rPr>
        <w:t>BG, DE, EE, FI, IE</w:t>
      </w:r>
      <w:r>
        <w:rPr>
          <w:noProof/>
        </w:rPr>
        <w:t xml:space="preserve"> un </w:t>
      </w:r>
      <w:r>
        <w:rPr>
          <w:b/>
          <w:noProof/>
        </w:rPr>
        <w:t>UK (Angliju/Velsu, Ziemeļīriju</w:t>
      </w:r>
      <w:r>
        <w:rPr>
          <w:noProof/>
        </w:rPr>
        <w:t xml:space="preserve"> un </w:t>
      </w:r>
      <w:r>
        <w:rPr>
          <w:b/>
          <w:noProof/>
        </w:rPr>
        <w:t>Gibralt</w:t>
      </w:r>
      <w:r>
        <w:rPr>
          <w:b/>
          <w:noProof/>
        </w:rPr>
        <w:t>āru)</w:t>
      </w:r>
      <w:r>
        <w:rPr>
          <w:noProof/>
        </w:rPr>
        <w:t>, ir izvēlējušās transponēt vismaz vienu no 13. panta 1. punkta a)–e) apakšpunktā noteiktajiem variantiem.</w:t>
      </w:r>
    </w:p>
    <w:p w:rsidR="005035BE" w:rsidRDefault="007D647F">
      <w:pPr>
        <w:pStyle w:val="Text3"/>
        <w:numPr>
          <w:ilvl w:val="0"/>
          <w:numId w:val="23"/>
        </w:numPr>
        <w:spacing w:after="120"/>
        <w:rPr>
          <w:noProof/>
          <w:szCs w:val="24"/>
        </w:rPr>
      </w:pPr>
      <w:r>
        <w:rPr>
          <w:noProof/>
        </w:rPr>
        <w:t>Lielākās daļas dalībvalstu tiesību akti neietver īpašus noteikumus 13. panta 2. punkta transponēšanai, taču juridiskām personām, kuras sauc pie a</w:t>
      </w:r>
      <w:r>
        <w:rPr>
          <w:noProof/>
        </w:rPr>
        <w:t xml:space="preserve">tbildības saskaņā ar 12. panta 2. punktu, piemēro tādas pašas sankcijas kā juridiskām personām, kuras sauc pie atbildības saskaņā ar 12. panta 1. punktu. </w:t>
      </w:r>
      <w:r>
        <w:rPr>
          <w:b/>
          <w:noProof/>
        </w:rPr>
        <w:t>EL</w:t>
      </w:r>
      <w:r>
        <w:rPr>
          <w:noProof/>
        </w:rPr>
        <w:t xml:space="preserve"> vienīgā ieviesa īpašu transponēšanas pasākumu un tādējādi nepiemēroja vienādas sankcijas abos gadīj</w:t>
      </w:r>
      <w:r>
        <w:rPr>
          <w:noProof/>
        </w:rPr>
        <w:t>umos.</w:t>
      </w:r>
    </w:p>
    <w:p w:rsidR="005035BE" w:rsidRDefault="007D647F">
      <w:pPr>
        <w:pStyle w:val="Heading3"/>
        <w:tabs>
          <w:tab w:val="clear" w:pos="1920"/>
          <w:tab w:val="num" w:pos="851"/>
        </w:tabs>
        <w:spacing w:before="240" w:after="120"/>
        <w:ind w:left="709"/>
        <w:rPr>
          <w:b/>
          <w:noProof/>
          <w:szCs w:val="24"/>
        </w:rPr>
      </w:pPr>
      <w:bookmarkStart w:id="55" w:name="_Toc457816600"/>
      <w:bookmarkStart w:id="56" w:name="_Toc469041944"/>
      <w:bookmarkStart w:id="57" w:name="_Toc472591178"/>
      <w:r>
        <w:rPr>
          <w:b/>
          <w:noProof/>
        </w:rPr>
        <w:t>Cietušo atbrīvošana no apsūdzības un sankciju nepiemērošana</w:t>
      </w:r>
      <w:bookmarkEnd w:id="55"/>
      <w:r>
        <w:rPr>
          <w:b/>
          <w:noProof/>
        </w:rPr>
        <w:t xml:space="preserve"> (14. pants)</w:t>
      </w:r>
      <w:bookmarkEnd w:id="56"/>
      <w:bookmarkEnd w:id="57"/>
    </w:p>
    <w:p w:rsidR="005035BE" w:rsidRDefault="007D647F">
      <w:pPr>
        <w:pStyle w:val="Text3"/>
        <w:spacing w:after="120"/>
        <w:ind w:left="0"/>
        <w:rPr>
          <w:noProof/>
          <w:szCs w:val="24"/>
        </w:rPr>
      </w:pPr>
      <w:r>
        <w:rPr>
          <w:noProof/>
        </w:rPr>
        <w:t>Saskaņā ar 14. pantu dalībvalstīm ir jāīsteno pasākumi, kas nepieciešami, lai nodrošinātu, ka kompetentās valsts iestādes ir tiesīgas bērnus, kuri cietuši no seksuālas vardarbība</w:t>
      </w:r>
      <w:r>
        <w:rPr>
          <w:noProof/>
        </w:rPr>
        <w:t>s vai seksuālas izmantošanas, nesaukt pie kriminālatbildības un tiem nepiemērot sankcijas par iesaistīšanos tādās noziedzīgās darbībās, ko viņi ir bijuši piespiesti izdarīt, ja šāda piespiešana bijusi šādu noziegumu tiešas sekas.</w:t>
      </w:r>
    </w:p>
    <w:p w:rsidR="005035BE" w:rsidRDefault="007D647F">
      <w:pPr>
        <w:spacing w:after="120"/>
        <w:rPr>
          <w:noProof/>
          <w:szCs w:val="24"/>
        </w:rPr>
      </w:pPr>
      <w:r>
        <w:rPr>
          <w:noProof/>
        </w:rPr>
        <w:t>Lielākajā daļā dalībvalstu</w:t>
      </w:r>
      <w:r>
        <w:rPr>
          <w:noProof/>
        </w:rPr>
        <w:t xml:space="preserve"> ir izveidoti tiesību akti, ar kuriem transponē šo noteikumu. Attiecībā uz </w:t>
      </w:r>
      <w:r>
        <w:rPr>
          <w:b/>
          <w:noProof/>
        </w:rPr>
        <w:t>ES, LU, MT, PL</w:t>
      </w:r>
      <w:r>
        <w:rPr>
          <w:noProof/>
        </w:rPr>
        <w:t xml:space="preserve"> un </w:t>
      </w:r>
      <w:r>
        <w:rPr>
          <w:b/>
          <w:noProof/>
        </w:rPr>
        <w:t>SK</w:t>
      </w:r>
      <w:r>
        <w:rPr>
          <w:noProof/>
        </w:rPr>
        <w:t xml:space="preserve"> sniegtā informācija nebija pārliecinoša.</w:t>
      </w:r>
    </w:p>
    <w:p w:rsidR="005035BE" w:rsidRDefault="007D647F">
      <w:pPr>
        <w:pStyle w:val="Heading3"/>
        <w:tabs>
          <w:tab w:val="clear" w:pos="1920"/>
          <w:tab w:val="num" w:pos="851"/>
        </w:tabs>
        <w:spacing w:before="240" w:after="120"/>
        <w:ind w:left="709"/>
        <w:rPr>
          <w:b/>
          <w:noProof/>
          <w:szCs w:val="24"/>
        </w:rPr>
      </w:pPr>
      <w:bookmarkStart w:id="58" w:name="_Toc457816601"/>
      <w:bookmarkStart w:id="59" w:name="_Toc469041945"/>
      <w:bookmarkStart w:id="60" w:name="_Toc472591179"/>
      <w:r>
        <w:rPr>
          <w:b/>
          <w:noProof/>
        </w:rPr>
        <w:t>Izmeklēšana un saukšana pie kriminālatbildības</w:t>
      </w:r>
      <w:bookmarkEnd w:id="58"/>
      <w:r>
        <w:rPr>
          <w:b/>
          <w:noProof/>
        </w:rPr>
        <w:t xml:space="preserve"> (15. pants)</w:t>
      </w:r>
      <w:bookmarkEnd w:id="59"/>
      <w:bookmarkEnd w:id="60"/>
    </w:p>
    <w:p w:rsidR="005035BE" w:rsidRDefault="007D647F">
      <w:pPr>
        <w:pStyle w:val="Text3"/>
        <w:spacing w:after="120"/>
        <w:ind w:left="0"/>
        <w:rPr>
          <w:noProof/>
          <w:szCs w:val="24"/>
        </w:rPr>
      </w:pPr>
      <w:r>
        <w:rPr>
          <w:noProof/>
        </w:rPr>
        <w:t>15. pantā ir noteikti pasākumi 3.–7. pantā minēto nodarījumu</w:t>
      </w:r>
      <w:r>
        <w:rPr>
          <w:noProof/>
        </w:rPr>
        <w:t xml:space="preserve"> izmeklēšanai un saukšanai pie kriminālatbildības.</w:t>
      </w:r>
    </w:p>
    <w:p w:rsidR="005035BE" w:rsidRDefault="007D647F">
      <w:pPr>
        <w:pStyle w:val="Text3"/>
        <w:numPr>
          <w:ilvl w:val="0"/>
          <w:numId w:val="23"/>
        </w:numPr>
        <w:spacing w:after="120"/>
        <w:rPr>
          <w:noProof/>
          <w:szCs w:val="24"/>
        </w:rPr>
      </w:pPr>
      <w:r>
        <w:rPr>
          <w:noProof/>
        </w:rPr>
        <w:t>Saskaņā ar 15. panta 1. punktu dalībvalstis veic vajadzīgos pasākumus, lai nodrošinātu, ka izmeklēšana vai saukšana pie kriminālatbildības par 3.–7. pantā minētajiem nodarījumiem nav atkarīga no cietušā va</w:t>
      </w:r>
      <w:r>
        <w:rPr>
          <w:noProof/>
        </w:rPr>
        <w:t>i viņa/viņas pārstāvja iesnieguma vai izvirzītās apsūdzības, un ka kriminālprocesu var turpināt arī tad, ja minētā persona atsauc savus paziņojumus. 15. panta 1. punkta princips</w:t>
      </w:r>
      <w:r>
        <w:rPr>
          <w:b/>
          <w:noProof/>
        </w:rPr>
        <w:t xml:space="preserve"> CY, NL, PL</w:t>
      </w:r>
      <w:r>
        <w:rPr>
          <w:noProof/>
        </w:rPr>
        <w:t xml:space="preserve"> un </w:t>
      </w:r>
      <w:r>
        <w:rPr>
          <w:b/>
          <w:noProof/>
        </w:rPr>
        <w:t>PT</w:t>
      </w:r>
      <w:r>
        <w:rPr>
          <w:noProof/>
        </w:rPr>
        <w:t xml:space="preserve"> valsts tiesību aktos nepārprotami tiek ievērots, savukārt </w:t>
      </w:r>
      <w:r>
        <w:rPr>
          <w:b/>
          <w:noProof/>
        </w:rPr>
        <w:t>AT,</w:t>
      </w:r>
      <w:r>
        <w:rPr>
          <w:b/>
          <w:noProof/>
        </w:rPr>
        <w:t xml:space="preserve"> BE, BG, CZ, DE, EE, EL, ES, FI, FR, HR, HU, IT, LT, LU, LV, MT, RO, SE, SI</w:t>
      </w:r>
      <w:r>
        <w:rPr>
          <w:noProof/>
        </w:rPr>
        <w:t xml:space="preserve"> un </w:t>
      </w:r>
      <w:r>
        <w:rPr>
          <w:b/>
          <w:noProof/>
        </w:rPr>
        <w:t>SK</w:t>
      </w:r>
      <w:r>
        <w:rPr>
          <w:noProof/>
        </w:rPr>
        <w:t xml:space="preserve"> transponē šo noteikumu, izmantojot krimināltiesību vispārējos noteikumus, ar kuriem regulē izmeklēšanas un saukšanas pie kriminālatbildības uzsākšanu. </w:t>
      </w:r>
      <w:r>
        <w:rPr>
          <w:b/>
          <w:noProof/>
        </w:rPr>
        <w:t>UK (Anglijā/Velsā, Ziem</w:t>
      </w:r>
      <w:r>
        <w:rPr>
          <w:b/>
          <w:noProof/>
        </w:rPr>
        <w:t>eļīrijā</w:t>
      </w:r>
      <w:r>
        <w:rPr>
          <w:noProof/>
        </w:rPr>
        <w:t xml:space="preserve"> un </w:t>
      </w:r>
      <w:r>
        <w:rPr>
          <w:b/>
          <w:noProof/>
        </w:rPr>
        <w:t>Skotijā)</w:t>
      </w:r>
      <w:r>
        <w:rPr>
          <w:noProof/>
        </w:rPr>
        <w:t xml:space="preserve"> prokurori var uzsākt vai turpināt kriminālprocesus, ja tie uzskata, ka pierādījumi ir pietiekami, lai nodrošinātu reālu iespēju apsūdzētos notiesāt, un ka saukšana pie kriminālatbildības ir sabiedrības interesēs. </w:t>
      </w:r>
      <w:r>
        <w:rPr>
          <w:b/>
          <w:noProof/>
        </w:rPr>
        <w:t>IE</w:t>
      </w:r>
      <w:r>
        <w:rPr>
          <w:noProof/>
        </w:rPr>
        <w:t xml:space="preserve"> piemēro šādu pašu sa</w:t>
      </w:r>
      <w:r>
        <w:rPr>
          <w:noProof/>
        </w:rPr>
        <w:t>biedrības interešu principu.</w:t>
      </w:r>
    </w:p>
    <w:p w:rsidR="005035BE" w:rsidRDefault="007D647F">
      <w:pPr>
        <w:pStyle w:val="Text3"/>
        <w:numPr>
          <w:ilvl w:val="0"/>
          <w:numId w:val="23"/>
        </w:numPr>
        <w:spacing w:after="120"/>
        <w:rPr>
          <w:noProof/>
          <w:szCs w:val="24"/>
        </w:rPr>
      </w:pPr>
      <w:r>
        <w:rPr>
          <w:noProof/>
        </w:rPr>
        <w:t xml:space="preserve">Saskaņā ar 15. panta 2. punktu dalībvalstīm ir jānodrošina, ka ir iespējams saukt pie kriminālatbildības par nodarījumiem pietiekami ilgu laikposmu pēc tam, kad cietušais ir sasniedzis pilngadību. </w:t>
      </w:r>
      <w:r>
        <w:rPr>
          <w:b/>
          <w:noProof/>
        </w:rPr>
        <w:t xml:space="preserve">AT, BE, CY, EE, EL, ES, HR, </w:t>
      </w:r>
      <w:r>
        <w:rPr>
          <w:b/>
          <w:noProof/>
        </w:rPr>
        <w:t>HU, IE, LV, MT, PL, RO, SE, SI</w:t>
      </w:r>
      <w:r>
        <w:rPr>
          <w:noProof/>
        </w:rPr>
        <w:t xml:space="preserve"> un </w:t>
      </w:r>
      <w:r>
        <w:rPr>
          <w:b/>
          <w:noProof/>
        </w:rPr>
        <w:t>UK</w:t>
      </w:r>
      <w:r>
        <w:rPr>
          <w:noProof/>
        </w:rPr>
        <w:t xml:space="preserve"> ir izveidoti tiesību akti, ar kuriem transponē šo noteikumu. </w:t>
      </w:r>
      <w:r>
        <w:rPr>
          <w:b/>
          <w:noProof/>
        </w:rPr>
        <w:t>BG, CZ, DE, FI, IT, LT, NL</w:t>
      </w:r>
      <w:r>
        <w:rPr>
          <w:noProof/>
        </w:rPr>
        <w:t xml:space="preserve"> un </w:t>
      </w:r>
      <w:r>
        <w:rPr>
          <w:b/>
          <w:noProof/>
        </w:rPr>
        <w:t>SK</w:t>
      </w:r>
      <w:r>
        <w:rPr>
          <w:noProof/>
        </w:rPr>
        <w:t xml:space="preserve"> attiecībā uz dažiem nodarījumiem noilgums sākas no datuma, kad nodarījums paveikts. Tas nozīmē, ka cietušajiem bērniem, jo īp</w:t>
      </w:r>
      <w:r>
        <w:rPr>
          <w:noProof/>
        </w:rPr>
        <w:t>aši tiem bērniem, kuri izmantoti ļoti agrā vecumā, pēc to pilngadības vecuma sasniegšanas var nebūt pietiekami daudz laika, lai panāktu saukšanu pie kriminālatbildības.</w:t>
      </w:r>
    </w:p>
    <w:p w:rsidR="005035BE" w:rsidRDefault="007D647F">
      <w:pPr>
        <w:pStyle w:val="Text3"/>
        <w:numPr>
          <w:ilvl w:val="0"/>
          <w:numId w:val="23"/>
        </w:numPr>
        <w:spacing w:after="120"/>
        <w:rPr>
          <w:noProof/>
          <w:szCs w:val="24"/>
        </w:rPr>
      </w:pPr>
      <w:r>
        <w:rPr>
          <w:noProof/>
        </w:rPr>
        <w:t xml:space="preserve">Saskaņā ar 15. panta 3. punktu dalībvalstīm ir jānodrošina, ka nodarījumu izmeklēšanai </w:t>
      </w:r>
      <w:r>
        <w:rPr>
          <w:noProof/>
        </w:rPr>
        <w:t xml:space="preserve">un saukšanai pie kriminālatbildības ir pieejami efektīvi izmeklēšanas līdzekļi. </w:t>
      </w:r>
      <w:r>
        <w:rPr>
          <w:b/>
          <w:noProof/>
        </w:rPr>
        <w:t>CY</w:t>
      </w:r>
      <w:r>
        <w:rPr>
          <w:noProof/>
        </w:rPr>
        <w:t xml:space="preserve"> un </w:t>
      </w:r>
      <w:r>
        <w:rPr>
          <w:b/>
          <w:noProof/>
        </w:rPr>
        <w:t>EL</w:t>
      </w:r>
      <w:r>
        <w:rPr>
          <w:noProof/>
        </w:rPr>
        <w:t xml:space="preserve"> savos tiesību aktos skaidri atspoguļo 15. panta 3. punktu, savukārt lielākā daļa no pārējām dalībvalstīm to transponē dažādos kriminālprocesa kodeksa noteikumos.</w:t>
      </w:r>
    </w:p>
    <w:p w:rsidR="005035BE" w:rsidRDefault="007D647F">
      <w:pPr>
        <w:pStyle w:val="Text3"/>
        <w:numPr>
          <w:ilvl w:val="0"/>
          <w:numId w:val="23"/>
        </w:numPr>
        <w:spacing w:after="120"/>
        <w:rPr>
          <w:noProof/>
          <w:szCs w:val="24"/>
        </w:rPr>
      </w:pPr>
      <w:r>
        <w:rPr>
          <w:noProof/>
        </w:rPr>
        <w:t>Saska</w:t>
      </w:r>
      <w:r>
        <w:rPr>
          <w:noProof/>
        </w:rPr>
        <w:t>ņā ar 15. panta 4. punktu dalībvalstīm ir jānodrošina vajadzīgie pasākumi, lai izmeklēšanas struktūrvienības vai dienesti varētu mēģināt identificēt cietušos, jo īpaši analizējot bērnu pornogrāfijas materiālus. Lielākajā daļā dalībvalstu ir izveidoti pasāk</w:t>
      </w:r>
      <w:r>
        <w:rPr>
          <w:noProof/>
        </w:rPr>
        <w:t xml:space="preserve">umi, ar kuriem transponē šo noteikumu. Attiecībā uz </w:t>
      </w:r>
      <w:r>
        <w:rPr>
          <w:b/>
          <w:noProof/>
        </w:rPr>
        <w:t>BG, CZ, EE, FR, HU, IE, LT, PT, SK</w:t>
      </w:r>
      <w:r>
        <w:rPr>
          <w:noProof/>
        </w:rPr>
        <w:t xml:space="preserve"> un </w:t>
      </w:r>
      <w:r>
        <w:rPr>
          <w:b/>
          <w:noProof/>
        </w:rPr>
        <w:t>UK (Gibraltāru)</w:t>
      </w:r>
      <w:r>
        <w:rPr>
          <w:noProof/>
        </w:rPr>
        <w:t xml:space="preserve"> sniegtā informācija nebija pārliecinoša.</w:t>
      </w:r>
    </w:p>
    <w:p w:rsidR="005035BE" w:rsidRDefault="007D647F">
      <w:pPr>
        <w:pStyle w:val="Heading3"/>
        <w:tabs>
          <w:tab w:val="clear" w:pos="1920"/>
          <w:tab w:val="num" w:pos="851"/>
        </w:tabs>
        <w:spacing w:before="240" w:after="120"/>
        <w:ind w:left="709"/>
        <w:rPr>
          <w:b/>
          <w:noProof/>
          <w:szCs w:val="24"/>
        </w:rPr>
      </w:pPr>
      <w:bookmarkStart w:id="61" w:name="_Toc457816602"/>
      <w:bookmarkStart w:id="62" w:name="_Toc469041946"/>
      <w:bookmarkStart w:id="63" w:name="_Toc472591180"/>
      <w:r>
        <w:rPr>
          <w:b/>
          <w:noProof/>
        </w:rPr>
        <w:t>Ziņošana saistībā ar aizdomām par seksuālu izmantošanu vai seksuālu vardarbību</w:t>
      </w:r>
      <w:bookmarkEnd w:id="61"/>
      <w:r>
        <w:rPr>
          <w:b/>
          <w:noProof/>
        </w:rPr>
        <w:t xml:space="preserve"> (16. pants)</w:t>
      </w:r>
      <w:bookmarkEnd w:id="62"/>
      <w:bookmarkEnd w:id="63"/>
    </w:p>
    <w:p w:rsidR="005035BE" w:rsidRDefault="007D647F">
      <w:pPr>
        <w:pStyle w:val="Text3"/>
        <w:spacing w:after="120"/>
        <w:ind w:left="0"/>
        <w:rPr>
          <w:noProof/>
          <w:szCs w:val="24"/>
        </w:rPr>
      </w:pPr>
      <w:r>
        <w:rPr>
          <w:noProof/>
        </w:rPr>
        <w:t xml:space="preserve">16. panta mērķis </w:t>
      </w:r>
      <w:r>
        <w:rPr>
          <w:noProof/>
        </w:rPr>
        <w:t>ir nodrošināt, ka profesiju pārstāvji, kuru galvenais pienākums ir darbs ar bērniem, var ziņot par nodarījumiem (16. panta 1. punkts) un ka visas personas, kuras zina vai tām ir aizdomas par to, ka tiek izdarīti nodarījumi, tiek mudinātas ziņot par to (16.</w:t>
      </w:r>
      <w:r>
        <w:rPr>
          <w:noProof/>
        </w:rPr>
        <w:t> panta 2. punkts).</w:t>
      </w:r>
    </w:p>
    <w:p w:rsidR="005035BE" w:rsidRDefault="007D647F">
      <w:pPr>
        <w:pStyle w:val="Text3"/>
        <w:numPr>
          <w:ilvl w:val="0"/>
          <w:numId w:val="23"/>
        </w:numPr>
        <w:spacing w:after="120"/>
        <w:rPr>
          <w:noProof/>
          <w:szCs w:val="24"/>
        </w:rPr>
      </w:pPr>
      <w:r>
        <w:rPr>
          <w:noProof/>
        </w:rPr>
        <w:t xml:space="preserve">Attiecībā uz 16. panta 1. punktu </w:t>
      </w:r>
      <w:r>
        <w:rPr>
          <w:b/>
          <w:noProof/>
        </w:rPr>
        <w:t>HR, MT, PT, SI</w:t>
      </w:r>
      <w:r>
        <w:rPr>
          <w:noProof/>
        </w:rPr>
        <w:t xml:space="preserve"> un </w:t>
      </w:r>
      <w:r>
        <w:rPr>
          <w:b/>
          <w:noProof/>
        </w:rPr>
        <w:t>UK</w:t>
      </w:r>
      <w:r>
        <w:rPr>
          <w:noProof/>
        </w:rPr>
        <w:t xml:space="preserve"> (</w:t>
      </w:r>
      <w:r>
        <w:rPr>
          <w:b/>
          <w:noProof/>
        </w:rPr>
        <w:t>Anglijas/Velsas, Ziemeļīrijas</w:t>
      </w:r>
      <w:r>
        <w:rPr>
          <w:noProof/>
        </w:rPr>
        <w:t xml:space="preserve"> un </w:t>
      </w:r>
      <w:r>
        <w:rPr>
          <w:b/>
          <w:noProof/>
        </w:rPr>
        <w:t>Gibraltāra</w:t>
      </w:r>
      <w:r>
        <w:rPr>
          <w:noProof/>
        </w:rPr>
        <w:t>) tiesību aktos ir noteikts vispārējs pienākums ziņot par nodarījumiem. Tomēr lielākās daļas dalībvalstu (</w:t>
      </w:r>
      <w:r>
        <w:rPr>
          <w:b/>
          <w:noProof/>
        </w:rPr>
        <w:t>AT, BG, CY, CZ, DE, EE, EL, ES, F</w:t>
      </w:r>
      <w:r>
        <w:rPr>
          <w:b/>
          <w:noProof/>
        </w:rPr>
        <w:t>I, HU, IT, LT, LV, NL, RO</w:t>
      </w:r>
      <w:r>
        <w:rPr>
          <w:noProof/>
        </w:rPr>
        <w:t xml:space="preserve"> un </w:t>
      </w:r>
      <w:r>
        <w:rPr>
          <w:b/>
          <w:noProof/>
        </w:rPr>
        <w:t>SE</w:t>
      </w:r>
      <w:r>
        <w:rPr>
          <w:noProof/>
        </w:rPr>
        <w:t xml:space="preserve">) tiesību akti ietver īpašus noteikumus attiecībā uz ziņošanu par nodarījumiem, lai aizsargātu bērnus. Turklāt </w:t>
      </w:r>
      <w:r>
        <w:rPr>
          <w:b/>
          <w:noProof/>
        </w:rPr>
        <w:t>BG, CY, CZ, DE, EL, FI, HU, IT, LV, RO, SE</w:t>
      </w:r>
      <w:r>
        <w:rPr>
          <w:noProof/>
        </w:rPr>
        <w:t xml:space="preserve"> un </w:t>
      </w:r>
      <w:r>
        <w:rPr>
          <w:b/>
          <w:noProof/>
        </w:rPr>
        <w:t>SK</w:t>
      </w:r>
      <w:r>
        <w:rPr>
          <w:noProof/>
        </w:rPr>
        <w:t xml:space="preserve"> paredz īpašu pienākumu noteiktu profesiju pārstāvjiem (piemēram, </w:t>
      </w:r>
      <w:r>
        <w:rPr>
          <w:noProof/>
        </w:rPr>
        <w:t>skolotājiem, ārstiem, psihologiem, medicīnas māsām) ziņot kompetentajām iestādēm.</w:t>
      </w:r>
    </w:p>
    <w:p w:rsidR="005035BE" w:rsidRDefault="007D647F">
      <w:pPr>
        <w:pStyle w:val="Text3"/>
        <w:numPr>
          <w:ilvl w:val="0"/>
          <w:numId w:val="23"/>
        </w:numPr>
        <w:spacing w:after="120"/>
        <w:rPr>
          <w:noProof/>
          <w:szCs w:val="24"/>
        </w:rPr>
      </w:pPr>
      <w:r>
        <w:rPr>
          <w:noProof/>
        </w:rPr>
        <w:t>Dažas dalībvalstis (</w:t>
      </w:r>
      <w:r>
        <w:rPr>
          <w:b/>
          <w:noProof/>
        </w:rPr>
        <w:t>AT, BE, BG, EL, FI, HR, HU, IT, LU, PL</w:t>
      </w:r>
      <w:r>
        <w:rPr>
          <w:noProof/>
        </w:rPr>
        <w:t xml:space="preserve"> un </w:t>
      </w:r>
      <w:r>
        <w:rPr>
          <w:b/>
          <w:noProof/>
        </w:rPr>
        <w:t>SI</w:t>
      </w:r>
      <w:r>
        <w:rPr>
          <w:noProof/>
        </w:rPr>
        <w:t>) ir transponējušas 16. panta 2. punktu vispārējos noteikumos, kuri uzliek pienākumu vai mudina ziņot par noda</w:t>
      </w:r>
      <w:r>
        <w:rPr>
          <w:noProof/>
        </w:rPr>
        <w:t>rījumiem un/vai palīdzēt cilvēkiem, kam tas ir nepieciešams. Citas dalībvalstis (</w:t>
      </w:r>
      <w:r>
        <w:rPr>
          <w:b/>
          <w:noProof/>
        </w:rPr>
        <w:t>BG, CY, CZ, EE, ES, FR, HR, LT, LV, NL, PT, RO, SE</w:t>
      </w:r>
      <w:r>
        <w:rPr>
          <w:noProof/>
        </w:rPr>
        <w:t xml:space="preserve"> un </w:t>
      </w:r>
      <w:r>
        <w:rPr>
          <w:b/>
          <w:noProof/>
        </w:rPr>
        <w:t>SK</w:t>
      </w:r>
      <w:r>
        <w:rPr>
          <w:noProof/>
        </w:rPr>
        <w:t xml:space="preserve">) to ir transponējušas ar konkrētāk noteiktu tiesību aktu, kas uzliek pienākumu ziņot par nodarījumiem pret bērniem. </w:t>
      </w:r>
      <w:r>
        <w:rPr>
          <w:b/>
          <w:noProof/>
        </w:rPr>
        <w:t>UK</w:t>
      </w:r>
      <w:r>
        <w:rPr>
          <w:b/>
          <w:noProof/>
        </w:rPr>
        <w:t xml:space="preserve"> (Anglijā/Velsā, Ziemeļīrijā</w:t>
      </w:r>
      <w:r>
        <w:rPr>
          <w:noProof/>
        </w:rPr>
        <w:t xml:space="preserve"> un </w:t>
      </w:r>
      <w:r>
        <w:rPr>
          <w:b/>
          <w:noProof/>
        </w:rPr>
        <w:t>Skotijā)</w:t>
      </w:r>
      <w:r>
        <w:rPr>
          <w:noProof/>
        </w:rPr>
        <w:t xml:space="preserve"> tiek izmantoti neleģislatīvi pasākumi.</w:t>
      </w:r>
    </w:p>
    <w:p w:rsidR="005035BE" w:rsidRDefault="007D647F">
      <w:pPr>
        <w:pStyle w:val="Text3"/>
        <w:spacing w:after="120"/>
        <w:ind w:left="360"/>
        <w:rPr>
          <w:noProof/>
          <w:szCs w:val="24"/>
        </w:rPr>
      </w:pPr>
      <w:r>
        <w:rPr>
          <w:noProof/>
        </w:rPr>
        <w:t xml:space="preserve">Cilvēki tiek mudināti ziņot par vardarbību, galvenokārt izmantojot palīdzības/uzticības tālruņus, piemēram, </w:t>
      </w:r>
      <w:r>
        <w:rPr>
          <w:b/>
          <w:noProof/>
        </w:rPr>
        <w:t>BE</w:t>
      </w:r>
      <w:r>
        <w:rPr>
          <w:noProof/>
        </w:rPr>
        <w:t xml:space="preserve"> izveidotais </w:t>
      </w:r>
      <w:r>
        <w:rPr>
          <w:i/>
          <w:noProof/>
        </w:rPr>
        <w:t>Child Focus</w:t>
      </w:r>
      <w:r>
        <w:rPr>
          <w:noProof/>
        </w:rPr>
        <w:t xml:space="preserve"> (tālruņa numurs 116000) vai </w:t>
      </w:r>
      <w:r>
        <w:rPr>
          <w:b/>
          <w:noProof/>
        </w:rPr>
        <w:t>LT</w:t>
      </w:r>
      <w:r>
        <w:rPr>
          <w:noProof/>
        </w:rPr>
        <w:t xml:space="preserve"> izveidotai</w:t>
      </w:r>
      <w:r>
        <w:rPr>
          <w:noProof/>
        </w:rPr>
        <w:t xml:space="preserve">s </w:t>
      </w:r>
      <w:r>
        <w:rPr>
          <w:i/>
          <w:noProof/>
        </w:rPr>
        <w:t>Child Line</w:t>
      </w:r>
      <w:r>
        <w:rPr>
          <w:noProof/>
        </w:rPr>
        <w:t xml:space="preserve"> (tālruņa numurs 116111).</w:t>
      </w:r>
    </w:p>
    <w:p w:rsidR="005035BE" w:rsidRDefault="007D647F">
      <w:pPr>
        <w:pStyle w:val="Heading3"/>
        <w:tabs>
          <w:tab w:val="clear" w:pos="1920"/>
          <w:tab w:val="num" w:pos="851"/>
        </w:tabs>
        <w:spacing w:before="240" w:after="120"/>
        <w:ind w:left="709"/>
        <w:rPr>
          <w:b/>
          <w:noProof/>
          <w:szCs w:val="24"/>
        </w:rPr>
      </w:pPr>
      <w:bookmarkStart w:id="64" w:name="_Toc457816603"/>
      <w:bookmarkStart w:id="65" w:name="_Toc469041947"/>
      <w:bookmarkStart w:id="66" w:name="_Toc472591181"/>
      <w:r>
        <w:rPr>
          <w:b/>
          <w:noProof/>
        </w:rPr>
        <w:t>Jurisdikcija un saukšanas pie kriminālatbildības koordinēšana</w:t>
      </w:r>
      <w:bookmarkEnd w:id="64"/>
      <w:r>
        <w:rPr>
          <w:b/>
          <w:noProof/>
        </w:rPr>
        <w:t xml:space="preserve"> (17. pants)</w:t>
      </w:r>
      <w:bookmarkEnd w:id="65"/>
      <w:bookmarkEnd w:id="66"/>
    </w:p>
    <w:p w:rsidR="005035BE" w:rsidRDefault="007D647F">
      <w:pPr>
        <w:pStyle w:val="Text3"/>
        <w:spacing w:after="120"/>
        <w:ind w:left="0"/>
        <w:rPr>
          <w:noProof/>
          <w:szCs w:val="24"/>
        </w:rPr>
      </w:pPr>
      <w:r>
        <w:rPr>
          <w:noProof/>
        </w:rPr>
        <w:t>17. pantā ir paredzēti noteikumi dalībvalstu jurisdikcijas noteikšanai attiecībā uz direktīvā uzskaitītajiem nodarījumiem.</w:t>
      </w:r>
    </w:p>
    <w:p w:rsidR="005035BE" w:rsidRDefault="007D647F">
      <w:pPr>
        <w:pStyle w:val="Text3"/>
        <w:numPr>
          <w:ilvl w:val="0"/>
          <w:numId w:val="23"/>
        </w:numPr>
        <w:spacing w:after="120"/>
        <w:rPr>
          <w:noProof/>
          <w:szCs w:val="24"/>
        </w:rPr>
      </w:pPr>
      <w:r>
        <w:rPr>
          <w:noProof/>
        </w:rPr>
        <w:t>17. panta 1. punkts a</w:t>
      </w:r>
      <w:r>
        <w:rPr>
          <w:noProof/>
        </w:rPr>
        <w:t xml:space="preserve">ttiecas uz jurisdikciju gadījumos, ja nodarījums ir pilnīgi vai daļēji izdarīts dalībvalsts teritorijā vai nodarījuma izdarītājs ir tās valstspiederīgais. Lielākajā daļā dalībvalstu ir izveidoti tiesību akti, ar kuriem transponē šo noteikumu. Attiecībā uz </w:t>
      </w:r>
      <w:r>
        <w:rPr>
          <w:b/>
          <w:noProof/>
        </w:rPr>
        <w:t>CY, IE, LV, NL, SI, PT</w:t>
      </w:r>
      <w:r>
        <w:rPr>
          <w:noProof/>
        </w:rPr>
        <w:t xml:space="preserve"> un </w:t>
      </w:r>
      <w:r>
        <w:rPr>
          <w:b/>
          <w:noProof/>
        </w:rPr>
        <w:t>UK (Gibraltāru)</w:t>
      </w:r>
      <w:r>
        <w:rPr>
          <w:noProof/>
        </w:rPr>
        <w:t xml:space="preserve"> sniegtā informācija nebija pārliecinoša.</w:t>
      </w:r>
    </w:p>
    <w:p w:rsidR="005035BE" w:rsidRDefault="007D647F">
      <w:pPr>
        <w:pStyle w:val="Text3"/>
        <w:numPr>
          <w:ilvl w:val="0"/>
          <w:numId w:val="23"/>
        </w:numPr>
        <w:spacing w:after="120"/>
        <w:rPr>
          <w:noProof/>
          <w:szCs w:val="24"/>
        </w:rPr>
      </w:pPr>
      <w:r>
        <w:rPr>
          <w:noProof/>
        </w:rPr>
        <w:t>Saskaņā ar 17. panta 2. punktu dalībvalstīm ir iespēja noteikt plašāku jurisdikciju attiecībā uz nodarījumiem, kas ir izdarīti ārpus tās teritorijas. Piemēram, ja nodarījums</w:t>
      </w:r>
      <w:r>
        <w:rPr>
          <w:noProof/>
        </w:rPr>
        <w:t xml:space="preserve"> ir izdarīts pret tās valstspiederīgo vai personu, kura ir pastāvīgais iedzīvotājs tās teritorijā (17. panta 2. punkta a) apakšpunkts), nodarījums ir izdarīts tādas juridiskas personas labā, kura veic uzņēmējdarbību tās teritorijā (17. panta 2. punkta b) a</w:t>
      </w:r>
      <w:r>
        <w:rPr>
          <w:noProof/>
        </w:rPr>
        <w:t>pakšpunkts), vai nodarījuma izdarītājs ir pastāvīgais iedzīvotājs tās teritorijā (17. panta 2. punkta c) apakšpunkts). Lielākā daļa dalībvalstu nolēma piemērot variantus, kas norādīti 17. panta 2. punkta a) apakšpunktā (</w:t>
      </w:r>
      <w:r>
        <w:rPr>
          <w:b/>
          <w:noProof/>
        </w:rPr>
        <w:t xml:space="preserve">AT, BE, BG, CZ, EE, EL, ES, FI, FR, </w:t>
      </w:r>
      <w:r>
        <w:rPr>
          <w:b/>
          <w:noProof/>
        </w:rPr>
        <w:t>HR, HU, IT, MT, NL, PL, PT, RO, SI</w:t>
      </w:r>
      <w:r>
        <w:rPr>
          <w:noProof/>
        </w:rPr>
        <w:t xml:space="preserve"> un </w:t>
      </w:r>
      <w:r>
        <w:rPr>
          <w:b/>
          <w:noProof/>
        </w:rPr>
        <w:t>SK</w:t>
      </w:r>
      <w:r>
        <w:rPr>
          <w:noProof/>
        </w:rPr>
        <w:t>) un 17. panta 2. punkta c) apakšpunktā (</w:t>
      </w:r>
      <w:r>
        <w:rPr>
          <w:b/>
          <w:noProof/>
        </w:rPr>
        <w:t>AT, BE, ES, FI, FR, HR, IE, LT, LU, LV, MT, NL, PT, RO, SE</w:t>
      </w:r>
      <w:r>
        <w:rPr>
          <w:noProof/>
        </w:rPr>
        <w:t xml:space="preserve"> un </w:t>
      </w:r>
      <w:r>
        <w:rPr>
          <w:b/>
          <w:noProof/>
        </w:rPr>
        <w:t>SK</w:t>
      </w:r>
      <w:r>
        <w:rPr>
          <w:noProof/>
        </w:rPr>
        <w:t>), savukārt mazāks skaits dalībvalstu nolēma piemērot 17. panta 2. punkta b) apakšpunktā norādītos variantus (</w:t>
      </w:r>
      <w:r>
        <w:rPr>
          <w:b/>
          <w:noProof/>
        </w:rPr>
        <w:t>C</w:t>
      </w:r>
      <w:r>
        <w:rPr>
          <w:b/>
          <w:noProof/>
        </w:rPr>
        <w:t>Y, CZ, ES, HR, IT, LV, MT, PL, PT, RO</w:t>
      </w:r>
      <w:r>
        <w:rPr>
          <w:noProof/>
        </w:rPr>
        <w:t xml:space="preserve"> un </w:t>
      </w:r>
      <w:r>
        <w:rPr>
          <w:b/>
          <w:noProof/>
        </w:rPr>
        <w:t>SI</w:t>
      </w:r>
      <w:r>
        <w:rPr>
          <w:noProof/>
        </w:rPr>
        <w:t>).</w:t>
      </w:r>
    </w:p>
    <w:p w:rsidR="005035BE" w:rsidRDefault="007D647F">
      <w:pPr>
        <w:pStyle w:val="Text3"/>
        <w:numPr>
          <w:ilvl w:val="0"/>
          <w:numId w:val="23"/>
        </w:numPr>
        <w:spacing w:after="120"/>
        <w:rPr>
          <w:noProof/>
          <w:szCs w:val="24"/>
        </w:rPr>
      </w:pPr>
      <w:r>
        <w:rPr>
          <w:noProof/>
        </w:rPr>
        <w:t>Saskaņā ar 17. panta 3. punktu dalībvalstīm ir jānodrošina, ka to jurisdikcijā ir ietverti gadījumi, kad nodarījums ir izdarīts, izmantojot informācijas un komunikāciju tehnoloģijas, kurām ir piekļūts to terito</w:t>
      </w:r>
      <w:r>
        <w:rPr>
          <w:noProof/>
        </w:rPr>
        <w:t xml:space="preserve">rijā, neatkarīgi no tā, vai tās atrodas to teritorijā. </w:t>
      </w:r>
      <w:r>
        <w:rPr>
          <w:b/>
          <w:noProof/>
        </w:rPr>
        <w:t>CY, EL, MT</w:t>
      </w:r>
      <w:r>
        <w:rPr>
          <w:noProof/>
        </w:rPr>
        <w:t xml:space="preserve"> un </w:t>
      </w:r>
      <w:r>
        <w:rPr>
          <w:b/>
          <w:noProof/>
        </w:rPr>
        <w:t>PT</w:t>
      </w:r>
      <w:r>
        <w:rPr>
          <w:noProof/>
        </w:rPr>
        <w:t xml:space="preserve"> ir īpaši noteikumi, kuros izmantots direktīvā norādītais formulējums un ir tieša atsauce uz nodarījumiem, kas izdarīti, izmantojot informācijas un komunikāciju tehnoloģijas, savukārt </w:t>
      </w:r>
      <w:r>
        <w:rPr>
          <w:b/>
          <w:noProof/>
        </w:rPr>
        <w:t>A</w:t>
      </w:r>
      <w:r>
        <w:rPr>
          <w:b/>
          <w:noProof/>
        </w:rPr>
        <w:t>T, BE, BG, DE, EE, ES, FI, FR, HR, HU, IE, IT, LT, RO, SI, SK</w:t>
      </w:r>
      <w:r>
        <w:rPr>
          <w:noProof/>
        </w:rPr>
        <w:t xml:space="preserve"> un </w:t>
      </w:r>
      <w:r>
        <w:rPr>
          <w:b/>
          <w:noProof/>
        </w:rPr>
        <w:t>UK</w:t>
      </w:r>
      <w:r>
        <w:rPr>
          <w:noProof/>
        </w:rPr>
        <w:t xml:space="preserve"> izmanto vispārējus noteikumus, ar kuriem nosaka jurisdikciju attiecībā uz to teritorijās izdarītajiem noziegumiem.</w:t>
      </w:r>
    </w:p>
    <w:p w:rsidR="005035BE" w:rsidRDefault="007D647F">
      <w:pPr>
        <w:pStyle w:val="Text3"/>
        <w:numPr>
          <w:ilvl w:val="0"/>
          <w:numId w:val="23"/>
        </w:numPr>
        <w:spacing w:after="120"/>
        <w:rPr>
          <w:noProof/>
          <w:szCs w:val="24"/>
        </w:rPr>
      </w:pPr>
      <w:r>
        <w:rPr>
          <w:noProof/>
        </w:rPr>
        <w:t>Saskaņā ar 17. panta 4. punktu ir aizliegts noteikt abpusējas sodāmības p</w:t>
      </w:r>
      <w:r>
        <w:rPr>
          <w:noProof/>
        </w:rPr>
        <w:t xml:space="preserve">rasību attiecībā uz saukšanu pie kriminālatbildības par nodarījumiem, kas izdarīti ārpus attiecīgās dalībvalsts teritorijas, ja nodarījuma izdarītājs ir tās valstspiederīgais. </w:t>
      </w:r>
      <w:r>
        <w:rPr>
          <w:b/>
          <w:noProof/>
        </w:rPr>
        <w:t>BG, CZ, HU, IT, LV, MT, SK</w:t>
      </w:r>
      <w:r>
        <w:rPr>
          <w:noProof/>
        </w:rPr>
        <w:t xml:space="preserve"> un </w:t>
      </w:r>
      <w:r>
        <w:rPr>
          <w:b/>
          <w:noProof/>
        </w:rPr>
        <w:t>UK</w:t>
      </w:r>
      <w:r>
        <w:rPr>
          <w:noProof/>
        </w:rPr>
        <w:t xml:space="preserve"> (</w:t>
      </w:r>
      <w:r>
        <w:rPr>
          <w:b/>
          <w:noProof/>
        </w:rPr>
        <w:t>Anglija/Velsa</w:t>
      </w:r>
      <w:r>
        <w:rPr>
          <w:noProof/>
        </w:rPr>
        <w:t xml:space="preserve"> un </w:t>
      </w:r>
      <w:r>
        <w:rPr>
          <w:b/>
          <w:noProof/>
        </w:rPr>
        <w:t>Ziemeļīrija</w:t>
      </w:r>
      <w:r>
        <w:rPr>
          <w:noProof/>
        </w:rPr>
        <w:t>), nosakot to juri</w:t>
      </w:r>
      <w:r>
        <w:rPr>
          <w:noProof/>
        </w:rPr>
        <w:t xml:space="preserve">sdikciju attiecībā uz nodarījumiem, neparedz abpusējas sodāmības prasību. Neraugoties uz to, ka </w:t>
      </w:r>
      <w:r>
        <w:rPr>
          <w:b/>
          <w:noProof/>
        </w:rPr>
        <w:t>AT, BE, DE, EE, EL, ES, FI, FR, HR, LT, LU, NL</w:t>
      </w:r>
      <w:r>
        <w:rPr>
          <w:noProof/>
        </w:rPr>
        <w:t xml:space="preserve"> un </w:t>
      </w:r>
      <w:r>
        <w:rPr>
          <w:b/>
          <w:noProof/>
        </w:rPr>
        <w:t>SE</w:t>
      </w:r>
      <w:r>
        <w:rPr>
          <w:noProof/>
        </w:rPr>
        <w:t xml:space="preserve"> ir izveidota abpusējas sodāmības klauzula, tās nosaka īpašus izņēmumus attiecībā uz visiem 17. panta 4. punktā minētajiem nodarījumiem.</w:t>
      </w:r>
    </w:p>
    <w:p w:rsidR="005035BE" w:rsidRDefault="007D647F">
      <w:pPr>
        <w:pStyle w:val="Text3"/>
        <w:numPr>
          <w:ilvl w:val="0"/>
          <w:numId w:val="23"/>
        </w:numPr>
        <w:spacing w:after="120"/>
        <w:rPr>
          <w:noProof/>
          <w:szCs w:val="24"/>
        </w:rPr>
      </w:pPr>
      <w:r>
        <w:rPr>
          <w:noProof/>
        </w:rPr>
        <w:t>Saskaņā ar 17. panta 5. punktu dalībvalstīm ir jānodrošina, ka to jurisdikcija nav pakļauta nosacījumam, ka saukt pie k</w:t>
      </w:r>
      <w:r>
        <w:rPr>
          <w:noProof/>
        </w:rPr>
        <w:t xml:space="preserve">riminālatbildības var tikai pamatojoties uz cietušā iesniegumu vietā, kur nodarījums ir izdarīts, vai pamatojoties uz oficiālu tās valsts paziņojumu, kurā ir izdarīts nodarījums. Lielākajā daļā dalībvalstu ir izveidoti tiesību akti, ar kuriem transponē šo </w:t>
      </w:r>
      <w:r>
        <w:rPr>
          <w:noProof/>
        </w:rPr>
        <w:t xml:space="preserve">noteikumu. Attiecībā uz </w:t>
      </w:r>
      <w:r>
        <w:rPr>
          <w:b/>
          <w:noProof/>
        </w:rPr>
        <w:t>LU</w:t>
      </w:r>
      <w:r>
        <w:rPr>
          <w:noProof/>
        </w:rPr>
        <w:t xml:space="preserve"> un </w:t>
      </w:r>
      <w:r>
        <w:rPr>
          <w:b/>
          <w:noProof/>
        </w:rPr>
        <w:t>SI</w:t>
      </w:r>
      <w:r>
        <w:rPr>
          <w:noProof/>
        </w:rPr>
        <w:t xml:space="preserve"> sniegtā informācija nebija pārliecinoša.</w:t>
      </w:r>
    </w:p>
    <w:p w:rsidR="005035BE" w:rsidRDefault="007D647F">
      <w:pPr>
        <w:pStyle w:val="Heading2"/>
        <w:tabs>
          <w:tab w:val="clear" w:pos="1200"/>
        </w:tabs>
        <w:spacing w:before="240" w:after="120"/>
        <w:ind w:left="567" w:hanging="567"/>
        <w:rPr>
          <w:noProof/>
          <w:szCs w:val="24"/>
        </w:rPr>
      </w:pPr>
      <w:bookmarkStart w:id="67" w:name="_Toc469041948"/>
      <w:bookmarkStart w:id="68" w:name="_Toc472591182"/>
      <w:r>
        <w:rPr>
          <w:noProof/>
        </w:rPr>
        <w:t>Palīdzība cietušajiem un to aizsardzība (18.–20. pants)</w:t>
      </w:r>
      <w:bookmarkEnd w:id="67"/>
      <w:bookmarkEnd w:id="68"/>
    </w:p>
    <w:p w:rsidR="005035BE" w:rsidRDefault="007D647F">
      <w:pPr>
        <w:pStyle w:val="Heading3"/>
        <w:tabs>
          <w:tab w:val="clear" w:pos="1920"/>
          <w:tab w:val="num" w:pos="851"/>
        </w:tabs>
        <w:spacing w:after="120"/>
        <w:ind w:left="709"/>
        <w:rPr>
          <w:b/>
          <w:noProof/>
          <w:szCs w:val="24"/>
        </w:rPr>
      </w:pPr>
      <w:bookmarkStart w:id="69" w:name="_Toc457816605"/>
      <w:bookmarkStart w:id="70" w:name="_Toc469041949"/>
      <w:bookmarkStart w:id="71" w:name="_Toc472591183"/>
      <w:r>
        <w:rPr>
          <w:b/>
          <w:noProof/>
        </w:rPr>
        <w:t>Vispārēji noteikumi par palīdzību un atbalstu cietušajiem bērniem un viņu aizsardzības pasākumiem</w:t>
      </w:r>
      <w:bookmarkEnd w:id="69"/>
      <w:r>
        <w:rPr>
          <w:b/>
          <w:noProof/>
        </w:rPr>
        <w:t xml:space="preserve"> (18. pants)</w:t>
      </w:r>
      <w:bookmarkEnd w:id="70"/>
      <w:bookmarkEnd w:id="71"/>
    </w:p>
    <w:p w:rsidR="005035BE" w:rsidRDefault="007D647F">
      <w:pPr>
        <w:pStyle w:val="Text3"/>
        <w:spacing w:after="120"/>
        <w:ind w:left="0"/>
        <w:rPr>
          <w:noProof/>
          <w:szCs w:val="24"/>
        </w:rPr>
      </w:pPr>
      <w:r>
        <w:rPr>
          <w:noProof/>
        </w:rPr>
        <w:t>18. pantā ir par</w:t>
      </w:r>
      <w:r>
        <w:rPr>
          <w:noProof/>
        </w:rPr>
        <w:t>edzēti vispārēji noteikumi par palīdzību un atbalstu cietušajiem bērniem un viņu aizsardzības pasākumiem.</w:t>
      </w:r>
    </w:p>
    <w:p w:rsidR="005035BE" w:rsidRDefault="007D647F">
      <w:pPr>
        <w:pStyle w:val="Text3"/>
        <w:numPr>
          <w:ilvl w:val="0"/>
          <w:numId w:val="23"/>
        </w:numPr>
        <w:spacing w:after="120"/>
        <w:rPr>
          <w:noProof/>
          <w:szCs w:val="24"/>
        </w:rPr>
      </w:pPr>
      <w:r>
        <w:rPr>
          <w:noProof/>
        </w:rPr>
        <w:t>Saskaņā ar 18. panta 1. punktu cietušajiem bērniem nodrošina palīdzību, atbalstu un aizsardzību, ņemot vērā bērna intereses. Lielākajā daļā dalībvalst</w:t>
      </w:r>
      <w:r>
        <w:rPr>
          <w:noProof/>
        </w:rPr>
        <w:t xml:space="preserve">u ir izveidoti tiesību akti, ar kuriem transponē šo noteikumu. </w:t>
      </w:r>
      <w:r>
        <w:rPr>
          <w:b/>
          <w:noProof/>
        </w:rPr>
        <w:t>BE, DE, LV</w:t>
      </w:r>
      <w:r>
        <w:rPr>
          <w:noProof/>
        </w:rPr>
        <w:t xml:space="preserve"> un </w:t>
      </w:r>
      <w:r>
        <w:rPr>
          <w:b/>
          <w:noProof/>
        </w:rPr>
        <w:t>SI</w:t>
      </w:r>
      <w:r>
        <w:rPr>
          <w:noProof/>
        </w:rPr>
        <w:t xml:space="preserve"> sniegtā informācija nebija pārliecinoša.</w:t>
      </w:r>
    </w:p>
    <w:p w:rsidR="005035BE" w:rsidRDefault="007D647F">
      <w:pPr>
        <w:pStyle w:val="Text3"/>
        <w:numPr>
          <w:ilvl w:val="0"/>
          <w:numId w:val="23"/>
        </w:numPr>
        <w:spacing w:after="120"/>
        <w:rPr>
          <w:noProof/>
          <w:szCs w:val="24"/>
        </w:rPr>
      </w:pPr>
      <w:r>
        <w:rPr>
          <w:noProof/>
        </w:rPr>
        <w:t>18. panta 2. punkts uzliek pienākumu dalībvalstīm veikt vajadzīgos pasākumus, lai nodrošinātu, ka bērnam tiek sniegta palīdzība un atba</w:t>
      </w:r>
      <w:r>
        <w:rPr>
          <w:noProof/>
        </w:rPr>
        <w:t xml:space="preserve">lsts, tiklīdz kompetentajām iestādēm ir norāde uz pamatotu iemeslu, lai uzskatītu, ka pret bērnu varētu būt izdarīts nodarījums. Aptuveni pusei dalībvalstu ir izveidoti pasākumi, ar kuriem transponē šo noteikumu. Attiecībā uz </w:t>
      </w:r>
      <w:r>
        <w:rPr>
          <w:b/>
          <w:noProof/>
        </w:rPr>
        <w:t>AT, BE, BG, DE, EL, ES, FR, IT</w:t>
      </w:r>
      <w:r>
        <w:rPr>
          <w:b/>
          <w:noProof/>
        </w:rPr>
        <w:t>, LU, NL, PL, SI</w:t>
      </w:r>
      <w:r>
        <w:rPr>
          <w:noProof/>
        </w:rPr>
        <w:t xml:space="preserve"> un </w:t>
      </w:r>
      <w:r>
        <w:rPr>
          <w:b/>
          <w:noProof/>
        </w:rPr>
        <w:t>UK (Angliju/Velsu, Ziemeļīriju</w:t>
      </w:r>
      <w:r>
        <w:rPr>
          <w:noProof/>
        </w:rPr>
        <w:t xml:space="preserve"> un </w:t>
      </w:r>
      <w:r>
        <w:rPr>
          <w:b/>
          <w:noProof/>
        </w:rPr>
        <w:t>Skotiju)</w:t>
      </w:r>
      <w:r>
        <w:rPr>
          <w:noProof/>
        </w:rPr>
        <w:t xml:space="preserve"> sniegtā informācija nebija pārliecinoša.</w:t>
      </w:r>
    </w:p>
    <w:p w:rsidR="005035BE" w:rsidRDefault="007D647F">
      <w:pPr>
        <w:pStyle w:val="Text3"/>
        <w:numPr>
          <w:ilvl w:val="0"/>
          <w:numId w:val="23"/>
        </w:numPr>
        <w:spacing w:after="120"/>
        <w:rPr>
          <w:noProof/>
          <w:szCs w:val="24"/>
        </w:rPr>
      </w:pPr>
      <w:r>
        <w:rPr>
          <w:noProof/>
        </w:rPr>
        <w:t>Saskaņā ar 18. panta 3. punktu dalībvalstīm ir jānodrošina, ka gadījumos, kad pastāv neskaidrības par personas vecumu un ir iemesls uzskatīt, ka šī pers</w:t>
      </w:r>
      <w:r>
        <w:rPr>
          <w:noProof/>
        </w:rPr>
        <w:t xml:space="preserve">ona ir bērns, minētā persona tiek uzskatīta par bērnu nolūkā saņemt tūlītēju piekļuvi palīdzības, atbalsta un aizsardzības pasākumiem. </w:t>
      </w:r>
      <w:r>
        <w:rPr>
          <w:b/>
          <w:noProof/>
        </w:rPr>
        <w:t>BG, CY, EL</w:t>
      </w:r>
      <w:r>
        <w:rPr>
          <w:noProof/>
        </w:rPr>
        <w:t xml:space="preserve"> un </w:t>
      </w:r>
      <w:r>
        <w:rPr>
          <w:b/>
          <w:noProof/>
        </w:rPr>
        <w:t>LT</w:t>
      </w:r>
      <w:r>
        <w:rPr>
          <w:noProof/>
        </w:rPr>
        <w:t xml:space="preserve"> tiesību aktu, ar kuriem tiek transponēts šis noteikums, formulējums ir ļoti līdzīgs direktīvas formulēju</w:t>
      </w:r>
      <w:r>
        <w:rPr>
          <w:noProof/>
        </w:rPr>
        <w:t xml:space="preserve">mam, savukārt tiesību akti </w:t>
      </w:r>
      <w:r>
        <w:rPr>
          <w:b/>
          <w:noProof/>
        </w:rPr>
        <w:t>EE, ES, HR, LV, MT, PT, RO</w:t>
      </w:r>
      <w:r>
        <w:rPr>
          <w:noProof/>
        </w:rPr>
        <w:t xml:space="preserve"> un </w:t>
      </w:r>
      <w:r>
        <w:rPr>
          <w:b/>
          <w:noProof/>
        </w:rPr>
        <w:t>UK</w:t>
      </w:r>
      <w:r>
        <w:rPr>
          <w:noProof/>
        </w:rPr>
        <w:t xml:space="preserve"> (</w:t>
      </w:r>
      <w:r>
        <w:rPr>
          <w:b/>
          <w:noProof/>
        </w:rPr>
        <w:t>Anglijā/Velsā</w:t>
      </w:r>
      <w:r>
        <w:rPr>
          <w:noProof/>
        </w:rPr>
        <w:t xml:space="preserve"> un </w:t>
      </w:r>
      <w:r>
        <w:rPr>
          <w:b/>
          <w:noProof/>
        </w:rPr>
        <w:t>Gibraltārā</w:t>
      </w:r>
      <w:r>
        <w:rPr>
          <w:noProof/>
        </w:rPr>
        <w:t xml:space="preserve">) ietver vispārēju nepilngadības prezumpciju cietušā labā, līdz tiek pierādīts pretējais. Attiecībā uz </w:t>
      </w:r>
      <w:r>
        <w:rPr>
          <w:b/>
          <w:noProof/>
        </w:rPr>
        <w:t>AT, BE, CZ, DE, FI, FR, HU, IE, IT, LU, PL, SE, SI, SK</w:t>
      </w:r>
      <w:r>
        <w:rPr>
          <w:noProof/>
        </w:rPr>
        <w:t xml:space="preserve"> un </w:t>
      </w:r>
      <w:r>
        <w:rPr>
          <w:b/>
          <w:noProof/>
        </w:rPr>
        <w:t>UK</w:t>
      </w:r>
      <w:r>
        <w:rPr>
          <w:noProof/>
        </w:rPr>
        <w:t xml:space="preserve"> (</w:t>
      </w:r>
      <w:r>
        <w:rPr>
          <w:b/>
          <w:noProof/>
        </w:rPr>
        <w:t>Sko</w:t>
      </w:r>
      <w:r>
        <w:rPr>
          <w:b/>
          <w:noProof/>
        </w:rPr>
        <w:t>tiju</w:t>
      </w:r>
      <w:r>
        <w:rPr>
          <w:noProof/>
        </w:rPr>
        <w:t>) sniegtā informācija nebija pārliecinoša.</w:t>
      </w:r>
    </w:p>
    <w:p w:rsidR="005035BE" w:rsidRDefault="007D647F">
      <w:pPr>
        <w:pStyle w:val="Heading3"/>
        <w:tabs>
          <w:tab w:val="clear" w:pos="1920"/>
          <w:tab w:val="num" w:pos="851"/>
        </w:tabs>
        <w:spacing w:before="240" w:after="120"/>
        <w:ind w:left="709"/>
        <w:rPr>
          <w:b/>
          <w:noProof/>
          <w:szCs w:val="24"/>
        </w:rPr>
      </w:pPr>
      <w:bookmarkStart w:id="72" w:name="_Toc457816606"/>
      <w:bookmarkStart w:id="73" w:name="_Toc469041950"/>
      <w:bookmarkStart w:id="74" w:name="_Toc472591184"/>
      <w:r>
        <w:rPr>
          <w:b/>
          <w:noProof/>
        </w:rPr>
        <w:t>Palīdzība un atbalsts cietušajiem</w:t>
      </w:r>
      <w:bookmarkEnd w:id="72"/>
      <w:r>
        <w:rPr>
          <w:b/>
          <w:noProof/>
        </w:rPr>
        <w:t xml:space="preserve"> (19. pants)</w:t>
      </w:r>
      <w:bookmarkEnd w:id="73"/>
      <w:bookmarkEnd w:id="74"/>
    </w:p>
    <w:p w:rsidR="005035BE" w:rsidRDefault="007D647F">
      <w:pPr>
        <w:pStyle w:val="Text3"/>
        <w:spacing w:after="120"/>
        <w:ind w:left="0"/>
        <w:rPr>
          <w:noProof/>
          <w:szCs w:val="24"/>
        </w:rPr>
      </w:pPr>
      <w:r>
        <w:rPr>
          <w:noProof/>
        </w:rPr>
        <w:t>19. pantā ir paredzēti vispārēji noteikumi par palīdzību un atbalstu cietušajiem bērniem un viņu ģimenēm, un šo personu aizsardzības pasākumiem.</w:t>
      </w:r>
    </w:p>
    <w:p w:rsidR="005035BE" w:rsidRDefault="007D647F">
      <w:pPr>
        <w:pStyle w:val="Text3"/>
        <w:numPr>
          <w:ilvl w:val="0"/>
          <w:numId w:val="25"/>
        </w:numPr>
        <w:spacing w:after="120"/>
        <w:rPr>
          <w:noProof/>
          <w:szCs w:val="24"/>
        </w:rPr>
      </w:pPr>
      <w:r>
        <w:rPr>
          <w:noProof/>
        </w:rPr>
        <w:t>Saskaņā ar 19. panta 1. punktu dalībvalstīm ir jānodrošina, ka cietušajiem tiek sniegta palīdzība un atbalsts pirms kriminālprocesa, tā gaitā un piemērotu laikposmu pēc tā pabeigšanas, jo īpaši nodrošinot to bērnu aizsardzību, kuri ziņo par vardarbības gad</w:t>
      </w:r>
      <w:r>
        <w:rPr>
          <w:noProof/>
        </w:rPr>
        <w:t xml:space="preserve">ījumiem viņu ģimenē. Lielākajā daļā dalībvalstu ir izveidoti tiesību akti, ar kuriem transponē šo noteikumu. </w:t>
      </w:r>
      <w:r>
        <w:rPr>
          <w:b/>
          <w:noProof/>
        </w:rPr>
        <w:t>DE, HU, IE, IT, LV, PL, RO, SI</w:t>
      </w:r>
      <w:r>
        <w:rPr>
          <w:noProof/>
        </w:rPr>
        <w:t xml:space="preserve"> un </w:t>
      </w:r>
      <w:r>
        <w:rPr>
          <w:b/>
          <w:noProof/>
        </w:rPr>
        <w:t>SK</w:t>
      </w:r>
      <w:r>
        <w:rPr>
          <w:noProof/>
        </w:rPr>
        <w:t xml:space="preserve"> sniegtā informācija nebija pārliecinoša.</w:t>
      </w:r>
    </w:p>
    <w:p w:rsidR="005035BE" w:rsidRDefault="007D647F">
      <w:pPr>
        <w:pStyle w:val="Text3"/>
        <w:numPr>
          <w:ilvl w:val="0"/>
          <w:numId w:val="25"/>
        </w:numPr>
        <w:spacing w:after="120"/>
        <w:rPr>
          <w:noProof/>
          <w:szCs w:val="24"/>
        </w:rPr>
      </w:pPr>
      <w:r>
        <w:rPr>
          <w:noProof/>
        </w:rPr>
        <w:t>Saskaņā ar 19. panta 2. punktu dalībvalstīm ir jānodrošina, ka palīdz</w:t>
      </w:r>
      <w:r>
        <w:rPr>
          <w:noProof/>
        </w:rPr>
        <w:t xml:space="preserve">ība un atbalsts cietušajam bērnam nav atkarīgi no cietušā bērna vēlmes sadarboties kriminālizmeklēšanā, kriminālvajāšanā vai tiesā. </w:t>
      </w:r>
      <w:r>
        <w:rPr>
          <w:b/>
          <w:noProof/>
        </w:rPr>
        <w:t>CY, EL, MT</w:t>
      </w:r>
      <w:r>
        <w:rPr>
          <w:noProof/>
        </w:rPr>
        <w:t xml:space="preserve"> un </w:t>
      </w:r>
      <w:r>
        <w:rPr>
          <w:b/>
          <w:noProof/>
        </w:rPr>
        <w:t>UK</w:t>
      </w:r>
      <w:r>
        <w:rPr>
          <w:noProof/>
        </w:rPr>
        <w:t xml:space="preserve"> (</w:t>
      </w:r>
      <w:r>
        <w:rPr>
          <w:b/>
          <w:noProof/>
        </w:rPr>
        <w:t>Anglijas/Velsas</w:t>
      </w:r>
      <w:r>
        <w:rPr>
          <w:noProof/>
        </w:rPr>
        <w:t xml:space="preserve"> un </w:t>
      </w:r>
      <w:r>
        <w:rPr>
          <w:b/>
          <w:noProof/>
        </w:rPr>
        <w:t>Gibraltāra</w:t>
      </w:r>
      <w:r>
        <w:rPr>
          <w:noProof/>
        </w:rPr>
        <w:t>) tiesību aktos ir izmantots formulējums, kas ir ļoti līdzīgs direktīvā izman</w:t>
      </w:r>
      <w:r>
        <w:rPr>
          <w:noProof/>
        </w:rPr>
        <w:t>totajam, savukārt lielākā daļa dalībvalstu (</w:t>
      </w:r>
      <w:r>
        <w:rPr>
          <w:b/>
          <w:noProof/>
        </w:rPr>
        <w:t>AT, BE, BG, CZ, EE, ES, FI, FR, HR, HU, IE, IT, LT, LU, LV, NL, PL, PT, RO, SE, SK</w:t>
      </w:r>
      <w:r>
        <w:rPr>
          <w:noProof/>
        </w:rPr>
        <w:t xml:space="preserve"> un </w:t>
      </w:r>
      <w:r>
        <w:rPr>
          <w:b/>
          <w:noProof/>
        </w:rPr>
        <w:t>UK</w:t>
      </w:r>
      <w:r>
        <w:rPr>
          <w:noProof/>
        </w:rPr>
        <w:t xml:space="preserve"> (</w:t>
      </w:r>
      <w:r>
        <w:rPr>
          <w:b/>
          <w:noProof/>
        </w:rPr>
        <w:t>Ziemeļīrija</w:t>
      </w:r>
      <w:r>
        <w:rPr>
          <w:noProof/>
        </w:rPr>
        <w:t xml:space="preserve"> un </w:t>
      </w:r>
      <w:r>
        <w:rPr>
          <w:b/>
          <w:noProof/>
        </w:rPr>
        <w:t>Skotija</w:t>
      </w:r>
      <w:r>
        <w:rPr>
          <w:noProof/>
        </w:rPr>
        <w:t xml:space="preserve">) izmantoja dažādus noteikumus par palīdzību un atbalstu. </w:t>
      </w:r>
      <w:r>
        <w:rPr>
          <w:b/>
          <w:noProof/>
        </w:rPr>
        <w:t>DE</w:t>
      </w:r>
      <w:r>
        <w:rPr>
          <w:noProof/>
        </w:rPr>
        <w:t xml:space="preserve"> un </w:t>
      </w:r>
      <w:r>
        <w:rPr>
          <w:b/>
          <w:noProof/>
        </w:rPr>
        <w:t>SI</w:t>
      </w:r>
      <w:r>
        <w:rPr>
          <w:noProof/>
        </w:rPr>
        <w:t xml:space="preserve"> sniegtā informācija nebija pārlie</w:t>
      </w:r>
      <w:r>
        <w:rPr>
          <w:noProof/>
        </w:rPr>
        <w:t>cinoša.</w:t>
      </w:r>
    </w:p>
    <w:p w:rsidR="005035BE" w:rsidRDefault="007D647F">
      <w:pPr>
        <w:pStyle w:val="Text3"/>
        <w:numPr>
          <w:ilvl w:val="0"/>
          <w:numId w:val="25"/>
        </w:numPr>
        <w:spacing w:after="120"/>
        <w:rPr>
          <w:noProof/>
          <w:szCs w:val="24"/>
        </w:rPr>
      </w:pPr>
      <w:r>
        <w:rPr>
          <w:noProof/>
        </w:rPr>
        <w:t>Saskaņā ar 19. panta 3. punktu dalībvalstīm ir jānodrošina, ka palīdzība un atbalsts cietušajiem bērniem tiek īstenota(-s) pēc katra konkrētā cietušā bērna īpašo apstākļu individuālas izvērtēšanas, pienācīgi ņemot vērā bērna viedokli, vajadzības un</w:t>
      </w:r>
      <w:r>
        <w:rPr>
          <w:noProof/>
        </w:rPr>
        <w:t xml:space="preserve"> bažas. Lielākajā daļā dalībvalstu ir ieviesti pasākumi, ar kuriem transponē šo noteikumu</w:t>
      </w:r>
      <w:r>
        <w:rPr>
          <w:rStyle w:val="FootnoteReference"/>
          <w:noProof/>
        </w:rPr>
        <w:footnoteReference w:id="5"/>
      </w:r>
      <w:r>
        <w:rPr>
          <w:noProof/>
        </w:rPr>
        <w:t xml:space="preserve">. </w:t>
      </w:r>
      <w:r>
        <w:rPr>
          <w:b/>
          <w:noProof/>
        </w:rPr>
        <w:t>DE, EL, IT, LT, LU, LV, NL, PL, SI</w:t>
      </w:r>
      <w:r>
        <w:rPr>
          <w:noProof/>
        </w:rPr>
        <w:t xml:space="preserve"> un </w:t>
      </w:r>
      <w:r>
        <w:rPr>
          <w:b/>
          <w:noProof/>
        </w:rPr>
        <w:t>UK</w:t>
      </w:r>
      <w:r>
        <w:rPr>
          <w:noProof/>
        </w:rPr>
        <w:t xml:space="preserve"> (</w:t>
      </w:r>
      <w:r>
        <w:rPr>
          <w:b/>
          <w:noProof/>
        </w:rPr>
        <w:t>Skotijas</w:t>
      </w:r>
      <w:r>
        <w:rPr>
          <w:noProof/>
        </w:rPr>
        <w:t>) sniegtā informācija nebija pārliecinoša.</w:t>
      </w:r>
    </w:p>
    <w:p w:rsidR="005035BE" w:rsidRDefault="007D647F">
      <w:pPr>
        <w:pStyle w:val="Text3"/>
        <w:numPr>
          <w:ilvl w:val="0"/>
          <w:numId w:val="25"/>
        </w:numPr>
        <w:spacing w:after="120"/>
        <w:rPr>
          <w:noProof/>
          <w:szCs w:val="24"/>
        </w:rPr>
      </w:pPr>
      <w:r>
        <w:rPr>
          <w:noProof/>
        </w:rPr>
        <w:t xml:space="preserve">Saskaņā ar 19. panta 4. punktu bērnus, kas cietuši seksuālos </w:t>
      </w:r>
      <w:r>
        <w:rPr>
          <w:noProof/>
        </w:rPr>
        <w:t>nodarījumos, uzskata par īpaši neaizsargātiem cietušajiem atbilstīgi Pamatlēmumam 2001/220/TI, ko no 2012. gada aizstāj ar Direktīvu par cietušo tiesībām</w:t>
      </w:r>
      <w:r>
        <w:rPr>
          <w:noProof/>
          <w:vertAlign w:val="superscript"/>
        </w:rPr>
        <w:footnoteReference w:id="6"/>
      </w:r>
      <w:r>
        <w:rPr>
          <w:noProof/>
        </w:rPr>
        <w:t xml:space="preserve">. Lielākajā daļā dalībvalstu ir īstenoti pasākumi, ar kuriem transponē šo noteikumu. </w:t>
      </w:r>
      <w:r>
        <w:rPr>
          <w:b/>
          <w:noProof/>
        </w:rPr>
        <w:t>DE, EL, IE, IT, S</w:t>
      </w:r>
      <w:r>
        <w:rPr>
          <w:b/>
          <w:noProof/>
        </w:rPr>
        <w:t>I</w:t>
      </w:r>
      <w:r>
        <w:rPr>
          <w:noProof/>
        </w:rPr>
        <w:t xml:space="preserve"> un </w:t>
      </w:r>
      <w:r>
        <w:rPr>
          <w:b/>
          <w:noProof/>
        </w:rPr>
        <w:t>UK (Skotijas)</w:t>
      </w:r>
      <w:r>
        <w:rPr>
          <w:noProof/>
        </w:rPr>
        <w:t xml:space="preserve"> sniegtā informācija nebija pārliecinoša.</w:t>
      </w:r>
    </w:p>
    <w:p w:rsidR="005035BE" w:rsidRDefault="007D647F">
      <w:pPr>
        <w:pStyle w:val="Text3"/>
        <w:spacing w:after="120"/>
        <w:ind w:left="360"/>
        <w:rPr>
          <w:noProof/>
          <w:szCs w:val="24"/>
        </w:rPr>
      </w:pPr>
      <w:r>
        <w:rPr>
          <w:noProof/>
        </w:rPr>
        <w:t xml:space="preserve">Bērnu atzīšana par īpaši neaizsargātiem cietušajiem ir paredzēta īpašos palīdzības un aizsardzības pasākumos (izņemot </w:t>
      </w:r>
      <w:r>
        <w:rPr>
          <w:b/>
          <w:noProof/>
        </w:rPr>
        <w:t>UK</w:t>
      </w:r>
      <w:r>
        <w:rPr>
          <w:noProof/>
        </w:rPr>
        <w:t xml:space="preserve"> (</w:t>
      </w:r>
      <w:r>
        <w:rPr>
          <w:b/>
          <w:noProof/>
        </w:rPr>
        <w:t>Gibraltāru</w:t>
      </w:r>
      <w:r>
        <w:rPr>
          <w:noProof/>
        </w:rPr>
        <w:t>), kas to transponēja burtiski). Šie pasākumi nodrošina, ka ciet</w:t>
      </w:r>
      <w:r>
        <w:rPr>
          <w:noProof/>
        </w:rPr>
        <w:t>ušajiem bērniem ir tiesības liecināt tādā veidā, kas aizsargā tos no pierādījumu sniegšanas atklātā tiesas sēdē, un ka ar tiem saskaras tikai tās personas, kuras ir īpaši apmācītas šim mērķim.</w:t>
      </w:r>
    </w:p>
    <w:p w:rsidR="005035BE" w:rsidRDefault="007D647F">
      <w:pPr>
        <w:pStyle w:val="Text3"/>
        <w:numPr>
          <w:ilvl w:val="0"/>
          <w:numId w:val="25"/>
        </w:numPr>
        <w:spacing w:after="120"/>
        <w:rPr>
          <w:noProof/>
          <w:szCs w:val="24"/>
        </w:rPr>
      </w:pPr>
      <w:r>
        <w:rPr>
          <w:noProof/>
        </w:rPr>
        <w:t>Saskaņā ar 19. panta 5. punktu dalībvalstīm, ja tas ir vajadzīg</w:t>
      </w:r>
      <w:r>
        <w:rPr>
          <w:noProof/>
        </w:rPr>
        <w:t xml:space="preserve">s un iespējams, ir jānodrošina palīdzība un atbalsts cietušā bērna ģimenei, ja ģimene uzturas dalībvalsts teritorijā. </w:t>
      </w:r>
      <w:r>
        <w:rPr>
          <w:b/>
          <w:noProof/>
        </w:rPr>
        <w:t>AT, BE, BG, CY, EE, FI, HR, IE, LT, MT, NL, PT, SK</w:t>
      </w:r>
      <w:r>
        <w:rPr>
          <w:noProof/>
        </w:rPr>
        <w:t xml:space="preserve"> un </w:t>
      </w:r>
      <w:r>
        <w:rPr>
          <w:b/>
          <w:noProof/>
        </w:rPr>
        <w:t>UK</w:t>
      </w:r>
      <w:r>
        <w:rPr>
          <w:noProof/>
        </w:rPr>
        <w:t xml:space="preserve"> ir īstenoti pasākumi šā noteikuma transponēšanai, savukārt citu dalībvalstu snieg</w:t>
      </w:r>
      <w:r>
        <w:rPr>
          <w:noProof/>
        </w:rPr>
        <w:t>tā informācija nebija pārliecinoša.</w:t>
      </w:r>
    </w:p>
    <w:p w:rsidR="005035BE" w:rsidRDefault="007D647F">
      <w:pPr>
        <w:pStyle w:val="Heading3"/>
        <w:tabs>
          <w:tab w:val="clear" w:pos="1920"/>
          <w:tab w:val="num" w:pos="851"/>
        </w:tabs>
        <w:spacing w:before="240" w:after="120"/>
        <w:ind w:left="709"/>
        <w:rPr>
          <w:b/>
          <w:noProof/>
          <w:szCs w:val="24"/>
        </w:rPr>
      </w:pPr>
      <w:bookmarkStart w:id="75" w:name="_Toc457816607"/>
      <w:bookmarkStart w:id="76" w:name="_Toc469041951"/>
      <w:bookmarkStart w:id="77" w:name="_Toc472591185"/>
      <w:r>
        <w:rPr>
          <w:b/>
          <w:noProof/>
        </w:rPr>
        <w:t>Cietušo bērnu aizsardzība kriminālizmeklēšanā un kriminālprocesā</w:t>
      </w:r>
      <w:bookmarkEnd w:id="75"/>
      <w:r>
        <w:rPr>
          <w:b/>
          <w:noProof/>
        </w:rPr>
        <w:t xml:space="preserve"> (20. pants)</w:t>
      </w:r>
      <w:bookmarkEnd w:id="76"/>
      <w:bookmarkEnd w:id="77"/>
    </w:p>
    <w:p w:rsidR="005035BE" w:rsidRDefault="007D647F">
      <w:pPr>
        <w:pStyle w:val="Text3"/>
        <w:spacing w:after="120"/>
        <w:ind w:left="0"/>
        <w:rPr>
          <w:noProof/>
          <w:szCs w:val="24"/>
        </w:rPr>
      </w:pPr>
      <w:r>
        <w:rPr>
          <w:noProof/>
        </w:rPr>
        <w:t>20. pantā ir paredzētas prasības dalībvalstīm attiecībā uz cietušo bērnu aizsardzību kriminālizmeklēšanā un kriminālprocesā.</w:t>
      </w:r>
    </w:p>
    <w:p w:rsidR="005035BE" w:rsidRDefault="007D647F">
      <w:pPr>
        <w:pStyle w:val="Text3"/>
        <w:numPr>
          <w:ilvl w:val="0"/>
          <w:numId w:val="23"/>
        </w:numPr>
        <w:spacing w:after="120"/>
        <w:rPr>
          <w:noProof/>
          <w:szCs w:val="24"/>
        </w:rPr>
      </w:pPr>
      <w:r>
        <w:rPr>
          <w:noProof/>
        </w:rPr>
        <w:t>Lielākā daļa dalīb</w:t>
      </w:r>
      <w:r>
        <w:rPr>
          <w:noProof/>
        </w:rPr>
        <w:t>valstu (</w:t>
      </w:r>
      <w:r>
        <w:rPr>
          <w:b/>
          <w:noProof/>
        </w:rPr>
        <w:t>BG, CY, CZ, DE, EE, EL, ES, FR, FI, HR, HU, IE, IT, LT, LU, LV, MT, NL, PL, PT, RO, SE, SI, SK</w:t>
      </w:r>
      <w:r>
        <w:rPr>
          <w:noProof/>
        </w:rPr>
        <w:t xml:space="preserve"> un </w:t>
      </w:r>
      <w:r>
        <w:rPr>
          <w:b/>
          <w:noProof/>
        </w:rPr>
        <w:t>UK</w:t>
      </w:r>
      <w:r>
        <w:rPr>
          <w:noProof/>
        </w:rPr>
        <w:t xml:space="preserve"> (</w:t>
      </w:r>
      <w:r>
        <w:rPr>
          <w:b/>
          <w:noProof/>
        </w:rPr>
        <w:t>Gibraltārs</w:t>
      </w:r>
      <w:r>
        <w:rPr>
          <w:noProof/>
        </w:rPr>
        <w:t>)) ir īstenojušas pasākumus, lai saskaņā ar 20. panta 1. punktu nodrošinātu, ka kriminālizmeklēšanā un kriminālprocesā kompetentās iestā</w:t>
      </w:r>
      <w:r>
        <w:rPr>
          <w:noProof/>
        </w:rPr>
        <w:t xml:space="preserve">des cietušajam bērnam ieceļ īpašu pārstāvi. </w:t>
      </w:r>
      <w:r>
        <w:rPr>
          <w:b/>
          <w:noProof/>
        </w:rPr>
        <w:t>AT, BE</w:t>
      </w:r>
      <w:r>
        <w:rPr>
          <w:noProof/>
        </w:rPr>
        <w:t xml:space="preserve"> un </w:t>
      </w:r>
      <w:r>
        <w:rPr>
          <w:b/>
          <w:noProof/>
        </w:rPr>
        <w:t>UK (Ziemeļīrija, Skotija</w:t>
      </w:r>
      <w:r>
        <w:rPr>
          <w:noProof/>
        </w:rPr>
        <w:t xml:space="preserve"> un </w:t>
      </w:r>
      <w:r>
        <w:rPr>
          <w:b/>
          <w:noProof/>
        </w:rPr>
        <w:t>Anglija/Velsa)</w:t>
      </w:r>
      <w:r>
        <w:rPr>
          <w:noProof/>
        </w:rPr>
        <w:t xml:space="preserve"> sniegtā informācija nebija pārliecinoša.</w:t>
      </w:r>
    </w:p>
    <w:p w:rsidR="005035BE" w:rsidRDefault="007D647F">
      <w:pPr>
        <w:pStyle w:val="Text3"/>
        <w:numPr>
          <w:ilvl w:val="0"/>
          <w:numId w:val="23"/>
        </w:numPr>
        <w:spacing w:after="120"/>
        <w:rPr>
          <w:noProof/>
          <w:szCs w:val="24"/>
        </w:rPr>
      </w:pPr>
      <w:r>
        <w:rPr>
          <w:noProof/>
        </w:rPr>
        <w:t>Saskaņā ar 20. panta 2. punktu dalībvalstīm ir jānodrošina cietušajiem bērniem piekļuve juridiskām konsultācijām un ju</w:t>
      </w:r>
      <w:r>
        <w:rPr>
          <w:noProof/>
        </w:rPr>
        <w:t xml:space="preserve">ridiskai pārstāvībai, kas ir bezmaksas, ja cietušajam nav pietiekamu finanšu līdzekļu. Lielākajā daļā dalībvalstu ir izveidoti tiesību akti, ar kuriem transponē šo noteikumu. Attiecībā uz </w:t>
      </w:r>
      <w:r>
        <w:rPr>
          <w:b/>
          <w:noProof/>
        </w:rPr>
        <w:t xml:space="preserve">AT, CZ, DE, EE, IE, LT, PL, RO </w:t>
      </w:r>
      <w:r>
        <w:rPr>
          <w:noProof/>
        </w:rPr>
        <w:t>un</w:t>
      </w:r>
      <w:r>
        <w:rPr>
          <w:b/>
          <w:noProof/>
        </w:rPr>
        <w:t xml:space="preserve"> UK </w:t>
      </w:r>
      <w:r>
        <w:rPr>
          <w:noProof/>
        </w:rPr>
        <w:t>(</w:t>
      </w:r>
      <w:r>
        <w:rPr>
          <w:b/>
          <w:noProof/>
        </w:rPr>
        <w:t>Angliju/Velsu, Skotiju</w:t>
      </w:r>
      <w:r>
        <w:rPr>
          <w:noProof/>
        </w:rPr>
        <w:t xml:space="preserve"> un </w:t>
      </w:r>
      <w:r>
        <w:rPr>
          <w:b/>
          <w:noProof/>
        </w:rPr>
        <w:t>Ziem</w:t>
      </w:r>
      <w:r>
        <w:rPr>
          <w:b/>
          <w:noProof/>
        </w:rPr>
        <w:t>eļīriju</w:t>
      </w:r>
      <w:r>
        <w:rPr>
          <w:noProof/>
        </w:rPr>
        <w:t>) sniegtā informācija nebija pārliecinoša.</w:t>
      </w:r>
    </w:p>
    <w:p w:rsidR="005035BE" w:rsidRDefault="007D647F">
      <w:pPr>
        <w:pStyle w:val="Text3"/>
        <w:numPr>
          <w:ilvl w:val="0"/>
          <w:numId w:val="23"/>
        </w:numPr>
        <w:spacing w:after="120"/>
        <w:rPr>
          <w:noProof/>
          <w:szCs w:val="24"/>
        </w:rPr>
      </w:pPr>
      <w:r>
        <w:rPr>
          <w:noProof/>
        </w:rPr>
        <w:t xml:space="preserve">20. panta 3. punktā ir aprakstīta virkne prasību, kas ir jāievēro, veicot kriminālizmeklēšanu, kurā iesaistīti cietušie bērni, un jo īpaši nopratināšanā. </w:t>
      </w:r>
      <w:r>
        <w:rPr>
          <w:b/>
          <w:noProof/>
        </w:rPr>
        <w:t>EL, HR, LT, MT, PT, RO, SE</w:t>
      </w:r>
      <w:r>
        <w:rPr>
          <w:noProof/>
        </w:rPr>
        <w:t xml:space="preserve"> un </w:t>
      </w:r>
      <w:r>
        <w:rPr>
          <w:b/>
          <w:noProof/>
        </w:rPr>
        <w:t>UK</w:t>
      </w:r>
      <w:r>
        <w:rPr>
          <w:noProof/>
        </w:rPr>
        <w:t xml:space="preserve"> (</w:t>
      </w:r>
      <w:r>
        <w:rPr>
          <w:b/>
          <w:noProof/>
        </w:rPr>
        <w:t>Anglija/Velsa, Zie</w:t>
      </w:r>
      <w:r>
        <w:rPr>
          <w:b/>
          <w:noProof/>
        </w:rPr>
        <w:t>meļīrija</w:t>
      </w:r>
      <w:r>
        <w:rPr>
          <w:noProof/>
        </w:rPr>
        <w:t xml:space="preserve"> un </w:t>
      </w:r>
      <w:r>
        <w:rPr>
          <w:b/>
          <w:noProof/>
        </w:rPr>
        <w:t>Gibraltārs</w:t>
      </w:r>
      <w:r>
        <w:rPr>
          <w:noProof/>
        </w:rPr>
        <w:t>) ir ieviesušas 20. panta 3. punkta transponēšanai nepieciešamos pasākumus, savukārt citu dalībvalstu sniegtā informācija nebija pārliecinoša.</w:t>
      </w:r>
    </w:p>
    <w:p w:rsidR="005035BE" w:rsidRDefault="007D647F">
      <w:pPr>
        <w:pStyle w:val="Text3"/>
        <w:numPr>
          <w:ilvl w:val="0"/>
          <w:numId w:val="23"/>
        </w:numPr>
        <w:spacing w:after="120"/>
        <w:rPr>
          <w:noProof/>
          <w:szCs w:val="24"/>
        </w:rPr>
      </w:pPr>
      <w:r>
        <w:rPr>
          <w:noProof/>
        </w:rPr>
        <w:t>Lielākā daļa dalībvalstu ir ieviesušas pasākumus, lai saskaņā ar 20. panta 4. punktu nodroš</w:t>
      </w:r>
      <w:r>
        <w:rPr>
          <w:noProof/>
        </w:rPr>
        <w:t xml:space="preserve">inātu, ka cietušā bērna vai bērna kā liecinieka nopratināšanu var audiovizuāli ierakstīt un to izmantot kā pierādījumus iztiesāšanā kriminālprocesā. </w:t>
      </w:r>
      <w:r>
        <w:rPr>
          <w:b/>
          <w:noProof/>
        </w:rPr>
        <w:t>AT, FI, IE, MT</w:t>
      </w:r>
      <w:r>
        <w:rPr>
          <w:noProof/>
        </w:rPr>
        <w:t xml:space="preserve"> un </w:t>
      </w:r>
      <w:r>
        <w:rPr>
          <w:b/>
          <w:noProof/>
        </w:rPr>
        <w:t>PL</w:t>
      </w:r>
      <w:r>
        <w:rPr>
          <w:noProof/>
        </w:rPr>
        <w:t xml:space="preserve"> sniegtā informācija nebija pārliecinoša.</w:t>
      </w:r>
    </w:p>
    <w:p w:rsidR="005035BE" w:rsidRDefault="007D647F">
      <w:pPr>
        <w:pStyle w:val="Text3"/>
        <w:numPr>
          <w:ilvl w:val="0"/>
          <w:numId w:val="23"/>
        </w:numPr>
        <w:spacing w:after="120"/>
        <w:rPr>
          <w:noProof/>
          <w:szCs w:val="24"/>
        </w:rPr>
      </w:pPr>
      <w:r>
        <w:rPr>
          <w:noProof/>
        </w:rPr>
        <w:t>Saskaņā ar 20. panta 5. punktu dalībvalstīm i</w:t>
      </w:r>
      <w:r>
        <w:rPr>
          <w:noProof/>
        </w:rPr>
        <w:t xml:space="preserve">r jāīsteno pasākumi, lai nodrošinātu iespēju noteikt, ka lietu izskata slēgtā tiesas sēdē vai bez bērna klātbūtnes. Lielākā daļa dalībvalstu transponēja šo pantu, lai gan </w:t>
      </w:r>
      <w:r>
        <w:rPr>
          <w:b/>
          <w:noProof/>
        </w:rPr>
        <w:t>BE, FI, PL</w:t>
      </w:r>
      <w:r>
        <w:rPr>
          <w:noProof/>
        </w:rPr>
        <w:t xml:space="preserve"> un </w:t>
      </w:r>
      <w:r>
        <w:rPr>
          <w:b/>
          <w:noProof/>
        </w:rPr>
        <w:t>UK (Skotija)</w:t>
      </w:r>
      <w:r>
        <w:rPr>
          <w:noProof/>
        </w:rPr>
        <w:t xml:space="preserve"> sniegtā informācijas nebija pārliecinoša.</w:t>
      </w:r>
    </w:p>
    <w:p w:rsidR="005035BE" w:rsidRDefault="007D647F">
      <w:pPr>
        <w:pStyle w:val="Text3"/>
        <w:numPr>
          <w:ilvl w:val="0"/>
          <w:numId w:val="23"/>
        </w:numPr>
        <w:spacing w:after="120"/>
        <w:rPr>
          <w:noProof/>
          <w:szCs w:val="24"/>
        </w:rPr>
      </w:pPr>
      <w:r>
        <w:rPr>
          <w:noProof/>
        </w:rPr>
        <w:t>Lielākā daļa dal</w:t>
      </w:r>
      <w:r>
        <w:rPr>
          <w:noProof/>
        </w:rPr>
        <w:t xml:space="preserve">ībvalstu saskaņā ar 20. panta 6. punktu ir veikušas vajadzīgos pasākumus, lai aizsargātu cietušo bērnu privātumu, identitāti un reputāciju un novērstu jebkādas tādas informācijas izplatīšanu atklātībā, kas ļautu viņus identificēt. </w:t>
      </w:r>
      <w:r>
        <w:rPr>
          <w:b/>
          <w:noProof/>
        </w:rPr>
        <w:t>BE, DE, PL, PT</w:t>
      </w:r>
      <w:r>
        <w:rPr>
          <w:noProof/>
        </w:rPr>
        <w:t xml:space="preserve"> un </w:t>
      </w:r>
      <w:r>
        <w:rPr>
          <w:b/>
          <w:noProof/>
        </w:rPr>
        <w:t>SI</w:t>
      </w:r>
      <w:r>
        <w:rPr>
          <w:noProof/>
        </w:rPr>
        <w:t xml:space="preserve"> snie</w:t>
      </w:r>
      <w:r>
        <w:rPr>
          <w:noProof/>
        </w:rPr>
        <w:t>gtā informācija nebija pārliecinoša.</w:t>
      </w:r>
    </w:p>
    <w:p w:rsidR="005035BE" w:rsidRDefault="007D647F">
      <w:pPr>
        <w:pStyle w:val="Heading2"/>
        <w:tabs>
          <w:tab w:val="clear" w:pos="1200"/>
        </w:tabs>
        <w:spacing w:before="240" w:after="120"/>
        <w:ind w:left="567" w:hanging="567"/>
        <w:rPr>
          <w:noProof/>
          <w:szCs w:val="24"/>
        </w:rPr>
      </w:pPr>
      <w:bookmarkStart w:id="78" w:name="_Toc469041952"/>
      <w:bookmarkStart w:id="79" w:name="_Toc472591186"/>
      <w:r>
        <w:rPr>
          <w:noProof/>
        </w:rPr>
        <w:t>Preventīvi pasākumi (10. pants un 21.–25. pants)</w:t>
      </w:r>
      <w:bookmarkEnd w:id="78"/>
      <w:bookmarkEnd w:id="79"/>
    </w:p>
    <w:p w:rsidR="005035BE" w:rsidRDefault="007D647F">
      <w:pPr>
        <w:pStyle w:val="Heading3"/>
        <w:tabs>
          <w:tab w:val="clear" w:pos="1920"/>
          <w:tab w:val="num" w:pos="851"/>
        </w:tabs>
        <w:spacing w:after="120"/>
        <w:ind w:left="709"/>
        <w:rPr>
          <w:b/>
          <w:noProof/>
          <w:szCs w:val="24"/>
        </w:rPr>
      </w:pPr>
      <w:bookmarkStart w:id="80" w:name="_Toc457816596"/>
      <w:bookmarkStart w:id="81" w:name="_Toc469041953"/>
      <w:bookmarkStart w:id="82" w:name="_Toc472591187"/>
      <w:r>
        <w:rPr>
          <w:b/>
          <w:noProof/>
        </w:rPr>
        <w:t>Aizliegums veikt noteiktas darbības, kas izriet no notiesājošiem spriedumiem</w:t>
      </w:r>
      <w:bookmarkEnd w:id="80"/>
      <w:r>
        <w:rPr>
          <w:b/>
          <w:noProof/>
        </w:rPr>
        <w:t xml:space="preserve"> (10. pants)</w:t>
      </w:r>
      <w:bookmarkEnd w:id="81"/>
      <w:bookmarkEnd w:id="82"/>
    </w:p>
    <w:p w:rsidR="005035BE" w:rsidRDefault="007D647F">
      <w:pPr>
        <w:pStyle w:val="Text3"/>
        <w:spacing w:after="120"/>
        <w:ind w:left="0"/>
        <w:rPr>
          <w:noProof/>
          <w:szCs w:val="24"/>
        </w:rPr>
      </w:pPr>
      <w:r>
        <w:rPr>
          <w:noProof/>
        </w:rPr>
        <w:t xml:space="preserve">10. pants attiecas uz nodarījumu pret bērniem novēršanu, īstenojot aizliegumu </w:t>
      </w:r>
      <w:r>
        <w:rPr>
          <w:noProof/>
        </w:rPr>
        <w:t>veikt noteiktas darbības, kas izriet no notiesājošiem spriedumiem.</w:t>
      </w:r>
    </w:p>
    <w:p w:rsidR="005035BE" w:rsidRDefault="007D647F">
      <w:pPr>
        <w:pStyle w:val="Text3"/>
        <w:numPr>
          <w:ilvl w:val="0"/>
          <w:numId w:val="26"/>
        </w:numPr>
        <w:spacing w:after="120"/>
        <w:rPr>
          <w:noProof/>
          <w:szCs w:val="24"/>
        </w:rPr>
      </w:pPr>
      <w:r>
        <w:rPr>
          <w:noProof/>
        </w:rPr>
        <w:t>Saskaņā ar 10. panta 1. punktu dalībvalstīm ir jāievieš pasākumi, lai nodrošinātu, ka fiziskai personai, kura bijusi notiesāta par seksuāliem nodarījumiem pret bērniem, var uz laiku vai pas</w:t>
      </w:r>
      <w:r>
        <w:rPr>
          <w:noProof/>
        </w:rPr>
        <w:t>tāvīgi liegt veikt vismaz profesionālo darbību, kas ietver tiešu un regulāru saskarsmi ar bērniem. Dažas dalībvalstis (</w:t>
      </w:r>
      <w:r>
        <w:rPr>
          <w:b/>
          <w:noProof/>
        </w:rPr>
        <w:t>BE, BG, EL, ES, LT, PT</w:t>
      </w:r>
      <w:r>
        <w:rPr>
          <w:noProof/>
        </w:rPr>
        <w:t xml:space="preserve"> un </w:t>
      </w:r>
      <w:r>
        <w:rPr>
          <w:b/>
          <w:noProof/>
        </w:rPr>
        <w:t>RO</w:t>
      </w:r>
      <w:r>
        <w:rPr>
          <w:noProof/>
        </w:rPr>
        <w:t xml:space="preserve">) izvēlējās noteikt pagaidu aizliegumu, savukārt </w:t>
      </w:r>
      <w:r>
        <w:rPr>
          <w:b/>
          <w:noProof/>
        </w:rPr>
        <w:t>LU</w:t>
      </w:r>
      <w:r>
        <w:rPr>
          <w:noProof/>
        </w:rPr>
        <w:t xml:space="preserve"> un </w:t>
      </w:r>
      <w:r>
        <w:rPr>
          <w:b/>
          <w:noProof/>
        </w:rPr>
        <w:t>SK</w:t>
      </w:r>
      <w:r>
        <w:rPr>
          <w:noProof/>
        </w:rPr>
        <w:t xml:space="preserve"> izvēlējās pastāvīgu aizliegumu. </w:t>
      </w:r>
      <w:r>
        <w:rPr>
          <w:b/>
          <w:noProof/>
        </w:rPr>
        <w:t>DE, FR, HR, HU, IE,</w:t>
      </w:r>
      <w:r>
        <w:rPr>
          <w:b/>
          <w:noProof/>
        </w:rPr>
        <w:t xml:space="preserve"> MT</w:t>
      </w:r>
      <w:r>
        <w:rPr>
          <w:noProof/>
        </w:rPr>
        <w:t xml:space="preserve"> un </w:t>
      </w:r>
      <w:r>
        <w:rPr>
          <w:b/>
          <w:noProof/>
        </w:rPr>
        <w:t>UK (Anglijā/Velsā, Ziemeļīrijā</w:t>
      </w:r>
      <w:r>
        <w:rPr>
          <w:noProof/>
        </w:rPr>
        <w:t xml:space="preserve"> un </w:t>
      </w:r>
      <w:r>
        <w:rPr>
          <w:b/>
          <w:noProof/>
        </w:rPr>
        <w:t>Skotijā)</w:t>
      </w:r>
      <w:r>
        <w:rPr>
          <w:noProof/>
        </w:rPr>
        <w:t xml:space="preserve"> ir iespējami gan pagaidu, gan pastāvīgi aizliegumi. No otras puses, </w:t>
      </w:r>
      <w:r>
        <w:rPr>
          <w:b/>
          <w:noProof/>
        </w:rPr>
        <w:t>CY, EE, FI, LV</w:t>
      </w:r>
      <w:r>
        <w:rPr>
          <w:noProof/>
        </w:rPr>
        <w:t xml:space="preserve"> un </w:t>
      </w:r>
      <w:r>
        <w:rPr>
          <w:b/>
          <w:noProof/>
        </w:rPr>
        <w:t>NL</w:t>
      </w:r>
      <w:r>
        <w:rPr>
          <w:noProof/>
        </w:rPr>
        <w:t xml:space="preserve"> tiesību aktos nav skaidri norādīts, vai šāds aizliegums ir pastāvīgs vai pagaidu. </w:t>
      </w:r>
      <w:r>
        <w:rPr>
          <w:b/>
          <w:noProof/>
        </w:rPr>
        <w:t>SE</w:t>
      </w:r>
      <w:r>
        <w:rPr>
          <w:noProof/>
        </w:rPr>
        <w:t xml:space="preserve"> šo pantu transponē nevis īpašos </w:t>
      </w:r>
      <w:r>
        <w:rPr>
          <w:noProof/>
        </w:rPr>
        <w:t>aizlieguma noteikumos, bet drīzāk īstenojot sistemātiskas iepriekšējās darbības pārbaudes attiecībā uz darbu, kas ietver saskarsmi ar bērniem.</w:t>
      </w:r>
    </w:p>
    <w:p w:rsidR="005035BE" w:rsidRDefault="007D647F">
      <w:pPr>
        <w:pStyle w:val="Text3"/>
        <w:spacing w:after="120"/>
        <w:ind w:left="360"/>
        <w:rPr>
          <w:noProof/>
          <w:szCs w:val="24"/>
        </w:rPr>
      </w:pPr>
      <w:r>
        <w:rPr>
          <w:b/>
          <w:noProof/>
        </w:rPr>
        <w:t>AT, CZ, IT, PL, SI</w:t>
      </w:r>
      <w:r>
        <w:rPr>
          <w:noProof/>
        </w:rPr>
        <w:t xml:space="preserve"> un </w:t>
      </w:r>
      <w:r>
        <w:rPr>
          <w:b/>
          <w:noProof/>
        </w:rPr>
        <w:t>UK (Gibraltāra)</w:t>
      </w:r>
      <w:r>
        <w:rPr>
          <w:noProof/>
        </w:rPr>
        <w:t xml:space="preserve"> sniegtā informācija nebija pārliecinoša.</w:t>
      </w:r>
    </w:p>
    <w:p w:rsidR="005035BE" w:rsidRDefault="007D647F">
      <w:pPr>
        <w:pStyle w:val="Text3"/>
        <w:numPr>
          <w:ilvl w:val="0"/>
          <w:numId w:val="26"/>
        </w:numPr>
        <w:spacing w:after="120"/>
        <w:rPr>
          <w:noProof/>
          <w:szCs w:val="24"/>
        </w:rPr>
      </w:pPr>
      <w:r>
        <w:rPr>
          <w:noProof/>
        </w:rPr>
        <w:t xml:space="preserve">Saskaņā ar 10. panta 2. punktu </w:t>
      </w:r>
      <w:r>
        <w:rPr>
          <w:noProof/>
        </w:rPr>
        <w:t>dalībvalstīm ir jāizveido pasākumi, lai nodrošinātu, ka darba devējiem gadījumos, kad viņi pieņem darbā personu profesionālai vai organizētai brīvprātīgai darbībai, ir tiesības pieprasīt informāciju par notiesājošiem spriedumiem vai aizliegumiem. Lielākā d</w:t>
      </w:r>
      <w:r>
        <w:rPr>
          <w:noProof/>
        </w:rPr>
        <w:t>aļa dalībvalstu ir transponējušas šo noteikumu. Informāciju var iegūt, piemēram, pieprasot ziņas par personu no sodāmības reģistra (</w:t>
      </w:r>
      <w:r>
        <w:rPr>
          <w:b/>
          <w:noProof/>
        </w:rPr>
        <w:t>BE, ES, FI, HR, HU, IE, IT, LU, MT, NL, PT, RO, SE, SK</w:t>
      </w:r>
      <w:r>
        <w:rPr>
          <w:noProof/>
        </w:rPr>
        <w:t xml:space="preserve"> un </w:t>
      </w:r>
      <w:r>
        <w:rPr>
          <w:b/>
          <w:noProof/>
        </w:rPr>
        <w:t>UK</w:t>
      </w:r>
      <w:r>
        <w:rPr>
          <w:noProof/>
        </w:rPr>
        <w:t>), notiesāto personu reģistra (</w:t>
      </w:r>
      <w:r>
        <w:rPr>
          <w:b/>
          <w:noProof/>
        </w:rPr>
        <w:t>LT</w:t>
      </w:r>
      <w:r>
        <w:rPr>
          <w:noProof/>
        </w:rPr>
        <w:t>), sodu reģistra (</w:t>
      </w:r>
      <w:r>
        <w:rPr>
          <w:b/>
          <w:noProof/>
        </w:rPr>
        <w:t>LV</w:t>
      </w:r>
      <w:r>
        <w:rPr>
          <w:noProof/>
        </w:rPr>
        <w:t>), nesodāmī</w:t>
      </w:r>
      <w:r>
        <w:rPr>
          <w:noProof/>
        </w:rPr>
        <w:t>bas reģistra (</w:t>
      </w:r>
      <w:r>
        <w:rPr>
          <w:b/>
          <w:noProof/>
        </w:rPr>
        <w:t>DE</w:t>
      </w:r>
      <w:r>
        <w:rPr>
          <w:noProof/>
        </w:rPr>
        <w:t>), policijas reģistra (</w:t>
      </w:r>
      <w:r>
        <w:rPr>
          <w:b/>
          <w:noProof/>
        </w:rPr>
        <w:t>CY</w:t>
      </w:r>
      <w:r>
        <w:rPr>
          <w:noProof/>
        </w:rPr>
        <w:t>), reģistra, kurā iekļauta informācija par kriminālsodiem, (</w:t>
      </w:r>
      <w:r>
        <w:rPr>
          <w:b/>
          <w:noProof/>
        </w:rPr>
        <w:t>EE</w:t>
      </w:r>
      <w:r>
        <w:rPr>
          <w:noProof/>
        </w:rPr>
        <w:t>) vai automatizēta valsts saraksta, kurā iekļautas seksuālos vai vardarbīgos nodarījumos vainīgās personas (</w:t>
      </w:r>
      <w:r>
        <w:rPr>
          <w:b/>
          <w:noProof/>
        </w:rPr>
        <w:t>FR</w:t>
      </w:r>
      <w:r>
        <w:rPr>
          <w:noProof/>
        </w:rPr>
        <w:t>).</w:t>
      </w:r>
    </w:p>
    <w:p w:rsidR="005035BE" w:rsidRDefault="007D647F">
      <w:pPr>
        <w:pStyle w:val="Text3"/>
        <w:numPr>
          <w:ilvl w:val="0"/>
          <w:numId w:val="26"/>
        </w:numPr>
        <w:spacing w:after="120"/>
        <w:rPr>
          <w:noProof/>
          <w:szCs w:val="24"/>
        </w:rPr>
      </w:pPr>
      <w:r>
        <w:rPr>
          <w:noProof/>
        </w:rPr>
        <w:t>Attiecībā uz 10. panta 3. punktu lielākā</w:t>
      </w:r>
      <w:r>
        <w:rPr>
          <w:noProof/>
        </w:rPr>
        <w:t xml:space="preserve"> daļa dalībvalstu ir transponējušas prasību pārsūtīt informāciju par notiesājošiem spriedumiem un aizliegumiem saskaņā ar Pamatlēmumā 2009/315/TI noteiktajām procedūrām informācijas, kas iegūta no sodāmības reģistriem, apmaiņai</w:t>
      </w:r>
      <w:r>
        <w:rPr>
          <w:rStyle w:val="FootnoteReference"/>
          <w:noProof/>
        </w:rPr>
        <w:footnoteReference w:id="7"/>
      </w:r>
      <w:r>
        <w:rPr>
          <w:noProof/>
        </w:rPr>
        <w:t>. Tomēr, šķiet, ka dažas dal</w:t>
      </w:r>
      <w:r>
        <w:rPr>
          <w:noProof/>
        </w:rPr>
        <w:t>ībvalstis joprojām nenodrošina informācijas pārsūtīšanu gadījumos, kad citas dalībvalstis to pieprasa attiecībā uz iepriekšējiem notiesājošiem spriedumiem. Dažos gadījumos dalībvalstis nenosaka likumīgu pienākumu pārsūtīt šādu informāciju (</w:t>
      </w:r>
      <w:r>
        <w:rPr>
          <w:b/>
          <w:noProof/>
        </w:rPr>
        <w:t xml:space="preserve">BE, CZ, IE, LV, </w:t>
      </w:r>
      <w:r>
        <w:rPr>
          <w:b/>
          <w:noProof/>
        </w:rPr>
        <w:t>MT</w:t>
      </w:r>
      <w:r>
        <w:rPr>
          <w:noProof/>
        </w:rPr>
        <w:t xml:space="preserve"> un </w:t>
      </w:r>
      <w:r>
        <w:rPr>
          <w:b/>
          <w:noProof/>
        </w:rPr>
        <w:t>SE</w:t>
      </w:r>
      <w:r>
        <w:rPr>
          <w:noProof/>
        </w:rPr>
        <w:t>). Citos gadījumos papildus direktīvas prasībai tās nosaka, ka attiecīgajai personai (A dalībvalsts valstspiederīgajam) ir jādod piekrišana izziņas par sodāmību izsniegšanai valstī, kurā tā plāno strādāt vai veikt brīvprātīgo darbu (B dalībvalsts),</w:t>
      </w:r>
      <w:r>
        <w:rPr>
          <w:noProof/>
        </w:rPr>
        <w:t xml:space="preserve"> īpaši pieprasot papildu piekrišanu no attiecīgās personas, lai A dalībvalsts varētu pārsūtīt informāciju par spriedumiem B dalībvalstij (</w:t>
      </w:r>
      <w:r>
        <w:rPr>
          <w:b/>
          <w:noProof/>
        </w:rPr>
        <w:t>FI, LU</w:t>
      </w:r>
      <w:r>
        <w:rPr>
          <w:noProof/>
        </w:rPr>
        <w:t xml:space="preserve"> un </w:t>
      </w:r>
      <w:r>
        <w:rPr>
          <w:b/>
          <w:noProof/>
        </w:rPr>
        <w:t>UK</w:t>
      </w:r>
      <w:r>
        <w:rPr>
          <w:noProof/>
        </w:rPr>
        <w:t xml:space="preserve"> (</w:t>
      </w:r>
      <w:r>
        <w:rPr>
          <w:b/>
          <w:noProof/>
        </w:rPr>
        <w:t>Anglija/Velsa, Ziemeļīrija</w:t>
      </w:r>
      <w:r>
        <w:rPr>
          <w:noProof/>
        </w:rPr>
        <w:t xml:space="preserve"> un </w:t>
      </w:r>
      <w:r>
        <w:rPr>
          <w:b/>
          <w:noProof/>
        </w:rPr>
        <w:t>Skotija</w:t>
      </w:r>
      <w:r>
        <w:rPr>
          <w:noProof/>
        </w:rPr>
        <w:t>)).</w:t>
      </w:r>
    </w:p>
    <w:p w:rsidR="005035BE" w:rsidRDefault="007D647F">
      <w:pPr>
        <w:pStyle w:val="Heading3"/>
        <w:tabs>
          <w:tab w:val="clear" w:pos="1920"/>
          <w:tab w:val="num" w:pos="851"/>
        </w:tabs>
        <w:spacing w:before="240" w:after="120"/>
        <w:ind w:left="709"/>
        <w:rPr>
          <w:b/>
          <w:noProof/>
          <w:szCs w:val="24"/>
        </w:rPr>
      </w:pPr>
      <w:bookmarkStart w:id="83" w:name="_Toc457816609"/>
      <w:bookmarkStart w:id="84" w:name="_Toc469041954"/>
      <w:bookmarkStart w:id="85" w:name="_Toc472591188"/>
      <w:r>
        <w:rPr>
          <w:b/>
          <w:noProof/>
        </w:rPr>
        <w:t>Pasākumi pret vardarbības iespēju un bērnu seksa tūrisma reklam</w:t>
      </w:r>
      <w:r>
        <w:rPr>
          <w:b/>
          <w:noProof/>
        </w:rPr>
        <w:t>ēšanu</w:t>
      </w:r>
      <w:bookmarkEnd w:id="83"/>
      <w:r>
        <w:rPr>
          <w:b/>
          <w:noProof/>
        </w:rPr>
        <w:t xml:space="preserve"> (21. pants)</w:t>
      </w:r>
      <w:bookmarkEnd w:id="84"/>
      <w:bookmarkEnd w:id="85"/>
    </w:p>
    <w:p w:rsidR="005035BE" w:rsidRDefault="007D647F">
      <w:pPr>
        <w:pStyle w:val="Text3"/>
        <w:spacing w:after="120"/>
        <w:ind w:left="0"/>
        <w:rPr>
          <w:noProof/>
          <w:szCs w:val="24"/>
        </w:rPr>
      </w:pPr>
      <w:r>
        <w:rPr>
          <w:noProof/>
        </w:rPr>
        <w:t>21. pantā ir paredzēta iespēja pieņemt preventīvus/aizlieguma pasākumus pret vardarbības iespēju un bērnu seksa tūrisma reklamēšanu.</w:t>
      </w:r>
    </w:p>
    <w:p w:rsidR="005035BE" w:rsidRDefault="007D647F">
      <w:pPr>
        <w:pStyle w:val="Text3"/>
        <w:numPr>
          <w:ilvl w:val="0"/>
          <w:numId w:val="23"/>
        </w:numPr>
        <w:spacing w:after="120"/>
        <w:rPr>
          <w:noProof/>
          <w:szCs w:val="24"/>
        </w:rPr>
      </w:pPr>
      <w:r>
        <w:rPr>
          <w:noProof/>
        </w:rPr>
        <w:t xml:space="preserve">21. panta a) punkts attiecas uz tādu materiālu izplatīšanas aizliegšanu/prevenciju, kuros tiek reklamēta </w:t>
      </w:r>
      <w:r>
        <w:rPr>
          <w:noProof/>
        </w:rPr>
        <w:t xml:space="preserve">iespēja izdarīt seksuālus nodarījumus pret bērniem. </w:t>
      </w:r>
      <w:r>
        <w:rPr>
          <w:b/>
          <w:noProof/>
        </w:rPr>
        <w:t>AT, BE, CY, EE, EL, IT, LV, MT</w:t>
      </w:r>
      <w:r>
        <w:rPr>
          <w:noProof/>
        </w:rPr>
        <w:t xml:space="preserve"> un </w:t>
      </w:r>
      <w:r>
        <w:rPr>
          <w:b/>
          <w:noProof/>
        </w:rPr>
        <w:t>SK</w:t>
      </w:r>
      <w:r>
        <w:rPr>
          <w:noProof/>
        </w:rPr>
        <w:t xml:space="preserve"> paredz sankcijas par noziedzīgiem nodarījumiem saistībā 21. panta a) punktā norādīto reklamēšanu, savukārt </w:t>
      </w:r>
      <w:r>
        <w:rPr>
          <w:b/>
          <w:noProof/>
        </w:rPr>
        <w:t>DE, FI, FR, LV, PL, PT</w:t>
      </w:r>
      <w:r>
        <w:rPr>
          <w:noProof/>
        </w:rPr>
        <w:t xml:space="preserve"> un </w:t>
      </w:r>
      <w:r>
        <w:rPr>
          <w:b/>
          <w:noProof/>
        </w:rPr>
        <w:t>RO</w:t>
      </w:r>
      <w:r>
        <w:rPr>
          <w:noProof/>
        </w:rPr>
        <w:t xml:space="preserve"> ir transponējušas šo direktīvas</w:t>
      </w:r>
      <w:r>
        <w:rPr>
          <w:noProof/>
        </w:rPr>
        <w:t xml:space="preserve"> noteikumu, nosakot noziedzīgus nodarījumus saistībā ar publisku kūdīšanu.</w:t>
      </w:r>
    </w:p>
    <w:p w:rsidR="005035BE" w:rsidRDefault="007D647F">
      <w:pPr>
        <w:pStyle w:val="Text3"/>
        <w:numPr>
          <w:ilvl w:val="0"/>
          <w:numId w:val="23"/>
        </w:numPr>
        <w:spacing w:after="120"/>
        <w:rPr>
          <w:noProof/>
          <w:szCs w:val="24"/>
        </w:rPr>
      </w:pPr>
      <w:r>
        <w:rPr>
          <w:noProof/>
        </w:rPr>
        <w:t>21. panta b) punkts attiecas uz tādu braucienu organizēšanas aizliegšanu/prevenciju, kas komerciālos vai nekomerciālos nolūkos īstenoti citām personām ar nolūku izdarīt nodarījumus.</w:t>
      </w:r>
      <w:r>
        <w:rPr>
          <w:noProof/>
        </w:rPr>
        <w:t xml:space="preserve"> Lielākā daļa dalībvalstu ir īstenojušas dažādus pasākumus šā noteikuma transponēšanai. Piemēram, </w:t>
      </w:r>
      <w:r>
        <w:rPr>
          <w:b/>
          <w:noProof/>
        </w:rPr>
        <w:t>AT, BG</w:t>
      </w:r>
      <w:r>
        <w:rPr>
          <w:noProof/>
        </w:rPr>
        <w:t xml:space="preserve"> un </w:t>
      </w:r>
      <w:r>
        <w:rPr>
          <w:b/>
          <w:noProof/>
        </w:rPr>
        <w:t>FI</w:t>
      </w:r>
      <w:r>
        <w:rPr>
          <w:noProof/>
        </w:rPr>
        <w:t xml:space="preserve"> kriminālatbildību par šādu rīcību paredz noteikumos, kas piemērojami palīgiem/līdzdalībniekiem, kā arī praktiskos pasākumos, savukārt </w:t>
      </w:r>
      <w:r>
        <w:rPr>
          <w:b/>
          <w:noProof/>
        </w:rPr>
        <w:t>CZ, LT</w:t>
      </w:r>
      <w:r>
        <w:rPr>
          <w:noProof/>
        </w:rPr>
        <w:t xml:space="preserve"> un </w:t>
      </w:r>
      <w:r>
        <w:rPr>
          <w:b/>
          <w:noProof/>
        </w:rPr>
        <w:t>S</w:t>
      </w:r>
      <w:r>
        <w:rPr>
          <w:b/>
          <w:noProof/>
        </w:rPr>
        <w:t>K</w:t>
      </w:r>
      <w:r>
        <w:rPr>
          <w:noProof/>
        </w:rPr>
        <w:t xml:space="preserve"> sodu par šādu rīcību paredz tikai noteikumos, kas piemērojami līdzdalībniekiem, pat tad, ja galvenais noziegums netika pastrādāts. </w:t>
      </w:r>
      <w:r>
        <w:rPr>
          <w:b/>
          <w:noProof/>
        </w:rPr>
        <w:t>CY, EL, IT</w:t>
      </w:r>
      <w:r>
        <w:rPr>
          <w:noProof/>
        </w:rPr>
        <w:t xml:space="preserve"> un </w:t>
      </w:r>
      <w:r>
        <w:rPr>
          <w:b/>
          <w:noProof/>
        </w:rPr>
        <w:t>MT</w:t>
      </w:r>
      <w:r>
        <w:rPr>
          <w:noProof/>
        </w:rPr>
        <w:t xml:space="preserve"> ir pieņēmušas īpašu apsūdzības veidu, ar kuru tiek piemērotas sankcijas braucienu organizēšanai trešajām personām ar nolūku izdarīt nodarījumus pret bērniem.</w:t>
      </w:r>
    </w:p>
    <w:p w:rsidR="005035BE" w:rsidRDefault="007D647F">
      <w:pPr>
        <w:pStyle w:val="Heading3"/>
        <w:tabs>
          <w:tab w:val="clear" w:pos="1920"/>
          <w:tab w:val="num" w:pos="851"/>
        </w:tabs>
        <w:spacing w:before="240" w:after="120"/>
        <w:ind w:left="709"/>
        <w:rPr>
          <w:b/>
          <w:noProof/>
          <w:szCs w:val="24"/>
        </w:rPr>
      </w:pPr>
      <w:bookmarkStart w:id="86" w:name="_Toc457816610"/>
      <w:bookmarkStart w:id="87" w:name="_Toc469041955"/>
      <w:bookmarkStart w:id="88" w:name="_Toc472591189"/>
      <w:r>
        <w:rPr>
          <w:b/>
          <w:noProof/>
        </w:rPr>
        <w:t>Preventīvas intervences programmas vai pasākumi</w:t>
      </w:r>
      <w:bookmarkEnd w:id="86"/>
      <w:r>
        <w:rPr>
          <w:b/>
          <w:noProof/>
        </w:rPr>
        <w:t xml:space="preserve"> (22. pants)</w:t>
      </w:r>
      <w:bookmarkEnd w:id="87"/>
      <w:bookmarkEnd w:id="88"/>
    </w:p>
    <w:p w:rsidR="005035BE" w:rsidRDefault="007D647F">
      <w:pPr>
        <w:spacing w:after="120"/>
        <w:rPr>
          <w:noProof/>
          <w:szCs w:val="24"/>
        </w:rPr>
      </w:pPr>
      <w:r>
        <w:rPr>
          <w:noProof/>
        </w:rPr>
        <w:t xml:space="preserve">Saskaņā ar 22. pantu dalībvalstīm ir </w:t>
      </w:r>
      <w:r>
        <w:rPr>
          <w:noProof/>
        </w:rPr>
        <w:t xml:space="preserve">jānodrošina, ka personām, kuras baidās, ka tās varētu izdarīt nodarījumus, ir pieejamas efektīvas intervences programmas vai pasākumi, kas paredzēti, lai izvērtētu un novērstu šādu nodarījumu izdarīšanas iespējamību. </w:t>
      </w:r>
      <w:r>
        <w:rPr>
          <w:b/>
          <w:noProof/>
        </w:rPr>
        <w:t>AT, BG, DE, FI, NL, SK</w:t>
      </w:r>
      <w:r>
        <w:rPr>
          <w:noProof/>
        </w:rPr>
        <w:t xml:space="preserve"> un </w:t>
      </w:r>
      <w:r>
        <w:rPr>
          <w:b/>
          <w:noProof/>
        </w:rPr>
        <w:t>UK (Anglija/V</w:t>
      </w:r>
      <w:r>
        <w:rPr>
          <w:b/>
          <w:noProof/>
        </w:rPr>
        <w:t>elsa, Ziemeļīrija</w:t>
      </w:r>
      <w:r>
        <w:rPr>
          <w:noProof/>
        </w:rPr>
        <w:t xml:space="preserve"> un </w:t>
      </w:r>
      <w:r>
        <w:rPr>
          <w:b/>
          <w:noProof/>
        </w:rPr>
        <w:t>Skotija</w:t>
      </w:r>
      <w:r>
        <w:rPr>
          <w:noProof/>
        </w:rPr>
        <w:t>) ir ieviesušas šā noteikuma transponēšanai nepieciešamos pasākumus, savukārt citu dalībvalstu sniegtā informācija nebija pārliecinoša.</w:t>
      </w:r>
    </w:p>
    <w:p w:rsidR="005035BE" w:rsidRDefault="007D647F">
      <w:pPr>
        <w:pStyle w:val="Heading3"/>
        <w:tabs>
          <w:tab w:val="clear" w:pos="1920"/>
          <w:tab w:val="num" w:pos="851"/>
        </w:tabs>
        <w:spacing w:before="240" w:after="120"/>
        <w:ind w:left="709"/>
        <w:rPr>
          <w:b/>
          <w:noProof/>
          <w:szCs w:val="24"/>
        </w:rPr>
      </w:pPr>
      <w:bookmarkStart w:id="89" w:name="_Toc457816611"/>
      <w:bookmarkStart w:id="90" w:name="_Toc469041956"/>
      <w:bookmarkStart w:id="91" w:name="_Toc472591190"/>
      <w:r>
        <w:rPr>
          <w:b/>
          <w:noProof/>
        </w:rPr>
        <w:t>Preventīvi pasākumi</w:t>
      </w:r>
      <w:bookmarkEnd w:id="89"/>
      <w:r>
        <w:rPr>
          <w:b/>
          <w:noProof/>
        </w:rPr>
        <w:t xml:space="preserve"> (23. pants)</w:t>
      </w:r>
      <w:bookmarkEnd w:id="90"/>
      <w:bookmarkEnd w:id="91"/>
    </w:p>
    <w:p w:rsidR="005035BE" w:rsidRDefault="007D647F">
      <w:pPr>
        <w:pStyle w:val="Text3"/>
        <w:spacing w:after="120"/>
        <w:ind w:left="0"/>
        <w:rPr>
          <w:noProof/>
          <w:szCs w:val="24"/>
        </w:rPr>
      </w:pPr>
      <w:r>
        <w:rPr>
          <w:noProof/>
        </w:rPr>
        <w:t>Saskaņā ar 23. pantu dalībvalstīm ir jāveic atbilstīgi pasāk</w:t>
      </w:r>
      <w:r>
        <w:rPr>
          <w:noProof/>
        </w:rPr>
        <w:t>umi, lai novērstu seksuālu vardarbību pret bērniem un bērnu seksuālu izmantošanu.</w:t>
      </w:r>
    </w:p>
    <w:p w:rsidR="005035BE" w:rsidRDefault="007D647F">
      <w:pPr>
        <w:pStyle w:val="Text3"/>
        <w:numPr>
          <w:ilvl w:val="0"/>
          <w:numId w:val="23"/>
        </w:numPr>
        <w:spacing w:after="120"/>
        <w:rPr>
          <w:noProof/>
          <w:szCs w:val="24"/>
        </w:rPr>
      </w:pPr>
      <w:r>
        <w:rPr>
          <w:noProof/>
        </w:rPr>
        <w:t xml:space="preserve">23. panta 1. punkts attiecas uz izglītības un apmācības pasākumiem. </w:t>
      </w:r>
      <w:r>
        <w:rPr>
          <w:b/>
          <w:noProof/>
        </w:rPr>
        <w:t>CY, EL, ES</w:t>
      </w:r>
      <w:r>
        <w:rPr>
          <w:noProof/>
        </w:rPr>
        <w:t xml:space="preserve"> un </w:t>
      </w:r>
      <w:r>
        <w:rPr>
          <w:b/>
          <w:noProof/>
        </w:rPr>
        <w:t>LT</w:t>
      </w:r>
      <w:r>
        <w:rPr>
          <w:noProof/>
        </w:rPr>
        <w:t xml:space="preserve"> transponēja šo pantu īpašos tiesību aktu noteikumos, savukārt </w:t>
      </w:r>
      <w:r>
        <w:rPr>
          <w:b/>
          <w:noProof/>
        </w:rPr>
        <w:t>BG, CZ</w:t>
      </w:r>
      <w:r>
        <w:rPr>
          <w:noProof/>
        </w:rPr>
        <w:t xml:space="preserve"> un </w:t>
      </w:r>
      <w:r>
        <w:rPr>
          <w:b/>
          <w:noProof/>
        </w:rPr>
        <w:t>PT</w:t>
      </w:r>
      <w:r>
        <w:rPr>
          <w:noProof/>
        </w:rPr>
        <w:t xml:space="preserve"> izmantoja citu</w:t>
      </w:r>
      <w:r>
        <w:rPr>
          <w:noProof/>
        </w:rPr>
        <w:t xml:space="preserve">s pasākumus, piemēram, valsts rīcības plānus/stratēģijas. </w:t>
      </w:r>
      <w:r>
        <w:rPr>
          <w:b/>
          <w:noProof/>
        </w:rPr>
        <w:t>NL, PL, RO, SE</w:t>
      </w:r>
      <w:r>
        <w:rPr>
          <w:noProof/>
        </w:rPr>
        <w:t xml:space="preserve">, un </w:t>
      </w:r>
      <w:r>
        <w:rPr>
          <w:b/>
          <w:noProof/>
        </w:rPr>
        <w:t>UK (Anglija/Velsa, Ziemeļīrija</w:t>
      </w:r>
      <w:r>
        <w:rPr>
          <w:noProof/>
        </w:rPr>
        <w:t xml:space="preserve"> un </w:t>
      </w:r>
      <w:r>
        <w:rPr>
          <w:b/>
          <w:noProof/>
        </w:rPr>
        <w:t>Skotija</w:t>
      </w:r>
      <w:r>
        <w:rPr>
          <w:noProof/>
        </w:rPr>
        <w:t>) izmantoja vispārējus leģislatīvus pasākumus, kā arī kampaņas un projektus.</w:t>
      </w:r>
    </w:p>
    <w:p w:rsidR="005035BE" w:rsidRDefault="007D647F">
      <w:pPr>
        <w:pStyle w:val="Text3"/>
        <w:numPr>
          <w:ilvl w:val="0"/>
          <w:numId w:val="23"/>
        </w:numPr>
        <w:spacing w:after="120"/>
        <w:rPr>
          <w:noProof/>
          <w:szCs w:val="24"/>
        </w:rPr>
      </w:pPr>
      <w:r>
        <w:rPr>
          <w:noProof/>
        </w:rPr>
        <w:t>23. panta 2. punkts attiecas uz informēšanas un izpratnes vei</w:t>
      </w:r>
      <w:r>
        <w:rPr>
          <w:noProof/>
        </w:rPr>
        <w:t>došanas kampaņām, iespējams, sadarbībā ar pilsoniskās sabiedrības organizācijām. Visas dalībvalstis transponēja šo noteikumu, piemēram, īstenojot izglītības programmas (</w:t>
      </w:r>
      <w:r>
        <w:rPr>
          <w:b/>
          <w:noProof/>
        </w:rPr>
        <w:t>AT, BE, CY, FR, LU, LV, MT, PT, SK</w:t>
      </w:r>
      <w:r>
        <w:rPr>
          <w:noProof/>
        </w:rPr>
        <w:t xml:space="preserve"> un </w:t>
      </w:r>
      <w:r>
        <w:rPr>
          <w:b/>
          <w:noProof/>
        </w:rPr>
        <w:t>UK (Anglija/Velsa</w:t>
      </w:r>
      <w:r>
        <w:rPr>
          <w:noProof/>
        </w:rPr>
        <w:t xml:space="preserve"> un </w:t>
      </w:r>
      <w:r>
        <w:rPr>
          <w:b/>
          <w:noProof/>
        </w:rPr>
        <w:t>Ziemeļīrija)</w:t>
      </w:r>
      <w:r>
        <w:rPr>
          <w:noProof/>
        </w:rPr>
        <w:t>).</w:t>
      </w:r>
    </w:p>
    <w:p w:rsidR="005035BE" w:rsidRDefault="007D647F">
      <w:pPr>
        <w:pStyle w:val="Text3"/>
        <w:numPr>
          <w:ilvl w:val="0"/>
          <w:numId w:val="23"/>
        </w:numPr>
        <w:spacing w:after="120"/>
        <w:rPr>
          <w:noProof/>
          <w:szCs w:val="24"/>
        </w:rPr>
      </w:pPr>
      <w:r>
        <w:rPr>
          <w:noProof/>
        </w:rPr>
        <w:t>23. panta 3. </w:t>
      </w:r>
      <w:r>
        <w:rPr>
          <w:noProof/>
        </w:rPr>
        <w:t xml:space="preserve">punkts attiecas uz regulāru apmācību amatpersonām, kurām varētu būt saskarsme ar cietušajiem bērniem. Lielākā daļa dalībvalstu ir īstenojušas pasākumus šā noteikuma transponēšanai. </w:t>
      </w:r>
      <w:r>
        <w:rPr>
          <w:b/>
          <w:noProof/>
        </w:rPr>
        <w:t>EL, HU, IE, IT</w:t>
      </w:r>
      <w:r>
        <w:rPr>
          <w:noProof/>
        </w:rPr>
        <w:t xml:space="preserve"> un </w:t>
      </w:r>
      <w:r>
        <w:rPr>
          <w:b/>
          <w:noProof/>
        </w:rPr>
        <w:t>UK (Skotijas)</w:t>
      </w:r>
      <w:r>
        <w:rPr>
          <w:noProof/>
        </w:rPr>
        <w:t xml:space="preserve"> sniegtā informācija nebija pārliecinoša.</w:t>
      </w:r>
    </w:p>
    <w:p w:rsidR="005035BE" w:rsidRDefault="007D647F">
      <w:pPr>
        <w:pStyle w:val="Heading3"/>
        <w:tabs>
          <w:tab w:val="clear" w:pos="1920"/>
          <w:tab w:val="num" w:pos="851"/>
        </w:tabs>
        <w:spacing w:before="240" w:after="120"/>
        <w:ind w:left="709"/>
        <w:rPr>
          <w:b/>
          <w:noProof/>
          <w:szCs w:val="24"/>
        </w:rPr>
      </w:pPr>
      <w:bookmarkStart w:id="92" w:name="_Toc457816612"/>
      <w:bookmarkStart w:id="93" w:name="_Toc469041957"/>
      <w:bookmarkStart w:id="94" w:name="_Toc472591191"/>
      <w:r>
        <w:rPr>
          <w:b/>
          <w:noProof/>
        </w:rPr>
        <w:t>Br</w:t>
      </w:r>
      <w:r>
        <w:rPr>
          <w:b/>
          <w:noProof/>
        </w:rPr>
        <w:t>īvprātīgas intervences programmas vai pasākumi kriminālprocesa gaitā vai pēc tā</w:t>
      </w:r>
      <w:bookmarkEnd w:id="92"/>
      <w:r>
        <w:rPr>
          <w:b/>
          <w:noProof/>
        </w:rPr>
        <w:t xml:space="preserve"> (24. pants)</w:t>
      </w:r>
      <w:bookmarkEnd w:id="93"/>
      <w:bookmarkEnd w:id="94"/>
    </w:p>
    <w:p w:rsidR="005035BE" w:rsidRDefault="007D647F">
      <w:pPr>
        <w:spacing w:after="120"/>
        <w:rPr>
          <w:noProof/>
          <w:szCs w:val="24"/>
        </w:rPr>
      </w:pPr>
      <w:r>
        <w:rPr>
          <w:noProof/>
        </w:rPr>
        <w:t>24. pants reglamentē noteikumus attiecībā uz intervences programmām vai pasākumiem kriminālprocesa gaitā vai pēc tā.</w:t>
      </w:r>
    </w:p>
    <w:p w:rsidR="005035BE" w:rsidRDefault="007D647F">
      <w:pPr>
        <w:pStyle w:val="Text3"/>
        <w:numPr>
          <w:ilvl w:val="0"/>
          <w:numId w:val="27"/>
        </w:numPr>
        <w:spacing w:after="120"/>
        <w:rPr>
          <w:noProof/>
          <w:szCs w:val="24"/>
        </w:rPr>
      </w:pPr>
      <w:r>
        <w:rPr>
          <w:noProof/>
        </w:rPr>
        <w:t xml:space="preserve">Saskaņā ar 24. panta 1. punktu dalībvalstīm ir </w:t>
      </w:r>
      <w:r>
        <w:rPr>
          <w:noProof/>
        </w:rPr>
        <w:t>jānodrošina, ka jebkurā kriminālprocesa posmā gan ieslodzījuma vietā, gan ārpus tās ir pieejamas efektīvas intervences programmas vai pasākumi ar mērķi novērst un mazināt atkārtotu nodarījumu risku. Vairākas dalībvalstis ir īstenojušas pasākumus šā noteiku</w:t>
      </w:r>
      <w:r>
        <w:rPr>
          <w:noProof/>
        </w:rPr>
        <w:t xml:space="preserve">ma transponēšanai, savukārt </w:t>
      </w:r>
      <w:r>
        <w:rPr>
          <w:b/>
          <w:noProof/>
        </w:rPr>
        <w:t>AT, CY, CZ, DE, ES, FI, FR, HU, IE, IT, LU, LV, PL, PT, RO, SE, SI, SK</w:t>
      </w:r>
      <w:r>
        <w:rPr>
          <w:noProof/>
        </w:rPr>
        <w:t xml:space="preserve"> un </w:t>
      </w:r>
      <w:r>
        <w:rPr>
          <w:b/>
          <w:noProof/>
        </w:rPr>
        <w:t>UK (Ziemeļīrijas, Skotijas</w:t>
      </w:r>
      <w:r>
        <w:rPr>
          <w:noProof/>
        </w:rPr>
        <w:t xml:space="preserve"> un </w:t>
      </w:r>
      <w:r>
        <w:rPr>
          <w:b/>
          <w:noProof/>
        </w:rPr>
        <w:t>Gibraltāra)</w:t>
      </w:r>
      <w:r>
        <w:rPr>
          <w:noProof/>
        </w:rPr>
        <w:t xml:space="preserve"> sniegtā informācija nebija pārliecinoša.</w:t>
      </w:r>
    </w:p>
    <w:p w:rsidR="005035BE" w:rsidRDefault="007D647F">
      <w:pPr>
        <w:pStyle w:val="Text3"/>
        <w:numPr>
          <w:ilvl w:val="0"/>
          <w:numId w:val="27"/>
        </w:numPr>
        <w:spacing w:after="120"/>
        <w:rPr>
          <w:noProof/>
          <w:szCs w:val="24"/>
        </w:rPr>
      </w:pPr>
      <w:r>
        <w:rPr>
          <w:noProof/>
        </w:rPr>
        <w:t>24. panta 2. punktā ir noteikts, ka intervences programmām vai pasākumi</w:t>
      </w:r>
      <w:r>
        <w:rPr>
          <w:noProof/>
        </w:rPr>
        <w:t>em ir jāatbilst tādu bērnu īpašām attīstības vajadzībām, kuri izdara seksuāla rakstura nodarījumus. Dalībvalstis ir transponējušas šo noteikumu dažādos veidos, piemēram, tiesību aktos (</w:t>
      </w:r>
      <w:r>
        <w:rPr>
          <w:b/>
          <w:noProof/>
        </w:rPr>
        <w:t>BG, HR</w:t>
      </w:r>
      <w:r>
        <w:rPr>
          <w:noProof/>
        </w:rPr>
        <w:t xml:space="preserve"> un </w:t>
      </w:r>
      <w:r>
        <w:rPr>
          <w:b/>
          <w:noProof/>
        </w:rPr>
        <w:t>RO</w:t>
      </w:r>
      <w:r>
        <w:rPr>
          <w:noProof/>
        </w:rPr>
        <w:t>), apvienojot tiesību aktus un citus pasākumus (</w:t>
      </w:r>
      <w:r>
        <w:rPr>
          <w:b/>
          <w:noProof/>
        </w:rPr>
        <w:t>HU, LT</w:t>
      </w:r>
      <w:r>
        <w:rPr>
          <w:noProof/>
        </w:rPr>
        <w:t xml:space="preserve"> un </w:t>
      </w:r>
      <w:r>
        <w:rPr>
          <w:b/>
          <w:noProof/>
        </w:rPr>
        <w:t>M</w:t>
      </w:r>
      <w:r>
        <w:rPr>
          <w:b/>
          <w:noProof/>
        </w:rPr>
        <w:t>T</w:t>
      </w:r>
      <w:r>
        <w:rPr>
          <w:noProof/>
        </w:rPr>
        <w:t>), vai citos pasākumos (</w:t>
      </w:r>
      <w:r>
        <w:rPr>
          <w:b/>
          <w:noProof/>
        </w:rPr>
        <w:t>FI, NL</w:t>
      </w:r>
      <w:r>
        <w:rPr>
          <w:noProof/>
        </w:rPr>
        <w:t xml:space="preserve"> un </w:t>
      </w:r>
      <w:r>
        <w:rPr>
          <w:b/>
          <w:noProof/>
        </w:rPr>
        <w:t>UK (Anglija/Velsa, Ziemeļīrija</w:t>
      </w:r>
      <w:r>
        <w:rPr>
          <w:noProof/>
        </w:rPr>
        <w:t xml:space="preserve"> un </w:t>
      </w:r>
      <w:r>
        <w:rPr>
          <w:b/>
          <w:noProof/>
        </w:rPr>
        <w:t>Skotija)</w:t>
      </w:r>
      <w:r>
        <w:rPr>
          <w:noProof/>
        </w:rPr>
        <w:t>).</w:t>
      </w:r>
    </w:p>
    <w:p w:rsidR="005035BE" w:rsidRDefault="007D647F">
      <w:pPr>
        <w:pStyle w:val="Text3"/>
        <w:numPr>
          <w:ilvl w:val="0"/>
          <w:numId w:val="27"/>
        </w:numPr>
        <w:spacing w:after="120"/>
        <w:rPr>
          <w:noProof/>
          <w:szCs w:val="24"/>
        </w:rPr>
      </w:pPr>
      <w:r>
        <w:rPr>
          <w:noProof/>
        </w:rPr>
        <w:t>24. panta 3. punktā ir noteikts, ka intervences programmām vai pasākumiem ir jābūt pieejamām(-iem) personām, pret kurām uzsākts kriminālprocess (24. panta 3. punkta a) apakšpun</w:t>
      </w:r>
      <w:r>
        <w:rPr>
          <w:noProof/>
        </w:rPr>
        <w:t xml:space="preserve">kts), un personām, kas ir notiesātas (24. panta 3. punkta b) apakšpunkts). </w:t>
      </w:r>
      <w:r>
        <w:rPr>
          <w:b/>
          <w:noProof/>
        </w:rPr>
        <w:t>CY, EL, MT, NL, RO</w:t>
      </w:r>
      <w:r>
        <w:rPr>
          <w:noProof/>
        </w:rPr>
        <w:t xml:space="preserve"> un </w:t>
      </w:r>
      <w:r>
        <w:rPr>
          <w:b/>
          <w:noProof/>
        </w:rPr>
        <w:t>UK</w:t>
      </w:r>
      <w:r>
        <w:rPr>
          <w:noProof/>
        </w:rPr>
        <w:t xml:space="preserve"> ir īstenojušas 24. panta 3. punkta a) apakšpunkta transponēšanas pasākumus un </w:t>
      </w:r>
      <w:r>
        <w:rPr>
          <w:b/>
          <w:noProof/>
        </w:rPr>
        <w:t>BG, CY, DE, EL, ES, FI, HR, IT, LT, MT, NL, RO</w:t>
      </w:r>
      <w:r>
        <w:rPr>
          <w:noProof/>
        </w:rPr>
        <w:t xml:space="preserve"> un </w:t>
      </w:r>
      <w:r>
        <w:rPr>
          <w:b/>
          <w:noProof/>
        </w:rPr>
        <w:t>UK</w:t>
      </w:r>
      <w:r>
        <w:rPr>
          <w:noProof/>
        </w:rPr>
        <w:t> — 24. panta 3. punkta b) </w:t>
      </w:r>
      <w:r>
        <w:rPr>
          <w:noProof/>
        </w:rPr>
        <w:t>apakšpunkta transponēšanas pasākumus. Pārējo dalībvalstu sniegtā informācija nebija pārliecinoša.</w:t>
      </w:r>
    </w:p>
    <w:p w:rsidR="005035BE" w:rsidRDefault="007D647F">
      <w:pPr>
        <w:pStyle w:val="Text3"/>
        <w:numPr>
          <w:ilvl w:val="0"/>
          <w:numId w:val="27"/>
        </w:numPr>
        <w:spacing w:after="120"/>
        <w:rPr>
          <w:noProof/>
          <w:szCs w:val="24"/>
        </w:rPr>
      </w:pPr>
      <w:r>
        <w:rPr>
          <w:noProof/>
        </w:rPr>
        <w:t>Saskaņā ar 24. panta 4. punktu dalībvalstīm ir jānodrošina, ka tiek izvērtēta personu, kurām ir pieejamas intervences programmas vai pasākumi, bīstamība un re</w:t>
      </w:r>
      <w:r>
        <w:rPr>
          <w:noProof/>
        </w:rPr>
        <w:t xml:space="preserve">cidīvisma risks, ar mērķi noteikt piemērotas intervences programmas vai pasākumus. </w:t>
      </w:r>
      <w:r>
        <w:rPr>
          <w:b/>
          <w:noProof/>
        </w:rPr>
        <w:t>AT, EL, HR, LT, MT, RO</w:t>
      </w:r>
      <w:r>
        <w:rPr>
          <w:noProof/>
        </w:rPr>
        <w:t xml:space="preserve"> un </w:t>
      </w:r>
      <w:r>
        <w:rPr>
          <w:b/>
          <w:noProof/>
        </w:rPr>
        <w:t>SE</w:t>
      </w:r>
      <w:r>
        <w:rPr>
          <w:noProof/>
        </w:rPr>
        <w:t xml:space="preserve"> ir īstenojušas pasākumus šā noteikuma transponēšanai, savukārt pārējo dalībvalstu sniegtā informācija nebija pārliecinoša.</w:t>
      </w:r>
    </w:p>
    <w:p w:rsidR="005035BE" w:rsidRDefault="007D647F">
      <w:pPr>
        <w:pStyle w:val="Text3"/>
        <w:numPr>
          <w:ilvl w:val="0"/>
          <w:numId w:val="27"/>
        </w:numPr>
        <w:spacing w:after="120"/>
        <w:rPr>
          <w:noProof/>
          <w:szCs w:val="24"/>
        </w:rPr>
      </w:pPr>
      <w:r>
        <w:rPr>
          <w:noProof/>
        </w:rPr>
        <w:t>Saskaņā ar 24. panta 5. punktu dalībvalstīm ir jānodrošina, ka personas, kurām ir pieejamas intervences programmas vai pasākumi, ir pilnīgi informētas par piedāvājuma iemesliem (24. panta 5. punkta a) apakšpunkts), piekrīt piedalīties, pilnībā zinot faktus</w:t>
      </w:r>
      <w:r>
        <w:rPr>
          <w:noProof/>
        </w:rPr>
        <w:t xml:space="preserve"> (24. panta 5. punkta b) apakšpunkts), un var atteikties piedalīties, un — notiesātās personas gadījumā — tiek informētas par iespējamām sekām (24. panta 5. punkta c) apakšpunkts). </w:t>
      </w:r>
      <w:r>
        <w:rPr>
          <w:b/>
          <w:noProof/>
        </w:rPr>
        <w:t>AT, BG, CY, EE, FI, LT, MT</w:t>
      </w:r>
      <w:r>
        <w:rPr>
          <w:noProof/>
        </w:rPr>
        <w:t xml:space="preserve"> un </w:t>
      </w:r>
      <w:r>
        <w:rPr>
          <w:b/>
          <w:noProof/>
        </w:rPr>
        <w:t>UK (Gibraltārs)</w:t>
      </w:r>
      <w:r>
        <w:rPr>
          <w:noProof/>
        </w:rPr>
        <w:t xml:space="preserve"> ir īstenojušas 24. panta 5. p</w:t>
      </w:r>
      <w:r>
        <w:rPr>
          <w:noProof/>
        </w:rPr>
        <w:t xml:space="preserve">unkta a) un b) apakšpunkta transponēšanas pasākumus un </w:t>
      </w:r>
      <w:r>
        <w:rPr>
          <w:b/>
          <w:noProof/>
        </w:rPr>
        <w:t>CY, EE, FI, FR, LT, MT</w:t>
      </w:r>
      <w:r>
        <w:rPr>
          <w:noProof/>
        </w:rPr>
        <w:t xml:space="preserve"> un </w:t>
      </w:r>
      <w:r>
        <w:rPr>
          <w:b/>
          <w:noProof/>
        </w:rPr>
        <w:t>UK (Gibraltārs)</w:t>
      </w:r>
      <w:r>
        <w:rPr>
          <w:noProof/>
        </w:rPr>
        <w:t> — 24. panta 5. punkta c) apakšpunkta transponēšanas pasākumus. Citu dalībvalstu sniegtā informācija nebija pārliecinoša.</w:t>
      </w:r>
    </w:p>
    <w:p w:rsidR="005035BE" w:rsidRDefault="007D647F">
      <w:pPr>
        <w:pStyle w:val="Heading3"/>
        <w:tabs>
          <w:tab w:val="clear" w:pos="1920"/>
          <w:tab w:val="num" w:pos="851"/>
        </w:tabs>
        <w:spacing w:before="240" w:after="120"/>
        <w:ind w:left="709"/>
        <w:rPr>
          <w:b/>
          <w:noProof/>
          <w:szCs w:val="24"/>
        </w:rPr>
      </w:pPr>
      <w:bookmarkStart w:id="95" w:name="_Toc457816613"/>
      <w:bookmarkStart w:id="96" w:name="_Toc469041958"/>
      <w:bookmarkStart w:id="97" w:name="_Toc472591192"/>
      <w:r>
        <w:rPr>
          <w:b/>
          <w:noProof/>
        </w:rPr>
        <w:t>Pasākumi pret tīmekļa vietnēm, kurās i</w:t>
      </w:r>
      <w:r>
        <w:rPr>
          <w:b/>
          <w:noProof/>
        </w:rPr>
        <w:t>r bērnu pornogrāfija vai caur kurām to izplata</w:t>
      </w:r>
      <w:bookmarkEnd w:id="95"/>
      <w:r>
        <w:rPr>
          <w:b/>
          <w:noProof/>
        </w:rPr>
        <w:t xml:space="preserve"> (25. pants)</w:t>
      </w:r>
      <w:bookmarkEnd w:id="96"/>
      <w:bookmarkEnd w:id="97"/>
    </w:p>
    <w:p w:rsidR="005035BE" w:rsidRDefault="007D647F">
      <w:pPr>
        <w:pStyle w:val="Text3"/>
        <w:spacing w:after="120"/>
        <w:ind w:left="0"/>
        <w:rPr>
          <w:noProof/>
          <w:szCs w:val="24"/>
        </w:rPr>
      </w:pPr>
      <w:r>
        <w:rPr>
          <w:noProof/>
        </w:rPr>
        <w:t>Lūdzam skatīt atsevišķu, īpašu ziņojumu par šā panta transponēšanu</w:t>
      </w:r>
      <w:r>
        <w:rPr>
          <w:rStyle w:val="FootnoteReference"/>
          <w:noProof/>
        </w:rPr>
        <w:footnoteReference w:id="8"/>
      </w:r>
      <w:r>
        <w:rPr>
          <w:noProof/>
        </w:rPr>
        <w:t>.</w:t>
      </w:r>
    </w:p>
    <w:p w:rsidR="005035BE" w:rsidRDefault="005035BE">
      <w:pPr>
        <w:pStyle w:val="Heading1"/>
        <w:spacing w:after="120"/>
        <w:rPr>
          <w:noProof/>
          <w:szCs w:val="24"/>
        </w:rPr>
        <w:sectPr w:rsidR="005035BE">
          <w:headerReference w:type="even" r:id="rId22"/>
          <w:headerReference w:type="default" r:id="rId23"/>
          <w:footerReference w:type="even" r:id="rId24"/>
          <w:footerReference w:type="default" r:id="rId25"/>
          <w:headerReference w:type="first" r:id="rId26"/>
          <w:footerReference w:type="first" r:id="rId27"/>
          <w:pgSz w:w="11906" w:h="16838"/>
          <w:pgMar w:top="1020" w:right="1701" w:bottom="1020" w:left="1587" w:header="601" w:footer="1077" w:gutter="0"/>
          <w:cols w:space="720"/>
          <w:titlePg/>
          <w:docGrid w:linePitch="326"/>
        </w:sectPr>
      </w:pPr>
      <w:bookmarkStart w:id="98" w:name="_Toc450906561"/>
      <w:bookmarkStart w:id="99" w:name="_Toc450906690"/>
      <w:bookmarkStart w:id="100" w:name="_Toc450907152"/>
      <w:bookmarkStart w:id="101" w:name="_Toc469041959"/>
      <w:bookmarkEnd w:id="18"/>
      <w:bookmarkEnd w:id="19"/>
      <w:bookmarkEnd w:id="20"/>
    </w:p>
    <w:p w:rsidR="005035BE" w:rsidRDefault="007D647F">
      <w:pPr>
        <w:pStyle w:val="Heading1"/>
        <w:rPr>
          <w:noProof/>
          <w:szCs w:val="24"/>
        </w:rPr>
      </w:pPr>
      <w:bookmarkStart w:id="102" w:name="_Toc472591193"/>
      <w:r>
        <w:rPr>
          <w:noProof/>
        </w:rPr>
        <w:t>SECINĀJUMI UN TURPMĀKĀ RĪCĪBA</w:t>
      </w:r>
      <w:bookmarkEnd w:id="98"/>
      <w:bookmarkEnd w:id="99"/>
      <w:bookmarkEnd w:id="100"/>
      <w:bookmarkEnd w:id="101"/>
      <w:bookmarkEnd w:id="102"/>
    </w:p>
    <w:p w:rsidR="005035BE" w:rsidRDefault="007D647F">
      <w:pPr>
        <w:pStyle w:val="Text2"/>
        <w:ind w:left="0"/>
        <w:rPr>
          <w:noProof/>
          <w:szCs w:val="24"/>
        </w:rPr>
      </w:pPr>
      <w:bookmarkStart w:id="103" w:name="_Toc450907156"/>
      <w:r>
        <w:rPr>
          <w:noProof/>
        </w:rPr>
        <w:t xml:space="preserve">Šī direktīva ir visaptverošs </w:t>
      </w:r>
      <w:r>
        <w:rPr>
          <w:noProof/>
        </w:rPr>
        <w:t>tiesiskais regulējums, kura rezultātā dalībvalstīs ir panākts būtisks progress, veicot grozījumus kriminālkodeksos, kriminālprocedūrās un nozares tiesību aktos, vienkāršojot procedūras, izveidojot vai uzlabojot sadarbības shēmas un uzlabojot valstu dalībni</w:t>
      </w:r>
      <w:r>
        <w:rPr>
          <w:noProof/>
        </w:rPr>
        <w:t>eku koordināciju. Komisija atzinīgi vērtē dalībvalstu vērā ņemamos centienus direktīvas transponēšanā.</w:t>
      </w:r>
    </w:p>
    <w:p w:rsidR="005035BE" w:rsidRDefault="007D647F">
      <w:pPr>
        <w:pStyle w:val="Text2"/>
        <w:spacing w:after="0"/>
        <w:ind w:left="0"/>
        <w:rPr>
          <w:noProof/>
          <w:szCs w:val="24"/>
        </w:rPr>
      </w:pPr>
      <w:r>
        <w:rPr>
          <w:noProof/>
        </w:rPr>
        <w:t>Tomēr joprojām ir veicams ievērojams darbs, lai direktīva pilnā mērā izmantotu savu potenciālu, dalībvalstīm pilnībā īstenojot visus tās noteikumus.</w:t>
      </w:r>
    </w:p>
    <w:p w:rsidR="005035BE" w:rsidRDefault="007D647F">
      <w:pPr>
        <w:pStyle w:val="Text2"/>
        <w:spacing w:after="0"/>
        <w:ind w:left="0"/>
        <w:rPr>
          <w:noProof/>
          <w:szCs w:val="24"/>
        </w:rPr>
      </w:pPr>
      <w:r>
        <w:rPr>
          <w:noProof/>
        </w:rPr>
        <w:t>Līdz</w:t>
      </w:r>
      <w:r>
        <w:rPr>
          <w:noProof/>
        </w:rPr>
        <w:t xml:space="preserve"> šim veiktā analīze liecina, ka dažas no dalībvalstu galvenajām problēmām varētu būt saistītas ar preventīvajām un intervences programmām nodarījumu izdarītājiem (22., 23. un 24. pants), materiālajām krimināltiesībām (3., 4. un 5. pants) un palīdzības, atb</w:t>
      </w:r>
      <w:r>
        <w:rPr>
          <w:noProof/>
        </w:rPr>
        <w:t>alsta un aizsardzības pasākumiem cietušajiem bērniem (18., 19. un 20. pants).</w:t>
      </w:r>
    </w:p>
    <w:p w:rsidR="005035BE" w:rsidRDefault="007D647F">
      <w:pPr>
        <w:pStyle w:val="Text2"/>
        <w:spacing w:after="0"/>
        <w:ind w:left="0"/>
        <w:rPr>
          <w:noProof/>
          <w:szCs w:val="24"/>
        </w:rPr>
      </w:pPr>
      <w:r>
        <w:rPr>
          <w:noProof/>
        </w:rPr>
        <w:t xml:space="preserve">Šķiet, ka mazāk problēmu sagādā noteikumi, kas saistīti ar kūdīšanu, palīdzēšanu, atbalstīšanu un mēģinājumu (7. pants), seksuālām darbībām ar savstarpēju piekrišanu (8. pants), </w:t>
      </w:r>
      <w:r>
        <w:rPr>
          <w:noProof/>
        </w:rPr>
        <w:t>mantas arestu un konfiskāciju (11. pants) un juridisko personu atbildību un sankcijām pret tām (12. un 13. pants).</w:t>
      </w:r>
    </w:p>
    <w:p w:rsidR="005035BE" w:rsidRDefault="007D647F">
      <w:pPr>
        <w:pStyle w:val="Text2"/>
        <w:spacing w:before="240" w:after="0"/>
        <w:ind w:left="0"/>
        <w:rPr>
          <w:noProof/>
          <w:szCs w:val="24"/>
        </w:rPr>
      </w:pPr>
      <w:r>
        <w:rPr>
          <w:noProof/>
        </w:rPr>
        <w:t xml:space="preserve">Ņemot vērā direktīvas visaptverošo raksturu, Komisija galveno uzmanību vērsīs uz to, lai nodrošinātu, ka visā ES tiek pabeigta transponēšana </w:t>
      </w:r>
      <w:r>
        <w:rPr>
          <w:noProof/>
        </w:rPr>
        <w:t xml:space="preserve">un ka noteikumi tiek īstenoti pareizi. Tādēļ Komisija pagaidām nav plānojusi ierosināt grozījumus direktīvā vai kādus papildinošus tiesību aktus. Tā vietā Komisija koncentrēs savu darbu uz to, lai nodrošinātu, ka bērni pilnā mērā gūst labumu no direktīvas </w:t>
      </w:r>
      <w:r>
        <w:rPr>
          <w:noProof/>
        </w:rPr>
        <w:t>pievienotās vērtības, dalībvalstīm to pilnībā transponējot un īstenojot.</w:t>
      </w:r>
    </w:p>
    <w:p w:rsidR="005035BE" w:rsidRDefault="007D647F">
      <w:pPr>
        <w:pStyle w:val="Text2"/>
        <w:spacing w:after="0"/>
        <w:ind w:left="0"/>
        <w:rPr>
          <w:rFonts w:asciiTheme="minorHAnsi" w:eastAsiaTheme="minorHAnsi" w:hAnsiTheme="minorHAnsi" w:cstheme="minorBidi"/>
          <w:b/>
          <w:noProof/>
          <w:sz w:val="22"/>
          <w:szCs w:val="22"/>
        </w:rPr>
      </w:pPr>
      <w:r>
        <w:rPr>
          <w:noProof/>
        </w:rPr>
        <w:t xml:space="preserve">Komisija turpinās sniegt atbalstu dalībvalstīm, lai nodrošinātu labu transponēšanas un īstenošanas līmeni. Tas ietver pārraudzību, lai nodrošinātu, ka valstu veiktie pasākumi atbilst </w:t>
      </w:r>
      <w:r>
        <w:rPr>
          <w:noProof/>
        </w:rPr>
        <w:t>attiecīgajiem direktīvas noteikumiem. Nepieciešamības gadījumā Komisija izmantos savas Līgumos paredzētās izpildes pilnvaras, īstenojot pārkāpuma procedūras. Tā arī atbalstīs direktīvas īstenošanu, veicinot paraugprakses izveidi un apmaiņu noteiktās jomās,</w:t>
      </w:r>
      <w:r>
        <w:rPr>
          <w:noProof/>
        </w:rPr>
        <w:t xml:space="preserve"> piemēram, preventīvās un intervences programmās nodarījumu izdarītājiem.</w:t>
      </w:r>
      <w:bookmarkEnd w:id="103"/>
    </w:p>
    <w:sectPr w:rsidR="005035BE">
      <w:headerReference w:type="even" r:id="rId28"/>
      <w:headerReference w:type="default" r:id="rId29"/>
      <w:footerReference w:type="even" r:id="rId30"/>
      <w:footerReference w:type="default" r:id="rId31"/>
      <w:headerReference w:type="first" r:id="rId32"/>
      <w:footerReference w:type="first" r:id="rId33"/>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5BE" w:rsidRDefault="007D647F">
      <w:pPr>
        <w:spacing w:after="0"/>
      </w:pPr>
      <w:r>
        <w:separator/>
      </w:r>
    </w:p>
  </w:endnote>
  <w:endnote w:type="continuationSeparator" w:id="0">
    <w:p w:rsidR="005035BE" w:rsidRDefault="007D64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5BE" w:rsidRDefault="005035B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5BE" w:rsidRDefault="005035BE">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5BE" w:rsidRDefault="007D647F">
    <w:pPr>
      <w:pStyle w:val="Footer"/>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PAGE</w:instrText>
    </w:r>
    <w:r>
      <w:rPr>
        <w:rFonts w:ascii="Times New Roman" w:hAnsi="Times New Roman"/>
        <w:sz w:val="20"/>
      </w:rPr>
      <w:fldChar w:fldCharType="separate"/>
    </w:r>
    <w:r>
      <w:rPr>
        <w:rFonts w:ascii="Times New Roman" w:hAnsi="Times New Roman"/>
        <w:noProof/>
        <w:sz w:val="20"/>
      </w:rPr>
      <w:t>3</w:t>
    </w:r>
    <w:r>
      <w:rPr>
        <w:rFonts w:ascii="Times New Roman" w:hAnsi="Times New Roman"/>
        <w:sz w:val="20"/>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726588"/>
      <w:docPartObj>
        <w:docPartGallery w:val="Page Numbers (Bottom of Page)"/>
        <w:docPartUnique/>
      </w:docPartObj>
    </w:sdtPr>
    <w:sdtEndPr>
      <w:rPr>
        <w:noProof/>
      </w:rPr>
    </w:sdtEndPr>
    <w:sdtContent>
      <w:p w:rsidR="005035BE" w:rsidRDefault="007D647F">
        <w:pPr>
          <w:pStyle w:val="Footer"/>
          <w:jc w:val="cente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noProof/>
            <w:sz w:val="20"/>
          </w:rPr>
          <w:t>22</w:t>
        </w:r>
        <w:r>
          <w:rPr>
            <w:rFonts w:ascii="Times New Roman" w:hAnsi="Times New Roman"/>
            <w:noProof/>
            <w:sz w:val="20"/>
          </w:rPr>
          <w:fldChar w:fldCharType="end"/>
        </w:r>
      </w:p>
    </w:sdtContent>
  </w:sdt>
  <w:p w:rsidR="005035BE" w:rsidRDefault="005035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5BE" w:rsidRDefault="007D647F">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5BE" w:rsidRDefault="005035BE">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5BE" w:rsidRDefault="005035B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5BE" w:rsidRDefault="007D647F">
    <w:pPr>
      <w:pStyle w:val="Footer"/>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PAGE</w:instrText>
    </w:r>
    <w:r>
      <w:rPr>
        <w:rFonts w:ascii="Times New Roman" w:hAnsi="Times New Roman"/>
        <w:sz w:val="20"/>
      </w:rPr>
      <w:fldChar w:fldCharType="separate"/>
    </w:r>
    <w:r>
      <w:rPr>
        <w:rFonts w:ascii="Times New Roman" w:hAnsi="Times New Roman"/>
        <w:noProof/>
        <w:sz w:val="20"/>
      </w:rPr>
      <w:t>3</w:t>
    </w:r>
    <w:r>
      <w:rPr>
        <w:rFonts w:ascii="Times New Roman" w:hAnsi="Times New Roman"/>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36405"/>
      <w:docPartObj>
        <w:docPartGallery w:val="Page Numbers (Bottom of Page)"/>
        <w:docPartUnique/>
      </w:docPartObj>
    </w:sdtPr>
    <w:sdtEndPr>
      <w:rPr>
        <w:noProof/>
      </w:rPr>
    </w:sdtEndPr>
    <w:sdtContent>
      <w:p w:rsidR="005035BE" w:rsidRDefault="007D647F">
        <w:pPr>
          <w:pStyle w:val="Footer"/>
          <w:jc w:val="cente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noProof/>
            <w:sz w:val="20"/>
          </w:rPr>
          <w:t>2</w:t>
        </w:r>
        <w:r>
          <w:rPr>
            <w:rFonts w:ascii="Times New Roman" w:hAnsi="Times New Roman"/>
            <w:noProof/>
            <w:sz w:val="20"/>
          </w:rPr>
          <w:fldChar w:fldCharType="end"/>
        </w:r>
      </w:p>
    </w:sdtContent>
  </w:sdt>
  <w:p w:rsidR="005035BE" w:rsidRDefault="005035B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5BE" w:rsidRDefault="005035B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5BE" w:rsidRDefault="007D647F">
    <w:pPr>
      <w:pStyle w:val="Footer"/>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PAGE</w:instrText>
    </w:r>
    <w:r>
      <w:rPr>
        <w:rFonts w:ascii="Times New Roman" w:hAnsi="Times New Roman"/>
        <w:sz w:val="20"/>
      </w:rPr>
      <w:fldChar w:fldCharType="separate"/>
    </w:r>
    <w:r>
      <w:rPr>
        <w:rFonts w:ascii="Times New Roman" w:hAnsi="Times New Roman"/>
        <w:noProof/>
        <w:sz w:val="20"/>
      </w:rPr>
      <w:t>21</w:t>
    </w:r>
    <w:r>
      <w:rPr>
        <w:rFonts w:ascii="Times New Roman" w:hAnsi="Times New Roman"/>
        <w:sz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293990"/>
      <w:docPartObj>
        <w:docPartGallery w:val="Page Numbers (Bottom of Page)"/>
        <w:docPartUnique/>
      </w:docPartObj>
    </w:sdtPr>
    <w:sdtEndPr>
      <w:rPr>
        <w:noProof/>
      </w:rPr>
    </w:sdtEndPr>
    <w:sdtContent>
      <w:p w:rsidR="005035BE" w:rsidRDefault="007D647F">
        <w:pPr>
          <w:pStyle w:val="Footer"/>
          <w:jc w:val="cente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noProof/>
            <w:sz w:val="20"/>
          </w:rPr>
          <w:t>8</w:t>
        </w:r>
        <w:r>
          <w:rPr>
            <w:rFonts w:ascii="Times New Roman" w:hAnsi="Times New Roman"/>
            <w:noProof/>
            <w:sz w:val="20"/>
          </w:rPr>
          <w:fldChar w:fldCharType="end"/>
        </w:r>
      </w:p>
    </w:sdtContent>
  </w:sdt>
  <w:p w:rsidR="005035BE" w:rsidRDefault="005035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5BE" w:rsidRDefault="007D647F">
      <w:pPr>
        <w:spacing w:after="0"/>
      </w:pPr>
      <w:r>
        <w:separator/>
      </w:r>
    </w:p>
  </w:footnote>
  <w:footnote w:type="continuationSeparator" w:id="0">
    <w:p w:rsidR="005035BE" w:rsidRDefault="007D647F">
      <w:pPr>
        <w:spacing w:after="0"/>
      </w:pPr>
      <w:r>
        <w:continuationSeparator/>
      </w:r>
    </w:p>
  </w:footnote>
  <w:footnote w:id="1">
    <w:p w:rsidR="005035BE" w:rsidRDefault="007D647F">
      <w:pPr>
        <w:spacing w:after="0"/>
      </w:pPr>
      <w:r>
        <w:rPr>
          <w:rStyle w:val="FootnoteReference"/>
        </w:rPr>
        <w:footnoteRef/>
      </w:r>
      <w:r>
        <w:t xml:space="preserve"> </w:t>
      </w:r>
      <w:r>
        <w:rPr>
          <w:sz w:val="20"/>
        </w:rPr>
        <w:t xml:space="preserve">Eiropas Sodāmības reģistru informācijas sistēma, kuru regulē Padomes Pamatlēmums 2009/315/TI (2009. gada 26. februāris) par </w:t>
      </w:r>
      <w:r>
        <w:rPr>
          <w:sz w:val="20"/>
        </w:rPr>
        <w:t>organizatoriskiem pasākumiem un saturu no sodāmības reģistra iegūtas informācijas apmaiņai starp dalībvalstīm un Padomes Lēmums 2009/316/TI (2009. gada 6. aprīlis) par Eiropas Sodāmības reģistru informācijas sistēmas (</w:t>
      </w:r>
      <w:r>
        <w:rPr>
          <w:i/>
          <w:sz w:val="20"/>
        </w:rPr>
        <w:t>ECRIS</w:t>
      </w:r>
      <w:r>
        <w:rPr>
          <w:sz w:val="20"/>
        </w:rPr>
        <w:t>) izveidi, piemērojot Pamatlēmuma</w:t>
      </w:r>
      <w:r>
        <w:rPr>
          <w:sz w:val="20"/>
        </w:rPr>
        <w:t xml:space="preserve"> 2009/315/TI 11. pantu. Sīkāka informācija par </w:t>
      </w:r>
      <w:r>
        <w:rPr>
          <w:i/>
          <w:sz w:val="20"/>
        </w:rPr>
        <w:t>ECRIS</w:t>
      </w:r>
      <w:r>
        <w:rPr>
          <w:sz w:val="20"/>
        </w:rPr>
        <w:t xml:space="preserve"> ir pieejama šādā saitē: </w:t>
      </w:r>
      <w:hyperlink r:id="rId1" w:history="1">
        <w:r>
          <w:rPr>
            <w:rStyle w:val="Hyperlink"/>
            <w:sz w:val="20"/>
          </w:rPr>
          <w:t>http://ec.europa.eu/justice/criminal/european-e-justice/ecris/index_en.htm</w:t>
        </w:r>
      </w:hyperlink>
      <w:r>
        <w:rPr>
          <w:sz w:val="20"/>
        </w:rPr>
        <w:t>.</w:t>
      </w:r>
    </w:p>
  </w:footnote>
  <w:footnote w:id="2">
    <w:p w:rsidR="005035BE" w:rsidRDefault="007D647F">
      <w:pPr>
        <w:spacing w:after="0"/>
      </w:pPr>
      <w:r>
        <w:rPr>
          <w:rStyle w:val="FootnoteReference"/>
        </w:rPr>
        <w:footnoteRef/>
      </w:r>
      <w:r>
        <w:t xml:space="preserve"> </w:t>
      </w:r>
      <w:r>
        <w:rPr>
          <w:sz w:val="20"/>
        </w:rPr>
        <w:t>Šeit un tu</w:t>
      </w:r>
      <w:r>
        <w:rPr>
          <w:sz w:val="20"/>
        </w:rPr>
        <w:t xml:space="preserve">rpmāk tekstā “dalībvalstis” vai “visas dalībvalstis” attiecas uz dalībvalstīm, kurām ir saistoša šī direktīva (t. i., visas ES dalībvalstis, izņemot Dāniju). Saskaņā ar Protokola </w:t>
      </w:r>
      <w:proofErr w:type="spellStart"/>
      <w:r>
        <w:rPr>
          <w:sz w:val="20"/>
        </w:rPr>
        <w:t>Nr</w:t>
      </w:r>
      <w:proofErr w:type="spellEnd"/>
      <w:r>
        <w:rPr>
          <w:sz w:val="20"/>
        </w:rPr>
        <w:t>. 22 par Dānijas nostāju 1. un 2. pantu Dānija nepiedalījās direktīvas pieņ</w:t>
      </w:r>
      <w:r>
        <w:rPr>
          <w:sz w:val="20"/>
        </w:rPr>
        <w:t xml:space="preserve">emšanā un direktīvu tai nepiemēro. Tomēr Dānijai joprojām ir piemērojams un saistošs Padomes Pamatlēmums 2004/68/TI. Saskaņā ar Protokola </w:t>
      </w:r>
      <w:proofErr w:type="spellStart"/>
      <w:r>
        <w:rPr>
          <w:sz w:val="20"/>
        </w:rPr>
        <w:t>Nr</w:t>
      </w:r>
      <w:proofErr w:type="spellEnd"/>
      <w:r>
        <w:rPr>
          <w:sz w:val="20"/>
        </w:rPr>
        <w:t>. 21 par Apvienotās Karalistes un Īrijas nostāju 3. pantu abas valstis piedalījās direktīvas pieņemšanā, un direktīv</w:t>
      </w:r>
      <w:r>
        <w:rPr>
          <w:sz w:val="20"/>
        </w:rPr>
        <w:t>a ir tām saistoša.</w:t>
      </w:r>
    </w:p>
  </w:footnote>
  <w:footnote w:id="3">
    <w:p w:rsidR="005035BE" w:rsidRDefault="007D647F">
      <w:pPr>
        <w:spacing w:after="0"/>
      </w:pPr>
      <w:r>
        <w:rPr>
          <w:rStyle w:val="FootnoteReference"/>
        </w:rPr>
        <w:footnoteRef/>
      </w:r>
      <w:r>
        <w:rPr>
          <w:rStyle w:val="FootnoteReference"/>
        </w:rPr>
        <w:t xml:space="preserve"> </w:t>
      </w:r>
      <w:r>
        <w:rPr>
          <w:sz w:val="20"/>
        </w:rPr>
        <w:t>Saskaņā ar direktīvas 28. panta 2. punktu — 25. punkta par pasākumiem pret tīmekļa vietnēm, kurās ir bērnu pornogrāfija vai caur kurām to izplata, īstenošanu izvērtē atsevišķā ziņojumā (COM(2016) 872), kas publicēts kopā ar šo ziņojumu</w:t>
      </w:r>
      <w:r>
        <w:rPr>
          <w:sz w:val="20"/>
        </w:rPr>
        <w:t xml:space="preserve">. </w:t>
      </w:r>
    </w:p>
  </w:footnote>
  <w:footnote w:id="4">
    <w:p w:rsidR="005035BE" w:rsidRDefault="007D647F">
      <w:pPr>
        <w:pStyle w:val="FootnoteText"/>
        <w:ind w:left="0" w:firstLine="0"/>
        <w:jc w:val="left"/>
      </w:pPr>
      <w:r>
        <w:rPr>
          <w:rStyle w:val="FootnoteReference"/>
        </w:rPr>
        <w:footnoteRef/>
      </w:r>
      <w:r>
        <w:t xml:space="preserve"> Dalībvalstu nosaukumi šajā dokumentā tiek saīsināti atbilstoši šādiem noteikumiem: </w:t>
      </w:r>
      <w:hyperlink r:id="rId2" w:history="1">
        <w:r>
          <w:rPr>
            <w:rStyle w:val="Hyperlink"/>
          </w:rPr>
          <w:t>http://publications.europa.eu/code/en/en-370100.htm</w:t>
        </w:r>
      </w:hyperlink>
      <w:r>
        <w:t>.</w:t>
      </w:r>
    </w:p>
  </w:footnote>
  <w:footnote w:id="5">
    <w:p w:rsidR="005035BE" w:rsidRDefault="007D647F">
      <w:pPr>
        <w:pStyle w:val="FootnoteText"/>
        <w:spacing w:after="0"/>
        <w:ind w:left="0" w:firstLine="0"/>
      </w:pPr>
      <w:r>
        <w:rPr>
          <w:rStyle w:val="FootnoteReference"/>
        </w:rPr>
        <w:footnoteRef/>
      </w:r>
      <w:r>
        <w:t xml:space="preserve"> Piemēram, novērtējuma ietvaros var izvērtēt c</w:t>
      </w:r>
      <w:r>
        <w:t>ietušā bērnu situāciju, pamatojoties uz informāciju, kas iegūta no ģimenes, bērna, skolas, bērnudārza, radiniekiem vai citām iestādēm, kā arī bērna attīstību un vajadzību nodrošināšanu, vecāku spējas, bērna un ģimenes sociālo vidi, bērna uzskatus un vēlmes</w:t>
      </w:r>
      <w:r>
        <w:t>, kā arī bērna vecumu, veselības stāvokli, intelektuālo attīstību un kultūras identitāti.</w:t>
      </w:r>
    </w:p>
  </w:footnote>
  <w:footnote w:id="6">
    <w:p w:rsidR="005035BE" w:rsidRDefault="007D647F">
      <w:pPr>
        <w:pStyle w:val="FootnoteText"/>
        <w:ind w:left="0" w:firstLine="0"/>
      </w:pPr>
      <w:r>
        <w:rPr>
          <w:rStyle w:val="FootnoteReference"/>
        </w:rPr>
        <w:footnoteRef/>
      </w:r>
      <w:r>
        <w:t xml:space="preserve"> Padomes Pamatlēmums 2011/220/TI (2001. gada 15. marts) par cietušo statusu kriminālprocesā, ko aizstāj ar Direktīvu 2012/29/ES (2012. gada 25. oktobris), ar ko nosa</w:t>
      </w:r>
      <w:r>
        <w:t>ka noziegumos cietušo tiesību, atbalsta un aizsardzības minimālos standartus.</w:t>
      </w:r>
    </w:p>
  </w:footnote>
  <w:footnote w:id="7">
    <w:p w:rsidR="005035BE" w:rsidRDefault="007D647F">
      <w:pPr>
        <w:pStyle w:val="FootnoteText"/>
      </w:pPr>
      <w:r>
        <w:rPr>
          <w:rStyle w:val="FootnoteReference"/>
        </w:rPr>
        <w:footnoteRef/>
      </w:r>
      <w:r>
        <w:t xml:space="preserve"> </w:t>
      </w:r>
      <w:proofErr w:type="spellStart"/>
      <w:r>
        <w:t>Sk</w:t>
      </w:r>
      <w:proofErr w:type="spellEnd"/>
      <w:r>
        <w:t>. 1. zemsvītras atsauci.</w:t>
      </w:r>
    </w:p>
  </w:footnote>
  <w:footnote w:id="8">
    <w:p w:rsidR="005035BE" w:rsidRDefault="007D647F">
      <w:pPr>
        <w:pStyle w:val="FootnoteText"/>
      </w:pPr>
      <w:r>
        <w:rPr>
          <w:rStyle w:val="FootnoteReference"/>
        </w:rPr>
        <w:footnoteRef/>
      </w:r>
      <w:r>
        <w:t xml:space="preserve"> Skatīt 3. zemsvītras atsauci.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5BE" w:rsidRDefault="005035B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5BE" w:rsidRDefault="005035B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5BE" w:rsidRDefault="005035B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5BE" w:rsidRDefault="005035BE">
    <w:pPr>
      <w:pStyle w:val="Heade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5BE" w:rsidRDefault="005035BE">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5BE" w:rsidRDefault="005035BE">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5BE" w:rsidRDefault="005035B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5BE" w:rsidRDefault="005035B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5BE" w:rsidRDefault="005035BE">
    <w:pPr>
      <w:pStyle w:val="Header"/>
      <w:spacing w:after="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5BE" w:rsidRDefault="005035B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5BE" w:rsidRDefault="005035B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5BE" w:rsidRDefault="005035BE">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853E00"/>
    <w:multiLevelType w:val="hybridMultilevel"/>
    <w:tmpl w:val="74848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9475F44"/>
    <w:multiLevelType w:val="hybridMultilevel"/>
    <w:tmpl w:val="E9B21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F734306"/>
    <w:multiLevelType w:val="multilevel"/>
    <w:tmpl w:val="56A677E8"/>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rPr>
        <w:lang w:val="en-GB"/>
      </w:r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F7F14B7"/>
    <w:multiLevelType w:val="hybridMultilevel"/>
    <w:tmpl w:val="8BAE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2821C7"/>
    <w:multiLevelType w:val="hybridMultilevel"/>
    <w:tmpl w:val="F350C4AC"/>
    <w:lvl w:ilvl="0" w:tplc="08090001">
      <w:start w:val="1"/>
      <w:numFmt w:val="bullet"/>
      <w:lvlText w:val=""/>
      <w:lvlJc w:val="left"/>
      <w:pPr>
        <w:tabs>
          <w:tab w:val="num" w:pos="360"/>
        </w:tabs>
        <w:ind w:left="360" w:hanging="360"/>
      </w:pPr>
      <w:rPr>
        <w:rFonts w:ascii="Symbol" w:hAnsi="Symbol" w:hint="default"/>
      </w:rPr>
    </w:lvl>
    <w:lvl w:ilvl="1" w:tplc="5C1055B4" w:tentative="1">
      <w:start w:val="1"/>
      <w:numFmt w:val="bullet"/>
      <w:lvlText w:val=""/>
      <w:lvlJc w:val="left"/>
      <w:pPr>
        <w:tabs>
          <w:tab w:val="num" w:pos="1080"/>
        </w:tabs>
        <w:ind w:left="1080" w:hanging="360"/>
      </w:pPr>
      <w:rPr>
        <w:rFonts w:ascii="Symbol" w:hAnsi="Symbol" w:hint="default"/>
      </w:rPr>
    </w:lvl>
    <w:lvl w:ilvl="2" w:tplc="3F32E048" w:tentative="1">
      <w:start w:val="1"/>
      <w:numFmt w:val="bullet"/>
      <w:lvlText w:val=""/>
      <w:lvlJc w:val="left"/>
      <w:pPr>
        <w:tabs>
          <w:tab w:val="num" w:pos="1800"/>
        </w:tabs>
        <w:ind w:left="1800" w:hanging="360"/>
      </w:pPr>
      <w:rPr>
        <w:rFonts w:ascii="Symbol" w:hAnsi="Symbol" w:hint="default"/>
      </w:rPr>
    </w:lvl>
    <w:lvl w:ilvl="3" w:tplc="BDDE8218" w:tentative="1">
      <w:start w:val="1"/>
      <w:numFmt w:val="bullet"/>
      <w:lvlText w:val=""/>
      <w:lvlJc w:val="left"/>
      <w:pPr>
        <w:tabs>
          <w:tab w:val="num" w:pos="2520"/>
        </w:tabs>
        <w:ind w:left="2520" w:hanging="360"/>
      </w:pPr>
      <w:rPr>
        <w:rFonts w:ascii="Symbol" w:hAnsi="Symbol" w:hint="default"/>
      </w:rPr>
    </w:lvl>
    <w:lvl w:ilvl="4" w:tplc="37FE88E4" w:tentative="1">
      <w:start w:val="1"/>
      <w:numFmt w:val="bullet"/>
      <w:lvlText w:val=""/>
      <w:lvlJc w:val="left"/>
      <w:pPr>
        <w:tabs>
          <w:tab w:val="num" w:pos="3240"/>
        </w:tabs>
        <w:ind w:left="3240" w:hanging="360"/>
      </w:pPr>
      <w:rPr>
        <w:rFonts w:ascii="Symbol" w:hAnsi="Symbol" w:hint="default"/>
      </w:rPr>
    </w:lvl>
    <w:lvl w:ilvl="5" w:tplc="F49A43E8" w:tentative="1">
      <w:start w:val="1"/>
      <w:numFmt w:val="bullet"/>
      <w:lvlText w:val=""/>
      <w:lvlJc w:val="left"/>
      <w:pPr>
        <w:tabs>
          <w:tab w:val="num" w:pos="3960"/>
        </w:tabs>
        <w:ind w:left="3960" w:hanging="360"/>
      </w:pPr>
      <w:rPr>
        <w:rFonts w:ascii="Symbol" w:hAnsi="Symbol" w:hint="default"/>
      </w:rPr>
    </w:lvl>
    <w:lvl w:ilvl="6" w:tplc="B0B45B5A" w:tentative="1">
      <w:start w:val="1"/>
      <w:numFmt w:val="bullet"/>
      <w:lvlText w:val=""/>
      <w:lvlJc w:val="left"/>
      <w:pPr>
        <w:tabs>
          <w:tab w:val="num" w:pos="4680"/>
        </w:tabs>
        <w:ind w:left="4680" w:hanging="360"/>
      </w:pPr>
      <w:rPr>
        <w:rFonts w:ascii="Symbol" w:hAnsi="Symbol" w:hint="default"/>
      </w:rPr>
    </w:lvl>
    <w:lvl w:ilvl="7" w:tplc="06A426B6" w:tentative="1">
      <w:start w:val="1"/>
      <w:numFmt w:val="bullet"/>
      <w:lvlText w:val=""/>
      <w:lvlJc w:val="left"/>
      <w:pPr>
        <w:tabs>
          <w:tab w:val="num" w:pos="5400"/>
        </w:tabs>
        <w:ind w:left="5400" w:hanging="360"/>
      </w:pPr>
      <w:rPr>
        <w:rFonts w:ascii="Symbol" w:hAnsi="Symbol" w:hint="default"/>
      </w:rPr>
    </w:lvl>
    <w:lvl w:ilvl="8" w:tplc="63DAF878" w:tentative="1">
      <w:start w:val="1"/>
      <w:numFmt w:val="bullet"/>
      <w:lvlText w:val=""/>
      <w:lvlJc w:val="left"/>
      <w:pPr>
        <w:tabs>
          <w:tab w:val="num" w:pos="6120"/>
        </w:tabs>
        <w:ind w:left="6120" w:hanging="360"/>
      </w:pPr>
      <w:rPr>
        <w:rFonts w:ascii="Symbol" w:hAnsi="Symbol" w:hint="default"/>
      </w:rPr>
    </w:lvl>
  </w:abstractNum>
  <w:abstractNum w:abstractNumId="9">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9DC1339"/>
    <w:multiLevelType w:val="hybridMultilevel"/>
    <w:tmpl w:val="428E9FAC"/>
    <w:lvl w:ilvl="0" w:tplc="08090001">
      <w:start w:val="1"/>
      <w:numFmt w:val="bullet"/>
      <w:lvlText w:val=""/>
      <w:lvlJc w:val="left"/>
      <w:pPr>
        <w:tabs>
          <w:tab w:val="num" w:pos="360"/>
        </w:tabs>
        <w:ind w:left="360" w:hanging="360"/>
      </w:pPr>
      <w:rPr>
        <w:rFonts w:ascii="Symbol" w:hAnsi="Symbol" w:hint="default"/>
      </w:rPr>
    </w:lvl>
    <w:lvl w:ilvl="1" w:tplc="5C1055B4" w:tentative="1">
      <w:start w:val="1"/>
      <w:numFmt w:val="bullet"/>
      <w:lvlText w:val=""/>
      <w:lvlJc w:val="left"/>
      <w:pPr>
        <w:tabs>
          <w:tab w:val="num" w:pos="1080"/>
        </w:tabs>
        <w:ind w:left="1080" w:hanging="360"/>
      </w:pPr>
      <w:rPr>
        <w:rFonts w:ascii="Symbol" w:hAnsi="Symbol" w:hint="default"/>
      </w:rPr>
    </w:lvl>
    <w:lvl w:ilvl="2" w:tplc="3F32E048" w:tentative="1">
      <w:start w:val="1"/>
      <w:numFmt w:val="bullet"/>
      <w:lvlText w:val=""/>
      <w:lvlJc w:val="left"/>
      <w:pPr>
        <w:tabs>
          <w:tab w:val="num" w:pos="1800"/>
        </w:tabs>
        <w:ind w:left="1800" w:hanging="360"/>
      </w:pPr>
      <w:rPr>
        <w:rFonts w:ascii="Symbol" w:hAnsi="Symbol" w:hint="default"/>
      </w:rPr>
    </w:lvl>
    <w:lvl w:ilvl="3" w:tplc="BDDE8218" w:tentative="1">
      <w:start w:val="1"/>
      <w:numFmt w:val="bullet"/>
      <w:lvlText w:val=""/>
      <w:lvlJc w:val="left"/>
      <w:pPr>
        <w:tabs>
          <w:tab w:val="num" w:pos="2520"/>
        </w:tabs>
        <w:ind w:left="2520" w:hanging="360"/>
      </w:pPr>
      <w:rPr>
        <w:rFonts w:ascii="Symbol" w:hAnsi="Symbol" w:hint="default"/>
      </w:rPr>
    </w:lvl>
    <w:lvl w:ilvl="4" w:tplc="37FE88E4" w:tentative="1">
      <w:start w:val="1"/>
      <w:numFmt w:val="bullet"/>
      <w:lvlText w:val=""/>
      <w:lvlJc w:val="left"/>
      <w:pPr>
        <w:tabs>
          <w:tab w:val="num" w:pos="3240"/>
        </w:tabs>
        <w:ind w:left="3240" w:hanging="360"/>
      </w:pPr>
      <w:rPr>
        <w:rFonts w:ascii="Symbol" w:hAnsi="Symbol" w:hint="default"/>
      </w:rPr>
    </w:lvl>
    <w:lvl w:ilvl="5" w:tplc="F49A43E8" w:tentative="1">
      <w:start w:val="1"/>
      <w:numFmt w:val="bullet"/>
      <w:lvlText w:val=""/>
      <w:lvlJc w:val="left"/>
      <w:pPr>
        <w:tabs>
          <w:tab w:val="num" w:pos="3960"/>
        </w:tabs>
        <w:ind w:left="3960" w:hanging="360"/>
      </w:pPr>
      <w:rPr>
        <w:rFonts w:ascii="Symbol" w:hAnsi="Symbol" w:hint="default"/>
      </w:rPr>
    </w:lvl>
    <w:lvl w:ilvl="6" w:tplc="B0B45B5A" w:tentative="1">
      <w:start w:val="1"/>
      <w:numFmt w:val="bullet"/>
      <w:lvlText w:val=""/>
      <w:lvlJc w:val="left"/>
      <w:pPr>
        <w:tabs>
          <w:tab w:val="num" w:pos="4680"/>
        </w:tabs>
        <w:ind w:left="4680" w:hanging="360"/>
      </w:pPr>
      <w:rPr>
        <w:rFonts w:ascii="Symbol" w:hAnsi="Symbol" w:hint="default"/>
      </w:rPr>
    </w:lvl>
    <w:lvl w:ilvl="7" w:tplc="06A426B6" w:tentative="1">
      <w:start w:val="1"/>
      <w:numFmt w:val="bullet"/>
      <w:lvlText w:val=""/>
      <w:lvlJc w:val="left"/>
      <w:pPr>
        <w:tabs>
          <w:tab w:val="num" w:pos="5400"/>
        </w:tabs>
        <w:ind w:left="5400" w:hanging="360"/>
      </w:pPr>
      <w:rPr>
        <w:rFonts w:ascii="Symbol" w:hAnsi="Symbol" w:hint="default"/>
      </w:rPr>
    </w:lvl>
    <w:lvl w:ilvl="8" w:tplc="63DAF878" w:tentative="1">
      <w:start w:val="1"/>
      <w:numFmt w:val="bullet"/>
      <w:lvlText w:val=""/>
      <w:lvlJc w:val="left"/>
      <w:pPr>
        <w:tabs>
          <w:tab w:val="num" w:pos="6120"/>
        </w:tabs>
        <w:ind w:left="6120" w:hanging="360"/>
      </w:pPr>
      <w:rPr>
        <w:rFonts w:ascii="Symbol" w:hAnsi="Symbol" w:hint="default"/>
      </w:rPr>
    </w:lvl>
  </w:abstractNum>
  <w:abstractNum w:abstractNumId="11">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2">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88167E1"/>
    <w:multiLevelType w:val="hybridMultilevel"/>
    <w:tmpl w:val="E7181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8">
    <w:nsid w:val="3BC82FC5"/>
    <w:multiLevelType w:val="hybridMultilevel"/>
    <w:tmpl w:val="BB948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0">
    <w:nsid w:val="40497DB3"/>
    <w:multiLevelType w:val="hybridMultilevel"/>
    <w:tmpl w:val="04AA5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3">
    <w:nsid w:val="55DB0D3E"/>
    <w:multiLevelType w:val="hybridMultilevel"/>
    <w:tmpl w:val="4E36D4D6"/>
    <w:lvl w:ilvl="0" w:tplc="08090001">
      <w:start w:val="1"/>
      <w:numFmt w:val="bullet"/>
      <w:lvlText w:val=""/>
      <w:lvlJc w:val="left"/>
      <w:pPr>
        <w:tabs>
          <w:tab w:val="num" w:pos="360"/>
        </w:tabs>
        <w:ind w:left="360" w:hanging="360"/>
      </w:pPr>
      <w:rPr>
        <w:rFonts w:ascii="Symbol" w:hAnsi="Symbol" w:hint="default"/>
      </w:rPr>
    </w:lvl>
    <w:lvl w:ilvl="1" w:tplc="5C1055B4" w:tentative="1">
      <w:start w:val="1"/>
      <w:numFmt w:val="bullet"/>
      <w:lvlText w:val=""/>
      <w:lvlJc w:val="left"/>
      <w:pPr>
        <w:tabs>
          <w:tab w:val="num" w:pos="1080"/>
        </w:tabs>
        <w:ind w:left="1080" w:hanging="360"/>
      </w:pPr>
      <w:rPr>
        <w:rFonts w:ascii="Symbol" w:hAnsi="Symbol" w:hint="default"/>
      </w:rPr>
    </w:lvl>
    <w:lvl w:ilvl="2" w:tplc="3F32E048" w:tentative="1">
      <w:start w:val="1"/>
      <w:numFmt w:val="bullet"/>
      <w:lvlText w:val=""/>
      <w:lvlJc w:val="left"/>
      <w:pPr>
        <w:tabs>
          <w:tab w:val="num" w:pos="1800"/>
        </w:tabs>
        <w:ind w:left="1800" w:hanging="360"/>
      </w:pPr>
      <w:rPr>
        <w:rFonts w:ascii="Symbol" w:hAnsi="Symbol" w:hint="default"/>
      </w:rPr>
    </w:lvl>
    <w:lvl w:ilvl="3" w:tplc="BDDE8218" w:tentative="1">
      <w:start w:val="1"/>
      <w:numFmt w:val="bullet"/>
      <w:lvlText w:val=""/>
      <w:lvlJc w:val="left"/>
      <w:pPr>
        <w:tabs>
          <w:tab w:val="num" w:pos="2520"/>
        </w:tabs>
        <w:ind w:left="2520" w:hanging="360"/>
      </w:pPr>
      <w:rPr>
        <w:rFonts w:ascii="Symbol" w:hAnsi="Symbol" w:hint="default"/>
      </w:rPr>
    </w:lvl>
    <w:lvl w:ilvl="4" w:tplc="37FE88E4" w:tentative="1">
      <w:start w:val="1"/>
      <w:numFmt w:val="bullet"/>
      <w:lvlText w:val=""/>
      <w:lvlJc w:val="left"/>
      <w:pPr>
        <w:tabs>
          <w:tab w:val="num" w:pos="3240"/>
        </w:tabs>
        <w:ind w:left="3240" w:hanging="360"/>
      </w:pPr>
      <w:rPr>
        <w:rFonts w:ascii="Symbol" w:hAnsi="Symbol" w:hint="default"/>
      </w:rPr>
    </w:lvl>
    <w:lvl w:ilvl="5" w:tplc="F49A43E8" w:tentative="1">
      <w:start w:val="1"/>
      <w:numFmt w:val="bullet"/>
      <w:lvlText w:val=""/>
      <w:lvlJc w:val="left"/>
      <w:pPr>
        <w:tabs>
          <w:tab w:val="num" w:pos="3960"/>
        </w:tabs>
        <w:ind w:left="3960" w:hanging="360"/>
      </w:pPr>
      <w:rPr>
        <w:rFonts w:ascii="Symbol" w:hAnsi="Symbol" w:hint="default"/>
      </w:rPr>
    </w:lvl>
    <w:lvl w:ilvl="6" w:tplc="B0B45B5A" w:tentative="1">
      <w:start w:val="1"/>
      <w:numFmt w:val="bullet"/>
      <w:lvlText w:val=""/>
      <w:lvlJc w:val="left"/>
      <w:pPr>
        <w:tabs>
          <w:tab w:val="num" w:pos="4680"/>
        </w:tabs>
        <w:ind w:left="4680" w:hanging="360"/>
      </w:pPr>
      <w:rPr>
        <w:rFonts w:ascii="Symbol" w:hAnsi="Symbol" w:hint="default"/>
      </w:rPr>
    </w:lvl>
    <w:lvl w:ilvl="7" w:tplc="06A426B6" w:tentative="1">
      <w:start w:val="1"/>
      <w:numFmt w:val="bullet"/>
      <w:lvlText w:val=""/>
      <w:lvlJc w:val="left"/>
      <w:pPr>
        <w:tabs>
          <w:tab w:val="num" w:pos="5400"/>
        </w:tabs>
        <w:ind w:left="5400" w:hanging="360"/>
      </w:pPr>
      <w:rPr>
        <w:rFonts w:ascii="Symbol" w:hAnsi="Symbol" w:hint="default"/>
      </w:rPr>
    </w:lvl>
    <w:lvl w:ilvl="8" w:tplc="63DAF878" w:tentative="1">
      <w:start w:val="1"/>
      <w:numFmt w:val="bullet"/>
      <w:lvlText w:val=""/>
      <w:lvlJc w:val="left"/>
      <w:pPr>
        <w:tabs>
          <w:tab w:val="num" w:pos="6120"/>
        </w:tabs>
        <w:ind w:left="6120" w:hanging="360"/>
      </w:pPr>
      <w:rPr>
        <w:rFonts w:ascii="Symbol" w:hAnsi="Symbol" w:hint="default"/>
      </w:rPr>
    </w:lvl>
  </w:abstractNum>
  <w:abstractNum w:abstractNumId="24">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5">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6">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7">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8">
    <w:nsid w:val="6F613AA8"/>
    <w:multiLevelType w:val="hybridMultilevel"/>
    <w:tmpl w:val="EE4C7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B925052"/>
    <w:multiLevelType w:val="hybridMultilevel"/>
    <w:tmpl w:val="D0E6B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6"/>
  </w:num>
  <w:num w:numId="4">
    <w:abstractNumId w:val="19"/>
  </w:num>
  <w:num w:numId="5">
    <w:abstractNumId w:val="11"/>
  </w:num>
  <w:num w:numId="6">
    <w:abstractNumId w:val="17"/>
  </w:num>
  <w:num w:numId="7">
    <w:abstractNumId w:val="26"/>
  </w:num>
  <w:num w:numId="8">
    <w:abstractNumId w:val="27"/>
  </w:num>
  <w:num w:numId="9">
    <w:abstractNumId w:val="14"/>
  </w:num>
  <w:num w:numId="10">
    <w:abstractNumId w:val="25"/>
  </w:num>
  <w:num w:numId="11">
    <w:abstractNumId w:val="24"/>
  </w:num>
  <w:num w:numId="12">
    <w:abstractNumId w:val="21"/>
  </w:num>
  <w:num w:numId="13">
    <w:abstractNumId w:val="22"/>
  </w:num>
  <w:num w:numId="14">
    <w:abstractNumId w:val="9"/>
  </w:num>
  <w:num w:numId="15">
    <w:abstractNumId w:val="15"/>
  </w:num>
  <w:num w:numId="16">
    <w:abstractNumId w:val="5"/>
  </w:num>
  <w:num w:numId="17">
    <w:abstractNumId w:val="12"/>
  </w:num>
  <w:num w:numId="18">
    <w:abstractNumId w:val="29"/>
  </w:num>
  <w:num w:numId="19">
    <w:abstractNumId w:val="13"/>
  </w:num>
  <w:num w:numId="20">
    <w:abstractNumId w:val="30"/>
  </w:num>
  <w:num w:numId="21">
    <w:abstractNumId w:val="3"/>
  </w:num>
  <w:num w:numId="22">
    <w:abstractNumId w:val="7"/>
  </w:num>
  <w:num w:numId="23">
    <w:abstractNumId w:val="28"/>
  </w:num>
  <w:num w:numId="24">
    <w:abstractNumId w:val="4"/>
  </w:num>
  <w:num w:numId="25">
    <w:abstractNumId w:val="18"/>
  </w:num>
  <w:num w:numId="26">
    <w:abstractNumId w:val="16"/>
  </w:num>
  <w:num w:numId="27">
    <w:abstractNumId w:val="20"/>
  </w:num>
  <w:num w:numId="28">
    <w:abstractNumId w:val="23"/>
  </w:num>
  <w:num w:numId="29">
    <w:abstractNumId w:val="8"/>
  </w:num>
  <w:num w:numId="30">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42676AFF92194FD0969A8A528F746457"/>
    <w:docVar w:name="LW_CROSSREFERENCE" w:val="&lt;UNUSED&gt;"/>
    <w:docVar w:name="LW_DocType" w:val="REP"/>
    <w:docVar w:name="LW_EMISSION" w:val="16.12.2016"/>
    <w:docVar w:name="LW_EMISSION_ISODATE" w:val="2016-12-16"/>
    <w:docVar w:name="LW_EMISSION_LOCATION" w:val="BRX"/>
    <w:docVar w:name="LW_EMISSION_PREFIX" w:val="Briselē, "/>
    <w:docVar w:name="LW_EMISSION_SUFFIX" w:val="."/>
    <w:docVar w:name="LW_ID_DOCTYPE_NONLW" w:val="CP-006"/>
    <w:docVar w:name="LW_LANGUE" w:val="LV"/>
    <w:docVar w:name="LW_MARKING" w:val="&lt;UNUSED&g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16) 871"/>
    <w:docVar w:name="LW_REF.INTERNE" w:val="&lt;UNUSED&gt;"/>
    <w:docVar w:name="LW_SOUS.TITRE.OBJ.CP" w:val="&lt;UNUSED&gt;"/>
    <w:docVar w:name="LW_SUPERTITRE" w:val="&lt;UNUSED&gt;"/>
    <w:docVar w:name="LW_TITRE.OBJ.CP" w:val="Nov\u275?rt\u275?jums par dal\u299?bvalstu veiktajiem pas\u257?kumiem, lai izpild\u299?tu 2011. gada 13. decembra Direkt\u299?vu 2011/93/ES par seksu\u257?las vardarb\u299?bas pret b\u275?rniem, b\u275?rnu seksu\u257?las izmanto\u353?anas un b\u275?rnu pornogr\u257?fijas apkaro\u353?anu "/>
    <w:docVar w:name="LW_TYPE.DOC.CP" w:val="KOMISIJAS ZI\u325?OJUMS EIROPAS PARLAMENTAM UN PADOMEI"/>
  </w:docVars>
  <w:rsids>
    <w:rsidRoot w:val="005035BE"/>
    <w:rsid w:val="005035BE"/>
    <w:rsid w:val="007D6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lv-LV"/>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lv-LV"/>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rPr>
  </w:style>
  <w:style w:type="character" w:customStyle="1" w:styleId="HeaderChar">
    <w:name w:val="Header Char"/>
    <w:basedOn w:val="DefaultParagraphFont"/>
    <w:link w:val="Header"/>
    <w:uiPriority w:val="99"/>
    <w:rPr>
      <w:sz w:val="24"/>
      <w:lang w:eastAsia="lv-LV"/>
    </w:rPr>
  </w:style>
  <w:style w:type="paragraph" w:customStyle="1" w:styleId="Default">
    <w:name w:val="Default"/>
    <w:pPr>
      <w:autoSpaceDE w:val="0"/>
      <w:autoSpaceDN w:val="0"/>
      <w:adjustRightInd w:val="0"/>
    </w:pPr>
    <w:rPr>
      <w:color w:val="000000"/>
      <w:sz w:val="24"/>
      <w:szCs w:val="24"/>
    </w:rPr>
  </w:style>
  <w:style w:type="paragraph" w:styleId="ListParagraph">
    <w:name w:val="List Paragraph"/>
    <w:basedOn w:val="Normal"/>
    <w:uiPriority w:val="34"/>
    <w:qFormat/>
    <w:pPr>
      <w:spacing w:after="200" w:line="276" w:lineRule="auto"/>
      <w:ind w:left="720"/>
      <w:contextualSpacing/>
      <w:jc w:val="left"/>
    </w:pPr>
    <w:rPr>
      <w:rFonts w:asciiTheme="minorHAnsi" w:eastAsiaTheme="minorHAnsi" w:hAnsiTheme="minorHAnsi" w:cstheme="minorBidi"/>
      <w:sz w:val="22"/>
      <w:szCs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lv-LV"/>
    </w:rPr>
  </w:style>
  <w:style w:type="character" w:styleId="Hyperlink">
    <w:name w:val="Hyperlink"/>
    <w:basedOn w:val="DefaultParagraphFont"/>
    <w:uiPriority w:val="99"/>
    <w:unhideWhenUsed/>
    <w:rPr>
      <w:color w:val="0000FF" w:themeColor="hyperlink"/>
      <w:u w:val="single"/>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lv-LV"/>
    </w:rPr>
  </w:style>
  <w:style w:type="character" w:customStyle="1" w:styleId="CommentSubjectChar">
    <w:name w:val="Comment Subject Char"/>
    <w:basedOn w:val="CommentTextChar"/>
    <w:link w:val="CommentSubject"/>
    <w:uiPriority w:val="99"/>
    <w:semiHidden/>
    <w:rPr>
      <w:b/>
      <w:bCs/>
      <w:lang w:eastAsia="lv-LV"/>
    </w:rPr>
  </w:style>
  <w:style w:type="character" w:customStyle="1" w:styleId="Heading2Char">
    <w:name w:val="Heading 2 Char"/>
    <w:basedOn w:val="DefaultParagraphFont"/>
    <w:link w:val="Heading2"/>
    <w:rPr>
      <w:b/>
      <w:sz w:val="24"/>
      <w:lang w:eastAsia="lv-LV"/>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lv-LV"/>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lv-LV"/>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rPr>
  </w:style>
  <w:style w:type="character" w:customStyle="1" w:styleId="HeaderChar">
    <w:name w:val="Header Char"/>
    <w:basedOn w:val="DefaultParagraphFont"/>
    <w:link w:val="Header"/>
    <w:uiPriority w:val="99"/>
    <w:rPr>
      <w:sz w:val="24"/>
      <w:lang w:eastAsia="lv-LV"/>
    </w:rPr>
  </w:style>
  <w:style w:type="paragraph" w:customStyle="1" w:styleId="Default">
    <w:name w:val="Default"/>
    <w:pPr>
      <w:autoSpaceDE w:val="0"/>
      <w:autoSpaceDN w:val="0"/>
      <w:adjustRightInd w:val="0"/>
    </w:pPr>
    <w:rPr>
      <w:color w:val="000000"/>
      <w:sz w:val="24"/>
      <w:szCs w:val="24"/>
    </w:rPr>
  </w:style>
  <w:style w:type="paragraph" w:styleId="ListParagraph">
    <w:name w:val="List Paragraph"/>
    <w:basedOn w:val="Normal"/>
    <w:uiPriority w:val="34"/>
    <w:qFormat/>
    <w:pPr>
      <w:spacing w:after="200" w:line="276" w:lineRule="auto"/>
      <w:ind w:left="720"/>
      <w:contextualSpacing/>
      <w:jc w:val="left"/>
    </w:pPr>
    <w:rPr>
      <w:rFonts w:asciiTheme="minorHAnsi" w:eastAsiaTheme="minorHAnsi" w:hAnsiTheme="minorHAnsi" w:cstheme="minorBidi"/>
      <w:sz w:val="22"/>
      <w:szCs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lv-LV"/>
    </w:rPr>
  </w:style>
  <w:style w:type="character" w:styleId="Hyperlink">
    <w:name w:val="Hyperlink"/>
    <w:basedOn w:val="DefaultParagraphFont"/>
    <w:uiPriority w:val="99"/>
    <w:unhideWhenUsed/>
    <w:rPr>
      <w:color w:val="0000FF" w:themeColor="hyperlink"/>
      <w:u w:val="single"/>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lv-LV"/>
    </w:rPr>
  </w:style>
  <w:style w:type="character" w:customStyle="1" w:styleId="CommentSubjectChar">
    <w:name w:val="Comment Subject Char"/>
    <w:basedOn w:val="CommentTextChar"/>
    <w:link w:val="CommentSubject"/>
    <w:uiPriority w:val="99"/>
    <w:semiHidden/>
    <w:rPr>
      <w:b/>
      <w:bCs/>
      <w:lang w:eastAsia="lv-LV"/>
    </w:rPr>
  </w:style>
  <w:style w:type="character" w:customStyle="1" w:styleId="Heading2Char">
    <w:name w:val="Heading 2 Char"/>
    <w:basedOn w:val="DefaultParagraphFont"/>
    <w:link w:val="Heading2"/>
    <w:rPr>
      <w:b/>
      <w:sz w:val="24"/>
      <w:lang w:eastAsia="lv-LV"/>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2076">
      <w:bodyDiv w:val="1"/>
      <w:marLeft w:val="0"/>
      <w:marRight w:val="0"/>
      <w:marTop w:val="0"/>
      <w:marBottom w:val="0"/>
      <w:divBdr>
        <w:top w:val="none" w:sz="0" w:space="0" w:color="auto"/>
        <w:left w:val="none" w:sz="0" w:space="0" w:color="auto"/>
        <w:bottom w:val="none" w:sz="0" w:space="0" w:color="auto"/>
        <w:right w:val="none" w:sz="0" w:space="0" w:color="auto"/>
      </w:divBdr>
      <w:divsChild>
        <w:div w:id="425927690">
          <w:marLeft w:val="864"/>
          <w:marRight w:val="0"/>
          <w:marTop w:val="0"/>
          <w:marBottom w:val="0"/>
          <w:divBdr>
            <w:top w:val="none" w:sz="0" w:space="0" w:color="auto"/>
            <w:left w:val="none" w:sz="0" w:space="0" w:color="auto"/>
            <w:bottom w:val="none" w:sz="0" w:space="0" w:color="auto"/>
            <w:right w:val="none" w:sz="0" w:space="0" w:color="auto"/>
          </w:divBdr>
        </w:div>
        <w:div w:id="836533987">
          <w:marLeft w:val="864"/>
          <w:marRight w:val="0"/>
          <w:marTop w:val="0"/>
          <w:marBottom w:val="0"/>
          <w:divBdr>
            <w:top w:val="none" w:sz="0" w:space="0" w:color="auto"/>
            <w:left w:val="none" w:sz="0" w:space="0" w:color="auto"/>
            <w:bottom w:val="none" w:sz="0" w:space="0" w:color="auto"/>
            <w:right w:val="none" w:sz="0" w:space="0" w:color="auto"/>
          </w:divBdr>
        </w:div>
        <w:div w:id="1784761875">
          <w:marLeft w:val="864"/>
          <w:marRight w:val="0"/>
          <w:marTop w:val="0"/>
          <w:marBottom w:val="0"/>
          <w:divBdr>
            <w:top w:val="none" w:sz="0" w:space="0" w:color="auto"/>
            <w:left w:val="none" w:sz="0" w:space="0" w:color="auto"/>
            <w:bottom w:val="none" w:sz="0" w:space="0" w:color="auto"/>
            <w:right w:val="none" w:sz="0" w:space="0" w:color="auto"/>
          </w:divBdr>
        </w:div>
        <w:div w:id="2043044247">
          <w:marLeft w:val="864"/>
          <w:marRight w:val="0"/>
          <w:marTop w:val="0"/>
          <w:marBottom w:val="0"/>
          <w:divBdr>
            <w:top w:val="none" w:sz="0" w:space="0" w:color="auto"/>
            <w:left w:val="none" w:sz="0" w:space="0" w:color="auto"/>
            <w:bottom w:val="none" w:sz="0" w:space="0" w:color="auto"/>
            <w:right w:val="none" w:sz="0" w:space="0" w:color="auto"/>
          </w:divBdr>
        </w:div>
      </w:divsChild>
    </w:div>
    <w:div w:id="179470202">
      <w:bodyDiv w:val="1"/>
      <w:marLeft w:val="0"/>
      <w:marRight w:val="0"/>
      <w:marTop w:val="0"/>
      <w:marBottom w:val="0"/>
      <w:divBdr>
        <w:top w:val="none" w:sz="0" w:space="0" w:color="auto"/>
        <w:left w:val="none" w:sz="0" w:space="0" w:color="auto"/>
        <w:bottom w:val="none" w:sz="0" w:space="0" w:color="auto"/>
        <w:right w:val="none" w:sz="0" w:space="0" w:color="auto"/>
      </w:divBdr>
      <w:divsChild>
        <w:div w:id="317147369">
          <w:marLeft w:val="648"/>
          <w:marRight w:val="0"/>
          <w:marTop w:val="5"/>
          <w:marBottom w:val="40"/>
          <w:divBdr>
            <w:top w:val="none" w:sz="0" w:space="0" w:color="auto"/>
            <w:left w:val="none" w:sz="0" w:space="0" w:color="auto"/>
            <w:bottom w:val="none" w:sz="0" w:space="0" w:color="auto"/>
            <w:right w:val="none" w:sz="0" w:space="0" w:color="auto"/>
          </w:divBdr>
        </w:div>
        <w:div w:id="929971318">
          <w:marLeft w:val="648"/>
          <w:marRight w:val="0"/>
          <w:marTop w:val="5"/>
          <w:marBottom w:val="40"/>
          <w:divBdr>
            <w:top w:val="none" w:sz="0" w:space="0" w:color="auto"/>
            <w:left w:val="none" w:sz="0" w:space="0" w:color="auto"/>
            <w:bottom w:val="none" w:sz="0" w:space="0" w:color="auto"/>
            <w:right w:val="none" w:sz="0" w:space="0" w:color="auto"/>
          </w:divBdr>
        </w:div>
        <w:div w:id="1012415562">
          <w:marLeft w:val="648"/>
          <w:marRight w:val="0"/>
          <w:marTop w:val="5"/>
          <w:marBottom w:val="40"/>
          <w:divBdr>
            <w:top w:val="none" w:sz="0" w:space="0" w:color="auto"/>
            <w:left w:val="none" w:sz="0" w:space="0" w:color="auto"/>
            <w:bottom w:val="none" w:sz="0" w:space="0" w:color="auto"/>
            <w:right w:val="none" w:sz="0" w:space="0" w:color="auto"/>
          </w:divBdr>
        </w:div>
        <w:div w:id="1131751040">
          <w:marLeft w:val="648"/>
          <w:marRight w:val="0"/>
          <w:marTop w:val="5"/>
          <w:marBottom w:val="40"/>
          <w:divBdr>
            <w:top w:val="none" w:sz="0" w:space="0" w:color="auto"/>
            <w:left w:val="none" w:sz="0" w:space="0" w:color="auto"/>
            <w:bottom w:val="none" w:sz="0" w:space="0" w:color="auto"/>
            <w:right w:val="none" w:sz="0" w:space="0" w:color="auto"/>
          </w:divBdr>
        </w:div>
        <w:div w:id="1136222536">
          <w:marLeft w:val="288"/>
          <w:marRight w:val="0"/>
          <w:marTop w:val="5"/>
          <w:marBottom w:val="40"/>
          <w:divBdr>
            <w:top w:val="none" w:sz="0" w:space="0" w:color="auto"/>
            <w:left w:val="none" w:sz="0" w:space="0" w:color="auto"/>
            <w:bottom w:val="none" w:sz="0" w:space="0" w:color="auto"/>
            <w:right w:val="none" w:sz="0" w:space="0" w:color="auto"/>
          </w:divBdr>
        </w:div>
        <w:div w:id="1232891456">
          <w:marLeft w:val="648"/>
          <w:marRight w:val="0"/>
          <w:marTop w:val="5"/>
          <w:marBottom w:val="40"/>
          <w:divBdr>
            <w:top w:val="none" w:sz="0" w:space="0" w:color="auto"/>
            <w:left w:val="none" w:sz="0" w:space="0" w:color="auto"/>
            <w:bottom w:val="none" w:sz="0" w:space="0" w:color="auto"/>
            <w:right w:val="none" w:sz="0" w:space="0" w:color="auto"/>
          </w:divBdr>
        </w:div>
        <w:div w:id="1311180465">
          <w:marLeft w:val="288"/>
          <w:marRight w:val="0"/>
          <w:marTop w:val="5"/>
          <w:marBottom w:val="40"/>
          <w:divBdr>
            <w:top w:val="none" w:sz="0" w:space="0" w:color="auto"/>
            <w:left w:val="none" w:sz="0" w:space="0" w:color="auto"/>
            <w:bottom w:val="none" w:sz="0" w:space="0" w:color="auto"/>
            <w:right w:val="none" w:sz="0" w:space="0" w:color="auto"/>
          </w:divBdr>
        </w:div>
        <w:div w:id="1552116040">
          <w:marLeft w:val="648"/>
          <w:marRight w:val="0"/>
          <w:marTop w:val="5"/>
          <w:marBottom w:val="40"/>
          <w:divBdr>
            <w:top w:val="none" w:sz="0" w:space="0" w:color="auto"/>
            <w:left w:val="none" w:sz="0" w:space="0" w:color="auto"/>
            <w:bottom w:val="none" w:sz="0" w:space="0" w:color="auto"/>
            <w:right w:val="none" w:sz="0" w:space="0" w:color="auto"/>
          </w:divBdr>
        </w:div>
        <w:div w:id="1566066998">
          <w:marLeft w:val="288"/>
          <w:marRight w:val="0"/>
          <w:marTop w:val="5"/>
          <w:marBottom w:val="40"/>
          <w:divBdr>
            <w:top w:val="none" w:sz="0" w:space="0" w:color="auto"/>
            <w:left w:val="none" w:sz="0" w:space="0" w:color="auto"/>
            <w:bottom w:val="none" w:sz="0" w:space="0" w:color="auto"/>
            <w:right w:val="none" w:sz="0" w:space="0" w:color="auto"/>
          </w:divBdr>
        </w:div>
        <w:div w:id="1948733541">
          <w:marLeft w:val="648"/>
          <w:marRight w:val="0"/>
          <w:marTop w:val="5"/>
          <w:marBottom w:val="40"/>
          <w:divBdr>
            <w:top w:val="none" w:sz="0" w:space="0" w:color="auto"/>
            <w:left w:val="none" w:sz="0" w:space="0" w:color="auto"/>
            <w:bottom w:val="none" w:sz="0" w:space="0" w:color="auto"/>
            <w:right w:val="none" w:sz="0" w:space="0" w:color="auto"/>
          </w:divBdr>
        </w:div>
      </w:divsChild>
    </w:div>
    <w:div w:id="193152090">
      <w:bodyDiv w:val="1"/>
      <w:marLeft w:val="0"/>
      <w:marRight w:val="0"/>
      <w:marTop w:val="0"/>
      <w:marBottom w:val="0"/>
      <w:divBdr>
        <w:top w:val="none" w:sz="0" w:space="0" w:color="auto"/>
        <w:left w:val="none" w:sz="0" w:space="0" w:color="auto"/>
        <w:bottom w:val="none" w:sz="0" w:space="0" w:color="auto"/>
        <w:right w:val="none" w:sz="0" w:space="0" w:color="auto"/>
      </w:divBdr>
    </w:div>
    <w:div w:id="232157401">
      <w:bodyDiv w:val="1"/>
      <w:marLeft w:val="0"/>
      <w:marRight w:val="0"/>
      <w:marTop w:val="0"/>
      <w:marBottom w:val="0"/>
      <w:divBdr>
        <w:top w:val="none" w:sz="0" w:space="0" w:color="auto"/>
        <w:left w:val="none" w:sz="0" w:space="0" w:color="auto"/>
        <w:bottom w:val="none" w:sz="0" w:space="0" w:color="auto"/>
        <w:right w:val="none" w:sz="0" w:space="0" w:color="auto"/>
      </w:divBdr>
    </w:div>
    <w:div w:id="275525853">
      <w:bodyDiv w:val="1"/>
      <w:marLeft w:val="0"/>
      <w:marRight w:val="0"/>
      <w:marTop w:val="0"/>
      <w:marBottom w:val="0"/>
      <w:divBdr>
        <w:top w:val="none" w:sz="0" w:space="0" w:color="auto"/>
        <w:left w:val="none" w:sz="0" w:space="0" w:color="auto"/>
        <w:bottom w:val="none" w:sz="0" w:space="0" w:color="auto"/>
        <w:right w:val="none" w:sz="0" w:space="0" w:color="auto"/>
      </w:divBdr>
    </w:div>
    <w:div w:id="312829078">
      <w:bodyDiv w:val="1"/>
      <w:marLeft w:val="0"/>
      <w:marRight w:val="0"/>
      <w:marTop w:val="0"/>
      <w:marBottom w:val="0"/>
      <w:divBdr>
        <w:top w:val="none" w:sz="0" w:space="0" w:color="auto"/>
        <w:left w:val="none" w:sz="0" w:space="0" w:color="auto"/>
        <w:bottom w:val="none" w:sz="0" w:space="0" w:color="auto"/>
        <w:right w:val="none" w:sz="0" w:space="0" w:color="auto"/>
      </w:divBdr>
    </w:div>
    <w:div w:id="317535492">
      <w:bodyDiv w:val="1"/>
      <w:marLeft w:val="0"/>
      <w:marRight w:val="0"/>
      <w:marTop w:val="0"/>
      <w:marBottom w:val="0"/>
      <w:divBdr>
        <w:top w:val="none" w:sz="0" w:space="0" w:color="auto"/>
        <w:left w:val="none" w:sz="0" w:space="0" w:color="auto"/>
        <w:bottom w:val="none" w:sz="0" w:space="0" w:color="auto"/>
        <w:right w:val="none" w:sz="0" w:space="0" w:color="auto"/>
      </w:divBdr>
    </w:div>
    <w:div w:id="337655342">
      <w:bodyDiv w:val="1"/>
      <w:marLeft w:val="0"/>
      <w:marRight w:val="0"/>
      <w:marTop w:val="0"/>
      <w:marBottom w:val="0"/>
      <w:divBdr>
        <w:top w:val="none" w:sz="0" w:space="0" w:color="auto"/>
        <w:left w:val="none" w:sz="0" w:space="0" w:color="auto"/>
        <w:bottom w:val="none" w:sz="0" w:space="0" w:color="auto"/>
        <w:right w:val="none" w:sz="0" w:space="0" w:color="auto"/>
      </w:divBdr>
    </w:div>
    <w:div w:id="382142170">
      <w:bodyDiv w:val="1"/>
      <w:marLeft w:val="0"/>
      <w:marRight w:val="0"/>
      <w:marTop w:val="0"/>
      <w:marBottom w:val="0"/>
      <w:divBdr>
        <w:top w:val="none" w:sz="0" w:space="0" w:color="auto"/>
        <w:left w:val="none" w:sz="0" w:space="0" w:color="auto"/>
        <w:bottom w:val="none" w:sz="0" w:space="0" w:color="auto"/>
        <w:right w:val="none" w:sz="0" w:space="0" w:color="auto"/>
      </w:divBdr>
    </w:div>
    <w:div w:id="386223573">
      <w:bodyDiv w:val="1"/>
      <w:marLeft w:val="0"/>
      <w:marRight w:val="0"/>
      <w:marTop w:val="0"/>
      <w:marBottom w:val="0"/>
      <w:divBdr>
        <w:top w:val="none" w:sz="0" w:space="0" w:color="auto"/>
        <w:left w:val="none" w:sz="0" w:space="0" w:color="auto"/>
        <w:bottom w:val="none" w:sz="0" w:space="0" w:color="auto"/>
        <w:right w:val="none" w:sz="0" w:space="0" w:color="auto"/>
      </w:divBdr>
    </w:div>
    <w:div w:id="388308187">
      <w:bodyDiv w:val="1"/>
      <w:marLeft w:val="0"/>
      <w:marRight w:val="0"/>
      <w:marTop w:val="0"/>
      <w:marBottom w:val="0"/>
      <w:divBdr>
        <w:top w:val="none" w:sz="0" w:space="0" w:color="auto"/>
        <w:left w:val="none" w:sz="0" w:space="0" w:color="auto"/>
        <w:bottom w:val="none" w:sz="0" w:space="0" w:color="auto"/>
        <w:right w:val="none" w:sz="0" w:space="0" w:color="auto"/>
      </w:divBdr>
    </w:div>
    <w:div w:id="420488643">
      <w:bodyDiv w:val="1"/>
      <w:marLeft w:val="0"/>
      <w:marRight w:val="0"/>
      <w:marTop w:val="0"/>
      <w:marBottom w:val="0"/>
      <w:divBdr>
        <w:top w:val="none" w:sz="0" w:space="0" w:color="auto"/>
        <w:left w:val="none" w:sz="0" w:space="0" w:color="auto"/>
        <w:bottom w:val="none" w:sz="0" w:space="0" w:color="auto"/>
        <w:right w:val="none" w:sz="0" w:space="0" w:color="auto"/>
      </w:divBdr>
    </w:div>
    <w:div w:id="616332408">
      <w:bodyDiv w:val="1"/>
      <w:marLeft w:val="0"/>
      <w:marRight w:val="0"/>
      <w:marTop w:val="0"/>
      <w:marBottom w:val="0"/>
      <w:divBdr>
        <w:top w:val="none" w:sz="0" w:space="0" w:color="auto"/>
        <w:left w:val="none" w:sz="0" w:space="0" w:color="auto"/>
        <w:bottom w:val="none" w:sz="0" w:space="0" w:color="auto"/>
        <w:right w:val="none" w:sz="0" w:space="0" w:color="auto"/>
      </w:divBdr>
    </w:div>
    <w:div w:id="671954221">
      <w:bodyDiv w:val="1"/>
      <w:marLeft w:val="0"/>
      <w:marRight w:val="0"/>
      <w:marTop w:val="0"/>
      <w:marBottom w:val="0"/>
      <w:divBdr>
        <w:top w:val="none" w:sz="0" w:space="0" w:color="auto"/>
        <w:left w:val="none" w:sz="0" w:space="0" w:color="auto"/>
        <w:bottom w:val="none" w:sz="0" w:space="0" w:color="auto"/>
        <w:right w:val="none" w:sz="0" w:space="0" w:color="auto"/>
      </w:divBdr>
    </w:div>
    <w:div w:id="748963210">
      <w:bodyDiv w:val="1"/>
      <w:marLeft w:val="0"/>
      <w:marRight w:val="0"/>
      <w:marTop w:val="0"/>
      <w:marBottom w:val="0"/>
      <w:divBdr>
        <w:top w:val="none" w:sz="0" w:space="0" w:color="auto"/>
        <w:left w:val="none" w:sz="0" w:space="0" w:color="auto"/>
        <w:bottom w:val="none" w:sz="0" w:space="0" w:color="auto"/>
        <w:right w:val="none" w:sz="0" w:space="0" w:color="auto"/>
      </w:divBdr>
    </w:div>
    <w:div w:id="778717637">
      <w:bodyDiv w:val="1"/>
      <w:marLeft w:val="0"/>
      <w:marRight w:val="0"/>
      <w:marTop w:val="0"/>
      <w:marBottom w:val="0"/>
      <w:divBdr>
        <w:top w:val="none" w:sz="0" w:space="0" w:color="auto"/>
        <w:left w:val="none" w:sz="0" w:space="0" w:color="auto"/>
        <w:bottom w:val="none" w:sz="0" w:space="0" w:color="auto"/>
        <w:right w:val="none" w:sz="0" w:space="0" w:color="auto"/>
      </w:divBdr>
    </w:div>
    <w:div w:id="812328042">
      <w:bodyDiv w:val="1"/>
      <w:marLeft w:val="0"/>
      <w:marRight w:val="0"/>
      <w:marTop w:val="0"/>
      <w:marBottom w:val="0"/>
      <w:divBdr>
        <w:top w:val="none" w:sz="0" w:space="0" w:color="auto"/>
        <w:left w:val="none" w:sz="0" w:space="0" w:color="auto"/>
        <w:bottom w:val="none" w:sz="0" w:space="0" w:color="auto"/>
        <w:right w:val="none" w:sz="0" w:space="0" w:color="auto"/>
      </w:divBdr>
    </w:div>
    <w:div w:id="818570144">
      <w:bodyDiv w:val="1"/>
      <w:marLeft w:val="0"/>
      <w:marRight w:val="0"/>
      <w:marTop w:val="0"/>
      <w:marBottom w:val="0"/>
      <w:divBdr>
        <w:top w:val="none" w:sz="0" w:space="0" w:color="auto"/>
        <w:left w:val="none" w:sz="0" w:space="0" w:color="auto"/>
        <w:bottom w:val="none" w:sz="0" w:space="0" w:color="auto"/>
        <w:right w:val="none" w:sz="0" w:space="0" w:color="auto"/>
      </w:divBdr>
    </w:div>
    <w:div w:id="908225193">
      <w:bodyDiv w:val="1"/>
      <w:marLeft w:val="0"/>
      <w:marRight w:val="0"/>
      <w:marTop w:val="0"/>
      <w:marBottom w:val="0"/>
      <w:divBdr>
        <w:top w:val="none" w:sz="0" w:space="0" w:color="auto"/>
        <w:left w:val="none" w:sz="0" w:space="0" w:color="auto"/>
        <w:bottom w:val="none" w:sz="0" w:space="0" w:color="auto"/>
        <w:right w:val="none" w:sz="0" w:space="0" w:color="auto"/>
      </w:divBdr>
      <w:divsChild>
        <w:div w:id="846671304">
          <w:marLeft w:val="994"/>
          <w:marRight w:val="0"/>
          <w:marTop w:val="86"/>
          <w:marBottom w:val="0"/>
          <w:divBdr>
            <w:top w:val="none" w:sz="0" w:space="0" w:color="auto"/>
            <w:left w:val="none" w:sz="0" w:space="0" w:color="auto"/>
            <w:bottom w:val="none" w:sz="0" w:space="0" w:color="auto"/>
            <w:right w:val="none" w:sz="0" w:space="0" w:color="auto"/>
          </w:divBdr>
        </w:div>
        <w:div w:id="1010065891">
          <w:marLeft w:val="994"/>
          <w:marRight w:val="0"/>
          <w:marTop w:val="86"/>
          <w:marBottom w:val="0"/>
          <w:divBdr>
            <w:top w:val="none" w:sz="0" w:space="0" w:color="auto"/>
            <w:left w:val="none" w:sz="0" w:space="0" w:color="auto"/>
            <w:bottom w:val="none" w:sz="0" w:space="0" w:color="auto"/>
            <w:right w:val="none" w:sz="0" w:space="0" w:color="auto"/>
          </w:divBdr>
        </w:div>
        <w:div w:id="1050887227">
          <w:marLeft w:val="994"/>
          <w:marRight w:val="0"/>
          <w:marTop w:val="86"/>
          <w:marBottom w:val="0"/>
          <w:divBdr>
            <w:top w:val="none" w:sz="0" w:space="0" w:color="auto"/>
            <w:left w:val="none" w:sz="0" w:space="0" w:color="auto"/>
            <w:bottom w:val="none" w:sz="0" w:space="0" w:color="auto"/>
            <w:right w:val="none" w:sz="0" w:space="0" w:color="auto"/>
          </w:divBdr>
        </w:div>
        <w:div w:id="1915775795">
          <w:marLeft w:val="994"/>
          <w:marRight w:val="0"/>
          <w:marTop w:val="86"/>
          <w:marBottom w:val="0"/>
          <w:divBdr>
            <w:top w:val="none" w:sz="0" w:space="0" w:color="auto"/>
            <w:left w:val="none" w:sz="0" w:space="0" w:color="auto"/>
            <w:bottom w:val="none" w:sz="0" w:space="0" w:color="auto"/>
            <w:right w:val="none" w:sz="0" w:space="0" w:color="auto"/>
          </w:divBdr>
        </w:div>
      </w:divsChild>
    </w:div>
    <w:div w:id="932010118">
      <w:bodyDiv w:val="1"/>
      <w:marLeft w:val="0"/>
      <w:marRight w:val="0"/>
      <w:marTop w:val="0"/>
      <w:marBottom w:val="0"/>
      <w:divBdr>
        <w:top w:val="none" w:sz="0" w:space="0" w:color="auto"/>
        <w:left w:val="none" w:sz="0" w:space="0" w:color="auto"/>
        <w:bottom w:val="none" w:sz="0" w:space="0" w:color="auto"/>
        <w:right w:val="none" w:sz="0" w:space="0" w:color="auto"/>
      </w:divBdr>
    </w:div>
    <w:div w:id="974720780">
      <w:bodyDiv w:val="1"/>
      <w:marLeft w:val="0"/>
      <w:marRight w:val="0"/>
      <w:marTop w:val="0"/>
      <w:marBottom w:val="0"/>
      <w:divBdr>
        <w:top w:val="none" w:sz="0" w:space="0" w:color="auto"/>
        <w:left w:val="none" w:sz="0" w:space="0" w:color="auto"/>
        <w:bottom w:val="none" w:sz="0" w:space="0" w:color="auto"/>
        <w:right w:val="none" w:sz="0" w:space="0" w:color="auto"/>
      </w:divBdr>
    </w:div>
    <w:div w:id="1135562426">
      <w:bodyDiv w:val="1"/>
      <w:marLeft w:val="0"/>
      <w:marRight w:val="0"/>
      <w:marTop w:val="0"/>
      <w:marBottom w:val="0"/>
      <w:divBdr>
        <w:top w:val="none" w:sz="0" w:space="0" w:color="auto"/>
        <w:left w:val="none" w:sz="0" w:space="0" w:color="auto"/>
        <w:bottom w:val="none" w:sz="0" w:space="0" w:color="auto"/>
        <w:right w:val="none" w:sz="0" w:space="0" w:color="auto"/>
      </w:divBdr>
    </w:div>
    <w:div w:id="1149135445">
      <w:bodyDiv w:val="1"/>
      <w:marLeft w:val="0"/>
      <w:marRight w:val="0"/>
      <w:marTop w:val="0"/>
      <w:marBottom w:val="0"/>
      <w:divBdr>
        <w:top w:val="none" w:sz="0" w:space="0" w:color="auto"/>
        <w:left w:val="none" w:sz="0" w:space="0" w:color="auto"/>
        <w:bottom w:val="none" w:sz="0" w:space="0" w:color="auto"/>
        <w:right w:val="none" w:sz="0" w:space="0" w:color="auto"/>
      </w:divBdr>
    </w:div>
    <w:div w:id="1186871212">
      <w:bodyDiv w:val="1"/>
      <w:marLeft w:val="0"/>
      <w:marRight w:val="0"/>
      <w:marTop w:val="0"/>
      <w:marBottom w:val="0"/>
      <w:divBdr>
        <w:top w:val="none" w:sz="0" w:space="0" w:color="auto"/>
        <w:left w:val="none" w:sz="0" w:space="0" w:color="auto"/>
        <w:bottom w:val="none" w:sz="0" w:space="0" w:color="auto"/>
        <w:right w:val="none" w:sz="0" w:space="0" w:color="auto"/>
      </w:divBdr>
    </w:div>
    <w:div w:id="1190073600">
      <w:bodyDiv w:val="1"/>
      <w:marLeft w:val="0"/>
      <w:marRight w:val="0"/>
      <w:marTop w:val="0"/>
      <w:marBottom w:val="0"/>
      <w:divBdr>
        <w:top w:val="none" w:sz="0" w:space="0" w:color="auto"/>
        <w:left w:val="none" w:sz="0" w:space="0" w:color="auto"/>
        <w:bottom w:val="none" w:sz="0" w:space="0" w:color="auto"/>
        <w:right w:val="none" w:sz="0" w:space="0" w:color="auto"/>
      </w:divBdr>
      <w:divsChild>
        <w:div w:id="827093585">
          <w:marLeft w:val="547"/>
          <w:marRight w:val="0"/>
          <w:marTop w:val="0"/>
          <w:marBottom w:val="120"/>
          <w:divBdr>
            <w:top w:val="none" w:sz="0" w:space="0" w:color="auto"/>
            <w:left w:val="none" w:sz="0" w:space="0" w:color="auto"/>
            <w:bottom w:val="none" w:sz="0" w:space="0" w:color="auto"/>
            <w:right w:val="none" w:sz="0" w:space="0" w:color="auto"/>
          </w:divBdr>
        </w:div>
        <w:div w:id="880901376">
          <w:marLeft w:val="547"/>
          <w:marRight w:val="0"/>
          <w:marTop w:val="0"/>
          <w:marBottom w:val="120"/>
          <w:divBdr>
            <w:top w:val="none" w:sz="0" w:space="0" w:color="auto"/>
            <w:left w:val="none" w:sz="0" w:space="0" w:color="auto"/>
            <w:bottom w:val="none" w:sz="0" w:space="0" w:color="auto"/>
            <w:right w:val="none" w:sz="0" w:space="0" w:color="auto"/>
          </w:divBdr>
        </w:div>
        <w:div w:id="1288127685">
          <w:marLeft w:val="547"/>
          <w:marRight w:val="0"/>
          <w:marTop w:val="0"/>
          <w:marBottom w:val="120"/>
          <w:divBdr>
            <w:top w:val="none" w:sz="0" w:space="0" w:color="auto"/>
            <w:left w:val="none" w:sz="0" w:space="0" w:color="auto"/>
            <w:bottom w:val="none" w:sz="0" w:space="0" w:color="auto"/>
            <w:right w:val="none" w:sz="0" w:space="0" w:color="auto"/>
          </w:divBdr>
        </w:div>
        <w:div w:id="1346857593">
          <w:marLeft w:val="547"/>
          <w:marRight w:val="0"/>
          <w:marTop w:val="0"/>
          <w:marBottom w:val="120"/>
          <w:divBdr>
            <w:top w:val="none" w:sz="0" w:space="0" w:color="auto"/>
            <w:left w:val="none" w:sz="0" w:space="0" w:color="auto"/>
            <w:bottom w:val="none" w:sz="0" w:space="0" w:color="auto"/>
            <w:right w:val="none" w:sz="0" w:space="0" w:color="auto"/>
          </w:divBdr>
        </w:div>
        <w:div w:id="1404793615">
          <w:marLeft w:val="547"/>
          <w:marRight w:val="0"/>
          <w:marTop w:val="0"/>
          <w:marBottom w:val="120"/>
          <w:divBdr>
            <w:top w:val="none" w:sz="0" w:space="0" w:color="auto"/>
            <w:left w:val="none" w:sz="0" w:space="0" w:color="auto"/>
            <w:bottom w:val="none" w:sz="0" w:space="0" w:color="auto"/>
            <w:right w:val="none" w:sz="0" w:space="0" w:color="auto"/>
          </w:divBdr>
        </w:div>
        <w:div w:id="1718813811">
          <w:marLeft w:val="547"/>
          <w:marRight w:val="0"/>
          <w:marTop w:val="0"/>
          <w:marBottom w:val="120"/>
          <w:divBdr>
            <w:top w:val="none" w:sz="0" w:space="0" w:color="auto"/>
            <w:left w:val="none" w:sz="0" w:space="0" w:color="auto"/>
            <w:bottom w:val="none" w:sz="0" w:space="0" w:color="auto"/>
            <w:right w:val="none" w:sz="0" w:space="0" w:color="auto"/>
          </w:divBdr>
        </w:div>
        <w:div w:id="1980769948">
          <w:marLeft w:val="547"/>
          <w:marRight w:val="0"/>
          <w:marTop w:val="0"/>
          <w:marBottom w:val="120"/>
          <w:divBdr>
            <w:top w:val="none" w:sz="0" w:space="0" w:color="auto"/>
            <w:left w:val="none" w:sz="0" w:space="0" w:color="auto"/>
            <w:bottom w:val="none" w:sz="0" w:space="0" w:color="auto"/>
            <w:right w:val="none" w:sz="0" w:space="0" w:color="auto"/>
          </w:divBdr>
        </w:div>
        <w:div w:id="2125954226">
          <w:marLeft w:val="547"/>
          <w:marRight w:val="0"/>
          <w:marTop w:val="0"/>
          <w:marBottom w:val="120"/>
          <w:divBdr>
            <w:top w:val="none" w:sz="0" w:space="0" w:color="auto"/>
            <w:left w:val="none" w:sz="0" w:space="0" w:color="auto"/>
            <w:bottom w:val="none" w:sz="0" w:space="0" w:color="auto"/>
            <w:right w:val="none" w:sz="0" w:space="0" w:color="auto"/>
          </w:divBdr>
        </w:div>
      </w:divsChild>
    </w:div>
    <w:div w:id="1312365378">
      <w:bodyDiv w:val="1"/>
      <w:marLeft w:val="0"/>
      <w:marRight w:val="0"/>
      <w:marTop w:val="0"/>
      <w:marBottom w:val="0"/>
      <w:divBdr>
        <w:top w:val="none" w:sz="0" w:space="0" w:color="auto"/>
        <w:left w:val="none" w:sz="0" w:space="0" w:color="auto"/>
        <w:bottom w:val="none" w:sz="0" w:space="0" w:color="auto"/>
        <w:right w:val="none" w:sz="0" w:space="0" w:color="auto"/>
      </w:divBdr>
    </w:div>
    <w:div w:id="1332097717">
      <w:bodyDiv w:val="1"/>
      <w:marLeft w:val="0"/>
      <w:marRight w:val="0"/>
      <w:marTop w:val="0"/>
      <w:marBottom w:val="0"/>
      <w:divBdr>
        <w:top w:val="none" w:sz="0" w:space="0" w:color="auto"/>
        <w:left w:val="none" w:sz="0" w:space="0" w:color="auto"/>
        <w:bottom w:val="none" w:sz="0" w:space="0" w:color="auto"/>
        <w:right w:val="none" w:sz="0" w:space="0" w:color="auto"/>
      </w:divBdr>
    </w:div>
    <w:div w:id="1471095554">
      <w:bodyDiv w:val="1"/>
      <w:marLeft w:val="0"/>
      <w:marRight w:val="0"/>
      <w:marTop w:val="0"/>
      <w:marBottom w:val="0"/>
      <w:divBdr>
        <w:top w:val="none" w:sz="0" w:space="0" w:color="auto"/>
        <w:left w:val="none" w:sz="0" w:space="0" w:color="auto"/>
        <w:bottom w:val="none" w:sz="0" w:space="0" w:color="auto"/>
        <w:right w:val="none" w:sz="0" w:space="0" w:color="auto"/>
      </w:divBdr>
    </w:div>
    <w:div w:id="1496191953">
      <w:bodyDiv w:val="1"/>
      <w:marLeft w:val="0"/>
      <w:marRight w:val="0"/>
      <w:marTop w:val="0"/>
      <w:marBottom w:val="0"/>
      <w:divBdr>
        <w:top w:val="none" w:sz="0" w:space="0" w:color="auto"/>
        <w:left w:val="none" w:sz="0" w:space="0" w:color="auto"/>
        <w:bottom w:val="none" w:sz="0" w:space="0" w:color="auto"/>
        <w:right w:val="none" w:sz="0" w:space="0" w:color="auto"/>
      </w:divBdr>
      <w:divsChild>
        <w:div w:id="170686976">
          <w:marLeft w:val="0"/>
          <w:marRight w:val="0"/>
          <w:marTop w:val="0"/>
          <w:marBottom w:val="120"/>
          <w:divBdr>
            <w:top w:val="none" w:sz="0" w:space="0" w:color="auto"/>
            <w:left w:val="none" w:sz="0" w:space="0" w:color="auto"/>
            <w:bottom w:val="none" w:sz="0" w:space="0" w:color="auto"/>
            <w:right w:val="none" w:sz="0" w:space="0" w:color="auto"/>
          </w:divBdr>
        </w:div>
        <w:div w:id="693919763">
          <w:marLeft w:val="0"/>
          <w:marRight w:val="0"/>
          <w:marTop w:val="0"/>
          <w:marBottom w:val="120"/>
          <w:divBdr>
            <w:top w:val="none" w:sz="0" w:space="0" w:color="auto"/>
            <w:left w:val="none" w:sz="0" w:space="0" w:color="auto"/>
            <w:bottom w:val="none" w:sz="0" w:space="0" w:color="auto"/>
            <w:right w:val="none" w:sz="0" w:space="0" w:color="auto"/>
          </w:divBdr>
        </w:div>
        <w:div w:id="826168901">
          <w:marLeft w:val="0"/>
          <w:marRight w:val="0"/>
          <w:marTop w:val="0"/>
          <w:marBottom w:val="120"/>
          <w:divBdr>
            <w:top w:val="none" w:sz="0" w:space="0" w:color="auto"/>
            <w:left w:val="none" w:sz="0" w:space="0" w:color="auto"/>
            <w:bottom w:val="none" w:sz="0" w:space="0" w:color="auto"/>
            <w:right w:val="none" w:sz="0" w:space="0" w:color="auto"/>
          </w:divBdr>
        </w:div>
        <w:div w:id="1033117792">
          <w:marLeft w:val="0"/>
          <w:marRight w:val="0"/>
          <w:marTop w:val="0"/>
          <w:marBottom w:val="120"/>
          <w:divBdr>
            <w:top w:val="none" w:sz="0" w:space="0" w:color="auto"/>
            <w:left w:val="none" w:sz="0" w:space="0" w:color="auto"/>
            <w:bottom w:val="none" w:sz="0" w:space="0" w:color="auto"/>
            <w:right w:val="none" w:sz="0" w:space="0" w:color="auto"/>
          </w:divBdr>
        </w:div>
        <w:div w:id="1424299368">
          <w:marLeft w:val="0"/>
          <w:marRight w:val="0"/>
          <w:marTop w:val="0"/>
          <w:marBottom w:val="120"/>
          <w:divBdr>
            <w:top w:val="none" w:sz="0" w:space="0" w:color="auto"/>
            <w:left w:val="none" w:sz="0" w:space="0" w:color="auto"/>
            <w:bottom w:val="none" w:sz="0" w:space="0" w:color="auto"/>
            <w:right w:val="none" w:sz="0" w:space="0" w:color="auto"/>
          </w:divBdr>
        </w:div>
        <w:div w:id="1947157577">
          <w:marLeft w:val="0"/>
          <w:marRight w:val="0"/>
          <w:marTop w:val="0"/>
          <w:marBottom w:val="120"/>
          <w:divBdr>
            <w:top w:val="none" w:sz="0" w:space="0" w:color="auto"/>
            <w:left w:val="none" w:sz="0" w:space="0" w:color="auto"/>
            <w:bottom w:val="none" w:sz="0" w:space="0" w:color="auto"/>
            <w:right w:val="none" w:sz="0" w:space="0" w:color="auto"/>
          </w:divBdr>
        </w:div>
        <w:div w:id="1979802656">
          <w:marLeft w:val="0"/>
          <w:marRight w:val="0"/>
          <w:marTop w:val="0"/>
          <w:marBottom w:val="120"/>
          <w:divBdr>
            <w:top w:val="none" w:sz="0" w:space="0" w:color="auto"/>
            <w:left w:val="none" w:sz="0" w:space="0" w:color="auto"/>
            <w:bottom w:val="none" w:sz="0" w:space="0" w:color="auto"/>
            <w:right w:val="none" w:sz="0" w:space="0" w:color="auto"/>
          </w:divBdr>
        </w:div>
      </w:divsChild>
    </w:div>
    <w:div w:id="1512374922">
      <w:bodyDiv w:val="1"/>
      <w:marLeft w:val="0"/>
      <w:marRight w:val="0"/>
      <w:marTop w:val="0"/>
      <w:marBottom w:val="0"/>
      <w:divBdr>
        <w:top w:val="none" w:sz="0" w:space="0" w:color="auto"/>
        <w:left w:val="none" w:sz="0" w:space="0" w:color="auto"/>
        <w:bottom w:val="none" w:sz="0" w:space="0" w:color="auto"/>
        <w:right w:val="none" w:sz="0" w:space="0" w:color="auto"/>
      </w:divBdr>
    </w:div>
    <w:div w:id="1516578381">
      <w:bodyDiv w:val="1"/>
      <w:marLeft w:val="0"/>
      <w:marRight w:val="0"/>
      <w:marTop w:val="0"/>
      <w:marBottom w:val="0"/>
      <w:divBdr>
        <w:top w:val="none" w:sz="0" w:space="0" w:color="auto"/>
        <w:left w:val="none" w:sz="0" w:space="0" w:color="auto"/>
        <w:bottom w:val="none" w:sz="0" w:space="0" w:color="auto"/>
        <w:right w:val="none" w:sz="0" w:space="0" w:color="auto"/>
      </w:divBdr>
    </w:div>
    <w:div w:id="1559437025">
      <w:bodyDiv w:val="1"/>
      <w:marLeft w:val="0"/>
      <w:marRight w:val="0"/>
      <w:marTop w:val="0"/>
      <w:marBottom w:val="0"/>
      <w:divBdr>
        <w:top w:val="none" w:sz="0" w:space="0" w:color="auto"/>
        <w:left w:val="none" w:sz="0" w:space="0" w:color="auto"/>
        <w:bottom w:val="none" w:sz="0" w:space="0" w:color="auto"/>
        <w:right w:val="none" w:sz="0" w:space="0" w:color="auto"/>
      </w:divBdr>
    </w:div>
    <w:div w:id="1595624078">
      <w:bodyDiv w:val="1"/>
      <w:marLeft w:val="0"/>
      <w:marRight w:val="0"/>
      <w:marTop w:val="0"/>
      <w:marBottom w:val="0"/>
      <w:divBdr>
        <w:top w:val="none" w:sz="0" w:space="0" w:color="auto"/>
        <w:left w:val="none" w:sz="0" w:space="0" w:color="auto"/>
        <w:bottom w:val="none" w:sz="0" w:space="0" w:color="auto"/>
        <w:right w:val="none" w:sz="0" w:space="0" w:color="auto"/>
      </w:divBdr>
      <w:divsChild>
        <w:div w:id="62720332">
          <w:marLeft w:val="547"/>
          <w:marRight w:val="0"/>
          <w:marTop w:val="0"/>
          <w:marBottom w:val="120"/>
          <w:divBdr>
            <w:top w:val="none" w:sz="0" w:space="0" w:color="auto"/>
            <w:left w:val="none" w:sz="0" w:space="0" w:color="auto"/>
            <w:bottom w:val="none" w:sz="0" w:space="0" w:color="auto"/>
            <w:right w:val="none" w:sz="0" w:space="0" w:color="auto"/>
          </w:divBdr>
        </w:div>
        <w:div w:id="514081534">
          <w:marLeft w:val="547"/>
          <w:marRight w:val="0"/>
          <w:marTop w:val="0"/>
          <w:marBottom w:val="120"/>
          <w:divBdr>
            <w:top w:val="none" w:sz="0" w:space="0" w:color="auto"/>
            <w:left w:val="none" w:sz="0" w:space="0" w:color="auto"/>
            <w:bottom w:val="none" w:sz="0" w:space="0" w:color="auto"/>
            <w:right w:val="none" w:sz="0" w:space="0" w:color="auto"/>
          </w:divBdr>
        </w:div>
        <w:div w:id="957222332">
          <w:marLeft w:val="547"/>
          <w:marRight w:val="0"/>
          <w:marTop w:val="0"/>
          <w:marBottom w:val="120"/>
          <w:divBdr>
            <w:top w:val="none" w:sz="0" w:space="0" w:color="auto"/>
            <w:left w:val="none" w:sz="0" w:space="0" w:color="auto"/>
            <w:bottom w:val="none" w:sz="0" w:space="0" w:color="auto"/>
            <w:right w:val="none" w:sz="0" w:space="0" w:color="auto"/>
          </w:divBdr>
        </w:div>
        <w:div w:id="1788155701">
          <w:marLeft w:val="547"/>
          <w:marRight w:val="0"/>
          <w:marTop w:val="0"/>
          <w:marBottom w:val="120"/>
          <w:divBdr>
            <w:top w:val="none" w:sz="0" w:space="0" w:color="auto"/>
            <w:left w:val="none" w:sz="0" w:space="0" w:color="auto"/>
            <w:bottom w:val="none" w:sz="0" w:space="0" w:color="auto"/>
            <w:right w:val="none" w:sz="0" w:space="0" w:color="auto"/>
          </w:divBdr>
        </w:div>
        <w:div w:id="2091152668">
          <w:marLeft w:val="547"/>
          <w:marRight w:val="0"/>
          <w:marTop w:val="0"/>
          <w:marBottom w:val="120"/>
          <w:divBdr>
            <w:top w:val="none" w:sz="0" w:space="0" w:color="auto"/>
            <w:left w:val="none" w:sz="0" w:space="0" w:color="auto"/>
            <w:bottom w:val="none" w:sz="0" w:space="0" w:color="auto"/>
            <w:right w:val="none" w:sz="0" w:space="0" w:color="auto"/>
          </w:divBdr>
        </w:div>
      </w:divsChild>
    </w:div>
    <w:div w:id="1606840114">
      <w:bodyDiv w:val="1"/>
      <w:marLeft w:val="0"/>
      <w:marRight w:val="0"/>
      <w:marTop w:val="0"/>
      <w:marBottom w:val="0"/>
      <w:divBdr>
        <w:top w:val="none" w:sz="0" w:space="0" w:color="auto"/>
        <w:left w:val="none" w:sz="0" w:space="0" w:color="auto"/>
        <w:bottom w:val="none" w:sz="0" w:space="0" w:color="auto"/>
        <w:right w:val="none" w:sz="0" w:space="0" w:color="auto"/>
      </w:divBdr>
      <w:divsChild>
        <w:div w:id="293214889">
          <w:marLeft w:val="648"/>
          <w:marRight w:val="0"/>
          <w:marTop w:val="5"/>
          <w:marBottom w:val="40"/>
          <w:divBdr>
            <w:top w:val="none" w:sz="0" w:space="0" w:color="auto"/>
            <w:left w:val="none" w:sz="0" w:space="0" w:color="auto"/>
            <w:bottom w:val="none" w:sz="0" w:space="0" w:color="auto"/>
            <w:right w:val="none" w:sz="0" w:space="0" w:color="auto"/>
          </w:divBdr>
        </w:div>
        <w:div w:id="342821616">
          <w:marLeft w:val="1008"/>
          <w:marRight w:val="0"/>
          <w:marTop w:val="5"/>
          <w:marBottom w:val="40"/>
          <w:divBdr>
            <w:top w:val="none" w:sz="0" w:space="0" w:color="auto"/>
            <w:left w:val="none" w:sz="0" w:space="0" w:color="auto"/>
            <w:bottom w:val="none" w:sz="0" w:space="0" w:color="auto"/>
            <w:right w:val="none" w:sz="0" w:space="0" w:color="auto"/>
          </w:divBdr>
        </w:div>
        <w:div w:id="395980031">
          <w:marLeft w:val="1008"/>
          <w:marRight w:val="0"/>
          <w:marTop w:val="5"/>
          <w:marBottom w:val="40"/>
          <w:divBdr>
            <w:top w:val="none" w:sz="0" w:space="0" w:color="auto"/>
            <w:left w:val="none" w:sz="0" w:space="0" w:color="auto"/>
            <w:bottom w:val="none" w:sz="0" w:space="0" w:color="auto"/>
            <w:right w:val="none" w:sz="0" w:space="0" w:color="auto"/>
          </w:divBdr>
        </w:div>
        <w:div w:id="459880740">
          <w:marLeft w:val="288"/>
          <w:marRight w:val="0"/>
          <w:marTop w:val="5"/>
          <w:marBottom w:val="40"/>
          <w:divBdr>
            <w:top w:val="none" w:sz="0" w:space="0" w:color="auto"/>
            <w:left w:val="none" w:sz="0" w:space="0" w:color="auto"/>
            <w:bottom w:val="none" w:sz="0" w:space="0" w:color="auto"/>
            <w:right w:val="none" w:sz="0" w:space="0" w:color="auto"/>
          </w:divBdr>
        </w:div>
        <w:div w:id="485635134">
          <w:marLeft w:val="1008"/>
          <w:marRight w:val="0"/>
          <w:marTop w:val="5"/>
          <w:marBottom w:val="40"/>
          <w:divBdr>
            <w:top w:val="none" w:sz="0" w:space="0" w:color="auto"/>
            <w:left w:val="none" w:sz="0" w:space="0" w:color="auto"/>
            <w:bottom w:val="none" w:sz="0" w:space="0" w:color="auto"/>
            <w:right w:val="none" w:sz="0" w:space="0" w:color="auto"/>
          </w:divBdr>
        </w:div>
        <w:div w:id="568542976">
          <w:marLeft w:val="1008"/>
          <w:marRight w:val="0"/>
          <w:marTop w:val="5"/>
          <w:marBottom w:val="40"/>
          <w:divBdr>
            <w:top w:val="none" w:sz="0" w:space="0" w:color="auto"/>
            <w:left w:val="none" w:sz="0" w:space="0" w:color="auto"/>
            <w:bottom w:val="none" w:sz="0" w:space="0" w:color="auto"/>
            <w:right w:val="none" w:sz="0" w:space="0" w:color="auto"/>
          </w:divBdr>
        </w:div>
        <w:div w:id="951788580">
          <w:marLeft w:val="1008"/>
          <w:marRight w:val="0"/>
          <w:marTop w:val="5"/>
          <w:marBottom w:val="40"/>
          <w:divBdr>
            <w:top w:val="none" w:sz="0" w:space="0" w:color="auto"/>
            <w:left w:val="none" w:sz="0" w:space="0" w:color="auto"/>
            <w:bottom w:val="none" w:sz="0" w:space="0" w:color="auto"/>
            <w:right w:val="none" w:sz="0" w:space="0" w:color="auto"/>
          </w:divBdr>
        </w:div>
        <w:div w:id="1132942932">
          <w:marLeft w:val="1008"/>
          <w:marRight w:val="0"/>
          <w:marTop w:val="5"/>
          <w:marBottom w:val="40"/>
          <w:divBdr>
            <w:top w:val="none" w:sz="0" w:space="0" w:color="auto"/>
            <w:left w:val="none" w:sz="0" w:space="0" w:color="auto"/>
            <w:bottom w:val="none" w:sz="0" w:space="0" w:color="auto"/>
            <w:right w:val="none" w:sz="0" w:space="0" w:color="auto"/>
          </w:divBdr>
        </w:div>
        <w:div w:id="1484397567">
          <w:marLeft w:val="648"/>
          <w:marRight w:val="0"/>
          <w:marTop w:val="5"/>
          <w:marBottom w:val="40"/>
          <w:divBdr>
            <w:top w:val="none" w:sz="0" w:space="0" w:color="auto"/>
            <w:left w:val="none" w:sz="0" w:space="0" w:color="auto"/>
            <w:bottom w:val="none" w:sz="0" w:space="0" w:color="auto"/>
            <w:right w:val="none" w:sz="0" w:space="0" w:color="auto"/>
          </w:divBdr>
        </w:div>
        <w:div w:id="1570075144">
          <w:marLeft w:val="648"/>
          <w:marRight w:val="0"/>
          <w:marTop w:val="5"/>
          <w:marBottom w:val="40"/>
          <w:divBdr>
            <w:top w:val="none" w:sz="0" w:space="0" w:color="auto"/>
            <w:left w:val="none" w:sz="0" w:space="0" w:color="auto"/>
            <w:bottom w:val="none" w:sz="0" w:space="0" w:color="auto"/>
            <w:right w:val="none" w:sz="0" w:space="0" w:color="auto"/>
          </w:divBdr>
        </w:div>
      </w:divsChild>
    </w:div>
    <w:div w:id="1610240394">
      <w:bodyDiv w:val="1"/>
      <w:marLeft w:val="0"/>
      <w:marRight w:val="0"/>
      <w:marTop w:val="0"/>
      <w:marBottom w:val="0"/>
      <w:divBdr>
        <w:top w:val="none" w:sz="0" w:space="0" w:color="auto"/>
        <w:left w:val="none" w:sz="0" w:space="0" w:color="auto"/>
        <w:bottom w:val="none" w:sz="0" w:space="0" w:color="auto"/>
        <w:right w:val="none" w:sz="0" w:space="0" w:color="auto"/>
      </w:divBdr>
      <w:divsChild>
        <w:div w:id="3283334">
          <w:marLeft w:val="994"/>
          <w:marRight w:val="0"/>
          <w:marTop w:val="86"/>
          <w:marBottom w:val="0"/>
          <w:divBdr>
            <w:top w:val="none" w:sz="0" w:space="0" w:color="auto"/>
            <w:left w:val="none" w:sz="0" w:space="0" w:color="auto"/>
            <w:bottom w:val="none" w:sz="0" w:space="0" w:color="auto"/>
            <w:right w:val="none" w:sz="0" w:space="0" w:color="auto"/>
          </w:divBdr>
        </w:div>
        <w:div w:id="1648240061">
          <w:marLeft w:val="994"/>
          <w:marRight w:val="0"/>
          <w:marTop w:val="86"/>
          <w:marBottom w:val="0"/>
          <w:divBdr>
            <w:top w:val="none" w:sz="0" w:space="0" w:color="auto"/>
            <w:left w:val="none" w:sz="0" w:space="0" w:color="auto"/>
            <w:bottom w:val="none" w:sz="0" w:space="0" w:color="auto"/>
            <w:right w:val="none" w:sz="0" w:space="0" w:color="auto"/>
          </w:divBdr>
        </w:div>
        <w:div w:id="1850632045">
          <w:marLeft w:val="994"/>
          <w:marRight w:val="0"/>
          <w:marTop w:val="86"/>
          <w:marBottom w:val="0"/>
          <w:divBdr>
            <w:top w:val="none" w:sz="0" w:space="0" w:color="auto"/>
            <w:left w:val="none" w:sz="0" w:space="0" w:color="auto"/>
            <w:bottom w:val="none" w:sz="0" w:space="0" w:color="auto"/>
            <w:right w:val="none" w:sz="0" w:space="0" w:color="auto"/>
          </w:divBdr>
        </w:div>
      </w:divsChild>
    </w:div>
    <w:div w:id="1616475331">
      <w:bodyDiv w:val="1"/>
      <w:marLeft w:val="0"/>
      <w:marRight w:val="0"/>
      <w:marTop w:val="0"/>
      <w:marBottom w:val="0"/>
      <w:divBdr>
        <w:top w:val="none" w:sz="0" w:space="0" w:color="auto"/>
        <w:left w:val="none" w:sz="0" w:space="0" w:color="auto"/>
        <w:bottom w:val="none" w:sz="0" w:space="0" w:color="auto"/>
        <w:right w:val="none" w:sz="0" w:space="0" w:color="auto"/>
      </w:divBdr>
      <w:divsChild>
        <w:div w:id="595947042">
          <w:marLeft w:val="274"/>
          <w:marRight w:val="0"/>
          <w:marTop w:val="86"/>
          <w:marBottom w:val="0"/>
          <w:divBdr>
            <w:top w:val="none" w:sz="0" w:space="0" w:color="auto"/>
            <w:left w:val="none" w:sz="0" w:space="0" w:color="auto"/>
            <w:bottom w:val="none" w:sz="0" w:space="0" w:color="auto"/>
            <w:right w:val="none" w:sz="0" w:space="0" w:color="auto"/>
          </w:divBdr>
        </w:div>
        <w:div w:id="1065104530">
          <w:marLeft w:val="274"/>
          <w:marRight w:val="0"/>
          <w:marTop w:val="86"/>
          <w:marBottom w:val="0"/>
          <w:divBdr>
            <w:top w:val="none" w:sz="0" w:space="0" w:color="auto"/>
            <w:left w:val="none" w:sz="0" w:space="0" w:color="auto"/>
            <w:bottom w:val="none" w:sz="0" w:space="0" w:color="auto"/>
            <w:right w:val="none" w:sz="0" w:space="0" w:color="auto"/>
          </w:divBdr>
        </w:div>
      </w:divsChild>
    </w:div>
    <w:div w:id="1724912937">
      <w:bodyDiv w:val="1"/>
      <w:marLeft w:val="0"/>
      <w:marRight w:val="0"/>
      <w:marTop w:val="0"/>
      <w:marBottom w:val="0"/>
      <w:divBdr>
        <w:top w:val="none" w:sz="0" w:space="0" w:color="auto"/>
        <w:left w:val="none" w:sz="0" w:space="0" w:color="auto"/>
        <w:bottom w:val="none" w:sz="0" w:space="0" w:color="auto"/>
        <w:right w:val="none" w:sz="0" w:space="0" w:color="auto"/>
      </w:divBdr>
    </w:div>
    <w:div w:id="1774351129">
      <w:bodyDiv w:val="1"/>
      <w:marLeft w:val="0"/>
      <w:marRight w:val="0"/>
      <w:marTop w:val="0"/>
      <w:marBottom w:val="0"/>
      <w:divBdr>
        <w:top w:val="none" w:sz="0" w:space="0" w:color="auto"/>
        <w:left w:val="none" w:sz="0" w:space="0" w:color="auto"/>
        <w:bottom w:val="none" w:sz="0" w:space="0" w:color="auto"/>
        <w:right w:val="none" w:sz="0" w:space="0" w:color="auto"/>
      </w:divBdr>
    </w:div>
    <w:div w:id="1815680997">
      <w:bodyDiv w:val="1"/>
      <w:marLeft w:val="0"/>
      <w:marRight w:val="0"/>
      <w:marTop w:val="0"/>
      <w:marBottom w:val="0"/>
      <w:divBdr>
        <w:top w:val="none" w:sz="0" w:space="0" w:color="auto"/>
        <w:left w:val="none" w:sz="0" w:space="0" w:color="auto"/>
        <w:bottom w:val="none" w:sz="0" w:space="0" w:color="auto"/>
        <w:right w:val="none" w:sz="0" w:space="0" w:color="auto"/>
      </w:divBdr>
    </w:div>
    <w:div w:id="1820222865">
      <w:bodyDiv w:val="1"/>
      <w:marLeft w:val="0"/>
      <w:marRight w:val="0"/>
      <w:marTop w:val="0"/>
      <w:marBottom w:val="0"/>
      <w:divBdr>
        <w:top w:val="none" w:sz="0" w:space="0" w:color="auto"/>
        <w:left w:val="none" w:sz="0" w:space="0" w:color="auto"/>
        <w:bottom w:val="none" w:sz="0" w:space="0" w:color="auto"/>
        <w:right w:val="none" w:sz="0" w:space="0" w:color="auto"/>
      </w:divBdr>
    </w:div>
    <w:div w:id="1830748236">
      <w:bodyDiv w:val="1"/>
      <w:marLeft w:val="0"/>
      <w:marRight w:val="0"/>
      <w:marTop w:val="0"/>
      <w:marBottom w:val="0"/>
      <w:divBdr>
        <w:top w:val="none" w:sz="0" w:space="0" w:color="auto"/>
        <w:left w:val="none" w:sz="0" w:space="0" w:color="auto"/>
        <w:bottom w:val="none" w:sz="0" w:space="0" w:color="auto"/>
        <w:right w:val="none" w:sz="0" w:space="0" w:color="auto"/>
      </w:divBdr>
    </w:div>
    <w:div w:id="1833334217">
      <w:bodyDiv w:val="1"/>
      <w:marLeft w:val="0"/>
      <w:marRight w:val="0"/>
      <w:marTop w:val="0"/>
      <w:marBottom w:val="0"/>
      <w:divBdr>
        <w:top w:val="none" w:sz="0" w:space="0" w:color="auto"/>
        <w:left w:val="none" w:sz="0" w:space="0" w:color="auto"/>
        <w:bottom w:val="none" w:sz="0" w:space="0" w:color="auto"/>
        <w:right w:val="none" w:sz="0" w:space="0" w:color="auto"/>
      </w:divBdr>
    </w:div>
    <w:div w:id="1898322177">
      <w:bodyDiv w:val="1"/>
      <w:marLeft w:val="0"/>
      <w:marRight w:val="0"/>
      <w:marTop w:val="0"/>
      <w:marBottom w:val="0"/>
      <w:divBdr>
        <w:top w:val="none" w:sz="0" w:space="0" w:color="auto"/>
        <w:left w:val="none" w:sz="0" w:space="0" w:color="auto"/>
        <w:bottom w:val="none" w:sz="0" w:space="0" w:color="auto"/>
        <w:right w:val="none" w:sz="0" w:space="0" w:color="auto"/>
      </w:divBdr>
      <w:divsChild>
        <w:div w:id="19209188">
          <w:marLeft w:val="0"/>
          <w:marRight w:val="0"/>
          <w:marTop w:val="0"/>
          <w:marBottom w:val="120"/>
          <w:divBdr>
            <w:top w:val="none" w:sz="0" w:space="0" w:color="auto"/>
            <w:left w:val="none" w:sz="0" w:space="0" w:color="auto"/>
            <w:bottom w:val="none" w:sz="0" w:space="0" w:color="auto"/>
            <w:right w:val="none" w:sz="0" w:space="0" w:color="auto"/>
          </w:divBdr>
        </w:div>
        <w:div w:id="179899058">
          <w:marLeft w:val="0"/>
          <w:marRight w:val="0"/>
          <w:marTop w:val="0"/>
          <w:marBottom w:val="120"/>
          <w:divBdr>
            <w:top w:val="none" w:sz="0" w:space="0" w:color="auto"/>
            <w:left w:val="none" w:sz="0" w:space="0" w:color="auto"/>
            <w:bottom w:val="none" w:sz="0" w:space="0" w:color="auto"/>
            <w:right w:val="none" w:sz="0" w:space="0" w:color="auto"/>
          </w:divBdr>
        </w:div>
        <w:div w:id="325598596">
          <w:marLeft w:val="0"/>
          <w:marRight w:val="0"/>
          <w:marTop w:val="0"/>
          <w:marBottom w:val="120"/>
          <w:divBdr>
            <w:top w:val="none" w:sz="0" w:space="0" w:color="auto"/>
            <w:left w:val="none" w:sz="0" w:space="0" w:color="auto"/>
            <w:bottom w:val="none" w:sz="0" w:space="0" w:color="auto"/>
            <w:right w:val="none" w:sz="0" w:space="0" w:color="auto"/>
          </w:divBdr>
        </w:div>
        <w:div w:id="574895460">
          <w:marLeft w:val="0"/>
          <w:marRight w:val="0"/>
          <w:marTop w:val="0"/>
          <w:marBottom w:val="120"/>
          <w:divBdr>
            <w:top w:val="none" w:sz="0" w:space="0" w:color="auto"/>
            <w:left w:val="none" w:sz="0" w:space="0" w:color="auto"/>
            <w:bottom w:val="none" w:sz="0" w:space="0" w:color="auto"/>
            <w:right w:val="none" w:sz="0" w:space="0" w:color="auto"/>
          </w:divBdr>
        </w:div>
        <w:div w:id="616176210">
          <w:marLeft w:val="0"/>
          <w:marRight w:val="0"/>
          <w:marTop w:val="0"/>
          <w:marBottom w:val="120"/>
          <w:divBdr>
            <w:top w:val="none" w:sz="0" w:space="0" w:color="auto"/>
            <w:left w:val="none" w:sz="0" w:space="0" w:color="auto"/>
            <w:bottom w:val="none" w:sz="0" w:space="0" w:color="auto"/>
            <w:right w:val="none" w:sz="0" w:space="0" w:color="auto"/>
          </w:divBdr>
        </w:div>
        <w:div w:id="944003328">
          <w:marLeft w:val="0"/>
          <w:marRight w:val="0"/>
          <w:marTop w:val="0"/>
          <w:marBottom w:val="120"/>
          <w:divBdr>
            <w:top w:val="none" w:sz="0" w:space="0" w:color="auto"/>
            <w:left w:val="none" w:sz="0" w:space="0" w:color="auto"/>
            <w:bottom w:val="none" w:sz="0" w:space="0" w:color="auto"/>
            <w:right w:val="none" w:sz="0" w:space="0" w:color="auto"/>
          </w:divBdr>
        </w:div>
        <w:div w:id="1005204284">
          <w:marLeft w:val="0"/>
          <w:marRight w:val="0"/>
          <w:marTop w:val="0"/>
          <w:marBottom w:val="120"/>
          <w:divBdr>
            <w:top w:val="none" w:sz="0" w:space="0" w:color="auto"/>
            <w:left w:val="none" w:sz="0" w:space="0" w:color="auto"/>
            <w:bottom w:val="none" w:sz="0" w:space="0" w:color="auto"/>
            <w:right w:val="none" w:sz="0" w:space="0" w:color="auto"/>
          </w:divBdr>
        </w:div>
      </w:divsChild>
    </w:div>
    <w:div w:id="1990742535">
      <w:bodyDiv w:val="1"/>
      <w:marLeft w:val="0"/>
      <w:marRight w:val="0"/>
      <w:marTop w:val="0"/>
      <w:marBottom w:val="0"/>
      <w:divBdr>
        <w:top w:val="none" w:sz="0" w:space="0" w:color="auto"/>
        <w:left w:val="none" w:sz="0" w:space="0" w:color="auto"/>
        <w:bottom w:val="none" w:sz="0" w:space="0" w:color="auto"/>
        <w:right w:val="none" w:sz="0" w:space="0" w:color="auto"/>
      </w:divBdr>
      <w:divsChild>
        <w:div w:id="18901053">
          <w:marLeft w:val="547"/>
          <w:marRight w:val="0"/>
          <w:marTop w:val="0"/>
          <w:marBottom w:val="120"/>
          <w:divBdr>
            <w:top w:val="none" w:sz="0" w:space="0" w:color="auto"/>
            <w:left w:val="none" w:sz="0" w:space="0" w:color="auto"/>
            <w:bottom w:val="none" w:sz="0" w:space="0" w:color="auto"/>
            <w:right w:val="none" w:sz="0" w:space="0" w:color="auto"/>
          </w:divBdr>
        </w:div>
        <w:div w:id="170024381">
          <w:marLeft w:val="547"/>
          <w:marRight w:val="0"/>
          <w:marTop w:val="0"/>
          <w:marBottom w:val="120"/>
          <w:divBdr>
            <w:top w:val="none" w:sz="0" w:space="0" w:color="auto"/>
            <w:left w:val="none" w:sz="0" w:space="0" w:color="auto"/>
            <w:bottom w:val="none" w:sz="0" w:space="0" w:color="auto"/>
            <w:right w:val="none" w:sz="0" w:space="0" w:color="auto"/>
          </w:divBdr>
        </w:div>
        <w:div w:id="832333963">
          <w:marLeft w:val="547"/>
          <w:marRight w:val="0"/>
          <w:marTop w:val="0"/>
          <w:marBottom w:val="120"/>
          <w:divBdr>
            <w:top w:val="none" w:sz="0" w:space="0" w:color="auto"/>
            <w:left w:val="none" w:sz="0" w:space="0" w:color="auto"/>
            <w:bottom w:val="none" w:sz="0" w:space="0" w:color="auto"/>
            <w:right w:val="none" w:sz="0" w:space="0" w:color="auto"/>
          </w:divBdr>
        </w:div>
        <w:div w:id="1128551825">
          <w:marLeft w:val="547"/>
          <w:marRight w:val="0"/>
          <w:marTop w:val="0"/>
          <w:marBottom w:val="120"/>
          <w:divBdr>
            <w:top w:val="none" w:sz="0" w:space="0" w:color="auto"/>
            <w:left w:val="none" w:sz="0" w:space="0" w:color="auto"/>
            <w:bottom w:val="none" w:sz="0" w:space="0" w:color="auto"/>
            <w:right w:val="none" w:sz="0" w:space="0" w:color="auto"/>
          </w:divBdr>
        </w:div>
        <w:div w:id="1407649314">
          <w:marLeft w:val="547"/>
          <w:marRight w:val="0"/>
          <w:marTop w:val="0"/>
          <w:marBottom w:val="120"/>
          <w:divBdr>
            <w:top w:val="none" w:sz="0" w:space="0" w:color="auto"/>
            <w:left w:val="none" w:sz="0" w:space="0" w:color="auto"/>
            <w:bottom w:val="none" w:sz="0" w:space="0" w:color="auto"/>
            <w:right w:val="none" w:sz="0" w:space="0" w:color="auto"/>
          </w:divBdr>
        </w:div>
        <w:div w:id="1634678961">
          <w:marLeft w:val="547"/>
          <w:marRight w:val="0"/>
          <w:marTop w:val="0"/>
          <w:marBottom w:val="120"/>
          <w:divBdr>
            <w:top w:val="none" w:sz="0" w:space="0" w:color="auto"/>
            <w:left w:val="none" w:sz="0" w:space="0" w:color="auto"/>
            <w:bottom w:val="none" w:sz="0" w:space="0" w:color="auto"/>
            <w:right w:val="none" w:sz="0" w:space="0" w:color="auto"/>
          </w:divBdr>
        </w:div>
        <w:div w:id="1694921448">
          <w:marLeft w:val="547"/>
          <w:marRight w:val="0"/>
          <w:marTop w:val="0"/>
          <w:marBottom w:val="120"/>
          <w:divBdr>
            <w:top w:val="none" w:sz="0" w:space="0" w:color="auto"/>
            <w:left w:val="none" w:sz="0" w:space="0" w:color="auto"/>
            <w:bottom w:val="none" w:sz="0" w:space="0" w:color="auto"/>
            <w:right w:val="none" w:sz="0" w:space="0" w:color="auto"/>
          </w:divBdr>
        </w:div>
        <w:div w:id="2032803957">
          <w:marLeft w:val="547"/>
          <w:marRight w:val="0"/>
          <w:marTop w:val="0"/>
          <w:marBottom w:val="120"/>
          <w:divBdr>
            <w:top w:val="none" w:sz="0" w:space="0" w:color="auto"/>
            <w:left w:val="none" w:sz="0" w:space="0" w:color="auto"/>
            <w:bottom w:val="none" w:sz="0" w:space="0" w:color="auto"/>
            <w:right w:val="none" w:sz="0" w:space="0" w:color="auto"/>
          </w:divBdr>
        </w:div>
      </w:divsChild>
    </w:div>
    <w:div w:id="2028867879">
      <w:bodyDiv w:val="1"/>
      <w:marLeft w:val="0"/>
      <w:marRight w:val="0"/>
      <w:marTop w:val="0"/>
      <w:marBottom w:val="0"/>
      <w:divBdr>
        <w:top w:val="none" w:sz="0" w:space="0" w:color="auto"/>
        <w:left w:val="none" w:sz="0" w:space="0" w:color="auto"/>
        <w:bottom w:val="none" w:sz="0" w:space="0" w:color="auto"/>
        <w:right w:val="none" w:sz="0" w:space="0" w:color="auto"/>
      </w:divBdr>
      <w:divsChild>
        <w:div w:id="463625280">
          <w:marLeft w:val="547"/>
          <w:marRight w:val="0"/>
          <w:marTop w:val="0"/>
          <w:marBottom w:val="120"/>
          <w:divBdr>
            <w:top w:val="none" w:sz="0" w:space="0" w:color="auto"/>
            <w:left w:val="none" w:sz="0" w:space="0" w:color="auto"/>
            <w:bottom w:val="none" w:sz="0" w:space="0" w:color="auto"/>
            <w:right w:val="none" w:sz="0" w:space="0" w:color="auto"/>
          </w:divBdr>
        </w:div>
        <w:div w:id="752045791">
          <w:marLeft w:val="547"/>
          <w:marRight w:val="0"/>
          <w:marTop w:val="0"/>
          <w:marBottom w:val="120"/>
          <w:divBdr>
            <w:top w:val="none" w:sz="0" w:space="0" w:color="auto"/>
            <w:left w:val="none" w:sz="0" w:space="0" w:color="auto"/>
            <w:bottom w:val="none" w:sz="0" w:space="0" w:color="auto"/>
            <w:right w:val="none" w:sz="0" w:space="0" w:color="auto"/>
          </w:divBdr>
        </w:div>
        <w:div w:id="1328047922">
          <w:marLeft w:val="547"/>
          <w:marRight w:val="0"/>
          <w:marTop w:val="0"/>
          <w:marBottom w:val="120"/>
          <w:divBdr>
            <w:top w:val="none" w:sz="0" w:space="0" w:color="auto"/>
            <w:left w:val="none" w:sz="0" w:space="0" w:color="auto"/>
            <w:bottom w:val="none" w:sz="0" w:space="0" w:color="auto"/>
            <w:right w:val="none" w:sz="0" w:space="0" w:color="auto"/>
          </w:divBdr>
        </w:div>
        <w:div w:id="1527215158">
          <w:marLeft w:val="547"/>
          <w:marRight w:val="0"/>
          <w:marTop w:val="0"/>
          <w:marBottom w:val="120"/>
          <w:divBdr>
            <w:top w:val="none" w:sz="0" w:space="0" w:color="auto"/>
            <w:left w:val="none" w:sz="0" w:space="0" w:color="auto"/>
            <w:bottom w:val="none" w:sz="0" w:space="0" w:color="auto"/>
            <w:right w:val="none" w:sz="0" w:space="0" w:color="auto"/>
          </w:divBdr>
        </w:div>
        <w:div w:id="2046254507">
          <w:marLeft w:val="547"/>
          <w:marRight w:val="0"/>
          <w:marTop w:val="0"/>
          <w:marBottom w:val="120"/>
          <w:divBdr>
            <w:top w:val="none" w:sz="0" w:space="0" w:color="auto"/>
            <w:left w:val="none" w:sz="0" w:space="0" w:color="auto"/>
            <w:bottom w:val="none" w:sz="0" w:space="0" w:color="auto"/>
            <w:right w:val="none" w:sz="0" w:space="0" w:color="auto"/>
          </w:divBdr>
        </w:div>
      </w:divsChild>
    </w:div>
    <w:div w:id="2062056439">
      <w:bodyDiv w:val="1"/>
      <w:marLeft w:val="0"/>
      <w:marRight w:val="0"/>
      <w:marTop w:val="0"/>
      <w:marBottom w:val="0"/>
      <w:divBdr>
        <w:top w:val="none" w:sz="0" w:space="0" w:color="auto"/>
        <w:left w:val="none" w:sz="0" w:space="0" w:color="auto"/>
        <w:bottom w:val="none" w:sz="0" w:space="0" w:color="auto"/>
        <w:right w:val="none" w:sz="0" w:space="0" w:color="auto"/>
      </w:divBdr>
    </w:div>
    <w:div w:id="2076313258">
      <w:bodyDiv w:val="1"/>
      <w:marLeft w:val="0"/>
      <w:marRight w:val="0"/>
      <w:marTop w:val="0"/>
      <w:marBottom w:val="0"/>
      <w:divBdr>
        <w:top w:val="none" w:sz="0" w:space="0" w:color="auto"/>
        <w:left w:val="none" w:sz="0" w:space="0" w:color="auto"/>
        <w:bottom w:val="none" w:sz="0" w:space="0" w:color="auto"/>
        <w:right w:val="none" w:sz="0" w:space="0" w:color="auto"/>
      </w:divBdr>
      <w:divsChild>
        <w:div w:id="498890046">
          <w:marLeft w:val="864"/>
          <w:marRight w:val="0"/>
          <w:marTop w:val="0"/>
          <w:marBottom w:val="0"/>
          <w:divBdr>
            <w:top w:val="none" w:sz="0" w:space="0" w:color="auto"/>
            <w:left w:val="none" w:sz="0" w:space="0" w:color="auto"/>
            <w:bottom w:val="none" w:sz="0" w:space="0" w:color="auto"/>
            <w:right w:val="none" w:sz="0" w:space="0" w:color="auto"/>
          </w:divBdr>
        </w:div>
        <w:div w:id="809173626">
          <w:marLeft w:val="864"/>
          <w:marRight w:val="0"/>
          <w:marTop w:val="0"/>
          <w:marBottom w:val="0"/>
          <w:divBdr>
            <w:top w:val="none" w:sz="0" w:space="0" w:color="auto"/>
            <w:left w:val="none" w:sz="0" w:space="0" w:color="auto"/>
            <w:bottom w:val="none" w:sz="0" w:space="0" w:color="auto"/>
            <w:right w:val="none" w:sz="0" w:space="0" w:color="auto"/>
          </w:divBdr>
        </w:div>
        <w:div w:id="1427267353">
          <w:marLeft w:val="864"/>
          <w:marRight w:val="0"/>
          <w:marTop w:val="0"/>
          <w:marBottom w:val="0"/>
          <w:divBdr>
            <w:top w:val="none" w:sz="0" w:space="0" w:color="auto"/>
            <w:left w:val="none" w:sz="0" w:space="0" w:color="auto"/>
            <w:bottom w:val="none" w:sz="0" w:space="0" w:color="auto"/>
            <w:right w:val="none" w:sz="0" w:space="0" w:color="auto"/>
          </w:divBdr>
        </w:div>
        <w:div w:id="1481731978">
          <w:marLeft w:val="864"/>
          <w:marRight w:val="0"/>
          <w:marTop w:val="0"/>
          <w:marBottom w:val="0"/>
          <w:divBdr>
            <w:top w:val="none" w:sz="0" w:space="0" w:color="auto"/>
            <w:left w:val="none" w:sz="0" w:space="0" w:color="auto"/>
            <w:bottom w:val="none" w:sz="0" w:space="0" w:color="auto"/>
            <w:right w:val="none" w:sz="0" w:space="0" w:color="auto"/>
          </w:divBdr>
        </w:div>
        <w:div w:id="1736581897">
          <w:marLeft w:val="86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publications.europa.eu/code/en/en-370100.htm" TargetMode="External"/><Relationship Id="rId1" Type="http://schemas.openxmlformats.org/officeDocument/2006/relationships/hyperlink" Target="http://ec.europa.eu/justice/criminal/european-e-justice/ecris/index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49EF7-5115-445C-ACC7-E0142C4A3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887</TotalTime>
  <Pages>22</Pages>
  <Words>7710</Words>
  <Characters>49538</Characters>
  <Application>Microsoft Office Word</Application>
  <DocSecurity>0</DocSecurity>
  <PresentationFormat>Microsoft Word 14.0</PresentationFormat>
  <Lines>412</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
  <cp:revision>128</cp:revision>
  <cp:lastPrinted>2016-12-09T15:21:00Z</cp:lastPrinted>
  <dcterms:created xsi:type="dcterms:W3CDTF">2016-12-07T06:28:00Z</dcterms:created>
  <dcterms:modified xsi:type="dcterms:W3CDTF">2017-01-31T08:24:00Z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Antonio LABRADOR JIMENEZ</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Classification">
    <vt:lpwstr> </vt:lpwstr>
  </property>
  <property fmtid="{D5CDD505-2E9C-101B-9397-08002B2CF9AE}" pid="16" name="DocStatus">
    <vt:lpwstr>Green</vt:lpwstr>
  </property>
  <property name="OP_sanitized" fmtid="{D5CDD505-2E9C-101B-9397-08002B2CF9AE}" pid="17">
    <vt:lpwstr>True</vt:lpwstr>
  </property>
</Properties>
</file>