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7764608BE4348C18A631DCEECB67D45" style="width:450.35pt;height:321.3pt">
            <v:imagedata r:id="rId9" o:title=""/>
          </v:shape>
        </w:pict>
      </w:r>
    </w:p>
    <w:bookmarkEnd w:id="1"/>
    <w:p>
      <w:pPr>
        <w:widowControl/>
        <w:autoSpaceDE/>
        <w:autoSpaceDN/>
        <w:adjustRightInd/>
        <w:spacing w:before="120" w:after="120"/>
        <w:jc w:val="both"/>
        <w:rPr>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pPr>
        <w:rPr>
          <w:b/>
          <w:noProof/>
          <w:sz w:val="28"/>
          <w:szCs w:val="28"/>
        </w:rPr>
      </w:pPr>
      <w:bookmarkStart w:id="2" w:name="_GoBack"/>
      <w:bookmarkEnd w:id="2"/>
    </w:p>
    <w:p>
      <w:pPr>
        <w:widowControl/>
        <w:autoSpaceDE/>
        <w:autoSpaceDN/>
        <w:adjustRightInd/>
        <w:spacing w:before="120" w:after="240"/>
        <w:jc w:val="center"/>
        <w:rPr>
          <w:b/>
          <w:noProof/>
          <w:sz w:val="28"/>
          <w:szCs w:val="24"/>
        </w:rPr>
      </w:pPr>
      <w:r>
        <w:rPr>
          <w:b/>
          <w:noProof/>
          <w:sz w:val="28"/>
        </w:rPr>
        <w:t>Saturs</w:t>
      </w:r>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r>
        <w:rPr>
          <w:noProof/>
          <w:sz w:val="24"/>
          <w:szCs w:val="24"/>
        </w:rPr>
        <w:fldChar w:fldCharType="begin"/>
      </w:r>
      <w:r>
        <w:rPr>
          <w:noProof/>
          <w:sz w:val="24"/>
          <w:szCs w:val="24"/>
        </w:rPr>
        <w:instrText xml:space="preserve"> TOC \o "1-3" \h \z \u </w:instrText>
      </w:r>
      <w:r>
        <w:rPr>
          <w:noProof/>
          <w:sz w:val="24"/>
          <w:szCs w:val="24"/>
        </w:rPr>
        <w:fldChar w:fldCharType="separate"/>
      </w:r>
      <w:hyperlink w:anchor="_Toc451776652" w:history="1">
        <w:r>
          <w:rPr>
            <w:rStyle w:val="Hyperlink"/>
            <w:b/>
            <w:bCs/>
            <w:smallCaps/>
            <w:noProof/>
          </w:rPr>
          <w:t>1.</w:t>
        </w:r>
        <w:r>
          <w:rPr>
            <w:rFonts w:asciiTheme="minorHAnsi" w:eastAsiaTheme="minorEastAsia" w:hAnsiTheme="minorHAnsi" w:cstheme="minorBidi"/>
            <w:noProof/>
            <w:sz w:val="22"/>
            <w:szCs w:val="22"/>
            <w:lang w:val="en-GB" w:eastAsia="en-GB" w:bidi="ar-SA"/>
          </w:rPr>
          <w:tab/>
        </w:r>
        <w:r>
          <w:rPr>
            <w:rStyle w:val="Hyperlink"/>
            <w:b/>
            <w:smallCaps/>
            <w:noProof/>
          </w:rPr>
          <w:t>Ievads</w:t>
        </w:r>
        <w:r>
          <w:rPr>
            <w:noProof/>
            <w:webHidden/>
          </w:rPr>
          <w:tab/>
        </w:r>
        <w:r>
          <w:rPr>
            <w:noProof/>
            <w:webHidden/>
          </w:rPr>
          <w:fldChar w:fldCharType="begin"/>
        </w:r>
        <w:r>
          <w:rPr>
            <w:noProof/>
            <w:webHidden/>
          </w:rPr>
          <w:instrText xml:space="preserve"> PAGEREF _Toc451776652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776653" w:history="1">
        <w:r>
          <w:rPr>
            <w:rStyle w:val="Hyperlink"/>
            <w:b/>
            <w:smallCaps/>
            <w:noProof/>
          </w:rPr>
          <w:t>2.</w:t>
        </w:r>
        <w:r>
          <w:rPr>
            <w:rFonts w:asciiTheme="minorHAnsi" w:eastAsiaTheme="minorEastAsia" w:hAnsiTheme="minorHAnsi" w:cstheme="minorBidi"/>
            <w:noProof/>
            <w:sz w:val="22"/>
            <w:szCs w:val="22"/>
            <w:lang w:val="en-GB" w:eastAsia="en-GB" w:bidi="ar-SA"/>
          </w:rPr>
          <w:tab/>
        </w:r>
        <w:r>
          <w:rPr>
            <w:rStyle w:val="Hyperlink"/>
            <w:b/>
            <w:smallCaps/>
            <w:noProof/>
          </w:rPr>
          <w:t>Darbības konteksts</w:t>
        </w:r>
        <w:r>
          <w:rPr>
            <w:noProof/>
            <w:webHidden/>
          </w:rPr>
          <w:tab/>
        </w:r>
        <w:r>
          <w:rPr>
            <w:noProof/>
            <w:webHidden/>
          </w:rPr>
          <w:fldChar w:fldCharType="begin"/>
        </w:r>
        <w:r>
          <w:rPr>
            <w:noProof/>
            <w:webHidden/>
          </w:rPr>
          <w:instrText xml:space="preserve"> PAGEREF _Toc451776653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776654" w:history="1">
        <w:r>
          <w:rPr>
            <w:rStyle w:val="Hyperlink"/>
            <w:b/>
            <w:bCs/>
            <w:smallCaps/>
            <w:noProof/>
          </w:rPr>
          <w:t>3.</w:t>
        </w:r>
        <w:r>
          <w:rPr>
            <w:rFonts w:asciiTheme="minorHAnsi" w:eastAsiaTheme="minorEastAsia" w:hAnsiTheme="minorHAnsi" w:cstheme="minorBidi"/>
            <w:noProof/>
            <w:sz w:val="22"/>
            <w:szCs w:val="22"/>
            <w:lang w:val="en-GB" w:eastAsia="en-GB" w:bidi="ar-SA"/>
          </w:rPr>
          <w:tab/>
        </w:r>
        <w:r>
          <w:rPr>
            <w:rStyle w:val="Hyperlink"/>
            <w:b/>
            <w:smallCaps/>
            <w:noProof/>
          </w:rPr>
          <w:t>Finanšu pārskati</w:t>
        </w:r>
        <w:r>
          <w:rPr>
            <w:noProof/>
            <w:webHidden/>
          </w:rPr>
          <w:tab/>
        </w:r>
        <w:r>
          <w:rPr>
            <w:noProof/>
            <w:webHidden/>
          </w:rPr>
          <w:fldChar w:fldCharType="begin"/>
        </w:r>
        <w:r>
          <w:rPr>
            <w:noProof/>
            <w:webHidden/>
          </w:rPr>
          <w:instrText xml:space="preserve"> PAGEREF _Toc451776654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776655" w:history="1">
        <w:r>
          <w:rPr>
            <w:rStyle w:val="Hyperlink"/>
            <w:b/>
            <w:bCs/>
            <w:smallCaps/>
            <w:noProof/>
          </w:rPr>
          <w:t>4.</w:t>
        </w:r>
        <w:r>
          <w:rPr>
            <w:rFonts w:asciiTheme="minorHAnsi" w:eastAsiaTheme="minorEastAsia" w:hAnsiTheme="minorHAnsi" w:cstheme="minorBidi"/>
            <w:noProof/>
            <w:sz w:val="22"/>
            <w:szCs w:val="22"/>
            <w:lang w:val="en-GB" w:eastAsia="en-GB" w:bidi="ar-SA"/>
          </w:rPr>
          <w:tab/>
        </w:r>
        <w:r>
          <w:rPr>
            <w:rStyle w:val="Hyperlink"/>
            <w:b/>
            <w:smallCaps/>
            <w:noProof/>
          </w:rPr>
          <w:t>ESIFGF pārvaldība 2015. gadā</w:t>
        </w:r>
        <w:r>
          <w:rPr>
            <w:noProof/>
            <w:webHidden/>
          </w:rPr>
          <w:tab/>
        </w:r>
        <w:r>
          <w:rPr>
            <w:noProof/>
            <w:webHidden/>
          </w:rPr>
          <w:fldChar w:fldCharType="begin"/>
        </w:r>
        <w:r>
          <w:rPr>
            <w:noProof/>
            <w:webHidden/>
          </w:rPr>
          <w:instrText xml:space="preserve"> PAGEREF _Toc451776655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776656" w:history="1">
        <w:r>
          <w:rPr>
            <w:rStyle w:val="Hyperlink"/>
            <w:b/>
            <w:bCs/>
            <w:smallCaps/>
            <w:noProof/>
          </w:rPr>
          <w:t>5.</w:t>
        </w:r>
        <w:r>
          <w:rPr>
            <w:rFonts w:asciiTheme="minorHAnsi" w:eastAsiaTheme="minorEastAsia" w:hAnsiTheme="minorHAnsi" w:cstheme="minorBidi"/>
            <w:noProof/>
            <w:sz w:val="22"/>
            <w:szCs w:val="22"/>
            <w:lang w:val="en-GB" w:eastAsia="en-GB" w:bidi="ar-SA"/>
          </w:rPr>
          <w:tab/>
        </w:r>
        <w:r>
          <w:rPr>
            <w:rStyle w:val="Hyperlink"/>
            <w:b/>
            <w:smallCaps/>
            <w:noProof/>
          </w:rPr>
          <w:t>Mērķapjoma pietiekamības un ESIFGF līmeņa izvērtējums</w:t>
        </w:r>
        <w:r>
          <w:rPr>
            <w:noProof/>
            <w:webHidden/>
          </w:rPr>
          <w:tab/>
        </w:r>
        <w:r>
          <w:rPr>
            <w:noProof/>
            <w:webHidden/>
          </w:rPr>
          <w:fldChar w:fldCharType="begin"/>
        </w:r>
        <w:r>
          <w:rPr>
            <w:noProof/>
            <w:webHidden/>
          </w:rPr>
          <w:instrText xml:space="preserve"> PAGEREF _Toc451776656 \h </w:instrText>
        </w:r>
        <w:r>
          <w:rPr>
            <w:noProof/>
            <w:webHidden/>
          </w:rPr>
        </w:r>
        <w:r>
          <w:rPr>
            <w:noProof/>
            <w:webHidden/>
          </w:rPr>
          <w:fldChar w:fldCharType="separate"/>
        </w:r>
        <w:r>
          <w:rPr>
            <w:noProof/>
            <w:webHidden/>
          </w:rPr>
          <w:t>4</w:t>
        </w:r>
        <w:r>
          <w:rPr>
            <w:noProof/>
            <w:webHidden/>
          </w:rPr>
          <w:fldChar w:fldCharType="end"/>
        </w:r>
      </w:hyperlink>
    </w:p>
    <w:p>
      <w:pPr>
        <w:rPr>
          <w:rFonts w:asciiTheme="minorHAnsi" w:eastAsiaTheme="minorEastAsia" w:hAnsiTheme="minorHAnsi" w:cstheme="minorBidi"/>
          <w:b/>
          <w:bCs/>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b/>
          <w:bCs/>
          <w:noProof/>
          <w:sz w:val="24"/>
          <w:szCs w:val="24"/>
        </w:rPr>
        <w:fldChar w:fldCharType="end"/>
      </w:r>
    </w:p>
    <w:p>
      <w:pPr>
        <w:keepNext/>
        <w:widowControl/>
        <w:numPr>
          <w:ilvl w:val="0"/>
          <w:numId w:val="18"/>
        </w:numPr>
        <w:tabs>
          <w:tab w:val="num" w:pos="850"/>
        </w:tabs>
        <w:autoSpaceDE/>
        <w:autoSpaceDN/>
        <w:adjustRightInd/>
        <w:spacing w:before="240" w:after="240"/>
        <w:ind w:left="850" w:hanging="850"/>
        <w:jc w:val="both"/>
        <w:outlineLvl w:val="0"/>
        <w:rPr>
          <w:b/>
          <w:bCs/>
          <w:smallCaps/>
          <w:noProof/>
          <w:sz w:val="24"/>
          <w:szCs w:val="32"/>
        </w:rPr>
      </w:pPr>
      <w:bookmarkStart w:id="3" w:name="_Toc449686519"/>
      <w:bookmarkStart w:id="4" w:name="_Toc449969919"/>
      <w:bookmarkStart w:id="5" w:name="_Toc449969966"/>
      <w:bookmarkStart w:id="6" w:name="_Toc449686550"/>
      <w:bookmarkStart w:id="7" w:name="_Toc449689406"/>
      <w:bookmarkStart w:id="8" w:name="_Toc358640308"/>
      <w:bookmarkStart w:id="9" w:name="_Toc358640576"/>
      <w:bookmarkStart w:id="10" w:name="_Toc358640627"/>
      <w:bookmarkStart w:id="11" w:name="_Toc358640725"/>
      <w:bookmarkStart w:id="12" w:name="_Toc385254771"/>
      <w:bookmarkStart w:id="13" w:name="_Toc415736037"/>
      <w:bookmarkStart w:id="14" w:name="_Toc415748654"/>
      <w:bookmarkStart w:id="15" w:name="_Toc417031771"/>
      <w:bookmarkStart w:id="16" w:name="_Toc449626267"/>
      <w:bookmarkStart w:id="17" w:name="_Toc449626494"/>
      <w:bookmarkStart w:id="18" w:name="_Toc449972638"/>
      <w:bookmarkStart w:id="19" w:name="_Toc451776652"/>
      <w:bookmarkStart w:id="20" w:name="_Toc449689407"/>
      <w:bookmarkEnd w:id="0"/>
      <w:bookmarkEnd w:id="3"/>
      <w:bookmarkEnd w:id="4"/>
      <w:bookmarkEnd w:id="5"/>
      <w:bookmarkEnd w:id="6"/>
      <w:bookmarkEnd w:id="7"/>
      <w:r>
        <w:rPr>
          <w:b/>
          <w:smallCaps/>
          <w:noProof/>
          <w:sz w:val="24"/>
        </w:rPr>
        <w:t>Ievads</w:t>
      </w:r>
      <w:bookmarkEnd w:id="8"/>
      <w:bookmarkEnd w:id="9"/>
      <w:bookmarkEnd w:id="10"/>
      <w:bookmarkEnd w:id="11"/>
      <w:bookmarkEnd w:id="12"/>
      <w:bookmarkEnd w:id="13"/>
      <w:bookmarkEnd w:id="14"/>
      <w:bookmarkEnd w:id="15"/>
      <w:bookmarkEnd w:id="16"/>
      <w:bookmarkEnd w:id="17"/>
      <w:bookmarkEnd w:id="18"/>
      <w:bookmarkEnd w:id="19"/>
    </w:p>
    <w:bookmarkEnd w:id="20"/>
    <w:p>
      <w:pPr>
        <w:spacing w:before="240" w:after="240"/>
        <w:jc w:val="both"/>
        <w:rPr>
          <w:noProof/>
          <w:sz w:val="24"/>
          <w:szCs w:val="24"/>
        </w:rPr>
      </w:pPr>
      <w:r>
        <w:rPr>
          <w:noProof/>
          <w:sz w:val="24"/>
        </w:rPr>
        <w:t>Šā ziņojuma juridiskais pamats ir Eiropas Parlamenta un Padomes Regula (ES) 2015/1017 (2015. gada 25. jūnijs) par Eiropas Stratēģisko investīciju fondu, Eiropas Investīciju konsultāciju centru un Eiropas Investīciju projektu portālu, ar ko groza Regulas (ES) Nr. 1291/2013 un (ES) Nr. 1316/2013 – Eiropas Stratēģisko investīciju fonds</w:t>
      </w:r>
      <w:r>
        <w:rPr>
          <w:rStyle w:val="FootnoteReference"/>
          <w:noProof/>
          <w:sz w:val="24"/>
        </w:rPr>
        <w:footnoteReference w:id="1"/>
      </w:r>
      <w:r>
        <w:rPr>
          <w:noProof/>
          <w:sz w:val="24"/>
        </w:rPr>
        <w:t xml:space="preserve"> ("ESIF regula"). Eiropas Komisija un Eiropas Investīciju banka (EIB) Nolīgumu par ESIF pārvaldību un par ES galvojuma piešķiršanu ("ESIF nolīgums") parakstīja 2015. gada 22. jūlijā.</w:t>
      </w:r>
    </w:p>
    <w:p>
      <w:pPr>
        <w:spacing w:before="240" w:after="240"/>
        <w:jc w:val="both"/>
        <w:rPr>
          <w:noProof/>
          <w:sz w:val="24"/>
          <w:szCs w:val="24"/>
        </w:rPr>
      </w:pPr>
      <w:r>
        <w:rPr>
          <w:noProof/>
          <w:sz w:val="24"/>
        </w:rPr>
        <w:t>ESIF regulas 16. panta 6. punkts paredz, ka Komisija katru gadu līdz 31. maijam iesniedz Eiropas Parlamentam, Padomei un Eiropas Revīzijas palātai gada pārskatu par ESIF galvojuma fonda ("ESIFGF") pārvaldību iepriekšējā kalendārajā gadā, ietverot izvērtējumu par mērķapjoma pietiekamību un ESIFGF līmeni, kā arī nepieciešamību to papildināt. Šajā gada pārskatā ietver informāciju par ESIFGF finanšu stāvokli iepriekšējā kalendārā gada beigās, par finanšu plūsmām iepriekšējā kalendārajā gadā, kā arī par būtiskiem darījumiem un jebkādu būtisku informāciju par finanšu kontiem. Pārskatā ietver arī informāciju par finanšu pārvaldību, rezultātiem un ESIFGF risku iepriekšējā kalendārā gada beigās.</w:t>
      </w:r>
    </w:p>
    <w:p>
      <w:pPr>
        <w:spacing w:before="240" w:after="240"/>
        <w:jc w:val="both"/>
        <w:rPr>
          <w:noProof/>
          <w:sz w:val="24"/>
          <w:szCs w:val="24"/>
        </w:rPr>
      </w:pPr>
      <w:r>
        <w:rPr>
          <w:noProof/>
          <w:sz w:val="24"/>
        </w:rPr>
        <w:t>ESIF regulas 16. panta 2. punktā arī ir paredzēts, ka EIB sadarbībā ar Eiropas Investīciju fondu ("EIF") vajadzības gadījumā Eiropas Parlamentam un Padomei iesniedz atsevišķu gada ziņojumu par EIB finansēšanas un investīciju operācijām, uz kurām attiecas šī regula ("ESIF operācijas"); ziņojums ir publiski pieejams.</w:t>
      </w:r>
      <w:bookmarkStart w:id="21" w:name="_Toc449686522"/>
      <w:bookmarkStart w:id="22" w:name="_Toc449686553"/>
      <w:bookmarkStart w:id="23" w:name="_Toc449686523"/>
      <w:bookmarkStart w:id="24" w:name="_Toc449686554"/>
      <w:bookmarkEnd w:id="21"/>
      <w:bookmarkEnd w:id="22"/>
      <w:bookmarkEnd w:id="23"/>
      <w:bookmarkEnd w:id="24"/>
      <w:r>
        <w:rPr>
          <w:noProof/>
          <w:sz w:val="24"/>
        </w:rPr>
        <w:t xml:space="preserve"> Līdz šim EIB vēl nav pieņēmusi gada ziņojumu par 2015. gadu.</w:t>
      </w:r>
    </w:p>
    <w:p>
      <w:pPr>
        <w:keepNext/>
        <w:widowControl/>
        <w:numPr>
          <w:ilvl w:val="0"/>
          <w:numId w:val="18"/>
        </w:numPr>
        <w:tabs>
          <w:tab w:val="num" w:pos="850"/>
        </w:tabs>
        <w:autoSpaceDE/>
        <w:autoSpaceDN/>
        <w:adjustRightInd/>
        <w:spacing w:before="480" w:after="240"/>
        <w:ind w:left="851" w:hanging="851"/>
        <w:jc w:val="both"/>
        <w:outlineLvl w:val="0"/>
        <w:rPr>
          <w:b/>
          <w:smallCaps/>
          <w:noProof/>
          <w:sz w:val="24"/>
          <w:szCs w:val="32"/>
        </w:rPr>
      </w:pPr>
      <w:bookmarkStart w:id="25" w:name="_Toc449689408"/>
      <w:bookmarkStart w:id="26" w:name="_Toc449972639"/>
      <w:bookmarkStart w:id="27" w:name="_Toc451776653"/>
      <w:r>
        <w:rPr>
          <w:b/>
          <w:smallCaps/>
          <w:noProof/>
          <w:sz w:val="24"/>
        </w:rPr>
        <w:t>Darbības konteksts</w:t>
      </w:r>
      <w:bookmarkEnd w:id="25"/>
      <w:bookmarkEnd w:id="26"/>
      <w:bookmarkEnd w:id="27"/>
    </w:p>
    <w:p>
      <w:pPr>
        <w:spacing w:before="240" w:after="240"/>
        <w:jc w:val="both"/>
        <w:rPr>
          <w:noProof/>
          <w:sz w:val="24"/>
          <w:szCs w:val="24"/>
        </w:rPr>
      </w:pPr>
      <w:r>
        <w:rPr>
          <w:noProof/>
          <w:sz w:val="24"/>
        </w:rPr>
        <w:t>ES galvojums sedz finansēšanas un investīciju operācijas, kuras parakstījusi EIB infrastruktūras un inovācijas klases ietvaros un EIF MVU klases ietvaros. Daļu no šīm operācijām sedz ES galvojums, bet daļa tiek veikta ar EIB grupas pašas risku.</w:t>
      </w:r>
    </w:p>
    <w:p>
      <w:pPr>
        <w:spacing w:before="240" w:after="240"/>
        <w:jc w:val="both"/>
        <w:rPr>
          <w:noProof/>
          <w:sz w:val="24"/>
          <w:szCs w:val="24"/>
        </w:rPr>
      </w:pPr>
      <w:r>
        <w:rPr>
          <w:noProof/>
          <w:sz w:val="24"/>
        </w:rPr>
        <w:t>2015. gadā saskaņā ar ESIF parakstītās operācijas sasniedza 3 miljardus euro un aptvēra 19 dalībvalstis, no kuriem 1,2 miljardus euro parakstīja EIB (10 operācijas), bet 1,8 miljardus euro parakstīja EIF (83 operācijas). No šīm parakstītajām operācijām 2015. gada beigās 1553 miljonus euro sedza ES galvojums (1155 miljoni euro no EIB un 398 miljoni euro no EIF). Nenokārtoto riska darījumu kopsumma, ko sedz ES galvojums attiecībā uz izmaksām, bija aptuveni 202 miljoni euro.</w:t>
      </w:r>
    </w:p>
    <w:p>
      <w:pPr>
        <w:spacing w:before="240" w:after="240"/>
        <w:jc w:val="both"/>
        <w:rPr>
          <w:noProof/>
          <w:sz w:val="24"/>
          <w:szCs w:val="24"/>
        </w:rPr>
      </w:pPr>
      <w:r>
        <w:rPr>
          <w:noProof/>
          <w:sz w:val="24"/>
        </w:rPr>
        <w:t xml:space="preserve">EIB un EIF ir atbildīgi par individuālo operāciju riska novērtēšanu un uzraudzību un 2016. gada martā ziņoja Komisijai un Eiropas Revīzijas palātai saskaņā ar ESIF regulas 16. panta 3. punktu. Pamatojoties uz šo ziņojumu, Komisija pārskatīs mērķapjoma pietiekamību un ESIFGF līmeni. </w:t>
      </w:r>
    </w:p>
    <w:p>
      <w:pPr>
        <w:spacing w:before="240" w:after="240"/>
        <w:jc w:val="both"/>
        <w:rPr>
          <w:noProof/>
          <w:sz w:val="24"/>
          <w:szCs w:val="24"/>
        </w:rPr>
      </w:pPr>
      <w:r>
        <w:rPr>
          <w:noProof/>
          <w:sz w:val="24"/>
        </w:rPr>
        <w:t>Saskaņā ar ESIF regulas 16. panta 2. punktu EIB gada ziņojumā Eiropas Parlamentam un Padomei iekļauj konkrētu informāciju par kopējo risku, kas saistīts ar finansēšanas un investīciju operācijām, kuras veiktas saskaņā ar ESIF, kā arī par galvojumu prasījumiem.</w:t>
      </w:r>
    </w:p>
    <w:p>
      <w:pPr>
        <w:spacing w:before="240" w:after="240"/>
        <w:jc w:val="both"/>
        <w:rPr>
          <w:rFonts w:eastAsiaTheme="minorHAnsi"/>
          <w:noProof/>
          <w:sz w:val="24"/>
          <w:szCs w:val="24"/>
        </w:rPr>
      </w:pPr>
      <w:r>
        <w:rPr>
          <w:noProof/>
          <w:sz w:val="24"/>
        </w:rPr>
        <w:t xml:space="preserve">Saskaņā ar ESIF regulas 12. pantu ESIFGF ir likviditātes rezerve, no kuras EIB saņem maksājumu gadījumā, ja tiek pieprasīts izlietot ES galvojumu. Saskaņā ar ESIF nolīgumu starp ES un EIB pieprasījumus maksā ESIFGF, ja to summa pārsniedz līdzekļus, kuri ir EIB rīcībā ESIF kontā. ESIF konts, ko pārvalda EIB, ir izveidots, lai iekasētu ES ieņēmumus, kuri izriet no ESIF galvotajām operācijām, un atgūtās summas un – kā to pieļauj pieejamais atlikums –  prasījumu maksājumiem saskaņā ar ES galvojumu. </w:t>
      </w:r>
    </w:p>
    <w:p>
      <w:pPr>
        <w:spacing w:before="240" w:after="240"/>
        <w:jc w:val="both"/>
        <w:rPr>
          <w:noProof/>
          <w:sz w:val="24"/>
          <w:szCs w:val="24"/>
        </w:rPr>
      </w:pPr>
      <w:r>
        <w:rPr>
          <w:noProof/>
          <w:sz w:val="24"/>
        </w:rPr>
        <w:t>ESIFGF finansē pakāpeniski, ņemot vērā riska pieaugumu, ko sedz ES galvojums.</w:t>
      </w:r>
    </w:p>
    <w:p>
      <w:pPr>
        <w:spacing w:before="240" w:after="240"/>
        <w:jc w:val="both"/>
        <w:rPr>
          <w:noProof/>
          <w:sz w:val="24"/>
          <w:szCs w:val="24"/>
        </w:rPr>
      </w:pPr>
      <w:r>
        <w:rPr>
          <w:noProof/>
          <w:sz w:val="24"/>
        </w:rPr>
        <w:t xml:space="preserve">ESIFGF līdzekļus tieši pārvalda Komisija, un tos investē saskaņā ar finanšu pareizas pārvaldības principu, ievērojot attiecīgus prudenciālās uzraudzības noteikumus. </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28" w:name="_Toc449686525"/>
      <w:bookmarkStart w:id="29" w:name="_Toc449686556"/>
      <w:bookmarkStart w:id="30" w:name="_Toc449689409"/>
      <w:bookmarkStart w:id="31" w:name="_Toc449686526"/>
      <w:bookmarkStart w:id="32" w:name="_Toc449686557"/>
      <w:bookmarkStart w:id="33" w:name="_Toc449689410"/>
      <w:bookmarkStart w:id="34" w:name="_Toc449689411"/>
      <w:bookmarkStart w:id="35" w:name="_Toc449972640"/>
      <w:bookmarkStart w:id="36" w:name="_Toc451776654"/>
      <w:bookmarkEnd w:id="28"/>
      <w:bookmarkEnd w:id="29"/>
      <w:bookmarkEnd w:id="30"/>
      <w:bookmarkEnd w:id="31"/>
      <w:bookmarkEnd w:id="32"/>
      <w:bookmarkEnd w:id="33"/>
      <w:r>
        <w:rPr>
          <w:b/>
          <w:smallCaps/>
          <w:noProof/>
          <w:sz w:val="24"/>
        </w:rPr>
        <w:t>Finanšu pārskati</w:t>
      </w:r>
      <w:bookmarkEnd w:id="34"/>
      <w:bookmarkEnd w:id="35"/>
      <w:bookmarkEnd w:id="36"/>
    </w:p>
    <w:p>
      <w:pPr>
        <w:spacing w:before="240" w:after="240"/>
        <w:jc w:val="both"/>
        <w:rPr>
          <w:noProof/>
          <w:sz w:val="24"/>
          <w:szCs w:val="24"/>
        </w:rPr>
      </w:pPr>
      <w:r>
        <w:rPr>
          <w:noProof/>
          <w:sz w:val="24"/>
        </w:rPr>
        <w:t>2015. gada 31. decembrī ESIFGF nebija līdzekļu. Līdz ar to 2015. gada Eiropas Savienības konsolidētie finanšu pārskati neietver ESIFGF.</w:t>
      </w:r>
    </w:p>
    <w:p>
      <w:pPr>
        <w:spacing w:before="240" w:after="240"/>
        <w:jc w:val="both"/>
        <w:rPr>
          <w:noProof/>
          <w:sz w:val="24"/>
          <w:szCs w:val="24"/>
        </w:rPr>
      </w:pPr>
      <w:r>
        <w:rPr>
          <w:rFonts w:eastAsiaTheme="minorHAnsi"/>
          <w:noProof/>
          <w:sz w:val="24"/>
        </w:rPr>
        <w:t xml:space="preserve">Saņemamā summa EUR 1 399 423, kas atbilst ES neto ieņēmumiem no 2015. gada ESIF galvotajām operācijām, tika iegrāmatota ES 2015. gada finanšu pārskatos un ieskaitīta ESIF kontā 2016. gada janvārī. </w:t>
      </w:r>
    </w:p>
    <w:p>
      <w:pPr>
        <w:spacing w:before="240" w:after="240"/>
        <w:jc w:val="both"/>
        <w:rPr>
          <w:noProof/>
          <w:sz w:val="24"/>
          <w:szCs w:val="24"/>
        </w:rPr>
      </w:pPr>
      <w:r>
        <w:rPr>
          <w:noProof/>
          <w:sz w:val="24"/>
        </w:rPr>
        <w:t>ES galvojuma risks saistībā ar izmaksātajām nenokārtotajām ESIF operācijām 2015. gada 31. decembrī sasniedza EUR 201 899 614 no kopējās maksimālās summas EUR 16 000 000 000, ko galvo ES (ESIF regulas 11. pants). EUR 201 899 614 summu iegrāmato kā iespējamās saistības 2015. gada finanšu pārskatu piezīmēs.</w:t>
      </w:r>
    </w:p>
    <w:p>
      <w:pPr>
        <w:rPr>
          <w:b/>
          <w:noProof/>
          <w:sz w:val="24"/>
          <w:szCs w:val="24"/>
        </w:rPr>
      </w:pPr>
      <w:bookmarkStart w:id="37" w:name="_Toc449689412"/>
      <w:r>
        <w:rPr>
          <w:b/>
          <w:noProof/>
          <w:sz w:val="24"/>
        </w:rPr>
        <w:t>Nozīmīgi darījumi</w:t>
      </w:r>
      <w:bookmarkEnd w:id="37"/>
      <w:r>
        <w:rPr>
          <w:b/>
          <w:noProof/>
          <w:sz w:val="24"/>
        </w:rPr>
        <w:t xml:space="preserve"> </w:t>
      </w:r>
    </w:p>
    <w:p>
      <w:pPr>
        <w:spacing w:before="240" w:after="240"/>
        <w:jc w:val="both"/>
        <w:rPr>
          <w:noProof/>
          <w:sz w:val="24"/>
          <w:szCs w:val="24"/>
        </w:rPr>
      </w:pPr>
      <w:r>
        <w:rPr>
          <w:noProof/>
          <w:sz w:val="24"/>
        </w:rPr>
        <w:t xml:space="preserve">Budžeta apropriācija 1,35 miljardu euro apmērā tika piešķirta 2015. gadā saistībā ar ESIFGF finansēšanu 2016. un 2017. gadā. </w:t>
      </w:r>
    </w:p>
    <w:p>
      <w:pPr>
        <w:spacing w:before="240" w:after="240"/>
        <w:jc w:val="both"/>
        <w:rPr>
          <w:noProof/>
          <w:sz w:val="24"/>
          <w:szCs w:val="24"/>
        </w:rPr>
      </w:pPr>
      <w:r>
        <w:rPr>
          <w:noProof/>
          <w:sz w:val="24"/>
        </w:rPr>
        <w:t>Tā ir norādīta 2015. gada ES finanšu pārskatu piezīmju nodaļā "Saistības vēl neizlietotās apropriācijās".</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38" w:name="_Toc449689413"/>
      <w:bookmarkStart w:id="39" w:name="_Toc449689414"/>
      <w:bookmarkStart w:id="40" w:name="_Toc449972641"/>
      <w:bookmarkStart w:id="41" w:name="_Toc451776655"/>
      <w:bookmarkEnd w:id="38"/>
      <w:r>
        <w:rPr>
          <w:b/>
          <w:smallCaps/>
          <w:noProof/>
          <w:sz w:val="24"/>
        </w:rPr>
        <w:t>ESIFGF pārvaldība 2015. gadā</w:t>
      </w:r>
      <w:bookmarkEnd w:id="39"/>
      <w:bookmarkEnd w:id="40"/>
      <w:bookmarkEnd w:id="41"/>
    </w:p>
    <w:p>
      <w:pPr>
        <w:spacing w:before="240" w:after="240"/>
        <w:jc w:val="both"/>
        <w:rPr>
          <w:noProof/>
          <w:sz w:val="24"/>
          <w:szCs w:val="24"/>
        </w:rPr>
      </w:pPr>
      <w:r>
        <w:rPr>
          <w:noProof/>
          <w:sz w:val="24"/>
        </w:rPr>
        <w:t xml:space="preserve">Komisija 2016. gada 21. janvārī pieņēma Lēmumu C(2016)165, ar kuru apstiprina Eiropas Stratēģisko investīciju fonda galvojumu fonda aktīvu pārvaldības pamatnostādnes. </w:t>
      </w:r>
    </w:p>
    <w:p>
      <w:pPr>
        <w:pStyle w:val="ListParagraph"/>
        <w:spacing w:before="240" w:after="240"/>
        <w:ind w:left="0"/>
        <w:jc w:val="both"/>
        <w:rPr>
          <w:noProof/>
          <w:sz w:val="24"/>
          <w:szCs w:val="24"/>
        </w:rPr>
      </w:pPr>
      <w:r>
        <w:rPr>
          <w:noProof/>
          <w:sz w:val="24"/>
        </w:rPr>
        <w:t>Nevienā brīdī 2015. gadā ESIFGF nebija līdzekļu. Līdz ar to pirmais ziņojums par ESIFGF aktīvu finanšu pārvaldību, rezultātiem un risku tiks iesniegts 2017. gadā par 2016. gadu.</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42" w:name="_Toc449689415"/>
      <w:bookmarkStart w:id="43" w:name="_Toc449972642"/>
      <w:bookmarkStart w:id="44" w:name="_Toc451776656"/>
      <w:r>
        <w:rPr>
          <w:b/>
          <w:smallCaps/>
          <w:noProof/>
          <w:sz w:val="24"/>
        </w:rPr>
        <w:t>Mērķapjoma pietiekamības un ESIFGF līmeņa izvērtējums</w:t>
      </w:r>
      <w:bookmarkEnd w:id="42"/>
      <w:bookmarkEnd w:id="43"/>
      <w:bookmarkEnd w:id="44"/>
    </w:p>
    <w:p>
      <w:pPr>
        <w:spacing w:before="240" w:after="240"/>
        <w:jc w:val="both"/>
        <w:rPr>
          <w:noProof/>
          <w:sz w:val="24"/>
          <w:szCs w:val="24"/>
        </w:rPr>
      </w:pPr>
      <w:r>
        <w:rPr>
          <w:noProof/>
          <w:sz w:val="24"/>
        </w:rPr>
        <w:t xml:space="preserve">Kopš 2015. gada beigām EIB ir parakstījusi desmit operācijas ar ESIF galvojuma segumu kopsummā par 1155 miljoniem euro, no kuriem ir izmaksāti 202 miljoni euro. Ja šo operāciju dēļ rastos zaudējumi, tos segs ES galvojums saskaņā ar noteikumiem, kas izklāstīti ESIF nolīgumā. Proti, ES galvojums infrastruktūras un inovācijas klasē tiek piešķirts portfeļa pirmās kārtas zaudējumu laidiena seguma veidā EIB parāda operācijām, bet pilna galvojuma veidā – pašu kapitāla/pašu kapitāla tipa operācijām, kur EIB investē tādu pašu līdzekļu apmēru uz pašas risku atbilstoši </w:t>
      </w:r>
      <w:r>
        <w:rPr>
          <w:i/>
          <w:noProof/>
          <w:sz w:val="24"/>
        </w:rPr>
        <w:t>pari passu</w:t>
      </w:r>
      <w:r>
        <w:rPr>
          <w:noProof/>
          <w:sz w:val="24"/>
        </w:rPr>
        <w:t xml:space="preserve"> principam. </w:t>
      </w:r>
    </w:p>
    <w:p>
      <w:pPr>
        <w:spacing w:before="240" w:after="240"/>
        <w:jc w:val="both"/>
        <w:rPr>
          <w:noProof/>
          <w:sz w:val="24"/>
          <w:szCs w:val="24"/>
        </w:rPr>
      </w:pPr>
      <w:r>
        <w:rPr>
          <w:noProof/>
          <w:sz w:val="24"/>
        </w:rPr>
        <w:t xml:space="preserve">EIB operācijas, kas parakstītas 2015. gadā saskaņā ar ESIF galvojuma segumu, sasniedz aptuveni 398 miljonus euro; ja šo operāciju rezultātā rastos jebkādi zaudējumi, tie tiktu segti galvenokārt no </w:t>
      </w:r>
      <w:r>
        <w:rPr>
          <w:i/>
          <w:noProof/>
          <w:sz w:val="24"/>
        </w:rPr>
        <w:t>InnovFin</w:t>
      </w:r>
      <w:r>
        <w:rPr>
          <w:noProof/>
          <w:sz w:val="24"/>
        </w:rPr>
        <w:t xml:space="preserve"> MVU garantiju mehānisma un </w:t>
      </w:r>
      <w:r>
        <w:rPr>
          <w:i/>
          <w:noProof/>
          <w:sz w:val="24"/>
        </w:rPr>
        <w:t>COSME</w:t>
      </w:r>
      <w:r>
        <w:rPr>
          <w:noProof/>
          <w:sz w:val="24"/>
        </w:rPr>
        <w:t xml:space="preserve"> aizdevumu garantiju mehānisma iemaksām.</w:t>
      </w:r>
    </w:p>
    <w:p>
      <w:pPr>
        <w:spacing w:before="240" w:after="240"/>
        <w:jc w:val="both"/>
        <w:rPr>
          <w:noProof/>
          <w:sz w:val="24"/>
          <w:szCs w:val="24"/>
        </w:rPr>
      </w:pPr>
      <w:r>
        <w:rPr>
          <w:noProof/>
          <w:sz w:val="24"/>
        </w:rPr>
        <w:t xml:space="preserve">Saskaņā ar ESIF regulu ESIFGF mērķapjoms ir noteikts 50 % apmērā no kopējām ES galvojuma saistībām, kas patlaban ir 16 miljardi euro. Ņemot vērā relatīvi ierobežoto parakstīto operāciju un izmaksu līmeni līdz 2015. gada beigām, nav pietiekami daudz elementu, kas ļautu izvērtēt mērķapjoma adekvātumu, balstoties uz faktiskajām operācijām. Līdz ar to pirmais ziņojums par mērķapjoma adekvātumu un ESIFGF līmeni tiks iesniegts līdz 2017. gada 31. maijam par 2016. gadu. </w:t>
      </w:r>
    </w:p>
    <w:p>
      <w:pPr>
        <w:spacing w:before="240" w:after="240"/>
        <w:jc w:val="both"/>
        <w:rPr>
          <w:noProof/>
          <w:sz w:val="24"/>
          <w:szCs w:val="24"/>
        </w:rPr>
      </w:pPr>
      <w:r>
        <w:rPr>
          <w:noProof/>
          <w:sz w:val="24"/>
        </w:rPr>
        <w:t>Patlaban ES budžetā ir paredzēts, ka 2016. gadā ESIFGF tiks iemaksāti aptuveni 500 miljoni euro.</w:t>
      </w:r>
    </w:p>
    <w:p>
      <w:pPr>
        <w:spacing w:before="240" w:after="240"/>
        <w:jc w:val="both"/>
        <w:rPr>
          <w:noProof/>
          <w:sz w:val="24"/>
          <w:szCs w:val="24"/>
        </w:rPr>
      </w:pPr>
      <w:r>
        <w:rPr>
          <w:noProof/>
          <w:sz w:val="24"/>
        </w:rPr>
        <w:t>Tā kā tiek sagaidīts, ka ESIF operāciju portfeļa apmērs laika gaitā ievērojami palielināsies, un ņemot vērā arī budžeta ierobežojumus ESIF plānošanas periodā, Komisija laika gaitā veiks sīkāku izvērtējumu.</w:t>
      </w:r>
    </w:p>
    <w:p>
      <w:pPr>
        <w:spacing w:before="240" w:after="240"/>
        <w:jc w:val="both"/>
        <w:rPr>
          <w:noProof/>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pPr>
      <w:r>
        <w:rPr>
          <w:rStyle w:val="FootnoteReference"/>
        </w:rPr>
        <w:footnoteRef/>
      </w:r>
      <w:r>
        <w:tab/>
        <w:t>OV L 169, 1.7.2015., 1. lpp.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7764608BE4348C18A631DCEECB67D45"/>
    <w:docVar w:name="LW_CROSSREFERENCE" w:val="&lt;UNUSED&gt;"/>
    <w:docVar w:name="LW_DocType" w:val="NORMAL"/>
    <w:docVar w:name="LW_EMISSION" w:val="31.5.2016"/>
    <w:docVar w:name="LW_EMISSION_ISODATE" w:val="2016-05-31"/>
    <w:docVar w:name="LW_EMISSION_LOCATION" w:val="BRX"/>
    <w:docVar w:name="LW_EMISSION_PREFIX" w:val="Briselē, "/>
    <w:docVar w:name="LW_EMISSION_SUFFIX" w:val="."/>
    <w:docVar w:name="LW_ID_DOCTYPE_NONLW" w:val="CP-035"/>
    <w:docVar w:name="LW_LANGUE" w:val="LV"/>
    <w:docVar w:name="LW_MARKING" w:val="&lt;UNUSED&gt;"/>
    <w:docVar w:name="LW_NOM.INST" w:val="EIROPAS KOMISIJA"/>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PAR EIROPAS STRAT\u274?\u290?ISKO INVEST\u298?CIJU FONDA GALVOJUMA FONDA P\u256?RVALD\u298?BU 2015. GAD\u256?"/>
    <w:docVar w:name="LW_TYPE.DOC.CP" w:val="KOMISIJAS ZI\u325?OJUMS EIROPAS PARLAMENTAM, PADOMEI UN EIROPAS REV\u298?ZIJAS PAL\u256?TAI"/>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lv-LV"/>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lv-LV"/>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lv-LV"/>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lv-LV"/>
    </w:rPr>
  </w:style>
  <w:style w:type="character" w:customStyle="1" w:styleId="Heading6Char">
    <w:name w:val="Heading 6 Char"/>
    <w:basedOn w:val="DefaultParagraphFont"/>
    <w:link w:val="Heading6"/>
    <w:rPr>
      <w:rFonts w:ascii="Times New Roman" w:eastAsia="Times New Roman" w:hAnsi="Times New Roman" w:cs="Times New Roman"/>
      <w:b/>
      <w:bCs/>
      <w:lang w:eastAsia="lv-LV"/>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lv-LV"/>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lv-LV"/>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v-LV"/>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lv-LV"/>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lv-LV"/>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lv-LV"/>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lv-LV"/>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lv-LV"/>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lv-LV"/>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lv-LV"/>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lv-LV"/>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lv-LV"/>
    </w:rPr>
  </w:style>
  <w:style w:type="character" w:customStyle="1" w:styleId="Heading6Char">
    <w:name w:val="Heading 6 Char"/>
    <w:basedOn w:val="DefaultParagraphFont"/>
    <w:link w:val="Heading6"/>
    <w:rPr>
      <w:rFonts w:ascii="Times New Roman" w:eastAsia="Times New Roman" w:hAnsi="Times New Roman" w:cs="Times New Roman"/>
      <w:b/>
      <w:bCs/>
      <w:lang w:eastAsia="lv-LV"/>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lv-LV"/>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lv-LV"/>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lv-LV"/>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lv-LV"/>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lv-LV"/>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lv-LV"/>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lv-LV"/>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lv-LV"/>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9ED55-57A6-41B3-BFAB-D10945955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1018</Words>
  <Characters>6093</Characters>
  <Application>Microsoft Office Word</Application>
  <DocSecurity>0</DocSecurity>
  <Lines>105</Lines>
  <Paragraphs>41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24</cp:revision>
  <cp:lastPrinted>2016-05-02T15:31:00Z</cp:lastPrinted>
  <dcterms:created xsi:type="dcterms:W3CDTF">2016-05-04T10:30:00Z</dcterms:created>
  <dcterms:modified xsi:type="dcterms:W3CDTF">2016-05-30T14:21:00Z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