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05E615388644DBEBCAFA60ED75EB885" style="width:450.75pt;height:351.7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rFonts w:eastAsia="Calibri"/>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rPr>
          <w:noProof/>
        </w:rPr>
      </w:pPr>
      <w:r>
        <w:rPr>
          <w:noProof/>
        </w:rPr>
        <w:t>Pasaules tirdzniecības organizācijas (PTO) dalībvalstu un Libērijas Republikas vienošanās par Libērijas Republikas iestāšanās nosacījumiem organizācijā ir nobeiguma posmā. Tas panākts pēc 8 gadu ilgām sarunām, kas sākās 2007. gadā, kad Libērijas Republika iesniedza pieteikumu par iestāšanos PTO. Iestāšanās nosacījumu kopsavilkums ir izklāstīts turpmāk 5. punktā.</w:t>
      </w:r>
    </w:p>
    <w:p>
      <w:pPr>
        <w:rPr>
          <w:noProof/>
          <w:szCs w:val="24"/>
        </w:rPr>
      </w:pPr>
      <w:r>
        <w:rPr>
          <w:noProof/>
        </w:rPr>
        <w:t>Iesniedzot Padomei apstiprināšanai Libērijas Republikas iestāšanās noteikumus PTO, Komisija uzskata, ka šie noteikumi nodrošina līdzsvarotu un vērienīgu tirgus atvēršanas saistību kopumu, kas nodrošinās ievērojamus ieguvumus gan Libērijas Republikai, gan tās PTO tirdzniecības partneriem. Libērijas pieteikumu par iestāšanos izskatīja saskaņā ar PTO Ģenerālpadomes vadlīnijām par vismazāk attīstīto valstu iestāšanos un ņemot vērā vispārējās divpusējās tirdzniecības attiecības ar Libēriju ĀKK un ES partnerattiecību ietvaros.</w:t>
      </w:r>
    </w:p>
    <w:p>
      <w:pPr>
        <w:pStyle w:val="ManualHeading2"/>
        <w:rPr>
          <w:rFonts w:eastAsia="Arial Unicode MS"/>
          <w:noProof/>
          <w:color w:val="000000"/>
          <w:u w:color="000000"/>
          <w:bdr w:val="nil"/>
        </w:rPr>
      </w:pPr>
      <w:r>
        <w:rPr>
          <w:noProof/>
          <w:color w:val="000000"/>
          <w:u w:color="000000"/>
          <w:bdr w:val="nil"/>
        </w:rPr>
        <w:t>•</w:t>
      </w:r>
      <w:r>
        <w:rPr>
          <w:noProof/>
        </w:rPr>
        <w:tab/>
        <w:t>Saskanība ar pašreizējiem noteikumiem konkrētajā politikas jomā</w:t>
      </w:r>
    </w:p>
    <w:p>
      <w:pPr>
        <w:pBdr>
          <w:top w:val="nil"/>
          <w:left w:val="nil"/>
          <w:bottom w:val="nil"/>
          <w:right w:val="nil"/>
          <w:between w:val="nil"/>
          <w:bar w:val="nil"/>
        </w:pBdr>
        <w:spacing w:before="0" w:after="240"/>
        <w:rPr>
          <w:rFonts w:eastAsia="Arial Unicode MS"/>
          <w:noProof/>
        </w:rPr>
      </w:pPr>
      <w:r>
        <w:rPr>
          <w:noProof/>
        </w:rPr>
        <w:t xml:space="preserve">Daudzpusēja sadarbība ir ES tirdzniecības politikas stūrakmens, un ES atbalsta trešo valstu iestāšanos PTO, ievērojot atbilstošus nosacījumus. </w:t>
      </w:r>
    </w:p>
    <w:p>
      <w:pPr>
        <w:pStyle w:val="ManualHeading2"/>
        <w:rPr>
          <w:rFonts w:eastAsia="Arial Unicode MS"/>
          <w:noProof/>
        </w:rPr>
      </w:pPr>
      <w:r>
        <w:rPr>
          <w:noProof/>
        </w:rPr>
        <w:t>•</w:t>
      </w:r>
      <w:r>
        <w:rPr>
          <w:noProof/>
        </w:rPr>
        <w:tab/>
        <w:t>Saskanība ar citām ES politikas jomām</w:t>
      </w:r>
    </w:p>
    <w:p>
      <w:pPr>
        <w:rPr>
          <w:rFonts w:eastAsia="Arial Unicode MS"/>
          <w:noProof/>
          <w:szCs w:val="24"/>
        </w:rPr>
      </w:pPr>
      <w:r>
        <w:rPr>
          <w:noProof/>
        </w:rPr>
        <w:t xml:space="preserve">Priekšlikums ir saskaņā ar ES ārējo darbību un attīstības politiku un ļaus Libērijai iekļauties daudzpusējā tirdzniecības sistēmā saskaņā ar PTO Ģenerālpadomes vadlīnijām par vismazāk attīstīto valstu iestāšanos un ņemot vērā vispārējās divpusējās tirdzniecības attiecības ar Libēriju ĀKK un ES partnerattiecību ietvaros. </w:t>
      </w:r>
    </w:p>
    <w:p>
      <w:pPr>
        <w:pStyle w:val="ManualHeading1"/>
        <w:rPr>
          <w:rFonts w:eastAsia="Calibri"/>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rPr>
          <w:noProof/>
        </w:rPr>
      </w:pPr>
      <w:r>
        <w:rPr>
          <w:noProof/>
        </w:rPr>
        <w:t>Padomes lēmums, ar ko apstiprina Libērijas Republikas iestāšanās noteikumus Pasaules tirdzniecības organizācijā (PTO), ir nepieciešams saskaņā ar Līguma par Eiropas Savienības darbību 218. panta 9. punktu, pirms ES šādu apstiprinājumu var oficiāli atbalstīt PTO.</w:t>
      </w:r>
    </w:p>
    <w:p>
      <w:pPr>
        <w:pStyle w:val="ManualHeading2"/>
        <w:rPr>
          <w:rFonts w:eastAsia="Arial Unicode MS"/>
          <w:noProof/>
        </w:rPr>
      </w:pPr>
      <w:r>
        <w:rPr>
          <w:noProof/>
        </w:rPr>
        <w:t>•</w:t>
      </w:r>
      <w:r>
        <w:rPr>
          <w:noProof/>
        </w:rPr>
        <w:tab/>
        <w:t xml:space="preserve">Subsidiaritāte (joma, kas nav Savienības ekskluzīvā kompetencē) </w:t>
      </w:r>
    </w:p>
    <w:p>
      <w:pPr>
        <w:keepNext/>
        <w:tabs>
          <w:tab w:val="left" w:pos="850"/>
        </w:tabs>
        <w:outlineLvl w:val="1"/>
        <w:rPr>
          <w:rFonts w:eastAsia="Arial Unicode MS"/>
          <w:noProof/>
          <w:u w:color="000000"/>
          <w:bdr w:val="nil"/>
        </w:rPr>
      </w:pPr>
      <w:r>
        <w:rPr>
          <w:noProof/>
        </w:rPr>
        <w:t>Neattiecas. ES ekskluzīvā kompetence tirdzniecības jomā.</w:t>
      </w:r>
    </w:p>
    <w:p>
      <w:pPr>
        <w:pStyle w:val="ManualHeading2"/>
        <w:rPr>
          <w:rFonts w:eastAsia="Arial Unicode MS"/>
          <w:noProof/>
        </w:rPr>
      </w:pPr>
      <w:r>
        <w:rPr>
          <w:noProof/>
        </w:rPr>
        <w:t>•</w:t>
      </w:r>
      <w:r>
        <w:rPr>
          <w:noProof/>
        </w:rPr>
        <w:tab/>
        <w:t>Proporcionalitāte</w:t>
      </w:r>
    </w:p>
    <w:p>
      <w:pPr>
        <w:rPr>
          <w:rFonts w:eastAsia="Arial Unicode MS"/>
          <w:noProof/>
        </w:rPr>
      </w:pPr>
      <w:r>
        <w:rPr>
          <w:noProof/>
        </w:rPr>
        <w:t>Neattiecas. Nepieciešams Padomes Lēmums saskaņā ar 218. panta 9. punktu.</w:t>
      </w:r>
    </w:p>
    <w:p>
      <w:pPr>
        <w:pStyle w:val="ManualHeading2"/>
        <w:rPr>
          <w:rFonts w:eastAsia="Arial Unicode MS"/>
          <w:noProof/>
        </w:rPr>
      </w:pPr>
      <w:r>
        <w:rPr>
          <w:noProof/>
        </w:rPr>
        <w:t>•</w:t>
      </w:r>
      <w:r>
        <w:rPr>
          <w:noProof/>
        </w:rPr>
        <w:tab/>
        <w:t>Instrumenta izvēle</w:t>
      </w:r>
    </w:p>
    <w:p>
      <w:pPr>
        <w:rPr>
          <w:rFonts w:eastAsia="Arial Unicode MS"/>
          <w:noProof/>
        </w:rPr>
      </w:pPr>
      <w:r>
        <w:rPr>
          <w:noProof/>
        </w:rPr>
        <w:t>Neattiecas. Nepieciešams Padomes Lēmums saskaņā ar 218. panta 9. punktu.</w:t>
      </w:r>
    </w:p>
    <w:p>
      <w:pPr>
        <w:pStyle w:val="ManualHeading1"/>
        <w:rPr>
          <w:rFonts w:eastAsia="Calibri"/>
          <w:noProof/>
        </w:rPr>
      </w:pPr>
      <w:r>
        <w:rPr>
          <w:noProof/>
        </w:rPr>
        <w:t>3.</w:t>
      </w:r>
      <w:r>
        <w:rPr>
          <w:noProof/>
        </w:rPr>
        <w:tab/>
      </w:r>
      <w:r>
        <w:rPr>
          <w:i/>
          <w:noProof/>
        </w:rPr>
        <w:t>EX - POST</w:t>
      </w:r>
      <w:r>
        <w:rPr>
          <w:noProof/>
        </w:rPr>
        <w:t xml:space="preserve"> IZVĒRTĒJUMU REZULTĀTI, APSPRIEŠANĀS AR IEINTERESĒTAJĀM PERSONĀM UN IETEKMES NOVĒRTĒJUMI</w:t>
      </w:r>
    </w:p>
    <w:p>
      <w:pPr>
        <w:pStyle w:val="ManualHeading2"/>
        <w:rPr>
          <w:rFonts w:eastAsia="Arial Unicode MS"/>
          <w:noProof/>
          <w:u w:color="000000"/>
          <w:bdr w:val="nil"/>
        </w:rPr>
      </w:pPr>
      <w:r>
        <w:rPr>
          <w:noProof/>
        </w:rPr>
        <w:t>•</w:t>
      </w:r>
      <w:r>
        <w:rPr>
          <w:noProof/>
        </w:rPr>
        <w:tab/>
      </w:r>
      <w:r>
        <w:rPr>
          <w:i/>
          <w:noProof/>
        </w:rPr>
        <w:t>Ex-post</w:t>
      </w:r>
      <w:r>
        <w:rPr>
          <w:noProof/>
        </w:rPr>
        <w:t xml:space="preserve"> izvērtējumi/spēkā esošo tiesību aktu derīguma pārbaude</w:t>
      </w:r>
    </w:p>
    <w:p>
      <w:pPr>
        <w:pBdr>
          <w:top w:val="nil"/>
          <w:left w:val="nil"/>
          <w:bottom w:val="nil"/>
          <w:right w:val="nil"/>
          <w:between w:val="nil"/>
          <w:bar w:val="nil"/>
        </w:pBdr>
        <w:spacing w:before="0" w:after="240"/>
        <w:rPr>
          <w:rFonts w:eastAsia="Arial Unicode MS"/>
          <w:noProof/>
        </w:rPr>
      </w:pPr>
      <w:r>
        <w:rPr>
          <w:noProof/>
        </w:rPr>
        <w:t>Neattiecas.</w:t>
      </w:r>
    </w:p>
    <w:p>
      <w:pPr>
        <w:pStyle w:val="ManualHeading2"/>
        <w:rPr>
          <w:rFonts w:eastAsia="Arial Unicode MS"/>
          <w:noProof/>
          <w:u w:color="000000"/>
          <w:bdr w:val="nil"/>
        </w:rPr>
      </w:pPr>
      <w:r>
        <w:rPr>
          <w:noProof/>
        </w:rPr>
        <w:lastRenderedPageBreak/>
        <w:t>•</w:t>
      </w:r>
      <w:r>
        <w:rPr>
          <w:noProof/>
        </w:rPr>
        <w:tab/>
        <w:t>Apspriešanās ar ieinteresētajām personām</w:t>
      </w:r>
    </w:p>
    <w:p>
      <w:pPr>
        <w:pBdr>
          <w:top w:val="nil"/>
          <w:left w:val="nil"/>
          <w:bottom w:val="nil"/>
          <w:right w:val="nil"/>
          <w:between w:val="nil"/>
          <w:bar w:val="nil"/>
        </w:pBdr>
        <w:spacing w:before="0" w:after="240"/>
        <w:rPr>
          <w:rFonts w:eastAsia="Arial Unicode MS"/>
          <w:noProof/>
        </w:rPr>
      </w:pPr>
      <w:r>
        <w:rPr>
          <w:noProof/>
        </w:rPr>
        <w:t>Neattiecas.</w:t>
      </w:r>
    </w:p>
    <w:p>
      <w:pPr>
        <w:pStyle w:val="ManualHeading2"/>
        <w:rPr>
          <w:rFonts w:eastAsia="Arial Unicode MS"/>
          <w:noProof/>
          <w:u w:color="000000"/>
          <w:bdr w:val="nil"/>
        </w:rPr>
      </w:pPr>
      <w:r>
        <w:rPr>
          <w:noProof/>
        </w:rPr>
        <w:t>•</w:t>
      </w:r>
      <w:r>
        <w:rPr>
          <w:noProof/>
        </w:rPr>
        <w:tab/>
        <w:t>Ekspertu atzinumu pieprasīšana un izmantošana</w:t>
      </w:r>
    </w:p>
    <w:p>
      <w:pPr>
        <w:pBdr>
          <w:top w:val="nil"/>
          <w:left w:val="nil"/>
          <w:bottom w:val="nil"/>
          <w:right w:val="nil"/>
          <w:between w:val="nil"/>
          <w:bar w:val="nil"/>
        </w:pBdr>
        <w:spacing w:before="0" w:after="240"/>
        <w:rPr>
          <w:rFonts w:eastAsia="Arial Unicode MS"/>
          <w:noProof/>
        </w:rPr>
      </w:pPr>
      <w:r>
        <w:rPr>
          <w:noProof/>
        </w:rPr>
        <w:t>Neattiecas.</w:t>
      </w:r>
    </w:p>
    <w:p>
      <w:pPr>
        <w:pStyle w:val="ManualHeading2"/>
        <w:rPr>
          <w:rFonts w:eastAsia="Arial Unicode MS"/>
          <w:noProof/>
          <w:u w:color="000000"/>
          <w:bdr w:val="nil"/>
        </w:rPr>
      </w:pPr>
      <w:r>
        <w:rPr>
          <w:noProof/>
        </w:rPr>
        <w:t>•</w:t>
      </w:r>
      <w:r>
        <w:rPr>
          <w:noProof/>
        </w:rPr>
        <w:tab/>
        <w:t>Ietekmes novērtējums</w:t>
      </w:r>
    </w:p>
    <w:p>
      <w:pPr>
        <w:pBdr>
          <w:top w:val="nil"/>
          <w:left w:val="nil"/>
          <w:bottom w:val="nil"/>
          <w:right w:val="nil"/>
          <w:between w:val="nil"/>
          <w:bar w:val="nil"/>
        </w:pBdr>
        <w:spacing w:before="0" w:after="240"/>
        <w:rPr>
          <w:rFonts w:eastAsia="Arial Unicode MS"/>
          <w:noProof/>
        </w:rPr>
      </w:pPr>
      <w:r>
        <w:rPr>
          <w:noProof/>
        </w:rPr>
        <w:t>Nav nepieciešams. Nepieciešams Padomes Lēmums saskaņā ar 218. panta 9. punktu.</w:t>
      </w:r>
    </w:p>
    <w:p>
      <w:pPr>
        <w:pStyle w:val="ManualHeading2"/>
        <w:rPr>
          <w:rFonts w:eastAsia="Arial Unicode MS"/>
          <w:noProof/>
          <w:u w:color="000000"/>
          <w:bdr w:val="nil"/>
        </w:rPr>
      </w:pPr>
      <w:r>
        <w:rPr>
          <w:noProof/>
        </w:rPr>
        <w:t>•</w:t>
      </w:r>
      <w:r>
        <w:rPr>
          <w:noProof/>
        </w:rPr>
        <w:tab/>
        <w:t>Normatīvā atbilstība un vienkāršošana</w:t>
      </w:r>
    </w:p>
    <w:p>
      <w:pPr>
        <w:pBdr>
          <w:top w:val="nil"/>
          <w:left w:val="nil"/>
          <w:bottom w:val="nil"/>
          <w:right w:val="nil"/>
          <w:between w:val="nil"/>
          <w:bar w:val="nil"/>
        </w:pBdr>
        <w:spacing w:before="0" w:after="240"/>
        <w:rPr>
          <w:rFonts w:eastAsia="Arial Unicode MS"/>
          <w:noProof/>
        </w:rPr>
      </w:pPr>
      <w:r>
        <w:rPr>
          <w:noProof/>
        </w:rPr>
        <w:t xml:space="preserve">Priekšlikums nav saistīts ar </w:t>
      </w:r>
      <w:r>
        <w:rPr>
          <w:i/>
          <w:noProof/>
        </w:rPr>
        <w:t>REFIT</w:t>
      </w:r>
      <w:r>
        <w:rPr>
          <w:noProof/>
        </w:rPr>
        <w:t>.</w:t>
      </w:r>
    </w:p>
    <w:p>
      <w:pPr>
        <w:pStyle w:val="ManualHeading2"/>
        <w:rPr>
          <w:rFonts w:eastAsia="Arial Unicode MS"/>
          <w:noProof/>
          <w:u w:color="000000"/>
          <w:bdr w:val="nil"/>
        </w:rPr>
      </w:pPr>
      <w:r>
        <w:rPr>
          <w:noProof/>
        </w:rPr>
        <w:t>•</w:t>
      </w:r>
      <w:r>
        <w:rPr>
          <w:noProof/>
        </w:rPr>
        <w:tab/>
        <w:t>Pamattiesības</w:t>
      </w:r>
    </w:p>
    <w:p>
      <w:pPr>
        <w:pBdr>
          <w:top w:val="nil"/>
          <w:left w:val="nil"/>
          <w:bottom w:val="nil"/>
          <w:right w:val="nil"/>
          <w:between w:val="nil"/>
          <w:bar w:val="nil"/>
        </w:pBdr>
        <w:spacing w:before="0" w:after="240"/>
        <w:rPr>
          <w:rFonts w:eastAsia="Arial Unicode MS"/>
          <w:noProof/>
        </w:rPr>
      </w:pPr>
      <w:r>
        <w:rPr>
          <w:noProof/>
        </w:rPr>
        <w:t>Šis priekšlikums neietekmē pamattiesību aizsardzību.</w:t>
      </w:r>
    </w:p>
    <w:p>
      <w:pPr>
        <w:pStyle w:val="ManualHeading1"/>
        <w:rPr>
          <w:rFonts w:eastAsia="Calibri"/>
          <w:noProof/>
        </w:rPr>
      </w:pPr>
      <w:r>
        <w:rPr>
          <w:noProof/>
        </w:rPr>
        <w:t>4.</w:t>
      </w:r>
      <w:r>
        <w:rPr>
          <w:noProof/>
        </w:rPr>
        <w:tab/>
        <w:t>IETEKME UZ BUDŽETU</w:t>
      </w:r>
    </w:p>
    <w:p>
      <w:pPr>
        <w:pBdr>
          <w:top w:val="nil"/>
          <w:left w:val="nil"/>
          <w:bottom w:val="nil"/>
          <w:right w:val="nil"/>
          <w:between w:val="nil"/>
          <w:bar w:val="nil"/>
        </w:pBdr>
        <w:spacing w:before="0" w:after="240"/>
        <w:rPr>
          <w:rFonts w:eastAsia="Arial Unicode MS"/>
          <w:noProof/>
        </w:rPr>
      </w:pPr>
      <w:r>
        <w:rPr>
          <w:noProof/>
        </w:rPr>
        <w:t>Priekšlikums neietekmē budžetu.</w:t>
      </w:r>
    </w:p>
    <w:p>
      <w:pPr>
        <w:pStyle w:val="ManualHeading1"/>
        <w:rPr>
          <w:rFonts w:eastAsia="Calibri"/>
          <w:noProof/>
        </w:rPr>
      </w:pPr>
      <w:r>
        <w:rPr>
          <w:noProof/>
        </w:rPr>
        <w:t>5.</w:t>
      </w:r>
      <w:r>
        <w:rPr>
          <w:noProof/>
        </w:rPr>
        <w:tab/>
        <w:t>CITI JAUTĀJUMI</w:t>
      </w:r>
    </w:p>
    <w:p>
      <w:pPr>
        <w:pStyle w:val="ManualHeading2"/>
        <w:rPr>
          <w:rFonts w:eastAsia="Arial Unicode MS"/>
          <w:noProof/>
          <w:u w:color="000000"/>
          <w:bdr w:val="nil"/>
        </w:rPr>
      </w:pPr>
      <w:r>
        <w:rPr>
          <w:noProof/>
        </w:rPr>
        <w:t>•</w:t>
      </w:r>
      <w:r>
        <w:rPr>
          <w:noProof/>
        </w:rPr>
        <w:tab/>
        <w:t>Īstenošanas plāni un uzraudzības, izvērtēšanas un ziņošanas pasākumi</w:t>
      </w:r>
    </w:p>
    <w:p>
      <w:pPr>
        <w:pBdr>
          <w:top w:val="nil"/>
          <w:left w:val="nil"/>
          <w:bottom w:val="nil"/>
          <w:right w:val="nil"/>
          <w:between w:val="nil"/>
          <w:bar w:val="nil"/>
        </w:pBdr>
        <w:spacing w:before="0" w:after="240"/>
        <w:rPr>
          <w:rFonts w:eastAsia="Arial Unicode MS"/>
          <w:noProof/>
        </w:rPr>
      </w:pPr>
      <w:r>
        <w:rPr>
          <w:noProof/>
        </w:rPr>
        <w:t>Neattiecas.</w:t>
      </w:r>
    </w:p>
    <w:p>
      <w:pPr>
        <w:pStyle w:val="ManualHeading2"/>
        <w:rPr>
          <w:rFonts w:eastAsia="Arial Unicode MS"/>
          <w:noProof/>
          <w:u w:color="000000"/>
          <w:bdr w:val="nil"/>
        </w:rPr>
      </w:pPr>
      <w:r>
        <w:rPr>
          <w:noProof/>
        </w:rPr>
        <w:t>•</w:t>
      </w:r>
      <w:r>
        <w:rPr>
          <w:noProof/>
        </w:rPr>
        <w:tab/>
        <w:t>Konkrētu priekšlikuma noteikumu sīks skaidrojums</w:t>
      </w:r>
    </w:p>
    <w:p>
      <w:pPr>
        <w:rPr>
          <w:b/>
          <w:i/>
          <w:noProof/>
        </w:rPr>
      </w:pPr>
      <w:r>
        <w:rPr>
          <w:b/>
          <w:i/>
          <w:noProof/>
        </w:rPr>
        <w:t>Iestāšanās nosacījumu kopsavilkums</w:t>
      </w:r>
    </w:p>
    <w:p>
      <w:pPr>
        <w:outlineLvl w:val="0"/>
        <w:rPr>
          <w:b/>
          <w:bCs/>
          <w:i/>
          <w:iCs/>
          <w:noProof/>
          <w:u w:val="single"/>
        </w:rPr>
      </w:pPr>
      <w:r>
        <w:rPr>
          <w:b/>
          <w:i/>
          <w:noProof/>
          <w:u w:val="single"/>
        </w:rPr>
        <w:t>Saistību saraksti</w:t>
      </w:r>
    </w:p>
    <w:p>
      <w:pPr>
        <w:outlineLvl w:val="0"/>
        <w:rPr>
          <w:bCs/>
          <w:iCs/>
          <w:noProof/>
        </w:rPr>
      </w:pPr>
      <w:r>
        <w:rPr>
          <w:b/>
          <w:i/>
          <w:noProof/>
        </w:rPr>
        <w:t>Preces (vispārīgi)</w:t>
      </w:r>
    </w:p>
    <w:p>
      <w:pPr>
        <w:rPr>
          <w:bCs/>
          <w:iCs/>
          <w:noProof/>
        </w:rPr>
      </w:pPr>
      <w:r>
        <w:rPr>
          <w:noProof/>
        </w:rPr>
        <w:t>Libērijas iestāšanās saistību sarakstā vidējā galīgā saistošā likme ir 26,6 %.</w:t>
      </w:r>
    </w:p>
    <w:p>
      <w:pPr>
        <w:rPr>
          <w:bCs/>
          <w:iCs/>
          <w:noProof/>
        </w:rPr>
      </w:pPr>
      <w:r>
        <w:rPr>
          <w:noProof/>
        </w:rPr>
        <w:t xml:space="preserve">Vidējā galīgā saistošā likme lauksaimniecības produktiem (23,6 %) ir zemāka nekā rūpniecības precēm (27,2 %). </w:t>
      </w:r>
    </w:p>
    <w:p>
      <w:pPr>
        <w:rPr>
          <w:bCs/>
          <w:iCs/>
          <w:noProof/>
        </w:rPr>
      </w:pPr>
      <w:r>
        <w:rPr>
          <w:noProof/>
        </w:rPr>
        <w:t>Libērija lielāko daļu galīgo saistošo likmju piemēros no pievienošanās dienas. Attiecībā uz 249 tarifa pozīcijām (t. i., 4 % no tarifu saraksta) Libērija galīgo saistošo likmi piemēros tikai līdz 2019. gadam.</w:t>
      </w:r>
    </w:p>
    <w:p>
      <w:pPr>
        <w:rPr>
          <w:bCs/>
          <w:iCs/>
          <w:noProof/>
        </w:rPr>
      </w:pPr>
      <w:r>
        <w:rPr>
          <w:noProof/>
        </w:rPr>
        <w:t xml:space="preserve">Minētie vidējie tarifu līmeņi vismazāk attīstīto valstu standartiem ir ļoti augsti, īpaši, ņemot vērā Libērijas ekonomikas mazo apjomu un neaizsargātību. </w:t>
      </w:r>
    </w:p>
    <w:p>
      <w:pPr>
        <w:rPr>
          <w:bCs/>
          <w:iCs/>
          <w:noProof/>
        </w:rPr>
      </w:pPr>
      <w:r>
        <w:rPr>
          <w:b/>
          <w:i/>
          <w:noProof/>
        </w:rPr>
        <w:t xml:space="preserve">Rūpniecības preces </w:t>
      </w:r>
    </w:p>
    <w:p>
      <w:pPr>
        <w:tabs>
          <w:tab w:val="num" w:pos="1417"/>
        </w:tabs>
        <w:rPr>
          <w:noProof/>
        </w:rPr>
      </w:pPr>
      <w:r>
        <w:rPr>
          <w:noProof/>
        </w:rPr>
        <w:t>Vidējā galīgā saistošā likme produktiem, kas nav lauksaimniecības produkti, ir 27,2 %.</w:t>
      </w:r>
    </w:p>
    <w:p>
      <w:pPr>
        <w:pStyle w:val="Bullet0"/>
        <w:numPr>
          <w:ilvl w:val="0"/>
          <w:numId w:val="10"/>
        </w:numPr>
        <w:rPr>
          <w:bCs/>
          <w:iCs/>
          <w:noProof/>
        </w:rPr>
      </w:pPr>
      <w:r>
        <w:rPr>
          <w:noProof/>
        </w:rPr>
        <w:t>Libērija uzņemas saistības par 100 % saraksta un izvēlas saistošās tarifa likmes visām rūpniecības precēm.</w:t>
      </w:r>
    </w:p>
    <w:p>
      <w:pPr>
        <w:pStyle w:val="Bullet0"/>
        <w:rPr>
          <w:bCs/>
          <w:iCs/>
          <w:noProof/>
        </w:rPr>
      </w:pPr>
      <w:r>
        <w:rPr>
          <w:noProof/>
        </w:rPr>
        <w:t>Tarifu augstākā likme ir 50 % krāsām, saimniecībā izmantojamiem plastmasas izstrādājumiem, papīra higiēnas precēm un koka mēbelēm.</w:t>
      </w:r>
    </w:p>
    <w:p>
      <w:pPr>
        <w:rPr>
          <w:bCs/>
          <w:iCs/>
          <w:noProof/>
        </w:rPr>
      </w:pPr>
      <w:r>
        <w:rPr>
          <w:b/>
          <w:i/>
          <w:noProof/>
        </w:rPr>
        <w:lastRenderedPageBreak/>
        <w:t xml:space="preserve">Lauksaimniecības preces </w:t>
      </w:r>
    </w:p>
    <w:p>
      <w:pPr>
        <w:pStyle w:val="Bullet0"/>
        <w:rPr>
          <w:noProof/>
        </w:rPr>
      </w:pPr>
      <w:r>
        <w:rPr>
          <w:noProof/>
        </w:rPr>
        <w:t>Vidējā galīgā saistošā likme lauksaimniecības produktiem ir 23,6 %.</w:t>
      </w:r>
    </w:p>
    <w:p>
      <w:pPr>
        <w:pStyle w:val="Bullet0"/>
        <w:rPr>
          <w:noProof/>
        </w:rPr>
      </w:pPr>
      <w:r>
        <w:rPr>
          <w:noProof/>
        </w:rPr>
        <w:t>Tarifu augstākā likme lauksaimniecības jomā ir 50 % kakao pupiņām, tomātu kečupam un minerālūdenim.</w:t>
      </w:r>
    </w:p>
    <w:p>
      <w:pPr>
        <w:outlineLvl w:val="0"/>
        <w:rPr>
          <w:b/>
          <w:bCs/>
          <w:i/>
          <w:iCs/>
          <w:noProof/>
          <w:szCs w:val="20"/>
        </w:rPr>
      </w:pPr>
      <w:r>
        <w:rPr>
          <w:b/>
          <w:i/>
          <w:noProof/>
        </w:rPr>
        <w:t xml:space="preserve">Pakalpojumi </w:t>
      </w:r>
    </w:p>
    <w:p>
      <w:pPr>
        <w:rPr>
          <w:noProof/>
          <w:szCs w:val="20"/>
        </w:rPr>
      </w:pPr>
      <w:r>
        <w:rPr>
          <w:noProof/>
        </w:rPr>
        <w:t>Ņemot vērā Libērijas vismazāk attīstītās valsts statusu, tās īpašo saistību saraksts attiecībā uz pakalpojumiem ir ļoti plašs un vērienīgs. Libērija uzņemsies saistības attiecībā uz pieeju tirgum un valsts režīmu daudzās pakalpojumu nozarēs, arī tādās nozarēs kā profesionālie, datoru un citi uzņēmējdarbības pakalpojumi, sakaru pakalpojumi, būvniecības pakalpojumi, izplatīšanas pakalpojumi, privātās izglītības pakalpojumi, vides pakalpojumi, finanšu (apdrošināšanas un banku) pakalpojumi, privāti finansēti veselības un sociālie pakalpojumi, tūrisma pakalpojumi, atpūtas, kultūras un sporta pakalpojumi un transporta pakalpojumi (jūras, iekšējo ūdensceļu un sauszemes transporta pakalpojumi un palīgpakalpojumi visiem transporta veidiem).</w:t>
      </w:r>
    </w:p>
    <w:p>
      <w:pPr>
        <w:outlineLvl w:val="0"/>
        <w:rPr>
          <w:b/>
          <w:bCs/>
          <w:i/>
          <w:iCs/>
          <w:noProof/>
          <w:szCs w:val="20"/>
          <w:u w:val="single"/>
        </w:rPr>
      </w:pPr>
      <w:r>
        <w:rPr>
          <w:b/>
          <w:i/>
          <w:noProof/>
          <w:u w:val="single"/>
        </w:rPr>
        <w:t>Saistības saskaņā ar protokolu</w:t>
      </w:r>
    </w:p>
    <w:p>
      <w:pPr>
        <w:rPr>
          <w:noProof/>
          <w:szCs w:val="20"/>
        </w:rPr>
      </w:pPr>
      <w:r>
        <w:rPr>
          <w:noProof/>
        </w:rPr>
        <w:t xml:space="preserve">Iestāšanās procesa pēdējā, daudzpusējā posmā PTO dalībnieki kopīgi centās nodrošināt Libērijas tirdzniecības likumu un iestāžu principiālu atbilstību PTO noteikumiem un nolīgumiem, izklāstot tos darba grupas ziņojumā. </w:t>
      </w:r>
    </w:p>
    <w:p>
      <w:pPr>
        <w:spacing w:before="0" w:after="240"/>
        <w:rPr>
          <w:noProof/>
          <w:szCs w:val="20"/>
        </w:rPr>
      </w:pPr>
      <w:r>
        <w:rPr>
          <w:noProof/>
        </w:rPr>
        <w:t xml:space="preserve">Tika lūgta tehniskā palīdzība un/vai pārejas periodi, lai īstenotu dažas PTO saistības. Attiecībā uz pārejas periodiem Libērijai būs līdz 2017. gada 1. augustam jānodrošina pilnīga atbilstība PTO saistībām par maksām un nodevām saistībā ar importu un eksportu, par tehniskiem šķēršļiem tirdzniecībai un par sanitārajiem un fitosanitārajiem pasākumiem. Libērija arī varēs līdz 2019. gada 1. augustam saglabāt dažus ar </w:t>
      </w:r>
      <w:r>
        <w:rPr>
          <w:i/>
          <w:noProof/>
        </w:rPr>
        <w:t>TRIMS</w:t>
      </w:r>
      <w:r>
        <w:rPr>
          <w:noProof/>
        </w:rPr>
        <w:t xml:space="preserve"> nesaderīgus investīciju stimulus.</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2015/0230 (NLE)</w:t>
      </w:r>
    </w:p>
    <w:p>
      <w:pPr>
        <w:pStyle w:val="Statut"/>
        <w:rPr>
          <w:noProof/>
        </w:rPr>
      </w:pPr>
      <w:r>
        <w:rPr>
          <w:noProof/>
        </w:rPr>
        <w:t>Priekšlikums</w:t>
      </w:r>
    </w:p>
    <w:p>
      <w:pPr>
        <w:pStyle w:val="Typedudocument"/>
        <w:rPr>
          <w:noProof/>
        </w:rPr>
      </w:pPr>
      <w:r>
        <w:rPr>
          <w:noProof/>
        </w:rPr>
        <w:t>PADOMES LĒMUMS</w:t>
      </w:r>
    </w:p>
    <w:p>
      <w:pPr>
        <w:pStyle w:val="Titreobjet"/>
        <w:rPr>
          <w:noProof/>
        </w:rPr>
      </w:pPr>
      <w:r>
        <w:rPr>
          <w:noProof/>
        </w:rPr>
        <w:t>par nostāju, kas Eiropas Savienībai jāieņem Pasaules Tirdzniecības organizācijas ministru konferencē par Libērijas Republikas iestāšanos PTO</w:t>
      </w:r>
    </w:p>
    <w:p>
      <w:pPr>
        <w:pStyle w:val="Institutionquiagit"/>
        <w:rPr>
          <w:noProof/>
        </w:rPr>
      </w:pPr>
      <w:r>
        <w:rPr>
          <w:noProof/>
        </w:rPr>
        <w:t>EIROPAS SAVIENĪBAS PADOME,</w:t>
      </w:r>
    </w:p>
    <w:p>
      <w:pPr>
        <w:rPr>
          <w:noProof/>
        </w:rPr>
      </w:pPr>
      <w:r>
        <w:rPr>
          <w:noProof/>
        </w:rPr>
        <w:t>ņemot vērā Līgumu par Eiropas Savienības darbību un jo īpaši tā 91. pantu, 100. panta 2. punktu un 207. panta 4. punkta pirmo daļu saistībā ar 218. panta 9. punktu,</w:t>
      </w:r>
    </w:p>
    <w:p>
      <w:pPr>
        <w:rPr>
          <w:noProof/>
        </w:rPr>
      </w:pPr>
      <w:r>
        <w:rPr>
          <w:noProof/>
        </w:rPr>
        <w:t>ņemot vērā Eiropas Komisijas priekšlikumu,</w:t>
      </w:r>
    </w:p>
    <w:p>
      <w:pPr>
        <w:rPr>
          <w:noProof/>
        </w:rPr>
      </w:pPr>
      <w:r>
        <w:rPr>
          <w:noProof/>
        </w:rPr>
        <w:t>tā kā:</w:t>
      </w:r>
    </w:p>
    <w:p>
      <w:pPr>
        <w:pStyle w:val="ManualConsidrant"/>
        <w:rPr>
          <w:noProof/>
        </w:rPr>
      </w:pPr>
      <w:r>
        <w:rPr>
          <w:noProof/>
        </w:rPr>
        <w:t>(1)</w:t>
      </w:r>
      <w:r>
        <w:rPr>
          <w:noProof/>
        </w:rPr>
        <w:tab/>
        <w:t>Libērijas Republikas valdība 2007. gada 13. jūnijā iesniedza pieteikumu par pievienošanos Marakešas Līgumam par Pasaules Tirdzniecības organizācijas (PTO) izveidošanu saskaņā ar minētā līguma XII pantu.</w:t>
      </w:r>
    </w:p>
    <w:p>
      <w:pPr>
        <w:pStyle w:val="ManualConsidrant"/>
        <w:rPr>
          <w:noProof/>
        </w:rPr>
      </w:pPr>
      <w:r>
        <w:rPr>
          <w:noProof/>
        </w:rPr>
        <w:t>(2)</w:t>
      </w:r>
      <w:r>
        <w:rPr>
          <w:noProof/>
        </w:rPr>
        <w:tab/>
        <w:t>Lai panāktu vienošanos par iestāšanās noteikumiem, kas būtu pieņemami Libērijas Republikai un visiem PTO dalībniekiem, 2007. gada 18. decembrī tika izveidota Libērijas Republikas iestāšanās darba grupa.</w:t>
      </w:r>
    </w:p>
    <w:p>
      <w:pPr>
        <w:pStyle w:val="ManualConsidrant"/>
        <w:rPr>
          <w:noProof/>
        </w:rPr>
      </w:pPr>
      <w:r>
        <w:rPr>
          <w:noProof/>
        </w:rPr>
        <w:t>(3)</w:t>
      </w:r>
      <w:r>
        <w:rPr>
          <w:noProof/>
        </w:rPr>
        <w:tab/>
        <w:t>Komisija Savienības vārdā risināja sarunas par visaptverošu tirgus atvēršanas saistību kopumu, ko uzņemas Libērijas Republika saskaņā ar PTO Ģenerālpadomes vadlīnijām par vismazāk attīstīto valstu iestāšanos un kas atbilst Savienības prasībām, ņemot vērā vispārējās divpusējās tirdzniecības attiecības ar Libērijas Republiku ĀKK un ES partnerattiecību ietvaros.</w:t>
      </w:r>
    </w:p>
    <w:p>
      <w:pPr>
        <w:pStyle w:val="ManualConsidrant"/>
        <w:rPr>
          <w:noProof/>
        </w:rPr>
      </w:pPr>
      <w:r>
        <w:rPr>
          <w:noProof/>
        </w:rPr>
        <w:t>(4)</w:t>
      </w:r>
      <w:r>
        <w:rPr>
          <w:noProof/>
        </w:rPr>
        <w:tab/>
        <w:t>Šīs saistības tagad ir iekļautas Libērijas Republikas iestāšanās PTO protokolā.</w:t>
      </w:r>
    </w:p>
    <w:p>
      <w:pPr>
        <w:pStyle w:val="ManualConsidrant"/>
        <w:rPr>
          <w:noProof/>
        </w:rPr>
      </w:pPr>
      <w:r>
        <w:rPr>
          <w:noProof/>
        </w:rPr>
        <w:t>(5)</w:t>
      </w:r>
      <w:r>
        <w:rPr>
          <w:noProof/>
        </w:rPr>
        <w:tab/>
        <w:t>Paredzams, ka iestāšanās PTO radīs pozitīvu un ilgstošu ieguldījumu Libērijas Republikas ekonomisko reformu un ilgtspējīgas attīstības procesā.</w:t>
      </w:r>
    </w:p>
    <w:p>
      <w:pPr>
        <w:pStyle w:val="ManualConsidrant"/>
        <w:rPr>
          <w:noProof/>
        </w:rPr>
      </w:pPr>
      <w:r>
        <w:rPr>
          <w:noProof/>
        </w:rPr>
        <w:t>(6)</w:t>
      </w:r>
      <w:r>
        <w:rPr>
          <w:noProof/>
        </w:rPr>
        <w:tab/>
        <w:t>Tāpēc būtu jāapstiprina iestāšanās protokols.</w:t>
      </w:r>
    </w:p>
    <w:p>
      <w:pPr>
        <w:pStyle w:val="ManualConsidrant"/>
        <w:rPr>
          <w:noProof/>
        </w:rPr>
      </w:pPr>
      <w:r>
        <w:rPr>
          <w:noProof/>
        </w:rPr>
        <w:t>(7)</w:t>
      </w:r>
      <w:r>
        <w:rPr>
          <w:noProof/>
        </w:rPr>
        <w:tab/>
        <w:t>PTO izveidošanas līguma XII pantā noteikts, ka iestāšanās noteikumi ir savstarpēji jāsaskaņo PTO un valstij, kas iestājas, un ka PTO ministru konference apstiprina iestāšanās noteikumus no PTO puses. PTO izveidošanas līguma IV panta 2. punktā noteikts, ka ministru konferenču sanāksmju starplaikā tās funkcijas pilda Vispārējā padome.</w:t>
      </w:r>
    </w:p>
    <w:p>
      <w:pPr>
        <w:pStyle w:val="ManualConsidrant"/>
        <w:rPr>
          <w:noProof/>
        </w:rPr>
      </w:pPr>
      <w:r>
        <w:rPr>
          <w:noProof/>
        </w:rPr>
        <w:t>(8)</w:t>
      </w:r>
      <w:r>
        <w:rPr>
          <w:noProof/>
        </w:rPr>
        <w:tab/>
        <w:t>Tādēļ ir nepieciešams noteikt Savienības nostāju par Libērijas Republikas iestāšanos PTO, kura jāieņem PTO ministru konferencē,</w:t>
      </w:r>
    </w:p>
    <w:p>
      <w:pPr>
        <w:pStyle w:val="Formuledadoption"/>
        <w:rPr>
          <w:noProof/>
        </w:rPr>
      </w:pPr>
      <w:r>
        <w:rPr>
          <w:noProof/>
        </w:rPr>
        <w:lastRenderedPageBreak/>
        <w:t xml:space="preserve">IR PIEŅĒMUSI ŠO LĒMUMU. </w:t>
      </w:r>
    </w:p>
    <w:p>
      <w:pPr>
        <w:pStyle w:val="Titrearticle"/>
        <w:rPr>
          <w:noProof/>
        </w:rPr>
      </w:pPr>
      <w:r>
        <w:rPr>
          <w:noProof/>
        </w:rPr>
        <w:t>1. pants</w:t>
      </w:r>
    </w:p>
    <w:p>
      <w:pPr>
        <w:rPr>
          <w:noProof/>
        </w:rPr>
      </w:pPr>
      <w:r>
        <w:rPr>
          <w:noProof/>
        </w:rPr>
        <w:t>Nostāja, kas Eiropas Savienībai jāieņem Pasaules Tirdzniecības organizācijas ministru konferencē par Libērijas Republikas iestāšanos PTO, ir atbalstīt iestāšanos.</w:t>
      </w:r>
    </w:p>
    <w:p>
      <w:pPr>
        <w:pStyle w:val="Titrearticle"/>
        <w:rPr>
          <w:noProof/>
        </w:rPr>
      </w:pPr>
      <w:r>
        <w:rPr>
          <w:noProof/>
        </w:rPr>
        <w:t>2. pants</w:t>
      </w:r>
    </w:p>
    <w:p>
      <w:pPr>
        <w:keepLines/>
        <w:rPr>
          <w:noProof/>
        </w:rPr>
      </w:pPr>
      <w:r>
        <w:rPr>
          <w:noProof/>
        </w:rPr>
        <w:t>Šis lēmums stājas spēkā tā pieņemšanas dienā.</w:t>
      </w:r>
    </w:p>
    <w:p>
      <w:pPr>
        <w:pStyle w:val="Fait"/>
        <w:rPr>
          <w:noProof/>
        </w:rPr>
      </w:pPr>
      <w:r>
        <w:rPr>
          <w:noProof/>
        </w:rPr>
        <w:t>Briselē,</w:t>
      </w:r>
    </w:p>
    <w:p>
      <w:pPr>
        <w:pStyle w:val="Institutionquisigne"/>
        <w:rPr>
          <w:noProof/>
        </w:rPr>
      </w:pPr>
      <w:r>
        <w:rPr>
          <w:noProof/>
        </w:rPr>
        <w:tab/>
        <w:t>Padomes vārdā —</w:t>
      </w:r>
    </w:p>
    <w:p>
      <w:pPr>
        <w:pStyle w:val="Personnequisigne"/>
        <w:rPr>
          <w:noProof/>
        </w:rPr>
      </w:pP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66688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32626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E02D8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EBC152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69E4A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9029A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E6E995A"/>
    <w:lvl w:ilvl="0">
      <w:start w:val="1"/>
      <w:numFmt w:val="decimal"/>
      <w:pStyle w:val="ListNumber"/>
      <w:lvlText w:val="%1."/>
      <w:lvlJc w:val="left"/>
      <w:pPr>
        <w:tabs>
          <w:tab w:val="num" w:pos="360"/>
        </w:tabs>
        <w:ind w:left="360" w:hanging="360"/>
      </w:pPr>
    </w:lvl>
  </w:abstractNum>
  <w:abstractNum w:abstractNumId="7">
    <w:nsid w:val="FFFFFF89"/>
    <w:multiLevelType w:val="singleLevel"/>
    <w:tmpl w:val="4D2E4D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18"/>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10-01 10:07: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05E615388644DBEBCAFA60ED75EB885"/>
    <w:docVar w:name="LW_CROSSREFERENCE" w:val="&lt;UNUSED&gt;"/>
    <w:docVar w:name="LW_DocType" w:val="COM"/>
    <w:docVar w:name="LW_EMISSION" w:val="1.10.2015"/>
    <w:docVar w:name="LW_EMISSION_ISODATE" w:val="2015-10-01"/>
    <w:docVar w:name="LW_EMISSION_LOCATION" w:val="BRX"/>
    <w:docVar w:name="LW_EMISSION_PREFIX" w:val="Briselē, "/>
    <w:docVar w:name="LW_EMISSION_SUFFIX" w:val="."/>
    <w:docVar w:name="LW_ID_DOCMODEL" w:val="SJ-019"/>
    <w:docVar w:name="LW_ID_DOCSIGNATURE" w:val="SJ-019"/>
    <w:docVar w:name="LW_ID_DOCSTRUCTURE" w:val="COM/PL/ORG"/>
    <w:docVar w:name="LW_ID_DOCTYPE" w:val="SJ-019"/>
    <w:docVar w:name="LW_ID_STATUT" w:val="SJ-019"/>
    <w:docVar w:name="LW_INTERETEEE.CP" w:val="&lt;UNUSED&gt;"/>
    <w:docVar w:name="LW_LANGUE" w:val="LV"/>
    <w:docVar w:name="LW_MARKING" w:val="&lt;UNUSED&gt;"/>
    <w:docVar w:name="LW_NOM.INST" w:val="EIROPAS KOMISIJA"/>
    <w:docVar w:name="LW_NOM.INST_JOINTDOC" w:val="&lt;EMPTY&gt;"/>
    <w:docVar w:name="LW_PART_NBR" w:val="1"/>
    <w:docVar w:name="LW_PART_NBR_TOTAL" w:val="1"/>
    <w:docVar w:name="LW_REF.II.NEW.CP" w:val="NLE"/>
    <w:docVar w:name="LW_REF.II.NEW.CP_NUMBER" w:val="0230"/>
    <w:docVar w:name="LW_REF.II.NEW.CP_YEAR" w:val="2015"/>
    <w:docVar w:name="LW_REF.INST.NEW" w:val="COM"/>
    <w:docVar w:name="LW_REF.INST.NEW_ADOPTED" w:val="final"/>
    <w:docVar w:name="LW_REF.INST.NEW_TEXT" w:val="(2015) 469"/>
    <w:docVar w:name="LW_REF.INTERNE" w:val="&lt;UNUSED&gt;"/>
    <w:docVar w:name="LW_SOUS.TITRE.OBJ.CP" w:val="&lt;UNUSED&gt;"/>
    <w:docVar w:name="LW_STATUT.CP" w:val="Priek\u353?likums"/>
    <w:docVar w:name="LW_SUPERTITRE" w:val="&lt;UNUSED&gt;"/>
    <w:docVar w:name="LW_TITRE.OBJ.CP" w:val="par nost\u257?ju, kas Eiropas Savien\u299?bai j\u257?ie\u326?em Pasaules Tirdzniec\u299?bas organiz\u257?cijas ministru konferenc\u275? par Lib\u275?rijas Republikas iest\u257?\u353?anos PTO"/>
    <w:docVar w:name="LW_TYPE.DOC.CP" w:val="PADOMES L\u274?MUMS"/>
  </w:docVar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lv-LV"/>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Normal"/>
    <w:pPr>
      <w:numPr>
        <w:numId w:val="1"/>
      </w:numPr>
    </w:pPr>
  </w:style>
  <w:style w:type="character" w:customStyle="1" w:styleId="yiv1929598160apple-converted-space">
    <w:name w:val="yiv1929598160apple-converted-space"/>
  </w:style>
  <w:style w:type="paragraph" w:styleId="ListBullet">
    <w:name w:val="List Bullet"/>
    <w:basedOn w:val="Normal"/>
    <w:uiPriority w:val="99"/>
    <w:pPr>
      <w:numPr>
        <w:numId w:val="2"/>
      </w:numPr>
      <w:contextualSpacing/>
    </w:pPr>
  </w:style>
  <w:style w:type="paragraph" w:styleId="ListBullet2">
    <w:name w:val="List Bullet 2"/>
    <w:basedOn w:val="Normal"/>
    <w:uiPriority w:val="99"/>
    <w:pPr>
      <w:numPr>
        <w:numId w:val="3"/>
      </w:numPr>
      <w:contextualSpacing/>
    </w:pPr>
  </w:style>
  <w:style w:type="paragraph" w:styleId="ListBullet3">
    <w:name w:val="List Bullet 3"/>
    <w:basedOn w:val="Normal"/>
    <w:uiPriority w:val="99"/>
    <w:pPr>
      <w:numPr>
        <w:numId w:val="4"/>
      </w:numPr>
      <w:contextualSpacing/>
    </w:pPr>
  </w:style>
  <w:style w:type="paragraph" w:styleId="ListBullet4">
    <w:name w:val="List Bullet 4"/>
    <w:basedOn w:val="Normal"/>
    <w:uiPriority w:val="99"/>
    <w:pPr>
      <w:numPr>
        <w:numId w:val="5"/>
      </w:numPr>
      <w:contextualSpacing/>
    </w:p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eastAsia="lv-LV"/>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lv-LV"/>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lv-LV"/>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6</Pages>
  <Words>982</Words>
  <Characters>6849</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cp:lastPrinted>2015-08-03T15:41:00Z</cp:lastPrinted>
  <dcterms:created xsi:type="dcterms:W3CDTF">2015-09-21T12:00:00Z</dcterms:created>
  <dcterms:modified xsi:type="dcterms:W3CDTF">2015-10-01T08:07:00Z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SJ-019</vt:lpwstr>
  </property>
  <property fmtid="{D5CDD505-2E9C-101B-9397-08002B2CF9AE}" pid="8" name="_NewReviewCycle">
    <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