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71DD0B0A43741A0BE89C05546D6DA1E" style="width:450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numPr>
          <w:ilvl w:val="0"/>
          <w:numId w:val="1"/>
        </w:numPr>
        <w:rPr>
          <w:rFonts w:ascii="Times New Roman" w:hAnsi="Times New Roman" w:cs="Times New Roman"/>
          <w:noProof/>
        </w:rPr>
      </w:pPr>
      <w:bookmarkStart w:id="1" w:name="_GoBack"/>
      <w:bookmarkEnd w:id="1"/>
      <w:r>
        <w:rPr>
          <w:rFonts w:ascii="Times New Roman" w:hAnsi="Times New Roman"/>
          <w:b/>
          <w:noProof/>
        </w:rPr>
        <w:lastRenderedPageBreak/>
        <w:t>Ievads un konteksts</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Nelikumīgas narkotiskās vielas ir kompleksa sociāla problēma, kas ietekmē dzīvi miljoniem cilvēku. Lai gan tādu narkotisko vielu kā heroīns vai kokaīns patēriņš dažos pēdējos gados ir samazinājies, atklātajā tirgū un/vai tiešsaistē aizvien plašāk ir pieejamas jaunas psihoaktīvas vielas, kas nopietni apdraud veselību. </w:t>
      </w:r>
    </w:p>
    <w:p>
      <w:pPr>
        <w:spacing w:after="0"/>
        <w:jc w:val="both"/>
        <w:rPr>
          <w:rFonts w:ascii="Times New Roman" w:hAnsi="Times New Roman" w:cs="Times New Roman"/>
          <w:noProof/>
        </w:rPr>
      </w:pPr>
      <w:r>
        <w:rPr>
          <w:rFonts w:ascii="Times New Roman" w:hAnsi="Times New Roman"/>
          <w:b/>
          <w:noProof/>
        </w:rPr>
        <w:t>Narkomānijas radītie zaudējumi cilvēkiem un sabiedrībai ir ļoti lieli.</w:t>
      </w:r>
      <w:r>
        <w:rPr>
          <w:rFonts w:ascii="Times New Roman" w:hAnsi="Times New Roman"/>
          <w:noProof/>
        </w:rPr>
        <w:t xml:space="preserve"> Tā rada izmaksas sabiedrības veselības jomai (narkomānijas novēršana, ārstēšana, veselības aprūpi un ārstēšana slimnīcā), sabiedrības drošībai, videi un darba ražīgumam.</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Vismaz 78,9 miljoni Eiropas iedzīvotāju atzina, ka vismaz reizi ir lietojuši marihuānu, savukārt kokaīnu un amfetamīnus pamēģinājuši attiecīgi 15,6 miljoni un 12 miljoni cilvēku. Turklāt 1,3 miljoni pieaugušo pārmērīgi lieto opiātus, un 3,4 % no visiem bojā gājušajiem 15–39 gadus vecajiem Eiropas iedzīvotājiem miruši no narkotisko vielu pārdozēšanas. Jaunākās aplēses liecina, ka 2010. gadā 1700 cilvēku Eiropas Savienībā miruši no HIV/AIDS, kas saistīts ar narkotisko vielu lietošanu</w:t>
      </w:r>
      <w:r>
        <w:rPr>
          <w:rStyle w:val="FootnoteReference"/>
          <w:rFonts w:ascii="Times New Roman" w:hAnsi="Times New Roman"/>
          <w:noProof/>
        </w:rPr>
        <w:footnoteReference w:id="1"/>
      </w:r>
      <w:r>
        <w:rPr>
          <w:rFonts w:ascii="Times New Roman" w:hAnsi="Times New Roman"/>
          <w:noProof/>
        </w:rPr>
        <w:t>. 2013. gadā Eiropas Savienībā reģistrēti 1446 jauni injicējamo narkotiku lietošanas izraisīta HIV gadījumi</w:t>
      </w:r>
      <w:r>
        <w:rPr>
          <w:rStyle w:val="FootnoteReference"/>
          <w:rFonts w:ascii="Times New Roman" w:hAnsi="Times New Roman"/>
          <w:noProof/>
        </w:rPr>
        <w:footnoteReference w:id="2"/>
      </w:r>
      <w:r>
        <w:rPr>
          <w:rFonts w:ascii="Times New Roman" w:hAnsi="Times New Roman"/>
          <w:noProof/>
        </w:rPr>
        <w:t xml:space="preserve">. Savukārt 2014. gadā tika atklāta 101 jauna psihoaktīva viela, kas ir par 22 % vairāk nekā 2013. gadā. </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Eiropas Drošības programmā</w:t>
      </w:r>
      <w:r>
        <w:rPr>
          <w:rStyle w:val="FootnoteReference"/>
          <w:rFonts w:ascii="Times New Roman" w:hAnsi="Times New Roman"/>
          <w:noProof/>
        </w:rPr>
        <w:footnoteReference w:id="3"/>
      </w:r>
      <w:r>
        <w:rPr>
          <w:rFonts w:ascii="Times New Roman" w:hAnsi="Times New Roman"/>
          <w:noProof/>
        </w:rPr>
        <w:t xml:space="preserve"> ir atzīts Eiropola konstatējums, ka </w:t>
      </w:r>
      <w:r>
        <w:rPr>
          <w:rFonts w:ascii="Times New Roman" w:hAnsi="Times New Roman"/>
          <w:b/>
          <w:bCs/>
          <w:noProof/>
        </w:rPr>
        <w:t>nelikumīgu narkotisko vielu tirgus ir visdinamiskākais no noziedzīgajiem tirgiem</w:t>
      </w:r>
      <w:r>
        <w:rPr>
          <w:rFonts w:ascii="Times New Roman" w:hAnsi="Times New Roman"/>
          <w:noProof/>
        </w:rPr>
        <w:t>. Narkotisko vielu nelikumīga tirdzniecība un narkotisko vielu ražošana joprojām ir vienas no visienesīgākajām noziedzīgajām darbībām, ko veic organizēti noziedzīgi grupējumi ES. Tiek lēsts, ka Eiropas opiātu tirgus vērtība ir aptuveni EUR 12 miljardi</w:t>
      </w:r>
      <w:r>
        <w:rPr>
          <w:rStyle w:val="FootnoteReference"/>
          <w:rFonts w:ascii="Times New Roman" w:hAnsi="Times New Roman"/>
          <w:noProof/>
        </w:rPr>
        <w:footnoteReference w:id="4"/>
      </w:r>
      <w:r>
        <w:rPr>
          <w:rFonts w:ascii="Times New Roman" w:hAnsi="Times New Roman"/>
          <w:noProof/>
        </w:rPr>
        <w:t xml:space="preserve"> un marihuānas — visizplatītākās narkotiskās vielas Eiropas Savienībā — patēriņš ir 2000 tonnu. Kokaīns ir otra visvairāk lietotā narkotiskā viela Eiropas Savienībā, proti, 2013. gadā ES dalībvalstis konfiscēja vairāk nekā 61 tonnu kokaīna</w:t>
      </w:r>
      <w:r>
        <w:rPr>
          <w:rStyle w:val="FootnoteReference"/>
          <w:rFonts w:ascii="Times New Roman" w:hAnsi="Times New Roman"/>
          <w:noProof/>
        </w:rPr>
        <w:footnoteReference w:id="5"/>
      </w:r>
      <w:r>
        <w:rPr>
          <w:rFonts w:ascii="Times New Roman" w:hAnsi="Times New Roman"/>
          <w:noProof/>
        </w:rPr>
        <w:t>. Turklāt pāris pēdējos gados internets ir kļuvis par narkotisko vielu tiešsaistes tirgu</w:t>
      </w:r>
      <w:r>
        <w:rPr>
          <w:rStyle w:val="FootnoteReference"/>
          <w:rFonts w:ascii="Times New Roman" w:hAnsi="Times New Roman"/>
          <w:noProof/>
        </w:rPr>
        <w:footnoteReference w:id="6"/>
      </w:r>
      <w:r>
        <w:rPr>
          <w:rFonts w:ascii="Times New Roman" w:hAnsi="Times New Roman"/>
          <w:noProof/>
        </w:rPr>
        <w:t>.</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Eiropas Narkotiku un narkomānijas uzraudzības centrs (</w:t>
      </w:r>
      <w:r>
        <w:rPr>
          <w:rFonts w:ascii="Times New Roman" w:hAnsi="Times New Roman"/>
          <w:i/>
          <w:noProof/>
        </w:rPr>
        <w:t>EMCDDA</w:t>
      </w:r>
      <w:r>
        <w:rPr>
          <w:rFonts w:ascii="Times New Roman" w:hAnsi="Times New Roman"/>
          <w:noProof/>
        </w:rPr>
        <w:t xml:space="preserve">) 2013. gadā uzlaboja ziņošanu par situāciju Eiropā saistībā ar narkotiskajām vielām. Turklāt 2013. gadā </w:t>
      </w:r>
      <w:r>
        <w:rPr>
          <w:rFonts w:ascii="Times New Roman" w:hAnsi="Times New Roman"/>
          <w:i/>
          <w:noProof/>
        </w:rPr>
        <w:t>EMCDDA</w:t>
      </w:r>
      <w:r>
        <w:rPr>
          <w:rFonts w:ascii="Times New Roman" w:hAnsi="Times New Roman"/>
          <w:noProof/>
        </w:rPr>
        <w:t xml:space="preserve"> un Eiropols pēc Eiropas Komisijas pieprasījuma sagatavoja pirmo ziņojumu par ES narkotisko vielu tirgiem. Abas ES aģentūras publicēs tā otro izdevumu 2016. gada sākumā. </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b/>
          <w:noProof/>
        </w:rPr>
        <w:t>Ar narkotiskajām vielām saistītā problēma ir globāla.</w:t>
      </w:r>
      <w:r>
        <w:rPr>
          <w:rFonts w:ascii="Times New Roman" w:hAnsi="Times New Roman"/>
          <w:noProof/>
        </w:rPr>
        <w:t xml:space="preserve"> Aplēsts, ka 2013. gadā kopumā 264 miljoni 15–64 gadus vecu cilvēku lietojuši nelikumīgas narkotiskās vielas. Aptuveni 27 miljoni cilvēku cieš no narkotisko vielu lietošanas izraisītiem veselības traucējumiem vai narkotiku atkarības. Gandrīz puse (12,19 miljoni) no šiem cilvēkiem injicē narkotiskās vielas, un aptuveni 1,65 miljoni no tiem, kas injicē narkotiskās vielas, 2013. gadā bija inficēti ar HIV</w:t>
      </w:r>
      <w:r>
        <w:rPr>
          <w:rStyle w:val="FootnoteReference"/>
          <w:rFonts w:ascii="Times New Roman" w:hAnsi="Times New Roman"/>
          <w:noProof/>
        </w:rPr>
        <w:footnoteReference w:id="7"/>
      </w:r>
      <w:r>
        <w:rPr>
          <w:rFonts w:ascii="Times New Roman" w:hAnsi="Times New Roman"/>
          <w:noProof/>
        </w:rPr>
        <w:t>.</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2016. gada aprīlī </w:t>
      </w:r>
      <w:r>
        <w:rPr>
          <w:rFonts w:ascii="Times New Roman" w:hAnsi="Times New Roman"/>
          <w:b/>
          <w:noProof/>
        </w:rPr>
        <w:t>Apvienoto Nāciju Organizācijas Ģenerālā asambleja organizēs speciālo sesiju (</w:t>
      </w:r>
      <w:r>
        <w:rPr>
          <w:rFonts w:ascii="Times New Roman" w:hAnsi="Times New Roman"/>
          <w:b/>
          <w:i/>
          <w:noProof/>
        </w:rPr>
        <w:t>UNGASS</w:t>
      </w:r>
      <w:r>
        <w:rPr>
          <w:rFonts w:ascii="Times New Roman" w:hAnsi="Times New Roman"/>
          <w:b/>
          <w:noProof/>
        </w:rPr>
        <w:t>) par narkotiskajām vielām</w:t>
      </w:r>
      <w:r>
        <w:rPr>
          <w:rFonts w:ascii="Times New Roman" w:hAnsi="Times New Roman"/>
          <w:noProof/>
        </w:rPr>
        <w:t>, kurā tiks meklētas atbildes uz jautājumu, kā uzlabot vispārējo narkomānijas apkarošanas politiku, vienlaikus ANO konvenciju par narkotiskajām vielām</w:t>
      </w:r>
      <w:r>
        <w:rPr>
          <w:rStyle w:val="FootnoteReference"/>
          <w:rFonts w:ascii="Times New Roman" w:hAnsi="Times New Roman"/>
          <w:noProof/>
        </w:rPr>
        <w:footnoteReference w:id="8"/>
      </w:r>
      <w:r>
        <w:rPr>
          <w:rFonts w:ascii="Times New Roman" w:hAnsi="Times New Roman"/>
          <w:noProof/>
        </w:rPr>
        <w:t xml:space="preserve"> ietvaros stiprinot sabiedrības veselības un cilvēktiesību aspektu. Starptautiskajai sabiedrībai tas būs pagrieziena punkts, kas noteiks narkomānijas apkarošanas politiku nākotnē. Šajā sakarā arī ES nostājai būs liela nozīme.</w:t>
      </w:r>
    </w:p>
    <w:p>
      <w:pPr>
        <w:spacing w:before="120"/>
        <w:jc w:val="both"/>
        <w:rPr>
          <w:rFonts w:ascii="Times New Roman" w:hAnsi="Times New Roman" w:cs="Times New Roman"/>
          <w:noProof/>
        </w:rPr>
      </w:pPr>
      <w:r>
        <w:rPr>
          <w:rFonts w:ascii="Times New Roman" w:hAnsi="Times New Roman"/>
          <w:b/>
          <w:noProof/>
        </w:rPr>
        <w:t>ES Narkomānijas apkarošanas stratēģijā 2013.–2020. gadam</w:t>
      </w:r>
      <w:r>
        <w:rPr>
          <w:rStyle w:val="FootnoteReference"/>
          <w:rFonts w:ascii="Times New Roman" w:hAnsi="Times New Roman"/>
          <w:b/>
          <w:noProof/>
        </w:rPr>
        <w:footnoteReference w:id="9"/>
      </w:r>
      <w:r>
        <w:rPr>
          <w:rFonts w:ascii="Times New Roman" w:hAnsi="Times New Roman"/>
          <w:b/>
          <w:noProof/>
        </w:rPr>
        <w:t xml:space="preserve"> un Narkomānijas apkarošanas rīcības plānā 2013.–2016. gadam</w:t>
      </w:r>
      <w:r>
        <w:rPr>
          <w:rStyle w:val="FootnoteReference"/>
          <w:rFonts w:ascii="Times New Roman" w:hAnsi="Times New Roman"/>
          <w:noProof/>
        </w:rPr>
        <w:footnoteReference w:id="10"/>
      </w:r>
      <w:r>
        <w:rPr>
          <w:rFonts w:ascii="Times New Roman" w:hAnsi="Times New Roman"/>
          <w:noProof/>
        </w:rPr>
        <w:t xml:space="preserve"> ir izklāstīts ES narkomānijas apkarošanas politikas politiskais satvars un prioritātes. Stratēģijā sniegts vienots, uz pierādījumiem balstīts satvars narkomānijas apkarošanai Eiropas Savienībā un ārpus tās. Tās mērķis ir veicināt gan narkotisko vielu pieprasījuma, gan to piedāvājuma samazināšanu Eiropas Savienībā, kā arī narkotisko vielu izraisītu veselības un sociālo apdraudējumu un kaitējuma samazinājumu. Stratēģijai ir trīs vispārējas tēmas: a) koordinācija, b) starptautiskā sadarbība un c) pētniecība, informācija, pārraudzība un izvērtēšana. </w:t>
      </w:r>
    </w:p>
    <w:p>
      <w:pPr>
        <w:spacing w:before="120"/>
        <w:jc w:val="both"/>
        <w:rPr>
          <w:rFonts w:ascii="Times New Roman" w:hAnsi="Times New Roman" w:cs="Times New Roman"/>
          <w:b/>
          <w:noProof/>
        </w:rPr>
      </w:pPr>
      <w:r>
        <w:rPr>
          <w:rFonts w:ascii="Times New Roman" w:hAnsi="Times New Roman"/>
          <w:noProof/>
        </w:rPr>
        <w:t xml:space="preserve">Šajā ziņojumā atspoguļoti </w:t>
      </w:r>
      <w:r>
        <w:rPr>
          <w:rFonts w:ascii="Times New Roman" w:hAnsi="Times New Roman"/>
          <w:b/>
          <w:noProof/>
        </w:rPr>
        <w:t>galvenie panākumi</w:t>
      </w:r>
      <w:r>
        <w:rPr>
          <w:rFonts w:ascii="Times New Roman" w:hAnsi="Times New Roman"/>
          <w:noProof/>
        </w:rPr>
        <w:t xml:space="preserve">, ko ES guvusi 2013. un 2014. gadā, īstenojot stratēģiju 2013.–2020. gadam un Narkomānijas apkarošanas rīcības plānu 2013.–2016. gadam. Detalizēti konstatējumi ir sniegti ziņojumam pievienotajā Komisijas dienestu darba dokumentā. </w:t>
      </w:r>
    </w:p>
    <w:p>
      <w:pPr>
        <w:pStyle w:val="ListParagraph"/>
        <w:numPr>
          <w:ilvl w:val="0"/>
          <w:numId w:val="1"/>
        </w:numPr>
        <w:rPr>
          <w:rFonts w:ascii="Times New Roman" w:hAnsi="Times New Roman" w:cs="Times New Roman"/>
          <w:b/>
          <w:noProof/>
        </w:rPr>
      </w:pPr>
      <w:r>
        <w:rPr>
          <w:rFonts w:ascii="Times New Roman" w:hAnsi="Times New Roman"/>
          <w:b/>
          <w:noProof/>
        </w:rPr>
        <w:t>Metode</w:t>
      </w:r>
    </w:p>
    <w:p>
      <w:pPr>
        <w:jc w:val="both"/>
        <w:rPr>
          <w:rFonts w:ascii="Times New Roman" w:hAnsi="Times New Roman" w:cs="Times New Roman"/>
          <w:noProof/>
        </w:rPr>
      </w:pPr>
      <w:r>
        <w:rPr>
          <w:rFonts w:ascii="Times New Roman" w:hAnsi="Times New Roman"/>
          <w:noProof/>
        </w:rPr>
        <w:t xml:space="preserve">ES Narkomānijas apkarošanas rīcības plānā ir noteikts, kurš ir atbildīgs par tajā paredzēto darbību īstenošanu, un paredzēti katras darbības izpildes termiņi. Šis pārskats attiecas uz 2013. un 2014. gadu, un tā pamatā ir </w:t>
      </w:r>
      <w:r>
        <w:rPr>
          <w:rFonts w:ascii="Times New Roman" w:hAnsi="Times New Roman"/>
          <w:i/>
          <w:noProof/>
        </w:rPr>
        <w:t>EMCDDA</w:t>
      </w:r>
      <w:r>
        <w:rPr>
          <w:rFonts w:ascii="Times New Roman" w:hAnsi="Times New Roman"/>
          <w:noProof/>
        </w:rPr>
        <w:t xml:space="preserve">, Eiropola, </w:t>
      </w:r>
      <w:r>
        <w:rPr>
          <w:rFonts w:ascii="Times New Roman" w:hAnsi="Times New Roman"/>
          <w:i/>
          <w:noProof/>
        </w:rPr>
        <w:t>Eurojust</w:t>
      </w:r>
      <w:r>
        <w:rPr>
          <w:rFonts w:ascii="Times New Roman" w:hAnsi="Times New Roman"/>
          <w:noProof/>
        </w:rPr>
        <w:t xml:space="preserve"> (Eiropas Savienības Tiesu sadarbības vienība) un </w:t>
      </w:r>
      <w:r>
        <w:rPr>
          <w:rFonts w:ascii="Times New Roman" w:hAnsi="Times New Roman"/>
          <w:i/>
          <w:noProof/>
        </w:rPr>
        <w:t>CEPOL</w:t>
      </w:r>
      <w:r>
        <w:rPr>
          <w:rFonts w:ascii="Times New Roman" w:hAnsi="Times New Roman"/>
          <w:noProof/>
        </w:rPr>
        <w:t xml:space="preserve"> (Eiropas Policijas akadēmija) ieguldījums. Ieguldījumu sniedza arī Eiropas Ārējās darbības dienests un Padomes prezidentvalsts</w:t>
      </w:r>
      <w:r>
        <w:rPr>
          <w:rStyle w:val="FootnoteReference"/>
          <w:rFonts w:ascii="Times New Roman" w:hAnsi="Times New Roman"/>
          <w:noProof/>
        </w:rPr>
        <w:footnoteReference w:id="11"/>
      </w:r>
      <w:r>
        <w:rPr>
          <w:noProof/>
        </w:rPr>
        <w:t>.</w:t>
      </w:r>
      <w:r>
        <w:rPr>
          <w:rFonts w:ascii="Times New Roman" w:hAnsi="Times New Roman"/>
          <w:noProof/>
        </w:rPr>
        <w:t xml:space="preserve"> Komisija arī veica ES valstu</w:t>
      </w:r>
      <w:r>
        <w:rPr>
          <w:rStyle w:val="FootnoteReference"/>
          <w:rFonts w:ascii="Times New Roman" w:hAnsi="Times New Roman"/>
          <w:noProof/>
        </w:rPr>
        <w:footnoteReference w:id="12"/>
      </w:r>
      <w:r>
        <w:rPr>
          <w:rFonts w:ascii="Times New Roman" w:hAnsi="Times New Roman"/>
          <w:noProof/>
        </w:rPr>
        <w:t xml:space="preserve"> un narkomānijas apkarošanas politikā ieinteresētu pilsoniskās sabiedrības organizāciju apsekojumu</w:t>
      </w:r>
      <w:r>
        <w:rPr>
          <w:rStyle w:val="FootnoteReference"/>
          <w:rFonts w:ascii="Times New Roman" w:hAnsi="Times New Roman"/>
          <w:noProof/>
        </w:rPr>
        <w:footnoteReference w:id="13"/>
      </w:r>
      <w:r>
        <w:rPr>
          <w:rFonts w:ascii="Times New Roman" w:hAnsi="Times New Roman"/>
          <w:noProof/>
        </w:rPr>
        <w:t>. Šajā ziņojumā galvenā uzmanība pievērsta ES Narkomānijas apkarošanas stratēģijas un Narkomānijas apkarošanas rīcības plāna sasniegtajiem rezultātiem.</w:t>
      </w:r>
    </w:p>
    <w:p>
      <w:pPr>
        <w:pStyle w:val="ListParagraph"/>
        <w:numPr>
          <w:ilvl w:val="0"/>
          <w:numId w:val="1"/>
        </w:numPr>
        <w:rPr>
          <w:rFonts w:ascii="Times New Roman" w:hAnsi="Times New Roman" w:cs="Times New Roman"/>
          <w:b/>
          <w:noProof/>
        </w:rPr>
      </w:pPr>
      <w:r>
        <w:rPr>
          <w:rFonts w:ascii="Times New Roman" w:hAnsi="Times New Roman"/>
          <w:b/>
          <w:noProof/>
        </w:rPr>
        <w:t xml:space="preserve">Narkotisko vielu pieprasījuma mazināšana </w:t>
      </w:r>
    </w:p>
    <w:p>
      <w:pPr>
        <w:rPr>
          <w:rFonts w:ascii="Times New Roman" w:hAnsi="Times New Roman" w:cs="Times New Roman"/>
          <w:b/>
          <w:noProof/>
        </w:rPr>
      </w:pPr>
      <w:r>
        <w:rPr>
          <w:rFonts w:ascii="Times New Roman" w:hAnsi="Times New Roman"/>
          <w:b/>
          <w:noProof/>
        </w:rPr>
        <w:t xml:space="preserve">Profilakse </w:t>
      </w:r>
    </w:p>
    <w:p>
      <w:pPr>
        <w:jc w:val="both"/>
        <w:rPr>
          <w:rFonts w:ascii="Times New Roman" w:hAnsi="Times New Roman" w:cs="Times New Roman"/>
          <w:b/>
          <w:i/>
          <w:noProof/>
        </w:rPr>
      </w:pPr>
      <w:r>
        <w:rPr>
          <w:rFonts w:ascii="Times New Roman" w:hAnsi="Times New Roman"/>
          <w:noProof/>
        </w:rPr>
        <w:t>2014. gada Eirobarometra apsekojums par jauniešiem un narkotiskajām vielām</w:t>
      </w:r>
      <w:r>
        <w:rPr>
          <w:rStyle w:val="FootnoteReference"/>
          <w:rFonts w:ascii="Times New Roman" w:hAnsi="Times New Roman"/>
          <w:noProof/>
        </w:rPr>
        <w:footnoteReference w:id="14"/>
      </w:r>
      <w:r>
        <w:rPr>
          <w:rFonts w:ascii="Times New Roman" w:hAnsi="Times New Roman"/>
          <w:noProof/>
        </w:rPr>
        <w:t xml:space="preserve"> liecina, ka narkotiskās vielas parasti tiek pamēģinātas skolas gados: aplēsts, ka katrs ceturtais 15–16 gadus vecais jaunietis ir lietojis nelikumīgas narkotiskās vielas</w:t>
      </w:r>
      <w:r>
        <w:rPr>
          <w:rStyle w:val="FootnoteReference"/>
          <w:rFonts w:ascii="Times New Roman" w:hAnsi="Times New Roman"/>
          <w:noProof/>
        </w:rPr>
        <w:footnoteReference w:id="15"/>
      </w:r>
      <w:r>
        <w:rPr>
          <w:rFonts w:ascii="Times New Roman" w:hAnsi="Times New Roman"/>
          <w:noProof/>
        </w:rPr>
        <w:t xml:space="preserve">. </w:t>
      </w:r>
      <w:r>
        <w:rPr>
          <w:rFonts w:ascii="Times New Roman" w:hAnsi="Times New Roman"/>
          <w:b/>
          <w:noProof/>
        </w:rPr>
        <w:t>Izpratnes palielināšana un konsultācijas</w:t>
      </w:r>
      <w:r>
        <w:rPr>
          <w:rFonts w:ascii="Times New Roman" w:hAnsi="Times New Roman"/>
          <w:noProof/>
        </w:rPr>
        <w:t xml:space="preserve"> joprojām ir visbiežāk īstenotie profilakses pasākumi, kas paredzēti jauniešiem, kuri varētu būt pakļauti narkomānijas riskam, piemēram, skolēniem, kam ir problēmas mācībās un sociālas problēmas</w:t>
      </w:r>
      <w:r>
        <w:rPr>
          <w:rStyle w:val="FootnoteReference"/>
          <w:rFonts w:ascii="Times New Roman" w:hAnsi="Times New Roman"/>
          <w:noProof/>
        </w:rPr>
        <w:footnoteReference w:id="16"/>
      </w:r>
      <w:r>
        <w:rPr>
          <w:rFonts w:ascii="Times New Roman" w:hAnsi="Times New Roman"/>
          <w:noProof/>
        </w:rPr>
        <w:t xml:space="preserve">. 2013. gadā mazāk nekā puse no visām ES valstīm ziņoja </w:t>
      </w:r>
      <w:r>
        <w:rPr>
          <w:rFonts w:ascii="Times New Roman" w:hAnsi="Times New Roman"/>
          <w:i/>
          <w:noProof/>
        </w:rPr>
        <w:t>EMCDDA</w:t>
      </w:r>
      <w:r>
        <w:rPr>
          <w:rFonts w:ascii="Times New Roman" w:hAnsi="Times New Roman"/>
          <w:noProof/>
        </w:rPr>
        <w:t xml:space="preserve">, ka tās pilnīgi īstenojušas skolēnu narkomānijas apkarošanas politiku. Tomēr ziņojumu informācija liecina, ka Eiropas Savienībā skolās ir plaši pieejamas </w:t>
      </w:r>
      <w:r>
        <w:rPr>
          <w:rFonts w:ascii="Times New Roman" w:hAnsi="Times New Roman"/>
          <w:b/>
          <w:noProof/>
        </w:rPr>
        <w:t>vispārīgas informatīvas kampaņas</w:t>
      </w:r>
      <w:r>
        <w:rPr>
          <w:rFonts w:ascii="Times New Roman" w:hAnsi="Times New Roman"/>
          <w:noProof/>
        </w:rPr>
        <w:t xml:space="preserve"> par kaitīgu vielu lietošanu</w:t>
      </w:r>
      <w:r>
        <w:rPr>
          <w:rStyle w:val="FootnoteReference"/>
          <w:rFonts w:ascii="Times New Roman" w:hAnsi="Times New Roman"/>
          <w:noProof/>
        </w:rPr>
        <w:footnoteReference w:id="17"/>
      </w:r>
      <w:r>
        <w:rPr>
          <w:rFonts w:ascii="Times New Roman" w:hAnsi="Times New Roman"/>
          <w:noProof/>
        </w:rPr>
        <w:t xml:space="preserve">. Vairums ES valstu ziņojušas, ka tām 2013.–2014. gadā ir bijušas īpašas programmas un/vai pasākumi, kuru mērķis bija </w:t>
      </w:r>
      <w:r>
        <w:rPr>
          <w:rFonts w:ascii="Times New Roman" w:hAnsi="Times New Roman"/>
          <w:b/>
          <w:noProof/>
        </w:rPr>
        <w:t>atlikt nelikumīgo narkotisko vielu lietošanas pirmo reizi</w:t>
      </w:r>
      <w:r>
        <w:rPr>
          <w:rFonts w:ascii="Times New Roman" w:hAnsi="Times New Roman"/>
          <w:noProof/>
        </w:rPr>
        <w:t>.</w:t>
      </w:r>
      <w:r>
        <w:rPr>
          <w:rFonts w:ascii="Times New Roman" w:hAnsi="Times New Roman"/>
          <w:b/>
          <w:i/>
          <w:noProof/>
        </w:rPr>
        <w:t xml:space="preserve"> </w:t>
      </w:r>
    </w:p>
    <w:p>
      <w:pPr>
        <w:rPr>
          <w:rFonts w:ascii="Times New Roman" w:hAnsi="Times New Roman" w:cs="Times New Roman"/>
          <w:b/>
          <w:i/>
          <w:noProof/>
        </w:rPr>
      </w:pPr>
      <w:r>
        <w:rPr>
          <w:noProof/>
        </w:rPr>
        <w:br w:type="page"/>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 xml:space="preserve">Mondorfas grupa — Luksemburgas un tās robežreģionu Francijā, Vācijā un Beļģijā sadarbības grupa — organizēja profilakses pasākumus, apvienojot pieeju, kuras uzmanības centrā nebija narkotiskās vielas, ar starpkultūru elementiem, un organizē brīvā laika pavadīšanas pasākumus jauniešiem pēc “piedzīvojumu pedagoģijas” principiem. Pasākumu galvenais mērķis ir sniegt jauniešiem iespēju izbaudīt grupas dinamiku, konfliktu risināšanu, robežu un risku novērtēšanu un just sociālā un kultūras ziņā atšķirīgu cilvēku grupas solidaritāti. </w:t>
      </w:r>
    </w:p>
    <w:p>
      <w:pPr>
        <w:jc w:val="both"/>
        <w:rPr>
          <w:rFonts w:ascii="Times New Roman" w:hAnsi="Times New Roman" w:cs="Times New Roman"/>
          <w:noProof/>
        </w:rPr>
      </w:pPr>
      <w:r>
        <w:rPr>
          <w:rFonts w:ascii="Times New Roman" w:hAnsi="Times New Roman"/>
          <w:noProof/>
        </w:rPr>
        <w:t xml:space="preserve">Vairums ES valstu, arī pilsoniskā sabiedrība, ziņoja, ka ir īstenojušas </w:t>
      </w:r>
      <w:r>
        <w:rPr>
          <w:rFonts w:ascii="Times New Roman" w:hAnsi="Times New Roman"/>
          <w:b/>
          <w:noProof/>
        </w:rPr>
        <w:t>izpratnes palielināšanas iniciatīvas</w:t>
      </w:r>
      <w:r>
        <w:rPr>
          <w:rFonts w:ascii="Times New Roman" w:hAnsi="Times New Roman"/>
          <w:noProof/>
        </w:rPr>
        <w:t xml:space="preserve"> par nelikumīgu narkotisko vielu un citu jaunu psihoaktīvu vielu lietošanas riskiem un sekām. </w:t>
      </w:r>
    </w:p>
    <w:p>
      <w:pPr>
        <w:jc w:val="both"/>
        <w:rPr>
          <w:rFonts w:ascii="Times New Roman" w:hAnsi="Times New Roman" w:cs="Times New Roman"/>
          <w:noProof/>
        </w:rPr>
      </w:pPr>
      <w:r>
        <w:rPr>
          <w:rFonts w:ascii="Times New Roman" w:hAnsi="Times New Roman"/>
          <w:noProof/>
        </w:rPr>
        <w:t xml:space="preserve">Visas ES valstis ziņo, ka ir </w:t>
      </w:r>
      <w:r>
        <w:rPr>
          <w:rFonts w:ascii="Times New Roman" w:hAnsi="Times New Roman"/>
          <w:b/>
          <w:noProof/>
        </w:rPr>
        <w:t>īstenojušas profilakses pasākumus</w:t>
      </w:r>
      <w:r>
        <w:rPr>
          <w:rFonts w:ascii="Times New Roman" w:hAnsi="Times New Roman"/>
          <w:noProof/>
        </w:rPr>
        <w:t>. Daudzās ES dalībvalstīs ir vispārējas profilakses programmas, un dažas no tām ziņo, ka īsteno selektīvas</w:t>
      </w:r>
      <w:r>
        <w:rPr>
          <w:rStyle w:val="FootnoteReference"/>
          <w:rFonts w:ascii="Times New Roman" w:hAnsi="Times New Roman"/>
          <w:noProof/>
        </w:rPr>
        <w:footnoteReference w:id="18"/>
      </w:r>
      <w:r>
        <w:rPr>
          <w:rFonts w:ascii="Times New Roman" w:hAnsi="Times New Roman"/>
          <w:noProof/>
        </w:rPr>
        <w:t xml:space="preserve"> un indikatīvas</w:t>
      </w:r>
      <w:r>
        <w:rPr>
          <w:rStyle w:val="FootnoteReference"/>
          <w:rFonts w:ascii="Times New Roman" w:hAnsi="Times New Roman"/>
          <w:noProof/>
        </w:rPr>
        <w:footnoteReference w:id="19"/>
      </w:r>
      <w:r>
        <w:rPr>
          <w:rFonts w:ascii="Times New Roman" w:hAnsi="Times New Roman"/>
          <w:noProof/>
        </w:rPr>
        <w:t xml:space="preserve"> profilakses programmas. Puse ES dalībvalstu ziņo, ka īstenojušas pretnarkomānijas kampaņas izklaides pasākumos, piemēram, mūzikas festivālos, ballītēs, naktsdzīves pasākumos un klubos. Lielākā daļa ES valstu norāda, ka 2013. un 2014. gadā profilakses pasākumu pieejamība bija uzlabojusies vai saglabājusies iepriekšējā līmenī. Tomēr daži pilsoniskās sabiedrības pārstāvji norādīja, ka budžeta ierobežojumu dēļ publiskā sektora līdzekļi šajā jomā ir tērēti mazāk. </w:t>
      </w:r>
    </w:p>
    <w:p>
      <w:pPr>
        <w:jc w:val="both"/>
        <w:rPr>
          <w:rFonts w:ascii="Times New Roman" w:hAnsi="Times New Roman" w:cs="Times New Roman"/>
          <w:b/>
          <w:noProof/>
        </w:rPr>
      </w:pPr>
      <w:r>
        <w:rPr>
          <w:rFonts w:ascii="Times New Roman" w:hAnsi="Times New Roman"/>
          <w:b/>
          <w:noProof/>
        </w:rPr>
        <w:t>Recepšu zāļu nepareiza lietošana un atkarība no tām</w:t>
      </w:r>
    </w:p>
    <w:p>
      <w:pPr>
        <w:jc w:val="both"/>
        <w:rPr>
          <w:rFonts w:ascii="Times New Roman" w:hAnsi="Times New Roman" w:cs="Times New Roman"/>
          <w:noProof/>
        </w:rPr>
      </w:pPr>
      <w:r>
        <w:rPr>
          <w:rFonts w:ascii="Times New Roman" w:hAnsi="Times New Roman"/>
          <w:noProof/>
        </w:rPr>
        <w:t xml:space="preserve">Saistībā ar </w:t>
      </w:r>
      <w:r>
        <w:rPr>
          <w:rFonts w:ascii="Times New Roman" w:hAnsi="Times New Roman"/>
          <w:b/>
          <w:noProof/>
        </w:rPr>
        <w:t xml:space="preserve">recepšu zāļu nepareizu lietošanu un atkarību no tām Eiropas Savienībā jāveic turpmāks darbs un analīze. </w:t>
      </w:r>
      <w:r>
        <w:rPr>
          <w:rFonts w:ascii="Times New Roman" w:hAnsi="Times New Roman"/>
          <w:noProof/>
        </w:rPr>
        <w:t>Benzodiazepīnus</w:t>
      </w:r>
      <w:r>
        <w:rPr>
          <w:rStyle w:val="FootnoteReference"/>
          <w:rFonts w:ascii="Times New Roman" w:hAnsi="Times New Roman"/>
          <w:noProof/>
        </w:rPr>
        <w:footnoteReference w:id="20"/>
      </w:r>
      <w:r>
        <w:rPr>
          <w:rFonts w:ascii="Times New Roman" w:hAnsi="Times New Roman"/>
          <w:noProof/>
        </w:rPr>
        <w:t xml:space="preserve"> bieži vien nepareizi lieto augsta riska opioīdu lietotāji, un to lietošana ir saistīta ar saslimstību un mirstību šajā grupā</w:t>
      </w:r>
      <w:r>
        <w:rPr>
          <w:rStyle w:val="FootnoteReference"/>
          <w:rFonts w:ascii="Times New Roman" w:hAnsi="Times New Roman"/>
          <w:noProof/>
        </w:rPr>
        <w:footnoteReference w:id="21"/>
      </w:r>
      <w:r>
        <w:rPr>
          <w:rFonts w:ascii="Times New Roman" w:hAnsi="Times New Roman"/>
          <w:noProof/>
        </w:rPr>
        <w:t>. Tiek uzskatīts, ka opioīdu pretsāpju un anestēzijas līdzekļi</w:t>
      </w:r>
      <w:r>
        <w:rPr>
          <w:rStyle w:val="FootnoteReference"/>
          <w:rFonts w:ascii="Times New Roman" w:hAnsi="Times New Roman"/>
          <w:noProof/>
        </w:rPr>
        <w:footnoteReference w:id="22"/>
      </w:r>
      <w:r>
        <w:rPr>
          <w:rFonts w:ascii="Times New Roman" w:hAnsi="Times New Roman"/>
          <w:noProof/>
        </w:rPr>
        <w:t xml:space="preserve"> ir zāles, ko galvenokārt izraksta to psihoaktīvās iedarbības dēļ un kā aizvietotājzāles atkarības ārstēšanā tie varētu tikt lietoti nepareizi. Tomēr ES valstīs ir pieejams pārāk maz datu, lai varētu gūt pilnīgas aplēses par nepareizu lietošanu dažādās situācijās visā ES. Tāpēc ir jāprecizē problēmas apmēri un Eiropas Savienībā īstenotie reaģēšanas pasākumi, lai varētu lemt par nākotnē veicamajām darbībām.</w:t>
      </w:r>
    </w:p>
    <w:p>
      <w:pPr>
        <w:jc w:val="both"/>
        <w:rPr>
          <w:rFonts w:ascii="Times New Roman" w:hAnsi="Times New Roman" w:cs="Times New Roman"/>
          <w:b/>
          <w:noProof/>
        </w:rPr>
      </w:pPr>
      <w:r>
        <w:rPr>
          <w:rFonts w:ascii="Times New Roman" w:hAnsi="Times New Roman"/>
          <w:b/>
          <w:noProof/>
        </w:rPr>
        <w:t>Ārstēšana</w:t>
      </w:r>
    </w:p>
    <w:p>
      <w:pPr>
        <w:jc w:val="both"/>
        <w:rPr>
          <w:rFonts w:ascii="Times New Roman" w:hAnsi="Times New Roman" w:cs="Times New Roman"/>
          <w:noProof/>
        </w:rPr>
      </w:pPr>
      <w:r>
        <w:rPr>
          <w:rFonts w:ascii="Times New Roman" w:hAnsi="Times New Roman"/>
          <w:noProof/>
        </w:rPr>
        <w:t xml:space="preserve">2013. un 2014. gadā </w:t>
      </w:r>
      <w:r>
        <w:rPr>
          <w:rFonts w:ascii="Times New Roman" w:hAnsi="Times New Roman"/>
          <w:b/>
          <w:noProof/>
        </w:rPr>
        <w:t>visās ES dalībvalstīs</w:t>
      </w:r>
      <w:r>
        <w:rPr>
          <w:rFonts w:ascii="Times New Roman" w:hAnsi="Times New Roman"/>
          <w:noProof/>
        </w:rPr>
        <w:t xml:space="preserve"> bija pieejami </w:t>
      </w:r>
      <w:r>
        <w:rPr>
          <w:rFonts w:ascii="Times New Roman" w:hAnsi="Times New Roman"/>
          <w:b/>
          <w:noProof/>
        </w:rPr>
        <w:t>integrēti ārstēšanas pakalpojumi</w:t>
      </w:r>
      <w:r>
        <w:rPr>
          <w:rStyle w:val="FootnoteReference"/>
          <w:rFonts w:ascii="Times New Roman" w:hAnsi="Times New Roman"/>
          <w:b/>
          <w:noProof/>
        </w:rPr>
        <w:footnoteReference w:id="23"/>
      </w:r>
      <w:r>
        <w:rPr>
          <w:rFonts w:ascii="Times New Roman" w:hAnsi="Times New Roman"/>
          <w:noProof/>
        </w:rPr>
        <w:t xml:space="preserve"> ar labu pieejamību. Puse ES valstu uzskatīja, ka 2013.–2014. gadā ārstēšanas pakalpojumu pieejamība valstī nav būtiski mainījusies; vairums pārējo ES valstu uzskatīja, ka to pieejamība uzlabojusies. Taču daži pilsoniskās sabiedrības pārstāvji apgalvo, ka ārstēšanas pakalpojumu pieejamība pasliktinājusies budžeta samazinājumu dēļ. </w:t>
      </w:r>
    </w:p>
    <w:p>
      <w:pPr>
        <w:jc w:val="both"/>
        <w:rPr>
          <w:rFonts w:ascii="Times New Roman" w:hAnsi="Times New Roman" w:cs="Times New Roman"/>
          <w:noProof/>
        </w:rPr>
      </w:pPr>
      <w:r>
        <w:rPr>
          <w:rFonts w:ascii="Times New Roman" w:hAnsi="Times New Roman"/>
          <w:noProof/>
        </w:rPr>
        <w:t xml:space="preserve">2013.–2014. gadā ES valstīs bija pieejamas </w:t>
      </w:r>
      <w:r>
        <w:rPr>
          <w:rFonts w:ascii="Times New Roman" w:hAnsi="Times New Roman"/>
          <w:b/>
          <w:noProof/>
        </w:rPr>
        <w:t>plašs vispusīgu un integrētu ārstēšanas pakalpojumu</w:t>
      </w:r>
      <w:r>
        <w:rPr>
          <w:rFonts w:ascii="Times New Roman" w:hAnsi="Times New Roman"/>
          <w:noProof/>
        </w:rPr>
        <w:t xml:space="preserve"> klāsts. Puse ES dalībvalstu ziņoja, ka šā ārstēšanas pakalpojumu klāsta dažādība 2013. un 2014. gadā nepalielinājās salīdzinājumā ar iepriekšējiem gadiem.</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Anglijā ir viegli pieejami narkotisko vielu lietotāju ārstēšanas pakalpojumi. Jaunākie ārstēšanas dati (par 2013.–2014. gadu) liecina, ka 98 % cilvēku, kuri tika nosūtīti ārstēties, sāka ārstēšanos mazāk nekā triju nedēļu laikā. Gaidīšanas laiks ir īss — līdz ārstēšanas sākumam paiet aptuveni trīs dienas. Desmitgades laikā veiktu ārstēšanas sistēmas uzlabojumu rezultātā gaidīšanas laiks ir sarucis no diviem mēnešiem 2001. gadā līdz tikai trim dienām 2013.–2014. gadā.</w:t>
      </w:r>
    </w:p>
    <w:p>
      <w:pPr>
        <w:jc w:val="both"/>
        <w:rPr>
          <w:rFonts w:ascii="Times New Roman" w:hAnsi="Times New Roman" w:cs="Times New Roman"/>
          <w:noProof/>
        </w:rPr>
      </w:pPr>
      <w:r>
        <w:rPr>
          <w:rFonts w:ascii="Times New Roman" w:hAnsi="Times New Roman"/>
          <w:noProof/>
        </w:rPr>
        <w:t xml:space="preserve">Lielākā daļa narkotisko vielu lietotāju ārstēšanas Eiropā notiek </w:t>
      </w:r>
      <w:r>
        <w:rPr>
          <w:rFonts w:ascii="Times New Roman" w:hAnsi="Times New Roman"/>
          <w:b/>
          <w:noProof/>
        </w:rPr>
        <w:t>ambulatorās iestādēs</w:t>
      </w:r>
      <w:r>
        <w:rPr>
          <w:rStyle w:val="FootnoteReference"/>
          <w:rFonts w:ascii="Times New Roman" w:hAnsi="Times New Roman"/>
          <w:noProof/>
        </w:rPr>
        <w:footnoteReference w:id="24"/>
      </w:r>
      <w:r>
        <w:rPr>
          <w:rFonts w:ascii="Times New Roman" w:hAnsi="Times New Roman"/>
          <w:noProof/>
        </w:rPr>
        <w:t>. Desmitā daļa narkotisko vielu lietotāju ārstēšanas pakalpojumu tiek sniegta pacientiem, kas uzņemti slimnīcā vai specializētos centros</w:t>
      </w:r>
      <w:r>
        <w:rPr>
          <w:rStyle w:val="FootnoteReference"/>
          <w:rFonts w:ascii="Times New Roman" w:hAnsi="Times New Roman"/>
          <w:noProof/>
        </w:rPr>
        <w:footnoteReference w:id="25"/>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2013. un 2014. gadā tika izvērsti</w:t>
      </w:r>
      <w:r>
        <w:rPr>
          <w:rFonts w:ascii="Times New Roman" w:hAnsi="Times New Roman"/>
          <w:b/>
          <w:noProof/>
        </w:rPr>
        <w:t xml:space="preserve"> rehabilitācijas/atveseļošanās pakalpojumi</w:t>
      </w:r>
      <w:r>
        <w:rPr>
          <w:rFonts w:ascii="Times New Roman" w:hAnsi="Times New Roman"/>
          <w:noProof/>
        </w:rPr>
        <w:t xml:space="preserve"> , tomēr gandrīz puse ES valstu ziņoja, ka šādi pakalpojumi nav paplašināti. Tāpat arī daudzi pilsoniskās sabiedrības pārstāvji ziņoja, ka viņu valstī 2013. un 2014. gadā rehabilitācijas/atveseļošānās pakalpojumi nav paplašināti.</w:t>
      </w:r>
    </w:p>
    <w:p>
      <w:pPr>
        <w:jc w:val="both"/>
        <w:rPr>
          <w:rFonts w:ascii="Times New Roman" w:hAnsi="Times New Roman" w:cs="Times New Roman"/>
          <w:b/>
          <w:noProof/>
        </w:rPr>
      </w:pPr>
      <w:r>
        <w:rPr>
          <w:rFonts w:ascii="Times New Roman" w:hAnsi="Times New Roman"/>
          <w:b/>
          <w:noProof/>
        </w:rPr>
        <w:t>Riska un kaitējuma mazināšana</w:t>
      </w:r>
    </w:p>
    <w:p>
      <w:pPr>
        <w:jc w:val="both"/>
        <w:rPr>
          <w:rFonts w:ascii="Times New Roman" w:hAnsi="Times New Roman" w:cs="Times New Roman"/>
          <w:noProof/>
        </w:rPr>
      </w:pPr>
      <w:r>
        <w:rPr>
          <w:rFonts w:ascii="Times New Roman" w:hAnsi="Times New Roman"/>
          <w:noProof/>
        </w:rPr>
        <w:t>Līdz 2013. gadam visas ES valstis bija noteikušas sabiedrības veselības politikas mērķus, kas jāsasniedz, lai novērstu un mazinātu kaitējumu, ko narkotiku atkarība rada veselībai</w:t>
      </w:r>
      <w:r>
        <w:rPr>
          <w:rStyle w:val="FootnoteReference"/>
          <w:rFonts w:ascii="Times New Roman" w:hAnsi="Times New Roman"/>
          <w:noProof/>
        </w:rPr>
        <w:footnoteReference w:id="26"/>
      </w:r>
      <w:r>
        <w:rPr>
          <w:rFonts w:ascii="Times New Roman" w:hAnsi="Times New Roman"/>
          <w:noProof/>
        </w:rPr>
        <w:t xml:space="preserve">. Vairums ES valstu ziņoja, ka 2013. un 2014. gadā veikušas īpašu darbību, lai nodrošinātu uz pierādījumiem balstītu </w:t>
      </w:r>
      <w:r>
        <w:rPr>
          <w:rFonts w:ascii="Times New Roman" w:hAnsi="Times New Roman"/>
          <w:b/>
          <w:noProof/>
        </w:rPr>
        <w:t>riska un kaitējuma mazināšanas pasākumu</w:t>
      </w:r>
      <w:r>
        <w:rPr>
          <w:rFonts w:ascii="Times New Roman" w:hAnsi="Times New Roman"/>
          <w:noProof/>
        </w:rPr>
        <w:t xml:space="preserve"> pieejamību un piekļuvi tiem.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tabs>
          <w:tab w:val="left" w:pos="3226"/>
        </w:tabs>
        <w:jc w:val="both"/>
        <w:rPr>
          <w:rFonts w:ascii="Times New Roman" w:hAnsi="Times New Roman" w:cs="Times New Roman"/>
          <w:noProof/>
        </w:rPr>
      </w:pPr>
      <w:r>
        <w:rPr>
          <w:rFonts w:ascii="Times New Roman" w:hAnsi="Times New Roman"/>
          <w:noProof/>
        </w:rPr>
        <w:t>Kiprā 2013. gadā izveidotās mazprasīgās programmas (low-threshold programme)</w:t>
      </w:r>
      <w:r>
        <w:rPr>
          <w:rStyle w:val="FootnoteReference"/>
          <w:rFonts w:ascii="Times New Roman" w:hAnsi="Times New Roman"/>
          <w:noProof/>
        </w:rPr>
        <w:footnoteReference w:id="27"/>
      </w:r>
      <w:r>
        <w:rPr>
          <w:rFonts w:ascii="Times New Roman" w:hAnsi="Times New Roman"/>
          <w:noProof/>
        </w:rPr>
        <w:t xml:space="preserve"> ietvaros 2014. gadā tika īstenota pirmā izmēģinājuma “sniega bumbas efekta” programma. Tika pieaicināti agrākie vai tābrīža injicējamo narkotisko vielu lietotāji, kas piedalījās apmācībā, kurā tika arī sniegta informācija par HIV/AIDS, hepatītu, tuberkulozi, pirmās palīdzības metodēm, drošāku seksu un narkotisko vielu drošāku lietošanu. Pēc apmācības katrs dalībnieks piesaistīja trīs citus injicējamo narkotisko vielu lietotājus un dalījās ar tiem apmācības laikā gūtajās zināšanās, kā arī ar anketas palīdzību vāca datus par augsta riska narkotisko vielu lietošanu.</w:t>
      </w:r>
    </w:p>
    <w:p>
      <w:pPr>
        <w:jc w:val="both"/>
        <w:rPr>
          <w:rFonts w:ascii="Times New Roman" w:hAnsi="Times New Roman" w:cs="Times New Roman"/>
          <w:noProof/>
        </w:rPr>
      </w:pPr>
      <w:r>
        <w:rPr>
          <w:rFonts w:ascii="Times New Roman" w:hAnsi="Times New Roman"/>
          <w:noProof/>
        </w:rPr>
        <w:t>Visās ES valstīs ir pieejamas opioīdu aizstājējterapijas (OAT) un adatu un šļirču programmas, kas ir galvenie injicējamo narkotisko vielu lietotāju inficēšanās novēršanas un kontroles pasākumi, un šo abu programmu pieejamība ir būtiski palielinājusies. Tomēr 2013. gadā adatu un šļirču programmu pieejamība vēl joprojām nebija pilnīga nevienā valstī, jo īpaši cietumos ne</w:t>
      </w:r>
      <w:r>
        <w:rPr>
          <w:rStyle w:val="FootnoteReference"/>
          <w:rFonts w:ascii="Times New Roman" w:hAnsi="Times New Roman"/>
          <w:noProof/>
        </w:rPr>
        <w:footnoteReference w:id="28"/>
      </w:r>
      <w:r>
        <w:rPr>
          <w:rFonts w:ascii="Times New Roman" w:hAnsi="Times New Roman"/>
          <w:noProof/>
        </w:rPr>
        <w:t>. Vairākas valstis arī ziņo, ka pēdējos gados samazinājušies kaitējuma mazināšanas pakalpojumi, un dažās valstīs šie pakalpojumi tiek sniegti tikai ierobežotā apjomā</w:t>
      </w:r>
      <w:r>
        <w:rPr>
          <w:rStyle w:val="FootnoteReference"/>
          <w:rFonts w:ascii="Times New Roman" w:hAnsi="Times New Roman"/>
          <w:noProof/>
        </w:rPr>
        <w:footnoteReference w:id="29"/>
      </w:r>
      <w:r>
        <w:rPr>
          <w:rFonts w:ascii="Times New Roman" w:hAnsi="Times New Roman"/>
          <w:noProof/>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Čehijas Republikā aizstājējterapijas pieejamība ir ierobežota. Pacienti bez maksas var saņemt metadonu, tomēr tas ir pieejams tikai aptuveni 10 specializētos centros. Vairums OAT pacientu lieto buprenorfīnu, kuru veselības apdrošināšana praksē tomēr neapmaksā, un vairumam pacientu jāmaksā ļoti augsta cena par savām zālēm (aptuveni puse no vidējās mēnešalgas). Tādējādi tiek stimulēts buprenorfīna melnais tirgus.</w:t>
      </w:r>
    </w:p>
    <w:p>
      <w:pPr>
        <w:jc w:val="both"/>
        <w:rPr>
          <w:rFonts w:ascii="Times New Roman" w:hAnsi="Times New Roman" w:cs="Times New Roman"/>
          <w:noProof/>
        </w:rPr>
      </w:pPr>
      <w:r>
        <w:rPr>
          <w:rFonts w:ascii="Times New Roman" w:hAnsi="Times New Roman"/>
          <w:noProof/>
        </w:rPr>
        <w:t xml:space="preserve">Dažās valstīs ir pieejamas uzraudzītas </w:t>
      </w:r>
      <w:r>
        <w:rPr>
          <w:rFonts w:ascii="Times New Roman" w:hAnsi="Times New Roman"/>
          <w:b/>
          <w:noProof/>
        </w:rPr>
        <w:t>narkotisko vielu lietošanas telpas</w:t>
      </w:r>
      <w:r>
        <w:rPr>
          <w:rStyle w:val="FootnoteReference"/>
          <w:rFonts w:ascii="Times New Roman" w:hAnsi="Times New Roman"/>
          <w:noProof/>
        </w:rPr>
        <w:footnoteReference w:id="30"/>
      </w:r>
      <w:r>
        <w:rPr>
          <w:rFonts w:ascii="Times New Roman" w:hAnsi="Times New Roman"/>
          <w:noProof/>
        </w:rPr>
        <w:t>, un dažas ES valstis nodrošina arī naloksona līdzņemšanas programmas</w:t>
      </w:r>
      <w:r>
        <w:rPr>
          <w:rStyle w:val="FootnoteReference"/>
          <w:rFonts w:ascii="Times New Roman" w:hAnsi="Times New Roman"/>
          <w:noProof/>
        </w:rPr>
        <w:footnoteReference w:id="31"/>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Lai gan pēdējos gados ir gūti panākumi, narkotisko vielu pārdozēšana vai narkotisko vielu lietošanas izraisītas slimības, negadījumi, vardarbība un pašnāvība ir viens no galvenajiem ES jauniešu tādu nāves gadījumu cēloņiem, ko būtu bijis iespējams novērst. </w:t>
      </w:r>
      <w:r>
        <w:rPr>
          <w:rFonts w:ascii="Times New Roman" w:hAnsi="Times New Roman"/>
          <w:b/>
          <w:noProof/>
        </w:rPr>
        <w:t>Aplēstais to nāves gadījumu skaits, kurus Eiropas Savienībā izraisījusi narkotisko vielu pārdozēšana vien, 2013. gadā bija vismaz 5800</w:t>
      </w:r>
      <w:r>
        <w:rPr>
          <w:rStyle w:val="FootnoteReference"/>
          <w:rFonts w:ascii="Times New Roman" w:hAnsi="Times New Roman"/>
          <w:b/>
          <w:noProof/>
        </w:rPr>
        <w:footnoteReference w:id="32"/>
      </w:r>
      <w:r>
        <w:rPr>
          <w:rFonts w:ascii="Times New Roman" w:hAnsi="Times New Roman"/>
          <w:b/>
          <w:noProof/>
        </w:rPr>
        <w:t>.</w:t>
      </w:r>
      <w:r>
        <w:rPr>
          <w:rFonts w:ascii="Times New Roman" w:hAnsi="Times New Roman"/>
          <w:noProof/>
        </w:rPr>
        <w:t xml:space="preserve"> Kopš 2003. gada lielākā daļa valstu nav spējušas samazināt pārdozēšanas izraisītas nāves gadījumu skaitu. Tomēr ir vērts pieminēt, ka kopumā kaitējuma mazināšanas pasākumu tvērums un pieejamība ES, šķiet, ir palīdzējusi mazināt to reģistrēto nāves gadījumu skaitu, kurus izraisījusi narkotisko vielu pārdozēšana. To injicējamo narkotisko vielu lietotāju skaits, kuri ir inficēti ar HIV, 2013. gadā bija samazinājies. Tomēr inficēšanās ar C hepatītu daudzās valstīs joprojām bijusi augsta</w:t>
      </w:r>
      <w:r>
        <w:rPr>
          <w:rStyle w:val="FootnoteReference"/>
          <w:rFonts w:ascii="Times New Roman" w:hAnsi="Times New Roman"/>
          <w:noProof/>
        </w:rPr>
        <w:footnoteReference w:id="33"/>
      </w:r>
      <w:r>
        <w:rPr>
          <w:rFonts w:ascii="Times New Roman" w:hAnsi="Times New Roman"/>
          <w:noProof/>
        </w:rPr>
        <w:t xml:space="preserve">. </w:t>
      </w:r>
    </w:p>
    <w:p>
      <w:pPr>
        <w:rPr>
          <w:rFonts w:ascii="Times New Roman" w:hAnsi="Times New Roman" w:cs="Times New Roman"/>
          <w:b/>
          <w:noProof/>
        </w:rPr>
      </w:pPr>
      <w:r>
        <w:rPr>
          <w:rFonts w:ascii="Times New Roman" w:hAnsi="Times New Roman"/>
          <w:b/>
          <w:noProof/>
        </w:rPr>
        <w:t xml:space="preserve">Narkotisko vielu lietošana cietumos </w:t>
      </w:r>
    </w:p>
    <w:p>
      <w:pPr>
        <w:jc w:val="both"/>
        <w:rPr>
          <w:rFonts w:ascii="Times New Roman" w:hAnsi="Times New Roman" w:cs="Times New Roman"/>
          <w:noProof/>
        </w:rPr>
      </w:pPr>
      <w:r>
        <w:rPr>
          <w:rFonts w:ascii="Times New Roman" w:hAnsi="Times New Roman"/>
          <w:noProof/>
        </w:rPr>
        <w:t xml:space="preserve">Ieslodzītie vielas lieto proporcionāli vairāk nekā iedzīvotāji kopumā. 2013. un 2014. gadā lielākajā daļā ES valstu tika īstenota ieslodzītajiem narkotisko vielu lietotājiem paredzēta veselības aprūpes politika. Vairāk nekā puse šo valstu arī plāno izvērst pašreizējos pasākumus līdz 2016. gada beigām, un lielākā daļa no valstīm, kuras pašlaik neīsteno šādus pasākumus, plāno tos sākt līdz minētajam termiņam. </w:t>
      </w:r>
    </w:p>
    <w:p>
      <w:pPr>
        <w:jc w:val="both"/>
        <w:rPr>
          <w:rFonts w:ascii="Times New Roman" w:hAnsi="Times New Roman" w:cs="Times New Roman"/>
          <w:noProof/>
        </w:rPr>
      </w:pPr>
      <w:r>
        <w:rPr>
          <w:rFonts w:ascii="Times New Roman" w:hAnsi="Times New Roman"/>
          <w:noProof/>
        </w:rPr>
        <w:t>2013. un 2014. gadā pakalpojumi cietumos un kopienās nodrošināja narkotisko vielu lietotāju aprūpes nepārtrauktību vairāk nekā pusē ES dalībvalstu, un tajos īpaša uzmanība tika pievērsta narkotisko vielu pārdozēšanas novēršanai</w:t>
      </w:r>
      <w:r>
        <w:rPr>
          <w:rStyle w:val="FootnoteReference"/>
          <w:rFonts w:ascii="Times New Roman" w:hAnsi="Times New Roman"/>
          <w:noProof/>
        </w:rPr>
        <w:footnoteReference w:id="34"/>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Tika ziņots, ka 2013. gadā opioīdu aizstājējterapija bija pieejama cietumos lielākajā daļā ES valstu</w:t>
      </w:r>
      <w:r>
        <w:rPr>
          <w:rStyle w:val="FootnoteReference"/>
          <w:rFonts w:ascii="Times New Roman" w:hAnsi="Times New Roman"/>
          <w:noProof/>
        </w:rPr>
        <w:footnoteReference w:id="35"/>
      </w:r>
      <w:r>
        <w:rPr>
          <w:rFonts w:ascii="Times New Roman" w:hAnsi="Times New Roman"/>
          <w:noProof/>
        </w:rPr>
        <w:t xml:space="preserve">. Tomēr dažās valstīs ārstēšana cietumos tika nodrošināta tikai tiem cilvēkiem, kas uz šādu ārstēšanu bija nosūtīti jau pirms ieslodzīšanas. </w:t>
      </w:r>
    </w:p>
    <w:p>
      <w:pPr>
        <w:jc w:val="both"/>
        <w:rPr>
          <w:rFonts w:ascii="Times New Roman" w:hAnsi="Times New Roman" w:cs="Times New Roman"/>
          <w:noProof/>
        </w:rPr>
      </w:pPr>
      <w:r>
        <w:rPr>
          <w:rFonts w:ascii="Times New Roman" w:hAnsi="Times New Roman"/>
          <w:noProof/>
        </w:rPr>
        <w:t xml:space="preserve">2013. un 2014. gadā tikai dažās valstīs bija paredzēts </w:t>
      </w:r>
      <w:r>
        <w:rPr>
          <w:rFonts w:ascii="Times New Roman" w:hAnsi="Times New Roman"/>
          <w:b/>
          <w:noProof/>
        </w:rPr>
        <w:t>īpašs finansējums narkotisko vielu pieprasījuma mazināšanas</w:t>
      </w:r>
      <w:r>
        <w:rPr>
          <w:rFonts w:ascii="Times New Roman" w:hAnsi="Times New Roman"/>
          <w:noProof/>
        </w:rPr>
        <w:t xml:space="preserve"> pasākumiem. Bieži vien šādiem pasākumiem paredzētais budžets ir iekļauts saistīto jomu, piemēram, veselības aprūpes, izglītības un labklājības, budžetā. </w:t>
      </w:r>
    </w:p>
    <w:p>
      <w:pPr>
        <w:pStyle w:val="ListParagraph"/>
        <w:ind w:left="1080"/>
        <w:rPr>
          <w:rFonts w:ascii="Times New Roman" w:hAnsi="Times New Roman" w:cs="Times New Roman"/>
          <w:noProof/>
        </w:rPr>
      </w:pPr>
    </w:p>
    <w:p>
      <w:pPr>
        <w:pStyle w:val="ListParagraph"/>
        <w:numPr>
          <w:ilvl w:val="0"/>
          <w:numId w:val="1"/>
        </w:numPr>
        <w:rPr>
          <w:rFonts w:ascii="Times New Roman" w:hAnsi="Times New Roman" w:cs="Times New Roman"/>
          <w:b/>
          <w:noProof/>
        </w:rPr>
      </w:pPr>
      <w:r>
        <w:rPr>
          <w:rFonts w:ascii="Times New Roman" w:hAnsi="Times New Roman"/>
          <w:b/>
          <w:noProof/>
        </w:rPr>
        <w:t xml:space="preserve">Narkotisko vielu piedāvājuma mazināšana </w:t>
      </w:r>
    </w:p>
    <w:p>
      <w:pPr>
        <w:jc w:val="both"/>
        <w:rPr>
          <w:rFonts w:ascii="Times New Roman" w:hAnsi="Times New Roman" w:cs="Times New Roman"/>
          <w:noProof/>
        </w:rPr>
      </w:pPr>
      <w:r>
        <w:rPr>
          <w:rFonts w:ascii="Times New Roman" w:hAnsi="Times New Roman"/>
          <w:noProof/>
        </w:rPr>
        <w:t>Eiropols ziņo, ka narkotisko vielu nelikumīga tirdzniecība 2013. un 2014. gadā bija visplašākā noziedzības joma ierosināto lietu skaita un informācijas plūsmas ziņā. 2013. gadā tika reģistrēti aptuveni 230 000 pārkāpumu, kas saistīti ar narkotisko vielu piegādi, un 57 % no tiem bija saistīti ar marihuānu</w:t>
      </w:r>
      <w:r>
        <w:rPr>
          <w:rStyle w:val="FootnoteReference"/>
          <w:rFonts w:ascii="Times New Roman" w:hAnsi="Times New Roman"/>
          <w:noProof/>
        </w:rPr>
        <w:footnoteReference w:id="36"/>
      </w:r>
      <w:r>
        <w:rPr>
          <w:rFonts w:ascii="Times New Roman" w:hAnsi="Times New Roman"/>
          <w:noProof/>
        </w:rPr>
        <w:t>. 2014. gadā ES tika ierosināts vairāk nekā 1600 jaunu ar narkotiskajām vielām saistītu lietu, kas attiecās uz organizētiem noziedzīgiem grupējumiem, kuri tirgo kokaīnu, heroīnu, sintētiskās narkotiskās vielas un marihuānu</w:t>
      </w:r>
      <w:r>
        <w:rPr>
          <w:rStyle w:val="FootnoteReference"/>
          <w:rFonts w:ascii="Times New Roman" w:hAnsi="Times New Roman"/>
          <w:noProof/>
        </w:rPr>
        <w:footnoteReference w:id="37"/>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2014. gadā ES pirmo reizi tika reģistrēta </w:t>
      </w:r>
      <w:r>
        <w:rPr>
          <w:rFonts w:ascii="Times New Roman" w:hAnsi="Times New Roman"/>
          <w:b/>
          <w:noProof/>
        </w:rPr>
        <w:t>101 jauna psihoaktīva viela</w:t>
      </w:r>
      <w:r>
        <w:rPr>
          <w:rFonts w:ascii="Times New Roman" w:hAnsi="Times New Roman"/>
          <w:noProof/>
        </w:rPr>
        <w:t xml:space="preserve"> (salīdzinājumam — 2010. gadā to skaits bija 41). </w:t>
      </w:r>
      <w:r>
        <w:rPr>
          <w:rFonts w:ascii="Times New Roman" w:hAnsi="Times New Roman"/>
          <w:i/>
          <w:noProof/>
        </w:rPr>
        <w:t>EMCDDA</w:t>
      </w:r>
      <w:r>
        <w:rPr>
          <w:rFonts w:ascii="Times New Roman" w:hAnsi="Times New Roman"/>
          <w:noProof/>
        </w:rPr>
        <w:t xml:space="preserve"> pašlaik uzrauga vairāk nekā 450 psihoaktīvo vielu. 2013. gadā jaunas psihoaktīvas vielas tika konfiscētas 33 000 reizes, kopā konfiscējot vairāk nekā 2,3 tonnas. Šādu vielu ražošana, arī tablešu izgatavošana, vielu iepakošana un marķēšana, ES notiek aizvien vairāk</w:t>
      </w:r>
      <w:r>
        <w:rPr>
          <w:rStyle w:val="FootnoteReference"/>
          <w:rFonts w:ascii="Times New Roman" w:hAnsi="Times New Roman"/>
          <w:noProof/>
        </w:rPr>
        <w:footnoteReference w:id="38"/>
      </w:r>
      <w:r>
        <w:rPr>
          <w:rFonts w:ascii="Times New Roman" w:hAnsi="Times New Roman"/>
          <w:noProof/>
        </w:rPr>
        <w:t>, tomēr tās arī ieved Eiropā no valstīm ārpus ES. ES dalībvalstis ziņo, ka jaunas psihoaktīvas vielas Eiropā 2014. gadā tika ievestas galvenokārt no Ķīnas.</w:t>
      </w:r>
    </w:p>
    <w:p>
      <w:pPr>
        <w:jc w:val="both"/>
        <w:rPr>
          <w:rFonts w:ascii="Times New Roman" w:hAnsi="Times New Roman" w:cs="Times New Roman"/>
          <w:noProof/>
        </w:rPr>
      </w:pPr>
      <w:r>
        <w:rPr>
          <w:rFonts w:ascii="Times New Roman" w:hAnsi="Times New Roman"/>
          <w:noProof/>
        </w:rPr>
        <w:t xml:space="preserve">2013. un 2014. gadā </w:t>
      </w:r>
      <w:r>
        <w:rPr>
          <w:rFonts w:ascii="Times New Roman" w:hAnsi="Times New Roman"/>
          <w:i/>
          <w:noProof/>
        </w:rPr>
        <w:t>EMCDDA</w:t>
      </w:r>
      <w:r>
        <w:rPr>
          <w:rFonts w:ascii="Times New Roman" w:hAnsi="Times New Roman"/>
          <w:noProof/>
        </w:rPr>
        <w:t xml:space="preserve"> agrīnās brīdināšanas sistēmas tīklā izdeva 182 formālus paziņojumus par jaunām psihoaktīvām vielām un 32 brīdinājumus par sabiedrības veselības apdraudējumu un ieteikumus. Daudzi no minētajiem dokumentiem attiecās uz nopietniem nevēlamiem notikumiem, jo īpaši nāvi, un/vai apdraudējumiem, kas varējuši izraisīt nopietnu kaitējumu. Šajā periodā </w:t>
      </w:r>
      <w:r>
        <w:rPr>
          <w:rFonts w:ascii="Times New Roman" w:hAnsi="Times New Roman"/>
          <w:i/>
          <w:noProof/>
        </w:rPr>
        <w:t>EMCDDA</w:t>
      </w:r>
      <w:r>
        <w:rPr>
          <w:rFonts w:ascii="Times New Roman" w:hAnsi="Times New Roman"/>
          <w:noProof/>
        </w:rPr>
        <w:t xml:space="preserve"> un Eiropols veica septiņus riska novērtējumus par jaunām psihoaktīvām vielām, kas var apdraudēt veselību. Uz to pamata</w:t>
      </w:r>
      <w:r>
        <w:rPr>
          <w:rStyle w:val="FootnoteReference"/>
          <w:rFonts w:ascii="Times New Roman" w:hAnsi="Times New Roman"/>
          <w:noProof/>
        </w:rPr>
        <w:footnoteReference w:id="39"/>
      </w:r>
      <w:r>
        <w:rPr>
          <w:rFonts w:ascii="Times New Roman" w:hAnsi="Times New Roman"/>
          <w:noProof/>
        </w:rPr>
        <w:t xml:space="preserve"> Komisija Padomei 2013. gadā iesniedza priekšlikumus par divu vielu pakļaušanu ES mēroga kontrolei, bet 2014. gadā — vēl sešus priekšlikumus</w:t>
      </w:r>
      <w:r>
        <w:rPr>
          <w:rStyle w:val="FootnoteReference"/>
          <w:rFonts w:ascii="Times New Roman" w:hAnsi="Times New Roman"/>
          <w:noProof/>
        </w:rPr>
        <w:footnoteReference w:id="40"/>
      </w:r>
      <w:r>
        <w:rPr>
          <w:rFonts w:ascii="Times New Roman" w:hAnsi="Times New Roman"/>
          <w:noProof/>
        </w:rPr>
        <w:t>. Pēc tam, kad Eiropas Parlaments bija sniedzis pozitīvu atzinumu, Padome pieņēma visus Komisijas priekšlikumus</w:t>
      </w:r>
      <w:r>
        <w:rPr>
          <w:rStyle w:val="FootnoteReference"/>
          <w:rFonts w:ascii="Times New Roman" w:hAnsi="Times New Roman"/>
          <w:noProof/>
        </w:rPr>
        <w:footnoteReference w:id="41"/>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 xml:space="preserve">Ņemot vērā jaunu psihoaktīvu vielu radīto draudu apmērus, Padomei un Eiropas Parlamentam bija jāpieņem lēmums par jaunu, ātrāku un iedarbīgāku sistēmu, ar ko varētu novērst draudus. 2013. gada septembrī </w:t>
      </w:r>
      <w:r>
        <w:rPr>
          <w:rFonts w:ascii="Times New Roman" w:hAnsi="Times New Roman"/>
          <w:b/>
          <w:noProof/>
        </w:rPr>
        <w:t>Komisija pieņēma</w:t>
      </w:r>
      <w:r>
        <w:rPr>
          <w:rFonts w:ascii="Times New Roman" w:hAnsi="Times New Roman"/>
          <w:noProof/>
        </w:rPr>
        <w:t xml:space="preserve"> </w:t>
      </w:r>
      <w:hyperlink r:id="rId16" w:tooltip="tiesību akta priekšlikums">
        <w:r>
          <w:rPr>
            <w:rFonts w:ascii="Times New Roman" w:hAnsi="Times New Roman"/>
            <w:b/>
            <w:noProof/>
          </w:rPr>
          <w:t>tiesību aktu kopumu</w:t>
        </w:r>
        <w:r>
          <w:rPr>
            <w:rStyle w:val="FootnoteReference"/>
            <w:rFonts w:ascii="Times New Roman" w:hAnsi="Times New Roman"/>
            <w:b/>
            <w:noProof/>
          </w:rPr>
          <w:footnoteReference w:id="42"/>
        </w:r>
        <w:r>
          <w:rPr>
            <w:rFonts w:ascii="Times New Roman" w:hAnsi="Times New Roman"/>
            <w:b/>
            <w:noProof/>
          </w:rPr>
          <w:t xml:space="preserve"> </w:t>
        </w:r>
      </w:hyperlink>
      <w:r>
        <w:rPr>
          <w:noProof/>
        </w:rPr>
        <w:t>šo mērķu sasniegšanai. Kopš tā laika likumdevēji apspriežas par minēto tiesību aktu kopumu.</w:t>
      </w:r>
    </w:p>
    <w:p>
      <w:pPr>
        <w:jc w:val="both"/>
        <w:rPr>
          <w:rFonts w:ascii="Times New Roman" w:hAnsi="Times New Roman" w:cs="Times New Roman"/>
          <w:noProof/>
        </w:rPr>
      </w:pPr>
      <w:r>
        <w:rPr>
          <w:rFonts w:ascii="Times New Roman" w:hAnsi="Times New Roman"/>
          <w:noProof/>
        </w:rPr>
        <w:t xml:space="preserve">2013. un 2014. gadā </w:t>
      </w:r>
      <w:r>
        <w:rPr>
          <w:rFonts w:ascii="Times New Roman" w:hAnsi="Times New Roman"/>
          <w:i/>
          <w:noProof/>
        </w:rPr>
        <w:t>EMCDDA</w:t>
      </w:r>
      <w:r>
        <w:rPr>
          <w:rFonts w:ascii="Times New Roman" w:hAnsi="Times New Roman"/>
          <w:noProof/>
        </w:rPr>
        <w:t xml:space="preserve"> sadarbojās ar ES valstīm, lai iegūtu precīzus, uzticamus un salīdzināmus augstas kvalitātes </w:t>
      </w:r>
      <w:r>
        <w:rPr>
          <w:rFonts w:ascii="Times New Roman" w:hAnsi="Times New Roman"/>
          <w:b/>
          <w:noProof/>
        </w:rPr>
        <w:t>datus par narkotisko vielu piedāvājumu visā ES</w:t>
      </w:r>
      <w:r>
        <w:rPr>
          <w:rFonts w:ascii="Times New Roman" w:hAnsi="Times New Roman"/>
          <w:noProof/>
        </w:rPr>
        <w:t xml:space="preserve">. Tie palīdzēs novērtēt piedāvājuma mazināšanas politikas pašreizējos rezultātus un iedarbīgumu. 2015. gadā notiks eksperimentāla datu vākšana. </w:t>
      </w:r>
    </w:p>
    <w:p>
      <w:pPr>
        <w:jc w:val="both"/>
        <w:rPr>
          <w:rFonts w:ascii="Times New Roman" w:hAnsi="Times New Roman" w:cs="Times New Roman"/>
          <w:noProof/>
        </w:rPr>
      </w:pPr>
      <w:r>
        <w:rPr>
          <w:rFonts w:ascii="Times New Roman" w:hAnsi="Times New Roman"/>
          <w:noProof/>
        </w:rPr>
        <w:t xml:space="preserve">To narkotisko vielu nelikumīgas tirdzniecības lietu skaits, kuru izskatīšanā tika iesaistīts </w:t>
      </w:r>
      <w:r>
        <w:rPr>
          <w:rFonts w:ascii="Times New Roman" w:hAnsi="Times New Roman"/>
          <w:i/>
          <w:noProof/>
        </w:rPr>
        <w:t>Eurojust</w:t>
      </w:r>
      <w:r>
        <w:rPr>
          <w:rFonts w:ascii="Times New Roman" w:hAnsi="Times New Roman"/>
          <w:noProof/>
        </w:rPr>
        <w:t xml:space="preserve">, 2014. gadā, salīdzinājumā ar iepriekšējo gadu, palielinājās tikai nedaudz. </w:t>
      </w:r>
      <w:r>
        <w:rPr>
          <w:rFonts w:ascii="Times New Roman" w:hAnsi="Times New Roman"/>
          <w:i/>
          <w:noProof/>
        </w:rPr>
        <w:t>Eurojust</w:t>
      </w:r>
      <w:r>
        <w:rPr>
          <w:rFonts w:ascii="Times New Roman" w:hAnsi="Times New Roman"/>
          <w:noProof/>
        </w:rPr>
        <w:t xml:space="preserve"> vadītajā projektā par narkotisko vielu nelikumīgu tirdzniecību 2014. gadā noskaidrojās, ka ES valstu materiālo un procesuālo normu atšķirības ir </w:t>
      </w:r>
      <w:r>
        <w:rPr>
          <w:rFonts w:ascii="Times New Roman" w:hAnsi="Times New Roman"/>
          <w:b/>
          <w:noProof/>
        </w:rPr>
        <w:t>ievērojams šķērslis narkotisko vielu nelikumīgas tirdzniecības izmeklēšanā</w:t>
      </w:r>
      <w:r>
        <w:rPr>
          <w:rFonts w:ascii="Times New Roman" w:hAnsi="Times New Roman"/>
          <w:noProof/>
        </w:rPr>
        <w:t xml:space="preserve"> un organizētās noziedzīgās pārrobežu darbībās gūto līdzekļu atklāšanā, izsekošanā un atgūšanā. Projektā arī noskaidrojās, ka narkotisko vielu tirdzniecības lietās ļoti maz izmanto iesaldēšanas un konfiskācijas rīkojumus</w:t>
      </w:r>
      <w:r>
        <w:rPr>
          <w:rStyle w:val="FootnoteReference"/>
          <w:rFonts w:ascii="Times New Roman" w:hAnsi="Times New Roman"/>
          <w:noProof/>
        </w:rPr>
        <w:footnoteReference w:id="43"/>
      </w:r>
      <w:r>
        <w:rPr>
          <w:rFonts w:ascii="Times New Roman" w:hAnsi="Times New Roman"/>
          <w:noProof/>
        </w:rPr>
        <w:t>. 2013. un 2014. gadā vairums ES valstu īstenoja iniciatīvas, kuru mērķis bija apkarot narkotisko vielu pārrobežu tirdzniecību un uzlabot drošību attiecībā pret citām dalībvalstīm.</w:t>
      </w:r>
    </w:p>
    <w:p>
      <w:pPr>
        <w:jc w:val="both"/>
        <w:rPr>
          <w:rFonts w:ascii="Times New Roman" w:hAnsi="Times New Roman" w:cs="Times New Roman"/>
          <w:noProof/>
        </w:rPr>
      </w:pPr>
      <w:r>
        <w:rPr>
          <w:rFonts w:ascii="Times New Roman" w:hAnsi="Times New Roman"/>
          <w:noProof/>
        </w:rPr>
        <w:t xml:space="preserve">2013. un 2014. gadā </w:t>
      </w:r>
      <w:r>
        <w:rPr>
          <w:rFonts w:ascii="Times New Roman" w:hAnsi="Times New Roman"/>
          <w:i/>
          <w:noProof/>
        </w:rPr>
        <w:t>CEPOL</w:t>
      </w:r>
      <w:r>
        <w:rPr>
          <w:rFonts w:ascii="Times New Roman" w:hAnsi="Times New Roman"/>
          <w:noProof/>
        </w:rPr>
        <w:t xml:space="preserve"> organizēja mācības par narkotiskajām vielām un ar tām saistītiem jautājumiem gandrīz </w:t>
      </w:r>
      <w:r>
        <w:rPr>
          <w:rFonts w:ascii="Times New Roman" w:hAnsi="Times New Roman"/>
          <w:b/>
          <w:noProof/>
        </w:rPr>
        <w:t>1300 dalībniekiem</w:t>
      </w:r>
      <w:r>
        <w:rPr>
          <w:rFonts w:ascii="Times New Roman" w:hAnsi="Times New Roman"/>
          <w:noProof/>
        </w:rPr>
        <w:t xml:space="preserve"> no ES valstīm, asociētajām valstīm, kandidātvalstīm un ES aģentūrām. Nedaudz vairāk kā puse ES valstu ziņoja par </w:t>
      </w:r>
      <w:r>
        <w:rPr>
          <w:rFonts w:ascii="Times New Roman" w:hAnsi="Times New Roman"/>
          <w:b/>
          <w:noProof/>
        </w:rPr>
        <w:t>labu sadarbību</w:t>
      </w:r>
      <w:r>
        <w:rPr>
          <w:rFonts w:ascii="Times New Roman" w:hAnsi="Times New Roman"/>
          <w:noProof/>
        </w:rPr>
        <w:t xml:space="preserve"> ar narkotiskajām vielām saistītos jautājumos starp tiesībaizsargātājiem un attiecīgiem subjektiem</w:t>
      </w:r>
      <w:r>
        <w:rPr>
          <w:rStyle w:val="FootnoteReference"/>
          <w:rFonts w:ascii="Times New Roman" w:hAnsi="Times New Roman"/>
          <w:noProof/>
        </w:rPr>
        <w:footnoteReference w:id="44"/>
      </w:r>
      <w:r>
        <w:rPr>
          <w:rFonts w:ascii="Times New Roman" w:hAnsi="Times New Roman"/>
          <w:noProof/>
        </w:rPr>
        <w:t>, lai gan ne visām no tām ir saprašanās memorandi, kas formalizētu sadarbību.</w:t>
      </w:r>
    </w:p>
    <w:p>
      <w:pPr>
        <w:jc w:val="both"/>
        <w:rPr>
          <w:rFonts w:ascii="Times New Roman" w:hAnsi="Times New Roman" w:cs="Times New Roman"/>
          <w:noProof/>
        </w:rPr>
      </w:pPr>
      <w:r>
        <w:rPr>
          <w:rFonts w:ascii="Times New Roman" w:hAnsi="Times New Roman"/>
          <w:noProof/>
        </w:rPr>
        <w:t xml:space="preserve">2013. gadā kopā tika konfiscēti un apturēti </w:t>
      </w:r>
      <w:r>
        <w:rPr>
          <w:rFonts w:ascii="Times New Roman" w:hAnsi="Times New Roman"/>
          <w:b/>
          <w:noProof/>
        </w:rPr>
        <w:t>846 nelikumīgai lietošanai paredzētu narkotisko vielu prekursoru sūtījumi</w:t>
      </w:r>
      <w:r>
        <w:rPr>
          <w:rFonts w:ascii="Times New Roman" w:hAnsi="Times New Roman"/>
          <w:noProof/>
        </w:rPr>
        <w:t xml:space="preserve">; 2014. gadā bija </w:t>
      </w:r>
      <w:r>
        <w:rPr>
          <w:rFonts w:ascii="Times New Roman" w:hAnsi="Times New Roman"/>
          <w:b/>
          <w:noProof/>
        </w:rPr>
        <w:t>628 šādi gadījumi</w:t>
      </w:r>
      <w:r>
        <w:rPr>
          <w:rStyle w:val="FootnoteReference"/>
          <w:rFonts w:ascii="Times New Roman" w:hAnsi="Times New Roman"/>
          <w:noProof/>
        </w:rPr>
        <w:footnoteReference w:id="45"/>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Vairākas ES valstis apvieno savas izpildes spējas Narkotiku jūras ceļu izpētes un operatīvajā centrā (</w:t>
      </w:r>
      <w:r>
        <w:rPr>
          <w:rFonts w:ascii="Times New Roman" w:hAnsi="Times New Roman"/>
          <w:i/>
          <w:noProof/>
        </w:rPr>
        <w:t>MAOC-N</w:t>
      </w:r>
      <w:r>
        <w:rPr>
          <w:rFonts w:ascii="Times New Roman" w:hAnsi="Times New Roman"/>
          <w:noProof/>
        </w:rPr>
        <w:t xml:space="preserve">), lai pārtvertu narkotisko vielu sūtījumus jo īpaši Atlantijas okeānā. Kopš izveides minētais centrs ir koordinējis vairāk nekā </w:t>
      </w:r>
      <w:r>
        <w:rPr>
          <w:rFonts w:ascii="Times New Roman" w:hAnsi="Times New Roman"/>
          <w:b/>
          <w:noProof/>
        </w:rPr>
        <w:t>120 kuģu</w:t>
      </w:r>
      <w:r>
        <w:rPr>
          <w:rFonts w:ascii="Times New Roman" w:hAnsi="Times New Roman"/>
          <w:noProof/>
        </w:rPr>
        <w:t xml:space="preserve"> aizliegšanu un vairāk nekā </w:t>
      </w:r>
      <w:r>
        <w:rPr>
          <w:rFonts w:ascii="Times New Roman" w:hAnsi="Times New Roman"/>
          <w:b/>
          <w:noProof/>
        </w:rPr>
        <w:t>100 tonnu kokaīna</w:t>
      </w:r>
      <w:r>
        <w:rPr>
          <w:rFonts w:ascii="Times New Roman" w:hAnsi="Times New Roman"/>
          <w:noProof/>
        </w:rPr>
        <w:t xml:space="preserve"> un </w:t>
      </w:r>
      <w:r>
        <w:rPr>
          <w:rFonts w:ascii="Times New Roman" w:hAnsi="Times New Roman"/>
          <w:b/>
          <w:noProof/>
        </w:rPr>
        <w:t>300 tonnu marihuānas</w:t>
      </w:r>
      <w:r>
        <w:rPr>
          <w:rFonts w:ascii="Times New Roman" w:hAnsi="Times New Roman"/>
          <w:noProof/>
        </w:rPr>
        <w:t xml:space="preserve"> konfiscēšanu (to komerciālā mazumtirdzniecības vērtība ES ir </w:t>
      </w:r>
      <w:r>
        <w:rPr>
          <w:rFonts w:ascii="Times New Roman" w:hAnsi="Times New Roman"/>
          <w:b/>
          <w:noProof/>
        </w:rPr>
        <w:t>EUR 8 miljardi</w:t>
      </w:r>
      <w:r>
        <w:rPr>
          <w:rFonts w:ascii="Times New Roman" w:hAnsi="Times New Roman"/>
          <w:noProof/>
        </w:rPr>
        <w:t>).</w:t>
      </w:r>
      <w:r>
        <w:rPr>
          <w:rFonts w:ascii="Times New Roman" w:hAnsi="Times New Roman"/>
          <w:b/>
          <w:noProof/>
        </w:rPr>
        <w:t xml:space="preserve"> </w:t>
      </w:r>
      <w:r>
        <w:rPr>
          <w:rFonts w:ascii="Times New Roman" w:hAnsi="Times New Roman"/>
          <w:noProof/>
        </w:rPr>
        <w:t>Centra darbībām tiek piešķirts arī ES finansējums.</w:t>
      </w:r>
    </w:p>
    <w:p>
      <w:pPr>
        <w:jc w:val="both"/>
        <w:rPr>
          <w:rFonts w:ascii="Times New Roman" w:hAnsi="Times New Roman" w:cs="Times New Roman"/>
          <w:noProof/>
        </w:rPr>
      </w:pPr>
      <w:r>
        <w:rPr>
          <w:rFonts w:ascii="Times New Roman" w:hAnsi="Times New Roman"/>
          <w:noProof/>
        </w:rPr>
        <w:t xml:space="preserve">2013. un 2014. gadā lielākajā daļā ES valstu tiesiskā sistēma paredzēja </w:t>
      </w:r>
      <w:r>
        <w:rPr>
          <w:rFonts w:ascii="Times New Roman" w:hAnsi="Times New Roman"/>
          <w:b/>
          <w:noProof/>
        </w:rPr>
        <w:t>iespēju likumpārkāpējiem, kas lieto narkotiskās vielas, piemērot citas, nevis piespiedu sankcijas</w:t>
      </w:r>
      <w:r>
        <w:rPr>
          <w:rFonts w:ascii="Times New Roman" w:hAnsi="Times New Roman"/>
          <w:noProof/>
        </w:rPr>
        <w:t xml:space="preserve">. Gandrīz visas minētās ES valstis paredzēja ārstēšanu un rehabilitāciju, bet puse minēto valstu paredzēja izglītošanu, vēlāku aprūpi un sociālo integrāciju.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Portugālē kopš 2001. gada jūlija ir spēkā likums, ar kuru dekriminalizē nelikumīgu narkotisko vielu lietošanu un ar to saistītas darbības, tomēr saglabā narkotisko vielu lietošanai nelikumīgas rīcības statusu. Glabāt vairāk narkotisko vielu, nekā viena persona vidēji var patērēt 10 dienu laikā, ir noziegums. Taču, ja personu pieķer mazāka daudzuma glabāšanā, bet tā netiek turēta aizdomās par līdzdalību narkotisko vielu nelikumīgā tirdzniecībā, šo gadījumu izvērtē vietējā narkotiku atkarības novēršanas komisija, ko veido jurists, ārsts un sociālais darbinieks. Var piemērot administratīvus sodus, tomēr galvenais mērķis ir sekmēt piekļuvi ārstēšanai un atgriešanos pie veselīga dzīvesveida un dzīves sabiedrībā. Minētās komisijas var uzskatīt par “otrās kārtas” profilaktiskajiem pasākumiem, un tās novērtē policijas atvesto narkotisko vielu lietotāju dzīves apstākļus un piedāvā tiem atbilstošus risinājumus.</w:t>
      </w:r>
    </w:p>
    <w:p>
      <w:pPr>
        <w:jc w:val="both"/>
        <w:rPr>
          <w:rFonts w:ascii="Times New Roman" w:hAnsi="Times New Roman" w:cs="Times New Roman"/>
          <w:noProof/>
        </w:rPr>
      </w:pPr>
      <w:r>
        <w:rPr>
          <w:rFonts w:ascii="Times New Roman" w:hAnsi="Times New Roman"/>
          <w:noProof/>
        </w:rPr>
        <w:t xml:space="preserve">Vēl vienu problēmu sagādā tas, ka internetu aizvien vairāk izmanto par narkotisko vielu tiešsaistes tirgu. </w:t>
      </w:r>
      <w:r>
        <w:rPr>
          <w:rFonts w:ascii="Times New Roman" w:hAnsi="Times New Roman"/>
          <w:b/>
          <w:noProof/>
        </w:rPr>
        <w:t>Vairāk nekā puse ES valstu īpaši pievērsās ar narkotiskajām vielām saistītiem noziegumiem internetā</w:t>
      </w:r>
      <w:r>
        <w:rPr>
          <w:rFonts w:ascii="Times New Roman" w:hAnsi="Times New Roman"/>
          <w:noProof/>
        </w:rPr>
        <w:t xml:space="preserve">, un vairākas no tām pievērsās tīmekļa vietnēm, kurās pārdod sintētiskās narkotiskās vielas. </w:t>
      </w:r>
      <w:r>
        <w:rPr>
          <w:rFonts w:ascii="Times New Roman" w:hAnsi="Times New Roman"/>
          <w:i/>
          <w:noProof/>
        </w:rPr>
        <w:t>Eurojust</w:t>
      </w:r>
      <w:r>
        <w:rPr>
          <w:rFonts w:ascii="Times New Roman" w:hAnsi="Times New Roman"/>
          <w:noProof/>
        </w:rPr>
        <w:t xml:space="preserve"> un Eiropols arī ziņo, ka veikuši vairākas darbības, kuru mērķis ir novērst ar narkotiskajām vielām saistītus noziegumus internetā.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 xml:space="preserve">Tuvplāns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Vācijā Federālais kriminālpolicijas birojs (BKA) konstatēja, ka ir palielinājusies visu veidu narkotiku tirdzniecība internetā. Galvenā uzmanība tika pievērsta sintētiskajām narkotiskajām vielām. Turklāt narkotisko vielu tirdzniecība aizvien vairāk notiek nevis atklātajā tīmeklī, bet gan tā saucamajā “tumšajā tīklā” (</w:t>
      </w:r>
      <w:r>
        <w:rPr>
          <w:rFonts w:ascii="Times New Roman" w:hAnsi="Times New Roman"/>
          <w:i/>
          <w:noProof/>
        </w:rPr>
        <w:t>Darknet</w:t>
      </w:r>
      <w:r>
        <w:rPr>
          <w:rFonts w:ascii="Times New Roman" w:hAnsi="Times New Roman"/>
          <w:noProof/>
        </w:rPr>
        <w:t xml:space="preserve">). Šajā nolūkā tiek veikta anonimizācija un šifrēšana, tāpēc ir ļoti grūti identificēt administratorus, pārdevējus un klientus. Turklāt virtuālas valūtas, piemēram, </w:t>
      </w:r>
      <w:r>
        <w:rPr>
          <w:rFonts w:ascii="Times New Roman" w:hAnsi="Times New Roman"/>
          <w:i/>
          <w:noProof/>
        </w:rPr>
        <w:t>Bitcoin</w:t>
      </w:r>
      <w:r>
        <w:rPr>
          <w:rFonts w:ascii="Times New Roman" w:hAnsi="Times New Roman"/>
          <w:noProof/>
        </w:rPr>
        <w:t xml:space="preserve">, izmantošana vēl vairāk palielina lietotāju anonimitāti. Reaģējot uz šo parādību, kas aizvien pieņemas spēkā, BKA 2014. gada 15. novembrī izveidoja darba grupu “Narkotisko vielu nelikumīga tirdzniecība internetā”. Darba grupā pašlaik ir 2,5 slodzes darbinieki. </w:t>
      </w:r>
    </w:p>
    <w:p>
      <w:pPr>
        <w:jc w:val="both"/>
        <w:rPr>
          <w:rFonts w:ascii="Times New Roman" w:hAnsi="Times New Roman" w:cs="Times New Roman"/>
          <w:noProof/>
        </w:rPr>
      </w:pPr>
      <w:r>
        <w:rPr>
          <w:rFonts w:ascii="Times New Roman" w:hAnsi="Times New Roman"/>
          <w:noProof/>
        </w:rPr>
        <w:t xml:space="preserve">Tikai dažās valstīs </w:t>
      </w:r>
      <w:r>
        <w:rPr>
          <w:rFonts w:ascii="Times New Roman" w:hAnsi="Times New Roman"/>
          <w:b/>
          <w:noProof/>
        </w:rPr>
        <w:t>2013. un 2014. gadā narkotisko vielu piedāvājuma mazināšanas pasākumiem tika piešķirts īpašs finansējums</w:t>
      </w:r>
      <w:r>
        <w:rPr>
          <w:rFonts w:ascii="Times New Roman" w:hAnsi="Times New Roman"/>
          <w:noProof/>
        </w:rPr>
        <w:t>. Parasti šādiem pasākumiem paredzētais budžets ir iekļauts saistīto jomu budžetā, piemēram, vispārējā kriminālpolicijas budžetā.</w:t>
      </w:r>
    </w:p>
    <w:p>
      <w:pPr>
        <w:pStyle w:val="ListParagraph"/>
        <w:numPr>
          <w:ilvl w:val="0"/>
          <w:numId w:val="1"/>
        </w:numPr>
        <w:rPr>
          <w:rFonts w:ascii="Times New Roman" w:hAnsi="Times New Roman" w:cs="Times New Roman"/>
          <w:b/>
          <w:noProof/>
        </w:rPr>
      </w:pPr>
      <w:r>
        <w:rPr>
          <w:rFonts w:ascii="Times New Roman" w:hAnsi="Times New Roman"/>
          <w:b/>
          <w:noProof/>
        </w:rPr>
        <w:t>Koordinācija</w:t>
      </w:r>
    </w:p>
    <w:p>
      <w:pPr>
        <w:jc w:val="both"/>
        <w:rPr>
          <w:rFonts w:ascii="Times New Roman" w:hAnsi="Times New Roman" w:cs="Times New Roman"/>
          <w:noProof/>
        </w:rPr>
      </w:pPr>
      <w:r>
        <w:rPr>
          <w:rFonts w:ascii="Times New Roman" w:hAnsi="Times New Roman"/>
          <w:noProof/>
        </w:rPr>
        <w:t xml:space="preserve">Lai varētu pienācīgi ņemt vērā </w:t>
      </w:r>
      <w:r>
        <w:rPr>
          <w:rFonts w:ascii="Times New Roman" w:hAnsi="Times New Roman"/>
          <w:b/>
          <w:noProof/>
        </w:rPr>
        <w:t>narkotisko vielu problēmas pārnozaru aspektu, ir jākoordinē</w:t>
      </w:r>
      <w:r>
        <w:rPr>
          <w:rFonts w:ascii="Times New Roman" w:hAnsi="Times New Roman"/>
          <w:noProof/>
        </w:rPr>
        <w:t xml:space="preserve"> dažādās ES un valsts līmeņa politikas jomas ES dalībvalstīs. </w:t>
      </w:r>
    </w:p>
    <w:p>
      <w:pPr>
        <w:spacing w:after="0"/>
        <w:jc w:val="both"/>
        <w:rPr>
          <w:rFonts w:ascii="Times New Roman" w:hAnsi="Times New Roman" w:cs="Times New Roman"/>
          <w:noProof/>
        </w:rPr>
      </w:pPr>
      <w:r>
        <w:rPr>
          <w:rFonts w:ascii="Times New Roman" w:hAnsi="Times New Roman"/>
          <w:noProof/>
        </w:rPr>
        <w:t xml:space="preserve">Padomei ir īpaša darba grupa, kas vispusīgi aplūko ar narkotiskajām vielām saistītus jautājumus. Šajā grupā Padomes prezidentvalstis ir rīkojušās pēc programmas, kurā rūpīgi ievērots ES Narkomānijas apkarošanas rīcības plāns. Tomēr dažas ES valstis uzskatīja, ka ne visas darbības tiek aplūkotas sistemātiski. Padomes secīgās prezidentvalstis ir arī centušās iedibināt ciešākas saiknes un informācijas apmaiņu ar pārējām darba grupām, kuras darbojas tiesībaizsardzības jomā. </w:t>
      </w:r>
    </w:p>
    <w:p>
      <w:pPr>
        <w:spacing w:after="0"/>
        <w:jc w:val="both"/>
        <w:rPr>
          <w:rFonts w:ascii="Times New Roman" w:hAnsi="Times New Roman" w:cs="Times New Roman"/>
          <w:noProof/>
        </w:rPr>
      </w:pPr>
    </w:p>
    <w:p>
      <w:pPr>
        <w:jc w:val="both"/>
        <w:rPr>
          <w:rFonts w:ascii="Times New Roman" w:hAnsi="Times New Roman" w:cs="Times New Roman"/>
          <w:noProof/>
        </w:rPr>
      </w:pPr>
      <w:r>
        <w:rPr>
          <w:rFonts w:ascii="Times New Roman" w:hAnsi="Times New Roman"/>
          <w:noProof/>
        </w:rPr>
        <w:t xml:space="preserve">Gandrīz visas ES dalībvalstis apgalvo, ka tās saskaņo savu </w:t>
      </w:r>
      <w:r>
        <w:rPr>
          <w:rFonts w:ascii="Times New Roman" w:hAnsi="Times New Roman"/>
          <w:b/>
          <w:noProof/>
        </w:rPr>
        <w:t>nostāju, ko tās pauž ES Padomes Narkotisko vielu jautājumu darba grupā,</w:t>
      </w:r>
      <w:r>
        <w:rPr>
          <w:rFonts w:ascii="Times New Roman" w:hAnsi="Times New Roman"/>
          <w:noProof/>
        </w:rPr>
        <w:t xml:space="preserve"> ar visām attiecīgajām personām valstī. </w:t>
      </w:r>
    </w:p>
    <w:p>
      <w:pPr>
        <w:jc w:val="both"/>
        <w:rPr>
          <w:rFonts w:ascii="Times New Roman" w:hAnsi="Times New Roman" w:cs="Times New Roman"/>
          <w:noProof/>
        </w:rPr>
      </w:pPr>
      <w:r>
        <w:rPr>
          <w:rFonts w:ascii="Times New Roman" w:hAnsi="Times New Roman"/>
          <w:noProof/>
        </w:rPr>
        <w:t xml:space="preserve">2013. gadā visās ES valstīs, izņemot vienu, bija valsts </w:t>
      </w:r>
      <w:r>
        <w:rPr>
          <w:rFonts w:ascii="Times New Roman" w:hAnsi="Times New Roman"/>
          <w:b/>
          <w:noProof/>
        </w:rPr>
        <w:t>narkomānijas apkarošanas stratēģijas</w:t>
      </w:r>
      <w:r>
        <w:rPr>
          <w:rFonts w:ascii="Times New Roman" w:hAnsi="Times New Roman"/>
          <w:noProof/>
        </w:rPr>
        <w:t>; vienā valstī tika izmantota reģionāla pieeja. Lielākajā daļā stratēģiju galvenā uzmanība tika pievērsta tieši nelikumīgajām narkotiskajām vielām, tomēr dažās ES valstīs narkotiskās vielas ir iekļautas plašākā atkarības politikā, kas aptver arī tabaku, alkoholu un dažkārt vēl citus atkarību izraisošus ieradumus. Pēdējos gados arvien vairāk valstu ir veikušas savas narkomānijas apkarošanas stratēģijas vai rīcības plāna galīgo novērtējumu</w:t>
      </w:r>
      <w:r>
        <w:rPr>
          <w:rStyle w:val="FootnoteReference"/>
          <w:rFonts w:ascii="Times New Roman" w:hAnsi="Times New Roman"/>
          <w:noProof/>
        </w:rPr>
        <w:footnoteReference w:id="46"/>
      </w:r>
      <w:r>
        <w:rPr>
          <w:rFonts w:ascii="Times New Roman" w:hAnsi="Times New Roman"/>
          <w:noProof/>
        </w:rPr>
        <w:t xml:space="preserve">. Visas ES dalībvalstis ziņoja, ka </w:t>
      </w:r>
      <w:r>
        <w:rPr>
          <w:rFonts w:ascii="Times New Roman" w:hAnsi="Times New Roman"/>
          <w:b/>
          <w:noProof/>
        </w:rPr>
        <w:t>pilsoniskās sabiedrības organizācijas</w:t>
      </w:r>
      <w:r>
        <w:rPr>
          <w:rStyle w:val="FootnoteReference"/>
          <w:rFonts w:ascii="Times New Roman" w:hAnsi="Times New Roman"/>
          <w:b/>
          <w:noProof/>
        </w:rPr>
        <w:footnoteReference w:id="47"/>
      </w:r>
      <w:r>
        <w:rPr>
          <w:rFonts w:ascii="Times New Roman" w:hAnsi="Times New Roman"/>
          <w:noProof/>
        </w:rPr>
        <w:t xml:space="preserve"> tika iesaistītas valsts narkomānijas apkarošanas politikas izstrādē, uzraudzībā un/vai novērtēšanā 2013.–2014. gadā.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 xml:space="preserve">Slovākijā nevalstiskajām organizācijām galvenajā koordinācijas struktūrā — Slovākijas Republikas valdības Narkomānijas apkarošanas politikas padomē — ir savs pārstāvis (valdības pilnvarotais), kurš ir tiesīgs uzaicināt pārstāvjus uz padomes sanāksmēm un konkrētu darba kārtības punktu apspriešanu. Turklāt jaunu stratēģisku dokumentu (stratēģijas, rīcības plānu) sagatavošanas laikā NVO pārstāvjiem ir jāpauž savas idejas vai nu ar valdības pilnvarotā starpniecību, vai arī tieši. Tiem ir arī likumīgas pilnvaras iesniegt piezīmes un ieteikumus dokumentu apstiprināšanas procedūras laikā. To piezīmes un ieteikumi jāapspriež, un vispamatotākie no tiem ir jāņem vērā; būtu jāizvairās no pretrunām, citādi apstiprināšanas procedūru var apturēt. </w:t>
      </w:r>
    </w:p>
    <w:p>
      <w:pPr>
        <w:jc w:val="both"/>
        <w:rPr>
          <w:rFonts w:ascii="Times New Roman" w:hAnsi="Times New Roman" w:cs="Times New Roman"/>
          <w:noProof/>
        </w:rPr>
      </w:pPr>
      <w:r>
        <w:rPr>
          <w:rFonts w:ascii="Times New Roman" w:hAnsi="Times New Roman"/>
          <w:noProof/>
        </w:rPr>
        <w:t xml:space="preserve">Vairums pilsoniskās sabiedrības pārstāvju apstiprināja, ka 2013.–2014. gadā tika iesaistīti savas valsts narkomānijas apkarošanas politikas izstrādē, uzraudzībā un/vai novērtēšanā, lai gan daži pārstāvji arī norādīja, ka saistībā ar šīm procedūrām netika īstenots </w:t>
      </w:r>
      <w:r>
        <w:rPr>
          <w:rFonts w:ascii="Times New Roman" w:hAnsi="Times New Roman"/>
          <w:b/>
          <w:noProof/>
        </w:rPr>
        <w:t>nekāds strukturēts dialogs</w:t>
      </w:r>
      <w:r>
        <w:rPr>
          <w:rFonts w:ascii="Times New Roman" w:hAnsi="Times New Roman"/>
          <w:noProof/>
        </w:rPr>
        <w:t>. Kaut arī daudzi pilsoniskās sabiedrības pārstāvji uzskatīja, ka tāda sadarbība, kāda tika īstenota to valsts līmenī, bija noderīga, daži minēja, ka pilsoniskajai sabiedrībai nav nekādas nozīmes narkomānijas apkarošanas politikas veidošanā to valstī. ES līmenī tiek īstenots strukturēts dialogs starp Komisiju un pilsonisko sabiedrību Pilsoniskās sabiedrības narkotiku apkarošanas forumā, kas sniedz konsultācijas politikas formulēšanas un īstenošanas atbalstam.</w:t>
      </w:r>
    </w:p>
    <w:p>
      <w:pPr>
        <w:jc w:val="both"/>
        <w:rPr>
          <w:rFonts w:ascii="Times New Roman" w:hAnsi="Times New Roman" w:cs="Times New Roman"/>
          <w:noProof/>
        </w:rPr>
      </w:pPr>
      <w:r>
        <w:rPr>
          <w:rFonts w:ascii="Times New Roman" w:hAnsi="Times New Roman"/>
          <w:noProof/>
        </w:rPr>
        <w:t xml:space="preserve">Pilsoniskās sabiedrības pārstāvji uzskatīja, ka valsts līmenī piešķirtie </w:t>
      </w:r>
      <w:r>
        <w:rPr>
          <w:rFonts w:ascii="Times New Roman" w:hAnsi="Times New Roman"/>
          <w:b/>
          <w:noProof/>
        </w:rPr>
        <w:t>resursi</w:t>
      </w:r>
      <w:r>
        <w:rPr>
          <w:rFonts w:ascii="Times New Roman" w:hAnsi="Times New Roman"/>
          <w:noProof/>
        </w:rPr>
        <w:t xml:space="preserve"> ES Narkomānijas apkarošanas stratēģijas prioritāšu izpildei 2013. un 2014. gadā </w:t>
      </w:r>
      <w:r>
        <w:rPr>
          <w:rFonts w:ascii="Times New Roman" w:hAnsi="Times New Roman"/>
          <w:b/>
          <w:noProof/>
        </w:rPr>
        <w:t>bija nepietiekami</w:t>
      </w:r>
      <w:r>
        <w:rPr>
          <w:rFonts w:ascii="Times New Roman" w:hAnsi="Times New Roman"/>
          <w:noProof/>
        </w:rPr>
        <w:t xml:space="preserve">. Daudzas NVO arī ziņoja par budžeta samazinājumiem. </w:t>
      </w:r>
    </w:p>
    <w:p>
      <w:pPr>
        <w:jc w:val="both"/>
        <w:rPr>
          <w:rFonts w:ascii="Times New Roman" w:hAnsi="Times New Roman" w:cs="Times New Roman"/>
          <w:noProof/>
        </w:rPr>
      </w:pPr>
      <w:r>
        <w:rPr>
          <w:rFonts w:ascii="Times New Roman" w:hAnsi="Times New Roman"/>
          <w:b/>
          <w:noProof/>
        </w:rPr>
        <w:t>Pierādījumu par publiskā sektora izdevumiem, kas saistīti ar narkotiskajām vielām, joprojām ir maz.</w:t>
      </w:r>
      <w:r>
        <w:rPr>
          <w:rFonts w:ascii="Times New Roman" w:hAnsi="Times New Roman"/>
          <w:noProof/>
        </w:rPr>
        <w:t xml:space="preserve"> 19 valstis ir veikušas aprēķinus pēdējos 10 gados, un to aprēķinātie izdevumi ir 0,01–0,5 % no IKP, turklāt veselības aprūpei iztērēti 24–73 % no visiem ar narkotiskajām vielām saistītajiem izdevumiem</w:t>
      </w:r>
      <w:r>
        <w:rPr>
          <w:rStyle w:val="FootnoteReference"/>
          <w:rFonts w:ascii="Times New Roman" w:hAnsi="Times New Roman"/>
          <w:noProof/>
        </w:rPr>
        <w:footnoteReference w:id="48"/>
      </w:r>
      <w:r>
        <w:rPr>
          <w:rFonts w:ascii="Times New Roman" w:hAnsi="Times New Roman"/>
          <w:noProof/>
        </w:rPr>
        <w:t xml:space="preserve">. </w:t>
      </w:r>
    </w:p>
    <w:p>
      <w:pPr>
        <w:pStyle w:val="ListParagraph"/>
        <w:numPr>
          <w:ilvl w:val="0"/>
          <w:numId w:val="1"/>
        </w:numPr>
        <w:rPr>
          <w:rFonts w:ascii="Times New Roman" w:hAnsi="Times New Roman" w:cs="Times New Roman"/>
          <w:b/>
          <w:noProof/>
        </w:rPr>
      </w:pPr>
      <w:r>
        <w:rPr>
          <w:rFonts w:ascii="Times New Roman" w:hAnsi="Times New Roman"/>
          <w:b/>
          <w:noProof/>
        </w:rPr>
        <w:t>Starptautiskā sadarbība</w:t>
      </w:r>
    </w:p>
    <w:p>
      <w:pPr>
        <w:jc w:val="both"/>
        <w:rPr>
          <w:rFonts w:ascii="Times New Roman" w:hAnsi="Times New Roman" w:cs="Times New Roman"/>
          <w:noProof/>
        </w:rPr>
      </w:pPr>
      <w:r>
        <w:rPr>
          <w:rFonts w:ascii="Times New Roman" w:hAnsi="Times New Roman"/>
          <w:noProof/>
        </w:rPr>
        <w:t xml:space="preserve">ES Narkomānijas apkarošanas stratēģijā ir paredzēts starptautiska līmeņa mērķis panākt, ka ES pauž vienotu viedokli starptautiskajā arēnā un sarunās ar partnervalstīm. ES 2013. un 2014. gadā kopumā izdevās paust saskaņotu nostāju starptautiskās sanāksmēs. Lai gan ir veikti pasākumi, kuru mērķis ir vairāk saskaņot ES valstu nostāju Apvienoto Nāciju Organizācijas (ANO) iestādēs, ir nepieciešama labāka koordinācija starp delegācijām ANO Vīnē un Padomes Narkotiku jautājumu horizontālo darba grupu Briselē. </w:t>
      </w:r>
    </w:p>
    <w:p>
      <w:pPr>
        <w:jc w:val="both"/>
        <w:rPr>
          <w:rFonts w:ascii="Times New Roman" w:hAnsi="Times New Roman" w:cs="Times New Roman"/>
          <w:noProof/>
        </w:rPr>
      </w:pPr>
      <w:r>
        <w:rPr>
          <w:rFonts w:ascii="Times New Roman" w:hAnsi="Times New Roman"/>
          <w:noProof/>
        </w:rPr>
        <w:t xml:space="preserve">Tika formulētas ES nostājas sanāksmēm ANO vai citiem starptautiskiem forumiem, kas attiecas uz jautājumiem, kuri saistīti ar narkotiskajām vielām. Tiek formulēta kopēja ES nostāja 2016. gada </w:t>
      </w:r>
      <w:r>
        <w:rPr>
          <w:rFonts w:ascii="Times New Roman" w:hAnsi="Times New Roman"/>
          <w:i/>
          <w:noProof/>
        </w:rPr>
        <w:t>UNGASS</w:t>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ES jau </w:t>
      </w:r>
      <w:r>
        <w:rPr>
          <w:rFonts w:ascii="Times New Roman" w:hAnsi="Times New Roman"/>
          <w:b/>
          <w:noProof/>
        </w:rPr>
        <w:t>ilgi sadarbojas ar valstīm ārpus ES</w:t>
      </w:r>
      <w:r>
        <w:rPr>
          <w:rFonts w:ascii="Times New Roman" w:hAnsi="Times New Roman"/>
          <w:noProof/>
        </w:rPr>
        <w:t>, piemēram, ASV, Latīņamerikas valstīm, Karību jūras reģiona valstīm, Vidusāzijas un Rietumbalkānu valstīm, Krieviju un Eiropas kaimiņreģiona valstīm, ar kurām tai notiek regulāras ekspertu sanāksmes narkotisko vielu jautājumos. Tā ar 11 valstīm, piemēram, Ķīnu, Meksiku un ASV, ir arī noslēgusi īpašus sadarbības nolīgumus narkotisko vielu prekursoru kontroles jomā. Šo nolīgumu ietvaros regulāri, lielākoties reizi gadā, notiek ekspertu sanāksmes.</w:t>
      </w:r>
    </w:p>
    <w:p>
      <w:pPr>
        <w:jc w:val="both"/>
        <w:rPr>
          <w:rFonts w:ascii="Times New Roman" w:hAnsi="Times New Roman" w:cs="Times New Roman"/>
          <w:noProof/>
        </w:rPr>
      </w:pPr>
      <w:r>
        <w:rPr>
          <w:rFonts w:ascii="Times New Roman" w:hAnsi="Times New Roman"/>
          <w:noProof/>
        </w:rPr>
        <w:t xml:space="preserve">2013. un 2014. gadā sadarbībā ar </w:t>
      </w:r>
      <w:r>
        <w:rPr>
          <w:rFonts w:ascii="Times New Roman" w:hAnsi="Times New Roman"/>
          <w:b/>
          <w:noProof/>
        </w:rPr>
        <w:t>Eiropas kaimiņreģiona valstīm un Krieviju</w:t>
      </w:r>
      <w:r>
        <w:rPr>
          <w:rFonts w:ascii="Times New Roman" w:hAnsi="Times New Roman"/>
          <w:noProof/>
        </w:rPr>
        <w:t xml:space="preserve"> lielākā uzmanība tika pievērsta narkotisko vielu piedāvājuma mazināšanai, tomēr sadarbība nebija tik aktīva kā agrāk. Tā iemesls, visticamāk, bija arī problemātiskais drošības stāvoklis pie Eiropas austrumu robežas. Liels panākums ir tas, ka </w:t>
      </w:r>
      <w:r>
        <w:rPr>
          <w:rFonts w:ascii="Times New Roman" w:hAnsi="Times New Roman"/>
          <w:b/>
          <w:noProof/>
        </w:rPr>
        <w:t>paplašināšanās procesā iesaistītajās valstīs</w:t>
      </w:r>
      <w:r>
        <w:rPr>
          <w:rFonts w:ascii="Times New Roman" w:hAnsi="Times New Roman"/>
          <w:noProof/>
        </w:rPr>
        <w:t xml:space="preserve"> ir ieviestas ES Narkomānijas apkarošanas stratēģijai un rīcības plāniem atbilstošas valsts narkomānijas apkarošanas stratēģijas</w:t>
      </w:r>
      <w:r>
        <w:rPr>
          <w:rStyle w:val="FootnoteReference"/>
          <w:rFonts w:ascii="Times New Roman" w:hAnsi="Times New Roman"/>
          <w:noProof/>
        </w:rPr>
        <w:footnoteReference w:id="49"/>
      </w:r>
      <w:r>
        <w:rPr>
          <w:rFonts w:ascii="Times New Roman" w:hAnsi="Times New Roman"/>
          <w:noProof/>
        </w:rPr>
        <w:t xml:space="preserve">. </w:t>
      </w:r>
      <w:hyperlink r:id="rId17" w:tooltip="ES un CELAC koordinācijas un sadarbības mehānisms narkotisko vielu jomā">
        <w:r>
          <w:rPr>
            <w:rFonts w:ascii="Times New Roman" w:hAnsi="Times New Roman"/>
            <w:b/>
            <w:noProof/>
          </w:rPr>
          <w:t xml:space="preserve">ES un </w:t>
        </w:r>
        <w:r>
          <w:rPr>
            <w:rFonts w:ascii="Times New Roman" w:hAnsi="Times New Roman"/>
            <w:b/>
            <w:i/>
            <w:noProof/>
          </w:rPr>
          <w:t>CELAC</w:t>
        </w:r>
        <w:r>
          <w:rPr>
            <w:rStyle w:val="FootnoteReference"/>
            <w:rFonts w:ascii="Times New Roman" w:hAnsi="Times New Roman"/>
            <w:b/>
            <w:noProof/>
          </w:rPr>
          <w:footnoteReference w:id="50"/>
        </w:r>
        <w:r>
          <w:rPr>
            <w:rFonts w:ascii="Times New Roman" w:hAnsi="Times New Roman"/>
            <w:b/>
            <w:noProof/>
          </w:rPr>
          <w:t xml:space="preserve"> koordinācijas un sadarbības mehānisms narkotisko vielu jomā</w:t>
        </w:r>
      </w:hyperlink>
      <w:r>
        <w:rPr>
          <w:rFonts w:ascii="Times New Roman" w:hAnsi="Times New Roman"/>
          <w:noProof/>
        </w:rPr>
        <w:t xml:space="preserve"> un kopīgā prekursoru pēckontroles grupa</w:t>
      </w:r>
      <w:r>
        <w:rPr>
          <w:rStyle w:val="FootnoteReference"/>
          <w:rFonts w:ascii="Times New Roman" w:hAnsi="Times New Roman"/>
          <w:noProof/>
        </w:rPr>
        <w:footnoteReference w:id="51"/>
      </w:r>
      <w:r>
        <w:rPr>
          <w:rFonts w:ascii="Times New Roman" w:hAnsi="Times New Roman"/>
          <w:noProof/>
        </w:rPr>
        <w:t xml:space="preserve"> rīkoja sanāksmes par globālās narkomānijas problēmas risināšanu</w:t>
      </w:r>
      <w:r>
        <w:rPr>
          <w:noProof/>
        </w:rPr>
        <w:t>.</w:t>
      </w:r>
      <w:r>
        <w:rPr>
          <w:rFonts w:ascii="Times New Roman" w:hAnsi="Times New Roman"/>
          <w:noProof/>
        </w:rPr>
        <w:t xml:space="preserve"> Saistībā ar ES politiku attiecībā uz narkotiskajām vielām Latīņamerikas reģionā tiek īstenoti arī vairāki reģionāli un divpusēji sadarbības projekti</w:t>
      </w:r>
      <w:r>
        <w:rPr>
          <w:rStyle w:val="FootnoteReference"/>
          <w:rFonts w:ascii="Times New Roman" w:hAnsi="Times New Roman"/>
          <w:noProof/>
        </w:rPr>
        <w:footnoteReference w:id="52"/>
      </w:r>
      <w:r>
        <w:rPr>
          <w:rFonts w:ascii="Times New Roman" w:hAnsi="Times New Roman"/>
          <w:noProof/>
        </w:rPr>
        <w:t xml:space="preserve">. Dialogos starp </w:t>
      </w:r>
      <w:r>
        <w:rPr>
          <w:rFonts w:ascii="Times New Roman" w:hAnsi="Times New Roman"/>
          <w:b/>
          <w:noProof/>
        </w:rPr>
        <w:t>ES un ASV</w:t>
      </w:r>
      <w:r>
        <w:rPr>
          <w:rFonts w:ascii="Times New Roman" w:hAnsi="Times New Roman"/>
          <w:noProof/>
        </w:rPr>
        <w:t xml:space="preserve"> galvenā uzmanība tika pievērsta tādām tēmām kā rīcība saistībā ar jaunām psihoaktīvām vielām, recepšu zāļu nepareiza lietošana un sagatavošanās 2016. gada </w:t>
      </w:r>
      <w:r>
        <w:rPr>
          <w:rFonts w:ascii="Times New Roman" w:hAnsi="Times New Roman"/>
          <w:i/>
          <w:noProof/>
        </w:rPr>
        <w:t>UNGASS</w:t>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 xml:space="preserve">Narkotisko vielu jomā īstenotajās ES ārējās sadarbības programmās izmantotās pieejas mērķis ir līdzsvaroti apkarot narkotisko vielu piedāvājumu un pieprasījumu, vienlaikus veicinot cilvēktiesību ievērošanu un aizsargājot tās. </w:t>
      </w:r>
    </w:p>
    <w:p>
      <w:pPr>
        <w:jc w:val="both"/>
        <w:rPr>
          <w:rFonts w:ascii="Times New Roman" w:hAnsi="Times New Roman" w:cs="Times New Roman"/>
          <w:noProof/>
        </w:rPr>
      </w:pPr>
      <w:r>
        <w:rPr>
          <w:rFonts w:ascii="Times New Roman" w:hAnsi="Times New Roman"/>
          <w:noProof/>
        </w:rPr>
        <w:t>Daži no galvenajiem ar narkotiskajām vielām saistītajiem projektiem, ko ES finansēja 2013. un 2014. gadā:</w:t>
      </w:r>
    </w:p>
    <w:p>
      <w:pPr>
        <w:pStyle w:val="ListParagraph"/>
        <w:numPr>
          <w:ilvl w:val="0"/>
          <w:numId w:val="3"/>
        </w:numPr>
        <w:jc w:val="both"/>
        <w:rPr>
          <w:rFonts w:ascii="Times New Roman" w:hAnsi="Times New Roman" w:cs="Times New Roman"/>
          <w:noProof/>
        </w:rPr>
      </w:pPr>
      <w:r>
        <w:rPr>
          <w:rFonts w:ascii="Times New Roman" w:hAnsi="Times New Roman"/>
          <w:i/>
          <w:noProof/>
        </w:rPr>
        <w:t>COPOLAD</w:t>
      </w:r>
      <w:r>
        <w:rPr>
          <w:rFonts w:ascii="Times New Roman" w:hAnsi="Times New Roman"/>
          <w:noProof/>
        </w:rPr>
        <w:t xml:space="preserve"> — reģionāla sadarbības programma ar Latīņameriku attiecībā uz narkomānijas apkarošanas politiku</w:t>
      </w:r>
      <w:r>
        <w:rPr>
          <w:rStyle w:val="FootnoteReference"/>
          <w:rFonts w:ascii="Times New Roman" w:hAnsi="Times New Roman"/>
          <w:b/>
          <w:noProof/>
        </w:rPr>
        <w:footnoteReference w:id="53"/>
      </w:r>
      <w:r>
        <w:rPr>
          <w:rFonts w:ascii="Times New Roman" w:hAnsi="Times New Roman"/>
          <w:noProof/>
        </w:rPr>
        <w:t xml:space="preserve">; </w:t>
      </w:r>
    </w:p>
    <w:p>
      <w:pPr>
        <w:pStyle w:val="ListParagraph"/>
        <w:numPr>
          <w:ilvl w:val="0"/>
          <w:numId w:val="3"/>
        </w:numPr>
        <w:jc w:val="both"/>
        <w:rPr>
          <w:rFonts w:ascii="Times New Roman" w:hAnsi="Times New Roman" w:cs="Times New Roman"/>
          <w:noProof/>
        </w:rPr>
      </w:pPr>
      <w:r>
        <w:rPr>
          <w:rFonts w:ascii="Times New Roman" w:hAnsi="Times New Roman"/>
          <w:noProof/>
        </w:rPr>
        <w:t>programma “Kokaīna ceļš”</w:t>
      </w:r>
      <w:r>
        <w:rPr>
          <w:rStyle w:val="FootnoteReference"/>
          <w:rFonts w:ascii="Times New Roman" w:hAnsi="Times New Roman"/>
          <w:noProof/>
        </w:rPr>
        <w:footnoteReference w:id="54"/>
      </w:r>
      <w:r>
        <w:rPr>
          <w:rFonts w:ascii="Times New Roman" w:hAnsi="Times New Roman"/>
          <w:noProof/>
        </w:rPr>
        <w:t>, kas darbojas 38 Rietumāfrikas, Latīņamerikas un Karību jūras reģiona valstīs;</w:t>
      </w:r>
    </w:p>
    <w:p>
      <w:pPr>
        <w:pStyle w:val="ListParagraph"/>
        <w:numPr>
          <w:ilvl w:val="0"/>
          <w:numId w:val="3"/>
        </w:numPr>
        <w:jc w:val="both"/>
        <w:rPr>
          <w:rFonts w:ascii="Times New Roman" w:hAnsi="Times New Roman" w:cs="Times New Roman"/>
          <w:noProof/>
        </w:rPr>
      </w:pPr>
      <w:r>
        <w:rPr>
          <w:rFonts w:ascii="Times New Roman" w:hAnsi="Times New Roman"/>
          <w:noProof/>
        </w:rPr>
        <w:t>programma “Heroīna ceļš”</w:t>
      </w:r>
      <w:r>
        <w:rPr>
          <w:rStyle w:val="FootnoteReference"/>
          <w:rFonts w:ascii="Times New Roman" w:hAnsi="Times New Roman"/>
          <w:noProof/>
        </w:rPr>
        <w:footnoteReference w:id="55"/>
      </w:r>
      <w:r>
        <w:rPr>
          <w:rFonts w:ascii="Times New Roman" w:hAnsi="Times New Roman"/>
          <w:noProof/>
        </w:rPr>
        <w:t xml:space="preserve">; </w:t>
      </w:r>
    </w:p>
    <w:p>
      <w:pPr>
        <w:pStyle w:val="ListParagraph"/>
        <w:numPr>
          <w:ilvl w:val="0"/>
          <w:numId w:val="3"/>
        </w:numPr>
        <w:jc w:val="both"/>
        <w:rPr>
          <w:rFonts w:ascii="Times New Roman" w:hAnsi="Times New Roman" w:cs="Times New Roman"/>
          <w:noProof/>
        </w:rPr>
      </w:pPr>
      <w:r>
        <w:rPr>
          <w:rFonts w:ascii="Times New Roman" w:hAnsi="Times New Roman"/>
          <w:noProof/>
        </w:rPr>
        <w:t>Vidusāzijas Narkomānijas apkarošanas rīcības programma (</w:t>
      </w:r>
      <w:r>
        <w:rPr>
          <w:rFonts w:ascii="Times New Roman" w:hAnsi="Times New Roman"/>
          <w:i/>
          <w:noProof/>
        </w:rPr>
        <w:t>CADAP</w:t>
      </w:r>
      <w:r>
        <w:rPr>
          <w:rFonts w:ascii="Times New Roman" w:hAnsi="Times New Roman"/>
          <w:noProof/>
        </w:rPr>
        <w:t>)</w:t>
      </w:r>
      <w:r>
        <w:rPr>
          <w:rStyle w:val="FootnoteReference"/>
          <w:rFonts w:ascii="Times New Roman" w:hAnsi="Times New Roman"/>
          <w:noProof/>
        </w:rPr>
        <w:footnoteReference w:id="56"/>
      </w:r>
      <w:r>
        <w:rPr>
          <w:rFonts w:ascii="Times New Roman" w:hAnsi="Times New Roman"/>
          <w:noProof/>
        </w:rPr>
        <w:t xml:space="preserve">; </w:t>
      </w:r>
    </w:p>
    <w:p>
      <w:pPr>
        <w:pStyle w:val="ListParagraph"/>
        <w:numPr>
          <w:ilvl w:val="0"/>
          <w:numId w:val="3"/>
        </w:numPr>
        <w:jc w:val="both"/>
        <w:rPr>
          <w:rFonts w:ascii="Times New Roman" w:hAnsi="Times New Roman" w:cs="Times New Roman"/>
          <w:noProof/>
        </w:rPr>
      </w:pPr>
      <w:r>
        <w:rPr>
          <w:rFonts w:ascii="Times New Roman" w:hAnsi="Times New Roman"/>
          <w:i/>
          <w:noProof/>
        </w:rPr>
        <w:t>BOMCA</w:t>
      </w:r>
      <w:r>
        <w:rPr>
          <w:rFonts w:ascii="Times New Roman" w:hAnsi="Times New Roman"/>
          <w:noProof/>
        </w:rPr>
        <w:t> 8</w:t>
      </w:r>
      <w:r>
        <w:rPr>
          <w:rStyle w:val="FootnoteReference"/>
          <w:rFonts w:ascii="Times New Roman" w:hAnsi="Times New Roman"/>
          <w:noProof/>
        </w:rPr>
        <w:footnoteReference w:id="57"/>
      </w:r>
      <w:r>
        <w:rPr>
          <w:rFonts w:ascii="Times New Roman" w:hAnsi="Times New Roman"/>
          <w:noProof/>
        </w:rPr>
        <w:t xml:space="preserve">, kas arī darbojas Vidusāzijā. </w:t>
      </w:r>
    </w:p>
    <w:p>
      <w:pPr>
        <w:jc w:val="both"/>
        <w:rPr>
          <w:rFonts w:ascii="Times New Roman" w:hAnsi="Times New Roman" w:cs="Times New Roman"/>
          <w:noProof/>
        </w:rPr>
      </w:pPr>
      <w:r>
        <w:rPr>
          <w:rFonts w:ascii="Times New Roman" w:hAnsi="Times New Roman"/>
          <w:noProof/>
        </w:rPr>
        <w:t xml:space="preserve">ES arī attīsta sadarbību ar Rietumāfriku, kur tā sniedz atbalstu </w:t>
      </w:r>
      <w:r>
        <w:rPr>
          <w:rFonts w:ascii="Times New Roman" w:hAnsi="Times New Roman"/>
          <w:i/>
          <w:noProof/>
        </w:rPr>
        <w:t>ECOWAS</w:t>
      </w:r>
      <w:r>
        <w:rPr>
          <w:rStyle w:val="FootnoteReference"/>
          <w:rFonts w:ascii="Times New Roman" w:hAnsi="Times New Roman"/>
          <w:noProof/>
        </w:rPr>
        <w:footnoteReference w:id="58"/>
      </w:r>
      <w:r>
        <w:rPr>
          <w:rFonts w:ascii="Times New Roman" w:hAnsi="Times New Roman"/>
          <w:noProof/>
        </w:rPr>
        <w:t xml:space="preserve"> reģionālā rīcības plāna īstenošanā nelikumīgas narkotisko vielu tirdzniecības, ar to saistītās organizētās noziedzības un narkotisko vielu lietošanas jomā.</w:t>
      </w:r>
    </w:p>
    <w:p>
      <w:pPr>
        <w:jc w:val="both"/>
        <w:rPr>
          <w:rFonts w:ascii="Times New Roman" w:hAnsi="Times New Roman" w:cs="Times New Roman"/>
          <w:noProof/>
        </w:rPr>
      </w:pPr>
      <w:r>
        <w:rPr>
          <w:rFonts w:ascii="Times New Roman" w:hAnsi="Times New Roman"/>
          <w:noProof/>
        </w:rPr>
        <w:t xml:space="preserve">ES jau ilgstoši atbalsta </w:t>
      </w:r>
      <w:r>
        <w:rPr>
          <w:rFonts w:ascii="Times New Roman" w:hAnsi="Times New Roman"/>
          <w:b/>
          <w:noProof/>
        </w:rPr>
        <w:t>ANO Narkotiku un noziedzības novēršanas biroja (</w:t>
      </w:r>
      <w:r>
        <w:rPr>
          <w:rFonts w:ascii="Times New Roman" w:hAnsi="Times New Roman"/>
          <w:b/>
          <w:i/>
          <w:noProof/>
        </w:rPr>
        <w:t>UNODC</w:t>
      </w:r>
      <w:r>
        <w:rPr>
          <w:rFonts w:ascii="Times New Roman" w:hAnsi="Times New Roman"/>
          <w:b/>
          <w:noProof/>
        </w:rPr>
        <w:t>) projektus un programmas</w:t>
      </w:r>
      <w:r>
        <w:rPr>
          <w:rFonts w:ascii="Times New Roman" w:hAnsi="Times New Roman"/>
          <w:noProof/>
        </w:rPr>
        <w:t>. ES, nodrošinot līdzekļus kopumā EUR 73 miljonu apmērā, finansē vairākus projektus un programmas, kas attiecas uz globālo cīņu pret narkotisko vielu nelikumīgu tirdzniecību.</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i/>
          <w:noProof/>
          <w:u w:val="single"/>
        </w:rPr>
      </w:pPr>
      <w:r>
        <w:rPr>
          <w:rFonts w:ascii="Times New Roman" w:hAnsi="Times New Roman"/>
          <w:b/>
          <w:i/>
          <w:noProof/>
          <w:u w:val="single"/>
        </w:rPr>
        <w:t>Tuvplāns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 xml:space="preserve">Sadarbību starp ES un Latīņameriku nosaka arī </w:t>
      </w:r>
      <w:r>
        <w:rPr>
          <w:rFonts w:ascii="Times New Roman" w:hAnsi="Times New Roman"/>
          <w:i/>
          <w:noProof/>
        </w:rPr>
        <w:t>COPOLAD</w:t>
      </w:r>
      <w:r>
        <w:rPr>
          <w:rFonts w:ascii="Times New Roman" w:hAnsi="Times New Roman"/>
          <w:noProof/>
        </w:rPr>
        <w:t xml:space="preserve">, reģionāla sadarbības programma narkomānijas apkarošanas politikas jomā, kuras mērķis ir uzlabot narkomānijas apkarošanas politikas līdzsvaru, saskaņotību un ietekmi Latīņamerikā, kā arī ES un </w:t>
      </w:r>
      <w:r>
        <w:rPr>
          <w:rFonts w:ascii="Times New Roman" w:hAnsi="Times New Roman"/>
          <w:i/>
          <w:noProof/>
        </w:rPr>
        <w:t>CELAC</w:t>
      </w:r>
      <w:r>
        <w:rPr>
          <w:rFonts w:ascii="Times New Roman" w:hAnsi="Times New Roman"/>
          <w:noProof/>
        </w:rPr>
        <w:t xml:space="preserve"> koordinācijas un sadarbības mehānisms narkotisko vielu jomā. Konkrētāk, tās mērķis ir stiprināt spējas un rosināt dažādus narkomānijas apkarošanas politikas izstrādes procesus Latīņamerikas valstīs. Latīņamerikas valstu narkomānijas apkarošanas aģentūras norāda, ka </w:t>
      </w:r>
      <w:r>
        <w:rPr>
          <w:rFonts w:ascii="Times New Roman" w:hAnsi="Times New Roman"/>
          <w:i/>
          <w:noProof/>
        </w:rPr>
        <w:t>COPOLAD</w:t>
      </w:r>
      <w:r>
        <w:rPr>
          <w:rFonts w:ascii="Times New Roman" w:hAnsi="Times New Roman"/>
          <w:noProof/>
        </w:rPr>
        <w:t xml:space="preserve"> ir palīdzējusi mainīt uzskatus par narkomānijas apkarošanas politiku, mainīt paradigmas, uzsvērt vajadzību pēc tādas pieejas, kurā līdzsvarota narkotisko vielu pieprasījuma un piedāvājuma mazināšana, uz pierādījumiem balstītas politikas, uz cilvēktiesību un sabiedrības veselības principiem balstītas politikas un dzimumu jautājumu apsvēršanas, kā arī palīdzējusi pieņemt kaitējuma mazināšanas pieejas, kuras agrāk tika masveidā noraidītas. </w:t>
      </w:r>
    </w:p>
    <w:p>
      <w:pPr>
        <w:jc w:val="both"/>
        <w:rPr>
          <w:rFonts w:ascii="Times New Roman" w:hAnsi="Times New Roman" w:cs="Times New Roman"/>
          <w:noProof/>
        </w:rPr>
      </w:pPr>
      <w:r>
        <w:rPr>
          <w:rFonts w:ascii="Times New Roman" w:hAnsi="Times New Roman"/>
          <w:b/>
          <w:noProof/>
        </w:rPr>
        <w:t>Alternatīvās attīstības</w:t>
      </w:r>
      <w:r>
        <w:rPr>
          <w:rFonts w:ascii="Times New Roman" w:hAnsi="Times New Roman"/>
          <w:noProof/>
        </w:rPr>
        <w:t xml:space="preserve"> mērķis ir sniegt lauksaimniekiem ekonomiski dzīvotspējīgu, likumīgu alternatīvu narkotisko augu audzēšanai. Tikai dažas ES valstis ziņoja, ka tās 2013. un 2014. gadā finansēja šādas programmas reģionos, kuros tika audzētas nelikumīgas kultūras vai kuros pastāvēja risks, ka tiks audzētas nelikumīgas kultūras</w:t>
      </w:r>
      <w:r>
        <w:rPr>
          <w:rStyle w:val="FootnoteReference"/>
          <w:rFonts w:ascii="Times New Roman" w:hAnsi="Times New Roman"/>
          <w:noProof/>
        </w:rPr>
        <w:footnoteReference w:id="59"/>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2013.–2014. gadā mazāk nekā puse ES valstu iesaistījās palīdzības sniegšanā valstīm ārpus ES, arī pilsoniskās sabiedrības organizācijām minētajās valstīs, lai tās varētu izstrādāt un īstenot </w:t>
      </w:r>
      <w:r>
        <w:rPr>
          <w:rFonts w:ascii="Times New Roman" w:hAnsi="Times New Roman"/>
          <w:b/>
          <w:noProof/>
        </w:rPr>
        <w:t>riska un kaitējuma mazināšanas iniciatīvas</w:t>
      </w:r>
      <w:r>
        <w:rPr>
          <w:rStyle w:val="FootnoteReference"/>
          <w:rFonts w:ascii="Times New Roman" w:hAnsi="Times New Roman"/>
          <w:b/>
          <w:noProof/>
        </w:rPr>
        <w:footnoteReference w:id="60"/>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Dažas ES valstis finansēja projektus un/vai programmas, kuru ietvaros 2013.–2014. gadā tika apkarota ar </w:t>
      </w:r>
      <w:r>
        <w:rPr>
          <w:rFonts w:ascii="Times New Roman" w:hAnsi="Times New Roman"/>
          <w:b/>
          <w:noProof/>
        </w:rPr>
        <w:t>narkotiskajām vielām saistīta organizētā noziedzība</w:t>
      </w:r>
      <w:r>
        <w:rPr>
          <w:rFonts w:ascii="Times New Roman" w:hAnsi="Times New Roman"/>
          <w:noProof/>
        </w:rPr>
        <w:t xml:space="preserve"> valstīs ārpus ES</w:t>
      </w:r>
      <w:r>
        <w:rPr>
          <w:rStyle w:val="FootnoteReference"/>
          <w:rFonts w:ascii="Times New Roman" w:hAnsi="Times New Roman"/>
          <w:noProof/>
        </w:rPr>
        <w:footnoteReference w:id="61"/>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 xml:space="preserve">2013. un 2014. gadā puse no visām ES dalībvalstīm noslēdza </w:t>
      </w:r>
      <w:r>
        <w:rPr>
          <w:rFonts w:ascii="Times New Roman" w:hAnsi="Times New Roman"/>
          <w:b/>
          <w:noProof/>
        </w:rPr>
        <w:t>divpusējus nolīgumus, iesaistījās sadarbības stratēģijās un/vai rīcības plānos, kas cita starpā paredzēja sadarbību narkotisko vielu jomā ar valstīm ārpus ES</w:t>
      </w:r>
      <w:r>
        <w:rPr>
          <w:rFonts w:ascii="Times New Roman" w:hAnsi="Times New Roman"/>
          <w:noProof/>
        </w:rPr>
        <w:t xml:space="preserve"> (galvenokārt ar Krieviju, Rietumbalkānu, Tuvo Austrumu un Latīņamerikas valstīm). Visbiežāk tika noslēgti tādi divpusēji sadarbības nolīgumi, kas attiecās uz koordinēšanu, narkotisko vielu pieprasījuma mazināšanu, narkotisko vielu piedāvājuma mazināšanu, informēšanu, novērtēšanu, pētniecību un uzraudzību, kā arī tādi, kas attiecās tikai uz narkotisko vielu piedāvājuma mazināšanu.</w:t>
      </w:r>
    </w:p>
    <w:p>
      <w:pPr>
        <w:pStyle w:val="ListParagraph"/>
        <w:numPr>
          <w:ilvl w:val="0"/>
          <w:numId w:val="1"/>
        </w:numPr>
        <w:rPr>
          <w:rFonts w:ascii="Times New Roman" w:hAnsi="Times New Roman" w:cs="Times New Roman"/>
          <w:b/>
          <w:noProof/>
        </w:rPr>
      </w:pPr>
      <w:r>
        <w:rPr>
          <w:rFonts w:ascii="Times New Roman" w:hAnsi="Times New Roman"/>
          <w:b/>
          <w:noProof/>
        </w:rPr>
        <w:t>Informēšana, pētniecība, uzraudzība un novērtēšana</w:t>
      </w:r>
    </w:p>
    <w:p>
      <w:pPr>
        <w:autoSpaceDE w:val="0"/>
        <w:autoSpaceDN w:val="0"/>
        <w:adjustRightInd w:val="0"/>
        <w:jc w:val="both"/>
        <w:rPr>
          <w:rFonts w:ascii="Times New Roman" w:hAnsi="Times New Roman" w:cs="Times New Roman"/>
          <w:noProof/>
        </w:rPr>
      </w:pPr>
      <w:r>
        <w:rPr>
          <w:rFonts w:ascii="Times New Roman" w:hAnsi="Times New Roman"/>
          <w:noProof/>
        </w:rPr>
        <w:t>2013. un 2014. gadā Komisija piešķīra gandrīz EUR 10 miljonus diviem ar narkotiskajām vielām saistītiem projektiem, kas tika īstenoti Septītās pētniecības pamatprogrammas sociālekonomisko zinātņu un humanitāro zinātņu programmas ietvaros. Minētie projekti bija “Atkarības un dzīvesveidi mūsdienu Eiropā” (</w:t>
      </w:r>
      <w:r>
        <w:rPr>
          <w:rFonts w:ascii="Times New Roman" w:hAnsi="Times New Roman"/>
          <w:i/>
          <w:noProof/>
        </w:rPr>
        <w:t>ALICE RAP</w:t>
      </w:r>
      <w:r>
        <w:rPr>
          <w:rFonts w:ascii="Times New Roman" w:hAnsi="Times New Roman"/>
          <w:noProof/>
        </w:rPr>
        <w:t>) un Eiropas pētniecības telpas tīkls nelikumīgo narkotisko vielu jomā (</w:t>
      </w:r>
      <w:r>
        <w:rPr>
          <w:rFonts w:ascii="Times New Roman" w:hAnsi="Times New Roman"/>
          <w:i/>
          <w:noProof/>
        </w:rPr>
        <w:t>ERANID</w:t>
      </w:r>
      <w:r>
        <w:rPr>
          <w:rFonts w:ascii="Times New Roman" w:hAnsi="Times New Roman"/>
          <w:noProof/>
        </w:rPr>
        <w:t>). Kopējais Septītās pamatprogrammas ietvaros piešķirtais atbalsts pētniecībai nelikumīgo narkotisko vielu jomā ir aptuveni EUR 60 miljoni, kas cita starpā piešķirti arī pētījumiem par injicējamo narkotisko vielu lietotājiem hepatīta slimnieku kohortā un ar HIV inficēto grūtnieču vidū, inovatīvām ārstēšanas iespējām un nelikumīgu narkotisku vielu atklāšanas tehnoloģiju uzlabošanu.</w:t>
      </w:r>
    </w:p>
    <w:p>
      <w:pPr>
        <w:autoSpaceDE w:val="0"/>
        <w:autoSpaceDN w:val="0"/>
        <w:adjustRightInd w:val="0"/>
        <w:jc w:val="both"/>
        <w:rPr>
          <w:rFonts w:ascii="Times New Roman" w:hAnsi="Times New Roman" w:cs="Times New Roman"/>
          <w:noProof/>
        </w:rPr>
      </w:pPr>
      <w:r>
        <w:rPr>
          <w:rFonts w:ascii="Times New Roman" w:hAnsi="Times New Roman"/>
          <w:noProof/>
        </w:rPr>
        <w:t>Visbeidzot, Komisija arī piešķīra pētnieciskajiem narkotisko vielu jomas projektiem finansējumu vairāk nekā EUR 1,5 miljonu apmērā no citām finanšu programmām</w:t>
      </w:r>
      <w:r>
        <w:rPr>
          <w:rStyle w:val="FootnoteReference"/>
          <w:rFonts w:ascii="Times New Roman" w:hAnsi="Times New Roman"/>
          <w:noProof/>
        </w:rPr>
        <w:footnoteReference w:id="62"/>
      </w:r>
      <w:r>
        <w:rPr>
          <w:rFonts w:ascii="Times New Roman" w:hAnsi="Times New Roman"/>
          <w:noProof/>
        </w:rPr>
        <w:t xml:space="preserve">. </w:t>
      </w:r>
    </w:p>
    <w:p>
      <w:pPr>
        <w:jc w:val="both"/>
        <w:rPr>
          <w:rFonts w:ascii="Times New Roman" w:hAnsi="Times New Roman" w:cs="Times New Roman"/>
          <w:noProof/>
        </w:rPr>
      </w:pPr>
      <w:r>
        <w:rPr>
          <w:rFonts w:ascii="Times New Roman" w:hAnsi="Times New Roman"/>
          <w:noProof/>
        </w:rPr>
        <w:t>2013.–2014. gadā ES valstīs tika veikts jauns būtisks pētījums, kas galvenokārt attiecās uz narkotisko vielu pieprasījuma mazināšanu un ar narkotisko vielu lietošanu saistītām slimībām, kuras pārnēsā ar asinīm. Nākamās biežākās izpētes tēmas bija polinarkomānija un kontrolēto recepšu zāļu nepareiza lietošana, cietumnieku narkomānija un narkotisko vielu pieprasījuma mazināšanas pasākumu un pakalpojumu pieejamība un tvērums cietumos. Dažās valstīs tika veikta izpēte par narkotisko vielu piedāvājuma mazināšanu un garīgajām un fiziskajām blakusslimībām.</w:t>
      </w:r>
    </w:p>
    <w:p>
      <w:pPr>
        <w:jc w:val="both"/>
        <w:rPr>
          <w:rFonts w:ascii="Times New Roman" w:hAnsi="Times New Roman" w:cs="Times New Roman"/>
          <w:noProof/>
          <w:highlight w:val="yellow"/>
        </w:rPr>
      </w:pPr>
      <w:r>
        <w:rPr>
          <w:rFonts w:ascii="Times New Roman" w:hAnsi="Times New Roman"/>
          <w:noProof/>
        </w:rPr>
        <w:t xml:space="preserve">2013. un 2014. gadā gandrīz visas ES valstis sāka/īstenoja iniciatīvas, kuru ietvaros notika </w:t>
      </w:r>
      <w:r>
        <w:rPr>
          <w:rFonts w:ascii="Times New Roman" w:hAnsi="Times New Roman"/>
          <w:b/>
          <w:noProof/>
        </w:rPr>
        <w:t>profesionāļu mācības</w:t>
      </w:r>
      <w:r>
        <w:rPr>
          <w:rStyle w:val="FootnoteReference"/>
          <w:rFonts w:ascii="Times New Roman" w:hAnsi="Times New Roman"/>
          <w:b/>
          <w:noProof/>
        </w:rPr>
        <w:footnoteReference w:id="63"/>
      </w:r>
      <w:r>
        <w:rPr>
          <w:rFonts w:ascii="Times New Roman" w:hAnsi="Times New Roman"/>
          <w:noProof/>
        </w:rPr>
        <w:t xml:space="preserve"> par narkotisko vielu pieprasījuma un piedāvājuma mazināšanas aspektiem. Puse valstu arī sāka vai īstenoja iniciatīvas, kuru ietvaros profesionāļi tika apmācīti datu vākšanā un ziņošanā par narkotisko vielu pieprasījuma un piedāvājuma samazinājumu. Valsts vai ES līmeņa mācību iniciatīvās tika iesaistītas arī dažas pilsoniskās sabiedrības organizācijas.</w:t>
      </w:r>
    </w:p>
    <w:p>
      <w:pPr>
        <w:pStyle w:val="ListParagraph"/>
        <w:numPr>
          <w:ilvl w:val="0"/>
          <w:numId w:val="1"/>
        </w:numPr>
        <w:jc w:val="both"/>
        <w:rPr>
          <w:rFonts w:ascii="Times New Roman" w:hAnsi="Times New Roman" w:cs="Times New Roman"/>
          <w:b/>
          <w:noProof/>
        </w:rPr>
      </w:pPr>
      <w:r>
        <w:rPr>
          <w:rFonts w:ascii="Times New Roman" w:hAnsi="Times New Roman"/>
          <w:b/>
          <w:noProof/>
        </w:rPr>
        <w:t xml:space="preserve">Secinājumi </w:t>
      </w:r>
    </w:p>
    <w:p>
      <w:pPr>
        <w:spacing w:after="0"/>
        <w:jc w:val="both"/>
        <w:rPr>
          <w:rFonts w:ascii="Times New Roman" w:hAnsi="Times New Roman" w:cs="Times New Roman"/>
          <w:noProof/>
        </w:rPr>
      </w:pPr>
      <w:r>
        <w:rPr>
          <w:rFonts w:ascii="Times New Roman" w:hAnsi="Times New Roman"/>
          <w:noProof/>
        </w:rPr>
        <w:t xml:space="preserve">Nelikumīgas narkotiskās vielas ir kompleksa sociāla problēma, kuras radītie </w:t>
      </w:r>
      <w:r>
        <w:rPr>
          <w:rFonts w:ascii="Times New Roman" w:hAnsi="Times New Roman"/>
          <w:b/>
          <w:noProof/>
        </w:rPr>
        <w:t>zaudējumi cilvēkiem un sabiedrībai ir ļoti lieli</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Narkotisko vielu nelikumīga tirdzniecība ir viena no visienesīgākajām organizētās noziedzības darbībām. ES vairākus gadus īsteno politiku, kuras mērķis ir panākt narkotisko vielu pieprasījuma un piedāvājuma līdzsvarotu samazināšanu. ES modeļa noderīgumu ir atzinušas daudzas iesaistītās personas un valstis ārpus ES. </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ES būtu jāizmanto pašreizējās attiecības un dialogi ar valstīm ārpus ES, lai dotu </w:t>
      </w:r>
      <w:r>
        <w:rPr>
          <w:rFonts w:ascii="Times New Roman" w:hAnsi="Times New Roman"/>
          <w:b/>
          <w:noProof/>
        </w:rPr>
        <w:t>jaunu impulsu sadarbībai narkotisko vielu apkarošanas jomā</w:t>
      </w:r>
      <w:r>
        <w:rPr>
          <w:rFonts w:ascii="Times New Roman" w:hAnsi="Times New Roman"/>
          <w:noProof/>
        </w:rPr>
        <w:t xml:space="preserve">. Ja ES vēlas, lai tās līdzsvarotā pieeja narkomānijai tiktu izmantota visā pasaulē, tai būs jāīsteno spēcīgāka un mērķorientētāka sadarbība ar valstīm ārpus ES un reģionālām un starptautiskām organizācijām. ES līdzdalība un atbalsts palīdzēs valstīm, kas ir ārpus ES, risināt savas ar narkotiskajām vielām saistītās problēmas, vienlaikus palīdzot samazināt narkotisko vielu piegādi uz ES. </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Jauni riski rodas nepārtraukti. Viens no šiem riskiem ir </w:t>
      </w:r>
      <w:r>
        <w:rPr>
          <w:rFonts w:ascii="Times New Roman" w:hAnsi="Times New Roman"/>
          <w:b/>
          <w:noProof/>
        </w:rPr>
        <w:t>jaunu psihoaktīvu vielu skaita pieaugums</w:t>
      </w:r>
      <w:r>
        <w:rPr>
          <w:rFonts w:ascii="Times New Roman" w:hAnsi="Times New Roman"/>
          <w:noProof/>
        </w:rPr>
        <w:t xml:space="preserve">. Eiropas Parlamentam un Padomei nu ir noteikti jāvienojas par spēcīgas un iedarbīgas tādas sistēmas ieviešanu, ar kuru var novērst jaunu psihoaktīvu vielu radītos draudus visā ES. Vienlaikus ir jācenšas uzlabot iespējas iekļaut bīstamās vielas bīstamo vielu sarakstā starptautiskā līmenī sadarbībā ar Pasaules Veselības organizāciju. </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Vēl vienu problēmu sagādā tas, ka </w:t>
      </w:r>
      <w:r>
        <w:rPr>
          <w:rFonts w:ascii="Times New Roman" w:hAnsi="Times New Roman"/>
          <w:b/>
          <w:noProof/>
        </w:rPr>
        <w:t>internetu</w:t>
      </w:r>
      <w:r>
        <w:rPr>
          <w:rFonts w:ascii="Times New Roman" w:hAnsi="Times New Roman"/>
          <w:noProof/>
        </w:rPr>
        <w:t xml:space="preserve"> aizvien vairāk </w:t>
      </w:r>
      <w:r>
        <w:rPr>
          <w:rFonts w:ascii="Times New Roman" w:hAnsi="Times New Roman"/>
          <w:b/>
          <w:noProof/>
        </w:rPr>
        <w:t>izmanto par narkotisko vielu tiešsaistes tirgu</w:t>
      </w:r>
      <w:r>
        <w:rPr>
          <w:rFonts w:ascii="Times New Roman" w:hAnsi="Times New Roman"/>
          <w:noProof/>
        </w:rPr>
        <w:t>. ES un starptautiskajai kopienai ir proaktīvi jārisina šis narkotiku problēmas jautājums, sadarbojoties ar tiesībaizsardzības un nozares pārstāvjiem, pilsonisko sabiedrību un citiem partneriem, lai rastu iedarbīgus veidus, kā novērst narkotisko vielu nelikumīgu tirdzniecību tiešsaistē.</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b/>
          <w:noProof/>
        </w:rPr>
        <w:t xml:space="preserve">Marihuāna </w:t>
      </w:r>
      <w:r>
        <w:rPr>
          <w:rFonts w:ascii="Times New Roman" w:hAnsi="Times New Roman"/>
          <w:noProof/>
        </w:rPr>
        <w:t>Eiropas Savienībā tiek plaši lietota un tirgota, un nesen parādījušies sintētiskie kanabinoīdu produkti iezīmē jaunu pavērsienu šajā tirgū. Marihuāna tiek arī aktīvi apspriesta gan starptautiskā mērogā, gan Eiropā, jo valstīs, kas ir ārpus ES, tiek ieviestas jaunas izmaiņas tiesību aktos, atļaujot marihuānu lietot izklaidei. Visticamāk, šīs debates nākotnē turpināsies un pievērsīs šim jautājumam pastiprinātu uzmanību.</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Lai gan informācijas par </w:t>
      </w:r>
      <w:r>
        <w:rPr>
          <w:rFonts w:ascii="Times New Roman" w:hAnsi="Times New Roman"/>
          <w:b/>
          <w:noProof/>
        </w:rPr>
        <w:t>publiska sektora izdevumiem ar narkotiskajām vielām saistītas politikas vajadzībām</w:t>
      </w:r>
      <w:r>
        <w:rPr>
          <w:rFonts w:ascii="Times New Roman" w:hAnsi="Times New Roman"/>
          <w:noProof/>
        </w:rPr>
        <w:t xml:space="preserve"> ES ir maz, nav šaubu, ka ekonomikas krīze ir ietekmējusi to, kā ES valstis risina šo jautājumu. </w:t>
      </w:r>
      <w:r>
        <w:rPr>
          <w:rFonts w:ascii="Times New Roman" w:hAnsi="Times New Roman"/>
          <w:i/>
          <w:noProof/>
        </w:rPr>
        <w:t>EMCDDA</w:t>
      </w:r>
      <w:r>
        <w:rPr>
          <w:rFonts w:ascii="Times New Roman" w:hAnsi="Times New Roman"/>
          <w:noProof/>
        </w:rPr>
        <w:t xml:space="preserve"> sniegtās ziņas liecina, ka vairākas ES dalībvalstis ir ziņojušas par to, ka tās samazinājušas kaitējuma mazināšanas pakalpojumu apmēru un/vai īsteno tikai maza mēroga pasākumus. Turklāt pilsoniskās sabiedrības organizācijas ir norādījušas uz narkomānijas profilaksei un ārstēšanai paredzētā valsts budžeta samazinājumiem.</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ES mērogā turpināsies </w:t>
      </w:r>
      <w:r>
        <w:rPr>
          <w:rFonts w:ascii="Times New Roman" w:hAnsi="Times New Roman"/>
          <w:b/>
          <w:noProof/>
        </w:rPr>
        <w:t>pētniecība</w:t>
      </w:r>
      <w:r>
        <w:rPr>
          <w:rFonts w:ascii="Times New Roman" w:hAnsi="Times New Roman"/>
          <w:noProof/>
        </w:rPr>
        <w:t xml:space="preserve"> narkotisko vielu jomā. ES Pētniecības un inovācijas pamatprogramma “Apvārsnis 2020” (2014–2020) un programma “Tiesiskums” (2014–2020) būs galvenie instrumenti, ar ko tiks pilnveidota ES īstenotā pētniecība šajā jomā.</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2016. gada </w:t>
      </w:r>
      <w:r>
        <w:rPr>
          <w:rFonts w:ascii="Times New Roman" w:hAnsi="Times New Roman"/>
          <w:b/>
          <w:noProof/>
        </w:rPr>
        <w:t>Apvienoto Nāciju Organizācijas Ģenerālās asamblejas speciālā sesija</w:t>
      </w:r>
      <w:r>
        <w:rPr>
          <w:rFonts w:ascii="Times New Roman" w:hAnsi="Times New Roman"/>
          <w:noProof/>
        </w:rPr>
        <w:t xml:space="preserve"> (</w:t>
      </w:r>
      <w:r>
        <w:rPr>
          <w:rFonts w:ascii="Times New Roman" w:hAnsi="Times New Roman"/>
          <w:i/>
          <w:noProof/>
        </w:rPr>
        <w:t>UNGASS</w:t>
      </w:r>
      <w:r>
        <w:rPr>
          <w:rFonts w:ascii="Times New Roman" w:hAnsi="Times New Roman"/>
          <w:noProof/>
        </w:rPr>
        <w:t xml:space="preserve">) par narkotiskajām vielām būs pagrieziena punkts tādas politikas izstrādē, kas ietekmē miljoniem cilvēku dzīvi visā pasaulē. Paraugs, ko ES popularizēs </w:t>
      </w:r>
      <w:r>
        <w:rPr>
          <w:rFonts w:ascii="Times New Roman" w:hAnsi="Times New Roman"/>
          <w:i/>
          <w:noProof/>
        </w:rPr>
        <w:t>UNGASS</w:t>
      </w:r>
      <w:r>
        <w:rPr>
          <w:rFonts w:ascii="Times New Roman" w:hAnsi="Times New Roman"/>
          <w:noProof/>
        </w:rPr>
        <w:t xml:space="preserve">, ir integrēta un līdzsvarota pieeja, kuras pamatā ir zinātniski pierādījumi. ES arī izmantos šo pasākumu, lai aicinātu izstrādāt humānāku un uz sabiedrības veselību orientētu narkomānijas apkarošanas politiku starptautiskā līmenī. Ir ļoti svarīgi, lai ES viedoklis </w:t>
      </w:r>
      <w:r>
        <w:rPr>
          <w:rFonts w:ascii="Times New Roman" w:hAnsi="Times New Roman"/>
          <w:i/>
          <w:noProof/>
        </w:rPr>
        <w:t>UNGASS</w:t>
      </w:r>
      <w:r>
        <w:rPr>
          <w:rFonts w:ascii="Times New Roman" w:hAnsi="Times New Roman"/>
          <w:noProof/>
        </w:rPr>
        <w:t xml:space="preserve"> būtu vienots.</w:t>
      </w:r>
    </w:p>
    <w:p>
      <w:pPr>
        <w:spacing w:after="0"/>
        <w:jc w:val="both"/>
        <w:rPr>
          <w:rFonts w:ascii="Times New Roman" w:hAnsi="Times New Roman" w:cs="Times New Roman"/>
          <w:noProof/>
        </w:rPr>
      </w:pPr>
    </w:p>
    <w:p>
      <w:pPr>
        <w:spacing w:after="0"/>
        <w:jc w:val="both"/>
        <w:rPr>
          <w:rFonts w:ascii="Times New Roman" w:hAnsi="Times New Roman" w:cs="Times New Roman"/>
          <w:noProof/>
        </w:rPr>
      </w:pPr>
      <w:r>
        <w:rPr>
          <w:rFonts w:ascii="Times New Roman" w:hAnsi="Times New Roman"/>
          <w:noProof/>
        </w:rPr>
        <w:t xml:space="preserve">Kā paredzēts ES Narkomānijas apkarošanas stratēģijā, Eiropas Komisija 2016. gadā veiks savas narkomānijas apkarošanas stratēģijas un rīcības plāna </w:t>
      </w:r>
      <w:r>
        <w:rPr>
          <w:rFonts w:ascii="Times New Roman" w:hAnsi="Times New Roman"/>
          <w:b/>
          <w:noProof/>
        </w:rPr>
        <w:t>vispusīgu novērtējumu</w:t>
      </w:r>
      <w:r>
        <w:rPr>
          <w:rFonts w:ascii="Times New Roman" w:hAnsi="Times New Roman"/>
          <w:noProof/>
        </w:rPr>
        <w:t>. Novērtējumā tiks aplūkota ES Narkomānijas apkarošanas stratēģijas īstenošanas ietekme gan ES, gan ārpus tās. Pamatojoties uz tā rezultātiem, Komisija nolems, vai tā iesniegs priekšlikumu jaunam 2017.–2020. gada rīcības plānam.</w:t>
      </w:r>
    </w:p>
    <w:p>
      <w:pPr>
        <w:rPr>
          <w:rFonts w:ascii="Times New Roman" w:hAnsi="Times New Roman" w:cs="Times New Roman"/>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ivia Sans Book">
    <w:altName w:val="Trivia Sans Book"/>
    <w:panose1 w:val="00000000000000000000"/>
    <w:charset w:val="00"/>
    <w:family w:val="swiss"/>
    <w:notTrueType/>
    <w:pitch w:val="default"/>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32912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sz w:val="16"/>
          <w:szCs w:val="16"/>
          <w:lang w:val="sv-SE"/>
        </w:rPr>
      </w:pPr>
      <w:r>
        <w:rPr>
          <w:rStyle w:val="FootnoteReference"/>
          <w:sz w:val="16"/>
        </w:rPr>
        <w:footnoteRef/>
      </w:r>
      <w:r>
        <w:rPr>
          <w:sz w:val="16"/>
        </w:rPr>
        <w:t xml:space="preserve"> </w:t>
      </w:r>
      <w:r>
        <w:rPr>
          <w:i/>
          <w:sz w:val="16"/>
        </w:rPr>
        <w:t>EMCDDA</w:t>
      </w:r>
      <w:r>
        <w:rPr>
          <w:sz w:val="16"/>
        </w:rPr>
        <w:t xml:space="preserve"> Eiropas ziņojums par narkotikām, 2015.</w:t>
      </w:r>
    </w:p>
  </w:footnote>
  <w:footnote w:id="2">
    <w:p>
      <w:pPr>
        <w:pStyle w:val="FootnoteText"/>
        <w:jc w:val="both"/>
        <w:rPr>
          <w:sz w:val="16"/>
          <w:szCs w:val="16"/>
          <w:lang w:val="sv-SE"/>
        </w:rPr>
      </w:pPr>
      <w:r>
        <w:rPr>
          <w:rStyle w:val="FootnoteReference"/>
          <w:sz w:val="16"/>
        </w:rPr>
        <w:footnoteRef/>
      </w:r>
      <w:r>
        <w:rPr>
          <w:sz w:val="16"/>
        </w:rPr>
        <w:t xml:space="preserve"> </w:t>
      </w:r>
      <w:r>
        <w:rPr>
          <w:i/>
          <w:sz w:val="16"/>
        </w:rPr>
        <w:t>EMCDDA</w:t>
      </w:r>
      <w:r>
        <w:rPr>
          <w:sz w:val="16"/>
        </w:rPr>
        <w:t xml:space="preserve"> ziņojumi.</w:t>
      </w:r>
    </w:p>
  </w:footnote>
  <w:footnote w:id="3">
    <w:p>
      <w:pPr>
        <w:pStyle w:val="FootnoteText"/>
        <w:jc w:val="both"/>
        <w:rPr>
          <w:sz w:val="16"/>
          <w:szCs w:val="16"/>
        </w:rPr>
      </w:pPr>
      <w:r>
        <w:rPr>
          <w:rStyle w:val="FootnoteReference"/>
          <w:sz w:val="16"/>
        </w:rPr>
        <w:footnoteRef/>
      </w:r>
      <w:r>
        <w:rPr>
          <w:sz w:val="16"/>
        </w:rPr>
        <w:t xml:space="preserve"> COM(2015) 185.</w:t>
      </w:r>
    </w:p>
  </w:footnote>
  <w:footnote w:id="4">
    <w:p>
      <w:pPr>
        <w:pStyle w:val="FootnoteText"/>
        <w:jc w:val="both"/>
        <w:rPr>
          <w:sz w:val="16"/>
          <w:szCs w:val="16"/>
        </w:rPr>
      </w:pPr>
      <w:r>
        <w:rPr>
          <w:rStyle w:val="FootnoteReference"/>
          <w:sz w:val="16"/>
        </w:rPr>
        <w:footnoteRef/>
      </w:r>
      <w:r>
        <w:rPr>
          <w:sz w:val="16"/>
        </w:rPr>
        <w:t xml:space="preserve"> </w:t>
      </w:r>
      <w:r>
        <w:rPr>
          <w:i/>
          <w:sz w:val="16"/>
        </w:rPr>
        <w:t>General Report on Europol activities 2014</w:t>
      </w:r>
      <w:r>
        <w:rPr>
          <w:sz w:val="16"/>
        </w:rPr>
        <w:t>.</w:t>
      </w:r>
    </w:p>
  </w:footnote>
  <w:footnote w:id="5">
    <w:p>
      <w:pPr>
        <w:pStyle w:val="FootnoteText"/>
        <w:jc w:val="both"/>
        <w:rPr>
          <w:sz w:val="16"/>
          <w:szCs w:val="16"/>
        </w:rPr>
      </w:pPr>
      <w:r>
        <w:rPr>
          <w:rStyle w:val="FootnoteReference"/>
          <w:sz w:val="16"/>
        </w:rPr>
        <w:footnoteRef/>
      </w:r>
      <w:r>
        <w:rPr>
          <w:sz w:val="16"/>
        </w:rPr>
        <w:t xml:space="preserve"> </w:t>
      </w:r>
      <w:r>
        <w:rPr>
          <w:i/>
          <w:sz w:val="16"/>
        </w:rPr>
        <w:t>Interim SOCTA 2015: An Update on Serious and Organised Crime in the EU, Europol, March 2015</w:t>
      </w:r>
      <w:r>
        <w:rPr>
          <w:sz w:val="16"/>
        </w:rPr>
        <w:t>.</w:t>
      </w:r>
    </w:p>
  </w:footnote>
  <w:footnote w:id="6">
    <w:p>
      <w:pPr>
        <w:pStyle w:val="FootnoteText"/>
        <w:jc w:val="both"/>
        <w:rPr>
          <w:sz w:val="16"/>
          <w:szCs w:val="16"/>
        </w:rPr>
      </w:pPr>
      <w:r>
        <w:rPr>
          <w:rStyle w:val="FootnoteReference"/>
          <w:sz w:val="16"/>
        </w:rPr>
        <w:footnoteRef/>
      </w:r>
      <w:r>
        <w:rPr>
          <w:sz w:val="16"/>
        </w:rPr>
        <w:t xml:space="preserve"> </w:t>
      </w:r>
      <w:r>
        <w:rPr>
          <w:i/>
          <w:sz w:val="16"/>
        </w:rPr>
        <w:t>EMCDDA and Europol joint report: EU Drugs Market Report: a strategic analysis, 2013</w:t>
      </w:r>
      <w:r>
        <w:rPr>
          <w:sz w:val="16"/>
        </w:rPr>
        <w:t>.</w:t>
      </w:r>
    </w:p>
  </w:footnote>
  <w:footnote w:id="7">
    <w:p>
      <w:pPr>
        <w:pStyle w:val="FootnoteText"/>
        <w:jc w:val="both"/>
        <w:rPr>
          <w:sz w:val="16"/>
          <w:szCs w:val="16"/>
        </w:rPr>
      </w:pPr>
      <w:r>
        <w:rPr>
          <w:rStyle w:val="FootnoteReference"/>
          <w:sz w:val="16"/>
        </w:rPr>
        <w:footnoteRef/>
      </w:r>
      <w:r>
        <w:rPr>
          <w:sz w:val="16"/>
        </w:rPr>
        <w:t xml:space="preserve"> </w:t>
      </w:r>
      <w:r>
        <w:rPr>
          <w:i/>
          <w:sz w:val="16"/>
        </w:rPr>
        <w:t>United Nations Office on Drugs and Crime (UNODC), World Drug report 2015</w:t>
      </w:r>
      <w:r>
        <w:rPr>
          <w:sz w:val="16"/>
        </w:rPr>
        <w:t>.</w:t>
      </w:r>
    </w:p>
  </w:footnote>
  <w:footnote w:id="8">
    <w:p>
      <w:pPr>
        <w:pStyle w:val="FootnoteText"/>
        <w:jc w:val="both"/>
        <w:rPr>
          <w:sz w:val="18"/>
          <w:szCs w:val="18"/>
        </w:rPr>
      </w:pPr>
      <w:r>
        <w:rPr>
          <w:rStyle w:val="FootnoteReference"/>
          <w:sz w:val="16"/>
        </w:rPr>
        <w:footnoteRef/>
      </w:r>
      <w:r>
        <w:rPr>
          <w:sz w:val="16"/>
        </w:rPr>
        <w:t xml:space="preserve"> 1961. gada Vienotā konvencija par narkotiskajām vielām, 1971. gada Konvencija par psihotropajām vielām un 1988. gada Konvencija pret narkotisko un psihotropo vielu nelegālu apriti.</w:t>
      </w:r>
    </w:p>
  </w:footnote>
  <w:footnote w:id="9">
    <w:p>
      <w:pPr>
        <w:pStyle w:val="FootnoteText"/>
        <w:jc w:val="both"/>
        <w:rPr>
          <w:sz w:val="16"/>
          <w:szCs w:val="16"/>
        </w:rPr>
      </w:pPr>
      <w:r>
        <w:rPr>
          <w:rStyle w:val="FootnoteReference"/>
          <w:sz w:val="16"/>
        </w:rPr>
        <w:footnoteRef/>
      </w:r>
      <w:r>
        <w:rPr>
          <w:sz w:val="16"/>
        </w:rPr>
        <w:t xml:space="preserve"> OV C 402, 29.12.2012., 1. lpp. </w:t>
      </w:r>
    </w:p>
  </w:footnote>
  <w:footnote w:id="10">
    <w:p>
      <w:pPr>
        <w:pStyle w:val="FootnoteText"/>
        <w:jc w:val="both"/>
        <w:rPr>
          <w:sz w:val="16"/>
          <w:szCs w:val="16"/>
        </w:rPr>
      </w:pPr>
      <w:r>
        <w:rPr>
          <w:rStyle w:val="FootnoteReference"/>
          <w:sz w:val="16"/>
        </w:rPr>
        <w:footnoteRef/>
      </w:r>
      <w:r>
        <w:rPr>
          <w:sz w:val="16"/>
        </w:rPr>
        <w:t xml:space="preserve"> OV C 351, 30.11.2013., 1. lpp.</w:t>
      </w:r>
    </w:p>
  </w:footnote>
  <w:footnote w:id="11">
    <w:p>
      <w:pPr>
        <w:pStyle w:val="FootnoteText"/>
        <w:jc w:val="both"/>
        <w:rPr>
          <w:sz w:val="16"/>
          <w:szCs w:val="16"/>
        </w:rPr>
      </w:pPr>
      <w:r>
        <w:rPr>
          <w:rStyle w:val="FootnoteReference"/>
          <w:sz w:val="16"/>
        </w:rPr>
        <w:footnoteRef/>
      </w:r>
      <w:r>
        <w:rPr>
          <w:sz w:val="16"/>
        </w:rPr>
        <w:t xml:space="preserve"> Ziņojumā izmantoti arī rezultāti, kas gūti Padomes prezidentvalsts 2015. gada aprīlī veiktā dalībvalstu apsekojumā par zāļu nepareizas lietošanas un zāļu atkarības jautājumu. Lai gan minētais apsekojums neiekļaujas 2013.–2014. gada periodā, tā rezultāti ir izmantoti šajā ziņojumā, jo tie atspoguļo pašreizējo situāciju dalībvalstīs attiecībā uz ES Narkomānijas apkarošanas rīcības plāna 4. un 50. darbību. Šis situācijas atspoguļojums attiecas arī uz 2013.–2014. gadu.</w:t>
      </w:r>
    </w:p>
  </w:footnote>
  <w:footnote w:id="12">
    <w:p>
      <w:pPr>
        <w:pStyle w:val="FootnoteText"/>
        <w:jc w:val="both"/>
        <w:rPr>
          <w:sz w:val="16"/>
          <w:szCs w:val="16"/>
        </w:rPr>
      </w:pPr>
      <w:r>
        <w:rPr>
          <w:rStyle w:val="FootnoteReference"/>
          <w:sz w:val="16"/>
        </w:rPr>
        <w:footnoteRef/>
      </w:r>
      <w:r>
        <w:rPr>
          <w:sz w:val="16"/>
        </w:rPr>
        <w:t xml:space="preserve"> Apsekojumā piedalījās visas dalībvalstis.</w:t>
      </w:r>
    </w:p>
  </w:footnote>
  <w:footnote w:id="13">
    <w:p>
      <w:pPr>
        <w:pStyle w:val="FootnoteText"/>
        <w:jc w:val="both"/>
        <w:rPr>
          <w:sz w:val="16"/>
          <w:szCs w:val="16"/>
        </w:rPr>
      </w:pPr>
      <w:r>
        <w:rPr>
          <w:rStyle w:val="FootnoteReference"/>
          <w:sz w:val="16"/>
        </w:rPr>
        <w:footnoteRef/>
      </w:r>
      <w:r>
        <w:rPr>
          <w:sz w:val="16"/>
        </w:rPr>
        <w:t xml:space="preserve"> Anketu aizpildīja organizācijas no Francijas, Grieķijas, Itālijas, Lietuvas, Luksemburgas, Nīderlandes, Portugāles, Slovēnijas, Spānijas, Ungārijas un Zviedrijas. Dažas no šīm organizācijām ir tīkla/jumta organizācijas, kas pārstāv vairākas citas šīs jomas organizācijas no tās pašas vai citām valstīm.</w:t>
      </w:r>
    </w:p>
  </w:footnote>
  <w:footnote w:id="14">
    <w:p>
      <w:pPr>
        <w:pStyle w:val="FootnoteText"/>
        <w:jc w:val="both"/>
        <w:rPr>
          <w:sz w:val="16"/>
          <w:szCs w:val="16"/>
        </w:rPr>
      </w:pPr>
      <w:r>
        <w:rPr>
          <w:rStyle w:val="FootnoteReference"/>
          <w:sz w:val="16"/>
        </w:rPr>
        <w:footnoteRef/>
      </w:r>
      <w:r>
        <w:rPr>
          <w:sz w:val="16"/>
        </w:rPr>
        <w:t xml:space="preserve"> </w:t>
      </w:r>
      <w:r>
        <w:rPr>
          <w:i/>
          <w:sz w:val="16"/>
        </w:rPr>
        <w:t>2014 Flash Eurobarometer 401 “Young people and drugs”</w:t>
      </w:r>
      <w:r>
        <w:rPr>
          <w:sz w:val="16"/>
        </w:rPr>
        <w:t>.</w:t>
      </w:r>
    </w:p>
  </w:footnote>
  <w:footnote w:id="15">
    <w:p>
      <w:pPr>
        <w:pStyle w:val="FootnoteText"/>
        <w:jc w:val="both"/>
        <w:rPr>
          <w:sz w:val="16"/>
          <w:szCs w:val="16"/>
        </w:rPr>
      </w:pPr>
      <w:r>
        <w:rPr>
          <w:rStyle w:val="FootnoteReference"/>
          <w:sz w:val="16"/>
        </w:rPr>
        <w:footnoteRef/>
      </w:r>
      <w:r>
        <w:rPr>
          <w:sz w:val="16"/>
        </w:rPr>
        <w:t xml:space="preserve"> http://www.emcdda.europa.eu/data/2014</w:t>
      </w:r>
    </w:p>
  </w:footnote>
  <w:footnote w:id="16">
    <w:p>
      <w:pPr>
        <w:pStyle w:val="FootnoteText"/>
        <w:jc w:val="both"/>
        <w:rPr>
          <w:sz w:val="16"/>
          <w:szCs w:val="16"/>
        </w:rPr>
      </w:pPr>
      <w:r>
        <w:rPr>
          <w:rStyle w:val="FootnoteReference"/>
          <w:sz w:val="16"/>
        </w:rPr>
        <w:footnoteRef/>
      </w:r>
      <w:r>
        <w:rPr>
          <w:sz w:val="16"/>
        </w:rPr>
        <w:t xml:space="preserve"> </w:t>
      </w:r>
      <w:r>
        <w:rPr>
          <w:i/>
          <w:sz w:val="16"/>
        </w:rPr>
        <w:t>EMCDDA</w:t>
      </w:r>
      <w:r>
        <w:rPr>
          <w:sz w:val="16"/>
        </w:rPr>
        <w:t xml:space="preserve"> ziņojumi. </w:t>
      </w:r>
    </w:p>
  </w:footnote>
  <w:footnote w:id="17">
    <w:p>
      <w:pPr>
        <w:pStyle w:val="FootnoteText"/>
        <w:jc w:val="both"/>
      </w:pPr>
      <w:r>
        <w:rPr>
          <w:rStyle w:val="FootnoteReference"/>
          <w:sz w:val="16"/>
        </w:rPr>
        <w:footnoteRef/>
      </w:r>
      <w:r>
        <w:rPr>
          <w:sz w:val="16"/>
        </w:rPr>
        <w:t xml:space="preserve"> Kaitīgu vielu lietošana iekļauj alkohola, tabakas un narkotisko vielu lietošanu. </w:t>
      </w:r>
      <w:r>
        <w:rPr>
          <w:i/>
          <w:sz w:val="16"/>
        </w:rPr>
        <w:t>EMCDDA</w:t>
      </w:r>
      <w:r>
        <w:rPr>
          <w:sz w:val="16"/>
        </w:rPr>
        <w:t xml:space="preserve"> sniegtā informācija.</w:t>
      </w:r>
    </w:p>
  </w:footnote>
  <w:footnote w:id="18">
    <w:p>
      <w:pPr>
        <w:pStyle w:val="FootnoteText"/>
        <w:jc w:val="both"/>
        <w:rPr>
          <w:sz w:val="16"/>
          <w:szCs w:val="16"/>
        </w:rPr>
      </w:pPr>
      <w:r>
        <w:rPr>
          <w:rStyle w:val="FootnoteReference"/>
          <w:sz w:val="16"/>
        </w:rPr>
        <w:footnoteRef/>
      </w:r>
      <w:r>
        <w:rPr>
          <w:sz w:val="16"/>
        </w:rPr>
        <w:t xml:space="preserve"> “Selektīvas profilakses” stratēģijas ir paredzētas visa iedzīvotāju kopuma apakšgrupām, kas uzskatāmas par pakļautām kaitīgu vielu lietošanas riskam, jo to locekļi pieder noteiktam iedzīvotāju kopuma segmentam, piemēram, tie ir gados jauni likumpārkāpēji, personas, kas priekšlaikus pārtraukusi mācības, vai skolēni ar sliktiem mācību rezultātiem. Riska grupas var noteikt pēc sociāliem, demogrāfiskiem vai vides riska faktoriem, kas uzskatāmi par saistītiem ar kaitīgu vielu lietošanu, un mērķa apakšgrupas var noteikt pēc vecuma, dzimuma, ģimenes vēstures vai dzīvesvietas, piemēram, trūcīgiem rajoniem vai rajoniem ar augstu narkotisko vielu lietošanas vai tirdzniecības līmeni.</w:t>
      </w:r>
    </w:p>
  </w:footnote>
  <w:footnote w:id="19">
    <w:p>
      <w:pPr>
        <w:pStyle w:val="FootnoteText"/>
        <w:jc w:val="both"/>
        <w:rPr>
          <w:sz w:val="16"/>
          <w:szCs w:val="16"/>
        </w:rPr>
      </w:pPr>
      <w:r>
        <w:rPr>
          <w:rStyle w:val="FootnoteReference"/>
          <w:sz w:val="16"/>
        </w:rPr>
        <w:footnoteRef/>
      </w:r>
      <w:r>
        <w:rPr>
          <w:sz w:val="16"/>
        </w:rPr>
        <w:t xml:space="preserve"> “Indikatīvā profilakse” ir paredzēta neaizsargātām personām un palīdz tām sadzīvot un tikt galā ar savām rakstura īpatnībām, kuru dēļ tās padara neaizsargātākas pret kārdinājumu lietot narkotiskās vielas.</w:t>
      </w:r>
    </w:p>
  </w:footnote>
  <w:footnote w:id="20">
    <w:p>
      <w:pPr>
        <w:pStyle w:val="FootnoteText"/>
        <w:jc w:val="both"/>
        <w:rPr>
          <w:sz w:val="16"/>
          <w:szCs w:val="16"/>
        </w:rPr>
      </w:pPr>
      <w:r>
        <w:rPr>
          <w:rStyle w:val="FootnoteReference"/>
          <w:sz w:val="16"/>
        </w:rPr>
        <w:footnoteRef/>
      </w:r>
      <w:r>
        <w:rPr>
          <w:sz w:val="16"/>
        </w:rPr>
        <w:t xml:space="preserve"> Benzodiazepīni ir bieži izrakstītu zāļu grupa, kurai ir plašs klīnisko lietojumu spektrs, tos cita starpā izmanto trauksmes un bezmiega ārstēšanā un alkohola abstinences pārvaldībā. Šādu zāļu piemēri: diazepāms, klonazepāms, alprazolāms un oksazepāms.</w:t>
      </w:r>
    </w:p>
  </w:footnote>
  <w:footnote w:id="21">
    <w:p>
      <w:pPr>
        <w:pStyle w:val="FootnoteText"/>
        <w:jc w:val="both"/>
        <w:rPr>
          <w:sz w:val="16"/>
          <w:szCs w:val="16"/>
        </w:rPr>
      </w:pPr>
      <w:r>
        <w:rPr>
          <w:rStyle w:val="FootnoteReference"/>
          <w:sz w:val="16"/>
        </w:rPr>
        <w:footnoteRef/>
      </w:r>
      <w:r>
        <w:rPr>
          <w:sz w:val="16"/>
        </w:rPr>
        <w:t xml:space="preserve"> </w:t>
      </w:r>
      <w:hyperlink r:id="rId1">
        <w:r>
          <w:rPr>
            <w:rStyle w:val="Hyperlink"/>
            <w:i/>
            <w:sz w:val="16"/>
          </w:rPr>
          <w:t>The misuse of benzodiazepines among high-risk opioid users in Europe. Report by EMCDDA, 2015</w:t>
        </w:r>
        <w:r>
          <w:rPr>
            <w:rStyle w:val="Hyperlink"/>
            <w:sz w:val="16"/>
          </w:rPr>
          <w:t>.</w:t>
        </w:r>
      </w:hyperlink>
    </w:p>
  </w:footnote>
  <w:footnote w:id="22">
    <w:p>
      <w:pPr>
        <w:pStyle w:val="FootnoteText"/>
        <w:jc w:val="both"/>
        <w:rPr>
          <w:sz w:val="16"/>
          <w:szCs w:val="16"/>
        </w:rPr>
      </w:pPr>
      <w:r>
        <w:rPr>
          <w:rStyle w:val="FootnoteReference"/>
          <w:sz w:val="16"/>
        </w:rPr>
        <w:footnoteRef/>
      </w:r>
      <w:r>
        <w:rPr>
          <w:sz w:val="16"/>
        </w:rPr>
        <w:t xml:space="preserve"> Recepšu un attiecīgā gadījumā bezrecepšu zāles.</w:t>
      </w:r>
    </w:p>
  </w:footnote>
  <w:footnote w:id="23">
    <w:p>
      <w:pPr>
        <w:pStyle w:val="FootnoteText"/>
        <w:jc w:val="both"/>
      </w:pPr>
      <w:r>
        <w:rPr>
          <w:rStyle w:val="FootnoteReference"/>
          <w:sz w:val="16"/>
        </w:rPr>
        <w:footnoteRef/>
      </w:r>
      <w:r>
        <w:rPr>
          <w:sz w:val="16"/>
        </w:rPr>
        <w:t xml:space="preserve"> Saskaņā ar ES Narkomānijas apkarošanas rīcības plāna 5. darbību. Sīkāka informācija ir pieejama arī ziņojumam pievienotajā Komisijas dienestu darba dokumentā.</w:t>
      </w:r>
    </w:p>
  </w:footnote>
  <w:footnote w:id="24">
    <w:p>
      <w:pPr>
        <w:spacing w:after="0"/>
        <w:jc w:val="both"/>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Ambulatorais pacients ir pacients, kas nav hospitalizēts uz 24 stundām vai ilgāk, bet kas apmeklē slimnīcu, klīniku vai tamlīdzīgu iestādi, kur tam veic diagnostiku vai ārstēšanu. </w:t>
      </w:r>
      <w:r>
        <w:rPr>
          <w:rFonts w:ascii="Times New Roman" w:hAnsi="Times New Roman"/>
          <w:i/>
          <w:sz w:val="16"/>
        </w:rPr>
        <w:t>EMCDDA</w:t>
      </w:r>
      <w:r>
        <w:rPr>
          <w:rFonts w:ascii="Times New Roman" w:hAnsi="Times New Roman"/>
          <w:sz w:val="16"/>
        </w:rPr>
        <w:t xml:space="preserve"> ziņotie dati.</w:t>
      </w:r>
    </w:p>
  </w:footnote>
  <w:footnote w:id="25">
    <w:p>
      <w:pPr>
        <w:pStyle w:val="FootnoteText"/>
        <w:jc w:val="both"/>
        <w:rPr>
          <w:sz w:val="16"/>
          <w:szCs w:val="16"/>
        </w:rPr>
      </w:pPr>
      <w:r>
        <w:rPr>
          <w:rStyle w:val="FootnoteReference"/>
          <w:sz w:val="16"/>
        </w:rPr>
        <w:footnoteRef/>
      </w:r>
      <w:r>
        <w:rPr>
          <w:sz w:val="16"/>
        </w:rPr>
        <w:t xml:space="preserve"> Tas ir tāpēc, ka daudzās valstīs specializēti centri var izrakstīt opioīdu aizstājējterapiju. </w:t>
      </w:r>
      <w:r>
        <w:rPr>
          <w:i/>
          <w:sz w:val="16"/>
        </w:rPr>
        <w:t xml:space="preserve">EMCDDA </w:t>
      </w:r>
      <w:r>
        <w:rPr>
          <w:sz w:val="16"/>
        </w:rPr>
        <w:t>ziņotā informācija.</w:t>
      </w:r>
    </w:p>
  </w:footnote>
  <w:footnote w:id="26">
    <w:p>
      <w:pPr>
        <w:pStyle w:val="FootnoteText"/>
        <w:jc w:val="both"/>
        <w:rPr>
          <w:sz w:val="16"/>
          <w:szCs w:val="16"/>
        </w:rPr>
      </w:pPr>
      <w:r>
        <w:rPr>
          <w:rStyle w:val="FootnoteReference"/>
          <w:sz w:val="16"/>
        </w:rPr>
        <w:footnoteRef/>
      </w:r>
      <w:r>
        <w:rPr>
          <w:sz w:val="16"/>
        </w:rPr>
        <w:t xml:space="preserve"> Tā norādīts ziņojumā </w:t>
      </w:r>
      <w:hyperlink r:id="rId2">
        <w:r>
          <w:rPr>
            <w:rStyle w:val="Hyperlink"/>
            <w:i/>
            <w:sz w:val="16"/>
          </w:rPr>
          <w:t>Report on the current state of play of the 2003 Council Recommendation on the prevention and reduction of health-related harm, associated with drug dependence, in the EU and candidate countries</w:t>
        </w:r>
      </w:hyperlink>
      <w:r>
        <w:rPr>
          <w:i/>
          <w:sz w:val="16"/>
        </w:rPr>
        <w:t>, Gesundheit Oesterreich &amp; Sogeti, 2013</w:t>
      </w:r>
      <w:r>
        <w:t>.</w:t>
      </w:r>
    </w:p>
  </w:footnote>
  <w:footnote w:id="27">
    <w:p>
      <w:pPr>
        <w:pStyle w:val="FootnoteText"/>
        <w:jc w:val="both"/>
        <w:rPr>
          <w:sz w:val="16"/>
          <w:szCs w:val="16"/>
        </w:rPr>
      </w:pPr>
      <w:r>
        <w:rPr>
          <w:rStyle w:val="FootnoteReference"/>
          <w:sz w:val="16"/>
        </w:rPr>
        <w:footnoteRef/>
      </w:r>
      <w:r>
        <w:rPr>
          <w:sz w:val="16"/>
        </w:rPr>
        <w:t xml:space="preserve"> “Mazprasīgas” programmas ir programmas, kurās pacientiem tiek izvirzītas ļoti mazas prasības un kurās tiem tiek piedāvāti pakalpojumi, necenšoties kontrolēt, kā tie lieto narkotiskās vielas, un piedāvājot konsultācijas tikai pēc pieprasījuma.</w:t>
      </w:r>
    </w:p>
  </w:footnote>
  <w:footnote w:id="28">
    <w:p>
      <w:pPr>
        <w:pStyle w:val="FootnoteText"/>
        <w:jc w:val="both"/>
        <w:rPr>
          <w:sz w:val="16"/>
          <w:szCs w:val="16"/>
        </w:rPr>
      </w:pPr>
      <w:r>
        <w:rPr>
          <w:rStyle w:val="FootnoteReference"/>
          <w:sz w:val="16"/>
        </w:rPr>
        <w:footnoteRef/>
      </w:r>
      <w:r>
        <w:rPr>
          <w:sz w:val="16"/>
        </w:rPr>
        <w:t xml:space="preserve"> Skatīt 26. zemsvītras piezīmi.</w:t>
      </w:r>
    </w:p>
  </w:footnote>
  <w:footnote w:id="29">
    <w:p>
      <w:pPr>
        <w:pStyle w:val="FootnoteText"/>
        <w:jc w:val="both"/>
      </w:pPr>
      <w:r>
        <w:rPr>
          <w:rStyle w:val="FootnoteReference"/>
          <w:sz w:val="16"/>
        </w:rPr>
        <w:footnoteRef/>
      </w:r>
      <w:r>
        <w:rPr>
          <w:sz w:val="16"/>
        </w:rPr>
        <w:t xml:space="preserve"> </w:t>
      </w:r>
      <w:r>
        <w:rPr>
          <w:i/>
          <w:sz w:val="16"/>
        </w:rPr>
        <w:t>EMCDDA</w:t>
      </w:r>
      <w:r>
        <w:rPr>
          <w:sz w:val="16"/>
        </w:rPr>
        <w:t xml:space="preserve"> ziņojumi.</w:t>
      </w:r>
    </w:p>
  </w:footnote>
  <w:footnote w:id="30">
    <w:p>
      <w:pPr>
        <w:pStyle w:val="FootnoteText"/>
        <w:jc w:val="both"/>
        <w:rPr>
          <w:sz w:val="16"/>
          <w:szCs w:val="16"/>
        </w:rPr>
      </w:pPr>
      <w:r>
        <w:rPr>
          <w:rStyle w:val="FootnoteReference"/>
          <w:sz w:val="16"/>
          <w:szCs w:val="16"/>
        </w:rPr>
        <w:footnoteRef/>
      </w:r>
      <w:r>
        <w:rPr>
          <w:sz w:val="16"/>
          <w:szCs w:val="16"/>
        </w:rPr>
        <w:t xml:space="preserve"> Atbildes uz anketas jautājumiem un dati no EMCDDA ziņojuma </w:t>
      </w:r>
      <w:hyperlink r:id="rId3">
        <w:r>
          <w:rPr>
            <w:rStyle w:val="Hyperlink"/>
            <w:i/>
            <w:sz w:val="16"/>
            <w:szCs w:val="16"/>
          </w:rPr>
          <w:t>Perspectives on drugs. Drug consumption rooms: an overview of provision and evidence</w:t>
        </w:r>
      </w:hyperlink>
      <w:r>
        <w:rPr>
          <w:sz w:val="16"/>
          <w:szCs w:val="16"/>
        </w:rPr>
        <w:t>, 2015.</w:t>
      </w:r>
    </w:p>
  </w:footnote>
  <w:footnote w:id="31">
    <w:p>
      <w:pPr>
        <w:pStyle w:val="FootnoteText"/>
        <w:jc w:val="both"/>
        <w:rPr>
          <w:sz w:val="16"/>
          <w:szCs w:val="16"/>
        </w:rPr>
      </w:pPr>
      <w:r>
        <w:rPr>
          <w:rStyle w:val="FootnoteReference"/>
          <w:sz w:val="16"/>
        </w:rPr>
        <w:footnoteRef/>
      </w:r>
      <w:r>
        <w:rPr>
          <w:sz w:val="16"/>
        </w:rPr>
        <w:t xml:space="preserve"> Naloksons ir narkotiskā viela, ar ko nomāc opioīdu ietekmi, jo īpaši tad, ja tie pārdozēti. </w:t>
      </w:r>
      <w:r>
        <w:rPr>
          <w:i/>
          <w:sz w:val="16"/>
        </w:rPr>
        <w:t>EMCDDA</w:t>
      </w:r>
      <w:r>
        <w:rPr>
          <w:sz w:val="16"/>
        </w:rPr>
        <w:t xml:space="preserve"> ziņo, ka dažas naloksona programmas ir nelielas un to termiņš ir ierobežots. Vienā valstī naloksona izdales programmas tiek nodrošinātas augsta riska lietotājiem kopienā un bijušajiem ieslodzītajiem pēc to atbrīvošanas no ieslodzījuma.</w:t>
      </w:r>
    </w:p>
  </w:footnote>
  <w:footnote w:id="32">
    <w:p>
      <w:pPr>
        <w:pStyle w:val="FootnoteText"/>
        <w:jc w:val="both"/>
        <w:rPr>
          <w:sz w:val="16"/>
          <w:szCs w:val="16"/>
        </w:rPr>
      </w:pPr>
      <w:r>
        <w:rPr>
          <w:rStyle w:val="FootnoteReference"/>
          <w:sz w:val="16"/>
        </w:rPr>
        <w:footnoteRef/>
      </w:r>
      <w:r>
        <w:rPr>
          <w:sz w:val="16"/>
        </w:rPr>
        <w:t xml:space="preserve"> </w:t>
      </w:r>
      <w:r>
        <w:rPr>
          <w:i/>
          <w:sz w:val="16"/>
        </w:rPr>
        <w:t>EMCDDA</w:t>
      </w:r>
      <w:r>
        <w:rPr>
          <w:sz w:val="16"/>
        </w:rPr>
        <w:t xml:space="preserve"> ziņojumi.</w:t>
      </w:r>
    </w:p>
  </w:footnote>
  <w:footnote w:id="33">
    <w:p>
      <w:pPr>
        <w:pStyle w:val="FootnoteText"/>
        <w:jc w:val="both"/>
        <w:rPr>
          <w:sz w:val="16"/>
          <w:szCs w:val="16"/>
        </w:rPr>
      </w:pPr>
      <w:r>
        <w:rPr>
          <w:rStyle w:val="FootnoteReference"/>
          <w:sz w:val="16"/>
        </w:rPr>
        <w:footnoteRef/>
      </w:r>
      <w:r>
        <w:rPr>
          <w:sz w:val="16"/>
        </w:rPr>
        <w:t xml:space="preserve"> </w:t>
      </w:r>
      <w:r>
        <w:rPr>
          <w:i/>
          <w:sz w:val="16"/>
        </w:rPr>
        <w:t>EMCDDA</w:t>
      </w:r>
      <w:r>
        <w:rPr>
          <w:sz w:val="16"/>
        </w:rPr>
        <w:t xml:space="preserve"> 2015. gada ziņojums par narkotiskajām vielām.</w:t>
      </w:r>
    </w:p>
  </w:footnote>
  <w:footnote w:id="34">
    <w:p>
      <w:pPr>
        <w:pStyle w:val="FootnoteText"/>
        <w:jc w:val="both"/>
        <w:rPr>
          <w:sz w:val="16"/>
          <w:szCs w:val="16"/>
        </w:rPr>
      </w:pPr>
      <w:r>
        <w:rPr>
          <w:rStyle w:val="FootnoteReference"/>
          <w:sz w:val="16"/>
        </w:rPr>
        <w:footnoteRef/>
      </w:r>
      <w:r>
        <w:rPr>
          <w:sz w:val="16"/>
        </w:rPr>
        <w:t xml:space="preserve"> Tomēr dažās valstīs šādi pasākumi tiek īstenoti tikai dažos cietumos.</w:t>
      </w:r>
    </w:p>
  </w:footnote>
  <w:footnote w:id="35">
    <w:p>
      <w:pPr>
        <w:pStyle w:val="FootnoteText"/>
        <w:jc w:val="both"/>
        <w:rPr>
          <w:sz w:val="16"/>
          <w:szCs w:val="16"/>
        </w:rPr>
      </w:pPr>
      <w:r>
        <w:rPr>
          <w:rStyle w:val="FootnoteReference"/>
          <w:sz w:val="16"/>
        </w:rPr>
        <w:footnoteRef/>
      </w:r>
      <w:r>
        <w:rPr>
          <w:sz w:val="16"/>
        </w:rPr>
        <w:t xml:space="preserve">Saskaņā ar </w:t>
      </w:r>
      <w:r>
        <w:rPr>
          <w:i/>
          <w:sz w:val="16"/>
        </w:rPr>
        <w:t>EMCDDA</w:t>
      </w:r>
      <w:r>
        <w:rPr>
          <w:sz w:val="16"/>
        </w:rPr>
        <w:t xml:space="preserve"> informāciju. </w:t>
      </w:r>
    </w:p>
  </w:footnote>
  <w:footnote w:id="36">
    <w:p>
      <w:pPr>
        <w:pStyle w:val="FootnoteText"/>
      </w:pPr>
      <w:r>
        <w:rPr>
          <w:rStyle w:val="FootnoteReference"/>
        </w:rPr>
        <w:footnoteRef/>
      </w:r>
      <w:r>
        <w:t xml:space="preserve"> </w:t>
      </w:r>
      <w:r>
        <w:rPr>
          <w:i/>
          <w:sz w:val="16"/>
        </w:rPr>
        <w:t>EMCDDA</w:t>
      </w:r>
      <w:r>
        <w:rPr>
          <w:sz w:val="16"/>
        </w:rPr>
        <w:t xml:space="preserve"> ziņojumi.</w:t>
      </w:r>
    </w:p>
  </w:footnote>
  <w:footnote w:id="37">
    <w:p>
      <w:pPr>
        <w:pStyle w:val="FootnoteText"/>
      </w:pPr>
      <w:r>
        <w:rPr>
          <w:rStyle w:val="FootnoteReference"/>
        </w:rPr>
        <w:footnoteRef/>
      </w:r>
      <w:r>
        <w:t xml:space="preserve"> </w:t>
      </w:r>
      <w:r>
        <w:rPr>
          <w:sz w:val="16"/>
        </w:rPr>
        <w:t>Eiropola ziņojumi.</w:t>
      </w:r>
    </w:p>
  </w:footnote>
  <w:footnote w:id="38">
    <w:p>
      <w:pPr>
        <w:pStyle w:val="FootnoteText"/>
        <w:jc w:val="both"/>
        <w:rPr>
          <w:sz w:val="16"/>
          <w:szCs w:val="16"/>
        </w:rPr>
      </w:pPr>
      <w:r>
        <w:rPr>
          <w:rStyle w:val="FootnoteReference"/>
          <w:sz w:val="16"/>
        </w:rPr>
        <w:footnoteRef/>
      </w:r>
      <w:r>
        <w:rPr>
          <w:sz w:val="16"/>
        </w:rPr>
        <w:t xml:space="preserve"> Skatīt 4. zemsvītras piezīmi.</w:t>
      </w:r>
    </w:p>
  </w:footnote>
  <w:footnote w:id="39">
    <w:p>
      <w:pPr>
        <w:pStyle w:val="FootnoteText"/>
        <w:jc w:val="both"/>
        <w:rPr>
          <w:sz w:val="16"/>
          <w:szCs w:val="16"/>
        </w:rPr>
      </w:pPr>
      <w:r>
        <w:rPr>
          <w:rStyle w:val="FootnoteReference"/>
          <w:sz w:val="16"/>
        </w:rPr>
        <w:footnoteRef/>
      </w:r>
      <w:r>
        <w:rPr>
          <w:sz w:val="16"/>
        </w:rPr>
        <w:t xml:space="preserve"> 2012. gadā </w:t>
      </w:r>
      <w:r>
        <w:rPr>
          <w:i/>
          <w:sz w:val="16"/>
        </w:rPr>
        <w:t>EMCDDA</w:t>
      </w:r>
      <w:r>
        <w:rPr>
          <w:sz w:val="16"/>
        </w:rPr>
        <w:t xml:space="preserve"> un Eiropols veica astoto riska novērtējumu (par 4-metilamfetamīnu).</w:t>
      </w:r>
    </w:p>
  </w:footnote>
  <w:footnote w:id="40">
    <w:p>
      <w:pPr>
        <w:pStyle w:val="FootnoteText"/>
        <w:jc w:val="both"/>
        <w:rPr>
          <w:rFonts w:ascii="Calibri" w:hAnsi="Calibri"/>
          <w:sz w:val="16"/>
          <w:szCs w:val="16"/>
        </w:rPr>
      </w:pPr>
      <w:r>
        <w:rPr>
          <w:rStyle w:val="FootnoteReference"/>
          <w:sz w:val="16"/>
        </w:rPr>
        <w:footnoteRef/>
      </w:r>
      <w:r>
        <w:rPr>
          <w:sz w:val="16"/>
        </w:rPr>
        <w:t>.</w:t>
      </w:r>
      <w:r>
        <w:t xml:space="preserve"> </w:t>
      </w:r>
      <w:r>
        <w:rPr>
          <w:sz w:val="16"/>
        </w:rPr>
        <w:t>Padomes 2015. gada 8. oktobra Īstenošanas lēmums (ES) 2015/1876 par kontroles pasākumu piemērošanu vielai 5-(2-aminopropil)indols; Padomes 2015. gada 8. oktobra Īstenošanas lēmums (ES) 2015/1874 par kontroles pasākumu [piemērošanu] attiecināšanu uz 4-metilamfetamīnu; Padomes 2015. gada 8. oktobra Īstenošanas lēmums (ES) 2015/1875 par kontroles pasākumu attiecināšanu uz šādām vielām: 4-jod-2,5-dimetoksi-N-(2-metoksibenzil)fenetilamīns (25I-NBOMe), 3,4-dihlor-N-[[1-(dimetilamino)cikloheksil]metil]benzamīds (AH-7921), 3,4-metilēndioksipirovalerons (MDPV) un 2-(3-metoksifenil)-2-(etilamino)cikloheksanons (metoksetamīns); Padomes 2015. gada 8. oktobra Īstenošanas lēmums (ES) 2015/1873 par kontroles pasākumu attiecināšanu uz vielām 4-metil-5-(4-metilfenil)-4,5-dihidrooksazol-2-amīns (4,4′-DMAR) un 1-cikloheksil-4-(1,2-difeniletil)piperazīns (MT-45).</w:t>
      </w:r>
    </w:p>
  </w:footnote>
  <w:footnote w:id="41">
    <w:p>
      <w:pPr>
        <w:pStyle w:val="FootnoteText"/>
        <w:jc w:val="both"/>
      </w:pPr>
      <w:r>
        <w:rPr>
          <w:rStyle w:val="FootnoteReference"/>
        </w:rPr>
        <w:footnoteRef/>
      </w:r>
      <w:r>
        <w:rPr>
          <w:sz w:val="16"/>
        </w:rPr>
        <w:t>Eiropas Savienības Tiesas 2015. gada 16. aprīļa spriedumā lietās C-317/13 un C-679/13 tika paredzēta prasība apspriesties ar Eiropas Parlamentu pirms tādu Padomes lēmumu pieņemšanas, ar kuriem aizliedz jaunas psihoaktīvas vielas. Tāpēc visi Padomes lēmumi, kas tika pieņemti vai ko bija paredzēts pieņemt pirms Tiesas sprieduma, Padomei pēc apspriešanās ar Eiropas Parlamentu bija jāpieņem vēlreiz. Tas notika 2015. gada oktobrī.</w:t>
      </w:r>
    </w:p>
  </w:footnote>
  <w:footnote w:id="42">
    <w:p>
      <w:pPr>
        <w:pStyle w:val="FootnoteText"/>
        <w:jc w:val="both"/>
        <w:rPr>
          <w:sz w:val="16"/>
          <w:szCs w:val="16"/>
        </w:rPr>
      </w:pPr>
      <w:r>
        <w:rPr>
          <w:rStyle w:val="FootnoteReference"/>
          <w:sz w:val="16"/>
        </w:rPr>
        <w:footnoteRef/>
      </w:r>
      <w:r>
        <w:rPr>
          <w:sz w:val="16"/>
        </w:rPr>
        <w:t xml:space="preserve"> Tiesību aktu kopums ietver priekšlikumu Eiropas Parlamenta un Padomes regulai par jaunām psihoaktīvām vielām un priekšlikumu Eiropas Parlamenta un Padomes direktīvai, ar kuru attiecībā uz narkotisko vielu definīciju groza Padomes 2004. gada 25. oktobra Pamatlēmumu 2004/757/TI, ar ko paredz minimuma noteikumus par noziedzīgu darbību pazīmēm un sodiem narkotisko vielu nelikumīgas tirdzniecības jomā.</w:t>
      </w:r>
    </w:p>
  </w:footnote>
  <w:footnote w:id="43">
    <w:p>
      <w:pPr>
        <w:pStyle w:val="FootnoteText"/>
        <w:jc w:val="both"/>
        <w:rPr>
          <w:sz w:val="16"/>
          <w:szCs w:val="16"/>
        </w:rPr>
      </w:pPr>
      <w:r>
        <w:rPr>
          <w:rStyle w:val="FootnoteReference"/>
          <w:sz w:val="16"/>
        </w:rPr>
        <w:footnoteRef/>
      </w:r>
      <w:r>
        <w:rPr>
          <w:sz w:val="16"/>
        </w:rPr>
        <w:t xml:space="preserve"> Pamatojoties uz Padomes 2006. gada 6. oktobra Pamatlēmumu 2006/783/TI par savstarpējas atzīšanas principa piemērošanu konfiskācijas rīkojumiem (OV L 328, 24.11.2006., 59. lpp.) un Padomes 2003. gada 22. jūlija Pamatlēmumu 2003/577/TI par to, kā Eiropas Savienībā izpilda īpašuma vai pierādījumu iesaldēšanas rīkojumus (OV L 196, 2.8.2003., 45. lpp.).</w:t>
      </w:r>
    </w:p>
  </w:footnote>
  <w:footnote w:id="44">
    <w:p>
      <w:pPr>
        <w:pStyle w:val="FootnoteText"/>
        <w:jc w:val="both"/>
        <w:rPr>
          <w:sz w:val="16"/>
          <w:szCs w:val="16"/>
        </w:rPr>
      </w:pPr>
      <w:r>
        <w:rPr>
          <w:rStyle w:val="FootnoteReference"/>
          <w:sz w:val="16"/>
        </w:rPr>
        <w:footnoteRef/>
      </w:r>
      <w:r>
        <w:rPr>
          <w:sz w:val="16"/>
        </w:rPr>
        <w:t xml:space="preserve"> Piemēram, aviosabiedrībām, ātrpiegādes aviokurjeriem, rēderejām, ostu iestādēm un ķīmisko vielu uzņēmumiem.</w:t>
      </w:r>
    </w:p>
  </w:footnote>
  <w:footnote w:id="45">
    <w:p>
      <w:pPr>
        <w:pStyle w:val="FootnoteText"/>
        <w:jc w:val="both"/>
      </w:pPr>
      <w:r>
        <w:rPr>
          <w:rStyle w:val="FootnoteReference"/>
          <w:sz w:val="16"/>
        </w:rPr>
        <w:footnoteRef/>
      </w:r>
      <w:r>
        <w:rPr>
          <w:sz w:val="16"/>
        </w:rPr>
        <w:t xml:space="preserve"> ES narkotisko vielu prekursoru datubāze.</w:t>
      </w:r>
    </w:p>
  </w:footnote>
  <w:footnote w:id="46">
    <w:p>
      <w:pPr>
        <w:pStyle w:val="FootnoteText"/>
        <w:tabs>
          <w:tab w:val="left" w:pos="3495"/>
        </w:tabs>
        <w:jc w:val="both"/>
        <w:rPr>
          <w:sz w:val="16"/>
          <w:szCs w:val="16"/>
        </w:rPr>
      </w:pPr>
      <w:r>
        <w:rPr>
          <w:rStyle w:val="FootnoteReference"/>
          <w:sz w:val="16"/>
        </w:rPr>
        <w:footnoteRef/>
      </w:r>
      <w:r>
        <w:rPr>
          <w:sz w:val="16"/>
        </w:rPr>
        <w:t xml:space="preserve"> </w:t>
      </w:r>
      <w:r>
        <w:rPr>
          <w:i/>
          <w:sz w:val="16"/>
        </w:rPr>
        <w:t>EMCDDA</w:t>
      </w:r>
      <w:r>
        <w:rPr>
          <w:sz w:val="16"/>
        </w:rPr>
        <w:t xml:space="preserve"> ziņojumi.</w:t>
      </w:r>
      <w:r>
        <w:tab/>
      </w:r>
    </w:p>
  </w:footnote>
  <w:footnote w:id="47">
    <w:p>
      <w:pPr>
        <w:pStyle w:val="FootnoteText"/>
        <w:jc w:val="both"/>
        <w:rPr>
          <w:sz w:val="16"/>
          <w:szCs w:val="16"/>
        </w:rPr>
      </w:pPr>
      <w:r>
        <w:rPr>
          <w:rStyle w:val="FootnoteReference"/>
          <w:sz w:val="16"/>
        </w:rPr>
        <w:footnoteRef/>
      </w:r>
      <w:r>
        <w:rPr>
          <w:sz w:val="16"/>
        </w:rPr>
        <w:t xml:space="preserve"> Konkrētāk, profesionāli ar narkomāniju saistītu pakalpojumu sniedzēji, nevalstiskas organizācijas, kas darbojas narkomānijas apkarošanas politikas jomā, nevalstiskas organizācijas, kas pārstāv atsevišķu narkomānijas jomā iesaistītu personu (narkotisko vielu lietotāju, to ģimenes locekļu utt.) intereses, zinātniskās aprindas.</w:t>
      </w:r>
    </w:p>
  </w:footnote>
  <w:footnote w:id="48">
    <w:p>
      <w:pPr>
        <w:pStyle w:val="FootnoteText"/>
        <w:jc w:val="both"/>
        <w:rPr>
          <w:sz w:val="16"/>
          <w:szCs w:val="16"/>
        </w:rPr>
      </w:pPr>
      <w:r>
        <w:rPr>
          <w:rStyle w:val="FootnoteReference"/>
          <w:sz w:val="16"/>
        </w:rPr>
        <w:footnoteRef/>
      </w:r>
      <w:r>
        <w:rPr>
          <w:sz w:val="16"/>
        </w:rPr>
        <w:t xml:space="preserve"> </w:t>
      </w:r>
      <w:r>
        <w:rPr>
          <w:i/>
          <w:sz w:val="16"/>
        </w:rPr>
        <w:t>EMCDDA</w:t>
      </w:r>
      <w:r>
        <w:rPr>
          <w:sz w:val="16"/>
        </w:rPr>
        <w:t xml:space="preserve"> ziņojumi.</w:t>
      </w:r>
    </w:p>
  </w:footnote>
  <w:footnote w:id="49">
    <w:p>
      <w:pPr>
        <w:pStyle w:val="FootnoteText"/>
        <w:jc w:val="both"/>
        <w:rPr>
          <w:sz w:val="16"/>
          <w:szCs w:val="16"/>
        </w:rPr>
      </w:pPr>
      <w:r>
        <w:rPr>
          <w:rStyle w:val="FootnoteReference"/>
          <w:sz w:val="16"/>
        </w:rPr>
        <w:footnoteRef/>
      </w:r>
      <w:r>
        <w:rPr>
          <w:sz w:val="16"/>
        </w:rPr>
        <w:t xml:space="preserve"> 2013.–2014. gadā bijušajā Dienvidslāvijas Maķedonijas Republikā, Melnkalnē, Serbijā un Turcijā tika pieņemtas jaunas/atjauninātas stratēģijas.</w:t>
      </w:r>
    </w:p>
  </w:footnote>
  <w:footnote w:id="50">
    <w:p>
      <w:pPr>
        <w:pStyle w:val="FootnoteText"/>
        <w:jc w:val="both"/>
        <w:rPr>
          <w:sz w:val="16"/>
          <w:szCs w:val="16"/>
        </w:rPr>
      </w:pPr>
      <w:r>
        <w:rPr>
          <w:rStyle w:val="FootnoteReference"/>
          <w:sz w:val="16"/>
        </w:rPr>
        <w:footnoteRef/>
      </w:r>
      <w:r>
        <w:rPr>
          <w:sz w:val="16"/>
        </w:rPr>
        <w:t xml:space="preserve"> Latīņamerikas un Karību jūras reģiona valstu kopiena.</w:t>
      </w:r>
    </w:p>
  </w:footnote>
  <w:footnote w:id="51">
    <w:p>
      <w:pPr>
        <w:pStyle w:val="FootnoteText"/>
        <w:jc w:val="both"/>
        <w:rPr>
          <w:sz w:val="16"/>
          <w:szCs w:val="16"/>
        </w:rPr>
      </w:pPr>
      <w:r>
        <w:rPr>
          <w:rStyle w:val="FootnoteReference"/>
          <w:sz w:val="16"/>
        </w:rPr>
        <w:footnoteRef/>
      </w:r>
      <w:r>
        <w:rPr>
          <w:sz w:val="16"/>
        </w:rPr>
        <w:t xml:space="preserve"> ES ir septiņi īpaši nolīgumi ar Bolīviju, Čīli, Ekvadoru, Kolumbiju, Meksiku, Peru un Venecuēlu par narkotisko vielu prekursoru kontroli Latīņamerikā.</w:t>
      </w:r>
    </w:p>
  </w:footnote>
  <w:footnote w:id="52">
    <w:p>
      <w:pPr>
        <w:pStyle w:val="FootnoteText"/>
        <w:jc w:val="both"/>
        <w:rPr>
          <w:sz w:val="16"/>
          <w:szCs w:val="16"/>
        </w:rPr>
      </w:pPr>
      <w:r>
        <w:rPr>
          <w:rStyle w:val="FootnoteReference"/>
          <w:sz w:val="16"/>
        </w:rPr>
        <w:footnoteRef/>
      </w:r>
      <w:r>
        <w:rPr>
          <w:sz w:val="16"/>
        </w:rPr>
        <w:t xml:space="preserve"> T. i., Bolīvijā, Brazīlijā, Ekvadorā, Kolumbijā un Peru.</w:t>
      </w:r>
    </w:p>
  </w:footnote>
  <w:footnote w:id="53">
    <w:p>
      <w:pPr>
        <w:pStyle w:val="FootnoteText"/>
        <w:jc w:val="both"/>
        <w:rPr>
          <w:sz w:val="16"/>
          <w:szCs w:val="16"/>
        </w:rPr>
      </w:pPr>
      <w:r>
        <w:rPr>
          <w:rStyle w:val="FootnoteReference"/>
          <w:sz w:val="16"/>
        </w:rPr>
        <w:footnoteRef/>
      </w:r>
      <w:r>
        <w:rPr>
          <w:sz w:val="16"/>
        </w:rPr>
        <w:t xml:space="preserve"> </w:t>
      </w:r>
      <w:r>
        <w:rPr>
          <w:i/>
          <w:sz w:val="16"/>
        </w:rPr>
        <w:t>COPOLAD</w:t>
      </w:r>
      <w:r>
        <w:rPr>
          <w:sz w:val="16"/>
        </w:rPr>
        <w:t xml:space="preserve"> sākās 2010. gadā, un to pilnībā finansē ES; tās kopējais budžets ir EUR 6,5 miljoni. 2014. gadā </w:t>
      </w:r>
      <w:r>
        <w:rPr>
          <w:i/>
          <w:sz w:val="16"/>
        </w:rPr>
        <w:t>COPOLAD</w:t>
      </w:r>
      <w:r>
        <w:rPr>
          <w:sz w:val="16"/>
        </w:rPr>
        <w:t xml:space="preserve"> termiņu pagarināja (2016–2019). Otrajā posmā ES ieguldījums būs EUR 10 miljoni. </w:t>
      </w:r>
      <w:r>
        <w:t xml:space="preserve">Piešķīrumu līgums par </w:t>
      </w:r>
      <w:r>
        <w:rPr>
          <w:i/>
        </w:rPr>
        <w:t>COPOLAD</w:t>
      </w:r>
      <w:r>
        <w:t xml:space="preserve"> īstenošanu tika piešķirts Spānijas vadītam konsorcijam, kas ietver partnerus no Eiropas, Latīņamerikas, asociētās struktūras no Ekvadoras, Kostarikas, Meksikas, Polijas un Rumānijas, </w:t>
      </w:r>
      <w:r>
        <w:rPr>
          <w:i/>
        </w:rPr>
        <w:t>CICAD</w:t>
      </w:r>
      <w:r>
        <w:t xml:space="preserve"> (</w:t>
      </w:r>
      <w:r>
        <w:rPr>
          <w:i/>
        </w:rPr>
        <w:t>Inter-American Drugs Abuse Control Commission</w:t>
      </w:r>
      <w:r>
        <w:t xml:space="preserve">), </w:t>
      </w:r>
      <w:r>
        <w:rPr>
          <w:i/>
        </w:rPr>
        <w:t>IDPC</w:t>
      </w:r>
      <w:r>
        <w:t xml:space="preserve"> (</w:t>
      </w:r>
      <w:r>
        <w:rPr>
          <w:i/>
        </w:rPr>
        <w:t>International Drug Policy Consortium</w:t>
      </w:r>
      <w:r>
        <w:t xml:space="preserve">), </w:t>
      </w:r>
      <w:r>
        <w:rPr>
          <w:i/>
        </w:rPr>
        <w:t>EMCDDA</w:t>
      </w:r>
      <w:r>
        <w:t xml:space="preserve"> (</w:t>
      </w:r>
      <w:r>
        <w:rPr>
          <w:i/>
        </w:rPr>
        <w:t>Eiropas Narkotiku un narkomānijas uzraudzības centrs</w:t>
      </w:r>
      <w:r>
        <w:t xml:space="preserve">), </w:t>
      </w:r>
      <w:r>
        <w:rPr>
          <w:i/>
        </w:rPr>
        <w:t>PAHO</w:t>
      </w:r>
      <w:r>
        <w:t xml:space="preserve"> (</w:t>
      </w:r>
      <w:r>
        <w:rPr>
          <w:i/>
        </w:rPr>
        <w:t>Pan American Health Organisation</w:t>
      </w:r>
      <w:r>
        <w:t xml:space="preserve">) un </w:t>
      </w:r>
      <w:r>
        <w:rPr>
          <w:i/>
        </w:rPr>
        <w:t>RIOD</w:t>
      </w:r>
      <w:r>
        <w:t xml:space="preserve"> (</w:t>
      </w:r>
      <w:r>
        <w:rPr>
          <w:i/>
        </w:rPr>
        <w:t>Red Iberoamericana de ONGs que trabajan en Drogodependencias</w:t>
      </w:r>
      <w:r>
        <w:t xml:space="preserve">): </w:t>
      </w:r>
      <w:hyperlink r:id="rId4">
        <w:r>
          <w:rPr>
            <w:rStyle w:val="Hyperlink"/>
            <w:sz w:val="16"/>
          </w:rPr>
          <w:t>https://ec.europa.eu/europeaid/regions/latin-america/copolad-cooperation-programme-between-latin-america-and-european-union-drugs_en</w:t>
        </w:r>
      </w:hyperlink>
      <w:r>
        <w:t>.</w:t>
      </w:r>
      <w:r>
        <w:rPr>
          <w:sz w:val="16"/>
        </w:rPr>
        <w:t xml:space="preserve"> </w:t>
      </w:r>
    </w:p>
  </w:footnote>
  <w:footnote w:id="54">
    <w:p>
      <w:pPr>
        <w:pStyle w:val="FootnoteText"/>
        <w:jc w:val="both"/>
        <w:rPr>
          <w:sz w:val="16"/>
          <w:szCs w:val="16"/>
        </w:rPr>
      </w:pPr>
      <w:r>
        <w:rPr>
          <w:rStyle w:val="FootnoteReference"/>
          <w:sz w:val="16"/>
        </w:rPr>
        <w:footnoteRef/>
      </w:r>
      <w:r>
        <w:rPr>
          <w:sz w:val="16"/>
        </w:rPr>
        <w:t xml:space="preserve"> </w:t>
      </w:r>
      <w:hyperlink r:id="rId5">
        <w:r>
          <w:rPr>
            <w:rStyle w:val="Hyperlink"/>
            <w:sz w:val="16"/>
          </w:rPr>
          <w:t>http://www.cocaineroute.eu/</w:t>
        </w:r>
      </w:hyperlink>
      <w:r>
        <w:rPr>
          <w:sz w:val="16"/>
        </w:rPr>
        <w:t xml:space="preserve"> </w:t>
      </w:r>
    </w:p>
  </w:footnote>
  <w:footnote w:id="55">
    <w:p>
      <w:pPr>
        <w:pStyle w:val="FootnoteText"/>
        <w:jc w:val="both"/>
        <w:rPr>
          <w:sz w:val="16"/>
          <w:szCs w:val="16"/>
        </w:rPr>
      </w:pPr>
      <w:r>
        <w:rPr>
          <w:rStyle w:val="FootnoteReference"/>
          <w:sz w:val="16"/>
        </w:rPr>
        <w:footnoteRef/>
      </w:r>
      <w:r>
        <w:rPr>
          <w:sz w:val="16"/>
        </w:rPr>
        <w:t xml:space="preserve"> </w:t>
      </w:r>
      <w:hyperlink r:id="rId6">
        <w:r>
          <w:rPr>
            <w:rStyle w:val="Hyperlink"/>
            <w:sz w:val="16"/>
          </w:rPr>
          <w:t>https://www.fight-trafficking.eu/</w:t>
        </w:r>
      </w:hyperlink>
      <w:r>
        <w:rPr>
          <w:sz w:val="16"/>
        </w:rPr>
        <w:t xml:space="preserve"> </w:t>
      </w:r>
    </w:p>
  </w:footnote>
  <w:footnote w:id="56">
    <w:p>
      <w:pPr>
        <w:pStyle w:val="FootnoteText"/>
        <w:jc w:val="both"/>
        <w:rPr>
          <w:sz w:val="16"/>
          <w:szCs w:val="16"/>
        </w:rPr>
      </w:pPr>
      <w:r>
        <w:rPr>
          <w:rStyle w:val="FootnoteReference"/>
          <w:sz w:val="16"/>
        </w:rPr>
        <w:footnoteRef/>
      </w:r>
      <w:r>
        <w:rPr>
          <w:sz w:val="16"/>
        </w:rPr>
        <w:t xml:space="preserve"> ES konsorciju vada Vācija. Ir aptvertas šādas Vidusāzijas valstis: Kazahstāna, Kirgizstāna, Tadžikistāna, Turkmenistāna un Uzbekistāna. ES šai programmai 2001.–2013. gadā piešķīra EUR 20,7 miljonus.</w:t>
      </w:r>
    </w:p>
  </w:footnote>
  <w:footnote w:id="57">
    <w:p>
      <w:pPr>
        <w:pStyle w:val="FootnoteText"/>
        <w:jc w:val="both"/>
      </w:pPr>
      <w:r>
        <w:rPr>
          <w:rStyle w:val="FootnoteReference"/>
          <w:sz w:val="16"/>
        </w:rPr>
        <w:footnoteRef/>
      </w:r>
      <w:r>
        <w:rPr>
          <w:sz w:val="16"/>
        </w:rPr>
        <w:t xml:space="preserve"> Robežu pārvaldības programma Vidusāzijā. ES programmai </w:t>
      </w:r>
      <w:r>
        <w:rPr>
          <w:i/>
          <w:sz w:val="16"/>
        </w:rPr>
        <w:t>BOMCA</w:t>
      </w:r>
      <w:r>
        <w:rPr>
          <w:sz w:val="16"/>
        </w:rPr>
        <w:t xml:space="preserve"> 2003.–2014. gadā piešķīra EUR 33,6 miljonus. Viens komponents bija vērsts uz narkomānijas apkarošanas spēju stiprināšanu aģentūrās, kas strādā pie robežām.</w:t>
      </w:r>
    </w:p>
  </w:footnote>
  <w:footnote w:id="58">
    <w:p>
      <w:pPr>
        <w:pStyle w:val="FootnoteText"/>
        <w:jc w:val="both"/>
        <w:rPr>
          <w:sz w:val="16"/>
          <w:szCs w:val="16"/>
        </w:rPr>
      </w:pPr>
      <w:r>
        <w:rPr>
          <w:rStyle w:val="FootnoteReference"/>
          <w:sz w:val="16"/>
        </w:rPr>
        <w:footnoteRef/>
      </w:r>
      <w:r>
        <w:rPr>
          <w:sz w:val="16"/>
        </w:rPr>
        <w:t xml:space="preserve"> Rietumāfrikas valstu ekonomikas kopiena. </w:t>
      </w:r>
    </w:p>
  </w:footnote>
  <w:footnote w:id="59">
    <w:p>
      <w:pPr>
        <w:pStyle w:val="FootnoteText"/>
        <w:jc w:val="both"/>
        <w:rPr>
          <w:sz w:val="16"/>
          <w:szCs w:val="16"/>
        </w:rPr>
      </w:pPr>
      <w:r>
        <w:rPr>
          <w:rStyle w:val="FootnoteReference"/>
          <w:sz w:val="16"/>
        </w:rPr>
        <w:footnoteRef/>
      </w:r>
      <w:r>
        <w:rPr>
          <w:sz w:val="16"/>
        </w:rPr>
        <w:t xml:space="preserve"> Galvenās saņēmējvalstis bija Afganistāna, Bolīvija, Ekvadora, Kolumbija, Laosa, Mjanma un Peru.</w:t>
      </w:r>
    </w:p>
  </w:footnote>
  <w:footnote w:id="60">
    <w:p>
      <w:pPr>
        <w:pStyle w:val="FootnoteText"/>
        <w:jc w:val="both"/>
        <w:rPr>
          <w:sz w:val="16"/>
          <w:szCs w:val="16"/>
        </w:rPr>
      </w:pPr>
      <w:r>
        <w:rPr>
          <w:rStyle w:val="FootnoteReference"/>
          <w:sz w:val="16"/>
        </w:rPr>
        <w:footnoteRef/>
      </w:r>
      <w:r>
        <w:rPr>
          <w:sz w:val="16"/>
        </w:rPr>
        <w:t xml:space="preserve"> Galvenās saņēmējvalstis bija Latīņamerikas, Vidusāzijas un Dienvidaustrumāzijas, Āfrikas, Rietumbalkānu, Vidusjūras reģiona dienvidu un Austrumeiropas valstis.</w:t>
      </w:r>
    </w:p>
  </w:footnote>
  <w:footnote w:id="61">
    <w:p>
      <w:pPr>
        <w:pStyle w:val="FootnoteText"/>
        <w:jc w:val="both"/>
      </w:pPr>
      <w:r>
        <w:rPr>
          <w:rStyle w:val="FootnoteReference"/>
          <w:sz w:val="16"/>
        </w:rPr>
        <w:footnoteRef/>
      </w:r>
      <w:r>
        <w:rPr>
          <w:sz w:val="16"/>
        </w:rPr>
        <w:t xml:space="preserve"> Galvenās saņēmējvalstis bija Āfrikas, Karību jūras reģiona, Dienvidamerikas, Rietumbalkānu, Vidusāzijas un Austrumeiropas valstis.</w:t>
      </w:r>
    </w:p>
  </w:footnote>
  <w:footnote w:id="62">
    <w:p>
      <w:pPr>
        <w:autoSpaceDE w:val="0"/>
        <w:autoSpaceDN w:val="0"/>
        <w:adjustRightInd w:val="0"/>
        <w:spacing w:after="0"/>
        <w:jc w:val="both"/>
        <w:rPr>
          <w:rFonts w:ascii="Arial" w:hAnsi="Arial" w:cs="Arial"/>
          <w:noProof/>
          <w:sz w:val="16"/>
          <w:szCs w:val="16"/>
          <w:lang w:eastAsia="en-GB"/>
        </w:rPr>
      </w:pPr>
      <w:r>
        <w:rPr>
          <w:rStyle w:val="FootnoteReference"/>
          <w:rFonts w:ascii="Times New Roman" w:hAnsi="Times New Roman"/>
          <w:sz w:val="16"/>
        </w:rPr>
        <w:footnoteRef/>
      </w:r>
      <w:r>
        <w:rPr>
          <w:rFonts w:ascii="Times New Roman" w:hAnsi="Times New Roman"/>
          <w:sz w:val="16"/>
        </w:rPr>
        <w:t xml:space="preserve"> Programmas “Noziedzības profilakse un apkarošana” (ISEC), programmas “Narkomānijas novēršana un informēšana par narkomāniju” (DPIP) un programmas “Tiesiskums” ietvaros tika finansēti šādi projekti: </w:t>
      </w:r>
      <w:r>
        <w:rPr>
          <w:rFonts w:ascii="Times New Roman" w:hAnsi="Times New Roman"/>
          <w:i/>
          <w:sz w:val="16"/>
        </w:rPr>
        <w:t>LEADER</w:t>
      </w:r>
      <w:r>
        <w:rPr>
          <w:rFonts w:ascii="Times New Roman" w:hAnsi="Times New Roman"/>
          <w:sz w:val="16"/>
        </w:rPr>
        <w:t xml:space="preserve"> par nelikumīgo narkotisko vielu ekonomisko analīžu uzlabošanu (Klīniskais biomedicīniskās pētniecības fonds, Barselona), ar C hepatīta ārstēšanu un profilaksi saistītā izpēte (Bristoles Universitāte), </w:t>
      </w:r>
      <w:r>
        <w:rPr>
          <w:rFonts w:ascii="Times New Roman" w:hAnsi="Times New Roman"/>
          <w:i/>
          <w:sz w:val="16"/>
        </w:rPr>
        <w:t>CASSANDRA</w:t>
      </w:r>
      <w:r>
        <w:rPr>
          <w:rFonts w:ascii="Times New Roman" w:hAnsi="Times New Roman"/>
          <w:sz w:val="16"/>
        </w:rPr>
        <w:t xml:space="preserve"> izpēte par jaunu psihoaktīvu vielu piegādes ķēdi un izplatīšanu (Londonas Karaliskā koledža), </w:t>
      </w:r>
      <w:r>
        <w:rPr>
          <w:rFonts w:ascii="Times New Roman" w:hAnsi="Times New Roman"/>
          <w:i/>
          <w:sz w:val="16"/>
        </w:rPr>
        <w:t>PREDICT</w:t>
      </w:r>
      <w:r>
        <w:rPr>
          <w:rFonts w:ascii="Times New Roman" w:hAnsi="Times New Roman"/>
          <w:sz w:val="16"/>
        </w:rPr>
        <w:t xml:space="preserve"> — jaunu narkotisku vielu radītā riska paredzēšana </w:t>
      </w:r>
      <w:r>
        <w:rPr>
          <w:rFonts w:ascii="Times New Roman" w:hAnsi="Times New Roman"/>
          <w:i/>
          <w:sz w:val="16"/>
        </w:rPr>
        <w:t>in silico</w:t>
      </w:r>
      <w:r>
        <w:rPr>
          <w:rFonts w:ascii="Times New Roman" w:hAnsi="Times New Roman"/>
          <w:sz w:val="16"/>
        </w:rPr>
        <w:t xml:space="preserve"> un klīniskajā toksikoloģijā (Māstrihtas Universitāte).</w:t>
      </w:r>
    </w:p>
  </w:footnote>
  <w:footnote w:id="63">
    <w:p>
      <w:pPr>
        <w:pStyle w:val="FootnoteText"/>
        <w:jc w:val="both"/>
      </w:pPr>
      <w:r>
        <w:rPr>
          <w:rStyle w:val="FootnoteReference"/>
          <w:sz w:val="16"/>
        </w:rPr>
        <w:footnoteRef/>
      </w:r>
      <w:r>
        <w:rPr>
          <w:sz w:val="16"/>
        </w:rPr>
        <w:t xml:space="preserve"> Mācībās piedalījās veselības aprūpes profesionāļi, NVO, policisti, diplomāti, skolotāji un izglītotāji, sociālie darbinieki, pētnieki un politikas veidotāji, riska analītiķi, psihosociālās rehabilitācijas programmu vadītāji, muitas ierēdņi un muitas suņi, tiesneši, advokāti, cietuma administrācija u. 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4">
    <w:nsid w:val="29780905"/>
    <w:multiLevelType w:val="hybridMultilevel"/>
    <w:tmpl w:val="337C90C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6">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7">
    <w:nsid w:val="77C93EA2"/>
    <w:multiLevelType w:val="hybridMultilevel"/>
    <w:tmpl w:val="39E20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7"/>
  </w:num>
  <w:num w:numId="4">
    <w:abstractNumId w:val="12"/>
  </w:num>
  <w:num w:numId="5">
    <w:abstractNumId w:val="7"/>
  </w:num>
  <w:num w:numId="6">
    <w:abstractNumId w:val="5"/>
  </w:num>
  <w:num w:numId="7">
    <w:abstractNumId w:val="2"/>
  </w:num>
  <w:num w:numId="8">
    <w:abstractNumId w:val="1"/>
  </w:num>
  <w:num w:numId="9">
    <w:abstractNumId w:val="13"/>
  </w:num>
  <w:num w:numId="10">
    <w:abstractNumId w:val="15"/>
  </w:num>
  <w:num w:numId="11">
    <w:abstractNumId w:val="14"/>
  </w:num>
  <w:num w:numId="12">
    <w:abstractNumId w:val="16"/>
  </w:num>
  <w:num w:numId="13">
    <w:abstractNumId w:val="3"/>
  </w:num>
  <w:num w:numId="14">
    <w:abstractNumId w:val="8"/>
  </w:num>
  <w:num w:numId="15">
    <w:abstractNumId w:val="10"/>
  </w:num>
  <w:num w:numId="16">
    <w:abstractNumId w:val="9"/>
  </w:num>
  <w:num w:numId="17">
    <w:abstractNumId w:val="0"/>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71DD0B0A43741A0BE89C05546D6DA1E"/>
    <w:docVar w:name="LW_CROSSREFERENCE" w:val="{SWD(2015) 257 final}"/>
    <w:docVar w:name="LW_DocType" w:val="NORMAL"/>
    <w:docVar w:name="LW_EMISSION" w:val="27.11.2015"/>
    <w:docVar w:name="LW_EMISSION_ISODATE" w:val="2015-11-27"/>
    <w:docVar w:name="LW_EMISSION_LOCATION" w:val="BRX"/>
    <w:docVar w:name="LW_EMISSION_PREFIX" w:val="Briselē, "/>
    <w:docVar w:name="LW_EMISSION_SUFFIX" w:val="."/>
    <w:docVar w:name="LW_ID_DOCTYPE_NONLW" w:val="CP-006"/>
    <w:docVar w:name="LW_LANGUE" w:val="LV"/>
    <w:docVar w:name="LW_MARKING" w:val="&lt;UNUSED&g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5) 584"/>
    <w:docVar w:name="LW_REF.INTERNE" w:val="&lt;UNUSED&gt;"/>
    <w:docVar w:name="LW_SOUS.TITRE.OBJ.CP" w:val="&lt;UNUSED&gt;"/>
    <w:docVar w:name="LW_SUPERTITRE" w:val="&lt;UNUSED&gt;"/>
    <w:docVar w:name="LW_TITRE.OBJ.CP" w:val="par progresu, kas pan\u257?kts, \u299?stenojot ES Narkom\u257?nijas apkaro\u353?anas strat\u275?\u291?iju 2013.\u8211?2020. gadam  un Narkom\u257?nijas apkaro\u353?anas r\u299?c\u299?bas pl\u257?nu 2013.\u8211?2016. gadam"/>
    <w:docVar w:name="LW_TYPE.DOC.CP" w:val="KOMISIJAS ZI\u325?OJUMS EIROPAS PARLAMENTAM UN PADOMEI"/>
  </w:docVar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uiPriority w:val="99"/>
    <w:rPr>
      <w:color w:val="0000FF"/>
      <w:u w:val="single"/>
    </w:rPr>
  </w:style>
  <w:style w:type="paragraph" w:styleId="FootnoteText">
    <w:name w:val="footnote text"/>
    <w:basedOn w:val="Normal"/>
    <w:link w:val="FootnoteTextChar"/>
    <w:uiPriority w:val="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lv-LV"/>
    </w:rPr>
  </w:style>
  <w:style w:type="character" w:styleId="FootnoteReference">
    <w:name w:val="footnote reference"/>
    <w:aliases w:val="Footnote symbol,Odwołanie przypisu,footnote ref,FR,Fußnotenzeichen diss neu,Times 10 Point,Exposant 3 Point,Footnote,Voetnootverwijzing"/>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Pointabc">
    <w:name w:val="Point abc"/>
    <w:basedOn w:val="Normal"/>
    <w:uiPriority w:val="99"/>
    <w:pPr>
      <w:numPr>
        <w:ilvl w:val="1"/>
        <w:numId w:val="2"/>
      </w:numPr>
      <w:spacing w:before="120" w:after="120" w:line="360" w:lineRule="auto"/>
    </w:pPr>
    <w:rPr>
      <w:rFonts w:ascii="Times New Roman" w:eastAsia="Times New Roman" w:hAnsi="Times New Roman" w:cs="Times New Roman"/>
      <w:sz w:val="24"/>
      <w:szCs w:val="24"/>
    </w:rPr>
  </w:style>
  <w:style w:type="paragraph" w:customStyle="1" w:styleId="Pointabc1">
    <w:name w:val="Point abc (1)"/>
    <w:basedOn w:val="Normal"/>
    <w:uiPriority w:val="99"/>
    <w:pPr>
      <w:numPr>
        <w:ilvl w:val="3"/>
        <w:numId w:val="2"/>
      </w:numPr>
      <w:spacing w:before="120" w:after="120" w:line="360" w:lineRule="auto"/>
      <w:outlineLvl w:val="0"/>
    </w:pPr>
    <w:rPr>
      <w:rFonts w:ascii="Times New Roman" w:eastAsia="Times New Roman" w:hAnsi="Times New Roman" w:cs="Times New Roman"/>
      <w:sz w:val="24"/>
      <w:szCs w:val="24"/>
    </w:rPr>
  </w:style>
  <w:style w:type="paragraph" w:customStyle="1" w:styleId="Pointabc2">
    <w:name w:val="Point abc (2)"/>
    <w:basedOn w:val="Normal"/>
    <w:uiPriority w:val="99"/>
    <w:pPr>
      <w:numPr>
        <w:ilvl w:val="5"/>
        <w:numId w:val="2"/>
      </w:numPr>
      <w:spacing w:before="120" w:after="120" w:line="360" w:lineRule="auto"/>
      <w:outlineLvl w:val="1"/>
    </w:pPr>
    <w:rPr>
      <w:rFonts w:ascii="Times New Roman" w:eastAsia="Times New Roman" w:hAnsi="Times New Roman" w:cs="Times New Roman"/>
      <w:sz w:val="24"/>
      <w:szCs w:val="24"/>
    </w:rPr>
  </w:style>
  <w:style w:type="paragraph" w:customStyle="1" w:styleId="Pointabc3">
    <w:name w:val="Point abc (3)"/>
    <w:basedOn w:val="Normal"/>
    <w:uiPriority w:val="99"/>
    <w:pPr>
      <w:numPr>
        <w:ilvl w:val="7"/>
        <w:numId w:val="2"/>
      </w:numPr>
      <w:spacing w:before="120" w:after="120" w:line="360" w:lineRule="auto"/>
      <w:outlineLvl w:val="2"/>
    </w:pPr>
    <w:rPr>
      <w:rFonts w:ascii="Times New Roman" w:eastAsia="Times New Roman" w:hAnsi="Times New Roman" w:cs="Times New Roman"/>
      <w:sz w:val="24"/>
      <w:szCs w:val="24"/>
    </w:rPr>
  </w:style>
  <w:style w:type="paragraph" w:customStyle="1" w:styleId="Pointabc4">
    <w:name w:val="Point abc (4)"/>
    <w:basedOn w:val="Normal"/>
    <w:uiPriority w:val="99"/>
    <w:pPr>
      <w:numPr>
        <w:ilvl w:val="8"/>
        <w:numId w:val="2"/>
      </w:numPr>
      <w:spacing w:before="120" w:after="120" w:line="360" w:lineRule="auto"/>
      <w:outlineLvl w:val="3"/>
    </w:pPr>
    <w:rPr>
      <w:rFonts w:ascii="Times New Roman" w:eastAsia="Times New Roman" w:hAnsi="Times New Roman" w:cs="Times New Roman"/>
      <w:sz w:val="24"/>
      <w:szCs w:val="24"/>
    </w:rPr>
  </w:style>
  <w:style w:type="paragraph" w:customStyle="1" w:styleId="Point123">
    <w:name w:val="Point 123"/>
    <w:basedOn w:val="Normal"/>
    <w:uiPriority w:val="99"/>
    <w:pPr>
      <w:numPr>
        <w:numId w:val="2"/>
      </w:numPr>
      <w:spacing w:before="120" w:after="120" w:line="360" w:lineRule="auto"/>
    </w:pPr>
    <w:rPr>
      <w:rFonts w:ascii="Times New Roman" w:eastAsia="Times New Roman" w:hAnsi="Times New Roman" w:cs="Times New Roman"/>
      <w:sz w:val="24"/>
      <w:szCs w:val="24"/>
    </w:rPr>
  </w:style>
  <w:style w:type="paragraph" w:customStyle="1" w:styleId="Point1231">
    <w:name w:val="Point 123 (1)"/>
    <w:basedOn w:val="Normal"/>
    <w:uiPriority w:val="99"/>
    <w:pPr>
      <w:numPr>
        <w:ilvl w:val="2"/>
        <w:numId w:val="2"/>
      </w:numPr>
      <w:spacing w:before="120" w:after="120" w:line="360" w:lineRule="auto"/>
      <w:outlineLvl w:val="0"/>
    </w:pPr>
    <w:rPr>
      <w:rFonts w:ascii="Times New Roman" w:eastAsia="Times New Roman" w:hAnsi="Times New Roman" w:cs="Times New Roman"/>
      <w:sz w:val="24"/>
      <w:szCs w:val="24"/>
    </w:rPr>
  </w:style>
  <w:style w:type="paragraph" w:customStyle="1" w:styleId="Point1232">
    <w:name w:val="Point 123 (2)"/>
    <w:basedOn w:val="Normal"/>
    <w:uiPriority w:val="99"/>
    <w:pPr>
      <w:numPr>
        <w:ilvl w:val="4"/>
        <w:numId w:val="2"/>
      </w:numPr>
      <w:spacing w:before="120" w:after="120" w:line="360" w:lineRule="auto"/>
      <w:outlineLvl w:val="1"/>
    </w:pPr>
    <w:rPr>
      <w:rFonts w:ascii="Times New Roman" w:eastAsia="Times New Roman" w:hAnsi="Times New Roman" w:cs="Times New Roman"/>
      <w:sz w:val="24"/>
      <w:szCs w:val="24"/>
    </w:rPr>
  </w:style>
  <w:style w:type="paragraph" w:customStyle="1" w:styleId="Point1233">
    <w:name w:val="Point 123 (3)"/>
    <w:basedOn w:val="Normal"/>
    <w:uiPriority w:val="99"/>
    <w:pPr>
      <w:numPr>
        <w:ilvl w:val="6"/>
        <w:numId w:val="2"/>
      </w:numPr>
      <w:spacing w:before="120" w:after="120" w:line="360" w:lineRule="auto"/>
      <w:outlineLvl w:val="2"/>
    </w:pPr>
    <w:rPr>
      <w:rFonts w:ascii="Times New Roman" w:eastAsia="Times New Roman" w:hAnsi="Times New Roman" w:cs="Times New Roman"/>
      <w:sz w:val="24"/>
      <w:szCs w:val="24"/>
    </w:rPr>
  </w:style>
  <w:style w:type="paragraph" w:customStyle="1" w:styleId="Pa43">
    <w:name w:val="Pa4+3"/>
    <w:basedOn w:val="Normal"/>
    <w:next w:val="Normal"/>
    <w:uiPriority w:val="99"/>
    <w:pPr>
      <w:autoSpaceDE w:val="0"/>
      <w:autoSpaceDN w:val="0"/>
      <w:adjustRightInd w:val="0"/>
      <w:spacing w:after="0" w:line="181" w:lineRule="atLeast"/>
    </w:pPr>
    <w:rPr>
      <w:rFonts w:ascii="Trivia Sans Book" w:hAnsi="Trivia Sans Book"/>
      <w:sz w:val="24"/>
      <w:szCs w:val="24"/>
    </w:rPr>
  </w:style>
  <w:style w:type="character" w:customStyle="1" w:styleId="ListParagraphChar">
    <w:name w:val="List Paragraph Char"/>
    <w:link w:val="ListParagraph"/>
    <w:uiPriority w:val="34"/>
    <w:locked/>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rivia Sans Book" w:hAnsi="Trivia Sans Book" w:cs="Trivia Sans Book"/>
      <w:color w:val="000000"/>
      <w:sz w:val="24"/>
      <w:szCs w:val="24"/>
    </w:rPr>
  </w:style>
  <w:style w:type="character" w:customStyle="1" w:styleId="A6">
    <w:name w:val="A6"/>
    <w:uiPriority w:val="99"/>
    <w:rPr>
      <w:rFonts w:cs="Trivia Sans Book"/>
      <w:color w:val="000000"/>
      <w:sz w:val="11"/>
      <w:szCs w:val="11"/>
    </w:rPr>
  </w:style>
  <w:style w:type="character" w:customStyle="1" w:styleId="A5">
    <w:name w:val="A5"/>
    <w:uiPriority w:val="99"/>
    <w:rPr>
      <w:rFonts w:cs="Trivia Sans Book"/>
      <w:color w:val="000000"/>
      <w:sz w:val="17"/>
      <w:szCs w:val="17"/>
    </w:rPr>
  </w:style>
  <w:style w:type="paragraph" w:styleId="BodyText">
    <w:name w:val="Body Text"/>
    <w:basedOn w:val="Normal"/>
    <w:link w:val="BodyTextChar"/>
    <w:uiPriority w:val="1"/>
    <w:qFormat/>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Cs w:val="20"/>
    </w:rPr>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lang w:eastAsia="en-US" w:bidi="ar-SA"/>
    </w:rPr>
  </w:style>
  <w:style w:type="paragraph" w:styleId="ListBullet">
    <w:name w:val="List Bullet"/>
    <w:basedOn w:val="Normal"/>
    <w:pPr>
      <w:numPr>
        <w:numId w:val="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Bullet1">
    <w:name w:val="List Bullet 1"/>
    <w:basedOn w:val="Normal"/>
    <w:pPr>
      <w:numPr>
        <w:numId w:val="5"/>
      </w:numPr>
      <w:spacing w:after="240" w:line="240" w:lineRule="auto"/>
      <w:jc w:val="both"/>
    </w:pPr>
    <w:rPr>
      <w:rFonts w:ascii="Times New Roman" w:eastAsia="Times New Roman" w:hAnsi="Times New Roman" w:cs="Times New Roman"/>
      <w:sz w:val="24"/>
      <w:szCs w:val="20"/>
      <w:lang w:eastAsia="en-US" w:bidi="ar-SA"/>
    </w:rPr>
  </w:style>
  <w:style w:type="paragraph" w:styleId="ListBullet2">
    <w:name w:val="List Bullet 2"/>
    <w:basedOn w:val="Normal"/>
    <w:pPr>
      <w:numPr>
        <w:numId w:val="6"/>
      </w:numPr>
      <w:spacing w:after="240" w:line="240" w:lineRule="auto"/>
      <w:jc w:val="both"/>
    </w:pPr>
    <w:rPr>
      <w:rFonts w:ascii="Times New Roman" w:eastAsia="Times New Roman" w:hAnsi="Times New Roman" w:cs="Times New Roman"/>
      <w:sz w:val="24"/>
      <w:szCs w:val="20"/>
      <w:lang w:eastAsia="en-US" w:bidi="ar-SA"/>
    </w:rPr>
  </w:style>
  <w:style w:type="paragraph" w:styleId="ListBullet3">
    <w:name w:val="List Bullet 3"/>
    <w:basedOn w:val="Normal"/>
    <w:pPr>
      <w:numPr>
        <w:numId w:val="7"/>
      </w:numPr>
      <w:spacing w:after="240" w:line="240" w:lineRule="auto"/>
      <w:jc w:val="both"/>
    </w:pPr>
    <w:rPr>
      <w:rFonts w:ascii="Times New Roman" w:eastAsia="Times New Roman" w:hAnsi="Times New Roman" w:cs="Times New Roman"/>
      <w:sz w:val="24"/>
      <w:szCs w:val="20"/>
      <w:lang w:eastAsia="en-US" w:bidi="ar-SA"/>
    </w:rPr>
  </w:style>
  <w:style w:type="paragraph" w:styleId="ListBullet4">
    <w:name w:val="List Bullet 4"/>
    <w:basedOn w:val="Normal"/>
    <w:pPr>
      <w:numPr>
        <w:numId w:val="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
    <w:name w:val="List Dash"/>
    <w:basedOn w:val="Normal"/>
    <w:pPr>
      <w:numPr>
        <w:numId w:val="9"/>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1">
    <w:name w:val="List Dash 1"/>
    <w:basedOn w:val="Normal"/>
    <w:pPr>
      <w:numPr>
        <w:numId w:val="10"/>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2">
    <w:name w:val="List Dash 2"/>
    <w:basedOn w:val="Normal"/>
    <w:pPr>
      <w:numPr>
        <w:numId w:val="11"/>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3">
    <w:name w:val="List Dash 3"/>
    <w:basedOn w:val="Normal"/>
    <w:pPr>
      <w:numPr>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4">
    <w:name w:val="List Dash 4"/>
    <w:basedOn w:val="Normal"/>
    <w:pPr>
      <w:numPr>
        <w:numId w:val="13"/>
      </w:numPr>
      <w:spacing w:after="240" w:line="240" w:lineRule="auto"/>
      <w:jc w:val="both"/>
    </w:pPr>
    <w:rPr>
      <w:rFonts w:ascii="Times New Roman" w:eastAsia="Times New Roman" w:hAnsi="Times New Roman" w:cs="Times New Roman"/>
      <w:sz w:val="24"/>
      <w:szCs w:val="20"/>
      <w:lang w:eastAsia="en-US" w:bidi="ar-SA"/>
    </w:rPr>
  </w:style>
  <w:style w:type="paragraph" w:styleId="ListNumber">
    <w:name w:val="List Number"/>
    <w:basedOn w:val="Normal"/>
    <w:pPr>
      <w:numPr>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
    <w:name w:val="List Number 1"/>
    <w:basedOn w:val="Normal"/>
    <w:pPr>
      <w:numPr>
        <w:numId w:val="15"/>
      </w:numPr>
      <w:spacing w:after="240" w:line="240" w:lineRule="auto"/>
      <w:jc w:val="both"/>
    </w:pPr>
    <w:rPr>
      <w:rFonts w:ascii="Times New Roman" w:eastAsia="Times New Roman" w:hAnsi="Times New Roman" w:cs="Times New Roman"/>
      <w:sz w:val="24"/>
      <w:szCs w:val="20"/>
      <w:lang w:eastAsia="en-US" w:bidi="ar-SA"/>
    </w:rPr>
  </w:style>
  <w:style w:type="paragraph" w:styleId="ListNumber2">
    <w:name w:val="List Number 2"/>
    <w:basedOn w:val="Normal"/>
    <w:pPr>
      <w:numPr>
        <w:numId w:val="16"/>
      </w:numPr>
      <w:spacing w:after="240" w:line="240" w:lineRule="auto"/>
      <w:jc w:val="both"/>
    </w:pPr>
    <w:rPr>
      <w:rFonts w:ascii="Times New Roman" w:eastAsia="Times New Roman" w:hAnsi="Times New Roman" w:cs="Times New Roman"/>
      <w:sz w:val="24"/>
      <w:szCs w:val="20"/>
      <w:lang w:eastAsia="en-US" w:bidi="ar-SA"/>
    </w:rPr>
  </w:style>
  <w:style w:type="paragraph" w:styleId="ListNumber3">
    <w:name w:val="List Number 3"/>
    <w:basedOn w:val="Normal"/>
    <w:pPr>
      <w:numPr>
        <w:numId w:val="17"/>
      </w:numPr>
      <w:spacing w:after="240" w:line="240" w:lineRule="auto"/>
      <w:jc w:val="both"/>
    </w:pPr>
    <w:rPr>
      <w:rFonts w:ascii="Times New Roman" w:eastAsia="Times New Roman" w:hAnsi="Times New Roman" w:cs="Times New Roman"/>
      <w:sz w:val="24"/>
      <w:szCs w:val="20"/>
      <w:lang w:eastAsia="en-US" w:bidi="ar-SA"/>
    </w:rPr>
  </w:style>
  <w:style w:type="paragraph" w:styleId="ListNumber4">
    <w:name w:val="List Number 4"/>
    <w:basedOn w:val="Normal"/>
    <w:pPr>
      <w:numPr>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2">
    <w:name w:val="List Number (Level 2)"/>
    <w:basedOn w:val="Normal"/>
    <w:pPr>
      <w:numPr>
        <w:ilvl w:val="1"/>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2">
    <w:name w:val="List Number 1 (Level 2)"/>
    <w:basedOn w:val="Normal"/>
    <w:pPr>
      <w:numPr>
        <w:ilvl w:val="1"/>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2">
    <w:name w:val="List Number 2 (Level 2)"/>
    <w:basedOn w:val="Normal"/>
    <w:pPr>
      <w:numPr>
        <w:ilvl w:val="1"/>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2">
    <w:name w:val="List Number 3 (Level 2)"/>
    <w:basedOn w:val="Normal"/>
    <w:pPr>
      <w:numPr>
        <w:ilvl w:val="1"/>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2">
    <w:name w:val="List Number 4 (Level 2)"/>
    <w:basedOn w:val="Normal"/>
    <w:pPr>
      <w:numPr>
        <w:ilvl w:val="1"/>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3">
    <w:name w:val="List Number (Level 3)"/>
    <w:basedOn w:val="Normal"/>
    <w:pPr>
      <w:numPr>
        <w:ilvl w:val="2"/>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3">
    <w:name w:val="List Number 1 (Level 3)"/>
    <w:basedOn w:val="Normal"/>
    <w:pPr>
      <w:numPr>
        <w:ilvl w:val="2"/>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3">
    <w:name w:val="List Number 2 (Level 3)"/>
    <w:basedOn w:val="Normal"/>
    <w:pPr>
      <w:numPr>
        <w:ilvl w:val="2"/>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3">
    <w:name w:val="List Number 3 (Level 3)"/>
    <w:basedOn w:val="Normal"/>
    <w:pPr>
      <w:numPr>
        <w:ilvl w:val="2"/>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3">
    <w:name w:val="List Number 4 (Level 3)"/>
    <w:basedOn w:val="Normal"/>
    <w:pPr>
      <w:numPr>
        <w:ilvl w:val="2"/>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4">
    <w:name w:val="List Number (Level 4)"/>
    <w:basedOn w:val="Normal"/>
    <w:pPr>
      <w:numPr>
        <w:ilvl w:val="3"/>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4">
    <w:name w:val="List Number 1 (Level 4)"/>
    <w:basedOn w:val="Normal"/>
    <w:pPr>
      <w:numPr>
        <w:ilvl w:val="3"/>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4">
    <w:name w:val="List Number 2 (Level 4)"/>
    <w:basedOn w:val="Normal"/>
    <w:pPr>
      <w:numPr>
        <w:ilvl w:val="3"/>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4">
    <w:name w:val="List Number 3 (Level 4)"/>
    <w:basedOn w:val="Normal"/>
    <w:pPr>
      <w:numPr>
        <w:ilvl w:val="3"/>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4">
    <w:name w:val="List Number 4 (Level 4)"/>
    <w:basedOn w:val="Normal"/>
    <w:pPr>
      <w:numPr>
        <w:ilvl w:val="3"/>
        <w:numId w:val="18"/>
      </w:numPr>
      <w:spacing w:after="240" w:line="240" w:lineRule="auto"/>
      <w:jc w:val="both"/>
    </w:pPr>
    <w:rPr>
      <w:rFonts w:ascii="Times New Roman" w:eastAsia="Times New Roman" w:hAnsi="Times New Roman" w:cs="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lang w:eastAsia="en-US" w:bidi="ar-S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lang w:eastAsia="en-US" w:bidi="ar-SA"/>
    </w:rPr>
  </w:style>
  <w:style w:type="character" w:styleId="Emphasis">
    <w:name w:val="Emphasis"/>
    <w:basedOn w:val="DefaultParagraphFont"/>
    <w:uiPriority w:val="20"/>
    <w:qFormat/>
    <w:rPr>
      <w:i/>
      <w:iCs/>
      <w:vanish w:val="0"/>
      <w:webHidden w:val="0"/>
      <w:color w:val="0099CC"/>
      <w:specVanish w:val="0"/>
    </w:rPr>
  </w:style>
  <w:style w:type="paragraph" w:styleId="Revision">
    <w:name w:val="Revision"/>
    <w:hidden/>
    <w:uiPriority w:val="99"/>
    <w:semiHidden/>
    <w:pPr>
      <w:spacing w:after="0" w:line="240" w:lineRule="auto"/>
    </w:pPr>
  </w:style>
  <w:style w:type="character" w:customStyle="1" w:styleId="st1">
    <w:name w:val="st1"/>
    <w:basedOn w:val="DefaultParagraphFont"/>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uiPriority w:val="99"/>
    <w:rPr>
      <w:color w:val="0000FF"/>
      <w:u w:val="single"/>
    </w:rPr>
  </w:style>
  <w:style w:type="paragraph" w:styleId="FootnoteText">
    <w:name w:val="footnote text"/>
    <w:basedOn w:val="Normal"/>
    <w:link w:val="FootnoteTextChar"/>
    <w:uiPriority w:val="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lv-LV"/>
    </w:rPr>
  </w:style>
  <w:style w:type="character" w:styleId="FootnoteReference">
    <w:name w:val="footnote reference"/>
    <w:aliases w:val="Footnote symbol,Odwołanie przypisu,footnote ref,FR,Fußnotenzeichen diss neu,Times 10 Point,Exposant 3 Point,Footnote,Voetnootverwijzing"/>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Pointabc">
    <w:name w:val="Point abc"/>
    <w:basedOn w:val="Normal"/>
    <w:uiPriority w:val="99"/>
    <w:pPr>
      <w:numPr>
        <w:ilvl w:val="1"/>
        <w:numId w:val="2"/>
      </w:numPr>
      <w:spacing w:before="120" w:after="120" w:line="360" w:lineRule="auto"/>
    </w:pPr>
    <w:rPr>
      <w:rFonts w:ascii="Times New Roman" w:eastAsia="Times New Roman" w:hAnsi="Times New Roman" w:cs="Times New Roman"/>
      <w:sz w:val="24"/>
      <w:szCs w:val="24"/>
    </w:rPr>
  </w:style>
  <w:style w:type="paragraph" w:customStyle="1" w:styleId="Pointabc1">
    <w:name w:val="Point abc (1)"/>
    <w:basedOn w:val="Normal"/>
    <w:uiPriority w:val="99"/>
    <w:pPr>
      <w:numPr>
        <w:ilvl w:val="3"/>
        <w:numId w:val="2"/>
      </w:numPr>
      <w:spacing w:before="120" w:after="120" w:line="360" w:lineRule="auto"/>
      <w:outlineLvl w:val="0"/>
    </w:pPr>
    <w:rPr>
      <w:rFonts w:ascii="Times New Roman" w:eastAsia="Times New Roman" w:hAnsi="Times New Roman" w:cs="Times New Roman"/>
      <w:sz w:val="24"/>
      <w:szCs w:val="24"/>
    </w:rPr>
  </w:style>
  <w:style w:type="paragraph" w:customStyle="1" w:styleId="Pointabc2">
    <w:name w:val="Point abc (2)"/>
    <w:basedOn w:val="Normal"/>
    <w:uiPriority w:val="99"/>
    <w:pPr>
      <w:numPr>
        <w:ilvl w:val="5"/>
        <w:numId w:val="2"/>
      </w:numPr>
      <w:spacing w:before="120" w:after="120" w:line="360" w:lineRule="auto"/>
      <w:outlineLvl w:val="1"/>
    </w:pPr>
    <w:rPr>
      <w:rFonts w:ascii="Times New Roman" w:eastAsia="Times New Roman" w:hAnsi="Times New Roman" w:cs="Times New Roman"/>
      <w:sz w:val="24"/>
      <w:szCs w:val="24"/>
    </w:rPr>
  </w:style>
  <w:style w:type="paragraph" w:customStyle="1" w:styleId="Pointabc3">
    <w:name w:val="Point abc (3)"/>
    <w:basedOn w:val="Normal"/>
    <w:uiPriority w:val="99"/>
    <w:pPr>
      <w:numPr>
        <w:ilvl w:val="7"/>
        <w:numId w:val="2"/>
      </w:numPr>
      <w:spacing w:before="120" w:after="120" w:line="360" w:lineRule="auto"/>
      <w:outlineLvl w:val="2"/>
    </w:pPr>
    <w:rPr>
      <w:rFonts w:ascii="Times New Roman" w:eastAsia="Times New Roman" w:hAnsi="Times New Roman" w:cs="Times New Roman"/>
      <w:sz w:val="24"/>
      <w:szCs w:val="24"/>
    </w:rPr>
  </w:style>
  <w:style w:type="paragraph" w:customStyle="1" w:styleId="Pointabc4">
    <w:name w:val="Point abc (4)"/>
    <w:basedOn w:val="Normal"/>
    <w:uiPriority w:val="99"/>
    <w:pPr>
      <w:numPr>
        <w:ilvl w:val="8"/>
        <w:numId w:val="2"/>
      </w:numPr>
      <w:spacing w:before="120" w:after="120" w:line="360" w:lineRule="auto"/>
      <w:outlineLvl w:val="3"/>
    </w:pPr>
    <w:rPr>
      <w:rFonts w:ascii="Times New Roman" w:eastAsia="Times New Roman" w:hAnsi="Times New Roman" w:cs="Times New Roman"/>
      <w:sz w:val="24"/>
      <w:szCs w:val="24"/>
    </w:rPr>
  </w:style>
  <w:style w:type="paragraph" w:customStyle="1" w:styleId="Point123">
    <w:name w:val="Point 123"/>
    <w:basedOn w:val="Normal"/>
    <w:uiPriority w:val="99"/>
    <w:pPr>
      <w:numPr>
        <w:numId w:val="2"/>
      </w:numPr>
      <w:spacing w:before="120" w:after="120" w:line="360" w:lineRule="auto"/>
    </w:pPr>
    <w:rPr>
      <w:rFonts w:ascii="Times New Roman" w:eastAsia="Times New Roman" w:hAnsi="Times New Roman" w:cs="Times New Roman"/>
      <w:sz w:val="24"/>
      <w:szCs w:val="24"/>
    </w:rPr>
  </w:style>
  <w:style w:type="paragraph" w:customStyle="1" w:styleId="Point1231">
    <w:name w:val="Point 123 (1)"/>
    <w:basedOn w:val="Normal"/>
    <w:uiPriority w:val="99"/>
    <w:pPr>
      <w:numPr>
        <w:ilvl w:val="2"/>
        <w:numId w:val="2"/>
      </w:numPr>
      <w:spacing w:before="120" w:after="120" w:line="360" w:lineRule="auto"/>
      <w:outlineLvl w:val="0"/>
    </w:pPr>
    <w:rPr>
      <w:rFonts w:ascii="Times New Roman" w:eastAsia="Times New Roman" w:hAnsi="Times New Roman" w:cs="Times New Roman"/>
      <w:sz w:val="24"/>
      <w:szCs w:val="24"/>
    </w:rPr>
  </w:style>
  <w:style w:type="paragraph" w:customStyle="1" w:styleId="Point1232">
    <w:name w:val="Point 123 (2)"/>
    <w:basedOn w:val="Normal"/>
    <w:uiPriority w:val="99"/>
    <w:pPr>
      <w:numPr>
        <w:ilvl w:val="4"/>
        <w:numId w:val="2"/>
      </w:numPr>
      <w:spacing w:before="120" w:after="120" w:line="360" w:lineRule="auto"/>
      <w:outlineLvl w:val="1"/>
    </w:pPr>
    <w:rPr>
      <w:rFonts w:ascii="Times New Roman" w:eastAsia="Times New Roman" w:hAnsi="Times New Roman" w:cs="Times New Roman"/>
      <w:sz w:val="24"/>
      <w:szCs w:val="24"/>
    </w:rPr>
  </w:style>
  <w:style w:type="paragraph" w:customStyle="1" w:styleId="Point1233">
    <w:name w:val="Point 123 (3)"/>
    <w:basedOn w:val="Normal"/>
    <w:uiPriority w:val="99"/>
    <w:pPr>
      <w:numPr>
        <w:ilvl w:val="6"/>
        <w:numId w:val="2"/>
      </w:numPr>
      <w:spacing w:before="120" w:after="120" w:line="360" w:lineRule="auto"/>
      <w:outlineLvl w:val="2"/>
    </w:pPr>
    <w:rPr>
      <w:rFonts w:ascii="Times New Roman" w:eastAsia="Times New Roman" w:hAnsi="Times New Roman" w:cs="Times New Roman"/>
      <w:sz w:val="24"/>
      <w:szCs w:val="24"/>
    </w:rPr>
  </w:style>
  <w:style w:type="paragraph" w:customStyle="1" w:styleId="Pa43">
    <w:name w:val="Pa4+3"/>
    <w:basedOn w:val="Normal"/>
    <w:next w:val="Normal"/>
    <w:uiPriority w:val="99"/>
    <w:pPr>
      <w:autoSpaceDE w:val="0"/>
      <w:autoSpaceDN w:val="0"/>
      <w:adjustRightInd w:val="0"/>
      <w:spacing w:after="0" w:line="181" w:lineRule="atLeast"/>
    </w:pPr>
    <w:rPr>
      <w:rFonts w:ascii="Trivia Sans Book" w:hAnsi="Trivia Sans Book"/>
      <w:sz w:val="24"/>
      <w:szCs w:val="24"/>
    </w:rPr>
  </w:style>
  <w:style w:type="character" w:customStyle="1" w:styleId="ListParagraphChar">
    <w:name w:val="List Paragraph Char"/>
    <w:link w:val="ListParagraph"/>
    <w:uiPriority w:val="34"/>
    <w:locked/>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rivia Sans Book" w:hAnsi="Trivia Sans Book" w:cs="Trivia Sans Book"/>
      <w:color w:val="000000"/>
      <w:sz w:val="24"/>
      <w:szCs w:val="24"/>
    </w:rPr>
  </w:style>
  <w:style w:type="character" w:customStyle="1" w:styleId="A6">
    <w:name w:val="A6"/>
    <w:uiPriority w:val="99"/>
    <w:rPr>
      <w:rFonts w:cs="Trivia Sans Book"/>
      <w:color w:val="000000"/>
      <w:sz w:val="11"/>
      <w:szCs w:val="11"/>
    </w:rPr>
  </w:style>
  <w:style w:type="character" w:customStyle="1" w:styleId="A5">
    <w:name w:val="A5"/>
    <w:uiPriority w:val="99"/>
    <w:rPr>
      <w:rFonts w:cs="Trivia Sans Book"/>
      <w:color w:val="000000"/>
      <w:sz w:val="17"/>
      <w:szCs w:val="17"/>
    </w:rPr>
  </w:style>
  <w:style w:type="paragraph" w:styleId="BodyText">
    <w:name w:val="Body Text"/>
    <w:basedOn w:val="Normal"/>
    <w:link w:val="BodyTextChar"/>
    <w:uiPriority w:val="1"/>
    <w:qFormat/>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Cs w:val="20"/>
    </w:rPr>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lang w:eastAsia="en-US" w:bidi="ar-SA"/>
    </w:rPr>
  </w:style>
  <w:style w:type="paragraph" w:styleId="ListBullet">
    <w:name w:val="List Bullet"/>
    <w:basedOn w:val="Normal"/>
    <w:pPr>
      <w:numPr>
        <w:numId w:val="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Bullet1">
    <w:name w:val="List Bullet 1"/>
    <w:basedOn w:val="Normal"/>
    <w:pPr>
      <w:numPr>
        <w:numId w:val="5"/>
      </w:numPr>
      <w:spacing w:after="240" w:line="240" w:lineRule="auto"/>
      <w:jc w:val="both"/>
    </w:pPr>
    <w:rPr>
      <w:rFonts w:ascii="Times New Roman" w:eastAsia="Times New Roman" w:hAnsi="Times New Roman" w:cs="Times New Roman"/>
      <w:sz w:val="24"/>
      <w:szCs w:val="20"/>
      <w:lang w:eastAsia="en-US" w:bidi="ar-SA"/>
    </w:rPr>
  </w:style>
  <w:style w:type="paragraph" w:styleId="ListBullet2">
    <w:name w:val="List Bullet 2"/>
    <w:basedOn w:val="Normal"/>
    <w:pPr>
      <w:numPr>
        <w:numId w:val="6"/>
      </w:numPr>
      <w:spacing w:after="240" w:line="240" w:lineRule="auto"/>
      <w:jc w:val="both"/>
    </w:pPr>
    <w:rPr>
      <w:rFonts w:ascii="Times New Roman" w:eastAsia="Times New Roman" w:hAnsi="Times New Roman" w:cs="Times New Roman"/>
      <w:sz w:val="24"/>
      <w:szCs w:val="20"/>
      <w:lang w:eastAsia="en-US" w:bidi="ar-SA"/>
    </w:rPr>
  </w:style>
  <w:style w:type="paragraph" w:styleId="ListBullet3">
    <w:name w:val="List Bullet 3"/>
    <w:basedOn w:val="Normal"/>
    <w:pPr>
      <w:numPr>
        <w:numId w:val="7"/>
      </w:numPr>
      <w:spacing w:after="240" w:line="240" w:lineRule="auto"/>
      <w:jc w:val="both"/>
    </w:pPr>
    <w:rPr>
      <w:rFonts w:ascii="Times New Roman" w:eastAsia="Times New Roman" w:hAnsi="Times New Roman" w:cs="Times New Roman"/>
      <w:sz w:val="24"/>
      <w:szCs w:val="20"/>
      <w:lang w:eastAsia="en-US" w:bidi="ar-SA"/>
    </w:rPr>
  </w:style>
  <w:style w:type="paragraph" w:styleId="ListBullet4">
    <w:name w:val="List Bullet 4"/>
    <w:basedOn w:val="Normal"/>
    <w:pPr>
      <w:numPr>
        <w:numId w:val="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
    <w:name w:val="List Dash"/>
    <w:basedOn w:val="Normal"/>
    <w:pPr>
      <w:numPr>
        <w:numId w:val="9"/>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1">
    <w:name w:val="List Dash 1"/>
    <w:basedOn w:val="Normal"/>
    <w:pPr>
      <w:numPr>
        <w:numId w:val="10"/>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2">
    <w:name w:val="List Dash 2"/>
    <w:basedOn w:val="Normal"/>
    <w:pPr>
      <w:numPr>
        <w:numId w:val="11"/>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3">
    <w:name w:val="List Dash 3"/>
    <w:basedOn w:val="Normal"/>
    <w:pPr>
      <w:numPr>
        <w:numId w:val="12"/>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Dash4">
    <w:name w:val="List Dash 4"/>
    <w:basedOn w:val="Normal"/>
    <w:pPr>
      <w:numPr>
        <w:numId w:val="13"/>
      </w:numPr>
      <w:spacing w:after="240" w:line="240" w:lineRule="auto"/>
      <w:jc w:val="both"/>
    </w:pPr>
    <w:rPr>
      <w:rFonts w:ascii="Times New Roman" w:eastAsia="Times New Roman" w:hAnsi="Times New Roman" w:cs="Times New Roman"/>
      <w:sz w:val="24"/>
      <w:szCs w:val="20"/>
      <w:lang w:eastAsia="en-US" w:bidi="ar-SA"/>
    </w:rPr>
  </w:style>
  <w:style w:type="paragraph" w:styleId="ListNumber">
    <w:name w:val="List Number"/>
    <w:basedOn w:val="Normal"/>
    <w:pPr>
      <w:numPr>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
    <w:name w:val="List Number 1"/>
    <w:basedOn w:val="Normal"/>
    <w:pPr>
      <w:numPr>
        <w:numId w:val="15"/>
      </w:numPr>
      <w:spacing w:after="240" w:line="240" w:lineRule="auto"/>
      <w:jc w:val="both"/>
    </w:pPr>
    <w:rPr>
      <w:rFonts w:ascii="Times New Roman" w:eastAsia="Times New Roman" w:hAnsi="Times New Roman" w:cs="Times New Roman"/>
      <w:sz w:val="24"/>
      <w:szCs w:val="20"/>
      <w:lang w:eastAsia="en-US" w:bidi="ar-SA"/>
    </w:rPr>
  </w:style>
  <w:style w:type="paragraph" w:styleId="ListNumber2">
    <w:name w:val="List Number 2"/>
    <w:basedOn w:val="Normal"/>
    <w:pPr>
      <w:numPr>
        <w:numId w:val="16"/>
      </w:numPr>
      <w:spacing w:after="240" w:line="240" w:lineRule="auto"/>
      <w:jc w:val="both"/>
    </w:pPr>
    <w:rPr>
      <w:rFonts w:ascii="Times New Roman" w:eastAsia="Times New Roman" w:hAnsi="Times New Roman" w:cs="Times New Roman"/>
      <w:sz w:val="24"/>
      <w:szCs w:val="20"/>
      <w:lang w:eastAsia="en-US" w:bidi="ar-SA"/>
    </w:rPr>
  </w:style>
  <w:style w:type="paragraph" w:styleId="ListNumber3">
    <w:name w:val="List Number 3"/>
    <w:basedOn w:val="Normal"/>
    <w:pPr>
      <w:numPr>
        <w:numId w:val="17"/>
      </w:numPr>
      <w:spacing w:after="240" w:line="240" w:lineRule="auto"/>
      <w:jc w:val="both"/>
    </w:pPr>
    <w:rPr>
      <w:rFonts w:ascii="Times New Roman" w:eastAsia="Times New Roman" w:hAnsi="Times New Roman" w:cs="Times New Roman"/>
      <w:sz w:val="24"/>
      <w:szCs w:val="20"/>
      <w:lang w:eastAsia="en-US" w:bidi="ar-SA"/>
    </w:rPr>
  </w:style>
  <w:style w:type="paragraph" w:styleId="ListNumber4">
    <w:name w:val="List Number 4"/>
    <w:basedOn w:val="Normal"/>
    <w:pPr>
      <w:numPr>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2">
    <w:name w:val="List Number (Level 2)"/>
    <w:basedOn w:val="Normal"/>
    <w:pPr>
      <w:numPr>
        <w:ilvl w:val="1"/>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2">
    <w:name w:val="List Number 1 (Level 2)"/>
    <w:basedOn w:val="Normal"/>
    <w:pPr>
      <w:numPr>
        <w:ilvl w:val="1"/>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2">
    <w:name w:val="List Number 2 (Level 2)"/>
    <w:basedOn w:val="Normal"/>
    <w:pPr>
      <w:numPr>
        <w:ilvl w:val="1"/>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2">
    <w:name w:val="List Number 3 (Level 2)"/>
    <w:basedOn w:val="Normal"/>
    <w:pPr>
      <w:numPr>
        <w:ilvl w:val="1"/>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2">
    <w:name w:val="List Number 4 (Level 2)"/>
    <w:basedOn w:val="Normal"/>
    <w:pPr>
      <w:numPr>
        <w:ilvl w:val="1"/>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3">
    <w:name w:val="List Number (Level 3)"/>
    <w:basedOn w:val="Normal"/>
    <w:pPr>
      <w:numPr>
        <w:ilvl w:val="2"/>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3">
    <w:name w:val="List Number 1 (Level 3)"/>
    <w:basedOn w:val="Normal"/>
    <w:pPr>
      <w:numPr>
        <w:ilvl w:val="2"/>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3">
    <w:name w:val="List Number 2 (Level 3)"/>
    <w:basedOn w:val="Normal"/>
    <w:pPr>
      <w:numPr>
        <w:ilvl w:val="2"/>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3">
    <w:name w:val="List Number 3 (Level 3)"/>
    <w:basedOn w:val="Normal"/>
    <w:pPr>
      <w:numPr>
        <w:ilvl w:val="2"/>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3">
    <w:name w:val="List Number 4 (Level 3)"/>
    <w:basedOn w:val="Normal"/>
    <w:pPr>
      <w:numPr>
        <w:ilvl w:val="2"/>
        <w:numId w:val="18"/>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Level4">
    <w:name w:val="List Number (Level 4)"/>
    <w:basedOn w:val="Normal"/>
    <w:pPr>
      <w:numPr>
        <w:ilvl w:val="3"/>
        <w:numId w:val="14"/>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1Level4">
    <w:name w:val="List Number 1 (Level 4)"/>
    <w:basedOn w:val="Normal"/>
    <w:pPr>
      <w:numPr>
        <w:ilvl w:val="3"/>
        <w:numId w:val="15"/>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2Level4">
    <w:name w:val="List Number 2 (Level 4)"/>
    <w:basedOn w:val="Normal"/>
    <w:pPr>
      <w:numPr>
        <w:ilvl w:val="3"/>
        <w:numId w:val="16"/>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3Level4">
    <w:name w:val="List Number 3 (Level 4)"/>
    <w:basedOn w:val="Normal"/>
    <w:pPr>
      <w:numPr>
        <w:ilvl w:val="3"/>
        <w:numId w:val="17"/>
      </w:numPr>
      <w:spacing w:after="240" w:line="240" w:lineRule="auto"/>
      <w:jc w:val="both"/>
    </w:pPr>
    <w:rPr>
      <w:rFonts w:ascii="Times New Roman" w:eastAsia="Times New Roman" w:hAnsi="Times New Roman" w:cs="Times New Roman"/>
      <w:sz w:val="24"/>
      <w:szCs w:val="20"/>
      <w:lang w:eastAsia="en-US" w:bidi="ar-SA"/>
    </w:rPr>
  </w:style>
  <w:style w:type="paragraph" w:customStyle="1" w:styleId="ListNumber4Level4">
    <w:name w:val="List Number 4 (Level 4)"/>
    <w:basedOn w:val="Normal"/>
    <w:pPr>
      <w:numPr>
        <w:ilvl w:val="3"/>
        <w:numId w:val="18"/>
      </w:numPr>
      <w:spacing w:after="240" w:line="240" w:lineRule="auto"/>
      <w:jc w:val="both"/>
    </w:pPr>
    <w:rPr>
      <w:rFonts w:ascii="Times New Roman" w:eastAsia="Times New Roman" w:hAnsi="Times New Roman" w:cs="Times New Roman"/>
      <w:sz w:val="24"/>
      <w:szCs w:val="20"/>
      <w:lang w:eastAsia="en-US" w:bidi="ar-SA"/>
    </w:r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lang w:eastAsia="en-US" w:bidi="ar-SA"/>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lang w:eastAsia="en-US" w:bidi="ar-SA"/>
    </w:rPr>
  </w:style>
  <w:style w:type="character" w:styleId="Emphasis">
    <w:name w:val="Emphasis"/>
    <w:basedOn w:val="DefaultParagraphFont"/>
    <w:uiPriority w:val="20"/>
    <w:qFormat/>
    <w:rPr>
      <w:i/>
      <w:iCs/>
      <w:vanish w:val="0"/>
      <w:webHidden w:val="0"/>
      <w:color w:val="0099CC"/>
      <w:specVanish w:val="0"/>
    </w:rPr>
  </w:style>
  <w:style w:type="paragraph" w:styleId="Revision">
    <w:name w:val="Revision"/>
    <w:hidden/>
    <w:uiPriority w:val="99"/>
    <w:semiHidden/>
    <w:pPr>
      <w:spacing w:after="0" w:line="240" w:lineRule="auto"/>
    </w:pPr>
  </w:style>
  <w:style w:type="character" w:customStyle="1" w:styleId="st1">
    <w:name w:val="st1"/>
    <w:basedOn w:val="DefaultParagraphFont"/>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42727">
      <w:bodyDiv w:val="1"/>
      <w:marLeft w:val="0"/>
      <w:marRight w:val="0"/>
      <w:marTop w:val="0"/>
      <w:marBottom w:val="0"/>
      <w:divBdr>
        <w:top w:val="none" w:sz="0" w:space="0" w:color="auto"/>
        <w:left w:val="none" w:sz="0" w:space="0" w:color="auto"/>
        <w:bottom w:val="none" w:sz="0" w:space="0" w:color="auto"/>
        <w:right w:val="none" w:sz="0" w:space="0" w:color="auto"/>
      </w:divBdr>
      <w:divsChild>
        <w:div w:id="1133057866">
          <w:marLeft w:val="0"/>
          <w:marRight w:val="0"/>
          <w:marTop w:val="0"/>
          <w:marBottom w:val="0"/>
          <w:divBdr>
            <w:top w:val="none" w:sz="0" w:space="0" w:color="auto"/>
            <w:left w:val="none" w:sz="0" w:space="0" w:color="auto"/>
            <w:bottom w:val="none" w:sz="0" w:space="0" w:color="auto"/>
            <w:right w:val="none" w:sz="0" w:space="0" w:color="auto"/>
          </w:divBdr>
          <w:divsChild>
            <w:div w:id="671109958">
              <w:marLeft w:val="0"/>
              <w:marRight w:val="0"/>
              <w:marTop w:val="0"/>
              <w:marBottom w:val="0"/>
              <w:divBdr>
                <w:top w:val="none" w:sz="0" w:space="0" w:color="auto"/>
                <w:left w:val="none" w:sz="0" w:space="0" w:color="auto"/>
                <w:bottom w:val="none" w:sz="0" w:space="0" w:color="auto"/>
                <w:right w:val="none" w:sz="0" w:space="0" w:color="auto"/>
              </w:divBdr>
              <w:divsChild>
                <w:div w:id="876963708">
                  <w:marLeft w:val="0"/>
                  <w:marRight w:val="-4875"/>
                  <w:marTop w:val="0"/>
                  <w:marBottom w:val="0"/>
                  <w:divBdr>
                    <w:top w:val="none" w:sz="0" w:space="0" w:color="auto"/>
                    <w:left w:val="none" w:sz="0" w:space="0" w:color="auto"/>
                    <w:bottom w:val="none" w:sz="0" w:space="0" w:color="auto"/>
                    <w:right w:val="none" w:sz="0" w:space="0" w:color="auto"/>
                  </w:divBdr>
                  <w:divsChild>
                    <w:div w:id="497577012">
                      <w:marLeft w:val="0"/>
                      <w:marRight w:val="0"/>
                      <w:marTop w:val="0"/>
                      <w:marBottom w:val="0"/>
                      <w:divBdr>
                        <w:top w:val="none" w:sz="0" w:space="0" w:color="auto"/>
                        <w:left w:val="none" w:sz="0" w:space="0" w:color="auto"/>
                        <w:bottom w:val="none" w:sz="0" w:space="0" w:color="auto"/>
                        <w:right w:val="none" w:sz="0" w:space="0" w:color="auto"/>
                      </w:divBdr>
                      <w:divsChild>
                        <w:div w:id="1728336165">
                          <w:marLeft w:val="0"/>
                          <w:marRight w:val="0"/>
                          <w:marTop w:val="0"/>
                          <w:marBottom w:val="0"/>
                          <w:divBdr>
                            <w:top w:val="none" w:sz="0" w:space="0" w:color="auto"/>
                            <w:left w:val="none" w:sz="0" w:space="0" w:color="auto"/>
                            <w:bottom w:val="none" w:sz="0" w:space="0" w:color="auto"/>
                            <w:right w:val="none" w:sz="0" w:space="0" w:color="auto"/>
                          </w:divBdr>
                          <w:divsChild>
                            <w:div w:id="678313701">
                              <w:marLeft w:val="0"/>
                              <w:marRight w:val="0"/>
                              <w:marTop w:val="0"/>
                              <w:marBottom w:val="0"/>
                              <w:divBdr>
                                <w:top w:val="none" w:sz="0" w:space="0" w:color="auto"/>
                                <w:left w:val="none" w:sz="0" w:space="0" w:color="auto"/>
                                <w:bottom w:val="none" w:sz="0" w:space="0" w:color="auto"/>
                                <w:right w:val="none" w:sz="0" w:space="0" w:color="auto"/>
                              </w:divBdr>
                              <w:divsChild>
                                <w:div w:id="684748849">
                                  <w:marLeft w:val="0"/>
                                  <w:marRight w:val="0"/>
                                  <w:marTop w:val="0"/>
                                  <w:marBottom w:val="0"/>
                                  <w:divBdr>
                                    <w:top w:val="none" w:sz="0" w:space="0" w:color="auto"/>
                                    <w:left w:val="none" w:sz="0" w:space="0" w:color="auto"/>
                                    <w:bottom w:val="none" w:sz="0" w:space="0" w:color="auto"/>
                                    <w:right w:val="none" w:sz="0" w:space="0" w:color="auto"/>
                                  </w:divBdr>
                                  <w:divsChild>
                                    <w:div w:id="980957963">
                                      <w:marLeft w:val="0"/>
                                      <w:marRight w:val="0"/>
                                      <w:marTop w:val="0"/>
                                      <w:marBottom w:val="0"/>
                                      <w:divBdr>
                                        <w:top w:val="none" w:sz="0" w:space="0" w:color="auto"/>
                                        <w:left w:val="none" w:sz="0" w:space="0" w:color="auto"/>
                                        <w:bottom w:val="none" w:sz="0" w:space="0" w:color="auto"/>
                                        <w:right w:val="none" w:sz="0" w:space="0" w:color="auto"/>
                                      </w:divBdr>
                                      <w:divsChild>
                                        <w:div w:id="91967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373331">
      <w:bodyDiv w:val="1"/>
      <w:marLeft w:val="0"/>
      <w:marRight w:val="0"/>
      <w:marTop w:val="0"/>
      <w:marBottom w:val="0"/>
      <w:divBdr>
        <w:top w:val="none" w:sz="0" w:space="0" w:color="auto"/>
        <w:left w:val="none" w:sz="0" w:space="0" w:color="auto"/>
        <w:bottom w:val="none" w:sz="0" w:space="0" w:color="auto"/>
        <w:right w:val="none" w:sz="0" w:space="0" w:color="auto"/>
      </w:divBdr>
    </w:div>
    <w:div w:id="736247812">
      <w:bodyDiv w:val="1"/>
      <w:marLeft w:val="0"/>
      <w:marRight w:val="0"/>
      <w:marTop w:val="0"/>
      <w:marBottom w:val="0"/>
      <w:divBdr>
        <w:top w:val="none" w:sz="0" w:space="0" w:color="auto"/>
        <w:left w:val="none" w:sz="0" w:space="0" w:color="auto"/>
        <w:bottom w:val="none" w:sz="0" w:space="0" w:color="auto"/>
        <w:right w:val="none" w:sz="0" w:space="0" w:color="auto"/>
      </w:divBdr>
    </w:div>
    <w:div w:id="153153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eeas.europa.eu/la/drugs/index_en.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ur-lex.europa.eu/legal-content/LV/TXT/?qid=1418819138100&amp;uri=CELEX:52013PC0619"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www.emcdda.europa.eu/topics/pods/drug-consumption-rooms" TargetMode="External"/><Relationship Id="rId2" Type="http://schemas.openxmlformats.org/officeDocument/2006/relationships/hyperlink" Target="http://ec.europa.eu/chafea/documents/health/report-drug-dependence_en.pdf" TargetMode="External"/><Relationship Id="rId1" Type="http://schemas.openxmlformats.org/officeDocument/2006/relationships/hyperlink" Target="http://www.emcdda.europa.eu/topics/pods/benzodiazepines" TargetMode="External"/><Relationship Id="rId6" Type="http://schemas.openxmlformats.org/officeDocument/2006/relationships/hyperlink" Target="https://www.fight-trafficking.eu/" TargetMode="External"/><Relationship Id="rId5" Type="http://schemas.openxmlformats.org/officeDocument/2006/relationships/hyperlink" Target="http://www.cocaineroute.eu/" TargetMode="External"/><Relationship Id="rId4" Type="http://schemas.openxmlformats.org/officeDocument/2006/relationships/hyperlink" Target="https://ec.europa.eu/europeaid/regions/latin-america/copolad-cooperation-programme-between-latin-america-and-european-union-drug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C776F-F3BD-4182-B6A7-F1373492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107</TotalTime>
  <Pages>15</Pages>
  <Words>4773</Words>
  <Characters>31983</Characters>
  <Application>Microsoft Office Word</Application>
  <DocSecurity>0</DocSecurity>
  <Lines>456</Lines>
  <Paragraphs>120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33</cp:revision>
  <cp:lastPrinted>2015-10-29T08:53:00Z</cp:lastPrinted>
  <dcterms:created xsi:type="dcterms:W3CDTF">2015-11-05T13:23:00Z</dcterms:created>
  <dcterms:modified xsi:type="dcterms:W3CDTF">2015-11-27T08:56:00Z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vt:lpwstr>
  </property>
  <property fmtid="{D5CDD505-2E9C-101B-9397-08002B2CF9AE}" pid="5" name="Formatting">
    <vt:lpwstr>4.1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lassification">
    <vt:lpwstr> </vt:lpwstr>
  </property>
  <property name="OP_sanitized" fmtid="{D5CDD505-2E9C-101B-9397-08002B2CF9AE}" pid="10">
    <vt:lpwstr>True</vt:lpwstr>
  </property>
</Properties>
</file>