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53F3F" w:rsidR="008835DB" w:rsidP="001F7BA7" w:rsidRDefault="00A05E47" w14:paraId="0E141714" w14:textId="6AE42DC3">
      <w:pPr>
        <w:pStyle w:val="Footer"/>
        <w:jc w:val="center"/>
      </w:pPr>
      <w:r>
        <w:rPr>
          <w:noProof/>
        </w:rPr>
        <w:drawing>
          <wp:inline distT="0" distB="0" distL="0" distR="0" wp14:anchorId="06296E2A" wp14:editId="300C8201">
            <wp:extent cx="1792605" cy="1239520"/>
            <wp:effectExtent l="0" t="0" r="0" b="0"/>
            <wp:docPr id="2" name="Picture 2" title="EESCLogo_LT"/>
            <wp:cNvGraphicFramePr/>
            <a:graphic xmlns:a="http://schemas.openxmlformats.org/drawingml/2006/main">
              <a:graphicData uri="http://schemas.openxmlformats.org/drawingml/2006/picture">
                <pic:pic xmlns:pic="http://schemas.openxmlformats.org/drawingml/2006/picture">
                  <pic:nvPicPr>
                    <pic:cNvPr id="2" name="Picture 2" title="EESCLogo_L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603CA4">
        <w:rPr>
          <w:noProof/>
          <w:sz w:val="20"/>
        </w:rPr>
        <mc:AlternateContent>
          <mc:Choice Requires="wps">
            <w:drawing>
              <wp:anchor distT="0" distB="0" distL="114300" distR="114300" simplePos="0" relativeHeight="251659264" behindDoc="1" locked="0" layoutInCell="0" allowOverlap="1" wp14:editId="4EBC8408" wp14:anchorId="5EEC5842">
                <wp:simplePos x="0" y="0"/>
                <wp:positionH relativeFrom="page">
                  <wp:posOffset>6769100</wp:posOffset>
                </wp:positionH>
                <wp:positionV relativeFrom="page">
                  <wp:posOffset>10081260</wp:posOffset>
                </wp:positionV>
                <wp:extent cx="647700" cy="39624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wps:spPr>
                      <wps:txbx>
                        <w:txbxContent>
                          <w:p w:rsidRPr="00EA02E8" w:rsidR="008835DB" w:rsidP="008835DB" w:rsidRDefault="008835DB" w14:paraId="7BF2C23F" w14:textId="77777777">
                            <w:pPr>
                              <w:jc w:val="center"/>
                              <w:rPr>
                                <w:rFonts w:ascii="Arial" w:hAnsi="Arial" w:cs="Arial"/>
                                <w:b/>
                                <w:bCs/>
                                <w:sz w:val="48"/>
                              </w:rPr>
                            </w:pPr>
                            <w:r>
                              <w:rPr>
                                <w:rFonts w:ascii="Arial" w:hAnsi="Arial"/>
                                <w:b/>
                                <w:sz w:val="48"/>
                              </w:rPr>
                              <w:t>LT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EEC5842">
                <v:stroke joinstyle="miter"/>
                <v:path gradientshapeok="t" o:connecttype="rect"/>
              </v:shapetype>
              <v:shape id="Text Box 1"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">
                <v:textbox>
                  <w:txbxContent>
                    <w:p w:rsidRPr="00EA02E8" w:rsidR="008835DB" w:rsidP="008835DB" w:rsidRDefault="008835DB" w14:paraId="7BF2C23F" w14:textId="77777777">
                      <w:pPr>
                        <w:jc w:val="center"/>
                        <w:rPr>
                          <w:rFonts w:ascii="Arial" w:hAnsi="Arial" w:cs="Arial"/>
                          <w:b/>
                          <w:bCs/>
                          <w:sz w:val="48"/>
                        </w:rPr>
                      </w:pPr>
                      <w:r>
                        <w:rPr>
                          <w:rFonts w:ascii="Arial" w:hAnsi="Arial"/>
                          <w:b/>
                          <w:sz w:val="48"/>
                        </w:rPr>
                        <w:t>LT</w:t>
                      </w:r>
                    </w:p>
                  </w:txbxContent>
                </v:textbox>
                <w10:wrap anchorx="page" anchory="page"/>
              </v:shape>
            </w:pict>
          </mc:Fallback>
        </mc:AlternateContent>
      </w:r>
    </w:p>
    <w:p w:rsidRPr="004E7ABB" w:rsidR="008835DB" w:rsidRDefault="008835DB" w14:paraId="33C5FFE1" w14:textId="77777777"/>
    <w:p w:rsidRPr="004E7ABB" w:rsidR="008835DB" w:rsidRDefault="008835DB" w14:paraId="4DF63B9F" w14:textId="77777777">
      <w:pPr>
        <w:jc w:val="right"/>
      </w:pPr>
      <w:r>
        <w:rPr>
          <w:b/>
        </w:rPr>
        <w:t>ECO/637</w:t>
      </w:r>
    </w:p>
    <w:p w:rsidRPr="00653F3F" w:rsidR="008835DB" w:rsidRDefault="008835DB" w14:paraId="7A5A1747" w14:textId="77777777">
      <w:pPr>
        <w:jc w:val="right"/>
        <w:rPr>
          <w:b/>
          <w:bCs/>
        </w:rPr>
      </w:pPr>
      <w:r>
        <w:rPr>
          <w:b/>
        </w:rPr>
        <w:t>Palankesnių sąlygų tarpvalstybiniams sprendimams sudarymas</w:t>
      </w:r>
    </w:p>
    <w:p w:rsidRPr="00653F3F" w:rsidR="008835DB" w:rsidRDefault="008835DB" w14:paraId="6D3BFACC" w14:textId="77777777"/>
    <w:p w:rsidRPr="00653F3F" w:rsidR="008835DB" w:rsidRDefault="008835DB" w14:paraId="311155A1" w14:textId="77777777"/>
    <w:p w:rsidRPr="00653F3F" w:rsidR="008835DB" w:rsidRDefault="00163CEE" w14:paraId="010EBC29" w14:textId="7C1D7107">
      <w:pPr>
        <w:jc w:val="center"/>
        <w:rPr>
          <w:b/>
          <w:bCs/>
          <w:sz w:val="28"/>
          <w:szCs w:val="28"/>
        </w:rPr>
      </w:pPr>
      <w:r>
        <w:rPr>
          <w:b/>
          <w:sz w:val="28"/>
        </w:rPr>
        <w:t>NUOMONĖ</w:t>
      </w:r>
    </w:p>
    <w:p w:rsidRPr="00653F3F" w:rsidR="008835DB" w:rsidRDefault="008835DB" w14:paraId="2D552CFD" w14:textId="77777777">
      <w:pPr>
        <w:jc w:val="center"/>
      </w:pPr>
    </w:p>
    <w:p w:rsidRPr="00653F3F" w:rsidR="008835DB" w:rsidRDefault="008835DB" w14:paraId="37ABB350" w14:textId="77777777">
      <w:pPr>
        <w:jc w:val="center"/>
      </w:pPr>
      <w:r>
        <w:t>Ekonominės ir pinigų sąjungos, ekonominės ir socialinės sanglaudos skyriaus</w:t>
      </w:r>
    </w:p>
    <w:p w:rsidRPr="00653F3F" w:rsidR="008835DB" w:rsidRDefault="008835DB" w14:paraId="510ADB64" w14:textId="77777777">
      <w:pPr>
        <w:jc w:val="center"/>
      </w:pPr>
    </w:p>
    <w:p w:rsidRPr="00653F3F" w:rsidR="008835DB" w:rsidRDefault="00036EBB" w14:paraId="288F6CE3" w14:textId="1A8AFD23">
      <w:pPr>
        <w:jc w:val="center"/>
        <w:rPr>
          <w:b/>
        </w:rPr>
      </w:pPr>
      <w:r>
        <w:rPr>
          <w:b/>
        </w:rPr>
        <w:t>Pakeistas pasiūlymas dėl Europos Parlamento ir Tarybos reglamento dėl mechanizmo teisinėms ir administracinėms kliūtims tarpvalstybiniu mastu šalinti</w:t>
      </w:r>
    </w:p>
    <w:p w:rsidRPr="00653F3F" w:rsidR="008835DB" w:rsidRDefault="008835DB" w14:paraId="215106F9" w14:textId="77777777">
      <w:pPr>
        <w:jc w:val="center"/>
        <w:rPr>
          <w:bCs/>
        </w:rPr>
      </w:pPr>
      <w:r>
        <w:t>(COM(2023) 790 final – 2018/0198 (COD))</w:t>
      </w:r>
    </w:p>
    <w:p w:rsidRPr="00653F3F" w:rsidR="008835DB" w:rsidRDefault="008835DB" w14:paraId="3C855560" w14:textId="77777777">
      <w:pPr>
        <w:jc w:val="cente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Pr="00653F3F" w:rsidR="008835DB" w:rsidTr="00180050" w14:paraId="1112EE24" w14:textId="77777777">
        <w:tc>
          <w:tcPr>
            <w:tcW w:w="3085" w:type="dxa"/>
          </w:tcPr>
          <w:p w:rsidRPr="00653F3F" w:rsidR="008835DB" w:rsidP="001F7BA7" w:rsidRDefault="008835DB" w14:paraId="1EF2D400" w14:textId="77777777">
            <w:pPr>
              <w:jc w:val="left"/>
            </w:pPr>
            <w:r>
              <w:t>Kontaktinis adresas</w:t>
            </w:r>
          </w:p>
        </w:tc>
        <w:tc>
          <w:tcPr>
            <w:tcW w:w="6204" w:type="dxa"/>
          </w:tcPr>
          <w:p w:rsidRPr="00653F3F" w:rsidR="008835DB" w:rsidP="001F7BA7" w:rsidRDefault="00A773BB" w14:paraId="64BBBB72" w14:textId="77777777">
            <w:pPr>
              <w:jc w:val="left"/>
            </w:pPr>
            <w:hyperlink w:history="1" r:id="rId12">
              <w:r w:rsidR="005D5793">
                <w:rPr>
                  <w:rStyle w:val="Hyperlink"/>
                </w:rPr>
                <w:t>ECO@eesc.europa.eu</w:t>
              </w:r>
            </w:hyperlink>
          </w:p>
        </w:tc>
      </w:tr>
      <w:tr w:rsidRPr="00653F3F" w:rsidR="008835DB" w:rsidTr="00180050" w14:paraId="5FF3C5DB" w14:textId="77777777">
        <w:tc>
          <w:tcPr>
            <w:tcW w:w="3085" w:type="dxa"/>
          </w:tcPr>
          <w:p w:rsidRPr="00653F3F" w:rsidR="008835DB" w:rsidP="001F7BA7" w:rsidRDefault="008835DB" w14:paraId="1E4699DF" w14:textId="77777777">
            <w:pPr>
              <w:jc w:val="left"/>
            </w:pPr>
            <w:r>
              <w:t>Administratorius</w:t>
            </w:r>
          </w:p>
        </w:tc>
        <w:tc>
          <w:tcPr>
            <w:tcW w:w="6204" w:type="dxa"/>
          </w:tcPr>
          <w:p w:rsidRPr="00653F3F" w:rsidR="008835DB" w:rsidP="001F7BA7" w:rsidRDefault="00A27875" w14:paraId="1589BBBC" w14:textId="509A020B">
            <w:pPr>
              <w:jc w:val="left"/>
            </w:pPr>
            <w:proofErr w:type="spellStart"/>
            <w:r>
              <w:t>Georgios</w:t>
            </w:r>
            <w:proofErr w:type="spellEnd"/>
            <w:r>
              <w:t xml:space="preserve"> </w:t>
            </w:r>
            <w:proofErr w:type="spellStart"/>
            <w:r>
              <w:t>Meleas</w:t>
            </w:r>
            <w:proofErr w:type="spellEnd"/>
          </w:p>
        </w:tc>
      </w:tr>
      <w:tr w:rsidRPr="00653F3F" w:rsidR="008835DB" w:rsidTr="00180050" w14:paraId="5C33AD56" w14:textId="77777777">
        <w:tc>
          <w:tcPr>
            <w:tcW w:w="3085" w:type="dxa"/>
          </w:tcPr>
          <w:p w:rsidRPr="00653F3F" w:rsidR="008835DB" w:rsidP="001F7BA7" w:rsidRDefault="008835DB" w14:paraId="25FA42FE" w14:textId="77777777">
            <w:pPr>
              <w:jc w:val="left"/>
            </w:pPr>
            <w:r>
              <w:t>Dokumento data</w:t>
            </w:r>
          </w:p>
        </w:tc>
        <w:tc>
          <w:tcPr>
            <w:tcW w:w="6204" w:type="dxa"/>
          </w:tcPr>
          <w:p w:rsidRPr="00653F3F" w:rsidR="008835DB" w:rsidP="001F7BA7" w:rsidRDefault="00AA2979" w14:paraId="0CE8DB59" w14:textId="5F760C78">
            <w:pPr>
              <w:jc w:val="left"/>
            </w:pPr>
            <w:r>
              <w:t>15/4/2024</w:t>
            </w:r>
          </w:p>
        </w:tc>
      </w:tr>
    </w:tbl>
    <w:p w:rsidRPr="00653F3F" w:rsidR="001875D0" w:rsidRDefault="008835DB" w14:paraId="11767C4A" w14:textId="10549C8E">
      <w:pPr>
        <w:jc w:val="center"/>
        <w:rPr>
          <w:b/>
        </w:rPr>
      </w:pPr>
      <w:r>
        <w:t xml:space="preserve">Pranešėjas </w:t>
      </w:r>
      <w:proofErr w:type="spellStart"/>
      <w:r>
        <w:rPr>
          <w:b/>
        </w:rPr>
        <w:t>Athanasios</w:t>
      </w:r>
      <w:proofErr w:type="spellEnd"/>
      <w:r>
        <w:rPr>
          <w:b/>
        </w:rPr>
        <w:t xml:space="preserve"> </w:t>
      </w:r>
      <w:proofErr w:type="spellStart"/>
      <w:r>
        <w:rPr>
          <w:b/>
        </w:rPr>
        <w:t>Ioannidis</w:t>
      </w:r>
      <w:proofErr w:type="spellEnd"/>
    </w:p>
    <w:p w:rsidRPr="00653F3F" w:rsidR="001875D0" w:rsidRDefault="001875D0" w14:paraId="3DB046F1" w14:textId="3433148A">
      <w:pPr>
        <w:jc w:val="center"/>
        <w:rPr>
          <w:bCs/>
        </w:rPr>
      </w:pPr>
    </w:p>
    <w:p w:rsidRPr="00653F3F" w:rsidR="000E2ED9" w:rsidP="00180050" w:rsidRDefault="000E2ED9" w14:paraId="26A7BA71" w14:textId="77777777">
      <w:pPr>
        <w:jc w:val="left"/>
        <w:rPr>
          <w:bCs/>
        </w:rPr>
      </w:pPr>
    </w:p>
    <w:p w:rsidRPr="00653F3F" w:rsidR="008835DB" w:rsidP="008925E0" w:rsidRDefault="008835DB" w14:paraId="4D72AF30" w14:textId="3932DAFC">
      <w:pPr>
        <w:rPr>
          <w:bCs/>
        </w:rPr>
      </w:pPr>
    </w:p>
    <w:p w:rsidRPr="00653F3F" w:rsidR="001875D0" w:rsidRDefault="001875D0" w14:paraId="2A75DBCD" w14:textId="25EE9910">
      <w:pPr>
        <w:jc w:val="center"/>
        <w:rPr>
          <w:bCs/>
        </w:rPr>
        <w:sectPr w:rsidRPr="00653F3F" w:rsidR="001875D0" w:rsidSect="00381FAC">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pgNumType w:start="1"/>
          <w:cols w:space="720"/>
          <w:docGrid w:linePitch="299"/>
        </w:sectPr>
      </w:pPr>
    </w:p>
    <w:p w:rsidRPr="00653F3F" w:rsidR="008835DB" w:rsidRDefault="008835DB" w14:paraId="49192549" w14:textId="77777777"/>
    <w:tbl>
      <w:tblPr>
        <w:tblW w:w="0" w:type="auto"/>
        <w:tblLook w:val="04A0" w:firstRow="1" w:lastRow="0" w:firstColumn="1" w:lastColumn="0" w:noHBand="0" w:noVBand="1"/>
      </w:tblPr>
      <w:tblGrid>
        <w:gridCol w:w="3055"/>
        <w:gridCol w:w="6018"/>
      </w:tblGrid>
      <w:tr w:rsidRPr="00653F3F" w:rsidR="008835DB" w:rsidTr="00794EE7" w14:paraId="2F7D4503" w14:textId="77777777">
        <w:tc>
          <w:tcPr>
            <w:tcW w:w="3055" w:type="dxa"/>
          </w:tcPr>
          <w:p w:rsidRPr="00653F3F" w:rsidR="008835DB" w:rsidRDefault="008835DB" w14:paraId="64B83284" w14:textId="77777777">
            <w:pPr>
              <w:jc w:val="left"/>
            </w:pPr>
            <w:r>
              <w:t>Prašymai pateikti nuomonę</w:t>
            </w:r>
          </w:p>
        </w:tc>
        <w:tc>
          <w:tcPr>
            <w:tcW w:w="6018" w:type="dxa"/>
          </w:tcPr>
          <w:p w:rsidRPr="00653F3F" w:rsidR="008835DB" w:rsidRDefault="004C30B4" w14:paraId="4CE7740C" w14:textId="25D5593B">
            <w:pPr>
              <w:jc w:val="left"/>
            </w:pPr>
            <w:r>
              <w:t xml:space="preserve">Europos Parlamentas, 25/1/2024 </w:t>
            </w:r>
          </w:p>
          <w:p w:rsidRPr="00653F3F" w:rsidR="004C30B4" w:rsidRDefault="004C30B4" w14:paraId="0976D95C" w14:textId="3EFF4E32">
            <w:pPr>
              <w:jc w:val="left"/>
            </w:pPr>
            <w:r>
              <w:t xml:space="preserve">Europos Sąjungos Taryba,1/2/2024 </w:t>
            </w:r>
          </w:p>
        </w:tc>
      </w:tr>
      <w:tr w:rsidRPr="00653F3F" w:rsidR="008835DB" w:rsidTr="00794EE7" w14:paraId="3CE7A24B" w14:textId="77777777">
        <w:trPr>
          <w:trHeight w:val="251"/>
        </w:trPr>
        <w:tc>
          <w:tcPr>
            <w:tcW w:w="3055" w:type="dxa"/>
          </w:tcPr>
          <w:p w:rsidRPr="00653F3F" w:rsidR="008835DB" w:rsidRDefault="008835DB" w14:paraId="73CD4C78" w14:textId="77777777">
            <w:pPr>
              <w:jc w:val="left"/>
            </w:pPr>
            <w:r>
              <w:t>Reglamentavimo pagrindas</w:t>
            </w:r>
          </w:p>
        </w:tc>
        <w:tc>
          <w:tcPr>
            <w:tcW w:w="6018" w:type="dxa"/>
          </w:tcPr>
          <w:p w:rsidRPr="00653F3F" w:rsidR="008835DB" w:rsidRDefault="00283C6E" w14:paraId="25FB8345" w14:textId="182FB4B5">
            <w:pPr>
              <w:jc w:val="left"/>
            </w:pPr>
            <w:r>
              <w:t>Sutarties dėl Europos Sąjungos veikimo 175 straipsnio 3 dalis ir 304 straipsnis</w:t>
            </w:r>
          </w:p>
        </w:tc>
      </w:tr>
      <w:tr w:rsidRPr="00653F3F" w:rsidR="008835DB" w:rsidTr="00794EE7" w14:paraId="47741D58" w14:textId="77777777">
        <w:tc>
          <w:tcPr>
            <w:tcW w:w="3055" w:type="dxa"/>
          </w:tcPr>
          <w:p w:rsidRPr="00653F3F" w:rsidR="008835DB" w:rsidRDefault="008835DB" w14:paraId="1D49E1E1" w14:textId="77777777">
            <w:pPr>
              <w:jc w:val="left"/>
            </w:pPr>
          </w:p>
        </w:tc>
        <w:tc>
          <w:tcPr>
            <w:tcW w:w="6018" w:type="dxa"/>
          </w:tcPr>
          <w:p w:rsidRPr="00653F3F" w:rsidR="008835DB" w:rsidRDefault="008835DB" w14:paraId="366B24EB" w14:textId="79343B59">
            <w:pPr>
              <w:jc w:val="left"/>
            </w:pPr>
          </w:p>
        </w:tc>
      </w:tr>
      <w:tr w:rsidRPr="00653F3F" w:rsidR="008835DB" w:rsidTr="00794EE7" w14:paraId="51B9405D" w14:textId="77777777">
        <w:tc>
          <w:tcPr>
            <w:tcW w:w="3055" w:type="dxa"/>
          </w:tcPr>
          <w:p w:rsidRPr="00653F3F" w:rsidR="008835DB" w:rsidRDefault="008835DB" w14:paraId="4C9687DE" w14:textId="77777777">
            <w:pPr>
              <w:jc w:val="left"/>
            </w:pPr>
            <w:r>
              <w:t>Atsakingas skyrius</w:t>
            </w:r>
          </w:p>
        </w:tc>
        <w:tc>
          <w:tcPr>
            <w:tcW w:w="6018" w:type="dxa"/>
          </w:tcPr>
          <w:p w:rsidRPr="00653F3F" w:rsidR="008835DB" w:rsidRDefault="008835DB" w14:paraId="45E733C1" w14:textId="77777777">
            <w:pPr>
              <w:jc w:val="left"/>
            </w:pPr>
            <w:r>
              <w:t>Ekonominės ir pinigų sąjungos, ekonominės ir socialinės sanglaudos skyrius</w:t>
            </w:r>
          </w:p>
        </w:tc>
      </w:tr>
      <w:tr w:rsidRPr="00653F3F" w:rsidR="008835DB" w:rsidTr="00794EE7" w14:paraId="65F1BA4D" w14:textId="77777777">
        <w:tc>
          <w:tcPr>
            <w:tcW w:w="3055" w:type="dxa"/>
          </w:tcPr>
          <w:p w:rsidRPr="00653F3F" w:rsidR="008835DB" w:rsidRDefault="008835DB" w14:paraId="4AE7140A" w14:textId="77777777">
            <w:pPr>
              <w:jc w:val="left"/>
            </w:pPr>
            <w:r>
              <w:t>Priimta skyriuje</w:t>
            </w:r>
          </w:p>
        </w:tc>
        <w:tc>
          <w:tcPr>
            <w:tcW w:w="6018" w:type="dxa"/>
          </w:tcPr>
          <w:p w:rsidRPr="00653F3F" w:rsidR="008835DB" w:rsidRDefault="00521F6E" w14:paraId="1DF89ED3" w14:textId="19C03943">
            <w:pPr>
              <w:jc w:val="left"/>
            </w:pPr>
            <w:r>
              <w:t>10/4/2024</w:t>
            </w:r>
          </w:p>
        </w:tc>
      </w:tr>
      <w:tr w:rsidRPr="00653F3F" w:rsidR="008835DB" w:rsidTr="00794EE7" w14:paraId="5A97B220" w14:textId="77777777">
        <w:tc>
          <w:tcPr>
            <w:tcW w:w="3055" w:type="dxa"/>
          </w:tcPr>
          <w:p w:rsidRPr="00653F3F" w:rsidR="008835DB" w:rsidRDefault="008835DB" w14:paraId="0584F7EA" w14:textId="786312F4">
            <w:pPr>
              <w:jc w:val="left"/>
            </w:pPr>
            <w:r>
              <w:t>Balsavimo rezultatai (už / prieš / susilaikė)</w:t>
            </w:r>
          </w:p>
        </w:tc>
        <w:tc>
          <w:tcPr>
            <w:tcW w:w="6018" w:type="dxa"/>
            <w:vAlign w:val="bottom"/>
          </w:tcPr>
          <w:p w:rsidRPr="00653F3F" w:rsidR="008835DB" w:rsidRDefault="000467EB" w14:paraId="59277A9D" w14:textId="01A11AC3">
            <w:pPr>
              <w:jc w:val="left"/>
            </w:pPr>
            <w:r>
              <w:t>72 / 0 / 2</w:t>
            </w:r>
          </w:p>
        </w:tc>
      </w:tr>
      <w:tr w:rsidRPr="00653F3F" w:rsidR="008835DB" w:rsidTr="00794EE7" w14:paraId="6C8797F2" w14:textId="77777777">
        <w:tc>
          <w:tcPr>
            <w:tcW w:w="3055" w:type="dxa"/>
          </w:tcPr>
          <w:p w:rsidRPr="00653F3F" w:rsidR="008835DB" w:rsidRDefault="008835DB" w14:paraId="08994E58" w14:textId="77777777">
            <w:pPr>
              <w:jc w:val="left"/>
            </w:pPr>
            <w:r>
              <w:t>Priėmimas plenarinėje sesijoje</w:t>
            </w:r>
          </w:p>
        </w:tc>
        <w:tc>
          <w:tcPr>
            <w:tcW w:w="6018" w:type="dxa"/>
          </w:tcPr>
          <w:p w:rsidRPr="00653F3F" w:rsidR="008835DB" w:rsidRDefault="008835DB" w14:paraId="7C5F3BD7" w14:textId="77777777">
            <w:pPr>
              <w:jc w:val="left"/>
            </w:pPr>
            <w:r>
              <w:t>DD/MM/YYYY</w:t>
            </w:r>
          </w:p>
        </w:tc>
      </w:tr>
      <w:tr w:rsidRPr="00653F3F" w:rsidR="008835DB" w:rsidTr="00794EE7" w14:paraId="4219B23A" w14:textId="77777777">
        <w:tc>
          <w:tcPr>
            <w:tcW w:w="3055" w:type="dxa"/>
          </w:tcPr>
          <w:p w:rsidRPr="00653F3F" w:rsidR="008835DB" w:rsidRDefault="008835DB" w14:paraId="28DD0E09" w14:textId="77777777">
            <w:pPr>
              <w:jc w:val="left"/>
            </w:pPr>
            <w:r>
              <w:t>Plenarinė sesija Nr.</w:t>
            </w:r>
          </w:p>
        </w:tc>
        <w:tc>
          <w:tcPr>
            <w:tcW w:w="6018" w:type="dxa"/>
          </w:tcPr>
          <w:p w:rsidRPr="00653F3F" w:rsidR="008835DB" w:rsidRDefault="008835DB" w14:paraId="43703122" w14:textId="77777777">
            <w:pPr>
              <w:jc w:val="left"/>
            </w:pPr>
            <w:r>
              <w:t>…</w:t>
            </w:r>
          </w:p>
        </w:tc>
      </w:tr>
      <w:tr w:rsidRPr="00653F3F" w:rsidR="008835DB" w:rsidTr="00794EE7" w14:paraId="64DD0C7A" w14:textId="77777777">
        <w:tc>
          <w:tcPr>
            <w:tcW w:w="3055" w:type="dxa"/>
          </w:tcPr>
          <w:p w:rsidRPr="00653F3F" w:rsidR="008835DB" w:rsidRDefault="008835DB" w14:paraId="6ED742D8" w14:textId="0BDB056B">
            <w:pPr>
              <w:jc w:val="left"/>
            </w:pPr>
            <w:r>
              <w:t>Balsavimo rezultatai (už / prieš / susilaikė)</w:t>
            </w:r>
          </w:p>
        </w:tc>
        <w:tc>
          <w:tcPr>
            <w:tcW w:w="6018" w:type="dxa"/>
            <w:vAlign w:val="bottom"/>
          </w:tcPr>
          <w:p w:rsidRPr="00653F3F" w:rsidR="008835DB" w:rsidRDefault="008835DB" w14:paraId="532C4843" w14:textId="77777777">
            <w:pPr>
              <w:jc w:val="left"/>
            </w:pPr>
            <w:r>
              <w:t>…/…/…</w:t>
            </w:r>
          </w:p>
        </w:tc>
      </w:tr>
    </w:tbl>
    <w:p w:rsidRPr="00653F3F" w:rsidR="008835DB" w:rsidRDefault="008835DB" w14:paraId="0F3491DE" w14:textId="77777777"/>
    <w:p w:rsidRPr="00653F3F" w:rsidR="008835DB" w:rsidRDefault="008835DB" w14:paraId="6ECCBA8D" w14:textId="77777777">
      <w:r>
        <w:br w:type="page"/>
      </w:r>
    </w:p>
    <w:p w:rsidRPr="00653F3F" w:rsidR="008835DB" w:rsidP="001F7BA7" w:rsidRDefault="008835DB" w14:paraId="3F1DA94F" w14:textId="6C6B8733">
      <w:pPr>
        <w:pStyle w:val="Heading1"/>
        <w:ind w:left="567" w:hanging="567"/>
      </w:pPr>
      <w:r>
        <w:rPr>
          <w:b/>
        </w:rPr>
        <w:lastRenderedPageBreak/>
        <w:t>Išvados ir rekomendacijos</w:t>
      </w:r>
    </w:p>
    <w:p w:rsidRPr="00653F3F" w:rsidR="00777D57" w:rsidP="00777D57" w:rsidRDefault="00777D57" w14:paraId="75DACB8E" w14:textId="77777777"/>
    <w:p w:rsidRPr="00653F3F" w:rsidR="00777D57" w:rsidP="00777D57" w:rsidRDefault="00777D57" w14:paraId="65BFF421" w14:textId="5703F521">
      <w:pPr>
        <w:numPr>
          <w:ilvl w:val="1"/>
          <w:numId w:val="1"/>
        </w:numPr>
        <w:ind w:left="567" w:hanging="567"/>
        <w:outlineLvl w:val="1"/>
        <w:rPr>
          <w:iCs/>
        </w:rPr>
      </w:pPr>
      <w:r>
        <w:t xml:space="preserve">EESRK </w:t>
      </w:r>
      <w:r>
        <w:rPr>
          <w:b/>
        </w:rPr>
        <w:t>pritaria</w:t>
      </w:r>
      <w:r>
        <w:t xml:space="preserve"> iš dalies pakeistam Komisijos pasiūlymui dėl reglamento dėl mechanizmo teisinėms ir administracinėms kliūtims tarpvalstybiniu mastu šalinti, taip siekiant toliau stiprinti integracijos procesą Europos Sąjungos vidaus rinkoje.</w:t>
      </w:r>
    </w:p>
    <w:p w:rsidRPr="00653F3F" w:rsidR="00777D57" w:rsidP="00777D57" w:rsidRDefault="00777D57" w14:paraId="10058569" w14:textId="77777777"/>
    <w:p w:rsidRPr="00653F3F" w:rsidR="00777D57" w:rsidP="00777D57" w:rsidRDefault="00777D57" w14:paraId="3EDBC471" w14:textId="726869E4">
      <w:pPr>
        <w:numPr>
          <w:ilvl w:val="1"/>
          <w:numId w:val="1"/>
        </w:numPr>
        <w:ind w:left="567" w:hanging="567"/>
        <w:outlineLvl w:val="1"/>
        <w:rPr>
          <w:i/>
        </w:rPr>
      </w:pPr>
      <w:r>
        <w:t xml:space="preserve">EESRK </w:t>
      </w:r>
      <w:r>
        <w:rPr>
          <w:b/>
        </w:rPr>
        <w:t xml:space="preserve">palankiai vertina </w:t>
      </w:r>
      <w:r>
        <w:t>nuolatines Europos Komisijos pastangas iš naujo pateikti pakeistą pasiūlymą dėl reglamento, kuriuo siekiama pašalinti teisines ir administracines kliūtis tarpvalstybiniame kontekste, nustatant reikalavimą valstybėms narėms įsteigti privalomus tarpvalstybinio koordinavimo punktus, kartu paliekant joms galimybę savanoriškai taikyti kartu pateiktą pertvarkymo priemonę ar bet kokią kitą pasirinktą priemonę.</w:t>
      </w:r>
    </w:p>
    <w:p w:rsidRPr="00653F3F" w:rsidR="00777D57" w:rsidP="00777D57" w:rsidRDefault="00777D57" w14:paraId="100BFED7" w14:textId="77777777"/>
    <w:p w:rsidRPr="00653F3F" w:rsidR="00777D57" w:rsidP="00777D57" w:rsidRDefault="00777D57" w14:paraId="373C4523" w14:textId="1D2399CE">
      <w:pPr>
        <w:numPr>
          <w:ilvl w:val="1"/>
          <w:numId w:val="1"/>
        </w:numPr>
        <w:ind w:left="567" w:hanging="567"/>
        <w:outlineLvl w:val="1"/>
      </w:pPr>
      <w:r>
        <w:t xml:space="preserve">EESRK </w:t>
      </w:r>
      <w:r>
        <w:rPr>
          <w:b/>
        </w:rPr>
        <w:t>mano</w:t>
      </w:r>
      <w:r>
        <w:t xml:space="preserve">, kad ankstesnės atitinkamos pastangos suteikė geros mokymosi iš klaidų patirties nustatant ir šalinant pradinio Komisijos pasiūlymo trūkumus, ir </w:t>
      </w:r>
      <w:r>
        <w:rPr>
          <w:b/>
        </w:rPr>
        <w:t>remiasi</w:t>
      </w:r>
      <w:r>
        <w:t xml:space="preserve"> šia patirtimi savo nuomonėje dėl pakeisto pasiūlymo dėl reglamento.</w:t>
      </w:r>
    </w:p>
    <w:p w:rsidRPr="00653F3F" w:rsidR="00777D57" w:rsidP="00777D57" w:rsidRDefault="00777D57" w14:paraId="1E35310D" w14:textId="77777777"/>
    <w:p w:rsidRPr="00653F3F" w:rsidR="00777D57" w:rsidP="00777D57" w:rsidRDefault="00777D57" w14:paraId="79A77152" w14:textId="79D02356">
      <w:pPr>
        <w:numPr>
          <w:ilvl w:val="1"/>
          <w:numId w:val="1"/>
        </w:numPr>
        <w:ind w:left="567" w:hanging="567"/>
        <w:outlineLvl w:val="1"/>
      </w:pPr>
      <w:r>
        <w:t xml:space="preserve">EESRK </w:t>
      </w:r>
      <w:r>
        <w:rPr>
          <w:b/>
        </w:rPr>
        <w:t>mano</w:t>
      </w:r>
      <w:r>
        <w:t>, kad siūloma procedūra iš esmės papildo esamas paramos schemas, taikomas Sąjungoje vykdomai tarpvalstybinei veiklai, ir sudaro sąlygas sukurti išsamią sistemą tarpvalstybinėms teisinėms ir administracinėms kliūtims šalinti, o tai palengvins ir pagerins milijonų pasienio regionuose gyvenančių žmonių gyvenimą.</w:t>
      </w:r>
    </w:p>
    <w:p w:rsidRPr="00653F3F" w:rsidR="00777D57" w:rsidP="00777D57" w:rsidRDefault="00777D57" w14:paraId="27B3606F" w14:textId="77777777"/>
    <w:p w:rsidRPr="00653F3F" w:rsidR="00777D57" w:rsidP="00777D57" w:rsidRDefault="00777D57" w14:paraId="27874FBA" w14:textId="40E8A097">
      <w:pPr>
        <w:numPr>
          <w:ilvl w:val="1"/>
          <w:numId w:val="1"/>
        </w:numPr>
        <w:ind w:left="567" w:hanging="567"/>
        <w:outlineLvl w:val="1"/>
      </w:pPr>
      <w:r>
        <w:t>EESRK</w:t>
      </w:r>
      <w:r>
        <w:rPr>
          <w:b/>
        </w:rPr>
        <w:t xml:space="preserve"> palankiai vertina</w:t>
      </w:r>
      <w:r>
        <w:t xml:space="preserve"> ketinimą siūlomu mechanizmu supaprastinti procedūras, įpareigojant kiekvienoje valstybėje narėje įsteigti tarpvalstybinius koordinavimo punktus, veikiančius vieno langelio principu. Šie punktai rinks visus visų suinteresuotųjų subjektų prašymus suteikti pagalbą tarpvalstybinėms kliūtims pašalinti. Jie įvertins tarpvalstybines bylas, nustatys galimus sprendimus ir informuos iniciatorius.</w:t>
      </w:r>
    </w:p>
    <w:p w:rsidRPr="00653F3F" w:rsidR="00777D57" w:rsidP="00777D57" w:rsidRDefault="00777D57" w14:paraId="0D0A5E67" w14:textId="77777777"/>
    <w:p w:rsidRPr="00653F3F" w:rsidR="00777D57" w:rsidP="00777D57" w:rsidRDefault="00777D57" w14:paraId="61D44200" w14:textId="4E1AC549">
      <w:pPr>
        <w:numPr>
          <w:ilvl w:val="1"/>
          <w:numId w:val="1"/>
        </w:numPr>
        <w:ind w:left="567" w:hanging="567"/>
        <w:outlineLvl w:val="1"/>
      </w:pPr>
      <w:r>
        <w:t xml:space="preserve"> EESRK </w:t>
      </w:r>
      <w:r>
        <w:rPr>
          <w:b/>
        </w:rPr>
        <w:t>mano</w:t>
      </w:r>
      <w:r>
        <w:t>, kad tarpvalstybinio bendradarbiavimo palengvinimo priemonės sukūrimas yra svarbus procesas. Tačiau neprivalomas priemonės naudojimas neturėtų sumažinti pridėtinės vertės, kurios ji suteikia tarpvalstybinių kliūčių šalinimo procedūrai.</w:t>
      </w:r>
    </w:p>
    <w:p w:rsidRPr="00653F3F" w:rsidR="00777D57" w:rsidP="00777D57" w:rsidRDefault="00777D57" w14:paraId="26F4D6C3" w14:textId="77777777">
      <w:pPr>
        <w:outlineLvl w:val="1"/>
      </w:pPr>
    </w:p>
    <w:p w:rsidRPr="00491A82" w:rsidR="00777D57" w:rsidP="00777D57" w:rsidRDefault="00777D57" w14:paraId="19DFCBBC" w14:textId="4FD19DAF">
      <w:pPr>
        <w:numPr>
          <w:ilvl w:val="1"/>
          <w:numId w:val="1"/>
        </w:numPr>
        <w:ind w:left="567" w:hanging="567"/>
        <w:outlineLvl w:val="1"/>
      </w:pPr>
      <w:bookmarkStart w:name="_Hlk163720868" w:id="0"/>
      <w:r>
        <w:t xml:space="preserve">EESRK </w:t>
      </w:r>
      <w:r>
        <w:rPr>
          <w:b/>
        </w:rPr>
        <w:t>mano</w:t>
      </w:r>
      <w:r>
        <w:t>, kad sukūrus viešąjį visos Europos tarpvalstybinių bylų registrą būtų lengviau bendrai registruoti atitinkamas teisines ir administracines kliūtis ir vėliau kompetentingoms institucijoms keistis nuomonėmis ir patirtimi, kad būtų galima numatyti šių kliūčių pašalinimo perspektyvas. Būtų ypač naudinga, jei Europos Komisija, remdamasi registre esančiais duomenimis, parengtų metinę ataskaitą dėl kliūčių ir pasiūlytų sprendimus.</w:t>
      </w:r>
    </w:p>
    <w:bookmarkEnd w:id="0"/>
    <w:p w:rsidRPr="004E7ABB" w:rsidR="00777D57" w:rsidP="00777D57" w:rsidRDefault="00777D57" w14:paraId="3997BD6B" w14:textId="77777777"/>
    <w:p w:rsidRPr="00653F3F" w:rsidR="00777D57" w:rsidP="00777D57" w:rsidRDefault="00777D57" w14:paraId="0D4A8EB6" w14:textId="0B328BE7">
      <w:pPr>
        <w:numPr>
          <w:ilvl w:val="1"/>
          <w:numId w:val="1"/>
        </w:numPr>
        <w:ind w:left="567" w:hanging="567"/>
        <w:outlineLvl w:val="1"/>
      </w:pPr>
      <w:r>
        <w:t xml:space="preserve">EESRK, kaip pilietinės visuomenės ir socialinių partnerių institucinis atstovas, </w:t>
      </w:r>
      <w:r>
        <w:rPr>
          <w:b/>
        </w:rPr>
        <w:t>pritaria</w:t>
      </w:r>
      <w:r>
        <w:t xml:space="preserve"> pakeistame pasiūlyme dėl reglamento išdėstytai logikai dėl principo „iš apačios į viršų“ taikymo siekiant šalinti tarpvalstybines kliūtis, nes tai padeda piliečiams geriau suvokti, kaip svarbu baigti kurti ES vidaus rinką.</w:t>
      </w:r>
    </w:p>
    <w:p w:rsidRPr="00653F3F" w:rsidR="00777D57" w:rsidP="00777D57" w:rsidRDefault="00777D57" w14:paraId="0051919F" w14:textId="77777777"/>
    <w:p w:rsidRPr="00653F3F" w:rsidR="00777D57" w:rsidP="00777D57" w:rsidRDefault="00777D57" w14:paraId="544C2866" w14:textId="68FCEE63">
      <w:pPr>
        <w:numPr>
          <w:ilvl w:val="1"/>
          <w:numId w:val="1"/>
        </w:numPr>
        <w:ind w:left="567" w:hanging="567"/>
        <w:outlineLvl w:val="1"/>
      </w:pPr>
      <w:r>
        <w:t xml:space="preserve">Todėl EESRK </w:t>
      </w:r>
      <w:r>
        <w:rPr>
          <w:b/>
        </w:rPr>
        <w:t>pabrėžia</w:t>
      </w:r>
      <w:r>
        <w:t>, kad, siekiant sutelkti nacionalines valdžios institucijas siūlomai procedūrai aktyvuoti ir išnaudoti jos potencialą, būtina į šią veiklą įtraukti regionų, kuriuose vykdoma tarpvalstybinė veikla, valdžios institucijas ir išreikšti vietos politinę valią.</w:t>
      </w:r>
    </w:p>
    <w:p w:rsidRPr="00653F3F" w:rsidR="00777D57" w:rsidP="00777D57" w:rsidRDefault="00777D57" w14:paraId="08B6AE45" w14:textId="77777777">
      <w:pPr>
        <w:ind w:left="567"/>
        <w:outlineLvl w:val="1"/>
      </w:pPr>
    </w:p>
    <w:p w:rsidRPr="00653F3F" w:rsidR="00777D57" w:rsidP="00777D57" w:rsidRDefault="00777D57" w14:paraId="63484D6E" w14:textId="21AFFEDF">
      <w:pPr>
        <w:numPr>
          <w:ilvl w:val="1"/>
          <w:numId w:val="1"/>
        </w:numPr>
        <w:ind w:left="567" w:hanging="567"/>
        <w:outlineLvl w:val="1"/>
      </w:pPr>
      <w:r>
        <w:lastRenderedPageBreak/>
        <w:t xml:space="preserve">EESRK taip pat </w:t>
      </w:r>
      <w:r>
        <w:rPr>
          <w:b/>
        </w:rPr>
        <w:t>atkreipia dėmesį</w:t>
      </w:r>
      <w:r>
        <w:t xml:space="preserve"> į tai, kad, siekiant pabrėžti siūlomos procedūros pridėtinę vertę, reikia sukurti aiškias paskatas valstybėms narėms naudotis siūloma procedūra, pateikiant išsamios informacijos apie tarpvalstybinių kliūčių poveikį ir vystymosi naudą, kurios, pašalinus šias kliūtis, gaus atitinkami regionai ir visa Europos Sąjunga.</w:t>
      </w:r>
    </w:p>
    <w:p w:rsidRPr="00653F3F" w:rsidR="00777D57" w:rsidP="00777D57" w:rsidRDefault="00777D57" w14:paraId="67CF4FEC" w14:textId="77777777"/>
    <w:p w:rsidRPr="00653F3F" w:rsidR="00777D57" w:rsidP="00AC7A48" w:rsidRDefault="00777D57" w14:paraId="28AE5CD0" w14:textId="77D181DB">
      <w:pPr>
        <w:pStyle w:val="Heading2"/>
        <w:ind w:left="567" w:hanging="567"/>
      </w:pPr>
      <w:r>
        <w:t xml:space="preserve">Galiausiai EESRK </w:t>
      </w:r>
      <w:r>
        <w:rPr>
          <w:b/>
        </w:rPr>
        <w:t>mano</w:t>
      </w:r>
      <w:r>
        <w:t>, kad siūlomos procedūros sukūrimo ir taikymo svarba taps rimtu politiniu pasirinkimu Europos Sąjungos lygmeniu, jei nacionalinėms struktūroms (tarpvalstybiniams koordinavimo punktams), kurios bus sukurtos Europos lėšomis, bus teikiama finansinė parama pagal Europos sanglaudos politikos veiksmus.</w:t>
      </w:r>
    </w:p>
    <w:p w:rsidRPr="00653F3F" w:rsidR="00777D57" w:rsidP="00777D57" w:rsidRDefault="00777D57" w14:paraId="0350F808" w14:textId="68A899D2"/>
    <w:p w:rsidRPr="00653F3F" w:rsidR="008835DB" w:rsidP="003A7349" w:rsidRDefault="008835DB" w14:paraId="7818D29C" w14:textId="6B1E6FB5">
      <w:pPr>
        <w:pStyle w:val="Heading1"/>
        <w:keepNext/>
        <w:ind w:left="567" w:hanging="567"/>
      </w:pPr>
      <w:r>
        <w:rPr>
          <w:b/>
        </w:rPr>
        <w:t>Nuomonės aplinkybės</w:t>
      </w:r>
    </w:p>
    <w:p w:rsidRPr="00653F3F" w:rsidR="008835DB" w:rsidP="003A7349" w:rsidRDefault="008835DB" w14:paraId="6B54A853" w14:textId="77777777">
      <w:pPr>
        <w:keepNext/>
      </w:pPr>
    </w:p>
    <w:p w:rsidRPr="00491A82" w:rsidR="008835DB" w:rsidP="001F7BA7" w:rsidRDefault="008835DB" w14:paraId="29CA6985" w14:textId="5EDC8391">
      <w:pPr>
        <w:pStyle w:val="Heading2"/>
        <w:ind w:left="567" w:hanging="567"/>
      </w:pPr>
      <w:r>
        <w:t>2015 m. ES pirmininkaujančio Liuksemburgo iniciatyva buvo aptarta naujos priemonės, skirtos supaprastinti tarpvalstybinius projektus arba ribotos trukmės veiksmus pasienio regionuose, kai gavusi atitinkamų kompetentingų institucijų sutikimą tam tikra valstybė narė savanoriškai taiko kaimyninės valstybės narės taisykles, nauda</w:t>
      </w:r>
      <w:r w:rsidRPr="00653F3F">
        <w:rPr>
          <w:rStyle w:val="FootnoteReference"/>
        </w:rPr>
        <w:footnoteReference w:id="1"/>
      </w:r>
      <w:r>
        <w:t>.</w:t>
      </w:r>
    </w:p>
    <w:p w:rsidRPr="004E7ABB" w:rsidR="008835DB" w:rsidRDefault="008835DB" w14:paraId="553EE669" w14:textId="77777777"/>
    <w:p w:rsidRPr="00491A82" w:rsidR="008835DB" w:rsidP="001F7BA7" w:rsidRDefault="000926BD" w14:paraId="691A34D7" w14:textId="7A13FC3C">
      <w:pPr>
        <w:pStyle w:val="Heading2"/>
        <w:ind w:left="567" w:hanging="567"/>
      </w:pPr>
      <w:r>
        <w:t>Remdamasi neseniai atliktu tyrimu, kuriame apskaičiuota, kad esamų tarpvalstybinių kliūčių pašalinimas atneštų 457 mlrd. EUR naudos per metus, t. y. 3,8 proc. visos ES BPV, o jų buvimas sumažina darbo vietų kūrimą 2 proc. viso ES užimtumo</w:t>
      </w:r>
      <w:r w:rsidRPr="00653F3F" w:rsidR="008835DB">
        <w:rPr>
          <w:rStyle w:val="FootnoteReference"/>
          <w:szCs w:val="24"/>
        </w:rPr>
        <w:footnoteReference w:id="2"/>
      </w:r>
      <w:r>
        <w:t>, Europos Komisija pateikė pasiūlymą dėl teisėkūros procedūra priimamo akto, kuriuo sukuriamas mechanizmas teisinėms ir administracinėms kliūtims tarpvalstybiniu mastu šalinti</w:t>
      </w:r>
      <w:r w:rsidRPr="00653F3F" w:rsidR="008835DB">
        <w:rPr>
          <w:rStyle w:val="FootnoteReference"/>
          <w:szCs w:val="24"/>
        </w:rPr>
        <w:footnoteReference w:id="3"/>
      </w:r>
    </w:p>
    <w:p w:rsidRPr="004E7ABB" w:rsidR="008835DB" w:rsidP="003A7349" w:rsidRDefault="008835DB" w14:paraId="2D6A0F1F" w14:textId="77777777">
      <w:pPr>
        <w:pStyle w:val="ListParagraph"/>
        <w:ind w:left="0"/>
      </w:pPr>
    </w:p>
    <w:p w:rsidRPr="00653F3F" w:rsidR="008835DB" w:rsidP="001F7BA7" w:rsidRDefault="00546836" w14:paraId="58D2EB22" w14:textId="6FE1B249">
      <w:pPr>
        <w:numPr>
          <w:ilvl w:val="1"/>
          <w:numId w:val="1"/>
        </w:numPr>
        <w:ind w:left="567" w:hanging="567"/>
        <w:outlineLvl w:val="1"/>
      </w:pPr>
      <w:r>
        <w:t>Europos Parlamentas iš esmės pritarė Komisijos pasiūlymui ir (2019 m. vasario mėn.) pasiūlė keletą pasiūlymo teksto pakeitimų per pirmąjį svarstymą. Pakeitimais siekta paaiškinti savanorišką siūlomo mechanizmo pobūdį, procedūrines pasekmes, jei jis nebus naudojamas, ir prašymų, pateiktų siekiant nustatyti ir pašalinti teisines ir administracines kliūtis, nagrinėjimo tvarką.</w:t>
      </w:r>
    </w:p>
    <w:p w:rsidRPr="00653F3F" w:rsidR="008835DB" w:rsidP="003A7349" w:rsidRDefault="008835DB" w14:paraId="2E934D25" w14:textId="77777777">
      <w:pPr>
        <w:pStyle w:val="ListParagraph"/>
        <w:ind w:left="0"/>
      </w:pPr>
    </w:p>
    <w:p w:rsidRPr="00653F3F" w:rsidR="008835DB" w:rsidP="001F7BA7" w:rsidRDefault="008835DB" w14:paraId="64035D74" w14:textId="40819148">
      <w:pPr>
        <w:numPr>
          <w:ilvl w:val="1"/>
          <w:numId w:val="1"/>
        </w:numPr>
        <w:ind w:left="567" w:hanging="567"/>
        <w:outlineLvl w:val="1"/>
      </w:pPr>
      <w:r>
        <w:t>Taryba nepriėmė oficialios pozicijos dėl pasiūlymo, nes valstybės narės išreiškė keletą susirūpinimą keliančių klausimų dėl jo turinio darbo grupės lygmeniu. Todėl buvo sustabdytas su šiuo dokumentu susijęs darbas ir nebuvo daroma tolesnė pažanga teisėkūros iniciatyvos srityje.</w:t>
      </w:r>
    </w:p>
    <w:p w:rsidRPr="00653F3F" w:rsidR="008835DB" w:rsidP="003A7349" w:rsidRDefault="008835DB" w14:paraId="5BC62E9B" w14:textId="77777777">
      <w:pPr>
        <w:outlineLvl w:val="1"/>
      </w:pPr>
    </w:p>
    <w:p w:rsidRPr="00653F3F" w:rsidR="008835DB" w:rsidP="001F7BA7" w:rsidRDefault="008835DB" w14:paraId="5CF6E0ED" w14:textId="6BC09649">
      <w:pPr>
        <w:numPr>
          <w:ilvl w:val="1"/>
          <w:numId w:val="1"/>
        </w:numPr>
        <w:ind w:left="567" w:hanging="567"/>
        <w:outlineLvl w:val="1"/>
      </w:pPr>
      <w:r>
        <w:t>2023 m. rugsėjo mėn. Europos Parlamentas pagal Sutarties dėl Europos Sąjungos veikimo (SESV) 225 straipsnį savo iniciatyva priėmė teisėkūros rezoliuciją su rekomendacijomis Europos Komisijai dėl pradinio pasiūlymo dalinio pakeitimo.</w:t>
      </w:r>
    </w:p>
    <w:p w:rsidRPr="00653F3F" w:rsidR="008835DB" w:rsidP="003A7349" w:rsidRDefault="008835DB" w14:paraId="061FBE2A" w14:textId="77777777">
      <w:pPr>
        <w:outlineLvl w:val="1"/>
      </w:pPr>
    </w:p>
    <w:p w:rsidRPr="00491A82" w:rsidR="008835DB" w:rsidP="001F7BA7" w:rsidRDefault="008835DB" w14:paraId="0ACF117A" w14:textId="4947AF5A">
      <w:pPr>
        <w:numPr>
          <w:ilvl w:val="1"/>
          <w:numId w:val="1"/>
        </w:numPr>
        <w:ind w:left="567" w:hanging="567"/>
        <w:outlineLvl w:val="1"/>
      </w:pPr>
      <w:r>
        <w:t>2023 m. gruodžio mėn. Europos Komisija pateikė iš dalies pakeistą pasiūlymą dėl reglamento, kuriuo siekiama sudaryti palankesnes sąlygas tarpvalstybiniams sprendimams</w:t>
      </w:r>
      <w:r w:rsidRPr="00653F3F">
        <w:rPr>
          <w:rStyle w:val="FootnoteReference"/>
          <w:szCs w:val="24"/>
        </w:rPr>
        <w:footnoteReference w:id="4"/>
      </w:r>
      <w:r>
        <w:t xml:space="preserve">. Iš dalies </w:t>
      </w:r>
      <w:r>
        <w:lastRenderedPageBreak/>
        <w:t>pakeistame pasiūlyme atsižvelgiama į Europos Parlamento ir Tarybos susirūpinimą, pastabas ir rekomendacijas, daugiausia dėmesio skiriant kliūčių, trukdančių tarpvalstybinių bendruomenių gyvenimui, šalinimui.</w:t>
      </w:r>
    </w:p>
    <w:p w:rsidRPr="004E7ABB" w:rsidR="008835DB" w:rsidRDefault="008835DB" w14:paraId="2F8C75BE" w14:textId="77777777"/>
    <w:p w:rsidRPr="0023618D" w:rsidR="008835DB" w:rsidP="003A7349" w:rsidRDefault="00405EC9" w14:paraId="3A8DD4EA" w14:textId="5347C697">
      <w:pPr>
        <w:keepNext/>
        <w:numPr>
          <w:ilvl w:val="1"/>
          <w:numId w:val="1"/>
        </w:numPr>
        <w:ind w:left="567" w:hanging="567"/>
        <w:outlineLvl w:val="1"/>
        <w:rPr>
          <w:bCs/>
        </w:rPr>
      </w:pPr>
      <w:r>
        <w:rPr>
          <w:b/>
        </w:rPr>
        <w:t>Naujo Komisijos pasiūlymo santrauka</w:t>
      </w:r>
    </w:p>
    <w:p w:rsidRPr="00653F3F" w:rsidR="008835DB" w:rsidP="003A7349" w:rsidRDefault="008835DB" w14:paraId="6E2DD525" w14:textId="77777777">
      <w:pPr>
        <w:keepNext/>
        <w:outlineLvl w:val="1"/>
        <w:rPr>
          <w:bCs/>
        </w:rPr>
      </w:pPr>
    </w:p>
    <w:p w:rsidRPr="00653F3F" w:rsidR="008835DB" w:rsidP="001F7BA7" w:rsidRDefault="00405EC9" w14:paraId="6F56D8DC" w14:textId="6AD5F83D">
      <w:pPr>
        <w:pStyle w:val="Heading3"/>
        <w:ind w:left="567" w:hanging="567"/>
      </w:pPr>
      <w:r>
        <w:t>Apibendrinant, naujajame Europos Komisijos pasiūlyme numatyta kiekvienoje valstybėje narėje įsteigti privalomus tarpvalstybinio koordinavimo punktus (TVKP). TVKP bus atsakingi už atitinkamų pasienio regionų suinteresuotųjų subjektų prašymų dėl galimų tarpvalstybinių kliūčių vertinimą ir palaikys ryšius tarp šių šalių ir nacionalinių valdžios institucijų. Be to, jame numatyta kartu su Europos Komisija sukurti TVKP tinklą, kad būtų sukurtas keitimosi geriausios patirties pavyzdžiais ir žiniomis forumas.</w:t>
      </w:r>
    </w:p>
    <w:p w:rsidRPr="00653F3F" w:rsidR="008835DB" w:rsidRDefault="008835DB" w14:paraId="71CA69D4" w14:textId="77777777"/>
    <w:p w:rsidRPr="00653F3F" w:rsidR="008835DB" w:rsidP="001F7BA7" w:rsidRDefault="008835DB" w14:paraId="7D4AD83B" w14:textId="2DA13CAA">
      <w:pPr>
        <w:pStyle w:val="Heading3"/>
        <w:ind w:left="567" w:hanging="567"/>
      </w:pPr>
      <w:r>
        <w:t>Pagal siūlomą reglamentą, įvertinus kiekvieną prašymą, suinteresuotieji subjektai gaus atsakymą, kuriame bus paaiškinta, kaip į šį prašymą bus atsižvelgta. Jei iš tiesų egzistuoja tarpvalstybinė kliūtis ir nėra dvišalio ar tarptautinio bendradarbiavimo susitarimo, kuris padėtų rasti sprendimą, valstybės narės gali taikyti tarpvalstybinio bendradarbiavimo palengvinimo priemonę (neprivaloma).</w:t>
      </w:r>
    </w:p>
    <w:p w:rsidRPr="00653F3F" w:rsidR="008835DB" w:rsidRDefault="008835DB" w14:paraId="3B565721" w14:textId="77777777"/>
    <w:p w:rsidRPr="00653F3F" w:rsidR="008835DB" w:rsidP="001F7BA7" w:rsidRDefault="008835DB" w14:paraId="7A596507" w14:textId="6811C64C">
      <w:pPr>
        <w:pStyle w:val="Heading3"/>
        <w:ind w:left="567" w:hanging="567"/>
      </w:pPr>
      <w:r>
        <w:t>Ši reglamentu nustatyta priemonė yra standartizuota procedūra, kuria siekiama palengvinti tarpvalstybinių (teisinių ir administracinių) kliūčių, trukdančių kurti ir eksploatuoti bet kokią infrastruktūrą, būtiną viešajai ar privačiai veiklai, arba pasienio regione, teikti bet kokias viešąsias paslaugas, kurios didina to regiono ekonominę, socialinę ir teritorinę sanglaudą, šalinimą.</w:t>
      </w:r>
    </w:p>
    <w:p w:rsidRPr="00653F3F" w:rsidR="008835DB" w:rsidRDefault="008835DB" w14:paraId="5285A7CA" w14:textId="77777777"/>
    <w:p w:rsidRPr="00653F3F" w:rsidR="008835DB" w:rsidP="001F7BA7" w:rsidRDefault="00F53939" w14:paraId="6C82E019" w14:textId="37019846">
      <w:pPr>
        <w:pStyle w:val="Heading3"/>
        <w:ind w:left="567" w:hanging="567"/>
      </w:pPr>
      <w:r>
        <w:t>Ši procedūra taikoma tarpvalstybinėms kliūtims prie kaimyninių valstybių narių sausumos ar jūrų sienų, o ne prie valstybių narių sienų su trečiosiomis šalimis. Ji taikoma tik dėl nacionalinės teisės kylančioms kliūtims, įskaitant atvejus, kai valstybės narės ES direktyvas perkelia į nacionalinę teisę tinkamai, bet skirtingai. Be to, nors į visus prašymus turėtų būti atsakyta, sprendimą, ar pašalinti kliūtį, priima kompetentingos nacionalinės institucijos.</w:t>
      </w:r>
    </w:p>
    <w:p w:rsidRPr="00653F3F" w:rsidR="008835DB" w:rsidRDefault="008835DB" w14:paraId="5DA930DA" w14:textId="77777777"/>
    <w:p w:rsidRPr="00653F3F" w:rsidR="008835DB" w:rsidP="001F7BA7" w:rsidRDefault="008835DB" w14:paraId="3EC3F1BD" w14:textId="22E62886">
      <w:pPr>
        <w:pStyle w:val="Heading1"/>
        <w:keepNext/>
        <w:keepLines/>
        <w:ind w:left="567" w:hanging="567"/>
        <w:rPr>
          <w:bCs/>
        </w:rPr>
      </w:pPr>
      <w:r>
        <w:rPr>
          <w:b/>
        </w:rPr>
        <w:t>Bendrosios pastabos</w:t>
      </w:r>
    </w:p>
    <w:p w:rsidRPr="00653F3F" w:rsidR="008835DB" w:rsidP="008925E0" w:rsidRDefault="008835DB" w14:paraId="78BD43ED" w14:textId="77777777">
      <w:pPr>
        <w:keepNext/>
        <w:keepLines/>
        <w:outlineLvl w:val="1"/>
      </w:pPr>
    </w:p>
    <w:p w:rsidRPr="00653F3F" w:rsidR="008835DB" w:rsidP="001F7BA7" w:rsidRDefault="008835DB" w14:paraId="0FE3D5AF" w14:textId="56525E89">
      <w:pPr>
        <w:numPr>
          <w:ilvl w:val="1"/>
          <w:numId w:val="1"/>
        </w:numPr>
        <w:ind w:left="567" w:hanging="567"/>
        <w:outlineLvl w:val="1"/>
      </w:pPr>
      <w:r>
        <w:t>Pagrindinis skirtumas, palyginti su pirminiu pasiūlymu, yra tas, kad nebėra nuorodos į mechanizmą su specialiais standartiniais dokumentais (įsipareigojimu, pareiškimu). Vietoj to nurodoma procedūra, kuria siekiama palengvinti tarpvalstybinių kliūčių šalinimą, ir pateikiami tinkamai pritaikyti atitinkami susitarimai. Siūloma įpareigoti valstybes nares įsteigti TVKP ir užtikrinti jų veiklą, tačiau valstybės narės ir toliau turėtų savo nuožiūra nuspręsti, ar naudotis tarpvalstybinio bendradarbiavimo palengvinimo priemone sprendžiant tarpvalstybinę problemą, apie kurią joms buvo pranešta. Pranešimo apie tarpvalstybines kliūtis procedūra tapo daug paprastesnė (pasitelkiant tarpvalstybines bylas).</w:t>
      </w:r>
    </w:p>
    <w:p w:rsidRPr="00653F3F" w:rsidR="008835DB" w:rsidP="008925E0" w:rsidRDefault="008835DB" w14:paraId="59758F88" w14:textId="77777777"/>
    <w:p w:rsidRPr="00491A82" w:rsidR="008835DB" w:rsidP="001F7BA7" w:rsidRDefault="008835DB" w14:paraId="0E102CE6" w14:textId="3B63BB3C">
      <w:pPr>
        <w:pStyle w:val="Heading2"/>
        <w:ind w:left="567" w:hanging="567"/>
        <w:rPr>
          <w:rFonts w:eastAsiaTheme="minorHAnsi"/>
        </w:rPr>
      </w:pPr>
      <w:r>
        <w:t xml:space="preserve">Tarpvalstybinės veiklos Sąjungoje kliūčių klausimas yra Europos integracijos pagrindas, nes vidaus rinkos sukūrimas daro poveikį žmonių, prekių, kapitalo ir paslaugų judumui ES viduje ir naudojimuisi infrastruktūra. ES teritorijose, turinčiose vidaus sausumos sienas (apie 40 pasienio </w:t>
      </w:r>
      <w:r>
        <w:lastRenderedPageBreak/>
        <w:t>teritorijų, kurios užima 40 proc. ES teritorijos ir kuriose gyvena beveik trečdalis jos gyventojų</w:t>
      </w:r>
      <w:r w:rsidRPr="00653F3F">
        <w:rPr>
          <w:rFonts w:eastAsiaTheme="minorHAnsi"/>
          <w:sz w:val="24"/>
          <w:szCs w:val="24"/>
          <w:vertAlign w:val="superscript"/>
        </w:rPr>
        <w:footnoteReference w:id="5"/>
      </w:r>
      <w:r>
        <w:t>), apie 3,5 mln. žmonių kasdien kerta ES valstybių narių vidaus sienas darbo, studijų ir socialinės sąveikos tikslais, o apie 1,7 mln. žmonių gyvena vienoje ES šalyje, tačiau dirba kitoje ES šalyje, todėl tarpvalstybinis judėjimas jiems būtinas. Apskaičiuota, kad per metus tarp ES šalių įvyksta apie 1,25 mlrd. kelionių, įskaitant turistines keliones</w:t>
      </w:r>
      <w:r w:rsidRPr="00653F3F">
        <w:rPr>
          <w:rStyle w:val="FootnoteReference"/>
          <w:szCs w:val="24"/>
        </w:rPr>
        <w:footnoteReference w:id="6"/>
      </w:r>
      <w:r>
        <w:t>.</w:t>
      </w:r>
    </w:p>
    <w:p w:rsidRPr="004E7ABB" w:rsidR="008835DB" w:rsidP="001F7BA7" w:rsidRDefault="008835DB" w14:paraId="1D973AE4" w14:textId="77777777">
      <w:pPr>
        <w:jc w:val="left"/>
        <w:rPr>
          <w:rFonts w:eastAsiaTheme="minorHAnsi"/>
        </w:rPr>
      </w:pPr>
    </w:p>
    <w:p w:rsidRPr="00491A82" w:rsidR="008835DB" w:rsidP="00AC7A48" w:rsidRDefault="008835DB" w14:paraId="4DBAED4E" w14:textId="651B7DFD">
      <w:pPr>
        <w:pStyle w:val="Heading3"/>
        <w:ind w:left="567" w:hanging="567"/>
        <w:rPr>
          <w:rFonts w:eastAsiaTheme="minorHAnsi"/>
        </w:rPr>
      </w:pPr>
      <w:r>
        <w:t>Dėl tokio tarpvalstybinio sienų kirtimo atvejų skaičiaus sudėtinga spręsti problemas, kurių gali kilti dėl veiklos, dėl kurios vyksta toks sienos kirtimas (pvz., verslumas, užimtumas, sveikatos priežiūra, vyriausybinių paslaugų teikimas ir t. t.). Dauguma šių sunkumų kyla dėl skirtingų nacionalinių įstatymų ir atitinkamai nesuderinamų administracinių procedūrų ir praktikos abiejose sienos pusėse, ypač tais atvejais, kai nėra bendro valstybių narių pagrindinės veiklos (ekonomikos, verslo, sveikatos, švietimo, valstybės ir kt. srityse) teritorinio planavimo</w:t>
      </w:r>
      <w:r w:rsidRPr="00653F3F">
        <w:rPr>
          <w:rFonts w:eastAsiaTheme="minorHAnsi"/>
          <w:sz w:val="24"/>
          <w:szCs w:val="24"/>
          <w:vertAlign w:val="superscript"/>
        </w:rPr>
        <w:footnoteReference w:id="7"/>
      </w:r>
      <w:r>
        <w:t>.</w:t>
      </w:r>
    </w:p>
    <w:p w:rsidRPr="004E7ABB" w:rsidR="008835DB" w:rsidP="001F7BA7" w:rsidRDefault="008835DB" w14:paraId="172EB72F" w14:textId="77777777">
      <w:pPr>
        <w:rPr>
          <w:rFonts w:eastAsiaTheme="minorHAnsi"/>
        </w:rPr>
      </w:pPr>
    </w:p>
    <w:p w:rsidRPr="00491A82" w:rsidR="008835DB" w:rsidP="00AC7A48" w:rsidRDefault="008835DB" w14:paraId="7636447D" w14:textId="7BF3B3A9">
      <w:pPr>
        <w:pStyle w:val="Heading3"/>
        <w:ind w:left="567" w:hanging="567"/>
      </w:pPr>
      <w:r>
        <w:t>Valstybių narių pasienio regionų ekonominiai rodikliai paprastai yra prastesni, palyginti su kitais tų pačių šalių regionais. Jų gyventojams yra gerokai sunkiau naudotis viešosiomis paslaugomis, (viešosiomis ar privačiomis) sveikatos priežiūros ar švietimo paslaugomis, taip pat verslo galimybėmis. Įvairūs administracinių ir teisinių sistemų skirtumai abiejose sienos pusėse labai trukdo netgi tarpvalstybinio bendradarbiavimo pastangoms (tiek privačių asmenų, tiek viešųjų įstaigų), kurios dedamos siekiant spręsti šias problemas</w:t>
      </w:r>
      <w:r w:rsidRPr="00653F3F">
        <w:rPr>
          <w:rStyle w:val="FootnoteReference"/>
          <w:rFonts w:eastAsiaTheme="minorHAnsi"/>
          <w:szCs w:val="24"/>
        </w:rPr>
        <w:footnoteReference w:id="8"/>
      </w:r>
      <w:r>
        <w:t>.</w:t>
      </w:r>
    </w:p>
    <w:p w:rsidRPr="004E7ABB" w:rsidR="008835DB" w:rsidP="003A7349" w:rsidRDefault="008835DB" w14:paraId="1AEE5504" w14:textId="77777777">
      <w:pPr>
        <w:outlineLvl w:val="1"/>
      </w:pPr>
    </w:p>
    <w:p w:rsidRPr="00491A82" w:rsidR="008835DB" w:rsidP="00AC7A48" w:rsidRDefault="003B0BBE" w14:paraId="4440399E" w14:textId="460717F8">
      <w:pPr>
        <w:pStyle w:val="Heading3"/>
        <w:ind w:left="567" w:hanging="567"/>
      </w:pPr>
      <w:r>
        <w:t>Atsižvelgdamas į tai, EESRK pritarė pirminiam Komisijos pasiūlymui (2018 m.), kuriuo siekiama sukurti mechanizmus tiek socialiniu lygmeniu, nes administracinių kliūčių pašalinimas leistų piliečiams laisvai pasirinkti savo darbo vietą ir remti visuotinės svarbos infrastruktūros ir paslaugų plėtrą, tiek ekonominiu lygmeniu, nes tai padės toliau mažinti administracinę naštą darbdavių ir darbuotojų naudai</w:t>
      </w:r>
      <w:r w:rsidRPr="00653F3F" w:rsidR="008835DB">
        <w:rPr>
          <w:rStyle w:val="FootnoteReference"/>
          <w:szCs w:val="24"/>
        </w:rPr>
        <w:footnoteReference w:id="9"/>
      </w:r>
      <w:r>
        <w:t>.</w:t>
      </w:r>
    </w:p>
    <w:p w:rsidRPr="004E7ABB" w:rsidR="008835DB" w:rsidP="003A7349" w:rsidRDefault="008835DB" w14:paraId="6EEF40F5" w14:textId="77777777">
      <w:pPr>
        <w:pStyle w:val="ListParagraph"/>
        <w:ind w:left="0"/>
      </w:pPr>
    </w:p>
    <w:p w:rsidRPr="0023618D" w:rsidR="008835DB" w:rsidP="00AC7A48" w:rsidRDefault="00CA5273" w14:paraId="39FAAD83" w14:textId="3AD7403C">
      <w:pPr>
        <w:pStyle w:val="Heading3"/>
        <w:ind w:left="567" w:hanging="567"/>
      </w:pPr>
      <w:r>
        <w:t>EESRK teigė, kad tuo metu taikyti mechanizmai, skirti pasienio regionams remti (programa INTERREG, Europos teritorinio bendradarbiavimo grupė), buvo nepakankami, kad būtų galima imtis teisinių ir administracinių priemonių tarpvalstybinėms kliūtims šalinti.</w:t>
      </w:r>
    </w:p>
    <w:p w:rsidRPr="00653F3F" w:rsidR="008835DB" w:rsidP="003A7349" w:rsidRDefault="008835DB" w14:paraId="60DF5181" w14:textId="77777777">
      <w:pPr>
        <w:pStyle w:val="ListParagraph"/>
        <w:ind w:left="0"/>
      </w:pPr>
    </w:p>
    <w:p w:rsidRPr="00AF7BAF" w:rsidR="008835DB" w:rsidP="00AC7A48" w:rsidRDefault="00DC7933" w14:paraId="7246B6AC" w14:textId="4F405BB8">
      <w:pPr>
        <w:pStyle w:val="Heading3"/>
        <w:ind w:left="567" w:hanging="567"/>
      </w:pPr>
      <w:r>
        <w:t>Nuo to laiko Europos Komisija pradėjo bandomąją iniciatyvą „b-</w:t>
      </w:r>
      <w:proofErr w:type="spellStart"/>
      <w:r>
        <w:t>solutions</w:t>
      </w:r>
      <w:proofErr w:type="spellEnd"/>
      <w:r>
        <w:t>“, kurią įgyvendina Europos pasienio regionų asociacija. Šia novatoriška iniciatyva iš esmės teikiama teisinė parama valdžios institucijoms tarpvalstybiniuose regionuose, siekiant nustatyti pagrindines teisinių ar administracinių kliūčių, turinčių įtakos jų tarpvalstybinei sąveikai, priežastis ir išnagrinėti galimus sprendimus. Taikant iniciatyvą „b-</w:t>
      </w:r>
      <w:proofErr w:type="spellStart"/>
      <w:r>
        <w:t>solutions</w:t>
      </w:r>
      <w:proofErr w:type="spellEnd"/>
      <w:r>
        <w:t xml:space="preserve">“ išryškėjo daugybė teisinių ir administracinių kliūčių, neatidėliotinų sprendimų dėl tarpvalstybinės veiklos trūkumas, poreikis </w:t>
      </w:r>
      <w:r>
        <w:lastRenderedPageBreak/>
        <w:t>keisti jų teisines sistemas ir remti tarpvalstybinį bendradarbiavimą</w:t>
      </w:r>
      <w:r w:rsidRPr="00653F3F" w:rsidR="008835DB">
        <w:rPr>
          <w:rStyle w:val="FootnoteReference"/>
          <w:szCs w:val="24"/>
        </w:rPr>
        <w:footnoteReference w:id="10"/>
      </w:r>
      <w:r>
        <w:t>. Europos Komisija savo pasiūlyme pakankamai atsižvelgė į šį poreikį</w:t>
      </w:r>
      <w:r w:rsidRPr="00653F3F" w:rsidR="008835DB">
        <w:rPr>
          <w:rStyle w:val="FootnoteReference"/>
          <w:szCs w:val="24"/>
        </w:rPr>
        <w:footnoteReference w:id="11"/>
      </w:r>
      <w:r>
        <w:t>.</w:t>
      </w:r>
    </w:p>
    <w:p w:rsidRPr="004E7ABB" w:rsidR="008835DB" w:rsidP="008925E0" w:rsidRDefault="008835DB" w14:paraId="1DDAEB82" w14:textId="77777777">
      <w:pPr>
        <w:pStyle w:val="ListParagraph"/>
        <w:ind w:left="0"/>
      </w:pPr>
    </w:p>
    <w:p w:rsidRPr="0023618D" w:rsidR="008835DB" w:rsidP="00AC7A48" w:rsidRDefault="00FD47C0" w14:paraId="728999FD" w14:textId="47B39B45">
      <w:pPr>
        <w:pStyle w:val="Heading3"/>
        <w:ind w:left="567" w:hanging="567"/>
      </w:pPr>
      <w:r>
        <w:t>Pakeistu Europos Komisijos pasiūlymu siekiama užtikrinti Europos Parlamento ir Tarybos reikalavimų pusiausvyrą, nes tai turės didelės įtakos galimam teisėkūros iniciatyvos, jei ji bus priimta, poveikiui.</w:t>
      </w:r>
    </w:p>
    <w:p w:rsidRPr="00653F3F" w:rsidR="008835DB" w:rsidP="003A7349" w:rsidRDefault="008835DB" w14:paraId="06BB36F4" w14:textId="77777777">
      <w:pPr>
        <w:outlineLvl w:val="1"/>
      </w:pPr>
    </w:p>
    <w:p w:rsidRPr="00653F3F" w:rsidR="008835DB" w:rsidP="008925E0" w:rsidRDefault="008835DB" w14:paraId="5737D1B5" w14:textId="2E312148">
      <w:pPr>
        <w:pStyle w:val="Heading1"/>
        <w:keepNext/>
        <w:ind w:left="567" w:hanging="567"/>
        <w:rPr>
          <w:bCs/>
        </w:rPr>
      </w:pPr>
      <w:r>
        <w:rPr>
          <w:b/>
        </w:rPr>
        <w:t>Konkrečios pastabos</w:t>
      </w:r>
    </w:p>
    <w:p w:rsidRPr="00653F3F" w:rsidR="00F65527" w:rsidP="008925E0" w:rsidRDefault="00F65527" w14:paraId="5D03A46D" w14:textId="6FC7DC16">
      <w:pPr>
        <w:keepNext/>
        <w:rPr>
          <w:bCs/>
          <w:kern w:val="28"/>
        </w:rPr>
      </w:pPr>
    </w:p>
    <w:p w:rsidRPr="00653F3F" w:rsidR="00F65527" w:rsidP="00AC7A48" w:rsidRDefault="00F65527" w14:paraId="30BB8825" w14:textId="730B8F76">
      <w:pPr>
        <w:pStyle w:val="Heading2"/>
        <w:ind w:left="567" w:hanging="567"/>
      </w:pPr>
      <w:r>
        <w:t>Svarbus Komisijos pasiūlymo elementas – išlaikyti iniciatyvos „iš apačios į viršų“ pobūdį siekiant aktyvuoti siūlomą procedūrą (bet kuriai suinteresuotajai šaliai pateikiant tarpvalstybinę bylą)  Tokiu būdu derinimo ir sprendimų priėmimo procesą gali pradėti tie, kurie iš tiesų susiduria su kliūtimis.</w:t>
      </w:r>
    </w:p>
    <w:p w:rsidRPr="00653F3F" w:rsidR="00F46FCE" w:rsidP="00943810" w:rsidRDefault="00F46FCE" w14:paraId="4055B9A8" w14:textId="77777777"/>
    <w:p w:rsidRPr="00AF7BAF" w:rsidR="008835DB" w:rsidP="00AC7A48" w:rsidRDefault="009C2BF2" w14:paraId="275D79C8" w14:textId="7C12B5DA">
      <w:pPr>
        <w:pStyle w:val="Heading3"/>
        <w:ind w:left="567" w:hanging="567"/>
      </w:pPr>
      <w:r>
        <w:t>Tačiau, siekiant atsižvelgti į Tarybos prieštaravimus dėl Komisijos pirminio pasiūlymo</w:t>
      </w:r>
      <w:r w:rsidRPr="00653F3F" w:rsidR="00C54827">
        <w:rPr>
          <w:rStyle w:val="FootnoteReference"/>
        </w:rPr>
        <w:footnoteReference w:id="12"/>
      </w:r>
      <w:r>
        <w:t>, ypatingas Komisijos pasiūlymo bruožas yra tai, kad jame siūloma naudoti reglamento teisėkūros priemonę (kuri, pagal SESV 288 straipsnį, daro tiesioginį ir visuotinį poveikį tiems, kam ji skirta) įpareigojant valstybes nares sukurti atitinkamą institucinę infrastruktūrą (tarpvalstybinio koordinavimo punktus), tačiau kiek tai susiję su tarpvalstybinio bendradarbiavimo palengvinimo priemonės veikimu, valstybių narių naudojimasis šia infrastruktūra yra visiškai savanoriškas.</w:t>
      </w:r>
    </w:p>
    <w:p w:rsidRPr="004E7ABB" w:rsidR="008835DB" w:rsidP="003A7349" w:rsidRDefault="008835DB" w14:paraId="4815BD61" w14:textId="77777777">
      <w:pPr>
        <w:pStyle w:val="ListParagraph"/>
        <w:ind w:left="0"/>
      </w:pPr>
    </w:p>
    <w:p w:rsidRPr="00AF7BAF" w:rsidR="008835DB" w:rsidP="00AC7A48" w:rsidRDefault="008835DB" w14:paraId="050F1645" w14:textId="3E194374">
      <w:pPr>
        <w:pStyle w:val="Heading3"/>
        <w:ind w:left="567" w:hanging="567"/>
      </w:pPr>
      <w:r>
        <w:t>Dėl šio pakeisto Europos Komisijos pasiūlymo specifiškumo neturėtų atsirasti galimybė nesiimti veiksmų dėl EESRK nurodytos rizikos, susijusios su pirminiu pasiūlymu – kad siūlomos sistemos veikimas savanorišku pagrindu galiausiai galėtų lemti tolesnį Europos teisinės praktikos ir administracinės struktūros susiskaidymą</w:t>
      </w:r>
      <w:r w:rsidRPr="00653F3F">
        <w:rPr>
          <w:rStyle w:val="FootnoteReference"/>
          <w:szCs w:val="24"/>
        </w:rPr>
        <w:footnoteReference w:id="13"/>
      </w:r>
      <w:r>
        <w:t>.</w:t>
      </w:r>
    </w:p>
    <w:p w:rsidRPr="004E7ABB" w:rsidR="008835DB" w:rsidP="003A7349" w:rsidRDefault="008835DB" w14:paraId="55EEB391" w14:textId="77777777">
      <w:pPr>
        <w:pStyle w:val="ListParagraph"/>
        <w:ind w:left="0"/>
      </w:pPr>
    </w:p>
    <w:p w:rsidRPr="00653F3F" w:rsidR="003A7349" w:rsidP="001F7BA7" w:rsidRDefault="008835DB" w14:paraId="57D49C9D" w14:textId="0AD98621">
      <w:pPr>
        <w:numPr>
          <w:ilvl w:val="1"/>
          <w:numId w:val="1"/>
        </w:numPr>
        <w:ind w:left="567" w:hanging="567"/>
        <w:outlineLvl w:val="1"/>
      </w:pPr>
      <w:r>
        <w:t>Reikėtų pažymėti, kad nors kai kuriuose jūrų pasienio regionuose dėl jų atokumo vyksta mažiau tarpvalstybinės sąveikos ir naudojimosi tarpvalstybinėmis viešosiomis paslaugomis, jie patenka į naujojo Europos Komisijos pasiūlymo reguliavimo sritį. Be to, reikėtų pažymėti, kad įgyvendinus papildomas teisines nuostatas, pavyzdžiui, tas, kurios siūlomos, prie jūrų sienų kyla didelis pavojus, kad jas teks derinti su dvišaliu arba daugiašaliu pagrindu pagal tarptautinę jūrų teisę įgyvendinamomis priemonėmis dėl tarpvalstybinės veiklos.</w:t>
      </w:r>
    </w:p>
    <w:p w:rsidRPr="00653F3F" w:rsidR="003A7349" w:rsidP="003A7349" w:rsidRDefault="003A7349" w14:paraId="360AC08A" w14:textId="77777777">
      <w:pPr>
        <w:outlineLvl w:val="1"/>
      </w:pPr>
    </w:p>
    <w:p w:rsidRPr="00AF7BAF" w:rsidR="008835DB" w:rsidP="001F7BA7" w:rsidRDefault="008835DB" w14:paraId="7D858B34" w14:textId="0F570F90">
      <w:pPr>
        <w:numPr>
          <w:ilvl w:val="1"/>
          <w:numId w:val="1"/>
        </w:numPr>
        <w:ind w:left="567" w:hanging="567"/>
        <w:outlineLvl w:val="1"/>
      </w:pPr>
      <w:r>
        <w:t xml:space="preserve">Kadangi vėl nenumatyta jokių nuostatų dėl ES finansavimo valstybėms narėms, kad jos sukurtų ir eksploatuotų siūlomą institucinę infrastruktūrą, ypač atsižvelgiant į tai, kad pasiūlymas grindžiamas ES sanglaudos politika, reikia priminti, kad EESRK jau įvardijo šį klausimą kaip galimą problemų šaltinį, ypač mažiau išsivysčiusių valstybių narių atveju. Todėl reikėtų </w:t>
      </w:r>
      <w:r>
        <w:lastRenderedPageBreak/>
        <w:t>numatyti skirti ES struktūrinių fondų lėšų siūlomų struktūrų, ypač tarpvalstybinio koordinavimo punktų, finansavimui, organizavimui ir veiklos vykdymui</w:t>
      </w:r>
      <w:r w:rsidRPr="00653F3F">
        <w:rPr>
          <w:rStyle w:val="FootnoteReference"/>
        </w:rPr>
        <w:footnoteReference w:id="14"/>
      </w:r>
      <w:r>
        <w:t>.</w:t>
      </w:r>
    </w:p>
    <w:p w:rsidRPr="004E7ABB" w:rsidR="008835DB" w:rsidP="008925E0" w:rsidRDefault="008835DB" w14:paraId="073A3498" w14:textId="77777777">
      <w:pPr>
        <w:pStyle w:val="ListParagraph"/>
        <w:ind w:left="0"/>
      </w:pPr>
    </w:p>
    <w:p w:rsidRPr="00653F3F" w:rsidR="00DC7933" w:rsidP="001F7BA7" w:rsidRDefault="008835DB" w14:paraId="265E969A" w14:textId="2E69FDB5">
      <w:pPr>
        <w:numPr>
          <w:ilvl w:val="1"/>
          <w:numId w:val="1"/>
        </w:numPr>
        <w:ind w:left="567" w:hanging="567"/>
        <w:outlineLvl w:val="1"/>
      </w:pPr>
      <w:r>
        <w:t>Pakeistame Komisijos pasiūlyme iš esmės numatyta sukurti vieno langelio principu veikiančią sistemą, kuri apimtų visus svarbius klausimus, paliekant valstybėms narėms laisvę spręsti dėl tarpvalstybinio koordinavimo punktų formos ir rūšies (tai gali būti ir esamos administracinės struktūros), įpareigojant jas įsteigti tokius punktus, tačiau paliekant kliūčių šalinimą valstybių narių nuožiūrai. Todėl siūloma priemonė, galinti padėti rasti prasmingų sprendimų, kaip pašalinti šias kliūtis.</w:t>
      </w:r>
    </w:p>
    <w:p w:rsidRPr="00653F3F" w:rsidR="00DC7933" w:rsidP="008925E0" w:rsidRDefault="00DC7933" w14:paraId="4ADE1475" w14:textId="77777777">
      <w:pPr>
        <w:outlineLvl w:val="1"/>
      </w:pPr>
    </w:p>
    <w:p w:rsidRPr="00653F3F" w:rsidR="008835DB" w:rsidP="001F7BA7" w:rsidRDefault="008835DB" w14:paraId="5F005181" w14:textId="19FCD34B">
      <w:pPr>
        <w:numPr>
          <w:ilvl w:val="1"/>
          <w:numId w:val="1"/>
        </w:numPr>
        <w:ind w:left="567" w:hanging="567"/>
        <w:outlineLvl w:val="1"/>
      </w:pPr>
      <w:r>
        <w:t>Taigi, siekiant nesumažinti siūlomos procedūros pridėtinės vertės, ji neturėtų būti skirta tik atkreipti dėmesį į nustatytas problemas ir pripažinti jų ypatumus, renkant duomenis iš visų valstybių narių, o Europos Komisijai koordinuojant šį procesą. Reikėtų atkreipti dėmesį į ir pabrėžti tai, kad valstybės narės tarpvalstybinių kliūčių priežastis gali šalinti taikydamos pertvarkymo priemonę (net jei tik savanoriškai).</w:t>
      </w:r>
    </w:p>
    <w:p w:rsidRPr="00653F3F" w:rsidR="00691E09" w:rsidP="00943810" w:rsidRDefault="00691E09" w14:paraId="0E745B60" w14:textId="77777777">
      <w:pPr>
        <w:ind w:left="720" w:hanging="720"/>
      </w:pPr>
    </w:p>
    <w:p w:rsidRPr="00653F3F" w:rsidR="00DC7933" w:rsidP="001F7BA7" w:rsidRDefault="00DC7933" w14:paraId="220BC2FF" w14:textId="7DD199B8">
      <w:pPr>
        <w:numPr>
          <w:ilvl w:val="1"/>
          <w:numId w:val="1"/>
        </w:numPr>
        <w:ind w:left="567" w:hanging="567"/>
        <w:outlineLvl w:val="1"/>
      </w:pPr>
      <w:r>
        <w:t>Siekiant geriau suprasti, kaip veikia naujoji procedūra, būtų buvę pageidautina, kad Komisija pateiktų daugiau tarpvalstybinių problemų pavyzdžių ir jų sprendimo būdų, kad būtų galima lengviau suprasti šią procedūrą ir padėti suinteresuotosioms šalims ir valstybėms narėms suvokti, koki ji reikalinga.</w:t>
      </w:r>
    </w:p>
    <w:p w:rsidRPr="00653F3F" w:rsidR="00B62CE4" w:rsidP="00B62CE4" w:rsidRDefault="00B62CE4" w14:paraId="4933DF48" w14:textId="587238DD"/>
    <w:p w:rsidRPr="00653F3F" w:rsidR="002D0538" w:rsidRDefault="00B62CE4" w14:paraId="5E8C4982" w14:textId="1815CE0A">
      <w:pPr>
        <w:pStyle w:val="Heading2"/>
        <w:ind w:left="567" w:hanging="567"/>
      </w:pPr>
      <w:r>
        <w:t>Be to, kad siūloma procedūra nebūtų laikoma paprastu standartiniu procesu, būtų naudinga suteikti galimybę papildyti pateiktą tarpvalstybinę bylą tolesne informacija, jei atlikus pirmąjį vertinimą tarpvalstybinė kliūtis nenustatoma (teisė nesutikti).</w:t>
      </w:r>
    </w:p>
    <w:p w:rsidRPr="00653F3F" w:rsidR="001D609D" w:rsidP="00180050" w:rsidRDefault="001D609D" w14:paraId="6883C28C" w14:textId="77777777">
      <w:pPr>
        <w:jc w:val="left"/>
      </w:pPr>
    </w:p>
    <w:p w:rsidRPr="00653F3F" w:rsidR="001D609D" w:rsidP="001D609D" w:rsidRDefault="001D609D" w14:paraId="61747336" w14:textId="70B7724D">
      <w:pPr>
        <w:jc w:val="left"/>
      </w:pPr>
      <w:r>
        <w:t>2024 m. balandžio 10 d. Briuselis</w:t>
      </w:r>
    </w:p>
    <w:p w:rsidRPr="00653F3F" w:rsidR="00AF208C" w:rsidP="001D609D" w:rsidRDefault="00AF208C" w14:paraId="48A8D72D" w14:textId="22084D11">
      <w:pPr>
        <w:jc w:val="left"/>
      </w:pPr>
    </w:p>
    <w:p w:rsidRPr="00653F3F" w:rsidR="00AF208C" w:rsidP="001D609D" w:rsidRDefault="00AF208C" w14:paraId="33815BF2" w14:textId="130DDC74">
      <w:pPr>
        <w:jc w:val="left"/>
      </w:pPr>
    </w:p>
    <w:p w:rsidRPr="00653F3F" w:rsidR="00D35AB6" w:rsidP="001D609D" w:rsidRDefault="00D35AB6" w14:paraId="15CF12B4" w14:textId="440D3E96">
      <w:pPr>
        <w:jc w:val="left"/>
      </w:pPr>
    </w:p>
    <w:p w:rsidRPr="00653F3F" w:rsidR="00D35AB6" w:rsidP="001D609D" w:rsidRDefault="00D35AB6" w14:paraId="4B26C700" w14:textId="77777777">
      <w:pPr>
        <w:jc w:val="left"/>
      </w:pPr>
    </w:p>
    <w:p w:rsidRPr="00653F3F" w:rsidR="00AF208C" w:rsidP="001D609D" w:rsidRDefault="00AF208C" w14:paraId="18432580" w14:textId="0E8DAD12">
      <w:pPr>
        <w:jc w:val="left"/>
      </w:pPr>
      <w:proofErr w:type="spellStart"/>
      <w:r>
        <w:t>Ioannis</w:t>
      </w:r>
      <w:proofErr w:type="spellEnd"/>
      <w:r>
        <w:t xml:space="preserve"> </w:t>
      </w:r>
      <w:proofErr w:type="spellStart"/>
      <w:r>
        <w:t>Vardakastanis</w:t>
      </w:r>
      <w:proofErr w:type="spellEnd"/>
    </w:p>
    <w:p w:rsidRPr="00653F3F" w:rsidR="00AF208C" w:rsidP="00180050" w:rsidRDefault="00D35AB6" w14:paraId="6C354C33" w14:textId="74D75551">
      <w:pPr>
        <w:jc w:val="left"/>
      </w:pPr>
      <w:r>
        <w:t>Ekonominės ir pinigų sąjungos, ekonominės ir socialinės sanglaudos skyriaus pirmininkas</w:t>
      </w:r>
    </w:p>
    <w:p w:rsidRPr="00653F3F" w:rsidR="001D609D" w:rsidP="00180050" w:rsidRDefault="001D609D" w14:paraId="19A60ECE" w14:textId="77777777">
      <w:pPr>
        <w:jc w:val="left"/>
      </w:pPr>
    </w:p>
    <w:p w:rsidRPr="00653F3F" w:rsidR="00277015" w:rsidP="001F7BA7" w:rsidRDefault="008835DB" w14:paraId="139577FA" w14:textId="2A0B96D4">
      <w:pPr>
        <w:jc w:val="center"/>
      </w:pPr>
      <w:r>
        <w:t>_____________</w:t>
      </w:r>
    </w:p>
    <w:sectPr w:rsidRPr="00653F3F" w:rsidR="00277015" w:rsidSect="00381FAC">
      <w:headerReference w:type="even" r:id="rId19"/>
      <w:headerReference w:type="default" r:id="rId20"/>
      <w:footerReference w:type="even" r:id="rId21"/>
      <w:footerReference w:type="default" r:id="rId22"/>
      <w:headerReference w:type="first" r:id="rId23"/>
      <w:footerReference w:type="first" r:id="rId24"/>
      <w:pgSz w:w="11907" w:h="16839" w:code="9"/>
      <w:pgMar w:top="1417" w:right="1417" w:bottom="1417" w:left="1417"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D1EB3" w14:textId="77777777" w:rsidR="00BE16C5" w:rsidRDefault="00BE16C5" w:rsidP="008835DB">
      <w:pPr>
        <w:spacing w:line="240" w:lineRule="auto"/>
      </w:pPr>
      <w:r>
        <w:separator/>
      </w:r>
    </w:p>
  </w:endnote>
  <w:endnote w:type="continuationSeparator" w:id="0">
    <w:p w14:paraId="5E760FA7" w14:textId="77777777" w:rsidR="00BE16C5" w:rsidRDefault="00BE16C5" w:rsidP="008835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7375C" w14:textId="77777777" w:rsidR="00381FAC" w:rsidRPr="00381FAC" w:rsidRDefault="00381FAC" w:rsidP="00381F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004C6" w14:textId="5EEB26CD" w:rsidR="008835DB" w:rsidRPr="00381FAC" w:rsidRDefault="00381FAC" w:rsidP="00381FAC">
    <w:pPr>
      <w:pStyle w:val="Footer"/>
    </w:pPr>
    <w:r>
      <w:t xml:space="preserve">ECO/637 – EESC-2024-00120-00-00-AS-TRA (EN) </w:t>
    </w:r>
    <w:r>
      <w:fldChar w:fldCharType="begin"/>
    </w:r>
    <w:r>
      <w:instrText xml:space="preserve"> PAGE  \* Arabic  \* MERGEFORMAT </w:instrText>
    </w:r>
    <w:r>
      <w:fldChar w:fldCharType="separate"/>
    </w:r>
    <w:r w:rsidR="00373609">
      <w:t>1</w:t>
    </w:r>
    <w:r>
      <w:fldChar w:fldCharType="end"/>
    </w:r>
    <w:r>
      <w:t>/</w:t>
    </w:r>
    <w:r w:rsidR="00A773BB">
      <w:fldChar w:fldCharType="begin"/>
    </w:r>
    <w:r w:rsidR="00A773BB">
      <w:instrText xml:space="preserve"> NUMPAGES </w:instrText>
    </w:r>
    <w:r w:rsidR="00A773BB">
      <w:fldChar w:fldCharType="separate"/>
    </w:r>
    <w:r w:rsidR="00373609">
      <w:t>2</w:t>
    </w:r>
    <w:r w:rsidR="00A773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7CD03" w14:textId="77777777" w:rsidR="00381FAC" w:rsidRPr="00381FAC" w:rsidRDefault="00381FAC" w:rsidP="00381F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9CF4F" w14:textId="77777777" w:rsidR="008E5D03" w:rsidRPr="00381FAC" w:rsidRDefault="00A773BB" w:rsidP="00381FA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B913E" w14:textId="6B0FC88C" w:rsidR="008E5D03" w:rsidRPr="00381FAC" w:rsidRDefault="00381FAC" w:rsidP="00381FAC">
    <w:pPr>
      <w:pStyle w:val="Footer"/>
    </w:pPr>
    <w:r>
      <w:t xml:space="preserve">ECO/637 – EESC-2024-00120-00-00-AS-TRA (EN) </w:t>
    </w:r>
    <w:r>
      <w:fldChar w:fldCharType="begin"/>
    </w:r>
    <w:r>
      <w:instrText xml:space="preserve"> PAGE  \* Arabic  \* MERGEFORMAT </w:instrText>
    </w:r>
    <w:r>
      <w:fldChar w:fldCharType="separate"/>
    </w:r>
    <w:r>
      <w:t>2</w:t>
    </w:r>
    <w:r>
      <w:fldChar w:fldCharType="end"/>
    </w:r>
    <w:r>
      <w:t>/</w:t>
    </w:r>
    <w:r w:rsidR="00A773BB">
      <w:fldChar w:fldCharType="begin"/>
    </w:r>
    <w:r w:rsidR="00A773BB">
      <w:instrText xml:space="preserve"> NUMPAGES </w:instrText>
    </w:r>
    <w:r w:rsidR="00A773BB">
      <w:fldChar w:fldCharType="separate"/>
    </w:r>
    <w:r>
      <w:t>8</w:t>
    </w:r>
    <w:r w:rsidR="00A773BB">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B30E3" w14:textId="77777777" w:rsidR="008E5D03" w:rsidRPr="00381FAC" w:rsidRDefault="00A773BB" w:rsidP="00381F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D3A224" w14:textId="77777777" w:rsidR="00BE16C5" w:rsidRDefault="00BE16C5" w:rsidP="008835DB">
      <w:pPr>
        <w:spacing w:line="240" w:lineRule="auto"/>
      </w:pPr>
      <w:r>
        <w:separator/>
      </w:r>
    </w:p>
  </w:footnote>
  <w:footnote w:type="continuationSeparator" w:id="0">
    <w:p w14:paraId="38284AD1" w14:textId="77777777" w:rsidR="00BE16C5" w:rsidRDefault="00BE16C5" w:rsidP="008835DB">
      <w:pPr>
        <w:spacing w:line="240" w:lineRule="auto"/>
      </w:pPr>
      <w:r>
        <w:continuationSeparator/>
      </w:r>
    </w:p>
  </w:footnote>
  <w:footnote w:id="1">
    <w:p w14:paraId="0269FD8C" w14:textId="6FFD7472" w:rsidR="008835DB" w:rsidRDefault="008835DB" w:rsidP="008835DB">
      <w:pPr>
        <w:pStyle w:val="FootnoteText"/>
      </w:pPr>
      <w:r>
        <w:rPr>
          <w:rStyle w:val="FootnoteReference"/>
        </w:rPr>
        <w:footnoteRef/>
      </w:r>
      <w:r>
        <w:tab/>
      </w:r>
      <w:hyperlink r:id="rId1" w:history="1">
        <w:r>
          <w:rPr>
            <w:rStyle w:val="Hyperlink"/>
          </w:rPr>
          <w:t>Pradinis dokumentas, skirtas neformaliam ministrų posėdžiui teritorinės sanglaudos klausimais pirmininkaujant Liuksemburgui</w:t>
        </w:r>
      </w:hyperlink>
      <w:r>
        <w:t>.</w:t>
      </w:r>
    </w:p>
  </w:footnote>
  <w:footnote w:id="2">
    <w:p w14:paraId="373085F4" w14:textId="12675CEE" w:rsidR="008835DB" w:rsidRDefault="008835DB" w:rsidP="008835DB">
      <w:pPr>
        <w:pStyle w:val="FootnoteText"/>
      </w:pPr>
      <w:r>
        <w:rPr>
          <w:rStyle w:val="FootnoteReference"/>
        </w:rPr>
        <w:footnoteRef/>
      </w:r>
      <w:r>
        <w:tab/>
      </w:r>
      <w:hyperlink r:id="rId2" w:history="1">
        <w:r>
          <w:rPr>
            <w:rStyle w:val="Hyperlink"/>
            <w:i/>
          </w:rPr>
          <w:t>EPRS, mechanizmas teisinėms ir administracinėms kliūtims tarpvalstybiniu mastu šalinti. Europos pridėtinės vertės vertinimas</w:t>
        </w:r>
        <w:r>
          <w:rPr>
            <w:rStyle w:val="Hyperlink"/>
          </w:rPr>
          <w:t>, EP 740.233 – 2023 m. gegužės mėn., p. 19</w:t>
        </w:r>
      </w:hyperlink>
      <w:r>
        <w:t>.</w:t>
      </w:r>
    </w:p>
  </w:footnote>
  <w:footnote w:id="3">
    <w:p w14:paraId="5B8FADEB" w14:textId="096FA201" w:rsidR="008835DB" w:rsidRPr="00585BBB" w:rsidRDefault="008835DB" w:rsidP="008835DB">
      <w:pPr>
        <w:pStyle w:val="FootnoteText"/>
      </w:pPr>
      <w:r>
        <w:rPr>
          <w:rStyle w:val="FootnoteReference"/>
        </w:rPr>
        <w:footnoteRef/>
      </w:r>
      <w:r>
        <w:tab/>
      </w:r>
      <w:hyperlink r:id="rId3" w:history="1">
        <w:r>
          <w:rPr>
            <w:rStyle w:val="Hyperlink"/>
          </w:rPr>
          <w:t>COM(2018) 373 final</w:t>
        </w:r>
      </w:hyperlink>
      <w:r>
        <w:t>.</w:t>
      </w:r>
    </w:p>
  </w:footnote>
  <w:footnote w:id="4">
    <w:p w14:paraId="1E5144BD" w14:textId="1AA6BDE2" w:rsidR="008835DB" w:rsidRDefault="008835DB" w:rsidP="008835DB">
      <w:pPr>
        <w:pStyle w:val="FootnoteText"/>
      </w:pPr>
      <w:r>
        <w:rPr>
          <w:rStyle w:val="FootnoteReference"/>
        </w:rPr>
        <w:footnoteRef/>
      </w:r>
      <w:r>
        <w:tab/>
      </w:r>
      <w:hyperlink r:id="rId4" w:history="1">
        <w:r>
          <w:rPr>
            <w:rStyle w:val="Hyperlink"/>
          </w:rPr>
          <w:t>COM(2023) 790 final</w:t>
        </w:r>
      </w:hyperlink>
      <w:r>
        <w:t>.</w:t>
      </w:r>
    </w:p>
  </w:footnote>
  <w:footnote w:id="5">
    <w:p w14:paraId="2EC6C394" w14:textId="5E0B0CA1" w:rsidR="008835DB" w:rsidRPr="004D66A3" w:rsidRDefault="008835DB" w:rsidP="008835DB">
      <w:pPr>
        <w:pStyle w:val="FootnoteText"/>
      </w:pPr>
      <w:r>
        <w:rPr>
          <w:rStyle w:val="FootnoteReference"/>
        </w:rPr>
        <w:footnoteRef/>
      </w:r>
      <w:r>
        <w:tab/>
        <w:t xml:space="preserve">Komisijos komunikatas Tarybai ir Europos Parlamentui „Ekonomikos augimo ir sanglaudos skatinimas ES pasienio regionuose“. </w:t>
      </w:r>
      <w:hyperlink r:id="rId5" w:history="1">
        <w:r>
          <w:rPr>
            <w:rStyle w:val="Hyperlink"/>
          </w:rPr>
          <w:t>COM(2017) 534 final, p. 2</w:t>
        </w:r>
      </w:hyperlink>
      <w:r>
        <w:t>.</w:t>
      </w:r>
    </w:p>
  </w:footnote>
  <w:footnote w:id="6">
    <w:p w14:paraId="1A49D218" w14:textId="50BE3D27" w:rsidR="008835DB" w:rsidRPr="00813475" w:rsidRDefault="008835DB" w:rsidP="008835DB">
      <w:pPr>
        <w:pStyle w:val="FootnoteText"/>
      </w:pPr>
      <w:r>
        <w:rPr>
          <w:rStyle w:val="FootnoteReference"/>
        </w:rPr>
        <w:footnoteRef/>
      </w:r>
      <w:r>
        <w:tab/>
      </w:r>
      <w:hyperlink r:id="rId6" w:history="1">
        <w:r>
          <w:rPr>
            <w:rStyle w:val="Hyperlink"/>
          </w:rPr>
          <w:t>Informacija apie Šengeno erdvę</w:t>
        </w:r>
      </w:hyperlink>
      <w:r>
        <w:t>.</w:t>
      </w:r>
    </w:p>
  </w:footnote>
  <w:footnote w:id="7">
    <w:p w14:paraId="1D0DA795" w14:textId="2955A0B9" w:rsidR="008835DB" w:rsidRPr="00B51C09" w:rsidRDefault="008835DB" w:rsidP="008835DB">
      <w:pPr>
        <w:pStyle w:val="FootnoteText"/>
      </w:pPr>
      <w:r>
        <w:rPr>
          <w:rStyle w:val="FootnoteReference"/>
        </w:rPr>
        <w:footnoteRef/>
      </w:r>
      <w:r>
        <w:tab/>
      </w:r>
      <w:hyperlink r:id="rId7" w:history="1">
        <w:r>
          <w:rPr>
            <w:rStyle w:val="Hyperlink"/>
          </w:rPr>
          <w:t>http://ec.europa.eu/regional_policy/lt/policy/cooperation/european-territorial/cross-border/review/</w:t>
        </w:r>
      </w:hyperlink>
      <w:r>
        <w:t>.</w:t>
      </w:r>
    </w:p>
  </w:footnote>
  <w:footnote w:id="8">
    <w:p w14:paraId="2FE2AFD5" w14:textId="7B2969DB" w:rsidR="008835DB" w:rsidRDefault="008835DB" w:rsidP="008835DB">
      <w:pPr>
        <w:pStyle w:val="FootnoteText"/>
      </w:pPr>
      <w:r>
        <w:rPr>
          <w:rStyle w:val="FootnoteReference"/>
        </w:rPr>
        <w:footnoteRef/>
      </w:r>
      <w:r>
        <w:tab/>
        <w:t xml:space="preserve">Komisijos komunikatas Tarybai ir Europos Parlamentui „Ekonomikos augimo ir sanglaudos skatinimas ES pasienio regionuose“, </w:t>
      </w:r>
      <w:hyperlink r:id="rId8" w:history="1">
        <w:r>
          <w:rPr>
            <w:rStyle w:val="Hyperlink"/>
          </w:rPr>
          <w:t>COM(2017) 534 final, p. 4</w:t>
        </w:r>
      </w:hyperlink>
      <w:r>
        <w:t>.</w:t>
      </w:r>
    </w:p>
  </w:footnote>
  <w:footnote w:id="9">
    <w:p w14:paraId="26805AC4" w14:textId="1DC6E2A4" w:rsidR="008835DB" w:rsidRPr="000F7EE4" w:rsidRDefault="008835DB" w:rsidP="008925E0">
      <w:pPr>
        <w:pStyle w:val="FootnoteText"/>
      </w:pPr>
      <w:r>
        <w:rPr>
          <w:rStyle w:val="FootnoteReference"/>
        </w:rPr>
        <w:footnoteRef/>
      </w:r>
      <w:r>
        <w:tab/>
        <w:t xml:space="preserve">EESRK nuomonė dėl Europos Komisijos pasiūlymo dėl Europos Parlamento ir Tarybos reglamento dėl mechanizmo teisinėms ir administracinėms kliūtims tarpvalstybiniu mastu šalinti </w:t>
      </w:r>
      <w:hyperlink r:id="rId9" w:history="1">
        <w:r>
          <w:rPr>
            <w:rStyle w:val="Hyperlink"/>
          </w:rPr>
          <w:t>OL C 440 2018 12 6</w:t>
        </w:r>
      </w:hyperlink>
      <w:r>
        <w:t>..</w:t>
      </w:r>
    </w:p>
  </w:footnote>
  <w:footnote w:id="10">
    <w:p w14:paraId="2526E99F" w14:textId="12765CC7" w:rsidR="008835DB" w:rsidRPr="00FA1214" w:rsidRDefault="008835DB" w:rsidP="008835DB">
      <w:pPr>
        <w:pStyle w:val="FootnoteText"/>
      </w:pPr>
      <w:r>
        <w:rPr>
          <w:rStyle w:val="FootnoteReference"/>
        </w:rPr>
        <w:footnoteRef/>
      </w:r>
      <w:r>
        <w:t xml:space="preserve"> </w:t>
      </w:r>
      <w:r>
        <w:tab/>
        <w:t>Europos Komisija ir Europos pasienio regionų asociacija, „b-</w:t>
      </w:r>
      <w:proofErr w:type="spellStart"/>
      <w:r>
        <w:t>solutions</w:t>
      </w:r>
      <w:proofErr w:type="spellEnd"/>
      <w:r>
        <w:t>“. Tarpvalstybinių kliūčių šalinimas – 43 bylų rinkinys“, Europos Sąjungos leidinių biuras, 2020 m.</w:t>
      </w:r>
    </w:p>
  </w:footnote>
  <w:footnote w:id="11">
    <w:p w14:paraId="60DD3920" w14:textId="61D20147" w:rsidR="008835DB" w:rsidRDefault="008835DB" w:rsidP="008835DB">
      <w:pPr>
        <w:pStyle w:val="FootnoteText"/>
      </w:pPr>
      <w:r>
        <w:rPr>
          <w:rStyle w:val="FootnoteReference"/>
        </w:rPr>
        <w:footnoteRef/>
      </w:r>
      <w:r>
        <w:tab/>
        <w:t xml:space="preserve">Pakeistas Europos Komisijos pakeistas pasiūlymas dėl Europos Parlamento ir Tarybos reglamento dėl mechanizmo teisinėms ir administracinėms kliūtims tarpvalstybiniu mastu šalinti, </w:t>
      </w:r>
      <w:hyperlink r:id="rId10" w:history="1">
        <w:r>
          <w:rPr>
            <w:rStyle w:val="Hyperlink"/>
          </w:rPr>
          <w:t>COM(2023) 790 final</w:t>
        </w:r>
      </w:hyperlink>
      <w:r>
        <w:t>.</w:t>
      </w:r>
    </w:p>
  </w:footnote>
  <w:footnote w:id="12">
    <w:p w14:paraId="3A0DB2C7" w14:textId="5087E978" w:rsidR="00C54827" w:rsidRPr="00943810" w:rsidRDefault="00C54827">
      <w:pPr>
        <w:pStyle w:val="FootnoteText"/>
      </w:pPr>
      <w:r>
        <w:rPr>
          <w:rStyle w:val="FootnoteReference"/>
        </w:rPr>
        <w:footnoteRef/>
      </w:r>
      <w:r>
        <w:tab/>
      </w:r>
      <w:hyperlink r:id="rId11" w:history="1">
        <w:r>
          <w:rPr>
            <w:rStyle w:val="Hyperlink"/>
          </w:rPr>
          <w:t>https://data.consilium.europa.eu/doc/document/ST-6009-2020-INIT/lt/pdf</w:t>
        </w:r>
      </w:hyperlink>
      <w:r>
        <w:t>.</w:t>
      </w:r>
    </w:p>
  </w:footnote>
  <w:footnote w:id="13">
    <w:p w14:paraId="0E9BA3AC" w14:textId="703CB66B" w:rsidR="008835DB" w:rsidRDefault="008835DB" w:rsidP="008835DB">
      <w:pPr>
        <w:pStyle w:val="FootnoteText"/>
      </w:pPr>
      <w:r>
        <w:rPr>
          <w:rStyle w:val="FootnoteReference"/>
        </w:rPr>
        <w:footnoteRef/>
      </w:r>
      <w:r>
        <w:tab/>
        <w:t xml:space="preserve">EESRK nuomonė dėl Europos Komisijos pasiūlymo dėl Europos Parlamento ir Tarybos reglamento dėl mechanizmo teisinėms ir administracinėms kliūtims tarpvalstybiniu mastu šalinti </w:t>
      </w:r>
      <w:hyperlink r:id="rId12" w:history="1">
        <w:r>
          <w:rPr>
            <w:rStyle w:val="Hyperlink"/>
          </w:rPr>
          <w:t>OL C 440 2018 12 6</w:t>
        </w:r>
      </w:hyperlink>
      <w:r>
        <w:t>..</w:t>
      </w:r>
    </w:p>
  </w:footnote>
  <w:footnote w:id="14">
    <w:p w14:paraId="29C5A963" w14:textId="15F112AC" w:rsidR="008835DB" w:rsidRDefault="008835DB" w:rsidP="008835DB">
      <w:pPr>
        <w:pStyle w:val="FootnoteText"/>
      </w:pPr>
      <w:r>
        <w:rPr>
          <w:rStyle w:val="FootnoteReference"/>
        </w:rPr>
        <w:footnoteRef/>
      </w:r>
      <w:r>
        <w:tab/>
        <w:t xml:space="preserve">EESRK nuomonė dėl Europos Komisijos pasiūlymo dėl Europos Parlamento ir Tarybos reglamento dėl mechanizmo teisinėms ir administracinėms kliūtims tarpvalstybiniu mastu šalinti </w:t>
      </w:r>
      <w:hyperlink r:id="rId13" w:history="1">
        <w:r>
          <w:rPr>
            <w:rStyle w:val="Hyperlink"/>
          </w:rPr>
          <w:t>OL C 440 2018 12 6</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9431C" w14:textId="77777777" w:rsidR="00381FAC" w:rsidRPr="00381FAC" w:rsidRDefault="00381FAC" w:rsidP="00381F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8B845A" w14:textId="6B747EAE" w:rsidR="00381FAC" w:rsidRPr="00381FAC" w:rsidRDefault="00381FAC" w:rsidP="00381F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00B7" w14:textId="77777777" w:rsidR="00381FAC" w:rsidRPr="00381FAC" w:rsidRDefault="00381FAC" w:rsidP="00381F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67404" w14:textId="77777777" w:rsidR="008E5D03" w:rsidRPr="00381FAC" w:rsidRDefault="00A773BB" w:rsidP="00381FA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023EA" w14:textId="24982089" w:rsidR="008E5D03" w:rsidRPr="00381FAC" w:rsidRDefault="00A773BB" w:rsidP="00381FA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EF603" w14:textId="77777777" w:rsidR="008E5D03" w:rsidRPr="00381FAC" w:rsidRDefault="00A773BB" w:rsidP="00381F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DE6096E"/>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rPr>
        <w:b w:val="0"/>
        <w:bCs/>
        <w:i w:val="0"/>
        <w:iCs/>
      </w:rPr>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015"/>
    <w:rsid w:val="00001647"/>
    <w:rsid w:val="00010C05"/>
    <w:rsid w:val="00020DE9"/>
    <w:rsid w:val="000323BA"/>
    <w:rsid w:val="00036495"/>
    <w:rsid w:val="00036EBB"/>
    <w:rsid w:val="000467EB"/>
    <w:rsid w:val="00054259"/>
    <w:rsid w:val="00060094"/>
    <w:rsid w:val="000627DD"/>
    <w:rsid w:val="00071A70"/>
    <w:rsid w:val="00083E9B"/>
    <w:rsid w:val="000926BD"/>
    <w:rsid w:val="000A35A0"/>
    <w:rsid w:val="000A6048"/>
    <w:rsid w:val="000B0A88"/>
    <w:rsid w:val="000C0F23"/>
    <w:rsid w:val="000D3F3D"/>
    <w:rsid w:val="000E2ED9"/>
    <w:rsid w:val="000E4638"/>
    <w:rsid w:val="000F4019"/>
    <w:rsid w:val="0012375E"/>
    <w:rsid w:val="0013683E"/>
    <w:rsid w:val="00163CEE"/>
    <w:rsid w:val="00176090"/>
    <w:rsid w:val="00177D2E"/>
    <w:rsid w:val="00180050"/>
    <w:rsid w:val="001824A5"/>
    <w:rsid w:val="001875D0"/>
    <w:rsid w:val="00196359"/>
    <w:rsid w:val="001A70AD"/>
    <w:rsid w:val="001C76F3"/>
    <w:rsid w:val="001D609D"/>
    <w:rsid w:val="001D6D66"/>
    <w:rsid w:val="001E566D"/>
    <w:rsid w:val="001F1D30"/>
    <w:rsid w:val="001F7BA7"/>
    <w:rsid w:val="00201BEB"/>
    <w:rsid w:val="00212942"/>
    <w:rsid w:val="0022569E"/>
    <w:rsid w:val="0023618D"/>
    <w:rsid w:val="00241164"/>
    <w:rsid w:val="0024162B"/>
    <w:rsid w:val="00244582"/>
    <w:rsid w:val="00272592"/>
    <w:rsid w:val="00277015"/>
    <w:rsid w:val="00283301"/>
    <w:rsid w:val="00283C6E"/>
    <w:rsid w:val="002A7248"/>
    <w:rsid w:val="002D0538"/>
    <w:rsid w:val="002D1987"/>
    <w:rsid w:val="002D6E29"/>
    <w:rsid w:val="002F628B"/>
    <w:rsid w:val="003463C6"/>
    <w:rsid w:val="003631D3"/>
    <w:rsid w:val="00363BC5"/>
    <w:rsid w:val="00373609"/>
    <w:rsid w:val="00381FAC"/>
    <w:rsid w:val="00387B7D"/>
    <w:rsid w:val="0039377E"/>
    <w:rsid w:val="003A7349"/>
    <w:rsid w:val="003B0BBE"/>
    <w:rsid w:val="003E1B21"/>
    <w:rsid w:val="003F0E83"/>
    <w:rsid w:val="003F4ED9"/>
    <w:rsid w:val="00405EC9"/>
    <w:rsid w:val="00406442"/>
    <w:rsid w:val="0040720E"/>
    <w:rsid w:val="00431362"/>
    <w:rsid w:val="00447B09"/>
    <w:rsid w:val="0045165A"/>
    <w:rsid w:val="004548F6"/>
    <w:rsid w:val="00460738"/>
    <w:rsid w:val="00476F46"/>
    <w:rsid w:val="00491A82"/>
    <w:rsid w:val="004B60C9"/>
    <w:rsid w:val="004C0369"/>
    <w:rsid w:val="004C30B4"/>
    <w:rsid w:val="004D66A3"/>
    <w:rsid w:val="004E521E"/>
    <w:rsid w:val="004E7ABB"/>
    <w:rsid w:val="004F4526"/>
    <w:rsid w:val="004F526B"/>
    <w:rsid w:val="004F59B3"/>
    <w:rsid w:val="00521F6E"/>
    <w:rsid w:val="00522271"/>
    <w:rsid w:val="00534040"/>
    <w:rsid w:val="00540F1D"/>
    <w:rsid w:val="00544892"/>
    <w:rsid w:val="00546836"/>
    <w:rsid w:val="00552D3C"/>
    <w:rsid w:val="00557D13"/>
    <w:rsid w:val="0056467F"/>
    <w:rsid w:val="00566B10"/>
    <w:rsid w:val="00590080"/>
    <w:rsid w:val="005A1F9D"/>
    <w:rsid w:val="005A5E9A"/>
    <w:rsid w:val="005D5093"/>
    <w:rsid w:val="005D5793"/>
    <w:rsid w:val="005E40DA"/>
    <w:rsid w:val="005E40E1"/>
    <w:rsid w:val="00603CA4"/>
    <w:rsid w:val="00607DD3"/>
    <w:rsid w:val="006245AB"/>
    <w:rsid w:val="00640FCE"/>
    <w:rsid w:val="00653F3F"/>
    <w:rsid w:val="00672070"/>
    <w:rsid w:val="00676BB6"/>
    <w:rsid w:val="0068329B"/>
    <w:rsid w:val="00691E09"/>
    <w:rsid w:val="006C0842"/>
    <w:rsid w:val="006C37DC"/>
    <w:rsid w:val="006F2355"/>
    <w:rsid w:val="00754F01"/>
    <w:rsid w:val="00762F49"/>
    <w:rsid w:val="0076342D"/>
    <w:rsid w:val="00763A02"/>
    <w:rsid w:val="00771AAF"/>
    <w:rsid w:val="00777D57"/>
    <w:rsid w:val="007B5A35"/>
    <w:rsid w:val="007C3225"/>
    <w:rsid w:val="007D747E"/>
    <w:rsid w:val="007E0FEF"/>
    <w:rsid w:val="007E6CA9"/>
    <w:rsid w:val="007F2C89"/>
    <w:rsid w:val="007F3AE5"/>
    <w:rsid w:val="007F6538"/>
    <w:rsid w:val="008025F4"/>
    <w:rsid w:val="00805B0F"/>
    <w:rsid w:val="008156C7"/>
    <w:rsid w:val="00827519"/>
    <w:rsid w:val="008750DC"/>
    <w:rsid w:val="00881A79"/>
    <w:rsid w:val="008835DB"/>
    <w:rsid w:val="00891A5C"/>
    <w:rsid w:val="008925E0"/>
    <w:rsid w:val="0089351E"/>
    <w:rsid w:val="008B4D86"/>
    <w:rsid w:val="008C01EE"/>
    <w:rsid w:val="008C5328"/>
    <w:rsid w:val="008F2795"/>
    <w:rsid w:val="009037AF"/>
    <w:rsid w:val="0091083A"/>
    <w:rsid w:val="00921494"/>
    <w:rsid w:val="00924909"/>
    <w:rsid w:val="009326E9"/>
    <w:rsid w:val="00943810"/>
    <w:rsid w:val="00945A0F"/>
    <w:rsid w:val="009637C4"/>
    <w:rsid w:val="00964629"/>
    <w:rsid w:val="00967CA3"/>
    <w:rsid w:val="00994558"/>
    <w:rsid w:val="009A2E04"/>
    <w:rsid w:val="009A7104"/>
    <w:rsid w:val="009A7C8B"/>
    <w:rsid w:val="009C2BF2"/>
    <w:rsid w:val="009C2DAE"/>
    <w:rsid w:val="009C7EF7"/>
    <w:rsid w:val="00A0402D"/>
    <w:rsid w:val="00A05E47"/>
    <w:rsid w:val="00A11ECA"/>
    <w:rsid w:val="00A1261A"/>
    <w:rsid w:val="00A27875"/>
    <w:rsid w:val="00A34DD6"/>
    <w:rsid w:val="00A36512"/>
    <w:rsid w:val="00A372D0"/>
    <w:rsid w:val="00A439CC"/>
    <w:rsid w:val="00A6344D"/>
    <w:rsid w:val="00A773BB"/>
    <w:rsid w:val="00A77D9D"/>
    <w:rsid w:val="00AA0641"/>
    <w:rsid w:val="00AA2979"/>
    <w:rsid w:val="00AB17E3"/>
    <w:rsid w:val="00AB4975"/>
    <w:rsid w:val="00AC7A48"/>
    <w:rsid w:val="00AD7CD2"/>
    <w:rsid w:val="00AE178B"/>
    <w:rsid w:val="00AE3298"/>
    <w:rsid w:val="00AE5FE0"/>
    <w:rsid w:val="00AF208C"/>
    <w:rsid w:val="00AF4A54"/>
    <w:rsid w:val="00AF7BAF"/>
    <w:rsid w:val="00B0639D"/>
    <w:rsid w:val="00B20CD2"/>
    <w:rsid w:val="00B62CE4"/>
    <w:rsid w:val="00B938D6"/>
    <w:rsid w:val="00B9594D"/>
    <w:rsid w:val="00BA0F13"/>
    <w:rsid w:val="00BA7D68"/>
    <w:rsid w:val="00BE16C5"/>
    <w:rsid w:val="00BE35B7"/>
    <w:rsid w:val="00BF09D8"/>
    <w:rsid w:val="00BF0EE1"/>
    <w:rsid w:val="00BF0EF4"/>
    <w:rsid w:val="00C017D4"/>
    <w:rsid w:val="00C07CF0"/>
    <w:rsid w:val="00C374AB"/>
    <w:rsid w:val="00C524EF"/>
    <w:rsid w:val="00C54827"/>
    <w:rsid w:val="00C62C05"/>
    <w:rsid w:val="00C74D00"/>
    <w:rsid w:val="00C7687F"/>
    <w:rsid w:val="00C81334"/>
    <w:rsid w:val="00CA5273"/>
    <w:rsid w:val="00CB48FE"/>
    <w:rsid w:val="00CC2BE3"/>
    <w:rsid w:val="00CE4D0B"/>
    <w:rsid w:val="00D04D8B"/>
    <w:rsid w:val="00D07183"/>
    <w:rsid w:val="00D33277"/>
    <w:rsid w:val="00D3492E"/>
    <w:rsid w:val="00D35AB6"/>
    <w:rsid w:val="00D42406"/>
    <w:rsid w:val="00D4294A"/>
    <w:rsid w:val="00D54C48"/>
    <w:rsid w:val="00D67E72"/>
    <w:rsid w:val="00D71ECF"/>
    <w:rsid w:val="00D74022"/>
    <w:rsid w:val="00D840C0"/>
    <w:rsid w:val="00D90C8D"/>
    <w:rsid w:val="00DB2AF2"/>
    <w:rsid w:val="00DC7933"/>
    <w:rsid w:val="00DD21B7"/>
    <w:rsid w:val="00DF4B4E"/>
    <w:rsid w:val="00E0246A"/>
    <w:rsid w:val="00E05AD6"/>
    <w:rsid w:val="00E22105"/>
    <w:rsid w:val="00E43EF5"/>
    <w:rsid w:val="00E524B8"/>
    <w:rsid w:val="00E7185E"/>
    <w:rsid w:val="00E73C9A"/>
    <w:rsid w:val="00E75DD1"/>
    <w:rsid w:val="00E77372"/>
    <w:rsid w:val="00E80FF4"/>
    <w:rsid w:val="00E81880"/>
    <w:rsid w:val="00E84EC0"/>
    <w:rsid w:val="00EA38FA"/>
    <w:rsid w:val="00EA6B73"/>
    <w:rsid w:val="00EB1482"/>
    <w:rsid w:val="00EB42B9"/>
    <w:rsid w:val="00EB4B9F"/>
    <w:rsid w:val="00EC39DC"/>
    <w:rsid w:val="00ED24B0"/>
    <w:rsid w:val="00EF0596"/>
    <w:rsid w:val="00EF62DC"/>
    <w:rsid w:val="00F00CF9"/>
    <w:rsid w:val="00F132C9"/>
    <w:rsid w:val="00F17AB4"/>
    <w:rsid w:val="00F46FCE"/>
    <w:rsid w:val="00F53939"/>
    <w:rsid w:val="00F6364F"/>
    <w:rsid w:val="00F64088"/>
    <w:rsid w:val="00F65527"/>
    <w:rsid w:val="00F901BC"/>
    <w:rsid w:val="00F9076D"/>
    <w:rsid w:val="00F93622"/>
    <w:rsid w:val="00FA4C75"/>
    <w:rsid w:val="00FB0E7F"/>
    <w:rsid w:val="00FB12BB"/>
    <w:rsid w:val="00FB2265"/>
    <w:rsid w:val="00FC174F"/>
    <w:rsid w:val="00FD47C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72EB5FFB"/>
  <w15:chartTrackingRefBased/>
  <w15:docId w15:val="{251F904D-AC64-4EF4-8DCE-1D8C313E3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5D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8835DB"/>
    <w:pPr>
      <w:numPr>
        <w:numId w:val="1"/>
      </w:numPr>
      <w:outlineLvl w:val="0"/>
    </w:pPr>
    <w:rPr>
      <w:kern w:val="28"/>
    </w:rPr>
  </w:style>
  <w:style w:type="paragraph" w:styleId="Heading2">
    <w:name w:val="heading 2"/>
    <w:basedOn w:val="Normal"/>
    <w:next w:val="Normal"/>
    <w:link w:val="Heading2Char"/>
    <w:qFormat/>
    <w:rsid w:val="008835DB"/>
    <w:pPr>
      <w:numPr>
        <w:ilvl w:val="1"/>
        <w:numId w:val="1"/>
      </w:numPr>
      <w:outlineLvl w:val="1"/>
    </w:pPr>
  </w:style>
  <w:style w:type="paragraph" w:styleId="Heading3">
    <w:name w:val="heading 3"/>
    <w:basedOn w:val="Normal"/>
    <w:next w:val="Normal"/>
    <w:link w:val="Heading3Char"/>
    <w:qFormat/>
    <w:rsid w:val="008835DB"/>
    <w:pPr>
      <w:numPr>
        <w:ilvl w:val="2"/>
        <w:numId w:val="1"/>
      </w:numPr>
      <w:outlineLvl w:val="2"/>
    </w:pPr>
  </w:style>
  <w:style w:type="paragraph" w:styleId="Heading4">
    <w:name w:val="heading 4"/>
    <w:basedOn w:val="Normal"/>
    <w:next w:val="Normal"/>
    <w:link w:val="Heading4Char"/>
    <w:qFormat/>
    <w:rsid w:val="008835DB"/>
    <w:pPr>
      <w:numPr>
        <w:ilvl w:val="3"/>
        <w:numId w:val="1"/>
      </w:numPr>
      <w:outlineLvl w:val="3"/>
    </w:pPr>
  </w:style>
  <w:style w:type="paragraph" w:styleId="Heading5">
    <w:name w:val="heading 5"/>
    <w:basedOn w:val="Normal"/>
    <w:next w:val="Normal"/>
    <w:link w:val="Heading5Char"/>
    <w:qFormat/>
    <w:rsid w:val="008835DB"/>
    <w:pPr>
      <w:numPr>
        <w:ilvl w:val="4"/>
        <w:numId w:val="1"/>
      </w:numPr>
      <w:outlineLvl w:val="4"/>
    </w:pPr>
  </w:style>
  <w:style w:type="paragraph" w:styleId="Heading6">
    <w:name w:val="heading 6"/>
    <w:basedOn w:val="Normal"/>
    <w:next w:val="Normal"/>
    <w:link w:val="Heading6Char"/>
    <w:qFormat/>
    <w:rsid w:val="008835DB"/>
    <w:pPr>
      <w:numPr>
        <w:ilvl w:val="5"/>
        <w:numId w:val="1"/>
      </w:numPr>
      <w:outlineLvl w:val="5"/>
    </w:pPr>
  </w:style>
  <w:style w:type="paragraph" w:styleId="Heading7">
    <w:name w:val="heading 7"/>
    <w:basedOn w:val="Normal"/>
    <w:next w:val="Normal"/>
    <w:link w:val="Heading7Char"/>
    <w:qFormat/>
    <w:rsid w:val="008835DB"/>
    <w:pPr>
      <w:numPr>
        <w:ilvl w:val="6"/>
        <w:numId w:val="1"/>
      </w:numPr>
      <w:outlineLvl w:val="6"/>
    </w:pPr>
  </w:style>
  <w:style w:type="paragraph" w:styleId="Heading8">
    <w:name w:val="heading 8"/>
    <w:basedOn w:val="Normal"/>
    <w:next w:val="Normal"/>
    <w:link w:val="Heading8Char"/>
    <w:qFormat/>
    <w:rsid w:val="008835DB"/>
    <w:pPr>
      <w:numPr>
        <w:ilvl w:val="7"/>
        <w:numId w:val="1"/>
      </w:numPr>
      <w:outlineLvl w:val="7"/>
    </w:pPr>
  </w:style>
  <w:style w:type="paragraph" w:styleId="Heading9">
    <w:name w:val="heading 9"/>
    <w:basedOn w:val="Normal"/>
    <w:next w:val="Normal"/>
    <w:link w:val="Heading9Char"/>
    <w:qFormat/>
    <w:rsid w:val="008835DB"/>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5DB"/>
    <w:rPr>
      <w:rFonts w:ascii="Times New Roman" w:eastAsia="Times New Roman" w:hAnsi="Times New Roman" w:cs="Times New Roman"/>
      <w:kern w:val="28"/>
    </w:rPr>
  </w:style>
  <w:style w:type="character" w:customStyle="1" w:styleId="Heading2Char">
    <w:name w:val="Heading 2 Char"/>
    <w:basedOn w:val="DefaultParagraphFont"/>
    <w:link w:val="Heading2"/>
    <w:rsid w:val="008835DB"/>
    <w:rPr>
      <w:rFonts w:ascii="Times New Roman" w:eastAsia="Times New Roman" w:hAnsi="Times New Roman" w:cs="Times New Roman"/>
    </w:rPr>
  </w:style>
  <w:style w:type="character" w:customStyle="1" w:styleId="Heading3Char">
    <w:name w:val="Heading 3 Char"/>
    <w:basedOn w:val="DefaultParagraphFont"/>
    <w:link w:val="Heading3"/>
    <w:rsid w:val="008835DB"/>
    <w:rPr>
      <w:rFonts w:ascii="Times New Roman" w:eastAsia="Times New Roman" w:hAnsi="Times New Roman" w:cs="Times New Roman"/>
    </w:rPr>
  </w:style>
  <w:style w:type="character" w:customStyle="1" w:styleId="Heading4Char">
    <w:name w:val="Heading 4 Char"/>
    <w:basedOn w:val="DefaultParagraphFont"/>
    <w:link w:val="Heading4"/>
    <w:rsid w:val="008835DB"/>
    <w:rPr>
      <w:rFonts w:ascii="Times New Roman" w:eastAsia="Times New Roman" w:hAnsi="Times New Roman" w:cs="Times New Roman"/>
    </w:rPr>
  </w:style>
  <w:style w:type="character" w:customStyle="1" w:styleId="Heading5Char">
    <w:name w:val="Heading 5 Char"/>
    <w:basedOn w:val="DefaultParagraphFont"/>
    <w:link w:val="Heading5"/>
    <w:rsid w:val="008835DB"/>
    <w:rPr>
      <w:rFonts w:ascii="Times New Roman" w:eastAsia="Times New Roman" w:hAnsi="Times New Roman" w:cs="Times New Roman"/>
    </w:rPr>
  </w:style>
  <w:style w:type="character" w:customStyle="1" w:styleId="Heading6Char">
    <w:name w:val="Heading 6 Char"/>
    <w:basedOn w:val="DefaultParagraphFont"/>
    <w:link w:val="Heading6"/>
    <w:rsid w:val="008835DB"/>
    <w:rPr>
      <w:rFonts w:ascii="Times New Roman" w:eastAsia="Times New Roman" w:hAnsi="Times New Roman" w:cs="Times New Roman"/>
    </w:rPr>
  </w:style>
  <w:style w:type="character" w:customStyle="1" w:styleId="Heading7Char">
    <w:name w:val="Heading 7 Char"/>
    <w:basedOn w:val="DefaultParagraphFont"/>
    <w:link w:val="Heading7"/>
    <w:rsid w:val="008835DB"/>
    <w:rPr>
      <w:rFonts w:ascii="Times New Roman" w:eastAsia="Times New Roman" w:hAnsi="Times New Roman" w:cs="Times New Roman"/>
    </w:rPr>
  </w:style>
  <w:style w:type="character" w:customStyle="1" w:styleId="Heading8Char">
    <w:name w:val="Heading 8 Char"/>
    <w:basedOn w:val="DefaultParagraphFont"/>
    <w:link w:val="Heading8"/>
    <w:rsid w:val="008835DB"/>
    <w:rPr>
      <w:rFonts w:ascii="Times New Roman" w:eastAsia="Times New Roman" w:hAnsi="Times New Roman" w:cs="Times New Roman"/>
    </w:rPr>
  </w:style>
  <w:style w:type="character" w:customStyle="1" w:styleId="Heading9Char">
    <w:name w:val="Heading 9 Char"/>
    <w:basedOn w:val="DefaultParagraphFont"/>
    <w:link w:val="Heading9"/>
    <w:rsid w:val="008835DB"/>
    <w:rPr>
      <w:rFonts w:ascii="Times New Roman" w:eastAsia="Times New Roman" w:hAnsi="Times New Roman" w:cs="Times New Roman"/>
    </w:rPr>
  </w:style>
  <w:style w:type="paragraph" w:styleId="Footer">
    <w:name w:val="footer"/>
    <w:basedOn w:val="Normal"/>
    <w:link w:val="FooterChar"/>
    <w:qFormat/>
    <w:rsid w:val="008835DB"/>
  </w:style>
  <w:style w:type="character" w:customStyle="1" w:styleId="FooterChar">
    <w:name w:val="Footer Char"/>
    <w:basedOn w:val="DefaultParagraphFont"/>
    <w:link w:val="Footer"/>
    <w:rsid w:val="008835DB"/>
    <w:rPr>
      <w:rFonts w:ascii="Times New Roman" w:eastAsia="Times New Roman" w:hAnsi="Times New Roman" w:cs="Times New Roman"/>
    </w:rPr>
  </w:style>
  <w:style w:type="paragraph" w:styleId="FootnoteText">
    <w:name w:val="footnote text"/>
    <w:basedOn w:val="Normal"/>
    <w:link w:val="FootnoteTextChar"/>
    <w:qFormat/>
    <w:rsid w:val="008835DB"/>
    <w:pPr>
      <w:keepLines/>
      <w:spacing w:after="60" w:line="240" w:lineRule="auto"/>
      <w:ind w:left="567" w:hanging="567"/>
    </w:pPr>
    <w:rPr>
      <w:sz w:val="16"/>
    </w:rPr>
  </w:style>
  <w:style w:type="character" w:customStyle="1" w:styleId="FootnoteTextChar">
    <w:name w:val="Footnote Text Char"/>
    <w:basedOn w:val="DefaultParagraphFont"/>
    <w:link w:val="FootnoteText"/>
    <w:rsid w:val="008835DB"/>
    <w:rPr>
      <w:rFonts w:ascii="Times New Roman" w:eastAsia="Times New Roman" w:hAnsi="Times New Roman" w:cs="Times New Roman"/>
      <w:sz w:val="16"/>
    </w:rPr>
  </w:style>
  <w:style w:type="paragraph" w:styleId="Header">
    <w:name w:val="header"/>
    <w:basedOn w:val="Normal"/>
    <w:link w:val="HeaderChar"/>
    <w:qFormat/>
    <w:rsid w:val="008835DB"/>
  </w:style>
  <w:style w:type="character" w:customStyle="1" w:styleId="HeaderChar">
    <w:name w:val="Header Char"/>
    <w:basedOn w:val="DefaultParagraphFont"/>
    <w:link w:val="Header"/>
    <w:rsid w:val="008835DB"/>
    <w:rPr>
      <w:rFonts w:ascii="Times New Roman" w:eastAsia="Times New Roman" w:hAnsi="Times New Roman" w:cs="Times New Roman"/>
    </w:rPr>
  </w:style>
  <w:style w:type="character" w:styleId="Hyperlink">
    <w:name w:val="Hyperlink"/>
    <w:basedOn w:val="DefaultParagraphFont"/>
    <w:uiPriority w:val="99"/>
    <w:rsid w:val="008835DB"/>
    <w:rPr>
      <w:color w:val="0000FF"/>
      <w:u w:val="single"/>
    </w:rPr>
  </w:style>
  <w:style w:type="character" w:styleId="FootnoteReference">
    <w:name w:val="footnote reference"/>
    <w:basedOn w:val="DefaultParagraphFont"/>
    <w:uiPriority w:val="99"/>
    <w:unhideWhenUsed/>
    <w:qFormat/>
    <w:rsid w:val="008835DB"/>
    <w:rPr>
      <w:sz w:val="24"/>
      <w:vertAlign w:val="superscript"/>
    </w:rPr>
  </w:style>
  <w:style w:type="paragraph" w:styleId="ListParagraph">
    <w:name w:val="List Paragraph"/>
    <w:basedOn w:val="Normal"/>
    <w:uiPriority w:val="34"/>
    <w:qFormat/>
    <w:rsid w:val="008835DB"/>
    <w:pPr>
      <w:ind w:left="720"/>
      <w:contextualSpacing/>
    </w:pPr>
  </w:style>
  <w:style w:type="character" w:styleId="CommentReference">
    <w:name w:val="annotation reference"/>
    <w:basedOn w:val="DefaultParagraphFont"/>
    <w:uiPriority w:val="99"/>
    <w:semiHidden/>
    <w:unhideWhenUsed/>
    <w:rsid w:val="00DC7933"/>
    <w:rPr>
      <w:sz w:val="16"/>
      <w:szCs w:val="16"/>
    </w:rPr>
  </w:style>
  <w:style w:type="paragraph" w:styleId="CommentText">
    <w:name w:val="annotation text"/>
    <w:basedOn w:val="Normal"/>
    <w:link w:val="CommentTextChar"/>
    <w:uiPriority w:val="99"/>
    <w:semiHidden/>
    <w:unhideWhenUsed/>
    <w:rsid w:val="00DC7933"/>
    <w:pPr>
      <w:spacing w:line="240" w:lineRule="auto"/>
    </w:pPr>
    <w:rPr>
      <w:sz w:val="20"/>
      <w:szCs w:val="20"/>
    </w:rPr>
  </w:style>
  <w:style w:type="character" w:customStyle="1" w:styleId="CommentTextChar">
    <w:name w:val="Comment Text Char"/>
    <w:basedOn w:val="DefaultParagraphFont"/>
    <w:link w:val="CommentText"/>
    <w:uiPriority w:val="99"/>
    <w:semiHidden/>
    <w:rsid w:val="00DC79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C7933"/>
    <w:rPr>
      <w:b/>
      <w:bCs/>
    </w:rPr>
  </w:style>
  <w:style w:type="character" w:customStyle="1" w:styleId="CommentSubjectChar">
    <w:name w:val="Comment Subject Char"/>
    <w:basedOn w:val="CommentTextChar"/>
    <w:link w:val="CommentSubject"/>
    <w:uiPriority w:val="99"/>
    <w:semiHidden/>
    <w:rsid w:val="00DC793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6344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4D"/>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D67E72"/>
    <w:rPr>
      <w:color w:val="605E5C"/>
      <w:shd w:val="clear" w:color="auto" w:fill="E1DFDD"/>
    </w:rPr>
  </w:style>
  <w:style w:type="character" w:styleId="FollowedHyperlink">
    <w:name w:val="FollowedHyperlink"/>
    <w:basedOn w:val="DefaultParagraphFont"/>
    <w:uiPriority w:val="99"/>
    <w:semiHidden/>
    <w:unhideWhenUsed/>
    <w:rsid w:val="001875D0"/>
    <w:rPr>
      <w:color w:val="954F72" w:themeColor="followedHyperlink"/>
      <w:u w:val="single"/>
    </w:rPr>
  </w:style>
  <w:style w:type="character" w:customStyle="1" w:styleId="UnresolvedMention2">
    <w:name w:val="Unresolved Mention2"/>
    <w:basedOn w:val="DefaultParagraphFont"/>
    <w:uiPriority w:val="99"/>
    <w:semiHidden/>
    <w:unhideWhenUsed/>
    <w:rsid w:val="00FA4C75"/>
    <w:rPr>
      <w:color w:val="605E5C"/>
      <w:shd w:val="clear" w:color="auto" w:fill="E1DFDD"/>
    </w:rPr>
  </w:style>
  <w:style w:type="character" w:customStyle="1" w:styleId="UnresolvedMention3">
    <w:name w:val="Unresolved Mention3"/>
    <w:basedOn w:val="DefaultParagraphFont"/>
    <w:uiPriority w:val="99"/>
    <w:semiHidden/>
    <w:unhideWhenUsed/>
    <w:rsid w:val="003F0E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mailto:ECO@eesc.europa.eu" TargetMode="External"/><Relationship Id="rId17" Type="http://schemas.openxmlformats.org/officeDocument/2006/relationships/header" Target="header3.xml"/><Relationship Id="rId25" Type="http://schemas.openxmlformats.org/officeDocument/2006/relationships/fontTable" Target="fontTable.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customXml" Target="../customXml/item3.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customXml" Target="../customXml/item2.xml"/><Relationship Id="rId10" Type="http://schemas.openxmlformats.org/officeDocument/2006/relationships/endnotes" Target="endnotes.xml"/><Relationship Id="rId19" Type="http://schemas.openxmlformats.org/officeDocument/2006/relationships/header" Target="header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customXml" Target="../customXml/item1.xml"/><Relationship Id="rId30" Type="http://schemas.openxmlformats.org/officeDocument/2006/relationships/customXml" Target="../customXml/item4.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LT/TXT/?uri=CELEX%3A52017DC0534&amp;qid=1712761343224" TargetMode="External"/><Relationship Id="rId13" Type="http://schemas.openxmlformats.org/officeDocument/2006/relationships/hyperlink" Target="https://eur-lex.europa.eu/legal-content/LT/TXT/?uri=CELEX%3A52018AE2790&amp;qid=1712761478895" TargetMode="External"/><Relationship Id="rId3" Type="http://schemas.openxmlformats.org/officeDocument/2006/relationships/hyperlink" Target="https://eur-lex.europa.eu/legal-content/LT/TXT/?uri=CELEX%3A52018PC0373&amp;qid=1712760942316" TargetMode="External"/><Relationship Id="rId7" Type="http://schemas.openxmlformats.org/officeDocument/2006/relationships/hyperlink" Target="http://ec.europa.eu/regional_policy/en/policy/cooperation/european-territorial/cross-border/review/" TargetMode="External"/><Relationship Id="rId12" Type="http://schemas.openxmlformats.org/officeDocument/2006/relationships/hyperlink" Target="https://eur-lex.europa.eu/legal-content/LT/TXT/?uri=CELEX%3A52018AE2790&amp;qid=1712761478895" TargetMode="External"/><Relationship Id="rId2" Type="http://schemas.openxmlformats.org/officeDocument/2006/relationships/hyperlink" Target="https://www.europarl.europa.eu/thinktank/en/document/EPRS_STU(2023)740233" TargetMode="External"/><Relationship Id="rId1" Type="http://schemas.openxmlformats.org/officeDocument/2006/relationships/hyperlink" Target="https://amenagement-territoire.public.lu/fr/eu-presidency/Informal-Ministerial-Meetings-on-Territorial-Cohesion-and-Urban-Policy-_26-27-November-2015_-Luxembourg-City_.html" TargetMode="External"/><Relationship Id="rId6" Type="http://schemas.openxmlformats.org/officeDocument/2006/relationships/hyperlink" Target="https://www.consilium.europa.eu/en/policies/schengen-area/" TargetMode="External"/><Relationship Id="rId11" Type="http://schemas.openxmlformats.org/officeDocument/2006/relationships/hyperlink" Target="https://data.consilium.europa.eu/doc/document/ST-6009-2020-INIT/lt/pdf." TargetMode="External"/><Relationship Id="rId5" Type="http://schemas.openxmlformats.org/officeDocument/2006/relationships/hyperlink" Target="https://eur-lex.europa.eu/legal-content/LT/TXT/?uri=CELEX%3A52017DC0534&amp;qid=1712761343224" TargetMode="External"/><Relationship Id="rId10" Type="http://schemas.openxmlformats.org/officeDocument/2006/relationships/hyperlink" Target="https://eur-lex.europa.eu/legal-content/LT/TXT/?uri=CELEX%3A52023PC0790&amp;qid=1712762602201" TargetMode="External"/><Relationship Id="rId4" Type="http://schemas.openxmlformats.org/officeDocument/2006/relationships/hyperlink" Target="https://eur-lex.europa.eu/legal-content/LT/TXT/?uri=CELEX%3A52023PC0790&amp;qid=1712761160232" TargetMode="External"/><Relationship Id="rId9" Type="http://schemas.openxmlformats.org/officeDocument/2006/relationships/hyperlink" Target="https://eur-lex.europa.eu/legal-content/LT/TXT/?uri=CELEX%3A52018AE2790&amp;qid=17127614788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F7M6YNZUATRX-416430479-7448</_dlc_DocId>
    <_dlc_DocIdUrl xmlns="59ace41b-6786-4ce3-be71-52c27066c6ef">
      <Url>http://dm/eesc/2024/_layouts/15/DocIdRedir.aspx?ID=F7M6YNZUATRX-416430479-7448</Url>
      <Description>F7M6YNZUATRX-416430479-7448</Description>
    </_dlc_DocIdUrl>
    <Procedure xmlns="59ace41b-6786-4ce3-be71-52c27066c6ef">2018/0198(COD)</Procedure>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2024-04-15T12:00:00+00:00</ProductionDate>
    <DocumentNumber xmlns="1178e5e2-058a-41a1-9851-331c7b3fffb8">120</DocumentNumber>
    <FicheYear xmlns="59ace41b-6786-4ce3-be71-52c27066c6ef" xsi:nil="true"/>
    <DossierNumber xmlns="59ace41b-6786-4ce3-be71-52c27066c6ef">637</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2024-04-24T12:00:00+00:00</MeetingDate>
    <TaxCatchAll xmlns="59ace41b-6786-4ce3-be71-52c27066c6ef">
      <Value>43</Value>
      <Value>66</Value>
      <Value>132</Value>
      <Value>37</Value>
      <Value>36</Value>
      <Value>35</Value>
      <Value>34</Value>
      <Value>33</Value>
      <Value>32</Value>
      <Value>31</Value>
      <Value>30</Value>
      <Value>29</Value>
      <Value>28</Value>
      <Value>27</Value>
      <Value>26</Value>
      <Value>25</Value>
      <Value>24</Value>
      <Value>23</Value>
      <Value>22</Value>
      <Value>21</Value>
      <Value>18</Value>
      <Value>17</Value>
      <Value>16</Value>
      <Value>14</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s>
    </DocumentLanguage_0>
    <Rapporteur xmlns="59ace41b-6786-4ce3-be71-52c27066c6ef">IOANNIDIS</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59ace41b-6786-4ce3-be71-52c27066c6ef">2024</DocumentYear>
    <FicheNumber xmlns="59ace41b-6786-4ce3-be71-52c27066c6ef">4063</FicheNumber>
    <OriginalSender xmlns="59ace41b-6786-4ce3-be71-52c27066c6ef">
      <UserInfo>
        <DisplayName>Zebrauskas Linas</DisplayName>
        <AccountId>1586</AccountId>
        <AccountType/>
      </UserInfo>
    </OriginalSender>
    <DocumentPart xmlns="59ace41b-6786-4ce3-be71-52c27066c6ef">0</DocumentPart>
    <AdoptionDate xmlns="59ace41b-6786-4ce3-be71-52c27066c6ef" xsi:nil="true"/>
    <RequestingService xmlns="59ace41b-6786-4ce3-be71-52c27066c6ef">Union économique et monétaire et cohésion économique et sociale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587</MeetingNumber>
    <DossierName_0 xmlns="http://schemas.microsoft.com/sharepoint/v3/fields">
      <Terms xmlns="http://schemas.microsoft.com/office/infopath/2007/PartnerControls">
        <TermInfo xmlns="http://schemas.microsoft.com/office/infopath/2007/PartnerControls">
          <TermName xmlns="http://schemas.microsoft.com/office/infopath/2007/PartnerControls">ECO</TermName>
          <TermId xmlns="http://schemas.microsoft.com/office/infopath/2007/PartnerControls">8df351f5-c957-404c-8cf3-8ffb22c9cba2</TermId>
        </TermInfo>
      </Terms>
    </DossierName_0>
    <DocumentVersion xmlns="59ace41b-6786-4ce3-be71-52c27066c6ef">0</Document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D17CBD-83C7-4504-8CEE-B04CD8C20E78}"/>
</file>

<file path=customXml/itemProps2.xml><?xml version="1.0" encoding="utf-8"?>
<ds:datastoreItem xmlns:ds="http://schemas.openxmlformats.org/officeDocument/2006/customXml" ds:itemID="{AC35BFA5-F44B-413F-B4EE-6DC790A8EB51}"/>
</file>

<file path=customXml/itemProps3.xml><?xml version="1.0" encoding="utf-8"?>
<ds:datastoreItem xmlns:ds="http://schemas.openxmlformats.org/officeDocument/2006/customXml" ds:itemID="{B41D2CDE-09B1-475A-AF81-A32DA7207182}"/>
</file>

<file path=customXml/itemProps4.xml><?xml version="1.0" encoding="utf-8"?>
<ds:datastoreItem xmlns:ds="http://schemas.openxmlformats.org/officeDocument/2006/customXml" ds:itemID="{1E1B657B-AFE0-4CC7-B35D-ACB46D54455B}"/>
</file>

<file path=docProps/app.xml><?xml version="1.0" encoding="utf-8"?>
<Properties xmlns="http://schemas.openxmlformats.org/officeDocument/2006/extended-properties" xmlns:vt="http://schemas.openxmlformats.org/officeDocument/2006/docPropsVTypes">
  <Template>Normal.dotm</Template>
  <TotalTime>0</TotalTime>
  <Pages>8</Pages>
  <Words>2467</Words>
  <Characters>14065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Facilitating cross-border solutions</vt:lpstr>
    </vt:vector>
  </TitlesOfParts>
  <Company/>
  <LinksUpToDate>false</LinksUpToDate>
  <CharactersWithSpaces>16500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Palankesnių sąlygų tarpvalstybiniams sprendimams sudarymas</dc:title>
  <dc:subject>AS</dc:subject>
  <dc:creator/>
  <cp:keywords>EESC-2024-00120-00-00-AS-TRA-EN</cp:keywords>
  <dc:description>Rapporteur: IOANNIDIS - Original language: EN - Date of document: 15/04/2024 - Date of meeting: 30/24/2024 14:30 - External documents: COM(2023)790- final - Administrator:  MELEAS Georgios</dc:description>
  <cp:lastModifiedBy/>
  <cp:revision>12</cp:revision>
  <dcterms:created xsi:type="dcterms:W3CDTF">2024-04-11T09:21:00Z</dcterms:created>
  <dcterms:modified xsi:type="dcterms:W3CDTF">2024-04-15T08:25:00Z</dcterms:modified>
  <cp:category>ECO/637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11/04/2024, 21/03/2024, 26/02/2024, 29/01/2024</vt:lpwstr>
  </property>
  <property fmtid="{D5CDD505-2E9C-101B-9397-08002B2CF9AE}" pid="4" name="Pref_Time">
    <vt:lpwstr>11:21:59, 11:17:46, 17:23:14, 14:09:27</vt:lpwstr>
  </property>
  <property fmtid="{D5CDD505-2E9C-101B-9397-08002B2CF9AE}" pid="5" name="Pref_User">
    <vt:lpwstr>jhvi, amett, pacup, enied</vt:lpwstr>
  </property>
  <property fmtid="{D5CDD505-2E9C-101B-9397-08002B2CF9AE}" pid="6" name="Pref_FileName">
    <vt:lpwstr>EESC-2024-00120-00-00-AS-TRA-EN-CRR.docx, EESC-2024-00120-00-00-PA-ORI.docx, EESC-2024-00120-00-00-APA-TRA-EL-CRR.docx, EESC-2024-00120-00-00-DT-TRA-EL-CRR.docx</vt:lpwstr>
  </property>
  <property fmtid="{D5CDD505-2E9C-101B-9397-08002B2CF9AE}" pid="7" name="ContentTypeId">
    <vt:lpwstr>0x010100EA97B91038054C99906057A708A1480A00E20A70424F8EF14D84929FAE9E34774B</vt:lpwstr>
  </property>
  <property fmtid="{D5CDD505-2E9C-101B-9397-08002B2CF9AE}" pid="8" name="_dlc_DocIdItemGuid">
    <vt:lpwstr>95a20919-769c-4aee-bbbe-1d661a9edbac</vt:lpwstr>
  </property>
  <property fmtid="{D5CDD505-2E9C-101B-9397-08002B2CF9AE}" pid="9" name="Procedure">
    <vt:lpwstr>2018/0198(COD)</vt:lpwstr>
  </property>
  <property fmtid="{D5CDD505-2E9C-101B-9397-08002B2CF9AE}" pid="10" name="AvailableTranslations">
    <vt:lpwstr>34;#LT|a7ff5ce7-6123-4f68-865a-a57c31810414;#17;#PL|1e03da61-4678-4e07-b136-b5024ca9197b;#18;#GA|762d2456-c427-4ecb-b312-af3dad8e258c;#29;#EL|6d4f4d51-af9b-4650-94b4-4276bee85c91;#27;#SL|98a412ae-eb01-49e9-ae3d-585a81724cfc;#43;#CS|72f9705b-0217-4fd3-bea2-cbc7ed80e26e;#32;#HU|6b229040-c589-4408-b4c1-4285663d20a8;#37;#RO|feb747a2-64cd-4299-af12-4833ddc30497;#30;#HR|2f555653-ed1a-4fe6-8362-9082d95989e5;#22;#BG|1a1b3951-7821-4e6a-85f5-5673fc08bd2c;#35;#FI|87606a43-d45f-42d6-b8c9-e1a3457db5b7;#21;#SV|c2ed69e7-a339-43d7-8f22-d93680a92aa0;#25;#DE|f6b31e5a-26fa-4935-b661-318e46daf27e;#28;#LV|46f7e311-5d9f-4663-b433-18aeccb7ace7;#16;#DA|5d49c027-8956-412b-aa16-e85a0f96ad0e;#14;#FR|d2afafd3-4c81-4f60-8f52-ee33f2f54ff3;#5;#EN|f2175f21-25d7-44a3-96da-d6a61b075e1b;#12;#IT|0774613c-01ed-4e5d-a25d-11d2388de825;#24;#ES|e7a6b05b-ae16-40c8-add9-68b64b03aeba;#26;#SK|46d9fce0-ef79-4f71-b89b-cd6aa82426b8;#23;#MT|7df99101-6854-4a26-b53a-b88c0da02c26;#36;#PT|50ccc04a-eadd-42ae-a0cb-acaf45f812ba;#31;#NL|55c6556c-b4f4-441d-9acf-c498d4f838bd;#33;#ET|ff6c3f4c-b02c-4c3c-ab07-2c37995a7a0a</vt:lpwstr>
  </property>
  <property fmtid="{D5CDD505-2E9C-101B-9397-08002B2CF9AE}" pid="11" name="DocumentType_0">
    <vt:lpwstr>AS|c7a748eb-f6f2-4d9d-8b5a-af0cafebc224</vt:lpwstr>
  </property>
  <property fmtid="{D5CDD505-2E9C-101B-9397-08002B2CF9AE}" pid="12" name="MeetingNumber">
    <vt:i4>587</vt:i4>
  </property>
  <property fmtid="{D5CDD505-2E9C-101B-9397-08002B2CF9AE}" pid="13" name="DossierName_0">
    <vt:lpwstr>ECO|8df351f5-c957-404c-8cf3-8ffb22c9cba2</vt:lpwstr>
  </property>
  <property fmtid="{D5CDD505-2E9C-101B-9397-08002B2CF9AE}" pid="14" name="DocumentSource_0">
    <vt:lpwstr>EESC|422833ec-8d7e-4e65-8e4e-8bed07ffb729</vt:lpwstr>
  </property>
  <property fmtid="{D5CDD505-2E9C-101B-9397-08002B2CF9AE}" pid="15" name="DocumentNumber">
    <vt:i4>120</vt:i4>
  </property>
  <property fmtid="{D5CDD505-2E9C-101B-9397-08002B2CF9AE}" pid="16" name="DocumentVersion">
    <vt:i4>0</vt:i4>
  </property>
  <property fmtid="{D5CDD505-2E9C-101B-9397-08002B2CF9AE}" pid="17" name="DossierNumber">
    <vt:i4>637</vt:i4>
  </property>
  <property fmtid="{D5CDD505-2E9C-101B-9397-08002B2CF9AE}" pid="18" name="DocumentStatus">
    <vt:lpwstr>3;#TRA|150d2a88-1431-44e6-a8ca-0bb753ab8672</vt:lpwstr>
  </property>
  <property fmtid="{D5CDD505-2E9C-101B-9397-08002B2CF9AE}" pid="19" name="DossierName">
    <vt:lpwstr>66;#ECO|8df351f5-c957-404c-8cf3-8ffb22c9cba2</vt:lpwstr>
  </property>
  <property fmtid="{D5CDD505-2E9C-101B-9397-08002B2CF9AE}" pid="20" name="RequestingService">
    <vt:lpwstr>Union économique et monétaire et cohésion économique et sociale</vt:lpwstr>
  </property>
  <property fmtid="{D5CDD505-2E9C-101B-9397-08002B2CF9AE}" pid="21" name="Confidentiality">
    <vt:lpwstr>6;#Unrestricted|826e22d7-d029-4ec0-a450-0c28ff673572</vt:lpwstr>
  </property>
  <property fmtid="{D5CDD505-2E9C-101B-9397-08002B2CF9AE}" pid="22" name="MeetingName_0">
    <vt:lpwstr>SPL-CES|32d8cb1f-c9ec-4365-95c7-8385a18618ac</vt:lpwstr>
  </property>
  <property fmtid="{D5CDD505-2E9C-101B-9397-08002B2CF9AE}" pid="23" name="Confidentiality_0">
    <vt:lpwstr>Unrestricted|826e22d7-d029-4ec0-a450-0c28ff673572</vt:lpwstr>
  </property>
  <property fmtid="{D5CDD505-2E9C-101B-9397-08002B2CF9AE}" pid="24" name="OriginalLanguage">
    <vt:lpwstr>5;#EN|f2175f21-25d7-44a3-96da-d6a61b075e1b</vt:lpwstr>
  </property>
  <property fmtid="{D5CDD505-2E9C-101B-9397-08002B2CF9AE}" pid="25" name="MeetingName">
    <vt:lpwstr>7;#SPL-CES|32d8cb1f-c9ec-4365-95c7-8385a18618ac</vt:lpwstr>
  </property>
  <property fmtid="{D5CDD505-2E9C-101B-9397-08002B2CF9AE}" pid="26" name="MeetingDate">
    <vt:filetime>2024-04-24T12:00:00Z</vt:filetime>
  </property>
  <property fmtid="{D5CDD505-2E9C-101B-9397-08002B2CF9AE}" pid="27" name="AvailableTranslations_0">
    <vt:lpwstr>PL|1e03da61-4678-4e07-b136-b5024ca9197b;GA|762d2456-c427-4ecb-b312-af3dad8e258c;EL|6d4f4d51-af9b-4650-94b4-4276bee85c91;SL|98a412ae-eb01-49e9-ae3d-585a81724cfc;CS|72f9705b-0217-4fd3-bea2-cbc7ed80e26e;HU|6b229040-c589-4408-b4c1-4285663d20a8;BG|1a1b3951-7821-4e6a-85f5-5673fc08bd2c;FI|87606a43-d45f-42d6-b8c9-e1a3457db5b7;SV|c2ed69e7-a339-43d7-8f22-d93680a92aa0;DE|f6b31e5a-26fa-4935-b661-318e46daf27e;LV|46f7e311-5d9f-4663-b433-18aeccb7ace7;DA|5d49c027-8956-412b-aa16-e85a0f96ad0e;FR|d2afafd3-4c81-4f60-8f52-ee33f2f54ff3;EN|f2175f21-25d7-44a3-96da-d6a61b075e1b;IT|0774613c-01ed-4e5d-a25d-11d2388de825;ES|e7a6b05b-ae16-40c8-add9-68b64b03aeba;SK|46d9fce0-ef79-4f71-b89b-cd6aa82426b8;MT|7df99101-6854-4a26-b53a-b88c0da02c26;PT|50ccc04a-eadd-42ae-a0cb-acaf45f812ba;NL|55c6556c-b4f4-441d-9acf-c498d4f838bd;ET|ff6c3f4c-b02c-4c3c-ab07-2c37995a7a0a</vt:lpwstr>
  </property>
  <property fmtid="{D5CDD505-2E9C-101B-9397-08002B2CF9AE}" pid="28" name="DocumentStatus_0">
    <vt:lpwstr>TRA|150d2a88-1431-44e6-a8ca-0bb753ab8672</vt:lpwstr>
  </property>
  <property fmtid="{D5CDD505-2E9C-101B-9397-08002B2CF9AE}" pid="29" name="OriginalLanguage_0">
    <vt:lpwstr>EN|f2175f21-25d7-44a3-96da-d6a61b075e1b</vt:lpwstr>
  </property>
  <property fmtid="{D5CDD505-2E9C-101B-9397-08002B2CF9AE}" pid="30" name="TaxCatchAll">
    <vt:lpwstr>43;#CS|72f9705b-0217-4fd3-bea2-cbc7ed80e26e;#66;#ECO|8df351f5-c957-404c-8cf3-8ffb22c9cba2;#132;#AS|c7a748eb-f6f2-4d9d-8b5a-af0cafebc224;#36;#PT|50ccc04a-eadd-42ae-a0cb-acaf45f812ba;#35;#FI|87606a43-d45f-42d6-b8c9-e1a3457db5b7;#33;#ET|ff6c3f4c-b02c-4c3c-ab07-2c37995a7a0a;#32;#HU|6b229040-c589-4408-b4c1-4285663d20a8;#31;#NL|55c6556c-b4f4-441d-9acf-c498d4f838bd;#29;#EL|6d4f4d51-af9b-4650-94b4-4276bee85c91;#28;#LV|46f7e311-5d9f-4663-b433-18aeccb7ace7;#27;#SL|98a412ae-eb01-49e9-ae3d-585a81724cfc;#26;#SK|46d9fce0-ef79-4f71-b89b-cd6aa82426b8;#25;#DE|f6b31e5a-26fa-4935-b661-318e46daf27e;#24;#ES|e7a6b05b-ae16-40c8-add9-68b64b03aeba;#23;#MT|7df99101-6854-4a26-b53a-b88c0da02c26;#22;#BG|1a1b3951-7821-4e6a-85f5-5673fc08bd2c;#21;#SV|c2ed69e7-a339-43d7-8f22-d93680a92aa0;#18;#GA|762d2456-c427-4ecb-b312-af3dad8e258c;#17;#PL|1e03da61-4678-4e07-b136-b5024ca9197b;#16;#DA|5d49c027-8956-412b-aa16-e85a0f96ad0e;#14;#FR|d2afafd3-4c81-4f60-8f52-ee33f2f54ff3;#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1" name="Rapporteur">
    <vt:lpwstr>IOANNIDIS</vt:lpwstr>
  </property>
  <property fmtid="{D5CDD505-2E9C-101B-9397-08002B2CF9AE}" pid="32" name="VersionStatus_0">
    <vt:lpwstr>Final|ea5e6674-7b27-4bac-b091-73adbb394efe</vt:lpwstr>
  </property>
  <property fmtid="{D5CDD505-2E9C-101B-9397-08002B2CF9AE}" pid="33" name="VersionStatus">
    <vt:lpwstr>8;#Final|ea5e6674-7b27-4bac-b091-73adbb394efe</vt:lpwstr>
  </property>
  <property fmtid="{D5CDD505-2E9C-101B-9397-08002B2CF9AE}" pid="34" name="DocumentYear">
    <vt:i4>2024</vt:i4>
  </property>
  <property fmtid="{D5CDD505-2E9C-101B-9397-08002B2CF9AE}" pid="35" name="FicheNumber">
    <vt:i4>4063</vt:i4>
  </property>
  <property fmtid="{D5CDD505-2E9C-101B-9397-08002B2CF9AE}" pid="36" name="DocumentPart">
    <vt:i4>0</vt:i4>
  </property>
  <property fmtid="{D5CDD505-2E9C-101B-9397-08002B2CF9AE}" pid="37" name="DocumentSource">
    <vt:lpwstr>1;#EESC|422833ec-8d7e-4e65-8e4e-8bed07ffb729</vt:lpwstr>
  </property>
  <property fmtid="{D5CDD505-2E9C-101B-9397-08002B2CF9AE}" pid="39" name="DocumentType">
    <vt:lpwstr>132;#AS|c7a748eb-f6f2-4d9d-8b5a-af0cafebc224</vt:lpwstr>
  </property>
  <property fmtid="{D5CDD505-2E9C-101B-9397-08002B2CF9AE}" pid="40" name="DocumentLanguage">
    <vt:lpwstr>34;#LT|a7ff5ce7-6123-4f68-865a-a57c31810414</vt:lpwstr>
  </property>
  <property name="OP_sanitized" fmtid="{D5CDD505-2E9C-101B-9397-08002B2CF9AE}" pid="40">
    <vt:lpwstr>True</vt:lpwstr>
  </property>
</Properties>
</file>