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0155F0F-DBC1-482E-91AA-B89EABF5617F" style="width:450.75pt;height:39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rPr>
          <w:noProof/>
        </w:rPr>
      </w:pPr>
      <w:r>
        <w:rPr>
          <w:noProof/>
        </w:rPr>
        <w:t>1.</w:t>
      </w:r>
      <w:r>
        <w:rPr>
          <w:noProof/>
        </w:rPr>
        <w:tab/>
        <w:t>DELEGUOTOJO AKTO BENDROSIOS APLINKYBĖS</w:t>
      </w:r>
    </w:p>
    <w:p>
      <w:pPr>
        <w:spacing w:after="0"/>
        <w:rPr>
          <w:noProof/>
        </w:rPr>
      </w:pPr>
      <w:r>
        <w:rPr>
          <w:noProof/>
        </w:rPr>
        <w:t xml:space="preserve">Šis reglamentas yra platesnės Komisijos iniciatyvos dėl darnaus vystymosi dalis. Juo nustatomas pagrindas ES sistemai, pagal kurią tvarumo aspektai tampa neatskiriama finansų sistemos dalimi, siekiant padėti pertvarkyti Europos ekonomiką į žalesnę, atsparesnę žiedinę sistemą, atitinkančią </w:t>
      </w:r>
      <w:r>
        <w:rPr>
          <w:b/>
          <w:noProof/>
        </w:rPr>
        <w:t>Europos žaliojo kurso</w:t>
      </w:r>
      <w:r>
        <w:rPr>
          <w:rStyle w:val="FootnoteReference"/>
          <w:noProof/>
        </w:rPr>
        <w:footnoteReference w:id="1"/>
      </w:r>
      <w:r>
        <w:rPr>
          <w:noProof/>
        </w:rPr>
        <w:t xml:space="preserve"> tikslus.</w:t>
      </w:r>
    </w:p>
    <w:p>
      <w:pPr>
        <w:spacing w:after="0"/>
        <w:rPr>
          <w:rFonts w:eastAsiaTheme="minorEastAsia"/>
          <w:noProof/>
          <w:color w:val="000000" w:themeColor="text1"/>
        </w:rPr>
      </w:pPr>
      <w:r>
        <w:rPr>
          <w:noProof/>
        </w:rPr>
        <w:t xml:space="preserve">Priėmus </w:t>
      </w:r>
      <w:r>
        <w:rPr>
          <w:b/>
          <w:noProof/>
        </w:rPr>
        <w:t>2016 m. Paryžiaus susitarimą dėl klimato kaitos</w:t>
      </w:r>
      <w:r>
        <w:rPr>
          <w:noProof/>
        </w:rPr>
        <w:t xml:space="preserve"> ir </w:t>
      </w:r>
      <w:r>
        <w:rPr>
          <w:b/>
          <w:noProof/>
        </w:rPr>
        <w:t>Jungtinių Tautų darnaus vystymosi tikslų (DVT) darbotvarkę iki 2030 m.</w:t>
      </w:r>
      <w:r>
        <w:rPr>
          <w:noProof/>
        </w:rPr>
        <w:t xml:space="preserve">, </w:t>
      </w:r>
      <w:r>
        <w:rPr>
          <w:b/>
          <w:noProof/>
        </w:rPr>
        <w:t>Tvaraus augimo finansavimo veiksmų plane</w:t>
      </w:r>
      <w:r>
        <w:rPr>
          <w:rStyle w:val="FootnoteReference"/>
          <w:noProof/>
        </w:rPr>
        <w:footnoteReference w:id="2"/>
      </w:r>
      <w:r>
        <w:rPr>
          <w:noProof/>
        </w:rPr>
        <w:t xml:space="preserve"> Komisija paskelbė apie ketinimą paaiškinti tvarumo integravimą į vadinamąsias patikėtinio pareigas sektoriniuose teisės aktuose. Komunikate </w:t>
      </w:r>
      <w:r>
        <w:rPr>
          <w:b/>
          <w:noProof/>
        </w:rPr>
        <w:t>„Europos žaliasis kursas“</w:t>
      </w:r>
      <w:r>
        <w:rPr>
          <w:noProof/>
        </w:rPr>
        <w:t xml:space="preserve"> patvirtinama, kad, siekiant finansų ir kapitalo srautus nukreipti į žaliąsias investicijas ir išvengti neišnaudojamo turto, reikalingi ilgalaikiai signalai.</w:t>
      </w:r>
      <w:r>
        <w:rPr>
          <w:noProof/>
          <w:color w:val="000000" w:themeColor="text1"/>
        </w:rPr>
        <w:t xml:space="preserve"> Siekti šio konkretaus tikslo padės šis deleguotasis reglamentas.</w:t>
      </w:r>
    </w:p>
    <w:p>
      <w:pPr>
        <w:rPr>
          <w:noProof/>
        </w:rPr>
      </w:pPr>
      <w:r>
        <w:rPr>
          <w:noProof/>
        </w:rPr>
        <w:t>Deleguotuoju reglamentu (ES) Nr. 231/2013</w:t>
      </w:r>
      <w:r>
        <w:rPr>
          <w:rStyle w:val="FootnoteReference"/>
          <w:noProof/>
        </w:rPr>
        <w:footnoteReference w:id="3"/>
      </w:r>
      <w:r>
        <w:rPr>
          <w:noProof/>
        </w:rPr>
        <w:t xml:space="preserve"> yra papildoma Direktyva 2011/61/ES</w:t>
      </w:r>
      <w:r>
        <w:rPr>
          <w:rStyle w:val="FootnoteReference"/>
          <w:noProof/>
        </w:rPr>
        <w:footnoteReference w:id="4"/>
      </w:r>
      <w:r>
        <w:rPr>
          <w:noProof/>
        </w:rPr>
        <w:t>, be kita ko, patikslinant veiklos sąlygas, taip pat ir taisykles dėl išsamaus patikrinimo arba interesų konfliktų, susijusių su alternatyvaus investavimo fondų valdytojais (AIFV), tipų nustatymo.</w:t>
      </w:r>
    </w:p>
    <w:p>
      <w:pPr>
        <w:rPr>
          <w:noProof/>
        </w:rPr>
      </w:pPr>
      <w:r>
        <w:rPr>
          <w:noProof/>
        </w:rPr>
        <w:t>Šis reglamentas grindžiamas galutine Europos vertybinių popierių ir rinkų institucijos (ESMA) techninių rekomendacijų ataskaita</w:t>
      </w:r>
      <w:r>
        <w:rPr>
          <w:rStyle w:val="FootnoteReference"/>
          <w:noProof/>
        </w:rPr>
        <w:footnoteReference w:id="5"/>
      </w:r>
      <w:r>
        <w:rPr>
          <w:noProof/>
        </w:rPr>
        <w:t xml:space="preserve">. Techninėse rekomendacijose daroma išvada, kad reikia papildomų paaiškinimų dėl tvarumo rizikos ir tvarumo veiksnių integravimo į Reglamentą Nr. 231/2013, ir nurodomos konkrečios su tuo susijusios nuostatos. </w:t>
      </w:r>
    </w:p>
    <w:p>
      <w:pPr>
        <w:rPr>
          <w:noProof/>
        </w:rPr>
      </w:pPr>
      <w:r>
        <w:rPr>
          <w:noProof/>
        </w:rPr>
        <w:t xml:space="preserve">Šiame reglamente paaiškinama dabartinė AIFV prievolė integruoti tvarumo riziką. Paaiškinime įvairių rūšių rizikos eiliškumas nenustatytas. Šiame reglamente taip pat paaiškinamas tam tikras </w:t>
      </w:r>
      <w:r>
        <w:rPr>
          <w:b/>
          <w:bCs/>
          <w:noProof/>
        </w:rPr>
        <w:t>Reglamento dėl su tvarumu susijusios informacijos atskleidimo finansinių paslaugų sektoriuje</w:t>
      </w:r>
      <w:r>
        <w:rPr>
          <w:noProof/>
        </w:rPr>
        <w:t xml:space="preserve"> poveikis, t. y. kai AIFV atskleidžia informaciją apie atsižvelgimą į neigiamą poveikį tvarumui.</w:t>
      </w:r>
    </w:p>
    <w:p>
      <w:pPr>
        <w:rPr>
          <w:noProof/>
        </w:rPr>
      </w:pPr>
      <w:r>
        <w:rPr>
          <w:noProof/>
        </w:rPr>
        <w:t xml:space="preserve">Šiuo reglamentu ir kitais sektoriniais deleguotaisiais aktais, kuriais pritaikomos taisyklės dėl patikėtinio pareigų ir tinkamumo vertinimų, dar labiau sustiprinamas Reglamentas dėl </w:t>
      </w:r>
      <w:r>
        <w:rPr>
          <w:b/>
          <w:noProof/>
        </w:rPr>
        <w:t>su tvarumu susijusios informacijos atskleidimo finansinių paslaugų sektoriuje</w:t>
      </w:r>
      <w:r>
        <w:rPr>
          <w:rStyle w:val="FootnoteReference"/>
          <w:noProof/>
        </w:rPr>
        <w:footnoteReference w:id="6"/>
      </w:r>
      <w:r>
        <w:rPr>
          <w:noProof/>
        </w:rPr>
        <w:t xml:space="preserve">, Reglamentas dėl </w:t>
      </w:r>
      <w:r>
        <w:rPr>
          <w:b/>
          <w:noProof/>
        </w:rPr>
        <w:t>ES prisitaikymo prie klimato kaitos lyginamųjų indeksų, ES su Paryžiaus klimato susitarimu suderintų lyginamųjų indeksų ir su tvarumu susijusios lyginamųjų indeksų informacijos atskleidimo</w:t>
      </w:r>
      <w:r>
        <w:rPr>
          <w:rStyle w:val="FootnoteReference"/>
          <w:noProof/>
        </w:rPr>
        <w:footnoteReference w:id="7"/>
      </w:r>
      <w:r>
        <w:rPr>
          <w:noProof/>
        </w:rPr>
        <w:t xml:space="preserve"> ir Reglamentas dėl </w:t>
      </w:r>
      <w:r>
        <w:rPr>
          <w:b/>
          <w:noProof/>
        </w:rPr>
        <w:t xml:space="preserve">ES tvarios veiklos </w:t>
      </w:r>
      <w:r>
        <w:rPr>
          <w:b/>
          <w:noProof/>
        </w:rPr>
        <w:lastRenderedPageBreak/>
        <w:t>taksonomijos</w:t>
      </w:r>
      <w:r>
        <w:rPr>
          <w:rStyle w:val="FootnoteReference"/>
          <w:noProof/>
        </w:rPr>
        <w:footnoteReference w:id="8"/>
      </w:r>
      <w:r>
        <w:rPr>
          <w:noProof/>
        </w:rPr>
        <w:t>. Šiomis taisyklėmis tvarumo aspektai nuosekliai integruojami į investavimo, konsultavimo ir informacijos atskleidimo procesus visuose sektoriuose. Tomis taisyklėmis aplinkos, socialiniai ir valdymo (tvarumo) aspektai įtvirtinami kaip neatskiriama finansų sistemos dalis, siekiant padėti pertvarkyti Europos ekonomiką į žalesnę, taikančią mažo anglies dioksido kiekio technologijas, atsparesnę, efektyviai išteklius naudojančią žiedinę sistemą.</w:t>
      </w:r>
    </w:p>
    <w:p>
      <w:pPr>
        <w:pStyle w:val="ManualHeading1"/>
        <w:rPr>
          <w:noProof/>
        </w:rPr>
      </w:pPr>
      <w:r>
        <w:rPr>
          <w:noProof/>
        </w:rPr>
        <w:t>2.</w:t>
      </w:r>
      <w:r>
        <w:rPr>
          <w:noProof/>
        </w:rPr>
        <w:tab/>
        <w:t>KONSULTACIJOS PRIEŠ PRIIMANT AKTĄ</w:t>
      </w:r>
    </w:p>
    <w:p>
      <w:pPr>
        <w:rPr>
          <w:noProof/>
        </w:rPr>
      </w:pPr>
      <w:r>
        <w:rPr>
          <w:noProof/>
        </w:rPr>
        <w:t>2018 m. liepos 24 d. Komisija paprašė ESMA pateikti technines rekomendacijas dėl deleguotųjų aktų, priimtų pagal Direktyvą 2011/61/ES, galimų pakeitimų, susijusių su tvarumo rizikos ir tvarumo veiksnių integravimu.</w:t>
      </w:r>
    </w:p>
    <w:p>
      <w:pPr>
        <w:rPr>
          <w:noProof/>
        </w:rPr>
      </w:pPr>
      <w:r>
        <w:rPr>
          <w:noProof/>
        </w:rPr>
        <w:t>2019 m. balandžio 30 d. ESMA paskelbė galutinę techninių rekomendacijų Komisijai ataskaitą. Rekomendacijose atsižvelgta į suinteresuotųjų subjektų nuomones, pareikštas per viešas konsultacijas, vykusias nuo 2018 m. gruodžio 19 d. iki 2019 m. vasario 19 d. Jos apima sąnaudų ir naudos analizę. Be to, siekdama gauti papildomos informacijos, 2019 m. vasario 4 d. ESMA surengė atvirą viešą posėdį. Taip pat konsultuotasi su ESMA vertybinių popierių ir rinkų suinteresuotųjų subjektų grupe.</w:t>
      </w:r>
    </w:p>
    <w:p>
      <w:pPr>
        <w:rPr>
          <w:noProof/>
        </w:rPr>
      </w:pPr>
      <w:r>
        <w:rPr>
          <w:noProof/>
        </w:rPr>
        <w:t>2019 m. lapkričio 22 d. Komisijos tarnybos pradėjo konsultacijas su valstybėmis narėmis; tinkamai konsultuotasi su Europos vertybinių popierių komiteto ekspertų grupe.</w:t>
      </w:r>
    </w:p>
    <w:p>
      <w:pPr>
        <w:rPr>
          <w:noProof/>
        </w:rPr>
      </w:pPr>
      <w:r>
        <w:rPr>
          <w:noProof/>
        </w:rPr>
        <w:t xml:space="preserve">Vadovaujantis geresnio reglamentavimo principais, pasiūlymo projektas buvo skelbiamas konsultacijoms 2020 m. birželio 8 d. – liepos 6 d. Apsvarsčius atsakymus, į aiškinamojo memorandumo tekstą įtraukta papildomų pakeitimų. </w:t>
      </w:r>
    </w:p>
    <w:p>
      <w:pPr>
        <w:pStyle w:val="ManualHeading1"/>
        <w:rPr>
          <w:noProof/>
        </w:rPr>
      </w:pPr>
      <w:r>
        <w:rPr>
          <w:noProof/>
        </w:rPr>
        <w:t>3.</w:t>
      </w:r>
      <w:r>
        <w:rPr>
          <w:noProof/>
        </w:rPr>
        <w:tab/>
        <w:t>DELEGUOTOJO AKTO TEISINIAI ASPEKTAI</w:t>
      </w:r>
    </w:p>
    <w:p>
      <w:pPr>
        <w:rPr>
          <w:noProof/>
        </w:rPr>
      </w:pPr>
      <w:r>
        <w:rPr>
          <w:noProof/>
        </w:rPr>
        <w:t xml:space="preserve">Šio reglamento teisinis pagrindas nustatytas Direktyvos 2011/61/ES 12 straipsnio 3 dalyje, 14 straipsnio 4 dalyje, 15 straipsnio 5 dalyje ir 18 straipsnio 2 dalyje. </w:t>
      </w:r>
    </w:p>
    <w:p>
      <w:pPr>
        <w:rPr>
          <w:noProof/>
        </w:rPr>
      </w:pPr>
      <w:r>
        <w:rPr>
          <w:noProof/>
        </w:rPr>
        <w:t>Į šį reglamentą įtraukti toliau nurodyti Deleguotojo reglamento (ES) Nr. 231/2013 pakeitimai.</w:t>
      </w:r>
    </w:p>
    <w:p>
      <w:pPr>
        <w:rPr>
          <w:noProof/>
        </w:rPr>
      </w:pPr>
      <w:r>
        <w:rPr>
          <w:noProof/>
        </w:rPr>
        <w:t>1 straipsnio 1 punkte nustatoma tvarumo rizikos apibrėžtis, suderinta su Reglamento (ES) 2019/2088</w:t>
      </w:r>
      <w:r>
        <w:rPr>
          <w:rStyle w:val="FootnoteReference"/>
          <w:noProof/>
        </w:rPr>
        <w:footnoteReference w:id="9"/>
      </w:r>
      <w:r>
        <w:rPr>
          <w:noProof/>
        </w:rPr>
        <w:t xml:space="preserve"> 2 straipsnio 22 punkte pateikta tvarumo rizikos apibrėžtimi.</w:t>
      </w:r>
    </w:p>
    <w:p>
      <w:pPr>
        <w:rPr>
          <w:noProof/>
        </w:rPr>
      </w:pPr>
      <w:r>
        <w:rPr>
          <w:noProof/>
        </w:rPr>
        <w:t xml:space="preserve">1 straipsnio 2 punktu kokybinis arba kiekybinis atsižvelgimas į tvarumo riziką įtraukiamas į išsamaus patikrinimo reikalavimus pagal Deleguotojo reglamento (ES) Nr. 231/2013 18 straipsnį. Kai AIFV atsižvelgia į investavimo sprendimų pagrindinį neigiamą poveikį tvarumo veiksniams, į jį taip pat turi būti tinkamai atsižvelgta išsamaus patikrinimo reikalavimuose. </w:t>
      </w:r>
    </w:p>
    <w:p>
      <w:pPr>
        <w:rPr>
          <w:noProof/>
        </w:rPr>
      </w:pPr>
      <w:r>
        <w:rPr>
          <w:noProof/>
        </w:rPr>
        <w:t>1 straipsnio 3 punktu iš dalies pakeičiant Deleguotojo reglamento (ES) Nr. 231/2013 22 straipsnį reikalaujama, kad AIFV turėtų būtinus išteklius ir kompetenciją, kad galėtų veiksmingai integruoti tvarumo riziką.</w:t>
      </w:r>
    </w:p>
    <w:p>
      <w:pPr>
        <w:rPr>
          <w:noProof/>
        </w:rPr>
      </w:pPr>
      <w:r>
        <w:rPr>
          <w:noProof/>
        </w:rPr>
        <w:t>1 straipsnio 4 punkte nustatoma, kad interesų konfliktų nustatymas taip pat turi apimti tuos interesų konfliktus, kurių gali atsirasti dėl tvarumo rizikos integravimo.</w:t>
      </w:r>
    </w:p>
    <w:p>
      <w:pPr>
        <w:rPr>
          <w:noProof/>
        </w:rPr>
      </w:pPr>
      <w:r>
        <w:rPr>
          <w:noProof/>
        </w:rPr>
        <w:lastRenderedPageBreak/>
        <w:t>1 straipsnio 5 punkte paaiškinama, kad rizikos valdymo politikoje pagal Deleguotojo reglamento (ES) Nr. 231/2013 40 straipsnį taip pat turi būti atsižvelgiama į alternatyvaus investavimo fondų patiriamą tvarumo riziką.</w:t>
      </w:r>
    </w:p>
    <w:p>
      <w:pPr>
        <w:rPr>
          <w:noProof/>
        </w:rPr>
      </w:pPr>
      <w:r>
        <w:rPr>
          <w:noProof/>
        </w:rPr>
        <w:t>1 straipsnio 6 punktu į bendruosius reikalavimus, nustatytus Deleguotojo reglamento (ES) Nr. 231/2013 57 straipsnio 1 dalyje, integruojama AIFV vadovybės prievolė atsižvelgti į tvarumo riziką.</w:t>
      </w:r>
    </w:p>
    <w:p>
      <w:pPr>
        <w:rPr>
          <w:noProof/>
        </w:rPr>
      </w:pPr>
      <w:r>
        <w:rPr>
          <w:noProof/>
        </w:rPr>
        <w:t>1 straipsnio 7 punktu užtikrinama, kad AIFV vyresnioji vadovybė būtų atsakinga už tvarumo rizikos integravimą.</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Typedudocument"/>
        <w:rPr>
          <w:noProof/>
        </w:rPr>
      </w:pPr>
      <w:r>
        <w:rPr>
          <w:noProof/>
        </w:rPr>
        <w:lastRenderedPageBreak/>
        <w:t>KOMISIJOS DELEGUOTASIS REGLAMENTAS (ES) …/...</w:t>
      </w:r>
    </w:p>
    <w:p>
      <w:pPr>
        <w:pStyle w:val="Datedadoption"/>
        <w:rPr>
          <w:noProof/>
        </w:rPr>
      </w:pPr>
      <w:r>
        <w:t>2021 04 21</w:t>
      </w:r>
    </w:p>
    <w:p>
      <w:pPr>
        <w:pStyle w:val="Titreobjet"/>
        <w:rPr>
          <w:noProof/>
        </w:rPr>
      </w:pPr>
      <w:r>
        <w:rPr>
          <w:noProof/>
        </w:rPr>
        <w:t>kuriuo dėl tvarumo rizikos ir tvarumo veiksnių, į kuriuos turi atsižvelgti alternatyvaus investavimo fondų valdytojai, iš dalies keičiamas Deleguotasis reglamentas (ES) Nr. 231/2013</w:t>
      </w:r>
    </w:p>
    <w:p>
      <w:pPr>
        <w:pStyle w:val="IntrtEEE"/>
        <w:rPr>
          <w:noProof/>
        </w:rPr>
      </w:pPr>
      <w:r>
        <w:rPr>
          <w:noProof/>
        </w:rPr>
        <w:t>(Tekstas svarbus EEE)</w:t>
      </w:r>
    </w:p>
    <w:p>
      <w:pPr>
        <w:pStyle w:val="Institutionquiagit"/>
        <w:rPr>
          <w:noProof/>
        </w:rPr>
      </w:pPr>
      <w:r>
        <w:rPr>
          <w:noProof/>
        </w:rPr>
        <w:t>EUROPOS KOMISIJA,</w:t>
      </w:r>
    </w:p>
    <w:p>
      <w:pPr>
        <w:rPr>
          <w:noProof/>
        </w:rPr>
      </w:pPr>
      <w:r>
        <w:rPr>
          <w:noProof/>
        </w:rPr>
        <w:t>atsižvelgdama į Sutartį dėl Europos Sąjungos veikimo,</w:t>
      </w:r>
    </w:p>
    <w:p>
      <w:pPr>
        <w:rPr>
          <w:noProof/>
        </w:rPr>
      </w:pPr>
      <w:r>
        <w:rPr>
          <w:noProof/>
        </w:rPr>
        <w:t>atsižvelgdama į 2011 m. birželio 8 d. Europos Parlamento ir Tarybos direktyvą 2011/61/ES dėl alternatyvaus investavimo fondų valdytojų, kuria iš dalies keičiami direktyvos 2003/41/EB ir 2009/65/EB bei reglamentai (EB) Nr. 1060/2009 ir (ES) Nr. 1095/2010</w:t>
      </w:r>
      <w:r>
        <w:rPr>
          <w:rStyle w:val="FootnoteReference"/>
          <w:noProof/>
        </w:rPr>
        <w:footnoteReference w:id="10"/>
      </w:r>
      <w:r>
        <w:rPr>
          <w:noProof/>
        </w:rPr>
        <w:t>, ypač į jos 12 straipsnio 3 dalį, 14 straipsnio 4 dalį, 15 straipsnio 5 dalį ir 18 straipsnio 2 dalį,</w:t>
      </w:r>
    </w:p>
    <w:p>
      <w:pPr>
        <w:rPr>
          <w:noProof/>
        </w:rPr>
      </w:pPr>
      <w:r>
        <w:rPr>
          <w:noProof/>
        </w:rPr>
        <w:t>kadangi:</w:t>
      </w:r>
    </w:p>
    <w:p>
      <w:pPr>
        <w:pStyle w:val="ManualConsidrant"/>
        <w:rPr>
          <w:noProof/>
        </w:rPr>
      </w:pPr>
      <w:r>
        <w:t>(1)</w:t>
      </w:r>
      <w:r>
        <w:tab/>
      </w:r>
      <w:r>
        <w:rPr>
          <w:noProof/>
        </w:rPr>
        <w:t>perėjimas prie mažo anglies dioksido kiekio technologijų, tvaresnės, efektyviai išteklius naudojančios žiedinės ekonomikos atsižvelgiant į darnaus vystymosi tikslus yra labai svarbus siekiant užtikrinti ilgalaikį Sąjungos ekonomikos konkurencingumą. 2016 m. Sąjunga sudarė Paryžiaus susitarimą</w:t>
      </w:r>
      <w:r>
        <w:rPr>
          <w:rStyle w:val="FootnoteReference"/>
          <w:noProof/>
        </w:rPr>
        <w:footnoteReference w:id="11"/>
      </w:r>
      <w:r>
        <w:rPr>
          <w:noProof/>
        </w:rPr>
        <w:t>. Paryžiaus susitarimo 2 straipsnio 1 dalies c punkte nustatytas tikslas aktyviau imtis kovos su klimato kaita veiksmų, be kita ko, užtikrinant, kad skiriamas finansavimas atitiktų išmetamųjų šiltnamio efektą sukeliančių dujų kiekio mažėjimo trajektoriją ir klimato kaitos poveikiui atsparų vystymąsi;</w:t>
      </w:r>
    </w:p>
    <w:p>
      <w:pPr>
        <w:pStyle w:val="ManualConsidrant"/>
        <w:rPr>
          <w:noProof/>
        </w:rPr>
      </w:pPr>
      <w:r>
        <w:t>(2)</w:t>
      </w:r>
      <w:r>
        <w:tab/>
      </w:r>
      <w:r>
        <w:rPr>
          <w:noProof/>
        </w:rPr>
        <w:t>pripažindama tą iššūkį, 2019 m. gruodžio mėn. Komisija pateikė Europos žaliąjį kursą</w:t>
      </w:r>
      <w:r>
        <w:rPr>
          <w:rStyle w:val="FootnoteReference"/>
          <w:noProof/>
        </w:rPr>
        <w:footnoteReference w:id="12"/>
      </w:r>
      <w:r>
        <w:rPr>
          <w:noProof/>
        </w:rPr>
        <w:t>. Tas žaliasis kursas yra nauja augimo strategija, kuria siekiama pertvarkyti Sąjungą į teisingą ir klestinčią visuomenę, pasižyminčią modernia, efektyviai išteklius naudojančia ir konkurencinga ekonomika, kurioje nuo 2050 m. visai nebus grynojo išmetamo šiltnamio efektą sukeliančių dujų kiekio, o ekonomikos augimas bus atsietas nuo išteklių naudojimo. Šiam tikslui pasiekti reikia, kad investuotojams būtų duodami aiškūs signalai dėl jų investicijų, siekiant išvengti neišnaudojamo turto ir pritraukti tvarų finansavimą;</w:t>
      </w:r>
    </w:p>
    <w:p>
      <w:pPr>
        <w:pStyle w:val="ManualConsidrant"/>
        <w:rPr>
          <w:noProof/>
        </w:rPr>
      </w:pPr>
      <w:r>
        <w:t>(3)</w:t>
      </w:r>
      <w:r>
        <w:tab/>
      </w:r>
      <w:r>
        <w:rPr>
          <w:noProof/>
        </w:rPr>
        <w:t>2018 m. kovo mėn. Komisija paskelbė Tvaraus augimo finansavimo veiksmų planą</w:t>
      </w:r>
      <w:r>
        <w:rPr>
          <w:rStyle w:val="FootnoteReference"/>
          <w:noProof/>
        </w:rPr>
        <w:footnoteReference w:id="13"/>
      </w:r>
      <w:r>
        <w:rPr>
          <w:noProof/>
        </w:rPr>
        <w:t xml:space="preserve"> ir jame išdėstė plataus užmojo ir išsamią tvaraus finansavimo strategiją. Vienas iš veiksmų plane nustatytų tikslų – nukreipti kapitalo srautus į tvarias investicijas, kad būtų pasiektas darnus ir integracinis augimas. 2018 m. gegužės mėn. paskelbtas vėlesnių teisėkūros iniciatyvų poveikio vertinimas</w:t>
      </w:r>
      <w:r>
        <w:rPr>
          <w:rStyle w:val="FootnoteReference"/>
          <w:noProof/>
        </w:rPr>
        <w:footnoteReference w:id="14"/>
      </w:r>
      <w:r>
        <w:rPr>
          <w:noProof/>
        </w:rPr>
        <w:t xml:space="preserve"> parodė, kad reikia paaiškinti, jog </w:t>
      </w:r>
      <w:r>
        <w:rPr>
          <w:noProof/>
        </w:rPr>
        <w:lastRenderedPageBreak/>
        <w:t>alternatyvaus investavimo fondų valdytojai (AIFV), vykdydami savo pareigas investuotojams, turėtų atsižvelgti į tvarumo veiksnius. Todėl AIFV turėtų nuolat vertinti ne tik visą atitinkamą finansinę riziką, bet ir visą atitinkamą tvarumo riziką, kuri nurodyta Europos Parlamento ir Tarybos reglamente (ES) 2019/2088</w:t>
      </w:r>
      <w:r>
        <w:rPr>
          <w:rStyle w:val="FootnoteReference"/>
          <w:noProof/>
        </w:rPr>
        <w:footnoteReference w:id="15"/>
      </w:r>
      <w:r>
        <w:rPr>
          <w:noProof/>
        </w:rPr>
        <w:t xml:space="preserve"> ir kuri, jei kiltų, galėtų padaryti realų ar galimą reikšmingą neigiamą poveikį investicijų vertei. Komisijos deleguotajame reglamente (ES) Nr. 231/2013</w:t>
      </w:r>
      <w:r>
        <w:rPr>
          <w:rStyle w:val="FootnoteReference"/>
          <w:noProof/>
        </w:rPr>
        <w:footnoteReference w:id="16"/>
      </w:r>
      <w:r>
        <w:rPr>
          <w:noProof/>
        </w:rPr>
        <w:t xml:space="preserve"> nėra aiškios nuorodos į tvarumo riziką. Dėl šios priežasties ir siekiant užtikrinti, kad vidaus procedūros ir organizacinė tvarka būtų tinkamai įgyvendinamos ir jų būtų laikomasi, būtina paaiškinti, kad AIFV procesai, sistemos ir vidaus kontrolės priemonės atspindi tvarumo riziką ir kad tai rizikai analizuoti būtini techniniai pajėgumai ir žinios;</w:t>
      </w:r>
    </w:p>
    <w:p>
      <w:pPr>
        <w:pStyle w:val="ManualConsidrant"/>
        <w:rPr>
          <w:noProof/>
        </w:rPr>
      </w:pPr>
      <w:r>
        <w:t>(4)</w:t>
      </w:r>
      <w:r>
        <w:tab/>
      </w:r>
      <w:r>
        <w:rPr>
          <w:noProof/>
        </w:rPr>
        <w:t>pagal Reglamentą (ES) 2019/2088 AIFV, kurie privalo atsižvelgti arba savanoriškai atsižvelgia į investavimo sprendimų pagrindinį neigiamą poveikį tvarumo veiksniams, privalo atskleisti, kaip į tą pagrindinį neigiamą poveikį atsižvelgiama jų išsamaus patikrinimo politikoje. Siekiant užtikrinti Reglamento (ES) 2019/2088 ir Reglamento Nr. 231/2013 nuoseklumą, ta prievolė turėtų būti atspindėta Reglamente Nr. 231/2013;</w:t>
      </w:r>
    </w:p>
    <w:p>
      <w:pPr>
        <w:pStyle w:val="ManualConsidrant"/>
        <w:rPr>
          <w:noProof/>
        </w:rPr>
      </w:pPr>
      <w:r>
        <w:t>(5)</w:t>
      </w:r>
      <w:r>
        <w:tab/>
      </w:r>
      <w:r>
        <w:rPr>
          <w:noProof/>
        </w:rPr>
        <w:t>siekiant išlaikyti aukštą investuotojų apsaugos standartą, AIFV, nustatydami interesų konfliktų, kurie gali pakenkti AIF interesams, tipus, turėtų įtraukti interesų konfliktus, kurių gali kilti dėl tvarumo rizikos integravimo į jų procesus, sistemas ir vidaus kontrolės priemones. Tie konfliktai gali būti konfliktai, kylantys dėl atitinkamų darbuotojų atlygio ar asmeninių sandorių, interesų konfliktai, dėl kurių gali atsirasti ekologinis manipuliavimas investavimo strategijomis, jų netinkamas pardavimas ar klaidingas faktų pateikimas, taip pat skirtingų AIF, kuriuos valdo tas pats AIFV, interesų konfliktai;</w:t>
      </w:r>
    </w:p>
    <w:p>
      <w:pPr>
        <w:pStyle w:val="ManualConsidrant"/>
        <w:rPr>
          <w:noProof/>
        </w:rPr>
      </w:pPr>
      <w:r>
        <w:t>(6)</w:t>
      </w:r>
      <w:r>
        <w:tab/>
      </w:r>
      <w:r>
        <w:rPr>
          <w:noProof/>
        </w:rPr>
        <w:t>todėl Deleguotasis reglamentas (ES) Nr. 231/2013 turėtų būti atitinkamai iš dalies pakeistas;</w:t>
      </w:r>
    </w:p>
    <w:p>
      <w:pPr>
        <w:pStyle w:val="ManualConsidrant"/>
        <w:rPr>
          <w:noProof/>
        </w:rPr>
      </w:pPr>
      <w:r>
        <w:t>(7)</w:t>
      </w:r>
      <w:r>
        <w:tab/>
      </w:r>
      <w:r>
        <w:rPr>
          <w:noProof/>
        </w:rPr>
        <w:t>kompetentingoms institucijoms ir AIFV turėtų būti suteikta pakankamai laiko prisitaikyti prie naujų šiame reglamente nustatytų reikalavimų. Todėl jo taikymas turėtų būti atidėtas,</w:t>
      </w:r>
    </w:p>
    <w:p>
      <w:pPr>
        <w:pStyle w:val="Formuledadoption"/>
        <w:rPr>
          <w:noProof/>
        </w:rPr>
      </w:pPr>
      <w:r>
        <w:rPr>
          <w:noProof/>
        </w:rPr>
        <w:t>PRIĖMĖ ŠĮ REGLAMENTĄ:</w:t>
      </w:r>
    </w:p>
    <w:p>
      <w:pPr>
        <w:pStyle w:val="Titrearticle"/>
        <w:rPr>
          <w:noProof/>
        </w:rPr>
      </w:pPr>
      <w:r>
        <w:rPr>
          <w:noProof/>
        </w:rPr>
        <w:t>1 straipsnis</w:t>
      </w:r>
    </w:p>
    <w:p>
      <w:pPr>
        <w:rPr>
          <w:noProof/>
        </w:rPr>
      </w:pPr>
      <w:r>
        <w:rPr>
          <w:noProof/>
        </w:rPr>
        <w:t>Deleguotasis reglamentas (ES) Nr. 231/2013 iš dalies keičiamas taip:</w:t>
      </w:r>
    </w:p>
    <w:p>
      <w:pPr>
        <w:pStyle w:val="Point0"/>
        <w:rPr>
          <w:noProof/>
        </w:rPr>
      </w:pPr>
      <w:r>
        <w:t>(1)</w:t>
      </w:r>
      <w:r>
        <w:tab/>
      </w:r>
      <w:r>
        <w:rPr>
          <w:noProof/>
        </w:rPr>
        <w:t>1 straipsnis papildomas 6 ir 7 punktais:</w:t>
      </w:r>
    </w:p>
    <w:p>
      <w:pPr>
        <w:pStyle w:val="Text1"/>
        <w:ind w:left="1134" w:right="568" w:hanging="568"/>
        <w:rPr>
          <w:noProof/>
        </w:rPr>
      </w:pPr>
      <w:r>
        <w:rPr>
          <w:noProof/>
        </w:rPr>
        <w:t>„6)</w:t>
      </w:r>
      <w:r>
        <w:rPr>
          <w:noProof/>
        </w:rPr>
        <w:tab/>
        <w:t>tvarumo rizika – tvarumo rizika, apibrėžta Europos Parlamento ir Tarybos reglamento (ES) 2019/2088* 2 straipsnio 22 punkte;</w:t>
      </w:r>
    </w:p>
    <w:p>
      <w:pPr>
        <w:pStyle w:val="Text1"/>
        <w:ind w:left="1134" w:right="568" w:hanging="568"/>
        <w:rPr>
          <w:noProof/>
        </w:rPr>
      </w:pPr>
      <w:r>
        <w:rPr>
          <w:noProof/>
        </w:rPr>
        <w:t>7)</w:t>
      </w:r>
      <w:r>
        <w:rPr>
          <w:noProof/>
        </w:rPr>
        <w:tab/>
        <w:t>tvarumo veiksniai – tvarumo veiksniai, apibrėžti Reglamento (ES) 2019/2088 2 straipsnio 24 punkte.</w:t>
      </w:r>
    </w:p>
    <w:p>
      <w:pPr>
        <w:pStyle w:val="Text1"/>
        <w:ind w:left="1134" w:right="568" w:hanging="568"/>
        <w:rPr>
          <w:noProof/>
        </w:rPr>
      </w:pPr>
      <w:r>
        <w:rPr>
          <w:noProof/>
        </w:rPr>
        <w:t>________________________</w:t>
      </w:r>
    </w:p>
    <w:p>
      <w:pPr>
        <w:pStyle w:val="Text1"/>
        <w:ind w:left="1134" w:right="568" w:hanging="568"/>
        <w:rPr>
          <w:noProof/>
        </w:rPr>
      </w:pPr>
      <w:r>
        <w:rPr>
          <w:noProof/>
        </w:rPr>
        <w:lastRenderedPageBreak/>
        <w:t>*</w:t>
      </w:r>
      <w:r>
        <w:rPr>
          <w:noProof/>
        </w:rPr>
        <w:tab/>
        <w:t>2019 m. lapkričio 27 d. Europos Parlamento ir Tarybos reglamentas (ES) 2019/2088 dėl su tvarumu susijusios informacijos atskleidimo finansinių paslaugų sektoriuje (OL L 317, 2019 12 9, p. 1).“;</w:t>
      </w:r>
    </w:p>
    <w:p>
      <w:pPr>
        <w:pStyle w:val="Point0"/>
        <w:rPr>
          <w:noProof/>
        </w:rPr>
      </w:pPr>
      <w:r>
        <w:t>(2)</w:t>
      </w:r>
      <w:r>
        <w:tab/>
      </w:r>
      <w:r>
        <w:rPr>
          <w:noProof/>
        </w:rPr>
        <w:t>18 straipsnis papildomas 5 ir 6 dalimis:</w:t>
      </w:r>
    </w:p>
    <w:p>
      <w:pPr>
        <w:pStyle w:val="Text1"/>
        <w:tabs>
          <w:tab w:val="left" w:pos="1134"/>
        </w:tabs>
        <w:ind w:left="567" w:right="568"/>
        <w:rPr>
          <w:noProof/>
        </w:rPr>
      </w:pPr>
      <w:r>
        <w:rPr>
          <w:noProof/>
        </w:rPr>
        <w:t>„5.</w:t>
      </w:r>
      <w:r>
        <w:rPr>
          <w:noProof/>
        </w:rPr>
        <w:tab/>
        <w:t>AIFV, laikydamiesi 1–3 dalyse nustatytų reikalavimų, atsižvelgia į tvarumo riziką.</w:t>
      </w:r>
    </w:p>
    <w:p>
      <w:pPr>
        <w:pStyle w:val="Text1"/>
        <w:tabs>
          <w:tab w:val="left" w:pos="1134"/>
        </w:tabs>
        <w:ind w:left="567" w:right="568"/>
        <w:rPr>
          <w:noProof/>
        </w:rPr>
      </w:pPr>
      <w:r>
        <w:rPr>
          <w:noProof/>
        </w:rPr>
        <w:t>6.</w:t>
      </w:r>
      <w:r>
        <w:rPr>
          <w:noProof/>
        </w:rPr>
        <w:tab/>
        <w:t>Jei AIFV atsižvelgia į investavimo sprendimų pagrindinį neigiamą poveikį tvarumo veiksniams, kaip aprašyta Reglamento (ES) 2019/2088 4 straipsnio 1 dalies a punkte arba kaip reikalaujama to reglamento 4 straipsnio 3 arba 4 dalyje, tie AIFV, laikydamiesi šio straipsnio 1–3 dalyse nustatytų reikalavimų, atsižvelgia į tokį pagrindinį neigiamą poveikį.“;</w:t>
      </w:r>
    </w:p>
    <w:p>
      <w:pPr>
        <w:pStyle w:val="Point0"/>
        <w:rPr>
          <w:noProof/>
        </w:rPr>
      </w:pPr>
      <w:r>
        <w:t>(3)</w:t>
      </w:r>
      <w:r>
        <w:tab/>
      </w:r>
      <w:r>
        <w:rPr>
          <w:noProof/>
        </w:rPr>
        <w:t>22 straipsnis papildomas 3 dalimi:</w:t>
      </w:r>
    </w:p>
    <w:p>
      <w:pPr>
        <w:pStyle w:val="Text1"/>
        <w:tabs>
          <w:tab w:val="left" w:pos="1134"/>
        </w:tabs>
        <w:ind w:left="567" w:right="568"/>
        <w:rPr>
          <w:noProof/>
        </w:rPr>
      </w:pPr>
      <w:r>
        <w:rPr>
          <w:noProof/>
        </w:rPr>
        <w:t>„3.</w:t>
      </w:r>
      <w:r>
        <w:rPr>
          <w:noProof/>
        </w:rPr>
        <w:tab/>
        <w:t>Taikant 1 dalį, AIFV turi būtinus išteklius ir kompetenciją, kad galėtų veiksmingai integruoti tvarumo riziką.“;</w:t>
      </w:r>
    </w:p>
    <w:p>
      <w:pPr>
        <w:pStyle w:val="Point0"/>
        <w:rPr>
          <w:noProof/>
        </w:rPr>
      </w:pPr>
      <w:r>
        <w:t>(4)</w:t>
      </w:r>
      <w:r>
        <w:tab/>
      </w:r>
      <w:r>
        <w:rPr>
          <w:noProof/>
        </w:rPr>
        <w:t>30 straipsnis papildomas šia pastraipa:</w:t>
      </w:r>
    </w:p>
    <w:p>
      <w:pPr>
        <w:rPr>
          <w:noProof/>
        </w:rPr>
      </w:pPr>
      <w:r>
        <w:rPr>
          <w:noProof/>
        </w:rPr>
        <w:t xml:space="preserve">„AIFV užtikrina, kad, nustatydami interesų konfliktų, kurie gali pakenkti AIF interesams, tipus, įtrauktų tų tipų interesų konfliktus, kurių gali kilti dėl tvarumo rizikos integravimo į jų procesus, sistemas ir vidaus kontrolės priemones.“; </w:t>
      </w:r>
    </w:p>
    <w:p>
      <w:pPr>
        <w:pStyle w:val="Point0"/>
        <w:rPr>
          <w:noProof/>
        </w:rPr>
      </w:pPr>
      <w:r>
        <w:t>(5)</w:t>
      </w:r>
      <w:r>
        <w:tab/>
      </w:r>
      <w:r>
        <w:rPr>
          <w:noProof/>
        </w:rPr>
        <w:t xml:space="preserve">40 straipsnio 2 dalis pakeičiama taip: </w:t>
      </w:r>
    </w:p>
    <w:p>
      <w:pPr>
        <w:pStyle w:val="Text1"/>
        <w:tabs>
          <w:tab w:val="left" w:pos="1134"/>
        </w:tabs>
        <w:ind w:left="567" w:right="568"/>
        <w:rPr>
          <w:noProof/>
        </w:rPr>
      </w:pPr>
      <w:r>
        <w:rPr>
          <w:noProof/>
        </w:rPr>
        <w:t>„2.</w:t>
      </w:r>
      <w:r>
        <w:rPr>
          <w:noProof/>
        </w:rPr>
        <w:tab/>
        <w:t>Rizikos valdymo politika apima tokias procedūras, kurios yra būtinos tam, kad AIFV galėtų įvertinti kiekvieno valdomo AIF patiriamą rinkos, likvidumo, tvarumo ir sandorio šalies riziką ir bet kokios kitos svarbios rūšies riziką, kurią patiria AIF, įskaitant operacinę riziką, kuri gali būti reikšminga kiekvienam jo valdomam AIF.“;</w:t>
      </w:r>
    </w:p>
    <w:p>
      <w:pPr>
        <w:pStyle w:val="Point0"/>
        <w:rPr>
          <w:noProof/>
        </w:rPr>
      </w:pPr>
      <w:r>
        <w:t>(6)</w:t>
      </w:r>
      <w:r>
        <w:tab/>
      </w:r>
      <w:r>
        <w:rPr>
          <w:noProof/>
        </w:rPr>
        <w:t>57 straipsnio 1 dalis papildoma šia pastraipa:</w:t>
      </w:r>
    </w:p>
    <w:p>
      <w:pPr>
        <w:rPr>
          <w:noProof/>
        </w:rPr>
      </w:pPr>
      <w:r>
        <w:rPr>
          <w:noProof/>
        </w:rPr>
        <w:t>„AIFV, laikydamiesi pirmoje pastraipoje nustatytų reikalavimų, atsižvelgia į tvarumo riziką.“;</w:t>
      </w:r>
    </w:p>
    <w:p>
      <w:pPr>
        <w:pStyle w:val="Point0"/>
        <w:rPr>
          <w:noProof/>
        </w:rPr>
      </w:pPr>
      <w:r>
        <w:t>(7)</w:t>
      </w:r>
      <w:r>
        <w:tab/>
      </w:r>
      <w:r>
        <w:rPr>
          <w:noProof/>
        </w:rPr>
        <w:t>60 straipsnio 2 dalis papildoma i punktu:</w:t>
      </w:r>
    </w:p>
    <w:p>
      <w:pPr>
        <w:pStyle w:val="Text1"/>
        <w:ind w:left="1134" w:right="568" w:hanging="567"/>
        <w:rPr>
          <w:noProof/>
        </w:rPr>
      </w:pPr>
      <w:r>
        <w:rPr>
          <w:noProof/>
        </w:rPr>
        <w:t>„i)</w:t>
      </w:r>
      <w:r>
        <w:rPr>
          <w:noProof/>
        </w:rPr>
        <w:tab/>
        <w:t>būtų atsakinga už tvarumo rizikos integravimą į a–h punktuose nurodytą veiklą.“</w:t>
      </w:r>
    </w:p>
    <w:p>
      <w:pPr>
        <w:pStyle w:val="Titrearticle"/>
        <w:rPr>
          <w:noProof/>
        </w:rPr>
      </w:pPr>
      <w:r>
        <w:rPr>
          <w:noProof/>
        </w:rPr>
        <w:t>2 straipsnis</w:t>
      </w:r>
    </w:p>
    <w:p>
      <w:pPr>
        <w:rPr>
          <w:noProof/>
        </w:rPr>
      </w:pPr>
      <w:r>
        <w:rPr>
          <w:noProof/>
        </w:rPr>
        <w:t xml:space="preserve">Šis reglamentas įsigalioja dvidešimtą dieną po jo paskelbimo </w:t>
      </w:r>
      <w:r>
        <w:rPr>
          <w:i/>
          <w:noProof/>
        </w:rPr>
        <w:t>Europos Sąjungos oficialiajame leidinyje</w:t>
      </w:r>
      <w:r>
        <w:rPr>
          <w:noProof/>
        </w:rPr>
        <w:t>.</w:t>
      </w:r>
    </w:p>
    <w:p>
      <w:pPr>
        <w:rPr>
          <w:i/>
          <w:noProof/>
        </w:rPr>
      </w:pPr>
      <w:r>
        <w:rPr>
          <w:noProof/>
        </w:rPr>
        <w:t>Jis taikomas nuo [</w:t>
      </w:r>
      <w:r>
        <w:rPr>
          <w:b/>
          <w:i/>
          <w:noProof/>
        </w:rPr>
        <w:t xml:space="preserve">Leidinių biuro prašoma įrašyti datą, kuri yra pirmoji dvylikto mėnesio po paskelbimo </w:t>
      </w:r>
      <w:r>
        <w:rPr>
          <w:b/>
          <w:noProof/>
        </w:rPr>
        <w:t>Europos Sąjungos oficialiajame leidinyje</w:t>
      </w:r>
      <w:r>
        <w:rPr>
          <w:b/>
          <w:i/>
          <w:noProof/>
        </w:rPr>
        <w:t xml:space="preserve"> diena</w:t>
      </w:r>
      <w:r>
        <w:rPr>
          <w:noProof/>
        </w:rPr>
        <w:t>].</w:t>
      </w:r>
    </w:p>
    <w:p>
      <w:pPr>
        <w:pStyle w:val="Applicationdirecte"/>
        <w:keepNext/>
        <w:keepLines/>
        <w:rPr>
          <w:noProof/>
        </w:rPr>
      </w:pPr>
      <w:r>
        <w:rPr>
          <w:noProof/>
        </w:rPr>
        <w:lastRenderedPageBreak/>
        <w:t>Šis reglamentas privalomas visas ir tiesiogiai taikomas visose valstybėse narėse.</w:t>
      </w:r>
    </w:p>
    <w:p>
      <w:pPr>
        <w:pStyle w:val="Fait"/>
        <w:rPr>
          <w:noProof/>
        </w:rPr>
      </w:pPr>
      <w:r>
        <w:t>Priimta Briuselyje 2021 04 21</w:t>
      </w:r>
    </w:p>
    <w:p>
      <w:pPr>
        <w:pStyle w:val="Institutionquisigne"/>
        <w:rPr>
          <w:noProof/>
        </w:rPr>
      </w:pPr>
      <w:r>
        <w:rPr>
          <w:noProof/>
        </w:rPr>
        <w:tab/>
        <w:t>Komisijos vardu</w:t>
      </w:r>
    </w:p>
    <w:p>
      <w:pPr>
        <w:pStyle w:val="Personnequisigne"/>
        <w:rPr>
          <w:noProof/>
        </w:rPr>
      </w:pPr>
      <w:r>
        <w:tab/>
        <w:t>Pirmininkė</w:t>
      </w:r>
      <w:r>
        <w:br/>
      </w:r>
      <w:r>
        <w:tab/>
        <w:t>Ursula VON DER LEYEN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Komisijos komunikatas Europos Parlamentui, Europos Vadovų Tarybai, Tarybai, Europos ekonomikos ir socialinių reikalų komitetui ir Regionų komitetui „Europos žaliasis kursas“ (COM(2019) 640 </w:t>
      </w:r>
      <w:r>
        <w:rPr>
          <w:i/>
        </w:rPr>
        <w:t>final</w:t>
      </w:r>
      <w:r>
        <w:t xml:space="preserve">). </w:t>
      </w:r>
    </w:p>
  </w:footnote>
  <w:footnote w:id="2">
    <w:p>
      <w:pPr>
        <w:pStyle w:val="FootnoteText"/>
      </w:pPr>
      <w:r>
        <w:rPr>
          <w:rStyle w:val="FootnoteReference"/>
        </w:rPr>
        <w:footnoteRef/>
      </w:r>
      <w:r>
        <w:tab/>
        <w:t xml:space="preserve">Komisijos komunikatas Europos Parlamentui, Europos Vadovų Tarybai, Tarybai, Europos Centriniam Bankui, Europos ekonomikos ir socialinių reikalų komitetui ir Regionų komitetui „Tvaraus augimo finansavimo veiksmų planas“ (COM(2018) 97 </w:t>
      </w:r>
      <w:r>
        <w:rPr>
          <w:i/>
        </w:rPr>
        <w:t>final</w:t>
      </w:r>
      <w:r>
        <w:t>).</w:t>
      </w:r>
    </w:p>
  </w:footnote>
  <w:footnote w:id="3">
    <w:p>
      <w:pPr>
        <w:pStyle w:val="FootnoteText"/>
      </w:pPr>
      <w:r>
        <w:rPr>
          <w:rStyle w:val="FootnoteReference"/>
        </w:rPr>
        <w:footnoteRef/>
      </w:r>
      <w:r>
        <w:tab/>
        <w:t>2012 m. gruodžio 19 d. Komisijos deleguotasis reglamentas (ES) Nr. 231/2013, kuriuo papildomos Europos Parlamento ir Tarybos direktyvos 2011/61/ES nuostatos dėl išimčių, bendrųjų veiklos sąlygų, depozitoriumų, finansinio sverto, skaidrumo ir priežiūros (OL L 83, 2013 3 22, p. 1).</w:t>
      </w:r>
    </w:p>
  </w:footnote>
  <w:footnote w:id="4">
    <w:p>
      <w:pPr>
        <w:pStyle w:val="FootnoteText"/>
      </w:pPr>
      <w:r>
        <w:rPr>
          <w:rStyle w:val="FootnoteReference"/>
        </w:rPr>
        <w:footnoteRef/>
      </w:r>
      <w:r>
        <w:tab/>
        <w:t>2011 m. birželio 8 d. Europos Parlamento ir Tarybos direktyva 2011/61/ES dėl alternatyvaus investavimo fondų valdytojų, kuria iš dalies keičiami direktyvos 2003/41/EB ir 2009/65/EB bei reglamentai (EB) Nr. 1060/2009 ir (ES) Nr. 1095/2010 (OL L 174, 2011 7 1, p. 1).</w:t>
      </w:r>
    </w:p>
  </w:footnote>
  <w:footnote w:id="5">
    <w:p>
      <w:pPr>
        <w:pStyle w:val="FootnoteText"/>
      </w:pPr>
      <w:r>
        <w:rPr>
          <w:rStyle w:val="FootnoteReference"/>
        </w:rPr>
        <w:footnoteRef/>
      </w:r>
      <w:r>
        <w:tab/>
        <w:t>Galutinė ataskaita: ESMA techninės rekomendacijos Europos Komisijai dėl tvarumo rizikos ir veiksnių integravimo į KIPVPS direktyvą ir AIFVD (ESMA34-45-688).</w:t>
      </w:r>
    </w:p>
  </w:footnote>
  <w:footnote w:id="6">
    <w:p>
      <w:pPr>
        <w:pStyle w:val="FootnoteText"/>
      </w:pPr>
      <w:r>
        <w:rPr>
          <w:rStyle w:val="FootnoteReference"/>
        </w:rPr>
        <w:footnoteRef/>
      </w:r>
      <w:r>
        <w:tab/>
        <w:t>2019 m. lapkričio 27 d. Europos Parlamento ir Tarybos Reglamentas (ES) 2019/2088 dėl su tvarumu susijusios informacijos atskleidimo finansinių paslaugų sektoriuje (OL L 317, 2019 12 9, p. 1).</w:t>
      </w:r>
    </w:p>
  </w:footnote>
  <w:footnote w:id="7">
    <w:p>
      <w:pPr>
        <w:pStyle w:val="FootnoteText"/>
      </w:pPr>
      <w:r>
        <w:rPr>
          <w:rStyle w:val="FootnoteReference"/>
        </w:rPr>
        <w:footnoteRef/>
      </w:r>
      <w:r>
        <w:tab/>
        <w:t>2019 m. lapkričio 27 d. Europos Parlamento ir Tarybos reglamentas (ES) 2019/2089, kuriuo dėl ES prisitaikymo prie klimato kaitos lyginamųjų indeksų, ES su Paryžiaus susitarimu suderintų lyginamųjų indeksų ir su tvarumu susijusios lyginamųjų indeksų informacijos atskleidimo iš dalies keičiamas Reglamentas (ES) 2016/1011 (OL L 317, 2019 12 9, p. 17).</w:t>
      </w:r>
    </w:p>
  </w:footnote>
  <w:footnote w:id="8">
    <w:p>
      <w:pPr>
        <w:pStyle w:val="FootnoteText"/>
      </w:pPr>
      <w:r>
        <w:rPr>
          <w:rStyle w:val="FootnoteReference"/>
        </w:rPr>
        <w:footnoteRef/>
      </w:r>
      <w:r>
        <w:tab/>
        <w:t>Europos Parlamento ir Tarybos reglamentas dėl sistemos tvariam investavimui palengvinti (dar nepaskelbtas).</w:t>
      </w:r>
    </w:p>
  </w:footnote>
  <w:footnote w:id="9">
    <w:p>
      <w:pPr>
        <w:pStyle w:val="FootnoteText"/>
      </w:pPr>
      <w:r>
        <w:rPr>
          <w:rStyle w:val="FootnoteReference"/>
        </w:rPr>
        <w:footnoteRef/>
      </w:r>
      <w:r>
        <w:tab/>
        <w:t>2019 m. lapkričio 27 d. Europos Parlamento ir Tarybos Reglamentas (ES) 2019/2088 dėl su tvarumu susijusios informacijos atskleidimo finansinių paslaugų sektoriuje (OL L 317, 2019 12 9, p. 1).</w:t>
      </w:r>
    </w:p>
  </w:footnote>
  <w:footnote w:id="10">
    <w:p>
      <w:pPr>
        <w:pStyle w:val="FootnoteText"/>
      </w:pPr>
      <w:r>
        <w:rPr>
          <w:rStyle w:val="FootnoteReference"/>
        </w:rPr>
        <w:footnoteRef/>
      </w:r>
      <w:r>
        <w:tab/>
        <w:t>OL L 174, 2011 7 1, p. 1.</w:t>
      </w:r>
    </w:p>
  </w:footnote>
  <w:footnote w:id="11">
    <w:p>
      <w:pPr>
        <w:pStyle w:val="FootnoteText"/>
      </w:pPr>
      <w:r>
        <w:rPr>
          <w:rStyle w:val="FootnoteReference"/>
        </w:rPr>
        <w:footnoteRef/>
      </w:r>
      <w:r>
        <w:tab/>
        <w:t>2016 m. spalio 5 d. Tarybos sprendimas (ES) 2016/1841 dėl Paryžiaus susitarimo, priimto pagal Jungtinių Tautų bendrąją klimato kaitos konvenciją, sudarymo Europos Sąjungos vardu (OL L 282, 2016 10 19, p. 4).</w:t>
      </w:r>
    </w:p>
  </w:footnote>
  <w:footnote w:id="12">
    <w:p>
      <w:pPr>
        <w:pStyle w:val="FootnoteText"/>
      </w:pPr>
      <w:r>
        <w:rPr>
          <w:rStyle w:val="FootnoteReference"/>
        </w:rPr>
        <w:footnoteRef/>
      </w:r>
      <w:r>
        <w:tab/>
        <w:t xml:space="preserve">COM(2019) 640 </w:t>
      </w:r>
      <w:r>
        <w:rPr>
          <w:i/>
        </w:rPr>
        <w:t>final</w:t>
      </w:r>
      <w:r>
        <w:t>.</w:t>
      </w:r>
    </w:p>
  </w:footnote>
  <w:footnote w:id="13">
    <w:p>
      <w:pPr>
        <w:pStyle w:val="FootnoteText"/>
      </w:pPr>
      <w:r>
        <w:rPr>
          <w:rStyle w:val="FootnoteReference"/>
        </w:rPr>
        <w:footnoteRef/>
      </w:r>
      <w:r>
        <w:tab/>
        <w:t xml:space="preserve">COM(2018) 97 </w:t>
      </w:r>
      <w:r>
        <w:rPr>
          <w:i/>
        </w:rPr>
        <w:t>final</w:t>
      </w:r>
      <w:r>
        <w:t>.</w:t>
      </w:r>
    </w:p>
  </w:footnote>
  <w:footnote w:id="14">
    <w:p>
      <w:pPr>
        <w:pStyle w:val="FootnoteText"/>
      </w:pPr>
      <w:r>
        <w:rPr>
          <w:rStyle w:val="FootnoteReference"/>
        </w:rPr>
        <w:footnoteRef/>
      </w:r>
      <w:r>
        <w:tab/>
        <w:t xml:space="preserve">SWD(2018) 264 </w:t>
      </w:r>
      <w:r>
        <w:rPr>
          <w:i/>
        </w:rPr>
        <w:t>final</w:t>
      </w:r>
      <w:r>
        <w:t>.</w:t>
      </w:r>
    </w:p>
  </w:footnote>
  <w:footnote w:id="15">
    <w:p>
      <w:pPr>
        <w:pStyle w:val="FootnoteText"/>
      </w:pPr>
      <w:r>
        <w:rPr>
          <w:rStyle w:val="FootnoteReference"/>
        </w:rPr>
        <w:footnoteRef/>
      </w:r>
      <w:r>
        <w:tab/>
        <w:t>2019 m. lapkričio 27 d. Europos Parlamento ir Tarybos Reglamentas (ES) 2019/2088 dėl su tvarumu susijusios informacijos atskleidimo finansinių paslaugų sektoriuje (OL L 317, 2019 12 9, p. 1).</w:t>
      </w:r>
    </w:p>
  </w:footnote>
  <w:footnote w:id="16">
    <w:p>
      <w:pPr>
        <w:pStyle w:val="FootnoteText"/>
      </w:pPr>
      <w:r>
        <w:rPr>
          <w:rStyle w:val="FootnoteReference"/>
        </w:rPr>
        <w:footnoteRef/>
      </w:r>
      <w:r>
        <w:tab/>
        <w:t>2012 m. gruodžio 19 d. Komisijos deleguotasis reglamentas (ES) Nr. 231/2013, kuriuo papildomos Europos Parlamento ir Tarybos direktyvos 2011/61/ES nuostatos dėl išimčių, bendrųjų veiklos sąlygų, depozitoriumų, finansinio sverto, skaidrumo ir priežiūros (OL L 83, 2013 3 22,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5BCE2F2"/>
    <w:lvl w:ilvl="0">
      <w:start w:val="1"/>
      <w:numFmt w:val="decimal"/>
      <w:pStyle w:val="ListNumber4"/>
      <w:lvlText w:val="%1."/>
      <w:lvlJc w:val="left"/>
      <w:pPr>
        <w:tabs>
          <w:tab w:val="num" w:pos="1492"/>
        </w:tabs>
        <w:ind w:left="1492" w:hanging="360"/>
      </w:pPr>
    </w:lvl>
  </w:abstractNum>
  <w:abstractNum w:abstractNumId="1">
    <w:nsid w:val="FFFFFF7E"/>
    <w:multiLevelType w:val="singleLevel"/>
    <w:tmpl w:val="DA4EA1A2"/>
    <w:lvl w:ilvl="0">
      <w:start w:val="1"/>
      <w:numFmt w:val="decimal"/>
      <w:pStyle w:val="ListNumber3"/>
      <w:lvlText w:val="%1."/>
      <w:lvlJc w:val="left"/>
      <w:pPr>
        <w:tabs>
          <w:tab w:val="num" w:pos="926"/>
        </w:tabs>
        <w:ind w:left="926" w:hanging="360"/>
      </w:pPr>
    </w:lvl>
  </w:abstractNum>
  <w:abstractNum w:abstractNumId="2">
    <w:nsid w:val="FFFFFF7F"/>
    <w:multiLevelType w:val="singleLevel"/>
    <w:tmpl w:val="A502AC0A"/>
    <w:lvl w:ilvl="0">
      <w:start w:val="1"/>
      <w:numFmt w:val="decimal"/>
      <w:pStyle w:val="ListNumber2"/>
      <w:lvlText w:val="%1."/>
      <w:lvlJc w:val="left"/>
      <w:pPr>
        <w:tabs>
          <w:tab w:val="num" w:pos="643"/>
        </w:tabs>
        <w:ind w:left="643" w:hanging="360"/>
      </w:pPr>
    </w:lvl>
  </w:abstractNum>
  <w:abstractNum w:abstractNumId="3">
    <w:nsid w:val="FFFFFF81"/>
    <w:multiLevelType w:val="singleLevel"/>
    <w:tmpl w:val="60A067A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05476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45C36F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6220722"/>
    <w:lvl w:ilvl="0">
      <w:start w:val="1"/>
      <w:numFmt w:val="decimal"/>
      <w:pStyle w:val="ListNumber"/>
      <w:lvlText w:val="%1."/>
      <w:lvlJc w:val="left"/>
      <w:pPr>
        <w:tabs>
          <w:tab w:val="num" w:pos="360"/>
        </w:tabs>
        <w:ind w:left="360" w:hanging="360"/>
      </w:pPr>
    </w:lvl>
  </w:abstractNum>
  <w:abstractNum w:abstractNumId="7">
    <w:nsid w:val="FFFFFF89"/>
    <w:multiLevelType w:val="singleLevel"/>
    <w:tmpl w:val="6CFC9E9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4-14 11:17: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6"/>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90155F0F-DBC1-482E-91AA-B89EABF5617F"/>
    <w:docVar w:name="LW_COVERPAGE_TYPE" w:val="1"/>
    <w:docVar w:name="LW_CROSSREFERENCE" w:val="&lt;UNUSED&gt;"/>
    <w:docVar w:name="LW_DATE.ADOPT.CP" w:val="2021 04 21"/>
    <w:docVar w:name="LW_DATE.ADOPT.CP_DATEFORMAT" w:val="%DATE%"/>
    <w:docVar w:name="LW_DATE.ADOPT.CP_ISODATE" w:val="2021-04-21"/>
    <w:docVar w:name="LW_DocType" w:val="COM"/>
    <w:docVar w:name="LW_EMISSION" w:val="2021 04 21"/>
    <w:docVar w:name="LW_EMISSION_ISODATE" w:val="2021-04-21"/>
    <w:docVar w:name="LW_EMISSION_LOCATION" w:val="BRX"/>
    <w:docVar w:name="LW_EMISSION_PREFIX" w:val="Briuselis, "/>
    <w:docVar w:name="LW_EMISSION_SUFFIX" w:val=" "/>
    <w:docVar w:name="LW_ID_DOCMODEL" w:val="SJ-003"/>
    <w:docVar w:name="LW_ID_DOCSIGNATURE" w:val="SJ-003"/>
    <w:docVar w:name="LW_ID_DOCSTRUCTURE" w:val="COM/AA"/>
    <w:docVar w:name="LW_ID_DOCTYPE" w:val="SJ-003"/>
    <w:docVar w:name="LW_ID_EXP.MOTIFS.NEW" w:val="EM_AA_"/>
    <w:docVar w:name="LW_INTERETEEE.CP" w:val="(Tekstas svarbus EEE)"/>
    <w:docVar w:name="LW_LANGUE" w:val="LT"/>
    <w:docVar w:name="LW_LANGUESFAISANTFOI.CP" w:val="&lt;UNUSED&gt;"/>
    <w:docVar w:name="LW_LEVEL_OF_SENSITIVITY" w:val="Standard treatment"/>
    <w:docVar w:name="LW_NOM.INST" w:val="EUROPOS KOMISIJA"/>
    <w:docVar w:name="LW_NOM.INST_JOINTDOC" w:val="&lt;EMPTY&gt;"/>
    <w:docVar w:name="LW_PART_NBR" w:val="1"/>
    <w:docVar w:name="LW_PART_NBR_TOTAL" w:val="1"/>
    <w:docVar w:name="LW_REF.INST.NEW" w:val="C"/>
    <w:docVar w:name="LW_REF.INST.NEW_ADOPTED" w:val="final"/>
    <w:docVar w:name="LW_REF.INST.NEW_TEXT" w:val="(2021) 26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uriuo d\u279?l tvarumo rizikos ir tvarumo veiksni\u371?, \u303? kuriuos turi atsi\u382?velgti alternatyvaus investavimo fond\u371? valdytojai, i\u353? dalies kei\u269?iamas Deleguotasis reglamentas (ES) Nr. 231/2013"/>
    <w:docVar w:name="LW_TYPE.DOC.CP" w:val="KOMISIJOS DELEGUOTASIS REGLAMENTAS (ES) \u823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63BE-1B8E-40F9-A425-9CCBF773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1665</Words>
  <Characters>11195</Characters>
  <Application>Microsoft Office Word</Application>
  <DocSecurity>0</DocSecurity>
  <Lines>189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2020-02-13T14:02:00Z</cp:lastPrinted>
  <dcterms:created xsi:type="dcterms:W3CDTF">2021-03-22T14:31:00Z</dcterms:created>
  <dcterms:modified xsi:type="dcterms:W3CDTF">2021-04-14T09:17:00Z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