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DBAF7A7-57C8-4160-B3ED-8B7B6FD37B04" style="width:450.75pt;height:38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DELEGUOTOJO AKTO BENDROSIOS APLINKYBĖS</w:t>
      </w:r>
    </w:p>
    <w:p>
      <w:pPr>
        <w:spacing w:after="0"/>
        <w:rPr>
          <w:noProof/>
        </w:rPr>
      </w:pPr>
      <w:r>
        <w:rPr>
          <w:noProof/>
        </w:rPr>
        <w:t xml:space="preserve">Ši direktyva yra platesnės Komisijos iniciatyvos dėl darnaus vystymosi dalis. Ja nustatomas pagrindas ES sistemai, pagal kurią tvarumo aspektai tampa neatskiriama finansų sistemos dalimi, siekiant padėti pertvarkyti Europos ekonomiką į žalesnę, atsparesnę žiedinę sistemą, atitinkančią </w:t>
      </w:r>
      <w:r>
        <w:rPr>
          <w:b/>
          <w:noProof/>
        </w:rPr>
        <w:t>Europos žaliojo kurso</w:t>
      </w:r>
      <w:r>
        <w:rPr>
          <w:rStyle w:val="FootnoteReference"/>
          <w:noProof/>
        </w:rPr>
        <w:footnoteReference w:id="1"/>
      </w:r>
      <w:r>
        <w:rPr>
          <w:noProof/>
        </w:rPr>
        <w:t xml:space="preserve"> tikslus.</w:t>
      </w:r>
    </w:p>
    <w:p>
      <w:pPr>
        <w:spacing w:after="0"/>
        <w:rPr>
          <w:rFonts w:eastAsiaTheme="minorEastAsia"/>
          <w:noProof/>
          <w:color w:val="000000" w:themeColor="text1"/>
        </w:rPr>
      </w:pPr>
      <w:r>
        <w:rPr>
          <w:noProof/>
        </w:rPr>
        <w:t xml:space="preserve">Priėmus </w:t>
      </w:r>
      <w:r>
        <w:rPr>
          <w:b/>
          <w:noProof/>
        </w:rPr>
        <w:t>2016 m. Paryžiaus susitarimą dėl klimato kaitos</w:t>
      </w:r>
      <w:r>
        <w:rPr>
          <w:noProof/>
        </w:rPr>
        <w:t xml:space="preserve"> ir </w:t>
      </w:r>
      <w:r>
        <w:rPr>
          <w:b/>
          <w:noProof/>
        </w:rPr>
        <w:t>Jungtinių Tautų darnaus vystymosi tikslų (DVT) darbotvarkę iki 2030 m.</w:t>
      </w:r>
      <w:r>
        <w:rPr>
          <w:noProof/>
        </w:rPr>
        <w:t xml:space="preserve">, </w:t>
      </w:r>
      <w:r>
        <w:rPr>
          <w:b/>
          <w:noProof/>
        </w:rPr>
        <w:t>Tvaraus augimo finansavimo veiksmų plane</w:t>
      </w:r>
      <w:r>
        <w:rPr>
          <w:rStyle w:val="FootnoteReference"/>
          <w:noProof/>
        </w:rPr>
        <w:footnoteReference w:id="2"/>
      </w:r>
      <w:r>
        <w:rPr>
          <w:noProof/>
        </w:rPr>
        <w:t xml:space="preserve"> Komisija paskelbė apie ketinimą paaiškinti tvarumo integravimą į vadinamąsias patikėtinio pareigas sektoriniuose teisės aktuose. Komunikate </w:t>
      </w:r>
      <w:r>
        <w:rPr>
          <w:b/>
          <w:noProof/>
        </w:rPr>
        <w:t>„Europos žaliasis kursas“</w:t>
      </w:r>
      <w:r>
        <w:rPr>
          <w:noProof/>
        </w:rPr>
        <w:t xml:space="preserve"> patvirtinama, kad, siekiant finansų ir kapitalo srautus nukreipti į žaliąsias investicijas ir išvengti neišnaudojamo turto, reikalingi ilgalaikiai signalai.</w:t>
      </w:r>
      <w:r>
        <w:rPr>
          <w:noProof/>
          <w:color w:val="000000" w:themeColor="text1"/>
        </w:rPr>
        <w:t xml:space="preserve"> Siekti šio konkretaus tikslo padės ši deleguotoji direktyva.</w:t>
      </w:r>
    </w:p>
    <w:p>
      <w:pPr>
        <w:rPr>
          <w:noProof/>
        </w:rPr>
      </w:pPr>
      <w:r>
        <w:rPr>
          <w:noProof/>
        </w:rPr>
        <w:t>Komisijos deleguotąja direktyva (ES) 2017/593</w:t>
      </w:r>
      <w:r>
        <w:rPr>
          <w:rStyle w:val="FootnoteReference"/>
          <w:noProof/>
        </w:rPr>
        <w:footnoteReference w:id="3"/>
      </w:r>
      <w:r>
        <w:rPr>
          <w:noProof/>
        </w:rPr>
        <w:t xml:space="preserve"> yra papildoma Europos Parlamento ir Tarybos direktyva 2014/65/ES (FPRD II)</w:t>
      </w:r>
      <w:r>
        <w:rPr>
          <w:rStyle w:val="FootnoteReference"/>
          <w:noProof/>
        </w:rPr>
        <w:footnoteReference w:id="4"/>
      </w:r>
      <w:r>
        <w:rPr>
          <w:noProof/>
        </w:rPr>
        <w:t>, be kita ko, patikslinant produktų valdymo pareigas. Šia direktyva Komisijos deleguotoji direktyva (ES) 2017/593</w:t>
      </w:r>
      <w:r>
        <w:rPr>
          <w:rStyle w:val="FootnoteReference"/>
          <w:noProof/>
          <w:szCs w:val="24"/>
        </w:rPr>
        <w:footnoteReference w:id="5"/>
      </w:r>
      <w:r>
        <w:rPr>
          <w:noProof/>
        </w:rPr>
        <w:t xml:space="preserve"> iš dalies keičiama dviem būdais: </w:t>
      </w:r>
    </w:p>
    <w:p>
      <w:pPr>
        <w:rPr>
          <w:noProof/>
        </w:rPr>
      </w:pPr>
      <w:r>
        <w:rPr>
          <w:noProof/>
        </w:rPr>
        <w:t>Pagal dabartinę FPRD II sistemą investicinė įmonė, kurianti finansines priemones, kurios bus parduodamos klientams, palieka galioti, taiko ir peržiūri kiekvienos finansinės priemonės ir svarbių esamos finansinės priemonės korekcijų patvirtinimo procesą prieš ja prekiaujant ar ją platinant klientams. Taikant produkto patvirtinimo procesą nurodoma nustatyta iš atitinkamos kiekvienos finansinės priemonės klientų kategorijos išskirta galutinių klientų tikslinė rinka ir užtikrinama, kad būtų įvertinta visų rūšių rizika, būdinga tokiai nustatytai tikslinei rinkai, ir kad numatyta platinimo strategija atitiktų nustatytą tikslinę rinką</w:t>
      </w:r>
      <w:r>
        <w:rPr>
          <w:rStyle w:val="FootnoteReference"/>
          <w:noProof/>
          <w:szCs w:val="24"/>
        </w:rPr>
        <w:footnoteReference w:id="6"/>
      </w:r>
      <w:r>
        <w:rPr>
          <w:noProof/>
        </w:rPr>
        <w:t xml:space="preserve">. Be to, FPRD II 24 straipsnio 2 dalimi reikalaujama, kad investicinės įmonės, kuriančios finansines priemones, kurios bus parduodamos klientams, užtikrintų, kad tos finansinės priemonės būtų sukurtos taip, kad atitiktų nustatytos iš atitinkamos klientų kategorijos išskirtų galutinių klientų tikslinės rinkos poreikius, kad finansinių priemonių platinimo strategija būtų suderinama su nustatyta tiksline rinka ir būtų imtasi pagrįstų veiksmų siekiant užtikrinti, kad finansinė priemonė būtų platinama nustatytoje tikslinėje rinkoje. Deleguotosios direktyvos (ES) </w:t>
      </w:r>
      <w:r>
        <w:rPr>
          <w:noProof/>
        </w:rPr>
        <w:lastRenderedPageBreak/>
        <w:t xml:space="preserve">2017/593 III skyriuje pateikiama išsamesnės informacijos apie produktų priežiūros ir valdymo procesą, taikomą tiek teikėjams, tiek platintojams. </w:t>
      </w:r>
    </w:p>
    <w:p>
      <w:pPr>
        <w:rPr>
          <w:rStyle w:val="None"/>
          <w:noProof/>
          <w:szCs w:val="24"/>
        </w:rPr>
      </w:pPr>
      <w:r>
        <w:rPr>
          <w:noProof/>
        </w:rPr>
        <w:t xml:space="preserve">Deleguotojoje direktyvoje 2017/593, priimtoje pagal FPRD II 16 straipsnio 12 dalį ir 24 straipsnio 13 dalį, nustatytose tikslinės rinkos identifikavimo sąlygose dar nebuvo aiškiai nustatyta, kaip finansines priemones teikiančios ir platinančios investicinės įmonės integruoja tvarumo veiksnius ir su tvarumu susijusius tikslus. Šioje direktyvoje </w:t>
      </w:r>
      <w:r>
        <w:rPr>
          <w:rStyle w:val="None"/>
          <w:noProof/>
          <w:szCs w:val="24"/>
        </w:rPr>
        <w:t>paaiškinama, kad į tvarumo veiksnius ir</w:t>
      </w:r>
      <w:r>
        <w:rPr>
          <w:noProof/>
        </w:rPr>
        <w:t xml:space="preserve"> su tvarumu susijusius </w:t>
      </w:r>
      <w:r>
        <w:rPr>
          <w:rStyle w:val="None"/>
          <w:noProof/>
          <w:szCs w:val="24"/>
        </w:rPr>
        <w:t>tikslus turėtų būti atsižvelgiama produktų priežiūros ir valdymo procese.</w:t>
      </w:r>
    </w:p>
    <w:p>
      <w:pPr>
        <w:rPr>
          <w:noProof/>
        </w:rPr>
      </w:pPr>
      <w:r>
        <w:rPr>
          <w:noProof/>
        </w:rPr>
        <w:t xml:space="preserve">Šia direktyva ir kitais sektoriniais deleguotaisiais aktais, kuriais pritaikomos taisyklės dėl patikėtinio pareigų ir kurie priimti lygiagrečiai, taip pat yra sustiprinamas </w:t>
      </w:r>
      <w:r>
        <w:rPr>
          <w:b/>
          <w:noProof/>
        </w:rPr>
        <w:t>Europos Parlamento ir Tarybos reglamentas (ES) 2019/2088</w:t>
      </w:r>
      <w:r>
        <w:rPr>
          <w:rStyle w:val="FootnoteReference"/>
          <w:noProof/>
        </w:rPr>
        <w:footnoteReference w:id="7"/>
      </w:r>
      <w:r>
        <w:rPr>
          <w:noProof/>
        </w:rPr>
        <w:t xml:space="preserve">, </w:t>
      </w:r>
      <w:r>
        <w:rPr>
          <w:b/>
          <w:noProof/>
        </w:rPr>
        <w:t>Europos Parlamento ir Tarybos reglamentas (ES) 2019/2089</w:t>
      </w:r>
      <w:r>
        <w:rPr>
          <w:rStyle w:val="FootnoteReference"/>
          <w:noProof/>
        </w:rPr>
        <w:footnoteReference w:id="8"/>
      </w:r>
      <w:r>
        <w:rPr>
          <w:noProof/>
        </w:rPr>
        <w:t xml:space="preserve"> ir </w:t>
      </w:r>
      <w:r>
        <w:rPr>
          <w:b/>
          <w:noProof/>
        </w:rPr>
        <w:t>Europos Parlamento ir Tarybos reglamentas (ES) 2020/852</w:t>
      </w:r>
      <w:r>
        <w:rPr>
          <w:rStyle w:val="FootnoteReference"/>
          <w:noProof/>
        </w:rPr>
        <w:footnoteReference w:id="9"/>
      </w:r>
      <w:r>
        <w:rPr>
          <w:noProof/>
        </w:rPr>
        <w:t>. Tomis taisyklėmis tvarumo aspektai nuosekliai integruojami į investavimo, konsultavimo ir informacijos atskleidimo procesus visuose sektoriuose. Tomis taisyklėmis aplinkos, socialiniai ir valdymo (tvarumo) aspektai įtvirtinami kaip neatskiriama finansų sistemos dalis, siekiant padėti pertvarkyti Europos ekonomiką į žalesnę, taikančią mažo anglies dioksido kiekio technologijas, atsparesnę, efektyviai išteklius naudojančią žiedinę sistemą.</w:t>
      </w:r>
    </w:p>
    <w:p>
      <w:pPr>
        <w:rPr>
          <w:noProof/>
        </w:rPr>
      </w:pPr>
      <w:r>
        <w:rPr>
          <w:noProof/>
        </w:rPr>
        <w:t>Šis deleguotosios direktyvos projektas pagrįstas FPRD II 16 straipsnio 3 dalyje ir 24 straipsnio 13 dalyje nustatytu įgaliojimu.</w:t>
      </w:r>
    </w:p>
    <w:p>
      <w:pPr>
        <w:pStyle w:val="ManualHeading1"/>
        <w:rPr>
          <w:noProof/>
        </w:rPr>
      </w:pPr>
      <w:r>
        <w:rPr>
          <w:noProof/>
        </w:rPr>
        <w:t>2.</w:t>
      </w:r>
      <w:r>
        <w:rPr>
          <w:noProof/>
        </w:rPr>
        <w:tab/>
        <w:t>KONSULTACIJOS PRIEŠ PRIIMANT AKTĄ</w:t>
      </w:r>
    </w:p>
    <w:p>
      <w:pPr>
        <w:rPr>
          <w:noProof/>
        </w:rPr>
      </w:pPr>
      <w:r>
        <w:rPr>
          <w:noProof/>
        </w:rPr>
        <w:t>2016 m. gruodžio mėn. Komisija įsteigė Aukšto lygio ekspertų grupę tvarių finansų klausimais (ALEG), kuri teikdama rekomendacijas padės parengti Sąjungos tvaraus finansavimo strategiją. 2017 m. liepos mėn. viduryje ALEG paskelbė tarpinę ataskaitą „Tvarios Europos ekonomikos finansavimas“, 2017 m. liepos 18 d. suinteresuotųjų subjektų renginyje pateikė galutinę ataskaitą, o vėliau – konsultacijų klausimyną.</w:t>
      </w:r>
    </w:p>
    <w:p>
      <w:pPr>
        <w:rPr>
          <w:noProof/>
        </w:rPr>
      </w:pPr>
      <w:r>
        <w:rPr>
          <w:noProof/>
        </w:rPr>
        <w:t>2018 m. sausio 31 d. kartu su ALEG galutine ataskaita „Tvarios Europos ekonomikos finansavimas“ paskelbtoje atsiliepimų apžvalgoje apibendrinami respondentų atsakymai. Galutinėje ataskaitoje ALEG rekomenduoja „reikalauti, kad konsultantai investicijų klausimais teikdami finansines konsultacijas visada klaustų mažmeninių investuotojų apie jų prioritetus, susijusius su tvariu jų investicijų poveikiu, ir vėliau į juos reaguotų“. Ji taip pat rekomendavo „aptarti valdymo klausimus, susijusius su ilgalaike ir tvarumo rizika“.</w:t>
      </w:r>
    </w:p>
    <w:p>
      <w:pPr>
        <w:rPr>
          <w:noProof/>
        </w:rPr>
      </w:pPr>
      <w:r>
        <w:rPr>
          <w:noProof/>
        </w:rPr>
        <w:t xml:space="preserve">2018 m. kovo mėn. Komisija nusiuntė specialų klausimyną dėl aplinkos, socialinių ir valdymo aspektų įtraukimo į tinkamumo vertinimą. Per konsultacijas paaiškėjo, kad konsultavimo procese klausimus dėl tvarumo aktyviai kelia tik nedaugelis klientų. Iš dalies taip yra todėl, kad: i) turima informacija apie su tvarumu susijusias finansines priemones nėra skaidri; ii) ekologinio manipuliavimo rizika galiojančiuose dokumentuose yra didelė ir iii) trūksta </w:t>
      </w:r>
      <w:r>
        <w:rPr>
          <w:noProof/>
        </w:rPr>
        <w:lastRenderedPageBreak/>
        <w:t xml:space="preserve">šviečiamosios informacijos apie jo poveikį rizikai ir veiklos rezultatams. Tik retais atvejais konsultavimo procese klientai sistemingai išreiškia susidomėjimą tvarumo veiksniais. </w:t>
      </w:r>
    </w:p>
    <w:p>
      <w:pPr>
        <w:rPr>
          <w:noProof/>
        </w:rPr>
      </w:pPr>
      <w:r>
        <w:rPr>
          <w:noProof/>
        </w:rPr>
        <w:t xml:space="preserve">Komisija paprašė ESMA pateikti technines rekomendacijas dėl deleguotųjų aktų, priimtų pagal FPRD II, galimų pakeitimų, susijusių su tvarumo rizikos ir tvarumo veiksnių integravimu organizacinių reikalavimų, veiklos sąlygų, rizikos valdymo ir tikslinės rinkos vertinimo srityse. </w:t>
      </w:r>
    </w:p>
    <w:p>
      <w:pPr>
        <w:rPr>
          <w:noProof/>
        </w:rPr>
      </w:pPr>
      <w:r>
        <w:rPr>
          <w:noProof/>
        </w:rPr>
        <w:t xml:space="preserve">Teikiamuose įgaliojimuose Komisija pabrėžė, kad tikslinės rinkos apibrėžties pakeitimai neturi lemti netinkamo pardavimo praktikos ir todėl reikėtų, pvz., aiškiai nustatyti investavimo tikslus ir tvarumo apribojimus. Be to, Komisija dar kartą patvirtino, kad turėtų būti išlaikyta galimybė identifikuoti tikslinę rinką klientams, neturintiems su tvarumu susijusių tikslų.  </w:t>
      </w:r>
    </w:p>
    <w:p>
      <w:pPr>
        <w:rPr>
          <w:noProof/>
        </w:rPr>
      </w:pPr>
      <w:r>
        <w:rPr>
          <w:noProof/>
        </w:rPr>
        <w:t>2019 m. balandžio 30 d. ESMA paskelbė galutinę ataskaitą dėl tvarumo rizikos ir veiksnių integravimo į FPRD II. Rekomendacijose atsižvelgta į suinteresuotųjų subjektų nuomones, pareikštas per viešas konsultacijas, vykusias nuo 2018 m. gruodžio 19 d. iki 2019 m. vasario 19 d. Jos apima sąnaudų ir naudos analizę. Be to, siekdama gauti papildomos informacijos, 2019 m. vasario 4 d. ESMA surengė atvirą viešą posėdį. Taip pat konsultuotasi su ESMA vertybinių popierių ir rinkų suinteresuotųjų subjektų grupe. Šioje ataskaitoje nagrinėjamas tvarumo rizikos ir veiksnių įtraukimas į investicinių įmonių organizacinius reikalavimus ir produktų valdymo bei priežiūros struktūras. Rekomendacijos dėl produktų valdymo ir priežiūros struktūrų, kurias parengė ir dėl kurių viešai konsultavosi ESMA, įtrauktos į šį deleguotosios direktyvos projektą.</w:t>
      </w:r>
    </w:p>
    <w:p>
      <w:pPr>
        <w:rPr>
          <w:noProof/>
        </w:rPr>
      </w:pPr>
      <w:r>
        <w:rPr>
          <w:noProof/>
        </w:rPr>
        <w:t>Vadovaujantis geresnio reglamentavimo principais, šis pasiūlymo projektas buvo skelbiamas konsultacijoms 2020 m. birželio 8 d. – liepos 6 d. Deramai apsvarsčius atsakymus, į tekstą įtraukta papildomų pakeitimų.</w:t>
      </w:r>
    </w:p>
    <w:p>
      <w:pPr>
        <w:pStyle w:val="ManualHeading1"/>
        <w:rPr>
          <w:noProof/>
        </w:rPr>
      </w:pPr>
      <w:r>
        <w:rPr>
          <w:noProof/>
        </w:rPr>
        <w:t>3.</w:t>
      </w:r>
      <w:r>
        <w:rPr>
          <w:noProof/>
        </w:rPr>
        <w:tab/>
        <w:t>DELEGUOTOJO AKTO TEISINIAI ASPEKTAI</w:t>
      </w:r>
    </w:p>
    <w:p>
      <w:pPr>
        <w:rPr>
          <w:noProof/>
        </w:rPr>
      </w:pPr>
      <w:r>
        <w:rPr>
          <w:noProof/>
        </w:rPr>
        <w:t>Šios direktyvos teisinis pagrindas nustatytas Direktyvos 2014/65/ES 16 straipsnio 12 dalyje ir 24 straipsnio 13 dalyje.</w:t>
      </w:r>
    </w:p>
    <w:p>
      <w:pPr>
        <w:rPr>
          <w:noProof/>
        </w:rPr>
      </w:pPr>
      <w:r>
        <w:rPr>
          <w:noProof/>
        </w:rPr>
        <w:t>Į šį deleguotosios direktyvos projektą įtraukti toliau nurodyti Deleguotosios direktyvos (ES) 2017/593 pakeitimai.</w:t>
      </w:r>
    </w:p>
    <w:p>
      <w:pPr>
        <w:rPr>
          <w:noProof/>
        </w:rPr>
      </w:pPr>
      <w:r>
        <w:rPr>
          <w:noProof/>
        </w:rPr>
        <w:t xml:space="preserve">1 straipsniu siekiama paaiškinti, kad teikėjai turėtų tinkamai atsižvelgti į su tvarumu susijusius tikslus nurodydami klientų, kurių poreikius, požymius ir tikslus finansinė priemonė atitinka, tipą (-us). Be to, tikslinės rinkos vertinimas, atsižvelgiant į atitinkamo produkto rizikos ir grąžos pobūdį ir produkto savybes, taip pat turėtų apimti priemonės tikslą siekti tvarių investicijų arba skatinti aplinkos ar socialinius ypatumus. Atlikdami šią peržiūrą teikėjai taip pat turėtų aiškiai atsižvelgti į su tvarumu susijusius klientų tikslus. </w:t>
      </w:r>
    </w:p>
    <w:p>
      <w:pPr>
        <w:rPr>
          <w:noProof/>
        </w:rPr>
      </w:pPr>
      <w:r>
        <w:rPr>
          <w:noProof/>
        </w:rPr>
        <w:t>Be to, teikėjai finansinių priemonių tvarumo veiksnius turėtų atskleisti taip skaidriai, kad sudarytų sąlygas investicinėms įmonėms su klientais ar potencialiais klientais užmegzti dialogą ir įgyti pakankamai detalų klientų asmeninių tvarumo prioritetų supratimą pagal Komisijos deleguotąjį reglamentą (ES) 2017/565</w:t>
      </w:r>
      <w:r>
        <w:rPr>
          <w:rStyle w:val="FootnoteReference"/>
          <w:noProof/>
        </w:rPr>
        <w:footnoteReference w:id="10"/>
      </w:r>
      <w:r>
        <w:rPr>
          <w:noProof/>
        </w:rPr>
        <w:t>. Nustatyti tvarių investicijų neigiamą tikslinę rinką nebus reikalaujama.</w:t>
      </w:r>
    </w:p>
    <w:p>
      <w:pPr>
        <w:rPr>
          <w:noProof/>
        </w:rPr>
      </w:pPr>
      <w:r>
        <w:rPr>
          <w:noProof/>
        </w:rPr>
        <w:t xml:space="preserve">2 straipsnyje tie reikalavimai pakartojami platintojams. </w:t>
      </w:r>
    </w:p>
    <w:p>
      <w:pPr>
        <w:rPr>
          <w:noProof/>
        </w:rPr>
      </w:pPr>
      <w:r>
        <w:rPr>
          <w:noProof/>
        </w:rPr>
        <w:lastRenderedPageBreak/>
        <w:t>Galiausiai 3 straipsnyje nustatoma siūlomos direktyvos taikymo data po 12 mėnesių pereinamojo laikotarpio.</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lastRenderedPageBreak/>
        <w:t>KOMISIJOS DELEGUOTOJI DIREKTYVA (ES) .../…</w:t>
      </w:r>
    </w:p>
    <w:p>
      <w:pPr>
        <w:pStyle w:val="Datedadoption"/>
        <w:rPr>
          <w:noProof/>
        </w:rPr>
      </w:pPr>
      <w:r>
        <w:t>2021 04 21</w:t>
      </w:r>
    </w:p>
    <w:p>
      <w:pPr>
        <w:pStyle w:val="Titreobjet"/>
        <w:rPr>
          <w:noProof/>
        </w:rPr>
      </w:pPr>
      <w:r>
        <w:rPr>
          <w:noProof/>
        </w:rPr>
        <w:t>kuria dėl tvarumo veiksnių integravimo į produktų valdymo pareigų aprašą iš dalies keičiama Deleguotoji direktyva (ES) 2017/593</w:t>
      </w:r>
    </w:p>
    <w:p>
      <w:pPr>
        <w:pStyle w:val="IntrtEEE"/>
        <w:rPr>
          <w:noProof/>
        </w:rPr>
      </w:pPr>
      <w:r>
        <w:rPr>
          <w:noProof/>
        </w:rPr>
        <w:t>(Tekstas svarbus EEE)</w:t>
      </w:r>
    </w:p>
    <w:p>
      <w:pPr>
        <w:pStyle w:val="Institutionquiagit"/>
        <w:rPr>
          <w:noProof/>
        </w:rPr>
      </w:pPr>
      <w:r>
        <w:rPr>
          <w:noProof/>
        </w:rPr>
        <w:t>EUROPOS KOMISIJA,</w:t>
      </w:r>
    </w:p>
    <w:p>
      <w:pPr>
        <w:rPr>
          <w:noProof/>
        </w:rPr>
      </w:pPr>
      <w:r>
        <w:rPr>
          <w:noProof/>
        </w:rPr>
        <w:t>atsižvelgdama į Sutartį dėl Europos Sąjungos veikimo,</w:t>
      </w:r>
    </w:p>
    <w:p>
      <w:pPr>
        <w:rPr>
          <w:noProof/>
        </w:rPr>
      </w:pPr>
      <w:r>
        <w:rPr>
          <w:noProof/>
        </w:rPr>
        <w:t>atsižvelgdama į 2014 m. gegužės 15 d. Europos Parlamento ir Tarybos direktyvą 2014/65/ES dėl finansinių priemonių rinkų, kuria iš dalies keičiamos Direktyva 2002/92/EB ir Direktyva 2011/61/ES</w:t>
      </w:r>
      <w:r>
        <w:rPr>
          <w:rStyle w:val="FootnoteReference"/>
          <w:noProof/>
        </w:rPr>
        <w:footnoteReference w:id="11"/>
      </w:r>
      <w:r>
        <w:rPr>
          <w:noProof/>
        </w:rPr>
        <w:t>, ypač į jos 16 straipsnio 12 dalį ir 24 straipsnio 13 dalį,</w:t>
      </w:r>
    </w:p>
    <w:p>
      <w:pPr>
        <w:rPr>
          <w:noProof/>
        </w:rPr>
      </w:pPr>
      <w:r>
        <w:rPr>
          <w:noProof/>
        </w:rPr>
        <w:t>kadangi:</w:t>
      </w:r>
    </w:p>
    <w:p>
      <w:pPr>
        <w:pStyle w:val="ManualConsidrant"/>
        <w:rPr>
          <w:noProof/>
        </w:rPr>
      </w:pPr>
      <w:r>
        <w:t>(1)</w:t>
      </w:r>
      <w:r>
        <w:tab/>
      </w:r>
      <w:r>
        <w:rPr>
          <w:noProof/>
        </w:rPr>
        <w:t>perėjimas prie mažo anglies dioksido kiekio technologijų, tvaresnės, efektyviai išteklius naudojančios žiedinės ekonomikos atsižvelgiant į darnaus vystymosi tikslus yra labai svarbus siekiant užtikrinti ilgalaikį Sąjungos ekonomikos konkurencingumą. 2016 m. Sąjunga sudarė Paryžiaus susitarimą</w:t>
      </w:r>
      <w:r>
        <w:rPr>
          <w:rStyle w:val="FootnoteReference"/>
          <w:noProof/>
        </w:rPr>
        <w:footnoteReference w:id="12"/>
      </w:r>
      <w:r>
        <w:rPr>
          <w:noProof/>
        </w:rPr>
        <w:t>. Paryžiaus susitarimo 2 straipsnio 1 dalies c punkte nustatytas tikslas aktyviau imtis kovos su klimato kaita veiksmų, be kita ko, užtikrinant, kad skiriamas finansavimas atitiktų išmetamo šiltnamio efektą sukeliančių dujų kiekio mažėjimo trajektoriją ir klimato kaitos poveikiui atsparų vystymąsi;</w:t>
      </w:r>
    </w:p>
    <w:p>
      <w:pPr>
        <w:pStyle w:val="ManualConsidrant"/>
        <w:rPr>
          <w:noProof/>
        </w:rPr>
      </w:pPr>
      <w:r>
        <w:t>(2)</w:t>
      </w:r>
      <w:r>
        <w:tab/>
      </w:r>
      <w:r>
        <w:rPr>
          <w:noProof/>
        </w:rPr>
        <w:t>pripažindama tą iššūkį, 2019 m. gruodžio mėn. Komisija pateikė Europos žaliąjį kursą</w:t>
      </w:r>
      <w:r>
        <w:rPr>
          <w:rStyle w:val="FootnoteReference"/>
          <w:noProof/>
        </w:rPr>
        <w:footnoteReference w:id="13"/>
      </w:r>
      <w:r>
        <w:rPr>
          <w:noProof/>
        </w:rPr>
        <w:t>. Žaliasis kursas yra nauja augimo strategija, kuria siekiama pertvarkyti Sąjungą į teisingą ir klestinčią visuomenę, pasižyminčią modernia, efektyviai išteklius naudojančia ir konkurencinga ekonomika, kurioje nuo 2050 m. visai nebus grynojo išmetamo šiltnamio efektą sukeliančių dujų kiekio, o ekonomikos augimas bus atsietas nuo išteklių naudojimo. Šiam tikslui pasiekti reikia, kad investuotojams būtų duodami aiškūs signalai dėl jų investicijų, siekiant išvengti neišnaudojamo turto ir pritraukti tvarų finansavimą;</w:t>
      </w:r>
    </w:p>
    <w:p>
      <w:pPr>
        <w:pStyle w:val="ManualConsidrant"/>
        <w:rPr>
          <w:rStyle w:val="None"/>
          <w:noProof/>
          <w:szCs w:val="24"/>
        </w:rPr>
      </w:pPr>
      <w:r>
        <w:rPr>
          <w:rStyle w:val="None"/>
        </w:rPr>
        <w:t>(3)</w:t>
      </w:r>
      <w:r>
        <w:rPr>
          <w:rStyle w:val="None"/>
        </w:rPr>
        <w:tab/>
      </w:r>
      <w:r>
        <w:rPr>
          <w:noProof/>
        </w:rPr>
        <w:t>2018 m. kovo mėn. Komisija paskelbė Tvaraus augimo finansavimo veiksmų planą</w:t>
      </w:r>
      <w:r>
        <w:rPr>
          <w:rStyle w:val="FootnoteReference"/>
          <w:noProof/>
        </w:rPr>
        <w:footnoteReference w:id="14"/>
      </w:r>
      <w:r>
        <w:rPr>
          <w:noProof/>
        </w:rPr>
        <w:t xml:space="preserve"> ir jame išdėstė plataus užmojo ir išsamią tvaraus finansavimo strategiją. Vienas iš veiksmų plane nustatytų tikslų – nukreipti kapitalo srautus į tvarias investicijas, kad būtų pasiektas darnus ir integracinis augimas;</w:t>
      </w:r>
    </w:p>
    <w:p>
      <w:pPr>
        <w:pStyle w:val="ManualConsidrant"/>
        <w:rPr>
          <w:rStyle w:val="None"/>
          <w:noProof/>
          <w:szCs w:val="24"/>
        </w:rPr>
      </w:pPr>
      <w:r>
        <w:rPr>
          <w:rStyle w:val="None"/>
        </w:rPr>
        <w:t>(4)</w:t>
      </w:r>
      <w:r>
        <w:rPr>
          <w:rStyle w:val="None"/>
        </w:rPr>
        <w:tab/>
      </w:r>
      <w:r>
        <w:rPr>
          <w:rStyle w:val="None"/>
          <w:noProof/>
          <w:szCs w:val="24"/>
        </w:rPr>
        <w:t xml:space="preserve">tinkamas veiksmų plano įgyvendinimas skatina tvarių investicijų paklausą tarp investuotojų. Todėl būtina paaiškinti, kad įgyvendinant produktų valdymo </w:t>
      </w:r>
      <w:r>
        <w:rPr>
          <w:rStyle w:val="None"/>
          <w:noProof/>
          <w:szCs w:val="24"/>
        </w:rPr>
        <w:lastRenderedPageBreak/>
        <w:t>reikalavimus</w:t>
      </w:r>
      <w:r>
        <w:rPr>
          <w:noProof/>
        </w:rPr>
        <w:t xml:space="preserve">, </w:t>
      </w:r>
      <w:r>
        <w:rPr>
          <w:rStyle w:val="None"/>
          <w:noProof/>
        </w:rPr>
        <w:t>nustatytus Komisijos deleguotojoje direktyvoje (ES) 2017/593</w:t>
      </w:r>
      <w:r>
        <w:rPr>
          <w:rStyle w:val="FootnoteReference"/>
          <w:noProof/>
          <w:szCs w:val="24"/>
        </w:rPr>
        <w:footnoteReference w:id="15"/>
      </w:r>
      <w:r>
        <w:rPr>
          <w:rStyle w:val="None"/>
          <w:noProof/>
        </w:rPr>
        <w:t>, turėtų būti atsižvelgiama į tvarumo veiksnius ir į su tvarumu susijusius tikslus;</w:t>
      </w:r>
    </w:p>
    <w:p>
      <w:pPr>
        <w:pStyle w:val="ManualConsidrant"/>
        <w:rPr>
          <w:rStyle w:val="None"/>
          <w:noProof/>
          <w:szCs w:val="24"/>
        </w:rPr>
      </w:pPr>
      <w:r>
        <w:rPr>
          <w:rStyle w:val="None"/>
        </w:rPr>
        <w:t>(5)</w:t>
      </w:r>
      <w:r>
        <w:rPr>
          <w:rStyle w:val="None"/>
        </w:rPr>
        <w:tab/>
      </w:r>
      <w:r>
        <w:rPr>
          <w:rStyle w:val="None"/>
          <w:noProof/>
        </w:rPr>
        <w:t>investicinės įmonės, teikiančios ir platinančios finansines priemones, į tvarumo veiksnius turėtų atsižvelgti vykdydamos kiekvienai finansinei priemonei taikomą produktų patvirtinimo procesą ir kitas kiekvienai finansinei priemonei, kurią ketinama platinti klientams, ieškantiems su tvarumu susijusio profilio finansinių priemonių, taikomas produktų valdymo ir priežiūros priemones;</w:t>
      </w:r>
    </w:p>
    <w:p>
      <w:pPr>
        <w:pStyle w:val="ManualConsidrant"/>
        <w:rPr>
          <w:rStyle w:val="None"/>
          <w:noProof/>
          <w:szCs w:val="24"/>
        </w:rPr>
      </w:pPr>
      <w:r>
        <w:rPr>
          <w:rStyle w:val="None"/>
        </w:rPr>
        <w:t>(6)</w:t>
      </w:r>
      <w:r>
        <w:rPr>
          <w:rStyle w:val="None"/>
        </w:rPr>
        <w:tab/>
      </w:r>
      <w:r>
        <w:rPr>
          <w:rStyle w:val="None"/>
          <w:noProof/>
        </w:rPr>
        <w:t>atsižvelgiant į tai, kad tikslinė rinka turėtų būti nustatyta pakankamai išsamiai, bendro teiginio, kad finansinės priemonės profilis yra susijęs su tvarumu, neturėtų pakakti. Tačiau investicinės įmonės, teikiančios ir platinančios finansines priemones, turėtų nurodyti, kuriai klientų, turinčių su tvarumu susijusių tikslų, grupei finansinė priemonė turėtų būti platinama;</w:t>
      </w:r>
    </w:p>
    <w:p>
      <w:pPr>
        <w:pStyle w:val="ManualConsidrant"/>
        <w:rPr>
          <w:rStyle w:val="None"/>
          <w:noProof/>
          <w:szCs w:val="24"/>
        </w:rPr>
      </w:pPr>
      <w:r>
        <w:rPr>
          <w:rStyle w:val="None"/>
        </w:rPr>
        <w:t>(7)</w:t>
      </w:r>
      <w:r>
        <w:rPr>
          <w:rStyle w:val="None"/>
        </w:rPr>
        <w:tab/>
      </w:r>
      <w:r>
        <w:rPr>
          <w:rStyle w:val="None"/>
          <w:noProof/>
        </w:rPr>
        <w:t>siekiant užtikrinti, kad tvarumo veiksniais pasižyminčios finansinės priemonės liktų lengvai prieinamos ir tvarumo prioritetų neturintiems klientams, investicinių įmonių nereikėtų įpareigoti nustatyti grupių klientų, kurių poreikių, požymių ir tikslų tvarumo veiksniais pasižyminti finansinė priemonė neatitinka;</w:t>
      </w:r>
    </w:p>
    <w:p>
      <w:pPr>
        <w:pStyle w:val="ManualConsidrant"/>
        <w:rPr>
          <w:rStyle w:val="None"/>
          <w:noProof/>
          <w:szCs w:val="24"/>
        </w:rPr>
      </w:pPr>
      <w:r>
        <w:rPr>
          <w:rStyle w:val="None"/>
        </w:rPr>
        <w:t>(8)</w:t>
      </w:r>
      <w:r>
        <w:rPr>
          <w:rStyle w:val="None"/>
        </w:rPr>
        <w:tab/>
      </w:r>
      <w:r>
        <w:rPr>
          <w:rStyle w:val="None"/>
          <w:noProof/>
          <w:szCs w:val="24"/>
        </w:rPr>
        <w:t>finansinės priemonės tvarumo veiksnius reikėtų pristatyti skaidriai, kad platintojas galėtų savo klientams ar potencialiems klientams suteikti aktualios informacijos;</w:t>
      </w:r>
    </w:p>
    <w:p>
      <w:pPr>
        <w:pStyle w:val="ManualConsidrant"/>
        <w:rPr>
          <w:noProof/>
        </w:rPr>
      </w:pPr>
      <w:r>
        <w:t>(9)</w:t>
      </w:r>
      <w:r>
        <w:tab/>
      </w:r>
      <w:r>
        <w:rPr>
          <w:noProof/>
        </w:rPr>
        <w:t>todėl Deleguotoji direktyva (ES) 2017/593 turėtų būti atitinkamai iš dalies pakeista,</w:t>
      </w:r>
    </w:p>
    <w:p>
      <w:pPr>
        <w:pStyle w:val="Formuledadoption"/>
        <w:spacing w:before="360"/>
        <w:rPr>
          <w:noProof/>
        </w:rPr>
      </w:pPr>
      <w:r>
        <w:rPr>
          <w:noProof/>
        </w:rPr>
        <w:t>PRIĖMĖ ŠIĄ DIREKTYVĄ:</w:t>
      </w:r>
    </w:p>
    <w:p>
      <w:pPr>
        <w:pStyle w:val="Titrearticle"/>
        <w:spacing w:before="0" w:after="0"/>
        <w:rPr>
          <w:b/>
          <w:i w:val="0"/>
          <w:noProof/>
        </w:rPr>
      </w:pPr>
      <w:r>
        <w:rPr>
          <w:noProof/>
        </w:rPr>
        <w:t>1 straipsnis</w:t>
      </w:r>
      <w:r>
        <w:rPr>
          <w:noProof/>
        </w:rPr>
        <w:br/>
      </w:r>
      <w:r>
        <w:rPr>
          <w:b/>
          <w:i w:val="0"/>
          <w:noProof/>
        </w:rPr>
        <w:t>Deleguotosios direktyvos (ES) 2017/593 pakeitimai</w:t>
      </w:r>
    </w:p>
    <w:p>
      <w:pPr>
        <w:rPr>
          <w:noProof/>
        </w:rPr>
      </w:pPr>
      <w:r>
        <w:rPr>
          <w:noProof/>
        </w:rPr>
        <w:t>Deleguotoji direktyva (ES) 2017/593 iš dalies keičiama taip:</w:t>
      </w:r>
    </w:p>
    <w:p>
      <w:pPr>
        <w:pStyle w:val="Point0"/>
        <w:rPr>
          <w:noProof/>
        </w:rPr>
      </w:pPr>
      <w:r>
        <w:t>(1)</w:t>
      </w:r>
      <w:r>
        <w:tab/>
      </w:r>
      <w:r>
        <w:rPr>
          <w:noProof/>
        </w:rPr>
        <w:t>1 straipsnis papildomas 5 dalimi:</w:t>
      </w:r>
    </w:p>
    <w:p>
      <w:pPr>
        <w:pStyle w:val="Text1"/>
        <w:tabs>
          <w:tab w:val="left" w:pos="1134"/>
        </w:tabs>
        <w:ind w:left="567"/>
        <w:rPr>
          <w:noProof/>
        </w:rPr>
      </w:pPr>
      <w:r>
        <w:rPr>
          <w:noProof/>
        </w:rPr>
        <w:t>„5.</w:t>
      </w:r>
      <w:r>
        <w:rPr>
          <w:noProof/>
        </w:rPr>
        <w:tab/>
        <w:t>Tvarumo veiksniai – tvarumo veiksniai, apibrėžti Reglamento (ES) 2019/2088* 2 straipsnio 24 punkte.</w:t>
      </w:r>
    </w:p>
    <w:p>
      <w:pPr>
        <w:pStyle w:val="Text1"/>
        <w:ind w:left="567"/>
        <w:rPr>
          <w:noProof/>
        </w:rPr>
      </w:pPr>
      <w:r>
        <w:rPr>
          <w:noProof/>
        </w:rPr>
        <w:t>_______________________________________________________________</w:t>
      </w:r>
    </w:p>
    <w:p>
      <w:pPr>
        <w:pStyle w:val="Point1"/>
        <w:ind w:left="1134"/>
        <w:rPr>
          <w:noProof/>
          <w:sz w:val="20"/>
          <w:szCs w:val="20"/>
        </w:rPr>
      </w:pPr>
      <w:r>
        <w:rPr>
          <w:noProof/>
        </w:rPr>
        <w:t>*</w:t>
      </w:r>
      <w:r>
        <w:rPr>
          <w:noProof/>
        </w:rPr>
        <w:tab/>
        <w:t>2019 m. lapkričio 27 d. Europos Parlamento ir Tarybos reglamentas (ES) 2019/2088 dėl su tvarumu susijusios informacijos atskleidimo finansinių paslaugų sektoriuje (OL L 317, 2019 12 9, p. 1).“;</w:t>
      </w:r>
    </w:p>
    <w:p>
      <w:pPr>
        <w:pStyle w:val="Point0"/>
        <w:rPr>
          <w:noProof/>
        </w:rPr>
      </w:pPr>
      <w:r>
        <w:t>(2)</w:t>
      </w:r>
      <w:r>
        <w:tab/>
      </w:r>
      <w:r>
        <w:rPr>
          <w:noProof/>
        </w:rPr>
        <w:t>9 straipsnis iš dalies keičiamas taip:</w:t>
      </w:r>
    </w:p>
    <w:p>
      <w:pPr>
        <w:pStyle w:val="Point1"/>
        <w:rPr>
          <w:noProof/>
        </w:rPr>
      </w:pPr>
      <w:r>
        <w:t>(a)</w:t>
      </w:r>
      <w:r>
        <w:tab/>
      </w:r>
      <w:r>
        <w:rPr>
          <w:noProof/>
        </w:rPr>
        <w:t xml:space="preserve">9 dalies pirma pastraipa pakeičiama taip: </w:t>
      </w:r>
    </w:p>
    <w:p>
      <w:pPr>
        <w:pStyle w:val="Text2"/>
        <w:tabs>
          <w:tab w:val="left" w:pos="1701"/>
        </w:tabs>
        <w:ind w:left="1134"/>
        <w:rPr>
          <w:noProof/>
        </w:rPr>
      </w:pPr>
      <w:r>
        <w:rPr>
          <w:noProof/>
        </w:rPr>
        <w:t>„9.</w:t>
      </w:r>
      <w:r>
        <w:rPr>
          <w:noProof/>
        </w:rPr>
        <w:tab/>
        <w:t xml:space="preserve">Valstybės narės reikalauja, kad investicinės įmonės pakankamai išsamiai identifikuotų galimą tikslinę kiekvienos finansinės priemonės rinką ir patikslintų klientų, kurių poreikius, požymius ir tikslus, įskaitant su tvarumu susijusius tikslus, finansinė priemonė atitinka, tipą (-us). Vykdydama šį procesą įmonė identifikuoja klientų, kurių poreikių, požymių ir tikslų finansinė priemonė neatitinka, grupę (-es), išskyrus atvejus, kai finansinės priemonės apima tvarumo </w:t>
      </w:r>
      <w:r>
        <w:rPr>
          <w:noProof/>
        </w:rPr>
        <w:lastRenderedPageBreak/>
        <w:t>veiksnius. Jei investicinės įmonės bendradarbiauja siekdamos pateikti finansinę priemonę, reikia identifikuoti tik vieną tikslinę rinką.“;</w:t>
      </w:r>
    </w:p>
    <w:p>
      <w:pPr>
        <w:pStyle w:val="Point1"/>
        <w:rPr>
          <w:noProof/>
        </w:rPr>
      </w:pPr>
      <w:r>
        <w:t>(b)</w:t>
      </w:r>
      <w:r>
        <w:tab/>
      </w:r>
      <w:r>
        <w:rPr>
          <w:noProof/>
        </w:rPr>
        <w:t>11 dalis pakeičiama taip:</w:t>
      </w:r>
    </w:p>
    <w:p>
      <w:pPr>
        <w:pStyle w:val="Text2"/>
        <w:tabs>
          <w:tab w:val="left" w:pos="1701"/>
        </w:tabs>
        <w:ind w:left="1134"/>
        <w:rPr>
          <w:noProof/>
        </w:rPr>
      </w:pPr>
      <w:r>
        <w:rPr>
          <w:noProof/>
        </w:rPr>
        <w:t>„11.</w:t>
      </w:r>
      <w:r>
        <w:rPr>
          <w:noProof/>
        </w:rPr>
        <w:tab/>
        <w:t>Valstybės narės reikalauja, kad investicinės įmonės nustatytų, ar finansinė priemonė atitinka identifikuotus tikslinės rinkos poreikius, požymius ir tikslus, be kita ko, išnagrinėdamos, ar:</w:t>
      </w:r>
    </w:p>
    <w:p>
      <w:pPr>
        <w:pStyle w:val="Point2"/>
        <w:rPr>
          <w:noProof/>
        </w:rPr>
      </w:pPr>
      <w:r>
        <w:t>(a)</w:t>
      </w:r>
      <w:r>
        <w:tab/>
      </w:r>
      <w:r>
        <w:rPr>
          <w:noProof/>
        </w:rPr>
        <w:t>finansinės priemonės rizikos ir grąžos pobūdis atitinka tikslinę rinką;</w:t>
      </w:r>
    </w:p>
    <w:p>
      <w:pPr>
        <w:pStyle w:val="Point2"/>
        <w:rPr>
          <w:noProof/>
        </w:rPr>
      </w:pPr>
      <w:r>
        <w:t>(b)</w:t>
      </w:r>
      <w:r>
        <w:tab/>
      </w:r>
      <w:r>
        <w:rPr>
          <w:noProof/>
        </w:rPr>
        <w:t>atitinkamais atvejais finansinės priemonės tvarumo veiksniai atitinka tikslinę rinką;</w:t>
      </w:r>
    </w:p>
    <w:p>
      <w:pPr>
        <w:pStyle w:val="Point2"/>
        <w:rPr>
          <w:noProof/>
        </w:rPr>
      </w:pPr>
      <w:r>
        <w:t>(c)</w:t>
      </w:r>
      <w:r>
        <w:tab/>
      </w:r>
      <w:r>
        <w:rPr>
          <w:noProof/>
        </w:rPr>
        <w:t>finansinės priemonės struktūrą lemia klientui naudingos savybės, o ne verslo modelis, pagal kurį pelnas priklauso nuo prastų rezultatų klientui.“;</w:t>
      </w:r>
    </w:p>
    <w:p>
      <w:pPr>
        <w:pStyle w:val="Point1"/>
        <w:rPr>
          <w:noProof/>
        </w:rPr>
      </w:pPr>
      <w:r>
        <w:t>(c)</w:t>
      </w:r>
      <w:r>
        <w:tab/>
      </w:r>
      <w:r>
        <w:rPr>
          <w:noProof/>
        </w:rPr>
        <w:t xml:space="preserve">13 dalis papildoma antra pastraipa: </w:t>
      </w:r>
    </w:p>
    <w:p>
      <w:pPr>
        <w:pStyle w:val="Text2"/>
        <w:tabs>
          <w:tab w:val="left" w:pos="1701"/>
        </w:tabs>
        <w:ind w:left="1134"/>
        <w:rPr>
          <w:noProof/>
        </w:rPr>
      </w:pPr>
      <w:r>
        <w:rPr>
          <w:noProof/>
        </w:rPr>
        <w:t>„Finansinės priemonės tvarumo veiksniai pristatomi skaidriai ir platintojams suteikia aktualios informacijos, kad jie galėtų deramai apsvarstyti su tvarumu susijusius kliento ar potencialaus kliento tikslus.“;</w:t>
      </w:r>
    </w:p>
    <w:p>
      <w:pPr>
        <w:pStyle w:val="Point1"/>
        <w:rPr>
          <w:noProof/>
        </w:rPr>
      </w:pPr>
      <w:r>
        <w:t>(d)</w:t>
      </w:r>
      <w:r>
        <w:tab/>
      </w:r>
      <w:r>
        <w:rPr>
          <w:noProof/>
        </w:rPr>
        <w:t>14 dalis pakeičiama taip:</w:t>
      </w:r>
    </w:p>
    <w:p>
      <w:pPr>
        <w:pStyle w:val="Text2"/>
        <w:tabs>
          <w:tab w:val="left" w:pos="1701"/>
        </w:tabs>
        <w:ind w:left="1134"/>
        <w:rPr>
          <w:noProof/>
        </w:rPr>
      </w:pPr>
      <w:r>
        <w:rPr>
          <w:noProof/>
        </w:rPr>
        <w:t>„14.</w:t>
      </w:r>
      <w:r>
        <w:rPr>
          <w:noProof/>
        </w:rPr>
        <w:tab/>
        <w:t>Valstybės narės reikalauja, kad investicinės įmonės reguliariai peržiūrėtų savo teikiamas finansines priemones, atsižvelgdamos į visus įvykius, kurie galėtų turėti reikšmingos įtakos galimai rizikai, kylančiai identifikuotai tikslinei rinkai. Investicinės įmonės apsvarsto, ar finansinė priemonė ir toliau atitinka tikslinės rinkos poreikius, požymius bei tikslus, įskaitant su tvarumu susijusius tikslus, taip pat ar ji platinama tikslinei rinkai, ar pasiekia klientus, kurių poreikių, požymių ir tikslų ji neatitinka.“;</w:t>
      </w:r>
    </w:p>
    <w:p>
      <w:pPr>
        <w:pStyle w:val="Point0"/>
        <w:rPr>
          <w:noProof/>
        </w:rPr>
      </w:pPr>
      <w:r>
        <w:t>(3)</w:t>
      </w:r>
      <w:r>
        <w:tab/>
      </w:r>
      <w:r>
        <w:rPr>
          <w:noProof/>
        </w:rPr>
        <w:t>10 straipsnis iš dalies keičiamas taip:</w:t>
      </w:r>
    </w:p>
    <w:p>
      <w:pPr>
        <w:pStyle w:val="Point1"/>
        <w:rPr>
          <w:noProof/>
        </w:rPr>
      </w:pPr>
      <w:r>
        <w:t>(a)</w:t>
      </w:r>
      <w:r>
        <w:tab/>
      </w:r>
      <w:r>
        <w:rPr>
          <w:noProof/>
        </w:rPr>
        <w:t>2 dalies pirma pastraipa pakeičiama taip:</w:t>
      </w:r>
    </w:p>
    <w:p>
      <w:pPr>
        <w:pStyle w:val="Text2"/>
        <w:tabs>
          <w:tab w:val="left" w:pos="1701"/>
        </w:tabs>
        <w:ind w:left="1134"/>
        <w:rPr>
          <w:noProof/>
        </w:rPr>
      </w:pPr>
      <w:r>
        <w:rPr>
          <w:noProof/>
        </w:rPr>
        <w:t>„2.</w:t>
      </w:r>
      <w:r>
        <w:rPr>
          <w:noProof/>
        </w:rPr>
        <w:tab/>
        <w:t>Valstybės narės reikalauja, kad investicinės įmonės nustatytų tinkamas produktų valdymo priemones, skirtas užtikrinti, kad produktai ir paslaugos, kuriuos jos ketina siūlyti ar rekomenduoti, atitiktų identifikuotos tikslinės rinkos poreikius, požymius bei tikslus, įskaitant su tvarumu susijusius tikslus, ir kad numatyta platinimo strategija atitiktų identifikuotą tikslinę rinką. Investicinės įmonės tinkamai identifikuoja ir įvertina klientų, kuriems jos ketina skirti daugiausia dėmesio, aplinkybes ir poreikius, kad užtikrintų, jog dėl komercinio ar finansavimo spaudimo nenukentėtų klientų interesai. Vykdydamos šį procesą investicinės įmonės identifikuoja klientų, kurių poreikių, požymių ir tikslų produktas ar paslauga neatitinka, grupes, išskyrus atvejus, kai finansinės priemonės apima tvarumo veiksnius.“;</w:t>
      </w:r>
    </w:p>
    <w:p>
      <w:pPr>
        <w:pStyle w:val="Point1"/>
        <w:rPr>
          <w:noProof/>
        </w:rPr>
      </w:pPr>
      <w:r>
        <w:t>(b)</w:t>
      </w:r>
      <w:r>
        <w:tab/>
      </w:r>
      <w:r>
        <w:rPr>
          <w:noProof/>
        </w:rPr>
        <w:t>5 dalis pakeičiama taip:</w:t>
      </w:r>
    </w:p>
    <w:p>
      <w:pPr>
        <w:pStyle w:val="Text2"/>
        <w:tabs>
          <w:tab w:val="left" w:pos="1701"/>
        </w:tabs>
        <w:ind w:left="1134"/>
        <w:rPr>
          <w:noProof/>
        </w:rPr>
      </w:pPr>
      <w:r>
        <w:rPr>
          <w:noProof/>
        </w:rPr>
        <w:t>„5.</w:t>
      </w:r>
      <w:r>
        <w:rPr>
          <w:noProof/>
        </w:rPr>
        <w:tab/>
        <w:t xml:space="preserve">Valstybės narės reikalauja, kad investicinės įmonės reguliariai peržiūrėtų savo siūlomus ar rekomenduojamus investicinius produktus ir teikiamas paslaugas, atsižvelgdamos į visus įvykius, kurie galėtų turėti reikšmingos įtakos galimai rizikai, kylančiai identifikuotai tikslinei rinkai. Įmonės įvertina bent tai, ar produktas ar paslauga tebeatitinka identifikuotos tikslinės rinkos poreikius, požymius bei tikslus, įskaitant su tvarumu susijusius tikslus, ir ar numatyta </w:t>
      </w:r>
      <w:r>
        <w:rPr>
          <w:noProof/>
        </w:rPr>
        <w:lastRenderedPageBreak/>
        <w:t>platinimo strategija tebėra tinkama. Įmonės persvarsto tikslinę rinką ir (arba) atnaujina produkto valdymo priemones, sužinojusios, kad neteisingai identifikavo tikslinę konkretaus produkto ar paslaugos rinką arba kad produktas ar paslauga nebeatitinka identifikuotos tikslinės rinkos aplinkybių, pvz., jei dėl rinkos pokyčių produktas tampa nelikvidus arba labai kintamas.“</w:t>
      </w:r>
    </w:p>
    <w:p>
      <w:pPr>
        <w:pStyle w:val="Titrearticle"/>
        <w:rPr>
          <w:b/>
          <w:i w:val="0"/>
          <w:noProof/>
        </w:rPr>
      </w:pPr>
      <w:r>
        <w:rPr>
          <w:noProof/>
        </w:rPr>
        <w:t xml:space="preserve">2 straipsnis </w:t>
      </w:r>
      <w:r>
        <w:rPr>
          <w:noProof/>
        </w:rPr>
        <w:br/>
      </w:r>
      <w:r>
        <w:rPr>
          <w:b/>
          <w:i w:val="0"/>
          <w:noProof/>
        </w:rPr>
        <w:t>Perkėlimas į nacionalinę teisę</w:t>
      </w:r>
    </w:p>
    <w:p>
      <w:pPr>
        <w:pStyle w:val="ManualNumPar1"/>
        <w:rPr>
          <w:noProof/>
        </w:rPr>
      </w:pPr>
      <w:r>
        <w:t>1.</w:t>
      </w:r>
      <w:r>
        <w:tab/>
      </w:r>
      <w:r>
        <w:rPr>
          <w:noProof/>
        </w:rPr>
        <w:t>Valstybės narės ne vėliau kaip [</w:t>
      </w:r>
      <w:r>
        <w:rPr>
          <w:b/>
          <w:i/>
          <w:noProof/>
        </w:rPr>
        <w:t>Leidinių biuro prašoma įrašyti datą, kuri yra lygiai 12 mėnesių be vienos dienos po šio deleguotojo akto įsigaliojimo</w:t>
      </w:r>
      <w:r>
        <w:rPr>
          <w:noProof/>
        </w:rPr>
        <w:t>] priima ir paskelbia įstatymus ir kitus teisės aktus, būtinus, kad būtų laikomasi šios direktyvos. Jos nedelsdamos pateikia Komisijai tų teisės aktų nuostatų tekstą.</w:t>
      </w:r>
    </w:p>
    <w:p>
      <w:pPr>
        <w:pStyle w:val="Text1"/>
        <w:rPr>
          <w:noProof/>
        </w:rPr>
      </w:pPr>
      <w:r>
        <w:rPr>
          <w:noProof/>
        </w:rPr>
        <w:t>Tas nuostatas jos taiko nuo [Leidinių biuro prašoma įrašyti datą, kuri yra lygiai 15 mėnesių po šio deleguotojo akto įsigaliojimo].</w:t>
      </w:r>
    </w:p>
    <w:p>
      <w:pPr>
        <w:pStyle w:val="Text1"/>
        <w:rPr>
          <w:noProof/>
        </w:rPr>
      </w:pPr>
      <w:r>
        <w:rPr>
          <w:noProof/>
        </w:rPr>
        <w:t>Valstybės narės, priimdamos tas nuostatas, daro jose nuorodą į šią direktyvą arba tokia nuoroda daroma jas oficialiai skelbiant. Nuorodos darymo tvarką nustato valstybės narės.</w:t>
      </w:r>
    </w:p>
    <w:p>
      <w:pPr>
        <w:pStyle w:val="ManualNumPar1"/>
        <w:rPr>
          <w:noProof/>
        </w:rPr>
      </w:pPr>
      <w:r>
        <w:t>2.</w:t>
      </w:r>
      <w:r>
        <w:tab/>
      </w:r>
      <w:r>
        <w:rPr>
          <w:noProof/>
        </w:rPr>
        <w:t>Valstybės narės pateikia Komisijai šios direktyvos taikymo srityje priimtų nacionalinės teisės aktų pagrindinių nuostatų tekstus.</w:t>
      </w:r>
    </w:p>
    <w:p>
      <w:pPr>
        <w:pStyle w:val="Titrearticle"/>
        <w:rPr>
          <w:b/>
          <w:i w:val="0"/>
          <w:noProof/>
        </w:rPr>
      </w:pPr>
      <w:r>
        <w:rPr>
          <w:noProof/>
        </w:rPr>
        <w:t xml:space="preserve">3 straipsnis </w:t>
      </w:r>
      <w:r>
        <w:rPr>
          <w:noProof/>
        </w:rPr>
        <w:br/>
      </w:r>
      <w:r>
        <w:rPr>
          <w:b/>
          <w:i w:val="0"/>
          <w:noProof/>
        </w:rPr>
        <w:t>Įsigaliojimas</w:t>
      </w:r>
    </w:p>
    <w:p>
      <w:pPr>
        <w:rPr>
          <w:noProof/>
        </w:rPr>
      </w:pPr>
      <w:r>
        <w:rPr>
          <w:noProof/>
        </w:rPr>
        <w:t xml:space="preserve">Ši direktyva įsigalioja dvidešimtą dieną po jos paskelbimo </w:t>
      </w:r>
      <w:r>
        <w:rPr>
          <w:i/>
          <w:noProof/>
        </w:rPr>
        <w:t>Europos Sąjungos oficialiajame leidinyje</w:t>
      </w:r>
      <w:r>
        <w:rPr>
          <w:noProof/>
        </w:rPr>
        <w:t>.</w:t>
      </w:r>
    </w:p>
    <w:p>
      <w:pPr>
        <w:pStyle w:val="Titrearticle"/>
        <w:rPr>
          <w:b/>
          <w:i w:val="0"/>
          <w:noProof/>
        </w:rPr>
      </w:pPr>
      <w:r>
        <w:rPr>
          <w:noProof/>
        </w:rPr>
        <w:t xml:space="preserve">4 straipsnis </w:t>
      </w:r>
      <w:r>
        <w:rPr>
          <w:noProof/>
        </w:rPr>
        <w:br/>
      </w:r>
      <w:r>
        <w:rPr>
          <w:b/>
          <w:i w:val="0"/>
          <w:noProof/>
        </w:rPr>
        <w:t>Adresatai</w:t>
      </w:r>
    </w:p>
    <w:p>
      <w:pPr>
        <w:rPr>
          <w:noProof/>
        </w:rPr>
      </w:pPr>
      <w:r>
        <w:rPr>
          <w:noProof/>
        </w:rPr>
        <w:t>Ši direktyva skirta valstybėms narėms.</w:t>
      </w:r>
    </w:p>
    <w:p>
      <w:pPr>
        <w:pStyle w:val="Fait"/>
        <w:rPr>
          <w:noProof/>
        </w:rPr>
      </w:pPr>
      <w:r>
        <w:t>Priimta Briuselyje 2021 04 21</w:t>
      </w:r>
    </w:p>
    <w:p>
      <w:pPr>
        <w:pStyle w:val="Institutionquisigne"/>
        <w:rPr>
          <w:noProof/>
        </w:rPr>
      </w:pPr>
      <w:r>
        <w:rPr>
          <w:noProof/>
        </w:rPr>
        <w:tab/>
        <w:t>Komisijos vardu</w:t>
      </w:r>
    </w:p>
    <w:p>
      <w:pPr>
        <w:pStyle w:val="Personnequisigne"/>
        <w:rPr>
          <w:noProof/>
        </w:rPr>
      </w:pPr>
      <w:r>
        <w:tab/>
        <w:t>Pirmininkė</w:t>
      </w:r>
      <w:r>
        <w:br/>
      </w:r>
      <w:r>
        <w:tab/>
        <w:t>Ursula VON DER LEYEN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Komisijos komunikatas Europos Parlamentui, Europos Vadovų Tarybai, Tarybai, Europos ekonomikos ir socialinių reikalų komitetui ir Regionų komitetui „Europos žaliasis kursas“ (COM(2019) 640 </w:t>
      </w:r>
      <w:r>
        <w:rPr>
          <w:i/>
        </w:rPr>
        <w:t>final</w:t>
      </w:r>
      <w:r>
        <w:t xml:space="preserve">). </w:t>
      </w:r>
    </w:p>
  </w:footnote>
  <w:footnote w:id="2">
    <w:p>
      <w:pPr>
        <w:pStyle w:val="FootnoteText"/>
      </w:pPr>
      <w:r>
        <w:rPr>
          <w:rStyle w:val="FootnoteReference"/>
        </w:rPr>
        <w:footnoteRef/>
      </w:r>
      <w:r>
        <w:tab/>
        <w:t xml:space="preserve">Komisijos komunikatas Europos Parlamentui, Europos Vadovų Tarybai, Tarybai, Europos Centriniam Bankui, Europos ekonomikos ir socialinių reikalų komitetui ir Regionų komitetui „Tvaraus augimo finansavimo veiksmų planas“ (COM(2018) 97 </w:t>
      </w:r>
      <w:r>
        <w:rPr>
          <w:i/>
        </w:rPr>
        <w:t>final</w:t>
      </w:r>
      <w:r>
        <w:t>).</w:t>
      </w:r>
    </w:p>
  </w:footnote>
  <w:footnote w:id="3">
    <w:p>
      <w:pPr>
        <w:pStyle w:val="FootnoteText"/>
      </w:pPr>
      <w:r>
        <w:rPr>
          <w:rStyle w:val="FootnoteReference"/>
        </w:rPr>
        <w:footnoteRef/>
      </w:r>
      <w:r>
        <w:tab/>
        <w:t>2016 m. balandžio 7 d. Komisijos deleguotoji direktyva (ES) 2017/593, kuria papildomos Europos Parlamento ir Tarybos direktyvos 2014/65/ES nuostatos dėl klientams priklausančių finansinių priemonių ir lėšų apsaugos, produktų valdymo pareigų ir taisyklių, taikomų mokesčių, komisinio atlyginimo arba bet kokios piniginės ar nepiniginės naudos teikimui arba gavimui (OL L 87, 2017 3 31, p. 500).</w:t>
      </w:r>
    </w:p>
  </w:footnote>
  <w:footnote w:id="4">
    <w:p>
      <w:pPr>
        <w:pStyle w:val="FootnoteText"/>
      </w:pPr>
      <w:r>
        <w:rPr>
          <w:rStyle w:val="FootnoteReference"/>
        </w:rPr>
        <w:footnoteRef/>
      </w:r>
      <w:r>
        <w:tab/>
        <w:t>2014 m. gegužės 15 d. Europos Parlamento ir Tarybos direktyva 2014/65/ES dėl finansinių priemonių rinkų, kuria iš dalies keičiamos Direktyva 2002/92/EB ir Direktyva 2011/61/ES (OL L 173, 2014 6 12, p. 349).</w:t>
      </w:r>
    </w:p>
  </w:footnote>
  <w:footnote w:id="5">
    <w:p>
      <w:pPr>
        <w:pStyle w:val="FootnoteText"/>
      </w:pPr>
      <w:r>
        <w:rPr>
          <w:rStyle w:val="FootnoteReference"/>
        </w:rPr>
        <w:footnoteRef/>
      </w:r>
      <w:r>
        <w:tab/>
        <w:t>2016 m. balandžio 7 d. Komisijos deleguotoji direktyva (ES) 2017/593, kuria papildomos Europos Parlamento ir Tarybos direktyvos 2014/65/ES nuostatos dėl klientams priklausančių finansinių priemonių ir lėšų apsaugos, produktų valdymo pareigų ir taisyklių, taikomų mokesčių, komisinio atlyginimo arba bet kokios piniginės ar nepiniginės naudos teikimui arba gavimui (OL L 87, 2017 3 31, p. 500).</w:t>
      </w:r>
    </w:p>
  </w:footnote>
  <w:footnote w:id="6">
    <w:p>
      <w:pPr>
        <w:pStyle w:val="FootnoteText"/>
      </w:pPr>
      <w:r>
        <w:rPr>
          <w:rStyle w:val="FootnoteReference"/>
        </w:rPr>
        <w:footnoteRef/>
      </w:r>
      <w:r>
        <w:tab/>
        <w:t xml:space="preserve">Žr. FPRD II 16 straipsnio 3 dalį, taip pat FPRD II 9 straipsnio 3 dalį. </w:t>
      </w:r>
    </w:p>
  </w:footnote>
  <w:footnote w:id="7">
    <w:p>
      <w:pPr>
        <w:pStyle w:val="FootnoteText"/>
      </w:pPr>
      <w:r>
        <w:rPr>
          <w:rStyle w:val="FootnoteReference"/>
        </w:rPr>
        <w:footnoteRef/>
      </w:r>
      <w:r>
        <w:tab/>
        <w:t>2019 m. lapkričio 27 d. Europos Parlamento ir Tarybos reglamentas (ES) 2019/2088 dėl su tvarumu susijusios informacijos atskleidimo finansinių paslaugų sektoriuje (OL L 317, 2019 12 9, p. 1).</w:t>
      </w:r>
    </w:p>
  </w:footnote>
  <w:footnote w:id="8">
    <w:p>
      <w:pPr>
        <w:pStyle w:val="FootnoteText"/>
      </w:pPr>
      <w:r>
        <w:rPr>
          <w:rStyle w:val="FootnoteReference"/>
        </w:rPr>
        <w:footnoteRef/>
      </w:r>
      <w:r>
        <w:tab/>
        <w:t>2019 m. lapkričio 27 d. Europos Parlamento ir Tarybos reglamentas (ES) 2019/2089, kuriuo dėl ES prisitaikymo prie klimato kaitos lyginamųjų indeksų, ES su Paryžiaus susitarimu suderintų lyginamųjų indeksų ir su tvarumu susijusios lyginamųjų indeksų informacijos atskleidimo iš dalies keičiamas Reglamentas (ES) 2016/1011 (OL L 317, 2019 12 9, p. 17).</w:t>
      </w:r>
    </w:p>
  </w:footnote>
  <w:footnote w:id="9">
    <w:p>
      <w:pPr>
        <w:pStyle w:val="FootnoteText"/>
      </w:pPr>
      <w:r>
        <w:rPr>
          <w:rStyle w:val="FootnoteReference"/>
        </w:rPr>
        <w:footnoteRef/>
      </w:r>
      <w:r>
        <w:tab/>
        <w:t>2020 m. birželio 18 d. Europos Parlamento ir Tarybos reglamentas (ES) 2020/852 dėl sistemos tvariam investavimui palengvinti sukūrimo, kuriuo iš dalies keičiamas Reglamentas (ES) 2019/2088 (OL L 198, 2020 6 22, p. 13).</w:t>
      </w:r>
    </w:p>
  </w:footnote>
  <w:footnote w:id="10">
    <w:p>
      <w:pPr>
        <w:pStyle w:val="FootnoteText"/>
      </w:pPr>
      <w:r>
        <w:rPr>
          <w:rStyle w:val="FootnoteReference"/>
        </w:rPr>
        <w:footnoteRef/>
      </w:r>
      <w:r>
        <w:tab/>
        <w:t>2016 m. balandžio 25 d. Komisijos deleguotasis reglamentas (ES) 2017/565, kuriuo Europos Parlamento ir Tarybos direktyva 2014/65/ES papildoma nuostatomis dėl investicinių įmonių organizacinių reikalavimų bei veiklos sąlygų ir toje direktyvoje apibrėžtų terminų (OL L 87, 2017 3 31, p. 1).</w:t>
      </w:r>
    </w:p>
  </w:footnote>
  <w:footnote w:id="11">
    <w:p>
      <w:pPr>
        <w:pStyle w:val="FootnoteText"/>
      </w:pPr>
      <w:r>
        <w:rPr>
          <w:rStyle w:val="FootnoteReference"/>
        </w:rPr>
        <w:footnoteRef/>
      </w:r>
      <w:r>
        <w:tab/>
        <w:t>OL L 173, 2014 6 12, p. 349.</w:t>
      </w:r>
    </w:p>
  </w:footnote>
  <w:footnote w:id="12">
    <w:p>
      <w:pPr>
        <w:pStyle w:val="FootnoteText"/>
      </w:pPr>
      <w:r>
        <w:rPr>
          <w:rStyle w:val="FootnoteReference"/>
        </w:rPr>
        <w:footnoteRef/>
      </w:r>
      <w:r>
        <w:tab/>
        <w:t>2016 m. spalio 5 d. Tarybos sprendimas (ES) 2016/1841 dėl Paryžiaus susitarimo, priimto pagal Jungtinių Tautų bendrąją klimato kaitos konvenciją, sudarymo Europos Sąjungos vardu (OL L 282, 2016 10 19, p. 1).</w:t>
      </w:r>
    </w:p>
  </w:footnote>
  <w:footnote w:id="13">
    <w:p>
      <w:pPr>
        <w:pStyle w:val="FootnoteText"/>
      </w:pPr>
      <w:r>
        <w:rPr>
          <w:rStyle w:val="FootnoteReference"/>
        </w:rPr>
        <w:footnoteRef/>
      </w:r>
      <w:r>
        <w:tab/>
        <w:t xml:space="preserve">COM(2019) 640 </w:t>
      </w:r>
      <w:r>
        <w:rPr>
          <w:i/>
        </w:rPr>
        <w:t>final</w:t>
      </w:r>
      <w:r>
        <w:t>.</w:t>
      </w:r>
    </w:p>
  </w:footnote>
  <w:footnote w:id="14">
    <w:p>
      <w:pPr>
        <w:pStyle w:val="FootnoteText"/>
      </w:pPr>
      <w:r>
        <w:rPr>
          <w:rStyle w:val="FootnoteReference"/>
        </w:rPr>
        <w:footnoteRef/>
      </w:r>
      <w:r>
        <w:tab/>
        <w:t xml:space="preserve">COM(2018) 97 </w:t>
      </w:r>
      <w:r>
        <w:rPr>
          <w:i/>
        </w:rPr>
        <w:t>final</w:t>
      </w:r>
      <w:r>
        <w:t>.</w:t>
      </w:r>
    </w:p>
  </w:footnote>
  <w:footnote w:id="15">
    <w:p>
      <w:pPr>
        <w:pStyle w:val="FootnoteText"/>
      </w:pPr>
      <w:r>
        <w:rPr>
          <w:rStyle w:val="FootnoteReference"/>
        </w:rPr>
        <w:footnoteRef/>
      </w:r>
      <w:r>
        <w:tab/>
        <w:t>2016 m. balandžio 7 d. Komisijos deleguotoji direktyva (ES) 2017/593, kuria papildomos Europos Parlamento ir Tarybos direktyvos 2014/65/ES nuostatos dėl klientams priklausančių finansinių priemonių ir lėšų apsaugos, produktų valdymo pareigų ir taisyklių, taikomų mokesčių, komisinio atlyginimo arba bet kokios piniginės ar nepiniginės naudos teikimui arba gavimui (OL L 87, 2017 3 31, p. 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2B8DF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05649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2705D1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FEA6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39A498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580DC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B5AA6EE"/>
    <w:lvl w:ilvl="0">
      <w:start w:val="1"/>
      <w:numFmt w:val="decimal"/>
      <w:pStyle w:val="ListNumber"/>
      <w:lvlText w:val="%1."/>
      <w:lvlJc w:val="left"/>
      <w:pPr>
        <w:tabs>
          <w:tab w:val="num" w:pos="360"/>
        </w:tabs>
        <w:ind w:left="360" w:hanging="360"/>
      </w:pPr>
    </w:lvl>
  </w:abstractNum>
  <w:abstractNum w:abstractNumId="7">
    <w:nsid w:val="FFFFFF89"/>
    <w:multiLevelType w:val="singleLevel"/>
    <w:tmpl w:val="3E9672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1"/>
    <w:lvlOverride w:ilvl="0">
      <w:startOverride w:val="1"/>
    </w:lvlOverride>
  </w:num>
  <w:num w:numId="6">
    <w:abstractNumId w:val="7"/>
  </w:num>
  <w:num w:numId="7">
    <w:abstractNumId w:val="5"/>
  </w:num>
  <w:num w:numId="8">
    <w:abstractNumId w:val="6"/>
  </w:num>
  <w:num w:numId="9">
    <w:abstractNumId w:val="2"/>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4-12 10:48:2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1DBAF7A7-57C8-4160-B3ED-8B7B6FD37B04"/>
    <w:docVar w:name="LW_COVERPAGE_TYPE" w:val="1"/>
    <w:docVar w:name="LW_CROSSREFERENCE" w:val="&lt;UNUSED&gt;"/>
    <w:docVar w:name="LW_DATE.ADOPT.CP" w:val="2021 04 21"/>
    <w:docVar w:name="LW_DATE.ADOPT.CP_DATEFORMAT" w:val="%DATE%"/>
    <w:docVar w:name="LW_DATE.ADOPT.CP_ISODATE" w:val="2021-04-21"/>
    <w:docVar w:name="LW_DocType" w:val="COM"/>
    <w:docVar w:name="LW_EMISSION" w:val="2021 04 21"/>
    <w:docVar w:name="LW_EMISSION_ISODATE" w:val="2021-04-21"/>
    <w:docVar w:name="LW_EMISSION_LOCATION" w:val="BRX"/>
    <w:docVar w:name="LW_EMISSION_PREFIX" w:val="Briuselis, "/>
    <w:docVar w:name="LW_EMISSION_SUFFIX" w:val=" "/>
    <w:docVar w:name="LW_ID_DOCMODEL" w:val="SJ-007"/>
    <w:docVar w:name="LW_ID_DOCSIGNATURE" w:val="SJ-007"/>
    <w:docVar w:name="LW_ID_DOCSTRUCTURE" w:val="COM/AA"/>
    <w:docVar w:name="LW_ID_DOCTYPE" w:val="SJ-007"/>
    <w:docVar w:name="LW_ID_EXP.MOTIFS.NEW" w:val="EM_AA_"/>
    <w:docVar w:name="LW_INTERETEEE.CP" w:val="(Tekstas svarbus EEE)"/>
    <w:docVar w:name="LW_LANGUE" w:val="LT"/>
    <w:docVar w:name="LW_LANGUESFAISANTFOI.CP" w:val="&lt;UNUSED&gt;"/>
    <w:docVar w:name="LW_LEVEL_OF_SENSITIVITY" w:val="Standard treatment"/>
    <w:docVar w:name="LW_NOM.INST" w:val="EUROPOS KOMISIJA"/>
    <w:docVar w:name="LW_NOM.INST_JOINTDOC" w:val="&lt;EMPTY&gt;"/>
    <w:docVar w:name="LW_PART_NBR" w:val="1"/>
    <w:docVar w:name="LW_PART_NBR_TOTAL" w:val="1"/>
    <w:docVar w:name="LW_REF.INST.NEW" w:val="C"/>
    <w:docVar w:name="LW_REF.INST.NEW_ADOPTED" w:val="final"/>
    <w:docVar w:name="LW_REF.INST.NEW_TEXT" w:val="(2021) 26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uria d\u279?l tvarumo veiksni\u371? integravimo \u303? produkt\u371? valdymo pareig\u371? apra\u353?\u261? i\u353? dalies kei\u269?iama Deleguotoji direktyva (ES) 2017/593"/>
    <w:docVar w:name="LW_TYPE.DOC.CP" w:val="KOMISIJOS DELEGUOTOJI DIREKTYVA (ES) .../\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character" w:customStyle="1" w:styleId="None">
    <w:name w:val="None"/>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character" w:customStyle="1" w:styleId="None">
    <w:name w:val="None"/>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4338">
      <w:bodyDiv w:val="1"/>
      <w:marLeft w:val="0"/>
      <w:marRight w:val="0"/>
      <w:marTop w:val="0"/>
      <w:marBottom w:val="0"/>
      <w:divBdr>
        <w:top w:val="none" w:sz="0" w:space="0" w:color="auto"/>
        <w:left w:val="none" w:sz="0" w:space="0" w:color="auto"/>
        <w:bottom w:val="none" w:sz="0" w:space="0" w:color="auto"/>
        <w:right w:val="none" w:sz="0" w:space="0" w:color="auto"/>
      </w:divBdr>
    </w:div>
    <w:div w:id="473107361">
      <w:bodyDiv w:val="1"/>
      <w:marLeft w:val="0"/>
      <w:marRight w:val="0"/>
      <w:marTop w:val="0"/>
      <w:marBottom w:val="0"/>
      <w:divBdr>
        <w:top w:val="none" w:sz="0" w:space="0" w:color="auto"/>
        <w:left w:val="none" w:sz="0" w:space="0" w:color="auto"/>
        <w:bottom w:val="none" w:sz="0" w:space="0" w:color="auto"/>
        <w:right w:val="none" w:sz="0" w:space="0" w:color="auto"/>
      </w:divBdr>
    </w:div>
    <w:div w:id="946155066">
      <w:bodyDiv w:val="1"/>
      <w:marLeft w:val="0"/>
      <w:marRight w:val="0"/>
      <w:marTop w:val="0"/>
      <w:marBottom w:val="0"/>
      <w:divBdr>
        <w:top w:val="none" w:sz="0" w:space="0" w:color="auto"/>
        <w:left w:val="none" w:sz="0" w:space="0" w:color="auto"/>
        <w:bottom w:val="none" w:sz="0" w:space="0" w:color="auto"/>
        <w:right w:val="none" w:sz="0" w:space="0" w:color="auto"/>
      </w:divBdr>
    </w:div>
    <w:div w:id="17553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AE28-6F8C-4450-A587-EAF32347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Pages>
  <Words>2231</Words>
  <Characters>15599</Characters>
  <Application>Microsoft Office Word</Application>
  <DocSecurity>0</DocSecurity>
  <Lines>259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2021-03-22T14:52:00Z</dcterms:created>
  <dcterms:modified xsi:type="dcterms:W3CDTF">2021-04-12T08:48:00Z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SJ-007</vt:lpwstr>
  </property>
  <property fmtid="{D5CDD505-2E9C-101B-9397-08002B2CF9AE}" pid="10" name="DQCStatus">
    <vt:lpwstr>Green (DQC version 03)</vt:lpwstr>
  </property>
  <property name="OP_sanitized" fmtid="{D5CDD505-2E9C-101B-9397-08002B2CF9AE}" pid="11">
    <vt:lpwstr>True</vt:lpwstr>
  </property>
</Properties>
</file>