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D6E3" w14:textId="177BB1C5" w:rsidR="0062235E" w:rsidRPr="00685D02" w:rsidRDefault="0080122D" w:rsidP="0080122D">
      <w:pPr>
        <w:pStyle w:val="Pagedecouverture"/>
        <w:rPr>
          <w:noProof/>
        </w:rPr>
      </w:pPr>
      <w:bookmarkStart w:id="0" w:name="LW_BM_COVERPAGE"/>
      <w:r>
        <w:rPr>
          <w:noProof/>
        </w:rPr>
        <w:pict w14:anchorId="24ABC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4C34179-A29B-4432-9ED2-ECB5AC6CC883" style="width:455.25pt;height:286.5pt">
            <v:imagedata r:id="rId11" o:title=""/>
          </v:shape>
        </w:pict>
      </w:r>
    </w:p>
    <w:bookmarkEnd w:id="0"/>
    <w:p w14:paraId="69474710" w14:textId="77777777" w:rsidR="00535E6D" w:rsidRPr="00685D02" w:rsidRDefault="00535E6D" w:rsidP="00535E6D">
      <w:pPr>
        <w:rPr>
          <w:rFonts w:ascii="Times New Roman" w:hAnsi="Times New Roman" w:cs="Times New Roman"/>
          <w:noProof/>
          <w:lang w:val="en-IE"/>
        </w:rPr>
        <w:sectPr w:rsidR="00535E6D" w:rsidRPr="00685D02" w:rsidSect="0080122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EastAsia" w:hAnsi="Times New Roman" w:cs="Times New Roman"/>
          <w:noProof/>
          <w:color w:val="auto"/>
          <w:kern w:val="2"/>
          <w:sz w:val="22"/>
          <w:szCs w:val="22"/>
          <w14:ligatures w14:val="standardContextual"/>
        </w:rPr>
        <w:id w:val="-1982607423"/>
        <w:docPartObj>
          <w:docPartGallery w:val="Table of Contents"/>
          <w:docPartUnique/>
        </w:docPartObj>
      </w:sdtPr>
      <w:sdtEndPr>
        <w:rPr>
          <w:b/>
          <w:bCs/>
        </w:rPr>
      </w:sdtEndPr>
      <w:sdtContent>
        <w:p w14:paraId="1D401B93" w14:textId="7EEF7F0E" w:rsidR="00F00D70" w:rsidRPr="00347028" w:rsidRDefault="00F00D70">
          <w:pPr>
            <w:pStyle w:val="TOCHeading"/>
            <w:rPr>
              <w:rFonts w:ascii="Times New Roman" w:hAnsi="Times New Roman" w:cs="Times New Roman"/>
              <w:noProof/>
              <w:sz w:val="22"/>
              <w:szCs w:val="22"/>
            </w:rPr>
          </w:pPr>
          <w:r>
            <w:rPr>
              <w:rFonts w:ascii="Times New Roman" w:hAnsi="Times New Roman"/>
              <w:noProof/>
              <w:sz w:val="22"/>
            </w:rPr>
            <w:t>Turinys</w:t>
          </w:r>
        </w:p>
        <w:p w14:paraId="430F3F17" w14:textId="7EBE16F0" w:rsidR="0017470F" w:rsidRDefault="00F00D70">
          <w:pPr>
            <w:pStyle w:val="TOC1"/>
            <w:tabs>
              <w:tab w:val="left" w:pos="440"/>
              <w:tab w:val="right" w:leader="dot" w:pos="9016"/>
            </w:tabs>
            <w:rPr>
              <w:rFonts w:eastAsiaTheme="minorEastAsia"/>
              <w:noProof/>
              <w:sz w:val="24"/>
              <w:szCs w:val="21"/>
              <w:lang w:val="en-GB" w:eastAsia="en-GB" w:bidi="sa-IN"/>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219127257" w:history="1">
            <w:r w:rsidR="0017470F" w:rsidRPr="007B05C7">
              <w:rPr>
                <w:rStyle w:val="Hyperlink"/>
                <w:noProof/>
              </w:rPr>
              <w:t>1.</w:t>
            </w:r>
            <w:r w:rsidR="0017470F">
              <w:rPr>
                <w:rFonts w:eastAsiaTheme="minorEastAsia"/>
                <w:noProof/>
                <w:sz w:val="24"/>
                <w:szCs w:val="21"/>
                <w:lang w:val="en-GB" w:eastAsia="en-GB" w:bidi="sa-IN"/>
              </w:rPr>
              <w:tab/>
            </w:r>
            <w:r w:rsidR="0017470F" w:rsidRPr="007B05C7">
              <w:rPr>
                <w:rStyle w:val="Hyperlink"/>
                <w:noProof/>
              </w:rPr>
              <w:t>Įvadas</w:t>
            </w:r>
            <w:r w:rsidR="0017470F">
              <w:rPr>
                <w:noProof/>
                <w:webHidden/>
              </w:rPr>
              <w:tab/>
            </w:r>
            <w:r w:rsidR="0017470F">
              <w:rPr>
                <w:noProof/>
                <w:webHidden/>
              </w:rPr>
              <w:fldChar w:fldCharType="begin"/>
            </w:r>
            <w:r w:rsidR="0017470F">
              <w:rPr>
                <w:noProof/>
                <w:webHidden/>
              </w:rPr>
              <w:instrText xml:space="preserve"> PAGEREF _Toc219127257 \h </w:instrText>
            </w:r>
            <w:r w:rsidR="0017470F">
              <w:rPr>
                <w:noProof/>
                <w:webHidden/>
              </w:rPr>
            </w:r>
            <w:r w:rsidR="0017470F">
              <w:rPr>
                <w:noProof/>
                <w:webHidden/>
              </w:rPr>
              <w:fldChar w:fldCharType="separate"/>
            </w:r>
            <w:r w:rsidR="0017470F">
              <w:rPr>
                <w:noProof/>
                <w:webHidden/>
              </w:rPr>
              <w:t>3</w:t>
            </w:r>
            <w:r w:rsidR="0017470F">
              <w:rPr>
                <w:noProof/>
                <w:webHidden/>
              </w:rPr>
              <w:fldChar w:fldCharType="end"/>
            </w:r>
          </w:hyperlink>
        </w:p>
        <w:p w14:paraId="3AF43BA2" w14:textId="64AE33AE"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58" w:history="1">
            <w:r w:rsidR="0017470F" w:rsidRPr="007B05C7">
              <w:rPr>
                <w:rStyle w:val="Hyperlink"/>
                <w:noProof/>
              </w:rPr>
              <w:t>2.</w:t>
            </w:r>
            <w:r w:rsidR="0017470F">
              <w:rPr>
                <w:rFonts w:eastAsiaTheme="minorEastAsia"/>
                <w:noProof/>
                <w:sz w:val="24"/>
                <w:szCs w:val="21"/>
                <w:lang w:val="en-GB" w:eastAsia="en-GB" w:bidi="sa-IN"/>
              </w:rPr>
              <w:tab/>
            </w:r>
            <w:r w:rsidR="0017470F" w:rsidRPr="007B05C7">
              <w:rPr>
                <w:rStyle w:val="Hyperlink"/>
                <w:noProof/>
              </w:rPr>
              <w:t>Dabartinė ES ATLPS padėtis</w:t>
            </w:r>
            <w:r w:rsidR="0017470F">
              <w:rPr>
                <w:noProof/>
                <w:webHidden/>
              </w:rPr>
              <w:tab/>
            </w:r>
            <w:r w:rsidR="0017470F">
              <w:rPr>
                <w:noProof/>
                <w:webHidden/>
              </w:rPr>
              <w:fldChar w:fldCharType="begin"/>
            </w:r>
            <w:r w:rsidR="0017470F">
              <w:rPr>
                <w:noProof/>
                <w:webHidden/>
              </w:rPr>
              <w:instrText xml:space="preserve"> PAGEREF _Toc219127258 \h </w:instrText>
            </w:r>
            <w:r w:rsidR="0017470F">
              <w:rPr>
                <w:noProof/>
                <w:webHidden/>
              </w:rPr>
            </w:r>
            <w:r w:rsidR="0017470F">
              <w:rPr>
                <w:noProof/>
                <w:webHidden/>
              </w:rPr>
              <w:fldChar w:fldCharType="separate"/>
            </w:r>
            <w:r w:rsidR="0017470F">
              <w:rPr>
                <w:noProof/>
                <w:webHidden/>
              </w:rPr>
              <w:t>4</w:t>
            </w:r>
            <w:r w:rsidR="0017470F">
              <w:rPr>
                <w:noProof/>
                <w:webHidden/>
              </w:rPr>
              <w:fldChar w:fldCharType="end"/>
            </w:r>
          </w:hyperlink>
        </w:p>
        <w:p w14:paraId="46A08D5E" w14:textId="0699ACCE"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59" w:history="1">
            <w:r w:rsidR="0017470F" w:rsidRPr="007B05C7">
              <w:rPr>
                <w:rStyle w:val="Hyperlink"/>
                <w:noProof/>
              </w:rPr>
              <w:t>2.1.</w:t>
            </w:r>
            <w:r w:rsidR="0017470F">
              <w:rPr>
                <w:rFonts w:cstheme="minorBidi"/>
                <w:noProof/>
                <w:kern w:val="2"/>
                <w:sz w:val="24"/>
                <w:szCs w:val="21"/>
                <w:lang w:val="en-GB" w:eastAsia="en-GB" w:bidi="sa-IN"/>
                <w14:ligatures w14:val="standardContextual"/>
              </w:rPr>
              <w:tab/>
            </w:r>
            <w:r w:rsidR="0017470F" w:rsidRPr="007B05C7">
              <w:rPr>
                <w:rStyle w:val="Hyperlink"/>
                <w:noProof/>
              </w:rPr>
              <w:t>Taikymo sritis ir aprėptis</w:t>
            </w:r>
            <w:r w:rsidR="0017470F">
              <w:rPr>
                <w:noProof/>
                <w:webHidden/>
              </w:rPr>
              <w:tab/>
            </w:r>
            <w:r w:rsidR="0017470F">
              <w:rPr>
                <w:noProof/>
                <w:webHidden/>
              </w:rPr>
              <w:fldChar w:fldCharType="begin"/>
            </w:r>
            <w:r w:rsidR="0017470F">
              <w:rPr>
                <w:noProof/>
                <w:webHidden/>
              </w:rPr>
              <w:instrText xml:space="preserve"> PAGEREF _Toc219127259 \h </w:instrText>
            </w:r>
            <w:r w:rsidR="0017470F">
              <w:rPr>
                <w:noProof/>
                <w:webHidden/>
              </w:rPr>
            </w:r>
            <w:r w:rsidR="0017470F">
              <w:rPr>
                <w:noProof/>
                <w:webHidden/>
              </w:rPr>
              <w:fldChar w:fldCharType="separate"/>
            </w:r>
            <w:r w:rsidR="0017470F">
              <w:rPr>
                <w:noProof/>
                <w:webHidden/>
              </w:rPr>
              <w:t>4</w:t>
            </w:r>
            <w:r w:rsidR="0017470F">
              <w:rPr>
                <w:noProof/>
                <w:webHidden/>
              </w:rPr>
              <w:fldChar w:fldCharType="end"/>
            </w:r>
          </w:hyperlink>
        </w:p>
        <w:p w14:paraId="185C2EFC" w14:textId="4A063220"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60" w:history="1">
            <w:r w:rsidR="0017470F" w:rsidRPr="007B05C7">
              <w:rPr>
                <w:rStyle w:val="Hyperlink"/>
                <w:noProof/>
              </w:rPr>
              <w:t>2.2.</w:t>
            </w:r>
            <w:r w:rsidR="0017470F">
              <w:rPr>
                <w:rFonts w:cstheme="minorBidi"/>
                <w:noProof/>
                <w:kern w:val="2"/>
                <w:sz w:val="24"/>
                <w:szCs w:val="21"/>
                <w:lang w:val="en-GB" w:eastAsia="en-GB" w:bidi="sa-IN"/>
                <w14:ligatures w14:val="standardContextual"/>
              </w:rPr>
              <w:tab/>
            </w:r>
            <w:r w:rsidR="0017470F" w:rsidRPr="007B05C7">
              <w:rPr>
                <w:rStyle w:val="Hyperlink"/>
                <w:noProof/>
              </w:rPr>
              <w:t>ATLPS 2 – naujoji apyvartinių taršos leidimų prekybos sistema, taikoma pastatams, kelių transportui ir papildomiems sektoriams</w:t>
            </w:r>
            <w:r w:rsidR="0017470F">
              <w:rPr>
                <w:noProof/>
                <w:webHidden/>
              </w:rPr>
              <w:tab/>
            </w:r>
            <w:r w:rsidR="0017470F">
              <w:rPr>
                <w:noProof/>
                <w:webHidden/>
              </w:rPr>
              <w:fldChar w:fldCharType="begin"/>
            </w:r>
            <w:r w:rsidR="0017470F">
              <w:rPr>
                <w:noProof/>
                <w:webHidden/>
              </w:rPr>
              <w:instrText xml:space="preserve"> PAGEREF _Toc219127260 \h </w:instrText>
            </w:r>
            <w:r w:rsidR="0017470F">
              <w:rPr>
                <w:noProof/>
                <w:webHidden/>
              </w:rPr>
            </w:r>
            <w:r w:rsidR="0017470F">
              <w:rPr>
                <w:noProof/>
                <w:webHidden/>
              </w:rPr>
              <w:fldChar w:fldCharType="separate"/>
            </w:r>
            <w:r w:rsidR="0017470F">
              <w:rPr>
                <w:noProof/>
                <w:webHidden/>
              </w:rPr>
              <w:t>5</w:t>
            </w:r>
            <w:r w:rsidR="0017470F">
              <w:rPr>
                <w:noProof/>
                <w:webHidden/>
              </w:rPr>
              <w:fldChar w:fldCharType="end"/>
            </w:r>
          </w:hyperlink>
        </w:p>
        <w:p w14:paraId="2383393D" w14:textId="01ADE972"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61" w:history="1">
            <w:r w:rsidR="0017470F" w:rsidRPr="007B05C7">
              <w:rPr>
                <w:rStyle w:val="Hyperlink"/>
                <w:noProof/>
              </w:rPr>
              <w:t>2.3.</w:t>
            </w:r>
            <w:r w:rsidR="0017470F">
              <w:rPr>
                <w:rFonts w:cstheme="minorBidi"/>
                <w:noProof/>
                <w:kern w:val="2"/>
                <w:sz w:val="24"/>
                <w:szCs w:val="21"/>
                <w:lang w:val="en-GB" w:eastAsia="en-GB" w:bidi="sa-IN"/>
                <w14:ligatures w14:val="standardContextual"/>
              </w:rPr>
              <w:tab/>
            </w:r>
            <w:r w:rsidR="0017470F" w:rsidRPr="007B05C7">
              <w:rPr>
                <w:rStyle w:val="Hyperlink"/>
                <w:noProof/>
              </w:rPr>
              <w:t>Socialinis klimato fondas</w:t>
            </w:r>
            <w:r w:rsidR="0017470F">
              <w:rPr>
                <w:noProof/>
                <w:webHidden/>
              </w:rPr>
              <w:tab/>
            </w:r>
            <w:r w:rsidR="0017470F">
              <w:rPr>
                <w:noProof/>
                <w:webHidden/>
              </w:rPr>
              <w:fldChar w:fldCharType="begin"/>
            </w:r>
            <w:r w:rsidR="0017470F">
              <w:rPr>
                <w:noProof/>
                <w:webHidden/>
              </w:rPr>
              <w:instrText xml:space="preserve"> PAGEREF _Toc219127261 \h </w:instrText>
            </w:r>
            <w:r w:rsidR="0017470F">
              <w:rPr>
                <w:noProof/>
                <w:webHidden/>
              </w:rPr>
            </w:r>
            <w:r w:rsidR="0017470F">
              <w:rPr>
                <w:noProof/>
                <w:webHidden/>
              </w:rPr>
              <w:fldChar w:fldCharType="separate"/>
            </w:r>
            <w:r w:rsidR="0017470F">
              <w:rPr>
                <w:noProof/>
                <w:webHidden/>
              </w:rPr>
              <w:t>6</w:t>
            </w:r>
            <w:r w:rsidR="0017470F">
              <w:rPr>
                <w:noProof/>
                <w:webHidden/>
              </w:rPr>
              <w:fldChar w:fldCharType="end"/>
            </w:r>
          </w:hyperlink>
        </w:p>
        <w:p w14:paraId="7C379BC5" w14:textId="4F6AC48A"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62" w:history="1">
            <w:r w:rsidR="0017470F" w:rsidRPr="007B05C7">
              <w:rPr>
                <w:rStyle w:val="Hyperlink"/>
                <w:noProof/>
              </w:rPr>
              <w:t>2.3.1.</w:t>
            </w:r>
            <w:r w:rsidR="0017470F">
              <w:rPr>
                <w:rFonts w:cstheme="minorBidi"/>
                <w:noProof/>
                <w:kern w:val="2"/>
                <w:sz w:val="24"/>
                <w:szCs w:val="21"/>
                <w:lang w:val="en-GB" w:eastAsia="en-GB" w:bidi="sa-IN"/>
                <w14:ligatures w14:val="standardContextual"/>
              </w:rPr>
              <w:tab/>
            </w:r>
            <w:r w:rsidR="0017470F" w:rsidRPr="007B05C7">
              <w:rPr>
                <w:rStyle w:val="Hyperlink"/>
                <w:noProof/>
              </w:rPr>
              <w:t>Socialiniai klimato planai</w:t>
            </w:r>
            <w:r w:rsidR="0017470F">
              <w:rPr>
                <w:noProof/>
                <w:webHidden/>
              </w:rPr>
              <w:tab/>
            </w:r>
            <w:r w:rsidR="0017470F">
              <w:rPr>
                <w:noProof/>
                <w:webHidden/>
              </w:rPr>
              <w:fldChar w:fldCharType="begin"/>
            </w:r>
            <w:r w:rsidR="0017470F">
              <w:rPr>
                <w:noProof/>
                <w:webHidden/>
              </w:rPr>
              <w:instrText xml:space="preserve"> PAGEREF _Toc219127262 \h </w:instrText>
            </w:r>
            <w:r w:rsidR="0017470F">
              <w:rPr>
                <w:noProof/>
                <w:webHidden/>
              </w:rPr>
            </w:r>
            <w:r w:rsidR="0017470F">
              <w:rPr>
                <w:noProof/>
                <w:webHidden/>
              </w:rPr>
              <w:fldChar w:fldCharType="separate"/>
            </w:r>
            <w:r w:rsidR="0017470F">
              <w:rPr>
                <w:noProof/>
                <w:webHidden/>
              </w:rPr>
              <w:t>6</w:t>
            </w:r>
            <w:r w:rsidR="0017470F">
              <w:rPr>
                <w:noProof/>
                <w:webHidden/>
              </w:rPr>
              <w:fldChar w:fldCharType="end"/>
            </w:r>
          </w:hyperlink>
        </w:p>
        <w:p w14:paraId="7C5FC0C2" w14:textId="6FA19FF0"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63" w:history="1">
            <w:r w:rsidR="0017470F" w:rsidRPr="007B05C7">
              <w:rPr>
                <w:rStyle w:val="Hyperlink"/>
                <w:noProof/>
              </w:rPr>
              <w:t>3.</w:t>
            </w:r>
            <w:r w:rsidR="0017470F">
              <w:rPr>
                <w:rFonts w:eastAsiaTheme="minorEastAsia"/>
                <w:noProof/>
                <w:sz w:val="24"/>
                <w:szCs w:val="21"/>
                <w:lang w:val="en-GB" w:eastAsia="en-GB" w:bidi="sa-IN"/>
              </w:rPr>
              <w:tab/>
            </w:r>
            <w:r w:rsidR="0017470F" w:rsidRPr="007B05C7">
              <w:rPr>
                <w:rStyle w:val="Hyperlink"/>
                <w:noProof/>
              </w:rPr>
              <w:t>Išmetamųjų teršalų kiekio viršutinė riba (didžiausias apyvartinių taršos leidimų skaičius)</w:t>
            </w:r>
            <w:r w:rsidR="0017470F">
              <w:rPr>
                <w:noProof/>
                <w:webHidden/>
              </w:rPr>
              <w:tab/>
            </w:r>
            <w:r w:rsidR="0017470F">
              <w:rPr>
                <w:noProof/>
                <w:webHidden/>
              </w:rPr>
              <w:fldChar w:fldCharType="begin"/>
            </w:r>
            <w:r w:rsidR="0017470F">
              <w:rPr>
                <w:noProof/>
                <w:webHidden/>
              </w:rPr>
              <w:instrText xml:space="preserve"> PAGEREF _Toc219127263 \h </w:instrText>
            </w:r>
            <w:r w:rsidR="0017470F">
              <w:rPr>
                <w:noProof/>
                <w:webHidden/>
              </w:rPr>
            </w:r>
            <w:r w:rsidR="0017470F">
              <w:rPr>
                <w:noProof/>
                <w:webHidden/>
              </w:rPr>
              <w:fldChar w:fldCharType="separate"/>
            </w:r>
            <w:r w:rsidR="0017470F">
              <w:rPr>
                <w:noProof/>
                <w:webHidden/>
              </w:rPr>
              <w:t>7</w:t>
            </w:r>
            <w:r w:rsidR="0017470F">
              <w:rPr>
                <w:noProof/>
                <w:webHidden/>
              </w:rPr>
              <w:fldChar w:fldCharType="end"/>
            </w:r>
          </w:hyperlink>
        </w:p>
        <w:p w14:paraId="0072DDC6" w14:textId="35C5E227"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64" w:history="1">
            <w:r w:rsidR="0017470F" w:rsidRPr="007B05C7">
              <w:rPr>
                <w:rStyle w:val="Hyperlink"/>
                <w:noProof/>
              </w:rPr>
              <w:t>4.</w:t>
            </w:r>
            <w:r w:rsidR="0017470F">
              <w:rPr>
                <w:rFonts w:eastAsiaTheme="minorEastAsia"/>
                <w:noProof/>
                <w:sz w:val="24"/>
                <w:szCs w:val="21"/>
                <w:lang w:val="en-GB" w:eastAsia="en-GB" w:bidi="sa-IN"/>
              </w:rPr>
              <w:tab/>
            </w:r>
            <w:r w:rsidR="0017470F" w:rsidRPr="007B05C7">
              <w:rPr>
                <w:rStyle w:val="Hyperlink"/>
                <w:noProof/>
              </w:rPr>
              <w:t>Apyvartinių taršos leidimų pardavimas aukcionuose</w:t>
            </w:r>
            <w:r w:rsidR="0017470F">
              <w:rPr>
                <w:noProof/>
                <w:webHidden/>
              </w:rPr>
              <w:tab/>
            </w:r>
            <w:r w:rsidR="0017470F">
              <w:rPr>
                <w:noProof/>
                <w:webHidden/>
              </w:rPr>
              <w:fldChar w:fldCharType="begin"/>
            </w:r>
            <w:r w:rsidR="0017470F">
              <w:rPr>
                <w:noProof/>
                <w:webHidden/>
              </w:rPr>
              <w:instrText xml:space="preserve"> PAGEREF _Toc219127264 \h </w:instrText>
            </w:r>
            <w:r w:rsidR="0017470F">
              <w:rPr>
                <w:noProof/>
                <w:webHidden/>
              </w:rPr>
            </w:r>
            <w:r w:rsidR="0017470F">
              <w:rPr>
                <w:noProof/>
                <w:webHidden/>
              </w:rPr>
              <w:fldChar w:fldCharType="separate"/>
            </w:r>
            <w:r w:rsidR="0017470F">
              <w:rPr>
                <w:noProof/>
                <w:webHidden/>
              </w:rPr>
              <w:t>11</w:t>
            </w:r>
            <w:r w:rsidR="0017470F">
              <w:rPr>
                <w:noProof/>
                <w:webHidden/>
              </w:rPr>
              <w:fldChar w:fldCharType="end"/>
            </w:r>
          </w:hyperlink>
        </w:p>
        <w:p w14:paraId="51B29BD1" w14:textId="2E61AB37"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65" w:history="1">
            <w:r w:rsidR="0017470F" w:rsidRPr="007B05C7">
              <w:rPr>
                <w:rStyle w:val="Hyperlink"/>
                <w:noProof/>
              </w:rPr>
              <w:t>4.1.</w:t>
            </w:r>
            <w:r w:rsidR="0017470F">
              <w:rPr>
                <w:rFonts w:cstheme="minorBidi"/>
                <w:noProof/>
                <w:kern w:val="2"/>
                <w:sz w:val="24"/>
                <w:szCs w:val="21"/>
                <w:lang w:val="en-GB" w:eastAsia="en-GB" w:bidi="sa-IN"/>
                <w14:ligatures w14:val="standardContextual"/>
              </w:rPr>
              <w:tab/>
            </w:r>
            <w:r w:rsidR="0017470F" w:rsidRPr="007B05C7">
              <w:rPr>
                <w:rStyle w:val="Hyperlink"/>
                <w:noProof/>
              </w:rPr>
              <w:t>ATL pardavimas aukcionuose ir panaikinimas dėl ES ATLPS taikymo srities išplėtimo įtraukus jūrų transportą</w:t>
            </w:r>
            <w:r w:rsidR="0017470F">
              <w:rPr>
                <w:noProof/>
                <w:webHidden/>
              </w:rPr>
              <w:tab/>
            </w:r>
            <w:r w:rsidR="0017470F">
              <w:rPr>
                <w:noProof/>
                <w:webHidden/>
              </w:rPr>
              <w:fldChar w:fldCharType="begin"/>
            </w:r>
            <w:r w:rsidR="0017470F">
              <w:rPr>
                <w:noProof/>
                <w:webHidden/>
              </w:rPr>
              <w:instrText xml:space="preserve"> PAGEREF _Toc219127265 \h </w:instrText>
            </w:r>
            <w:r w:rsidR="0017470F">
              <w:rPr>
                <w:noProof/>
                <w:webHidden/>
              </w:rPr>
            </w:r>
            <w:r w:rsidR="0017470F">
              <w:rPr>
                <w:noProof/>
                <w:webHidden/>
              </w:rPr>
              <w:fldChar w:fldCharType="separate"/>
            </w:r>
            <w:r w:rsidR="0017470F">
              <w:rPr>
                <w:noProof/>
                <w:webHidden/>
              </w:rPr>
              <w:t>12</w:t>
            </w:r>
            <w:r w:rsidR="0017470F">
              <w:rPr>
                <w:noProof/>
                <w:webHidden/>
              </w:rPr>
              <w:fldChar w:fldCharType="end"/>
            </w:r>
          </w:hyperlink>
        </w:p>
        <w:p w14:paraId="4C10852E" w14:textId="2AAC2EAF"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66" w:history="1">
            <w:r w:rsidR="0017470F" w:rsidRPr="007B05C7">
              <w:rPr>
                <w:rStyle w:val="Hyperlink"/>
                <w:noProof/>
              </w:rPr>
              <w:t>4.2.</w:t>
            </w:r>
            <w:r w:rsidR="0017470F">
              <w:rPr>
                <w:rFonts w:cstheme="minorBidi"/>
                <w:noProof/>
                <w:kern w:val="2"/>
                <w:sz w:val="24"/>
                <w:szCs w:val="21"/>
                <w:lang w:val="en-GB" w:eastAsia="en-GB" w:bidi="sa-IN"/>
                <w14:ligatures w14:val="standardContextual"/>
              </w:rPr>
              <w:tab/>
            </w:r>
            <w:r w:rsidR="0017470F" w:rsidRPr="007B05C7">
              <w:rPr>
                <w:rStyle w:val="Hyperlink"/>
                <w:noProof/>
              </w:rPr>
              <w:t>Lankstumo priemonė pagal Pastangų pasidalijimo reglamentą</w:t>
            </w:r>
            <w:r w:rsidR="0017470F">
              <w:rPr>
                <w:noProof/>
                <w:webHidden/>
              </w:rPr>
              <w:tab/>
            </w:r>
            <w:r w:rsidR="0017470F">
              <w:rPr>
                <w:noProof/>
                <w:webHidden/>
              </w:rPr>
              <w:fldChar w:fldCharType="begin"/>
            </w:r>
            <w:r w:rsidR="0017470F">
              <w:rPr>
                <w:noProof/>
                <w:webHidden/>
              </w:rPr>
              <w:instrText xml:space="preserve"> PAGEREF _Toc219127266 \h </w:instrText>
            </w:r>
            <w:r w:rsidR="0017470F">
              <w:rPr>
                <w:noProof/>
                <w:webHidden/>
              </w:rPr>
            </w:r>
            <w:r w:rsidR="0017470F">
              <w:rPr>
                <w:noProof/>
                <w:webHidden/>
              </w:rPr>
              <w:fldChar w:fldCharType="separate"/>
            </w:r>
            <w:r w:rsidR="0017470F">
              <w:rPr>
                <w:noProof/>
                <w:webHidden/>
              </w:rPr>
              <w:t>13</w:t>
            </w:r>
            <w:r w:rsidR="0017470F">
              <w:rPr>
                <w:noProof/>
                <w:webHidden/>
              </w:rPr>
              <w:fldChar w:fldCharType="end"/>
            </w:r>
          </w:hyperlink>
        </w:p>
        <w:p w14:paraId="30D21C5D" w14:textId="11669E2E"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67" w:history="1">
            <w:r w:rsidR="0017470F" w:rsidRPr="007B05C7">
              <w:rPr>
                <w:rStyle w:val="Hyperlink"/>
                <w:noProof/>
              </w:rPr>
              <w:t>4.3.</w:t>
            </w:r>
            <w:r w:rsidR="0017470F">
              <w:rPr>
                <w:rFonts w:cstheme="minorBidi"/>
                <w:noProof/>
                <w:kern w:val="2"/>
                <w:sz w:val="24"/>
                <w:szCs w:val="21"/>
                <w:lang w:val="en-GB" w:eastAsia="en-GB" w:bidi="sa-IN"/>
                <w14:ligatures w14:val="standardContextual"/>
              </w:rPr>
              <w:tab/>
            </w:r>
            <w:r w:rsidR="0017470F" w:rsidRPr="007B05C7">
              <w:rPr>
                <w:rStyle w:val="Hyperlink"/>
                <w:noProof/>
              </w:rPr>
              <w:t>Savanoriškas ATL panaikinimas</w:t>
            </w:r>
            <w:r w:rsidR="0017470F">
              <w:rPr>
                <w:noProof/>
                <w:webHidden/>
              </w:rPr>
              <w:tab/>
            </w:r>
            <w:r w:rsidR="0017470F">
              <w:rPr>
                <w:noProof/>
                <w:webHidden/>
              </w:rPr>
              <w:fldChar w:fldCharType="begin"/>
            </w:r>
            <w:r w:rsidR="0017470F">
              <w:rPr>
                <w:noProof/>
                <w:webHidden/>
              </w:rPr>
              <w:instrText xml:space="preserve"> PAGEREF _Toc219127267 \h </w:instrText>
            </w:r>
            <w:r w:rsidR="0017470F">
              <w:rPr>
                <w:noProof/>
                <w:webHidden/>
              </w:rPr>
            </w:r>
            <w:r w:rsidR="0017470F">
              <w:rPr>
                <w:noProof/>
                <w:webHidden/>
              </w:rPr>
              <w:fldChar w:fldCharType="separate"/>
            </w:r>
            <w:r w:rsidR="0017470F">
              <w:rPr>
                <w:noProof/>
                <w:webHidden/>
              </w:rPr>
              <w:t>13</w:t>
            </w:r>
            <w:r w:rsidR="0017470F">
              <w:rPr>
                <w:noProof/>
                <w:webHidden/>
              </w:rPr>
              <w:fldChar w:fldCharType="end"/>
            </w:r>
          </w:hyperlink>
        </w:p>
        <w:p w14:paraId="0796EFC9" w14:textId="4BDF92E7"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68" w:history="1">
            <w:r w:rsidR="0017470F" w:rsidRPr="007B05C7">
              <w:rPr>
                <w:rStyle w:val="Hyperlink"/>
                <w:noProof/>
              </w:rPr>
              <w:t>5.</w:t>
            </w:r>
            <w:r w:rsidR="0017470F">
              <w:rPr>
                <w:rFonts w:eastAsiaTheme="minorEastAsia"/>
                <w:noProof/>
                <w:sz w:val="24"/>
                <w:szCs w:val="21"/>
                <w:lang w:val="en-GB" w:eastAsia="en-GB" w:bidi="sa-IN"/>
              </w:rPr>
              <w:tab/>
            </w:r>
            <w:r w:rsidR="0017470F" w:rsidRPr="007B05C7">
              <w:rPr>
                <w:rStyle w:val="Hyperlink"/>
                <w:noProof/>
              </w:rPr>
              <w:t>Nemokamų ATL paskirstymas</w:t>
            </w:r>
            <w:r w:rsidR="0017470F">
              <w:rPr>
                <w:noProof/>
                <w:webHidden/>
              </w:rPr>
              <w:tab/>
            </w:r>
            <w:r w:rsidR="0017470F">
              <w:rPr>
                <w:noProof/>
                <w:webHidden/>
              </w:rPr>
              <w:fldChar w:fldCharType="begin"/>
            </w:r>
            <w:r w:rsidR="0017470F">
              <w:rPr>
                <w:noProof/>
                <w:webHidden/>
              </w:rPr>
              <w:instrText xml:space="preserve"> PAGEREF _Toc219127268 \h </w:instrText>
            </w:r>
            <w:r w:rsidR="0017470F">
              <w:rPr>
                <w:noProof/>
                <w:webHidden/>
              </w:rPr>
            </w:r>
            <w:r w:rsidR="0017470F">
              <w:rPr>
                <w:noProof/>
                <w:webHidden/>
              </w:rPr>
              <w:fldChar w:fldCharType="separate"/>
            </w:r>
            <w:r w:rsidR="0017470F">
              <w:rPr>
                <w:noProof/>
                <w:webHidden/>
              </w:rPr>
              <w:t>14</w:t>
            </w:r>
            <w:r w:rsidR="0017470F">
              <w:rPr>
                <w:noProof/>
                <w:webHidden/>
              </w:rPr>
              <w:fldChar w:fldCharType="end"/>
            </w:r>
          </w:hyperlink>
        </w:p>
        <w:p w14:paraId="447996E2" w14:textId="351D5EDF"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69" w:history="1">
            <w:r w:rsidR="0017470F" w:rsidRPr="007B05C7">
              <w:rPr>
                <w:rStyle w:val="Hyperlink"/>
                <w:noProof/>
              </w:rPr>
              <w:t>5.1.</w:t>
            </w:r>
            <w:r w:rsidR="0017470F">
              <w:rPr>
                <w:rFonts w:cstheme="minorBidi"/>
                <w:noProof/>
                <w:kern w:val="2"/>
                <w:sz w:val="24"/>
                <w:szCs w:val="21"/>
                <w:lang w:val="en-GB" w:eastAsia="en-GB" w:bidi="sa-IN"/>
                <w14:ligatures w14:val="standardContextual"/>
              </w:rPr>
              <w:tab/>
            </w:r>
            <w:r w:rsidR="0017470F" w:rsidRPr="007B05C7">
              <w:rPr>
                <w:rStyle w:val="Hyperlink"/>
                <w:noProof/>
              </w:rPr>
              <w:t>Pasienio anglies dioksido korekcinis mechanizmas</w:t>
            </w:r>
            <w:r w:rsidR="0017470F">
              <w:rPr>
                <w:noProof/>
                <w:webHidden/>
              </w:rPr>
              <w:tab/>
            </w:r>
            <w:r w:rsidR="0017470F">
              <w:rPr>
                <w:noProof/>
                <w:webHidden/>
              </w:rPr>
              <w:fldChar w:fldCharType="begin"/>
            </w:r>
            <w:r w:rsidR="0017470F">
              <w:rPr>
                <w:noProof/>
                <w:webHidden/>
              </w:rPr>
              <w:instrText xml:space="preserve"> PAGEREF _Toc219127269 \h </w:instrText>
            </w:r>
            <w:r w:rsidR="0017470F">
              <w:rPr>
                <w:noProof/>
                <w:webHidden/>
              </w:rPr>
            </w:r>
            <w:r w:rsidR="0017470F">
              <w:rPr>
                <w:noProof/>
                <w:webHidden/>
              </w:rPr>
              <w:fldChar w:fldCharType="separate"/>
            </w:r>
            <w:r w:rsidR="0017470F">
              <w:rPr>
                <w:noProof/>
                <w:webHidden/>
              </w:rPr>
              <w:t>16</w:t>
            </w:r>
            <w:r w:rsidR="0017470F">
              <w:rPr>
                <w:noProof/>
                <w:webHidden/>
              </w:rPr>
              <w:fldChar w:fldCharType="end"/>
            </w:r>
          </w:hyperlink>
        </w:p>
        <w:p w14:paraId="079E4408" w14:textId="68551056"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70" w:history="1">
            <w:r w:rsidR="0017470F" w:rsidRPr="007B05C7">
              <w:rPr>
                <w:rStyle w:val="Hyperlink"/>
                <w:noProof/>
              </w:rPr>
              <w:t>6.</w:t>
            </w:r>
            <w:r w:rsidR="0017470F">
              <w:rPr>
                <w:rFonts w:eastAsiaTheme="minorEastAsia"/>
                <w:noProof/>
                <w:sz w:val="24"/>
                <w:szCs w:val="21"/>
                <w:lang w:val="en-GB" w:eastAsia="en-GB" w:bidi="sa-IN"/>
              </w:rPr>
              <w:tab/>
            </w:r>
            <w:r w:rsidR="0017470F" w:rsidRPr="007B05C7">
              <w:rPr>
                <w:rStyle w:val="Hyperlink"/>
                <w:noProof/>
              </w:rPr>
              <w:t>ES anglies dioksido rinka</w:t>
            </w:r>
            <w:r w:rsidR="0017470F">
              <w:rPr>
                <w:noProof/>
                <w:webHidden/>
              </w:rPr>
              <w:tab/>
            </w:r>
            <w:r w:rsidR="0017470F">
              <w:rPr>
                <w:noProof/>
                <w:webHidden/>
              </w:rPr>
              <w:fldChar w:fldCharType="begin"/>
            </w:r>
            <w:r w:rsidR="0017470F">
              <w:rPr>
                <w:noProof/>
                <w:webHidden/>
              </w:rPr>
              <w:instrText xml:space="preserve"> PAGEREF _Toc219127270 \h </w:instrText>
            </w:r>
            <w:r w:rsidR="0017470F">
              <w:rPr>
                <w:noProof/>
                <w:webHidden/>
              </w:rPr>
            </w:r>
            <w:r w:rsidR="0017470F">
              <w:rPr>
                <w:noProof/>
                <w:webHidden/>
              </w:rPr>
              <w:fldChar w:fldCharType="separate"/>
            </w:r>
            <w:r w:rsidR="0017470F">
              <w:rPr>
                <w:noProof/>
                <w:webHidden/>
              </w:rPr>
              <w:t>18</w:t>
            </w:r>
            <w:r w:rsidR="0017470F">
              <w:rPr>
                <w:noProof/>
                <w:webHidden/>
              </w:rPr>
              <w:fldChar w:fldCharType="end"/>
            </w:r>
          </w:hyperlink>
        </w:p>
        <w:p w14:paraId="5DA497E8" w14:textId="258D33E3"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1" w:history="1">
            <w:r w:rsidR="0017470F" w:rsidRPr="007B05C7">
              <w:rPr>
                <w:rStyle w:val="Hyperlink"/>
                <w:noProof/>
              </w:rPr>
              <w:t>6.1.</w:t>
            </w:r>
            <w:r w:rsidR="0017470F">
              <w:rPr>
                <w:rFonts w:cstheme="minorBidi"/>
                <w:noProof/>
                <w:kern w:val="2"/>
                <w:sz w:val="24"/>
                <w:szCs w:val="21"/>
                <w:lang w:val="en-GB" w:eastAsia="en-GB" w:bidi="sa-IN"/>
                <w14:ligatures w14:val="standardContextual"/>
              </w:rPr>
              <w:tab/>
            </w:r>
            <w:r w:rsidR="0017470F" w:rsidRPr="007B05C7">
              <w:rPr>
                <w:rStyle w:val="Hyperlink"/>
                <w:noProof/>
              </w:rPr>
              <w:t>Pasiūlos ir paklausos subalansavimas</w:t>
            </w:r>
            <w:r w:rsidR="0017470F">
              <w:rPr>
                <w:noProof/>
                <w:webHidden/>
              </w:rPr>
              <w:tab/>
            </w:r>
            <w:r w:rsidR="0017470F">
              <w:rPr>
                <w:noProof/>
                <w:webHidden/>
              </w:rPr>
              <w:fldChar w:fldCharType="begin"/>
            </w:r>
            <w:r w:rsidR="0017470F">
              <w:rPr>
                <w:noProof/>
                <w:webHidden/>
              </w:rPr>
              <w:instrText xml:space="preserve"> PAGEREF _Toc219127271 \h </w:instrText>
            </w:r>
            <w:r w:rsidR="0017470F">
              <w:rPr>
                <w:noProof/>
                <w:webHidden/>
              </w:rPr>
            </w:r>
            <w:r w:rsidR="0017470F">
              <w:rPr>
                <w:noProof/>
                <w:webHidden/>
              </w:rPr>
              <w:fldChar w:fldCharType="separate"/>
            </w:r>
            <w:r w:rsidR="0017470F">
              <w:rPr>
                <w:noProof/>
                <w:webHidden/>
              </w:rPr>
              <w:t>18</w:t>
            </w:r>
            <w:r w:rsidR="0017470F">
              <w:rPr>
                <w:noProof/>
                <w:webHidden/>
              </w:rPr>
              <w:fldChar w:fldCharType="end"/>
            </w:r>
          </w:hyperlink>
        </w:p>
        <w:p w14:paraId="0E64978B" w14:textId="133FB66E"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2" w:history="1">
            <w:r w:rsidR="0017470F" w:rsidRPr="007B05C7">
              <w:rPr>
                <w:rStyle w:val="Hyperlink"/>
                <w:noProof/>
              </w:rPr>
              <w:t>6.2.</w:t>
            </w:r>
            <w:r w:rsidR="0017470F">
              <w:rPr>
                <w:rFonts w:cstheme="minorBidi"/>
                <w:noProof/>
                <w:kern w:val="2"/>
                <w:sz w:val="24"/>
                <w:szCs w:val="21"/>
                <w:lang w:val="en-GB" w:eastAsia="en-GB" w:bidi="sa-IN"/>
                <w14:ligatures w14:val="standardContextual"/>
              </w:rPr>
              <w:tab/>
            </w:r>
            <w:r w:rsidR="0017470F" w:rsidRPr="007B05C7">
              <w:rPr>
                <w:rStyle w:val="Hyperlink"/>
                <w:noProof/>
              </w:rPr>
              <w:t>Rinkos priežiūra</w:t>
            </w:r>
            <w:r w:rsidR="0017470F">
              <w:rPr>
                <w:noProof/>
                <w:webHidden/>
              </w:rPr>
              <w:tab/>
            </w:r>
            <w:r w:rsidR="0017470F">
              <w:rPr>
                <w:noProof/>
                <w:webHidden/>
              </w:rPr>
              <w:fldChar w:fldCharType="begin"/>
            </w:r>
            <w:r w:rsidR="0017470F">
              <w:rPr>
                <w:noProof/>
                <w:webHidden/>
              </w:rPr>
              <w:instrText xml:space="preserve"> PAGEREF _Toc219127272 \h </w:instrText>
            </w:r>
            <w:r w:rsidR="0017470F">
              <w:rPr>
                <w:noProof/>
                <w:webHidden/>
              </w:rPr>
            </w:r>
            <w:r w:rsidR="0017470F">
              <w:rPr>
                <w:noProof/>
                <w:webHidden/>
              </w:rPr>
              <w:fldChar w:fldCharType="separate"/>
            </w:r>
            <w:r w:rsidR="0017470F">
              <w:rPr>
                <w:noProof/>
                <w:webHidden/>
              </w:rPr>
              <w:t>19</w:t>
            </w:r>
            <w:r w:rsidR="0017470F">
              <w:rPr>
                <w:noProof/>
                <w:webHidden/>
              </w:rPr>
              <w:fldChar w:fldCharType="end"/>
            </w:r>
          </w:hyperlink>
        </w:p>
        <w:p w14:paraId="4416776D" w14:textId="5873E356"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73" w:history="1">
            <w:r w:rsidR="0017470F" w:rsidRPr="007B05C7">
              <w:rPr>
                <w:rStyle w:val="Hyperlink"/>
                <w:noProof/>
              </w:rPr>
              <w:t>7.</w:t>
            </w:r>
            <w:r w:rsidR="0017470F">
              <w:rPr>
                <w:rFonts w:eastAsiaTheme="minorEastAsia"/>
                <w:noProof/>
                <w:sz w:val="24"/>
                <w:szCs w:val="21"/>
                <w:lang w:val="en-GB" w:eastAsia="en-GB" w:bidi="sa-IN"/>
              </w:rPr>
              <w:tab/>
            </w:r>
            <w:r w:rsidR="0017470F" w:rsidRPr="007B05C7">
              <w:rPr>
                <w:rStyle w:val="Hyperlink"/>
                <w:noProof/>
              </w:rPr>
              <w:t>Išmetamųjų teršalų kiekio tendencijos</w:t>
            </w:r>
            <w:r w:rsidR="0017470F">
              <w:rPr>
                <w:noProof/>
                <w:webHidden/>
              </w:rPr>
              <w:tab/>
            </w:r>
            <w:r w:rsidR="0017470F">
              <w:rPr>
                <w:noProof/>
                <w:webHidden/>
              </w:rPr>
              <w:fldChar w:fldCharType="begin"/>
            </w:r>
            <w:r w:rsidR="0017470F">
              <w:rPr>
                <w:noProof/>
                <w:webHidden/>
              </w:rPr>
              <w:instrText xml:space="preserve"> PAGEREF _Toc219127273 \h </w:instrText>
            </w:r>
            <w:r w:rsidR="0017470F">
              <w:rPr>
                <w:noProof/>
                <w:webHidden/>
              </w:rPr>
            </w:r>
            <w:r w:rsidR="0017470F">
              <w:rPr>
                <w:noProof/>
                <w:webHidden/>
              </w:rPr>
              <w:fldChar w:fldCharType="separate"/>
            </w:r>
            <w:r w:rsidR="0017470F">
              <w:rPr>
                <w:noProof/>
                <w:webHidden/>
              </w:rPr>
              <w:t>22</w:t>
            </w:r>
            <w:r w:rsidR="0017470F">
              <w:rPr>
                <w:noProof/>
                <w:webHidden/>
              </w:rPr>
              <w:fldChar w:fldCharType="end"/>
            </w:r>
          </w:hyperlink>
        </w:p>
        <w:p w14:paraId="2CF078D3" w14:textId="461384E8"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4" w:history="1">
            <w:r w:rsidR="0017470F" w:rsidRPr="007B05C7">
              <w:rPr>
                <w:rStyle w:val="Hyperlink"/>
                <w:noProof/>
              </w:rPr>
              <w:t>7.1.</w:t>
            </w:r>
            <w:r w:rsidR="0017470F">
              <w:rPr>
                <w:rFonts w:cstheme="minorBidi"/>
                <w:noProof/>
                <w:kern w:val="2"/>
                <w:sz w:val="24"/>
                <w:szCs w:val="21"/>
                <w:lang w:val="en-GB" w:eastAsia="en-GB" w:bidi="sa-IN"/>
                <w14:ligatures w14:val="standardContextual"/>
              </w:rPr>
              <w:tab/>
            </w:r>
            <w:r w:rsidR="0017470F" w:rsidRPr="007B05C7">
              <w:rPr>
                <w:rStyle w:val="Hyperlink"/>
                <w:noProof/>
              </w:rPr>
              <w:t>Įrenginiuose deginant iškastinį kurą išmetami teršalai</w:t>
            </w:r>
            <w:r w:rsidR="0017470F">
              <w:rPr>
                <w:noProof/>
                <w:webHidden/>
              </w:rPr>
              <w:tab/>
            </w:r>
            <w:r w:rsidR="0017470F">
              <w:rPr>
                <w:noProof/>
                <w:webHidden/>
              </w:rPr>
              <w:fldChar w:fldCharType="begin"/>
            </w:r>
            <w:r w:rsidR="0017470F">
              <w:rPr>
                <w:noProof/>
                <w:webHidden/>
              </w:rPr>
              <w:instrText xml:space="preserve"> PAGEREF _Toc219127274 \h </w:instrText>
            </w:r>
            <w:r w:rsidR="0017470F">
              <w:rPr>
                <w:noProof/>
                <w:webHidden/>
              </w:rPr>
            </w:r>
            <w:r w:rsidR="0017470F">
              <w:rPr>
                <w:noProof/>
                <w:webHidden/>
              </w:rPr>
              <w:fldChar w:fldCharType="separate"/>
            </w:r>
            <w:r w:rsidR="0017470F">
              <w:rPr>
                <w:noProof/>
                <w:webHidden/>
              </w:rPr>
              <w:t>23</w:t>
            </w:r>
            <w:r w:rsidR="0017470F">
              <w:rPr>
                <w:noProof/>
                <w:webHidden/>
              </w:rPr>
              <w:fldChar w:fldCharType="end"/>
            </w:r>
          </w:hyperlink>
        </w:p>
        <w:p w14:paraId="20580388" w14:textId="794E91E3"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75" w:history="1">
            <w:r w:rsidR="0017470F" w:rsidRPr="007B05C7">
              <w:rPr>
                <w:rStyle w:val="Hyperlink"/>
                <w:noProof/>
              </w:rPr>
              <w:t>8.</w:t>
            </w:r>
            <w:r w:rsidR="0017470F">
              <w:rPr>
                <w:rFonts w:eastAsiaTheme="minorEastAsia"/>
                <w:noProof/>
                <w:sz w:val="24"/>
                <w:szCs w:val="21"/>
                <w:lang w:val="en-GB" w:eastAsia="en-GB" w:bidi="sa-IN"/>
              </w:rPr>
              <w:tab/>
            </w:r>
            <w:r w:rsidR="0017470F" w:rsidRPr="007B05C7">
              <w:rPr>
                <w:rStyle w:val="Hyperlink"/>
                <w:noProof/>
              </w:rPr>
              <w:t>Pajamos iš ES ATLPS</w:t>
            </w:r>
            <w:r w:rsidR="0017470F">
              <w:rPr>
                <w:noProof/>
                <w:webHidden/>
              </w:rPr>
              <w:tab/>
            </w:r>
            <w:r w:rsidR="0017470F">
              <w:rPr>
                <w:noProof/>
                <w:webHidden/>
              </w:rPr>
              <w:fldChar w:fldCharType="begin"/>
            </w:r>
            <w:r w:rsidR="0017470F">
              <w:rPr>
                <w:noProof/>
                <w:webHidden/>
              </w:rPr>
              <w:instrText xml:space="preserve"> PAGEREF _Toc219127275 \h </w:instrText>
            </w:r>
            <w:r w:rsidR="0017470F">
              <w:rPr>
                <w:noProof/>
                <w:webHidden/>
              </w:rPr>
            </w:r>
            <w:r w:rsidR="0017470F">
              <w:rPr>
                <w:noProof/>
                <w:webHidden/>
              </w:rPr>
              <w:fldChar w:fldCharType="separate"/>
            </w:r>
            <w:r w:rsidR="0017470F">
              <w:rPr>
                <w:noProof/>
                <w:webHidden/>
              </w:rPr>
              <w:t>25</w:t>
            </w:r>
            <w:r w:rsidR="0017470F">
              <w:rPr>
                <w:noProof/>
                <w:webHidden/>
              </w:rPr>
              <w:fldChar w:fldCharType="end"/>
            </w:r>
          </w:hyperlink>
        </w:p>
        <w:p w14:paraId="6B8C39D1" w14:textId="090F85BC"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6" w:history="1">
            <w:r w:rsidR="0017470F" w:rsidRPr="007B05C7">
              <w:rPr>
                <w:rStyle w:val="Hyperlink"/>
                <w:noProof/>
              </w:rPr>
              <w:t>8.1.</w:t>
            </w:r>
            <w:r w:rsidR="0017470F">
              <w:rPr>
                <w:rFonts w:cstheme="minorBidi"/>
                <w:noProof/>
                <w:kern w:val="2"/>
                <w:sz w:val="24"/>
                <w:szCs w:val="21"/>
                <w:lang w:val="en-GB" w:eastAsia="en-GB" w:bidi="sa-IN"/>
                <w14:ligatures w14:val="standardContextual"/>
              </w:rPr>
              <w:tab/>
            </w:r>
            <w:r w:rsidR="0017470F" w:rsidRPr="007B05C7">
              <w:rPr>
                <w:rStyle w:val="Hyperlink"/>
                <w:noProof/>
              </w:rPr>
              <w:t>Pagalba padengti netiesiogines išlaidas</w:t>
            </w:r>
            <w:r w:rsidR="0017470F">
              <w:rPr>
                <w:noProof/>
                <w:webHidden/>
              </w:rPr>
              <w:tab/>
            </w:r>
            <w:r w:rsidR="0017470F">
              <w:rPr>
                <w:noProof/>
                <w:webHidden/>
              </w:rPr>
              <w:fldChar w:fldCharType="begin"/>
            </w:r>
            <w:r w:rsidR="0017470F">
              <w:rPr>
                <w:noProof/>
                <w:webHidden/>
              </w:rPr>
              <w:instrText xml:space="preserve"> PAGEREF _Toc219127276 \h </w:instrText>
            </w:r>
            <w:r w:rsidR="0017470F">
              <w:rPr>
                <w:noProof/>
                <w:webHidden/>
              </w:rPr>
            </w:r>
            <w:r w:rsidR="0017470F">
              <w:rPr>
                <w:noProof/>
                <w:webHidden/>
              </w:rPr>
              <w:fldChar w:fldCharType="separate"/>
            </w:r>
            <w:r w:rsidR="0017470F">
              <w:rPr>
                <w:noProof/>
                <w:webHidden/>
              </w:rPr>
              <w:t>28</w:t>
            </w:r>
            <w:r w:rsidR="0017470F">
              <w:rPr>
                <w:noProof/>
                <w:webHidden/>
              </w:rPr>
              <w:fldChar w:fldCharType="end"/>
            </w:r>
          </w:hyperlink>
        </w:p>
        <w:p w14:paraId="7D92F6B7" w14:textId="5FC526E6"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7" w:history="1">
            <w:r w:rsidR="0017470F" w:rsidRPr="007B05C7">
              <w:rPr>
                <w:rStyle w:val="Hyperlink"/>
                <w:noProof/>
              </w:rPr>
              <w:t>8.2.</w:t>
            </w:r>
            <w:r w:rsidR="0017470F">
              <w:rPr>
                <w:rFonts w:cstheme="minorBidi"/>
                <w:noProof/>
                <w:kern w:val="2"/>
                <w:sz w:val="24"/>
                <w:szCs w:val="21"/>
                <w:lang w:val="en-GB" w:eastAsia="en-GB" w:bidi="sa-IN"/>
                <w14:ligatures w14:val="standardContextual"/>
              </w:rPr>
              <w:tab/>
            </w:r>
            <w:r w:rsidR="0017470F" w:rsidRPr="007B05C7">
              <w:rPr>
                <w:rStyle w:val="Hyperlink"/>
                <w:noProof/>
              </w:rPr>
              <w:t>ATLPS inovacijų fondas</w:t>
            </w:r>
            <w:r w:rsidR="0017470F">
              <w:rPr>
                <w:noProof/>
                <w:webHidden/>
              </w:rPr>
              <w:tab/>
            </w:r>
            <w:r w:rsidR="0017470F">
              <w:rPr>
                <w:noProof/>
                <w:webHidden/>
              </w:rPr>
              <w:fldChar w:fldCharType="begin"/>
            </w:r>
            <w:r w:rsidR="0017470F">
              <w:rPr>
                <w:noProof/>
                <w:webHidden/>
              </w:rPr>
              <w:instrText xml:space="preserve"> PAGEREF _Toc219127277 \h </w:instrText>
            </w:r>
            <w:r w:rsidR="0017470F">
              <w:rPr>
                <w:noProof/>
                <w:webHidden/>
              </w:rPr>
            </w:r>
            <w:r w:rsidR="0017470F">
              <w:rPr>
                <w:noProof/>
                <w:webHidden/>
              </w:rPr>
              <w:fldChar w:fldCharType="separate"/>
            </w:r>
            <w:r w:rsidR="0017470F">
              <w:rPr>
                <w:noProof/>
                <w:webHidden/>
              </w:rPr>
              <w:t>31</w:t>
            </w:r>
            <w:r w:rsidR="0017470F">
              <w:rPr>
                <w:noProof/>
                <w:webHidden/>
              </w:rPr>
              <w:fldChar w:fldCharType="end"/>
            </w:r>
          </w:hyperlink>
        </w:p>
        <w:p w14:paraId="0A0FCAFC" w14:textId="37DA49F3"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8" w:history="1">
            <w:r w:rsidR="0017470F" w:rsidRPr="007B05C7">
              <w:rPr>
                <w:rStyle w:val="Hyperlink"/>
                <w:noProof/>
              </w:rPr>
              <w:t>8.3.</w:t>
            </w:r>
            <w:r w:rsidR="0017470F">
              <w:rPr>
                <w:rFonts w:cstheme="minorBidi"/>
                <w:noProof/>
                <w:kern w:val="2"/>
                <w:sz w:val="24"/>
                <w:szCs w:val="21"/>
                <w:lang w:val="en-GB" w:eastAsia="en-GB" w:bidi="sa-IN"/>
                <w14:ligatures w14:val="standardContextual"/>
              </w:rPr>
              <w:tab/>
            </w:r>
            <w:r w:rsidR="0017470F" w:rsidRPr="007B05C7">
              <w:rPr>
                <w:rStyle w:val="Hyperlink"/>
                <w:noProof/>
              </w:rPr>
              <w:t>ATLPS modernizavimo fondas</w:t>
            </w:r>
            <w:r w:rsidR="0017470F">
              <w:rPr>
                <w:noProof/>
                <w:webHidden/>
              </w:rPr>
              <w:tab/>
            </w:r>
            <w:r w:rsidR="0017470F">
              <w:rPr>
                <w:noProof/>
                <w:webHidden/>
              </w:rPr>
              <w:fldChar w:fldCharType="begin"/>
            </w:r>
            <w:r w:rsidR="0017470F">
              <w:rPr>
                <w:noProof/>
                <w:webHidden/>
              </w:rPr>
              <w:instrText xml:space="preserve"> PAGEREF _Toc219127278 \h </w:instrText>
            </w:r>
            <w:r w:rsidR="0017470F">
              <w:rPr>
                <w:noProof/>
                <w:webHidden/>
              </w:rPr>
            </w:r>
            <w:r w:rsidR="0017470F">
              <w:rPr>
                <w:noProof/>
                <w:webHidden/>
              </w:rPr>
              <w:fldChar w:fldCharType="separate"/>
            </w:r>
            <w:r w:rsidR="0017470F">
              <w:rPr>
                <w:noProof/>
                <w:webHidden/>
              </w:rPr>
              <w:t>33</w:t>
            </w:r>
            <w:r w:rsidR="0017470F">
              <w:rPr>
                <w:noProof/>
                <w:webHidden/>
              </w:rPr>
              <w:fldChar w:fldCharType="end"/>
            </w:r>
          </w:hyperlink>
        </w:p>
        <w:p w14:paraId="1AEAECCE" w14:textId="589D8B33"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79" w:history="1">
            <w:r w:rsidR="0017470F" w:rsidRPr="007B05C7">
              <w:rPr>
                <w:rStyle w:val="Hyperlink"/>
                <w:noProof/>
              </w:rPr>
              <w:t>8.4.</w:t>
            </w:r>
            <w:r w:rsidR="0017470F">
              <w:rPr>
                <w:rFonts w:cstheme="minorBidi"/>
                <w:noProof/>
                <w:kern w:val="2"/>
                <w:sz w:val="24"/>
                <w:szCs w:val="21"/>
                <w:lang w:val="en-GB" w:eastAsia="en-GB" w:bidi="sa-IN"/>
                <w14:ligatures w14:val="standardContextual"/>
              </w:rPr>
              <w:tab/>
            </w:r>
            <w:r w:rsidR="0017470F" w:rsidRPr="007B05C7">
              <w:rPr>
                <w:rStyle w:val="Hyperlink"/>
                <w:noProof/>
              </w:rPr>
              <w:t>ATLPS dekarbonizacijos fondas Graikijai</w:t>
            </w:r>
            <w:r w:rsidR="0017470F">
              <w:rPr>
                <w:noProof/>
                <w:webHidden/>
              </w:rPr>
              <w:tab/>
            </w:r>
            <w:r w:rsidR="0017470F">
              <w:rPr>
                <w:noProof/>
                <w:webHidden/>
              </w:rPr>
              <w:fldChar w:fldCharType="begin"/>
            </w:r>
            <w:r w:rsidR="0017470F">
              <w:rPr>
                <w:noProof/>
                <w:webHidden/>
              </w:rPr>
              <w:instrText xml:space="preserve"> PAGEREF _Toc219127279 \h </w:instrText>
            </w:r>
            <w:r w:rsidR="0017470F">
              <w:rPr>
                <w:noProof/>
                <w:webHidden/>
              </w:rPr>
            </w:r>
            <w:r w:rsidR="0017470F">
              <w:rPr>
                <w:noProof/>
                <w:webHidden/>
              </w:rPr>
              <w:fldChar w:fldCharType="separate"/>
            </w:r>
            <w:r w:rsidR="0017470F">
              <w:rPr>
                <w:noProof/>
                <w:webHidden/>
              </w:rPr>
              <w:t>34</w:t>
            </w:r>
            <w:r w:rsidR="0017470F">
              <w:rPr>
                <w:noProof/>
                <w:webHidden/>
              </w:rPr>
              <w:fldChar w:fldCharType="end"/>
            </w:r>
          </w:hyperlink>
        </w:p>
        <w:p w14:paraId="418B6AB6" w14:textId="098CCB8C" w:rsidR="0017470F" w:rsidRDefault="0080122D">
          <w:pPr>
            <w:pStyle w:val="TOC1"/>
            <w:tabs>
              <w:tab w:val="left" w:pos="440"/>
              <w:tab w:val="right" w:leader="dot" w:pos="9016"/>
            </w:tabs>
            <w:rPr>
              <w:rFonts w:eastAsiaTheme="minorEastAsia"/>
              <w:noProof/>
              <w:sz w:val="24"/>
              <w:szCs w:val="21"/>
              <w:lang w:val="en-GB" w:eastAsia="en-GB" w:bidi="sa-IN"/>
            </w:rPr>
          </w:pPr>
          <w:hyperlink w:anchor="_Toc219127280" w:history="1">
            <w:r w:rsidR="0017470F" w:rsidRPr="007B05C7">
              <w:rPr>
                <w:rStyle w:val="Hyperlink"/>
                <w:noProof/>
              </w:rPr>
              <w:t>9.</w:t>
            </w:r>
            <w:r w:rsidR="0017470F">
              <w:rPr>
                <w:rFonts w:eastAsiaTheme="minorEastAsia"/>
                <w:noProof/>
                <w:sz w:val="24"/>
                <w:szCs w:val="21"/>
                <w:lang w:val="en-GB" w:eastAsia="en-GB" w:bidi="sa-IN"/>
              </w:rPr>
              <w:tab/>
            </w:r>
            <w:r w:rsidR="0017470F" w:rsidRPr="007B05C7">
              <w:rPr>
                <w:rStyle w:val="Hyperlink"/>
                <w:noProof/>
              </w:rPr>
              <w:t>Aviacija</w:t>
            </w:r>
            <w:r w:rsidR="0017470F">
              <w:rPr>
                <w:noProof/>
                <w:webHidden/>
              </w:rPr>
              <w:tab/>
            </w:r>
            <w:r w:rsidR="0017470F">
              <w:rPr>
                <w:noProof/>
                <w:webHidden/>
              </w:rPr>
              <w:fldChar w:fldCharType="begin"/>
            </w:r>
            <w:r w:rsidR="0017470F">
              <w:rPr>
                <w:noProof/>
                <w:webHidden/>
              </w:rPr>
              <w:instrText xml:space="preserve"> PAGEREF _Toc219127280 \h </w:instrText>
            </w:r>
            <w:r w:rsidR="0017470F">
              <w:rPr>
                <w:noProof/>
                <w:webHidden/>
              </w:rPr>
            </w:r>
            <w:r w:rsidR="0017470F">
              <w:rPr>
                <w:noProof/>
                <w:webHidden/>
              </w:rPr>
              <w:fldChar w:fldCharType="separate"/>
            </w:r>
            <w:r w:rsidR="0017470F">
              <w:rPr>
                <w:noProof/>
                <w:webHidden/>
              </w:rPr>
              <w:t>35</w:t>
            </w:r>
            <w:r w:rsidR="0017470F">
              <w:rPr>
                <w:noProof/>
                <w:webHidden/>
              </w:rPr>
              <w:fldChar w:fldCharType="end"/>
            </w:r>
          </w:hyperlink>
        </w:p>
        <w:p w14:paraId="1C8993B9" w14:textId="01AF8FCC" w:rsidR="0017470F" w:rsidRDefault="0080122D">
          <w:pPr>
            <w:pStyle w:val="TOC1"/>
            <w:tabs>
              <w:tab w:val="left" w:pos="720"/>
              <w:tab w:val="right" w:leader="dot" w:pos="9016"/>
            </w:tabs>
            <w:rPr>
              <w:rFonts w:eastAsiaTheme="minorEastAsia"/>
              <w:noProof/>
              <w:sz w:val="24"/>
              <w:szCs w:val="21"/>
              <w:lang w:val="en-GB" w:eastAsia="en-GB" w:bidi="sa-IN"/>
            </w:rPr>
          </w:pPr>
          <w:hyperlink w:anchor="_Toc219127281" w:history="1">
            <w:r w:rsidR="0017470F" w:rsidRPr="007B05C7">
              <w:rPr>
                <w:rStyle w:val="Hyperlink"/>
                <w:noProof/>
              </w:rPr>
              <w:t>10.</w:t>
            </w:r>
            <w:r w:rsidR="0017470F">
              <w:rPr>
                <w:rFonts w:eastAsiaTheme="minorEastAsia"/>
                <w:noProof/>
                <w:sz w:val="24"/>
                <w:szCs w:val="21"/>
                <w:lang w:val="en-GB" w:eastAsia="en-GB" w:bidi="sa-IN"/>
              </w:rPr>
              <w:tab/>
            </w:r>
            <w:r w:rsidR="0017470F" w:rsidRPr="007B05C7">
              <w:rPr>
                <w:rStyle w:val="Hyperlink"/>
                <w:noProof/>
              </w:rPr>
              <w:t>Jūrų transportas</w:t>
            </w:r>
            <w:r w:rsidR="0017470F">
              <w:rPr>
                <w:noProof/>
                <w:webHidden/>
              </w:rPr>
              <w:tab/>
            </w:r>
            <w:r w:rsidR="0017470F">
              <w:rPr>
                <w:noProof/>
                <w:webHidden/>
              </w:rPr>
              <w:fldChar w:fldCharType="begin"/>
            </w:r>
            <w:r w:rsidR="0017470F">
              <w:rPr>
                <w:noProof/>
                <w:webHidden/>
              </w:rPr>
              <w:instrText xml:space="preserve"> PAGEREF _Toc219127281 \h </w:instrText>
            </w:r>
            <w:r w:rsidR="0017470F">
              <w:rPr>
                <w:noProof/>
                <w:webHidden/>
              </w:rPr>
            </w:r>
            <w:r w:rsidR="0017470F">
              <w:rPr>
                <w:noProof/>
                <w:webHidden/>
              </w:rPr>
              <w:fldChar w:fldCharType="separate"/>
            </w:r>
            <w:r w:rsidR="0017470F">
              <w:rPr>
                <w:noProof/>
                <w:webHidden/>
              </w:rPr>
              <w:t>39</w:t>
            </w:r>
            <w:r w:rsidR="0017470F">
              <w:rPr>
                <w:noProof/>
                <w:webHidden/>
              </w:rPr>
              <w:fldChar w:fldCharType="end"/>
            </w:r>
          </w:hyperlink>
        </w:p>
        <w:p w14:paraId="64F4DE3F" w14:textId="3090C783" w:rsidR="0017470F" w:rsidRDefault="0080122D">
          <w:pPr>
            <w:pStyle w:val="TOC1"/>
            <w:tabs>
              <w:tab w:val="left" w:pos="720"/>
              <w:tab w:val="right" w:leader="dot" w:pos="9016"/>
            </w:tabs>
            <w:rPr>
              <w:rFonts w:eastAsiaTheme="minorEastAsia"/>
              <w:noProof/>
              <w:sz w:val="24"/>
              <w:szCs w:val="21"/>
              <w:lang w:val="en-GB" w:eastAsia="en-GB" w:bidi="sa-IN"/>
            </w:rPr>
          </w:pPr>
          <w:hyperlink w:anchor="_Toc219127282" w:history="1">
            <w:r w:rsidR="0017470F" w:rsidRPr="007B05C7">
              <w:rPr>
                <w:rStyle w:val="Hyperlink"/>
                <w:noProof/>
              </w:rPr>
              <w:t>11.</w:t>
            </w:r>
            <w:r w:rsidR="0017470F">
              <w:rPr>
                <w:rFonts w:eastAsiaTheme="minorEastAsia"/>
                <w:noProof/>
                <w:sz w:val="24"/>
                <w:szCs w:val="21"/>
                <w:lang w:val="en-GB" w:eastAsia="en-GB" w:bidi="sa-IN"/>
              </w:rPr>
              <w:tab/>
            </w:r>
            <w:r w:rsidR="0017470F" w:rsidRPr="007B05C7">
              <w:rPr>
                <w:rStyle w:val="Hyperlink"/>
                <w:noProof/>
              </w:rPr>
              <w:t>ES ATLPS įgyvendinimo tvarka</w:t>
            </w:r>
            <w:r w:rsidR="0017470F">
              <w:rPr>
                <w:noProof/>
                <w:webHidden/>
              </w:rPr>
              <w:tab/>
            </w:r>
            <w:r w:rsidR="0017470F">
              <w:rPr>
                <w:noProof/>
                <w:webHidden/>
              </w:rPr>
              <w:fldChar w:fldCharType="begin"/>
            </w:r>
            <w:r w:rsidR="0017470F">
              <w:rPr>
                <w:noProof/>
                <w:webHidden/>
              </w:rPr>
              <w:instrText xml:space="preserve"> PAGEREF _Toc219127282 \h </w:instrText>
            </w:r>
            <w:r w:rsidR="0017470F">
              <w:rPr>
                <w:noProof/>
                <w:webHidden/>
              </w:rPr>
            </w:r>
            <w:r w:rsidR="0017470F">
              <w:rPr>
                <w:noProof/>
                <w:webHidden/>
              </w:rPr>
              <w:fldChar w:fldCharType="separate"/>
            </w:r>
            <w:r w:rsidR="0017470F">
              <w:rPr>
                <w:noProof/>
                <w:webHidden/>
              </w:rPr>
              <w:t>40</w:t>
            </w:r>
            <w:r w:rsidR="0017470F">
              <w:rPr>
                <w:noProof/>
                <w:webHidden/>
              </w:rPr>
              <w:fldChar w:fldCharType="end"/>
            </w:r>
          </w:hyperlink>
        </w:p>
        <w:p w14:paraId="20FF0003" w14:textId="6C883CB6"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83" w:history="1">
            <w:r w:rsidR="0017470F" w:rsidRPr="007B05C7">
              <w:rPr>
                <w:rStyle w:val="Hyperlink"/>
                <w:noProof/>
              </w:rPr>
              <w:t>11.1.</w:t>
            </w:r>
            <w:r w:rsidR="0017470F">
              <w:rPr>
                <w:rFonts w:cstheme="minorBidi"/>
                <w:noProof/>
                <w:kern w:val="2"/>
                <w:sz w:val="24"/>
                <w:szCs w:val="21"/>
                <w:lang w:val="en-GB" w:eastAsia="en-GB" w:bidi="sa-IN"/>
                <w14:ligatures w14:val="standardContextual"/>
              </w:rPr>
              <w:tab/>
            </w:r>
            <w:r w:rsidR="0017470F" w:rsidRPr="007B05C7">
              <w:rPr>
                <w:rStyle w:val="Hyperlink"/>
                <w:noProof/>
              </w:rPr>
              <w:t>Išmetamųjų teršalų kiekio stebėsena ir ataskaitų teikimas</w:t>
            </w:r>
            <w:r w:rsidR="0017470F">
              <w:rPr>
                <w:noProof/>
                <w:webHidden/>
              </w:rPr>
              <w:tab/>
            </w:r>
            <w:r w:rsidR="0017470F">
              <w:rPr>
                <w:noProof/>
                <w:webHidden/>
              </w:rPr>
              <w:fldChar w:fldCharType="begin"/>
            </w:r>
            <w:r w:rsidR="0017470F">
              <w:rPr>
                <w:noProof/>
                <w:webHidden/>
              </w:rPr>
              <w:instrText xml:space="preserve"> PAGEREF _Toc219127283 \h </w:instrText>
            </w:r>
            <w:r w:rsidR="0017470F">
              <w:rPr>
                <w:noProof/>
                <w:webHidden/>
              </w:rPr>
            </w:r>
            <w:r w:rsidR="0017470F">
              <w:rPr>
                <w:noProof/>
                <w:webHidden/>
              </w:rPr>
              <w:fldChar w:fldCharType="separate"/>
            </w:r>
            <w:r w:rsidR="0017470F">
              <w:rPr>
                <w:noProof/>
                <w:webHidden/>
              </w:rPr>
              <w:t>40</w:t>
            </w:r>
            <w:r w:rsidR="0017470F">
              <w:rPr>
                <w:noProof/>
                <w:webHidden/>
              </w:rPr>
              <w:fldChar w:fldCharType="end"/>
            </w:r>
          </w:hyperlink>
        </w:p>
        <w:p w14:paraId="71B046DB" w14:textId="5278F77C"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84" w:history="1">
            <w:r w:rsidR="0017470F" w:rsidRPr="007B05C7">
              <w:rPr>
                <w:rStyle w:val="Hyperlink"/>
                <w:noProof/>
              </w:rPr>
              <w:t>11.1.1.</w:t>
            </w:r>
            <w:r w:rsidR="0017470F">
              <w:rPr>
                <w:rFonts w:cstheme="minorBidi"/>
                <w:noProof/>
                <w:kern w:val="2"/>
                <w:sz w:val="24"/>
                <w:szCs w:val="21"/>
                <w:lang w:val="en-GB" w:eastAsia="en-GB" w:bidi="sa-IN"/>
                <w14:ligatures w14:val="standardContextual"/>
              </w:rPr>
              <w:tab/>
            </w:r>
            <w:r w:rsidR="0017470F" w:rsidRPr="007B05C7">
              <w:rPr>
                <w:rStyle w:val="Hyperlink"/>
                <w:noProof/>
              </w:rPr>
              <w:t>Deginant komunalines atliekas išmetamų teršalų kiekio stebėsena ir ataskaitų teikimas</w:t>
            </w:r>
            <w:r w:rsidR="0017470F">
              <w:rPr>
                <w:noProof/>
                <w:webHidden/>
              </w:rPr>
              <w:tab/>
            </w:r>
            <w:r w:rsidR="0017470F">
              <w:rPr>
                <w:noProof/>
                <w:webHidden/>
              </w:rPr>
              <w:fldChar w:fldCharType="begin"/>
            </w:r>
            <w:r w:rsidR="0017470F">
              <w:rPr>
                <w:noProof/>
                <w:webHidden/>
              </w:rPr>
              <w:instrText xml:space="preserve"> PAGEREF _Toc219127284 \h </w:instrText>
            </w:r>
            <w:r w:rsidR="0017470F">
              <w:rPr>
                <w:noProof/>
                <w:webHidden/>
              </w:rPr>
            </w:r>
            <w:r w:rsidR="0017470F">
              <w:rPr>
                <w:noProof/>
                <w:webHidden/>
              </w:rPr>
              <w:fldChar w:fldCharType="separate"/>
            </w:r>
            <w:r w:rsidR="0017470F">
              <w:rPr>
                <w:noProof/>
                <w:webHidden/>
              </w:rPr>
              <w:t>41</w:t>
            </w:r>
            <w:r w:rsidR="0017470F">
              <w:rPr>
                <w:noProof/>
                <w:webHidden/>
              </w:rPr>
              <w:fldChar w:fldCharType="end"/>
            </w:r>
          </w:hyperlink>
        </w:p>
        <w:p w14:paraId="129B429C" w14:textId="22E1FDBE"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85" w:history="1">
            <w:r w:rsidR="0017470F" w:rsidRPr="007B05C7">
              <w:rPr>
                <w:rStyle w:val="Hyperlink"/>
                <w:noProof/>
              </w:rPr>
              <w:t>11.1.2.</w:t>
            </w:r>
            <w:r w:rsidR="0017470F">
              <w:rPr>
                <w:rFonts w:cstheme="minorBidi"/>
                <w:noProof/>
                <w:kern w:val="2"/>
                <w:sz w:val="24"/>
                <w:szCs w:val="21"/>
                <w:lang w:val="en-GB" w:eastAsia="en-GB" w:bidi="sa-IN"/>
                <w14:ligatures w14:val="standardContextual"/>
              </w:rPr>
              <w:tab/>
            </w:r>
            <w:r w:rsidR="0017470F" w:rsidRPr="007B05C7">
              <w:rPr>
                <w:rStyle w:val="Hyperlink"/>
                <w:noProof/>
              </w:rPr>
              <w:t>Su CO</w:t>
            </w:r>
            <w:r w:rsidR="0017470F" w:rsidRPr="007B05C7">
              <w:rPr>
                <w:rStyle w:val="Hyperlink"/>
                <w:noProof/>
                <w:vertAlign w:val="subscript"/>
              </w:rPr>
              <w:t>2</w:t>
            </w:r>
            <w:r w:rsidR="0017470F" w:rsidRPr="007B05C7">
              <w:rPr>
                <w:rStyle w:val="Hyperlink"/>
                <w:noProof/>
              </w:rPr>
              <w:t xml:space="preserve"> nesusijusio aviacijos poveikio stebėsena ir ataskaitų teikimas</w:t>
            </w:r>
            <w:r w:rsidR="0017470F">
              <w:rPr>
                <w:noProof/>
                <w:webHidden/>
              </w:rPr>
              <w:tab/>
            </w:r>
            <w:r w:rsidR="0017470F">
              <w:rPr>
                <w:noProof/>
                <w:webHidden/>
              </w:rPr>
              <w:fldChar w:fldCharType="begin"/>
            </w:r>
            <w:r w:rsidR="0017470F">
              <w:rPr>
                <w:noProof/>
                <w:webHidden/>
              </w:rPr>
              <w:instrText xml:space="preserve"> PAGEREF _Toc219127285 \h </w:instrText>
            </w:r>
            <w:r w:rsidR="0017470F">
              <w:rPr>
                <w:noProof/>
                <w:webHidden/>
              </w:rPr>
            </w:r>
            <w:r w:rsidR="0017470F">
              <w:rPr>
                <w:noProof/>
                <w:webHidden/>
              </w:rPr>
              <w:fldChar w:fldCharType="separate"/>
            </w:r>
            <w:r w:rsidR="0017470F">
              <w:rPr>
                <w:noProof/>
                <w:webHidden/>
              </w:rPr>
              <w:t>42</w:t>
            </w:r>
            <w:r w:rsidR="0017470F">
              <w:rPr>
                <w:noProof/>
                <w:webHidden/>
              </w:rPr>
              <w:fldChar w:fldCharType="end"/>
            </w:r>
          </w:hyperlink>
        </w:p>
        <w:p w14:paraId="695728AC" w14:textId="44A17C58"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86" w:history="1">
            <w:r w:rsidR="0017470F" w:rsidRPr="007B05C7">
              <w:rPr>
                <w:rStyle w:val="Hyperlink"/>
                <w:noProof/>
              </w:rPr>
              <w:t>11.2.</w:t>
            </w:r>
            <w:r w:rsidR="0017470F">
              <w:rPr>
                <w:rFonts w:cstheme="minorBidi"/>
                <w:noProof/>
                <w:kern w:val="2"/>
                <w:sz w:val="24"/>
                <w:szCs w:val="21"/>
                <w:lang w:val="en-GB" w:eastAsia="en-GB" w:bidi="sa-IN"/>
                <w14:ligatures w14:val="standardContextual"/>
              </w:rPr>
              <w:tab/>
            </w:r>
            <w:r w:rsidR="0017470F" w:rsidRPr="007B05C7">
              <w:rPr>
                <w:rStyle w:val="Hyperlink"/>
                <w:noProof/>
              </w:rPr>
              <w:t>Tikrinimas ir akreditavimas</w:t>
            </w:r>
            <w:r w:rsidR="0017470F">
              <w:rPr>
                <w:noProof/>
                <w:webHidden/>
              </w:rPr>
              <w:tab/>
            </w:r>
            <w:r w:rsidR="0017470F">
              <w:rPr>
                <w:noProof/>
                <w:webHidden/>
              </w:rPr>
              <w:fldChar w:fldCharType="begin"/>
            </w:r>
            <w:r w:rsidR="0017470F">
              <w:rPr>
                <w:noProof/>
                <w:webHidden/>
              </w:rPr>
              <w:instrText xml:space="preserve"> PAGEREF _Toc219127286 \h </w:instrText>
            </w:r>
            <w:r w:rsidR="0017470F">
              <w:rPr>
                <w:noProof/>
                <w:webHidden/>
              </w:rPr>
            </w:r>
            <w:r w:rsidR="0017470F">
              <w:rPr>
                <w:noProof/>
                <w:webHidden/>
              </w:rPr>
              <w:fldChar w:fldCharType="separate"/>
            </w:r>
            <w:r w:rsidR="0017470F">
              <w:rPr>
                <w:noProof/>
                <w:webHidden/>
              </w:rPr>
              <w:t>42</w:t>
            </w:r>
            <w:r w:rsidR="0017470F">
              <w:rPr>
                <w:noProof/>
                <w:webHidden/>
              </w:rPr>
              <w:fldChar w:fldCharType="end"/>
            </w:r>
          </w:hyperlink>
        </w:p>
        <w:p w14:paraId="4FC02BB2" w14:textId="5D992831"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87" w:history="1">
            <w:r w:rsidR="0017470F" w:rsidRPr="007B05C7">
              <w:rPr>
                <w:rStyle w:val="Hyperlink"/>
                <w:noProof/>
              </w:rPr>
              <w:t>11.3.</w:t>
            </w:r>
            <w:r w:rsidR="0017470F">
              <w:rPr>
                <w:rFonts w:cstheme="minorBidi"/>
                <w:noProof/>
                <w:kern w:val="2"/>
                <w:sz w:val="24"/>
                <w:szCs w:val="21"/>
                <w:lang w:val="en-GB" w:eastAsia="en-GB" w:bidi="sa-IN"/>
                <w14:ligatures w14:val="standardContextual"/>
              </w:rPr>
              <w:tab/>
            </w:r>
            <w:r w:rsidR="0017470F" w:rsidRPr="007B05C7">
              <w:rPr>
                <w:rStyle w:val="Hyperlink"/>
                <w:noProof/>
              </w:rPr>
              <w:t>Rekomendaciniai dokumentai</w:t>
            </w:r>
            <w:r w:rsidR="0017470F">
              <w:rPr>
                <w:noProof/>
                <w:webHidden/>
              </w:rPr>
              <w:tab/>
            </w:r>
            <w:r w:rsidR="0017470F">
              <w:rPr>
                <w:noProof/>
                <w:webHidden/>
              </w:rPr>
              <w:fldChar w:fldCharType="begin"/>
            </w:r>
            <w:r w:rsidR="0017470F">
              <w:rPr>
                <w:noProof/>
                <w:webHidden/>
              </w:rPr>
              <w:instrText xml:space="preserve"> PAGEREF _Toc219127287 \h </w:instrText>
            </w:r>
            <w:r w:rsidR="0017470F">
              <w:rPr>
                <w:noProof/>
                <w:webHidden/>
              </w:rPr>
            </w:r>
            <w:r w:rsidR="0017470F">
              <w:rPr>
                <w:noProof/>
                <w:webHidden/>
              </w:rPr>
              <w:fldChar w:fldCharType="separate"/>
            </w:r>
            <w:r w:rsidR="0017470F">
              <w:rPr>
                <w:noProof/>
                <w:webHidden/>
              </w:rPr>
              <w:t>43</w:t>
            </w:r>
            <w:r w:rsidR="0017470F">
              <w:rPr>
                <w:noProof/>
                <w:webHidden/>
              </w:rPr>
              <w:fldChar w:fldCharType="end"/>
            </w:r>
          </w:hyperlink>
        </w:p>
        <w:p w14:paraId="1A592402" w14:textId="04BB87E4"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88" w:history="1">
            <w:r w:rsidR="0017470F" w:rsidRPr="007B05C7">
              <w:rPr>
                <w:rStyle w:val="Hyperlink"/>
                <w:noProof/>
              </w:rPr>
              <w:t>11.4.</w:t>
            </w:r>
            <w:r w:rsidR="0017470F">
              <w:rPr>
                <w:rFonts w:cstheme="minorBidi"/>
                <w:noProof/>
                <w:kern w:val="2"/>
                <w:sz w:val="24"/>
                <w:szCs w:val="21"/>
                <w:lang w:val="en-GB" w:eastAsia="en-GB" w:bidi="sa-IN"/>
                <w14:ligatures w14:val="standardContextual"/>
              </w:rPr>
              <w:tab/>
            </w:r>
            <w:r w:rsidR="0017470F" w:rsidRPr="007B05C7">
              <w:rPr>
                <w:rStyle w:val="Hyperlink"/>
                <w:noProof/>
              </w:rPr>
              <w:t>Nacionalinės kompetentingos institucijos</w:t>
            </w:r>
            <w:r w:rsidR="0017470F">
              <w:rPr>
                <w:noProof/>
                <w:webHidden/>
              </w:rPr>
              <w:tab/>
            </w:r>
            <w:r w:rsidR="0017470F">
              <w:rPr>
                <w:noProof/>
                <w:webHidden/>
              </w:rPr>
              <w:fldChar w:fldCharType="begin"/>
            </w:r>
            <w:r w:rsidR="0017470F">
              <w:rPr>
                <w:noProof/>
                <w:webHidden/>
              </w:rPr>
              <w:instrText xml:space="preserve"> PAGEREF _Toc219127288 \h </w:instrText>
            </w:r>
            <w:r w:rsidR="0017470F">
              <w:rPr>
                <w:noProof/>
                <w:webHidden/>
              </w:rPr>
            </w:r>
            <w:r w:rsidR="0017470F">
              <w:rPr>
                <w:noProof/>
                <w:webHidden/>
              </w:rPr>
              <w:fldChar w:fldCharType="separate"/>
            </w:r>
            <w:r w:rsidR="0017470F">
              <w:rPr>
                <w:noProof/>
                <w:webHidden/>
              </w:rPr>
              <w:t>44</w:t>
            </w:r>
            <w:r w:rsidR="0017470F">
              <w:rPr>
                <w:noProof/>
                <w:webHidden/>
              </w:rPr>
              <w:fldChar w:fldCharType="end"/>
            </w:r>
          </w:hyperlink>
        </w:p>
        <w:p w14:paraId="68C71A1F" w14:textId="6E42B652"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89" w:history="1">
            <w:r w:rsidR="0017470F" w:rsidRPr="007B05C7">
              <w:rPr>
                <w:rStyle w:val="Hyperlink"/>
                <w:noProof/>
              </w:rPr>
              <w:t>11.5.</w:t>
            </w:r>
            <w:r w:rsidR="0017470F">
              <w:rPr>
                <w:rFonts w:cstheme="minorBidi"/>
                <w:noProof/>
                <w:kern w:val="2"/>
                <w:sz w:val="24"/>
                <w:szCs w:val="21"/>
                <w:lang w:val="en-GB" w:eastAsia="en-GB" w:bidi="sa-IN"/>
                <w14:ligatures w14:val="standardContextual"/>
              </w:rPr>
              <w:tab/>
            </w:r>
            <w:r w:rsidR="0017470F" w:rsidRPr="007B05C7">
              <w:rPr>
                <w:rStyle w:val="Hyperlink"/>
                <w:noProof/>
              </w:rPr>
              <w:t>Atitiktis ES ATLPS reikalavimams</w:t>
            </w:r>
            <w:r w:rsidR="0017470F">
              <w:rPr>
                <w:noProof/>
                <w:webHidden/>
              </w:rPr>
              <w:tab/>
            </w:r>
            <w:r w:rsidR="0017470F">
              <w:rPr>
                <w:noProof/>
                <w:webHidden/>
              </w:rPr>
              <w:fldChar w:fldCharType="begin"/>
            </w:r>
            <w:r w:rsidR="0017470F">
              <w:rPr>
                <w:noProof/>
                <w:webHidden/>
              </w:rPr>
              <w:instrText xml:space="preserve"> PAGEREF _Toc219127289 \h </w:instrText>
            </w:r>
            <w:r w:rsidR="0017470F">
              <w:rPr>
                <w:noProof/>
                <w:webHidden/>
              </w:rPr>
            </w:r>
            <w:r w:rsidR="0017470F">
              <w:rPr>
                <w:noProof/>
                <w:webHidden/>
              </w:rPr>
              <w:fldChar w:fldCharType="separate"/>
            </w:r>
            <w:r w:rsidR="0017470F">
              <w:rPr>
                <w:noProof/>
                <w:webHidden/>
              </w:rPr>
              <w:t>44</w:t>
            </w:r>
            <w:r w:rsidR="0017470F">
              <w:rPr>
                <w:noProof/>
                <w:webHidden/>
              </w:rPr>
              <w:fldChar w:fldCharType="end"/>
            </w:r>
          </w:hyperlink>
        </w:p>
        <w:p w14:paraId="3941F659" w14:textId="67C4AE23" w:rsidR="0017470F" w:rsidRDefault="0080122D">
          <w:pPr>
            <w:pStyle w:val="TOC2"/>
            <w:tabs>
              <w:tab w:val="left" w:pos="960"/>
              <w:tab w:val="right" w:leader="dot" w:pos="9016"/>
            </w:tabs>
            <w:rPr>
              <w:rFonts w:cstheme="minorBidi"/>
              <w:noProof/>
              <w:kern w:val="2"/>
              <w:sz w:val="24"/>
              <w:szCs w:val="21"/>
              <w:lang w:val="en-GB" w:eastAsia="en-GB" w:bidi="sa-IN"/>
              <w14:ligatures w14:val="standardContextual"/>
            </w:rPr>
          </w:pPr>
          <w:hyperlink w:anchor="_Toc219127290" w:history="1">
            <w:r w:rsidR="0017470F" w:rsidRPr="007B05C7">
              <w:rPr>
                <w:rStyle w:val="Hyperlink"/>
                <w:noProof/>
              </w:rPr>
              <w:t>11.6.</w:t>
            </w:r>
            <w:r w:rsidR="0017470F">
              <w:rPr>
                <w:rFonts w:cstheme="minorBidi"/>
                <w:noProof/>
                <w:kern w:val="2"/>
                <w:sz w:val="24"/>
                <w:szCs w:val="21"/>
                <w:lang w:val="en-GB" w:eastAsia="en-GB" w:bidi="sa-IN"/>
                <w14:ligatures w14:val="standardContextual"/>
              </w:rPr>
              <w:tab/>
            </w:r>
            <w:r w:rsidR="0017470F" w:rsidRPr="007B05C7">
              <w:rPr>
                <w:rStyle w:val="Hyperlink"/>
                <w:noProof/>
              </w:rPr>
              <w:t>Įgyvendinimo jūrų transporto sektoriuje tvarka</w:t>
            </w:r>
            <w:r w:rsidR="0017470F">
              <w:rPr>
                <w:noProof/>
                <w:webHidden/>
              </w:rPr>
              <w:tab/>
            </w:r>
            <w:r w:rsidR="0017470F">
              <w:rPr>
                <w:noProof/>
                <w:webHidden/>
              </w:rPr>
              <w:fldChar w:fldCharType="begin"/>
            </w:r>
            <w:r w:rsidR="0017470F">
              <w:rPr>
                <w:noProof/>
                <w:webHidden/>
              </w:rPr>
              <w:instrText xml:space="preserve"> PAGEREF _Toc219127290 \h </w:instrText>
            </w:r>
            <w:r w:rsidR="0017470F">
              <w:rPr>
                <w:noProof/>
                <w:webHidden/>
              </w:rPr>
            </w:r>
            <w:r w:rsidR="0017470F">
              <w:rPr>
                <w:noProof/>
                <w:webHidden/>
              </w:rPr>
              <w:fldChar w:fldCharType="separate"/>
            </w:r>
            <w:r w:rsidR="0017470F">
              <w:rPr>
                <w:noProof/>
                <w:webHidden/>
              </w:rPr>
              <w:t>46</w:t>
            </w:r>
            <w:r w:rsidR="0017470F">
              <w:rPr>
                <w:noProof/>
                <w:webHidden/>
              </w:rPr>
              <w:fldChar w:fldCharType="end"/>
            </w:r>
          </w:hyperlink>
        </w:p>
        <w:p w14:paraId="32947B11" w14:textId="2B032C58"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91" w:history="1">
            <w:r w:rsidR="0017470F" w:rsidRPr="007B05C7">
              <w:rPr>
                <w:rStyle w:val="Hyperlink"/>
                <w:noProof/>
              </w:rPr>
              <w:t>11.6.1.</w:t>
            </w:r>
            <w:r w:rsidR="0017470F">
              <w:rPr>
                <w:rFonts w:cstheme="minorBidi"/>
                <w:noProof/>
                <w:kern w:val="2"/>
                <w:sz w:val="24"/>
                <w:szCs w:val="21"/>
                <w:lang w:val="en-GB" w:eastAsia="en-GB" w:bidi="sa-IN"/>
                <w14:ligatures w14:val="standardContextual"/>
              </w:rPr>
              <w:tab/>
            </w:r>
            <w:r w:rsidR="0017470F" w:rsidRPr="007B05C7">
              <w:rPr>
                <w:rStyle w:val="Hyperlink"/>
                <w:noProof/>
              </w:rPr>
              <w:t>Išmetamųjų teršalų kiekio stebėsena ir ataskaitų teikimas</w:t>
            </w:r>
            <w:r w:rsidR="0017470F">
              <w:rPr>
                <w:noProof/>
                <w:webHidden/>
              </w:rPr>
              <w:tab/>
            </w:r>
            <w:r w:rsidR="0017470F">
              <w:rPr>
                <w:noProof/>
                <w:webHidden/>
              </w:rPr>
              <w:fldChar w:fldCharType="begin"/>
            </w:r>
            <w:r w:rsidR="0017470F">
              <w:rPr>
                <w:noProof/>
                <w:webHidden/>
              </w:rPr>
              <w:instrText xml:space="preserve"> PAGEREF _Toc219127291 \h </w:instrText>
            </w:r>
            <w:r w:rsidR="0017470F">
              <w:rPr>
                <w:noProof/>
                <w:webHidden/>
              </w:rPr>
            </w:r>
            <w:r w:rsidR="0017470F">
              <w:rPr>
                <w:noProof/>
                <w:webHidden/>
              </w:rPr>
              <w:fldChar w:fldCharType="separate"/>
            </w:r>
            <w:r w:rsidR="0017470F">
              <w:rPr>
                <w:noProof/>
                <w:webHidden/>
              </w:rPr>
              <w:t>46</w:t>
            </w:r>
            <w:r w:rsidR="0017470F">
              <w:rPr>
                <w:noProof/>
                <w:webHidden/>
              </w:rPr>
              <w:fldChar w:fldCharType="end"/>
            </w:r>
          </w:hyperlink>
        </w:p>
        <w:p w14:paraId="054200A3" w14:textId="13382D14"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92" w:history="1">
            <w:r w:rsidR="0017470F" w:rsidRPr="007B05C7">
              <w:rPr>
                <w:rStyle w:val="Hyperlink"/>
                <w:noProof/>
              </w:rPr>
              <w:t>11.6.2.</w:t>
            </w:r>
            <w:r w:rsidR="0017470F">
              <w:rPr>
                <w:rFonts w:cstheme="minorBidi"/>
                <w:noProof/>
                <w:kern w:val="2"/>
                <w:sz w:val="24"/>
                <w:szCs w:val="21"/>
                <w:lang w:val="en-GB" w:eastAsia="en-GB" w:bidi="sa-IN"/>
                <w14:ligatures w14:val="standardContextual"/>
              </w:rPr>
              <w:tab/>
            </w:r>
            <w:r w:rsidR="0017470F" w:rsidRPr="007B05C7">
              <w:rPr>
                <w:rStyle w:val="Hyperlink"/>
                <w:noProof/>
              </w:rPr>
              <w:t>Tikrinimas ir akreditavimas</w:t>
            </w:r>
            <w:r w:rsidR="0017470F">
              <w:rPr>
                <w:noProof/>
                <w:webHidden/>
              </w:rPr>
              <w:tab/>
            </w:r>
            <w:r w:rsidR="0017470F">
              <w:rPr>
                <w:noProof/>
                <w:webHidden/>
              </w:rPr>
              <w:fldChar w:fldCharType="begin"/>
            </w:r>
            <w:r w:rsidR="0017470F">
              <w:rPr>
                <w:noProof/>
                <w:webHidden/>
              </w:rPr>
              <w:instrText xml:space="preserve"> PAGEREF _Toc219127292 \h </w:instrText>
            </w:r>
            <w:r w:rsidR="0017470F">
              <w:rPr>
                <w:noProof/>
                <w:webHidden/>
              </w:rPr>
            </w:r>
            <w:r w:rsidR="0017470F">
              <w:rPr>
                <w:noProof/>
                <w:webHidden/>
              </w:rPr>
              <w:fldChar w:fldCharType="separate"/>
            </w:r>
            <w:r w:rsidR="0017470F">
              <w:rPr>
                <w:noProof/>
                <w:webHidden/>
              </w:rPr>
              <w:t>47</w:t>
            </w:r>
            <w:r w:rsidR="0017470F">
              <w:rPr>
                <w:noProof/>
                <w:webHidden/>
              </w:rPr>
              <w:fldChar w:fldCharType="end"/>
            </w:r>
          </w:hyperlink>
        </w:p>
        <w:p w14:paraId="501F2F4D" w14:textId="499F2283"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93" w:history="1">
            <w:r w:rsidR="0017470F" w:rsidRPr="007B05C7">
              <w:rPr>
                <w:rStyle w:val="Hyperlink"/>
                <w:noProof/>
              </w:rPr>
              <w:t>11.6.3.</w:t>
            </w:r>
            <w:r w:rsidR="0017470F">
              <w:rPr>
                <w:rFonts w:cstheme="minorBidi"/>
                <w:noProof/>
                <w:kern w:val="2"/>
                <w:sz w:val="24"/>
                <w:szCs w:val="21"/>
                <w:lang w:val="en-GB" w:eastAsia="en-GB" w:bidi="sa-IN"/>
                <w14:ligatures w14:val="standardContextual"/>
              </w:rPr>
              <w:tab/>
            </w:r>
            <w:r w:rsidR="0017470F" w:rsidRPr="007B05C7">
              <w:rPr>
                <w:rStyle w:val="Hyperlink"/>
                <w:noProof/>
              </w:rPr>
              <w:t>Administruojančiosios institucijos</w:t>
            </w:r>
            <w:r w:rsidR="0017470F">
              <w:rPr>
                <w:noProof/>
                <w:webHidden/>
              </w:rPr>
              <w:tab/>
            </w:r>
            <w:r w:rsidR="0017470F">
              <w:rPr>
                <w:noProof/>
                <w:webHidden/>
              </w:rPr>
              <w:fldChar w:fldCharType="begin"/>
            </w:r>
            <w:r w:rsidR="0017470F">
              <w:rPr>
                <w:noProof/>
                <w:webHidden/>
              </w:rPr>
              <w:instrText xml:space="preserve"> PAGEREF _Toc219127293 \h </w:instrText>
            </w:r>
            <w:r w:rsidR="0017470F">
              <w:rPr>
                <w:noProof/>
                <w:webHidden/>
              </w:rPr>
            </w:r>
            <w:r w:rsidR="0017470F">
              <w:rPr>
                <w:noProof/>
                <w:webHidden/>
              </w:rPr>
              <w:fldChar w:fldCharType="separate"/>
            </w:r>
            <w:r w:rsidR="0017470F">
              <w:rPr>
                <w:noProof/>
                <w:webHidden/>
              </w:rPr>
              <w:t>47</w:t>
            </w:r>
            <w:r w:rsidR="0017470F">
              <w:rPr>
                <w:noProof/>
                <w:webHidden/>
              </w:rPr>
              <w:fldChar w:fldCharType="end"/>
            </w:r>
          </w:hyperlink>
        </w:p>
        <w:p w14:paraId="57667EC1" w14:textId="0204657C"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94" w:history="1">
            <w:r w:rsidR="0017470F" w:rsidRPr="007B05C7">
              <w:rPr>
                <w:rStyle w:val="Hyperlink"/>
                <w:noProof/>
              </w:rPr>
              <w:t>11.6.4.</w:t>
            </w:r>
            <w:r w:rsidR="0017470F">
              <w:rPr>
                <w:rFonts w:cstheme="minorBidi"/>
                <w:noProof/>
                <w:kern w:val="2"/>
                <w:sz w:val="24"/>
                <w:szCs w:val="21"/>
                <w:lang w:val="en-GB" w:eastAsia="en-GB" w:bidi="sa-IN"/>
                <w14:ligatures w14:val="standardContextual"/>
              </w:rPr>
              <w:tab/>
            </w:r>
            <w:r w:rsidR="0017470F" w:rsidRPr="007B05C7">
              <w:rPr>
                <w:rStyle w:val="Hyperlink"/>
                <w:noProof/>
              </w:rPr>
              <w:t>Atitiktis ES ATLPS reikalavimams jūrų transporto sektoriuje</w:t>
            </w:r>
            <w:r w:rsidR="0017470F">
              <w:rPr>
                <w:noProof/>
                <w:webHidden/>
              </w:rPr>
              <w:tab/>
            </w:r>
            <w:r w:rsidR="0017470F">
              <w:rPr>
                <w:noProof/>
                <w:webHidden/>
              </w:rPr>
              <w:fldChar w:fldCharType="begin"/>
            </w:r>
            <w:r w:rsidR="0017470F">
              <w:rPr>
                <w:noProof/>
                <w:webHidden/>
              </w:rPr>
              <w:instrText xml:space="preserve"> PAGEREF _Toc219127294 \h </w:instrText>
            </w:r>
            <w:r w:rsidR="0017470F">
              <w:rPr>
                <w:noProof/>
                <w:webHidden/>
              </w:rPr>
            </w:r>
            <w:r w:rsidR="0017470F">
              <w:rPr>
                <w:noProof/>
                <w:webHidden/>
              </w:rPr>
              <w:fldChar w:fldCharType="separate"/>
            </w:r>
            <w:r w:rsidR="0017470F">
              <w:rPr>
                <w:noProof/>
                <w:webHidden/>
              </w:rPr>
              <w:t>48</w:t>
            </w:r>
            <w:r w:rsidR="0017470F">
              <w:rPr>
                <w:noProof/>
                <w:webHidden/>
              </w:rPr>
              <w:fldChar w:fldCharType="end"/>
            </w:r>
          </w:hyperlink>
        </w:p>
        <w:p w14:paraId="12198D87" w14:textId="58DD1CB3" w:rsidR="0017470F" w:rsidRDefault="0080122D">
          <w:pPr>
            <w:pStyle w:val="TOC3"/>
            <w:tabs>
              <w:tab w:val="left" w:pos="1440"/>
              <w:tab w:val="right" w:leader="dot" w:pos="9016"/>
            </w:tabs>
            <w:rPr>
              <w:rFonts w:cstheme="minorBidi"/>
              <w:noProof/>
              <w:kern w:val="2"/>
              <w:sz w:val="24"/>
              <w:szCs w:val="21"/>
              <w:lang w:val="en-GB" w:eastAsia="en-GB" w:bidi="sa-IN"/>
              <w14:ligatures w14:val="standardContextual"/>
            </w:rPr>
          </w:pPr>
          <w:hyperlink w:anchor="_Toc219127295" w:history="1">
            <w:r w:rsidR="0017470F" w:rsidRPr="007B05C7">
              <w:rPr>
                <w:rStyle w:val="Hyperlink"/>
                <w:noProof/>
              </w:rPr>
              <w:t>11.6.5.</w:t>
            </w:r>
            <w:r w:rsidR="0017470F">
              <w:rPr>
                <w:rFonts w:cstheme="minorBidi"/>
                <w:noProof/>
                <w:kern w:val="2"/>
                <w:sz w:val="24"/>
                <w:szCs w:val="21"/>
                <w:lang w:val="en-GB" w:eastAsia="en-GB" w:bidi="sa-IN"/>
                <w14:ligatures w14:val="standardContextual"/>
              </w:rPr>
              <w:tab/>
            </w:r>
            <w:r w:rsidR="0017470F" w:rsidRPr="007B05C7">
              <w:rPr>
                <w:rStyle w:val="Hyperlink"/>
                <w:noProof/>
              </w:rPr>
              <w:t>ATLPS 2 įgyvendinimas</w:t>
            </w:r>
            <w:r w:rsidR="0017470F">
              <w:rPr>
                <w:noProof/>
                <w:webHidden/>
              </w:rPr>
              <w:tab/>
            </w:r>
            <w:r w:rsidR="0017470F">
              <w:rPr>
                <w:noProof/>
                <w:webHidden/>
              </w:rPr>
              <w:fldChar w:fldCharType="begin"/>
            </w:r>
            <w:r w:rsidR="0017470F">
              <w:rPr>
                <w:noProof/>
                <w:webHidden/>
              </w:rPr>
              <w:instrText xml:space="preserve"> PAGEREF _Toc219127295 \h </w:instrText>
            </w:r>
            <w:r w:rsidR="0017470F">
              <w:rPr>
                <w:noProof/>
                <w:webHidden/>
              </w:rPr>
            </w:r>
            <w:r w:rsidR="0017470F">
              <w:rPr>
                <w:noProof/>
                <w:webHidden/>
              </w:rPr>
              <w:fldChar w:fldCharType="separate"/>
            </w:r>
            <w:r w:rsidR="0017470F">
              <w:rPr>
                <w:noProof/>
                <w:webHidden/>
              </w:rPr>
              <w:t>48</w:t>
            </w:r>
            <w:r w:rsidR="0017470F">
              <w:rPr>
                <w:noProof/>
                <w:webHidden/>
              </w:rPr>
              <w:fldChar w:fldCharType="end"/>
            </w:r>
          </w:hyperlink>
        </w:p>
        <w:p w14:paraId="79573E98" w14:textId="501161DB" w:rsidR="0017470F" w:rsidRDefault="0080122D">
          <w:pPr>
            <w:pStyle w:val="TOC1"/>
            <w:tabs>
              <w:tab w:val="left" w:pos="720"/>
              <w:tab w:val="right" w:leader="dot" w:pos="9016"/>
            </w:tabs>
            <w:rPr>
              <w:rFonts w:eastAsiaTheme="minorEastAsia"/>
              <w:noProof/>
              <w:sz w:val="24"/>
              <w:szCs w:val="21"/>
              <w:lang w:val="en-GB" w:eastAsia="en-GB" w:bidi="sa-IN"/>
            </w:rPr>
          </w:pPr>
          <w:hyperlink w:anchor="_Toc219127296" w:history="1">
            <w:r w:rsidR="0017470F" w:rsidRPr="007B05C7">
              <w:rPr>
                <w:rStyle w:val="Hyperlink"/>
                <w:noProof/>
              </w:rPr>
              <w:t>12.</w:t>
            </w:r>
            <w:r w:rsidR="0017470F">
              <w:rPr>
                <w:rFonts w:eastAsiaTheme="minorEastAsia"/>
                <w:noProof/>
                <w:sz w:val="24"/>
                <w:szCs w:val="21"/>
                <w:lang w:val="en-GB" w:eastAsia="en-GB" w:bidi="sa-IN"/>
              </w:rPr>
              <w:tab/>
            </w:r>
            <w:r w:rsidR="0017470F" w:rsidRPr="007B05C7">
              <w:rPr>
                <w:rStyle w:val="Hyperlink"/>
                <w:noProof/>
              </w:rPr>
              <w:t>ES ATLPS Europos Sąjungos klimato ir energetikos valdymo kontekste</w:t>
            </w:r>
            <w:r w:rsidR="0017470F">
              <w:rPr>
                <w:noProof/>
                <w:webHidden/>
              </w:rPr>
              <w:tab/>
            </w:r>
            <w:r w:rsidR="0017470F">
              <w:rPr>
                <w:noProof/>
                <w:webHidden/>
              </w:rPr>
              <w:fldChar w:fldCharType="begin"/>
            </w:r>
            <w:r w:rsidR="0017470F">
              <w:rPr>
                <w:noProof/>
                <w:webHidden/>
              </w:rPr>
              <w:instrText xml:space="preserve"> PAGEREF _Toc219127296 \h </w:instrText>
            </w:r>
            <w:r w:rsidR="0017470F">
              <w:rPr>
                <w:noProof/>
                <w:webHidden/>
              </w:rPr>
            </w:r>
            <w:r w:rsidR="0017470F">
              <w:rPr>
                <w:noProof/>
                <w:webHidden/>
              </w:rPr>
              <w:fldChar w:fldCharType="separate"/>
            </w:r>
            <w:r w:rsidR="0017470F">
              <w:rPr>
                <w:noProof/>
                <w:webHidden/>
              </w:rPr>
              <w:t>48</w:t>
            </w:r>
            <w:r w:rsidR="0017470F">
              <w:rPr>
                <w:noProof/>
                <w:webHidden/>
              </w:rPr>
              <w:fldChar w:fldCharType="end"/>
            </w:r>
          </w:hyperlink>
        </w:p>
        <w:p w14:paraId="23094328" w14:textId="072AB94A" w:rsidR="0017470F" w:rsidRDefault="0080122D">
          <w:pPr>
            <w:pStyle w:val="TOC1"/>
            <w:tabs>
              <w:tab w:val="left" w:pos="720"/>
              <w:tab w:val="right" w:leader="dot" w:pos="9016"/>
            </w:tabs>
            <w:rPr>
              <w:rFonts w:eastAsiaTheme="minorEastAsia"/>
              <w:noProof/>
              <w:sz w:val="24"/>
              <w:szCs w:val="21"/>
              <w:lang w:val="en-GB" w:eastAsia="en-GB" w:bidi="sa-IN"/>
            </w:rPr>
          </w:pPr>
          <w:hyperlink w:anchor="_Toc219127297" w:history="1">
            <w:r w:rsidR="0017470F" w:rsidRPr="007B05C7">
              <w:rPr>
                <w:rStyle w:val="Hyperlink"/>
                <w:noProof/>
              </w:rPr>
              <w:t>13.</w:t>
            </w:r>
            <w:r w:rsidR="0017470F">
              <w:rPr>
                <w:rFonts w:eastAsiaTheme="minorEastAsia"/>
                <w:noProof/>
                <w:sz w:val="24"/>
                <w:szCs w:val="21"/>
                <w:lang w:val="en-GB" w:eastAsia="en-GB" w:bidi="sa-IN"/>
              </w:rPr>
              <w:tab/>
            </w:r>
            <w:r w:rsidR="0017470F" w:rsidRPr="007B05C7">
              <w:rPr>
                <w:rStyle w:val="Hyperlink"/>
                <w:noProof/>
              </w:rPr>
              <w:t>ES ATLPS ir Šveicarijos ATLPS sąsaja</w:t>
            </w:r>
            <w:r w:rsidR="0017470F">
              <w:rPr>
                <w:noProof/>
                <w:webHidden/>
              </w:rPr>
              <w:tab/>
            </w:r>
            <w:r w:rsidR="0017470F">
              <w:rPr>
                <w:noProof/>
                <w:webHidden/>
              </w:rPr>
              <w:fldChar w:fldCharType="begin"/>
            </w:r>
            <w:r w:rsidR="0017470F">
              <w:rPr>
                <w:noProof/>
                <w:webHidden/>
              </w:rPr>
              <w:instrText xml:space="preserve"> PAGEREF _Toc219127297 \h </w:instrText>
            </w:r>
            <w:r w:rsidR="0017470F">
              <w:rPr>
                <w:noProof/>
                <w:webHidden/>
              </w:rPr>
            </w:r>
            <w:r w:rsidR="0017470F">
              <w:rPr>
                <w:noProof/>
                <w:webHidden/>
              </w:rPr>
              <w:fldChar w:fldCharType="separate"/>
            </w:r>
            <w:r w:rsidR="0017470F">
              <w:rPr>
                <w:noProof/>
                <w:webHidden/>
              </w:rPr>
              <w:t>49</w:t>
            </w:r>
            <w:r w:rsidR="0017470F">
              <w:rPr>
                <w:noProof/>
                <w:webHidden/>
              </w:rPr>
              <w:fldChar w:fldCharType="end"/>
            </w:r>
          </w:hyperlink>
        </w:p>
        <w:p w14:paraId="35622BC6" w14:textId="6661829E" w:rsidR="0017470F" w:rsidRDefault="0080122D">
          <w:pPr>
            <w:pStyle w:val="TOC1"/>
            <w:tabs>
              <w:tab w:val="left" w:pos="720"/>
              <w:tab w:val="right" w:leader="dot" w:pos="9016"/>
            </w:tabs>
            <w:rPr>
              <w:rFonts w:eastAsiaTheme="minorEastAsia"/>
              <w:noProof/>
              <w:sz w:val="24"/>
              <w:szCs w:val="21"/>
              <w:lang w:val="en-GB" w:eastAsia="en-GB" w:bidi="sa-IN"/>
            </w:rPr>
          </w:pPr>
          <w:hyperlink w:anchor="_Toc219127298" w:history="1">
            <w:r w:rsidR="0017470F" w:rsidRPr="007B05C7">
              <w:rPr>
                <w:rStyle w:val="Hyperlink"/>
                <w:noProof/>
              </w:rPr>
              <w:t>14.</w:t>
            </w:r>
            <w:r w:rsidR="0017470F">
              <w:rPr>
                <w:rFonts w:eastAsiaTheme="minorEastAsia"/>
                <w:noProof/>
                <w:sz w:val="24"/>
                <w:szCs w:val="21"/>
                <w:lang w:val="en-GB" w:eastAsia="en-GB" w:bidi="sa-IN"/>
              </w:rPr>
              <w:tab/>
            </w:r>
            <w:r w:rsidR="0017470F" w:rsidRPr="007B05C7">
              <w:rPr>
                <w:rStyle w:val="Hyperlink"/>
                <w:noProof/>
              </w:rPr>
              <w:t>Santrauka</w:t>
            </w:r>
            <w:r w:rsidR="0017470F">
              <w:rPr>
                <w:noProof/>
                <w:webHidden/>
              </w:rPr>
              <w:tab/>
            </w:r>
            <w:r w:rsidR="0017470F">
              <w:rPr>
                <w:noProof/>
                <w:webHidden/>
              </w:rPr>
              <w:fldChar w:fldCharType="begin"/>
            </w:r>
            <w:r w:rsidR="0017470F">
              <w:rPr>
                <w:noProof/>
                <w:webHidden/>
              </w:rPr>
              <w:instrText xml:space="preserve"> PAGEREF _Toc219127298 \h </w:instrText>
            </w:r>
            <w:r w:rsidR="0017470F">
              <w:rPr>
                <w:noProof/>
                <w:webHidden/>
              </w:rPr>
            </w:r>
            <w:r w:rsidR="0017470F">
              <w:rPr>
                <w:noProof/>
                <w:webHidden/>
              </w:rPr>
              <w:fldChar w:fldCharType="separate"/>
            </w:r>
            <w:r w:rsidR="0017470F">
              <w:rPr>
                <w:noProof/>
                <w:webHidden/>
              </w:rPr>
              <w:t>54</w:t>
            </w:r>
            <w:r w:rsidR="0017470F">
              <w:rPr>
                <w:noProof/>
                <w:webHidden/>
              </w:rPr>
              <w:fldChar w:fldCharType="end"/>
            </w:r>
          </w:hyperlink>
        </w:p>
        <w:p w14:paraId="60A90523" w14:textId="12362765" w:rsidR="00685D02" w:rsidRDefault="00F00D70">
          <w:pPr>
            <w:rPr>
              <w:rFonts w:ascii="Times New Roman" w:hAnsi="Times New Roman" w:cs="Times New Roman"/>
              <w:b/>
              <w:noProof/>
            </w:rPr>
          </w:pPr>
          <w:r>
            <w:rPr>
              <w:rFonts w:ascii="Times New Roman" w:hAnsi="Times New Roman" w:cs="Times New Roman"/>
              <w:b/>
              <w:noProof/>
            </w:rPr>
            <w:fldChar w:fldCharType="end"/>
          </w:r>
        </w:p>
      </w:sdtContent>
    </w:sdt>
    <w:p w14:paraId="1314E31D" w14:textId="163DEC90" w:rsidR="001A7A22" w:rsidRPr="00685D02" w:rsidRDefault="001A7A22">
      <w:pPr>
        <w:rPr>
          <w:rFonts w:ascii="Times New Roman" w:hAnsi="Times New Roman" w:cs="Times New Roman"/>
          <w:noProof/>
        </w:rPr>
      </w:pPr>
      <w:r>
        <w:rPr>
          <w:noProof/>
        </w:rPr>
        <w:br w:type="page"/>
      </w:r>
    </w:p>
    <w:p w14:paraId="4582D281" w14:textId="05546E37" w:rsidR="00613B80" w:rsidRPr="00CE747B" w:rsidRDefault="00613B80" w:rsidP="00CE747B">
      <w:pPr>
        <w:pStyle w:val="CMR-Heading"/>
        <w:rPr>
          <w:noProof/>
        </w:rPr>
      </w:pPr>
      <w:bookmarkStart w:id="2" w:name="_Toc180513389"/>
      <w:bookmarkStart w:id="3" w:name="_Toc219127257"/>
      <w:r>
        <w:rPr>
          <w:noProof/>
        </w:rPr>
        <w:t>Įvadas</w:t>
      </w:r>
      <w:bookmarkEnd w:id="2"/>
      <w:bookmarkEnd w:id="3"/>
      <w:r>
        <w:rPr>
          <w:noProof/>
        </w:rPr>
        <w:t xml:space="preserve"> </w:t>
      </w:r>
    </w:p>
    <w:p w14:paraId="40C9B8AC" w14:textId="371D27D2" w:rsidR="00EE63A3" w:rsidRPr="00685D02" w:rsidRDefault="00317318" w:rsidP="00CE747B">
      <w:pPr>
        <w:pStyle w:val="CMR-text"/>
        <w:rPr>
          <w:noProof/>
        </w:rPr>
      </w:pPr>
      <w:r>
        <w:rPr>
          <w:noProof/>
        </w:rPr>
        <w:t xml:space="preserve">Europos Sąjungos šiltnamio efektą sukeliančių dujų apyvartinių taršos leidimų prekybos sistema (toliau – ES ATLPS) yra vienas iš jos klimato politikos pagrindų. Ji skirta išmetamųjų teršalų (šiltnamio efektą sukeliančių dujų) kiekiui ekonomiškai efektyviai mažinti. Joje, vadovaujantis principu „teršėjas moka“, nustatoma energetikos, pramonės bei jūrų transporto sektoriuose ir dalyje aviacijos sektoriaus Europoje išmetamų teršalų kiekio viršutinė riba ir jų išmetimo kaina. Išmetamieji teršalai, kuriems taikoma ES ATLPS, sudaro apie 40 proc. bendro išmetamųjų teršalų kiekio ES. </w:t>
      </w:r>
    </w:p>
    <w:p w14:paraId="3D8683E0" w14:textId="66325D78" w:rsidR="00317318" w:rsidRPr="00685D02" w:rsidRDefault="00242B13" w:rsidP="00317318">
      <w:pPr>
        <w:pStyle w:val="CMR-text"/>
        <w:rPr>
          <w:rFonts w:cs="Times New Roman"/>
          <w:noProof/>
        </w:rPr>
      </w:pPr>
      <w:r>
        <w:rPr>
          <w:noProof/>
        </w:rPr>
        <w:t>Nustatant viršutinę ribą užtikrinama, kad išmetamųjų teršalų kiekis ilgainiui mažėtų, o anglies dioksido kaina, kurią lemia rinka, teikia paskatą įmonėms diegti sprendimus ir daryti investicijas išmetamųjų teršalų kiekiui mažinti ten, kur tai galima daryti mažiausiomis sąnaudomis, ir technologijų atžvilgiu neutraliu būdu. Anglies dioksido kaina nulemia ir ES ATLPS gaunamas pajamas.</w:t>
      </w:r>
    </w:p>
    <w:p w14:paraId="1D72433C" w14:textId="748D82D2" w:rsidR="00DA6FBA" w:rsidRPr="00685D02" w:rsidRDefault="00317318" w:rsidP="00317318">
      <w:pPr>
        <w:pStyle w:val="CMR-text"/>
        <w:rPr>
          <w:rFonts w:cs="Times New Roman"/>
          <w:noProof/>
        </w:rPr>
      </w:pPr>
      <w:r>
        <w:rPr>
          <w:noProof/>
        </w:rPr>
        <w:t>ES ATLPS nuo jos veikimo pradžios 2005 m. jau padėjo 50 proc. sumažinti elektros energijos bei šilumos gamybos ir pramonės gamybos išmetamųjų teršalų kiekį</w:t>
      </w:r>
      <w:r>
        <w:rPr>
          <w:rStyle w:val="FootnoteReference"/>
          <w:rFonts w:cs="Times New Roman"/>
          <w:noProof/>
          <w:lang w:val="en-IE"/>
        </w:rPr>
        <w:footnoteReference w:id="2"/>
      </w:r>
      <w:r>
        <w:rPr>
          <w:noProof/>
        </w:rPr>
        <w:t xml:space="preserve"> ir sėkmingai siekiama jos 2030 m. tikslo – 62 proc. sumažinimo (palyginti su 2005 m.). Šioje sistemoje jau gauta apie 248 mlrd. EUR aukcionų pajamų, tos lėšos daugiausia paskirstytos nacionaliniams biudžetams ir juose skirtos naudoti klimato srities veiksmams ir energetikos pertvarkai. </w:t>
      </w:r>
    </w:p>
    <w:p w14:paraId="44CB9C06" w14:textId="73E0A2D4" w:rsidR="00F0382F" w:rsidRPr="00685D02" w:rsidRDefault="00F0382F" w:rsidP="00F0382F">
      <w:pPr>
        <w:pStyle w:val="CMR-text"/>
        <w:rPr>
          <w:rStyle w:val="CMR-textChar"/>
          <w:rFonts w:cs="Times New Roman"/>
          <w:noProof/>
        </w:rPr>
      </w:pPr>
      <w:r>
        <w:rPr>
          <w:rStyle w:val="CMR-textChar"/>
          <w:noProof/>
        </w:rPr>
        <w:t xml:space="preserve">Šioje ataskaitoje apžvelgiamas ES ATLPS veikimas 2024 m., atsižvelgiant ir į aktualią raidą per pirmąjį 2025 m. pusmetį. Joje pateikiama atnaujinta pagrindinių struktūrinių sistemos aspektų apžvalga ir išryškinami metiniai pokyčiai. </w:t>
      </w:r>
    </w:p>
    <w:p w14:paraId="0A9A0983" w14:textId="58A7CC1C" w:rsidR="002B0030" w:rsidRPr="00685D02" w:rsidRDefault="003F16A0" w:rsidP="00DE76A1">
      <w:pPr>
        <w:pStyle w:val="CMR-text"/>
        <w:rPr>
          <w:rFonts w:cs="Times New Roman"/>
          <w:noProof/>
        </w:rPr>
      </w:pPr>
      <w:r>
        <w:rPr>
          <w:rStyle w:val="CMR-textChar"/>
          <w:noProof/>
        </w:rPr>
        <w:t xml:space="preserve">Svarbiausia tai, kad ataskaitoje apžvelgiamos su išmetamaisiais teršalais ir aukcionų pajamomis susijusios ES ATLPS tendencijos. </w:t>
      </w:r>
      <w:r>
        <w:rPr>
          <w:noProof/>
        </w:rPr>
        <w:t xml:space="preserve">Elektros energijos gamybos ir pramonės įrenginių, kuriems taikoma ES ATLPS, išmetamųjų teršalų kiekis 2024 m. toliau mažėjo – nuo 2023 m. jis sumažėjo 5,8 proc. Europos vidaus aviacijos išmetamųjų teršalų kiekis, palyginti su 2023 m., padidėjo 15 proc., ir taip yra iš dalies dėl geografinės taikymo srities išplėtimo (vėl įtraukti ne vidaus skrydžiai, kuriais vykdomas susisiekimas su atokiausiais regionais). Be to, 2024 m. buvo pirmieji metai, kai į ES ATLPS įtraukti ir jūrų transporto išmetamieji teršalai. </w:t>
      </w:r>
    </w:p>
    <w:p w14:paraId="2BB45073" w14:textId="582CC766" w:rsidR="00C34E83" w:rsidRPr="00685D02" w:rsidRDefault="00B038BF" w:rsidP="00317318">
      <w:pPr>
        <w:pStyle w:val="CMR-text"/>
        <w:rPr>
          <w:rFonts w:cs="Times New Roman"/>
          <w:noProof/>
        </w:rPr>
      </w:pPr>
      <w:r>
        <w:rPr>
          <w:noProof/>
        </w:rPr>
        <w:t>Visos ES ATLPS 2024 m. gautos pajamos sudarė 38,8 mlrd. EUR. Šios lėšos daugiausia pateko į valstybių narių biudžetus, taip pat į Inovacijų fondo ir Modernizavimo fondo biudžetus ir į Ekonomikos gaivinimo ir atsparumo didinimo priemonės biudžetą, skirtą planui „REPowerEU“</w:t>
      </w:r>
      <w:r>
        <w:rPr>
          <w:rStyle w:val="FootnoteReference"/>
          <w:rFonts w:cs="Times New Roman"/>
          <w:noProof/>
          <w:lang w:val="en-IE"/>
        </w:rPr>
        <w:footnoteReference w:id="3"/>
      </w:r>
      <w:r>
        <w:rPr>
          <w:noProof/>
        </w:rPr>
        <w:t xml:space="preserve">. Ataskaitoje aprašoma, kaip valstybės narės panaudojo savo pajamas iš ATLPS 2024 m., ir apibendrinama su Inovacijų fondu bei Modernizavimo fondu susijusi raida. </w:t>
      </w:r>
    </w:p>
    <w:p w14:paraId="3F8BAEFE" w14:textId="67BFB6BF" w:rsidR="00DD681D" w:rsidRPr="00685D02" w:rsidRDefault="00DD681D" w:rsidP="00317318">
      <w:pPr>
        <w:pStyle w:val="CMR-text"/>
        <w:rPr>
          <w:rFonts w:cs="Times New Roman"/>
          <w:noProof/>
        </w:rPr>
      </w:pPr>
      <w:r>
        <w:rPr>
          <w:noProof/>
        </w:rPr>
        <w:t xml:space="preserve">Ataskaitoje nurodomi 2026 m. įsigaliosiantys ES ATLPS viršutinės ribos koregavimai dėl planuojamo atskaitos lygio keitimo, taikymo srities išplėtimo (įtraukiama daugiau jūrų transporto išmetamų šiltnamio efektą sukeliančių dujų rūšių) ir atnaujinto mažųjų teršėjų, neįtrauktų į sistemą, sąrašo. </w:t>
      </w:r>
    </w:p>
    <w:p w14:paraId="46532982" w14:textId="25E725DF" w:rsidR="00447C9A" w:rsidRPr="00685D02" w:rsidRDefault="00447C9A" w:rsidP="00447C9A">
      <w:pPr>
        <w:pStyle w:val="CMR-text"/>
        <w:rPr>
          <w:rStyle w:val="CMR-textChar"/>
          <w:rFonts w:cs="Times New Roman"/>
          <w:noProof/>
        </w:rPr>
      </w:pPr>
      <w:r>
        <w:rPr>
          <w:rStyle w:val="CMR-textChar"/>
          <w:noProof/>
        </w:rPr>
        <w:t>Ši ataskaita priimta pagal ES ATLPS direktyvos (Direktyva 2003/87/EB)</w:t>
      </w:r>
      <w:r>
        <w:rPr>
          <w:rStyle w:val="CMR-textChar"/>
          <w:rFonts w:cs="Times New Roman"/>
          <w:noProof/>
          <w:vertAlign w:val="superscript"/>
          <w:lang w:val="en-IE"/>
        </w:rPr>
        <w:footnoteReference w:id="4"/>
      </w:r>
      <w:r>
        <w:rPr>
          <w:rStyle w:val="CMR-textChar"/>
          <w:noProof/>
        </w:rPr>
        <w:t xml:space="preserve"> 10 straipsnio 5 dalį ir 21 straipsnio 2 dalį. Joje daugiausia remiamasi Sąjungos registro ir nacionalinių ataskaitų duomenimis. Prie ataskaitos pridedamas Komisijos tarnybų darbinis dokumentas (techninė informacija). Ataskaita parengta prieš Europos Sąjungos Tarybos (Aplinkos tarybos) posėdį, įvykusį 2025 m. lapkričio 4–5 d.</w:t>
      </w:r>
    </w:p>
    <w:p w14:paraId="46D2769B" w14:textId="0449AEB0" w:rsidR="00613B80" w:rsidRPr="00EC4FC3" w:rsidRDefault="00FB43F0" w:rsidP="00EC4FC3">
      <w:pPr>
        <w:pStyle w:val="CMR-Heading"/>
        <w:rPr>
          <w:noProof/>
        </w:rPr>
      </w:pPr>
      <w:bookmarkStart w:id="6" w:name="_Toc180513390"/>
      <w:bookmarkStart w:id="7" w:name="_Toc219127258"/>
      <w:bookmarkStart w:id="8" w:name="bookmark57"/>
      <w:r>
        <w:rPr>
          <w:noProof/>
        </w:rPr>
        <w:t>Dabartinė ES ATLPS padėtis</w:t>
      </w:r>
      <w:bookmarkEnd w:id="6"/>
      <w:bookmarkEnd w:id="7"/>
    </w:p>
    <w:p w14:paraId="7DC0390C" w14:textId="58FA068A" w:rsidR="009268E7" w:rsidRPr="00EC4FC3" w:rsidRDefault="009268E7" w:rsidP="00EC4FC3">
      <w:pPr>
        <w:pStyle w:val="CMR-Subheading"/>
        <w:rPr>
          <w:noProof/>
        </w:rPr>
      </w:pPr>
      <w:bookmarkStart w:id="9" w:name="_Toc180513391"/>
      <w:bookmarkStart w:id="10" w:name="_Toc219127259"/>
      <w:bookmarkEnd w:id="8"/>
      <w:r>
        <w:rPr>
          <w:noProof/>
        </w:rPr>
        <w:t>Taikymo sritis ir aprėptis</w:t>
      </w:r>
      <w:bookmarkEnd w:id="9"/>
      <w:bookmarkEnd w:id="10"/>
    </w:p>
    <w:p w14:paraId="45F415F4" w14:textId="10331674" w:rsidR="00F65AD8" w:rsidRPr="00685D02" w:rsidRDefault="00825622" w:rsidP="00F65AD8">
      <w:pPr>
        <w:spacing w:before="120" w:after="120" w:line="276" w:lineRule="auto"/>
        <w:jc w:val="both"/>
        <w:rPr>
          <w:rFonts w:ascii="Times New Roman" w:hAnsi="Times New Roman" w:cs="Times New Roman"/>
          <w:noProof/>
          <w:kern w:val="0"/>
          <w14:ligatures w14:val="none"/>
        </w:rPr>
      </w:pPr>
      <w:r>
        <w:rPr>
          <w:rFonts w:ascii="Times New Roman" w:hAnsi="Times New Roman"/>
          <w:noProof/>
        </w:rPr>
        <w:t>ES ATLPS taikoma visose 27 ES valstybėse narėse, taip pat Islandijoje, Lichtenšteine ir Norvegijoje, ir elektrinėms Šiaurės Airijoje</w:t>
      </w:r>
      <w:r>
        <w:rPr>
          <w:rFonts w:ascii="Times New Roman" w:hAnsi="Times New Roman" w:cs="Times New Roman"/>
          <w:noProof/>
          <w:kern w:val="0"/>
          <w:vertAlign w:val="superscript"/>
          <w:lang w:val="en-IE"/>
        </w:rPr>
        <w:footnoteReference w:id="5"/>
      </w:r>
      <w:r>
        <w:rPr>
          <w:rFonts w:ascii="Times New Roman" w:hAnsi="Times New Roman"/>
          <w:noProof/>
        </w:rPr>
        <w:t xml:space="preserve">. Nuo 2020 m. sausio mėn. ES ATLPS yra susieta su Šveicarijos apyvartinių taršos leidimų prekybos sistema (toliau – Šveicarijos ATLPS). </w:t>
      </w:r>
    </w:p>
    <w:p w14:paraId="56EA70F6" w14:textId="6F077C3A" w:rsidR="000E17ED" w:rsidRPr="00685D02" w:rsidRDefault="000E17ED" w:rsidP="0051688B">
      <w:pPr>
        <w:pStyle w:val="CMR-text"/>
        <w:rPr>
          <w:rFonts w:cs="Times New Roman"/>
          <w:noProof/>
        </w:rPr>
      </w:pPr>
      <w:r>
        <w:rPr>
          <w:noProof/>
        </w:rPr>
        <w:t>Nuo 2024 m. sektorinė ES ATLPS taikymo sritis apima daugiau kaip 12 000 subjektų išmetamas ŠESD:</w:t>
      </w:r>
    </w:p>
    <w:p w14:paraId="57A744A2" w14:textId="58BCD752" w:rsidR="000E17ED" w:rsidRPr="00685D02" w:rsidRDefault="005E0FFD" w:rsidP="000E17ED">
      <w:pPr>
        <w:pStyle w:val="CMR-text"/>
        <w:numPr>
          <w:ilvl w:val="0"/>
          <w:numId w:val="42"/>
        </w:numPr>
        <w:rPr>
          <w:rFonts w:cs="Times New Roman"/>
          <w:noProof/>
        </w:rPr>
      </w:pPr>
      <w:r>
        <w:rPr>
          <w:noProof/>
        </w:rPr>
        <w:t>iš elektros energijos ir šilumos gamybos įrenginių ir pramoninės gamybos įrenginių Europoje;</w:t>
      </w:r>
    </w:p>
    <w:p w14:paraId="38321660" w14:textId="75C7F7B6" w:rsidR="000E17ED" w:rsidRPr="00685D02" w:rsidRDefault="005E0FFD" w:rsidP="00B17867">
      <w:pPr>
        <w:pStyle w:val="CMR-text"/>
        <w:numPr>
          <w:ilvl w:val="0"/>
          <w:numId w:val="42"/>
        </w:numPr>
        <w:rPr>
          <w:rFonts w:cs="Times New Roman"/>
          <w:noProof/>
        </w:rPr>
      </w:pPr>
      <w:r>
        <w:rPr>
          <w:noProof/>
        </w:rPr>
        <w:t xml:space="preserve">orlaivių naudotojams vykdant skrydžius tarp oro uostų Europos ekonominėje erdvėje (EEE), taip pat iš EEE į Šveicariją ir Jungtinę Karalystę; </w:t>
      </w:r>
    </w:p>
    <w:p w14:paraId="6B9F486C" w14:textId="20717BA5" w:rsidR="00315ABD" w:rsidRPr="00685D02" w:rsidRDefault="005E0FFD" w:rsidP="00B17867">
      <w:pPr>
        <w:pStyle w:val="CMR-text"/>
        <w:numPr>
          <w:ilvl w:val="0"/>
          <w:numId w:val="42"/>
        </w:numPr>
        <w:rPr>
          <w:rFonts w:cs="Times New Roman"/>
          <w:noProof/>
        </w:rPr>
      </w:pPr>
      <w:r>
        <w:rPr>
          <w:noProof/>
        </w:rPr>
        <w:t xml:space="preserve">vykdant jūrų transporto veiklą tarp dviejų EEE uostų ir kai laivai yra EEE uostuose; sistema taip pat taikoma pusei per reisus į EEE uostus arba iš jų, kurie prasideda arba baigiasi už EEE ribų, išmetamų ŠESD. </w:t>
      </w:r>
    </w:p>
    <w:p w14:paraId="3EAF85BE" w14:textId="20512432" w:rsidR="009A070B" w:rsidRPr="00685D02" w:rsidRDefault="00070ECA" w:rsidP="00AB2562">
      <w:pPr>
        <w:pStyle w:val="CMR-text"/>
        <w:rPr>
          <w:rFonts w:cs="Times New Roman"/>
          <w:noProof/>
        </w:rPr>
      </w:pPr>
      <w:r>
        <w:rPr>
          <w:noProof/>
        </w:rPr>
        <w:t>ES ATLPS taikoma ne tik išmetamam CO</w:t>
      </w:r>
      <w:r>
        <w:rPr>
          <w:noProof/>
          <w:vertAlign w:val="subscript"/>
        </w:rPr>
        <w:t>2</w:t>
      </w:r>
      <w:r>
        <w:rPr>
          <w:noProof/>
        </w:rPr>
        <w:t>, bet ir kitoms iš elektros energijos ir šilumos gamybos įrenginių ir pramoninės gamybos įrenginių išmetamoms ŠESD. Tai apima:</w:t>
      </w:r>
    </w:p>
    <w:p w14:paraId="2961D1B3" w14:textId="1E534F20" w:rsidR="009A070B" w:rsidRPr="00685D02" w:rsidRDefault="00AB2562" w:rsidP="009A070B">
      <w:pPr>
        <w:pStyle w:val="CMR-text"/>
        <w:numPr>
          <w:ilvl w:val="0"/>
          <w:numId w:val="50"/>
        </w:numPr>
        <w:rPr>
          <w:rFonts w:cs="Times New Roman"/>
          <w:noProof/>
        </w:rPr>
      </w:pPr>
      <w:r>
        <w:rPr>
          <w:noProof/>
        </w:rPr>
        <w:t>N</w:t>
      </w:r>
      <w:r>
        <w:rPr>
          <w:noProof/>
          <w:vertAlign w:val="subscript"/>
        </w:rPr>
        <w:t>2</w:t>
      </w:r>
      <w:r>
        <w:rPr>
          <w:noProof/>
        </w:rPr>
        <w:t xml:space="preserve">O (diazoto oksidą) nitrato, adipo ir glioksilo rūgščių ir glioksalio gamyboje; </w:t>
      </w:r>
    </w:p>
    <w:p w14:paraId="74B8EDB6" w14:textId="77777777" w:rsidR="00890F31" w:rsidRPr="00685D02" w:rsidRDefault="00AB2562" w:rsidP="00890F31">
      <w:pPr>
        <w:pStyle w:val="CMR-text"/>
        <w:numPr>
          <w:ilvl w:val="0"/>
          <w:numId w:val="50"/>
        </w:numPr>
        <w:rPr>
          <w:rFonts w:cs="Times New Roman"/>
          <w:noProof/>
        </w:rPr>
      </w:pPr>
      <w:r>
        <w:rPr>
          <w:noProof/>
        </w:rPr>
        <w:t>PFC (perfluorangliavandenilius) pirminio aliuminio gamyboje.</w:t>
      </w:r>
    </w:p>
    <w:p w14:paraId="7E63596C" w14:textId="0C6DFC29" w:rsidR="00BE2312" w:rsidRPr="00685D02" w:rsidRDefault="00973338">
      <w:pPr>
        <w:pStyle w:val="CMR-text"/>
        <w:rPr>
          <w:rFonts w:cs="Times New Roman"/>
          <w:noProof/>
        </w:rPr>
      </w:pPr>
      <w:r>
        <w:rPr>
          <w:noProof/>
        </w:rPr>
        <w:t>Vykdant jūrų transporto veiklą išmetamam metanui (CH</w:t>
      </w:r>
      <w:r>
        <w:rPr>
          <w:noProof/>
          <w:vertAlign w:val="subscript"/>
        </w:rPr>
        <w:t>4</w:t>
      </w:r>
      <w:r>
        <w:rPr>
          <w:noProof/>
        </w:rPr>
        <w:t>) ir diazoto oksidui (N</w:t>
      </w:r>
      <w:r>
        <w:rPr>
          <w:noProof/>
          <w:vertAlign w:val="subscript"/>
        </w:rPr>
        <w:t>2</w:t>
      </w:r>
      <w:r>
        <w:rPr>
          <w:noProof/>
        </w:rPr>
        <w:t xml:space="preserve">O) sistema taikoma nuo 2026 m. sausio mėn. </w:t>
      </w:r>
    </w:p>
    <w:p w14:paraId="6B9B7510" w14:textId="51B50D62" w:rsidR="00070ECA" w:rsidRPr="00685D02" w:rsidRDefault="00AB2562" w:rsidP="00854C42">
      <w:pPr>
        <w:pStyle w:val="CMR-text"/>
        <w:rPr>
          <w:rFonts w:cs="Times New Roman"/>
          <w:noProof/>
        </w:rPr>
      </w:pPr>
      <w:r>
        <w:rPr>
          <w:noProof/>
        </w:rPr>
        <w:t>2024 m. 23 šalys pranešė, kad suteikė leidimus veiklai, kuriai taikoma ATLPS ir kurią vykdant išmetamos kitos šiltnamio efektą sukeliančios dujos nei CO</w:t>
      </w:r>
      <w:r>
        <w:rPr>
          <w:noProof/>
          <w:vertAlign w:val="subscript"/>
        </w:rPr>
        <w:t>2</w:t>
      </w:r>
      <w:r>
        <w:rPr>
          <w:noProof/>
        </w:rPr>
        <w:t>. Keturios šalys pranešė į leidimus įrenginiams įtraukusios anglies dioksido surinkimo ir saugojimo veiklą</w:t>
      </w:r>
      <w:r>
        <w:rPr>
          <w:rStyle w:val="FootnoteReference"/>
          <w:rFonts w:cs="Times New Roman"/>
          <w:noProof/>
          <w:lang w:val="en-IE"/>
        </w:rPr>
        <w:footnoteReference w:id="6"/>
      </w:r>
      <w:r>
        <w:rPr>
          <w:noProof/>
        </w:rPr>
        <w:t>.</w:t>
      </w:r>
    </w:p>
    <w:p w14:paraId="2CBE0C8C" w14:textId="0ABB92F6" w:rsidR="00AD2625" w:rsidRPr="00685D02" w:rsidRDefault="003271ED" w:rsidP="003754EE">
      <w:pPr>
        <w:pStyle w:val="CMR-text"/>
        <w:rPr>
          <w:rFonts w:cs="Times New Roman"/>
          <w:noProof/>
        </w:rPr>
      </w:pPr>
      <w:r>
        <w:rPr>
          <w:noProof/>
        </w:rPr>
        <w:t>Nuo 2024 m. pagal ES ATLPS vykdoma komunalinių atliekų deginimo įrenginių išmetamų teršalų kiekio stebėsena ir ataskaitų teikimas. Vis dėlto šiuos įrenginius eksploatuojantiems subjektams už iš išmetamus teršalus atsisakyti apyvartinių taršos leidimų nereikia. Apdorojant atliekas išmetamiems teršalams taikomi nacionaliniai išmetamo ŠESD kiekio mažinimo tikslai pagal Pastangų pasidalijimo reglamentą (Reglamentas (ES) 2018/842)</w:t>
      </w:r>
      <w:r>
        <w:rPr>
          <w:rStyle w:val="FootnoteReference"/>
          <w:rFonts w:cs="Times New Roman"/>
          <w:noProof/>
          <w:lang w:val="en-IE"/>
        </w:rPr>
        <w:footnoteReference w:id="7"/>
      </w:r>
      <w:r>
        <w:rPr>
          <w:noProof/>
        </w:rPr>
        <w:t>.</w:t>
      </w:r>
    </w:p>
    <w:p w14:paraId="59104185" w14:textId="7A82A712" w:rsidR="003754EE" w:rsidRPr="00685D02" w:rsidRDefault="00F27D7B" w:rsidP="50C721A3">
      <w:pPr>
        <w:pStyle w:val="CMR-text"/>
        <w:rPr>
          <w:rFonts w:cs="Times New Roman"/>
          <w:noProof/>
        </w:rPr>
      </w:pPr>
      <w:r>
        <w:rPr>
          <w:noProof/>
        </w:rPr>
        <w:t xml:space="preserve">Informacijos apie įrenginius, orlaivių naudotojus ir laivybos bendroves, taip pat apie ŠESD, dėl kurių teikiami duomenys ES ATLPS taikymo srityje (tokioje, kokia ji buvo 2024 m.), pateikta pridedamo Komisijos tarnybų darbinio dokumento 1 skirsnyje.  </w:t>
      </w:r>
    </w:p>
    <w:p w14:paraId="0472DEF2" w14:textId="5D3B8548" w:rsidR="002A77C7" w:rsidRPr="00EC4FC3" w:rsidRDefault="00981812" w:rsidP="00EC4FC3">
      <w:pPr>
        <w:pStyle w:val="CMR-Subheading"/>
        <w:rPr>
          <w:noProof/>
        </w:rPr>
      </w:pPr>
      <w:bookmarkStart w:id="11" w:name="_Toc180513392"/>
      <w:bookmarkStart w:id="12" w:name="_Toc219127260"/>
      <w:bookmarkStart w:id="13" w:name="bookmark58"/>
      <w:r>
        <w:rPr>
          <w:noProof/>
        </w:rPr>
        <w:t>ATLPS 2 – naujoji apyvartinių taršos leidimų prekybos sistema, taikoma pastatams, kelių transportui ir papildomiems sektoriams</w:t>
      </w:r>
      <w:bookmarkEnd w:id="11"/>
      <w:bookmarkEnd w:id="12"/>
    </w:p>
    <w:bookmarkEnd w:id="13"/>
    <w:p w14:paraId="7D7D3DFB" w14:textId="11535938" w:rsidR="00CD7286" w:rsidRPr="00685D02" w:rsidRDefault="46BD1937" w:rsidP="50C721A3">
      <w:pPr>
        <w:pStyle w:val="CMR-text"/>
        <w:rPr>
          <w:rFonts w:eastAsia="Calibri" w:cs="Times New Roman"/>
          <w:noProof/>
        </w:rPr>
      </w:pPr>
      <w:r>
        <w:rPr>
          <w:noProof/>
        </w:rPr>
        <w:t>Per 2023 m. atliktą ES ATLPS direktyvos peržiūrą sukurta nauja apyvartinių taršos leidimų prekybos sistema (ATLPS 2), apimanti pastatuose, kelių transporto veikloje ir papildomuose sektoriuose (daugiausia smulkiojoje pramonėje, neįtrauktoje į esamą ES ATLPS) deginant kurą išmetamą CO</w:t>
      </w:r>
      <w:r>
        <w:rPr>
          <w:noProof/>
          <w:vertAlign w:val="subscript"/>
        </w:rPr>
        <w:t>2</w:t>
      </w:r>
      <w:r>
        <w:rPr>
          <w:noProof/>
        </w:rPr>
        <w:t xml:space="preserve">. </w:t>
      </w:r>
    </w:p>
    <w:p w14:paraId="7F3734C8" w14:textId="0E3E0D8E" w:rsidR="00E662C8" w:rsidRPr="00685D02" w:rsidRDefault="004F3320" w:rsidP="00B17867">
      <w:pPr>
        <w:pStyle w:val="CMR-text"/>
        <w:rPr>
          <w:rFonts w:eastAsia="Calibri" w:cs="Times New Roman"/>
          <w:noProof/>
        </w:rPr>
      </w:pPr>
      <w:r>
        <w:rPr>
          <w:noProof/>
        </w:rPr>
        <w:t xml:space="preserve">ATLPS 2 yra atskira nuo esamos ES ATLPS. Abi sistemos yra didžiausio kiekio nustatymo ir prekybos sistemos, tačiau ATLPS 2 apima tiekimo grandinės pradinės grandies išmetamuosius teršalus. Tai reiškia, kad kuro tiekėjai (reguliuojamieji subjektai) privalo stebėti ir pranešti teršalų kiekį, išmetamą deginant kurą, jų tiekiamą vartoti į ATLPS 2 taikymo sritį įtrauktuose sektoriuose, ir pirkti tą išmetamą teršalų kiekį atitinkančius apyvartinius taršos leidimus bei po to jų atsisakyti. Į ATLPS 2 taikymo sritį patenkantys reguliuojamieji subjektai nuo 2025 m. sausio mėn. privalo turėti leidimą išmesti ŠESD ir patvirtintą stebėsenos planą, pagal kurį bus stebimas ir pranešamas jų per metus išmetamas ŠESD kiekis. </w:t>
      </w:r>
    </w:p>
    <w:p w14:paraId="1B06BD3E" w14:textId="423184D1" w:rsidR="006E1E23" w:rsidRPr="00685D02" w:rsidRDefault="007B36A8" w:rsidP="004877AA">
      <w:pPr>
        <w:pStyle w:val="CMR-text"/>
        <w:rPr>
          <w:rFonts w:eastAsia="Calibri" w:cs="Times New Roman"/>
          <w:noProof/>
        </w:rPr>
      </w:pPr>
      <w:r>
        <w:rPr>
          <w:noProof/>
        </w:rPr>
        <w:t xml:space="preserve">Metines patikrinto išmestų teršalų kiekio ataskaitas bus privaloma teikti dėl teršalų, išmetamų nuo 2025 m.; ataskaitos turės būti pateiktos iki kitų metų balandžio 30 d., taigi ataskaitas dėl 2025 m. išmestų teršalų reikės pateikti 2026 m. Ataskaitos teikimo metais iki gegužės 31 d. reguliuojamieji subjektai turės atsisakyti tiek apyvartinių taršos leidimų, kiek atitinka jų išmestą teršalų kiekį. Šios pareigos atlikimas galėtų būti vieniems metams atidėtas tuo atveju, jei 2026 m. pirmąjį pusmetį dujų ar naftos kainos būtų išskirtinai didelės. Dėl ATLPS 2 įgyvendinimo tvarkos ir patvirtinamųjų dokumentų žr. 11 skyrių.  </w:t>
      </w:r>
    </w:p>
    <w:p w14:paraId="6B4CEC35" w14:textId="0DC99E69" w:rsidR="001F37A3" w:rsidRPr="00685D02" w:rsidRDefault="002D1BB3" w:rsidP="7577C652">
      <w:pPr>
        <w:pStyle w:val="CMR-text"/>
        <w:rPr>
          <w:rFonts w:eastAsia="Calibri" w:cs="Times New Roman"/>
          <w:noProof/>
        </w:rPr>
      </w:pPr>
      <w:r>
        <w:rPr>
          <w:noProof/>
        </w:rPr>
        <w:t>2024 m. gruodžio mėn. Komisija paskelbė ATLPS 2 apyvartinių taršos leidimų kiekį 2027 m. visoje ES. Ši viršutinė riba 2027 m. yra 1 036 288 784 apyvartiniai taršos leidimai (toliau – ATL) 27 šalių Europos Sąjungai ir trims ELPA valstybėms EEE narėms. ATLPS 2 viršutinė riba, taikoma 2027 m., apskaičiuota remiantis vidutiniu 2016–2018 m. veikloje, kurią apima ATLPS 2, deginant kurą išmestu CO</w:t>
      </w:r>
      <w:r>
        <w:rPr>
          <w:noProof/>
          <w:vertAlign w:val="subscript"/>
        </w:rPr>
        <w:t>2</w:t>
      </w:r>
      <w:r>
        <w:rPr>
          <w:noProof/>
        </w:rPr>
        <w:t xml:space="preserve"> kiekiu. Pagal ES ATLPS direktyvą tas vidutinis kiekis iki 2027 m. sumažinamas taip: i) iki 2024 m. taikant linijinę mažinimo trajektoriją, atitinkančią tą, kuri nustatyta visiems Pastangų pasidalijimo reglamento taikymo srityje išmetamiems teršalams, ir ii) 2025–2027 m. taikant kasmetinį 5,1 proc. linijinį mažinimo koeficientą.</w:t>
      </w:r>
    </w:p>
    <w:p w14:paraId="023DC044" w14:textId="25597D8C" w:rsidR="004877AA" w:rsidRPr="00685D02" w:rsidRDefault="00FD385D" w:rsidP="00B17867">
      <w:pPr>
        <w:pStyle w:val="CMR-text"/>
        <w:rPr>
          <w:rFonts w:eastAsia="Calibri" w:cs="Times New Roman"/>
          <w:noProof/>
        </w:rPr>
      </w:pPr>
      <w:r>
        <w:rPr>
          <w:noProof/>
        </w:rPr>
        <w:t>ATLPS 2 viršutinė riba, taikytina nuo 2028 m., bus nustatyta iki 2027 m. birželio mėn., remiantis vidutiniu ATLPS 2 reguliuojamųjų subjektų ataskaitose nurodytu 2024–2026 m. išmestu CO</w:t>
      </w:r>
      <w:r>
        <w:rPr>
          <w:noProof/>
          <w:vertAlign w:val="subscript"/>
        </w:rPr>
        <w:t>2</w:t>
      </w:r>
      <w:r>
        <w:rPr>
          <w:noProof/>
        </w:rPr>
        <w:t xml:space="preserve"> kiekiu. Valstybės narės gali nuspręsti vienašališkai į ATLPS 2 įtraukti CO</w:t>
      </w:r>
      <w:r>
        <w:rPr>
          <w:noProof/>
          <w:vertAlign w:val="subscript"/>
        </w:rPr>
        <w:t>2</w:t>
      </w:r>
      <w:r>
        <w:rPr>
          <w:noProof/>
        </w:rPr>
        <w:t xml:space="preserve"> kiekį, išmetamą vykdant veiklą, neįtrauktą į ES ATLPS direktyvos taikymo sritį, jei tam pritaria Europos Komisija. Komisija jau yra pritarusi Austrijos, Nyderlandų, Suomijos ir Švedijos pasirinkimui įtraukti papildomą veiklą. ATLPS 2 viršutinė riba, taikoma 2027 m., bus pakeista atsižvelgiant į papildomą dėl šalių pasirinkimo susidarantį išmetamų teršalų kiekį.</w:t>
      </w:r>
    </w:p>
    <w:p w14:paraId="6C168E36" w14:textId="23141219" w:rsidR="00400A0B" w:rsidRPr="00685D02" w:rsidRDefault="00482AFF" w:rsidP="00B17867">
      <w:pPr>
        <w:pStyle w:val="CMR-text"/>
        <w:rPr>
          <w:rFonts w:eastAsia="Calibri" w:cs="Times New Roman"/>
          <w:noProof/>
        </w:rPr>
      </w:pPr>
      <w:r>
        <w:rPr>
          <w:noProof/>
        </w:rPr>
        <w:t>ATLPS 2 papildo nacionalinius išmetamo ŠESD kiekio mažinimo tikslus pagal Pastangų pasidalijimo reglamentą. Valstybės narės privalo į ATLPS 2 įtrauktuose sektoriuose įgyvendinti papildomas politikos priemones – ne tik tam, kad pasiektų savo tikslus, bet ir tam, kad ATLPS 2 kainų lygis būtų suvaldomas. 2025 m. rugsėjo mėn. Komisija paskelbė veiksmingų politikos iniciatyvų ir priemonių, kuriomis gali būti padedama mažinti kelių transporto ir pastatų sektoriuose išmetamų teršalų kiekį, apžvalgą</w:t>
      </w:r>
      <w:r>
        <w:rPr>
          <w:rStyle w:val="FootnoteReference"/>
          <w:rFonts w:eastAsia="Calibri" w:cs="Times New Roman"/>
          <w:noProof/>
          <w:lang w:val="en-IE"/>
        </w:rPr>
        <w:footnoteReference w:id="8"/>
      </w:r>
      <w:r>
        <w:rPr>
          <w:noProof/>
        </w:rPr>
        <w:t>.</w:t>
      </w:r>
    </w:p>
    <w:p w14:paraId="65544CC7" w14:textId="76D3CE2B" w:rsidR="00981812" w:rsidRPr="00EC4FC3" w:rsidRDefault="00981812" w:rsidP="00EC4FC3">
      <w:pPr>
        <w:pStyle w:val="CMR-Subheading"/>
        <w:rPr>
          <w:noProof/>
        </w:rPr>
      </w:pPr>
      <w:bookmarkStart w:id="14" w:name="_Toc180513393"/>
      <w:bookmarkStart w:id="15" w:name="_Toc219127261"/>
      <w:r>
        <w:rPr>
          <w:noProof/>
        </w:rPr>
        <w:t>Socialinis klimato fondas</w:t>
      </w:r>
      <w:bookmarkEnd w:id="14"/>
      <w:bookmarkEnd w:id="15"/>
    </w:p>
    <w:p w14:paraId="4F6B61D4" w14:textId="0743A4E7" w:rsidR="0514A328" w:rsidRPr="00685D02" w:rsidRDefault="00B94D6D" w:rsidP="00A31D0C">
      <w:pPr>
        <w:pStyle w:val="CMR-text"/>
        <w:rPr>
          <w:rFonts w:eastAsia="Calibri" w:cs="Times New Roman"/>
          <w:noProof/>
        </w:rPr>
      </w:pPr>
      <w:r>
        <w:rPr>
          <w:noProof/>
        </w:rPr>
        <w:t xml:space="preserve">Kartu su ATLPS 2 įsteigtas Socialinis klimato fondas (toliau – SKF) siekiant teikti valstybėms narėms finansavimą, kad jos spręstų su socialiniu poveikiu dėl pastatų ir kelių transporto sektorių įtraukimo į naująją sistemą susijusias problemas ir remtų pažeidžiamiausias visuomenės grupes, visų pirma namų ūkius, kuriuose patiriamas energijos ar transporto nepriteklius. </w:t>
      </w:r>
    </w:p>
    <w:p w14:paraId="49134771" w14:textId="79A4F763" w:rsidR="0514A328" w:rsidRPr="00685D02" w:rsidRDefault="0514A328">
      <w:pPr>
        <w:pStyle w:val="CMR-text"/>
        <w:rPr>
          <w:rFonts w:eastAsia="Calibri" w:cs="Times New Roman"/>
          <w:noProof/>
        </w:rPr>
      </w:pPr>
      <w:r>
        <w:rPr>
          <w:noProof/>
        </w:rPr>
        <w:t xml:space="preserve">Šis fondas, kuris bus finansuojamas išorės asignuotosiomis pajamomis, daugiausia gautomis aukcionuose pardavus ATLPS 2 apyvartinius taršos leidimus, taip pat aukcionuose pardavus 50 mln. esamos ES ATLPS apyvartinių taršos leidimų (tai jau pradėta 2025 m.), per 2026–2032 m. laikotarpį suteiks 65 mlrd. EUR paramą (einamosiomis kainomis). Fondo finansiniai asignavimai kiekvienai valstybei narei nustatyti pagal išmetamųjų teršalų kiekį, gyventojų populiacijos struktūrą, patiriamą energijos bei transporto nepriteklių ir santykinius gerovės rodiklius. Valstybės narės turėjo iki 2025 m. birželio 30 d. pateikti Komisijai patvirtinti nacionalinius socialinius klimato planus, kuriuose būtų išdėstyta, kaip jos ketina panaudoti joms skirtus Socialinio klimato fondo išteklius. Kartu su privalomu valstybių narių minimaliu 25 proc. įnašu, skiriamu jų planams įgyvendinti, Socialinis klimato fondas sutelks ne mažiau kaip 86,7 mlrd. EUR lėšų. </w:t>
      </w:r>
    </w:p>
    <w:p w14:paraId="7CA7185C" w14:textId="2A98BE98" w:rsidR="006D7E6C" w:rsidRPr="00EC4FC3" w:rsidRDefault="006D7E6C" w:rsidP="00EC4FC3">
      <w:pPr>
        <w:pStyle w:val="CMR-SubHead2"/>
        <w:rPr>
          <w:noProof/>
        </w:rPr>
      </w:pPr>
      <w:bookmarkStart w:id="16" w:name="_Toc219127262"/>
      <w:r>
        <w:rPr>
          <w:noProof/>
        </w:rPr>
        <w:t>Socialiniai klimato planai</w:t>
      </w:r>
      <w:bookmarkEnd w:id="16"/>
    </w:p>
    <w:p w14:paraId="36618F50" w14:textId="2C883E5A" w:rsidR="00527522" w:rsidRPr="00685D02" w:rsidRDefault="0514A328">
      <w:pPr>
        <w:pStyle w:val="CMR-text"/>
        <w:rPr>
          <w:rFonts w:eastAsia="Calibri" w:cs="Times New Roman"/>
          <w:noProof/>
        </w:rPr>
      </w:pPr>
      <w:r>
        <w:rPr>
          <w:noProof/>
        </w:rPr>
        <w:t xml:space="preserve">Į socialinius klimato planus turėtų būti įtraukta tikėtino ATLPS 2 poveikio pažeidžiamoms grupėms analizė, taip pat struktūrinės priemonės ir investicijos šiam poveikiui švelninti, tikslingai taikomos nustatytoms pažeidžiamoms grupėms. Priemonės ir investicijos galėtų apimti energijos vartojimo efektyvumo didinimą ir pastatų renovaciją, netaršaus šildymo ir vėsinimo plėtrą ir atsinaujinančiųjų išteklių energijos integravimą, taip pat visai netaršaus ir, tinkamai pagrįstais atvejais, mažataršio judumo sprendimų (įskaitant viešąjį transportą) diegimą. </w:t>
      </w:r>
    </w:p>
    <w:p w14:paraId="4188892B" w14:textId="1767C88F" w:rsidR="00B24028" w:rsidRPr="00685D02" w:rsidRDefault="0514A328" w:rsidP="00B24028">
      <w:pPr>
        <w:pStyle w:val="CMR-text"/>
        <w:rPr>
          <w:rFonts w:eastAsia="Calibri" w:cs="Times New Roman"/>
          <w:noProof/>
        </w:rPr>
      </w:pPr>
      <w:r>
        <w:rPr>
          <w:noProof/>
        </w:rPr>
        <w:t>Visos priemonės ir investicijos turi atitikti reikšmingos žalos nedarymo principą, kuriuo vadovaujamasi dėl šešių Taksonomijos reglamente (Reglamentas (ES) 2020/852) nustatytų aplinkos tikslų. Valstybės narės taip pat turi galimybę ribotą savo SKF asignavimų dalį panaudoti laikinai tiesioginei paramai pajamoms. Be to, valstybės narės turi užtikrinti politikos suderinamumą su jų nacionaliniais energetikos ir klimato srities veiksmų planais (NEKSVP), o į socialinius klimato planus gali būti įtraukta papildomų priemonių siekiant didinti suderinamumą ir stiprinti paskatas rinktis netaršias alternatyvas.</w:t>
      </w:r>
    </w:p>
    <w:p w14:paraId="0F225FCF" w14:textId="550A79A3" w:rsidR="0514A328" w:rsidRPr="00685D02" w:rsidRDefault="08BC77B9" w:rsidP="2DC1D0FA">
      <w:pPr>
        <w:pStyle w:val="CMR-text"/>
        <w:rPr>
          <w:rFonts w:eastAsia="Calibri" w:cs="Times New Roman"/>
          <w:noProof/>
        </w:rPr>
      </w:pPr>
      <w:r>
        <w:rPr>
          <w:noProof/>
        </w:rPr>
        <w:t>Jau 2023 m. Komisija sudarė specialią ekspertų grupę, kurioje dalyvauja valstybių narių atstovai; joje reguliariai susitinkama aptarti geriausios praktikos ir pasidalyti jos pavyzdžiais. Komisija taip pat paskelbė keletą teminių pranešimų ir rekomendacinių dokumentų. 2024 m. birželio mėn. paskelbti du pranešimai dėl geriausios praktikos, susijusios su ekonomiškai efektyviomis priemonėmis bei investicijomis ir su tinkamomis viešomis konsultacijomis. 2025 m. kovo mėn. paskelbti du rekomendaciniai dokumentai – dėl socialinių klimato planų rengimo ir dėl reikšmingos žalos nedarymo principo taikymo. Naujausias rekomendacinis dokumentas dėl stebėsenos ir įgyvendinimo paskelbtas 2025 m. spalio mėn.</w:t>
      </w:r>
      <w:r>
        <w:rPr>
          <w:rStyle w:val="FootnoteReference"/>
          <w:rFonts w:eastAsia="Calibri" w:cs="Times New Roman"/>
          <w:noProof/>
          <w:lang w:val="en-IE"/>
        </w:rPr>
        <w:footnoteReference w:id="9"/>
      </w:r>
      <w:r>
        <w:rPr>
          <w:noProof/>
        </w:rPr>
        <w:t xml:space="preserve"> Be to, Komisija sukūrė platformą valstybėms narėms, kad jos visą laiką galėtų užduoti klausimų, kai jų iškyla. </w:t>
      </w:r>
    </w:p>
    <w:p w14:paraId="69974877" w14:textId="1640BB46" w:rsidR="0514A328" w:rsidRPr="00685D02" w:rsidRDefault="0514A328" w:rsidP="00A31D0C">
      <w:pPr>
        <w:pStyle w:val="CMR-text"/>
        <w:rPr>
          <w:rFonts w:eastAsia="Calibri" w:cs="Times New Roman"/>
          <w:noProof/>
        </w:rPr>
      </w:pPr>
      <w:r>
        <w:rPr>
          <w:noProof/>
        </w:rPr>
        <w:t xml:space="preserve">Komisija pagal techninės paramos priemonę tiesiogiai padėjo 10 valstybių narių rengti jų socialinius klimato planus. Parama apėmė pradinį ATLPS 2 poveikio ir pažeidžiamų grupių vertinimą, suinteresuotųjų subjektų įtraukimą, taip pat atitinkamų priemonių ir investicijų trumpojo sąrašo sudarymą ir jų apibūdinimą. </w:t>
      </w:r>
    </w:p>
    <w:p w14:paraId="1F0AD4D2" w14:textId="0B72811E" w:rsidR="0514A328" w:rsidRPr="00685D02" w:rsidRDefault="0514A328" w:rsidP="00A31D0C">
      <w:pPr>
        <w:pStyle w:val="CMR-text"/>
        <w:rPr>
          <w:rFonts w:eastAsia="Calibri" w:cs="Times New Roman"/>
          <w:noProof/>
        </w:rPr>
      </w:pPr>
      <w:r>
        <w:rPr>
          <w:noProof/>
        </w:rPr>
        <w:t>2024 m. pabaigoje ir 2025 m. pradžioje valstybės narės pradėjo privalomas konsultacijas su suinteresuotaisiais subjektais dėl savo socialinių klimato planų. Konsultacijos bus tęsiamos iki planai bus oficialiai pateikti. Tuo pat metu Komisijos narys W. Hoekstra 2025 m. birželio mėn. pirmininkavo per pirmąjį dialogą įgyvendinimo klausimais, surengtą dėl ATLPS 2 ir Socialinio klimato fondo įgyvendinimo; jame dalyvavo įvairių sektorių (įskaitant šilumos siurblius, automobilių pramonę, pastatų renovaciją, mikromobilumą, kuro tiekimą ir pilietinę visuomenę) suinteresuotųjų subjektų grupė.</w:t>
      </w:r>
    </w:p>
    <w:p w14:paraId="3BDF8E68" w14:textId="1AFE5B6E" w:rsidR="004874BD" w:rsidRDefault="00D07057">
      <w:pPr>
        <w:pStyle w:val="CMR-text"/>
        <w:rPr>
          <w:rFonts w:eastAsia="Calibri" w:cs="Times New Roman"/>
          <w:noProof/>
        </w:rPr>
      </w:pPr>
      <w:r>
        <w:rPr>
          <w:noProof/>
        </w:rPr>
        <w:t xml:space="preserve">Iki 2025 m. spalio mėn. vidurio dvi valstybės narės (Latvija ir Švedija) oficialiai pateikė savo planus Komisijai įvertinti. Komisija taip pat peržiūrėjo maždaug 15 šalių socialinių klimato planų projektus. Komisija glaudžiai bendradarbiauja su visomis valstybėmis narėmis per visą (išankstinio) pateikimo ir vertinimo procesą, primygtinai ragindama valstybes nares sparčiai įgyvendinti SKF ir pradėti teikti paramą pažeidžiamoms grupėms. </w:t>
      </w:r>
    </w:p>
    <w:p w14:paraId="5C949C6D" w14:textId="4C4CDDA3" w:rsidR="00026106" w:rsidRPr="00685D02" w:rsidRDefault="00966D14">
      <w:pPr>
        <w:pStyle w:val="CMR-text"/>
        <w:rPr>
          <w:rFonts w:eastAsia="Calibri" w:cs="Times New Roman"/>
          <w:noProof/>
        </w:rPr>
      </w:pPr>
      <w:r>
        <w:rPr>
          <w:noProof/>
        </w:rPr>
        <w:t xml:space="preserve">Komisija turi per penkis mėnesius įvertinti oficialiai pateiktus planus. Per du mėnesius nuo jų gavimo ji gali pateikti pastabų arba paprašyti atitinkamos valstybės narės pateikti papildomos informacijos. </w:t>
      </w:r>
    </w:p>
    <w:p w14:paraId="131CE6B0" w14:textId="205DCA2F" w:rsidR="00613B80" w:rsidRPr="00EC4FC3" w:rsidRDefault="00613B80" w:rsidP="00EC4FC3">
      <w:pPr>
        <w:pStyle w:val="CMR-Heading"/>
        <w:rPr>
          <w:noProof/>
        </w:rPr>
      </w:pPr>
      <w:bookmarkStart w:id="17" w:name="_Toc180513394"/>
      <w:bookmarkStart w:id="18" w:name="_Toc219127263"/>
      <w:r>
        <w:rPr>
          <w:noProof/>
        </w:rPr>
        <w:t>Išmetamųjų teršalų kiekio viršutinė riba (didžiausias apyvartinių taršos leidimų skaičius)</w:t>
      </w:r>
      <w:bookmarkEnd w:id="17"/>
      <w:bookmarkEnd w:id="18"/>
    </w:p>
    <w:p w14:paraId="0D948825" w14:textId="798312DE" w:rsidR="006E7BA3" w:rsidRPr="00685D02" w:rsidRDefault="00974DEC" w:rsidP="001856AF">
      <w:pPr>
        <w:pStyle w:val="CMR-text"/>
        <w:rPr>
          <w:rFonts w:cs="Times New Roman"/>
          <w:noProof/>
        </w:rPr>
      </w:pPr>
      <w:r>
        <w:rPr>
          <w:noProof/>
        </w:rPr>
        <w:t>ES ATLPS nustatyta viršutinė riba – didžiausias absoliutusis teršalų kiekis, kurį reguliuojamiesiems subjektams leidžiama išmesti tam tikru prekybos apyvartiniais taršos leidimais etapu. Ją atitinka tam laikotarpiui skirtų apyvartinių taršos leidimų (ATL) skaičius; vienas ATL atitinka vieną anglies dioksido ekvivalento (CO</w:t>
      </w:r>
      <w:r>
        <w:rPr>
          <w:noProof/>
          <w:vertAlign w:val="subscript"/>
        </w:rPr>
        <w:t>2</w:t>
      </w:r>
      <w:r>
        <w:rPr>
          <w:noProof/>
        </w:rPr>
        <w:t xml:space="preserve">e) toną. Siekiant užtikrinti, kad ES pasiektų savo bendrąjį išmetamųjų teršalų kiekio mažinimo tikslą, ši viršutinė riba kasmet mažinama. Tai teikia ATLPS dalyvaujančioms įmonėms tikrumo dėl numatomo ATL pasiūlos trūkumo. </w:t>
      </w:r>
    </w:p>
    <w:p w14:paraId="6B352AA6" w14:textId="1EEF6230" w:rsidR="00DF6D65" w:rsidRPr="00685D02" w:rsidRDefault="00133030" w:rsidP="001856AF">
      <w:pPr>
        <w:pStyle w:val="CMR-text"/>
        <w:rPr>
          <w:rFonts w:cs="Times New Roman"/>
          <w:noProof/>
        </w:rPr>
      </w:pPr>
      <w:r>
        <w:rPr>
          <w:noProof/>
        </w:rPr>
        <w:t>Šiuo metu nustatyta tokia viršutinė riba, kad išmetamųjų teršalų, kuriems taikoma ES ATLPS, kiekis būtų iki 2030 m. sumažintas 62 proc., palyginti su 2005 m. lygiu. Nuo 2024 m. iki 2027 m. ši riba kasmet mažinama dydžiu, atitinkančiu 4,3 proc. ES ATLPS direktyvos 3c ir 9 straipsniuose nurodyto bazinio išmetamųjų teršalų kiekio</w:t>
      </w:r>
      <w:r>
        <w:rPr>
          <w:rStyle w:val="FootnoteReference"/>
          <w:rFonts w:cs="Times New Roman"/>
          <w:noProof/>
          <w:lang w:val="en-IE"/>
        </w:rPr>
        <w:footnoteReference w:id="10"/>
      </w:r>
      <w:r>
        <w:rPr>
          <w:noProof/>
        </w:rPr>
        <w:t xml:space="preserve">. Nuo 2028 m. metinė mažinimo norma bus 4,4 proc. per metus. </w:t>
      </w:r>
    </w:p>
    <w:p w14:paraId="0F5846FD" w14:textId="5CB9D0C4" w:rsidR="00983DBA" w:rsidRPr="00685D02" w:rsidRDefault="00281708" w:rsidP="00DF6D65">
      <w:pPr>
        <w:pStyle w:val="CMR-text"/>
        <w:rPr>
          <w:rFonts w:cs="Times New Roman"/>
          <w:noProof/>
        </w:rPr>
      </w:pPr>
      <w:r>
        <w:rPr>
          <w:noProof/>
        </w:rPr>
        <w:t xml:space="preserve">Atskiri viršutinės ribos skaičiavimai taikomi į ES ATLPS taikymo sritį įtrauktiems elektros energijos ir šilumos gamybos, pramonės gamybos ir jūrų transporto išmetamiesiems teršalams (pagal ES ATLPS direktyvos 9 straipsnį) ir aviacijos išmetamiesiems teršalams (pagal ES ATLPS direktyvos 3c straipsnį). </w:t>
      </w:r>
    </w:p>
    <w:p w14:paraId="58D375CF" w14:textId="3A493A38" w:rsidR="00983DBA" w:rsidRPr="00685D02" w:rsidRDefault="00281708" w:rsidP="00983DBA">
      <w:pPr>
        <w:pStyle w:val="CMR-text"/>
        <w:numPr>
          <w:ilvl w:val="0"/>
          <w:numId w:val="40"/>
        </w:numPr>
        <w:rPr>
          <w:rFonts w:cs="Times New Roman"/>
          <w:noProof/>
        </w:rPr>
      </w:pPr>
      <w:r>
        <w:rPr>
          <w:noProof/>
        </w:rPr>
        <w:t>2024 m. elektros energijos ir šilumos gamybos, pramonės gamybos ir jūrų transporto sektoriams skirti 1 386 051 745 ATL</w:t>
      </w:r>
      <w:r>
        <w:rPr>
          <w:rStyle w:val="FootnoteReference"/>
          <w:rFonts w:cs="Times New Roman"/>
          <w:noProof/>
          <w:lang w:val="en-IE"/>
        </w:rPr>
        <w:footnoteReference w:id="11"/>
      </w:r>
      <w:r>
        <w:rPr>
          <w:noProof/>
        </w:rPr>
        <w:t>, aviacijai – 27 563 529 ATL</w:t>
      </w:r>
      <w:r>
        <w:rPr>
          <w:rStyle w:val="FootnoteReference"/>
          <w:rFonts w:cs="Times New Roman"/>
          <w:noProof/>
          <w:lang w:val="en-IE"/>
        </w:rPr>
        <w:footnoteReference w:id="12"/>
      </w:r>
      <w:r>
        <w:rPr>
          <w:noProof/>
        </w:rPr>
        <w:t xml:space="preserve">. </w:t>
      </w:r>
    </w:p>
    <w:p w14:paraId="3B5007E6" w14:textId="1411E7A6" w:rsidR="00DF6D65" w:rsidRPr="00685D02" w:rsidRDefault="0015388E" w:rsidP="00A31D0C">
      <w:pPr>
        <w:pStyle w:val="CMR-text"/>
        <w:numPr>
          <w:ilvl w:val="0"/>
          <w:numId w:val="40"/>
        </w:numPr>
        <w:rPr>
          <w:rFonts w:cs="Times New Roman"/>
          <w:noProof/>
        </w:rPr>
      </w:pPr>
      <w:r>
        <w:rPr>
          <w:noProof/>
        </w:rPr>
        <w:t xml:space="preserve">2025 m. elektros energijos ir šilumos gamybos, pramonės gamybos ir jūrų transporto sektoriams skirta 1 298 127 514 ATL, aviacijai – 26 233 302 ATL. </w:t>
      </w:r>
    </w:p>
    <w:p w14:paraId="165084D0" w14:textId="77777777" w:rsidR="000527CF" w:rsidRPr="00685D02" w:rsidRDefault="3FB8DF5E" w:rsidP="00FE2381">
      <w:pPr>
        <w:pStyle w:val="CMR-text"/>
        <w:rPr>
          <w:rFonts w:cs="Times New Roman"/>
          <w:noProof/>
        </w:rPr>
      </w:pPr>
      <w:r>
        <w:rPr>
          <w:noProof/>
        </w:rPr>
        <w:t xml:space="preserve">Pagal ES ATLPS direktyvos 9 straipsnį, 2026 m. viršutinė riba turi būti sumažinta 27 mln. ATL (pagal bendrąjį ES ATLPS išmetamųjų teršalų kiekio sumažinimo 2030 m. tikslą). </w:t>
      </w:r>
    </w:p>
    <w:p w14:paraId="1B525BA6" w14:textId="15E8255C" w:rsidR="000527CF" w:rsidRPr="00685D02" w:rsidRDefault="1D086358" w:rsidP="00FE2381">
      <w:pPr>
        <w:pStyle w:val="CMR-text"/>
        <w:rPr>
          <w:rFonts w:cs="Times New Roman"/>
          <w:noProof/>
        </w:rPr>
      </w:pPr>
      <w:r>
        <w:rPr>
          <w:noProof/>
        </w:rPr>
        <w:t>Tuo pat metu viršutinę ribą reikia padidinti atsižvelgiant į ES ATLPS taikymo srities išplėtimą, kai į ją įtrauktas jūrų transporto išmetamas diazoto oksidas (N</w:t>
      </w:r>
      <w:r>
        <w:rPr>
          <w:noProof/>
          <w:vertAlign w:val="subscript"/>
        </w:rPr>
        <w:t>2</w:t>
      </w:r>
      <w:r>
        <w:rPr>
          <w:noProof/>
        </w:rPr>
        <w:t>O) ir metanas (CH</w:t>
      </w:r>
      <w:r>
        <w:rPr>
          <w:noProof/>
          <w:vertAlign w:val="subscript"/>
        </w:rPr>
        <w:t>4</w:t>
      </w:r>
      <w:r>
        <w:rPr>
          <w:noProof/>
        </w:rPr>
        <w:t xml:space="preserve">). </w:t>
      </w:r>
    </w:p>
    <w:p w14:paraId="3CE1B039" w14:textId="474AE220" w:rsidR="00662872" w:rsidRPr="00685D02" w:rsidRDefault="5AFC1DA4" w:rsidP="00FE2381">
      <w:pPr>
        <w:pStyle w:val="CMR-text"/>
        <w:rPr>
          <w:rFonts w:cs="Times New Roman"/>
          <w:noProof/>
        </w:rPr>
      </w:pPr>
      <w:r>
        <w:rPr>
          <w:noProof/>
        </w:rPr>
        <w:t>Remiantis paskutiniais metais, kurių duomenys turimi, išmesto teršalų kiekio duomenimis</w:t>
      </w:r>
      <w:r>
        <w:rPr>
          <w:rStyle w:val="FootnoteReference"/>
          <w:rFonts w:cs="Times New Roman"/>
          <w:noProof/>
          <w:lang w:val="en-IE"/>
        </w:rPr>
        <w:footnoteReference w:id="13"/>
      </w:r>
      <w:r>
        <w:rPr>
          <w:noProof/>
        </w:rPr>
        <w:t xml:space="preserve">, šis padidinimas sudaro 2 375 680 ATL. Šie papildomi ATL bus parduodami aukcionuose ir taip bus papildytas Inovacijų fondas, kuris finansuojamas vien iš ES ATLPS gautomis lėšomis (žr. 8.2 skirsnį). </w:t>
      </w:r>
    </w:p>
    <w:p w14:paraId="02D7B956" w14:textId="409827B8" w:rsidR="00D009F9" w:rsidRPr="00685D02" w:rsidRDefault="00962167" w:rsidP="00FE2381">
      <w:pPr>
        <w:pStyle w:val="CMR-text"/>
        <w:rPr>
          <w:rFonts w:cs="Times New Roman"/>
          <w:noProof/>
        </w:rPr>
      </w:pPr>
      <w:r>
        <w:rPr>
          <w:noProof/>
        </w:rPr>
        <w:t>Be to, 2026–2030 m. laikotarpiui atnaujintas įrenginių, kurių kai kurios valstybės narės pagal ES ATLPS direktyvos 27 straipsnį nėra įtraukusios į sistemą, sąrašas; dėl to nuo 2026 m. šiek tiek pakoreguota viršutinė riba ir linijinis mažinimo koeficientas.</w:t>
      </w:r>
    </w:p>
    <w:p w14:paraId="20391F1B" w14:textId="34300714" w:rsidR="00FE2381" w:rsidRPr="00685D02" w:rsidRDefault="2595B433" w:rsidP="0081523A">
      <w:pPr>
        <w:pStyle w:val="CMR-text"/>
        <w:rPr>
          <w:rFonts w:cs="Times New Roman"/>
          <w:noProof/>
        </w:rPr>
      </w:pPr>
      <w:r>
        <w:rPr>
          <w:noProof/>
        </w:rPr>
        <w:t>Iš viso 2026 m. elektros energijos ir šilumos gamybai, pramonės gamybai ir jūrų transportui bus skirta 1 185 420 090 ATL, o aviacijai – 24 903 076 ATL</w:t>
      </w:r>
      <w:r>
        <w:rPr>
          <w:rStyle w:val="FootnoteReference"/>
          <w:rFonts w:cs="Times New Roman"/>
          <w:noProof/>
          <w:lang w:val="en-IE"/>
        </w:rPr>
        <w:footnoteReference w:id="14"/>
      </w:r>
      <w:r>
        <w:rPr>
          <w:noProof/>
        </w:rPr>
        <w:t>.</w:t>
      </w:r>
      <w:r>
        <w:rPr>
          <w:rStyle w:val="FootnoteReference"/>
          <w:noProof/>
        </w:rPr>
        <w:t xml:space="preserve"> </w:t>
      </w:r>
    </w:p>
    <w:p w14:paraId="0E5ABA0A" w14:textId="420236E4" w:rsidR="00281708" w:rsidRPr="00685D02" w:rsidRDefault="006B068B" w:rsidP="001856AF">
      <w:pPr>
        <w:pStyle w:val="CMR-text"/>
        <w:rPr>
          <w:rFonts w:cs="Times New Roman"/>
          <w:noProof/>
        </w:rPr>
      </w:pPr>
      <w:r>
        <w:rPr>
          <w:noProof/>
        </w:rPr>
        <w:t xml:space="preserve">1 lentelėje nurodyti bendri ATL, skirtų įvairiems sektoriams taikant ES ATLPS viršutinę ribą, kiekiai. </w:t>
      </w:r>
    </w:p>
    <w:bookmarkStart w:id="19" w:name="_Ref176771273"/>
    <w:p w14:paraId="18316AD5" w14:textId="480E6C80" w:rsidR="00F950F8" w:rsidRPr="007B73CC" w:rsidRDefault="00F950F8" w:rsidP="00AD0AB1">
      <w:pPr>
        <w:pStyle w:val="Caption"/>
        <w:keepNext/>
        <w:rPr>
          <w:noProof/>
          <w:sz w:val="20"/>
        </w:rPr>
      </w:pPr>
      <w:r>
        <w:rPr>
          <w:noProof/>
          <w:sz w:val="20"/>
        </w:rPr>
        <w:fldChar w:fldCharType="begin"/>
      </w:r>
      <w:r>
        <w:rPr>
          <w:noProof/>
          <w:sz w:val="20"/>
        </w:rPr>
        <w:instrText xml:space="preserve"> SEQ Table \* ARABIC </w:instrText>
      </w:r>
      <w:r>
        <w:rPr>
          <w:noProof/>
          <w:sz w:val="20"/>
        </w:rPr>
        <w:fldChar w:fldCharType="separate"/>
      </w:r>
      <w:r>
        <w:rPr>
          <w:noProof/>
          <w:sz w:val="20"/>
        </w:rPr>
        <w:t>1</w:t>
      </w:r>
      <w:r>
        <w:rPr>
          <w:noProof/>
          <w:sz w:val="20"/>
        </w:rPr>
        <w:fldChar w:fldCharType="end"/>
      </w:r>
      <w:r>
        <w:rPr>
          <w:noProof/>
          <w:sz w:val="20"/>
        </w:rPr>
        <w:t xml:space="preserve"> lentelė</w:t>
      </w:r>
      <w:bookmarkEnd w:id="19"/>
      <w:r>
        <w:rPr>
          <w:noProof/>
          <w:sz w:val="20"/>
        </w:rPr>
        <w:t>. ES ATLPS viršutinė riba (2021–2026 m.). Atskiri viršutinės ribos skaičiavimai taikomi i) elektros energijos ir šilumos gamybos, pramonės gamybos ir, nuo 2024 m., jūrų transporto išmetamiesiems teršalams, taip pat ii) aviacijos sektoriuje ES ATLPS taikymo srityje išmetamiems teršalams. Nuo 2024 m. sausio 1 d. ES ATLPS taikymo aviacijai sritis apima teršalus, išmetamus vykdant daugumą skrydžių tarp EEE ir devynių ES atokiausių regionų, taip pat išvykimo iš atokiausių regionų į Šveicariją ir Jungtinę Karalystę skrydžius (žr. 9 skyrių). Bendras aviacijai skiriamų ATL kiekis nuo 2024 m. atspindi išplėstą ES ATLPS taikymo aviacijai sritį.</w:t>
      </w:r>
    </w:p>
    <w:tbl>
      <w:tblPr>
        <w:tblStyle w:val="TableGridLight"/>
        <w:tblpPr w:leftFromText="180" w:rightFromText="180" w:vertAnchor="text" w:horzAnchor="margin" w:tblpY="-10"/>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2"/>
        <w:gridCol w:w="4617"/>
        <w:gridCol w:w="3527"/>
      </w:tblGrid>
      <w:tr w:rsidR="00C56D4C" w:rsidRPr="007B73CC" w14:paraId="61489489" w14:textId="77777777" w:rsidTr="00864A9D">
        <w:trPr>
          <w:cantSplit/>
        </w:trPr>
        <w:tc>
          <w:tcPr>
            <w:tcW w:w="391" w:type="pct"/>
            <w:vAlign w:val="center"/>
          </w:tcPr>
          <w:p w14:paraId="20E4C149" w14:textId="77777777" w:rsidR="006946F0" w:rsidRPr="007B73CC" w:rsidRDefault="006946F0" w:rsidP="00296014">
            <w:pPr>
              <w:pStyle w:val="CMR-tables"/>
              <w:rPr>
                <w:rFonts w:cs="Times New Roman"/>
                <w:b/>
                <w:noProof/>
                <w:szCs w:val="20"/>
              </w:rPr>
            </w:pPr>
            <w:r>
              <w:rPr>
                <w:b/>
                <w:noProof/>
              </w:rPr>
              <w:t>Metai</w:t>
            </w:r>
          </w:p>
        </w:tc>
        <w:tc>
          <w:tcPr>
            <w:tcW w:w="2607" w:type="pct"/>
            <w:vAlign w:val="center"/>
          </w:tcPr>
          <w:p w14:paraId="02D7D3E2" w14:textId="71374727" w:rsidR="006946F0" w:rsidRPr="007B73CC" w:rsidRDefault="00AF553C" w:rsidP="00296014">
            <w:pPr>
              <w:pStyle w:val="CMR-tables"/>
              <w:jc w:val="center"/>
              <w:rPr>
                <w:rFonts w:cs="Times New Roman"/>
                <w:b/>
                <w:noProof/>
                <w:szCs w:val="20"/>
              </w:rPr>
            </w:pPr>
            <w:r>
              <w:rPr>
                <w:b/>
                <w:noProof/>
              </w:rPr>
              <w:t>Bendras elektros energijos ir šilumos gamybai, pramonės gamybai ir jūrų transportui skirtų ATL skaičius</w:t>
            </w:r>
          </w:p>
        </w:tc>
        <w:tc>
          <w:tcPr>
            <w:tcW w:w="2002" w:type="pct"/>
            <w:vAlign w:val="center"/>
          </w:tcPr>
          <w:p w14:paraId="2CE827B8" w14:textId="224D7858" w:rsidR="006946F0" w:rsidRPr="007B73CC" w:rsidRDefault="00AF553C" w:rsidP="00296014">
            <w:pPr>
              <w:pStyle w:val="CMR-tables"/>
              <w:jc w:val="center"/>
              <w:rPr>
                <w:rFonts w:cs="Times New Roman"/>
                <w:b/>
                <w:noProof/>
                <w:szCs w:val="20"/>
              </w:rPr>
            </w:pPr>
            <w:r>
              <w:rPr>
                <w:b/>
                <w:noProof/>
              </w:rPr>
              <w:t xml:space="preserve">Bendras aviacijai skirtų ATL skaičius  </w:t>
            </w:r>
          </w:p>
        </w:tc>
      </w:tr>
      <w:tr w:rsidR="00C56D4C" w:rsidRPr="007B73CC" w14:paraId="55206652" w14:textId="77777777" w:rsidTr="00864A9D">
        <w:trPr>
          <w:cantSplit/>
        </w:trPr>
        <w:tc>
          <w:tcPr>
            <w:tcW w:w="391" w:type="pct"/>
            <w:shd w:val="clear" w:color="auto" w:fill="D9E2F3" w:themeFill="accent1" w:themeFillTint="33"/>
            <w:vAlign w:val="center"/>
          </w:tcPr>
          <w:p w14:paraId="387742AE" w14:textId="77777777" w:rsidR="006946F0" w:rsidRPr="007B73CC" w:rsidRDefault="006946F0" w:rsidP="00296014">
            <w:pPr>
              <w:pStyle w:val="CMR-tables"/>
              <w:jc w:val="center"/>
              <w:rPr>
                <w:rFonts w:cs="Times New Roman"/>
                <w:noProof/>
                <w:szCs w:val="20"/>
              </w:rPr>
            </w:pPr>
            <w:r>
              <w:rPr>
                <w:noProof/>
              </w:rPr>
              <w:t>2021 m.</w:t>
            </w:r>
          </w:p>
        </w:tc>
        <w:tc>
          <w:tcPr>
            <w:tcW w:w="2607" w:type="pct"/>
            <w:shd w:val="clear" w:color="auto" w:fill="D9E2F3" w:themeFill="accent1" w:themeFillTint="33"/>
            <w:vAlign w:val="center"/>
          </w:tcPr>
          <w:p w14:paraId="5245F12A" w14:textId="77777777" w:rsidR="006946F0" w:rsidRPr="007B73CC" w:rsidRDefault="006946F0" w:rsidP="00296014">
            <w:pPr>
              <w:pStyle w:val="CMR-tables"/>
              <w:jc w:val="center"/>
              <w:rPr>
                <w:rFonts w:cs="Times New Roman"/>
                <w:noProof/>
                <w:szCs w:val="20"/>
              </w:rPr>
            </w:pPr>
            <w:r>
              <w:rPr>
                <w:noProof/>
              </w:rPr>
              <w:t>1 571 583 007</w:t>
            </w:r>
          </w:p>
        </w:tc>
        <w:tc>
          <w:tcPr>
            <w:tcW w:w="2002" w:type="pct"/>
            <w:shd w:val="clear" w:color="auto" w:fill="D9E2F3" w:themeFill="accent1" w:themeFillTint="33"/>
            <w:vAlign w:val="center"/>
          </w:tcPr>
          <w:p w14:paraId="6041BDEF" w14:textId="77777777" w:rsidR="006946F0" w:rsidRPr="007B73CC" w:rsidRDefault="006946F0" w:rsidP="00296014">
            <w:pPr>
              <w:pStyle w:val="CMR-tables"/>
              <w:jc w:val="center"/>
              <w:rPr>
                <w:rFonts w:cs="Times New Roman"/>
                <w:noProof/>
                <w:szCs w:val="20"/>
              </w:rPr>
            </w:pPr>
            <w:r>
              <w:rPr>
                <w:noProof/>
              </w:rPr>
              <w:t>28 306 545</w:t>
            </w:r>
          </w:p>
        </w:tc>
      </w:tr>
      <w:tr w:rsidR="00C56D4C" w:rsidRPr="007B73CC" w14:paraId="4E137D5E" w14:textId="77777777" w:rsidTr="00864A9D">
        <w:trPr>
          <w:cantSplit/>
        </w:trPr>
        <w:tc>
          <w:tcPr>
            <w:tcW w:w="391" w:type="pct"/>
            <w:vAlign w:val="center"/>
          </w:tcPr>
          <w:p w14:paraId="5702323A" w14:textId="77777777" w:rsidR="006946F0" w:rsidRPr="007B73CC" w:rsidRDefault="006946F0" w:rsidP="00296014">
            <w:pPr>
              <w:pStyle w:val="CMR-tables"/>
              <w:jc w:val="center"/>
              <w:rPr>
                <w:rFonts w:cs="Times New Roman"/>
                <w:noProof/>
                <w:szCs w:val="20"/>
              </w:rPr>
            </w:pPr>
            <w:r>
              <w:rPr>
                <w:noProof/>
              </w:rPr>
              <w:t>2022 m.</w:t>
            </w:r>
          </w:p>
        </w:tc>
        <w:tc>
          <w:tcPr>
            <w:tcW w:w="2607" w:type="pct"/>
            <w:vAlign w:val="center"/>
          </w:tcPr>
          <w:p w14:paraId="0A4DBE21" w14:textId="77777777" w:rsidR="006946F0" w:rsidRPr="007B73CC" w:rsidRDefault="006946F0" w:rsidP="00296014">
            <w:pPr>
              <w:pStyle w:val="CMR-tables"/>
              <w:jc w:val="center"/>
              <w:rPr>
                <w:rFonts w:cs="Times New Roman"/>
                <w:noProof/>
                <w:szCs w:val="20"/>
              </w:rPr>
            </w:pPr>
            <w:r>
              <w:rPr>
                <w:noProof/>
              </w:rPr>
              <w:t>1 528 579 492</w:t>
            </w:r>
          </w:p>
        </w:tc>
        <w:tc>
          <w:tcPr>
            <w:tcW w:w="2002" w:type="pct"/>
            <w:vAlign w:val="center"/>
          </w:tcPr>
          <w:p w14:paraId="6383B068" w14:textId="77777777" w:rsidR="006946F0" w:rsidRPr="007B73CC" w:rsidRDefault="006946F0" w:rsidP="00296014">
            <w:pPr>
              <w:pStyle w:val="CMR-tables"/>
              <w:jc w:val="center"/>
              <w:rPr>
                <w:rFonts w:cs="Times New Roman"/>
                <w:noProof/>
                <w:szCs w:val="20"/>
              </w:rPr>
            </w:pPr>
            <w:r>
              <w:rPr>
                <w:noProof/>
              </w:rPr>
              <w:t>27 268 379</w:t>
            </w:r>
          </w:p>
        </w:tc>
      </w:tr>
      <w:tr w:rsidR="00C56D4C" w:rsidRPr="007B73CC" w14:paraId="1C6C5600" w14:textId="77777777" w:rsidTr="00864A9D">
        <w:trPr>
          <w:cantSplit/>
        </w:trPr>
        <w:tc>
          <w:tcPr>
            <w:tcW w:w="391" w:type="pct"/>
            <w:shd w:val="clear" w:color="auto" w:fill="D9E2F3" w:themeFill="accent1" w:themeFillTint="33"/>
            <w:vAlign w:val="center"/>
          </w:tcPr>
          <w:p w14:paraId="5CBD5517" w14:textId="77777777" w:rsidR="006946F0" w:rsidRPr="007B73CC" w:rsidRDefault="006946F0" w:rsidP="00296014">
            <w:pPr>
              <w:pStyle w:val="CMR-tables"/>
              <w:jc w:val="center"/>
              <w:rPr>
                <w:rFonts w:cs="Times New Roman"/>
                <w:noProof/>
                <w:szCs w:val="20"/>
              </w:rPr>
            </w:pPr>
            <w:r>
              <w:rPr>
                <w:noProof/>
              </w:rPr>
              <w:t>2023 m.</w:t>
            </w:r>
          </w:p>
        </w:tc>
        <w:tc>
          <w:tcPr>
            <w:tcW w:w="2607" w:type="pct"/>
            <w:shd w:val="clear" w:color="auto" w:fill="D9E2F3" w:themeFill="accent1" w:themeFillTint="33"/>
            <w:vAlign w:val="center"/>
          </w:tcPr>
          <w:p w14:paraId="66763A4E" w14:textId="5842DC1C" w:rsidR="006946F0" w:rsidRPr="007B73CC" w:rsidRDefault="00436AD0" w:rsidP="00296014">
            <w:pPr>
              <w:pStyle w:val="CMR-tables"/>
              <w:jc w:val="center"/>
              <w:rPr>
                <w:rFonts w:cs="Times New Roman"/>
                <w:noProof/>
                <w:szCs w:val="20"/>
              </w:rPr>
            </w:pPr>
            <w:r>
              <w:rPr>
                <w:noProof/>
              </w:rPr>
              <w:t>1 485 575 977</w:t>
            </w:r>
          </w:p>
        </w:tc>
        <w:tc>
          <w:tcPr>
            <w:tcW w:w="2002" w:type="pct"/>
            <w:shd w:val="clear" w:color="auto" w:fill="D9E2F3" w:themeFill="accent1" w:themeFillTint="33"/>
            <w:vAlign w:val="center"/>
          </w:tcPr>
          <w:p w14:paraId="60A7B234" w14:textId="566B3B93" w:rsidR="006946F0" w:rsidRPr="007B73CC" w:rsidRDefault="009F64FD" w:rsidP="00296014">
            <w:pPr>
              <w:pStyle w:val="CMR-tables"/>
              <w:jc w:val="center"/>
              <w:rPr>
                <w:rFonts w:cs="Times New Roman"/>
                <w:noProof/>
                <w:szCs w:val="20"/>
              </w:rPr>
            </w:pPr>
            <w:r>
              <w:rPr>
                <w:noProof/>
              </w:rPr>
              <w:t>26 341 779</w:t>
            </w:r>
          </w:p>
        </w:tc>
      </w:tr>
      <w:tr w:rsidR="00C56D4C" w:rsidRPr="007B73CC" w14:paraId="283F842A" w14:textId="77777777" w:rsidTr="00864A9D">
        <w:trPr>
          <w:cantSplit/>
        </w:trPr>
        <w:tc>
          <w:tcPr>
            <w:tcW w:w="391" w:type="pct"/>
            <w:vAlign w:val="bottom"/>
          </w:tcPr>
          <w:p w14:paraId="032C0111" w14:textId="77777777" w:rsidR="006946F0" w:rsidRPr="007B73CC" w:rsidRDefault="006946F0" w:rsidP="00296014">
            <w:pPr>
              <w:pStyle w:val="CMR-tables"/>
              <w:jc w:val="center"/>
              <w:rPr>
                <w:rFonts w:cs="Times New Roman"/>
                <w:noProof/>
                <w:szCs w:val="20"/>
              </w:rPr>
            </w:pPr>
            <w:r>
              <w:rPr>
                <w:noProof/>
              </w:rPr>
              <w:t>2024 m.</w:t>
            </w:r>
          </w:p>
        </w:tc>
        <w:tc>
          <w:tcPr>
            <w:tcW w:w="2607" w:type="pct"/>
            <w:vAlign w:val="center"/>
          </w:tcPr>
          <w:p w14:paraId="4A318C18" w14:textId="77777777" w:rsidR="006946F0" w:rsidRPr="007B73CC" w:rsidRDefault="006946F0" w:rsidP="00296014">
            <w:pPr>
              <w:pStyle w:val="CMR-tables"/>
              <w:jc w:val="center"/>
              <w:rPr>
                <w:rFonts w:cs="Times New Roman"/>
                <w:noProof/>
                <w:szCs w:val="20"/>
              </w:rPr>
            </w:pPr>
            <w:r>
              <w:rPr>
                <w:noProof/>
              </w:rPr>
              <w:t>1 386 051 745</w:t>
            </w:r>
          </w:p>
        </w:tc>
        <w:tc>
          <w:tcPr>
            <w:tcW w:w="2002" w:type="pct"/>
            <w:vAlign w:val="center"/>
          </w:tcPr>
          <w:p w14:paraId="69D840EC" w14:textId="774E7AE5" w:rsidR="006946F0" w:rsidRPr="007B73CC" w:rsidRDefault="42E1C883" w:rsidP="00296014">
            <w:pPr>
              <w:pStyle w:val="CMR-tables"/>
              <w:jc w:val="center"/>
              <w:rPr>
                <w:rFonts w:cs="Times New Roman"/>
                <w:noProof/>
                <w:szCs w:val="20"/>
              </w:rPr>
            </w:pPr>
            <w:r>
              <w:rPr>
                <w:noProof/>
              </w:rPr>
              <w:t>27 563 529</w:t>
            </w:r>
          </w:p>
        </w:tc>
      </w:tr>
      <w:tr w:rsidR="001F688D" w:rsidRPr="007B73CC" w14:paraId="2766BED2" w14:textId="77777777" w:rsidTr="00864A9D">
        <w:trPr>
          <w:cantSplit/>
        </w:trPr>
        <w:tc>
          <w:tcPr>
            <w:tcW w:w="391" w:type="pct"/>
            <w:shd w:val="clear" w:color="auto" w:fill="D9E2F3" w:themeFill="accent1" w:themeFillTint="33"/>
            <w:vAlign w:val="bottom"/>
          </w:tcPr>
          <w:p w14:paraId="3D9B9779" w14:textId="7D18574C" w:rsidR="001F688D" w:rsidRPr="007B73CC" w:rsidRDefault="001F688D" w:rsidP="001F688D">
            <w:pPr>
              <w:pStyle w:val="CMR-tables"/>
              <w:jc w:val="center"/>
              <w:rPr>
                <w:rFonts w:cs="Times New Roman"/>
                <w:noProof/>
                <w:szCs w:val="20"/>
              </w:rPr>
            </w:pPr>
            <w:r>
              <w:rPr>
                <w:noProof/>
              </w:rPr>
              <w:t>2025 m.</w:t>
            </w:r>
          </w:p>
        </w:tc>
        <w:tc>
          <w:tcPr>
            <w:tcW w:w="2607" w:type="pct"/>
            <w:shd w:val="clear" w:color="auto" w:fill="D9E2F3" w:themeFill="accent1" w:themeFillTint="33"/>
            <w:vAlign w:val="center"/>
          </w:tcPr>
          <w:p w14:paraId="150EC3C4" w14:textId="18CDA3FF" w:rsidR="001F688D" w:rsidRPr="007B73CC" w:rsidRDefault="00C1337B" w:rsidP="001F688D">
            <w:pPr>
              <w:pStyle w:val="CMR-tables"/>
              <w:jc w:val="center"/>
              <w:rPr>
                <w:rFonts w:cs="Times New Roman"/>
                <w:noProof/>
                <w:szCs w:val="20"/>
              </w:rPr>
            </w:pPr>
            <w:r>
              <w:rPr>
                <w:noProof/>
              </w:rPr>
              <w:t>1 298 127 514</w:t>
            </w:r>
          </w:p>
        </w:tc>
        <w:tc>
          <w:tcPr>
            <w:tcW w:w="2002" w:type="pct"/>
            <w:shd w:val="clear" w:color="auto" w:fill="D9E2F3" w:themeFill="accent1" w:themeFillTint="33"/>
            <w:vAlign w:val="center"/>
          </w:tcPr>
          <w:p w14:paraId="727902A1" w14:textId="5F828338" w:rsidR="001F688D" w:rsidRPr="007B73CC" w:rsidRDefault="00076600" w:rsidP="001F688D">
            <w:pPr>
              <w:pStyle w:val="CMR-tables"/>
              <w:jc w:val="center"/>
              <w:rPr>
                <w:rFonts w:cs="Times New Roman"/>
                <w:noProof/>
                <w:szCs w:val="20"/>
              </w:rPr>
            </w:pPr>
            <w:r>
              <w:rPr>
                <w:noProof/>
              </w:rPr>
              <w:t>26 233 302</w:t>
            </w:r>
          </w:p>
        </w:tc>
      </w:tr>
      <w:tr w:rsidR="001F688D" w:rsidRPr="007B73CC" w14:paraId="0FD56625" w14:textId="77777777" w:rsidTr="00864A9D">
        <w:trPr>
          <w:cantSplit/>
        </w:trPr>
        <w:tc>
          <w:tcPr>
            <w:tcW w:w="391" w:type="pct"/>
            <w:vAlign w:val="bottom"/>
          </w:tcPr>
          <w:p w14:paraId="612C9F18" w14:textId="0B2F6F2A" w:rsidR="001F688D" w:rsidRPr="007B73CC" w:rsidRDefault="001F688D" w:rsidP="001F688D">
            <w:pPr>
              <w:pStyle w:val="CMR-tables"/>
              <w:jc w:val="center"/>
              <w:rPr>
                <w:rFonts w:cs="Times New Roman"/>
                <w:noProof/>
                <w:szCs w:val="20"/>
              </w:rPr>
            </w:pPr>
            <w:r>
              <w:rPr>
                <w:noProof/>
              </w:rPr>
              <w:t>2026 m.</w:t>
            </w:r>
          </w:p>
        </w:tc>
        <w:tc>
          <w:tcPr>
            <w:tcW w:w="2607" w:type="pct"/>
            <w:vAlign w:val="center"/>
          </w:tcPr>
          <w:p w14:paraId="07E03E7A" w14:textId="3C19C421" w:rsidR="001F688D" w:rsidRPr="007B73CC" w:rsidRDefault="00E1646E" w:rsidP="001F688D">
            <w:pPr>
              <w:pStyle w:val="CMR-tables"/>
              <w:jc w:val="center"/>
              <w:rPr>
                <w:rFonts w:cs="Times New Roman"/>
                <w:noProof/>
                <w:szCs w:val="20"/>
              </w:rPr>
            </w:pPr>
            <w:r>
              <w:rPr>
                <w:noProof/>
              </w:rPr>
              <w:t>1 185 420 090</w:t>
            </w:r>
          </w:p>
        </w:tc>
        <w:tc>
          <w:tcPr>
            <w:tcW w:w="2002" w:type="pct"/>
            <w:vAlign w:val="center"/>
          </w:tcPr>
          <w:p w14:paraId="40C9913B" w14:textId="6C676262" w:rsidR="001F688D" w:rsidRPr="007B73CC" w:rsidRDefault="002C7AFD" w:rsidP="001F688D">
            <w:pPr>
              <w:pStyle w:val="CMR-tables"/>
              <w:jc w:val="center"/>
              <w:rPr>
                <w:rFonts w:cs="Times New Roman"/>
                <w:noProof/>
                <w:szCs w:val="20"/>
              </w:rPr>
            </w:pPr>
            <w:r>
              <w:rPr>
                <w:noProof/>
              </w:rPr>
              <w:t>24 903 076</w:t>
            </w:r>
          </w:p>
        </w:tc>
      </w:tr>
    </w:tbl>
    <w:p w14:paraId="719CD660" w14:textId="316A5CBF" w:rsidR="003B46B7" w:rsidRPr="00685D02" w:rsidRDefault="001D3D34" w:rsidP="003B46B7">
      <w:pPr>
        <w:pStyle w:val="CMR-text"/>
        <w:rPr>
          <w:rFonts w:cs="Times New Roman"/>
          <w:noProof/>
        </w:rPr>
      </w:pPr>
      <w:r>
        <w:rPr>
          <w:noProof/>
        </w:rPr>
        <w:t>1 pav. parodyta viršutinės ribos kaita per visus ES ATLPS etapus, įskaitant būsimus koregavimus.</w:t>
      </w:r>
    </w:p>
    <w:p w14:paraId="0CAFB56D" w14:textId="28D90E6C" w:rsidR="00CF29E9" w:rsidRPr="00685D02" w:rsidRDefault="00CF29E9" w:rsidP="001856AF">
      <w:pPr>
        <w:pStyle w:val="CMR-text"/>
        <w:rPr>
          <w:rFonts w:cs="Times New Roman"/>
          <w:noProof/>
          <w:lang w:val="en-IE"/>
        </w:rPr>
      </w:pPr>
    </w:p>
    <w:p w14:paraId="1EACF626" w14:textId="3A7D989E" w:rsidR="00586F89" w:rsidRPr="00685D02" w:rsidRDefault="00FB46B8" w:rsidP="00095218">
      <w:pPr>
        <w:rPr>
          <w:rFonts w:ascii="Times New Roman" w:hAnsi="Times New Roman" w:cs="Times New Roman"/>
          <w:noProof/>
        </w:rPr>
        <w:sectPr w:rsidR="00586F89" w:rsidRPr="00685D02" w:rsidSect="00DE0A3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r>
        <w:rPr>
          <w:noProof/>
        </w:rPr>
        <w:br w:type="page"/>
      </w:r>
    </w:p>
    <w:p w14:paraId="298B4050" w14:textId="5D4C3703" w:rsidR="00CB7227" w:rsidRPr="00685D02" w:rsidRDefault="00B64DFD" w:rsidP="00CB7227">
      <w:pPr>
        <w:pStyle w:val="CMR-text"/>
        <w:keepNext/>
        <w:rPr>
          <w:rFonts w:cs="Times New Roman"/>
          <w:noProof/>
        </w:rPr>
      </w:pPr>
      <w:r>
        <w:rPr>
          <w:noProof/>
          <w:lang w:val="en-GB" w:eastAsia="en-GB"/>
        </w:rPr>
        <mc:AlternateContent>
          <mc:Choice Requires="wpg">
            <w:drawing>
              <wp:anchor distT="0" distB="0" distL="114300" distR="114300" simplePos="0" relativeHeight="251658240" behindDoc="0" locked="0" layoutInCell="1" allowOverlap="1" wp14:anchorId="73843CD6" wp14:editId="199157D7">
                <wp:simplePos x="0" y="0"/>
                <wp:positionH relativeFrom="margin">
                  <wp:posOffset>-44335</wp:posOffset>
                </wp:positionH>
                <wp:positionV relativeFrom="paragraph">
                  <wp:posOffset>-138545</wp:posOffset>
                </wp:positionV>
                <wp:extent cx="8834813" cy="3452206"/>
                <wp:effectExtent l="0" t="0" r="23495" b="15240"/>
                <wp:wrapNone/>
                <wp:docPr id="14" name="Group 13">
                  <a:extLst xmlns:a="http://schemas.openxmlformats.org/drawingml/2006/main">
                    <a:ext uri="{FF2B5EF4-FFF2-40B4-BE49-F238E27FC236}">
                      <a16:creationId xmlns:a16="http://schemas.microsoft.com/office/drawing/2014/main" id="{ADF00BAB-2B47-A65E-2F4E-7EAFA14FC351}"/>
                    </a:ext>
                  </a:extLst>
                </wp:docPr>
                <wp:cNvGraphicFramePr/>
                <a:graphic xmlns:a="http://schemas.openxmlformats.org/drawingml/2006/main">
                  <a:graphicData uri="http://schemas.microsoft.com/office/word/2010/wordprocessingGroup">
                    <wpg:wgp>
                      <wpg:cNvGrpSpPr/>
                      <wpg:grpSpPr>
                        <a:xfrm>
                          <a:off x="0" y="0"/>
                          <a:ext cx="8834813" cy="3452206"/>
                          <a:chOff x="198131" y="-54909"/>
                          <a:chExt cx="12106570" cy="3294517"/>
                        </a:xfrm>
                      </wpg:grpSpPr>
                      <wpg:grpSp>
                        <wpg:cNvPr id="1337808088" name="Group 1337808088">
                          <a:extLst>
                            <a:ext uri="{FF2B5EF4-FFF2-40B4-BE49-F238E27FC236}">
                              <a16:creationId xmlns:a16="http://schemas.microsoft.com/office/drawing/2014/main" id="{20B9392E-5058-4EE4-83A3-6DA798EFCEC8}"/>
                            </a:ext>
                          </a:extLst>
                        </wpg:cNvPr>
                        <wpg:cNvGrpSpPr/>
                        <wpg:grpSpPr>
                          <a:xfrm>
                            <a:off x="198131" y="-54909"/>
                            <a:ext cx="12106570" cy="3294517"/>
                            <a:chOff x="198131" y="-53110"/>
                            <a:chExt cx="12106570" cy="3186567"/>
                          </a:xfrm>
                        </wpg:grpSpPr>
                        <wpg:graphicFrame>
                          <wpg:cNvPr id="1984049462" name="Chart 1984049462">
                            <a:extLst>
                              <a:ext uri="{FF2B5EF4-FFF2-40B4-BE49-F238E27FC236}">
                                <a16:creationId xmlns:a16="http://schemas.microsoft.com/office/drawing/2014/main" id="{51948686-7680-46B8-86CA-0A4483050B68}"/>
                              </a:ext>
                            </a:extLst>
                          </wpg:cNvPr>
                          <wpg:cNvFrPr>
                            <a:graphicFrameLocks/>
                          </wpg:cNvFrPr>
                          <wpg:xfrm>
                            <a:off x="198131" y="-53110"/>
                            <a:ext cx="12106410" cy="3186567"/>
                          </wpg:xfrm>
                          <a:graphic>
                            <a:graphicData uri="http://schemas.openxmlformats.org/drawingml/2006/chart">
                              <c:chart xmlns:c="http://schemas.openxmlformats.org/drawingml/2006/chart" xmlns:r="http://schemas.openxmlformats.org/officeDocument/2006/relationships" r:id="rId24"/>
                            </a:graphicData>
                          </a:graphic>
                        </wpg:graphicFrame>
                        <wpg:grpSp>
                          <wpg:cNvPr id="408161355" name="Group 408161355">
                            <a:extLst>
                              <a:ext uri="{FF2B5EF4-FFF2-40B4-BE49-F238E27FC236}">
                                <a16:creationId xmlns:a16="http://schemas.microsoft.com/office/drawing/2014/main" id="{236BDC30-3C28-4594-A126-1C667CAF722A}"/>
                              </a:ext>
                            </a:extLst>
                          </wpg:cNvPr>
                          <wpg:cNvGrpSpPr/>
                          <wpg:grpSpPr>
                            <a:xfrm>
                              <a:off x="761432" y="-16"/>
                              <a:ext cx="11543269" cy="1883860"/>
                              <a:chOff x="761432" y="-16"/>
                              <a:chExt cx="11543269" cy="1883860"/>
                            </a:xfrm>
                          </wpg:grpSpPr>
                          <wps:wsp>
                            <wps:cNvPr id="1393576556" name="TextBox 4">
                              <a:extLst>
                                <a:ext uri="{FF2B5EF4-FFF2-40B4-BE49-F238E27FC236}">
                                  <a16:creationId xmlns:a16="http://schemas.microsoft.com/office/drawing/2014/main" id="{273E9B15-A855-4AB8-98DC-7CDEA3A13A7F}"/>
                                </a:ext>
                              </a:extLst>
                            </wps:cNvPr>
                            <wps:cNvSpPr txBox="1"/>
                            <wps:spPr>
                              <a:xfrm>
                                <a:off x="761432" y="174503"/>
                                <a:ext cx="1276350" cy="447637"/>
                              </a:xfrm>
                              <a:prstGeom prst="rect">
                                <a:avLst/>
                              </a:prstGeom>
                              <a:solidFill>
                                <a:srgbClr val="E7E6E6">
                                  <a:lumMod val="90000"/>
                                </a:srgbClr>
                              </a:solidFill>
                              <a:ln w="12700" cap="flat" cmpd="sng" algn="ctr">
                                <a:solidFill>
                                  <a:sysClr val="windowText" lastClr="000000"/>
                                </a:solidFill>
                                <a:prstDash val="solid"/>
                                <a:miter lim="800000"/>
                              </a:ln>
                              <a:effectLst/>
                            </wps:spPr>
                            <wps:txbx>
                              <w:txbxContent>
                                <w:p w14:paraId="6490598F" w14:textId="77777777" w:rsidR="00B64DFD" w:rsidRPr="00B64DFD" w:rsidRDefault="00B64DFD" w:rsidP="00B64DFD">
                                  <w:pPr>
                                    <w:pStyle w:val="CMR-footnote"/>
                                    <w:spacing w:before="0" w:after="0"/>
                                    <w:jc w:val="center"/>
                                    <w:rPr>
                                      <w14:ligatures w14:val="none"/>
                                    </w:rPr>
                                  </w:pPr>
                                  <w:r>
                                    <w:t>2005 m.</w:t>
                                  </w:r>
                                </w:p>
                                <w:p w14:paraId="10C8BCF0" w14:textId="77777777" w:rsidR="00B64DFD" w:rsidRPr="00B64DFD" w:rsidRDefault="00B64DFD" w:rsidP="00B64DFD">
                                  <w:pPr>
                                    <w:pStyle w:val="CMR-footnote"/>
                                    <w:spacing w:before="0" w:after="0"/>
                                    <w:jc w:val="center"/>
                                    <w:rPr>
                                      <w:b/>
                                      <w:bCs/>
                                    </w:rPr>
                                  </w:pPr>
                                  <w:r>
                                    <w:rPr>
                                      <w:b/>
                                    </w:rPr>
                                    <w:t>2,3 mlrd.</w:t>
                                  </w:r>
                                </w:p>
                              </w:txbxContent>
                            </wps:txbx>
                            <wps:bodyPr wrap="square" rtlCol="0">
                              <a:noAutofit/>
                            </wps:bodyPr>
                          </wps:wsp>
                          <wps:wsp>
                            <wps:cNvPr id="1015961637" name="TextBox 5">
                              <a:extLst>
                                <a:ext uri="{FF2B5EF4-FFF2-40B4-BE49-F238E27FC236}">
                                  <a16:creationId xmlns:a16="http://schemas.microsoft.com/office/drawing/2014/main" id="{813B61D9-FA18-4FE5-BC13-E72A4C5896B3}"/>
                                </a:ext>
                              </a:extLst>
                            </wps:cNvPr>
                            <wps:cNvSpPr txBox="1"/>
                            <wps:spPr>
                              <a:xfrm>
                                <a:off x="2256009" y="245658"/>
                                <a:ext cx="1778882" cy="376493"/>
                              </a:xfrm>
                              <a:prstGeom prst="rect">
                                <a:avLst/>
                              </a:prstGeom>
                              <a:solidFill>
                                <a:srgbClr val="ED7D31">
                                  <a:lumMod val="20000"/>
                                  <a:lumOff val="80000"/>
                                </a:srgbClr>
                              </a:solidFill>
                              <a:ln w="12700" cap="flat" cmpd="sng" algn="ctr">
                                <a:solidFill>
                                  <a:srgbClr val="ED7D31"/>
                                </a:solidFill>
                                <a:prstDash val="solid"/>
                                <a:miter lim="800000"/>
                              </a:ln>
                              <a:effectLst/>
                            </wps:spPr>
                            <wps:txbx>
                              <w:txbxContent>
                                <w:p w14:paraId="0004EB94" w14:textId="77777777" w:rsidR="00B64DFD" w:rsidRDefault="00B64DFD" w:rsidP="00B64DFD">
                                  <w:pPr>
                                    <w:pStyle w:val="CMR-footnote"/>
                                    <w:spacing w:before="0" w:after="0"/>
                                    <w:jc w:val="center"/>
                                    <w:rPr>
                                      <w14:ligatures w14:val="none"/>
                                    </w:rPr>
                                  </w:pPr>
                                  <w:r>
                                    <w:t>2008–2012 m. vidurkis</w:t>
                                  </w:r>
                                </w:p>
                                <w:p w14:paraId="57CE3C92" w14:textId="3B13DCE6" w:rsidR="00B64DFD" w:rsidRDefault="00B64DFD" w:rsidP="00B64DFD">
                                  <w:pPr>
                                    <w:pStyle w:val="CMR-footnote"/>
                                    <w:spacing w:before="0" w:after="0"/>
                                    <w:jc w:val="center"/>
                                    <w:rPr>
                                      <w:b/>
                                      <w:bCs/>
                                    </w:rPr>
                                  </w:pPr>
                                  <w:r>
                                    <w:rPr>
                                      <w:b/>
                                    </w:rPr>
                                    <w:t>2,2 mlrd.</w:t>
                                  </w:r>
                                </w:p>
                              </w:txbxContent>
                            </wps:txbx>
                            <wps:bodyPr wrap="square" rtlCol="0">
                              <a:noAutofit/>
                            </wps:bodyPr>
                          </wps:wsp>
                          <wps:wsp>
                            <wps:cNvPr id="255803615" name="TextBox 6">
                              <a:extLst>
                                <a:ext uri="{FF2B5EF4-FFF2-40B4-BE49-F238E27FC236}">
                                  <a16:creationId xmlns:a16="http://schemas.microsoft.com/office/drawing/2014/main" id="{0222080B-5534-4901-A95F-C4F628C5E81F}"/>
                                </a:ext>
                              </a:extLst>
                            </wps:cNvPr>
                            <wps:cNvSpPr txBox="1"/>
                            <wps:spPr>
                              <a:xfrm>
                                <a:off x="3873365" y="538682"/>
                                <a:ext cx="1057835" cy="407858"/>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1DF68289" w14:textId="77777777" w:rsidR="00B64DFD" w:rsidRDefault="00B64DFD" w:rsidP="00B64DFD">
                                  <w:pPr>
                                    <w:pStyle w:val="CMR-footnote"/>
                                    <w:spacing w:before="0" w:after="0"/>
                                    <w:jc w:val="center"/>
                                    <w:rPr>
                                      <w14:ligatures w14:val="none"/>
                                    </w:rPr>
                                  </w:pPr>
                                  <w:r>
                                    <w:t>2013 m.</w:t>
                                  </w:r>
                                </w:p>
                                <w:p w14:paraId="14FA8CC7" w14:textId="77777777" w:rsidR="00B64DFD" w:rsidRDefault="00B64DFD" w:rsidP="00B64DFD">
                                  <w:pPr>
                                    <w:pStyle w:val="CMR-footnote"/>
                                    <w:spacing w:before="0" w:after="0"/>
                                    <w:jc w:val="center"/>
                                    <w:rPr>
                                      <w:b/>
                                      <w:bCs/>
                                    </w:rPr>
                                  </w:pPr>
                                  <w:r>
                                    <w:rPr>
                                      <w:b/>
                                    </w:rPr>
                                    <w:t>2,1 mlrd.</w:t>
                                  </w:r>
                                </w:p>
                              </w:txbxContent>
                            </wps:txbx>
                            <wps:bodyPr wrap="square" rtlCol="0">
                              <a:noAutofit/>
                            </wps:bodyPr>
                          </wps:wsp>
                          <wps:wsp>
                            <wps:cNvPr id="1032649367" name="TextBox 7">
                              <a:extLst>
                                <a:ext uri="{FF2B5EF4-FFF2-40B4-BE49-F238E27FC236}">
                                  <a16:creationId xmlns:a16="http://schemas.microsoft.com/office/drawing/2014/main" id="{42B73A03-AF41-4B64-B531-4ED06F3AA28F}"/>
                                </a:ext>
                              </a:extLst>
                            </wps:cNvPr>
                            <wps:cNvSpPr txBox="1"/>
                            <wps:spPr>
                              <a:xfrm>
                                <a:off x="6574834" y="591348"/>
                                <a:ext cx="2242595" cy="521918"/>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6AF75AF3" w14:textId="77777777" w:rsidR="00B64DFD" w:rsidRDefault="00B64DFD" w:rsidP="006E3B52">
                                  <w:pPr>
                                    <w:pStyle w:val="CMR-footnote"/>
                                    <w:spacing w:before="0" w:after="0"/>
                                    <w:jc w:val="center"/>
                                    <w:rPr>
                                      <w14:ligatures w14:val="none"/>
                                    </w:rPr>
                                  </w:pPr>
                                  <w:r>
                                    <w:t>2020 m.</w:t>
                                  </w:r>
                                </w:p>
                                <w:p w14:paraId="2E690002" w14:textId="77777777" w:rsidR="00B64DFD" w:rsidRDefault="00B64DFD" w:rsidP="006E3B52">
                                  <w:pPr>
                                    <w:pStyle w:val="CMR-footnote"/>
                                    <w:spacing w:before="0" w:after="0"/>
                                    <w:jc w:val="center"/>
                                    <w:rPr>
                                      <w:b/>
                                    </w:rPr>
                                  </w:pPr>
                                  <w:r>
                                    <w:rPr>
                                      <w:b/>
                                    </w:rPr>
                                    <w:t>1,8 mlrd.</w:t>
                                  </w:r>
                                </w:p>
                                <w:p w14:paraId="0D321D94" w14:textId="77777777" w:rsidR="00B64DFD" w:rsidRDefault="00B64DFD" w:rsidP="006E3B52">
                                  <w:pPr>
                                    <w:pStyle w:val="CMR-footnote"/>
                                    <w:spacing w:before="0" w:after="0"/>
                                    <w:jc w:val="center"/>
                                  </w:pPr>
                                  <w:r>
                                    <w:t>(−21 %, palyginti su 2005 m.)</w:t>
                                  </w:r>
                                </w:p>
                              </w:txbxContent>
                            </wps:txbx>
                            <wps:bodyPr wrap="square" rtlCol="0">
                              <a:noAutofit/>
                            </wps:bodyPr>
                          </wps:wsp>
                          <wps:wsp>
                            <wps:cNvPr id="101244633" name="TextBox 8">
                              <a:extLst>
                                <a:ext uri="{FF2B5EF4-FFF2-40B4-BE49-F238E27FC236}">
                                  <a16:creationId xmlns:a16="http://schemas.microsoft.com/office/drawing/2014/main" id="{4DCCB19F-3492-4795-A666-C89FA0CC7C1A}"/>
                                </a:ext>
                              </a:extLst>
                            </wps:cNvPr>
                            <wps:cNvSpPr txBox="1"/>
                            <wps:spPr>
                              <a:xfrm>
                                <a:off x="11294274" y="1221517"/>
                                <a:ext cx="1010427" cy="662327"/>
                              </a:xfrm>
                              <a:prstGeom prst="rect">
                                <a:avLst/>
                              </a:prstGeom>
                              <a:solidFill>
                                <a:srgbClr val="4472C4">
                                  <a:lumMod val="20000"/>
                                  <a:lumOff val="80000"/>
                                </a:srgbClr>
                              </a:solidFill>
                              <a:ln w="12700" cap="flat" cmpd="sng" algn="ctr">
                                <a:solidFill>
                                  <a:srgbClr val="4472C4"/>
                                </a:solidFill>
                                <a:prstDash val="solid"/>
                                <a:miter lim="800000"/>
                              </a:ln>
                              <a:effectLst/>
                            </wps:spPr>
                            <wps:txbx>
                              <w:txbxContent>
                                <w:p w14:paraId="56A569DE" w14:textId="77777777" w:rsidR="00B64DFD" w:rsidRDefault="00B64DFD" w:rsidP="006E3B52">
                                  <w:pPr>
                                    <w:pStyle w:val="CMR-footnote"/>
                                    <w:spacing w:before="0" w:after="0"/>
                                    <w:jc w:val="center"/>
                                    <w:rPr>
                                      <w14:ligatures w14:val="none"/>
                                    </w:rPr>
                                  </w:pPr>
                                  <w:r>
                                    <w:t>2030 m.:</w:t>
                                  </w:r>
                                </w:p>
                                <w:p w14:paraId="22DB3ED8" w14:textId="77777777" w:rsidR="00B64DFD" w:rsidRDefault="00B64DFD" w:rsidP="006E3B52">
                                  <w:pPr>
                                    <w:pStyle w:val="CMR-footnote"/>
                                    <w:spacing w:before="0" w:after="0"/>
                                    <w:jc w:val="center"/>
                                  </w:pPr>
                                  <w:r>
                                    <w:rPr>
                                      <w:b/>
                                    </w:rPr>
                                    <w:t>−62 %, palyginti su 2005 m.</w:t>
                                  </w:r>
                                </w:p>
                              </w:txbxContent>
                            </wps:txbx>
                            <wps:bodyPr wrap="square" rtlCol="0">
                              <a:noAutofit/>
                            </wps:bodyPr>
                          </wps:wsp>
                          <wps:wsp>
                            <wps:cNvPr id="551733132" name="TextBox 10">
                              <a:extLst>
                                <a:ext uri="{FF2B5EF4-FFF2-40B4-BE49-F238E27FC236}">
                                  <a16:creationId xmlns:a16="http://schemas.microsoft.com/office/drawing/2014/main" id="{9096F6B3-09E2-410B-80EB-45460B81028F}"/>
                                </a:ext>
                              </a:extLst>
                            </wps:cNvPr>
                            <wps:cNvSpPr txBox="1"/>
                            <wps:spPr>
                              <a:xfrm>
                                <a:off x="4454387" y="-16"/>
                                <a:ext cx="2639183" cy="538593"/>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5006AC19" w14:textId="77777777" w:rsidR="00B64DFD" w:rsidRDefault="00B64DFD" w:rsidP="00B64DFD">
                                  <w:pPr>
                                    <w:pStyle w:val="CMR-footnote"/>
                                    <w:spacing w:before="0" w:after="0"/>
                                    <w:jc w:val="center"/>
                                    <w:rPr>
                                      <w14:ligatures w14:val="none"/>
                                    </w:rPr>
                                  </w:pPr>
                                  <w:r>
                                    <w:t>Viršutinės ribos sumažinimas (2013–2020 m.)</w:t>
                                  </w:r>
                                </w:p>
                                <w:p w14:paraId="2B052DCD" w14:textId="77777777" w:rsidR="00B64DFD" w:rsidRDefault="00B64DFD" w:rsidP="00B64DFD">
                                  <w:pPr>
                                    <w:pStyle w:val="CMR-footnote"/>
                                    <w:spacing w:before="0" w:after="0"/>
                                    <w:jc w:val="center"/>
                                    <w:rPr>
                                      <w:b/>
                                      <w:bCs/>
                                    </w:rPr>
                                  </w:pPr>
                                  <w:r>
                                    <w:rPr>
                                      <w:b/>
                                    </w:rPr>
                                    <w:t>−1,74 % per metus</w:t>
                                  </w:r>
                                </w:p>
                              </w:txbxContent>
                            </wps:txbx>
                            <wps:bodyPr wrap="square" rtlCol="0">
                              <a:noAutofit/>
                            </wps:bodyPr>
                          </wps:wsp>
                          <wps:wsp>
                            <wps:cNvPr id="1893723611" name="TextBox 11">
                              <a:extLst>
                                <a:ext uri="{FF2B5EF4-FFF2-40B4-BE49-F238E27FC236}">
                                  <a16:creationId xmlns:a16="http://schemas.microsoft.com/office/drawing/2014/main" id="{75ED37CD-6B9F-4104-B518-207DF852F48E}"/>
                                </a:ext>
                              </a:extLst>
                            </wps:cNvPr>
                            <wps:cNvSpPr txBox="1"/>
                            <wps:spPr>
                              <a:xfrm>
                                <a:off x="7192247" y="-15"/>
                                <a:ext cx="1970080" cy="591298"/>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00BAC879" w14:textId="77777777" w:rsidR="00B64DFD" w:rsidRDefault="00B64DFD" w:rsidP="00B64DFD">
                                  <w:pPr>
                                    <w:pStyle w:val="CMR-footnote"/>
                                    <w:spacing w:before="0" w:after="0"/>
                                    <w:jc w:val="center"/>
                                    <w:rPr>
                                      <w14:ligatures w14:val="none"/>
                                    </w:rPr>
                                  </w:pPr>
                                  <w:r>
                                    <w:t>Viršutinės ribos sumažinimas (2021–2023 m.)</w:t>
                                  </w:r>
                                </w:p>
                                <w:p w14:paraId="18A989E0" w14:textId="77777777" w:rsidR="00B64DFD" w:rsidRDefault="00B64DFD" w:rsidP="00B64DFD">
                                  <w:pPr>
                                    <w:pStyle w:val="CMR-footnote"/>
                                    <w:spacing w:before="0" w:after="0"/>
                                    <w:jc w:val="center"/>
                                    <w:rPr>
                                      <w:b/>
                                      <w:bCs/>
                                    </w:rPr>
                                  </w:pPr>
                                  <w:r>
                                    <w:rPr>
                                      <w:b/>
                                    </w:rPr>
                                    <w:t>−2,2 % per metus</w:t>
                                  </w:r>
                                </w:p>
                              </w:txbxContent>
                            </wps:txbx>
                            <wps:bodyPr wrap="square" rtlCol="0">
                              <a:noAutofit/>
                            </wps:bodyPr>
                          </wps:wsp>
                        </wpg:grpSp>
                      </wpg:grpSp>
                      <wps:wsp>
                        <wps:cNvPr id="753458949" name="TextBox 11">
                          <a:extLst>
                            <a:ext uri="{FF2B5EF4-FFF2-40B4-BE49-F238E27FC236}">
                              <a16:creationId xmlns:a16="http://schemas.microsoft.com/office/drawing/2014/main" id="{CA5A65A1-06C0-4A22-877E-57C5B186A480}"/>
                            </a:ext>
                          </a:extLst>
                        </wps:cNvPr>
                        <wps:cNvSpPr txBox="1"/>
                        <wps:spPr>
                          <a:xfrm>
                            <a:off x="9207208" y="-6"/>
                            <a:ext cx="1478768" cy="611320"/>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3B1B0788" w14:textId="77777777" w:rsidR="00B64DFD" w:rsidRDefault="00B64DFD" w:rsidP="006E3B52">
                              <w:pPr>
                                <w:pStyle w:val="CMR-footnote"/>
                                <w:spacing w:before="0" w:after="0"/>
                                <w:jc w:val="center"/>
                                <w:rPr>
                                  <w14:ligatures w14:val="none"/>
                                </w:rPr>
                              </w:pPr>
                              <w:r>
                                <w:t>Viršutinės ribos sumažinimas (2024–2027 m.)</w:t>
                              </w:r>
                            </w:p>
                            <w:p w14:paraId="16FCB161" w14:textId="77777777" w:rsidR="00B64DFD" w:rsidRPr="006E3B52" w:rsidRDefault="00B64DFD" w:rsidP="006E3B52">
                              <w:pPr>
                                <w:pStyle w:val="CMR-footnote"/>
                                <w:spacing w:before="0" w:after="0"/>
                                <w:jc w:val="center"/>
                                <w:rPr>
                                  <w:b/>
                                </w:rPr>
                              </w:pPr>
                              <w:r>
                                <w:rPr>
                                  <w:b/>
                                </w:rPr>
                                <w:t>−4,3 % per metus</w:t>
                              </w:r>
                            </w:p>
                          </w:txbxContent>
                        </wps:txbx>
                        <wps:bodyPr wrap="square" rtlCol="0">
                          <a:noAutofit/>
                        </wps:bodyPr>
                      </wps:wsp>
                      <wps:wsp>
                        <wps:cNvPr id="355328055" name="TextBox 12">
                          <a:extLst>
                            <a:ext uri="{FF2B5EF4-FFF2-40B4-BE49-F238E27FC236}">
                              <a16:creationId xmlns:a16="http://schemas.microsoft.com/office/drawing/2014/main" id="{DA84C499-BF2D-4C69-88A8-95F42467B63B}"/>
                            </a:ext>
                          </a:extLst>
                        </wps:cNvPr>
                        <wps:cNvSpPr txBox="1"/>
                        <wps:spPr>
                          <a:xfrm>
                            <a:off x="10724766" y="-12"/>
                            <a:ext cx="1447800" cy="711961"/>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772DA49C" w14:textId="77777777" w:rsidR="00B64DFD" w:rsidRDefault="00B64DFD" w:rsidP="006E3B52">
                              <w:pPr>
                                <w:pStyle w:val="CMR-footnote"/>
                                <w:spacing w:before="0" w:after="0"/>
                                <w:jc w:val="center"/>
                                <w:rPr>
                                  <w14:ligatures w14:val="none"/>
                                </w:rPr>
                              </w:pPr>
                              <w:r>
                                <w:t>Viršutinės ribos sumažinimas (nuo 2028 m.)</w:t>
                              </w:r>
                            </w:p>
                            <w:p w14:paraId="2D10F4BA" w14:textId="77777777" w:rsidR="00B64DFD" w:rsidRDefault="00B64DFD" w:rsidP="006E3B52">
                              <w:pPr>
                                <w:pStyle w:val="CMR-footnote"/>
                                <w:spacing w:before="0" w:after="0"/>
                                <w:jc w:val="center"/>
                                <w:rPr>
                                  <w:b/>
                                </w:rPr>
                              </w:pPr>
                              <w:r>
                                <w:rPr>
                                  <w:b/>
                                </w:rPr>
                                <w:t>−4,4 % per metus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843CD6" id="Group 13" o:spid="_x0000_s1026" style="position:absolute;left:0;text-align:left;margin-left:-3.5pt;margin-top:-10.9pt;width:695.65pt;height:271.85pt;z-index:251658240;mso-position-horizontal-relative:margin;mso-width-relative:margin;mso-height-relative:margin" coordorigin="1981,-549" coordsize="121065,32945"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">
                <v:group id="Group 1337808088" o:spid="_x0000_s1027" style="position:absolute;left:1981;top:-549;width:121066;height:32945" coordorigin="1981,-531" coordsize="121065,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">
                  <v:shape id="Chart 1984049462" o:spid="_x0000_s1028" type="#_x0000_t75" style="position:absolute;left:1897;top:-587;width:121210;height:31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">
                    <v:imagedata r:id="rId25" o:title=""/>
                    <o:lock v:ext="edit" aspectratio="f"/>
                  </v:shape>
                  <v:group id="Group 408161355" o:spid="_x0000_s1029" style="position:absolute;left:7614;width:115433;height:18838" coordorigin="7614" coordsize="115432,1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">
                    <v:shapetype id="_x0000_t202" coordsize="21600,21600" o:spt="202" path="m,l,21600r21600,l21600,xe">
                      <v:stroke joinstyle="miter"/>
                      <v:path gradientshapeok="t" o:connecttype="rect"/>
                    </v:shapetype>
                    <v:shape id="TextBox 4" o:spid="_x0000_s1030" type="#_x0000_t202" style="position:absolute;left:7614;top:1745;width:1276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" fillcolor="#d0cece" strokecolor="windowText" strokeweight="1pt">
                      <v:textbox>
                        <w:txbxContent>
                          <w:p w14:paraId="6490598F" w14:textId="77777777" w:rsidR="00B64DFD" w:rsidRPr="00B64DFD" w:rsidRDefault="00B64DFD" w:rsidP="00B64DFD">
                            <w:pPr>
                              <w:pStyle w:val="CMR-footnote"/>
                              <w:spacing w:before="0" w:after="0"/>
                              <w:jc w:val="center"/>
                              <w:rPr>
                                <w14:ligatures w14:val="none"/>
                              </w:rPr>
                            </w:pPr>
                            <w:r>
                              <w:t>2005 m.</w:t>
                            </w:r>
                          </w:p>
                          <w:p w14:paraId="10C8BCF0" w14:textId="77777777" w:rsidR="00B64DFD" w:rsidRPr="00B64DFD" w:rsidRDefault="00B64DFD" w:rsidP="00B64DFD">
                            <w:pPr>
                              <w:pStyle w:val="CMR-footnote"/>
                              <w:spacing w:before="0" w:after="0"/>
                              <w:jc w:val="center"/>
                              <w:rPr>
                                <w:b/>
                                <w:bCs/>
                              </w:rPr>
                            </w:pPr>
                            <w:r>
                              <w:rPr>
                                <w:b/>
                              </w:rPr>
                              <w:t>2,3 mlrd.</w:t>
                            </w:r>
                          </w:p>
                        </w:txbxContent>
                      </v:textbox>
                    </v:shape>
                    <v:shape id="TextBox 5" o:spid="_x0000_s1031" type="#_x0000_t202" style="position:absolute;left:22560;top:2456;width:1778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" fillcolor="#fbe5d6" strokecolor="#ed7d31" strokeweight="1pt">
                      <v:textbox>
                        <w:txbxContent>
                          <w:p w14:paraId="0004EB94" w14:textId="77777777" w:rsidR="00B64DFD" w:rsidRDefault="00B64DFD" w:rsidP="00B64DFD">
                            <w:pPr>
                              <w:pStyle w:val="CMR-footnote"/>
                              <w:spacing w:before="0" w:after="0"/>
                              <w:jc w:val="center"/>
                              <w:rPr>
                                <w14:ligatures w14:val="none"/>
                              </w:rPr>
                            </w:pPr>
                            <w:r>
                              <w:t>2008–2012 m. vidurkis</w:t>
                            </w:r>
                          </w:p>
                          <w:p w14:paraId="57CE3C92" w14:textId="3B13DCE6" w:rsidR="00B64DFD" w:rsidRDefault="00B64DFD" w:rsidP="00B64DFD">
                            <w:pPr>
                              <w:pStyle w:val="CMR-footnote"/>
                              <w:spacing w:before="0" w:after="0"/>
                              <w:jc w:val="center"/>
                              <w:rPr>
                                <w:b/>
                                <w:bCs/>
                              </w:rPr>
                            </w:pPr>
                            <w:r>
                              <w:rPr>
                                <w:b/>
                              </w:rPr>
                              <w:t>2,2 mlrd.</w:t>
                            </w:r>
                          </w:p>
                        </w:txbxContent>
                      </v:textbox>
                    </v:shape>
                    <v:shape id="TextBox 6" o:spid="_x0000_s1032" type="#_x0000_t202" style="position:absolute;left:38733;top:5386;width:10579;height: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" fillcolor="#e2f0d9" strokecolor="#70ad47" strokeweight="1pt">
                      <v:textbox>
                        <w:txbxContent>
                          <w:p w14:paraId="1DF68289" w14:textId="77777777" w:rsidR="00B64DFD" w:rsidRDefault="00B64DFD" w:rsidP="00B64DFD">
                            <w:pPr>
                              <w:pStyle w:val="CMR-footnote"/>
                              <w:spacing w:before="0" w:after="0"/>
                              <w:jc w:val="center"/>
                              <w:rPr>
                                <w14:ligatures w14:val="none"/>
                              </w:rPr>
                            </w:pPr>
                            <w:r>
                              <w:t>2013 m.</w:t>
                            </w:r>
                          </w:p>
                          <w:p w14:paraId="14FA8CC7" w14:textId="77777777" w:rsidR="00B64DFD" w:rsidRDefault="00B64DFD" w:rsidP="00B64DFD">
                            <w:pPr>
                              <w:pStyle w:val="CMR-footnote"/>
                              <w:spacing w:before="0" w:after="0"/>
                              <w:jc w:val="center"/>
                              <w:rPr>
                                <w:b/>
                                <w:bCs/>
                              </w:rPr>
                            </w:pPr>
                            <w:r>
                              <w:rPr>
                                <w:b/>
                              </w:rPr>
                              <w:t>2,1 mlrd.</w:t>
                            </w:r>
                          </w:p>
                        </w:txbxContent>
                      </v:textbox>
                    </v:shape>
                    <v:shape id="TextBox 7" o:spid="_x0000_s1033" type="#_x0000_t202" style="position:absolute;left:65748;top:5913;width:22426;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" fillcolor="#e2f0d9" strokecolor="#70ad47" strokeweight="1pt">
                      <v:textbox>
                        <w:txbxContent>
                          <w:p w14:paraId="6AF75AF3" w14:textId="77777777" w:rsidR="00B64DFD" w:rsidRDefault="00B64DFD" w:rsidP="006E3B52">
                            <w:pPr>
                              <w:pStyle w:val="CMR-footnote"/>
                              <w:spacing w:before="0" w:after="0"/>
                              <w:jc w:val="center"/>
                              <w:rPr>
                                <w14:ligatures w14:val="none"/>
                              </w:rPr>
                            </w:pPr>
                            <w:r>
                              <w:t>2020 m.</w:t>
                            </w:r>
                          </w:p>
                          <w:p w14:paraId="2E690002" w14:textId="77777777" w:rsidR="00B64DFD" w:rsidRDefault="00B64DFD" w:rsidP="006E3B52">
                            <w:pPr>
                              <w:pStyle w:val="CMR-footnote"/>
                              <w:spacing w:before="0" w:after="0"/>
                              <w:jc w:val="center"/>
                              <w:rPr>
                                <w:b/>
                              </w:rPr>
                            </w:pPr>
                            <w:r>
                              <w:rPr>
                                <w:b/>
                              </w:rPr>
                              <w:t>1,8 mlrd.</w:t>
                            </w:r>
                          </w:p>
                          <w:p w14:paraId="0D321D94" w14:textId="77777777" w:rsidR="00B64DFD" w:rsidRDefault="00B64DFD" w:rsidP="006E3B52">
                            <w:pPr>
                              <w:pStyle w:val="CMR-footnote"/>
                              <w:spacing w:before="0" w:after="0"/>
                              <w:jc w:val="center"/>
                            </w:pPr>
                            <w:r>
                              <w:t>(−21 %, palyginti su 2005 m.)</w:t>
                            </w:r>
                          </w:p>
                        </w:txbxContent>
                      </v:textbox>
                    </v:shape>
                    <v:shape id="TextBox 8" o:spid="_x0000_s1034" type="#_x0000_t202" style="position:absolute;left:112942;top:12215;width:10105;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" fillcolor="#dae3f3" strokecolor="#4472c4" strokeweight="1pt">
                      <v:textbox>
                        <w:txbxContent>
                          <w:p w14:paraId="56A569DE" w14:textId="77777777" w:rsidR="00B64DFD" w:rsidRDefault="00B64DFD" w:rsidP="006E3B52">
                            <w:pPr>
                              <w:pStyle w:val="CMR-footnote"/>
                              <w:spacing w:before="0" w:after="0"/>
                              <w:jc w:val="center"/>
                              <w:rPr>
                                <w14:ligatures w14:val="none"/>
                              </w:rPr>
                            </w:pPr>
                            <w:r>
                              <w:t>2030 m.:</w:t>
                            </w:r>
                          </w:p>
                          <w:p w14:paraId="22DB3ED8" w14:textId="77777777" w:rsidR="00B64DFD" w:rsidRDefault="00B64DFD" w:rsidP="006E3B52">
                            <w:pPr>
                              <w:pStyle w:val="CMR-footnote"/>
                              <w:spacing w:before="0" w:after="0"/>
                              <w:jc w:val="center"/>
                            </w:pPr>
                            <w:r>
                              <w:rPr>
                                <w:b/>
                              </w:rPr>
                              <w:t>−62 %, palyginti su 2005 m.</w:t>
                            </w:r>
                          </w:p>
                        </w:txbxContent>
                      </v:textbox>
                    </v:shape>
                    <v:shape id="TextBox 10" o:spid="_x0000_s1035" type="#_x0000_t202" style="position:absolute;left:44543;width:263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" fillcolor="#fff2cc" strokecolor="#ffc000" strokeweight="1pt">
                      <v:textbox>
                        <w:txbxContent>
                          <w:p w14:paraId="5006AC19" w14:textId="77777777" w:rsidR="00B64DFD" w:rsidRDefault="00B64DFD" w:rsidP="00B64DFD">
                            <w:pPr>
                              <w:pStyle w:val="CMR-footnote"/>
                              <w:spacing w:before="0" w:after="0"/>
                              <w:jc w:val="center"/>
                              <w:rPr>
                                <w14:ligatures w14:val="none"/>
                              </w:rPr>
                            </w:pPr>
                            <w:r>
                              <w:t>Viršutinės ribos sumažinimas (2013–2020 m.)</w:t>
                            </w:r>
                          </w:p>
                          <w:p w14:paraId="2B052DCD" w14:textId="77777777" w:rsidR="00B64DFD" w:rsidRDefault="00B64DFD" w:rsidP="00B64DFD">
                            <w:pPr>
                              <w:pStyle w:val="CMR-footnote"/>
                              <w:spacing w:before="0" w:after="0"/>
                              <w:jc w:val="center"/>
                              <w:rPr>
                                <w:b/>
                                <w:bCs/>
                              </w:rPr>
                            </w:pPr>
                            <w:r>
                              <w:rPr>
                                <w:b/>
                              </w:rPr>
                              <w:t>−1,74 % per metus</w:t>
                            </w:r>
                          </w:p>
                        </w:txbxContent>
                      </v:textbox>
                    </v:shape>
                    <v:shape id="TextBox 11" o:spid="_x0000_s1036" type="#_x0000_t202" style="position:absolute;left:71922;width:19701;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" fillcolor="#fff2cc" strokecolor="#ffc000" strokeweight="1pt">
                      <v:textbox>
                        <w:txbxContent>
                          <w:p w14:paraId="00BAC879" w14:textId="77777777" w:rsidR="00B64DFD" w:rsidRDefault="00B64DFD" w:rsidP="00B64DFD">
                            <w:pPr>
                              <w:pStyle w:val="CMR-footnote"/>
                              <w:spacing w:before="0" w:after="0"/>
                              <w:jc w:val="center"/>
                              <w:rPr>
                                <w14:ligatures w14:val="none"/>
                              </w:rPr>
                            </w:pPr>
                            <w:r>
                              <w:t>Viršutinės ribos sumažinimas (2021–2023 m.)</w:t>
                            </w:r>
                          </w:p>
                          <w:p w14:paraId="18A989E0" w14:textId="77777777" w:rsidR="00B64DFD" w:rsidRDefault="00B64DFD" w:rsidP="00B64DFD">
                            <w:pPr>
                              <w:pStyle w:val="CMR-footnote"/>
                              <w:spacing w:before="0" w:after="0"/>
                              <w:jc w:val="center"/>
                              <w:rPr>
                                <w:b/>
                                <w:bCs/>
                              </w:rPr>
                            </w:pPr>
                            <w:r>
                              <w:rPr>
                                <w:b/>
                              </w:rPr>
                              <w:t>−2,2 % per metus</w:t>
                            </w:r>
                          </w:p>
                        </w:txbxContent>
                      </v:textbox>
                    </v:shape>
                  </v:group>
                </v:group>
                <v:shape id="TextBox 11" o:spid="_x0000_s1037" type="#_x0000_t202" style="position:absolute;left:92072;width:14787;height:6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" fillcolor="#fff2cc" strokecolor="#ffc000" strokeweight="1pt">
                  <v:textbox>
                    <w:txbxContent>
                      <w:p w14:paraId="3B1B0788" w14:textId="77777777" w:rsidR="00B64DFD" w:rsidRDefault="00B64DFD" w:rsidP="006E3B52">
                        <w:pPr>
                          <w:pStyle w:val="CMR-footnote"/>
                          <w:spacing w:before="0" w:after="0"/>
                          <w:jc w:val="center"/>
                          <w:rPr>
                            <w14:ligatures w14:val="none"/>
                          </w:rPr>
                        </w:pPr>
                        <w:r>
                          <w:t>Viršutinės ribos sumažinimas (2024–2027 m.)</w:t>
                        </w:r>
                      </w:p>
                      <w:p w14:paraId="16FCB161" w14:textId="77777777" w:rsidR="00B64DFD" w:rsidRPr="006E3B52" w:rsidRDefault="00B64DFD" w:rsidP="006E3B52">
                        <w:pPr>
                          <w:pStyle w:val="CMR-footnote"/>
                          <w:spacing w:before="0" w:after="0"/>
                          <w:jc w:val="center"/>
                          <w:rPr>
                            <w:b/>
                          </w:rPr>
                        </w:pPr>
                        <w:r>
                          <w:rPr>
                            <w:b/>
                          </w:rPr>
                          <w:t>−4,3 % per metus</w:t>
                        </w:r>
                      </w:p>
                    </w:txbxContent>
                  </v:textbox>
                </v:shape>
                <v:shape id="TextBox 12" o:spid="_x0000_s1038" type="#_x0000_t202" style="position:absolute;left:107247;width:14478;height:7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" fillcolor="#fff2cc" strokecolor="#ffc000" strokeweight="1pt">
                  <v:textbox>
                    <w:txbxContent>
                      <w:p w14:paraId="772DA49C" w14:textId="77777777" w:rsidR="00B64DFD" w:rsidRDefault="00B64DFD" w:rsidP="006E3B52">
                        <w:pPr>
                          <w:pStyle w:val="CMR-footnote"/>
                          <w:spacing w:before="0" w:after="0"/>
                          <w:jc w:val="center"/>
                          <w:rPr>
                            <w14:ligatures w14:val="none"/>
                          </w:rPr>
                        </w:pPr>
                        <w:r>
                          <w:t>Viršutinės ribos sumažinimas (nuo 2028 m.)</w:t>
                        </w:r>
                      </w:p>
                      <w:p w14:paraId="2D10F4BA" w14:textId="77777777" w:rsidR="00B64DFD" w:rsidRDefault="00B64DFD" w:rsidP="006E3B52">
                        <w:pPr>
                          <w:pStyle w:val="CMR-footnote"/>
                          <w:spacing w:before="0" w:after="0"/>
                          <w:jc w:val="center"/>
                          <w:rPr>
                            <w:b/>
                          </w:rPr>
                        </w:pPr>
                        <w:r>
                          <w:rPr>
                            <w:b/>
                          </w:rPr>
                          <w:t>−4,4 % per metus</w:t>
                        </w:r>
                      </w:p>
                    </w:txbxContent>
                  </v:textbox>
                </v:shape>
                <w10:wrap anchorx="margin"/>
              </v:group>
            </w:pict>
          </mc:Fallback>
        </mc:AlternateContent>
      </w:r>
    </w:p>
    <w:p w14:paraId="39CB3FF3" w14:textId="77777777" w:rsidR="00B64DFD" w:rsidRDefault="00B64DFD" w:rsidP="00CB7227">
      <w:pPr>
        <w:pStyle w:val="Caption"/>
        <w:rPr>
          <w:noProof/>
          <w:sz w:val="20"/>
        </w:rPr>
      </w:pPr>
      <w:bookmarkStart w:id="20" w:name="_Ref176771377"/>
    </w:p>
    <w:p w14:paraId="3CDB67EA" w14:textId="77777777" w:rsidR="00B64DFD" w:rsidRDefault="00B64DFD" w:rsidP="00CB7227">
      <w:pPr>
        <w:pStyle w:val="Caption"/>
        <w:rPr>
          <w:noProof/>
          <w:sz w:val="20"/>
          <w:lang w:val="en-IE"/>
        </w:rPr>
      </w:pPr>
    </w:p>
    <w:p w14:paraId="32AC0E02" w14:textId="77777777" w:rsidR="00B64DFD" w:rsidRDefault="00B64DFD" w:rsidP="00CB7227">
      <w:pPr>
        <w:pStyle w:val="Caption"/>
        <w:rPr>
          <w:noProof/>
          <w:sz w:val="20"/>
          <w:lang w:val="en-IE"/>
        </w:rPr>
      </w:pPr>
    </w:p>
    <w:p w14:paraId="2222ED8F" w14:textId="77777777" w:rsidR="00B64DFD" w:rsidRDefault="00B64DFD" w:rsidP="00CB7227">
      <w:pPr>
        <w:pStyle w:val="Caption"/>
        <w:rPr>
          <w:noProof/>
          <w:sz w:val="20"/>
          <w:lang w:val="en-IE"/>
        </w:rPr>
      </w:pPr>
    </w:p>
    <w:p w14:paraId="7449512D" w14:textId="77777777" w:rsidR="00B64DFD" w:rsidRDefault="00B64DFD" w:rsidP="00CB7227">
      <w:pPr>
        <w:pStyle w:val="Caption"/>
        <w:rPr>
          <w:noProof/>
          <w:sz w:val="20"/>
          <w:lang w:val="en-IE"/>
        </w:rPr>
      </w:pPr>
    </w:p>
    <w:p w14:paraId="3B13A6AA" w14:textId="77777777" w:rsidR="00B64DFD" w:rsidRDefault="00B64DFD" w:rsidP="00CB7227">
      <w:pPr>
        <w:pStyle w:val="Caption"/>
        <w:rPr>
          <w:noProof/>
          <w:sz w:val="20"/>
          <w:lang w:val="en-IE"/>
        </w:rPr>
      </w:pPr>
    </w:p>
    <w:p w14:paraId="62AB86CD" w14:textId="77777777" w:rsidR="00B64DFD" w:rsidRDefault="00B64DFD" w:rsidP="00CB7227">
      <w:pPr>
        <w:pStyle w:val="Caption"/>
        <w:rPr>
          <w:noProof/>
          <w:sz w:val="20"/>
          <w:lang w:val="en-IE"/>
        </w:rPr>
      </w:pPr>
    </w:p>
    <w:p w14:paraId="2A83F9F0" w14:textId="77777777" w:rsidR="00B64DFD" w:rsidRDefault="00B64DFD" w:rsidP="00CB7227">
      <w:pPr>
        <w:pStyle w:val="Caption"/>
        <w:rPr>
          <w:noProof/>
          <w:sz w:val="20"/>
          <w:lang w:val="en-IE"/>
        </w:rPr>
      </w:pPr>
    </w:p>
    <w:p w14:paraId="4E411A62" w14:textId="77777777" w:rsidR="00B64DFD" w:rsidRDefault="00B64DFD" w:rsidP="00CB7227">
      <w:pPr>
        <w:pStyle w:val="Caption"/>
        <w:rPr>
          <w:noProof/>
          <w:sz w:val="20"/>
          <w:lang w:val="en-IE"/>
        </w:rPr>
      </w:pPr>
    </w:p>
    <w:p w14:paraId="73B53959" w14:textId="77777777" w:rsidR="00B64DFD" w:rsidRDefault="00B64DFD" w:rsidP="00CB7227">
      <w:pPr>
        <w:pStyle w:val="Caption"/>
        <w:rPr>
          <w:noProof/>
          <w:sz w:val="20"/>
          <w:lang w:val="en-IE"/>
        </w:rPr>
      </w:pPr>
    </w:p>
    <w:p w14:paraId="021CE465" w14:textId="77777777" w:rsidR="00171B07" w:rsidRDefault="00171B07" w:rsidP="00CB7227">
      <w:pPr>
        <w:pStyle w:val="Caption"/>
        <w:rPr>
          <w:noProof/>
          <w:sz w:val="20"/>
          <w:lang w:val="en-IE"/>
        </w:rPr>
      </w:pPr>
    </w:p>
    <w:p w14:paraId="30A35207" w14:textId="77777777" w:rsidR="00171B07" w:rsidRDefault="00171B07" w:rsidP="00CB7227">
      <w:pPr>
        <w:pStyle w:val="Caption"/>
        <w:rPr>
          <w:noProof/>
          <w:sz w:val="20"/>
          <w:lang w:val="en-IE"/>
        </w:rPr>
      </w:pPr>
    </w:p>
    <w:p w14:paraId="2899411C" w14:textId="77777777" w:rsidR="00171B07" w:rsidRDefault="00171B07" w:rsidP="00CB7227">
      <w:pPr>
        <w:pStyle w:val="Caption"/>
        <w:rPr>
          <w:noProof/>
          <w:sz w:val="20"/>
          <w:lang w:val="en-IE"/>
        </w:rPr>
      </w:pPr>
    </w:p>
    <w:p w14:paraId="3C2ACB36" w14:textId="5A34FEF5" w:rsidR="0051775A" w:rsidRPr="007B73CC" w:rsidRDefault="00CB7227" w:rsidP="00CB7227">
      <w:pPr>
        <w:pStyle w:val="Caption"/>
        <w:rPr>
          <w:noProof/>
          <w:sz w:val="20"/>
        </w:rPr>
      </w:pPr>
      <w:r>
        <w:rPr>
          <w:noProof/>
          <w:sz w:val="20"/>
        </w:rPr>
        <w:t xml:space="preserve">1 </w:t>
      </w:r>
      <w:bookmarkEnd w:id="20"/>
      <w:r>
        <w:rPr>
          <w:noProof/>
          <w:sz w:val="20"/>
        </w:rPr>
        <w:t>pav</w:t>
      </w:r>
      <w:r>
        <w:rPr>
          <w:noProof/>
        </w:rPr>
        <w:t>.</w:t>
      </w:r>
      <w:r>
        <w:rPr>
          <w:noProof/>
          <w:sz w:val="20"/>
        </w:rPr>
        <w:t xml:space="preserve"> Viršutinė išmetamųjų teršalų kiekio riba (didžiausias ATL skaičius) ES ATLPS ir jos palyginimas su patikrintu išmestų teršalų kiekiu. Paveiksle atsižvelgiama į 2023 m. atliktą ES ATLPS direktyvos peržiūrą, t. y. skaičiuojant viršutinę ribą 2024 ir 2026 m. taikomo atskaitos lygio pakeitimą, jūrų transporto sektoriaus įtraukimą į ES ATLPS nuo 2024 m. ir taikomą linijinį sumažinimo koeficientą: 4,3 proc. 2024–2027 m. ir 4,4 proc. nuo 2028 m. </w:t>
      </w:r>
      <w:r>
        <w:rPr>
          <w:b/>
          <w:noProof/>
          <w:sz w:val="20"/>
        </w:rPr>
        <w:t xml:space="preserve">Aviacijos sektorius neįtrauktas. </w:t>
      </w:r>
      <w:r>
        <w:rPr>
          <w:noProof/>
          <w:sz w:val="20"/>
        </w:rPr>
        <w:t xml:space="preserve">Dėl taikymo srities pakeitimų 2005–2007 m. duomenų neįmanoma tiesiogiai palyginti su naujausiais duomenimis. Nuo 2021 m. ES ATLPS nebetaikoma Jungtinėje Karalystėje esantiems įrenginiams ir apima tik Šiaurės Airijos elektros energijos gamintojus. </w:t>
      </w:r>
      <w:r>
        <w:rPr>
          <w:b/>
          <w:noProof/>
          <w:sz w:val="20"/>
        </w:rPr>
        <w:t>Patikrintas išmestų teršalų kiekis diagramoje nuo 2024 m. apima ir jūrų transporto sektoriuje išmestus teršalus, taigi 2024 ir 2023 m. išmestų teršalų kiekių palyginti neįmanoma.</w:t>
      </w:r>
      <w:r>
        <w:rPr>
          <w:noProof/>
          <w:sz w:val="20"/>
        </w:rPr>
        <w:t xml:space="preserve"> Paaiškinimai: stulpeliai – viršutinė riba, 2014–2016 m. stulpelių šviesesnio atspalvio dalis – ATL, kurių pardavimas aukcionuose atidėtas; nuo 2019 m. stulpelių šviesesnio atspalvio dalis – į rinkos stabilumo rezervą perkelti ATL; nuo 2024 m. stulpelių tamsesnio atspalvio dalis – taikymo srities išplėtimas įtraukiant jūrų transportą, punktyrinė linija – patikrintas išmestų teršalų kiekis. </w:t>
      </w:r>
    </w:p>
    <w:p w14:paraId="5EDE9B47" w14:textId="2248C8CD" w:rsidR="004F002D" w:rsidRPr="00685D02" w:rsidRDefault="004F002D" w:rsidP="00711B75">
      <w:pPr>
        <w:pStyle w:val="CMR-text"/>
        <w:rPr>
          <w:rFonts w:cs="Times New Roman"/>
          <w:i/>
          <w:noProof/>
          <w:lang w:val="en-IE"/>
        </w:rPr>
      </w:pPr>
    </w:p>
    <w:p w14:paraId="6C6BC394" w14:textId="77777777" w:rsidR="00586F89" w:rsidRPr="00685D02" w:rsidRDefault="00586F89">
      <w:pPr>
        <w:rPr>
          <w:rFonts w:ascii="Times New Roman" w:hAnsi="Times New Roman" w:cs="Times New Roman"/>
          <w:noProof/>
          <w:lang w:val="en-IE"/>
        </w:rPr>
        <w:sectPr w:rsidR="00586F89" w:rsidRPr="00685D02" w:rsidSect="00D86E5B">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9" w:footer="709" w:gutter="0"/>
          <w:cols w:space="708"/>
          <w:docGrid w:linePitch="360"/>
        </w:sectPr>
      </w:pPr>
    </w:p>
    <w:p w14:paraId="47B20D80" w14:textId="4F8BEE79" w:rsidR="00613B80" w:rsidRPr="00EC4FC3" w:rsidRDefault="00613B80" w:rsidP="00EC4FC3">
      <w:pPr>
        <w:pStyle w:val="CMR-Heading"/>
        <w:rPr>
          <w:noProof/>
        </w:rPr>
      </w:pPr>
      <w:bookmarkStart w:id="21" w:name="_Toc180513395"/>
      <w:bookmarkStart w:id="22" w:name="_Toc219127264"/>
      <w:r>
        <w:rPr>
          <w:noProof/>
        </w:rPr>
        <w:t>Apyvartinių taršos leidimų pardavimas aukcionuose</w:t>
      </w:r>
      <w:bookmarkEnd w:id="21"/>
      <w:bookmarkEnd w:id="22"/>
    </w:p>
    <w:p w14:paraId="0D1EEB08" w14:textId="77777777" w:rsidR="00E109D2" w:rsidRPr="00685D02" w:rsidRDefault="3293C6BF" w:rsidP="00E109D2">
      <w:pPr>
        <w:pStyle w:val="CMR-text"/>
        <w:rPr>
          <w:rFonts w:cs="Times New Roman"/>
          <w:noProof/>
        </w:rPr>
      </w:pPr>
      <w:r>
        <w:rPr>
          <w:noProof/>
        </w:rPr>
        <w:t>Pardavimas aukcionuose yra pagrindinis ES ATLPS apyvartinių taršos leidimų (ATL) paskirstymo metodas; aukcionuose parduodama iki 57 proc. viso ATL skaičiaus iki viršutinės ribos</w:t>
      </w:r>
      <w:r>
        <w:rPr>
          <w:rStyle w:val="FootnoteReference"/>
          <w:rFonts w:cs="Times New Roman"/>
          <w:noProof/>
          <w:lang w:val="en-IE"/>
        </w:rPr>
        <w:footnoteReference w:id="15"/>
      </w:r>
      <w:r>
        <w:rPr>
          <w:noProof/>
        </w:rPr>
        <w:t>. Aukcionų reglamentu (Reglamentas (ES) 2023/2830)</w:t>
      </w:r>
      <w:r>
        <w:rPr>
          <w:rStyle w:val="FootnoteReference"/>
          <w:rFonts w:cs="Times New Roman"/>
          <w:noProof/>
          <w:lang w:val="en-IE"/>
        </w:rPr>
        <w:footnoteReference w:id="16"/>
      </w:r>
      <w:r>
        <w:rPr>
          <w:noProof/>
        </w:rPr>
        <w:t xml:space="preserve"> nustatytos taisyklės, skirtos užtikrinti, kad aukcionai vyktų atvirai, skaidriai, suderintai ir be diskriminavimo. Juo nustatyti ATL pardavimo aukcionuose terminai, administravimo tvarka ir kiti aspektai. </w:t>
      </w:r>
    </w:p>
    <w:p w14:paraId="762B442E" w14:textId="4F482098" w:rsidR="00E109D2" w:rsidRPr="00685D02" w:rsidRDefault="00E109D2" w:rsidP="00E109D2">
      <w:pPr>
        <w:pStyle w:val="CMR-text"/>
        <w:rPr>
          <w:rFonts w:cs="Times New Roman"/>
          <w:noProof/>
        </w:rPr>
      </w:pPr>
      <w:r>
        <w:rPr>
          <w:noProof/>
        </w:rPr>
        <w:t xml:space="preserve">2024 m. aukcionai buvo toliau rengiami Europos energijos biržoje „European Energy Exchange AG“ (EEX): </w:t>
      </w:r>
    </w:p>
    <w:p w14:paraId="74E39457" w14:textId="77777777" w:rsidR="00E109D2" w:rsidRPr="00685D02" w:rsidRDefault="00E109D2" w:rsidP="00E109D2">
      <w:pPr>
        <w:pStyle w:val="CMR-text"/>
        <w:numPr>
          <w:ilvl w:val="0"/>
          <w:numId w:val="21"/>
        </w:numPr>
        <w:rPr>
          <w:rFonts w:cs="Times New Roman"/>
          <w:noProof/>
        </w:rPr>
      </w:pPr>
      <w:r>
        <w:rPr>
          <w:noProof/>
        </w:rPr>
        <w:t xml:space="preserve">kaip bendroje aukcionų platformoje 25 valstybėms narėms, dalyvaujančioms bendro pirkimo procedūroje; </w:t>
      </w:r>
    </w:p>
    <w:p w14:paraId="59BEC2B8" w14:textId="77777777" w:rsidR="00E109D2" w:rsidRPr="00685D02" w:rsidRDefault="00E109D2" w:rsidP="00E109D2">
      <w:pPr>
        <w:pStyle w:val="CMR-text"/>
        <w:numPr>
          <w:ilvl w:val="0"/>
          <w:numId w:val="21"/>
        </w:numPr>
        <w:rPr>
          <w:rFonts w:cs="Times New Roman"/>
          <w:noProof/>
        </w:rPr>
      </w:pPr>
      <w:r>
        <w:rPr>
          <w:noProof/>
        </w:rPr>
        <w:t>Lenkijai, kuri pasirinko nedalyvauti bendro pirkimo procedūroje, bet dar nėra paskyrusi savos aukcionų platformos;</w:t>
      </w:r>
    </w:p>
    <w:p w14:paraId="0640E317" w14:textId="77777777" w:rsidR="00E109D2" w:rsidRPr="00685D02" w:rsidRDefault="00E109D2" w:rsidP="00E109D2">
      <w:pPr>
        <w:pStyle w:val="CMR-text"/>
        <w:numPr>
          <w:ilvl w:val="0"/>
          <w:numId w:val="21"/>
        </w:numPr>
        <w:rPr>
          <w:rFonts w:cs="Times New Roman"/>
          <w:noProof/>
        </w:rPr>
      </w:pPr>
      <w:r>
        <w:rPr>
          <w:noProof/>
        </w:rPr>
        <w:t xml:space="preserve">Islandijai, Lichtenšteinui ir Norvegijai – po to, kai EEE susitarimas 2019 m. iš dalies pakeistas siekiant, kad šios šalys galėtų dalyvauti bendro pirkimo susitarime dėl bendros aukcionų platformos; </w:t>
      </w:r>
    </w:p>
    <w:p w14:paraId="02549F75" w14:textId="3DBF038D" w:rsidR="00E109D2" w:rsidRPr="00685D02" w:rsidRDefault="00E109D2" w:rsidP="00E109D2">
      <w:pPr>
        <w:pStyle w:val="CMR-text"/>
        <w:numPr>
          <w:ilvl w:val="0"/>
          <w:numId w:val="21"/>
        </w:numPr>
        <w:rPr>
          <w:rFonts w:cs="Times New Roman"/>
          <w:noProof/>
        </w:rPr>
      </w:pPr>
      <w:r>
        <w:rPr>
          <w:noProof/>
        </w:rPr>
        <w:t xml:space="preserve">Jungtinei Karalystei, kad būtų galima aukcionuose parduoti Šiaurės Airijos elektrinėms skirtus ATL; </w:t>
      </w:r>
    </w:p>
    <w:p w14:paraId="03760487" w14:textId="63F81BF3" w:rsidR="00E109D2" w:rsidRPr="00685D02" w:rsidRDefault="0080588F" w:rsidP="003F687D">
      <w:pPr>
        <w:pStyle w:val="CMR-text"/>
        <w:numPr>
          <w:ilvl w:val="0"/>
          <w:numId w:val="21"/>
        </w:numPr>
        <w:rPr>
          <w:rFonts w:cs="Times New Roman"/>
          <w:noProof/>
        </w:rPr>
      </w:pPr>
      <w:r>
        <w:rPr>
          <w:noProof/>
        </w:rPr>
        <w:t xml:space="preserve">EEX rengiamuose aukcionuose taip pat buvo parduodami Vokietijai skirti ATL (ši šalis buvo pasirinkusi EEX kaip savo atskirą aukcionų platformą). </w:t>
      </w:r>
    </w:p>
    <w:p w14:paraId="61986B49" w14:textId="0DC92710" w:rsidR="00E109D2" w:rsidRPr="00685D02" w:rsidRDefault="006B068B" w:rsidP="00E109D2">
      <w:pPr>
        <w:pStyle w:val="CMR-text"/>
        <w:rPr>
          <w:rFonts w:cs="Times New Roman"/>
          <w:noProof/>
        </w:rPr>
      </w:pPr>
      <w:r>
        <w:rPr>
          <w:noProof/>
        </w:rPr>
        <w:t>2 lentelėje apžvelgiami nuo 2021 m. EEX aukcionuose parduotų ATL metiniai kiekiai.</w:t>
      </w:r>
    </w:p>
    <w:p w14:paraId="2F58C1DA" w14:textId="53092ACB" w:rsidR="00E109D2" w:rsidRPr="007B73CC" w:rsidRDefault="00E109D2" w:rsidP="00E109D2">
      <w:pPr>
        <w:pStyle w:val="Caption"/>
        <w:keepNext/>
        <w:spacing w:line="257" w:lineRule="auto"/>
        <w:rPr>
          <w:noProof/>
          <w:sz w:val="20"/>
        </w:rPr>
      </w:pPr>
      <w:r>
        <w:rPr>
          <w:noProof/>
          <w:sz w:val="20"/>
        </w:rPr>
        <w:t>2 lentelė. Bendri aukcionuose parduotų (2021–2024 m.) ATL kiekiai</w:t>
      </w:r>
    </w:p>
    <w:tbl>
      <w:tblPr>
        <w:tblStyle w:val="TableGridLight"/>
        <w:tblW w:w="906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256"/>
        <w:gridCol w:w="2480"/>
        <w:gridCol w:w="3331"/>
      </w:tblGrid>
      <w:tr w:rsidR="00E109D2" w:rsidRPr="007B73CC" w14:paraId="12BCF78D" w14:textId="77777777" w:rsidTr="00380C53">
        <w:trPr>
          <w:cantSplit/>
          <w:trHeight w:val="470"/>
        </w:trPr>
        <w:tc>
          <w:tcPr>
            <w:tcW w:w="3256" w:type="dxa"/>
            <w:vAlign w:val="center"/>
            <w:hideMark/>
          </w:tcPr>
          <w:p w14:paraId="7B1199CA" w14:textId="77777777" w:rsidR="00E109D2" w:rsidRPr="007B73CC" w:rsidRDefault="00E109D2" w:rsidP="00AB164F">
            <w:pPr>
              <w:pStyle w:val="CMR-tables"/>
              <w:keepNext/>
              <w:jc w:val="center"/>
              <w:rPr>
                <w:rFonts w:cs="Times New Roman"/>
                <w:b/>
                <w:noProof/>
                <w:szCs w:val="20"/>
              </w:rPr>
            </w:pPr>
            <w:r>
              <w:rPr>
                <w:noProof/>
              </w:rPr>
              <w:t>Metai</w:t>
            </w:r>
          </w:p>
        </w:tc>
        <w:tc>
          <w:tcPr>
            <w:tcW w:w="2480" w:type="dxa"/>
            <w:vAlign w:val="center"/>
            <w:hideMark/>
          </w:tcPr>
          <w:p w14:paraId="6D45D32A" w14:textId="77777777" w:rsidR="00E109D2" w:rsidRPr="007B73CC" w:rsidRDefault="00E109D2" w:rsidP="00AB164F">
            <w:pPr>
              <w:pStyle w:val="CMR-tables"/>
              <w:keepNext/>
              <w:jc w:val="center"/>
              <w:rPr>
                <w:rFonts w:cs="Times New Roman"/>
                <w:b/>
                <w:noProof/>
                <w:szCs w:val="20"/>
              </w:rPr>
            </w:pPr>
            <w:r>
              <w:rPr>
                <w:noProof/>
              </w:rPr>
              <w:t>Paprastieji ATL</w:t>
            </w:r>
          </w:p>
        </w:tc>
        <w:tc>
          <w:tcPr>
            <w:tcW w:w="3331" w:type="dxa"/>
            <w:vAlign w:val="center"/>
            <w:hideMark/>
          </w:tcPr>
          <w:p w14:paraId="2AC2EAF8" w14:textId="77777777" w:rsidR="00E109D2" w:rsidRPr="007B73CC" w:rsidRDefault="00E109D2" w:rsidP="00AB164F">
            <w:pPr>
              <w:pStyle w:val="CMR-tables"/>
              <w:keepNext/>
              <w:jc w:val="center"/>
              <w:rPr>
                <w:rFonts w:cs="Times New Roman"/>
                <w:b/>
                <w:noProof/>
                <w:szCs w:val="20"/>
              </w:rPr>
            </w:pPr>
            <w:r>
              <w:rPr>
                <w:noProof/>
              </w:rPr>
              <w:t>Aviacijos ATL</w:t>
            </w:r>
          </w:p>
        </w:tc>
      </w:tr>
      <w:tr w:rsidR="00E109D2" w:rsidRPr="007B73CC" w14:paraId="1ECAA8EB" w14:textId="77777777" w:rsidTr="00380C53">
        <w:trPr>
          <w:cantSplit/>
          <w:trHeight w:val="470"/>
        </w:trPr>
        <w:tc>
          <w:tcPr>
            <w:tcW w:w="3256" w:type="dxa"/>
            <w:shd w:val="clear" w:color="auto" w:fill="D9E2F3" w:themeFill="accent1" w:themeFillTint="33"/>
            <w:vAlign w:val="center"/>
            <w:hideMark/>
          </w:tcPr>
          <w:p w14:paraId="76718C53" w14:textId="77777777" w:rsidR="00E109D2" w:rsidRPr="007B73CC" w:rsidRDefault="00E109D2" w:rsidP="00AB164F">
            <w:pPr>
              <w:pStyle w:val="CMR-tables"/>
              <w:keepNext/>
              <w:jc w:val="center"/>
              <w:rPr>
                <w:rFonts w:cs="Times New Roman"/>
                <w:b/>
                <w:noProof/>
                <w:szCs w:val="20"/>
              </w:rPr>
            </w:pPr>
            <w:r>
              <w:rPr>
                <w:noProof/>
              </w:rPr>
              <w:t>2021 m.</w:t>
            </w:r>
          </w:p>
        </w:tc>
        <w:tc>
          <w:tcPr>
            <w:tcW w:w="2480" w:type="dxa"/>
            <w:shd w:val="clear" w:color="auto" w:fill="D9E2F3" w:themeFill="accent1" w:themeFillTint="33"/>
            <w:vAlign w:val="center"/>
            <w:hideMark/>
          </w:tcPr>
          <w:p w14:paraId="7D213D84" w14:textId="77777777" w:rsidR="00E109D2" w:rsidRPr="007B73CC" w:rsidRDefault="00E109D2" w:rsidP="00AB164F">
            <w:pPr>
              <w:pStyle w:val="CMR-tables"/>
              <w:keepNext/>
              <w:jc w:val="center"/>
              <w:rPr>
                <w:rFonts w:cs="Times New Roman"/>
                <w:b/>
                <w:noProof/>
                <w:szCs w:val="20"/>
              </w:rPr>
            </w:pPr>
            <w:r>
              <w:rPr>
                <w:noProof/>
              </w:rPr>
              <w:t>582 952 500</w:t>
            </w:r>
          </w:p>
        </w:tc>
        <w:tc>
          <w:tcPr>
            <w:tcW w:w="3331" w:type="dxa"/>
            <w:shd w:val="clear" w:color="auto" w:fill="D9E2F3" w:themeFill="accent1" w:themeFillTint="33"/>
            <w:vAlign w:val="center"/>
            <w:hideMark/>
          </w:tcPr>
          <w:p w14:paraId="7F41EA69" w14:textId="77777777" w:rsidR="00E109D2" w:rsidRPr="007B73CC" w:rsidRDefault="00E109D2" w:rsidP="00AB164F">
            <w:pPr>
              <w:pStyle w:val="CMR-tables"/>
              <w:keepNext/>
              <w:jc w:val="center"/>
              <w:rPr>
                <w:rFonts w:cs="Times New Roman"/>
                <w:b/>
                <w:noProof/>
                <w:szCs w:val="20"/>
              </w:rPr>
            </w:pPr>
            <w:r>
              <w:rPr>
                <w:noProof/>
              </w:rPr>
              <w:t>3 785 500</w:t>
            </w:r>
          </w:p>
        </w:tc>
      </w:tr>
      <w:tr w:rsidR="00E109D2" w:rsidRPr="007B73CC" w14:paraId="41AB3907" w14:textId="77777777" w:rsidTr="00380C53">
        <w:trPr>
          <w:cantSplit/>
          <w:trHeight w:val="470"/>
        </w:trPr>
        <w:tc>
          <w:tcPr>
            <w:tcW w:w="3256" w:type="dxa"/>
            <w:vAlign w:val="center"/>
            <w:hideMark/>
          </w:tcPr>
          <w:p w14:paraId="5FBF1310" w14:textId="77777777" w:rsidR="00E109D2" w:rsidRPr="007B73CC" w:rsidRDefault="00E109D2" w:rsidP="00AB164F">
            <w:pPr>
              <w:pStyle w:val="CMR-tables"/>
              <w:keepNext/>
              <w:jc w:val="center"/>
              <w:rPr>
                <w:rFonts w:cs="Times New Roman"/>
                <w:b/>
                <w:noProof/>
                <w:szCs w:val="20"/>
              </w:rPr>
            </w:pPr>
            <w:r>
              <w:rPr>
                <w:noProof/>
              </w:rPr>
              <w:t>2022 m.</w:t>
            </w:r>
          </w:p>
        </w:tc>
        <w:tc>
          <w:tcPr>
            <w:tcW w:w="2480" w:type="dxa"/>
            <w:vAlign w:val="center"/>
            <w:hideMark/>
          </w:tcPr>
          <w:p w14:paraId="404B48E5" w14:textId="77777777" w:rsidR="00E109D2" w:rsidRPr="007B73CC" w:rsidRDefault="00E109D2" w:rsidP="00AB164F">
            <w:pPr>
              <w:pStyle w:val="CMR-tables"/>
              <w:keepNext/>
              <w:jc w:val="center"/>
              <w:rPr>
                <w:rFonts w:cs="Times New Roman"/>
                <w:b/>
                <w:noProof/>
                <w:szCs w:val="20"/>
              </w:rPr>
            </w:pPr>
            <w:r>
              <w:rPr>
                <w:noProof/>
              </w:rPr>
              <w:t>482 389 000</w:t>
            </w:r>
          </w:p>
        </w:tc>
        <w:tc>
          <w:tcPr>
            <w:tcW w:w="3331" w:type="dxa"/>
            <w:vAlign w:val="center"/>
            <w:hideMark/>
          </w:tcPr>
          <w:p w14:paraId="23384B3D" w14:textId="77777777" w:rsidR="00E109D2" w:rsidRPr="007B73CC" w:rsidRDefault="00E109D2" w:rsidP="00AB164F">
            <w:pPr>
              <w:pStyle w:val="CMR-tables"/>
              <w:keepNext/>
              <w:jc w:val="center"/>
              <w:rPr>
                <w:rFonts w:cs="Times New Roman"/>
                <w:b/>
                <w:noProof/>
                <w:szCs w:val="20"/>
              </w:rPr>
            </w:pPr>
            <w:r>
              <w:rPr>
                <w:noProof/>
              </w:rPr>
              <w:t>3 698 000</w:t>
            </w:r>
          </w:p>
        </w:tc>
      </w:tr>
      <w:tr w:rsidR="00E109D2" w:rsidRPr="007B73CC" w14:paraId="635F8537" w14:textId="77777777" w:rsidTr="00380C53">
        <w:trPr>
          <w:cantSplit/>
          <w:trHeight w:val="470"/>
        </w:trPr>
        <w:tc>
          <w:tcPr>
            <w:tcW w:w="3256" w:type="dxa"/>
            <w:shd w:val="clear" w:color="auto" w:fill="D9E2F3" w:themeFill="accent1" w:themeFillTint="33"/>
            <w:vAlign w:val="center"/>
          </w:tcPr>
          <w:p w14:paraId="60B7A186" w14:textId="77777777" w:rsidR="00E109D2" w:rsidRPr="007B73CC" w:rsidRDefault="00E109D2" w:rsidP="00AB164F">
            <w:pPr>
              <w:pStyle w:val="CMR-tables"/>
              <w:keepNext/>
              <w:jc w:val="center"/>
              <w:rPr>
                <w:rFonts w:cs="Times New Roman"/>
                <w:noProof/>
                <w:szCs w:val="20"/>
              </w:rPr>
            </w:pPr>
            <w:r>
              <w:rPr>
                <w:noProof/>
              </w:rPr>
              <w:t>2023 m.</w:t>
            </w:r>
          </w:p>
        </w:tc>
        <w:tc>
          <w:tcPr>
            <w:tcW w:w="2480" w:type="dxa"/>
            <w:shd w:val="clear" w:color="auto" w:fill="D9E2F3" w:themeFill="accent1" w:themeFillTint="33"/>
            <w:vAlign w:val="center"/>
          </w:tcPr>
          <w:p w14:paraId="7FBC85AA" w14:textId="77777777" w:rsidR="00E109D2" w:rsidRPr="007B73CC" w:rsidRDefault="00E109D2" w:rsidP="00AB164F">
            <w:pPr>
              <w:pStyle w:val="CMR-tables"/>
              <w:keepNext/>
              <w:jc w:val="center"/>
              <w:rPr>
                <w:rFonts w:cs="Times New Roman"/>
                <w:noProof/>
                <w:szCs w:val="20"/>
              </w:rPr>
            </w:pPr>
            <w:r>
              <w:rPr>
                <w:noProof/>
              </w:rPr>
              <w:t>517 587 000</w:t>
            </w:r>
          </w:p>
        </w:tc>
        <w:tc>
          <w:tcPr>
            <w:tcW w:w="3331" w:type="dxa"/>
            <w:shd w:val="clear" w:color="auto" w:fill="D9E2F3" w:themeFill="accent1" w:themeFillTint="33"/>
            <w:vAlign w:val="center"/>
          </w:tcPr>
          <w:p w14:paraId="7E60D1DA" w14:textId="77777777" w:rsidR="00E109D2" w:rsidRPr="007B73CC" w:rsidRDefault="00E109D2" w:rsidP="00AB164F">
            <w:pPr>
              <w:pStyle w:val="CMR-tables"/>
              <w:keepNext/>
              <w:jc w:val="center"/>
              <w:rPr>
                <w:rFonts w:cs="Times New Roman"/>
                <w:noProof/>
                <w:szCs w:val="20"/>
              </w:rPr>
            </w:pPr>
            <w:r>
              <w:rPr>
                <w:noProof/>
              </w:rPr>
              <w:t>5 720 500</w:t>
            </w:r>
          </w:p>
        </w:tc>
      </w:tr>
      <w:tr w:rsidR="00E109D2" w:rsidRPr="007B73CC" w14:paraId="69E5B5B5" w14:textId="77777777" w:rsidTr="00380C53">
        <w:trPr>
          <w:cantSplit/>
          <w:trHeight w:val="288"/>
        </w:trPr>
        <w:tc>
          <w:tcPr>
            <w:tcW w:w="3256" w:type="dxa"/>
            <w:vAlign w:val="center"/>
            <w:hideMark/>
          </w:tcPr>
          <w:p w14:paraId="628673E8" w14:textId="36E20651" w:rsidR="00E109D2" w:rsidRPr="007B73CC" w:rsidRDefault="00E109D2" w:rsidP="00AB164F">
            <w:pPr>
              <w:pStyle w:val="CMR-tables"/>
              <w:keepNext/>
              <w:jc w:val="center"/>
              <w:rPr>
                <w:rFonts w:cs="Times New Roman"/>
                <w:b/>
                <w:noProof/>
                <w:szCs w:val="20"/>
              </w:rPr>
            </w:pPr>
            <w:r>
              <w:rPr>
                <w:noProof/>
              </w:rPr>
              <w:t xml:space="preserve">2024 m. </w:t>
            </w:r>
          </w:p>
        </w:tc>
        <w:tc>
          <w:tcPr>
            <w:tcW w:w="2480" w:type="dxa"/>
            <w:vAlign w:val="center"/>
          </w:tcPr>
          <w:p w14:paraId="5B197ED2" w14:textId="77777777" w:rsidR="00E109D2" w:rsidRPr="007B73CC" w:rsidRDefault="00E109D2" w:rsidP="00AB164F">
            <w:pPr>
              <w:pStyle w:val="CMR-tables"/>
              <w:keepNext/>
              <w:jc w:val="center"/>
              <w:rPr>
                <w:rFonts w:cs="Times New Roman"/>
                <w:b/>
                <w:noProof/>
                <w:szCs w:val="20"/>
              </w:rPr>
            </w:pPr>
            <w:r>
              <w:rPr>
                <w:noProof/>
              </w:rPr>
              <w:t>592 801 500</w:t>
            </w:r>
          </w:p>
        </w:tc>
        <w:tc>
          <w:tcPr>
            <w:tcW w:w="3331" w:type="dxa"/>
            <w:vAlign w:val="center"/>
          </w:tcPr>
          <w:p w14:paraId="7C231B92" w14:textId="77777777" w:rsidR="00E109D2" w:rsidRPr="007B73CC" w:rsidRDefault="00E109D2" w:rsidP="00AB164F">
            <w:pPr>
              <w:pStyle w:val="CMR-tables"/>
              <w:keepNext/>
              <w:jc w:val="center"/>
              <w:rPr>
                <w:rFonts w:cs="Times New Roman"/>
                <w:b/>
                <w:noProof/>
                <w:szCs w:val="20"/>
              </w:rPr>
            </w:pPr>
            <w:r>
              <w:rPr>
                <w:noProof/>
              </w:rPr>
              <w:t>6 688 500</w:t>
            </w:r>
          </w:p>
        </w:tc>
      </w:tr>
    </w:tbl>
    <w:p w14:paraId="41BABA93" w14:textId="2CF1BF36" w:rsidR="00E109D2" w:rsidRPr="00685D02" w:rsidRDefault="00E109D2" w:rsidP="00E109D2">
      <w:pPr>
        <w:pStyle w:val="CMR-text"/>
        <w:rPr>
          <w:rFonts w:cs="Times New Roman"/>
          <w:noProof/>
        </w:rPr>
      </w:pPr>
      <w:r>
        <w:rPr>
          <w:noProof/>
        </w:rPr>
        <w:t>2024 m. surengtas iš viso 221 aukcionas. Atšauktų aukcionų nebuvo. Nuo 2025 m. sausio mėn. aviacijos sektoriui išduodami ATL yra paprastieji ATL ir nebėra atskira ATL kategorija.</w:t>
      </w:r>
    </w:p>
    <w:p w14:paraId="33946994" w14:textId="637BA5DE" w:rsidR="00E109D2" w:rsidRPr="00685D02" w:rsidRDefault="5B706CD9" w:rsidP="00E109D2">
      <w:pPr>
        <w:pStyle w:val="CMR-text"/>
        <w:rPr>
          <w:rFonts w:cs="Times New Roman"/>
          <w:noProof/>
        </w:rPr>
      </w:pPr>
      <w:r>
        <w:rPr>
          <w:noProof/>
        </w:rPr>
        <w:t>Nuo 2023 m. liepos mėn. į aukcionuose parduodamų ATL kiekį įtraukti tie ATL, kurie skirti Ekonomikos gaivinimo ir atsparumo didinimo priemonei (EGADP) pagal „REPowerEU“ reglamentą (Reglamentas (ES) 2023/435)</w:t>
      </w:r>
      <w:r>
        <w:rPr>
          <w:rStyle w:val="FootnoteReference"/>
          <w:rFonts w:cs="Times New Roman"/>
          <w:noProof/>
          <w:lang w:val="en-IE"/>
        </w:rPr>
        <w:footnoteReference w:id="17"/>
      </w:r>
      <w:r>
        <w:rPr>
          <w:noProof/>
        </w:rPr>
        <w:t>. Pagal „REPowerEU“ reglamentą pardavus ATL aukcionuose, iki 2026 m. rugpjūčio 31 d. bus surinkta 20 mlrd. EUR į EGADP biudžetą. Valstybės narės šiuos papildomus EGADP išteklius naudos tolesnėms reformoms vykdyti ir investicijoms, kuriomis siekiama įgyvendinti perėjimą prie švarios energijos ir stiprinti energetinį saugumą. Iki 2025 m. birželio 30 d. 11,5 mlrd. EUR lėšų surinkta EGADP reikmėms pagal planą „REPowerEU“, aukcionuose pardavus 164 710 000 ATL.</w:t>
      </w:r>
    </w:p>
    <w:p w14:paraId="5FA313E0" w14:textId="1652F346" w:rsidR="00E109D2" w:rsidRPr="00685D02" w:rsidRDefault="001D3D34" w:rsidP="00E109D2">
      <w:pPr>
        <w:pStyle w:val="CMR-text"/>
        <w:rPr>
          <w:rFonts w:cs="Times New Roman"/>
          <w:noProof/>
        </w:rPr>
      </w:pPr>
      <w:r>
        <w:rPr>
          <w:noProof/>
        </w:rPr>
        <w:t>2 pav. apžvelgiamos galutinės aukcionų kainos ES anglies dioksido rinkoje 2024 m. ir pirmąjį 2025 m. pusmetį. Didžiausia aukciono kaina 2024 m. (75,35 EUR) pasiekta birželio 3 d. Mažiausia aukciono kaina (49,50 EUR) užfiksuota vasario 23 d. Vidutinė 2024 m. kaina buvo 64,74 EUR – mažesnė už 2023 m. vidutinę kainą, kuri buvo 83,60 EUR. 2024 m. aukcionų kainos buvo gana siaurame intervale – 182 iš 221 (82 proc.) verčių buvo tarp 60 ir 75 EUR.</w:t>
      </w:r>
    </w:p>
    <w:p w14:paraId="0E3E72A9" w14:textId="77777777" w:rsidR="00E109D2" w:rsidRPr="00685D02" w:rsidRDefault="3293C6BF" w:rsidP="00E109D2">
      <w:pPr>
        <w:pStyle w:val="CMR-text"/>
        <w:rPr>
          <w:rFonts w:cs="Times New Roman"/>
          <w:noProof/>
        </w:rPr>
      </w:pPr>
      <w:r>
        <w:rPr>
          <w:noProof/>
        </w:rPr>
        <w:t>Aukcionų platformos svetainėje</w:t>
      </w:r>
      <w:r>
        <w:rPr>
          <w:rStyle w:val="FootnoteReference"/>
          <w:rFonts w:cs="Times New Roman"/>
          <w:noProof/>
          <w:lang w:val="en-IE"/>
        </w:rPr>
        <w:footnoteReference w:id="18"/>
      </w:r>
      <w:r>
        <w:rPr>
          <w:noProof/>
        </w:rPr>
        <w:t xml:space="preserve"> reguliariai skelbiami išsamūs kiekvieno aukciono rezultatai. Daugiau informacijos apie aukcionų vykdymą, įskaitant dalyvavimą juose, pasiūlymų patenkinimo santykius ir kainas, galima rasti ATLPS šalių aukcionų ataskaitose</w:t>
      </w:r>
      <w:r>
        <w:rPr>
          <w:rStyle w:val="FootnoteReference"/>
          <w:rFonts w:cs="Times New Roman"/>
          <w:noProof/>
          <w:lang w:val="en-IE"/>
        </w:rPr>
        <w:footnoteReference w:id="19"/>
      </w:r>
      <w:r>
        <w:rPr>
          <w:noProof/>
        </w:rPr>
        <w:t>.</w:t>
      </w:r>
    </w:p>
    <w:p w14:paraId="71FE1BB5" w14:textId="2351005A" w:rsidR="003A69EA" w:rsidRPr="009268F3" w:rsidRDefault="009268F3" w:rsidP="009268F3">
      <w:pPr>
        <w:pStyle w:val="Caption"/>
        <w:keepNext/>
        <w:spacing w:line="257" w:lineRule="auto"/>
        <w:jc w:val="left"/>
        <w:rPr>
          <w:noProof/>
          <w:sz w:val="20"/>
        </w:rPr>
      </w:pPr>
      <w:r>
        <w:rPr>
          <w:noProof/>
          <w:lang w:val="en-GB" w:eastAsia="en-GB"/>
        </w:rPr>
        <w:drawing>
          <wp:inline distT="0" distB="0" distL="0" distR="0" wp14:anchorId="51EA56D2" wp14:editId="701D33D5">
            <wp:extent cx="5731510" cy="3375660"/>
            <wp:effectExtent l="0" t="0" r="2540" b="0"/>
            <wp:docPr id="1874873789" name="Chart 1">
              <a:extLst xmlns:a="http://schemas.openxmlformats.org/drawingml/2006/main">
                <a:ext uri="{FF2B5EF4-FFF2-40B4-BE49-F238E27FC236}">
                  <a16:creationId xmlns:a16="http://schemas.microsoft.com/office/drawing/2014/main" id="{751C2AB8-CCE3-4B4D-8872-B060FB285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sz w:val="20"/>
        </w:rPr>
        <w:t>2 pav. Paprastųjų ATL pardavimo aukcionuose galutinės kainos (nuo 2024 m. sausio 1 d. iki 2025 m. birželio 30 d.) (EUR už CO</w:t>
      </w:r>
      <w:r>
        <w:rPr>
          <w:noProof/>
          <w:sz w:val="20"/>
          <w:vertAlign w:val="subscript"/>
        </w:rPr>
        <w:t>2</w:t>
      </w:r>
      <w:r>
        <w:rPr>
          <w:noProof/>
          <w:sz w:val="20"/>
        </w:rPr>
        <w:t xml:space="preserve"> toną)</w:t>
      </w:r>
    </w:p>
    <w:p w14:paraId="5BF620E9" w14:textId="2810854B" w:rsidR="00AA2923" w:rsidRPr="00685D02" w:rsidRDefault="00373308" w:rsidP="004F3BD5">
      <w:pPr>
        <w:pStyle w:val="CMR-Subheading"/>
        <w:rPr>
          <w:rFonts w:cs="Times New Roman"/>
          <w:noProof/>
          <w:sz w:val="22"/>
          <w:szCs w:val="22"/>
        </w:rPr>
      </w:pPr>
      <w:bookmarkStart w:id="23" w:name="_Toc219127265"/>
      <w:r>
        <w:rPr>
          <w:noProof/>
          <w:sz w:val="22"/>
        </w:rPr>
        <w:t>ATL pardavimas aukcionuose ir panaikinimas dėl ES ATLPS taikymo srities išplėtimo įtraukus jūrų transportą</w:t>
      </w:r>
      <w:bookmarkEnd w:id="23"/>
    </w:p>
    <w:p w14:paraId="14B5D574" w14:textId="3461EBD3" w:rsidR="00E109D2" w:rsidRPr="00685D02" w:rsidRDefault="00C00F62" w:rsidP="00E109D2">
      <w:pPr>
        <w:pStyle w:val="CMR-text"/>
        <w:rPr>
          <w:rFonts w:cs="Times New Roman"/>
          <w:noProof/>
        </w:rPr>
      </w:pPr>
      <w:r>
        <w:rPr>
          <w:noProof/>
        </w:rPr>
        <w:t>Jūrų transportas į ES ATLPS įtrauktas nustatant pradinį laipsniško reikalavimų įvedimo laikotarpį 2024 ir 2025 m., kai laivybos bendrovės privalo atsisakyti ATL tik už dalį savo išmetamųjų teršalų (atitinkamai 40 proc. ir 70 proc.). Jeigu ATL bus atsisakyta mažiau, palyginti su patikrintu jūrų transporto 2024 ir 2025 m. išmestų teršalų kiekiu, valstybės narės panaikins tą skirtumą atitinkantį ATL skaičių. Pagal ES ATLPS direktyvos 3gb straipsnį ir 12 straipsnio 3-e dalį, šį skirtumą atitinkantis ATL skaičius turi būti panaikintas, pašalinant juos iš aukcionų. 2024 m. ATL (iš viso 54 243 768) panaikinimas bus atliktas 2026 m., iš dalies pakeičiant aukcionų tvarkaraštį.</w:t>
      </w:r>
    </w:p>
    <w:p w14:paraId="2D8E4983" w14:textId="25338090" w:rsidR="00E109D2" w:rsidRPr="00685D02" w:rsidRDefault="00E109D2" w:rsidP="00E109D2">
      <w:pPr>
        <w:pStyle w:val="CMR-text"/>
        <w:rPr>
          <w:rFonts w:cs="Times New Roman"/>
          <w:noProof/>
        </w:rPr>
      </w:pPr>
      <w:r>
        <w:rPr>
          <w:noProof/>
        </w:rPr>
        <w:t>ES ATLPS direktyvos 9 straipsnyje nustatyta, kad nuo 2026 m. sausio mėn. ATL skaičius turi būti padidintas atsižvelgiant į jūrų transporto išmetamų šiltnamio efektą sukeliančių dujų, kitų nei CO</w:t>
      </w:r>
      <w:r>
        <w:rPr>
          <w:noProof/>
          <w:vertAlign w:val="subscript"/>
        </w:rPr>
        <w:t>2</w:t>
      </w:r>
      <w:r>
        <w:rPr>
          <w:noProof/>
        </w:rPr>
        <w:t>, kiekį. Papildomi dėl to padidinimo susidarę ATL bus parduoti aukcionuose 2026 m., iš dalies pakeitus aukcionų tvarkaraštį, ir taip bus papildytas Inovacijų fondas.</w:t>
      </w:r>
    </w:p>
    <w:p w14:paraId="6F161A98" w14:textId="4C53B425" w:rsidR="000F66CB" w:rsidRPr="00EC4FC3" w:rsidRDefault="000F66CB" w:rsidP="00EC4FC3">
      <w:pPr>
        <w:pStyle w:val="CMR-Subheading"/>
        <w:rPr>
          <w:noProof/>
        </w:rPr>
      </w:pPr>
      <w:bookmarkStart w:id="24" w:name="_Ref206606635"/>
      <w:bookmarkStart w:id="25" w:name="_Toc219127266"/>
      <w:r>
        <w:rPr>
          <w:noProof/>
        </w:rPr>
        <w:t>Lankstumo priemonė pagal Pastangų pasidalijimo reglamentą</w:t>
      </w:r>
      <w:bookmarkEnd w:id="24"/>
      <w:bookmarkEnd w:id="25"/>
    </w:p>
    <w:p w14:paraId="2DCE827C" w14:textId="4232BB58" w:rsidR="00603B47" w:rsidRPr="00685D02" w:rsidRDefault="00CB67F3">
      <w:pPr>
        <w:pStyle w:val="CMR-text"/>
        <w:rPr>
          <w:rFonts w:cs="Times New Roman"/>
          <w:noProof/>
        </w:rPr>
      </w:pPr>
      <w:r>
        <w:rPr>
          <w:noProof/>
        </w:rPr>
        <w:t xml:space="preserve">Pastangų pasidalijimo reglamentu (toliau – PPR) valstybėms narėms nustatyti privalomi nacionaliniai išmetamo ŠESD kiekio mažinimo 2021–2030 m. laikotarpiu tikslai. Šie tikslai taikomi sektoriams, kurių neapima dabartinė ES ATLPS: vidaus transportui (išskyrus aviaciją), pastatams, žemės ūkiui, atliekoms ir smulkiajai pramonei. </w:t>
      </w:r>
    </w:p>
    <w:p w14:paraId="36DA55C0" w14:textId="7DBC13FD" w:rsidR="008561AD" w:rsidRPr="00685D02" w:rsidRDefault="18A94C7C" w:rsidP="00EC0D81">
      <w:pPr>
        <w:pStyle w:val="CMR-text"/>
        <w:rPr>
          <w:rFonts w:cs="Times New Roman"/>
          <w:noProof/>
        </w:rPr>
      </w:pPr>
      <w:r>
        <w:rPr>
          <w:noProof/>
        </w:rPr>
        <w:t>Į reglamentą įtraukta nuostata dėl vienkartinės lankstumo priemonės: devynios valstybės narės</w:t>
      </w:r>
      <w:r>
        <w:rPr>
          <w:rStyle w:val="FootnoteReference"/>
          <w:rFonts w:cs="Times New Roman"/>
          <w:bCs/>
          <w:noProof/>
          <w:lang w:val="en-IE"/>
        </w:rPr>
        <w:footnoteReference w:id="20"/>
      </w:r>
      <w:r>
        <w:rPr>
          <w:noProof/>
        </w:rPr>
        <w:t xml:space="preserve"> turi galimybę bendrai panaikinti ne daugiau kaip 100 mln. ES ATLPS apyvartinių taršos leidimų, kad pasiektų savo tikslą; šie ATL būtų atimami iš atitinkamų tų šalių ATL, parduodamų aukcionuose, kiekių. </w:t>
      </w:r>
    </w:p>
    <w:p w14:paraId="6FCD45F0" w14:textId="648FC7C9" w:rsidR="00E109D2" w:rsidRPr="00685D02" w:rsidRDefault="578539C1">
      <w:pPr>
        <w:pStyle w:val="CMR-text"/>
        <w:rPr>
          <w:rFonts w:cs="Times New Roman"/>
          <w:noProof/>
        </w:rPr>
      </w:pPr>
      <w:r>
        <w:rPr>
          <w:noProof/>
        </w:rPr>
        <w:t>2021–2024 m. šešios</w:t>
      </w:r>
      <w:r>
        <w:rPr>
          <w:rStyle w:val="FootnoteReference"/>
          <w:rFonts w:cs="Times New Roman"/>
          <w:bCs/>
          <w:noProof/>
          <w:lang w:val="en-IE"/>
        </w:rPr>
        <w:footnoteReference w:id="21"/>
      </w:r>
      <w:r>
        <w:rPr>
          <w:noProof/>
        </w:rPr>
        <w:t xml:space="preserve"> iš šių aštuonių valstybių narių pasinaudojo lankstumo priemone pagal PPR, ir bendras iš jų ATL, skirtų parduoti aukcionuose, atimtų ATL skaičius sudarė 28,8 mln. Ateityje Švedija nuo 2025 m. pradės naudotis lankstumo priemone pagal PPR, o Danija ir Liuksemburgas nuo 2026 m. lankstumo priemone nebesinaudos.</w:t>
      </w:r>
    </w:p>
    <w:p w14:paraId="5F8C64FB" w14:textId="28D0D584" w:rsidR="000F66CB" w:rsidRPr="00EC4FC3" w:rsidRDefault="000F66CB" w:rsidP="00EC4FC3">
      <w:pPr>
        <w:pStyle w:val="CMR-Subheading"/>
        <w:rPr>
          <w:noProof/>
        </w:rPr>
      </w:pPr>
      <w:bookmarkStart w:id="26" w:name="_Toc219127267"/>
      <w:r>
        <w:rPr>
          <w:noProof/>
        </w:rPr>
        <w:t>Savanoriškas ATL panaikinimas</w:t>
      </w:r>
      <w:bookmarkEnd w:id="26"/>
    </w:p>
    <w:p w14:paraId="28828CC1" w14:textId="477DEECE" w:rsidR="00863142" w:rsidRPr="00685D02" w:rsidRDefault="00D01696" w:rsidP="000F66CB">
      <w:pPr>
        <w:pStyle w:val="CMR-text"/>
        <w:rPr>
          <w:rFonts w:cs="Times New Roman"/>
          <w:noProof/>
        </w:rPr>
      </w:pPr>
      <w:r>
        <w:rPr>
          <w:noProof/>
        </w:rPr>
        <w:t xml:space="preserve">Pagal ES ATLPS direktyvos 12 straipsnio 4 dalį valstybės narės skatinamos panaikinti ATL tuo atveju, jeigu elektros energijos gamybos pajėgumų eksploatavimas jų teritorijoje nutraukiamas dėl papildomų nacionalinių priemonių. Taip valstybės narės gali neleisti, kad šiuo būdu pasiektą išmetamųjų teršalų kiekio sumažinimą atsvertų teršalų išmetimas kitose sistemos dalyse. </w:t>
      </w:r>
    </w:p>
    <w:p w14:paraId="6AA5EF9E" w14:textId="79E77AFA" w:rsidR="000F66CB" w:rsidRPr="00685D02" w:rsidRDefault="00863142" w:rsidP="000F66CB">
      <w:pPr>
        <w:pStyle w:val="CMR-text"/>
        <w:rPr>
          <w:rFonts w:cs="Times New Roman"/>
          <w:noProof/>
        </w:rPr>
      </w:pPr>
      <w:r>
        <w:rPr>
          <w:noProof/>
        </w:rPr>
        <w:t xml:space="preserve">Atitinkama valstybė narė turi informuoti Komisiją apie numatomą ATL panaikinimą. Panaikinimas atliekamas sumažinant bendrą ATL, tos valstybės narės numatomų parduoti aukcione, kiekį, ir atšaukiamų ATL kiekis neviršija atitinkamų patikrintų per penkerius metus iki objekto eksploatavimo nutraukimo išmestų teršalų kiekių sumos. ATL panaikinimo tvarka nustatyta Aukcionų reglamento 25 straipsnyje. </w:t>
      </w:r>
    </w:p>
    <w:p w14:paraId="234BF97E" w14:textId="77B7F387" w:rsidR="00B712A2" w:rsidRPr="00685D02" w:rsidRDefault="1BAD2891" w:rsidP="000F66CB">
      <w:pPr>
        <w:pStyle w:val="CMR-text"/>
        <w:rPr>
          <w:rFonts w:cs="Times New Roman"/>
          <w:noProof/>
        </w:rPr>
      </w:pPr>
      <w:r>
        <w:rPr>
          <w:noProof/>
        </w:rPr>
        <w:t>2023 m. gruodžio mėn. Vokietija pranešė Komisijai apie savo ketinimą panaikinti ATL, susijusį su dviejų elektrinių eksploatavimo nutraukimu 2022 m. vykdant šalies laipsniško anglių atsisakymo politiką</w:t>
      </w:r>
      <w:r>
        <w:rPr>
          <w:rFonts w:cs="Times New Roman"/>
          <w:noProof/>
          <w:vertAlign w:val="superscript"/>
          <w:lang w:val="en-IE"/>
        </w:rPr>
        <w:footnoteReference w:id="22"/>
      </w:r>
      <w:r>
        <w:rPr>
          <w:noProof/>
        </w:rPr>
        <w:t xml:space="preserve">. Tą ATL panaikinimą planuojama atlikti laikotarpiu nuo 2025 m. iki 2030 m. Apie ATL, kurie bus panaikinami pagal pateiktą pranešimą, skaičių gali būti kasmet pranešama Komisijai. </w:t>
      </w:r>
    </w:p>
    <w:p w14:paraId="7373D892" w14:textId="4BD9FEB0" w:rsidR="000F66CB" w:rsidRPr="00685D02" w:rsidRDefault="000F66CB" w:rsidP="000F66CB">
      <w:pPr>
        <w:pStyle w:val="CMR-text"/>
        <w:rPr>
          <w:rFonts w:cs="Times New Roman"/>
          <w:noProof/>
        </w:rPr>
      </w:pPr>
      <w:r>
        <w:rPr>
          <w:noProof/>
        </w:rPr>
        <w:t xml:space="preserve">Pranešime nurodyta panaikinamų ATL skaičiaus apskaičiavimo metodika. Pagal ją atsižvelgiama į išmetamųjų teršalų kiekį, susidarantį pakeičiant elektros energijos gamybos priemones elektros energijos rinkoje, taip pat į rinkos stabilumo rezervo veikimą. </w:t>
      </w:r>
    </w:p>
    <w:p w14:paraId="3FE94397" w14:textId="5BD84850" w:rsidR="000F66CB" w:rsidRPr="00685D02" w:rsidRDefault="6A5786B3" w:rsidP="009269F7">
      <w:pPr>
        <w:pStyle w:val="CMR-text"/>
        <w:rPr>
          <w:rFonts w:cs="Times New Roman"/>
          <w:noProof/>
        </w:rPr>
      </w:pPr>
      <w:r>
        <w:rPr>
          <w:noProof/>
        </w:rPr>
        <w:t>2025 m. balandžio mėn. Vokietija Komisijai pranešė ATL, numatomų 2025 m. rugsėjo 1 d. – gruodžio 31 d. laikotarpiu panaikinti už 2023 m., skaičių</w:t>
      </w:r>
      <w:r>
        <w:rPr>
          <w:rStyle w:val="FootnoteReference"/>
          <w:rFonts w:cs="Times New Roman"/>
          <w:noProof/>
          <w:lang w:val="en-IE"/>
        </w:rPr>
        <w:footnoteReference w:id="23"/>
      </w:r>
      <w:r>
        <w:rPr>
          <w:noProof/>
        </w:rPr>
        <w:t>. Pagal metodiką, apie kurią pranešta, panaikinamų ATL skaičius priklausytų nuo ES ATLPS rinkos stabilumo rezervo pertekliaus rodiklio (bendro apyvartoje esančių ATL skaičiaus) 2024 m.</w:t>
      </w:r>
      <w:r>
        <w:rPr>
          <w:rStyle w:val="FootnoteReference"/>
          <w:rFonts w:cs="Times New Roman"/>
          <w:noProof/>
          <w:lang w:val="en-IE"/>
        </w:rPr>
        <w:footnoteReference w:id="24"/>
      </w:r>
    </w:p>
    <w:p w14:paraId="3B3B93E7" w14:textId="6E6F3DA4" w:rsidR="00923280" w:rsidRPr="00685D02" w:rsidRDefault="00923280" w:rsidP="50C721A3">
      <w:pPr>
        <w:pStyle w:val="CMR-text"/>
        <w:rPr>
          <w:rFonts w:cs="Times New Roman"/>
          <w:noProof/>
        </w:rPr>
      </w:pPr>
      <w:r>
        <w:rPr>
          <w:noProof/>
        </w:rPr>
        <w:t xml:space="preserve">2025 m. gegužės 28 d. Komisija paskelbė 2024 m. bendrą apyvartoje buvusių ATL skaičių (žr. 6.1 skirsnį). Jis yra 1,15 mlrd. ATL. Taigi iš ATL, Vokietijos numatomų parduoti aukcione, kiekio panaikinta 514 000 ATL. Tai jau atsispindi peržiūrėtuose 2025 m. aukcionų tvarkaraščiuose, kurie patvirtinti 2025 m. liepos 28 d.  </w:t>
      </w:r>
    </w:p>
    <w:p w14:paraId="78DAFA45" w14:textId="7E8890E0" w:rsidR="00613B80" w:rsidRPr="00EC4FC3" w:rsidRDefault="00613B80" w:rsidP="00EC4FC3">
      <w:pPr>
        <w:pStyle w:val="CMR-Heading"/>
        <w:rPr>
          <w:noProof/>
        </w:rPr>
      </w:pPr>
      <w:bookmarkStart w:id="27" w:name="_Toc180513396"/>
      <w:bookmarkStart w:id="28" w:name="_Toc219127268"/>
      <w:r>
        <w:rPr>
          <w:noProof/>
        </w:rPr>
        <w:t>Nemokamų ATL paskirstymas</w:t>
      </w:r>
      <w:bookmarkEnd w:id="27"/>
      <w:bookmarkEnd w:id="28"/>
    </w:p>
    <w:p w14:paraId="5BCD0397" w14:textId="2F2C5B60" w:rsidR="009712D9" w:rsidRPr="00685D02" w:rsidRDefault="00133B6C" w:rsidP="005E05CB">
      <w:pPr>
        <w:pStyle w:val="CMR-text"/>
        <w:rPr>
          <w:rFonts w:cs="Times New Roman"/>
          <w:noProof/>
        </w:rPr>
      </w:pPr>
      <w:r>
        <w:rPr>
          <w:noProof/>
        </w:rPr>
        <w:t>Nemokamų ATL paskirstymas yra pereinamojo laikotarpio priemonė, visų pirma skirta pramonės sektoriams. ES ATLPS pagrindinis ATL paskirstymo metodas yra pardavimas aukcionuose, tačiau nemažai ATL įrenginiams paskirstoma nemokamai, taip siekiant mažinti anglies dioksido nutekėjimo riziką</w:t>
      </w:r>
      <w:r>
        <w:rPr>
          <w:rStyle w:val="FootnoteReference"/>
          <w:rFonts w:cs="Times New Roman"/>
          <w:noProof/>
          <w:lang w:val="en-IE"/>
        </w:rPr>
        <w:footnoteReference w:id="25"/>
      </w:r>
      <w:r>
        <w:rPr>
          <w:noProof/>
        </w:rPr>
        <w:t xml:space="preserve">. </w:t>
      </w:r>
    </w:p>
    <w:p w14:paraId="67F8DD7F" w14:textId="054745F3" w:rsidR="004D3E16" w:rsidRPr="00685D02" w:rsidRDefault="00787D24" w:rsidP="005E05CB">
      <w:pPr>
        <w:pStyle w:val="CMR-text"/>
        <w:rPr>
          <w:rFonts w:cs="Times New Roman"/>
          <w:noProof/>
        </w:rPr>
      </w:pPr>
      <w:r>
        <w:rPr>
          <w:noProof/>
        </w:rPr>
        <w:t>Specialiame anglies dioksido nutekėjimo sąraše nurodyti sektoriai, su kuriais siejama anglies dioksido nutekėjimo rizika; juose galimų gauti nemokamai paskirstomų ATL kiekis siekia 100 proc. atitinkamų santykinių taršos rodiklių lygių. Sąraše nurodyti 63 sektoriai ir sektorių dalys; jiems tenka didžioji dalis į ES ATLPS įtrauktų pramoninių išmetamųjų teršalų. Mažiau paveiktuose sektoriuose gaunamas nemokamai paskirstomų ATL kiekis, atitinkantis ne daugiau kaip 30 proc. santykinio taršos rodiklio vertės.</w:t>
      </w:r>
    </w:p>
    <w:p w14:paraId="0DD754BD" w14:textId="0215CB0C" w:rsidR="006D09F2" w:rsidRPr="00685D02" w:rsidRDefault="006D09F2" w:rsidP="005E05CB">
      <w:pPr>
        <w:pStyle w:val="CMR-text"/>
        <w:rPr>
          <w:rFonts w:cs="Times New Roman"/>
          <w:noProof/>
        </w:rPr>
      </w:pPr>
      <w:r>
        <w:rPr>
          <w:noProof/>
        </w:rPr>
        <w:t xml:space="preserve">Nemokamų ATL paskirstymas grindžiamas santykiniais taršos rodikliais, kurie parodo 10 proc. efektyviausių kiekvieno sektoriaus įrenginių vidutinį taršos intensyvumą produkto vienetui. Kadangi ATL turi būti atsisakoma už visas išmetamus teršalus, ATL už išmetamą teršalų kiekį, viršijantį tas santykinių taršos rodiklių vertes, turi būti perkami rinkoje. Siekiant stiprinti paskatą dekarbonizuoti atitinkamą sektorių ir jame diegti inovacijas, santykiniai taršos rodikliai taip pat laipsniškai mažinami. </w:t>
      </w:r>
    </w:p>
    <w:p w14:paraId="34444376" w14:textId="1EA4C334" w:rsidR="4ACDE71C" w:rsidRPr="00685D02" w:rsidRDefault="31ABD125" w:rsidP="005E05CB">
      <w:pPr>
        <w:pStyle w:val="CMR-text"/>
        <w:rPr>
          <w:rFonts w:cs="Times New Roman"/>
          <w:noProof/>
        </w:rPr>
      </w:pPr>
      <w:r>
        <w:rPr>
          <w:noProof/>
        </w:rPr>
        <w:t>2021 m. Komisija atnaujino 2021–2025 m. ATL paskirstymo laikotarpiu taikomas santykinių taršos rodiklių vertes</w:t>
      </w:r>
      <w:r>
        <w:rPr>
          <w:rStyle w:val="FootnoteReference"/>
          <w:rFonts w:cs="Times New Roman"/>
          <w:noProof/>
          <w:lang w:val="en-IE"/>
        </w:rPr>
        <w:footnoteReference w:id="26"/>
      </w:r>
      <w:r>
        <w:rPr>
          <w:noProof/>
        </w:rPr>
        <w:t xml:space="preserve">. 2026–2030 m. ATL paskirstymo laikotarpio santykiniai taršos rodikliai bus atnaujinti; tuo metu, kai rengtas šis dokumentas, šis procesas tebevyko. Pagal peržiūrėtą ES ATLPS direktyvą santykinių taršos rodiklių metinės sumažinimo normos yra padidintos siekiant skatinti tolesnę pramonės pertvarką. Nuo 2026 m. minimali norma bus padidinta nuo 0,2 proc. iki 0,3 proc. per metus, o maksimali – nuo 1,6 proc. iki 2,5 proc. per metus. Taikytina metinė sumažinimo norma bus atskirai nustatoma kiekvienam santykiniam taršos rodikliui. </w:t>
      </w:r>
    </w:p>
    <w:p w14:paraId="316E6C73" w14:textId="452F3300" w:rsidR="4ACDE71C" w:rsidRPr="00685D02" w:rsidRDefault="024CF539" w:rsidP="0060292C">
      <w:pPr>
        <w:pStyle w:val="CMR-text"/>
        <w:rPr>
          <w:rFonts w:cs="Times New Roman"/>
          <w:noProof/>
        </w:rPr>
      </w:pPr>
      <w:r>
        <w:rPr>
          <w:noProof/>
        </w:rPr>
        <w:t>Paskirstomų nemokamų ATL skaičius nuo 2021 m. koreguojamas įvykus reikšmingiems pramonės gamybos apimties pokyčiams, kurie nustatomi remiantis pradinės apimties ir ankstesnių dvejų metų vidurkio palyginimu</w:t>
      </w:r>
      <w:r>
        <w:rPr>
          <w:rFonts w:cs="Times New Roman"/>
          <w:noProof/>
          <w:vertAlign w:val="superscript"/>
          <w:lang w:val="en-IE"/>
        </w:rPr>
        <w:footnoteReference w:id="27"/>
      </w:r>
      <w:r>
        <w:rPr>
          <w:noProof/>
        </w:rPr>
        <w:t>. Nustatyta riba, nuo kurios atliekami koregavimai, yra gamybos padidinimas arba sumažinimas 15 proc., o paskesni koregavimai gali būti atliekami mažesniais 5 proc. intervalais. Veiklos vykdytojai privalo nacionalinėms kompetentingoms institucijoms teikti metines gamybos duomenų ataskaitas, kuriomis remiantis galėtų būti koreguojami skiriamų nemokamų ATL kiekiai. Dėl šio papildomo suvaržymo padaugėjo išduodamų nemokamų ATL skaičiaus koregavimų kiekvienais metais. Vidutinis 2021–2024 m. laikotarpiu per metus pateiktų paraiškų skaičius buvo didesnis nei 3 900, taigi maždaug trigubai daugiau negu vidutiniškai laikotarpiu iki 2020 m. Šie skaičiai iš metų į metus didėja dėl to, kad paskesni nemokamų ATL paskirstymo pakeitimai turi būti atliekami ir dėl mažesnių 5 proc. intervalų.</w:t>
      </w:r>
    </w:p>
    <w:p w14:paraId="3E4B9C0F" w14:textId="724722E8" w:rsidR="4ACDE71C" w:rsidRPr="00685D02" w:rsidRDefault="31ABD125" w:rsidP="50C721A3">
      <w:pPr>
        <w:pStyle w:val="CMR-text"/>
        <w:rPr>
          <w:rFonts w:cs="Times New Roman"/>
          <w:noProof/>
        </w:rPr>
      </w:pPr>
      <w:r>
        <w:rPr>
          <w:noProof/>
        </w:rPr>
        <w:t>Iš pradžių apskaičiuotas bendras nemokamų ATL, numatytų paskirstyti 2021–2025 m. laikotarpiu, skaičius buvo 2 791 mln. ATL, skirtų 7 430 įrenginių. Darant prielaidą, kad anglies dioksido kaina yra 70 EUR/t CO</w:t>
      </w:r>
      <w:r>
        <w:rPr>
          <w:noProof/>
          <w:vertAlign w:val="subscript"/>
        </w:rPr>
        <w:t>2</w:t>
      </w:r>
      <w:r>
        <w:rPr>
          <w:noProof/>
        </w:rPr>
        <w:t>, šių paskirstomų ATL vertė šiuo laikotarpiu siektų apie 39 mlrd. EUR per metus. Iki 2025 m. vidurio Komisija buvo priėmusi 16 sprendimų</w:t>
      </w:r>
      <w:r>
        <w:rPr>
          <w:noProof/>
          <w:vertAlign w:val="superscript"/>
        </w:rPr>
        <w:t xml:space="preserve"> </w:t>
      </w:r>
      <w:r>
        <w:rPr>
          <w:noProof/>
        </w:rPr>
        <w:t>koreguoti nemokamų ATL paskirstymą dėl pramonės gamybos apimties pokyčių; grynasis ATL skaičiaus sumažinimas dėl to yra 173,7 mln.</w:t>
      </w:r>
      <w:r>
        <w:rPr>
          <w:rFonts w:cs="Times New Roman"/>
          <w:noProof/>
          <w:vertAlign w:val="superscript"/>
        </w:rPr>
        <w:footnoteReference w:id="28"/>
      </w:r>
      <w:r>
        <w:rPr>
          <w:noProof/>
        </w:rPr>
        <w:t xml:space="preserve"> Tačiau Komisija taip pat priėmė septynis sprendimus, kuriais pradinis numatytų paskirstyti nemokamų ATL skaičius patikslintas pridedant 2,3 mln. ATL</w:t>
      </w:r>
      <w:r>
        <w:rPr>
          <w:rFonts w:cs="Times New Roman"/>
          <w:noProof/>
          <w:vertAlign w:val="superscript"/>
        </w:rPr>
        <w:footnoteReference w:id="29"/>
      </w:r>
      <w:r>
        <w:rPr>
          <w:noProof/>
        </w:rPr>
        <w:t xml:space="preserve">. Tai buvo reikalinga dėl duomenyse, kuriuos pateikė įrenginius eksploatuojantys subjektai prašydami skirti nemokamų ATL įrenginiams, aptiktų klaidų. Apskritai nemokamų ATL, paskirstomų 2021–2025 m. laikotarpiu, skaičius, palyginti su pradiniu bendru numatytų paskirstyti nemokamų ATL skaičiumi, sumažintas 171,5 mln. ATL.  </w:t>
      </w:r>
    </w:p>
    <w:p w14:paraId="1B668B13" w14:textId="4444B51F" w:rsidR="4ACDE71C" w:rsidRPr="00685D02" w:rsidRDefault="4ACDE71C" w:rsidP="0060292C">
      <w:pPr>
        <w:pStyle w:val="CMR-text"/>
        <w:rPr>
          <w:rFonts w:cs="Times New Roman"/>
          <w:noProof/>
        </w:rPr>
      </w:pPr>
      <w:r>
        <w:rPr>
          <w:noProof/>
        </w:rPr>
        <w:t xml:space="preserve">Nemokamų ATL paskirstymo lygio koregavimai atliekami naudojant naujiems rinkos dalyviams skirtą rezervą. Šie koregavimai apima ir ATL paskirstymo pakeitimus dėl įrenginių eksploatavimo pradėjimo arba nutraukimo. Pradinis naujiems rinkos dalyviams skirto rezervo dydis 2021 m. pradžioje buvo 331,3 mln. ATL. Tai apėmė nepaskirstytus trečiojo etapo (2013–2020 m.) ATL ir 200 mln. ATL iš rinkos stabilumo rezervo. </w:t>
      </w:r>
    </w:p>
    <w:p w14:paraId="317957E4" w14:textId="3215FB09" w:rsidR="0F5F5892" w:rsidRPr="00685D02" w:rsidRDefault="0065476E" w:rsidP="0045336E">
      <w:pPr>
        <w:pStyle w:val="CMR-text"/>
        <w:rPr>
          <w:rFonts w:eastAsiaTheme="minorEastAsia" w:cs="Times New Roman"/>
          <w:i/>
          <w:noProof/>
        </w:rPr>
      </w:pPr>
      <w:r>
        <w:rPr>
          <w:noProof/>
          <w:color w:val="000000" w:themeColor="text1"/>
        </w:rPr>
        <w:t>3 lentelėje</w:t>
      </w:r>
      <w:r>
        <w:rPr>
          <w:noProof/>
        </w:rPr>
        <w:t xml:space="preserve"> apibendrinami metiniai nemokamų ATL paskirstymo lygiai 2021–2025 m. paskirstymo laikotarpiu (tiek pradiniai, tiek pakoreguoti lygiai) ir parodomas faktiškai paskirstomų nemokamų ATL skaičiaus sumažėjimas 2024 ir 2025 metais. Pagrindinės šio ATL kiekių sumažėjimo priežastys yra neigiamas poveikis gamybos lygiams tam tikruose sektoriuose dėl pandemijos ir energetikos krizės, daugiausia 2022 ir 2023 metais. Kadangi nemokamų ATL paskirstymo koregavimai grindžiami palyginimu atsižvelgiant į vidutinius dvejų metų gamybos lygius, visas tolesnio gamybos mažėjimo poveikis išryškėja dvejais metais vėliau.  </w:t>
      </w:r>
    </w:p>
    <w:p w14:paraId="22B44197" w14:textId="104C4843" w:rsidR="00D82168" w:rsidRPr="007B73CC" w:rsidRDefault="00D82168" w:rsidP="0045336E">
      <w:pPr>
        <w:pStyle w:val="Caption"/>
        <w:keepNext/>
        <w:rPr>
          <w:noProof/>
          <w:sz w:val="20"/>
        </w:rPr>
      </w:pPr>
      <w:bookmarkStart w:id="29" w:name="_Ref176771527"/>
      <w:r>
        <w:rPr>
          <w:noProof/>
          <w:sz w:val="20"/>
        </w:rPr>
        <w:t>3 lentelė</w:t>
      </w:r>
      <w:bookmarkEnd w:id="29"/>
      <w:r>
        <w:rPr>
          <w:noProof/>
          <w:sz w:val="20"/>
        </w:rPr>
        <w:t xml:space="preserve">. Nemokamų ATL paskirstymas ES ATLPS (2021–2025 m.) (mln. ATL). 2025 m. birželio 30 d. iš Sąjungos registro gauti duomenys. </w:t>
      </w:r>
    </w:p>
    <w:tbl>
      <w:tblPr>
        <w:tblStyle w:val="TableGridLight"/>
        <w:tblW w:w="901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2263"/>
        <w:gridCol w:w="1125"/>
        <w:gridCol w:w="1125"/>
        <w:gridCol w:w="1125"/>
        <w:gridCol w:w="1125"/>
        <w:gridCol w:w="1125"/>
        <w:gridCol w:w="1125"/>
      </w:tblGrid>
      <w:tr w:rsidR="2FB941BE" w:rsidRPr="007B73CC" w14:paraId="1AEE99C6" w14:textId="77777777" w:rsidTr="00380C53">
        <w:trPr>
          <w:cantSplit/>
          <w:trHeight w:val="390"/>
        </w:trPr>
        <w:tc>
          <w:tcPr>
            <w:tcW w:w="2263" w:type="dxa"/>
            <w:vAlign w:val="center"/>
          </w:tcPr>
          <w:p w14:paraId="21370450" w14:textId="3BF16ECE" w:rsidR="2FB941BE" w:rsidRPr="007B73CC" w:rsidRDefault="2FB941BE" w:rsidP="00D54832">
            <w:pPr>
              <w:pStyle w:val="CMR-tables"/>
              <w:keepNext/>
              <w:rPr>
                <w:rFonts w:cs="Times New Roman"/>
                <w:b/>
                <w:noProof/>
                <w:szCs w:val="20"/>
              </w:rPr>
            </w:pPr>
            <w:r>
              <w:rPr>
                <w:b/>
                <w:noProof/>
              </w:rPr>
              <w:t xml:space="preserve">Metai </w:t>
            </w:r>
          </w:p>
        </w:tc>
        <w:tc>
          <w:tcPr>
            <w:tcW w:w="1125" w:type="dxa"/>
            <w:vAlign w:val="center"/>
          </w:tcPr>
          <w:p w14:paraId="7FEEB1D3" w14:textId="16C6B59D" w:rsidR="2FB941BE" w:rsidRPr="007B73CC" w:rsidRDefault="2FB941BE" w:rsidP="00D54832">
            <w:pPr>
              <w:pStyle w:val="CMR-tables"/>
              <w:keepNext/>
              <w:jc w:val="center"/>
              <w:rPr>
                <w:rFonts w:cs="Times New Roman"/>
                <w:noProof/>
                <w:szCs w:val="20"/>
              </w:rPr>
            </w:pPr>
            <w:r>
              <w:rPr>
                <w:noProof/>
              </w:rPr>
              <w:t>2021</w:t>
            </w:r>
          </w:p>
        </w:tc>
        <w:tc>
          <w:tcPr>
            <w:tcW w:w="1125" w:type="dxa"/>
            <w:vAlign w:val="center"/>
          </w:tcPr>
          <w:p w14:paraId="58BBB876" w14:textId="6031FC1C" w:rsidR="2FB941BE" w:rsidRPr="007B73CC" w:rsidRDefault="2FB941BE" w:rsidP="00D54832">
            <w:pPr>
              <w:pStyle w:val="CMR-tables"/>
              <w:keepNext/>
              <w:jc w:val="center"/>
              <w:rPr>
                <w:rFonts w:cs="Times New Roman"/>
                <w:noProof/>
                <w:szCs w:val="20"/>
              </w:rPr>
            </w:pPr>
            <w:r>
              <w:rPr>
                <w:noProof/>
              </w:rPr>
              <w:t>2022</w:t>
            </w:r>
          </w:p>
        </w:tc>
        <w:tc>
          <w:tcPr>
            <w:tcW w:w="1125" w:type="dxa"/>
            <w:vAlign w:val="center"/>
          </w:tcPr>
          <w:p w14:paraId="4B59FE51" w14:textId="78A1A139" w:rsidR="2FB941BE" w:rsidRPr="007B73CC" w:rsidRDefault="2FB941BE" w:rsidP="00D54832">
            <w:pPr>
              <w:pStyle w:val="CMR-tables"/>
              <w:keepNext/>
              <w:jc w:val="center"/>
              <w:rPr>
                <w:rFonts w:cs="Times New Roman"/>
                <w:noProof/>
                <w:szCs w:val="20"/>
              </w:rPr>
            </w:pPr>
            <w:r>
              <w:rPr>
                <w:noProof/>
              </w:rPr>
              <w:t>2023</w:t>
            </w:r>
          </w:p>
        </w:tc>
        <w:tc>
          <w:tcPr>
            <w:tcW w:w="1125" w:type="dxa"/>
            <w:vAlign w:val="center"/>
          </w:tcPr>
          <w:p w14:paraId="1824AC6A" w14:textId="6BB30CDA" w:rsidR="2FB941BE" w:rsidRPr="007B73CC" w:rsidRDefault="2FB941BE" w:rsidP="00D54832">
            <w:pPr>
              <w:pStyle w:val="CMR-tables"/>
              <w:keepNext/>
              <w:jc w:val="center"/>
              <w:rPr>
                <w:rFonts w:cs="Times New Roman"/>
                <w:noProof/>
                <w:szCs w:val="20"/>
              </w:rPr>
            </w:pPr>
            <w:r>
              <w:rPr>
                <w:noProof/>
              </w:rPr>
              <w:t>2024</w:t>
            </w:r>
          </w:p>
        </w:tc>
        <w:tc>
          <w:tcPr>
            <w:tcW w:w="1125" w:type="dxa"/>
            <w:vAlign w:val="center"/>
          </w:tcPr>
          <w:p w14:paraId="3DAC66B8" w14:textId="4F00FEDB" w:rsidR="2FB941BE" w:rsidRPr="007B73CC" w:rsidRDefault="2FB941BE" w:rsidP="00D54832">
            <w:pPr>
              <w:pStyle w:val="CMR-tables"/>
              <w:keepNext/>
              <w:jc w:val="center"/>
              <w:rPr>
                <w:rFonts w:cs="Times New Roman"/>
                <w:noProof/>
                <w:szCs w:val="20"/>
              </w:rPr>
            </w:pPr>
            <w:r>
              <w:rPr>
                <w:noProof/>
              </w:rPr>
              <w:t>2025</w:t>
            </w:r>
          </w:p>
        </w:tc>
        <w:tc>
          <w:tcPr>
            <w:tcW w:w="1125" w:type="dxa"/>
            <w:vAlign w:val="center"/>
          </w:tcPr>
          <w:p w14:paraId="1BC681F4" w14:textId="743DF48B" w:rsidR="2FB941BE" w:rsidRPr="0024224B" w:rsidRDefault="2FB941BE" w:rsidP="00D54832">
            <w:pPr>
              <w:pStyle w:val="CMR-tables"/>
              <w:keepNext/>
              <w:jc w:val="center"/>
              <w:rPr>
                <w:rFonts w:cs="Times New Roman"/>
                <w:b/>
                <w:noProof/>
                <w:szCs w:val="20"/>
              </w:rPr>
            </w:pPr>
            <w:r>
              <w:rPr>
                <w:b/>
                <w:noProof/>
              </w:rPr>
              <w:t>Iš viso</w:t>
            </w:r>
          </w:p>
        </w:tc>
      </w:tr>
      <w:tr w:rsidR="2FB941BE" w:rsidRPr="007B73CC" w14:paraId="394F4B7D" w14:textId="77777777" w:rsidTr="00380C53">
        <w:trPr>
          <w:cantSplit/>
          <w:trHeight w:val="1092"/>
        </w:trPr>
        <w:tc>
          <w:tcPr>
            <w:tcW w:w="2263" w:type="dxa"/>
            <w:shd w:val="clear" w:color="auto" w:fill="D9E2F3" w:themeFill="accent1" w:themeFillTint="33"/>
            <w:vAlign w:val="center"/>
          </w:tcPr>
          <w:p w14:paraId="283BE1A8" w14:textId="39B9A6A2" w:rsidR="2FB941BE" w:rsidRPr="007B73CC" w:rsidRDefault="2FB941BE" w:rsidP="00D54832">
            <w:pPr>
              <w:pStyle w:val="CMR-tables"/>
              <w:keepNext/>
              <w:rPr>
                <w:rFonts w:cs="Times New Roman"/>
                <w:b/>
                <w:noProof/>
                <w:szCs w:val="20"/>
              </w:rPr>
            </w:pPr>
            <w:r>
              <w:rPr>
                <w:b/>
                <w:noProof/>
              </w:rPr>
              <w:t xml:space="preserve">Iš pradžių numatytas nemokamų ATL paskirstymas (ES 27, taip pat Islandijai, Lichtenšteinui ir Norvegijai) </w:t>
            </w:r>
          </w:p>
        </w:tc>
        <w:tc>
          <w:tcPr>
            <w:tcW w:w="1125" w:type="dxa"/>
            <w:shd w:val="clear" w:color="auto" w:fill="D9E2F3" w:themeFill="accent1" w:themeFillTint="33"/>
            <w:vAlign w:val="center"/>
          </w:tcPr>
          <w:p w14:paraId="31E194ED" w14:textId="2E0C9683" w:rsidR="2FB941BE" w:rsidRPr="007B73CC" w:rsidRDefault="2FB941BE" w:rsidP="00E64668">
            <w:pPr>
              <w:pStyle w:val="CMR-tables"/>
              <w:keepNext/>
              <w:jc w:val="center"/>
              <w:rPr>
                <w:rFonts w:cs="Times New Roman"/>
                <w:noProof/>
                <w:szCs w:val="20"/>
              </w:rPr>
            </w:pPr>
            <w:r>
              <w:rPr>
                <w:noProof/>
              </w:rPr>
              <w:t>559,6</w:t>
            </w:r>
          </w:p>
        </w:tc>
        <w:tc>
          <w:tcPr>
            <w:tcW w:w="1125" w:type="dxa"/>
            <w:shd w:val="clear" w:color="auto" w:fill="D9E2F3" w:themeFill="accent1" w:themeFillTint="33"/>
            <w:vAlign w:val="center"/>
          </w:tcPr>
          <w:p w14:paraId="49DF93B8" w14:textId="33F6E367" w:rsidR="2FB941BE" w:rsidRPr="007B73CC" w:rsidRDefault="2FB941BE" w:rsidP="00E64668">
            <w:pPr>
              <w:pStyle w:val="CMR-tables"/>
              <w:keepNext/>
              <w:jc w:val="center"/>
              <w:rPr>
                <w:rFonts w:cs="Times New Roman"/>
                <w:noProof/>
                <w:szCs w:val="20"/>
              </w:rPr>
            </w:pPr>
            <w:r>
              <w:rPr>
                <w:noProof/>
              </w:rPr>
              <w:t>558,9</w:t>
            </w:r>
          </w:p>
        </w:tc>
        <w:tc>
          <w:tcPr>
            <w:tcW w:w="1125" w:type="dxa"/>
            <w:shd w:val="clear" w:color="auto" w:fill="D9E2F3" w:themeFill="accent1" w:themeFillTint="33"/>
            <w:vAlign w:val="center"/>
          </w:tcPr>
          <w:p w14:paraId="42317239" w14:textId="217EA8A8" w:rsidR="2FB941BE" w:rsidRPr="007B73CC" w:rsidRDefault="2FB941BE" w:rsidP="00E64668">
            <w:pPr>
              <w:pStyle w:val="CMR-tables"/>
              <w:keepNext/>
              <w:jc w:val="center"/>
              <w:rPr>
                <w:rFonts w:cs="Times New Roman"/>
                <w:noProof/>
                <w:szCs w:val="20"/>
              </w:rPr>
            </w:pPr>
            <w:r>
              <w:rPr>
                <w:noProof/>
              </w:rPr>
              <w:t>558,2</w:t>
            </w:r>
          </w:p>
        </w:tc>
        <w:tc>
          <w:tcPr>
            <w:tcW w:w="1125" w:type="dxa"/>
            <w:shd w:val="clear" w:color="auto" w:fill="D9E2F3" w:themeFill="accent1" w:themeFillTint="33"/>
            <w:vAlign w:val="center"/>
          </w:tcPr>
          <w:p w14:paraId="1AE059AA" w14:textId="1318FE64" w:rsidR="2FB941BE" w:rsidRPr="007B73CC" w:rsidRDefault="2FB941BE" w:rsidP="00E64668">
            <w:pPr>
              <w:pStyle w:val="CMR-tables"/>
              <w:keepNext/>
              <w:jc w:val="center"/>
              <w:rPr>
                <w:rFonts w:cs="Times New Roman"/>
                <w:noProof/>
                <w:szCs w:val="20"/>
              </w:rPr>
            </w:pPr>
            <w:r>
              <w:rPr>
                <w:noProof/>
              </w:rPr>
              <w:t>557,5</w:t>
            </w:r>
          </w:p>
        </w:tc>
        <w:tc>
          <w:tcPr>
            <w:tcW w:w="1125" w:type="dxa"/>
            <w:shd w:val="clear" w:color="auto" w:fill="D9E2F3" w:themeFill="accent1" w:themeFillTint="33"/>
            <w:vAlign w:val="center"/>
          </w:tcPr>
          <w:p w14:paraId="0A4B8CF1" w14:textId="40E3EF23" w:rsidR="2FB941BE" w:rsidRPr="007B73CC" w:rsidRDefault="2FB941BE" w:rsidP="00E64668">
            <w:pPr>
              <w:pStyle w:val="CMR-tables"/>
              <w:keepNext/>
              <w:jc w:val="center"/>
              <w:rPr>
                <w:rFonts w:cs="Times New Roman"/>
                <w:noProof/>
                <w:szCs w:val="20"/>
              </w:rPr>
            </w:pPr>
            <w:r>
              <w:rPr>
                <w:noProof/>
              </w:rPr>
              <w:t>556,8</w:t>
            </w:r>
          </w:p>
        </w:tc>
        <w:tc>
          <w:tcPr>
            <w:tcW w:w="1125" w:type="dxa"/>
            <w:shd w:val="clear" w:color="auto" w:fill="D9E2F3" w:themeFill="accent1" w:themeFillTint="33"/>
            <w:vAlign w:val="center"/>
          </w:tcPr>
          <w:p w14:paraId="74E4F36A" w14:textId="3E9AA303" w:rsidR="2FB941BE" w:rsidRPr="0024224B" w:rsidRDefault="2FB941BE" w:rsidP="00E64668">
            <w:pPr>
              <w:pStyle w:val="CMR-tables"/>
              <w:keepNext/>
              <w:jc w:val="center"/>
              <w:rPr>
                <w:rFonts w:cs="Times New Roman"/>
                <w:b/>
                <w:noProof/>
                <w:szCs w:val="20"/>
              </w:rPr>
            </w:pPr>
            <w:r>
              <w:rPr>
                <w:b/>
                <w:noProof/>
              </w:rPr>
              <w:t>2 791,1</w:t>
            </w:r>
          </w:p>
        </w:tc>
      </w:tr>
      <w:tr w:rsidR="2FB941BE" w:rsidRPr="007B73CC" w14:paraId="233C0001" w14:textId="77777777" w:rsidTr="00380C53">
        <w:trPr>
          <w:cantSplit/>
          <w:trHeight w:val="802"/>
        </w:trPr>
        <w:tc>
          <w:tcPr>
            <w:tcW w:w="2263" w:type="dxa"/>
            <w:vAlign w:val="center"/>
          </w:tcPr>
          <w:p w14:paraId="3C53EE53" w14:textId="2B9DD101" w:rsidR="2FB941BE" w:rsidRPr="007B73CC" w:rsidRDefault="2FB941BE" w:rsidP="00D54832">
            <w:pPr>
              <w:pStyle w:val="CMR-tables"/>
              <w:keepNext/>
              <w:rPr>
                <w:rFonts w:cs="Times New Roman"/>
                <w:b/>
                <w:noProof/>
                <w:szCs w:val="20"/>
              </w:rPr>
            </w:pPr>
            <w:r>
              <w:rPr>
                <w:b/>
                <w:noProof/>
              </w:rPr>
              <w:t xml:space="preserve">Faktinis nemokamų ATL paskirstymas </w:t>
            </w:r>
          </w:p>
        </w:tc>
        <w:tc>
          <w:tcPr>
            <w:tcW w:w="1125" w:type="dxa"/>
            <w:vAlign w:val="center"/>
          </w:tcPr>
          <w:p w14:paraId="6498E815" w14:textId="74500CB6" w:rsidR="2FB941BE" w:rsidRPr="007B73CC" w:rsidRDefault="2FB941BE" w:rsidP="00E64668">
            <w:pPr>
              <w:pStyle w:val="CMR-tables"/>
              <w:keepNext/>
              <w:jc w:val="center"/>
              <w:rPr>
                <w:rFonts w:cs="Times New Roman"/>
                <w:noProof/>
                <w:szCs w:val="20"/>
              </w:rPr>
            </w:pPr>
            <w:r>
              <w:rPr>
                <w:noProof/>
              </w:rPr>
              <w:t>545,7</w:t>
            </w:r>
          </w:p>
        </w:tc>
        <w:tc>
          <w:tcPr>
            <w:tcW w:w="1125" w:type="dxa"/>
            <w:vAlign w:val="center"/>
          </w:tcPr>
          <w:p w14:paraId="2D43B582" w14:textId="3E04A77D" w:rsidR="2FB941BE" w:rsidRPr="007B73CC" w:rsidRDefault="2FB941BE" w:rsidP="00E64668">
            <w:pPr>
              <w:pStyle w:val="CMR-tables"/>
              <w:keepNext/>
              <w:jc w:val="center"/>
              <w:rPr>
                <w:rFonts w:cs="Times New Roman"/>
                <w:noProof/>
                <w:szCs w:val="20"/>
              </w:rPr>
            </w:pPr>
            <w:r>
              <w:rPr>
                <w:noProof/>
              </w:rPr>
              <w:t>542,4</w:t>
            </w:r>
          </w:p>
        </w:tc>
        <w:tc>
          <w:tcPr>
            <w:tcW w:w="1125" w:type="dxa"/>
            <w:vAlign w:val="center"/>
          </w:tcPr>
          <w:p w14:paraId="647DF859" w14:textId="539A4C89" w:rsidR="2FB941BE" w:rsidRPr="007B73CC" w:rsidRDefault="2FB941BE" w:rsidP="00E64668">
            <w:pPr>
              <w:pStyle w:val="CMR-tables"/>
              <w:keepNext/>
              <w:jc w:val="center"/>
              <w:rPr>
                <w:rFonts w:cs="Times New Roman"/>
                <w:noProof/>
                <w:szCs w:val="20"/>
              </w:rPr>
            </w:pPr>
            <w:r>
              <w:rPr>
                <w:noProof/>
              </w:rPr>
              <w:t>537,0</w:t>
            </w:r>
          </w:p>
        </w:tc>
        <w:tc>
          <w:tcPr>
            <w:tcW w:w="1125" w:type="dxa"/>
            <w:vAlign w:val="center"/>
          </w:tcPr>
          <w:p w14:paraId="4361D595" w14:textId="617713B6" w:rsidR="2FB941BE" w:rsidRPr="007B73CC" w:rsidRDefault="00251609" w:rsidP="00E64668">
            <w:pPr>
              <w:pStyle w:val="CMR-tables"/>
              <w:keepNext/>
              <w:jc w:val="center"/>
              <w:rPr>
                <w:rFonts w:cs="Times New Roman"/>
                <w:noProof/>
                <w:szCs w:val="20"/>
              </w:rPr>
            </w:pPr>
            <w:r>
              <w:rPr>
                <w:noProof/>
              </w:rPr>
              <w:t>499,7</w:t>
            </w:r>
          </w:p>
        </w:tc>
        <w:tc>
          <w:tcPr>
            <w:tcW w:w="1125" w:type="dxa"/>
            <w:vAlign w:val="center"/>
          </w:tcPr>
          <w:p w14:paraId="700B1DCC" w14:textId="303C1532" w:rsidR="2FB941BE" w:rsidRPr="007B73CC" w:rsidRDefault="009B197F" w:rsidP="00E64668">
            <w:pPr>
              <w:pStyle w:val="CMR-tables"/>
              <w:keepNext/>
              <w:jc w:val="center"/>
              <w:rPr>
                <w:rFonts w:cs="Times New Roman"/>
                <w:noProof/>
                <w:szCs w:val="20"/>
              </w:rPr>
            </w:pPr>
            <w:r>
              <w:rPr>
                <w:noProof/>
              </w:rPr>
              <w:t>494,8</w:t>
            </w:r>
          </w:p>
        </w:tc>
        <w:tc>
          <w:tcPr>
            <w:tcW w:w="1125" w:type="dxa"/>
            <w:vAlign w:val="center"/>
          </w:tcPr>
          <w:p w14:paraId="72669C27" w14:textId="0C05DE1B" w:rsidR="2FB941BE" w:rsidRPr="0024224B" w:rsidRDefault="2FB941BE" w:rsidP="00E64668">
            <w:pPr>
              <w:pStyle w:val="CMR-tables"/>
              <w:keepNext/>
              <w:jc w:val="center"/>
              <w:rPr>
                <w:rFonts w:cs="Times New Roman"/>
                <w:b/>
                <w:noProof/>
                <w:szCs w:val="20"/>
              </w:rPr>
            </w:pPr>
            <w:r>
              <w:rPr>
                <w:b/>
                <w:noProof/>
              </w:rPr>
              <w:t>2 619,6</w:t>
            </w:r>
          </w:p>
        </w:tc>
      </w:tr>
      <w:tr w:rsidR="2FB941BE" w:rsidRPr="007B73CC" w14:paraId="428691B2" w14:textId="77777777" w:rsidTr="00380C53">
        <w:trPr>
          <w:cantSplit/>
          <w:trHeight w:val="802"/>
        </w:trPr>
        <w:tc>
          <w:tcPr>
            <w:tcW w:w="2263" w:type="dxa"/>
            <w:shd w:val="clear" w:color="auto" w:fill="D9E2F3" w:themeFill="accent1" w:themeFillTint="33"/>
            <w:vAlign w:val="center"/>
          </w:tcPr>
          <w:p w14:paraId="3AF6E7E7" w14:textId="2D33FF79" w:rsidR="2FB941BE" w:rsidRPr="007B73CC" w:rsidRDefault="2FB941BE" w:rsidP="00D54832">
            <w:pPr>
              <w:pStyle w:val="CMR-tables"/>
              <w:keepNext/>
              <w:rPr>
                <w:rFonts w:cs="Times New Roman"/>
                <w:b/>
                <w:noProof/>
                <w:szCs w:val="20"/>
              </w:rPr>
            </w:pPr>
            <w:r>
              <w:rPr>
                <w:b/>
                <w:noProof/>
              </w:rPr>
              <w:t xml:space="preserve">Nemokamų ATL paskirstymas po koregavimų ir patikslinimų </w:t>
            </w:r>
          </w:p>
        </w:tc>
        <w:tc>
          <w:tcPr>
            <w:tcW w:w="1125" w:type="dxa"/>
            <w:shd w:val="clear" w:color="auto" w:fill="D9E2F3" w:themeFill="accent1" w:themeFillTint="33"/>
            <w:vAlign w:val="center"/>
          </w:tcPr>
          <w:p w14:paraId="68B7EC0D" w14:textId="58267B76" w:rsidR="2FB941BE" w:rsidRPr="007B73CC" w:rsidRDefault="2FB941BE" w:rsidP="00E64668">
            <w:pPr>
              <w:pStyle w:val="CMR-tables"/>
              <w:keepNext/>
              <w:jc w:val="center"/>
              <w:rPr>
                <w:rFonts w:cs="Times New Roman"/>
                <w:noProof/>
                <w:szCs w:val="20"/>
              </w:rPr>
            </w:pPr>
            <w:r>
              <w:rPr>
                <w:noProof/>
              </w:rPr>
              <w:t>−13,9</w:t>
            </w:r>
          </w:p>
        </w:tc>
        <w:tc>
          <w:tcPr>
            <w:tcW w:w="1125" w:type="dxa"/>
            <w:shd w:val="clear" w:color="auto" w:fill="D9E2F3" w:themeFill="accent1" w:themeFillTint="33"/>
            <w:vAlign w:val="center"/>
          </w:tcPr>
          <w:p w14:paraId="61CAE806" w14:textId="575B4CE9" w:rsidR="2FB941BE" w:rsidRPr="007B73CC" w:rsidRDefault="2FB941BE" w:rsidP="00E64668">
            <w:pPr>
              <w:pStyle w:val="CMR-tables"/>
              <w:keepNext/>
              <w:jc w:val="center"/>
              <w:rPr>
                <w:rFonts w:cs="Times New Roman"/>
                <w:noProof/>
                <w:szCs w:val="20"/>
              </w:rPr>
            </w:pPr>
            <w:r>
              <w:rPr>
                <w:noProof/>
              </w:rPr>
              <w:t>−16,5</w:t>
            </w:r>
          </w:p>
        </w:tc>
        <w:tc>
          <w:tcPr>
            <w:tcW w:w="1125" w:type="dxa"/>
            <w:shd w:val="clear" w:color="auto" w:fill="D9E2F3" w:themeFill="accent1" w:themeFillTint="33"/>
            <w:vAlign w:val="center"/>
          </w:tcPr>
          <w:p w14:paraId="4FF4A443" w14:textId="64A267D3" w:rsidR="2FB941BE" w:rsidRPr="007B73CC" w:rsidRDefault="2FB941BE" w:rsidP="00E64668">
            <w:pPr>
              <w:pStyle w:val="CMR-tables"/>
              <w:keepNext/>
              <w:jc w:val="center"/>
              <w:rPr>
                <w:rFonts w:cs="Times New Roman"/>
                <w:noProof/>
                <w:szCs w:val="20"/>
              </w:rPr>
            </w:pPr>
            <w:r>
              <w:rPr>
                <w:noProof/>
              </w:rPr>
              <w:t>−21,2</w:t>
            </w:r>
          </w:p>
        </w:tc>
        <w:tc>
          <w:tcPr>
            <w:tcW w:w="1125" w:type="dxa"/>
            <w:shd w:val="clear" w:color="auto" w:fill="D9E2F3" w:themeFill="accent1" w:themeFillTint="33"/>
            <w:vAlign w:val="center"/>
          </w:tcPr>
          <w:p w14:paraId="54AEBB6A" w14:textId="4575FA0B" w:rsidR="2FB941BE" w:rsidRPr="007B73CC" w:rsidRDefault="2FB941BE" w:rsidP="00E64668">
            <w:pPr>
              <w:pStyle w:val="CMR-tables"/>
              <w:keepNext/>
              <w:jc w:val="center"/>
              <w:rPr>
                <w:rFonts w:cs="Times New Roman"/>
                <w:noProof/>
                <w:szCs w:val="20"/>
              </w:rPr>
            </w:pPr>
            <w:r>
              <w:rPr>
                <w:noProof/>
              </w:rPr>
              <w:t>−57,8</w:t>
            </w:r>
          </w:p>
        </w:tc>
        <w:tc>
          <w:tcPr>
            <w:tcW w:w="1125" w:type="dxa"/>
            <w:shd w:val="clear" w:color="auto" w:fill="D9E2F3" w:themeFill="accent1" w:themeFillTint="33"/>
            <w:vAlign w:val="center"/>
          </w:tcPr>
          <w:p w14:paraId="27D881A3" w14:textId="5A066384" w:rsidR="2FB941BE" w:rsidRPr="007B73CC" w:rsidRDefault="2FB941BE" w:rsidP="00E64668">
            <w:pPr>
              <w:pStyle w:val="CMR-tables"/>
              <w:keepNext/>
              <w:jc w:val="center"/>
              <w:rPr>
                <w:rFonts w:cs="Times New Roman"/>
                <w:noProof/>
                <w:szCs w:val="20"/>
              </w:rPr>
            </w:pPr>
            <w:r>
              <w:rPr>
                <w:noProof/>
              </w:rPr>
              <w:t>−62,0</w:t>
            </w:r>
          </w:p>
        </w:tc>
        <w:tc>
          <w:tcPr>
            <w:tcW w:w="1125" w:type="dxa"/>
            <w:shd w:val="clear" w:color="auto" w:fill="D9E2F3" w:themeFill="accent1" w:themeFillTint="33"/>
            <w:vAlign w:val="center"/>
          </w:tcPr>
          <w:p w14:paraId="4F89833B" w14:textId="4224B1E5" w:rsidR="2FB941BE" w:rsidRPr="0024224B" w:rsidRDefault="2FB941BE" w:rsidP="00E64668">
            <w:pPr>
              <w:pStyle w:val="CMR-tables"/>
              <w:keepNext/>
              <w:jc w:val="center"/>
              <w:rPr>
                <w:rFonts w:cs="Times New Roman"/>
                <w:b/>
                <w:noProof/>
                <w:szCs w:val="20"/>
              </w:rPr>
            </w:pPr>
            <w:r>
              <w:rPr>
                <w:b/>
                <w:noProof/>
              </w:rPr>
              <w:t>−171,5</w:t>
            </w:r>
          </w:p>
        </w:tc>
      </w:tr>
    </w:tbl>
    <w:p w14:paraId="109EBADC" w14:textId="10C6C896" w:rsidR="00782261" w:rsidRPr="00685D02" w:rsidRDefault="009E19D1" w:rsidP="00782261">
      <w:pPr>
        <w:pStyle w:val="CMR-text"/>
        <w:rPr>
          <w:rFonts w:cs="Times New Roman"/>
          <w:noProof/>
        </w:rPr>
      </w:pPr>
      <w:r>
        <w:rPr>
          <w:noProof/>
        </w:rPr>
        <w:t>Pamatinė koncepcija, kuria grindžiamas ES ATLPS veikimas nuo 2013 m., yra visoje ES suderintas požiūris, pagal kurį pereinamojo laikotarpio sistemoje nemokami ATL paskirstomi remiantis santykiniais taršos rodikliais. Pagal šį modelį, taikant santykinius taršos rodiklius, gali būti situacijų, kai atskiriems įrenginiams skiriamų nemokamų ATL skaičius vienus ar daugiau metų viršija patikrintą išmestų teršalų kiekį, ir tai yra leidžiama. Vis dėlto keliems įrenginiams skiriamų ATL perteklius nekliudo mažinti bendro išmetamųjų teršalų kiekio ir dauguma įrenginių patiria išlaidų dėl išmetamo anglies dioksido, nes turi įsigyti reikiamą skaičių papildomų ATL tų įrenginių išmetamų teršalų kiekiui padengti. Toliau paaiškinamos pagrindinės priežastys, kodėl galėtų susidaryti tam tikram įrenginiui gaunamų nemokamų ATL perteklius.</w:t>
      </w:r>
    </w:p>
    <w:p w14:paraId="1DAE82AD" w14:textId="02E659E6" w:rsidR="001E3B52" w:rsidRPr="00685D02" w:rsidRDefault="00782261" w:rsidP="00782261">
      <w:pPr>
        <w:pStyle w:val="CMR-text"/>
        <w:rPr>
          <w:rFonts w:cs="Times New Roman"/>
          <w:noProof/>
        </w:rPr>
      </w:pPr>
      <w:r>
        <w:rPr>
          <w:noProof/>
        </w:rPr>
        <w:t xml:space="preserve">Santykinių taršos rodiklių vertės nustatomos ir reguliariai atnaujinamos remiantis 10 proc. efektyviausių (mažiausio taršos intensyvumo) įrenginių, kuriems taikomas tas santykinis taršos rodiklis, vidutiniais rezultatais. Tai reiškia, kad pagal kiekvieną santykinį taršos rodiklį būtų tam tikras skaičius įrenginių, kurių rezultatai būtų geresni nei likusių 90 proc. įrenginių, ir jiems gaunamų ATL pakaktų jų išmetamam teršalų kiekiui padengti arba net susidarytų ATL perteklius. Be to, Reglamente dėl nemokamų ATL suteikimo yra nuostatos dėl nemokamų ATL skyrimo tuo atveju, kai eksportuojama ar importuojama šiluma arba išmetamosios dujos (gali būti skirtumų nuo išmetamųjų teršalų kiekio pranešimo tvarkos). Išmetamieji teršalai ir skiriami nemokami ATL tokiais atvejais galėtų būti susiejami su atskirais įrenginiais ir dėl to atrodytų, kad vienam įrenginiui gaunama daugiau ATL negu iš jo išmetama teršalų. Pavyzdys: siekiant mažinti anglies dioksido nutekėjimo riziką, nemokamų ATL suteikiama chemijos gamyklai, į kurią importuojama šiluma iš kito įrenginio, o pranešamas išmetamųjų teršalų kiekis yra iš šilumos gamybos įrenginio išmetamas kiekis. </w:t>
      </w:r>
    </w:p>
    <w:p w14:paraId="024D0308" w14:textId="1DE3E52A" w:rsidR="00782261" w:rsidRPr="00685D02" w:rsidRDefault="00782261" w:rsidP="00782261">
      <w:pPr>
        <w:pStyle w:val="CMR-text"/>
        <w:rPr>
          <w:rFonts w:cs="Times New Roman"/>
          <w:noProof/>
        </w:rPr>
      </w:pPr>
      <w:r>
        <w:rPr>
          <w:noProof/>
        </w:rPr>
        <w:t>Galimam ATL pertekliui reikšmės turi ir taisyklės dėl metinio ATL paskirstymo koregavimo atsižvelgiant į reikšmingus pramonės gamybos apimties pokyčius (žr. pirmiau). Skaičiuojant dvejų metų vidurkį susidaro „rezervas“ – tai reiškia, kad visas reikšmingo gamybos sumažinimo poveikis nemokamų ATL paskirstymo lygiui būtų padarytas ne iš karto, o dvejais metais vėliau, t. y. pranešamas išmetamųjų teršalų kiekis sumažėtų iškart, o paskirstomų nemokamų ATL skaičius – ne.</w:t>
      </w:r>
    </w:p>
    <w:p w14:paraId="076DD4A5" w14:textId="75532C33" w:rsidR="008949B8" w:rsidRPr="00EC4FC3" w:rsidRDefault="002C446D" w:rsidP="00EC4FC3">
      <w:pPr>
        <w:pStyle w:val="CMR-Subheading"/>
        <w:rPr>
          <w:noProof/>
        </w:rPr>
      </w:pPr>
      <w:bookmarkStart w:id="30" w:name="_Toc219127269"/>
      <w:bookmarkStart w:id="31" w:name="_Toc180513397"/>
      <w:r>
        <w:rPr>
          <w:noProof/>
        </w:rPr>
        <w:t>Pasienio anglies dioksido korekcinis mechanizmas</w:t>
      </w:r>
      <w:bookmarkEnd w:id="30"/>
      <w:r>
        <w:rPr>
          <w:noProof/>
        </w:rPr>
        <w:t xml:space="preserve"> </w:t>
      </w:r>
      <w:bookmarkEnd w:id="31"/>
    </w:p>
    <w:p w14:paraId="7F1238B1" w14:textId="31AA4ABE" w:rsidR="00D52984" w:rsidRPr="00685D02" w:rsidRDefault="6FDB8928" w:rsidP="009035AD">
      <w:pPr>
        <w:pStyle w:val="CMR-text"/>
        <w:rPr>
          <w:rFonts w:cs="Times New Roman"/>
          <w:noProof/>
        </w:rPr>
      </w:pPr>
      <w:r>
        <w:rPr>
          <w:noProof/>
        </w:rPr>
        <w:t>Siekiant mažinti anglies dioksido nutekėjimo riziką, kylančią dėl to, kad, ES imantis ryžtingesnių klimato politikos veiksmų, laipsniškai nutraukiamas ATLPS nemokamų ATL paskirstymas, priimtas Pasienio anglies dioksido korekcinio mechanizmo (PADKM) reglamentas (Reglamentas (ES) 2023/956)</w:t>
      </w:r>
      <w:r>
        <w:rPr>
          <w:rStyle w:val="FootnoteReference"/>
          <w:rFonts w:cs="Times New Roman"/>
          <w:noProof/>
          <w:lang w:val="en-IE"/>
        </w:rPr>
        <w:footnoteReference w:id="30"/>
      </w:r>
      <w:r>
        <w:rPr>
          <w:noProof/>
        </w:rPr>
        <w:t xml:space="preserve">, įeinantis į Pasirengimo įgyvendinti 55 % tikslą priemonių rinkinį. </w:t>
      </w:r>
    </w:p>
    <w:p w14:paraId="07AE67C3" w14:textId="31ACB87C" w:rsidR="00CA07B3" w:rsidRPr="00685D02" w:rsidRDefault="5FC30C0E" w:rsidP="009035AD">
      <w:pPr>
        <w:pStyle w:val="CMR-text"/>
        <w:rPr>
          <w:rFonts w:cs="Times New Roman"/>
          <w:noProof/>
        </w:rPr>
      </w:pPr>
      <w:r>
        <w:rPr>
          <w:noProof/>
        </w:rPr>
        <w:t xml:space="preserve">Kai kuriuose į ES ATLPS įtrauktuose pramonės sektoriuose (cemento, aliuminio, trąšų, vandenilio, geležies ir plieno) nemokamų ATL paskirstymas bus nuo 2026 m. laipsniškai pakeistas PADKM taikymu. Apie 54 proc. visų paskirstomų nemokamų ATL 2021–2025 m. laikotarpiu teko šiems sektoriams. </w:t>
      </w:r>
    </w:p>
    <w:p w14:paraId="4951FDBA" w14:textId="02318213" w:rsidR="005941B1" w:rsidRPr="00685D02" w:rsidRDefault="00707524" w:rsidP="00BC4C9A">
      <w:pPr>
        <w:pStyle w:val="CMR-text"/>
        <w:rPr>
          <w:rFonts w:cs="Times New Roman"/>
          <w:noProof/>
        </w:rPr>
      </w:pPr>
      <w:r>
        <w:rPr>
          <w:noProof/>
        </w:rPr>
        <w:t xml:space="preserve">Taikant PADKM užtikrinama, kad už būdingąjį tam tikrų į ES importuojamų prekių gamyboje išmetamą anglies dioksido kiekį būtų sumokama lygiavertė kaina; taip bus užtikrinta, kad anglies dioksido kaina, taikoma importuojamoms prekėms, būtų lygiavertė anglies dioksido kainai, taikomai Sąjungos vidaus produkcijai (pagal ES ATLPS), ir kad nebūtų kliudoma siekti ES klimato srities tikslų. PADKM apims visuose sektoriuose, kuriems jis taikomas, tiesiogiai išmetamus teršalus ir cemento bei trąšų sektoriuose netiesiogiai (dėl per gamybos procesus suvartojamos elektros energijos) išmetamus teršalus. Iš pradžių nebus atsižvelgiama į netiesiogiai išmetamus teršalus tuose sektoriuose, kuriems gali būti skiriama pagalba padengti netiesiogines išlaidas dėl išmetamo anglies dioksido (tai yra aliuminio, vandenilio, geležies ir plieno sektoriai – žr. 8.1 skirsnį). </w:t>
      </w:r>
    </w:p>
    <w:p w14:paraId="3CA1EF75" w14:textId="114CB2E9" w:rsidR="00085A37" w:rsidRPr="00685D02" w:rsidRDefault="00085A37" w:rsidP="00085A37">
      <w:pPr>
        <w:pStyle w:val="CMR-text"/>
        <w:rPr>
          <w:rFonts w:cs="Times New Roman"/>
          <w:noProof/>
        </w:rPr>
      </w:pPr>
      <w:r>
        <w:rPr>
          <w:noProof/>
        </w:rPr>
        <w:t>2023 m. spalio mėn. prasidėjo pereinamasis laikotarpis, kuriuo importuotojai praneša apie išmetamųjų teršalų kiekį, tačiau dar neprivalo atlikti mokėjimų. Šis laikotarpis trunka iki 2025 m. pabaigos, o nuo tada bus laipsniškai pradėtas visapusiškas įgyvendinimas.</w:t>
      </w:r>
    </w:p>
    <w:p w14:paraId="53883DCE" w14:textId="0DAD735F" w:rsidR="001B7142" w:rsidRPr="00685D02" w:rsidRDefault="005941B1" w:rsidP="00BC4C9A">
      <w:pPr>
        <w:pStyle w:val="CMR-text"/>
        <w:rPr>
          <w:rFonts w:cs="Times New Roman"/>
          <w:noProof/>
        </w:rPr>
      </w:pPr>
      <w:r>
        <w:rPr>
          <w:noProof/>
        </w:rPr>
        <w:t>Sektorių, kuriems taikomas PADKM, prekių importuotojai į ES nuo 2026 m. turės pirkti būdingojo išmetamo ŠESD kiekio sertifikatus ir jų atsisakyti. Siekiant remti pramonės dekarbonizacijos pastangas, pagal ES ATLPS direktyvą pajamos, gautos aukcionuose pardavus nemokamus ATL, kurių nemokamas paskirstymas laipsniškai panaikinamas, skiriamos Inovacijų fondui (žr. 8.2 skirsnį), daugiau dėmesio skiriant projektams tuose sektoriuose, kuriems taikomas PADKM.</w:t>
      </w:r>
    </w:p>
    <w:p w14:paraId="596F54A1" w14:textId="23BFC6D7" w:rsidR="00E3633C" w:rsidRPr="00685D02" w:rsidRDefault="00085A37" w:rsidP="00BC4C9A">
      <w:pPr>
        <w:pStyle w:val="CMR-text"/>
        <w:rPr>
          <w:rFonts w:cs="Times New Roman"/>
          <w:noProof/>
        </w:rPr>
      </w:pPr>
      <w:r>
        <w:rPr>
          <w:noProof/>
        </w:rPr>
        <w:t>ES taip pat imasi veiksmų, kad PADKM galutiniu taikymo etapu būtų supaprastintas ir sustiprintas. 2025 m. birželio mėn. Europos Parlamentas ir Taryba pasiekė preliminarų politinį susitarimą dėl pasiūlymo supaprastinti PADKM; tai oficialiai patvirtinta 2025 m. rugsėjo mėn.</w:t>
      </w:r>
      <w:r>
        <w:rPr>
          <w:rStyle w:val="FootnoteReference"/>
          <w:rFonts w:cs="Times New Roman"/>
          <w:noProof/>
          <w:lang w:val="en-IE"/>
        </w:rPr>
        <w:footnoteReference w:id="31"/>
      </w:r>
      <w:r>
        <w:rPr>
          <w:noProof/>
        </w:rPr>
        <w:t xml:space="preserve"> Vienas pagrindinių to pasiūlymo aspektų – išimties taikymo ribinės vertės padidinimas, kad PADKM galėtų būti netaikomas iki 50 tonų prekių, importuotojo importuojamų per metus. Numatoma, kad taip 90 proc. įmonių bus atleistos nuo susijusių prievolių, tačiau apimamas išmetamųjų teršalų kiekis vis vien sieks 99 proc. Tuo metu, kai rengtas šis dokumentas, Komisija taip pat rengė kelis antrinės teisės aktus (deleguotuosius aktus ir įgyvendinimo aktus), kad būtų užtikrinta, jog PADKM būtų laiku ir veiksmingai įgyvendinamas, kai 2026 m. prasidės galutinis etapas.</w:t>
      </w:r>
    </w:p>
    <w:p w14:paraId="4CD281B1" w14:textId="6FEEFABA" w:rsidR="00D74578" w:rsidRPr="00685D02" w:rsidRDefault="00C46F62" w:rsidP="00BC4C9A">
      <w:pPr>
        <w:pStyle w:val="CMR-text"/>
        <w:rPr>
          <w:rFonts w:cs="Times New Roman"/>
          <w:noProof/>
        </w:rPr>
      </w:pPr>
      <w:r>
        <w:rPr>
          <w:noProof/>
        </w:rPr>
        <w:t>Komisija taip pat rengia pasiūlymus dėl teisėkūros procedūra priimamų aktų siekiant išplėsti PADKM taikymo sritį, kad jis apimtų tam tikras tiekimo grandinės galutinės grandies prekes, taip užkertant kelią anglies dioksido nutekėjimui toliau tiekimo grandinėje</w:t>
      </w:r>
      <w:r>
        <w:rPr>
          <w:rStyle w:val="FootnoteReference"/>
          <w:rFonts w:cs="Times New Roman"/>
          <w:noProof/>
          <w:lang w:val="en-IE"/>
        </w:rPr>
        <w:footnoteReference w:id="32"/>
      </w:r>
      <w:r>
        <w:rPr>
          <w:noProof/>
        </w:rPr>
        <w:t>, taip pat būtų sumažinta PADKM apėjimo rizika</w:t>
      </w:r>
      <w:r>
        <w:rPr>
          <w:rStyle w:val="FootnoteReference"/>
          <w:rFonts w:cs="Times New Roman"/>
          <w:noProof/>
          <w:lang w:val="en-IE"/>
        </w:rPr>
        <w:footnoteReference w:id="33"/>
      </w:r>
      <w:r>
        <w:rPr>
          <w:noProof/>
        </w:rPr>
        <w:t xml:space="preserve"> ir patikslintos elektros energijos importui taikomos taisyklės. </w:t>
      </w:r>
    </w:p>
    <w:p w14:paraId="7B349234" w14:textId="17F11DF6" w:rsidR="002D6F58" w:rsidRPr="00685D02" w:rsidRDefault="00D74578" w:rsidP="00BC4C9A">
      <w:pPr>
        <w:pStyle w:val="CMR-text"/>
        <w:rPr>
          <w:rFonts w:cs="Times New Roman"/>
          <w:noProof/>
        </w:rPr>
      </w:pPr>
      <w:r>
        <w:rPr>
          <w:noProof/>
        </w:rPr>
        <w:t>Tuo pat metu Komisija, kaip pranešta Komunikate dėl švarios pramonės kurso įgyvendinimo</w:t>
      </w:r>
      <w:r>
        <w:rPr>
          <w:rStyle w:val="FootnoteReference"/>
          <w:rFonts w:cs="Times New Roman"/>
          <w:noProof/>
          <w:lang w:val="en-IE"/>
        </w:rPr>
        <w:footnoteReference w:id="34"/>
      </w:r>
      <w:r>
        <w:rPr>
          <w:noProof/>
        </w:rPr>
        <w:t xml:space="preserve">, paskelbs pasiūlymą dėl su ES pagaminamų prekių, kurioms taikomas PADKM, eksportu susijusios anglies dioksido nutekėjimo rizikos mažinimo. Kaip aptarta praėjusių metų Anglies dioksido rinkos ataskaitoje, laipsniškai nutraukiant nemokamų ATL paskirstymą, ES gamintojams, gaminantiems prekes, kurioms taikomas PADKM, teks mokėti už savo būdingąjį išmetamą anglies dioksido kiekį, o anglies dioksido nutekėjimo problema sprendžiama PADKM nustatant lygiavertę anglies dioksido kainą importuojamoms prekėms. </w:t>
      </w:r>
    </w:p>
    <w:p w14:paraId="35C61CAE" w14:textId="4436BB4A" w:rsidR="00415808" w:rsidRPr="00685D02" w:rsidRDefault="009F7EBD" w:rsidP="00BC4C9A">
      <w:pPr>
        <w:pStyle w:val="CMR-text"/>
        <w:rPr>
          <w:rFonts w:cs="Times New Roman"/>
          <w:noProof/>
        </w:rPr>
      </w:pPr>
      <w:r>
        <w:rPr>
          <w:noProof/>
        </w:rPr>
        <w:t>Komisija taip pat rengia išsamią PADKM peržiūrą, kuri turi būti paskelbta iki 2025 m. pabaigos, kaip numatyta PADKM reglamente. Atliekant šią peržiūrą bus įvertinta galimybė išplėsti PADKM taikymo sritį, prekių, kurioms taikytinas PADKM, nustatymo kriterijai ir netiesiogiai išmetamo ŠESD kiekio apskaičiavimo metodika. Taip pat bus įvertinta valdymo sistema, administracinės išlaidos, tarptautinėse diskusijose dėl klimato srities veiksmų padaryta pažanga ir PADKM poveikis importui iš besivystančių šalių, ypač iš mažiausiai išsivysčiusių šalių.</w:t>
      </w:r>
    </w:p>
    <w:p w14:paraId="67C5943A" w14:textId="24D6079D" w:rsidR="00DB484C" w:rsidRPr="00EC4FC3" w:rsidRDefault="00613B80" w:rsidP="00EC4FC3">
      <w:pPr>
        <w:pStyle w:val="CMR-Heading"/>
        <w:rPr>
          <w:noProof/>
        </w:rPr>
      </w:pPr>
      <w:bookmarkStart w:id="32" w:name="_Toc176419518"/>
      <w:bookmarkStart w:id="33" w:name="_Toc176419549"/>
      <w:bookmarkStart w:id="34" w:name="_Toc176419519"/>
      <w:bookmarkStart w:id="35" w:name="_Toc176419550"/>
      <w:bookmarkStart w:id="36" w:name="_Toc180513398"/>
      <w:bookmarkStart w:id="37" w:name="_Toc219127270"/>
      <w:bookmarkEnd w:id="32"/>
      <w:bookmarkEnd w:id="33"/>
      <w:bookmarkEnd w:id="34"/>
      <w:bookmarkEnd w:id="35"/>
      <w:r>
        <w:rPr>
          <w:noProof/>
        </w:rPr>
        <w:t>ES anglies dioksido rinka</w:t>
      </w:r>
      <w:bookmarkEnd w:id="36"/>
      <w:bookmarkEnd w:id="37"/>
      <w:r>
        <w:rPr>
          <w:noProof/>
        </w:rPr>
        <w:t xml:space="preserve"> </w:t>
      </w:r>
    </w:p>
    <w:p w14:paraId="5899D9BF" w14:textId="547E80B1" w:rsidR="00DB484C" w:rsidRPr="00EC4FC3" w:rsidRDefault="00E0576C" w:rsidP="00EC4FC3">
      <w:pPr>
        <w:pStyle w:val="CMR-Subheading"/>
        <w:rPr>
          <w:noProof/>
        </w:rPr>
      </w:pPr>
      <w:bookmarkStart w:id="38" w:name="_Toc180513399"/>
      <w:bookmarkStart w:id="39" w:name="_Ref207551907"/>
      <w:bookmarkStart w:id="40" w:name="_Toc219127271"/>
      <w:r>
        <w:rPr>
          <w:noProof/>
        </w:rPr>
        <w:t>Pasiūlos ir paklausos subalansavimas</w:t>
      </w:r>
      <w:bookmarkEnd w:id="38"/>
      <w:bookmarkEnd w:id="39"/>
      <w:bookmarkEnd w:id="40"/>
    </w:p>
    <w:p w14:paraId="59F0CAA7" w14:textId="3FAD983E" w:rsidR="00B244AB" w:rsidRPr="00685D02" w:rsidRDefault="00B244AB" w:rsidP="0006239E">
      <w:pPr>
        <w:pStyle w:val="CMR-text"/>
        <w:rPr>
          <w:rFonts w:cs="Times New Roman"/>
          <w:noProof/>
        </w:rPr>
      </w:pPr>
      <w:r>
        <w:rPr>
          <w:noProof/>
        </w:rPr>
        <w:t xml:space="preserve">Rinkos stabilumo rezervu (RSR) padedama palaikyti anglies dioksido rinkos pusiausvyrą ir užtikrinti jos atsparumą; tai daroma iš metų į metus koreguojant ATL, skirtų parduoti ES ATLPS aukcionuose, pasiūlą. Rinkos stabilumo rezervas yra taisyklėmis pagrįsta priemonė, kuri iš pradžių buvo pradėta taikyti siekiant ištaisyti struktūrinį ATL pasiūlos ir paklausos disbalansą ES anglies dioksido rinkoje trečiojo etapo pradžioje. Rinkoje 2013 m. buvo 2,1 mlrd. ATL perteklius; nuo tada rinkos stabilumo rezervas padėjo jį sumažinti. Rinkos stabilumo rezervas reaguoja į staigius pasiūlos ir paklausos sukrėtimus trumpuoju laikotarpiu (pavyzdžiui, dėl 2020 m. COVID-19 pandemijos sukelto ekonomikos nuosmukio). </w:t>
      </w:r>
    </w:p>
    <w:p w14:paraId="059B5DC9" w14:textId="49F18E20" w:rsidR="00B244AB" w:rsidRPr="00685D02" w:rsidRDefault="00B244AB" w:rsidP="0006239E">
      <w:pPr>
        <w:pStyle w:val="CMR-text"/>
        <w:rPr>
          <w:rFonts w:cs="Times New Roman"/>
          <w:noProof/>
        </w:rPr>
      </w:pPr>
      <w:r>
        <w:rPr>
          <w:noProof/>
        </w:rPr>
        <w:t>Naudojant rinkos stabilumo rezervą, ATL pasiūla ES anglies dioksido rinkoje koreguojama pagal iš anksto nustatytas bendro apyvartoje esančių ATL skaičiaus slenkstines ribas. Priklausomai nuo bendro apyvartoje esančių ATL skaičiaus, ATL atimami iš aukcionams skirto skaičiaus ir perkeliami į rinkos stabilumo rezervą arba paimami iš šio rezervo ir parduodami aukcione. Taip rinkos stabilumo rezervas skatina pusiausvyrą ir atsparumą pasiūlos ir paklausos sukrėtimams, kad ES anglies dioksido rinka galėtų sklandžiai veikti. Rezervas pradėtas naudoti 2019 m., nuo tada ATL iš apyvartos į jį perkeliami kasmet.</w:t>
      </w:r>
    </w:p>
    <w:p w14:paraId="245BA34F" w14:textId="34B54501" w:rsidR="00BA6F4D" w:rsidRPr="00685D02" w:rsidRDefault="7AA41F30" w:rsidP="0006239E">
      <w:pPr>
        <w:pStyle w:val="CMR-text"/>
        <w:rPr>
          <w:rFonts w:cs="Times New Roman"/>
          <w:noProof/>
        </w:rPr>
      </w:pPr>
      <w:r>
        <w:rPr>
          <w:noProof/>
        </w:rPr>
        <w:t>Komisija bendrą apyvartoje esančių ATL skaičių skelbia kasmet. Jis apskaičiuojamas už praėjusius metus, o pasiūla patikslinama (taikant konkrečią schemą) per 12 mėnesių po jo paskelbimo. 2025 m. gegužės 28 d. Komisija paskelbė komunikatą dėl bendro 2024 m. apyvartoje buvusių ATL skaičiaus</w:t>
      </w:r>
      <w:r>
        <w:rPr>
          <w:rStyle w:val="FootnoteReference"/>
          <w:rFonts w:cs="Times New Roman"/>
          <w:noProof/>
          <w:lang w:val="en-IE"/>
        </w:rPr>
        <w:footnoteReference w:id="35"/>
      </w:r>
      <w:r>
        <w:rPr>
          <w:noProof/>
        </w:rPr>
        <w:t xml:space="preserve">. </w:t>
      </w:r>
    </w:p>
    <w:p w14:paraId="591D200F" w14:textId="7035624A" w:rsidR="005819BB" w:rsidRPr="00685D02" w:rsidRDefault="00721126" w:rsidP="00314598">
      <w:pPr>
        <w:pStyle w:val="CMR-text"/>
        <w:rPr>
          <w:rFonts w:cs="Times New Roman"/>
          <w:noProof/>
        </w:rPr>
      </w:pPr>
      <w:r>
        <w:rPr>
          <w:noProof/>
        </w:rPr>
        <w:t xml:space="preserve">Bendras 2024 m. apyvartoje buvusių ATL skaičius – 1,15 mlrd. ATL, šiek tiek didesnis nei 2023 m. Taigi laikotarpiu nuo 2025 m. rugsėjo iki 2026 m. rugpjūčio mėn. iš aukcionų atšaukiama 276 mln. ATL (24 proc. bendro apyvartoje esančių ATL skaičiaus). </w:t>
      </w:r>
    </w:p>
    <w:p w14:paraId="2A32D739" w14:textId="23C58228" w:rsidR="00314598" w:rsidRPr="00685D02" w:rsidRDefault="00544DEC" w:rsidP="00314598">
      <w:pPr>
        <w:pStyle w:val="CMR-text"/>
        <w:rPr>
          <w:rFonts w:cs="Times New Roman"/>
          <w:noProof/>
        </w:rPr>
      </w:pPr>
      <w:r>
        <w:rPr>
          <w:noProof/>
        </w:rPr>
        <w:t xml:space="preserve">Kiekvienų metų pradžioje rinkos stabilumo rezerve esantys ATL, esantys virš 400 mln. ATL skaičiaus ribos, pripažįstami negaliojančiais. 2025 m. sausio 1 d. negaliojančiais pripažinta 271 mln. rinkos stabilumo rezerve buvusių ATL, taigi rezerve liko 400 mln. ATL. Nuo 2023 m. negaliojančiais pripažinta iš viso 3,2 mlrd. rinkos stabilumo rezerve buvusių ATL. </w:t>
      </w:r>
    </w:p>
    <w:p w14:paraId="6668795C" w14:textId="63F01901" w:rsidR="00701B18" w:rsidRPr="00685D02" w:rsidRDefault="00AE06DF" w:rsidP="0006239E">
      <w:pPr>
        <w:pStyle w:val="CMR-text"/>
        <w:rPr>
          <w:rFonts w:cs="Times New Roman"/>
          <w:noProof/>
          <w:highlight w:val="cyan"/>
        </w:rPr>
      </w:pPr>
      <w:r>
        <w:rPr>
          <w:noProof/>
        </w:rPr>
        <w:t>3 pav. parodyta ATL pertekliaus ES anglies dioksido rinkoje tendencija nuo 2013 m. Nacionaliniai įnašai į rinkos stabilumo rezervą nurodyti pridedamo Komisijos tarnybų darbinio dokumento 2 skirsnyje.</w:t>
      </w:r>
    </w:p>
    <w:p w14:paraId="4EF13EA9" w14:textId="147025A4" w:rsidR="00E84CD0" w:rsidRDefault="009268F3" w:rsidP="000006BA">
      <w:pPr>
        <w:pStyle w:val="Caption"/>
        <w:jc w:val="left"/>
        <w:rPr>
          <w:noProof/>
          <w:sz w:val="20"/>
        </w:rPr>
      </w:pPr>
      <w:r>
        <w:rPr>
          <w:noProof/>
          <w:lang w:val="en-GB" w:eastAsia="en-GB"/>
        </w:rPr>
        <w:drawing>
          <wp:inline distT="0" distB="0" distL="0" distR="0" wp14:anchorId="2D60CED5" wp14:editId="14A6D800">
            <wp:extent cx="5731510" cy="2394585"/>
            <wp:effectExtent l="0" t="0" r="2540" b="5715"/>
            <wp:docPr id="100538709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CE95C3" w14:textId="18A057C4" w:rsidR="00966B7E" w:rsidRPr="007B73CC" w:rsidRDefault="00E84CD0" w:rsidP="000006BA">
      <w:pPr>
        <w:pStyle w:val="Caption"/>
        <w:jc w:val="left"/>
        <w:rPr>
          <w:noProof/>
          <w:sz w:val="20"/>
        </w:rPr>
      </w:pPr>
      <w:bookmarkStart w:id="41" w:name="_Ref176771602"/>
      <w:r>
        <w:rPr>
          <w:noProof/>
          <w:sz w:val="20"/>
        </w:rPr>
        <w:t>3 pav</w:t>
      </w:r>
      <w:r>
        <w:rPr>
          <w:noProof/>
          <w:sz w:val="20"/>
        </w:rPr>
        <w:fldChar w:fldCharType="begin"/>
      </w:r>
      <w:r>
        <w:rPr>
          <w:noProof/>
          <w:sz w:val="20"/>
        </w:rPr>
        <w:instrText xml:space="preserve"> SEQ Figure \* ARABIC </w:instrText>
      </w:r>
      <w:r>
        <w:rPr>
          <w:noProof/>
          <w:sz w:val="20"/>
        </w:rPr>
        <w:fldChar w:fldCharType="end"/>
      </w:r>
      <w:bookmarkEnd w:id="41"/>
      <w:r>
        <w:rPr>
          <w:noProof/>
          <w:sz w:val="20"/>
        </w:rPr>
        <w:t>. Apyvartinių taršos leidimų perteklius ES ATLPS (2013–2024 m.).</w:t>
      </w:r>
    </w:p>
    <w:p w14:paraId="31D5B682" w14:textId="4FDACF7F" w:rsidR="090A0939" w:rsidRPr="00EC4FC3" w:rsidRDefault="64FB3A56" w:rsidP="00EC4FC3">
      <w:pPr>
        <w:pStyle w:val="CMR-Subheading"/>
        <w:rPr>
          <w:noProof/>
        </w:rPr>
      </w:pPr>
      <w:bookmarkStart w:id="42" w:name="_Toc180513401"/>
      <w:bookmarkStart w:id="43" w:name="_Toc219127272"/>
      <w:r>
        <w:rPr>
          <w:noProof/>
        </w:rPr>
        <w:t>Rinkos priežiūra</w:t>
      </w:r>
      <w:bookmarkEnd w:id="42"/>
      <w:bookmarkEnd w:id="43"/>
      <w:r>
        <w:rPr>
          <w:noProof/>
        </w:rPr>
        <w:t xml:space="preserve"> </w:t>
      </w:r>
    </w:p>
    <w:p w14:paraId="647F3E25" w14:textId="1B90E836" w:rsidR="301D5333" w:rsidRPr="00685D02" w:rsidRDefault="108EF2AA" w:rsidP="0006239E">
      <w:pPr>
        <w:pStyle w:val="CMR-text"/>
        <w:rPr>
          <w:rFonts w:cs="Times New Roman"/>
          <w:noProof/>
        </w:rPr>
      </w:pPr>
      <w:r>
        <w:rPr>
          <w:noProof/>
        </w:rPr>
        <w:t>ES anglies dioksido rinkai taikomos griežtos rinkos priežiūros taisyklės, įtvirtintos ES finansų rinkose. Ją sudaro pirminė rinka, kurioje ATL parduodami rinkos dalyviams aukcionuose, ir antrinė rinka, kurioje rinkos dalyviai tarpusavyje prekiauja neatidėliotinų sandorių sutartimis ir išvestinių finansinių priemonių sutartimis dėl ATL. Tiek ATL neatidėliotinų sandorių, tiek išvestinių finansinių priemonių sutartys yra klasifikuojamos kaip finansinės priemonės pagal Finansinių priemonių rinkų direktyvą (Direktyva 2014/65/ES, FPRD II)</w:t>
      </w:r>
      <w:r>
        <w:rPr>
          <w:rStyle w:val="FootnoteReference"/>
          <w:rFonts w:cs="Times New Roman"/>
          <w:noProof/>
          <w:lang w:val="en-IE"/>
        </w:rPr>
        <w:footnoteReference w:id="36"/>
      </w:r>
      <w:r>
        <w:rPr>
          <w:noProof/>
        </w:rPr>
        <w:t xml:space="preserve">. Ši klasifikacija atsispindi ir antrinės teisės aktuose, įskaitant Aukcionų reglamentą, pagal kurį atliekama pirminės rinkos (ATL aukcionų) priežiūra.  </w:t>
      </w:r>
    </w:p>
    <w:p w14:paraId="4455B3A5" w14:textId="32239C39" w:rsidR="003A55BF" w:rsidRPr="00685D02" w:rsidRDefault="108EF2AA" w:rsidP="0006239E">
      <w:pPr>
        <w:pStyle w:val="CMR-text"/>
        <w:rPr>
          <w:rFonts w:cs="Times New Roman"/>
          <w:noProof/>
        </w:rPr>
      </w:pPr>
      <w:r>
        <w:rPr>
          <w:noProof/>
        </w:rPr>
        <w:t>ES anglies dioksido rinkos priežiūros užduotys yra pasidalijamos tarp visų valstybių narių finansų sektoriaus valdžios institucijų</w:t>
      </w:r>
      <w:r>
        <w:rPr>
          <w:rStyle w:val="FootnoteReference"/>
          <w:rFonts w:eastAsia="Times New Roman" w:cs="Times New Roman"/>
          <w:noProof/>
          <w:color w:val="333333"/>
          <w:lang w:val="en-IE"/>
        </w:rPr>
        <w:footnoteReference w:id="37"/>
      </w:r>
      <w:r>
        <w:rPr>
          <w:noProof/>
        </w:rPr>
        <w:t xml:space="preserve"> ir yra koordinuojamos Europos reguliavimo institucijos – Europos vertybinių popierių ir rinkų institucijos (ESMA). ESMA stebi rinkos dalyvių elgseną pagal išsamius ataskaitų teikimo ir skaidrumo reikalavimus. Be to, prekybai ATL taikomos ir kitos finansų rinkų taisyklės, kaip antai piktnaudžiavimo rinka ir prekybos pasinaudojant viešai neatskleista informacija prevencijos taisyklės (Reglamentas (ES) Nr. 596/2014)</w:t>
      </w:r>
      <w:r>
        <w:rPr>
          <w:rStyle w:val="FootnoteReference"/>
          <w:rFonts w:eastAsia="Times New Roman" w:cs="Times New Roman"/>
          <w:noProof/>
          <w:color w:val="333333"/>
          <w:lang w:val="en-IE"/>
        </w:rPr>
        <w:footnoteReference w:id="38"/>
      </w:r>
      <w:r>
        <w:rPr>
          <w:noProof/>
        </w:rPr>
        <w:t xml:space="preserve">, pagal kurias rinkos dalyviai privalo nedelsdami pranešti apie įtartinus pavedimus ir sandorius. Nacionalinės valdžios institucijos turi įgaliojimus, nustačiusios piktnaudžiavimą rinka, imtis taisomųjų veiksmų arba taikyti sankcijas. </w:t>
      </w:r>
    </w:p>
    <w:p w14:paraId="18DF17E4" w14:textId="6E746F5F" w:rsidR="00BA1805" w:rsidRPr="00685D02" w:rsidRDefault="00D82973" w:rsidP="50C721A3">
      <w:pPr>
        <w:pStyle w:val="CMR-text"/>
        <w:rPr>
          <w:rFonts w:cs="Times New Roman"/>
          <w:noProof/>
        </w:rPr>
      </w:pPr>
      <w:r>
        <w:rPr>
          <w:noProof/>
        </w:rPr>
        <w:t>Po ES ATLPS direktyvos peržiūros, atliktos 2023 m., įgyvendinta keletas pakeitimų siekiant toliau didinti ES anglies dioksido rinkos skaidrumą. ESMA pavesta stebėti ir reguliariai vertinti ES ATLPS veikimą, įskaitant pirminę rinką (aukcionus) ir prekybą antrinėse rinkose. Savo pirmojoje metinėje ES anglies dioksido rinkų stebėsenos ataskaitoje, paskelbtoje 2024 m. spalio 7 d.</w:t>
      </w:r>
      <w:r>
        <w:rPr>
          <w:rStyle w:val="FootnoteReference"/>
          <w:rFonts w:cs="Times New Roman"/>
          <w:noProof/>
        </w:rPr>
        <w:footnoteReference w:id="39"/>
      </w:r>
      <w:r>
        <w:rPr>
          <w:noProof/>
        </w:rPr>
        <w:t xml:space="preserve"> ir parengtoje remiantis 2023 m. duomenimis, ESMA nenustatė jokių reikšmingų su rinkos veikimu susijusių problemų. ESMA nurodyti pagrindiniai veiksniai, dėl kurių kinta kainos ES anglies dioksido rinkose, yra elektros energijos sektoriaus dekarbonizacija ir pramonės veikla.  </w:t>
      </w:r>
    </w:p>
    <w:p w14:paraId="2FCE02F7" w14:textId="1D5FF784" w:rsidR="00642E53" w:rsidRPr="00685D02" w:rsidRDefault="009B0B48" w:rsidP="00C85649">
      <w:pPr>
        <w:pStyle w:val="CMR-text"/>
        <w:rPr>
          <w:rFonts w:cs="Times New Roman"/>
          <w:noProof/>
        </w:rPr>
      </w:pPr>
      <w:r>
        <w:rPr>
          <w:noProof/>
        </w:rPr>
        <w:t>Savo naujausioje ataskaitoje</w:t>
      </w:r>
      <w:r>
        <w:rPr>
          <w:rStyle w:val="FootnoteReference"/>
          <w:rFonts w:cs="Times New Roman"/>
          <w:noProof/>
          <w:lang w:val="en-IE"/>
        </w:rPr>
        <w:footnoteReference w:id="40"/>
      </w:r>
      <w:r>
        <w:rPr>
          <w:noProof/>
        </w:rPr>
        <w:t xml:space="preserve">, parengtoje remiantis 2024 m. rinkos duomenimis ir paskelbtoje 2025 m. spalio 22 d., ESMA dar kartą patvirtino, kad anglies dioksido rinkų raida atitinka su rinka siejamus lūkesčius. Atlikta analizė patvirtina dėsningumus ir tendencijas, į kuriuos atkreiptas dėmesys ankstesnėje ataskaitoje. 2025 m. ataskaitoje parodyta, kad ATLPS kainos 2024 m. iš pradžių laipsniškai mažėjo ir vėliau stabilizavosi dėl menkos paklausos elektros energijos sektoriuje, kuriame toliau vyko dekarbonizacijos procesai, ir dėl didesnio ATL kiekio pardavimo aukcionuose. ESMA taip pat dar kartą patvirtino, kad tebėra santykinė aukcionų koncentracija, siejama su tuo, kad veiklos vykdytojai yra labiau linkę įsigyti ATL per finansų tarpininkus. </w:t>
      </w:r>
    </w:p>
    <w:p w14:paraId="7FE0F5B3" w14:textId="12331CF7" w:rsidR="00BA3BBE" w:rsidRPr="00685D02" w:rsidRDefault="00BA3BBE" w:rsidP="00C85649">
      <w:pPr>
        <w:pStyle w:val="CMR-text"/>
        <w:rPr>
          <w:rFonts w:cs="Times New Roman"/>
          <w:noProof/>
        </w:rPr>
      </w:pPr>
      <w:r>
        <w:rPr>
          <w:noProof/>
        </w:rPr>
        <w:t>ESMA nustatė, kad prekybos aktyvumas 2024 m. padidėjo 35 proc. ir pasiekta iš viso 13,7 mlrd. tonų CO</w:t>
      </w:r>
      <w:r>
        <w:rPr>
          <w:noProof/>
          <w:vertAlign w:val="subscript"/>
        </w:rPr>
        <w:t>2</w:t>
      </w:r>
      <w:r>
        <w:rPr>
          <w:noProof/>
        </w:rPr>
        <w:t>e perleidimas pagal 4,7 mln. sandorių. Rinkos augimą daugiausia lėmė prekybos vietose vykdoma prekyba, o nebiržinės prekybos aktyvumas išliko nepakitęs. Investicinės įmonės ir kredito įstaigos ir toliau atlieka svarbų vaidmenį tiek biržinėse, tiek nebiržinėse rinkose – joms tenka 63 proc. visos prekybos apimties.</w:t>
      </w:r>
    </w:p>
    <w:p w14:paraId="5A806A93" w14:textId="39D207FD" w:rsidR="00E86FD6" w:rsidRPr="00685D02" w:rsidRDefault="007E7958" w:rsidP="009B25EB">
      <w:pPr>
        <w:pStyle w:val="CMR-text"/>
        <w:rPr>
          <w:rFonts w:cs="Times New Roman"/>
          <w:noProof/>
        </w:rPr>
      </w:pPr>
      <w:r>
        <w:rPr>
          <w:noProof/>
        </w:rPr>
        <w:t xml:space="preserve">ESMA nurodė, kad išvestinių finansinių priemonių rinkose vyrauja ateities sandoriai – 2024 m. jie sudarė tris ketvirtadalius prekybos apimties. Antrinė rinka apskritai prisideda prie sklandaus ES ATLPS veikimo – subjektams, kurie privalo laikytis reikalavimų, joje sudaromos sąlygos įsigyti ATL iš finansų tarpininkų. </w:t>
      </w:r>
    </w:p>
    <w:p w14:paraId="59993081" w14:textId="4DEAE41B" w:rsidR="00D03E38" w:rsidRPr="00685D02" w:rsidRDefault="006C66F1" w:rsidP="00C85649">
      <w:pPr>
        <w:pStyle w:val="CMR-text"/>
        <w:rPr>
          <w:rFonts w:cs="Times New Roman"/>
          <w:noProof/>
        </w:rPr>
      </w:pPr>
      <w:r>
        <w:rPr>
          <w:noProof/>
        </w:rPr>
        <w:t xml:space="preserve">ESMA taip pat pakartojo, jog svarbu, kad subjektų turimi juridinio asmens identifikatoriai (LEI) būtų prieinami Sąjungos registre, ir ragina nacionalinius administratorius dėti papildomų pastangų užtikrinti, kad sąskaitos Sąjungos registre turėtojų LEI registracijos reikalavimas būtų įvykdytas. Tai tebebus labai aktualu ir 2025 m., nes sąskaitų turėtojų skaičius toliau didėja dėl ES ATLPS išplėtimo, į ją įtraukiant jūrų transporto sektorių, ir dėl pradėjusios veikti ATLPS 2, skirtos pastatų, kelių transporto ir kitiems sektoriams. ESMA mano, kad šiuo atžvilgiu reikalinga tolesnė anglies dioksido rinkos analizė ir stebėsena. </w:t>
      </w:r>
    </w:p>
    <w:p w14:paraId="5F34B86E" w14:textId="51D98EC8" w:rsidR="00251165" w:rsidRPr="00685D02" w:rsidRDefault="0EE9AD71" w:rsidP="00C85649">
      <w:pPr>
        <w:pStyle w:val="CMR-text"/>
        <w:rPr>
          <w:rFonts w:cs="Times New Roman"/>
          <w:noProof/>
        </w:rPr>
      </w:pPr>
      <w:r>
        <w:rPr>
          <w:noProof/>
        </w:rPr>
        <w:t>Nors norint atidaryti sąskaitą Sąjungos registre nėra privaloma turėti LEI, LEI turintys subjektai atidarydami sąskaitą Sąjungos registre privalo pateikti šią informaciją. Be to, pagal Registro reglamento (Reglamentas (ES) 2019/1122)</w:t>
      </w:r>
      <w:r>
        <w:rPr>
          <w:rStyle w:val="FootnoteReference"/>
          <w:rFonts w:cs="Times New Roman"/>
          <w:noProof/>
          <w:lang w:val="en-IE"/>
        </w:rPr>
        <w:footnoteReference w:id="41"/>
      </w:r>
      <w:r>
        <w:rPr>
          <w:noProof/>
        </w:rPr>
        <w:t xml:space="preserve"> 2023 m. pakeitimą nacionaliniai administratoriai privalo iki 2024 m. pabaigos peržiūrėti tas sąskaitas, kuriose nėra informacijos apie LEI arba prekybos vietos ar pagrindinės sandorio šalies statusą, nurodytą to reglamento III priedo III-I lentelėje. Nepaisant prievolės peržiūrėti informaciją apie LEI prieinamumą, LEI prieinamumas tebėra mažesnis, nei tikėtasi. </w:t>
      </w:r>
    </w:p>
    <w:p w14:paraId="5DF6AA9F" w14:textId="2FCD2CDC" w:rsidR="00AC64A9" w:rsidRPr="00685D02" w:rsidRDefault="7560A819" w:rsidP="00C85649">
      <w:pPr>
        <w:pStyle w:val="CMR-text"/>
        <w:rPr>
          <w:rFonts w:cs="Times New Roman"/>
          <w:noProof/>
        </w:rPr>
      </w:pPr>
      <w:r>
        <w:rPr>
          <w:noProof/>
        </w:rPr>
        <w:t>2024 m. kovo 28 d. įsigaliojo peržiūrėti FPRD II</w:t>
      </w:r>
      <w:r>
        <w:rPr>
          <w:rFonts w:cs="Times New Roman"/>
          <w:noProof/>
          <w:vertAlign w:val="superscript"/>
          <w:lang w:val="en-IE"/>
        </w:rPr>
        <w:footnoteReference w:id="42"/>
      </w:r>
      <w:r>
        <w:rPr>
          <w:noProof/>
        </w:rPr>
        <w:t xml:space="preserve"> ir FPRR – Finansinių priemonių rinkų reglamentas (Reglamentas (ES) 2024/791)</w:t>
      </w:r>
      <w:r>
        <w:rPr>
          <w:rFonts w:cs="Times New Roman"/>
          <w:noProof/>
          <w:vertAlign w:val="superscript"/>
          <w:lang w:val="en-IE"/>
        </w:rPr>
        <w:footnoteReference w:id="43"/>
      </w:r>
      <w:r>
        <w:rPr>
          <w:noProof/>
        </w:rPr>
        <w:t>; taip finansų rinkų, skaidrumo ir priežiūros taisyklės dar labiau sugriežtintos. Pagal FPRR 57 straipsnį, pozicijų valdymo kontrolė taikoma ir prekybos vietoms, kuriose prekiaujama ATL išvestinėmis finansinėmis priemonėmis. FPRR 58 straipsniu iš dalies pakeista prekybos vietų ir investicinių įmonių pozicijų ataskaitų aprėptis – į jas nebeįtraukiami ATL, taip pat nustatyta nauja pareiga teikti pozicijų ataskaitas du kartus per savaitę</w:t>
      </w:r>
      <w:r>
        <w:rPr>
          <w:rFonts w:cs="Times New Roman"/>
          <w:noProof/>
          <w:vertAlign w:val="superscript"/>
          <w:lang w:val="en-IE"/>
        </w:rPr>
        <w:footnoteReference w:id="44"/>
      </w:r>
      <w:r>
        <w:rPr>
          <w:noProof/>
        </w:rPr>
        <w:t xml:space="preserve">, taip padidinant prekybos apyvartiniais taršos leidimais ir jų išvestinėmis finansinėmis priemonėmis skaidrumą. </w:t>
      </w:r>
    </w:p>
    <w:p w14:paraId="32EA8BB5" w14:textId="626D4612" w:rsidR="007C6401" w:rsidRPr="00685D02" w:rsidRDefault="00341EF6" w:rsidP="003D21B9">
      <w:pPr>
        <w:pStyle w:val="CMR-text"/>
        <w:rPr>
          <w:rFonts w:cs="Times New Roman"/>
          <w:noProof/>
        </w:rPr>
      </w:pPr>
      <w:r>
        <w:rPr>
          <w:noProof/>
        </w:rPr>
        <w:t>Po šių naujų taisyklių priėmimo Komisija peržiūri biržos prekių išvestinių finansinių priemonių rinkų, apimančių ir apyvartinius taršos leidimus, reguliavimo sistemą. Komisija vertina, ar nustatytos pozicijų ribos ir valdymo kontrolės priemonės galėtų padėti užkirsti kelią piktnaudžiavimui rinka ir skatinti tvarkingą kainodarą bei atsiskaitymo sąlygas. Be to, Komisija vertina pagalbinės veiklos apibrėžimo grupės lygmeniu kriterijus ir tiria galimybę centralizuoti bei suderinti sandorių duomenų rinkimą pagal FPRR ir ERIR, t. y. Europos rinkos infrastruktūros reglamentą (Reglamentas (ES) Nr. 648/2012)</w:t>
      </w:r>
      <w:r>
        <w:rPr>
          <w:rStyle w:val="FootnoteReference"/>
          <w:rFonts w:cs="Times New Roman"/>
          <w:noProof/>
          <w:lang w:val="en-IE"/>
        </w:rPr>
        <w:footnoteReference w:id="45"/>
      </w:r>
      <w:r>
        <w:rPr>
          <w:noProof/>
        </w:rPr>
        <w:t>, taip pat vertina, kurie duomenys turėtų būti vieši ir kaip juos geriausia platinti. Atlikdama šį darbą Komisija surengė tikslines konsultacijas</w:t>
      </w:r>
      <w:r>
        <w:rPr>
          <w:rStyle w:val="FootnoteReference"/>
          <w:rFonts w:cs="Times New Roman"/>
          <w:noProof/>
          <w:lang w:val="en-IE"/>
        </w:rPr>
        <w:footnoteReference w:id="46"/>
      </w:r>
      <w:r>
        <w:rPr>
          <w:noProof/>
        </w:rPr>
        <w:t xml:space="preserve"> dėl biržos prekių išvestinių finansinių priemonių rinkų veikimo ir tam tikrų su neatidėliotinų energijos sandorių rinkomis susijusių aspektų, apimančių ir apyvartiniams taršos leidimams taikomas finansų rinkų taisykles, peržiūros. </w:t>
      </w:r>
    </w:p>
    <w:p w14:paraId="2B3E0621" w14:textId="73DB38D4" w:rsidR="00EC7AB4" w:rsidRPr="00685D02" w:rsidRDefault="00FF336D" w:rsidP="003D21B9">
      <w:pPr>
        <w:pStyle w:val="CMR-text"/>
        <w:rPr>
          <w:rFonts w:cs="Times New Roman"/>
          <w:noProof/>
        </w:rPr>
      </w:pPr>
      <w:r>
        <w:rPr>
          <w:noProof/>
        </w:rPr>
        <w:t>Dėl biržos prekių išvestinių finansinių priemonių sistemos vykstančių tikslinių konsultacijų išvados bus panaudotos Dujų rinkos darbo grupės (GMTF) darbe (ši grupė 2025 m. pradžioje sudaryta pagal Įperkamos energijos veiksmų planą</w:t>
      </w:r>
      <w:r>
        <w:rPr>
          <w:rStyle w:val="FootnoteReference"/>
          <w:rFonts w:cs="Times New Roman"/>
          <w:noProof/>
          <w:lang w:val="en-IE"/>
        </w:rPr>
        <w:footnoteReference w:id="47"/>
      </w:r>
      <w:r>
        <w:rPr>
          <w:noProof/>
        </w:rPr>
        <w:t xml:space="preserve"> siekiant nagrinėti ES dujų rinkų veikimą ir prireikus bei tinkamai imtis intervencijų). Kadangi taisyklės dėl išvestinių energetikos produktų iš esmės taikomos ir prekybai ATL bei susijusiais išvestiniais produktais, bet kokios šios darbo grupės išvados galėtų būti aktualios ir ES anglies dioksido rinkoms (tikimasi, kad ji savo darbą užbaigs iki 2025 m. pabaigos). </w:t>
      </w:r>
    </w:p>
    <w:p w14:paraId="3DD8AE7E" w14:textId="3164585F" w:rsidR="00613B80" w:rsidRPr="00EC4FC3" w:rsidRDefault="00613B80" w:rsidP="00EC4FC3">
      <w:pPr>
        <w:pStyle w:val="CMR-Heading"/>
        <w:rPr>
          <w:noProof/>
        </w:rPr>
      </w:pPr>
      <w:bookmarkStart w:id="44" w:name="_Toc180513402"/>
      <w:bookmarkStart w:id="45" w:name="_Toc219127273"/>
      <w:r>
        <w:rPr>
          <w:noProof/>
        </w:rPr>
        <w:t>Išmetamųjų teršalų kiekio tendencijos</w:t>
      </w:r>
      <w:bookmarkEnd w:id="44"/>
      <w:bookmarkEnd w:id="45"/>
    </w:p>
    <w:p w14:paraId="265A9ACD" w14:textId="7A04BC34" w:rsidR="00155EEB" w:rsidRPr="00685D02" w:rsidRDefault="71BFB6D5" w:rsidP="00B65C51">
      <w:pPr>
        <w:pStyle w:val="CMR-text"/>
        <w:rPr>
          <w:rFonts w:cs="Times New Roman"/>
          <w:noProof/>
        </w:rPr>
      </w:pPr>
      <w:r>
        <w:rPr>
          <w:noProof/>
        </w:rPr>
        <w:t>2024 m. bendras išmetamųjų teršalų, įtrauktų ES ATLPS, kiekis sudarė 1 187 mln. tonų</w:t>
      </w:r>
      <w:r>
        <w:rPr>
          <w:rStyle w:val="FootnoteReference"/>
          <w:rFonts w:cs="Times New Roman"/>
          <w:noProof/>
          <w:lang w:val="en-IE"/>
        </w:rPr>
        <w:footnoteReference w:id="48"/>
      </w:r>
      <w:r>
        <w:rPr>
          <w:noProof/>
        </w:rPr>
        <w:t>. Šis skaičius yra didesnis nei 2023 m. (1 150,3 mln. t CO</w:t>
      </w:r>
      <w:r>
        <w:rPr>
          <w:noProof/>
          <w:vertAlign w:val="subscript"/>
        </w:rPr>
        <w:t>2</w:t>
      </w:r>
      <w:r>
        <w:rPr>
          <w:noProof/>
        </w:rPr>
        <w:t xml:space="preserve">e); taip yra iš dalies dėl jūrų transporto sektoriaus įtraukimo į ES ATLPS. Jei atsižvelgiama tik į įrenginius ir orlaivių naudotojus, ATLPS 2024 m. išmestų teršalų kiekis yra 4,4 proc. mažesnis nei 2023 m. </w:t>
      </w:r>
    </w:p>
    <w:p w14:paraId="6754C0DF" w14:textId="50D00197" w:rsidR="002E0E53" w:rsidRPr="00685D02" w:rsidRDefault="2B9C80DF" w:rsidP="00B65C51">
      <w:pPr>
        <w:pStyle w:val="CMR-text"/>
        <w:rPr>
          <w:rFonts w:cs="Times New Roman"/>
          <w:noProof/>
        </w:rPr>
      </w:pPr>
      <w:r>
        <w:rPr>
          <w:noProof/>
        </w:rPr>
        <w:t>Elektros energijos gamybos ir pramonės įrenginių išmetamųjų teršalų kiekis sudarė 1 033,3 mln. t CO</w:t>
      </w:r>
      <w:r>
        <w:rPr>
          <w:noProof/>
          <w:vertAlign w:val="subscript"/>
        </w:rPr>
        <w:t>2</w:t>
      </w:r>
      <w:r>
        <w:rPr>
          <w:noProof/>
        </w:rPr>
        <w:t>e, t. y. 5,8 proc. mažiau nei 2023 m. Dėl šios pažangos dabar šių įrenginių išmetamųjų teršalų, kuriems taikoma ATLPS, kiekis yra apie 50 proc. mažesnis už 2005 m. lygį ir yra sėkmingai siekiama 2030 m. tikslo – 62 proc. sumažinimo. 4 lentelėje pateikti metiniai įrenginių išmetamųjų teršalų kiekio duomenys. Teršalų išmetimas aviacijoje ir jūrų transporto veikloje aptariamas atitinkamai 9 ir 10 skyriuose.</w:t>
      </w:r>
    </w:p>
    <w:p w14:paraId="46D38617" w14:textId="769DB6B6" w:rsidR="006210A4" w:rsidRPr="00685D02" w:rsidRDefault="45F1AB47" w:rsidP="00664AF0">
      <w:pPr>
        <w:pStyle w:val="CMR-text"/>
        <w:rPr>
          <w:rFonts w:cs="Times New Roman"/>
          <w:noProof/>
        </w:rPr>
      </w:pPr>
      <w:r>
        <w:rPr>
          <w:noProof/>
        </w:rPr>
        <w:t>Prie bendro išmetamųjų teršalų kiekio sumažinimo ES ATLPS daugiausia prisidėjo šilumos ir elektros energijos sektoriai. Elektros energijos ir šilumos gamybos išmetamųjų teršalų kiekis sumažėjo 10,7 proc., palyginti su 2023 m.</w:t>
      </w:r>
      <w:r>
        <w:rPr>
          <w:rStyle w:val="FootnoteReference"/>
          <w:rFonts w:cs="Times New Roman"/>
          <w:noProof/>
          <w:lang w:val="en-IE"/>
        </w:rPr>
        <w:footnoteReference w:id="49"/>
      </w:r>
      <w:r>
        <w:rPr>
          <w:noProof/>
        </w:rPr>
        <w:t>; taip yra daugiausia dėl reikšmingai padidėjusios atsinaujinančiųjų išteklių ir branduolinės energijos dalies elektros energijos rūšių derinyje, kartu sumažėjus priklausomybei nuo pagrindinio iškastinio kuro, tokio kaip gamtinės dujos ir anglys (žr. 7.1 skirsnį). Ši tendencija išryškėjo nepaisant mažesnių vidutinių anglies dioksido kainų 2024 m. (daugiausia 60–75 EUR intervale) ir bendro elektros energijos gamybos padidėjimo.</w:t>
      </w:r>
    </w:p>
    <w:p w14:paraId="7F47588A" w14:textId="51A6DC0E" w:rsidR="00897B8A" w:rsidRPr="00685D02" w:rsidRDefault="72E16706" w:rsidP="00664AF0">
      <w:pPr>
        <w:pStyle w:val="CMR-text"/>
        <w:rPr>
          <w:rFonts w:cs="Times New Roman"/>
          <w:noProof/>
        </w:rPr>
      </w:pPr>
      <w:r>
        <w:rPr>
          <w:noProof/>
        </w:rPr>
        <w:t>Atsinaujinantieji energijos ištekliai ir biokuras 2024 m. buvo pagrindinis elektros energijos gamybos šaltinis ES (47,2 proc. dalis). Bendra atsinaujinančiųjų išteklių elektros energijos produkcija 2024 m. padidėjo 7,6 proc.: saulės energijos gamyba išaugo įspūdingai – net 19,3 proc., o hidroenergijos – 12 proc., nors biokuro naudojimas sumažėjo 5,2 proc.</w:t>
      </w:r>
      <w:r>
        <w:rPr>
          <w:rStyle w:val="FootnoteReference"/>
          <w:rFonts w:cs="Times New Roman"/>
          <w:noProof/>
          <w:lang w:val="en-IE"/>
        </w:rPr>
        <w:footnoteReference w:id="50"/>
      </w:r>
    </w:p>
    <w:p w14:paraId="5C611B32" w14:textId="73B5C4D8" w:rsidR="003B749F" w:rsidRPr="00685D02" w:rsidRDefault="00C8562E" w:rsidP="00664AF0">
      <w:pPr>
        <w:pStyle w:val="CMR-text"/>
        <w:rPr>
          <w:rFonts w:cs="Times New Roman"/>
          <w:noProof/>
        </w:rPr>
      </w:pPr>
      <w:r>
        <w:rPr>
          <w:noProof/>
        </w:rPr>
        <w:t xml:space="preserve">Branduolinė energetika ir iškastinio kuro deginimas atitinkamai sudarė 23,5 proc. ir 28,1 proc. elektros energijos gamybos. Šie skaičiai apima elektros energijos gamybos sumažėjimą 11,9 proc. anglimis kūrenamose elektrinėse ir 8,1 proc. sumažėjimą naudojant gamtines dujas, taip pat elektros energijos gamybos naftos kuro pagrindu padidėjimą 5,2 proc. ir branduolinės energijos gamybos padidėjimą 5,1 proc. </w:t>
      </w:r>
    </w:p>
    <w:p w14:paraId="0C5EAE72" w14:textId="11A924BA" w:rsidR="00E2084F" w:rsidRPr="00685D02" w:rsidRDefault="678FB2C1" w:rsidP="00664AF0">
      <w:pPr>
        <w:pStyle w:val="CMR-text"/>
        <w:rPr>
          <w:rFonts w:cs="Times New Roman"/>
          <w:noProof/>
        </w:rPr>
      </w:pPr>
      <w:r>
        <w:rPr>
          <w:noProof/>
        </w:rPr>
        <w:t>2024 m. ES buvo dar vieni rekordiniai metai saulės energetikos pajėgumų įrengimo atžvilgiu: esami pajėgumai papildyti 65,5 GW ir pasiekė iš viso 338 GW, kaip pranešė „SolarPower Europe“. „WindEurope“ duomenimis, vėjo energetikos pajėgumai pasiekė 234 GW ir tais pačiais metais įrengta 12,9 GW naujų gamybos pajėgumų.</w:t>
      </w:r>
    </w:p>
    <w:p w14:paraId="6AFE5FD0" w14:textId="77231DAD" w:rsidR="00317FAE" w:rsidRPr="00685D02" w:rsidRDefault="55C8FAFD" w:rsidP="00A71432">
      <w:pPr>
        <w:pStyle w:val="CMR-text"/>
        <w:rPr>
          <w:rFonts w:cs="Times New Roman"/>
          <w:noProof/>
        </w:rPr>
      </w:pPr>
      <w:r>
        <w:rPr>
          <w:rStyle w:val="CMR-textChar"/>
          <w:noProof/>
        </w:rPr>
        <w:t>Pramonės įrenginių išmetamųjų teršalų kiekis 2024 m., palyginti su 2023 m., sumažėjo nedaug – 0,8 proc.</w:t>
      </w:r>
      <w:r>
        <w:rPr>
          <w:noProof/>
        </w:rPr>
        <w:t xml:space="preserve"> Nepaisant bendro pramonės gamybos apimties sumažėjimo</w:t>
      </w:r>
      <w:r>
        <w:rPr>
          <w:rStyle w:val="FootnoteReference"/>
          <w:rFonts w:cs="Times New Roman"/>
          <w:noProof/>
          <w:lang w:val="en-IE"/>
        </w:rPr>
        <w:footnoteReference w:id="51"/>
      </w:r>
      <w:r>
        <w:rPr>
          <w:noProof/>
        </w:rPr>
        <w:t>, užfiksuotas nedidelis atsigavimas kai kuriuose intensyviai energiją vartojančiuose sektoriuose, kaip antai plieno, trąšų ir chemijos pramonėje. Tai rodo, kad šių sektorių veikla laipsniškai intensyvinama po energetikos krizės, kurią 2022 m. sukėlė dėl Rusijos invazijos į Ukrainą išaugusios gamtinių dujų kainos. Bendrą beveik nekintančio išmetamųjų teršalų kiekio tendenciją galima paaiškinti skirtinga gamybos apimties dinamika įvairiuose sektoriuose, nors tam tikruose sektoriuose 2024 m. pastebėtas ir nedidelis energijos vartojimo efektyvumo padidėjimas.</w:t>
      </w:r>
    </w:p>
    <w:p w14:paraId="758D68A2" w14:textId="2F1815DA" w:rsidR="009235EF" w:rsidRPr="007B73CC" w:rsidRDefault="009235EF" w:rsidP="00787D75">
      <w:pPr>
        <w:pStyle w:val="Caption"/>
        <w:keepNext/>
        <w:rPr>
          <w:noProof/>
          <w:sz w:val="20"/>
        </w:rPr>
      </w:pPr>
      <w:bookmarkStart w:id="46" w:name="_Ref176771676"/>
      <w:r>
        <w:rPr>
          <w:noProof/>
          <w:sz w:val="20"/>
        </w:rPr>
        <w:t>4 lentelė</w:t>
      </w:r>
      <w:bookmarkEnd w:id="46"/>
      <w:r>
        <w:rPr>
          <w:noProof/>
          <w:sz w:val="20"/>
        </w:rPr>
        <w:t>. Patikrintas įrenginių, kuriems taikoma ES ATLPS, išmestas teršalų kiekis (2019–2024 m.) (mln. tonų CO</w:t>
      </w:r>
      <w:r>
        <w:rPr>
          <w:noProof/>
          <w:sz w:val="20"/>
          <w:vertAlign w:val="subscript"/>
        </w:rPr>
        <w:t>2</w:t>
      </w:r>
      <w:r>
        <w:rPr>
          <w:noProof/>
          <w:sz w:val="20"/>
        </w:rPr>
        <w:t xml:space="preserve">e). 2025 m. spalio 1 d. iš Sąjungos registro gauti duomenys. </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048"/>
        <w:gridCol w:w="1001"/>
        <w:gridCol w:w="1479"/>
        <w:gridCol w:w="1479"/>
        <w:gridCol w:w="1003"/>
        <w:gridCol w:w="1003"/>
        <w:gridCol w:w="1003"/>
      </w:tblGrid>
      <w:tr w:rsidR="00AE0487" w:rsidRPr="007B73CC" w14:paraId="44BC9381" w14:textId="0D09117E" w:rsidTr="000E7DB9">
        <w:trPr>
          <w:cantSplit/>
        </w:trPr>
        <w:tc>
          <w:tcPr>
            <w:tcW w:w="1136" w:type="pct"/>
            <w:vAlign w:val="center"/>
          </w:tcPr>
          <w:p w14:paraId="1E7C9FB8" w14:textId="4F6DAC21" w:rsidR="00AE0487" w:rsidRPr="007B73CC" w:rsidRDefault="00AE0487" w:rsidP="005518BD">
            <w:pPr>
              <w:pStyle w:val="CMR-tables"/>
              <w:keepNext/>
              <w:rPr>
                <w:rFonts w:cs="Times New Roman"/>
                <w:b/>
                <w:noProof/>
                <w:szCs w:val="20"/>
              </w:rPr>
            </w:pPr>
            <w:r>
              <w:rPr>
                <w:b/>
                <w:noProof/>
              </w:rPr>
              <w:t>Metai</w:t>
            </w:r>
          </w:p>
        </w:tc>
        <w:tc>
          <w:tcPr>
            <w:tcW w:w="555" w:type="pct"/>
            <w:vAlign w:val="center"/>
          </w:tcPr>
          <w:p w14:paraId="2E081815" w14:textId="7C9AEE9B" w:rsidR="00AE0487" w:rsidRPr="007B73CC" w:rsidRDefault="00AE0487" w:rsidP="005518BD">
            <w:pPr>
              <w:pStyle w:val="CMR-tables"/>
              <w:keepNext/>
              <w:jc w:val="center"/>
              <w:rPr>
                <w:rFonts w:cs="Times New Roman"/>
                <w:noProof/>
                <w:szCs w:val="20"/>
              </w:rPr>
            </w:pPr>
            <w:r>
              <w:rPr>
                <w:noProof/>
              </w:rPr>
              <w:t>2019</w:t>
            </w:r>
          </w:p>
        </w:tc>
        <w:tc>
          <w:tcPr>
            <w:tcW w:w="820" w:type="pct"/>
            <w:vAlign w:val="center"/>
          </w:tcPr>
          <w:p w14:paraId="0790A6FD" w14:textId="5BF818FD" w:rsidR="00AE0487" w:rsidRPr="007B73CC" w:rsidRDefault="00AE0487" w:rsidP="005518BD">
            <w:pPr>
              <w:pStyle w:val="CMR-tables"/>
              <w:keepNext/>
              <w:jc w:val="center"/>
              <w:rPr>
                <w:rFonts w:cs="Times New Roman"/>
                <w:noProof/>
                <w:szCs w:val="20"/>
              </w:rPr>
            </w:pPr>
            <w:r>
              <w:rPr>
                <w:noProof/>
              </w:rPr>
              <w:t>2020</w:t>
            </w:r>
          </w:p>
        </w:tc>
        <w:tc>
          <w:tcPr>
            <w:tcW w:w="820" w:type="pct"/>
            <w:vAlign w:val="center"/>
          </w:tcPr>
          <w:p w14:paraId="5362E4B7" w14:textId="44293D3D" w:rsidR="00AE0487" w:rsidRPr="007B73CC" w:rsidRDefault="00AE0487" w:rsidP="005518BD">
            <w:pPr>
              <w:pStyle w:val="CMR-tables"/>
              <w:keepNext/>
              <w:jc w:val="center"/>
              <w:rPr>
                <w:rFonts w:cs="Times New Roman"/>
                <w:noProof/>
                <w:szCs w:val="20"/>
              </w:rPr>
            </w:pPr>
            <w:r>
              <w:rPr>
                <w:noProof/>
              </w:rPr>
              <w:t>2021</w:t>
            </w:r>
          </w:p>
        </w:tc>
        <w:tc>
          <w:tcPr>
            <w:tcW w:w="556" w:type="pct"/>
            <w:vAlign w:val="center"/>
          </w:tcPr>
          <w:p w14:paraId="13ED3226" w14:textId="6B0EE53F" w:rsidR="00AE0487" w:rsidRPr="007B73CC" w:rsidRDefault="00AE0487" w:rsidP="005518BD">
            <w:pPr>
              <w:pStyle w:val="CMR-tables"/>
              <w:keepNext/>
              <w:jc w:val="center"/>
              <w:rPr>
                <w:rFonts w:cs="Times New Roman"/>
                <w:noProof/>
                <w:szCs w:val="20"/>
              </w:rPr>
            </w:pPr>
            <w:r>
              <w:rPr>
                <w:noProof/>
              </w:rPr>
              <w:t>2022</w:t>
            </w:r>
          </w:p>
        </w:tc>
        <w:tc>
          <w:tcPr>
            <w:tcW w:w="556" w:type="pct"/>
            <w:vAlign w:val="center"/>
          </w:tcPr>
          <w:p w14:paraId="0DA9A457" w14:textId="54513474" w:rsidR="00AE0487" w:rsidRPr="007B73CC" w:rsidRDefault="00AE0487" w:rsidP="005518BD">
            <w:pPr>
              <w:pStyle w:val="CMR-tables"/>
              <w:keepNext/>
              <w:jc w:val="center"/>
              <w:rPr>
                <w:rFonts w:cs="Times New Roman"/>
                <w:noProof/>
                <w:szCs w:val="20"/>
              </w:rPr>
            </w:pPr>
            <w:r>
              <w:rPr>
                <w:noProof/>
              </w:rPr>
              <w:t>2023</w:t>
            </w:r>
          </w:p>
        </w:tc>
        <w:tc>
          <w:tcPr>
            <w:tcW w:w="556" w:type="pct"/>
          </w:tcPr>
          <w:p w14:paraId="2FF0C612" w14:textId="1488E552" w:rsidR="00AE0487" w:rsidRPr="007B73CC" w:rsidRDefault="00AE0487" w:rsidP="005518BD">
            <w:pPr>
              <w:pStyle w:val="CMR-tables"/>
              <w:keepNext/>
              <w:jc w:val="center"/>
              <w:rPr>
                <w:rFonts w:cs="Times New Roman"/>
                <w:noProof/>
                <w:szCs w:val="20"/>
              </w:rPr>
            </w:pPr>
            <w:r>
              <w:rPr>
                <w:noProof/>
              </w:rPr>
              <w:t>2024</w:t>
            </w:r>
          </w:p>
        </w:tc>
      </w:tr>
      <w:tr w:rsidR="00724F16" w:rsidRPr="007B73CC" w14:paraId="499AD4CA" w14:textId="20970132" w:rsidTr="000E7DB9">
        <w:trPr>
          <w:cantSplit/>
          <w:trHeight w:val="884"/>
        </w:trPr>
        <w:tc>
          <w:tcPr>
            <w:tcW w:w="1136" w:type="pct"/>
            <w:shd w:val="clear" w:color="auto" w:fill="D9E2F3" w:themeFill="accent1" w:themeFillTint="33"/>
            <w:vAlign w:val="center"/>
          </w:tcPr>
          <w:p w14:paraId="18C06FAF" w14:textId="137FF181" w:rsidR="00AE0487" w:rsidRPr="007B73CC" w:rsidRDefault="00AE0487" w:rsidP="005C4EA4">
            <w:pPr>
              <w:pStyle w:val="CMR-tables"/>
              <w:keepNext/>
              <w:rPr>
                <w:rFonts w:cs="Times New Roman"/>
                <w:b/>
                <w:noProof/>
                <w:szCs w:val="20"/>
              </w:rPr>
            </w:pPr>
            <w:r>
              <w:rPr>
                <w:b/>
                <w:noProof/>
              </w:rPr>
              <w:t>Patikrintas išmestų teršalų kiekis (iš įrenginių)</w:t>
            </w:r>
          </w:p>
        </w:tc>
        <w:tc>
          <w:tcPr>
            <w:tcW w:w="555" w:type="pct"/>
            <w:shd w:val="clear" w:color="auto" w:fill="D9E2F3" w:themeFill="accent1" w:themeFillTint="33"/>
            <w:vAlign w:val="center"/>
          </w:tcPr>
          <w:p w14:paraId="298950FC" w14:textId="17CC7F5A" w:rsidR="00AE0487" w:rsidRPr="007B73CC" w:rsidRDefault="00AE0487" w:rsidP="005518BD">
            <w:pPr>
              <w:pStyle w:val="CMR-tables"/>
              <w:keepNext/>
              <w:jc w:val="center"/>
              <w:rPr>
                <w:rFonts w:cs="Times New Roman"/>
                <w:noProof/>
                <w:szCs w:val="20"/>
              </w:rPr>
            </w:pPr>
            <w:r>
              <w:rPr>
                <w:noProof/>
              </w:rPr>
              <w:t>1 530</w:t>
            </w:r>
          </w:p>
        </w:tc>
        <w:tc>
          <w:tcPr>
            <w:tcW w:w="820" w:type="pct"/>
            <w:shd w:val="clear" w:color="auto" w:fill="D9E2F3" w:themeFill="accent1" w:themeFillTint="33"/>
            <w:vAlign w:val="center"/>
          </w:tcPr>
          <w:p w14:paraId="09F49A93" w14:textId="77777777" w:rsidR="00AE0487" w:rsidRPr="007B73CC" w:rsidRDefault="00AE0487" w:rsidP="005518BD">
            <w:pPr>
              <w:pStyle w:val="CMR-tables"/>
              <w:keepNext/>
              <w:jc w:val="center"/>
              <w:rPr>
                <w:rFonts w:cs="Times New Roman"/>
                <w:noProof/>
                <w:szCs w:val="20"/>
              </w:rPr>
            </w:pPr>
            <w:r>
              <w:rPr>
                <w:noProof/>
              </w:rPr>
              <w:t>1 356</w:t>
            </w:r>
          </w:p>
          <w:p w14:paraId="13F4A72B" w14:textId="760ACEC8" w:rsidR="00AE0487" w:rsidRPr="007B73CC" w:rsidRDefault="00AE0487" w:rsidP="005518BD">
            <w:pPr>
              <w:pStyle w:val="CMR-tables"/>
              <w:keepNext/>
              <w:jc w:val="center"/>
              <w:rPr>
                <w:rFonts w:cs="Times New Roman"/>
                <w:noProof/>
                <w:szCs w:val="20"/>
              </w:rPr>
            </w:pPr>
            <w:r>
              <w:rPr>
                <w:noProof/>
              </w:rPr>
              <w:t>(be Jungtinės Karalystės – 1 253)</w:t>
            </w:r>
          </w:p>
        </w:tc>
        <w:tc>
          <w:tcPr>
            <w:tcW w:w="820" w:type="pct"/>
            <w:shd w:val="clear" w:color="auto" w:fill="D9E2F3" w:themeFill="accent1" w:themeFillTint="33"/>
            <w:vAlign w:val="center"/>
          </w:tcPr>
          <w:p w14:paraId="2BBDEB5F" w14:textId="242F700E" w:rsidR="00AE0487" w:rsidRPr="007B73CC" w:rsidRDefault="00AE0487" w:rsidP="005518BD">
            <w:pPr>
              <w:pStyle w:val="CMR-tables"/>
              <w:keepNext/>
              <w:jc w:val="center"/>
              <w:rPr>
                <w:rFonts w:cs="Times New Roman"/>
                <w:noProof/>
                <w:szCs w:val="20"/>
              </w:rPr>
            </w:pPr>
            <w:r>
              <w:rPr>
                <w:noProof/>
              </w:rPr>
              <w:t>1 337</w:t>
            </w:r>
          </w:p>
        </w:tc>
        <w:tc>
          <w:tcPr>
            <w:tcW w:w="556" w:type="pct"/>
            <w:shd w:val="clear" w:color="auto" w:fill="D9E2F3" w:themeFill="accent1" w:themeFillTint="33"/>
            <w:vAlign w:val="center"/>
          </w:tcPr>
          <w:p w14:paraId="2FFB71AE" w14:textId="50723019" w:rsidR="00AE0487" w:rsidRPr="007B73CC" w:rsidRDefault="00AE0487" w:rsidP="005518BD">
            <w:pPr>
              <w:pStyle w:val="CMR-tables"/>
              <w:keepNext/>
              <w:jc w:val="center"/>
              <w:rPr>
                <w:rFonts w:cs="Times New Roman"/>
                <w:noProof/>
                <w:szCs w:val="20"/>
              </w:rPr>
            </w:pPr>
            <w:r>
              <w:rPr>
                <w:noProof/>
              </w:rPr>
              <w:t>1 313</w:t>
            </w:r>
          </w:p>
        </w:tc>
        <w:tc>
          <w:tcPr>
            <w:tcW w:w="556" w:type="pct"/>
            <w:shd w:val="clear" w:color="auto" w:fill="D9E2F3" w:themeFill="accent1" w:themeFillTint="33"/>
            <w:vAlign w:val="center"/>
          </w:tcPr>
          <w:p w14:paraId="5C44F5B4" w14:textId="607E4692" w:rsidR="00AE0487" w:rsidRPr="007B73CC" w:rsidRDefault="00AE0487" w:rsidP="005518BD">
            <w:pPr>
              <w:pStyle w:val="CMR-tables"/>
              <w:keepNext/>
              <w:jc w:val="center"/>
              <w:rPr>
                <w:rFonts w:cs="Times New Roman"/>
                <w:noProof/>
                <w:szCs w:val="20"/>
              </w:rPr>
            </w:pPr>
            <w:r>
              <w:rPr>
                <w:noProof/>
              </w:rPr>
              <w:t>1 096</w:t>
            </w:r>
          </w:p>
        </w:tc>
        <w:tc>
          <w:tcPr>
            <w:tcW w:w="556" w:type="pct"/>
            <w:shd w:val="clear" w:color="auto" w:fill="D9E2F3" w:themeFill="accent1" w:themeFillTint="33"/>
            <w:vAlign w:val="center"/>
          </w:tcPr>
          <w:p w14:paraId="5C158CC4" w14:textId="4A0B1912" w:rsidR="00AE0487" w:rsidRPr="007B73CC" w:rsidRDefault="009D020D" w:rsidP="005518BD">
            <w:pPr>
              <w:pStyle w:val="CMR-tables"/>
              <w:keepNext/>
              <w:jc w:val="center"/>
              <w:rPr>
                <w:rFonts w:cs="Times New Roman"/>
                <w:noProof/>
                <w:szCs w:val="20"/>
              </w:rPr>
            </w:pPr>
            <w:r>
              <w:rPr>
                <w:noProof/>
              </w:rPr>
              <w:t>1 033</w:t>
            </w:r>
          </w:p>
        </w:tc>
      </w:tr>
      <w:tr w:rsidR="00AE0487" w:rsidRPr="007B73CC" w14:paraId="63DDA08A" w14:textId="68C14FBB" w:rsidTr="000E7DB9">
        <w:trPr>
          <w:cantSplit/>
        </w:trPr>
        <w:tc>
          <w:tcPr>
            <w:tcW w:w="1136" w:type="pct"/>
            <w:vAlign w:val="center"/>
          </w:tcPr>
          <w:p w14:paraId="09577C6D" w14:textId="40A1DBE1" w:rsidR="00AE0487" w:rsidRPr="007B73CC" w:rsidRDefault="00AE0487" w:rsidP="005C4EA4">
            <w:pPr>
              <w:pStyle w:val="CMR-tables"/>
              <w:keepNext/>
              <w:rPr>
                <w:rFonts w:cs="Times New Roman"/>
                <w:b/>
                <w:noProof/>
                <w:szCs w:val="20"/>
              </w:rPr>
            </w:pPr>
            <w:r>
              <w:rPr>
                <w:b/>
                <w:noProof/>
              </w:rPr>
              <w:t>Pokytis nuo praėjusių metų</w:t>
            </w:r>
          </w:p>
        </w:tc>
        <w:tc>
          <w:tcPr>
            <w:tcW w:w="555" w:type="pct"/>
            <w:vAlign w:val="center"/>
          </w:tcPr>
          <w:p w14:paraId="7C4D1A17" w14:textId="36CCD990" w:rsidR="00AE0487" w:rsidRPr="007B73CC" w:rsidRDefault="00AE0487" w:rsidP="005518BD">
            <w:pPr>
              <w:pStyle w:val="CMR-tables"/>
              <w:keepNext/>
              <w:jc w:val="center"/>
              <w:rPr>
                <w:rFonts w:cs="Times New Roman"/>
                <w:noProof/>
                <w:szCs w:val="20"/>
              </w:rPr>
            </w:pPr>
            <w:r>
              <w:rPr>
                <w:noProof/>
              </w:rPr>
              <w:t>−9,1 %</w:t>
            </w:r>
          </w:p>
        </w:tc>
        <w:tc>
          <w:tcPr>
            <w:tcW w:w="820" w:type="pct"/>
            <w:vAlign w:val="center"/>
          </w:tcPr>
          <w:p w14:paraId="34EEE2E9" w14:textId="5C51E28E" w:rsidR="00AE0487" w:rsidRPr="007B73CC" w:rsidRDefault="00AE0487" w:rsidP="005518BD">
            <w:pPr>
              <w:pStyle w:val="CMR-tables"/>
              <w:keepNext/>
              <w:jc w:val="center"/>
              <w:rPr>
                <w:rFonts w:cs="Times New Roman"/>
                <w:noProof/>
                <w:szCs w:val="20"/>
              </w:rPr>
            </w:pPr>
            <w:r>
              <w:rPr>
                <w:noProof/>
              </w:rPr>
              <w:t>−11,4 %</w:t>
            </w:r>
          </w:p>
        </w:tc>
        <w:tc>
          <w:tcPr>
            <w:tcW w:w="820" w:type="pct"/>
            <w:vAlign w:val="center"/>
          </w:tcPr>
          <w:p w14:paraId="6FD82D6C" w14:textId="77777777" w:rsidR="00AE0487" w:rsidRPr="007B73CC" w:rsidRDefault="00AE0487" w:rsidP="005518BD">
            <w:pPr>
              <w:pStyle w:val="CMR-tables"/>
              <w:keepNext/>
              <w:jc w:val="center"/>
              <w:rPr>
                <w:rFonts w:cs="Times New Roman"/>
                <w:noProof/>
                <w:szCs w:val="20"/>
              </w:rPr>
            </w:pPr>
            <w:r>
              <w:rPr>
                <w:noProof/>
              </w:rPr>
              <w:t>−1,4 %</w:t>
            </w:r>
          </w:p>
          <w:p w14:paraId="4B83D68A" w14:textId="658E57B7" w:rsidR="00AE0487" w:rsidRPr="007B73CC" w:rsidRDefault="00AE0487" w:rsidP="005518BD">
            <w:pPr>
              <w:pStyle w:val="CMR-tables"/>
              <w:keepNext/>
              <w:jc w:val="center"/>
              <w:rPr>
                <w:rFonts w:cs="Times New Roman"/>
                <w:noProof/>
                <w:szCs w:val="20"/>
              </w:rPr>
            </w:pPr>
            <w:r>
              <w:rPr>
                <w:noProof/>
              </w:rPr>
              <w:t>(be Jungtinės Karalystės – 6,6 %)</w:t>
            </w:r>
          </w:p>
        </w:tc>
        <w:tc>
          <w:tcPr>
            <w:tcW w:w="556" w:type="pct"/>
            <w:vAlign w:val="center"/>
          </w:tcPr>
          <w:p w14:paraId="1BCA5A6E" w14:textId="54A65C0C" w:rsidR="00AE0487" w:rsidRPr="007B73CC" w:rsidRDefault="00AE0487" w:rsidP="005518BD">
            <w:pPr>
              <w:pStyle w:val="CMR-tables"/>
              <w:keepNext/>
              <w:jc w:val="center"/>
              <w:rPr>
                <w:rFonts w:cs="Times New Roman"/>
                <w:noProof/>
                <w:szCs w:val="20"/>
              </w:rPr>
            </w:pPr>
            <w:r>
              <w:rPr>
                <w:noProof/>
              </w:rPr>
              <w:t>−1,8 %</w:t>
            </w:r>
          </w:p>
        </w:tc>
        <w:tc>
          <w:tcPr>
            <w:tcW w:w="556" w:type="pct"/>
            <w:vAlign w:val="center"/>
          </w:tcPr>
          <w:p w14:paraId="3CFBEFD3" w14:textId="5EFE6A67" w:rsidR="00AE0487" w:rsidRPr="007B73CC" w:rsidRDefault="00AE0487" w:rsidP="005518BD">
            <w:pPr>
              <w:pStyle w:val="CMR-tables"/>
              <w:keepNext/>
              <w:jc w:val="center"/>
              <w:rPr>
                <w:rFonts w:cs="Times New Roman"/>
                <w:noProof/>
                <w:szCs w:val="20"/>
              </w:rPr>
            </w:pPr>
            <w:r>
              <w:rPr>
                <w:noProof/>
              </w:rPr>
              <w:t>−16,5 %</w:t>
            </w:r>
          </w:p>
        </w:tc>
        <w:tc>
          <w:tcPr>
            <w:tcW w:w="556" w:type="pct"/>
            <w:vAlign w:val="center"/>
          </w:tcPr>
          <w:p w14:paraId="5B1CB65D" w14:textId="3BCB7FDB" w:rsidR="00AE0487" w:rsidRPr="007B73CC" w:rsidRDefault="0040215C" w:rsidP="005518BD">
            <w:pPr>
              <w:pStyle w:val="CMR-tables"/>
              <w:keepNext/>
              <w:jc w:val="center"/>
              <w:rPr>
                <w:rFonts w:cs="Times New Roman"/>
                <w:noProof/>
                <w:szCs w:val="20"/>
              </w:rPr>
            </w:pPr>
            <w:r>
              <w:rPr>
                <w:noProof/>
              </w:rPr>
              <w:t>−5,7 %</w:t>
            </w:r>
          </w:p>
        </w:tc>
      </w:tr>
      <w:tr w:rsidR="00724F16" w:rsidRPr="007B73CC" w14:paraId="669CFA02" w14:textId="503199C8" w:rsidTr="000E7DB9">
        <w:trPr>
          <w:cantSplit/>
        </w:trPr>
        <w:tc>
          <w:tcPr>
            <w:tcW w:w="1136" w:type="pct"/>
            <w:shd w:val="clear" w:color="auto" w:fill="D9E2F3" w:themeFill="accent1" w:themeFillTint="33"/>
            <w:vAlign w:val="center"/>
          </w:tcPr>
          <w:p w14:paraId="4467A8D2" w14:textId="2F07B9B9" w:rsidR="00AE0487" w:rsidRPr="007B73CC" w:rsidRDefault="00AE0487" w:rsidP="005C4EA4">
            <w:pPr>
              <w:pStyle w:val="CMR-tables"/>
              <w:keepNext/>
              <w:rPr>
                <w:rFonts w:cs="Times New Roman"/>
                <w:b/>
                <w:noProof/>
                <w:szCs w:val="20"/>
              </w:rPr>
            </w:pPr>
            <w:r>
              <w:rPr>
                <w:b/>
                <w:noProof/>
              </w:rPr>
              <w:t>Patikrintas išmestų teršalų kiekis (elektros energijos ir šilumos gamyboje)</w:t>
            </w:r>
          </w:p>
        </w:tc>
        <w:tc>
          <w:tcPr>
            <w:tcW w:w="555" w:type="pct"/>
            <w:shd w:val="clear" w:color="auto" w:fill="D9E2F3" w:themeFill="accent1" w:themeFillTint="33"/>
            <w:vAlign w:val="center"/>
          </w:tcPr>
          <w:p w14:paraId="57C449B8" w14:textId="4721ACD9" w:rsidR="00AE0487" w:rsidRPr="007B73CC" w:rsidRDefault="00AE0487" w:rsidP="005518BD">
            <w:pPr>
              <w:pStyle w:val="CMR-tables"/>
              <w:keepNext/>
              <w:jc w:val="center"/>
              <w:rPr>
                <w:rFonts w:cs="Times New Roman"/>
                <w:noProof/>
                <w:szCs w:val="20"/>
              </w:rPr>
            </w:pPr>
            <w:r>
              <w:rPr>
                <w:noProof/>
              </w:rPr>
              <w:t>822</w:t>
            </w:r>
          </w:p>
        </w:tc>
        <w:tc>
          <w:tcPr>
            <w:tcW w:w="820" w:type="pct"/>
            <w:shd w:val="clear" w:color="auto" w:fill="D9E2F3" w:themeFill="accent1" w:themeFillTint="33"/>
            <w:vAlign w:val="center"/>
          </w:tcPr>
          <w:p w14:paraId="6E69FDD6" w14:textId="77777777" w:rsidR="00AE0487" w:rsidRPr="007B73CC" w:rsidRDefault="00AE0487" w:rsidP="005518BD">
            <w:pPr>
              <w:pStyle w:val="CMR-tables"/>
              <w:keepNext/>
              <w:jc w:val="center"/>
              <w:rPr>
                <w:rFonts w:cs="Times New Roman"/>
                <w:noProof/>
                <w:szCs w:val="20"/>
              </w:rPr>
            </w:pPr>
            <w:r>
              <w:rPr>
                <w:noProof/>
              </w:rPr>
              <w:t>696</w:t>
            </w:r>
          </w:p>
          <w:p w14:paraId="204CF1FC" w14:textId="5B0282F5" w:rsidR="00AE0487" w:rsidRPr="007B73CC" w:rsidRDefault="00AE0487" w:rsidP="005518BD">
            <w:pPr>
              <w:pStyle w:val="CMR-tables"/>
              <w:keepNext/>
              <w:jc w:val="center"/>
              <w:rPr>
                <w:rFonts w:cs="Times New Roman"/>
                <w:noProof/>
                <w:szCs w:val="20"/>
              </w:rPr>
            </w:pPr>
            <w:r>
              <w:rPr>
                <w:noProof/>
              </w:rPr>
              <w:t>(be Jungtinės Karalystės – 653)</w:t>
            </w:r>
          </w:p>
        </w:tc>
        <w:tc>
          <w:tcPr>
            <w:tcW w:w="820" w:type="pct"/>
            <w:shd w:val="clear" w:color="auto" w:fill="D9E2F3" w:themeFill="accent1" w:themeFillTint="33"/>
            <w:vAlign w:val="center"/>
          </w:tcPr>
          <w:p w14:paraId="42EC17BB" w14:textId="6DC2C133" w:rsidR="00AE0487" w:rsidRPr="007B73CC" w:rsidRDefault="00AE0487" w:rsidP="005518BD">
            <w:pPr>
              <w:pStyle w:val="CMR-tables"/>
              <w:keepNext/>
              <w:jc w:val="center"/>
              <w:rPr>
                <w:rFonts w:cs="Times New Roman"/>
                <w:noProof/>
                <w:szCs w:val="20"/>
              </w:rPr>
            </w:pPr>
            <w:r>
              <w:rPr>
                <w:noProof/>
              </w:rPr>
              <w:t>708</w:t>
            </w:r>
          </w:p>
        </w:tc>
        <w:tc>
          <w:tcPr>
            <w:tcW w:w="556" w:type="pct"/>
            <w:shd w:val="clear" w:color="auto" w:fill="D9E2F3" w:themeFill="accent1" w:themeFillTint="33"/>
            <w:vAlign w:val="center"/>
          </w:tcPr>
          <w:p w14:paraId="765729D6" w14:textId="67B2E561" w:rsidR="00AE0487" w:rsidRPr="007B73CC" w:rsidRDefault="00AE0487" w:rsidP="005518BD">
            <w:pPr>
              <w:pStyle w:val="CMR-tables"/>
              <w:keepNext/>
              <w:jc w:val="center"/>
              <w:rPr>
                <w:rFonts w:cs="Times New Roman"/>
                <w:noProof/>
                <w:szCs w:val="20"/>
              </w:rPr>
            </w:pPr>
            <w:r>
              <w:rPr>
                <w:noProof/>
              </w:rPr>
              <w:t>725</w:t>
            </w:r>
          </w:p>
        </w:tc>
        <w:tc>
          <w:tcPr>
            <w:tcW w:w="556" w:type="pct"/>
            <w:shd w:val="clear" w:color="auto" w:fill="D9E2F3" w:themeFill="accent1" w:themeFillTint="33"/>
            <w:vAlign w:val="center"/>
          </w:tcPr>
          <w:p w14:paraId="08ECECD5" w14:textId="5E00873A" w:rsidR="00AE0487" w:rsidRPr="007B73CC" w:rsidRDefault="00AE0487" w:rsidP="005518BD">
            <w:pPr>
              <w:pStyle w:val="CMR-tables"/>
              <w:keepNext/>
              <w:jc w:val="center"/>
              <w:rPr>
                <w:rFonts w:cs="Times New Roman"/>
                <w:noProof/>
                <w:szCs w:val="20"/>
              </w:rPr>
            </w:pPr>
            <w:r>
              <w:rPr>
                <w:noProof/>
              </w:rPr>
              <w:t>552</w:t>
            </w:r>
          </w:p>
        </w:tc>
        <w:tc>
          <w:tcPr>
            <w:tcW w:w="556" w:type="pct"/>
            <w:shd w:val="clear" w:color="auto" w:fill="D9E2F3" w:themeFill="accent1" w:themeFillTint="33"/>
            <w:vAlign w:val="center"/>
          </w:tcPr>
          <w:p w14:paraId="19E568B2" w14:textId="08F4CEB3" w:rsidR="00AE0487" w:rsidRPr="007B73CC" w:rsidRDefault="005211C1" w:rsidP="005518BD">
            <w:pPr>
              <w:pStyle w:val="CMR-tables"/>
              <w:keepNext/>
              <w:jc w:val="center"/>
              <w:rPr>
                <w:rFonts w:cs="Times New Roman"/>
                <w:noProof/>
                <w:szCs w:val="20"/>
              </w:rPr>
            </w:pPr>
            <w:r>
              <w:rPr>
                <w:noProof/>
              </w:rPr>
              <w:t>493</w:t>
            </w:r>
          </w:p>
        </w:tc>
      </w:tr>
      <w:tr w:rsidR="00AE0487" w:rsidRPr="007B73CC" w14:paraId="1CF3F98A" w14:textId="06F57C54" w:rsidTr="000E7DB9">
        <w:trPr>
          <w:cantSplit/>
        </w:trPr>
        <w:tc>
          <w:tcPr>
            <w:tcW w:w="1136" w:type="pct"/>
            <w:vAlign w:val="center"/>
          </w:tcPr>
          <w:p w14:paraId="1B9F43A5" w14:textId="0EA4977D" w:rsidR="00AE0487" w:rsidRPr="007B73CC" w:rsidRDefault="00AE0487" w:rsidP="005C4EA4">
            <w:pPr>
              <w:pStyle w:val="CMR-tables"/>
              <w:keepNext/>
              <w:rPr>
                <w:rFonts w:cs="Times New Roman"/>
                <w:b/>
                <w:noProof/>
                <w:szCs w:val="20"/>
              </w:rPr>
            </w:pPr>
            <w:r>
              <w:rPr>
                <w:b/>
                <w:noProof/>
              </w:rPr>
              <w:t>Pokytis nuo praėjusių metų</w:t>
            </w:r>
          </w:p>
        </w:tc>
        <w:tc>
          <w:tcPr>
            <w:tcW w:w="555" w:type="pct"/>
            <w:vAlign w:val="center"/>
          </w:tcPr>
          <w:p w14:paraId="47F2D2F4" w14:textId="42327BF2" w:rsidR="00AE0487" w:rsidRPr="007B73CC" w:rsidRDefault="00AE0487" w:rsidP="005518BD">
            <w:pPr>
              <w:pStyle w:val="CMR-tables"/>
              <w:keepNext/>
              <w:jc w:val="center"/>
              <w:rPr>
                <w:rFonts w:cs="Times New Roman"/>
                <w:noProof/>
                <w:szCs w:val="20"/>
              </w:rPr>
            </w:pPr>
            <w:r>
              <w:rPr>
                <w:noProof/>
              </w:rPr>
              <w:t>−14,7 %</w:t>
            </w:r>
          </w:p>
        </w:tc>
        <w:tc>
          <w:tcPr>
            <w:tcW w:w="820" w:type="pct"/>
            <w:vAlign w:val="center"/>
          </w:tcPr>
          <w:p w14:paraId="4993B574" w14:textId="50397E4D" w:rsidR="00AE0487" w:rsidRPr="007B73CC" w:rsidRDefault="00AE0487" w:rsidP="005518BD">
            <w:pPr>
              <w:pStyle w:val="CMR-tables"/>
              <w:keepNext/>
              <w:jc w:val="center"/>
              <w:rPr>
                <w:rFonts w:cs="Times New Roman"/>
                <w:noProof/>
                <w:szCs w:val="20"/>
              </w:rPr>
            </w:pPr>
            <w:r>
              <w:rPr>
                <w:noProof/>
              </w:rPr>
              <w:t>−15,3 %</w:t>
            </w:r>
          </w:p>
        </w:tc>
        <w:tc>
          <w:tcPr>
            <w:tcW w:w="820" w:type="pct"/>
            <w:vAlign w:val="center"/>
          </w:tcPr>
          <w:p w14:paraId="01A38009" w14:textId="77777777" w:rsidR="00AE0487" w:rsidRPr="007B73CC" w:rsidRDefault="00AE0487" w:rsidP="005518BD">
            <w:pPr>
              <w:pStyle w:val="CMR-tables"/>
              <w:keepNext/>
              <w:jc w:val="center"/>
              <w:rPr>
                <w:rFonts w:cs="Times New Roman"/>
                <w:noProof/>
                <w:szCs w:val="20"/>
              </w:rPr>
            </w:pPr>
            <w:r>
              <w:rPr>
                <w:noProof/>
              </w:rPr>
              <w:t>1,6 %</w:t>
            </w:r>
          </w:p>
          <w:p w14:paraId="42A502AD" w14:textId="5C0350EC" w:rsidR="00AE0487" w:rsidRPr="007B73CC" w:rsidRDefault="00AE0487" w:rsidP="005518BD">
            <w:pPr>
              <w:pStyle w:val="CMR-tables"/>
              <w:keepNext/>
              <w:jc w:val="center"/>
              <w:rPr>
                <w:rFonts w:cs="Times New Roman"/>
                <w:noProof/>
                <w:szCs w:val="20"/>
              </w:rPr>
            </w:pPr>
            <w:r>
              <w:rPr>
                <w:noProof/>
              </w:rPr>
              <w:t>(be Jungtinės Karalystės – 8,5 %)</w:t>
            </w:r>
          </w:p>
        </w:tc>
        <w:tc>
          <w:tcPr>
            <w:tcW w:w="556" w:type="pct"/>
            <w:vAlign w:val="center"/>
          </w:tcPr>
          <w:p w14:paraId="4F647107" w14:textId="07ADB100" w:rsidR="00AE0487" w:rsidRPr="007B73CC" w:rsidRDefault="00AE0487" w:rsidP="005518BD">
            <w:pPr>
              <w:pStyle w:val="CMR-tables"/>
              <w:keepNext/>
              <w:jc w:val="center"/>
              <w:rPr>
                <w:rFonts w:cs="Times New Roman"/>
                <w:noProof/>
                <w:szCs w:val="20"/>
              </w:rPr>
            </w:pPr>
            <w:r>
              <w:rPr>
                <w:noProof/>
              </w:rPr>
              <w:t>2,4 %</w:t>
            </w:r>
          </w:p>
        </w:tc>
        <w:tc>
          <w:tcPr>
            <w:tcW w:w="556" w:type="pct"/>
            <w:vAlign w:val="center"/>
          </w:tcPr>
          <w:p w14:paraId="5B50ECA3" w14:textId="2542262B" w:rsidR="00AE0487" w:rsidRPr="007B73CC" w:rsidRDefault="00AE0487" w:rsidP="005518BD">
            <w:pPr>
              <w:pStyle w:val="CMR-tables"/>
              <w:keepNext/>
              <w:jc w:val="center"/>
              <w:rPr>
                <w:rFonts w:cs="Times New Roman"/>
                <w:noProof/>
                <w:szCs w:val="20"/>
              </w:rPr>
            </w:pPr>
            <w:r>
              <w:rPr>
                <w:noProof/>
              </w:rPr>
              <w:t>−23,9 %</w:t>
            </w:r>
          </w:p>
        </w:tc>
        <w:tc>
          <w:tcPr>
            <w:tcW w:w="556" w:type="pct"/>
            <w:vAlign w:val="center"/>
          </w:tcPr>
          <w:p w14:paraId="12AF5C4A" w14:textId="32AA7036" w:rsidR="00AE0487" w:rsidRPr="007B73CC" w:rsidRDefault="007C0F43" w:rsidP="005518BD">
            <w:pPr>
              <w:pStyle w:val="CMR-tables"/>
              <w:keepNext/>
              <w:jc w:val="center"/>
              <w:rPr>
                <w:rFonts w:cs="Times New Roman"/>
                <w:noProof/>
                <w:szCs w:val="20"/>
              </w:rPr>
            </w:pPr>
            <w:r>
              <w:rPr>
                <w:noProof/>
              </w:rPr>
              <w:t>−10,7 %</w:t>
            </w:r>
          </w:p>
        </w:tc>
      </w:tr>
      <w:tr w:rsidR="00724F16" w:rsidRPr="007B73CC" w14:paraId="60FA30C5" w14:textId="0C2CAAAC" w:rsidTr="000E7DB9">
        <w:trPr>
          <w:cantSplit/>
        </w:trPr>
        <w:tc>
          <w:tcPr>
            <w:tcW w:w="1136" w:type="pct"/>
            <w:shd w:val="clear" w:color="auto" w:fill="D9E2F3" w:themeFill="accent1" w:themeFillTint="33"/>
            <w:vAlign w:val="center"/>
          </w:tcPr>
          <w:p w14:paraId="076FC4AA" w14:textId="2F23A96D" w:rsidR="00AE0487" w:rsidRPr="007B73CC" w:rsidRDefault="00AE0487" w:rsidP="005C4EA4">
            <w:pPr>
              <w:pStyle w:val="CMR-tables"/>
              <w:keepNext/>
              <w:rPr>
                <w:rFonts w:cs="Times New Roman"/>
                <w:b/>
                <w:noProof/>
                <w:szCs w:val="20"/>
              </w:rPr>
            </w:pPr>
            <w:r>
              <w:rPr>
                <w:b/>
                <w:noProof/>
              </w:rPr>
              <w:t>Patikrintas išmestų teršalų kiekis (pramonės gamyboje)</w:t>
            </w:r>
          </w:p>
        </w:tc>
        <w:tc>
          <w:tcPr>
            <w:tcW w:w="555" w:type="pct"/>
            <w:shd w:val="clear" w:color="auto" w:fill="D9E2F3" w:themeFill="accent1" w:themeFillTint="33"/>
            <w:vAlign w:val="center"/>
          </w:tcPr>
          <w:p w14:paraId="65D85A43" w14:textId="3DDBA15F" w:rsidR="00AE0487" w:rsidRPr="007B73CC" w:rsidRDefault="00AE0487" w:rsidP="005518BD">
            <w:pPr>
              <w:pStyle w:val="CMR-tables"/>
              <w:keepNext/>
              <w:jc w:val="center"/>
              <w:rPr>
                <w:rFonts w:cs="Times New Roman"/>
                <w:noProof/>
                <w:szCs w:val="20"/>
              </w:rPr>
            </w:pPr>
            <w:r>
              <w:rPr>
                <w:noProof/>
              </w:rPr>
              <w:t>708</w:t>
            </w:r>
          </w:p>
        </w:tc>
        <w:tc>
          <w:tcPr>
            <w:tcW w:w="820" w:type="pct"/>
            <w:shd w:val="clear" w:color="auto" w:fill="D9E2F3" w:themeFill="accent1" w:themeFillTint="33"/>
            <w:vAlign w:val="center"/>
          </w:tcPr>
          <w:p w14:paraId="1344EE89" w14:textId="77777777" w:rsidR="00AE0487" w:rsidRPr="007B73CC" w:rsidRDefault="00AE0487" w:rsidP="005518BD">
            <w:pPr>
              <w:pStyle w:val="CMR-tables"/>
              <w:keepNext/>
              <w:jc w:val="center"/>
              <w:rPr>
                <w:rFonts w:cs="Times New Roman"/>
                <w:noProof/>
                <w:szCs w:val="20"/>
              </w:rPr>
            </w:pPr>
            <w:r>
              <w:rPr>
                <w:noProof/>
              </w:rPr>
              <w:t>660</w:t>
            </w:r>
          </w:p>
          <w:p w14:paraId="380BB87F" w14:textId="272F5C5A" w:rsidR="00AE0487" w:rsidRPr="007B73CC" w:rsidRDefault="00AE0487" w:rsidP="005518BD">
            <w:pPr>
              <w:pStyle w:val="CMR-tables"/>
              <w:keepNext/>
              <w:jc w:val="center"/>
              <w:rPr>
                <w:rFonts w:cs="Times New Roman"/>
                <w:noProof/>
                <w:szCs w:val="20"/>
              </w:rPr>
            </w:pPr>
            <w:r>
              <w:rPr>
                <w:noProof/>
              </w:rPr>
              <w:t>(be Jungtinės Karalystės – 601)</w:t>
            </w:r>
          </w:p>
        </w:tc>
        <w:tc>
          <w:tcPr>
            <w:tcW w:w="820" w:type="pct"/>
            <w:shd w:val="clear" w:color="auto" w:fill="D9E2F3" w:themeFill="accent1" w:themeFillTint="33"/>
            <w:vAlign w:val="center"/>
          </w:tcPr>
          <w:p w14:paraId="34B1B927" w14:textId="2827D9B0" w:rsidR="00AE0487" w:rsidRPr="007B73CC" w:rsidRDefault="00AE0487" w:rsidP="005518BD">
            <w:pPr>
              <w:pStyle w:val="CMR-tables"/>
              <w:keepNext/>
              <w:jc w:val="center"/>
              <w:rPr>
                <w:rFonts w:cs="Times New Roman"/>
                <w:noProof/>
                <w:szCs w:val="20"/>
              </w:rPr>
            </w:pPr>
            <w:r>
              <w:rPr>
                <w:noProof/>
              </w:rPr>
              <w:t>629</w:t>
            </w:r>
          </w:p>
        </w:tc>
        <w:tc>
          <w:tcPr>
            <w:tcW w:w="556" w:type="pct"/>
            <w:shd w:val="clear" w:color="auto" w:fill="D9E2F3" w:themeFill="accent1" w:themeFillTint="33"/>
            <w:vAlign w:val="center"/>
          </w:tcPr>
          <w:p w14:paraId="2118DEEB" w14:textId="7C73705D" w:rsidR="00AE0487" w:rsidRPr="007B73CC" w:rsidRDefault="00AE0487" w:rsidP="005518BD">
            <w:pPr>
              <w:pStyle w:val="CMR-tables"/>
              <w:keepNext/>
              <w:jc w:val="center"/>
              <w:rPr>
                <w:rFonts w:cs="Times New Roman"/>
                <w:noProof/>
                <w:szCs w:val="20"/>
              </w:rPr>
            </w:pPr>
            <w:r>
              <w:rPr>
                <w:noProof/>
              </w:rPr>
              <w:t>589</w:t>
            </w:r>
          </w:p>
        </w:tc>
        <w:tc>
          <w:tcPr>
            <w:tcW w:w="556" w:type="pct"/>
            <w:shd w:val="clear" w:color="auto" w:fill="D9E2F3" w:themeFill="accent1" w:themeFillTint="33"/>
            <w:vAlign w:val="center"/>
          </w:tcPr>
          <w:p w14:paraId="522C975D" w14:textId="6F89D5C6" w:rsidR="00AE0487" w:rsidRPr="007B73CC" w:rsidRDefault="00AE0487" w:rsidP="005518BD">
            <w:pPr>
              <w:pStyle w:val="CMR-tables"/>
              <w:keepNext/>
              <w:jc w:val="center"/>
              <w:rPr>
                <w:rFonts w:cs="Times New Roman"/>
                <w:noProof/>
                <w:szCs w:val="20"/>
              </w:rPr>
            </w:pPr>
            <w:r>
              <w:rPr>
                <w:noProof/>
              </w:rPr>
              <w:t>544</w:t>
            </w:r>
          </w:p>
        </w:tc>
        <w:tc>
          <w:tcPr>
            <w:tcW w:w="556" w:type="pct"/>
            <w:shd w:val="clear" w:color="auto" w:fill="D9E2F3" w:themeFill="accent1" w:themeFillTint="33"/>
            <w:vAlign w:val="center"/>
          </w:tcPr>
          <w:p w14:paraId="289C3FEF" w14:textId="407EFD0F" w:rsidR="00AE0487" w:rsidRPr="007B73CC" w:rsidRDefault="00D37CEC" w:rsidP="005518BD">
            <w:pPr>
              <w:pStyle w:val="CMR-tables"/>
              <w:keepNext/>
              <w:jc w:val="center"/>
              <w:rPr>
                <w:rFonts w:cs="Times New Roman"/>
                <w:noProof/>
                <w:szCs w:val="20"/>
              </w:rPr>
            </w:pPr>
            <w:r>
              <w:rPr>
                <w:noProof/>
              </w:rPr>
              <w:t>540</w:t>
            </w:r>
          </w:p>
        </w:tc>
      </w:tr>
      <w:tr w:rsidR="00AE0487" w:rsidRPr="007B73CC" w14:paraId="20550022" w14:textId="52A13227" w:rsidTr="000E7DB9">
        <w:trPr>
          <w:cantSplit/>
        </w:trPr>
        <w:tc>
          <w:tcPr>
            <w:tcW w:w="1136" w:type="pct"/>
            <w:vAlign w:val="center"/>
          </w:tcPr>
          <w:p w14:paraId="0A9778BE" w14:textId="3FF67A31" w:rsidR="00AE0487" w:rsidRPr="007B73CC" w:rsidRDefault="00AE0487" w:rsidP="005C4EA4">
            <w:pPr>
              <w:pStyle w:val="CMR-tables"/>
              <w:keepNext/>
              <w:rPr>
                <w:rFonts w:cs="Times New Roman"/>
                <w:b/>
                <w:noProof/>
                <w:szCs w:val="20"/>
              </w:rPr>
            </w:pPr>
            <w:r>
              <w:rPr>
                <w:b/>
                <w:noProof/>
              </w:rPr>
              <w:t>Pokytis nuo praėjusių metų</w:t>
            </w:r>
          </w:p>
        </w:tc>
        <w:tc>
          <w:tcPr>
            <w:tcW w:w="555" w:type="pct"/>
            <w:vAlign w:val="center"/>
          </w:tcPr>
          <w:p w14:paraId="6FFFD97A" w14:textId="1F3B700A" w:rsidR="00AE0487" w:rsidRPr="007B73CC" w:rsidRDefault="00AE0487" w:rsidP="005518BD">
            <w:pPr>
              <w:pStyle w:val="CMR-tables"/>
              <w:keepNext/>
              <w:jc w:val="center"/>
              <w:rPr>
                <w:rFonts w:cs="Times New Roman"/>
                <w:noProof/>
                <w:szCs w:val="20"/>
              </w:rPr>
            </w:pPr>
            <w:r>
              <w:rPr>
                <w:noProof/>
              </w:rPr>
              <w:t>−1,6 %</w:t>
            </w:r>
          </w:p>
        </w:tc>
        <w:tc>
          <w:tcPr>
            <w:tcW w:w="820" w:type="pct"/>
            <w:vAlign w:val="center"/>
          </w:tcPr>
          <w:p w14:paraId="45470FF6" w14:textId="30505F51" w:rsidR="00AE0487" w:rsidRPr="007B73CC" w:rsidRDefault="00AE0487" w:rsidP="005518BD">
            <w:pPr>
              <w:pStyle w:val="CMR-tables"/>
              <w:keepNext/>
              <w:jc w:val="center"/>
              <w:rPr>
                <w:rFonts w:cs="Times New Roman"/>
                <w:noProof/>
                <w:szCs w:val="20"/>
              </w:rPr>
            </w:pPr>
            <w:r>
              <w:rPr>
                <w:noProof/>
              </w:rPr>
              <w:t>−6,9 %</w:t>
            </w:r>
          </w:p>
        </w:tc>
        <w:tc>
          <w:tcPr>
            <w:tcW w:w="820" w:type="pct"/>
            <w:vAlign w:val="center"/>
          </w:tcPr>
          <w:p w14:paraId="5FDC7E38" w14:textId="77777777" w:rsidR="00AE0487" w:rsidRPr="007B73CC" w:rsidRDefault="00AE0487" w:rsidP="005518BD">
            <w:pPr>
              <w:pStyle w:val="CMR-tables"/>
              <w:keepNext/>
              <w:jc w:val="center"/>
              <w:rPr>
                <w:rFonts w:cs="Times New Roman"/>
                <w:noProof/>
                <w:szCs w:val="20"/>
              </w:rPr>
            </w:pPr>
            <w:r>
              <w:rPr>
                <w:noProof/>
              </w:rPr>
              <w:t>−4,7 %</w:t>
            </w:r>
          </w:p>
          <w:p w14:paraId="523C26E9" w14:textId="5B649A5A" w:rsidR="00AE0487" w:rsidRPr="007B73CC" w:rsidRDefault="00AE0487" w:rsidP="005518BD">
            <w:pPr>
              <w:pStyle w:val="CMR-tables"/>
              <w:keepNext/>
              <w:jc w:val="center"/>
              <w:rPr>
                <w:rFonts w:cs="Times New Roman"/>
                <w:noProof/>
                <w:szCs w:val="20"/>
              </w:rPr>
            </w:pPr>
            <w:r>
              <w:rPr>
                <w:noProof/>
              </w:rPr>
              <w:t>(be Jungtinės Karalystės – 4,7 %)</w:t>
            </w:r>
          </w:p>
        </w:tc>
        <w:tc>
          <w:tcPr>
            <w:tcW w:w="556" w:type="pct"/>
            <w:vAlign w:val="center"/>
          </w:tcPr>
          <w:p w14:paraId="68AD8A9D" w14:textId="7D77AD2D" w:rsidR="00AE0487" w:rsidRPr="007B73CC" w:rsidRDefault="00AE0487" w:rsidP="005518BD">
            <w:pPr>
              <w:pStyle w:val="CMR-tables"/>
              <w:keepNext/>
              <w:jc w:val="center"/>
              <w:rPr>
                <w:rFonts w:cs="Times New Roman"/>
                <w:noProof/>
                <w:szCs w:val="20"/>
              </w:rPr>
            </w:pPr>
            <w:r>
              <w:rPr>
                <w:noProof/>
              </w:rPr>
              <w:t>−6,4 %</w:t>
            </w:r>
          </w:p>
        </w:tc>
        <w:tc>
          <w:tcPr>
            <w:tcW w:w="556" w:type="pct"/>
            <w:vAlign w:val="center"/>
          </w:tcPr>
          <w:p w14:paraId="64AB9E4C" w14:textId="45E8E0D5" w:rsidR="00AE0487" w:rsidRPr="007B73CC" w:rsidRDefault="00AE0487" w:rsidP="005518BD">
            <w:pPr>
              <w:pStyle w:val="CMR-tables"/>
              <w:keepNext/>
              <w:jc w:val="center"/>
              <w:rPr>
                <w:rFonts w:cs="Times New Roman"/>
                <w:noProof/>
                <w:szCs w:val="20"/>
              </w:rPr>
            </w:pPr>
            <w:r>
              <w:rPr>
                <w:noProof/>
              </w:rPr>
              <w:t>−7,5 %</w:t>
            </w:r>
          </w:p>
        </w:tc>
        <w:tc>
          <w:tcPr>
            <w:tcW w:w="556" w:type="pct"/>
            <w:vAlign w:val="center"/>
          </w:tcPr>
          <w:p w14:paraId="0D0DD32B" w14:textId="56F54977" w:rsidR="00AE0487" w:rsidRPr="007B73CC" w:rsidRDefault="00265129" w:rsidP="005518BD">
            <w:pPr>
              <w:pStyle w:val="CMR-tables"/>
              <w:keepNext/>
              <w:jc w:val="center"/>
              <w:rPr>
                <w:rFonts w:cs="Times New Roman"/>
                <w:noProof/>
                <w:szCs w:val="20"/>
              </w:rPr>
            </w:pPr>
            <w:r>
              <w:rPr>
                <w:noProof/>
              </w:rPr>
              <w:t>−0,8 %</w:t>
            </w:r>
          </w:p>
        </w:tc>
      </w:tr>
    </w:tbl>
    <w:p w14:paraId="160A58FE" w14:textId="49605584" w:rsidR="00025260" w:rsidRPr="00EC4FC3" w:rsidRDefault="00025260" w:rsidP="00EC4FC3">
      <w:pPr>
        <w:pStyle w:val="CMR-Subheading"/>
        <w:rPr>
          <w:noProof/>
        </w:rPr>
      </w:pPr>
      <w:bookmarkStart w:id="47" w:name="_Toc219127274"/>
      <w:r>
        <w:rPr>
          <w:noProof/>
        </w:rPr>
        <w:t>Įrenginiuose deginant iškastinį kurą išmetami teršalai</w:t>
      </w:r>
      <w:bookmarkEnd w:id="47"/>
    </w:p>
    <w:p w14:paraId="6A91E1E6" w14:textId="30EEA32F" w:rsidR="00AD2322" w:rsidRPr="00685D02" w:rsidRDefault="00176FB3" w:rsidP="00F20957">
      <w:pPr>
        <w:jc w:val="both"/>
        <w:rPr>
          <w:rFonts w:ascii="Times New Roman" w:hAnsi="Times New Roman" w:cs="Times New Roman"/>
          <w:noProof/>
        </w:rPr>
      </w:pPr>
      <w:r>
        <w:rPr>
          <w:rStyle w:val="CMR-textChar"/>
          <w:rFonts w:cs="Times New Roman"/>
          <w:noProof/>
        </w:rPr>
        <w:fldChar w:fldCharType="begin"/>
      </w:r>
      <w:r>
        <w:rPr>
          <w:rStyle w:val="CMR-textChar"/>
          <w:rFonts w:cs="Times New Roman"/>
          <w:noProof/>
        </w:rPr>
        <w:instrText xml:space="preserve"> REF _Ref176771715 \h  \* MERGEFORMAT </w:instrText>
      </w:r>
      <w:r>
        <w:rPr>
          <w:rStyle w:val="CMR-textChar"/>
          <w:rFonts w:cs="Times New Roman"/>
          <w:noProof/>
        </w:rPr>
      </w:r>
      <w:r>
        <w:rPr>
          <w:rStyle w:val="CMR-textChar"/>
          <w:rFonts w:cs="Times New Roman"/>
          <w:noProof/>
        </w:rPr>
        <w:fldChar w:fldCharType="separate"/>
      </w:r>
      <w:r>
        <w:rPr>
          <w:rStyle w:val="CMR-textChar"/>
          <w:rFonts w:cs="Times New Roman"/>
          <w:noProof/>
        </w:rPr>
        <w:t xml:space="preserve">4 </w:t>
      </w:r>
      <w:r>
        <w:rPr>
          <w:rStyle w:val="CMR-textChar"/>
          <w:rFonts w:cs="Times New Roman"/>
          <w:noProof/>
        </w:rPr>
        <w:fldChar w:fldCharType="end"/>
      </w:r>
      <w:r>
        <w:rPr>
          <w:rStyle w:val="CMR-textChar"/>
          <w:noProof/>
        </w:rPr>
        <w:t>ir 5 pav. parodytos dėl iškastinio kuro deginimo įrenginiuose, kuriems taikoma ES ATLPS, išmetamo teršalų kiekio – atitinkamai kaip viso įrenginių išmetamų teršalų kiekio dalies ir pagal kuro rūšis – kaitos tendencijos</w:t>
      </w:r>
      <w:r>
        <w:rPr>
          <w:rStyle w:val="FootnoteReference"/>
          <w:rFonts w:ascii="Times New Roman" w:hAnsi="Times New Roman" w:cs="Times New Roman"/>
          <w:noProof/>
          <w:kern w:val="0"/>
          <w:lang w:val="en-IE"/>
        </w:rPr>
        <w:footnoteReference w:id="52"/>
      </w:r>
      <w:r>
        <w:rPr>
          <w:rStyle w:val="CMR-textChar"/>
          <w:noProof/>
        </w:rPr>
        <w:t>.</w:t>
      </w:r>
      <w:r>
        <w:rPr>
          <w:rFonts w:ascii="Times New Roman" w:hAnsi="Times New Roman"/>
          <w:noProof/>
        </w:rPr>
        <w:t xml:space="preserve"> Ne visi išmetamieji teršalai, kuriems taikoma ATLPS, išsiskiria deginant iškastinį kurą. Dalis teršalų išmetama tiesiogiai per pramoninius procesus. 4 pav. parodyta, kokią viso įrenginių išmetamųjų teršalų kiekio dalį sudaro teršalai, išsiskiriantys deginant iškastinį kurą, o </w:t>
      </w:r>
      <w:r>
        <w:rPr>
          <w:rStyle w:val="CMR-textChar"/>
          <w:noProof/>
        </w:rPr>
        <w:t>5 pav.</w:t>
      </w:r>
      <w:r>
        <w:rPr>
          <w:rFonts w:ascii="Times New Roman" w:hAnsi="Times New Roman"/>
          <w:noProof/>
        </w:rPr>
        <w:t xml:space="preserve"> teršalai, išsiskiriantys degimo metu, išskaidyti pagal kuro rūšis. </w:t>
      </w:r>
    </w:p>
    <w:p w14:paraId="586B27C5" w14:textId="25C05B07" w:rsidR="00C67AE7" w:rsidRPr="00685D02" w:rsidRDefault="33EB2012" w:rsidP="65EC3A73">
      <w:pPr>
        <w:jc w:val="both"/>
        <w:rPr>
          <w:rFonts w:ascii="Times New Roman" w:hAnsi="Times New Roman" w:cs="Times New Roman"/>
          <w:noProof/>
        </w:rPr>
      </w:pPr>
      <w:r>
        <w:rPr>
          <w:rStyle w:val="CMR-textChar"/>
          <w:noProof/>
        </w:rPr>
        <w:t>Išmetamųjų teršalų kiekis apskritai mažėja dėl elektros energijos sektoriaus dekarbonizacijos – atsinaujinančiųjų energijos išteklių diegimo, anglių pakeitimo gamtinėmis dujomis ir didėjančio biomasės naudojimo</w:t>
      </w:r>
      <w:r>
        <w:rPr>
          <w:rStyle w:val="FootnoteReference"/>
          <w:rFonts w:ascii="Times New Roman" w:hAnsi="Times New Roman" w:cs="Times New Roman"/>
          <w:noProof/>
          <w:kern w:val="0"/>
          <w:lang w:val="en-IE"/>
        </w:rPr>
        <w:footnoteReference w:id="53"/>
      </w:r>
      <w:r>
        <w:rPr>
          <w:rFonts w:ascii="Times New Roman" w:hAnsi="Times New Roman"/>
          <w:noProof/>
        </w:rPr>
        <w:t xml:space="preserve">. </w:t>
      </w:r>
      <w:r>
        <w:rPr>
          <w:rStyle w:val="CMR-textChar"/>
          <w:noProof/>
        </w:rPr>
        <w:t xml:space="preserve">Kaip matyti iš 5 </w:t>
      </w:r>
      <w:r>
        <w:rPr>
          <w:rStyle w:val="CMR-textChar"/>
          <w:rFonts w:cs="Times New Roman"/>
          <w:noProof/>
        </w:rPr>
        <w:fldChar w:fldCharType="begin"/>
      </w:r>
      <w:r>
        <w:rPr>
          <w:rStyle w:val="CMR-textChar"/>
          <w:rFonts w:cs="Times New Roman"/>
          <w:noProof/>
        </w:rPr>
        <w:instrText xml:space="preserve"> REF _Ref176771720 \h  \* MERGEFORMAT </w:instrText>
      </w:r>
      <w:r>
        <w:rPr>
          <w:rStyle w:val="CMR-textChar"/>
          <w:rFonts w:cs="Times New Roman"/>
          <w:noProof/>
        </w:rPr>
      </w:r>
      <w:r>
        <w:rPr>
          <w:rStyle w:val="CMR-textChar"/>
          <w:rFonts w:cs="Times New Roman"/>
          <w:noProof/>
        </w:rPr>
        <w:fldChar w:fldCharType="separate"/>
      </w:r>
      <w:r w:rsidR="002C4A18">
        <w:rPr>
          <w:rStyle w:val="CMR-textChar"/>
          <w:rFonts w:cs="Times New Roman"/>
          <w:noProof/>
        </w:rPr>
        <w:t>pav.</w:t>
      </w:r>
      <w:r>
        <w:rPr>
          <w:rStyle w:val="CMR-textChar"/>
          <w:rFonts w:cs="Times New Roman"/>
          <w:noProof/>
        </w:rPr>
        <w:fldChar w:fldCharType="end"/>
      </w:r>
      <w:r>
        <w:rPr>
          <w:rStyle w:val="CMR-textChar"/>
          <w:noProof/>
        </w:rPr>
        <w:t xml:space="preserve">, </w:t>
      </w:r>
      <w:r>
        <w:rPr>
          <w:rFonts w:ascii="Times New Roman" w:hAnsi="Times New Roman"/>
          <w:noProof/>
        </w:rPr>
        <w:t xml:space="preserve"> 2022 m. užfiksuota akmens anglių naudojimo didėjimo tendencija (siejama su gamtinių dujų kainų augimu dėl Rusijos invazijos į Ukrainą) pasikeitė, </w:t>
      </w:r>
      <w:r>
        <w:rPr>
          <w:rStyle w:val="CMR-textChar"/>
          <w:noProof/>
        </w:rPr>
        <w:t>ir 2024 m. naudotų akmens anglių dalis buvo mažiausia nuo 2013 m.</w:t>
      </w:r>
      <w:r>
        <w:rPr>
          <w:rFonts w:ascii="Times New Roman" w:hAnsi="Times New Roman"/>
          <w:noProof/>
        </w:rPr>
        <w:t xml:space="preserve"> </w:t>
      </w:r>
    </w:p>
    <w:p w14:paraId="191CFDD7" w14:textId="2192C376" w:rsidR="00CC46ED" w:rsidRPr="00685D02" w:rsidRDefault="00E02889" w:rsidP="00CC46ED">
      <w:pPr>
        <w:keepNext/>
        <w:jc w:val="both"/>
        <w:rPr>
          <w:rFonts w:ascii="Times New Roman" w:hAnsi="Times New Roman" w:cs="Times New Roman"/>
          <w:noProof/>
        </w:rPr>
      </w:pPr>
      <w:r>
        <w:rPr>
          <w:noProof/>
          <w:lang w:val="en-GB" w:eastAsia="en-GB"/>
        </w:rPr>
        <w:drawing>
          <wp:inline distT="0" distB="0" distL="0" distR="0" wp14:anchorId="104C70A6" wp14:editId="0A66B992">
            <wp:extent cx="5731510" cy="2432050"/>
            <wp:effectExtent l="0" t="0" r="2540" b="6350"/>
            <wp:docPr id="1304318677" name="Chart 1">
              <a:extLst xmlns:a="http://schemas.openxmlformats.org/drawingml/2006/main">
                <a:ext uri="{FF2B5EF4-FFF2-40B4-BE49-F238E27FC236}">
                  <a16:creationId xmlns:a16="http://schemas.microsoft.com/office/drawing/2014/main" id="{CAADC2EB-1DDE-4DF2-A127-2D6631A56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11A370A" w14:textId="7864CDA7" w:rsidR="001A56DF" w:rsidRPr="007B73CC" w:rsidRDefault="00CC46ED" w:rsidP="00CC46ED">
      <w:pPr>
        <w:pStyle w:val="Caption"/>
        <w:rPr>
          <w:noProof/>
          <w:sz w:val="20"/>
        </w:rPr>
      </w:pPr>
      <w:bookmarkStart w:id="48" w:name="_Ref176771715"/>
      <w:r>
        <w:rPr>
          <w:noProof/>
          <w:sz w:val="20"/>
        </w:rPr>
        <w:t>4 pav</w:t>
      </w:r>
      <w:r>
        <w:rPr>
          <w:noProof/>
          <w:sz w:val="20"/>
        </w:rPr>
        <w:fldChar w:fldCharType="begin"/>
      </w:r>
      <w:r>
        <w:rPr>
          <w:noProof/>
          <w:sz w:val="20"/>
        </w:rPr>
        <w:instrText xml:space="preserve"> SEQ Figure \* ARABIC </w:instrText>
      </w:r>
      <w:r>
        <w:rPr>
          <w:noProof/>
          <w:sz w:val="20"/>
        </w:rPr>
        <w:fldChar w:fldCharType="end"/>
      </w:r>
      <w:bookmarkEnd w:id="48"/>
      <w:r>
        <w:rPr>
          <w:noProof/>
          <w:sz w:val="20"/>
        </w:rPr>
        <w:t xml:space="preserve">. Bendro išmetamųjų teršalų, išsiskiriančių deginant iškastinį kurą įrenginiuose, kuriems taikoma ES ATLPS, kiekio kaitos tendencija (2013–2024 m.). Žymos nurodo bendro įrenginių išmetamųjų teršalų kiekio dalį procentais. </w:t>
      </w:r>
    </w:p>
    <w:p w14:paraId="6E63846E" w14:textId="122AA277" w:rsidR="00130AC0" w:rsidRPr="00685D02" w:rsidRDefault="00136009" w:rsidP="00130AC0">
      <w:pPr>
        <w:keepNext/>
        <w:jc w:val="both"/>
        <w:rPr>
          <w:rFonts w:ascii="Times New Roman" w:hAnsi="Times New Roman" w:cs="Times New Roman"/>
          <w:noProof/>
        </w:rPr>
      </w:pPr>
      <w:r w:rsidRPr="00136009">
        <w:rPr>
          <w:noProof/>
          <w:lang w:val="en-GB" w:eastAsia="en-GB"/>
        </w:rPr>
        <w:drawing>
          <wp:inline distT="0" distB="0" distL="0" distR="0" wp14:anchorId="1ACD43CC" wp14:editId="493AF616">
            <wp:extent cx="5731510" cy="3328670"/>
            <wp:effectExtent l="0" t="0" r="2540" b="5080"/>
            <wp:docPr id="1290302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3328670"/>
                    </a:xfrm>
                    <a:prstGeom prst="rect">
                      <a:avLst/>
                    </a:prstGeom>
                    <a:noFill/>
                    <a:ln>
                      <a:noFill/>
                    </a:ln>
                  </pic:spPr>
                </pic:pic>
              </a:graphicData>
            </a:graphic>
          </wp:inline>
        </w:drawing>
      </w:r>
    </w:p>
    <w:p w14:paraId="47A9609B" w14:textId="704B40D9" w:rsidR="001A56DF" w:rsidRPr="007B73CC" w:rsidRDefault="269DA4C7" w:rsidP="00623DEB">
      <w:pPr>
        <w:jc w:val="both"/>
        <w:rPr>
          <w:rFonts w:ascii="Times New Roman" w:hAnsi="Times New Roman" w:cs="Times New Roman"/>
          <w:i/>
          <w:iCs/>
          <w:noProof/>
          <w:sz w:val="20"/>
          <w:szCs w:val="20"/>
        </w:rPr>
      </w:pPr>
      <w:bookmarkStart w:id="49" w:name="_Ref176771720"/>
      <w:r>
        <w:rPr>
          <w:rFonts w:ascii="Times New Roman" w:hAnsi="Times New Roman"/>
          <w:i/>
          <w:noProof/>
          <w:sz w:val="20"/>
        </w:rPr>
        <w:t>5 pav</w:t>
      </w:r>
      <w:r>
        <w:rPr>
          <w:rFonts w:ascii="Times New Roman" w:hAnsi="Times New Roman" w:cs="Times New Roman"/>
          <w:i/>
          <w:noProof/>
          <w:sz w:val="20"/>
        </w:rPr>
        <w:fldChar w:fldCharType="begin"/>
      </w:r>
      <w:r>
        <w:rPr>
          <w:rFonts w:ascii="Times New Roman" w:hAnsi="Times New Roman" w:cs="Times New Roman"/>
          <w:i/>
          <w:noProof/>
          <w:sz w:val="20"/>
        </w:rPr>
        <w:instrText xml:space="preserve"> SEQ Figure \* ARABIC </w:instrText>
      </w:r>
      <w:r>
        <w:rPr>
          <w:rFonts w:ascii="Times New Roman" w:hAnsi="Times New Roman" w:cs="Times New Roman"/>
          <w:i/>
          <w:noProof/>
          <w:sz w:val="20"/>
        </w:rPr>
        <w:fldChar w:fldCharType="end"/>
      </w:r>
      <w:bookmarkEnd w:id="49"/>
      <w:r>
        <w:rPr>
          <w:rFonts w:ascii="Times New Roman" w:hAnsi="Times New Roman"/>
          <w:i/>
          <w:noProof/>
          <w:sz w:val="20"/>
        </w:rPr>
        <w:t xml:space="preserve">. Įrenginiuose, kuriems taikoma ES ATLPS, deginant įvairų kurą išmetamo teršalų kiekio sudaromos dalies kaitos tendencija (2013–2024 m.). Žymos nurodo bendro įrenginiuose deginant kurą išmetamų teršalų kiekio procentinę dalį. Žymų nepateikiama, jei deginant tam tikros rūšies kurą išmetamo teršalų kiekio dalis niekada neviršija 3 proc. Kitas iškastinis kuras* – tai legendoje nenurodytos kuro rūšys. Tarša deginant biomasę ES ATLPS traktuojama kaip nulinė pagal netaršumo reitingą, taigi nurodoma papildomai prie bendro įrenginiuose deginant kurą išmetamo teršalų kiekio. </w:t>
      </w:r>
    </w:p>
    <w:p w14:paraId="3F1F697C" w14:textId="5CFE3244" w:rsidR="00613B80" w:rsidRPr="00EC4FC3" w:rsidRDefault="00613B80" w:rsidP="00EC4FC3">
      <w:pPr>
        <w:pStyle w:val="CMR-Heading"/>
        <w:rPr>
          <w:noProof/>
        </w:rPr>
      </w:pPr>
      <w:bookmarkStart w:id="50" w:name="_Toc180513403"/>
      <w:bookmarkStart w:id="51" w:name="_Toc219127275"/>
      <w:r>
        <w:rPr>
          <w:noProof/>
        </w:rPr>
        <w:t>Pajamos iš ES ATLPS</w:t>
      </w:r>
      <w:bookmarkEnd w:id="50"/>
      <w:bookmarkEnd w:id="51"/>
      <w:r>
        <w:rPr>
          <w:noProof/>
        </w:rPr>
        <w:t xml:space="preserve"> </w:t>
      </w:r>
    </w:p>
    <w:p w14:paraId="2FE8FC86" w14:textId="22FEC5A4" w:rsidR="00876E44" w:rsidRPr="00685D02" w:rsidRDefault="00757735" w:rsidP="008C7E4E">
      <w:pPr>
        <w:pStyle w:val="CMR-text"/>
        <w:rPr>
          <w:rFonts w:cs="Times New Roman"/>
          <w:noProof/>
        </w:rPr>
      </w:pPr>
      <w:r>
        <w:rPr>
          <w:noProof/>
        </w:rPr>
        <w:t xml:space="preserve">ES ATLPS aukcionuose pardavus ATL, valstybės narės gauna nemažai pajamų klimato srities veiksmams ir energetikos pertvarkai remti. 2024 m. bendros aukcionų pajamos siekė 38,8 mlrd. EUR. </w:t>
      </w:r>
    </w:p>
    <w:p w14:paraId="0182454D" w14:textId="74815F21" w:rsidR="003F1EDF" w:rsidRPr="00685D02" w:rsidRDefault="00757735" w:rsidP="00876E44">
      <w:pPr>
        <w:pStyle w:val="CMR-text"/>
        <w:numPr>
          <w:ilvl w:val="0"/>
          <w:numId w:val="41"/>
        </w:numPr>
        <w:rPr>
          <w:rFonts w:cs="Times New Roman"/>
          <w:noProof/>
        </w:rPr>
      </w:pPr>
      <w:r>
        <w:rPr>
          <w:noProof/>
        </w:rPr>
        <w:t xml:space="preserve">24,4 mlrd. EUR pateko tiesiai į valstybių narių biudžetus, o 0,3 mlrd. EUR atiteko Islandijai, Lichtenšteinui, Norvegijai ir Šiaurės Airijai. </w:t>
      </w:r>
    </w:p>
    <w:p w14:paraId="55695E2B" w14:textId="5A38664E" w:rsidR="001302F9" w:rsidRPr="00685D02" w:rsidRDefault="00EF61CA" w:rsidP="00876E44">
      <w:pPr>
        <w:pStyle w:val="CMR-text"/>
        <w:numPr>
          <w:ilvl w:val="0"/>
          <w:numId w:val="41"/>
        </w:numPr>
        <w:rPr>
          <w:rFonts w:cs="Times New Roman"/>
          <w:noProof/>
        </w:rPr>
      </w:pPr>
      <w:r>
        <w:rPr>
          <w:noProof/>
        </w:rPr>
        <w:t>6,3 mlrd. EUR skirta ATLPS modernizavimo fondui, 2,3 mlrd. EUR – ATLPS inovacijų fondui, o likę 5,6 mlrd. EUR skirti Ekonomikos gaivinimo ir atsparumo didinimo priemonei, finansuojant planą „REPowerEU“, pagal kurį valstybės narės vykdo perėjimą prie švarios energijos ir stiprina energetinį saugumą, tuo tikslu įgyvendindamos į savo ekonomikos gaivinimo ir atsparumo didinimo planų „REPowerEU“ skyrius įtrauktas reformas ir investicijas.</w:t>
      </w:r>
    </w:p>
    <w:p w14:paraId="3CF0E860" w14:textId="3DB2A2B6" w:rsidR="00757735" w:rsidRPr="00685D02" w:rsidRDefault="00844486" w:rsidP="00B24B3C">
      <w:pPr>
        <w:pStyle w:val="CMR-text"/>
        <w:rPr>
          <w:rFonts w:cs="Times New Roman"/>
          <w:noProof/>
        </w:rPr>
      </w:pPr>
      <w:r>
        <w:rPr>
          <w:noProof/>
        </w:rPr>
        <w:t xml:space="preserve">6 pav. parodytas 2024 m. aukcionų pajamų paskirstymas. Išsamūs duomenys apie pajamas pagal šalis ir fondus pateikti pridedamo Komisijos tarnybų darbinio dokumento 3 skirsnyje. </w:t>
      </w:r>
    </w:p>
    <w:p w14:paraId="30BFCBF4" w14:textId="7860567A" w:rsidR="003A7581" w:rsidRPr="00685D02" w:rsidRDefault="00136009" w:rsidP="00A70C6B">
      <w:pPr>
        <w:pStyle w:val="CMR-tables"/>
        <w:jc w:val="center"/>
        <w:rPr>
          <w:rFonts w:cs="Times New Roman"/>
          <w:noProof/>
          <w:sz w:val="22"/>
          <w:highlight w:val="lightGray"/>
        </w:rPr>
      </w:pPr>
      <w:r w:rsidRPr="00136009">
        <w:rPr>
          <w:noProof/>
          <w:lang w:val="en-GB" w:eastAsia="en-GB"/>
        </w:rPr>
        <w:drawing>
          <wp:inline distT="0" distB="0" distL="0" distR="0" wp14:anchorId="572545C1" wp14:editId="61F7BED2">
            <wp:extent cx="4893310" cy="3513455"/>
            <wp:effectExtent l="0" t="0" r="2540" b="0"/>
            <wp:docPr id="172081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93310" cy="3513455"/>
                    </a:xfrm>
                    <a:prstGeom prst="rect">
                      <a:avLst/>
                    </a:prstGeom>
                    <a:noFill/>
                    <a:ln>
                      <a:noFill/>
                    </a:ln>
                  </pic:spPr>
                </pic:pic>
              </a:graphicData>
            </a:graphic>
          </wp:inline>
        </w:drawing>
      </w:r>
      <w:r w:rsidR="009C3C52">
        <w:rPr>
          <w:noProof/>
          <w:sz w:val="22"/>
        </w:rPr>
        <w:t xml:space="preserve"> </w:t>
      </w:r>
    </w:p>
    <w:p w14:paraId="39B3B42E" w14:textId="5B30BACE" w:rsidR="0037499C" w:rsidRPr="007B73CC" w:rsidRDefault="003A7581" w:rsidP="009C3C52">
      <w:pPr>
        <w:pStyle w:val="Caption"/>
        <w:rPr>
          <w:noProof/>
          <w:sz w:val="20"/>
        </w:rPr>
      </w:pPr>
      <w:bookmarkStart w:id="52" w:name="_Ref176945887"/>
      <w:r>
        <w:rPr>
          <w:noProof/>
          <w:sz w:val="20"/>
        </w:rPr>
        <w:t>6 pav</w:t>
      </w:r>
      <w:r>
        <w:rPr>
          <w:noProof/>
          <w:sz w:val="20"/>
        </w:rPr>
        <w:fldChar w:fldCharType="begin"/>
      </w:r>
      <w:r>
        <w:rPr>
          <w:noProof/>
          <w:sz w:val="20"/>
        </w:rPr>
        <w:instrText xml:space="preserve"> SEQ Figure \* ARABIC </w:instrText>
      </w:r>
      <w:r>
        <w:rPr>
          <w:noProof/>
          <w:sz w:val="20"/>
        </w:rPr>
        <w:fldChar w:fldCharType="end"/>
      </w:r>
      <w:bookmarkEnd w:id="52"/>
      <w:r>
        <w:rPr>
          <w:noProof/>
          <w:sz w:val="20"/>
        </w:rPr>
        <w:t>. 2024 m. ATLPS aukcionų pajamų paskirstymas nacionaliniams biudžetams, Inovacijų fondui, Modernizavimo fondui ir Ekonomikos gaivinimo ir atsparumo didinimo priemonei.</w:t>
      </w:r>
    </w:p>
    <w:p w14:paraId="04351C18" w14:textId="24E9711F" w:rsidR="00C93ED1" w:rsidRPr="00685D02" w:rsidRDefault="00740A55" w:rsidP="000866E8">
      <w:pPr>
        <w:pStyle w:val="CMR-text"/>
        <w:rPr>
          <w:rFonts w:cs="Times New Roman"/>
          <w:noProof/>
        </w:rPr>
      </w:pPr>
      <w:r>
        <w:rPr>
          <w:noProof/>
        </w:rPr>
        <w:t>Pagal ES ATLPS direktyvos 10 straipsnio 3 dalį, valstybės narės privalo klimato srities veiksmams ir energetikos pertvarkai remti panaudoti 100 proc. surinktų pajamų (arba tų pajamų finansinės vertės atitikmenį), išskyrus pajamas, kurias valstybės narės skiria kaip paramą dėl išmetamo anglies dioksido patiriamoms netiesioginėms išlaidoms kompensuoti daug elektros energijos suvartojančiuose pramonės sektoriuose (žr. 8.1 skirsnį). Konkretūs tikslai yra nurodyti 10 straipsnio 3 dalyje ir apima pramonės dekarbonizaciją, energetikos pertvarką, švarias technologijas, prisitaikymą prie klimato kaitos, transporto sektoriaus dekarbonizaciją ir teisingos pertvarkos veiksmus. Komisija atidžiai stebi, kaip atliekama ši nauja pareiga, kad būtų užtikrinta, jog visos ATLPS pajamos būtų iš tiesų panaudotos šioms reikmėms.</w:t>
      </w:r>
    </w:p>
    <w:p w14:paraId="516D1734" w14:textId="73B0D17F" w:rsidR="009A7085" w:rsidRPr="00685D02" w:rsidRDefault="007B7A7D" w:rsidP="009A7085">
      <w:pPr>
        <w:pStyle w:val="CMR-text"/>
        <w:rPr>
          <w:rFonts w:cs="Times New Roman"/>
          <w:noProof/>
        </w:rPr>
      </w:pPr>
      <w:r>
        <w:rPr>
          <w:noProof/>
        </w:rPr>
        <w:t xml:space="preserve">Ši pareiga apima ir pajamas, surinktas aukcionuose pardavus dėl jūrų transporto įtraukimo į ES ATLPS įgytus papildomus ATL; šiomis aplinkybėmis valstybės narės skatinamos labiau prisidėti prie jūrų ekosistemų, visų pirma saugomų jūrų teritorijų, apsaugos, atkūrimo ir geresnio valdymo. Be to, tos valstybės narės, kurios dėl didelio laivybos bendrovių skaičiaus, palyginti su gyventojų skaičiumi, gauna daugiau papildomų ATL, turėtų atitinkamą jų dalį panaudoti su jūromis susijusiems tikslams. </w:t>
      </w:r>
    </w:p>
    <w:p w14:paraId="5ACC01CE" w14:textId="0D1D0209" w:rsidR="00B56728" w:rsidRPr="00685D02" w:rsidRDefault="3C3D0526" w:rsidP="001E72FA">
      <w:pPr>
        <w:pStyle w:val="CMR-text"/>
        <w:rPr>
          <w:rFonts w:cs="Times New Roman"/>
          <w:noProof/>
        </w:rPr>
      </w:pPr>
      <w:r>
        <w:rPr>
          <w:noProof/>
        </w:rPr>
        <w:t>Pagal Valdymo reglamentą (Reglamentas (ES) 2018/1999)</w:t>
      </w:r>
      <w:r>
        <w:rPr>
          <w:rStyle w:val="FootnoteReference"/>
          <w:rFonts w:cs="Times New Roman"/>
          <w:noProof/>
          <w:lang w:val="en-IE"/>
        </w:rPr>
        <w:footnoteReference w:id="54"/>
      </w:r>
      <w:r>
        <w:rPr>
          <w:noProof/>
        </w:rPr>
        <w:t xml:space="preserve"> valstybės narės kiekvienais metais Komisijai teikia ataskaitas, kaip jos panaudoja savo pajamas iš ATLPS. Šios ataskaitos rengiamos pagal šablonus ir teikiamos per Europos aplinkos agentūros valdomą tinklą „Reportnet 3“</w:t>
      </w:r>
      <w:r>
        <w:rPr>
          <w:rStyle w:val="FootnoteReference"/>
          <w:rFonts w:cs="Times New Roman"/>
          <w:noProof/>
          <w:lang w:val="en-IE"/>
        </w:rPr>
        <w:footnoteReference w:id="55"/>
      </w:r>
      <w:r>
        <w:rPr>
          <w:noProof/>
        </w:rPr>
        <w:t xml:space="preserve">. Jos viešai skelbiamos šios agentūros svetainėje. Ataskaitos turi būti pakankamai išsamios, kad būtų galima įvertinti atitiktį tiksliniam išlaidų rodikliui. Priešingu atveju Komisija gali pavesti valstybei narei iš naujo pateikti informaciją ir užpildyti jos spragas. </w:t>
      </w:r>
    </w:p>
    <w:p w14:paraId="66496439" w14:textId="77777777" w:rsidR="00195726" w:rsidRPr="00685D02" w:rsidRDefault="3AC9B8AD" w:rsidP="00195726">
      <w:pPr>
        <w:pStyle w:val="CMR-text"/>
        <w:rPr>
          <w:rFonts w:cs="Times New Roman"/>
          <w:noProof/>
          <w:highlight w:val="yellow"/>
        </w:rPr>
      </w:pPr>
      <w:r>
        <w:rPr>
          <w:noProof/>
        </w:rPr>
        <w:t>Iš 24,4 mlrd. EUR lėšų, kurias valstybės narės surinko kaip pajamas iš ATLPS 2024 m., pareiga pagal 10 straipsnio 3 dalį apima 21,2 mlrd. EUR sumą</w:t>
      </w:r>
      <w:r>
        <w:rPr>
          <w:rStyle w:val="FootnoteReference"/>
          <w:rFonts w:cs="Times New Roman"/>
          <w:noProof/>
          <w:lang w:val="en-IE"/>
        </w:rPr>
        <w:footnoteReference w:id="56"/>
      </w:r>
      <w:r>
        <w:rPr>
          <w:noProof/>
        </w:rPr>
        <w:t xml:space="preserve">. Taip yra todėl, kad pranešta, jog 3,2 mlrd. EUR lėšomis iš 2024 m. pajamų (13 proc.) finansuota pagalba daug elektros energijos suvartojantiems pramonės sektoriams padengti netiesiogines išlaidas dėl išmetamo anglies dioksido. Nors visos atitinkamos ATLPS pajamos turi būti skiriamos su klimatu ir energetika susijusioms investicijoms, nebūtina viso šio biudžeto išleisti tais pačiais metais, kuriais pajamos gautos. Iš 2024 m. pajamų, kurios turi būti panaudotos 10 straipsnio 3 dalies tikslais, 77 proc. lėšų jau išmokėta 2024 m., o dar 3 proc. įsipareigota skirti konkretiems veiksmams. Būsimose ataskaitose bus aprašyta, kaip valstybės narės panaudojo likusias lėšas. </w:t>
      </w:r>
    </w:p>
    <w:p w14:paraId="2587DF9B" w14:textId="2896D1B9" w:rsidR="00C347BD" w:rsidRPr="00685D02" w:rsidRDefault="31C1E0E1" w:rsidP="008C7E4E">
      <w:pPr>
        <w:pStyle w:val="CMR-text"/>
        <w:rPr>
          <w:rFonts w:cs="Times New Roman"/>
          <w:noProof/>
        </w:rPr>
      </w:pPr>
      <w:r>
        <w:rPr>
          <w:noProof/>
        </w:rPr>
        <w:t>Valstybės narės pranešė</w:t>
      </w:r>
      <w:r>
        <w:rPr>
          <w:rStyle w:val="FootnoteReference"/>
          <w:rFonts w:cs="Times New Roman"/>
          <w:noProof/>
          <w:lang w:val="en-IE"/>
        </w:rPr>
        <w:footnoteReference w:id="57"/>
      </w:r>
      <w:r>
        <w:rPr>
          <w:noProof/>
        </w:rPr>
        <w:t xml:space="preserve">, kad iš 21,2 mlrd. EUR jau yra išmokėjusios 16,4 mlrd. EUR ir įsipareigojusios skirti dar 0,5 mlrd. EUR 10 straipsnio 3 dalies tikslams. Taigi liko apie 4,3 mlrd. EUR lėšų, kurias dar reikia paskirstyti ir išmokėti ir apie kurių panaudojimą reikia pranešti. </w:t>
      </w:r>
    </w:p>
    <w:p w14:paraId="33FD0045" w14:textId="09B0D0B9" w:rsidR="001D677A" w:rsidRPr="00685D02" w:rsidRDefault="004C7BB7" w:rsidP="008C7E4E">
      <w:pPr>
        <w:pStyle w:val="CMR-text"/>
        <w:rPr>
          <w:rFonts w:cs="Times New Roman"/>
          <w:noProof/>
        </w:rPr>
      </w:pPr>
      <w:r>
        <w:rPr>
          <w:noProof/>
        </w:rPr>
        <w:t xml:space="preserve">5 lentelėje yra išskaidytos 24,4 mlrd. EUR pajamos iš ATLPS, valstybių narių surinktos 2024 m. </w:t>
      </w:r>
    </w:p>
    <w:p w14:paraId="22DC90AA" w14:textId="2DDC5C15" w:rsidR="003B51C5" w:rsidRPr="00EB1066" w:rsidRDefault="003B51C5" w:rsidP="003B51C5">
      <w:pPr>
        <w:pStyle w:val="Caption"/>
        <w:keepNext/>
        <w:rPr>
          <w:noProof/>
          <w:sz w:val="20"/>
        </w:rPr>
      </w:pPr>
      <w:bookmarkStart w:id="53" w:name="_Ref180760941"/>
      <w:r>
        <w:rPr>
          <w:noProof/>
          <w:sz w:val="20"/>
        </w:rPr>
        <w:t>5 lentelė</w:t>
      </w:r>
      <w:bookmarkEnd w:id="53"/>
      <w:r>
        <w:rPr>
          <w:noProof/>
          <w:sz w:val="20"/>
        </w:rPr>
        <w:t>. Išskaidytos 24,4 mlrd. EUR pajamos iš ATLPS, valstybių narių surinktos 2024 m.</w:t>
      </w:r>
    </w:p>
    <w:tbl>
      <w:tblPr>
        <w:tblStyle w:val="PlainTable5"/>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6948"/>
        <w:gridCol w:w="2068"/>
      </w:tblGrid>
      <w:tr w:rsidR="000E7DB9" w:rsidRPr="00EB1066" w14:paraId="5144FFC6" w14:textId="77777777" w:rsidTr="000E7D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bottom w:val="none" w:sz="0" w:space="0" w:color="auto"/>
              <w:right w:val="none" w:sz="0" w:space="0" w:color="auto"/>
            </w:tcBorders>
          </w:tcPr>
          <w:p w14:paraId="04B28FD8" w14:textId="3ECC9791" w:rsidR="000E7DB9" w:rsidRPr="00EB1066" w:rsidRDefault="000E7DB9" w:rsidP="00A0384F">
            <w:pPr>
              <w:pStyle w:val="CMR-tables"/>
              <w:keepNext/>
              <w:jc w:val="center"/>
              <w:rPr>
                <w:rFonts w:cs="Times New Roman"/>
                <w:b/>
                <w:i w:val="0"/>
                <w:noProof/>
                <w:szCs w:val="20"/>
              </w:rPr>
            </w:pPr>
            <w:r>
              <w:rPr>
                <w:b/>
                <w:i w:val="0"/>
                <w:noProof/>
              </w:rPr>
              <w:t>Pajamos</w:t>
            </w:r>
            <w:r>
              <w:rPr>
                <w:noProof/>
              </w:rPr>
              <w:t xml:space="preserve"> </w:t>
            </w:r>
            <w:r>
              <w:rPr>
                <w:noProof/>
              </w:rPr>
              <w:cr/>
            </w:r>
            <w:r>
              <w:rPr>
                <w:noProof/>
              </w:rPr>
              <w:br/>
            </w:r>
            <w:r>
              <w:rPr>
                <w:b/>
                <w:i w:val="0"/>
                <w:noProof/>
              </w:rPr>
              <w:t>(mlrd. EUR)</w:t>
            </w:r>
          </w:p>
        </w:tc>
      </w:tr>
      <w:tr w:rsidR="00381357" w:rsidRPr="00EB1066" w14:paraId="21349C27" w14:textId="77777777" w:rsidTr="000E7DB9">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shd w:val="clear" w:color="auto" w:fill="D9E2F3" w:themeFill="accent1" w:themeFillTint="33"/>
            <w:vAlign w:val="center"/>
          </w:tcPr>
          <w:p w14:paraId="5B5CFBFB" w14:textId="0BCB3CBB" w:rsidR="005353DB" w:rsidRPr="00EB1066" w:rsidRDefault="005353DB" w:rsidP="00A0384F">
            <w:pPr>
              <w:pStyle w:val="CMR-tables"/>
              <w:keepNext/>
              <w:rPr>
                <w:rFonts w:cs="Times New Roman"/>
                <w:i w:val="0"/>
                <w:noProof/>
                <w:szCs w:val="20"/>
              </w:rPr>
            </w:pPr>
            <w:r>
              <w:rPr>
                <w:i w:val="0"/>
                <w:noProof/>
              </w:rPr>
              <w:t>Pajamos, kurios, kaip pranešta, panaudotos finansuojant pagalbą dėl netiesioginių išlaidų, patiriamų dėl išmetamo anglies dioksido</w:t>
            </w:r>
          </w:p>
        </w:tc>
        <w:tc>
          <w:tcPr>
            <w:tcW w:w="2068" w:type="dxa"/>
            <w:shd w:val="clear" w:color="auto" w:fill="D9E2F3" w:themeFill="accent1" w:themeFillTint="33"/>
            <w:vAlign w:val="center"/>
          </w:tcPr>
          <w:p w14:paraId="193BABA5" w14:textId="5CE8BF04" w:rsidR="005353DB" w:rsidRPr="00EB1066" w:rsidRDefault="438D9322" w:rsidP="4F1F6D99">
            <w:pPr>
              <w:pStyle w:val="CMR-tables"/>
              <w:keepNext/>
              <w:jc w:val="right"/>
              <w:cnfStyle w:val="000000100000" w:firstRow="0" w:lastRow="0" w:firstColumn="0" w:lastColumn="0" w:oddVBand="0" w:evenVBand="0" w:oddHBand="1" w:evenHBand="0" w:firstRowFirstColumn="0" w:firstRowLastColumn="0" w:lastRowFirstColumn="0" w:lastRowLastColumn="0"/>
              <w:rPr>
                <w:rFonts w:cs="Times New Roman"/>
                <w:noProof/>
                <w:szCs w:val="20"/>
              </w:rPr>
            </w:pPr>
            <w:r>
              <w:rPr>
                <w:noProof/>
              </w:rPr>
              <w:t>3,2</w:t>
            </w:r>
          </w:p>
        </w:tc>
      </w:tr>
      <w:tr w:rsidR="00C4058D" w:rsidRPr="00EB1066" w14:paraId="6CB75938" w14:textId="77777777" w:rsidTr="000E7DB9">
        <w:trPr>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vAlign w:val="center"/>
          </w:tcPr>
          <w:p w14:paraId="3C90A9CF" w14:textId="2E314CC1" w:rsidR="005353DB" w:rsidRPr="00EB1066" w:rsidRDefault="2AC4E0C5" w:rsidP="00195726">
            <w:pPr>
              <w:pStyle w:val="CMR-tables"/>
              <w:keepNext/>
              <w:rPr>
                <w:rFonts w:cs="Times New Roman"/>
                <w:i w:val="0"/>
                <w:noProof/>
                <w:szCs w:val="20"/>
              </w:rPr>
            </w:pPr>
            <w:r>
              <w:rPr>
                <w:i w:val="0"/>
                <w:noProof/>
              </w:rPr>
              <w:t>Pajamos, kurias apima 10 straipsnio 3 dalyje nustatyta pareiga ir kurių lėšos išmokėtos 2024 m.</w:t>
            </w:r>
          </w:p>
        </w:tc>
        <w:tc>
          <w:tcPr>
            <w:tcW w:w="2068" w:type="dxa"/>
            <w:vAlign w:val="center"/>
          </w:tcPr>
          <w:p w14:paraId="14CF3881" w14:textId="1FC63386" w:rsidR="005353DB" w:rsidRPr="00EB1066" w:rsidRDefault="570CF98E" w:rsidP="4F1F6D99">
            <w:pPr>
              <w:pStyle w:val="CMR-tables"/>
              <w:keepNext/>
              <w:jc w:val="right"/>
              <w:cnfStyle w:val="000000000000" w:firstRow="0" w:lastRow="0" w:firstColumn="0" w:lastColumn="0" w:oddVBand="0" w:evenVBand="0" w:oddHBand="0" w:evenHBand="0" w:firstRowFirstColumn="0" w:firstRowLastColumn="0" w:lastRowFirstColumn="0" w:lastRowLastColumn="0"/>
              <w:rPr>
                <w:rFonts w:cs="Times New Roman"/>
                <w:noProof/>
                <w:szCs w:val="20"/>
              </w:rPr>
            </w:pPr>
            <w:r>
              <w:rPr>
                <w:noProof/>
              </w:rPr>
              <w:t>16,4</w:t>
            </w:r>
          </w:p>
        </w:tc>
      </w:tr>
      <w:tr w:rsidR="00381357" w:rsidRPr="00EB1066" w14:paraId="7B6C31E7" w14:textId="77777777" w:rsidTr="000E7DB9">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shd w:val="clear" w:color="auto" w:fill="D9E2F3" w:themeFill="accent1" w:themeFillTint="33"/>
            <w:vAlign w:val="center"/>
          </w:tcPr>
          <w:p w14:paraId="50E6A790" w14:textId="48AF8281" w:rsidR="005353DB" w:rsidRPr="00EB1066" w:rsidRDefault="00F40F1A" w:rsidP="00A0384F">
            <w:pPr>
              <w:pStyle w:val="CMR-tables"/>
              <w:keepNext/>
              <w:rPr>
                <w:rFonts w:cs="Times New Roman"/>
                <w:i w:val="0"/>
                <w:noProof/>
                <w:szCs w:val="20"/>
              </w:rPr>
            </w:pPr>
            <w:r>
              <w:rPr>
                <w:i w:val="0"/>
                <w:noProof/>
              </w:rPr>
              <w:t>2024 m. valstybių narių surinktos pajamos, kurias apima 10 straipsnio 3 dalyje nustatyta pareiga ir kurias įsipareigota tam panaudoti</w:t>
            </w:r>
          </w:p>
        </w:tc>
        <w:tc>
          <w:tcPr>
            <w:tcW w:w="2068" w:type="dxa"/>
            <w:shd w:val="clear" w:color="auto" w:fill="D9E2F3" w:themeFill="accent1" w:themeFillTint="33"/>
            <w:vAlign w:val="center"/>
          </w:tcPr>
          <w:p w14:paraId="3BB720A5" w14:textId="7C6354E1" w:rsidR="005353DB" w:rsidRPr="00EB1066" w:rsidRDefault="11F29C02" w:rsidP="4F1F6D99">
            <w:pPr>
              <w:pStyle w:val="CMR-tables"/>
              <w:keepNext/>
              <w:jc w:val="right"/>
              <w:cnfStyle w:val="000000100000" w:firstRow="0" w:lastRow="0" w:firstColumn="0" w:lastColumn="0" w:oddVBand="0" w:evenVBand="0" w:oddHBand="1" w:evenHBand="0" w:firstRowFirstColumn="0" w:firstRowLastColumn="0" w:lastRowFirstColumn="0" w:lastRowLastColumn="0"/>
              <w:rPr>
                <w:rFonts w:cs="Times New Roman"/>
                <w:noProof/>
                <w:szCs w:val="20"/>
              </w:rPr>
            </w:pPr>
            <w:r>
              <w:rPr>
                <w:noProof/>
              </w:rPr>
              <w:t>0,5</w:t>
            </w:r>
          </w:p>
        </w:tc>
      </w:tr>
      <w:tr w:rsidR="00C4058D" w:rsidRPr="00EB1066" w14:paraId="7E837526" w14:textId="77777777" w:rsidTr="000E7DB9">
        <w:trPr>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vAlign w:val="center"/>
          </w:tcPr>
          <w:p w14:paraId="243B7E66" w14:textId="102E70CC" w:rsidR="00F40F1A" w:rsidRPr="00EB1066" w:rsidRDefault="001758B7" w:rsidP="00A0384F">
            <w:pPr>
              <w:pStyle w:val="CMR-tables"/>
              <w:keepNext/>
              <w:rPr>
                <w:rFonts w:cs="Times New Roman"/>
                <w:i w:val="0"/>
                <w:noProof/>
                <w:szCs w:val="20"/>
              </w:rPr>
            </w:pPr>
            <w:r>
              <w:rPr>
                <w:i w:val="0"/>
                <w:noProof/>
              </w:rPr>
              <w:t>2024 m. valstybių narių surinktos pajamos, kurių lėšas dar reikia paskirstyti ir išmokėti ir apie kurių panaudojimą reikia</w:t>
            </w:r>
            <w:r>
              <w:rPr>
                <w:noProof/>
              </w:rPr>
              <w:t xml:space="preserve"> </w:t>
            </w:r>
            <w:r>
              <w:rPr>
                <w:i w:val="0"/>
                <w:noProof/>
              </w:rPr>
              <w:t>pranešti</w:t>
            </w:r>
          </w:p>
        </w:tc>
        <w:tc>
          <w:tcPr>
            <w:tcW w:w="2068" w:type="dxa"/>
            <w:vAlign w:val="center"/>
          </w:tcPr>
          <w:p w14:paraId="196CD065" w14:textId="0367C4C3" w:rsidR="00F40F1A" w:rsidRPr="00EB1066" w:rsidRDefault="29EF7875" w:rsidP="4F1F6D99">
            <w:pPr>
              <w:pStyle w:val="CMR-tables"/>
              <w:keepNext/>
              <w:jc w:val="right"/>
              <w:cnfStyle w:val="000000000000" w:firstRow="0" w:lastRow="0" w:firstColumn="0" w:lastColumn="0" w:oddVBand="0" w:evenVBand="0" w:oddHBand="0" w:evenHBand="0" w:firstRowFirstColumn="0" w:firstRowLastColumn="0" w:lastRowFirstColumn="0" w:lastRowLastColumn="0"/>
              <w:rPr>
                <w:rFonts w:cs="Times New Roman"/>
                <w:noProof/>
                <w:szCs w:val="20"/>
              </w:rPr>
            </w:pPr>
            <w:r>
              <w:rPr>
                <w:noProof/>
              </w:rPr>
              <w:t>4,3</w:t>
            </w:r>
          </w:p>
        </w:tc>
      </w:tr>
    </w:tbl>
    <w:p w14:paraId="42EB1128" w14:textId="784B3701" w:rsidR="003B1D7C" w:rsidRPr="00685D02" w:rsidRDefault="7B5FD863" w:rsidP="4F1F6D99">
      <w:pPr>
        <w:pStyle w:val="CMR-text"/>
        <w:rPr>
          <w:rFonts w:cs="Times New Roman"/>
          <w:noProof/>
        </w:rPr>
      </w:pPr>
      <w:r>
        <w:rPr>
          <w:noProof/>
        </w:rPr>
        <w:t>Iš 16,4 mlrd. EUR pajamų, apie kurių gavimą ir išmokėjimą 2024 m. 10 straipsnio 3 dalies tikslais yra pranešta, 3,2 mlrd. EUR buvo panaudota energijos tiekimo (atsinaujinančiųjų išteklių, tinklų ir energijos kaupimo), 3,3 mlrd. EUR – pastatų energijos vartojimo efektyvumo, šildymo ir vėsinimo ir 3,6 mlrd. EUR – viešojo transporto ir judumo projektams. Pavyzdžiai: dotacijos jūros vėjo elektrinių ir biodujų infrastruktūros patobulinimams Danijoje, esminės renovacijos projektai Lietuvoje, kuriuos įgyvendinant bent 40 proc. sumažinamas gyvenamuosiuose pastatuose suvartojamas šilumos kiekis, ir investicijos Slovėnijoje į geležinkelių transportą bei dviračių takus.</w:t>
      </w:r>
    </w:p>
    <w:p w14:paraId="005D502B" w14:textId="22AEBCE2" w:rsidR="0075066F" w:rsidRPr="00685D02" w:rsidRDefault="63248229" w:rsidP="008C7E4E">
      <w:pPr>
        <w:pStyle w:val="CMR-text"/>
        <w:rPr>
          <w:rFonts w:cs="Times New Roman"/>
          <w:noProof/>
        </w:rPr>
      </w:pPr>
      <w:r>
        <w:rPr>
          <w:noProof/>
        </w:rPr>
        <w:t xml:space="preserve">Be to, valstybės narės pranešė 0,8 mlrd. EUR panaudojusios pramonės dekarbonizacijos (mažo anglies dioksido pėdsako technologijų, CCUS ir energijos vartojimo efektyvumo pramonėje, išskyrus energetikos sektorių) projektams, įskaitant vandenilio projektų finansavimą siekiant Vokietijos pramonės dekarbonizacijos. </w:t>
      </w:r>
    </w:p>
    <w:p w14:paraId="2B781472" w14:textId="25A9203B" w:rsidR="00D03EE3" w:rsidRPr="00685D02" w:rsidRDefault="508137E0" w:rsidP="008C7E4E">
      <w:pPr>
        <w:pStyle w:val="CMR-text"/>
        <w:rPr>
          <w:rFonts w:cs="Times New Roman"/>
          <w:noProof/>
        </w:rPr>
      </w:pPr>
      <w:r>
        <w:rPr>
          <w:noProof/>
        </w:rPr>
        <w:t xml:space="preserve">Valstybės narės taip pat pranešė 1,4 mlrd. EUR panaudojusios socialinės paramos ir teisingos pertvarkos kategorijos priemonėms ir projektams, įskaitant Graikijos žaliąjį fondą, kuris finansuoja veiksmus regionų, mažinančių savo ekonomikos priklausomybę nuo iškastinio kuro, vystymosi labui, taip pat miškų apsaugos ir tvarkymo projektus. </w:t>
      </w:r>
    </w:p>
    <w:p w14:paraId="46ADA7E2" w14:textId="0B66F4E3" w:rsidR="71DAA29C" w:rsidRPr="00685D02" w:rsidRDefault="71DAA29C" w:rsidP="2B39CB23">
      <w:pPr>
        <w:pStyle w:val="CMR-text"/>
        <w:rPr>
          <w:rFonts w:cs="Times New Roman"/>
          <w:noProof/>
        </w:rPr>
      </w:pPr>
      <w:r>
        <w:rPr>
          <w:noProof/>
        </w:rPr>
        <w:t>Be to, valstybės narės pranešė 0,5 mlrd. EUR panaudojusios kelių transporto (automobilių, sunkvežimių) kategorijos priemonėms, įskaitant finansinę paramą elektrinėms ir (arba) hibridinėms transporto priemonėms pirkti Švedijoje, Latvijoje, Rumunijoje ir Maltoje.</w:t>
      </w:r>
    </w:p>
    <w:p w14:paraId="3F9C7461" w14:textId="439A698A" w:rsidR="00E51274" w:rsidRPr="00685D02" w:rsidRDefault="5CC62F55" w:rsidP="004B0B27">
      <w:pPr>
        <w:pStyle w:val="CMR-text"/>
        <w:rPr>
          <w:rFonts w:cs="Times New Roman"/>
          <w:noProof/>
        </w:rPr>
      </w:pPr>
      <w:r>
        <w:rPr>
          <w:noProof/>
        </w:rPr>
        <w:t xml:space="preserve">Dėl 2,8 mlrd. EUR lėšų, išmokėtų 2024 m., valstybės narės nurodė, kad jos panaudotos veiksmams, kurie arba neatitinka jokios iš šablonuose nurodytų kategorijų, arba atitinka kelias kategorijas (šiais atvejais valstybės narės nurodė kategoriją „Kita“). Pavyzdžiai: biologinės įvairovės fondas Ispanijoje, teikiantis galimybių atkurti ekosistemas, diegti atsinaujinančiųjų išteklių energetiką kaimo vietovėse ir taikyti tvarią žemės naudojimo praktiką, kuria didinama biologinė įvairovė ir kartu pasiekiamas išmatuojamas išmetamųjų teršalų kiekio sumažinimas kraštovaizdžio lygmeniu, kuriuo tai gali būti įgyvendinama didesniu mastu. </w:t>
      </w:r>
    </w:p>
    <w:p w14:paraId="61FDE183" w14:textId="4EA0346B" w:rsidR="00C64C83" w:rsidRPr="00685D02" w:rsidRDefault="00C64C83" w:rsidP="004B0B27">
      <w:pPr>
        <w:pStyle w:val="CMR-text"/>
        <w:rPr>
          <w:rFonts w:cs="Times New Roman"/>
          <w:noProof/>
        </w:rPr>
      </w:pPr>
      <w:r>
        <w:rPr>
          <w:noProof/>
        </w:rPr>
        <w:t xml:space="preserve">7 pav. apibendrintas valstybių narių iš ATLPS gautų pajamų panaudojimas pagal įvairias kategorijas. </w:t>
      </w:r>
    </w:p>
    <w:p w14:paraId="4222462D" w14:textId="2A18426C" w:rsidR="009019DC" w:rsidRPr="00685D02" w:rsidRDefault="009019DC" w:rsidP="009019DC">
      <w:pPr>
        <w:pStyle w:val="CMR-text"/>
        <w:keepNext/>
        <w:rPr>
          <w:rFonts w:cs="Times New Roman"/>
          <w:noProof/>
          <w:highlight w:val="yellow"/>
          <w:lang w:val="en-IE"/>
        </w:rPr>
      </w:pPr>
    </w:p>
    <w:p w14:paraId="7AF12026" w14:textId="6D44CE19" w:rsidR="00BB5240" w:rsidRPr="00685D02" w:rsidRDefault="00BC2F1D" w:rsidP="009019DC">
      <w:pPr>
        <w:pStyle w:val="CMR-text"/>
        <w:keepNext/>
        <w:rPr>
          <w:rFonts w:cs="Times New Roman"/>
          <w:noProof/>
          <w:highlight w:val="yellow"/>
        </w:rPr>
      </w:pPr>
      <w:r w:rsidRPr="00BC2F1D">
        <w:rPr>
          <w:noProof/>
          <w:highlight w:val="yellow"/>
          <w:lang w:val="en-GB" w:eastAsia="en-GB"/>
        </w:rPr>
        <w:drawing>
          <wp:inline distT="0" distB="0" distL="0" distR="0" wp14:anchorId="09C89B92" wp14:editId="7BFE7E6B">
            <wp:extent cx="5425440" cy="3314065"/>
            <wp:effectExtent l="0" t="0" r="3810" b="635"/>
            <wp:docPr id="8174684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5440" cy="3314065"/>
                    </a:xfrm>
                    <a:prstGeom prst="rect">
                      <a:avLst/>
                    </a:prstGeom>
                    <a:noFill/>
                    <a:ln>
                      <a:noFill/>
                    </a:ln>
                  </pic:spPr>
                </pic:pic>
              </a:graphicData>
            </a:graphic>
          </wp:inline>
        </w:drawing>
      </w:r>
    </w:p>
    <w:p w14:paraId="76EBA519" w14:textId="790F2277" w:rsidR="002D1FDB" w:rsidRPr="00EB1066" w:rsidRDefault="27A8E07F" w:rsidP="007C0CA9">
      <w:pPr>
        <w:pStyle w:val="Caption"/>
        <w:rPr>
          <w:noProof/>
          <w:sz w:val="20"/>
        </w:rPr>
      </w:pPr>
      <w:bookmarkStart w:id="54" w:name="_Ref178859783"/>
      <w:r>
        <w:rPr>
          <w:noProof/>
          <w:sz w:val="20"/>
        </w:rPr>
        <w:t>7 pav</w:t>
      </w:r>
      <w:r>
        <w:rPr>
          <w:noProof/>
          <w:sz w:val="20"/>
          <w:highlight w:val="yellow"/>
        </w:rPr>
        <w:fldChar w:fldCharType="begin"/>
      </w:r>
      <w:r>
        <w:rPr>
          <w:noProof/>
          <w:sz w:val="20"/>
          <w:highlight w:val="yellow"/>
        </w:rPr>
        <w:instrText xml:space="preserve"> SEQ Figure \* ARABIC </w:instrText>
      </w:r>
      <w:r>
        <w:rPr>
          <w:noProof/>
          <w:sz w:val="20"/>
          <w:highlight w:val="yellow"/>
        </w:rPr>
        <w:fldChar w:fldCharType="end"/>
      </w:r>
      <w:bookmarkEnd w:id="54"/>
      <w:r>
        <w:rPr>
          <w:noProof/>
          <w:sz w:val="20"/>
        </w:rPr>
        <w:t>. 2024 m. ATLPS aukcionų 16,4 mlrd. EUR pajamų, kurių lėšos, kaip pranešta, jau yra išmokėtos, išskaidymas pagal kategorijas. Į kartu sudėtas kategorijas po mažiau nei 500 mln. EUR įeina (sumos nurodytos mln. EUR): prisitaikymas prie klimato kaitos (105), tarptautiniai tikslai ir tarptautinis kovos su klimato kaita finansavimas (94), anglies dioksido absorbavimas LULUCF sektoriuje, žemės ūkyje ir dėl su žeme susijusios veiklos (349), administracinės išlaidos (50), atliekų tvarkymas (28), jūrų transportas (29), aviacija (14), ilgalaikis anglies dioksido absorbavimas (3).</w:t>
      </w:r>
    </w:p>
    <w:p w14:paraId="0FCCEF92" w14:textId="35CF1A54" w:rsidR="004B0B27" w:rsidRPr="00685D02" w:rsidRDefault="4B29D129" w:rsidP="004B0B27">
      <w:pPr>
        <w:pStyle w:val="CMR-text"/>
        <w:rPr>
          <w:rFonts w:cs="Times New Roman"/>
          <w:noProof/>
          <w:highlight w:val="yellow"/>
        </w:rPr>
      </w:pPr>
      <w:r>
        <w:rPr>
          <w:noProof/>
        </w:rPr>
        <w:t xml:space="preserve">ES ATLPS aukcionų pajamos yra svarbus įnašas finansuojant šiuos ir daugelį kitų įtakingų klimato politikos veiksmų ir energetikos pertvarkos projektų valstybėse narėse. Šiais projektais ne tik padedama mažinti išmetamųjų teršalų kiekį, bet ir užtikrinama, kad žalioji pertvarka būtų teisinga. Svarbu, kad valstybės narės stengtųsi užtikrinti ATLPS pajamų lėšomis finansuojamų veiksmų ar projektų finansavimo šaltinio matomumą, taigi būtų parodytas ES ATLPS įnašas į dekarbonizacijos pažangą ir teisingą pertvarką. Dėl daugumos 2024 m. veiksmų, apie kuriuos pranešta, neaišku, ar ES ATLPS yra aiškiai nurodoma ir skelbiama kaip finansavimo šaltinis; Komisija ketina toliau aiškintis šį klausimą. </w:t>
      </w:r>
    </w:p>
    <w:p w14:paraId="331E7ED5" w14:textId="3A12A02C" w:rsidR="00836A03" w:rsidRPr="00685D02" w:rsidRDefault="0789B65D" w:rsidP="008C7E4E">
      <w:pPr>
        <w:pStyle w:val="CMR-text"/>
        <w:rPr>
          <w:rFonts w:cs="Times New Roman"/>
          <w:noProof/>
          <w:highlight w:val="lightGray"/>
        </w:rPr>
      </w:pPr>
      <w:r>
        <w:rPr>
          <w:noProof/>
        </w:rPr>
        <w:t>Apžvalga, kaip kiekviena valstybė narė panaudojo savo pajamas iš ATLPS, pateikiama 2025 m. klimato politikos veiksmų pažangos ataskaitoje, prie jos pridedamame Komisijos tarnybų darbiniame dokumente</w:t>
      </w:r>
      <w:r>
        <w:rPr>
          <w:rStyle w:val="FootnoteReference"/>
          <w:rFonts w:cs="Times New Roman"/>
          <w:noProof/>
          <w:lang w:val="en-IE"/>
        </w:rPr>
        <w:footnoteReference w:id="58"/>
      </w:r>
      <w:r>
        <w:rPr>
          <w:noProof/>
        </w:rPr>
        <w:t xml:space="preserve">. </w:t>
      </w:r>
    </w:p>
    <w:p w14:paraId="22A46E0F" w14:textId="10C330E5" w:rsidR="00613B80" w:rsidRPr="00EC4FC3" w:rsidRDefault="00274D7B" w:rsidP="00EC4FC3">
      <w:pPr>
        <w:pStyle w:val="CMR-Subheading"/>
        <w:rPr>
          <w:noProof/>
        </w:rPr>
      </w:pPr>
      <w:bookmarkStart w:id="55" w:name="_Toc180513404"/>
      <w:bookmarkStart w:id="56" w:name="_Toc219127276"/>
      <w:bookmarkStart w:id="57" w:name="_Ref207549666"/>
      <w:r>
        <w:rPr>
          <w:noProof/>
        </w:rPr>
        <w:t>Pagalba padengti netiesiogines išlaidas</w:t>
      </w:r>
      <w:bookmarkEnd w:id="55"/>
      <w:bookmarkEnd w:id="56"/>
      <w:r>
        <w:rPr>
          <w:noProof/>
        </w:rPr>
        <w:t xml:space="preserve"> </w:t>
      </w:r>
      <w:bookmarkEnd w:id="57"/>
    </w:p>
    <w:p w14:paraId="2493D434" w14:textId="7D20BDC4" w:rsidR="00276413" w:rsidRPr="00685D02" w:rsidRDefault="00276413" w:rsidP="50C721A3">
      <w:pPr>
        <w:pStyle w:val="CMR-text"/>
        <w:rPr>
          <w:rFonts w:cs="Times New Roman"/>
          <w:noProof/>
        </w:rPr>
      </w:pPr>
      <w:bookmarkStart w:id="58" w:name="_Hlk212199126"/>
      <w:r>
        <w:rPr>
          <w:noProof/>
        </w:rPr>
        <w:t xml:space="preserve">Pagal ES ATLPS direktyvos 10a straipsnio 6 dalį, valstybės narės raginamos priimti finansines priemones, skirtas sektoriams ar jų dalims, kuriuose dėl didelių netiesioginių išlaidų, patiriamų dėl išmetamo anglies dioksido, yra reali anglies dioksido nutekėjimo rizika. Tai reiškia, kad išlaidas dėl išmetamo anglies dioksido tenka apmokėti daug elektros energijos naudojančių pramonės šakų dalyviams (pagal sąskaitas už elektros energiją), nes energetikos bendrovės perka ATLPS apyvartinius taršos leidimus. </w:t>
      </w:r>
    </w:p>
    <w:bookmarkEnd w:id="58"/>
    <w:p w14:paraId="5D3A6959" w14:textId="163FA6F4" w:rsidR="00556519" w:rsidRPr="00685D02" w:rsidRDefault="00C766D6" w:rsidP="00CC1F95">
      <w:pPr>
        <w:pStyle w:val="CMR-text"/>
        <w:rPr>
          <w:rFonts w:cs="Times New Roman"/>
          <w:noProof/>
        </w:rPr>
      </w:pPr>
      <w:r>
        <w:rPr>
          <w:noProof/>
        </w:rPr>
        <w:t>Komisija priėmė ES ATLPS valstybės pagalbos gaires, kad būtų suderintos sąlygos, kuriomis valstybės narės teikia šią pagalbą, ir kuo labiau sumažėtų konkurencijos iškraipymų vidaus rinkoje</w:t>
      </w:r>
      <w:r>
        <w:rPr>
          <w:rStyle w:val="FootnoteReference"/>
          <w:rFonts w:cs="Times New Roman"/>
          <w:noProof/>
          <w:lang w:val="en-IE"/>
        </w:rPr>
        <w:footnoteReference w:id="59"/>
      </w:r>
      <w:r>
        <w:rPr>
          <w:noProof/>
        </w:rPr>
        <w:t xml:space="preserve">. Šiose gairėse nurodyta, kuriuose sektoriuose dėl netiesioginių išlaidų, patiriamų dėl išmetamų ŠESD, yra reali anglies dioksido nutekėjimo rizika, ir nustatyta, kad pagalbos gavėjai turėtų dalį pagalbos lėšų reinvestuoti į projektus, kuriais mažinamas tiesioginis ar netiesioginis jų anglies pėdsakas, taigi ir jų anglies dioksido nutekėjimo rizika. </w:t>
      </w:r>
    </w:p>
    <w:p w14:paraId="21FD8903" w14:textId="30EBC02F" w:rsidR="00CC1F95" w:rsidRPr="00685D02" w:rsidRDefault="00CC1F95" w:rsidP="00CC1F95">
      <w:pPr>
        <w:pStyle w:val="CMR-text"/>
        <w:rPr>
          <w:rFonts w:cs="Times New Roman"/>
          <w:noProof/>
        </w:rPr>
      </w:pPr>
      <w:r>
        <w:rPr>
          <w:noProof/>
        </w:rPr>
        <w:t>Kiekviena valstybė narė, teikianti valstybės pagalbą netiesioginėms dėl išmetamų ŠESD patiriamoms išlaidoms kompensuoti, yra apie savo pagalbos schemą pranešusi Komisijai, kad būtų atliktas valstybės pagalbos vertinimas, ir gavusi patvirtinimą, kad ta pagalbos schema yra suderinama su vidaus rinka. Valstybės narės, teikiančios tokią kompensaciją, privalo skelbti bendrą išmokėtų kompensacijų sumą, įskaitant išskaidymą pagal pagalbos sektorius ar sektorių dalis.</w:t>
      </w:r>
    </w:p>
    <w:p w14:paraId="6758AC4F" w14:textId="4032DB90" w:rsidR="001E57D5" w:rsidRPr="00685D02" w:rsidRDefault="001E57D5" w:rsidP="00854C42">
      <w:pPr>
        <w:pStyle w:val="CMR-text"/>
        <w:rPr>
          <w:rFonts w:cs="Times New Roman"/>
          <w:noProof/>
        </w:rPr>
      </w:pPr>
      <w:r>
        <w:rPr>
          <w:noProof/>
        </w:rPr>
        <w:t xml:space="preserve">2024 m. 15 valstybių narių suteikė pagalbą padengti netiesiogines išlaidas, patirtas 2023 m. Tai tiek pat, kiek ir praėjusiais metais. Tačiau šios šalių grupės sudėtis pasikeitė: Austrijoje laikinos paramos schemos galiojimas baigėsi, o Nyderlanduose vėl pradėtos mokėti išmokos. </w:t>
      </w:r>
    </w:p>
    <w:p w14:paraId="43C775EF" w14:textId="02414915" w:rsidR="001E57D5" w:rsidRPr="00685D02" w:rsidRDefault="00AC538D" w:rsidP="00854C42">
      <w:pPr>
        <w:pStyle w:val="CMR-text"/>
        <w:rPr>
          <w:rFonts w:cs="Times New Roman"/>
          <w:noProof/>
        </w:rPr>
      </w:pPr>
      <w:r>
        <w:rPr>
          <w:noProof/>
        </w:rPr>
        <w:t xml:space="preserve">6 lentelėje apibendrinamos valstybių narių atliktos išmokos ir jos palyginamos su 2023 m. aukcionų pajamomis. 2024 m. visos išmokos netiesioginėms išlaidoms padengti sudarė apie 5,52 mlrd. EUR. Tai 40 proc. daugiau, palyginti su 2023 m. išmokėtais 3,95 mlrd. EUR, o įrenginių, dėl kurių gaunama pagalba, skaičius iš esmės nepakito ir liko apie 1 850. </w:t>
      </w:r>
    </w:p>
    <w:p w14:paraId="62092554" w14:textId="731E29EE" w:rsidR="004722B7" w:rsidRPr="00EB1066" w:rsidRDefault="004722B7" w:rsidP="00854C42">
      <w:pPr>
        <w:pStyle w:val="Caption"/>
        <w:keepNext/>
        <w:rPr>
          <w:noProof/>
          <w:sz w:val="20"/>
        </w:rPr>
      </w:pPr>
      <w:bookmarkStart w:id="59" w:name="_Ref206588751"/>
      <w:r>
        <w:rPr>
          <w:noProof/>
          <w:sz w:val="20"/>
        </w:rPr>
        <w:t>6 lentelė</w:t>
      </w:r>
      <w:bookmarkEnd w:id="59"/>
      <w:r>
        <w:rPr>
          <w:noProof/>
          <w:sz w:val="20"/>
        </w:rPr>
        <w:t>. Iš ATLPS aukcionų pajamų 2024 m. mokėtų pagalbos išmokų, skirtų 2023 m. patirtoms netiesioginėms išlaidoms padengti, sumos.</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972"/>
        <w:gridCol w:w="1760"/>
        <w:gridCol w:w="1760"/>
        <w:gridCol w:w="1760"/>
        <w:gridCol w:w="1764"/>
      </w:tblGrid>
      <w:tr w:rsidR="001E57D5" w:rsidRPr="00EB1066" w14:paraId="32CFDBDB" w14:textId="77777777" w:rsidTr="00EB1066">
        <w:trPr>
          <w:trHeight w:val="300"/>
        </w:trPr>
        <w:tc>
          <w:tcPr>
            <w:tcW w:w="1094" w:type="pct"/>
            <w:tcMar>
              <w:left w:w="108" w:type="dxa"/>
              <w:right w:w="108" w:type="dxa"/>
            </w:tcMar>
            <w:vAlign w:val="center"/>
          </w:tcPr>
          <w:p w14:paraId="7A2E3D5D" w14:textId="77777777" w:rsidR="001E57D5" w:rsidRPr="00EB1066" w:rsidRDefault="001E57D5" w:rsidP="00711452">
            <w:pPr>
              <w:pStyle w:val="CMR-text"/>
              <w:spacing w:before="0" w:after="0"/>
              <w:jc w:val="left"/>
              <w:rPr>
                <w:rFonts w:cs="Times New Roman"/>
                <w:noProof/>
                <w:sz w:val="20"/>
                <w:szCs w:val="20"/>
              </w:rPr>
            </w:pPr>
            <w:r>
              <w:rPr>
                <w:b/>
                <w:noProof/>
                <w:sz w:val="20"/>
              </w:rPr>
              <w:t>Valstybė narė</w:t>
            </w:r>
          </w:p>
        </w:tc>
        <w:tc>
          <w:tcPr>
            <w:tcW w:w="976" w:type="pct"/>
            <w:tcMar>
              <w:left w:w="108" w:type="dxa"/>
              <w:right w:w="108" w:type="dxa"/>
            </w:tcMar>
            <w:vAlign w:val="center"/>
          </w:tcPr>
          <w:p w14:paraId="5AF51E4E" w14:textId="77777777" w:rsidR="001E57D5" w:rsidRPr="00EB1066" w:rsidRDefault="001E57D5" w:rsidP="00711452">
            <w:pPr>
              <w:pStyle w:val="CMR-text"/>
              <w:spacing w:before="0" w:after="0"/>
              <w:jc w:val="left"/>
              <w:rPr>
                <w:rFonts w:cs="Times New Roman"/>
                <w:noProof/>
                <w:sz w:val="20"/>
                <w:szCs w:val="20"/>
              </w:rPr>
            </w:pPr>
            <w:r>
              <w:rPr>
                <w:b/>
                <w:noProof/>
                <w:color w:val="000000" w:themeColor="text1"/>
                <w:sz w:val="20"/>
              </w:rPr>
              <w:t>Išmokų 2023 m. patirtoms netiesioginėms išlaidoms padengti suma (mln. EUR)</w:t>
            </w:r>
          </w:p>
        </w:tc>
        <w:tc>
          <w:tcPr>
            <w:tcW w:w="976" w:type="pct"/>
            <w:tcMar>
              <w:left w:w="108" w:type="dxa"/>
              <w:right w:w="108" w:type="dxa"/>
            </w:tcMar>
            <w:vAlign w:val="center"/>
          </w:tcPr>
          <w:p w14:paraId="08988A8E" w14:textId="77777777" w:rsidR="001E57D5" w:rsidRPr="00EB1066" w:rsidRDefault="001E57D5" w:rsidP="00711452">
            <w:pPr>
              <w:pStyle w:val="CMR-text"/>
              <w:spacing w:before="0" w:after="0"/>
              <w:jc w:val="left"/>
              <w:rPr>
                <w:rFonts w:cs="Times New Roman"/>
                <w:noProof/>
                <w:sz w:val="20"/>
                <w:szCs w:val="20"/>
              </w:rPr>
            </w:pPr>
            <w:r>
              <w:rPr>
                <w:b/>
                <w:noProof/>
                <w:color w:val="000000" w:themeColor="text1"/>
                <w:sz w:val="20"/>
              </w:rPr>
              <w:t>Gavėjų (įrenginių) skaičius</w:t>
            </w:r>
          </w:p>
        </w:tc>
        <w:tc>
          <w:tcPr>
            <w:tcW w:w="976" w:type="pct"/>
            <w:tcMar>
              <w:left w:w="108" w:type="dxa"/>
              <w:right w:w="108" w:type="dxa"/>
            </w:tcMar>
            <w:vAlign w:val="center"/>
          </w:tcPr>
          <w:p w14:paraId="5F08127F" w14:textId="77777777" w:rsidR="001E57D5" w:rsidRPr="00D036A1" w:rsidRDefault="001E57D5" w:rsidP="00711452">
            <w:pPr>
              <w:pStyle w:val="CMR-text"/>
              <w:spacing w:before="0" w:after="0"/>
              <w:jc w:val="left"/>
              <w:rPr>
                <w:rFonts w:cs="Times New Roman"/>
                <w:noProof/>
                <w:sz w:val="20"/>
                <w:szCs w:val="20"/>
              </w:rPr>
            </w:pPr>
            <w:r>
              <w:rPr>
                <w:b/>
                <w:noProof/>
                <w:color w:val="000000" w:themeColor="text1"/>
                <w:sz w:val="20"/>
              </w:rPr>
              <w:t>Aukcionų pajamos 2023 m.</w:t>
            </w:r>
            <w:hyperlink r:id="rId38" w:anchor="_ftn3">
              <w:r>
                <w:rPr>
                  <w:rStyle w:val="Hyperlink"/>
                  <w:b/>
                  <w:noProof/>
                  <w:color w:val="000000" w:themeColor="text1"/>
                  <w:sz w:val="20"/>
                  <w:vertAlign w:val="superscript"/>
                </w:rPr>
                <w:t>[3]</w:t>
              </w:r>
            </w:hyperlink>
            <w:r>
              <w:rPr>
                <w:b/>
                <w:noProof/>
                <w:color w:val="000000" w:themeColor="text1"/>
                <w:sz w:val="20"/>
              </w:rPr>
              <w:t xml:space="preserve"> (mln. EUR)</w:t>
            </w:r>
          </w:p>
        </w:tc>
        <w:tc>
          <w:tcPr>
            <w:tcW w:w="978" w:type="pct"/>
            <w:tcMar>
              <w:left w:w="108" w:type="dxa"/>
              <w:right w:w="108" w:type="dxa"/>
            </w:tcMar>
            <w:vAlign w:val="center"/>
          </w:tcPr>
          <w:p w14:paraId="53BA72B8" w14:textId="77777777" w:rsidR="001E57D5" w:rsidRPr="00EB1066" w:rsidRDefault="001E57D5" w:rsidP="00711452">
            <w:pPr>
              <w:pStyle w:val="CMR-text"/>
              <w:spacing w:before="0" w:after="0"/>
              <w:jc w:val="left"/>
              <w:rPr>
                <w:rFonts w:cs="Times New Roman"/>
                <w:noProof/>
                <w:sz w:val="20"/>
                <w:szCs w:val="20"/>
              </w:rPr>
            </w:pPr>
            <w:r>
              <w:rPr>
                <w:b/>
                <w:noProof/>
                <w:color w:val="000000" w:themeColor="text1"/>
                <w:sz w:val="20"/>
              </w:rPr>
              <w:t>Santykinis pagalbos padengti netiesiogines išlaidas dydis, palyginti su aukcionų pajamomis</w:t>
            </w:r>
          </w:p>
        </w:tc>
      </w:tr>
      <w:tr w:rsidR="008B4F92" w:rsidRPr="00EB1066" w14:paraId="1EEF044B" w14:textId="77777777" w:rsidTr="00EB1066">
        <w:trPr>
          <w:trHeight w:val="340"/>
        </w:trPr>
        <w:tc>
          <w:tcPr>
            <w:tcW w:w="1094" w:type="pct"/>
            <w:shd w:val="clear" w:color="auto" w:fill="D9E2F3" w:themeFill="accent1" w:themeFillTint="33"/>
            <w:tcMar>
              <w:left w:w="108" w:type="dxa"/>
              <w:right w:w="108" w:type="dxa"/>
            </w:tcMar>
            <w:vAlign w:val="center"/>
          </w:tcPr>
          <w:p w14:paraId="6B322052"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Belgija</w:t>
            </w:r>
          </w:p>
        </w:tc>
        <w:tc>
          <w:tcPr>
            <w:tcW w:w="976" w:type="pct"/>
            <w:shd w:val="clear" w:color="auto" w:fill="D9E2F3" w:themeFill="accent1" w:themeFillTint="33"/>
            <w:tcMar>
              <w:left w:w="108" w:type="dxa"/>
              <w:right w:w="108" w:type="dxa"/>
            </w:tcMar>
            <w:vAlign w:val="center"/>
          </w:tcPr>
          <w:p w14:paraId="7D0ED9BB"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249,9</w:t>
            </w:r>
          </w:p>
        </w:tc>
        <w:tc>
          <w:tcPr>
            <w:tcW w:w="976" w:type="pct"/>
            <w:shd w:val="clear" w:color="auto" w:fill="D9E2F3" w:themeFill="accent1" w:themeFillTint="33"/>
            <w:tcMar>
              <w:left w:w="108" w:type="dxa"/>
              <w:right w:w="108" w:type="dxa"/>
            </w:tcMar>
            <w:vAlign w:val="center"/>
          </w:tcPr>
          <w:p w14:paraId="3DC3C329" w14:textId="527A067B"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56</w:t>
            </w:r>
          </w:p>
        </w:tc>
        <w:tc>
          <w:tcPr>
            <w:tcW w:w="976" w:type="pct"/>
            <w:shd w:val="clear" w:color="auto" w:fill="D9E2F3" w:themeFill="accent1" w:themeFillTint="33"/>
            <w:tcMar>
              <w:left w:w="108" w:type="dxa"/>
              <w:right w:w="108" w:type="dxa"/>
            </w:tcMar>
            <w:vAlign w:val="center"/>
          </w:tcPr>
          <w:p w14:paraId="1A22C8D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739,9</w:t>
            </w:r>
          </w:p>
        </w:tc>
        <w:tc>
          <w:tcPr>
            <w:tcW w:w="978" w:type="pct"/>
            <w:shd w:val="clear" w:color="auto" w:fill="D9E2F3" w:themeFill="accent1" w:themeFillTint="33"/>
            <w:tcMar>
              <w:left w:w="108" w:type="dxa"/>
              <w:right w:w="108" w:type="dxa"/>
            </w:tcMar>
            <w:vAlign w:val="center"/>
          </w:tcPr>
          <w:p w14:paraId="437FF536"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33,8 %</w:t>
            </w:r>
          </w:p>
        </w:tc>
      </w:tr>
      <w:tr w:rsidR="001E57D5" w:rsidRPr="00EB1066" w14:paraId="763B75EE" w14:textId="77777777" w:rsidTr="00EB1066">
        <w:trPr>
          <w:trHeight w:val="340"/>
        </w:trPr>
        <w:tc>
          <w:tcPr>
            <w:tcW w:w="1094" w:type="pct"/>
            <w:tcMar>
              <w:left w:w="108" w:type="dxa"/>
              <w:right w:w="108" w:type="dxa"/>
            </w:tcMar>
            <w:vAlign w:val="center"/>
          </w:tcPr>
          <w:p w14:paraId="52846565"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Čekija</w:t>
            </w:r>
          </w:p>
        </w:tc>
        <w:tc>
          <w:tcPr>
            <w:tcW w:w="976" w:type="pct"/>
            <w:tcMar>
              <w:left w:w="108" w:type="dxa"/>
              <w:right w:w="108" w:type="dxa"/>
            </w:tcMar>
            <w:vAlign w:val="center"/>
          </w:tcPr>
          <w:p w14:paraId="3C32BDB7"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60,4</w:t>
            </w:r>
          </w:p>
        </w:tc>
        <w:tc>
          <w:tcPr>
            <w:tcW w:w="976" w:type="pct"/>
            <w:tcMar>
              <w:left w:w="108" w:type="dxa"/>
              <w:right w:w="108" w:type="dxa"/>
            </w:tcMar>
            <w:vAlign w:val="center"/>
          </w:tcPr>
          <w:p w14:paraId="01A4F026" w14:textId="2E577759"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23</w:t>
            </w:r>
          </w:p>
        </w:tc>
        <w:tc>
          <w:tcPr>
            <w:tcW w:w="976" w:type="pct"/>
            <w:tcMar>
              <w:left w:w="108" w:type="dxa"/>
              <w:right w:w="108" w:type="dxa"/>
            </w:tcMar>
            <w:vAlign w:val="center"/>
          </w:tcPr>
          <w:p w14:paraId="2F9D8D0A"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771,3</w:t>
            </w:r>
          </w:p>
        </w:tc>
        <w:tc>
          <w:tcPr>
            <w:tcW w:w="978" w:type="pct"/>
            <w:tcMar>
              <w:left w:w="108" w:type="dxa"/>
              <w:right w:w="108" w:type="dxa"/>
            </w:tcMar>
            <w:vAlign w:val="center"/>
          </w:tcPr>
          <w:p w14:paraId="4A388B0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7,8 %</w:t>
            </w:r>
          </w:p>
        </w:tc>
      </w:tr>
      <w:tr w:rsidR="008B4F92" w:rsidRPr="00EB1066" w14:paraId="7A9DB0D7" w14:textId="77777777" w:rsidTr="00EB1066">
        <w:trPr>
          <w:trHeight w:val="340"/>
        </w:trPr>
        <w:tc>
          <w:tcPr>
            <w:tcW w:w="1094" w:type="pct"/>
            <w:shd w:val="clear" w:color="auto" w:fill="D9E2F3" w:themeFill="accent1" w:themeFillTint="33"/>
            <w:tcMar>
              <w:left w:w="108" w:type="dxa"/>
              <w:right w:w="108" w:type="dxa"/>
            </w:tcMar>
            <w:vAlign w:val="center"/>
          </w:tcPr>
          <w:p w14:paraId="62282BE3"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Suomija</w:t>
            </w:r>
          </w:p>
        </w:tc>
        <w:tc>
          <w:tcPr>
            <w:tcW w:w="976" w:type="pct"/>
            <w:shd w:val="clear" w:color="auto" w:fill="D9E2F3" w:themeFill="accent1" w:themeFillTint="33"/>
            <w:tcMar>
              <w:left w:w="108" w:type="dxa"/>
              <w:right w:w="108" w:type="dxa"/>
            </w:tcMar>
            <w:vAlign w:val="center"/>
          </w:tcPr>
          <w:p w14:paraId="3A288A31"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143,2</w:t>
            </w:r>
          </w:p>
        </w:tc>
        <w:tc>
          <w:tcPr>
            <w:tcW w:w="976" w:type="pct"/>
            <w:shd w:val="clear" w:color="auto" w:fill="D9E2F3" w:themeFill="accent1" w:themeFillTint="33"/>
            <w:tcMar>
              <w:left w:w="108" w:type="dxa"/>
              <w:right w:w="108" w:type="dxa"/>
            </w:tcMar>
            <w:vAlign w:val="center"/>
          </w:tcPr>
          <w:p w14:paraId="404A54C4" w14:textId="6C8A62ED"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55</w:t>
            </w:r>
          </w:p>
        </w:tc>
        <w:tc>
          <w:tcPr>
            <w:tcW w:w="976" w:type="pct"/>
            <w:shd w:val="clear" w:color="auto" w:fill="D9E2F3" w:themeFill="accent1" w:themeFillTint="33"/>
            <w:tcMar>
              <w:left w:w="108" w:type="dxa"/>
              <w:right w:w="108" w:type="dxa"/>
            </w:tcMar>
            <w:vAlign w:val="center"/>
          </w:tcPr>
          <w:p w14:paraId="7EA2AA4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571,5</w:t>
            </w:r>
          </w:p>
        </w:tc>
        <w:tc>
          <w:tcPr>
            <w:tcW w:w="978" w:type="pct"/>
            <w:shd w:val="clear" w:color="auto" w:fill="D9E2F3" w:themeFill="accent1" w:themeFillTint="33"/>
            <w:tcMar>
              <w:left w:w="108" w:type="dxa"/>
              <w:right w:w="108" w:type="dxa"/>
            </w:tcMar>
            <w:vAlign w:val="center"/>
          </w:tcPr>
          <w:p w14:paraId="416C810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25,1 %</w:t>
            </w:r>
          </w:p>
        </w:tc>
      </w:tr>
      <w:tr w:rsidR="001E57D5" w:rsidRPr="00EB1066" w14:paraId="324135A0" w14:textId="77777777" w:rsidTr="00EB1066">
        <w:trPr>
          <w:trHeight w:val="340"/>
        </w:trPr>
        <w:tc>
          <w:tcPr>
            <w:tcW w:w="1094" w:type="pct"/>
            <w:tcMar>
              <w:left w:w="108" w:type="dxa"/>
              <w:right w:w="108" w:type="dxa"/>
            </w:tcMar>
            <w:vAlign w:val="center"/>
          </w:tcPr>
          <w:p w14:paraId="0E963220"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Prancūzija</w:t>
            </w:r>
          </w:p>
        </w:tc>
        <w:tc>
          <w:tcPr>
            <w:tcW w:w="976" w:type="pct"/>
            <w:tcMar>
              <w:left w:w="108" w:type="dxa"/>
              <w:right w:w="108" w:type="dxa"/>
            </w:tcMar>
            <w:vAlign w:val="center"/>
          </w:tcPr>
          <w:p w14:paraId="330DBF95"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908,8</w:t>
            </w:r>
          </w:p>
        </w:tc>
        <w:tc>
          <w:tcPr>
            <w:tcW w:w="976" w:type="pct"/>
            <w:tcMar>
              <w:left w:w="108" w:type="dxa"/>
              <w:right w:w="108" w:type="dxa"/>
            </w:tcMar>
            <w:vAlign w:val="center"/>
          </w:tcPr>
          <w:p w14:paraId="317B7552" w14:textId="140216E3"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293</w:t>
            </w:r>
          </w:p>
        </w:tc>
        <w:tc>
          <w:tcPr>
            <w:tcW w:w="976" w:type="pct"/>
            <w:tcMar>
              <w:left w:w="108" w:type="dxa"/>
              <w:right w:w="108" w:type="dxa"/>
            </w:tcMar>
            <w:vAlign w:val="center"/>
          </w:tcPr>
          <w:p w14:paraId="68509B7C"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2 060,1</w:t>
            </w:r>
          </w:p>
        </w:tc>
        <w:tc>
          <w:tcPr>
            <w:tcW w:w="978" w:type="pct"/>
            <w:tcMar>
              <w:left w:w="108" w:type="dxa"/>
              <w:right w:w="108" w:type="dxa"/>
            </w:tcMar>
            <w:vAlign w:val="center"/>
          </w:tcPr>
          <w:p w14:paraId="7769D5EF"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44,1 %</w:t>
            </w:r>
          </w:p>
        </w:tc>
      </w:tr>
      <w:tr w:rsidR="008B4F92" w:rsidRPr="00EB1066" w14:paraId="7AC3E53F" w14:textId="77777777" w:rsidTr="00EB1066">
        <w:trPr>
          <w:trHeight w:val="340"/>
        </w:trPr>
        <w:tc>
          <w:tcPr>
            <w:tcW w:w="1094" w:type="pct"/>
            <w:shd w:val="clear" w:color="auto" w:fill="D9E2F3" w:themeFill="accent1" w:themeFillTint="33"/>
            <w:tcMar>
              <w:left w:w="108" w:type="dxa"/>
              <w:right w:w="108" w:type="dxa"/>
            </w:tcMar>
            <w:vAlign w:val="center"/>
          </w:tcPr>
          <w:p w14:paraId="0AB3021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Vokietija</w:t>
            </w:r>
          </w:p>
        </w:tc>
        <w:tc>
          <w:tcPr>
            <w:tcW w:w="976" w:type="pct"/>
            <w:shd w:val="clear" w:color="auto" w:fill="D9E2F3" w:themeFill="accent1" w:themeFillTint="33"/>
            <w:tcMar>
              <w:left w:w="108" w:type="dxa"/>
              <w:right w:w="108" w:type="dxa"/>
            </w:tcMar>
            <w:vAlign w:val="center"/>
          </w:tcPr>
          <w:p w14:paraId="1063B9FF"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2 395,0</w:t>
            </w:r>
          </w:p>
        </w:tc>
        <w:tc>
          <w:tcPr>
            <w:tcW w:w="976" w:type="pct"/>
            <w:shd w:val="clear" w:color="auto" w:fill="D9E2F3" w:themeFill="accent1" w:themeFillTint="33"/>
            <w:tcMar>
              <w:left w:w="108" w:type="dxa"/>
              <w:right w:w="108" w:type="dxa"/>
            </w:tcMar>
            <w:vAlign w:val="center"/>
          </w:tcPr>
          <w:p w14:paraId="5CE3215C" w14:textId="2F34AE73"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707</w:t>
            </w:r>
          </w:p>
        </w:tc>
        <w:tc>
          <w:tcPr>
            <w:tcW w:w="976" w:type="pct"/>
            <w:shd w:val="clear" w:color="auto" w:fill="D9E2F3" w:themeFill="accent1" w:themeFillTint="33"/>
            <w:tcMar>
              <w:left w:w="108" w:type="dxa"/>
              <w:right w:w="108" w:type="dxa"/>
            </w:tcMar>
            <w:vAlign w:val="center"/>
          </w:tcPr>
          <w:p w14:paraId="1083A955"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7 582,5</w:t>
            </w:r>
          </w:p>
        </w:tc>
        <w:tc>
          <w:tcPr>
            <w:tcW w:w="978" w:type="pct"/>
            <w:shd w:val="clear" w:color="auto" w:fill="D9E2F3" w:themeFill="accent1" w:themeFillTint="33"/>
            <w:tcMar>
              <w:left w:w="108" w:type="dxa"/>
              <w:right w:w="108" w:type="dxa"/>
            </w:tcMar>
            <w:vAlign w:val="center"/>
          </w:tcPr>
          <w:p w14:paraId="2603CC5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31,6 %</w:t>
            </w:r>
          </w:p>
        </w:tc>
      </w:tr>
      <w:tr w:rsidR="008B4F92" w:rsidRPr="00EB1066" w14:paraId="3EE26B6A" w14:textId="77777777" w:rsidTr="00EB1066">
        <w:trPr>
          <w:trHeight w:val="340"/>
        </w:trPr>
        <w:tc>
          <w:tcPr>
            <w:tcW w:w="1094" w:type="pct"/>
            <w:tcMar>
              <w:left w:w="108" w:type="dxa"/>
              <w:right w:w="108" w:type="dxa"/>
            </w:tcMar>
            <w:vAlign w:val="center"/>
          </w:tcPr>
          <w:p w14:paraId="483E9D71"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Graikija</w:t>
            </w:r>
          </w:p>
        </w:tc>
        <w:tc>
          <w:tcPr>
            <w:tcW w:w="976" w:type="pct"/>
            <w:tcMar>
              <w:left w:w="108" w:type="dxa"/>
              <w:right w:w="108" w:type="dxa"/>
            </w:tcMar>
            <w:vAlign w:val="center"/>
          </w:tcPr>
          <w:p w14:paraId="252AE61F" w14:textId="7D1A1810" w:rsidR="001E57D5" w:rsidRPr="00EB1066" w:rsidRDefault="00AD5CA7" w:rsidP="00711452">
            <w:pPr>
              <w:pStyle w:val="CMR-text"/>
              <w:spacing w:before="0" w:after="0" w:line="240" w:lineRule="auto"/>
              <w:jc w:val="right"/>
              <w:rPr>
                <w:rFonts w:cs="Times New Roman"/>
                <w:noProof/>
                <w:sz w:val="20"/>
                <w:szCs w:val="20"/>
              </w:rPr>
            </w:pPr>
            <w:r>
              <w:rPr>
                <w:noProof/>
                <w:color w:val="000000"/>
                <w:sz w:val="20"/>
              </w:rPr>
              <w:t>287,0</w:t>
            </w:r>
          </w:p>
        </w:tc>
        <w:tc>
          <w:tcPr>
            <w:tcW w:w="976" w:type="pct"/>
            <w:tcMar>
              <w:left w:w="108" w:type="dxa"/>
              <w:right w:w="108" w:type="dxa"/>
            </w:tcMar>
            <w:vAlign w:val="center"/>
          </w:tcPr>
          <w:p w14:paraId="79CB0694" w14:textId="7380120D" w:rsidR="001E57D5" w:rsidRPr="00EB1066" w:rsidRDefault="00F53165" w:rsidP="00711452">
            <w:pPr>
              <w:pStyle w:val="CMR-text"/>
              <w:spacing w:before="0" w:after="0" w:line="240" w:lineRule="auto"/>
              <w:jc w:val="right"/>
              <w:rPr>
                <w:rFonts w:cs="Times New Roman"/>
                <w:noProof/>
                <w:sz w:val="20"/>
                <w:szCs w:val="20"/>
              </w:rPr>
            </w:pPr>
            <w:r>
              <w:rPr>
                <w:noProof/>
                <w:color w:val="000000"/>
                <w:sz w:val="20"/>
              </w:rPr>
              <w:t>57</w:t>
            </w:r>
          </w:p>
        </w:tc>
        <w:tc>
          <w:tcPr>
            <w:tcW w:w="976" w:type="pct"/>
            <w:tcMar>
              <w:left w:w="108" w:type="dxa"/>
              <w:right w:w="108" w:type="dxa"/>
            </w:tcMar>
            <w:vAlign w:val="center"/>
          </w:tcPr>
          <w:p w14:paraId="7CC85B5D" w14:textId="4A9E29B4" w:rsidR="001E57D5" w:rsidRPr="00EB1066" w:rsidRDefault="00E0690B" w:rsidP="00711452">
            <w:pPr>
              <w:pStyle w:val="CMR-text"/>
              <w:spacing w:before="0" w:after="0" w:line="240" w:lineRule="auto"/>
              <w:jc w:val="right"/>
              <w:rPr>
                <w:rFonts w:cs="Times New Roman"/>
                <w:noProof/>
                <w:sz w:val="20"/>
                <w:szCs w:val="20"/>
              </w:rPr>
            </w:pPr>
            <w:r>
              <w:rPr>
                <w:noProof/>
                <w:color w:val="000000"/>
                <w:sz w:val="20"/>
              </w:rPr>
              <w:t>1 441,8</w:t>
            </w:r>
          </w:p>
        </w:tc>
        <w:tc>
          <w:tcPr>
            <w:tcW w:w="978" w:type="pct"/>
            <w:tcMar>
              <w:left w:w="108" w:type="dxa"/>
              <w:right w:w="108" w:type="dxa"/>
            </w:tcMar>
            <w:vAlign w:val="center"/>
          </w:tcPr>
          <w:p w14:paraId="2D660BE0" w14:textId="7D11A639" w:rsidR="001E57D5" w:rsidRPr="00EB1066" w:rsidRDefault="00E0690B" w:rsidP="00711452">
            <w:pPr>
              <w:pStyle w:val="CMR-text"/>
              <w:spacing w:before="0" w:after="0" w:line="240" w:lineRule="auto"/>
              <w:jc w:val="right"/>
              <w:rPr>
                <w:rFonts w:cs="Times New Roman"/>
                <w:noProof/>
                <w:sz w:val="20"/>
                <w:szCs w:val="20"/>
              </w:rPr>
            </w:pPr>
            <w:r>
              <w:rPr>
                <w:noProof/>
                <w:color w:val="000000"/>
                <w:sz w:val="20"/>
              </w:rPr>
              <w:t>19,9 %</w:t>
            </w:r>
          </w:p>
        </w:tc>
      </w:tr>
      <w:tr w:rsidR="008B4F92" w:rsidRPr="00EB1066" w14:paraId="7A1B1A16" w14:textId="77777777" w:rsidTr="00EB1066">
        <w:trPr>
          <w:trHeight w:val="340"/>
        </w:trPr>
        <w:tc>
          <w:tcPr>
            <w:tcW w:w="1094" w:type="pct"/>
            <w:shd w:val="clear" w:color="auto" w:fill="D9E2F3" w:themeFill="accent1" w:themeFillTint="33"/>
            <w:tcMar>
              <w:left w:w="108" w:type="dxa"/>
              <w:right w:w="108" w:type="dxa"/>
            </w:tcMar>
            <w:vAlign w:val="center"/>
          </w:tcPr>
          <w:p w14:paraId="0F3F8F9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Italija</w:t>
            </w:r>
          </w:p>
        </w:tc>
        <w:tc>
          <w:tcPr>
            <w:tcW w:w="976" w:type="pct"/>
            <w:shd w:val="clear" w:color="auto" w:fill="D9E2F3" w:themeFill="accent1" w:themeFillTint="33"/>
            <w:tcMar>
              <w:left w:w="108" w:type="dxa"/>
              <w:right w:w="108" w:type="dxa"/>
            </w:tcMar>
            <w:vAlign w:val="center"/>
          </w:tcPr>
          <w:p w14:paraId="14742B5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165,5</w:t>
            </w:r>
          </w:p>
        </w:tc>
        <w:tc>
          <w:tcPr>
            <w:tcW w:w="976" w:type="pct"/>
            <w:shd w:val="clear" w:color="auto" w:fill="D9E2F3" w:themeFill="accent1" w:themeFillTint="33"/>
            <w:tcMar>
              <w:left w:w="108" w:type="dxa"/>
              <w:right w:w="108" w:type="dxa"/>
            </w:tcMar>
            <w:vAlign w:val="center"/>
          </w:tcPr>
          <w:p w14:paraId="47AE49EB" w14:textId="13153D29"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252</w:t>
            </w:r>
          </w:p>
        </w:tc>
        <w:tc>
          <w:tcPr>
            <w:tcW w:w="976" w:type="pct"/>
            <w:shd w:val="clear" w:color="auto" w:fill="D9E2F3" w:themeFill="accent1" w:themeFillTint="33"/>
            <w:tcMar>
              <w:left w:w="108" w:type="dxa"/>
              <w:right w:w="108" w:type="dxa"/>
            </w:tcMar>
            <w:vAlign w:val="center"/>
          </w:tcPr>
          <w:p w14:paraId="04569C82"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3 547,4</w:t>
            </w:r>
          </w:p>
        </w:tc>
        <w:tc>
          <w:tcPr>
            <w:tcW w:w="978" w:type="pct"/>
            <w:shd w:val="clear" w:color="auto" w:fill="D9E2F3" w:themeFill="accent1" w:themeFillTint="33"/>
            <w:tcMar>
              <w:left w:w="108" w:type="dxa"/>
              <w:right w:w="108" w:type="dxa"/>
            </w:tcMar>
            <w:vAlign w:val="center"/>
          </w:tcPr>
          <w:p w14:paraId="09BEDC6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4,7 %</w:t>
            </w:r>
          </w:p>
        </w:tc>
      </w:tr>
      <w:tr w:rsidR="001E57D5" w:rsidRPr="00EB1066" w14:paraId="7BCA839A" w14:textId="77777777" w:rsidTr="00EB1066">
        <w:trPr>
          <w:trHeight w:val="340"/>
        </w:trPr>
        <w:tc>
          <w:tcPr>
            <w:tcW w:w="1094" w:type="pct"/>
            <w:tcMar>
              <w:left w:w="108" w:type="dxa"/>
              <w:right w:w="108" w:type="dxa"/>
            </w:tcMar>
            <w:vAlign w:val="center"/>
          </w:tcPr>
          <w:p w14:paraId="7CC4ABAF" w14:textId="77458F40" w:rsidR="001E57D5" w:rsidRPr="00EB1066" w:rsidRDefault="001E57D5" w:rsidP="00854C42">
            <w:pPr>
              <w:pStyle w:val="CMR-text"/>
              <w:spacing w:before="0" w:after="0" w:line="240" w:lineRule="auto"/>
              <w:rPr>
                <w:rFonts w:cs="Times New Roman"/>
                <w:noProof/>
                <w:sz w:val="20"/>
                <w:szCs w:val="20"/>
              </w:rPr>
            </w:pPr>
            <w:r>
              <w:rPr>
                <w:noProof/>
                <w:color w:val="000000"/>
                <w:sz w:val="20"/>
              </w:rPr>
              <w:t>Liuksemburgas</w:t>
            </w:r>
          </w:p>
        </w:tc>
        <w:tc>
          <w:tcPr>
            <w:tcW w:w="976" w:type="pct"/>
            <w:tcMar>
              <w:left w:w="108" w:type="dxa"/>
              <w:right w:w="108" w:type="dxa"/>
            </w:tcMar>
            <w:vAlign w:val="center"/>
          </w:tcPr>
          <w:p w14:paraId="1FFB55C8"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37,6</w:t>
            </w:r>
          </w:p>
        </w:tc>
        <w:tc>
          <w:tcPr>
            <w:tcW w:w="976" w:type="pct"/>
            <w:tcMar>
              <w:left w:w="108" w:type="dxa"/>
              <w:right w:w="108" w:type="dxa"/>
            </w:tcMar>
            <w:vAlign w:val="center"/>
          </w:tcPr>
          <w:p w14:paraId="0816A137" w14:textId="1376E67C"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w:t>
            </w:r>
          </w:p>
        </w:tc>
        <w:tc>
          <w:tcPr>
            <w:tcW w:w="976" w:type="pct"/>
            <w:tcMar>
              <w:left w:w="108" w:type="dxa"/>
              <w:right w:w="108" w:type="dxa"/>
            </w:tcMar>
            <w:vAlign w:val="center"/>
          </w:tcPr>
          <w:p w14:paraId="6733805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7,6</w:t>
            </w:r>
          </w:p>
        </w:tc>
        <w:tc>
          <w:tcPr>
            <w:tcW w:w="978" w:type="pct"/>
            <w:tcMar>
              <w:left w:w="108" w:type="dxa"/>
              <w:right w:w="108" w:type="dxa"/>
            </w:tcMar>
            <w:vAlign w:val="center"/>
          </w:tcPr>
          <w:p w14:paraId="3DD05144"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492,0 %</w:t>
            </w:r>
          </w:p>
        </w:tc>
      </w:tr>
      <w:tr w:rsidR="008B4F92" w:rsidRPr="00EB1066" w14:paraId="119E550F" w14:textId="77777777" w:rsidTr="00EB1066">
        <w:trPr>
          <w:trHeight w:val="340"/>
        </w:trPr>
        <w:tc>
          <w:tcPr>
            <w:tcW w:w="1094" w:type="pct"/>
            <w:shd w:val="clear" w:color="auto" w:fill="D9E2F3" w:themeFill="accent1" w:themeFillTint="33"/>
            <w:tcMar>
              <w:left w:w="108" w:type="dxa"/>
              <w:right w:w="108" w:type="dxa"/>
            </w:tcMar>
            <w:vAlign w:val="center"/>
          </w:tcPr>
          <w:p w14:paraId="2327AC59"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Nyderlandai</w:t>
            </w:r>
          </w:p>
        </w:tc>
        <w:tc>
          <w:tcPr>
            <w:tcW w:w="976" w:type="pct"/>
            <w:shd w:val="clear" w:color="auto" w:fill="D9E2F3" w:themeFill="accent1" w:themeFillTint="33"/>
            <w:tcMar>
              <w:left w:w="108" w:type="dxa"/>
              <w:right w:w="108" w:type="dxa"/>
            </w:tcMar>
            <w:vAlign w:val="center"/>
          </w:tcPr>
          <w:p w14:paraId="440BA07B"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147,3</w:t>
            </w:r>
          </w:p>
        </w:tc>
        <w:tc>
          <w:tcPr>
            <w:tcW w:w="976" w:type="pct"/>
            <w:shd w:val="clear" w:color="auto" w:fill="D9E2F3" w:themeFill="accent1" w:themeFillTint="33"/>
            <w:tcMar>
              <w:left w:w="108" w:type="dxa"/>
              <w:right w:w="108" w:type="dxa"/>
            </w:tcMar>
            <w:vAlign w:val="center"/>
          </w:tcPr>
          <w:p w14:paraId="0D1879D6" w14:textId="0CA342D7" w:rsidR="001E57D5" w:rsidRPr="00EB1066" w:rsidRDefault="00BB65ED" w:rsidP="00711452">
            <w:pPr>
              <w:pStyle w:val="CMR-text"/>
              <w:spacing w:before="0" w:after="0" w:line="240" w:lineRule="auto"/>
              <w:jc w:val="right"/>
              <w:rPr>
                <w:rFonts w:cs="Times New Roman"/>
                <w:noProof/>
                <w:sz w:val="20"/>
                <w:szCs w:val="20"/>
              </w:rPr>
            </w:pPr>
            <w:r>
              <w:rPr>
                <w:noProof/>
                <w:color w:val="000000"/>
                <w:sz w:val="20"/>
              </w:rPr>
              <w:t xml:space="preserve">48 </w:t>
            </w:r>
          </w:p>
        </w:tc>
        <w:tc>
          <w:tcPr>
            <w:tcW w:w="976" w:type="pct"/>
            <w:shd w:val="clear" w:color="auto" w:fill="D9E2F3" w:themeFill="accent1" w:themeFillTint="33"/>
            <w:tcMar>
              <w:left w:w="108" w:type="dxa"/>
              <w:right w:w="108" w:type="dxa"/>
            </w:tcMar>
            <w:vAlign w:val="center"/>
          </w:tcPr>
          <w:p w14:paraId="7F06B07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1 261,1</w:t>
            </w:r>
          </w:p>
        </w:tc>
        <w:tc>
          <w:tcPr>
            <w:tcW w:w="978" w:type="pct"/>
            <w:shd w:val="clear" w:color="auto" w:fill="D9E2F3" w:themeFill="accent1" w:themeFillTint="33"/>
            <w:tcMar>
              <w:left w:w="108" w:type="dxa"/>
              <w:right w:w="108" w:type="dxa"/>
            </w:tcMar>
            <w:vAlign w:val="center"/>
          </w:tcPr>
          <w:p w14:paraId="3EAD18D4"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11,7 %</w:t>
            </w:r>
          </w:p>
        </w:tc>
      </w:tr>
      <w:tr w:rsidR="001E57D5" w:rsidRPr="00EB1066" w14:paraId="63272C19" w14:textId="77777777" w:rsidTr="00EB1066">
        <w:trPr>
          <w:trHeight w:val="340"/>
        </w:trPr>
        <w:tc>
          <w:tcPr>
            <w:tcW w:w="1094" w:type="pct"/>
            <w:tcMar>
              <w:left w:w="108" w:type="dxa"/>
              <w:right w:w="108" w:type="dxa"/>
            </w:tcMar>
            <w:vAlign w:val="center"/>
          </w:tcPr>
          <w:p w14:paraId="0231E457"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Lenkija</w:t>
            </w:r>
          </w:p>
        </w:tc>
        <w:tc>
          <w:tcPr>
            <w:tcW w:w="976" w:type="pct"/>
            <w:tcMar>
              <w:left w:w="108" w:type="dxa"/>
              <w:right w:w="108" w:type="dxa"/>
            </w:tcMar>
            <w:vAlign w:val="center"/>
          </w:tcPr>
          <w:p w14:paraId="4F118072" w14:textId="6C7F7924"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614,6</w:t>
            </w:r>
          </w:p>
        </w:tc>
        <w:tc>
          <w:tcPr>
            <w:tcW w:w="976" w:type="pct"/>
            <w:tcMar>
              <w:left w:w="108" w:type="dxa"/>
              <w:right w:w="108" w:type="dxa"/>
            </w:tcMar>
            <w:vAlign w:val="center"/>
          </w:tcPr>
          <w:p w14:paraId="6D798103" w14:textId="5374E50F"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97</w:t>
            </w:r>
          </w:p>
        </w:tc>
        <w:tc>
          <w:tcPr>
            <w:tcW w:w="976" w:type="pct"/>
            <w:tcMar>
              <w:left w:w="108" w:type="dxa"/>
              <w:right w:w="108" w:type="dxa"/>
            </w:tcMar>
            <w:vAlign w:val="center"/>
          </w:tcPr>
          <w:p w14:paraId="69573AA3"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5 406,7</w:t>
            </w:r>
          </w:p>
        </w:tc>
        <w:tc>
          <w:tcPr>
            <w:tcW w:w="978" w:type="pct"/>
            <w:tcMar>
              <w:left w:w="108" w:type="dxa"/>
              <w:right w:w="108" w:type="dxa"/>
            </w:tcMar>
            <w:vAlign w:val="center"/>
          </w:tcPr>
          <w:p w14:paraId="52716471" w14:textId="5381D0B8"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11,4 %</w:t>
            </w:r>
          </w:p>
        </w:tc>
      </w:tr>
      <w:tr w:rsidR="008B4F92" w:rsidRPr="00EB1066" w14:paraId="6E0C39AE" w14:textId="77777777" w:rsidTr="00EB1066">
        <w:trPr>
          <w:trHeight w:val="340"/>
        </w:trPr>
        <w:tc>
          <w:tcPr>
            <w:tcW w:w="1094" w:type="pct"/>
            <w:shd w:val="clear" w:color="auto" w:fill="D9E2F3" w:themeFill="accent1" w:themeFillTint="33"/>
            <w:tcMar>
              <w:left w:w="108" w:type="dxa"/>
              <w:right w:w="108" w:type="dxa"/>
            </w:tcMar>
            <w:vAlign w:val="center"/>
          </w:tcPr>
          <w:p w14:paraId="70D3AE3F"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Portugalija</w:t>
            </w:r>
          </w:p>
        </w:tc>
        <w:tc>
          <w:tcPr>
            <w:tcW w:w="976" w:type="pct"/>
            <w:shd w:val="clear" w:color="auto" w:fill="D9E2F3" w:themeFill="accent1" w:themeFillTint="33"/>
            <w:tcMar>
              <w:left w:w="108" w:type="dxa"/>
              <w:right w:w="108" w:type="dxa"/>
            </w:tcMar>
            <w:vAlign w:val="center"/>
          </w:tcPr>
          <w:p w14:paraId="03D087B3"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25,0</w:t>
            </w:r>
          </w:p>
        </w:tc>
        <w:tc>
          <w:tcPr>
            <w:tcW w:w="976" w:type="pct"/>
            <w:shd w:val="clear" w:color="auto" w:fill="D9E2F3" w:themeFill="accent1" w:themeFillTint="33"/>
            <w:tcMar>
              <w:left w:w="108" w:type="dxa"/>
              <w:right w:w="108" w:type="dxa"/>
            </w:tcMar>
            <w:vAlign w:val="center"/>
          </w:tcPr>
          <w:p w14:paraId="71F28536" w14:textId="46844B43"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23</w:t>
            </w:r>
          </w:p>
        </w:tc>
        <w:tc>
          <w:tcPr>
            <w:tcW w:w="976" w:type="pct"/>
            <w:shd w:val="clear" w:color="auto" w:fill="D9E2F3" w:themeFill="accent1" w:themeFillTint="33"/>
            <w:tcMar>
              <w:left w:w="108" w:type="dxa"/>
              <w:right w:w="108" w:type="dxa"/>
            </w:tcMar>
            <w:vAlign w:val="center"/>
          </w:tcPr>
          <w:p w14:paraId="7FED68B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726,7</w:t>
            </w:r>
          </w:p>
        </w:tc>
        <w:tc>
          <w:tcPr>
            <w:tcW w:w="978" w:type="pct"/>
            <w:shd w:val="clear" w:color="auto" w:fill="D9E2F3" w:themeFill="accent1" w:themeFillTint="33"/>
            <w:tcMar>
              <w:left w:w="108" w:type="dxa"/>
              <w:right w:w="108" w:type="dxa"/>
            </w:tcMar>
            <w:vAlign w:val="center"/>
          </w:tcPr>
          <w:p w14:paraId="51D8323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3,4 %</w:t>
            </w:r>
          </w:p>
        </w:tc>
      </w:tr>
      <w:tr w:rsidR="001E57D5" w:rsidRPr="00EB1066" w14:paraId="17E8A34F" w14:textId="77777777" w:rsidTr="00EB1066">
        <w:trPr>
          <w:trHeight w:val="340"/>
        </w:trPr>
        <w:tc>
          <w:tcPr>
            <w:tcW w:w="1094" w:type="pct"/>
            <w:tcMar>
              <w:left w:w="108" w:type="dxa"/>
              <w:right w:w="108" w:type="dxa"/>
            </w:tcMar>
            <w:vAlign w:val="center"/>
          </w:tcPr>
          <w:p w14:paraId="660DBB2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Rumunija</w:t>
            </w:r>
          </w:p>
        </w:tc>
        <w:tc>
          <w:tcPr>
            <w:tcW w:w="976" w:type="pct"/>
            <w:tcMar>
              <w:left w:w="108" w:type="dxa"/>
              <w:right w:w="108" w:type="dxa"/>
            </w:tcMar>
            <w:vAlign w:val="center"/>
          </w:tcPr>
          <w:p w14:paraId="37D1933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116,7</w:t>
            </w:r>
          </w:p>
        </w:tc>
        <w:tc>
          <w:tcPr>
            <w:tcW w:w="976" w:type="pct"/>
            <w:tcMar>
              <w:left w:w="108" w:type="dxa"/>
              <w:right w:w="108" w:type="dxa"/>
            </w:tcMar>
            <w:vAlign w:val="center"/>
          </w:tcPr>
          <w:p w14:paraId="7E09B331" w14:textId="5C4828DF"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31</w:t>
            </w:r>
          </w:p>
        </w:tc>
        <w:tc>
          <w:tcPr>
            <w:tcW w:w="976" w:type="pct"/>
            <w:tcMar>
              <w:left w:w="108" w:type="dxa"/>
              <w:right w:w="108" w:type="dxa"/>
            </w:tcMar>
            <w:vAlign w:val="center"/>
          </w:tcPr>
          <w:p w14:paraId="552C559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571,8</w:t>
            </w:r>
          </w:p>
        </w:tc>
        <w:tc>
          <w:tcPr>
            <w:tcW w:w="978" w:type="pct"/>
            <w:tcMar>
              <w:left w:w="108" w:type="dxa"/>
              <w:right w:w="108" w:type="dxa"/>
            </w:tcMar>
            <w:vAlign w:val="center"/>
          </w:tcPr>
          <w:p w14:paraId="20DB4B68"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20,4 %</w:t>
            </w:r>
          </w:p>
        </w:tc>
      </w:tr>
      <w:tr w:rsidR="008B4F92" w:rsidRPr="00EB1066" w14:paraId="62CAEE73" w14:textId="77777777" w:rsidTr="00EB1066">
        <w:trPr>
          <w:trHeight w:val="340"/>
        </w:trPr>
        <w:tc>
          <w:tcPr>
            <w:tcW w:w="1094" w:type="pct"/>
            <w:shd w:val="clear" w:color="auto" w:fill="D9E2F3" w:themeFill="accent1" w:themeFillTint="33"/>
            <w:tcMar>
              <w:left w:w="108" w:type="dxa"/>
              <w:right w:w="108" w:type="dxa"/>
            </w:tcMar>
            <w:vAlign w:val="center"/>
          </w:tcPr>
          <w:p w14:paraId="52CDCEF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Slovakija</w:t>
            </w:r>
          </w:p>
        </w:tc>
        <w:tc>
          <w:tcPr>
            <w:tcW w:w="976" w:type="pct"/>
            <w:shd w:val="clear" w:color="auto" w:fill="D9E2F3" w:themeFill="accent1" w:themeFillTint="33"/>
            <w:tcMar>
              <w:left w:w="108" w:type="dxa"/>
              <w:right w:w="108" w:type="dxa"/>
            </w:tcMar>
            <w:vAlign w:val="center"/>
          </w:tcPr>
          <w:p w14:paraId="3C89953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58,3</w:t>
            </w:r>
          </w:p>
        </w:tc>
        <w:tc>
          <w:tcPr>
            <w:tcW w:w="976" w:type="pct"/>
            <w:shd w:val="clear" w:color="auto" w:fill="D9E2F3" w:themeFill="accent1" w:themeFillTint="33"/>
            <w:tcMar>
              <w:left w:w="108" w:type="dxa"/>
              <w:right w:w="108" w:type="dxa"/>
            </w:tcMar>
            <w:vAlign w:val="center"/>
          </w:tcPr>
          <w:p w14:paraId="052E8E17" w14:textId="5754E38E"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9</w:t>
            </w:r>
          </w:p>
        </w:tc>
        <w:tc>
          <w:tcPr>
            <w:tcW w:w="976" w:type="pct"/>
            <w:shd w:val="clear" w:color="auto" w:fill="D9E2F3" w:themeFill="accent1" w:themeFillTint="33"/>
            <w:tcMar>
              <w:left w:w="108" w:type="dxa"/>
              <w:right w:w="108" w:type="dxa"/>
            </w:tcMar>
            <w:vAlign w:val="center"/>
          </w:tcPr>
          <w:p w14:paraId="660DCEC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377,5</w:t>
            </w:r>
          </w:p>
        </w:tc>
        <w:tc>
          <w:tcPr>
            <w:tcW w:w="978" w:type="pct"/>
            <w:shd w:val="clear" w:color="auto" w:fill="D9E2F3" w:themeFill="accent1" w:themeFillTint="33"/>
            <w:tcMar>
              <w:left w:w="108" w:type="dxa"/>
              <w:right w:w="108" w:type="dxa"/>
            </w:tcMar>
            <w:vAlign w:val="center"/>
          </w:tcPr>
          <w:p w14:paraId="3AC2EB55"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15,4 %</w:t>
            </w:r>
          </w:p>
        </w:tc>
      </w:tr>
      <w:tr w:rsidR="001E57D5" w:rsidRPr="00EB1066" w14:paraId="5F05B83B" w14:textId="77777777" w:rsidTr="00EB1066">
        <w:trPr>
          <w:trHeight w:val="340"/>
        </w:trPr>
        <w:tc>
          <w:tcPr>
            <w:tcW w:w="1094" w:type="pct"/>
            <w:tcMar>
              <w:left w:w="108" w:type="dxa"/>
              <w:right w:w="108" w:type="dxa"/>
            </w:tcMar>
            <w:vAlign w:val="center"/>
          </w:tcPr>
          <w:p w14:paraId="1E2A9210"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Slovėnija</w:t>
            </w:r>
          </w:p>
        </w:tc>
        <w:tc>
          <w:tcPr>
            <w:tcW w:w="976" w:type="pct"/>
            <w:tcMar>
              <w:left w:w="108" w:type="dxa"/>
              <w:right w:w="108" w:type="dxa"/>
            </w:tcMar>
            <w:vAlign w:val="center"/>
          </w:tcPr>
          <w:p w14:paraId="623232F2"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25,4</w:t>
            </w:r>
          </w:p>
        </w:tc>
        <w:tc>
          <w:tcPr>
            <w:tcW w:w="976" w:type="pct"/>
            <w:tcMar>
              <w:left w:w="108" w:type="dxa"/>
              <w:right w:w="108" w:type="dxa"/>
            </w:tcMar>
            <w:vAlign w:val="center"/>
          </w:tcPr>
          <w:p w14:paraId="3AD96487" w14:textId="6EAA91AE"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16</w:t>
            </w:r>
          </w:p>
        </w:tc>
        <w:tc>
          <w:tcPr>
            <w:tcW w:w="976" w:type="pct"/>
            <w:tcMar>
              <w:left w:w="108" w:type="dxa"/>
              <w:right w:w="108" w:type="dxa"/>
            </w:tcMar>
            <w:vAlign w:val="center"/>
          </w:tcPr>
          <w:p w14:paraId="40F2572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186,5</w:t>
            </w:r>
          </w:p>
        </w:tc>
        <w:tc>
          <w:tcPr>
            <w:tcW w:w="978" w:type="pct"/>
            <w:tcMar>
              <w:left w:w="108" w:type="dxa"/>
              <w:right w:w="108" w:type="dxa"/>
            </w:tcMar>
            <w:vAlign w:val="center"/>
          </w:tcPr>
          <w:p w14:paraId="2C05366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13,6 %</w:t>
            </w:r>
          </w:p>
        </w:tc>
      </w:tr>
      <w:tr w:rsidR="008B4F92" w:rsidRPr="00EB1066" w14:paraId="1C274CE1" w14:textId="77777777" w:rsidTr="00EB1066">
        <w:trPr>
          <w:trHeight w:val="340"/>
        </w:trPr>
        <w:tc>
          <w:tcPr>
            <w:tcW w:w="1094" w:type="pct"/>
            <w:shd w:val="clear" w:color="auto" w:fill="D9E2F3" w:themeFill="accent1" w:themeFillTint="33"/>
            <w:tcMar>
              <w:left w:w="108" w:type="dxa"/>
              <w:right w:w="108" w:type="dxa"/>
            </w:tcMar>
            <w:vAlign w:val="center"/>
          </w:tcPr>
          <w:p w14:paraId="797997F5"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Ispanija</w:t>
            </w:r>
          </w:p>
        </w:tc>
        <w:tc>
          <w:tcPr>
            <w:tcW w:w="976" w:type="pct"/>
            <w:shd w:val="clear" w:color="auto" w:fill="D9E2F3" w:themeFill="accent1" w:themeFillTint="33"/>
            <w:tcMar>
              <w:left w:w="108" w:type="dxa"/>
              <w:right w:w="108" w:type="dxa"/>
            </w:tcMar>
            <w:vAlign w:val="center"/>
          </w:tcPr>
          <w:p w14:paraId="48C77AC1"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282,8</w:t>
            </w:r>
          </w:p>
        </w:tc>
        <w:tc>
          <w:tcPr>
            <w:tcW w:w="976" w:type="pct"/>
            <w:shd w:val="clear" w:color="auto" w:fill="D9E2F3" w:themeFill="accent1" w:themeFillTint="33"/>
            <w:tcMar>
              <w:left w:w="108" w:type="dxa"/>
              <w:right w:w="108" w:type="dxa"/>
            </w:tcMar>
            <w:vAlign w:val="center"/>
          </w:tcPr>
          <w:p w14:paraId="27BD158E" w14:textId="20A3AAE9"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191</w:t>
            </w:r>
          </w:p>
        </w:tc>
        <w:tc>
          <w:tcPr>
            <w:tcW w:w="976" w:type="pct"/>
            <w:shd w:val="clear" w:color="auto" w:fill="D9E2F3" w:themeFill="accent1" w:themeFillTint="33"/>
            <w:tcMar>
              <w:left w:w="108" w:type="dxa"/>
              <w:right w:w="108" w:type="dxa"/>
            </w:tcMar>
            <w:vAlign w:val="center"/>
          </w:tcPr>
          <w:p w14:paraId="1BF0C174"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3 514,0</w:t>
            </w:r>
          </w:p>
        </w:tc>
        <w:tc>
          <w:tcPr>
            <w:tcW w:w="978" w:type="pct"/>
            <w:shd w:val="clear" w:color="auto" w:fill="D9E2F3" w:themeFill="accent1" w:themeFillTint="33"/>
            <w:tcMar>
              <w:left w:w="108" w:type="dxa"/>
              <w:right w:w="108" w:type="dxa"/>
            </w:tcMar>
            <w:vAlign w:val="center"/>
          </w:tcPr>
          <w:p w14:paraId="7E3A42F2"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8,0 %</w:t>
            </w:r>
          </w:p>
        </w:tc>
      </w:tr>
    </w:tbl>
    <w:p w14:paraId="2D13BDF6" w14:textId="64F31354" w:rsidR="002F4398" w:rsidRPr="00685D02" w:rsidRDefault="62080A7E" w:rsidP="002F4398">
      <w:pPr>
        <w:pStyle w:val="CMR-text"/>
        <w:rPr>
          <w:rFonts w:cs="Times New Roman"/>
          <w:noProof/>
        </w:rPr>
      </w:pPr>
      <w:r>
        <w:rPr>
          <w:noProof/>
        </w:rPr>
        <w:t>Bendro pagalbos dydžio augimą daugiausia lėmė didesnės ATL kainos. Pagalbos konkrečiais metais dydis nustatomas remiantis praėjusių metų išankstine ATL kaina. Taigi 2024 m. pagalbos išmokos 2023 m. patirtoms išlaidoms padengti buvo pagrįstos vidutine 2022 m. išankstine kaina. Ši kaina buvo 83,59 EUR, taigi maždaug 50 proc. didesnė, palyginti su praėjusiais metais</w:t>
      </w:r>
      <w:r>
        <w:rPr>
          <w:rStyle w:val="FootnoteReference"/>
          <w:rFonts w:eastAsia="Times New Roman" w:cs="Times New Roman"/>
          <w:noProof/>
          <w:lang w:val="en-IE"/>
        </w:rPr>
        <w:footnoteReference w:id="60"/>
      </w:r>
      <w:r>
        <w:rPr>
          <w:noProof/>
        </w:rPr>
        <w:t xml:space="preserve">. Vis dėlto bendra pagalbos išmokų suma nėra savaime didėjanti proporcingai ATL kainai, nes valstybių narių mokamų kompensacijų sistemos dažnai turi maksimalų biudžetą, apskaičiuotą visam paraiškų teikimo laikotarpiui (daugeliu atvejų 2021–2030 m.). </w:t>
      </w:r>
    </w:p>
    <w:p w14:paraId="04815CBD" w14:textId="20883C55" w:rsidR="002F4398" w:rsidRPr="00685D02" w:rsidRDefault="00E84E0D" w:rsidP="002F4398">
      <w:pPr>
        <w:pStyle w:val="CMR-text"/>
        <w:rPr>
          <w:rFonts w:cs="Times New Roman"/>
          <w:noProof/>
        </w:rPr>
      </w:pPr>
      <w:r>
        <w:rPr>
          <w:noProof/>
        </w:rPr>
        <w:t xml:space="preserve">Pagalbos išmokos netiesioginėms išlaidoms kompensuoti, išreikštos nacionalinių aukcionų pajamų dalimi, 2024 m. taip pat padidėjo. Išmokėta suma atitiko 19 proc. 2023 m. aukcionų pajamų, kurias surinko dalyvaujančios valstybės narės (2022 m. – 16 proc.). Taigi ši dalis didėjo, tačiau lėčiau nei ATL kaina ir absoliutusis išmokamų kompensacijų dydis. Taip yra daugiausia dėl to, kad i) didesnių ATL kainų poveikį iš dalies atsveria aukcionuose parduodamų ATL absoliučiojo kiekio sumažėjimas ir ii) bendras visų kompensacijų dydis gali būti ribotas dėl biudžetų, skiriamų kiekvienai nacionalinei pagalbos schemai. </w:t>
      </w:r>
    </w:p>
    <w:p w14:paraId="2ABD1D18" w14:textId="3F0DB238" w:rsidR="001E57D5" w:rsidRPr="00685D02" w:rsidRDefault="001E57D5" w:rsidP="00854C42">
      <w:pPr>
        <w:pStyle w:val="CMR-text"/>
        <w:rPr>
          <w:rFonts w:cs="Times New Roman"/>
          <w:noProof/>
        </w:rPr>
      </w:pPr>
      <w:r>
        <w:rPr>
          <w:noProof/>
        </w:rPr>
        <w:t xml:space="preserve">Valstybės narės, kurios kuriais nors metais netiesioginėms išlaidoms kompensuoti panaudoja daugiau kaip 25 proc. savo aukcionų pajamų, privalo paskelbti ataskaitą, kurioje būtų paaiškinta, kodėl jos šią ribą viršijo. 2023 m. dauguma valstybių narių išliko kur kas žemiau šio lygio, tačiau penkios valstybės narės išleido daugiau. Šių valstybių narių pateikti pagrindimai apibendrinami toliau. </w:t>
      </w:r>
    </w:p>
    <w:p w14:paraId="4A45A315" w14:textId="056D95E9" w:rsidR="001E57D5" w:rsidRPr="00685D02" w:rsidRDefault="00C77E56" w:rsidP="00854C42">
      <w:pPr>
        <w:pStyle w:val="CMR-text"/>
        <w:rPr>
          <w:rFonts w:cs="Times New Roman"/>
          <w:noProof/>
        </w:rPr>
      </w:pPr>
      <w:r>
        <w:rPr>
          <w:noProof/>
        </w:rPr>
        <w:t xml:space="preserve">Belgijos, Prancūzijos ir Liuksemburgo pagalbos išmokos šią ribą viršijo didžiąją pastarųjų penkerių metų laikotarpio dalį. Kaip ir ankstesniais metais, didelė išmokų, finansuojamų aukcionų pajamų lėšomis, dalis Belgijoje ir Prancūzijoje sieta su didele mažo anglies dioksido pėdsako elektros energijos gamybos dalimi šalyje – tai lemia, kad aukcionų pajamos yra gana nedidelės, palyginti su tuo, kokią dalį šiose šalyse sudaro daug elektros energijos naudojančios pramonės šakos. </w:t>
      </w:r>
    </w:p>
    <w:p w14:paraId="2F4B5805" w14:textId="67FB0798" w:rsidR="006A278C" w:rsidRPr="00685D02" w:rsidRDefault="3F599D0F" w:rsidP="006A278C">
      <w:pPr>
        <w:pStyle w:val="CMR-text"/>
        <w:rPr>
          <w:rFonts w:cs="Times New Roman"/>
          <w:noProof/>
        </w:rPr>
      </w:pPr>
      <w:r>
        <w:rPr>
          <w:noProof/>
        </w:rPr>
        <w:t>Liuksemburge išlaidos tebebuvo kur kas didesnės už jo bendras pajamas iš aukcionų. Taip yra iš dalies dėl to, kad šioje šalyje ATLPS apyvartiniai taršos leidimai naudojami sektoriuose, kuriems taikomas Pastangų pasidalijimo reglamentas (PPR), išmetamam teršalų kiekiui kompensuoti</w:t>
      </w:r>
      <w:r>
        <w:rPr>
          <w:rStyle w:val="FootnoteReference"/>
          <w:rFonts w:cs="Times New Roman"/>
          <w:noProof/>
          <w:lang w:val="en-IE"/>
        </w:rPr>
        <w:footnoteReference w:id="61"/>
      </w:r>
      <w:r>
        <w:rPr>
          <w:noProof/>
        </w:rPr>
        <w:t xml:space="preserve">. Ši praktika vadinama PPR lankstumo priemone (žr. </w:t>
      </w:r>
      <w:r>
        <w:rPr>
          <w:rFonts w:cs="Times New Roman"/>
          <w:noProof/>
        </w:rPr>
        <w:fldChar w:fldCharType="begin"/>
      </w:r>
      <w:r>
        <w:rPr>
          <w:rFonts w:cs="Times New Roman"/>
          <w:noProof/>
        </w:rPr>
        <w:instrText xml:space="preserve"> REF _Ref206606635 \r \h  \* MERGEFORMAT </w:instrText>
      </w:r>
      <w:r>
        <w:rPr>
          <w:rFonts w:cs="Times New Roman"/>
          <w:noProof/>
        </w:rPr>
      </w:r>
      <w:r>
        <w:rPr>
          <w:rFonts w:cs="Times New Roman"/>
          <w:noProof/>
        </w:rPr>
        <w:fldChar w:fldCharType="separate"/>
      </w:r>
      <w:r>
        <w:rPr>
          <w:rFonts w:cs="Times New Roman"/>
          <w:noProof/>
        </w:rPr>
        <w:t>4.2</w:t>
      </w:r>
      <w:r>
        <w:rPr>
          <w:rFonts w:cs="Times New Roman"/>
          <w:noProof/>
        </w:rPr>
        <w:fldChar w:fldCharType="end"/>
      </w:r>
      <w:r>
        <w:rPr>
          <w:noProof/>
        </w:rPr>
        <w:t xml:space="preserve"> skirsnį). </w:t>
      </w:r>
    </w:p>
    <w:p w14:paraId="2FEC9A22" w14:textId="52B25295" w:rsidR="001E57D5" w:rsidRPr="00685D02" w:rsidRDefault="14E8BFD2" w:rsidP="00854C42">
      <w:pPr>
        <w:pStyle w:val="CMR-text"/>
        <w:rPr>
          <w:rFonts w:cs="Times New Roman"/>
          <w:noProof/>
        </w:rPr>
      </w:pPr>
      <w:r>
        <w:rPr>
          <w:noProof/>
        </w:rPr>
        <w:t>Suomijoje ir Vokietijoje atitinkama pajamų dalis taip pat padidėjo iki daugiau kaip 25 proc. Kiekvienu atveju valdžios institucijos tai siejo su ATL kainų, kurių pagrindu apskaičiuojamos kompensacijos, augimu. Vokietijos apyvartinių taršos leidimų prekybos institucijos atlikta praeities analizė parodė, kad nuo 2013 m. 25 proc. riba viršyta keturis kartus, ir kaip pagrindinę to priežastį šiais atvejais ji nurodė dideles ATL kainas</w:t>
      </w:r>
      <w:r>
        <w:rPr>
          <w:rStyle w:val="FootnoteReference"/>
          <w:rFonts w:cs="Times New Roman"/>
          <w:noProof/>
          <w:lang w:val="en-IE"/>
        </w:rPr>
        <w:footnoteReference w:id="62"/>
      </w:r>
      <w:r>
        <w:rPr>
          <w:noProof/>
        </w:rPr>
        <w:t xml:space="preserve">. </w:t>
      </w:r>
    </w:p>
    <w:p w14:paraId="191EF956" w14:textId="1B43F4B9" w:rsidR="00613B80" w:rsidRPr="00EC4FC3" w:rsidRDefault="00613B80" w:rsidP="00EC4FC3">
      <w:pPr>
        <w:pStyle w:val="CMR-Subheading"/>
        <w:rPr>
          <w:noProof/>
        </w:rPr>
      </w:pPr>
      <w:bookmarkStart w:id="60" w:name="_Toc180513405"/>
      <w:bookmarkStart w:id="61" w:name="_Toc219127277"/>
      <w:r>
        <w:rPr>
          <w:noProof/>
        </w:rPr>
        <w:t>ATLPS inovacijų fondas</w:t>
      </w:r>
      <w:bookmarkEnd w:id="60"/>
      <w:bookmarkEnd w:id="61"/>
      <w:r>
        <w:rPr>
          <w:noProof/>
        </w:rPr>
        <w:t xml:space="preserve"> </w:t>
      </w:r>
    </w:p>
    <w:p w14:paraId="7AC6640E" w14:textId="008865C4" w:rsidR="00B66305" w:rsidRPr="00685D02" w:rsidRDefault="75E7290C" w:rsidP="00B66305">
      <w:pPr>
        <w:pStyle w:val="CMR-text"/>
        <w:rPr>
          <w:rFonts w:cs="Times New Roman"/>
          <w:noProof/>
        </w:rPr>
      </w:pPr>
      <w:r>
        <w:rPr>
          <w:noProof/>
        </w:rPr>
        <w:t>Inovacijų fondas, finansuojamas tik iš ES ATLPS gautomis lėšomis, yra viena didžiausių pasaulyje finansavimo programų, skirtų tam, kad būtų diegiami mažo ir nulinio anglies dioksido pėdsako inovaciniai sprendimai ir technologijos pramonėje, energetikoje, judumo ir pastatų sektoriuose. Iš šio fondo teikiamos dotacijos projektams, kuriais siekiama komercializuoti inovatyvias mažo anglies dioksido pėdsako technologijas ir teikti rinkai pramoninius sprendimus, kad būtų pasiekta Europos dekarbonizacija ir remiamas perėjimas prie neutralaus poveikio klimatui ekonomikos. Nuo 2020 m. paskelbta vienuolika Inovacijų fondo, kurio numatomas bendras biudžetas (apskaičiuotas remiantis anglies dioksido kaina 75 EUR/t CO</w:t>
      </w:r>
      <w:r>
        <w:rPr>
          <w:noProof/>
          <w:vertAlign w:val="subscript"/>
        </w:rPr>
        <w:t>2</w:t>
      </w:r>
      <w:r>
        <w:rPr>
          <w:noProof/>
        </w:rPr>
        <w:t xml:space="preserve">) yra 40 mlrd. EUR, kvietimų teikti pasiūlymus, įskaitant du kvietimus dėl aukcionų pagal Europos vandenilio banko iniciatyvą. </w:t>
      </w:r>
    </w:p>
    <w:p w14:paraId="277D1AB3" w14:textId="1EA64BC5" w:rsidR="00FD4030" w:rsidRPr="00685D02" w:rsidRDefault="5EFE6CE4" w:rsidP="00BF11CB">
      <w:pPr>
        <w:pStyle w:val="CMR-text"/>
        <w:rPr>
          <w:rFonts w:cs="Times New Roman"/>
          <w:noProof/>
        </w:rPr>
      </w:pPr>
      <w:r>
        <w:rPr>
          <w:noProof/>
        </w:rPr>
        <w:t>Komisija atskirai teikia išsamesnes Inovacijų fondo įgyvendinimo ataskaitas. Trečiąją Inovacijų fondo įgyvendinimo pažangos ataskaitą numatoma pateikti 2025 m. IV ketvirtį</w:t>
      </w:r>
      <w:r>
        <w:rPr>
          <w:rStyle w:val="FootnoteReference"/>
          <w:rFonts w:cs="Times New Roman"/>
          <w:noProof/>
          <w:lang w:val="en-IE"/>
        </w:rPr>
        <w:footnoteReference w:id="63"/>
      </w:r>
      <w:r>
        <w:rPr>
          <w:noProof/>
        </w:rPr>
        <w:t>.</w:t>
      </w:r>
    </w:p>
    <w:p w14:paraId="20948735" w14:textId="691BB3E6" w:rsidR="00D8362F" w:rsidRPr="00685D02" w:rsidRDefault="749D949E" w:rsidP="00487C69">
      <w:pPr>
        <w:pStyle w:val="CMR-text"/>
        <w:rPr>
          <w:rFonts w:cs="Times New Roman"/>
          <w:noProof/>
        </w:rPr>
      </w:pPr>
      <w:r>
        <w:rPr>
          <w:noProof/>
        </w:rPr>
        <w:t>2023 m. kvietimų etapu, kuris užbaigtas 2024 m. vasario mėn. (dėl aukciono) ir 2024 m. balandžio mėn. (dėl nulinio ŠESD balanso technologijų), į fondo portfelį įtraukti 83 projektai, pagal kuriuos skiriama 4,9 mlrd. EUR parama dekarbonizacijai</w:t>
      </w:r>
      <w:r>
        <w:rPr>
          <w:noProof/>
          <w:color w:val="D13438"/>
        </w:rPr>
        <w:t xml:space="preserve"> </w:t>
      </w:r>
      <w:r>
        <w:rPr>
          <w:noProof/>
        </w:rPr>
        <w:t>daug energijos suvartojančiuose pramonės sektoriuose, vandenilio gamybai, atsinaujinančiųjų išteklių energijos gamybai, judumo sektoriui (įskaitant laivybą ir aviaciją) ir bazinių nulinio ŠESD balanso technologijų gamybai. Ši parama paskirstoma 18 ES ir EEE šalių, įskaitant Estijoje ir Slovakijoje pirmą kartą pasirašytus projektus. Per šių projektų pirmuosius 10 veiklos metų tikimasi pasiekti išmetamo ŠESD kiekio sumažinimą 408 mln. tonų CO</w:t>
      </w:r>
      <w:r>
        <w:rPr>
          <w:noProof/>
          <w:vertAlign w:val="subscript"/>
        </w:rPr>
        <w:t>2</w:t>
      </w:r>
      <w:r>
        <w:rPr>
          <w:noProof/>
        </w:rPr>
        <w:t xml:space="preserve">e. </w:t>
      </w:r>
    </w:p>
    <w:p w14:paraId="0C7E0565" w14:textId="15731F92" w:rsidR="00912C5A" w:rsidRPr="00685D02" w:rsidRDefault="00100D98" w:rsidP="00487C69">
      <w:pPr>
        <w:pStyle w:val="CMR-text"/>
        <w:rPr>
          <w:rFonts w:cs="Times New Roman"/>
          <w:noProof/>
          <w:highlight w:val="yellow"/>
        </w:rPr>
      </w:pPr>
      <w:r>
        <w:rPr>
          <w:noProof/>
        </w:rPr>
        <w:t>2023 m. pirmą kartą surengtas vandenilio iš atsinaujinančiųjų energijos išteklių (RFNBO) gamybai skirtas aukcionas pagal Europos vandenilio banko iniciatyvą. Atrinkti šeši projektai ir jiems skirta 694 mln. EUR parama, kad per pirmus 10 jų veiklos metų būtų pagaminta 1,52 mln. tonų vandenilio iš atsinaujinančiųjų energijos išteklių. Šiuo konkurenciniu pasiūlymų teikimo procesu užtikrinta ekonomiškai efektyvi parama žaliojo vandenilio tiekimui žemės ūkio, jūrų transporto ir sunkiojo transporto sektoriuose, taip pat e. metano ir e. metanolio gamybai. Naudotasi paslauginio aukciono funkcija; Vokietija 350 mln. EUR skyrė nacionalinei finansavimo linijai.</w:t>
      </w:r>
    </w:p>
    <w:p w14:paraId="42C32C8B" w14:textId="611F00CC" w:rsidR="00F75FC9" w:rsidRPr="00685D02" w:rsidRDefault="00F75FC9" w:rsidP="00487C69">
      <w:pPr>
        <w:pStyle w:val="CMR-text"/>
        <w:rPr>
          <w:rFonts w:cs="Times New Roman"/>
          <w:noProof/>
        </w:rPr>
      </w:pPr>
      <w:r>
        <w:rPr>
          <w:noProof/>
        </w:rPr>
        <w:t xml:space="preserve">2023 m. paskelbtame kvietime teikti dotacijų paraiškas pirmą kartą pasirinkta gamybos tema: 20 projektų suteikta 1,0 mlrd. EUR parama tam, kad būtų gaminamos bazinės perėjimui prie neutralaus poveikio klimatui ekonomikos reikalingos technologijos, tokios kaip elektrolizeriai, fotovoltinės plokštės, baterijos, šilumos siurbliai ir vėjo turbinos. Be to, pirmą kartą pasirinkta bandomoji teminė kategorija, kurioje susitelkta į itin inovatyvius projektus, turinčius didelį dekarbonizacijos potencialą: 489 mln. EUR parama suteikta 19 projektų įvairiuose sektoriuose, įskaitant hidroakumuliaciją, šiluminės energijos kaupimą, jūrų sektorių, potvynių energiją ir kt. </w:t>
      </w:r>
    </w:p>
    <w:p w14:paraId="797CCA67" w14:textId="0272A264" w:rsidR="005648C7" w:rsidRPr="00685D02" w:rsidRDefault="005C02D9" w:rsidP="00487C69">
      <w:pPr>
        <w:pStyle w:val="CMR-text"/>
        <w:rPr>
          <w:rFonts w:cs="Times New Roman"/>
          <w:noProof/>
        </w:rPr>
      </w:pPr>
      <w:r>
        <w:rPr>
          <w:noProof/>
        </w:rPr>
        <w:t xml:space="preserve">Likę projektai buvo didelio masto teminėje kategorijoje (23 projektai, jiems skirta 2,8 mlrd. EUR parama), vidutinio masto (14 projektų, 434 mln. EUR) ir nedidelio masto (7 projektai, 30 mln. EUR). </w:t>
      </w:r>
    </w:p>
    <w:p w14:paraId="4B5D1D67" w14:textId="1FC273C2" w:rsidR="00A2564E" w:rsidRPr="00685D02" w:rsidRDefault="005E56C6" w:rsidP="00487C69">
      <w:pPr>
        <w:pStyle w:val="CMR-text"/>
        <w:rPr>
          <w:rFonts w:cs="Times New Roman"/>
          <w:noProof/>
        </w:rPr>
      </w:pPr>
      <w:r>
        <w:rPr>
          <w:noProof/>
        </w:rPr>
        <w:t>2025 m. liepos mėn. fondo portfelį jau sudarė 194 vykdomi projektai, kuriems suplanuota skirti 11,3 mlrd. EUR paramos lėšų</w:t>
      </w:r>
      <w:r>
        <w:rPr>
          <w:rStyle w:val="FootnoteReference"/>
          <w:rFonts w:cs="Times New Roman"/>
          <w:noProof/>
          <w:lang w:val="en-IE"/>
        </w:rPr>
        <w:footnoteReference w:id="64"/>
      </w:r>
      <w:r>
        <w:rPr>
          <w:noProof/>
        </w:rPr>
        <w:t>. Šie projektai yra 27 ES ir EEE šalyse, per pirmuosius 10 jų veiklos metų tikimasi pasiekti išmetamo ŠESD kiekio sumažinimą apie 860 mln. t CO</w:t>
      </w:r>
      <w:r>
        <w:rPr>
          <w:noProof/>
          <w:vertAlign w:val="subscript"/>
        </w:rPr>
        <w:t>2</w:t>
      </w:r>
      <w:r>
        <w:rPr>
          <w:noProof/>
        </w:rPr>
        <w:t>e.</w:t>
      </w:r>
    </w:p>
    <w:p w14:paraId="32D87AEE" w14:textId="36F7FC35" w:rsidR="00FD4030" w:rsidRPr="00685D02" w:rsidRDefault="5EFE6CE4" w:rsidP="721F4017">
      <w:pPr>
        <w:pStyle w:val="CMR-text"/>
        <w:rPr>
          <w:rFonts w:cs="Times New Roman"/>
          <w:noProof/>
        </w:rPr>
      </w:pPr>
      <w:r>
        <w:rPr>
          <w:noProof/>
        </w:rPr>
        <w:t>Paskata, kurią šiems projektams teikia ES ATLPS anglies dioksido kaina, yra daug didesnė už finansavimo iš ES ATLPS gautomis lėšomis sumą. Pavyzdžiui, Inovacijų fondo remiamais projektais jau suteikta nauda įmonių verslo modeliams, susijusi su tuo, kad išvengta išlaidų dėl išmetamo anglies dioksido, siekia apie 65 mlrd. EUR (su anglies dioksidu susijusių išlaidų nepatirta dėl mažesnio išmetamo kiekio, vidutinei anglies dioksido kainai esant 75 EUR/t CO</w:t>
      </w:r>
      <w:r>
        <w:rPr>
          <w:noProof/>
          <w:vertAlign w:val="subscript"/>
        </w:rPr>
        <w:t>2</w:t>
      </w:r>
      <w:r>
        <w:rPr>
          <w:noProof/>
        </w:rPr>
        <w:t>). Tai atspindi ES ATLPS logiką, pagal kurią anglies dioksido kaina yra pagrindinė ilgalaikė paskata, o Inovacijų fondas šią paskatą papildo, kad pokyčiai vyktų sparčiau</w:t>
      </w:r>
      <w:r>
        <w:rPr>
          <w:rStyle w:val="FootnoteReference"/>
          <w:rFonts w:cs="Times New Roman"/>
          <w:noProof/>
          <w:lang w:val="en-IE"/>
        </w:rPr>
        <w:footnoteReference w:id="65"/>
      </w:r>
      <w:r>
        <w:rPr>
          <w:noProof/>
        </w:rPr>
        <w:t>.</w:t>
      </w:r>
    </w:p>
    <w:p w14:paraId="785C75B8" w14:textId="28544FAB" w:rsidR="0001055F" w:rsidRPr="00685D02" w:rsidRDefault="00C77477" w:rsidP="0001055F">
      <w:pPr>
        <w:pStyle w:val="CMR-text"/>
        <w:rPr>
          <w:rFonts w:cs="Times New Roman"/>
          <w:noProof/>
        </w:rPr>
      </w:pPr>
      <w:r>
        <w:rPr>
          <w:noProof/>
        </w:rPr>
        <w:t>2024 m. pabaigoje Komisija paskelbė tris naujus kvietimus teikti pasiūlymus, kuriems skirtas bendras 4,6 mlrd. EUR biudžetas:</w:t>
      </w:r>
    </w:p>
    <w:p w14:paraId="0E1D128D" w14:textId="4C9F03E5" w:rsidR="0001055F" w:rsidRPr="00685D02" w:rsidRDefault="0001055F" w:rsidP="0001055F">
      <w:pPr>
        <w:pStyle w:val="CMR-text"/>
        <w:numPr>
          <w:ilvl w:val="0"/>
          <w:numId w:val="52"/>
        </w:numPr>
        <w:rPr>
          <w:rFonts w:cs="Times New Roman"/>
          <w:noProof/>
        </w:rPr>
      </w:pPr>
      <w:r>
        <w:rPr>
          <w:noProof/>
        </w:rPr>
        <w:t>Nulinio ŠESD balanso technologijos. Kvietimui dėl nulinio ŠESD balanso technologijų skirtas biudžetas buvo 2,4 mlrd. EUR ir iki jo pabaigos 2025 m. balandžio mėn. gauti iš viso 359 pasiūlymai iš 28 šalių. Šiems projektams prašyta iš viso 21,7 mlrd. EUR paramos – tai daugiau kaip devynis kartus viršijo turimą biudžetą. Preliminarūs rezultatai rodo, kad šis kvietimas apėmė pagrindines dekarbonizacijos sritis keliose kategorijose: energijai imli pramonė (169 pasiūlymai), pramoninis anglies dioksido tvarkymas (24), atsinaujinančiųjų išteklių energija (67) ir energijos kaupimas (43). 2023 m. įtraukta judumo kategorija, apimanti jūrų transportą, aviaciją ir kelių transportą; joje gauta 50 pasiūlymų. Pastatų sektoriuje gauti 6 pasiūlymai. Pažymėtina, kad didelio susidomėjimo sulaukta tokiuose sektoriuose kaip chemijos pramonė, cemento ir kalkių gamyba, naftos perdirbimas ir vandenilio sektorius. Komisija šio kvietimo rezultatus paskelbs 2025 m. antrojoje pusėje. </w:t>
      </w:r>
    </w:p>
    <w:p w14:paraId="0C5D64B2" w14:textId="33E183E7" w:rsidR="0001055F" w:rsidRPr="00685D02" w:rsidRDefault="0001055F" w:rsidP="0001055F">
      <w:pPr>
        <w:pStyle w:val="CMR-text"/>
        <w:numPr>
          <w:ilvl w:val="0"/>
          <w:numId w:val="53"/>
        </w:numPr>
        <w:rPr>
          <w:rFonts w:cs="Times New Roman"/>
          <w:noProof/>
        </w:rPr>
      </w:pPr>
      <w:r>
        <w:rPr>
          <w:noProof/>
        </w:rPr>
        <w:t>Baterijos: Komisija pirmą kartą pradėjo teikti paramą elektrinių transporto priemonių baterijų elementų gamybai. Kvietimo teikti pasiūlymus biudžetas buvo 1 mlrd. EUR, 2025 m. balandžio mėn. gauta 14 pasiūlymų iš aštuonių šalių. 2025 m. liepos mėn. paskelbta, kad pagal šį kvietimą atrinkti finansuoti šeši projektai: du iš Prancūzijos, du iš Vokietijos, po vieną iš Švedijos ir Lenkijos; jiems numatyta skirti iš viso 852 mln. EUR paramą. Bendri baterijų gamybos pajėgumai pagal šiuos projektus sudarys apie 56 gigavatvalandes (GWh) elektrinių transporto priemonių baterijų elementų per metus. </w:t>
      </w:r>
    </w:p>
    <w:p w14:paraId="75ECC05A" w14:textId="118D7CDF" w:rsidR="0001055F" w:rsidRPr="00685D02" w:rsidRDefault="0001055F" w:rsidP="0001055F">
      <w:pPr>
        <w:pStyle w:val="CMR-text"/>
        <w:numPr>
          <w:ilvl w:val="0"/>
          <w:numId w:val="54"/>
        </w:numPr>
        <w:rPr>
          <w:rFonts w:cs="Times New Roman"/>
          <w:noProof/>
        </w:rPr>
      </w:pPr>
      <w:r>
        <w:rPr>
          <w:noProof/>
        </w:rPr>
        <w:t xml:space="preserve">Vandenilio aukcionas. Trečiasis kvietimas teikti pasiūlymus buvo per antrąjį Europos vandenilio banko aukciono, organizuojamo dėl vandenilio gamybos iš atsinaujinančiųjų išteklių, etapą. Aukciono pradžioje turėtas bendras 1,2 mlrd. EUR biudžetas, įskaitant naują, specialiai skirtą 200 mln. EUR biudžetą projektams, kuriuose dalyvaujantys jūrų transporto sektoriaus subjektai įsipareigoja pirkti vandenilio kurą. Aukcionas užbaigtas 2025 m. vasario mėn., gavus 66 pasiūlymus iš 11 šalių. 15 projektų penkiose šalyse atrinkti dotacijų susitarimams rengti. Programa taip pat apėmė nacionalinius lėšų paketus pagal paslauginių aukcionų mechanizmą: Austrija skyrė 400 mln. EUR, Ispanija 280–400 mln. EUR, Lietuva 36 mln. EUR. Prieš pasirašant dotacijų susitarimus dėl atrinktų 15 projektų, turi būti pateikta jų užbaigimo garantija. Dėl kai kurių iš šių projektų gali būti nuspręsta to nedaryti ir gali būti pasitraukta iš atrankos proceso, o dėl to atsirastų galimybių kviesti pradėti rengti dotacijų susitarimus dėl projektų iš rezervo sąrašo. Galutinis projektų, kuriems skiriamas finansavimas, sąrašas bus paskelbtas iki 2025 m. pabaigos.   </w:t>
      </w:r>
    </w:p>
    <w:p w14:paraId="038BC24A" w14:textId="0BB36704" w:rsidR="00C42B3E" w:rsidRPr="00685D02" w:rsidRDefault="67747637" w:rsidP="00854C42">
      <w:pPr>
        <w:jc w:val="both"/>
        <w:rPr>
          <w:rFonts w:ascii="Times New Roman" w:hAnsi="Times New Roman" w:cs="Times New Roman"/>
          <w:noProof/>
        </w:rPr>
      </w:pPr>
      <w:r>
        <w:rPr>
          <w:rFonts w:ascii="Times New Roman" w:hAnsi="Times New Roman"/>
          <w:noProof/>
        </w:rPr>
        <w:t>Siekiant, kad inovatyvūs projektai taptų brandesni techniniu, finansiniu ir veiklos atžvilgiais, teikiama projektų plėtojimo pagalba, jos teikimą administruoja Europos investicijų bankas. 2024 m. EIB pasirašė ir pradėjo vykdyti 23 susitarimus dėl projektų plėtojimo pagalbos. Nuo programos pradžios pasirašyti susitarimai dėl paramos 62 projektams, kurie jau užbaigti. Projektų plėtojimo pagalbos poveikis tampa vis labiau matomas: devyniems projektams, kurie iki tol nebuvo sėkmingi, pavyko gauti dotacijas pagal 2023 m. Inovacijų fondo kvietimą. Be to, projektų plėtojimo pagalba dabar yra išplėsta ir prieinama projektų plėtotojams, kurie dar nėra pateikę paraiškos Inovacijų fondui; paraiškos dėl jos teikiamos tiesiogiai EIB</w:t>
      </w:r>
      <w:r>
        <w:rPr>
          <w:rStyle w:val="FootnoteReference"/>
          <w:rFonts w:ascii="Times New Roman" w:hAnsi="Times New Roman" w:cs="Times New Roman"/>
          <w:noProof/>
          <w:lang w:val="en-IE"/>
        </w:rPr>
        <w:footnoteReference w:id="66"/>
      </w:r>
      <w:r>
        <w:rPr>
          <w:rFonts w:ascii="Times New Roman" w:hAnsi="Times New Roman"/>
          <w:noProof/>
        </w:rPr>
        <w:t xml:space="preserve">. </w:t>
      </w:r>
    </w:p>
    <w:p w14:paraId="466CCDC2" w14:textId="3BCA2207" w:rsidR="00FD4030" w:rsidRPr="00685D02" w:rsidRDefault="60DDFD35" w:rsidP="67696D88">
      <w:pPr>
        <w:pStyle w:val="CMR-text"/>
        <w:rPr>
          <w:rFonts w:cs="Times New Roman"/>
          <w:noProof/>
        </w:rPr>
      </w:pPr>
      <w:r>
        <w:rPr>
          <w:noProof/>
        </w:rPr>
        <w:t>Nuo 2023 m. visiems projektams, kurie per įprastinius kvietimus teikti dotacijų paraiškas atitinka minimalius tinkamumo lygius pagal visus dotacijos skyrimo kriterijus (nepriklausomai nuo to, ar jie išrenkami finansuoti Inovacijų fondo lėšomis, ar ne), suteiktas STEP (Europos strateginių technologijų platformos) ženklas</w:t>
      </w:r>
      <w:r>
        <w:rPr>
          <w:rStyle w:val="FootnoteReference"/>
          <w:rFonts w:cs="Times New Roman"/>
          <w:noProof/>
          <w:lang w:val="en-IE"/>
        </w:rPr>
        <w:footnoteReference w:id="67"/>
      </w:r>
      <w:r>
        <w:rPr>
          <w:noProof/>
        </w:rPr>
        <w:t>. Šis ženklas – tai ES kokybės ženklas, suteikiamas aukštos kokybės projektams, kuriais prisidedama siekiant STEP tikslų; jį turint yra lengviau gauti finansavimą iš valstybių narių ar privačių investuotojų.</w:t>
      </w:r>
    </w:p>
    <w:p w14:paraId="25266B21" w14:textId="568647B3" w:rsidR="00613B80" w:rsidRPr="00EC4FC3" w:rsidRDefault="00613B80" w:rsidP="00EC4FC3">
      <w:pPr>
        <w:pStyle w:val="CMR-Subheading"/>
        <w:rPr>
          <w:noProof/>
        </w:rPr>
      </w:pPr>
      <w:bookmarkStart w:id="62" w:name="_Toc180513406"/>
      <w:bookmarkStart w:id="63" w:name="_Toc219127278"/>
      <w:r>
        <w:rPr>
          <w:noProof/>
        </w:rPr>
        <w:t>ATLPS modernizavimo fondas</w:t>
      </w:r>
      <w:bookmarkEnd w:id="62"/>
      <w:bookmarkEnd w:id="63"/>
    </w:p>
    <w:p w14:paraId="594A88ED" w14:textId="26300671" w:rsidR="006F078C" w:rsidRPr="00685D02" w:rsidRDefault="00DC0230" w:rsidP="002C03CF">
      <w:pPr>
        <w:pStyle w:val="CMR-text"/>
        <w:rPr>
          <w:rFonts w:cs="Times New Roman"/>
          <w:noProof/>
        </w:rPr>
      </w:pPr>
      <w:r>
        <w:rPr>
          <w:noProof/>
        </w:rPr>
        <w:t>Modernizavimo fondas yra iš ES ATLPS gautomis lėšomis finansuojama solidarumo programa. Jis nuo pat pradžių teikė paramą dešimčiai mažesnių pajamų valstybių narių</w:t>
      </w:r>
      <w:r>
        <w:rPr>
          <w:rStyle w:val="FootnoteReference"/>
          <w:rFonts w:cs="Times New Roman"/>
          <w:noProof/>
          <w:lang w:val="en-IE"/>
        </w:rPr>
        <w:footnoteReference w:id="68"/>
      </w:r>
      <w:r>
        <w:rPr>
          <w:noProof/>
        </w:rPr>
        <w:t xml:space="preserve"> ir nuo 2024 m. papildomai teikia paramą dar trims mažesnių pajamų valstybėms narėms</w:t>
      </w:r>
      <w:r>
        <w:rPr>
          <w:rStyle w:val="FootnoteReference"/>
          <w:rFonts w:cs="Times New Roman"/>
          <w:noProof/>
          <w:lang w:val="en-IE"/>
        </w:rPr>
        <w:footnoteReference w:id="69"/>
      </w:r>
      <w:r>
        <w:rPr>
          <w:noProof/>
        </w:rPr>
        <w:t xml:space="preserve"> pasiekti 2030 m. klimato ir energetikos tikslus, padėdamas joms įgyvendinti projektus, kuriais modernizuojamos energetikos sistemos ir didinamas energijos vartojimo efektyvumas. Fondo biudžetą sudaro lėšos, gautos pardavus aukcionuose dalį apyvartinių taršos leidimų iki ES ATLPS viršutinės ribos (kurią atitinkantis ATL kiekis yra 438 mln.); fondo lėšos valstybėms narėms gavėjoms paskirstomos pagal nustatytą schemą</w:t>
      </w:r>
      <w:r>
        <w:rPr>
          <w:rStyle w:val="FootnoteReference"/>
          <w:rFonts w:cs="Times New Roman"/>
          <w:noProof/>
          <w:lang w:val="en-IE"/>
        </w:rPr>
        <w:footnoteReference w:id="70"/>
      </w:r>
      <w:r>
        <w:rPr>
          <w:noProof/>
        </w:rPr>
        <w:t>. Be to, šešios Modernizavimo fondo paramą gaunančios valstybės narės į jį perkėlė 320 mln. trečiojo ES ATLPS etapo (2013–2020 m.) ATL. Taigi darant prielaidą, kad vidutinė anglies dioksido kaina yra 75 EUR/t CO</w:t>
      </w:r>
      <w:r>
        <w:rPr>
          <w:noProof/>
          <w:vertAlign w:val="subscript"/>
        </w:rPr>
        <w:t>2</w:t>
      </w:r>
      <w:r>
        <w:rPr>
          <w:noProof/>
        </w:rPr>
        <w:t>, bendras Fondo dydis 2021–2030 m. laikotarpiu yra daugiau kaip 750 mln. ATL, arba 56 mlrd. EUR.</w:t>
      </w:r>
      <w:r>
        <w:rPr>
          <w:noProof/>
          <w:vertAlign w:val="subscript"/>
        </w:rPr>
        <w:t xml:space="preserve"> </w:t>
      </w:r>
    </w:p>
    <w:p w14:paraId="1B73E050" w14:textId="14EC109E" w:rsidR="006F078C" w:rsidRPr="00685D02" w:rsidRDefault="00C33D98" w:rsidP="002C03CF">
      <w:pPr>
        <w:pStyle w:val="CMR-text"/>
        <w:rPr>
          <w:rFonts w:cs="Times New Roman"/>
          <w:noProof/>
        </w:rPr>
      </w:pPr>
      <w:r>
        <w:rPr>
          <w:noProof/>
        </w:rPr>
        <w:t>Valstybės narės pačios renkasi investicijas, kurias nori remti, tačiau jos privalo daugumą savo išteklių iš šio fondo panaudoti prioritetinėms investicijoms. Tai, be kita ko, atsinaujinančiųjų išteklių elektros energijos, šilumos ir vėsinimo energijos gamyba ir naudojimas, energijos vartojimo efektyvumas, energijos kaupimas ir energijos tinklų modernizavimas, parama mažas pajamas gaunantiems namų ūkiams įveikti energijos nepriteklių ir veiksmai siekiant teisingos pertvarkos nuo iškastinio kuro priklausomuose regionuose. EIB peržiūri investavimo pasiūlymus. EIB patvirtinus, kad investicija yra prioritetinė, arba rekomendavus fondo Investicijų komitetui ją finansuoti kaip neprioritetinę, Komisija priima lėšų išmokėjimo sprendimą. Lėšų išmokėjimo sprendimai priimami kasmet per du ciklus, apimančius investicijas visose valstybėse narėse gavėjose.</w:t>
      </w:r>
    </w:p>
    <w:p w14:paraId="23883846" w14:textId="00A7C270" w:rsidR="0011429F" w:rsidRPr="00685D02" w:rsidRDefault="2887EC8D" w:rsidP="002C03CF">
      <w:pPr>
        <w:pStyle w:val="CMR-text"/>
        <w:rPr>
          <w:rFonts w:cs="Times New Roman"/>
          <w:noProof/>
        </w:rPr>
      </w:pPr>
      <w:r>
        <w:rPr>
          <w:noProof/>
        </w:rPr>
        <w:t xml:space="preserve">Nuo 2021 m. sausio mėn. patvirtinta apie 200 paramos schemų ir atskirų projektų (bendra suma – 19,1 mlrd. EUR) ir susijusios lėšos išmokėtos valstybėms narėms gavėjoms. Šios iniciatyvos daugiausia siejasi su atsinaujinančiųjų išteklių energija, energijos vartojimo efektyvumu, energijos kaupimu ir energijos tinklų modernizavimu. </w:t>
      </w:r>
    </w:p>
    <w:p w14:paraId="3BF8A088" w14:textId="64B65789" w:rsidR="0064552C" w:rsidRPr="00685D02" w:rsidRDefault="55C07573" w:rsidP="002C03CF">
      <w:pPr>
        <w:pStyle w:val="CMR-text"/>
        <w:rPr>
          <w:rFonts w:cs="Times New Roman"/>
          <w:noProof/>
        </w:rPr>
      </w:pPr>
      <w:r>
        <w:rPr>
          <w:noProof/>
        </w:rPr>
        <w:t>2025 m. birželio mėn. Komisija priėmė aštuntąjį Modernizavimo fondo lėšų išmokėjimo sprendimą</w:t>
      </w:r>
      <w:r>
        <w:rPr>
          <w:rStyle w:val="FootnoteReference"/>
          <w:rFonts w:cs="Times New Roman"/>
          <w:noProof/>
          <w:lang w:val="en-IE"/>
        </w:rPr>
        <w:footnoteReference w:id="71"/>
      </w:r>
      <w:r>
        <w:rPr>
          <w:noProof/>
        </w:rPr>
        <w:t xml:space="preserve"> dėl sumos, kuri yra didžiausia nuo 2021 m. Tuo remdamasis EIB išmokėjo iš viso 3,7 mlrd. EUR devynioms valstybėms narėms gavėjoms</w:t>
      </w:r>
      <w:r>
        <w:rPr>
          <w:rStyle w:val="FootnoteReference"/>
          <w:rFonts w:cs="Times New Roman"/>
          <w:noProof/>
          <w:lang w:val="en-IE"/>
        </w:rPr>
        <w:footnoteReference w:id="72"/>
      </w:r>
      <w:r>
        <w:rPr>
          <w:noProof/>
        </w:rPr>
        <w:t xml:space="preserve"> 34 investavimo pasiūlymams finansuoti. Projektai apima paramą Švaraus oro programos, pagal kurią remiamas energijos vartojimo efektyvumo didinimas ir šilumos šaltinių keitimas individualiuose namuose, plėtojimui Lenkijoje ir elektros tinklo pajėgumų didinimą Latvijoje. </w:t>
      </w:r>
    </w:p>
    <w:p w14:paraId="6F679527" w14:textId="2331264C" w:rsidR="00DB11ED" w:rsidRPr="00685D02" w:rsidRDefault="6F920625" w:rsidP="00DB11ED">
      <w:pPr>
        <w:pStyle w:val="CMR-text"/>
        <w:rPr>
          <w:rFonts w:cs="Times New Roman"/>
          <w:noProof/>
        </w:rPr>
      </w:pPr>
      <w:r>
        <w:rPr>
          <w:noProof/>
        </w:rPr>
        <w:t xml:space="preserve">Kitame pasiūlymų Modernizavimo fondui teikimo etape pasiūlymų dėl neprioritetinių projektų teikimas užbaigtas 2025 m. rugpjūčio 12 d., o dėl prioritetinių projektų – 2025 m. rugsėjo 9 d. </w:t>
      </w:r>
    </w:p>
    <w:p w14:paraId="5BBEBFD3" w14:textId="30131D90" w:rsidR="006F078C" w:rsidRPr="00685D02" w:rsidRDefault="526052FE" w:rsidP="002C03CF">
      <w:pPr>
        <w:pStyle w:val="CMR-text"/>
        <w:rPr>
          <w:rFonts w:cs="Times New Roman"/>
          <w:noProof/>
        </w:rPr>
      </w:pPr>
      <w:r>
        <w:rPr>
          <w:noProof/>
        </w:rPr>
        <w:t xml:space="preserve">Nuo 2025 m. investicijos taip pat turi atitikti reikšmingos žalos nedarymo principo reikalavimus pagal Taksonomijos reglamentą (išskyrus investicijas, kurios finansuojamos panaudojant į Modernizavimo fondą perkeltus ATL). </w:t>
      </w:r>
    </w:p>
    <w:p w14:paraId="2334C0BF" w14:textId="21CD5FD8" w:rsidR="00213E11" w:rsidRPr="00EC4FC3" w:rsidRDefault="00213E11" w:rsidP="00EC4FC3">
      <w:pPr>
        <w:pStyle w:val="CMR-Subheading"/>
        <w:rPr>
          <w:noProof/>
        </w:rPr>
      </w:pPr>
      <w:bookmarkStart w:id="64" w:name="_Toc180513407"/>
      <w:bookmarkStart w:id="65" w:name="_Toc219127279"/>
      <w:r>
        <w:rPr>
          <w:noProof/>
        </w:rPr>
        <w:t>ATLPS dekarbonizacijos fondas Graikijai</w:t>
      </w:r>
      <w:bookmarkEnd w:id="64"/>
      <w:bookmarkEnd w:id="65"/>
    </w:p>
    <w:p w14:paraId="78EA7BA0" w14:textId="6C98A631" w:rsidR="6DC88DB8" w:rsidRPr="00685D02" w:rsidRDefault="24216302" w:rsidP="2122AAA8">
      <w:pPr>
        <w:pStyle w:val="CMR-text"/>
        <w:rPr>
          <w:rFonts w:cs="Times New Roman"/>
          <w:noProof/>
        </w:rPr>
      </w:pPr>
      <w:r>
        <w:rPr>
          <w:noProof/>
        </w:rPr>
        <w:t>ATLPS direktyvos 10a straipsnio 9 dalimi Graikijai suteikta teisė tam tikromis sąlygomis prašyti elektros energijos tiekimo jos salose dekarbonizacijai skirti iki 25 mln. ATL</w:t>
      </w:r>
      <w:r>
        <w:rPr>
          <w:rStyle w:val="FootnoteReference"/>
          <w:rFonts w:cs="Times New Roman"/>
          <w:noProof/>
          <w:lang w:val="en-IE"/>
        </w:rPr>
        <w:footnoteReference w:id="73"/>
      </w:r>
      <w:r>
        <w:rPr>
          <w:noProof/>
        </w:rPr>
        <w:t>. Pardavus šiuos ATL aukcione gautomis lėšomis bus finansuojamas šis fondas, kuriame, įvertinta, bus apie 2 mlrd. EUR. Graikija, Europos Komisija ir EIB deda pastangas, kad ši nuostata būtų įgyvendinta. Už Europos žaliąjį kursą atsakingas vykdomasis Komisijos pirmininko pavaduotojas Marošas Šefčovičius kartu su Graikijos aplinkos ir energetikos ministru Theodoru Skylakakiu ir EIB pirmininko pavaduotoju Ioanniu Tsakiriu 2024 m. lapkričio mėn. Nakso mieste (Graikija) pasirašė trišalį susitarimą dėl nacionalinio ATLPS dekarbonizacijos fondo Graikijos saloms įsteigimo</w:t>
      </w:r>
      <w:r>
        <w:rPr>
          <w:rFonts w:cs="Times New Roman"/>
          <w:noProof/>
          <w:vertAlign w:val="superscript"/>
          <w:lang w:val="en-IE"/>
        </w:rPr>
        <w:footnoteReference w:id="74"/>
      </w:r>
      <w:r>
        <w:rPr>
          <w:noProof/>
        </w:rPr>
        <w:t xml:space="preserve">. </w:t>
      </w:r>
    </w:p>
    <w:p w14:paraId="4429EB96" w14:textId="1A2522A6" w:rsidR="6DC88DB8" w:rsidRDefault="283A2DEF" w:rsidP="45A3302D">
      <w:pPr>
        <w:pStyle w:val="CMR-text"/>
        <w:rPr>
          <w:rFonts w:cs="Times New Roman"/>
          <w:noProof/>
        </w:rPr>
      </w:pPr>
      <w:r>
        <w:rPr>
          <w:noProof/>
        </w:rPr>
        <w:t xml:space="preserve">EIB bus atsakingas už Graikijos projekto, kuriuo siekiama elektros energijos tiekimo šalies salose dekarbonizacijos, pasiūlymo finansinio perspektyvumo ir socialinės bei ekonominės naudos įvertinimą. Jei visos sąlygos bus įvykdytos, ATL bus parduoti aukcione ir gautomis pajamomis bus galima bendrai finansuoti iki 60 proc. patvirtintų projekto komponentų. Konkrečiai finansavimu turėtų būti remiami atsinaujinančiųjų išteklių energijos tiekimo projektai salose, kaip antai fotovoltinės saulės energijos sistemos, jūros vėjo elektrinių parkai ir autonominės energijos kaupimo sistemos, taip pat iniciatyvos prijungti salas prie žemyninio elektros tinklo. Fondo parama taip pat bus prisidedama prie prisitaikymo prie klimato kaitos priemonių ir didinamas atsparumas ekstremaliems meteorologiniams reiškiniams. </w:t>
      </w:r>
    </w:p>
    <w:p w14:paraId="3C184CE3" w14:textId="77777777" w:rsidR="00E718DF" w:rsidRPr="00685D02" w:rsidRDefault="00E718DF" w:rsidP="45A3302D">
      <w:pPr>
        <w:pStyle w:val="CMR-text"/>
        <w:rPr>
          <w:rFonts w:cs="Times New Roman"/>
          <w:noProof/>
          <w:lang w:val="en-IE"/>
        </w:rPr>
      </w:pPr>
    </w:p>
    <w:p w14:paraId="1E7A700B" w14:textId="738BE3E4" w:rsidR="00613B80" w:rsidRPr="00EC4FC3" w:rsidRDefault="00613B80" w:rsidP="00EC4FC3">
      <w:pPr>
        <w:pStyle w:val="CMR-Heading"/>
        <w:rPr>
          <w:noProof/>
        </w:rPr>
      </w:pPr>
      <w:bookmarkStart w:id="66" w:name="_Toc180513408"/>
      <w:bookmarkStart w:id="67" w:name="_Ref207358766"/>
      <w:bookmarkStart w:id="68" w:name="_Toc219127280"/>
      <w:r>
        <w:rPr>
          <w:noProof/>
        </w:rPr>
        <w:t>Aviacija</w:t>
      </w:r>
      <w:bookmarkEnd w:id="66"/>
      <w:bookmarkEnd w:id="67"/>
      <w:bookmarkEnd w:id="68"/>
    </w:p>
    <w:p w14:paraId="62EB8901" w14:textId="3AB303C3" w:rsidR="00414F36" w:rsidRPr="00685D02" w:rsidRDefault="5E0A25F4" w:rsidP="00187D4D">
      <w:pPr>
        <w:pStyle w:val="CMR-text"/>
        <w:rPr>
          <w:rStyle w:val="Bodytext1"/>
          <w:rFonts w:cs="Times New Roman"/>
          <w:noProof/>
        </w:rPr>
      </w:pPr>
      <w:r>
        <w:rPr>
          <w:rStyle w:val="Bodytext1"/>
          <w:noProof/>
        </w:rPr>
        <w:t xml:space="preserve">Teršalų išmetimas aviacijos sektoriuje yra nuo 2012 m. reguliuojamas ES ATLPS. Ši sistema teisiškai apima visus išvykimo iš EEE skrydžius, taip pat atvykimo į EEE skrydžius, jei jiems nedaroma išimties. </w:t>
      </w:r>
    </w:p>
    <w:p w14:paraId="01E853C9" w14:textId="189BC0EC" w:rsidR="00920844" w:rsidRPr="00685D02" w:rsidRDefault="5E0A25F4" w:rsidP="00187D4D">
      <w:pPr>
        <w:pStyle w:val="CMR-text"/>
        <w:rPr>
          <w:rFonts w:cs="Times New Roman"/>
          <w:noProof/>
        </w:rPr>
      </w:pPr>
      <w:r>
        <w:rPr>
          <w:rStyle w:val="Bodytext1"/>
          <w:noProof/>
        </w:rPr>
        <w:t>Vis dėlto 2013 m. ES apribojo aviacijos sektoriaus pareigas ATLPS, kad jos apimtų tik EEE vidaus skrydžius; taip siekta padėti kurti Tarptautinės civilinės aviacijos organizacijos (ICAO) pasaulinę rinka grindžiamą priemonę aviacijos išmetamųjų teršalų kiekiui mažinti</w:t>
      </w:r>
      <w:r>
        <w:rPr>
          <w:rStyle w:val="Bodytext1"/>
          <w:rFonts w:cs="Times New Roman"/>
          <w:noProof/>
          <w:vertAlign w:val="superscript"/>
          <w:lang w:val="en-IE"/>
        </w:rPr>
        <w:footnoteReference w:id="75"/>
      </w:r>
      <w:r>
        <w:rPr>
          <w:rStyle w:val="Bodytext1"/>
          <w:noProof/>
        </w:rPr>
        <w:t>. Šis ES ATLPS direktyvos taikymo srities apribojimas nuo tada tris kartus pratęstas, o ES ATLPS direktyvos 2023 m. peržiūroje pabrėžta, kad tai turėtų būti paskutinė laikina nuo ES ATLPS nukrypti leidžianti nuostata</w:t>
      </w:r>
      <w:r>
        <w:rPr>
          <w:rStyle w:val="FootnoteReference"/>
          <w:rFonts w:cs="Times New Roman"/>
          <w:noProof/>
          <w:lang w:val="en-IE" w:eastAsia="bg-BG" w:bidi="bg-BG"/>
        </w:rPr>
        <w:footnoteReference w:id="76"/>
      </w:r>
      <w:r>
        <w:rPr>
          <w:rStyle w:val="Bodytext1"/>
          <w:noProof/>
        </w:rPr>
        <w:t>.</w:t>
      </w:r>
      <w:r>
        <w:rPr>
          <w:noProof/>
        </w:rPr>
        <w:t xml:space="preserve"> Išimtis skrydžiams į maždaug 75 mažiausiai išsivysčiusias šalis ir mažas besivystančias salų valstybes ir iš jų taikoma nuolat.</w:t>
      </w:r>
    </w:p>
    <w:p w14:paraId="60FF6E22" w14:textId="6100D0ED" w:rsidR="00187D4D" w:rsidRPr="00685D02" w:rsidRDefault="00C46D90" w:rsidP="00187D4D">
      <w:pPr>
        <w:pStyle w:val="CMR-text"/>
        <w:rPr>
          <w:rStyle w:val="Bodytext1"/>
          <w:rFonts w:cs="Times New Roman"/>
          <w:noProof/>
        </w:rPr>
      </w:pPr>
      <w:r>
        <w:rPr>
          <w:rStyle w:val="Bodytext1"/>
          <w:noProof/>
        </w:rPr>
        <w:t>Nuo 2020 m. sausio 1 d. ES ATLPS apima per išvykimo į Šveicariją skrydžius išmetamus teršalus, o skrydžiams iš šios šalies į EEE oro uostus taikoma Šveicarijos ATLPS. Taip užtikrinama paskata dekarbonizacijai ir išlaikomos vienodos sąlygos oro susisiekimui į abi puses. Nuo 2021 m. sausio 1 d. ES ATLPS taikoma išvykimo į Jungtinę Karalystę skrydžiams, o skrydžiams iš šios šalies į EEE oro uostus taikoma Jungtinės Karalystės ATLPS. Taigi, nepaisant Jungtinės Karalystės išstojimo iš ES, aviacijos išmetamiesiems teršalams ir toliau taikomas anglies dioksido apmokestinimas.</w:t>
      </w:r>
    </w:p>
    <w:p w14:paraId="42310410" w14:textId="753B16BB" w:rsidR="00187D4D" w:rsidRPr="00685D02" w:rsidRDefault="3F0A0337" w:rsidP="00187D4D">
      <w:pPr>
        <w:pStyle w:val="CMR-text"/>
        <w:rPr>
          <w:rStyle w:val="Bodytext1"/>
          <w:rFonts w:cs="Times New Roman"/>
          <w:noProof/>
        </w:rPr>
      </w:pPr>
      <w:r>
        <w:rPr>
          <w:rStyle w:val="Bodytext1"/>
          <w:noProof/>
        </w:rPr>
        <w:t>Nuo 2024 m. sausio 1 d. ES ATLPS taikoma teršalams, išmetamiems vykdant daugumą skrydžių</w:t>
      </w:r>
      <w:r>
        <w:rPr>
          <w:rStyle w:val="FootnoteReference"/>
          <w:rFonts w:cs="Times New Roman"/>
          <w:noProof/>
          <w:lang w:val="en-IE"/>
        </w:rPr>
        <w:footnoteReference w:id="77"/>
      </w:r>
      <w:r>
        <w:rPr>
          <w:rStyle w:val="Bodytext1"/>
          <w:noProof/>
        </w:rPr>
        <w:t xml:space="preserve"> į devynis ES atokiausius regionus ir iš jų, taip pat išvykimo iš atokiausių regionų į Šveicariją ir Jungtinę Karalystę skrydžius. Vertinant bendrai, ATLPS anglies dioksido apmokestinimo aprėptis dėl to išplėsta maždaug 7 proc. Šveicarija nuo 2024 m. taip pat įtraukė per skrydžius iš jos į ES atokiausius regionus išmetamus teršalus į savo ATLPS</w:t>
      </w:r>
      <w:r>
        <w:rPr>
          <w:rStyle w:val="FootnoteReference"/>
          <w:rFonts w:cs="Times New Roman"/>
          <w:noProof/>
          <w:lang w:val="en-IE"/>
        </w:rPr>
        <w:footnoteReference w:id="78"/>
      </w:r>
      <w:r>
        <w:rPr>
          <w:rStyle w:val="Bodytext1"/>
          <w:noProof/>
        </w:rPr>
        <w:t>.</w:t>
      </w:r>
    </w:p>
    <w:p w14:paraId="266618AD" w14:textId="0E5F0AF9" w:rsidR="00537304" w:rsidRPr="00685D02" w:rsidRDefault="23C5340A" w:rsidP="00537304">
      <w:pPr>
        <w:pStyle w:val="CMR-text"/>
        <w:rPr>
          <w:rFonts w:cs="Times New Roman"/>
          <w:noProof/>
        </w:rPr>
      </w:pPr>
      <w:r>
        <w:rPr>
          <w:rStyle w:val="Bodytext1"/>
          <w:noProof/>
        </w:rPr>
        <w:t>Tuo pat metu, siekiant padėti daryti pažangą ICAO, ribotas ES ATLPS taikymas tik Europos vidaus aviacijai pratęstas iki 2026 m. pabaigos, nes visos didžiosios ES nepriklausančios šalys nuo 2027 m. turėtų taikyti Tarptautinės aviacijos išmetamo anglies dioksido kiekio kompensavimo ir mažinimo sistemą (CORSIA). Per ATLPS peržiūrą, kuri bus atliekama 2026 m. viduryje, Komisija privalės įvertinti, ar, pagal naujausius išmetamųjų teršalų kiekio duomenis, ES nepriklausančioms valstybėms, laikomoms dalyvaujančiomis CORSIA, tenka daugiau, ar mažiau nei 70 proc. tarptautinės aviacijos išmetamųjų teršalų (ATLPS direktyvos 28b straipsnio 3 dalies b punktas). Tokiu požiūriu siekiama paskatinti visas šalis, kurios turėtų dalyvauti CORSIA, įgyvendinti šią sistemą, kai jos taikymas taps „privalomas“</w:t>
      </w:r>
      <w:r>
        <w:rPr>
          <w:rStyle w:val="FootnoteReference"/>
          <w:rFonts w:cs="Times New Roman"/>
          <w:noProof/>
          <w:lang w:val="en-IE" w:eastAsia="bg-BG"/>
        </w:rPr>
        <w:footnoteReference w:id="79"/>
      </w:r>
      <w:r>
        <w:rPr>
          <w:noProof/>
        </w:rPr>
        <w:t>. Apskritai ES ragina visas šalis joje dalyvauti.</w:t>
      </w:r>
    </w:p>
    <w:p w14:paraId="048BB630" w14:textId="77777777" w:rsidR="00FF0E89" w:rsidRPr="00685D02" w:rsidRDefault="23C5340A" w:rsidP="00FF0E89">
      <w:pPr>
        <w:pStyle w:val="CMR-text"/>
        <w:rPr>
          <w:rFonts w:cs="Times New Roman"/>
          <w:noProof/>
        </w:rPr>
      </w:pPr>
      <w:r>
        <w:rPr>
          <w:noProof/>
        </w:rPr>
        <w:t>Atliekant pagal ES ATLPS direktyvą reikalaujamą vertinimą nustatomi aiškūs 70 proc. ribinės vertės apskaičiavimo parametrai. Skaitiklyje skaičiuojamas tarptautinės aviacijos išmetamųjų teršalų kiekis „pagal 25a straipsnio 3 dalį priimtame įgyvendinimo akte išvardytose valstybėse“, t. y. valstybėse, kitose nei EEE šalys, Šveicarija ar Jungtinė Karalystė. Taigi skaitiklis apima teršalus, išmetamus vykdant skrydžius maršrutais tarp įgyvendinimo akte nurodytų valstybių, taip pat maršrutais tarp EEE valstybės narės ar Šveicarijos arba Jungtinės Karalystės ir šių valstybių. Vertinimas atliekamas pagal maršrutu grindžiamą principą, t. y. daroma prielaida, kad bet kuriam skrydžiui šiais maršrutais taikomi CORSIA kompensavimo reikalavimai, net jei jį vykdo oro vežėjas, kilęs iš nedalyvaujančios valstybės</w:t>
      </w:r>
      <w:r>
        <w:rPr>
          <w:rStyle w:val="FootnoteReference"/>
          <w:rFonts w:cs="Times New Roman"/>
          <w:noProof/>
          <w:lang w:val="en-IE" w:eastAsia="bg-BG"/>
        </w:rPr>
        <w:footnoteReference w:id="80"/>
      </w:r>
      <w:r>
        <w:rPr>
          <w:noProof/>
        </w:rPr>
        <w:t>. Taip išvengiama nepakankamo įvertinimo. Šio skaičiavimo vardiklis yra visas „tarptautinės aviacijos išmetamųjų teršalų kiekis“, t. y. visi vykdant skrydžius maršrutais tarp dviejų ICAO šalių išmetami teršalai. Šiam skaičiavimui bus naudojami ICAO sekretoriato paskelbti duomenys</w:t>
      </w:r>
      <w:r>
        <w:rPr>
          <w:rStyle w:val="FootnoteReference"/>
          <w:rFonts w:cs="Times New Roman"/>
          <w:noProof/>
          <w:lang w:val="en-IE" w:eastAsia="bg-BG"/>
        </w:rPr>
        <w:footnoteReference w:id="81"/>
      </w:r>
      <w:r>
        <w:rPr>
          <w:noProof/>
        </w:rPr>
        <w:t>, kurie yra valstybių pateikiami tiesiogiai arba ICAO sekretoriato papildomi pagal sutartą metodiką. Apskaičiuojama taip:</w:t>
      </w:r>
    </w:p>
    <w:p w14:paraId="7ED8FE44" w14:textId="77777777" w:rsidR="00FF0E89" w:rsidRPr="00526DF4" w:rsidRDefault="0080122D" w:rsidP="00FF0E89">
      <w:pPr>
        <w:pStyle w:val="CMR-text"/>
        <w:rPr>
          <w:rStyle w:val="Bodytext1"/>
          <w:rFonts w:cs="Times New Roman"/>
          <w:noProof/>
          <w:sz w:val="20"/>
          <w:szCs w:val="20"/>
        </w:rPr>
      </w:pPr>
      <m:oMathPara>
        <m:oMath>
          <m:f>
            <m:fPr>
              <m:ctrlPr>
                <w:rPr>
                  <w:rFonts w:ascii="Cambria Math" w:hAnsi="Cambria Math" w:cs="Times New Roman"/>
                  <w:i/>
                  <w:noProof/>
                  <w:sz w:val="16"/>
                  <w:szCs w:val="16"/>
                  <w:lang w:val="en-IE" w:eastAsia="bg-BG"/>
                </w:rPr>
              </m:ctrlPr>
            </m:fPr>
            <m:num>
              <m:eqArr>
                <m:eqArrPr>
                  <m:ctrlPr>
                    <w:rPr>
                      <w:rFonts w:ascii="Cambria Math" w:hAnsi="Cambria Math" w:cs="Times New Roman"/>
                      <w:i/>
                      <w:noProof/>
                      <w:sz w:val="16"/>
                      <w:szCs w:val="16"/>
                      <w:lang w:val="en-IE" w:eastAsia="bg-BG"/>
                    </w:rPr>
                  </m:ctrlPr>
                </m:eqArrPr>
                <m:e>
                  <m:sSub>
                    <m:sSubPr>
                      <m:ctrlPr>
                        <w:rPr>
                          <w:rFonts w:ascii="Cambria Math" w:hAnsi="Cambria Math" w:cs="Times New Roman"/>
                          <w:i/>
                          <w:noProof/>
                          <w:sz w:val="16"/>
                          <w:szCs w:val="16"/>
                          <w:lang w:val="en-IE" w:eastAsia="bg-BG"/>
                        </w:rPr>
                      </m:ctrlPr>
                    </m:sSubPr>
                    <m:e>
                      <m:r>
                        <w:rPr>
                          <w:rFonts w:ascii="Cambria Math" w:hAnsi="Cambria Math" w:cs="Times New Roman"/>
                          <w:noProof/>
                          <w:kern w:val="2"/>
                          <w:sz w:val="16"/>
                          <w:szCs w:val="16"/>
                          <w:lang w:val="en-IE" w:eastAsia="bg-BG"/>
                          <w14:ligatures w14:val="standardContextual"/>
                        </w:rPr>
                        <m:t>Išmetamas CO</m:t>
                      </m:r>
                    </m:e>
                    <m:sub>
                      <m:r>
                        <w:rPr>
                          <w:rFonts w:ascii="Cambria Math" w:hAnsi="Cambria Math" w:cs="Times New Roman"/>
                          <w:noProof/>
                          <w:kern w:val="2"/>
                          <w:sz w:val="16"/>
                          <w:szCs w:val="16"/>
                          <w:lang w:val="en-IE" w:eastAsia="bg-BG"/>
                          <w14:ligatures w14:val="standardContextual"/>
                        </w:rPr>
                        <m:t>2</m:t>
                      </m:r>
                    </m:sub>
                  </m:sSub>
                  <m:r>
                    <w:rPr>
                      <w:rFonts w:ascii="Cambria Math" w:hAnsi="Cambria Math" w:cs="Times New Roman"/>
                      <w:noProof/>
                      <w:kern w:val="2"/>
                      <w:sz w:val="16"/>
                      <w:szCs w:val="16"/>
                      <w:lang w:val="en-IE" w:eastAsia="bg-BG"/>
                      <w14:ligatures w14:val="standardContextual"/>
                    </w:rPr>
                    <m:t xml:space="preserve"> kiekis,  susijęs su ne Europos valstybėmis vykdant skrydžius maršrutais tarp šalių, </m:t>
                  </m:r>
                  <m:ctrlPr>
                    <w:rPr>
                      <w:rFonts w:ascii="Cambria Math" w:hAnsi="Cambria Math" w:cs="Times New Roman"/>
                      <w:i/>
                      <w:noProof/>
                      <w:kern w:val="2"/>
                      <w:sz w:val="16"/>
                      <w:szCs w:val="16"/>
                      <w:lang w:val="en-IE" w:eastAsia="bg-BG"/>
                      <w14:ligatures w14:val="standardContextual"/>
                    </w:rPr>
                  </m:ctrlPr>
                </m:e>
                <m:e>
                  <m:r>
                    <w:rPr>
                      <w:rFonts w:ascii="Cambria Math" w:hAnsi="Cambria Math" w:cs="Times New Roman"/>
                      <w:noProof/>
                      <w:kern w:val="2"/>
                      <w:sz w:val="16"/>
                      <w:szCs w:val="16"/>
                      <w:lang w:val="en-IE" w:eastAsia="bg-BG"/>
                      <w14:ligatures w14:val="standardContextual"/>
                    </w:rPr>
                    <m:t>dalyvaujančių CORSIA kompensavimo sistemoje</m:t>
                  </m:r>
                  <m:ctrlPr>
                    <w:rPr>
                      <w:rFonts w:ascii="Cambria Math" w:hAnsi="Cambria Math" w:cs="Times New Roman"/>
                      <w:i/>
                      <w:noProof/>
                      <w:kern w:val="2"/>
                      <w:sz w:val="16"/>
                      <w:szCs w:val="16"/>
                      <w:lang w:val="en-IE" w:eastAsia="bg-BG"/>
                      <w14:ligatures w14:val="standardContextual"/>
                    </w:rPr>
                  </m:ctrlPr>
                </m:e>
              </m:eqArr>
            </m:num>
            <m:den>
              <m:sSub>
                <m:sSubPr>
                  <m:ctrlPr>
                    <w:rPr>
                      <w:rFonts w:ascii="Cambria Math" w:hAnsi="Cambria Math" w:cs="Times New Roman"/>
                      <w:i/>
                      <w:noProof/>
                      <w:sz w:val="16"/>
                      <w:szCs w:val="16"/>
                      <w:lang w:val="en-IE" w:eastAsia="bg-BG"/>
                    </w:rPr>
                  </m:ctrlPr>
                </m:sSubPr>
                <m:e>
                  <m:r>
                    <w:rPr>
                      <w:rFonts w:ascii="Cambria Math" w:hAnsi="Cambria Math" w:cs="Times New Roman"/>
                      <w:noProof/>
                      <w:kern w:val="2"/>
                      <w:sz w:val="16"/>
                      <w:szCs w:val="16"/>
                      <w:lang w:val="en-IE" w:eastAsia="bg-BG"/>
                      <w14:ligatures w14:val="standardContextual"/>
                    </w:rPr>
                    <m:t>Išmetamas CO</m:t>
                  </m:r>
                </m:e>
                <m:sub>
                  <m:r>
                    <w:rPr>
                      <w:rFonts w:ascii="Cambria Math" w:hAnsi="Cambria Math" w:cs="Times New Roman"/>
                      <w:noProof/>
                      <w:kern w:val="2"/>
                      <w:sz w:val="16"/>
                      <w:szCs w:val="16"/>
                      <w:lang w:val="en-IE" w:eastAsia="bg-BG"/>
                      <w14:ligatures w14:val="standardContextual"/>
                    </w:rPr>
                    <m:t>2</m:t>
                  </m:r>
                </m:sub>
              </m:sSub>
              <m:r>
                <w:rPr>
                  <w:rFonts w:ascii="Cambria Math" w:hAnsi="Cambria Math" w:cs="Times New Roman"/>
                  <w:noProof/>
                  <w:kern w:val="2"/>
                  <w:sz w:val="16"/>
                  <w:szCs w:val="16"/>
                  <w:lang w:val="en-IE" w:eastAsia="bg-BG"/>
                  <w14:ligatures w14:val="standardContextual"/>
                </w:rPr>
                <m:t xml:space="preserve"> kiekis vykdant skrydžius tarptautiniais maršrutais</m:t>
              </m:r>
            </m:den>
          </m:f>
        </m:oMath>
      </m:oMathPara>
    </w:p>
    <w:p w14:paraId="6D75C15C" w14:textId="659F64B2" w:rsidR="00187D4D" w:rsidRPr="00685D02" w:rsidRDefault="30A45A5F" w:rsidP="00FF0E89">
      <w:pPr>
        <w:pStyle w:val="CMR-text"/>
        <w:rPr>
          <w:rFonts w:cs="Times New Roman"/>
          <w:noProof/>
        </w:rPr>
      </w:pPr>
      <w:r>
        <w:rPr>
          <w:rStyle w:val="Bodytext1"/>
          <w:noProof/>
        </w:rPr>
        <w:t>2024 m. pagal</w:t>
      </w:r>
      <w:r>
        <w:rPr>
          <w:noProof/>
        </w:rPr>
        <w:t xml:space="preserve"> galiojančią ES ATLPS taikymo sritį </w:t>
      </w:r>
      <w:r>
        <w:rPr>
          <w:rStyle w:val="Bodytext1"/>
          <w:noProof/>
        </w:rPr>
        <w:t xml:space="preserve">išduota apie 27,6 mln. aviacijos ATL. Nemokamai paskirstyta 17,5 mln. ATL. EEE nacionalinių administratorių administruojami orlaivių naudotojai nemokamai gavo šiek tiek daugiau nei 0,3 mln. Šveicarijos aviacijos ATL iš Šveicarijos ATLPS. Apie 6,7 mln. aviacijos ATL 2024 m. parduota aukcionuose. </w:t>
      </w:r>
    </w:p>
    <w:p w14:paraId="0AC3BD1F" w14:textId="55AB5647" w:rsidR="00B7738B" w:rsidRPr="00685D02" w:rsidRDefault="7B107DC4" w:rsidP="00B7738B">
      <w:pPr>
        <w:pStyle w:val="CMR-text"/>
        <w:rPr>
          <w:rStyle w:val="Bodytext1"/>
          <w:rFonts w:cs="Times New Roman"/>
          <w:noProof/>
        </w:rPr>
      </w:pPr>
      <w:r>
        <w:rPr>
          <w:noProof/>
        </w:rPr>
        <w:t>Orlaivių naudotojų išmetamas teršalų kiekis 2024 m., palyginti su 2023 m., toliau didėjo. 2024 m. išmestas kiekis sudarė 62,6 mln. t CO</w:t>
      </w:r>
      <w:r>
        <w:rPr>
          <w:noProof/>
          <w:vertAlign w:val="subscript"/>
        </w:rPr>
        <w:t>2</w:t>
      </w:r>
      <w:r>
        <w:rPr>
          <w:noProof/>
        </w:rPr>
        <w:t xml:space="preserve">e (tai apima ir Šveicarijos administruojamų veiklos vykdytojų išmestą 1,1 mln. t kiekį), o tai yra daugiau nei 2023 m. išmestas 54,3 mln. t kiekis. </w:t>
      </w:r>
      <w:bookmarkStart w:id="69" w:name="bookmark56"/>
      <w:r>
        <w:rPr>
          <w:noProof/>
        </w:rPr>
        <w:t xml:space="preserve">Taip yra iš dalies dėl geografinės taikymo srities išplėtimo atokiausiuose regionuose. 7 lentelėje </w:t>
      </w:r>
      <w:r>
        <w:rPr>
          <w:rStyle w:val="Bodytext1"/>
          <w:noProof/>
        </w:rPr>
        <w:t>nurodyti patikrinti orlaivių naudotojų išmestų teršalų kiekiai kartu su aviacijos sektoriuje nuo 2019 m. nemokamai skirtų ir aukcionuose parduotų ATL kiekiais.</w:t>
      </w:r>
      <w:bookmarkEnd w:id="69"/>
      <w:r>
        <w:rPr>
          <w:rStyle w:val="Bodytext1"/>
          <w:noProof/>
        </w:rPr>
        <w:t xml:space="preserve"> Nuo 2021 m. ES ATLPS nebetaikoma atvykimo iš Jungtinės Karalystės skrydžiams. </w:t>
      </w:r>
    </w:p>
    <w:p w14:paraId="1E2EC45E" w14:textId="36813E75" w:rsidR="00B7738B" w:rsidRPr="00685D02" w:rsidRDefault="1B2FF804" w:rsidP="00B7738B">
      <w:pPr>
        <w:pStyle w:val="CMR-text"/>
        <w:rPr>
          <w:rStyle w:val="Bodytext1"/>
          <w:rFonts w:cs="Times New Roman"/>
          <w:noProof/>
        </w:rPr>
      </w:pPr>
      <w:r>
        <w:rPr>
          <w:rStyle w:val="Bodytext1"/>
          <w:noProof/>
        </w:rPr>
        <w:t>Kaip Pasirengimo įgyvendinti 55 % tikslą priemonių rinkinio dalis 2023 m. patvirtintos dvi ES ATLPS taikymo aviacijai reformos, kurių tikslai – paspartinti išmetamųjų teršalų kiekio mažinimą šiame sektoriuje</w:t>
      </w:r>
      <w:r>
        <w:rPr>
          <w:rStyle w:val="FootnoteReference"/>
          <w:rFonts w:cs="Times New Roman"/>
          <w:noProof/>
          <w:lang w:val="en-IE"/>
        </w:rPr>
        <w:footnoteReference w:id="82"/>
      </w:r>
      <w:r>
        <w:rPr>
          <w:rStyle w:val="Bodytext1"/>
          <w:noProof/>
        </w:rPr>
        <w:t xml:space="preserve"> ir ES teisėje įgyvendinti CORSIA skrydžiams už Europos ribų, vykdomiems ES įsikūrusių oro transporto bendrovių</w:t>
      </w:r>
      <w:r>
        <w:rPr>
          <w:rStyle w:val="FootnoteReference"/>
          <w:rFonts w:cs="Times New Roman"/>
          <w:noProof/>
          <w:lang w:val="en-IE"/>
        </w:rPr>
        <w:footnoteReference w:id="83"/>
      </w:r>
      <w:r>
        <w:rPr>
          <w:rStyle w:val="Bodytext1"/>
          <w:noProof/>
        </w:rPr>
        <w:t xml:space="preserve">. Šios reformos šiuo metu vykdomos. </w:t>
      </w:r>
    </w:p>
    <w:p w14:paraId="2D670AED" w14:textId="5CB6B394" w:rsidR="00254618" w:rsidRPr="00685D02" w:rsidRDefault="1B2FF804" w:rsidP="00510DED">
      <w:pPr>
        <w:pStyle w:val="CMR-text"/>
        <w:rPr>
          <w:rStyle w:val="Bodytext1"/>
          <w:rFonts w:cs="Times New Roman"/>
          <w:noProof/>
        </w:rPr>
      </w:pPr>
      <w:r>
        <w:rPr>
          <w:rStyle w:val="Bodytext1"/>
          <w:noProof/>
        </w:rPr>
        <w:t>CORSIA įgyvendinimo ES teisėje tikslu Komisija 2025 m. liepos mėn. patvirtino valstybių, kurios laikomos taikančiomis CORSIA 2025 m. išmestiems teršalams, sąrašą</w:t>
      </w:r>
      <w:r>
        <w:rPr>
          <w:rStyle w:val="FootnoteReference"/>
          <w:rFonts w:cs="Times New Roman"/>
          <w:noProof/>
          <w:lang w:val="en-IE"/>
        </w:rPr>
        <w:footnoteReference w:id="84"/>
      </w:r>
      <w:r>
        <w:rPr>
          <w:rStyle w:val="Bodytext1"/>
          <w:noProof/>
        </w:rPr>
        <w:t>. Šis sąrašas atnaujinamas kiekvienais metais. 2024 m. liepos mėn. Komisija paskelbė CORSIA kompensavimo reikalavimų apskaičiavimo taisykles</w:t>
      </w:r>
      <w:r>
        <w:rPr>
          <w:rStyle w:val="FootnoteReference"/>
          <w:rFonts w:cs="Times New Roman"/>
          <w:noProof/>
          <w:lang w:val="en-IE"/>
        </w:rPr>
        <w:footnoteReference w:id="85"/>
      </w:r>
      <w:r>
        <w:rPr>
          <w:rStyle w:val="Bodytext1"/>
          <w:noProof/>
        </w:rPr>
        <w:t xml:space="preserve">. Valstybių narių kompetentingos institucijos šias taisykles taikys išmetamiesiems teršalams iki 2026 m. pabaigos. </w:t>
      </w:r>
    </w:p>
    <w:p w14:paraId="58EACB20" w14:textId="1745EC8B" w:rsidR="00510DED" w:rsidRPr="00685D02" w:rsidRDefault="54B487A1" w:rsidP="00510DED">
      <w:pPr>
        <w:pStyle w:val="CMR-text"/>
        <w:rPr>
          <w:rStyle w:val="Bodytext1"/>
          <w:rFonts w:cs="Times New Roman"/>
          <w:noProof/>
        </w:rPr>
      </w:pPr>
      <w:r>
        <w:rPr>
          <w:rStyle w:val="Bodytext1"/>
          <w:noProof/>
        </w:rPr>
        <w:t>Komisija žengia svarbų žingsnį siekdama didesnio skaidrumo: ji skelbia daugiau duomenų apie aviacijos išmetamuosius teršalus, o kartu apsaugo neskelbtinus komercinius duomenis. 2025 m. birželio mėn. Komisija paskelbė bendrus metinius 2023 m. išmesto teršalų kiekio duomenis pagal aerodromų poras Europos ekonominėje erdvėje</w:t>
      </w:r>
      <w:r>
        <w:rPr>
          <w:rStyle w:val="FootnoteReference"/>
          <w:rFonts w:cs="Times New Roman"/>
          <w:noProof/>
          <w:lang w:val="en-IE"/>
        </w:rPr>
        <w:footnoteReference w:id="86"/>
      </w:r>
      <w:r>
        <w:rPr>
          <w:rStyle w:val="Bodytext1"/>
          <w:noProof/>
        </w:rPr>
        <w:t xml:space="preserve">. Tai buvo pirmas žingsnis siekiant paskelbti visus 2023 m. duomenis. </w:t>
      </w:r>
    </w:p>
    <w:p w14:paraId="032FFBC1" w14:textId="427F6BF5" w:rsidR="00B7738B" w:rsidRPr="00685D02" w:rsidRDefault="00B7738B" w:rsidP="00B7738B">
      <w:pPr>
        <w:pStyle w:val="CMR-text"/>
        <w:rPr>
          <w:rStyle w:val="Bodytext1"/>
          <w:rFonts w:cs="Times New Roman"/>
          <w:noProof/>
          <w:highlight w:val="lightGray"/>
          <w:lang w:val="en-IE"/>
        </w:rPr>
      </w:pPr>
    </w:p>
    <w:p w14:paraId="69A815BA" w14:textId="40AAB203" w:rsidR="00C00C56" w:rsidRPr="00EB1066" w:rsidRDefault="00C00C56" w:rsidP="002A00BB">
      <w:pPr>
        <w:pStyle w:val="Caption"/>
        <w:keepNext/>
        <w:rPr>
          <w:noProof/>
          <w:sz w:val="20"/>
        </w:rPr>
      </w:pPr>
      <w:bookmarkStart w:id="70" w:name="_Ref176959178"/>
      <w:r>
        <w:rPr>
          <w:noProof/>
          <w:sz w:val="20"/>
        </w:rPr>
        <w:t>7 lentelė</w:t>
      </w:r>
      <w:bookmarkEnd w:id="70"/>
      <w:r>
        <w:rPr>
          <w:noProof/>
          <w:sz w:val="20"/>
        </w:rPr>
        <w:t>. Aviacija ES ATLPS (2019–2024 m.): patikrintas išmestų teršalų kiekis (mln. tonų CO</w:t>
      </w:r>
      <w:r>
        <w:rPr>
          <w:noProof/>
          <w:sz w:val="20"/>
          <w:vertAlign w:val="subscript"/>
        </w:rPr>
        <w:t>2</w:t>
      </w:r>
      <w:r>
        <w:rPr>
          <w:noProof/>
          <w:sz w:val="20"/>
        </w:rPr>
        <w:t>e), nemokamai paskirstytų ir aukcionuose parduotų ATL skaičius (mln. ATL). 2025 m. spalio 1 d. iš Sąjungos registro gauti duomenys.</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26"/>
        <w:gridCol w:w="1132"/>
        <w:gridCol w:w="1132"/>
        <w:gridCol w:w="1132"/>
        <w:gridCol w:w="1132"/>
        <w:gridCol w:w="1131"/>
        <w:gridCol w:w="1131"/>
      </w:tblGrid>
      <w:tr w:rsidR="007E501C" w:rsidRPr="00EB1066" w14:paraId="1B76AD8D" w14:textId="11D2B1C6" w:rsidTr="00A178FF">
        <w:trPr>
          <w:cantSplit/>
        </w:trPr>
        <w:tc>
          <w:tcPr>
            <w:tcW w:w="1234" w:type="pct"/>
            <w:vAlign w:val="center"/>
          </w:tcPr>
          <w:p w14:paraId="74548974" w14:textId="77777777" w:rsidR="007E501C" w:rsidRPr="00EB1066" w:rsidRDefault="007E501C" w:rsidP="002A00BB">
            <w:pPr>
              <w:pStyle w:val="CMR-tables"/>
              <w:keepNext/>
              <w:rPr>
                <w:rFonts w:cs="Times New Roman"/>
                <w:b/>
                <w:noProof/>
                <w:szCs w:val="20"/>
              </w:rPr>
            </w:pPr>
            <w:r>
              <w:rPr>
                <w:rStyle w:val="Other1"/>
                <w:b/>
                <w:noProof/>
              </w:rPr>
              <w:t>Metai</w:t>
            </w:r>
          </w:p>
        </w:tc>
        <w:tc>
          <w:tcPr>
            <w:tcW w:w="628" w:type="pct"/>
            <w:vAlign w:val="center"/>
          </w:tcPr>
          <w:p w14:paraId="6A2A0EB0" w14:textId="77777777" w:rsidR="007E501C" w:rsidRPr="00EB1066" w:rsidRDefault="007E501C" w:rsidP="002A00BB">
            <w:pPr>
              <w:pStyle w:val="CMR-tables"/>
              <w:keepNext/>
              <w:jc w:val="center"/>
              <w:rPr>
                <w:rFonts w:cs="Times New Roman"/>
                <w:noProof/>
                <w:szCs w:val="20"/>
              </w:rPr>
            </w:pPr>
            <w:r>
              <w:rPr>
                <w:rStyle w:val="Other1"/>
                <w:noProof/>
              </w:rPr>
              <w:t>2019</w:t>
            </w:r>
          </w:p>
        </w:tc>
        <w:tc>
          <w:tcPr>
            <w:tcW w:w="628" w:type="pct"/>
            <w:vAlign w:val="center"/>
          </w:tcPr>
          <w:p w14:paraId="6A827756" w14:textId="77777777" w:rsidR="007E501C" w:rsidRPr="00EB1066" w:rsidRDefault="007E501C" w:rsidP="002A00BB">
            <w:pPr>
              <w:pStyle w:val="CMR-tables"/>
              <w:keepNext/>
              <w:jc w:val="center"/>
              <w:rPr>
                <w:rFonts w:cs="Times New Roman"/>
                <w:noProof/>
                <w:szCs w:val="20"/>
              </w:rPr>
            </w:pPr>
            <w:r>
              <w:rPr>
                <w:rStyle w:val="Other1"/>
                <w:noProof/>
              </w:rPr>
              <w:t>2020</w:t>
            </w:r>
          </w:p>
        </w:tc>
        <w:tc>
          <w:tcPr>
            <w:tcW w:w="628" w:type="pct"/>
            <w:vAlign w:val="center"/>
          </w:tcPr>
          <w:p w14:paraId="2A2912AF" w14:textId="726A85AD" w:rsidR="007E501C" w:rsidRPr="00EB1066" w:rsidRDefault="007E501C" w:rsidP="002A00BB">
            <w:pPr>
              <w:pStyle w:val="CMR-tables"/>
              <w:keepNext/>
              <w:jc w:val="center"/>
              <w:rPr>
                <w:rFonts w:cs="Times New Roman"/>
                <w:noProof/>
                <w:szCs w:val="20"/>
              </w:rPr>
            </w:pPr>
            <w:r>
              <w:rPr>
                <w:rStyle w:val="Other1"/>
                <w:noProof/>
              </w:rPr>
              <w:t>2021</w:t>
            </w:r>
          </w:p>
        </w:tc>
        <w:tc>
          <w:tcPr>
            <w:tcW w:w="628" w:type="pct"/>
            <w:vAlign w:val="center"/>
          </w:tcPr>
          <w:p w14:paraId="04BE8165" w14:textId="77777777" w:rsidR="007E501C" w:rsidRPr="00EB1066" w:rsidRDefault="007E501C" w:rsidP="002A00BB">
            <w:pPr>
              <w:pStyle w:val="CMR-tables"/>
              <w:keepNext/>
              <w:jc w:val="center"/>
              <w:rPr>
                <w:rFonts w:cs="Times New Roman"/>
                <w:noProof/>
                <w:szCs w:val="20"/>
              </w:rPr>
            </w:pPr>
            <w:r>
              <w:rPr>
                <w:rStyle w:val="Other1"/>
                <w:noProof/>
              </w:rPr>
              <w:t>2022</w:t>
            </w:r>
          </w:p>
        </w:tc>
        <w:tc>
          <w:tcPr>
            <w:tcW w:w="627" w:type="pct"/>
            <w:vAlign w:val="center"/>
          </w:tcPr>
          <w:p w14:paraId="055F91B8" w14:textId="61CC0C18" w:rsidR="007E501C" w:rsidRPr="00EB1066" w:rsidRDefault="007E501C" w:rsidP="002A00BB">
            <w:pPr>
              <w:pStyle w:val="CMR-tables"/>
              <w:keepNext/>
              <w:jc w:val="center"/>
              <w:rPr>
                <w:rStyle w:val="Other1"/>
                <w:rFonts w:cs="Times New Roman"/>
                <w:noProof/>
                <w:szCs w:val="20"/>
              </w:rPr>
            </w:pPr>
            <w:r>
              <w:rPr>
                <w:noProof/>
              </w:rPr>
              <w:t>2023</w:t>
            </w:r>
          </w:p>
        </w:tc>
        <w:tc>
          <w:tcPr>
            <w:tcW w:w="627" w:type="pct"/>
          </w:tcPr>
          <w:p w14:paraId="7DE551CC" w14:textId="20E59625" w:rsidR="00BB032C" w:rsidRPr="00EB1066" w:rsidRDefault="00BB032C" w:rsidP="002A00BB">
            <w:pPr>
              <w:pStyle w:val="CMR-tables"/>
              <w:keepNext/>
              <w:jc w:val="center"/>
              <w:rPr>
                <w:rFonts w:cs="Times New Roman"/>
                <w:noProof/>
                <w:szCs w:val="20"/>
              </w:rPr>
            </w:pPr>
            <w:r>
              <w:rPr>
                <w:noProof/>
              </w:rPr>
              <w:t>2024</w:t>
            </w:r>
          </w:p>
        </w:tc>
      </w:tr>
      <w:tr w:rsidR="00295821" w:rsidRPr="00EB1066" w14:paraId="16402BDD" w14:textId="46BB4DCC" w:rsidTr="00A178FF">
        <w:trPr>
          <w:cantSplit/>
          <w:trHeight w:val="700"/>
        </w:trPr>
        <w:tc>
          <w:tcPr>
            <w:tcW w:w="1234" w:type="pct"/>
            <w:shd w:val="clear" w:color="auto" w:fill="D9E2F3" w:themeFill="accent1" w:themeFillTint="33"/>
            <w:vAlign w:val="center"/>
          </w:tcPr>
          <w:p w14:paraId="32ECB3FE" w14:textId="0522B7DB" w:rsidR="007E501C" w:rsidRPr="00EB1066" w:rsidRDefault="007E501C" w:rsidP="002A00BB">
            <w:pPr>
              <w:pStyle w:val="CMR-tables"/>
              <w:keepNext/>
              <w:rPr>
                <w:rFonts w:cs="Times New Roman"/>
                <w:b/>
                <w:noProof/>
                <w:szCs w:val="20"/>
              </w:rPr>
            </w:pPr>
            <w:r>
              <w:rPr>
                <w:rStyle w:val="Other1"/>
                <w:b/>
                <w:noProof/>
              </w:rPr>
              <w:t>Patikrintas išmestų teršalų kiekis (aviacijoje)</w:t>
            </w:r>
          </w:p>
        </w:tc>
        <w:tc>
          <w:tcPr>
            <w:tcW w:w="628" w:type="pct"/>
            <w:shd w:val="clear" w:color="auto" w:fill="D9E2F3" w:themeFill="accent1" w:themeFillTint="33"/>
            <w:vAlign w:val="center"/>
          </w:tcPr>
          <w:p w14:paraId="3DC1F2D6" w14:textId="77777777" w:rsidR="007E501C" w:rsidRPr="00EB1066" w:rsidRDefault="007E501C" w:rsidP="002A00BB">
            <w:pPr>
              <w:pStyle w:val="CMR-tables"/>
              <w:keepNext/>
              <w:jc w:val="center"/>
              <w:rPr>
                <w:rFonts w:cs="Times New Roman"/>
                <w:noProof/>
                <w:szCs w:val="20"/>
              </w:rPr>
            </w:pPr>
            <w:r>
              <w:rPr>
                <w:rStyle w:val="Other1"/>
                <w:noProof/>
              </w:rPr>
              <w:t>68,2</w:t>
            </w:r>
          </w:p>
        </w:tc>
        <w:tc>
          <w:tcPr>
            <w:tcW w:w="628" w:type="pct"/>
            <w:shd w:val="clear" w:color="auto" w:fill="D9E2F3" w:themeFill="accent1" w:themeFillTint="33"/>
            <w:vAlign w:val="center"/>
          </w:tcPr>
          <w:p w14:paraId="548DD43B" w14:textId="77777777" w:rsidR="007E501C" w:rsidRPr="00EB1066" w:rsidRDefault="007E501C" w:rsidP="002A00BB">
            <w:pPr>
              <w:pStyle w:val="CMR-tables"/>
              <w:keepNext/>
              <w:jc w:val="center"/>
              <w:rPr>
                <w:rFonts w:cs="Times New Roman"/>
                <w:noProof/>
                <w:szCs w:val="20"/>
              </w:rPr>
            </w:pPr>
            <w:r>
              <w:rPr>
                <w:rStyle w:val="Other1"/>
                <w:noProof/>
              </w:rPr>
              <w:t>25,2</w:t>
            </w:r>
          </w:p>
        </w:tc>
        <w:tc>
          <w:tcPr>
            <w:tcW w:w="628" w:type="pct"/>
            <w:shd w:val="clear" w:color="auto" w:fill="D9E2F3" w:themeFill="accent1" w:themeFillTint="33"/>
            <w:vAlign w:val="center"/>
          </w:tcPr>
          <w:p w14:paraId="6013C921" w14:textId="77777777" w:rsidR="007E501C" w:rsidRPr="00EB1066" w:rsidRDefault="007E501C" w:rsidP="002A00BB">
            <w:pPr>
              <w:pStyle w:val="CMR-tables"/>
              <w:keepNext/>
              <w:jc w:val="center"/>
              <w:rPr>
                <w:rFonts w:cs="Times New Roman"/>
                <w:noProof/>
                <w:szCs w:val="20"/>
              </w:rPr>
            </w:pPr>
            <w:r>
              <w:rPr>
                <w:rStyle w:val="Other1"/>
                <w:noProof/>
              </w:rPr>
              <w:t>27,9</w:t>
            </w:r>
          </w:p>
        </w:tc>
        <w:tc>
          <w:tcPr>
            <w:tcW w:w="628" w:type="pct"/>
            <w:shd w:val="clear" w:color="auto" w:fill="D9E2F3" w:themeFill="accent1" w:themeFillTint="33"/>
            <w:vAlign w:val="center"/>
          </w:tcPr>
          <w:p w14:paraId="7217CDD4" w14:textId="1F03BD35" w:rsidR="007E501C" w:rsidRPr="00EB1066" w:rsidRDefault="007E501C" w:rsidP="002A00BB">
            <w:pPr>
              <w:pStyle w:val="CMR-tables"/>
              <w:keepNext/>
              <w:jc w:val="center"/>
              <w:rPr>
                <w:rFonts w:cs="Times New Roman"/>
                <w:noProof/>
                <w:szCs w:val="20"/>
              </w:rPr>
            </w:pPr>
            <w:r>
              <w:rPr>
                <w:rStyle w:val="Other1"/>
                <w:noProof/>
              </w:rPr>
              <w:t>49,5</w:t>
            </w:r>
          </w:p>
        </w:tc>
        <w:tc>
          <w:tcPr>
            <w:tcW w:w="627" w:type="pct"/>
            <w:shd w:val="clear" w:color="auto" w:fill="D9E2F3" w:themeFill="accent1" w:themeFillTint="33"/>
            <w:vAlign w:val="center"/>
          </w:tcPr>
          <w:p w14:paraId="39FF66E5" w14:textId="028CF321" w:rsidR="007E501C" w:rsidRPr="00EB1066" w:rsidRDefault="00315885" w:rsidP="002A00BB">
            <w:pPr>
              <w:pStyle w:val="CMR-tables"/>
              <w:keepNext/>
              <w:jc w:val="center"/>
              <w:rPr>
                <w:rStyle w:val="Other1"/>
                <w:rFonts w:cs="Times New Roman"/>
                <w:noProof/>
                <w:szCs w:val="20"/>
              </w:rPr>
            </w:pPr>
            <w:r>
              <w:rPr>
                <w:rStyle w:val="Other1"/>
                <w:noProof/>
              </w:rPr>
              <w:t>54,3</w:t>
            </w:r>
          </w:p>
        </w:tc>
        <w:tc>
          <w:tcPr>
            <w:tcW w:w="627" w:type="pct"/>
            <w:shd w:val="clear" w:color="auto" w:fill="D9E2F3" w:themeFill="accent1" w:themeFillTint="33"/>
            <w:vAlign w:val="center"/>
          </w:tcPr>
          <w:p w14:paraId="7E05C718" w14:textId="7457E1AC" w:rsidR="00BB032C" w:rsidRPr="00EB1066" w:rsidRDefault="008653DA" w:rsidP="008653DA">
            <w:pPr>
              <w:pStyle w:val="CMR-tables"/>
              <w:keepNext/>
              <w:jc w:val="center"/>
              <w:rPr>
                <w:rStyle w:val="Other1"/>
                <w:rFonts w:cs="Times New Roman"/>
                <w:noProof/>
                <w:szCs w:val="20"/>
              </w:rPr>
            </w:pPr>
            <w:r>
              <w:rPr>
                <w:rStyle w:val="Other1"/>
                <w:noProof/>
              </w:rPr>
              <w:t>62,6</w:t>
            </w:r>
          </w:p>
        </w:tc>
      </w:tr>
      <w:tr w:rsidR="007E501C" w:rsidRPr="00EB1066" w14:paraId="43AF3BC3" w14:textId="48288A5F" w:rsidTr="00A178FF">
        <w:trPr>
          <w:cantSplit/>
          <w:trHeight w:val="700"/>
        </w:trPr>
        <w:tc>
          <w:tcPr>
            <w:tcW w:w="1234" w:type="pct"/>
            <w:vAlign w:val="center"/>
          </w:tcPr>
          <w:p w14:paraId="36DF7BDA" w14:textId="501E18DF" w:rsidR="007E501C" w:rsidRPr="00EB1066" w:rsidRDefault="2762F557" w:rsidP="002A00BB">
            <w:pPr>
              <w:pStyle w:val="CMR-tables"/>
              <w:keepNext/>
              <w:rPr>
                <w:rFonts w:cs="Times New Roman"/>
                <w:b/>
                <w:noProof/>
                <w:szCs w:val="20"/>
              </w:rPr>
            </w:pPr>
            <w:r>
              <w:rPr>
                <w:rStyle w:val="Other1"/>
                <w:b/>
                <w:noProof/>
              </w:rPr>
              <w:t>Pokytis nuo praėjusių metų</w:t>
            </w:r>
            <w:r>
              <w:rPr>
                <w:rStyle w:val="Other1"/>
                <w:rFonts w:cs="Times New Roman"/>
                <w:b/>
                <w:noProof/>
                <w:szCs w:val="20"/>
                <w:vertAlign w:val="superscript"/>
                <w:lang w:val="en-IE"/>
              </w:rPr>
              <w:footnoteReference w:id="87"/>
            </w:r>
          </w:p>
        </w:tc>
        <w:tc>
          <w:tcPr>
            <w:tcW w:w="628" w:type="pct"/>
            <w:vAlign w:val="center"/>
          </w:tcPr>
          <w:p w14:paraId="369F275F" w14:textId="0C78C193" w:rsidR="007E501C" w:rsidRPr="00EB1066" w:rsidRDefault="00DD1E7A" w:rsidP="002A00BB">
            <w:pPr>
              <w:pStyle w:val="CMR-tables"/>
              <w:keepNext/>
              <w:jc w:val="center"/>
              <w:rPr>
                <w:rFonts w:cs="Times New Roman"/>
                <w:noProof/>
                <w:szCs w:val="20"/>
              </w:rPr>
            </w:pPr>
            <w:r>
              <w:rPr>
                <w:rStyle w:val="Other1"/>
                <w:noProof/>
              </w:rPr>
              <w:t>+1 %</w:t>
            </w:r>
          </w:p>
        </w:tc>
        <w:tc>
          <w:tcPr>
            <w:tcW w:w="628" w:type="pct"/>
            <w:vAlign w:val="center"/>
          </w:tcPr>
          <w:p w14:paraId="12B644CD" w14:textId="77777777" w:rsidR="007E501C" w:rsidRPr="00EB1066" w:rsidRDefault="007E501C" w:rsidP="002A00BB">
            <w:pPr>
              <w:pStyle w:val="CMR-tables"/>
              <w:keepNext/>
              <w:jc w:val="center"/>
              <w:rPr>
                <w:rFonts w:cs="Times New Roman"/>
                <w:noProof/>
                <w:szCs w:val="20"/>
              </w:rPr>
            </w:pPr>
            <w:r>
              <w:rPr>
                <w:rStyle w:val="Other1"/>
                <w:noProof/>
              </w:rPr>
              <w:t>−63 %</w:t>
            </w:r>
          </w:p>
        </w:tc>
        <w:tc>
          <w:tcPr>
            <w:tcW w:w="628" w:type="pct"/>
            <w:vAlign w:val="center"/>
          </w:tcPr>
          <w:p w14:paraId="757A256A" w14:textId="5CD06BF4" w:rsidR="007E501C" w:rsidRPr="00EB1066" w:rsidRDefault="00DD1E7A" w:rsidP="002A00BB">
            <w:pPr>
              <w:pStyle w:val="CMR-tables"/>
              <w:keepNext/>
              <w:jc w:val="center"/>
              <w:rPr>
                <w:rFonts w:cs="Times New Roman"/>
                <w:noProof/>
                <w:szCs w:val="20"/>
              </w:rPr>
            </w:pPr>
            <w:r>
              <w:rPr>
                <w:rStyle w:val="Other1"/>
                <w:noProof/>
              </w:rPr>
              <w:t>+30 %</w:t>
            </w:r>
          </w:p>
        </w:tc>
        <w:tc>
          <w:tcPr>
            <w:tcW w:w="628" w:type="pct"/>
            <w:vAlign w:val="center"/>
          </w:tcPr>
          <w:p w14:paraId="69FA5582" w14:textId="06815A0E" w:rsidR="007E501C" w:rsidRPr="00EB1066" w:rsidRDefault="00DD1E7A" w:rsidP="002A00BB">
            <w:pPr>
              <w:pStyle w:val="CMR-tables"/>
              <w:keepNext/>
              <w:jc w:val="center"/>
              <w:rPr>
                <w:rFonts w:cs="Times New Roman"/>
                <w:noProof/>
                <w:szCs w:val="20"/>
              </w:rPr>
            </w:pPr>
            <w:r>
              <w:rPr>
                <w:rStyle w:val="Other1"/>
                <w:noProof/>
              </w:rPr>
              <w:t>+77 %</w:t>
            </w:r>
          </w:p>
        </w:tc>
        <w:tc>
          <w:tcPr>
            <w:tcW w:w="627" w:type="pct"/>
            <w:vAlign w:val="center"/>
          </w:tcPr>
          <w:p w14:paraId="461F2748" w14:textId="6A797586" w:rsidR="007E501C" w:rsidRPr="00EB1066" w:rsidRDefault="00DD1E7A" w:rsidP="002A00BB">
            <w:pPr>
              <w:pStyle w:val="CMR-tables"/>
              <w:keepNext/>
              <w:jc w:val="center"/>
              <w:rPr>
                <w:rStyle w:val="Other1"/>
                <w:rFonts w:cs="Times New Roman"/>
                <w:noProof/>
                <w:szCs w:val="20"/>
              </w:rPr>
            </w:pPr>
            <w:r>
              <w:rPr>
                <w:rStyle w:val="Other1"/>
                <w:noProof/>
              </w:rPr>
              <w:t>+9,7 %</w:t>
            </w:r>
          </w:p>
        </w:tc>
        <w:tc>
          <w:tcPr>
            <w:tcW w:w="627" w:type="pct"/>
            <w:vAlign w:val="center"/>
          </w:tcPr>
          <w:p w14:paraId="67C1760C" w14:textId="70AAC5C4" w:rsidR="00BB032C" w:rsidRPr="00EB1066" w:rsidRDefault="36804EEB" w:rsidP="002A00BB">
            <w:pPr>
              <w:pStyle w:val="CMR-tables"/>
              <w:keepNext/>
              <w:jc w:val="center"/>
              <w:rPr>
                <w:rStyle w:val="Other1"/>
                <w:rFonts w:cs="Times New Roman"/>
                <w:noProof/>
                <w:szCs w:val="20"/>
              </w:rPr>
            </w:pPr>
            <w:r>
              <w:rPr>
                <w:rStyle w:val="Other1"/>
                <w:noProof/>
              </w:rPr>
              <w:t>+15,3 %</w:t>
            </w:r>
          </w:p>
        </w:tc>
      </w:tr>
      <w:tr w:rsidR="00107511" w:rsidRPr="00EB1066" w14:paraId="50DB2BA5" w14:textId="1C895502" w:rsidTr="00A178FF">
        <w:trPr>
          <w:cantSplit/>
          <w:trHeight w:val="1160"/>
        </w:trPr>
        <w:tc>
          <w:tcPr>
            <w:tcW w:w="1234" w:type="pct"/>
            <w:shd w:val="clear" w:color="auto" w:fill="D9E2F3" w:themeFill="accent1" w:themeFillTint="33"/>
            <w:vAlign w:val="center"/>
          </w:tcPr>
          <w:p w14:paraId="34947205" w14:textId="7542D6BF" w:rsidR="007E501C" w:rsidRPr="00EB1066" w:rsidRDefault="35CC395A" w:rsidP="00961535">
            <w:pPr>
              <w:pStyle w:val="CMR-tables"/>
              <w:keepNext/>
              <w:rPr>
                <w:rFonts w:cs="Times New Roman"/>
                <w:b/>
                <w:noProof/>
                <w:szCs w:val="20"/>
              </w:rPr>
            </w:pPr>
            <w:r>
              <w:rPr>
                <w:rStyle w:val="Other1"/>
                <w:b/>
                <w:noProof/>
              </w:rPr>
              <w:t xml:space="preserve">Paskirstyti nemokami ATL (ES 27 + Islandija, Lichtenšteinas </w:t>
            </w:r>
            <w:r>
              <w:rPr>
                <w:noProof/>
              </w:rPr>
              <w:t xml:space="preserve"> </w:t>
            </w:r>
            <w:r>
              <w:rPr>
                <w:noProof/>
              </w:rPr>
              <w:cr/>
            </w:r>
            <w:r>
              <w:rPr>
                <w:noProof/>
              </w:rPr>
              <w:br/>
            </w:r>
            <w:r>
              <w:rPr>
                <w:rStyle w:val="Other1"/>
                <w:b/>
                <w:noProof/>
              </w:rPr>
              <w:t xml:space="preserve">ir Norvegija </w:t>
            </w:r>
            <w:r>
              <w:rPr>
                <w:noProof/>
              </w:rPr>
              <w:t xml:space="preserve"> </w:t>
            </w:r>
            <w:r>
              <w:rPr>
                <w:noProof/>
              </w:rPr>
              <w:cr/>
            </w:r>
            <w:r>
              <w:rPr>
                <w:noProof/>
              </w:rPr>
              <w:br/>
            </w:r>
            <w:r>
              <w:rPr>
                <w:rStyle w:val="Other1"/>
                <w:b/>
                <w:noProof/>
              </w:rPr>
              <w:t>+ Jungtinė Karalystė + Šveicarija)</w:t>
            </w:r>
            <w:r>
              <w:rPr>
                <w:rStyle w:val="Other1"/>
                <w:rFonts w:cs="Times New Roman"/>
                <w:b/>
                <w:noProof/>
                <w:szCs w:val="20"/>
                <w:vertAlign w:val="superscript"/>
                <w:lang w:val="en-IE"/>
              </w:rPr>
              <w:footnoteReference w:id="88"/>
            </w:r>
          </w:p>
        </w:tc>
        <w:tc>
          <w:tcPr>
            <w:tcW w:w="628" w:type="pct"/>
            <w:shd w:val="clear" w:color="auto" w:fill="D9E2F3" w:themeFill="accent1" w:themeFillTint="33"/>
            <w:vAlign w:val="center"/>
          </w:tcPr>
          <w:p w14:paraId="3DE6FCEA" w14:textId="77777777" w:rsidR="007E501C" w:rsidRPr="00EB1066" w:rsidRDefault="2762F557" w:rsidP="002A00BB">
            <w:pPr>
              <w:pStyle w:val="CMR-tables"/>
              <w:keepNext/>
              <w:jc w:val="center"/>
              <w:rPr>
                <w:rFonts w:cs="Times New Roman"/>
                <w:noProof/>
                <w:szCs w:val="20"/>
              </w:rPr>
            </w:pPr>
            <w:r>
              <w:rPr>
                <w:rStyle w:val="Other1"/>
                <w:noProof/>
              </w:rPr>
              <w:t>31,3</w:t>
            </w:r>
            <w:r>
              <w:rPr>
                <w:rStyle w:val="Other1"/>
                <w:rFonts w:cs="Times New Roman"/>
                <w:noProof/>
                <w:szCs w:val="20"/>
                <w:vertAlign w:val="superscript"/>
                <w:lang w:val="en-IE"/>
              </w:rPr>
              <w:footnoteReference w:id="89"/>
            </w:r>
          </w:p>
        </w:tc>
        <w:tc>
          <w:tcPr>
            <w:tcW w:w="628" w:type="pct"/>
            <w:shd w:val="clear" w:color="auto" w:fill="D9E2F3" w:themeFill="accent1" w:themeFillTint="33"/>
            <w:vAlign w:val="center"/>
          </w:tcPr>
          <w:p w14:paraId="61816157" w14:textId="77777777" w:rsidR="007E501C" w:rsidRPr="00EB1066" w:rsidRDefault="007E501C" w:rsidP="002A00BB">
            <w:pPr>
              <w:pStyle w:val="CMR-tables"/>
              <w:keepNext/>
              <w:jc w:val="center"/>
              <w:rPr>
                <w:rFonts w:cs="Times New Roman"/>
                <w:noProof/>
                <w:szCs w:val="20"/>
              </w:rPr>
            </w:pPr>
            <w:r>
              <w:rPr>
                <w:rStyle w:val="Other1"/>
                <w:noProof/>
              </w:rPr>
              <w:t>32,5</w:t>
            </w:r>
          </w:p>
        </w:tc>
        <w:tc>
          <w:tcPr>
            <w:tcW w:w="628" w:type="pct"/>
            <w:shd w:val="clear" w:color="auto" w:fill="D9E2F3" w:themeFill="accent1" w:themeFillTint="33"/>
            <w:vAlign w:val="center"/>
          </w:tcPr>
          <w:p w14:paraId="3B80399F" w14:textId="77777777" w:rsidR="007E501C" w:rsidRPr="00EB1066" w:rsidRDefault="007E501C" w:rsidP="002A00BB">
            <w:pPr>
              <w:pStyle w:val="CMR-tables"/>
              <w:keepNext/>
              <w:jc w:val="center"/>
              <w:rPr>
                <w:rFonts w:cs="Times New Roman"/>
                <w:noProof/>
                <w:szCs w:val="20"/>
              </w:rPr>
            </w:pPr>
            <w:r>
              <w:rPr>
                <w:rStyle w:val="Other1"/>
                <w:noProof/>
              </w:rPr>
              <w:t>24,0</w:t>
            </w:r>
          </w:p>
        </w:tc>
        <w:tc>
          <w:tcPr>
            <w:tcW w:w="628" w:type="pct"/>
            <w:shd w:val="clear" w:color="auto" w:fill="D9E2F3" w:themeFill="accent1" w:themeFillTint="33"/>
            <w:vAlign w:val="center"/>
          </w:tcPr>
          <w:p w14:paraId="412F5BA2" w14:textId="77777777" w:rsidR="007E501C" w:rsidRPr="00EB1066" w:rsidRDefault="007E501C" w:rsidP="002A00BB">
            <w:pPr>
              <w:pStyle w:val="CMR-tables"/>
              <w:keepNext/>
              <w:jc w:val="center"/>
              <w:rPr>
                <w:rFonts w:cs="Times New Roman"/>
                <w:noProof/>
                <w:szCs w:val="20"/>
              </w:rPr>
            </w:pPr>
            <w:r>
              <w:rPr>
                <w:rStyle w:val="Other1"/>
                <w:noProof/>
              </w:rPr>
              <w:t>23,1</w:t>
            </w:r>
          </w:p>
        </w:tc>
        <w:tc>
          <w:tcPr>
            <w:tcW w:w="627" w:type="pct"/>
            <w:shd w:val="clear" w:color="auto" w:fill="D9E2F3" w:themeFill="accent1" w:themeFillTint="33"/>
            <w:vAlign w:val="center"/>
          </w:tcPr>
          <w:p w14:paraId="51D481D3" w14:textId="56E7A621" w:rsidR="007E501C" w:rsidRPr="00EB1066" w:rsidRDefault="00DF080A" w:rsidP="002A00BB">
            <w:pPr>
              <w:pStyle w:val="CMR-tables"/>
              <w:keepNext/>
              <w:jc w:val="center"/>
              <w:rPr>
                <w:rStyle w:val="Other1"/>
                <w:rFonts w:cs="Times New Roman"/>
                <w:noProof/>
                <w:szCs w:val="20"/>
              </w:rPr>
            </w:pPr>
            <w:r>
              <w:rPr>
                <w:rStyle w:val="Other1"/>
                <w:noProof/>
              </w:rPr>
              <w:t>22,5</w:t>
            </w:r>
          </w:p>
        </w:tc>
        <w:tc>
          <w:tcPr>
            <w:tcW w:w="627" w:type="pct"/>
            <w:shd w:val="clear" w:color="auto" w:fill="D9E2F3" w:themeFill="accent1" w:themeFillTint="33"/>
            <w:vAlign w:val="center"/>
          </w:tcPr>
          <w:p w14:paraId="3E999487" w14:textId="6DC2F47F" w:rsidR="00BB032C" w:rsidRPr="00EB1066" w:rsidRDefault="7059CF8E" w:rsidP="002A00BB">
            <w:pPr>
              <w:pStyle w:val="CMR-tables"/>
              <w:keepNext/>
              <w:jc w:val="center"/>
              <w:rPr>
                <w:rStyle w:val="Other1"/>
                <w:rFonts w:cs="Times New Roman"/>
                <w:noProof/>
                <w:szCs w:val="20"/>
              </w:rPr>
            </w:pPr>
            <w:r>
              <w:rPr>
                <w:rStyle w:val="Other1"/>
                <w:noProof/>
              </w:rPr>
              <w:t>17,5</w:t>
            </w:r>
          </w:p>
        </w:tc>
      </w:tr>
      <w:tr w:rsidR="6EA2F39D" w:rsidRPr="00EB1066" w14:paraId="499F39A7" w14:textId="77777777" w:rsidTr="00EB1066">
        <w:trPr>
          <w:cantSplit/>
          <w:trHeight w:val="1160"/>
        </w:trPr>
        <w:tc>
          <w:tcPr>
            <w:tcW w:w="1234" w:type="pct"/>
            <w:vAlign w:val="center"/>
          </w:tcPr>
          <w:p w14:paraId="2E995FFA" w14:textId="058289E1" w:rsidR="5F7D8720" w:rsidRPr="00EB1066" w:rsidRDefault="5F7D8720" w:rsidP="00737D42">
            <w:pPr>
              <w:pStyle w:val="CMR-tables"/>
              <w:rPr>
                <w:rStyle w:val="Other1"/>
                <w:rFonts w:cs="Times New Roman"/>
                <w:b/>
                <w:noProof/>
                <w:kern w:val="2"/>
                <w:szCs w:val="20"/>
                <w14:ligatures w14:val="standardContextual"/>
              </w:rPr>
            </w:pPr>
            <w:r>
              <w:rPr>
                <w:rStyle w:val="Other1"/>
                <w:b/>
                <w:noProof/>
              </w:rPr>
              <w:t>Paramai tvarių aviacinių degalų pildymui skirti ATL (mechanizmas FEETS)</w:t>
            </w:r>
          </w:p>
        </w:tc>
        <w:tc>
          <w:tcPr>
            <w:tcW w:w="628" w:type="pct"/>
            <w:vAlign w:val="center"/>
          </w:tcPr>
          <w:p w14:paraId="10F5EA00" w14:textId="34F49AEA" w:rsidR="6EA2F39D" w:rsidRPr="00EB1066" w:rsidRDefault="5F7D8720" w:rsidP="00737D42">
            <w:pPr>
              <w:pStyle w:val="CMR-tables"/>
              <w:jc w:val="center"/>
              <w:rPr>
                <w:rStyle w:val="Other1"/>
                <w:rFonts w:cs="Times New Roman"/>
                <w:noProof/>
                <w:kern w:val="2"/>
                <w:szCs w:val="20"/>
                <w14:ligatures w14:val="standardContextual"/>
              </w:rPr>
            </w:pPr>
            <w:r>
              <w:rPr>
                <w:rStyle w:val="Other1"/>
                <w:noProof/>
              </w:rPr>
              <w:t>/</w:t>
            </w:r>
          </w:p>
        </w:tc>
        <w:tc>
          <w:tcPr>
            <w:tcW w:w="628" w:type="pct"/>
            <w:vAlign w:val="center"/>
          </w:tcPr>
          <w:p w14:paraId="3EE20562" w14:textId="11EB6ED3" w:rsidR="6EA2F39D" w:rsidRPr="00EB1066" w:rsidRDefault="5F7D8720" w:rsidP="00737D42">
            <w:pPr>
              <w:pStyle w:val="CMR-tables"/>
              <w:jc w:val="center"/>
              <w:rPr>
                <w:rStyle w:val="Other1"/>
                <w:rFonts w:cs="Times New Roman"/>
                <w:noProof/>
                <w:kern w:val="2"/>
                <w:szCs w:val="20"/>
                <w14:ligatures w14:val="standardContextual"/>
              </w:rPr>
            </w:pPr>
            <w:r>
              <w:rPr>
                <w:rStyle w:val="Other1"/>
                <w:noProof/>
              </w:rPr>
              <w:t>/</w:t>
            </w:r>
          </w:p>
        </w:tc>
        <w:tc>
          <w:tcPr>
            <w:tcW w:w="628" w:type="pct"/>
            <w:vAlign w:val="center"/>
          </w:tcPr>
          <w:p w14:paraId="170238C3" w14:textId="2F912480" w:rsidR="6EA2F39D" w:rsidRPr="00EB1066" w:rsidRDefault="5F7D8720" w:rsidP="00737D42">
            <w:pPr>
              <w:pStyle w:val="CMR-tables"/>
              <w:jc w:val="center"/>
              <w:rPr>
                <w:rStyle w:val="Other1"/>
                <w:rFonts w:cs="Times New Roman"/>
                <w:noProof/>
                <w:kern w:val="2"/>
                <w:szCs w:val="20"/>
                <w14:ligatures w14:val="standardContextual"/>
              </w:rPr>
            </w:pPr>
            <w:r>
              <w:rPr>
                <w:rStyle w:val="Other1"/>
                <w:noProof/>
              </w:rPr>
              <w:t>/</w:t>
            </w:r>
          </w:p>
        </w:tc>
        <w:tc>
          <w:tcPr>
            <w:tcW w:w="628" w:type="pct"/>
            <w:vAlign w:val="center"/>
          </w:tcPr>
          <w:p w14:paraId="55071440" w14:textId="4DB68711" w:rsidR="6EA2F39D" w:rsidRPr="00EB1066" w:rsidRDefault="5F7D8720" w:rsidP="00737D42">
            <w:pPr>
              <w:pStyle w:val="CMR-tables"/>
              <w:jc w:val="center"/>
              <w:rPr>
                <w:rStyle w:val="Other1"/>
                <w:rFonts w:cs="Times New Roman"/>
                <w:noProof/>
                <w:kern w:val="2"/>
                <w:szCs w:val="20"/>
                <w14:ligatures w14:val="standardContextual"/>
              </w:rPr>
            </w:pPr>
            <w:r>
              <w:rPr>
                <w:rStyle w:val="Other1"/>
                <w:noProof/>
              </w:rPr>
              <w:t>/</w:t>
            </w:r>
          </w:p>
        </w:tc>
        <w:tc>
          <w:tcPr>
            <w:tcW w:w="627" w:type="pct"/>
            <w:vAlign w:val="center"/>
          </w:tcPr>
          <w:p w14:paraId="2D68E78A" w14:textId="0B5EAA28" w:rsidR="6EA2F39D" w:rsidRPr="00EB1066" w:rsidRDefault="5F7D8720" w:rsidP="00737D42">
            <w:pPr>
              <w:pStyle w:val="CMR-tables"/>
              <w:jc w:val="center"/>
              <w:rPr>
                <w:rStyle w:val="Other1"/>
                <w:rFonts w:cs="Times New Roman"/>
                <w:noProof/>
                <w:kern w:val="2"/>
                <w:szCs w:val="20"/>
                <w14:ligatures w14:val="standardContextual"/>
              </w:rPr>
            </w:pPr>
            <w:r>
              <w:rPr>
                <w:rStyle w:val="Other1"/>
                <w:noProof/>
              </w:rPr>
              <w:t>/</w:t>
            </w:r>
          </w:p>
        </w:tc>
        <w:tc>
          <w:tcPr>
            <w:tcW w:w="627" w:type="pct"/>
            <w:vAlign w:val="center"/>
          </w:tcPr>
          <w:p w14:paraId="68D09F23" w14:textId="46523BCB" w:rsidR="6EA2F39D" w:rsidRPr="00EB1066" w:rsidRDefault="5F7D8720" w:rsidP="00737D42">
            <w:pPr>
              <w:pStyle w:val="CMR-tables"/>
              <w:jc w:val="center"/>
              <w:rPr>
                <w:rStyle w:val="Other1"/>
                <w:rFonts w:cs="Times New Roman"/>
                <w:noProof/>
                <w:kern w:val="2"/>
                <w:szCs w:val="20"/>
                <w14:ligatures w14:val="standardContextual"/>
              </w:rPr>
            </w:pPr>
            <w:r>
              <w:rPr>
                <w:rStyle w:val="Other1"/>
                <w:noProof/>
              </w:rPr>
              <w:t>1,3</w:t>
            </w:r>
          </w:p>
        </w:tc>
      </w:tr>
      <w:tr w:rsidR="007E501C" w:rsidRPr="00EB1066" w14:paraId="31465E84" w14:textId="7A487060" w:rsidTr="00A178FF">
        <w:trPr>
          <w:cantSplit/>
          <w:trHeight w:val="1160"/>
        </w:trPr>
        <w:tc>
          <w:tcPr>
            <w:tcW w:w="1234" w:type="pct"/>
            <w:shd w:val="clear" w:color="auto" w:fill="D9E2F3" w:themeFill="accent1" w:themeFillTint="33"/>
            <w:vAlign w:val="center"/>
          </w:tcPr>
          <w:p w14:paraId="032631F6" w14:textId="77777777" w:rsidR="007E501C" w:rsidRPr="00EB1066" w:rsidRDefault="46EF4A87" w:rsidP="0A98DA47">
            <w:pPr>
              <w:pStyle w:val="CMR-tables"/>
              <w:keepNext/>
              <w:rPr>
                <w:rFonts w:cs="Times New Roman"/>
                <w:b/>
                <w:noProof/>
                <w:szCs w:val="20"/>
              </w:rPr>
            </w:pPr>
            <w:r>
              <w:rPr>
                <w:rStyle w:val="Other1"/>
                <w:b/>
                <w:noProof/>
              </w:rPr>
              <w:t>Nemokamų ATL skyrimas iš specialaus rezervo naujiems rinkos dalyviams ir sparčiai augantiems veiklos vykdytojams</w:t>
            </w:r>
          </w:p>
        </w:tc>
        <w:tc>
          <w:tcPr>
            <w:tcW w:w="628" w:type="pct"/>
            <w:shd w:val="clear" w:color="auto" w:fill="D9E2F3" w:themeFill="accent1" w:themeFillTint="33"/>
            <w:vAlign w:val="center"/>
          </w:tcPr>
          <w:p w14:paraId="6B5755C0" w14:textId="77777777" w:rsidR="007E501C" w:rsidRPr="00EB1066" w:rsidRDefault="007E501C" w:rsidP="002A00BB">
            <w:pPr>
              <w:pStyle w:val="CMR-tables"/>
              <w:keepNext/>
              <w:jc w:val="center"/>
              <w:rPr>
                <w:rFonts w:cs="Times New Roman"/>
                <w:noProof/>
                <w:szCs w:val="20"/>
              </w:rPr>
            </w:pPr>
            <w:r>
              <w:rPr>
                <w:rStyle w:val="Other1"/>
                <w:noProof/>
              </w:rPr>
              <w:t>1,0</w:t>
            </w:r>
          </w:p>
        </w:tc>
        <w:tc>
          <w:tcPr>
            <w:tcW w:w="628" w:type="pct"/>
            <w:shd w:val="clear" w:color="auto" w:fill="D9E2F3" w:themeFill="accent1" w:themeFillTint="33"/>
            <w:vAlign w:val="center"/>
          </w:tcPr>
          <w:p w14:paraId="1081871D" w14:textId="77777777" w:rsidR="007E501C" w:rsidRPr="00EB1066" w:rsidRDefault="007E501C" w:rsidP="002A00BB">
            <w:pPr>
              <w:pStyle w:val="CMR-tables"/>
              <w:keepNext/>
              <w:jc w:val="center"/>
              <w:rPr>
                <w:rFonts w:cs="Times New Roman"/>
                <w:noProof/>
                <w:szCs w:val="20"/>
              </w:rPr>
            </w:pPr>
            <w:r>
              <w:rPr>
                <w:rStyle w:val="Other1"/>
                <w:noProof/>
              </w:rPr>
              <w:t>0,8</w:t>
            </w:r>
          </w:p>
        </w:tc>
        <w:tc>
          <w:tcPr>
            <w:tcW w:w="628" w:type="pct"/>
            <w:shd w:val="clear" w:color="auto" w:fill="D9E2F3" w:themeFill="accent1" w:themeFillTint="33"/>
            <w:vAlign w:val="center"/>
          </w:tcPr>
          <w:p w14:paraId="54291E5A" w14:textId="77777777" w:rsidR="007E501C" w:rsidRPr="00EB1066" w:rsidRDefault="007E501C" w:rsidP="002A00BB">
            <w:pPr>
              <w:pStyle w:val="CMR-tables"/>
              <w:keepNext/>
              <w:jc w:val="center"/>
              <w:rPr>
                <w:rFonts w:cs="Times New Roman"/>
                <w:noProof/>
                <w:szCs w:val="20"/>
              </w:rPr>
            </w:pPr>
            <w:r>
              <w:rPr>
                <w:rStyle w:val="Other1"/>
                <w:noProof/>
              </w:rPr>
              <w:t>0,3</w:t>
            </w:r>
          </w:p>
        </w:tc>
        <w:tc>
          <w:tcPr>
            <w:tcW w:w="628" w:type="pct"/>
            <w:shd w:val="clear" w:color="auto" w:fill="D9E2F3" w:themeFill="accent1" w:themeFillTint="33"/>
            <w:vAlign w:val="center"/>
          </w:tcPr>
          <w:p w14:paraId="487E5316" w14:textId="77777777" w:rsidR="007E501C" w:rsidRPr="00EB1066" w:rsidRDefault="007E501C" w:rsidP="002A00BB">
            <w:pPr>
              <w:pStyle w:val="CMR-tables"/>
              <w:keepNext/>
              <w:jc w:val="center"/>
              <w:rPr>
                <w:rFonts w:cs="Times New Roman"/>
                <w:noProof/>
                <w:szCs w:val="20"/>
              </w:rPr>
            </w:pPr>
            <w:r>
              <w:rPr>
                <w:rStyle w:val="Other1"/>
                <w:noProof/>
              </w:rPr>
              <w:t>0,25</w:t>
            </w:r>
          </w:p>
        </w:tc>
        <w:tc>
          <w:tcPr>
            <w:tcW w:w="627" w:type="pct"/>
            <w:shd w:val="clear" w:color="auto" w:fill="D9E2F3" w:themeFill="accent1" w:themeFillTint="33"/>
            <w:vAlign w:val="center"/>
          </w:tcPr>
          <w:p w14:paraId="5776A82B" w14:textId="078702F0" w:rsidR="007E501C" w:rsidRPr="00EB1066" w:rsidRDefault="00F44906" w:rsidP="002A00BB">
            <w:pPr>
              <w:pStyle w:val="CMR-tables"/>
              <w:keepNext/>
              <w:jc w:val="center"/>
              <w:rPr>
                <w:rStyle w:val="Other1"/>
                <w:rFonts w:cs="Times New Roman"/>
                <w:noProof/>
                <w:szCs w:val="20"/>
              </w:rPr>
            </w:pPr>
            <w:r>
              <w:rPr>
                <w:rStyle w:val="Other1"/>
                <w:noProof/>
              </w:rPr>
              <w:t>0,23</w:t>
            </w:r>
          </w:p>
        </w:tc>
        <w:tc>
          <w:tcPr>
            <w:tcW w:w="627" w:type="pct"/>
            <w:shd w:val="clear" w:color="auto" w:fill="D9E2F3" w:themeFill="accent1" w:themeFillTint="33"/>
            <w:vAlign w:val="center"/>
          </w:tcPr>
          <w:p w14:paraId="16CDFBCC" w14:textId="7BD40996" w:rsidR="00BB032C" w:rsidRPr="00EB1066" w:rsidRDefault="6467FE81" w:rsidP="002A00BB">
            <w:pPr>
              <w:pStyle w:val="CMR-tables"/>
              <w:keepNext/>
              <w:jc w:val="center"/>
              <w:rPr>
                <w:rStyle w:val="Other1"/>
                <w:rFonts w:cs="Times New Roman"/>
                <w:noProof/>
                <w:szCs w:val="20"/>
              </w:rPr>
            </w:pPr>
            <w:r>
              <w:rPr>
                <w:rStyle w:val="Other1"/>
                <w:noProof/>
              </w:rPr>
              <w:t>/</w:t>
            </w:r>
          </w:p>
        </w:tc>
      </w:tr>
      <w:tr w:rsidR="00107511" w:rsidRPr="00EB1066" w14:paraId="3B340DB4" w14:textId="19732043" w:rsidTr="00A178FF">
        <w:trPr>
          <w:cantSplit/>
          <w:trHeight w:val="703"/>
        </w:trPr>
        <w:tc>
          <w:tcPr>
            <w:tcW w:w="1234" w:type="pct"/>
            <w:vAlign w:val="center"/>
          </w:tcPr>
          <w:p w14:paraId="73A4BA87" w14:textId="304CA439" w:rsidR="007E501C" w:rsidRPr="00EB1066" w:rsidRDefault="007E501C" w:rsidP="002A00BB">
            <w:pPr>
              <w:pStyle w:val="CMR-tables"/>
              <w:keepNext/>
              <w:rPr>
                <w:rFonts w:cs="Times New Roman"/>
                <w:b/>
                <w:noProof/>
                <w:szCs w:val="20"/>
              </w:rPr>
            </w:pPr>
            <w:r>
              <w:rPr>
                <w:rStyle w:val="Other1"/>
                <w:b/>
                <w:noProof/>
              </w:rPr>
              <w:t xml:space="preserve">Parduotų aukcionuose ATL kiekis </w:t>
            </w:r>
          </w:p>
        </w:tc>
        <w:tc>
          <w:tcPr>
            <w:tcW w:w="628" w:type="pct"/>
            <w:vAlign w:val="center"/>
          </w:tcPr>
          <w:p w14:paraId="1194BF50" w14:textId="77777777" w:rsidR="007E501C" w:rsidRPr="00EB1066" w:rsidRDefault="007E501C" w:rsidP="002A00BB">
            <w:pPr>
              <w:pStyle w:val="CMR-tables"/>
              <w:keepNext/>
              <w:jc w:val="center"/>
              <w:rPr>
                <w:rFonts w:cs="Times New Roman"/>
                <w:noProof/>
                <w:szCs w:val="20"/>
              </w:rPr>
            </w:pPr>
            <w:r>
              <w:rPr>
                <w:rStyle w:val="Other1"/>
                <w:noProof/>
              </w:rPr>
              <w:t>5,5</w:t>
            </w:r>
          </w:p>
        </w:tc>
        <w:tc>
          <w:tcPr>
            <w:tcW w:w="628" w:type="pct"/>
            <w:vAlign w:val="center"/>
          </w:tcPr>
          <w:p w14:paraId="127C13B1" w14:textId="77777777" w:rsidR="007E501C" w:rsidRPr="00EB1066" w:rsidRDefault="007E501C" w:rsidP="002A00BB">
            <w:pPr>
              <w:pStyle w:val="CMR-tables"/>
              <w:keepNext/>
              <w:jc w:val="center"/>
              <w:rPr>
                <w:rFonts w:cs="Times New Roman"/>
                <w:noProof/>
                <w:szCs w:val="20"/>
              </w:rPr>
            </w:pPr>
            <w:r>
              <w:rPr>
                <w:rStyle w:val="Other1"/>
                <w:noProof/>
              </w:rPr>
              <w:t>9,2</w:t>
            </w:r>
          </w:p>
        </w:tc>
        <w:tc>
          <w:tcPr>
            <w:tcW w:w="628" w:type="pct"/>
            <w:vAlign w:val="center"/>
          </w:tcPr>
          <w:p w14:paraId="3D0C268C" w14:textId="77777777" w:rsidR="007E501C" w:rsidRPr="00EB1066" w:rsidRDefault="007E501C" w:rsidP="002A00BB">
            <w:pPr>
              <w:pStyle w:val="CMR-tables"/>
              <w:keepNext/>
              <w:jc w:val="center"/>
              <w:rPr>
                <w:rFonts w:cs="Times New Roman"/>
                <w:noProof/>
                <w:szCs w:val="20"/>
              </w:rPr>
            </w:pPr>
            <w:r>
              <w:rPr>
                <w:rStyle w:val="Other1"/>
                <w:noProof/>
              </w:rPr>
              <w:t>3,8</w:t>
            </w:r>
          </w:p>
        </w:tc>
        <w:tc>
          <w:tcPr>
            <w:tcW w:w="628" w:type="pct"/>
            <w:vAlign w:val="center"/>
          </w:tcPr>
          <w:p w14:paraId="162F9A02" w14:textId="77777777" w:rsidR="007E501C" w:rsidRPr="00EB1066" w:rsidRDefault="007E501C" w:rsidP="002A00BB">
            <w:pPr>
              <w:pStyle w:val="CMR-tables"/>
              <w:keepNext/>
              <w:jc w:val="center"/>
              <w:rPr>
                <w:rFonts w:cs="Times New Roman"/>
                <w:noProof/>
                <w:szCs w:val="20"/>
              </w:rPr>
            </w:pPr>
            <w:r>
              <w:rPr>
                <w:rStyle w:val="Other1"/>
                <w:noProof/>
              </w:rPr>
              <w:t>3,7</w:t>
            </w:r>
          </w:p>
        </w:tc>
        <w:tc>
          <w:tcPr>
            <w:tcW w:w="627" w:type="pct"/>
            <w:vAlign w:val="center"/>
          </w:tcPr>
          <w:p w14:paraId="0253F7EF" w14:textId="33A8D388" w:rsidR="007E501C" w:rsidRPr="00EB1066" w:rsidRDefault="0020596C" w:rsidP="00181A1C">
            <w:pPr>
              <w:pStyle w:val="CMR-tables"/>
              <w:keepNext/>
              <w:jc w:val="center"/>
              <w:rPr>
                <w:rStyle w:val="Other1"/>
                <w:rFonts w:cs="Times New Roman"/>
                <w:noProof/>
                <w:szCs w:val="20"/>
              </w:rPr>
            </w:pPr>
            <w:r>
              <w:rPr>
                <w:rStyle w:val="Other1"/>
                <w:noProof/>
              </w:rPr>
              <w:t>5,7</w:t>
            </w:r>
          </w:p>
        </w:tc>
        <w:tc>
          <w:tcPr>
            <w:tcW w:w="627" w:type="pct"/>
            <w:vAlign w:val="center"/>
          </w:tcPr>
          <w:p w14:paraId="3E61F7A8" w14:textId="7424B4B0" w:rsidR="00BB032C" w:rsidRPr="00EB1066" w:rsidRDefault="1E586E71" w:rsidP="002A00BB">
            <w:pPr>
              <w:pStyle w:val="CMR-tables"/>
              <w:keepNext/>
              <w:jc w:val="center"/>
              <w:rPr>
                <w:rStyle w:val="Other1"/>
                <w:rFonts w:cs="Times New Roman"/>
                <w:noProof/>
                <w:szCs w:val="20"/>
              </w:rPr>
            </w:pPr>
            <w:r>
              <w:rPr>
                <w:rStyle w:val="Other1"/>
                <w:noProof/>
              </w:rPr>
              <w:t>6,7</w:t>
            </w:r>
          </w:p>
        </w:tc>
      </w:tr>
    </w:tbl>
    <w:p w14:paraId="0F0942C9" w14:textId="15D0386E" w:rsidR="00254618" w:rsidRPr="00685D02" w:rsidRDefault="00187D4D" w:rsidP="00187D4D">
      <w:pPr>
        <w:pStyle w:val="CMR-text"/>
        <w:rPr>
          <w:rStyle w:val="Bodytext1"/>
          <w:rFonts w:cs="Times New Roman"/>
          <w:noProof/>
        </w:rPr>
      </w:pPr>
      <w:r>
        <w:rPr>
          <w:rStyle w:val="Bodytext1"/>
          <w:noProof/>
        </w:rPr>
        <w:t xml:space="preserve">2023 m. atlikta ES ATLPS direktyvos peržiūra paspartino principo „teršėjas moka“ įgyvendinimą aviacijos sektoriuje. Nemokamų ATL skyrimas orlaivių naudotojams bus laipsniškai nutrauktas iki 2025 m. pabaigos. Orlaivių naudotojams 2025 m. skiriama 50 proc. mažiau nemokamų ATL. </w:t>
      </w:r>
    </w:p>
    <w:p w14:paraId="7B2BE992" w14:textId="74F07109" w:rsidR="00187D4D" w:rsidRPr="00685D02" w:rsidRDefault="04CBF91F" w:rsidP="00187D4D">
      <w:pPr>
        <w:pStyle w:val="CMR-text"/>
        <w:rPr>
          <w:rStyle w:val="Bodytext1"/>
          <w:rFonts w:cs="Times New Roman"/>
          <w:noProof/>
        </w:rPr>
      </w:pPr>
      <w:r>
        <w:rPr>
          <w:noProof/>
        </w:rPr>
        <w:t>Būtina nedelsiant dekarbonizuoti aviaciją. ATLPS anglies dioksido kaina jau teikia paskatą vartoti tvarius aviacinius degalus: juos naudojant sutaupoma apie 200 EUR už toną, palyginti su iškastiniu žibalu. 2025 m. Komisija įdiegė papildomą paramos tvarių aviacinių degalų naudojimui mechanizmą pagal ES ATLPS. Už kiekvieną reikalavimus atitinkančių degalų, sunaudotų vykdant skrydžius maršrutais, kuriems taikoma ATLPS, toną oro transporto bendrovės gali prašyti paramos – maždaug nuo 500 EUR iki 7 000 EUR</w:t>
      </w:r>
      <w:r>
        <w:rPr>
          <w:rFonts w:cs="Times New Roman"/>
          <w:noProof/>
          <w:vertAlign w:val="superscript"/>
          <w:lang w:val="en-IE"/>
        </w:rPr>
        <w:footnoteReference w:id="90"/>
      </w:r>
      <w:r>
        <w:rPr>
          <w:noProof/>
        </w:rPr>
        <w:t xml:space="preserve"> už toną degalų. </w:t>
      </w:r>
      <w:r>
        <w:rPr>
          <w:rStyle w:val="Bodytext1"/>
          <w:noProof/>
        </w:rPr>
        <w:t>Ši paskata nuo 2024 m. sausio 1 d. teikiama reikalavimus atitinkančių degalų pildymui skrydžiams maršrutais, kuriems taikoma ATLPS. 2024 m. ši ES ATLPS paskata (kadangi veiklos vykdytojams nereikia atsisakyti apyvartinių taršos leidimų) buvo verta apie 25 mln. EUR. Be to, pagal ATLPS skirta parama suteikiant apie 1,3 mln. ATL, kurių vertė siekia apie 100 mln. EUR</w:t>
      </w:r>
      <w:r>
        <w:rPr>
          <w:rStyle w:val="FootnoteReference"/>
          <w:rFonts w:cs="Times New Roman"/>
          <w:noProof/>
          <w:lang w:val="en-IE"/>
        </w:rPr>
        <w:footnoteReference w:id="91"/>
      </w:r>
      <w:r>
        <w:rPr>
          <w:rStyle w:val="Bodytext1"/>
          <w:noProof/>
        </w:rPr>
        <w:t>.</w:t>
      </w:r>
    </w:p>
    <w:p w14:paraId="5EAC9108" w14:textId="76211D06" w:rsidR="00187D4D" w:rsidRPr="00685D02" w:rsidRDefault="5E0A25F4" w:rsidP="00187D4D">
      <w:pPr>
        <w:pStyle w:val="CMR-text"/>
        <w:rPr>
          <w:rStyle w:val="Bodytext1"/>
          <w:rFonts w:cs="Times New Roman"/>
          <w:noProof/>
        </w:rPr>
      </w:pPr>
      <w:r>
        <w:rPr>
          <w:rStyle w:val="Bodytext1"/>
          <w:noProof/>
        </w:rPr>
        <w:t>Pripažindama, kad su CO</w:t>
      </w:r>
      <w:r>
        <w:rPr>
          <w:rStyle w:val="Bodytext1"/>
          <w:noProof/>
          <w:vertAlign w:val="subscript"/>
        </w:rPr>
        <w:t>2</w:t>
      </w:r>
      <w:r>
        <w:rPr>
          <w:rStyle w:val="Bodytext1"/>
          <w:noProof/>
        </w:rPr>
        <w:t xml:space="preserve"> nesusijusio aviacijos poveikio nebegalima nepaisyti</w:t>
      </w:r>
      <w:r>
        <w:rPr>
          <w:rStyle w:val="FootnoteReference"/>
          <w:rFonts w:cs="Times New Roman"/>
          <w:noProof/>
          <w:lang w:val="en-IE"/>
        </w:rPr>
        <w:footnoteReference w:id="92"/>
      </w:r>
      <w:r>
        <w:rPr>
          <w:rStyle w:val="Bodytext1"/>
          <w:noProof/>
        </w:rPr>
        <w:t>,</w:t>
      </w:r>
      <w:r>
        <w:rPr>
          <w:noProof/>
        </w:rPr>
        <w:t xml:space="preserve"> ES tapo pirmuoju jurisdikciją turinčiu subjektu, nustačiusiu šio poveikio stebėsenos, ataskaitų teikimo ir tikrinimo tvarką (žr. </w:t>
      </w:r>
      <w:r>
        <w:rPr>
          <w:rFonts w:cs="Times New Roman"/>
          <w:noProof/>
        </w:rPr>
        <w:fldChar w:fldCharType="begin"/>
      </w:r>
      <w:r>
        <w:rPr>
          <w:rFonts w:cs="Times New Roman"/>
          <w:noProof/>
        </w:rPr>
        <w:instrText xml:space="preserve"> REF _Ref209099098 \r \h  \* MERGEFORMAT </w:instrText>
      </w:r>
      <w:r>
        <w:rPr>
          <w:rFonts w:cs="Times New Roman"/>
          <w:noProof/>
        </w:rPr>
      </w:r>
      <w:r>
        <w:rPr>
          <w:rFonts w:cs="Times New Roman"/>
          <w:noProof/>
        </w:rPr>
        <w:fldChar w:fldCharType="separate"/>
      </w:r>
      <w:r>
        <w:rPr>
          <w:rFonts w:cs="Times New Roman"/>
          <w:noProof/>
        </w:rPr>
        <w:t>11.1.2</w:t>
      </w:r>
      <w:r>
        <w:rPr>
          <w:rFonts w:cs="Times New Roman"/>
          <w:noProof/>
        </w:rPr>
        <w:fldChar w:fldCharType="end"/>
      </w:r>
      <w:r>
        <w:rPr>
          <w:noProof/>
        </w:rPr>
        <w:t xml:space="preserve"> skirsnį). </w:t>
      </w:r>
    </w:p>
    <w:p w14:paraId="5A292A24" w14:textId="0C4E36A7" w:rsidR="00613B80" w:rsidRPr="00EC4FC3" w:rsidRDefault="00F230A3" w:rsidP="00EC4FC3">
      <w:pPr>
        <w:pStyle w:val="CMR-Heading"/>
        <w:rPr>
          <w:noProof/>
        </w:rPr>
      </w:pPr>
      <w:r>
        <w:rPr>
          <w:noProof/>
        </w:rPr>
        <w:t xml:space="preserve"> </w:t>
      </w:r>
      <w:bookmarkStart w:id="71" w:name="_Toc180513409"/>
      <w:bookmarkStart w:id="72" w:name="_Ref207358781"/>
      <w:bookmarkStart w:id="73" w:name="_Toc219127281"/>
      <w:r>
        <w:rPr>
          <w:noProof/>
        </w:rPr>
        <w:t>Jūrų transportas</w:t>
      </w:r>
      <w:bookmarkEnd w:id="71"/>
      <w:bookmarkEnd w:id="72"/>
      <w:bookmarkEnd w:id="73"/>
    </w:p>
    <w:p w14:paraId="2FF01EB2" w14:textId="4DB45171" w:rsidR="00777C34" w:rsidRPr="00685D02" w:rsidRDefault="00997185" w:rsidP="00777C34">
      <w:pPr>
        <w:pStyle w:val="CMR-text"/>
        <w:rPr>
          <w:rFonts w:cs="Times New Roman"/>
          <w:iCs/>
          <w:noProof/>
        </w:rPr>
      </w:pPr>
      <w:r>
        <w:rPr>
          <w:noProof/>
        </w:rPr>
        <w:t xml:space="preserve">Jūrų transportas yra vienas pagrindinių teršėjų šiltnamio efektą sukeliančiomis dujomis. Jūrų transporto veikloje išmetami teršalai į ES ATLPS įtraukiami pagal ES bendrąją laivybos dekarbonizacijos strategiją. Nuo 2024 m. sausio 1 d. ES ATLPS taikymo sritis apima jūrų transporto veikloje išmetamus teršalus: 50 proc. per reisus, kurie prasideda arba baigiasi už EEE ribų, išmetamų teršalų kiekio ir 100 proc. teršalų, išmetamų tarp dviejų uostų ir kai laivai yra EEE uoste, kiekio. </w:t>
      </w:r>
    </w:p>
    <w:p w14:paraId="78E9CCF8" w14:textId="21DBBDAF" w:rsidR="000931AB" w:rsidRPr="00685D02" w:rsidRDefault="55503FC6" w:rsidP="00777C34">
      <w:pPr>
        <w:pStyle w:val="CMR-text"/>
        <w:rPr>
          <w:rFonts w:cs="Times New Roman"/>
          <w:noProof/>
        </w:rPr>
      </w:pPr>
      <w:r>
        <w:rPr>
          <w:noProof/>
        </w:rPr>
        <w:t>Šis ES ATLPS išplėtimas grindžiamas nuostatomis, kurios jau taikomos kitiems į ES ATLPS įtrauktiems sektoriams, taip pat Jūrų transporto stebėsenos, ataskaitų teikimo ir tikrinimo (SATT) reglamentu</w:t>
      </w:r>
      <w:r>
        <w:rPr>
          <w:rFonts w:cs="Times New Roman"/>
          <w:noProof/>
          <w:vertAlign w:val="superscript"/>
          <w:lang w:val="en-IE"/>
        </w:rPr>
        <w:footnoteReference w:id="93"/>
      </w:r>
      <w:r>
        <w:rPr>
          <w:noProof/>
        </w:rPr>
        <w:t>. ES ATLPS jūrų transporto sektoriuje 2024 ir 2025 m. apima tik išmetamą CO</w:t>
      </w:r>
      <w:r>
        <w:rPr>
          <w:noProof/>
          <w:vertAlign w:val="subscript"/>
        </w:rPr>
        <w:t>2</w:t>
      </w:r>
      <w:r>
        <w:rPr>
          <w:noProof/>
        </w:rPr>
        <w:t>, tačiau nuo 2026 m. bus taikoma ir metanui (CH</w:t>
      </w:r>
      <w:r>
        <w:rPr>
          <w:noProof/>
          <w:vertAlign w:val="subscript"/>
        </w:rPr>
        <w:t>4</w:t>
      </w:r>
      <w:r>
        <w:rPr>
          <w:noProof/>
        </w:rPr>
        <w:t>) bei diazoto oksidui (N</w:t>
      </w:r>
      <w:r>
        <w:rPr>
          <w:noProof/>
          <w:vertAlign w:val="subscript"/>
        </w:rPr>
        <w:t>2</w:t>
      </w:r>
      <w:r>
        <w:rPr>
          <w:noProof/>
        </w:rPr>
        <w:t>O). Laivybos bendrovių praneštas patikrintas 2024 m. išmestų teršalų kiekis yra 89,8 mln. tonų CO</w:t>
      </w:r>
      <w:r>
        <w:rPr>
          <w:noProof/>
          <w:vertAlign w:val="subscript"/>
        </w:rPr>
        <w:t>2</w:t>
      </w:r>
      <w:r>
        <w:rPr>
          <w:rStyle w:val="FootnoteReference"/>
          <w:rFonts w:cs="Times New Roman"/>
          <w:noProof/>
          <w:lang w:val="en-IE"/>
        </w:rPr>
        <w:footnoteReference w:id="94"/>
      </w:r>
      <w:r>
        <w:rPr>
          <w:noProof/>
        </w:rPr>
        <w:t>.</w:t>
      </w:r>
    </w:p>
    <w:p w14:paraId="58226CF3" w14:textId="045A7866" w:rsidR="00CC36A6" w:rsidRPr="00685D02" w:rsidRDefault="002D692F" w:rsidP="00777C34">
      <w:pPr>
        <w:pStyle w:val="CMR-text"/>
        <w:rPr>
          <w:rFonts w:cs="Times New Roman"/>
          <w:iCs/>
          <w:noProof/>
        </w:rPr>
      </w:pPr>
      <w:r>
        <w:rPr>
          <w:noProof/>
        </w:rPr>
        <w:t>Laivybos bendrovių pareiga atsisakyti ATL įvedama laipsniškai, nustačius pereinamąjį laikotarpį iki 2026 m. Šiuo laikotarpiu laivybos bendrovės privalo 2025 m. atsisakyti ATL už 40 proc. išmesto teršalų kiekio, nurodyto 2024 m. ataskaitose, o 2026 m. – už 70 proc. išmesto teršalų kiekio, nurodyto 2025 m. ataskaitose. Ledo klasės laivams taikomas papildomas sumažinimas.</w:t>
      </w:r>
    </w:p>
    <w:p w14:paraId="1F6FA0AC" w14:textId="32CCF9EF" w:rsidR="00777C34" w:rsidRPr="00685D02" w:rsidRDefault="00777C34" w:rsidP="00777C34">
      <w:pPr>
        <w:pStyle w:val="CMR-text"/>
        <w:rPr>
          <w:rFonts w:cs="Times New Roman"/>
          <w:iCs/>
          <w:noProof/>
        </w:rPr>
      </w:pPr>
      <w:r>
        <w:rPr>
          <w:noProof/>
        </w:rPr>
        <w:t xml:space="preserve">Laivybos bendrovės privalėjo iki 2025 m. kovo 31 d. pateikti ataskaitas dėl savo 2024 m. išmesto teršalų kiekio ir iki 2025 m. rugsėjo 30 d. atsisakyti atitinkamo skaičiaus ATL. </w:t>
      </w:r>
    </w:p>
    <w:p w14:paraId="688A704D" w14:textId="2BCC5690" w:rsidR="00A57CF3" w:rsidRPr="00685D02" w:rsidRDefault="00777C34" w:rsidP="006A01A7">
      <w:pPr>
        <w:pStyle w:val="CMR-text"/>
        <w:rPr>
          <w:rFonts w:cs="Times New Roman"/>
          <w:iCs/>
          <w:noProof/>
        </w:rPr>
      </w:pPr>
      <w:r>
        <w:rPr>
          <w:noProof/>
        </w:rPr>
        <w:t xml:space="preserve">ES apyvartinių taršos leidimų skaičius, atitinkantis ATL atsisakymo reikalavimus (pritaikius atskaitymus ir pereinamojo laikotarpio 2024 m. koeficientą), buvo 35,6 mln. ATL. Siekiant panaikinti atotrūkį tarp patikrinto išmestų teršalų kiekio ir ATL, kurių atsisakyta, skaičiaus jūrų transporto sektoriuje, panaikinami 54 243 768 ATL 2024 metais. </w:t>
      </w:r>
    </w:p>
    <w:p w14:paraId="33A9C5F3" w14:textId="463D0C4C" w:rsidR="00553F95" w:rsidRPr="00685D02" w:rsidRDefault="00777C34" w:rsidP="006A01A7">
      <w:pPr>
        <w:pStyle w:val="CMR-text"/>
        <w:rPr>
          <w:rFonts w:cs="Times New Roman"/>
          <w:iCs/>
          <w:noProof/>
        </w:rPr>
      </w:pPr>
      <w:r>
        <w:rPr>
          <w:noProof/>
        </w:rPr>
        <w:t xml:space="preserve">ES ATLPS direktyvoje yra ataskaitų teikimo ir peržiūros nuostata, skirta ES ATLPS įgyvendinimo jūrų transporto sektoriuje stebėsenai, visų pirma tam, kad būtų galima anksti nustatyti elgesį, kuriuo siekiama apeiti reikalavimus, ir kovoti su šiuo reiškiniu. Be to, Komisija 2026 m. peržiūrės ES ATLPS taikymą jūrų transportui, be kita ko, ištirs galimybę išplėsti jos taikymo sritį įtraukiant laivus, kurių bendroji talpa nesiekia 5 000 GT, tačiau yra ne mažesnė kaip 400 GT, ir įvertins aktualią raidą Tarptautinėje jūrų organizacijoje (IMO). 2025 m. balandžio mėn. IMO patvirtino nulinio ŠESD balanso sistemą (angl. </w:t>
      </w:r>
      <w:r>
        <w:rPr>
          <w:i/>
          <w:iCs/>
          <w:noProof/>
        </w:rPr>
        <w:t>Net-Zero Framework</w:t>
      </w:r>
      <w:r>
        <w:rPr>
          <w:noProof/>
        </w:rPr>
        <w:t>, IMO NZF), apimančią pasaulinį standartą, pagal kurį laipsniškai mažinamas jūrinio kuro taršos ŠESD intensyvumas, ir tarptautinėje laivyboje išmetamų ŠESD įkainojimo elementą. Šis susitarimas, kol kas dar nepriimtas, yra reikšmingas žingsnis siekiant, kad grynasis jūrų transporto išmetamų ŠESD kiekis taptų lygus nuliui iki 2050 m. arba maždaug apie šiuos metus, t. y. arti šios datos, kaip nustatyta Tarptautinės jūrų organizacijos 2023 m. strategijoje dėl ŠESD. Šio susitarimo priėmimo svarstymas atidėtas iki 2026 m. spalio mėn.</w:t>
      </w:r>
    </w:p>
    <w:p w14:paraId="7842803D" w14:textId="242A835D" w:rsidR="00613B80" w:rsidRPr="00EC4FC3" w:rsidRDefault="001164FE" w:rsidP="00EC4FC3">
      <w:pPr>
        <w:pStyle w:val="CMR-Heading"/>
        <w:rPr>
          <w:noProof/>
        </w:rPr>
      </w:pPr>
      <w:r>
        <w:rPr>
          <w:noProof/>
        </w:rPr>
        <w:t xml:space="preserve"> </w:t>
      </w:r>
      <w:bookmarkStart w:id="74" w:name="MRR"/>
      <w:bookmarkStart w:id="75" w:name="_Toc180513410"/>
      <w:bookmarkStart w:id="76" w:name="_Toc219127282"/>
      <w:bookmarkEnd w:id="74"/>
      <w:r>
        <w:rPr>
          <w:noProof/>
        </w:rPr>
        <w:t>ES ATLPS įgyvendinimo tvarka</w:t>
      </w:r>
      <w:bookmarkEnd w:id="75"/>
      <w:bookmarkEnd w:id="76"/>
      <w:r>
        <w:rPr>
          <w:noProof/>
        </w:rPr>
        <w:t xml:space="preserve"> </w:t>
      </w:r>
    </w:p>
    <w:p w14:paraId="0582F955" w14:textId="3D633138" w:rsidR="002B2A04" w:rsidRPr="00685D02" w:rsidRDefault="6628522D" w:rsidP="00C9410E">
      <w:pPr>
        <w:pStyle w:val="CMR-text"/>
        <w:rPr>
          <w:rFonts w:cs="Times New Roman"/>
          <w:noProof/>
          <w:highlight w:val="lightGray"/>
        </w:rPr>
      </w:pPr>
      <w:r>
        <w:rPr>
          <w:noProof/>
        </w:rPr>
        <w:t>Sklandžiai veikianti ir aplinkosauginiu požiūriu patikima ES ATLPS priklauso nuo patikimos stebėsenos, ataskaitų teikimo, tikrinimo ir akreditavimo (SATTA) reikalavimais grindžiamos tvarkos. Šie reikalavimai suderinti Stebėsenos ir ataskaitų teikimo reglamente ir Akreditavimo ir tikrinimo reglamente (Reglamentas (ES) 2018/2067)</w:t>
      </w:r>
      <w:bookmarkStart w:id="77" w:name="_Ref212025534"/>
      <w:r>
        <w:rPr>
          <w:rFonts w:cs="Times New Roman"/>
          <w:noProof/>
          <w:vertAlign w:val="superscript"/>
          <w:lang w:val="en-IE"/>
        </w:rPr>
        <w:footnoteReference w:id="95"/>
      </w:r>
      <w:bookmarkEnd w:id="77"/>
      <w:r>
        <w:rPr>
          <w:noProof/>
        </w:rPr>
        <w:t xml:space="preserve">. Šalys privalo kasmet teikti šių reglamentų ir ES ATLPS direktyvos įgyvendinimo ataskaitas. </w:t>
      </w:r>
    </w:p>
    <w:p w14:paraId="4418CC24" w14:textId="323FAA3E" w:rsidR="00C9410E" w:rsidRDefault="002B2A04" w:rsidP="00C9410E">
      <w:pPr>
        <w:pStyle w:val="CMR-text"/>
        <w:rPr>
          <w:rFonts w:cs="Times New Roman"/>
          <w:noProof/>
        </w:rPr>
      </w:pPr>
      <w:r>
        <w:rPr>
          <w:noProof/>
        </w:rPr>
        <w:t xml:space="preserve">Šiame skyriuje apibendrinami svarbiausi ES ATLPS įgyvendinimo duomenys, pagal ES ATLPS direktyvos 21 straipsnį šalių pateikti už 2024 m. Įgyvendinimo jūrų transporto sektoriuje tvarkos aspektai išsamiai išdėstyti 11.6 skirsnyje. </w:t>
      </w:r>
    </w:p>
    <w:p w14:paraId="333AF478" w14:textId="351B28C0" w:rsidR="00E35FAB" w:rsidRPr="00E35FAB" w:rsidRDefault="00E35FAB" w:rsidP="00C9410E">
      <w:pPr>
        <w:pStyle w:val="CMR-text"/>
        <w:rPr>
          <w:rFonts w:cs="Times New Roman"/>
          <w:noProof/>
        </w:rPr>
      </w:pPr>
      <w:r>
        <w:rPr>
          <w:noProof/>
        </w:rPr>
        <w:t>Kipras dar nebuvo pateikęs savo 2024 m. ataskaitos iki 2025 m. spalio 27 d. (dienos, kurią baigta rengti ši ataskaita). Kadangi naujausių Kipro duomenų neturima, šiame skyriuje kaip pakaitiniai duomenys naudojami Kipro pateikti 2023 m. duomenys, kad kaitos iš metų į metus palyginimas būtų įmanomas. Naudojami visų kitų šalių duomenys yra 2024 m. duomenys.</w:t>
      </w:r>
    </w:p>
    <w:p w14:paraId="2A3EAA35" w14:textId="17730D94" w:rsidR="000E3032" w:rsidRPr="00EC4FC3" w:rsidRDefault="000E3032" w:rsidP="00EC4FC3">
      <w:pPr>
        <w:pStyle w:val="CMR-Subheading"/>
        <w:rPr>
          <w:noProof/>
        </w:rPr>
      </w:pPr>
      <w:bookmarkStart w:id="78" w:name="_Toc180513411"/>
      <w:bookmarkStart w:id="79" w:name="_Toc219127283"/>
      <w:r>
        <w:rPr>
          <w:noProof/>
        </w:rPr>
        <w:t>Išmetamųjų teršalų kiekio stebėsena ir ataskaitų teikimas</w:t>
      </w:r>
      <w:bookmarkEnd w:id="78"/>
      <w:bookmarkEnd w:id="79"/>
      <w:r>
        <w:rPr>
          <w:noProof/>
        </w:rPr>
        <w:t xml:space="preserve"> </w:t>
      </w:r>
    </w:p>
    <w:p w14:paraId="207EFD94" w14:textId="1FF5A50D" w:rsidR="005033E7" w:rsidRPr="00685D02" w:rsidRDefault="151A787A" w:rsidP="00680B54">
      <w:pPr>
        <w:pStyle w:val="CMR-text"/>
        <w:rPr>
          <w:rFonts w:cs="Times New Roman"/>
          <w:noProof/>
        </w:rPr>
      </w:pPr>
      <w:r>
        <w:rPr>
          <w:noProof/>
        </w:rPr>
        <w:t xml:space="preserve">ES ATLPS išmetamųjų teršalų kiekio stebėsenos tvarka yra pagrįsta moduliniu principu. Ji teikia veiklos vykdytojams daug lankstumo, taigi užtikrinamas tiek ekonominis efektyvumas, tiek išmetamųjų teršalų kiekio duomenų patikimumas. Veiklos vykdytojai gali taikyti kelis stebėsenos metodus (skaičiavimu grindžiamą arba matavimu grindžiamą metodą ir, išimties tvarka, alternatyvų metodą), taip pat rinktis atskiroms įrenginio dalims taikytinų metodų derinį. Orlaivių naudotojams leidžiama taikyti tik skaičiavimu grindžiamus metodus, o pagrindinis skrydžio parametras yra degalų sąnaudos. </w:t>
      </w:r>
    </w:p>
    <w:p w14:paraId="456913C3" w14:textId="2057457B" w:rsidR="00680B54" w:rsidRPr="00685D02" w:rsidRDefault="4915D43B" w:rsidP="65EC3A73">
      <w:pPr>
        <w:pStyle w:val="CMR-text"/>
        <w:rPr>
          <w:rFonts w:cs="Times New Roman"/>
          <w:noProof/>
        </w:rPr>
      </w:pPr>
      <w:r>
        <w:rPr>
          <w:noProof/>
        </w:rPr>
        <w:t>Stebėsenos ir ataskaitų teikimo reglamente reikalaujama turėti ir įrenginiams parengtą, ir orlaivių naudotojų parengtą stebėsenos planą, patvirtintą nacionalinės kompetentingos institucijos. Taip užkertamas kelias veiklos vykdytojams savavališkai rinktis stebėsenos metodikas ir skirtingus laikotarpius. 2024 m. keturios šalys</w:t>
      </w:r>
      <w:r>
        <w:rPr>
          <w:rFonts w:cs="Times New Roman"/>
          <w:noProof/>
          <w:vertAlign w:val="superscript"/>
          <w:lang w:val="en-IE"/>
        </w:rPr>
        <w:footnoteReference w:id="96"/>
      </w:r>
      <w:r>
        <w:rPr>
          <w:noProof/>
        </w:rPr>
        <w:t xml:space="preserve"> (2023 m. – penkios šalys) toliau leido nedidelės rizikos atvejais naudoti supaprastintus įrenginių stebėsenos planus</w:t>
      </w:r>
      <w:r>
        <w:rPr>
          <w:rFonts w:cs="Times New Roman"/>
          <w:noProof/>
          <w:vertAlign w:val="superscript"/>
          <w:lang w:val="en-IE"/>
        </w:rPr>
        <w:footnoteReference w:id="97"/>
      </w:r>
      <w:r>
        <w:rPr>
          <w:noProof/>
        </w:rPr>
        <w:t xml:space="preserve">. Aviacijos sektoriuje ši nuostata taikoma tik mažiesiems teršėjams Belgijoje. </w:t>
      </w:r>
    </w:p>
    <w:p w14:paraId="1CB2CACE" w14:textId="2CF74D74" w:rsidR="00797ADF" w:rsidRPr="00685D02" w:rsidRDefault="00B92F09" w:rsidP="65EC3A73">
      <w:pPr>
        <w:pStyle w:val="CMR-text"/>
        <w:rPr>
          <w:rFonts w:cs="Times New Roman"/>
          <w:noProof/>
        </w:rPr>
      </w:pPr>
      <w:r>
        <w:rPr>
          <w:noProof/>
        </w:rPr>
        <w:t>Dėl įrenginių ir toliau buvo laikomasi išmetamųjų teršalų kiekio stebėsenos teisinių reikalavimų. Daugumos įrenginių išmetamam teršalų kiekiui apskaičiuoti taikyta skaičiavimu grindžiama metodika</w:t>
      </w:r>
      <w:r>
        <w:rPr>
          <w:rFonts w:cs="Times New Roman"/>
          <w:noProof/>
          <w:vertAlign w:val="superscript"/>
          <w:lang w:val="en-IE"/>
        </w:rPr>
        <w:footnoteReference w:id="98"/>
      </w:r>
      <w:r>
        <w:rPr>
          <w:noProof/>
        </w:rPr>
        <w:t>. Pranešta, kad nepertraukiamojo išmetamo teršalų kiekio matavimo sistemos (CEMS) taikytos tik 274 įrenginiams (3,2 proc.) 23 šalyse. Iš jų 221 įrenginyje CEMS taikyta išmetamam CO</w:t>
      </w:r>
      <w:r>
        <w:rPr>
          <w:noProof/>
          <w:vertAlign w:val="subscript"/>
        </w:rPr>
        <w:t>2</w:t>
      </w:r>
      <w:r>
        <w:rPr>
          <w:noProof/>
        </w:rPr>
        <w:t xml:space="preserve"> kiekiui, 40 įrenginių – N</w:t>
      </w:r>
      <w:r>
        <w:rPr>
          <w:noProof/>
          <w:vertAlign w:val="subscript"/>
        </w:rPr>
        <w:t>2</w:t>
      </w:r>
      <w:r>
        <w:rPr>
          <w:noProof/>
        </w:rPr>
        <w:t>O kiekiui ir 13 įrenginių – abiejų rūšių dujų kiekiui matuoti. CEMS dažniausiai naudojamasi Prancūzijoje. Matuotuose iš 163 įrenginių išmetamuose teršaluose taip pat buvo biogeninio CO</w:t>
      </w:r>
      <w:r>
        <w:rPr>
          <w:noProof/>
          <w:vertAlign w:val="subscript"/>
        </w:rPr>
        <w:t>2</w:t>
      </w:r>
      <w:r>
        <w:rPr>
          <w:noProof/>
        </w:rPr>
        <w:t>. Iš tų įrenginių, kuriems taikoma CEMS, 189 įrenginiuose ji taikyta daugiau kaip 95 proc. išmetamų teršalų, o likusiems 85 įrenginiams taikytas CEMS ir skaičiavimu grindžiamos metodikos derinys.</w:t>
      </w:r>
    </w:p>
    <w:p w14:paraId="121B021A" w14:textId="4F7A8D3E" w:rsidR="00797ADF" w:rsidRPr="00685D02" w:rsidRDefault="12564DF9" w:rsidP="65EC3A73">
      <w:pPr>
        <w:pStyle w:val="CMR-text"/>
        <w:rPr>
          <w:rFonts w:cs="Times New Roman"/>
          <w:noProof/>
        </w:rPr>
      </w:pPr>
      <w:r>
        <w:rPr>
          <w:noProof/>
        </w:rPr>
        <w:t>Tik 12 šalių pranešė taikiusios alternatyvią metodiką. Ši metodika taikyta 31 įrenginiui, kurių bendras išmetamųjų teršalų kiekis sudaro apie 2,0 mln. t CO</w:t>
      </w:r>
      <w:r>
        <w:rPr>
          <w:noProof/>
          <w:vertAlign w:val="subscript"/>
        </w:rPr>
        <w:t>2</w:t>
      </w:r>
      <w:r>
        <w:rPr>
          <w:noProof/>
        </w:rPr>
        <w:t>e (tai yra šešiais įrenginiais daugiau nei 2023 m., tačiau 0,6 mln. t CO</w:t>
      </w:r>
      <w:r>
        <w:rPr>
          <w:noProof/>
          <w:vertAlign w:val="subscript"/>
        </w:rPr>
        <w:t>2</w:t>
      </w:r>
      <w:r>
        <w:rPr>
          <w:noProof/>
        </w:rPr>
        <w:t xml:space="preserve">e mažiau taršos atžvilgiu). Vienam Nyderlanduose esančiam įrenginiui teko 52 proc. viso pranešto išmetamųjų teršalų kiekio, nustatyto remiantis alternatyvia metodika, taikyta dėl sudėtingos jo struktūros. </w:t>
      </w:r>
    </w:p>
    <w:p w14:paraId="312C5AF1" w14:textId="33481FEF" w:rsidR="00797ADF" w:rsidRPr="00685D02" w:rsidRDefault="49BBFFFE" w:rsidP="00797ADF">
      <w:pPr>
        <w:pStyle w:val="CMR-text"/>
        <w:rPr>
          <w:rFonts w:cs="Times New Roman"/>
          <w:noProof/>
        </w:rPr>
      </w:pPr>
      <w:r>
        <w:rPr>
          <w:noProof/>
        </w:rPr>
        <w:t>2024 m. dauguma įrenginių atitiko Stebėsenos ir ataskaitų teikimo reglamente nustatytus būtiniausių pakopų</w:t>
      </w:r>
      <w:r>
        <w:rPr>
          <w:noProof/>
          <w:vertAlign w:val="superscript"/>
        </w:rPr>
        <w:t xml:space="preserve"> </w:t>
      </w:r>
      <w:r>
        <w:rPr>
          <w:noProof/>
        </w:rPr>
        <w:t>reikalavimus</w:t>
      </w:r>
      <w:r>
        <w:rPr>
          <w:rFonts w:cs="Times New Roman"/>
          <w:noProof/>
          <w:vertAlign w:val="superscript"/>
          <w:lang w:val="en-IE"/>
        </w:rPr>
        <w:footnoteReference w:id="99"/>
      </w:r>
      <w:r>
        <w:rPr>
          <w:noProof/>
        </w:rPr>
        <w:t>. Pranešta, kad reikalavimo didiesiems sukėlikliams taikyti aukščiausias pakopas neatitiko (bent vieno parametro atžvilgiu) tik 97 įrenginiai, priskiriami C kategorijai (2023 m. – 98). Tie įrenginiai buvo 18 šalių (2023 m. – 17) ir sudarė 17,1 proc. C kategorijos įrenginių. Tokie nukrypimai leidžiami tik veiklos vykdytojui įrodžius, kad pasiekti aukščiausios pakopos techniškai neįmanoma arba dėl to būtų patirta nepagrįstai didelių išlaidų. Kai šios sąlygos nebetaikomos, veiklos vykdytojas turi atitinkamai patobulinti stebėsenos sistemą.</w:t>
      </w:r>
    </w:p>
    <w:p w14:paraId="34A06E91" w14:textId="77777777" w:rsidR="00363737" w:rsidRPr="00685D02" w:rsidRDefault="00363737" w:rsidP="00EC4FC3">
      <w:pPr>
        <w:pStyle w:val="CMR-SubHead2"/>
        <w:rPr>
          <w:noProof/>
        </w:rPr>
      </w:pPr>
      <w:bookmarkStart w:id="80" w:name="_Toc219127284"/>
      <w:r>
        <w:rPr>
          <w:noProof/>
        </w:rPr>
        <w:t>Deginant komunalines atliekas išmetamų teršalų kiekio stebėsena ir ataskaitų teikimas</w:t>
      </w:r>
      <w:bookmarkEnd w:id="80"/>
    </w:p>
    <w:p w14:paraId="3AE49F71" w14:textId="60D337C1" w:rsidR="00546775" w:rsidRPr="00685D02" w:rsidRDefault="00F327B6" w:rsidP="00E7304F">
      <w:pPr>
        <w:pStyle w:val="CMR-text"/>
        <w:rPr>
          <w:rFonts w:cs="Times New Roman"/>
          <w:noProof/>
        </w:rPr>
      </w:pPr>
      <w:r>
        <w:rPr>
          <w:noProof/>
        </w:rPr>
        <w:t>Iki 2026 m. liepos 31 d. Komisija turi įvertinti galimybę į ES ATLPS įtraukti teršalus, išmetamus deginant komunalines atliekas (ir galbūt per kitus atliekų tvarkymo procesus). Šis vertinimas įeina į platesnę ES ATLPS peržiūrą, dėl kurios numatoma pateikti pasiūlymą 2026 m.</w:t>
      </w:r>
    </w:p>
    <w:p w14:paraId="1633056A" w14:textId="0E82F3EC" w:rsidR="00642392" w:rsidRPr="00685D02" w:rsidRDefault="002D0B4D" w:rsidP="00E7304F">
      <w:pPr>
        <w:pStyle w:val="CMR-text"/>
        <w:rPr>
          <w:rFonts w:cs="Times New Roman"/>
          <w:noProof/>
        </w:rPr>
      </w:pPr>
      <w:r>
        <w:rPr>
          <w:noProof/>
        </w:rPr>
        <w:t>Nuo 2024 m. sausio 1 d. dėl komunalinių atliekų deginimo įrenginių (viršijančių 20 MW vardinės šiluminės galios slenkstį) yra privaloma stebėti išmetamųjų teršalų kiekį ir apie jį pranešti ataskaitose ES ATLPS. Vis dėlto šiuos įrenginius eksploatuojantiems subjektams šiuo metu neprivaloma atsisakyti apyvartinių taršos leidimų už juose išmetamus teršalus. 18 šalių (17 valstybių narių ir Norvegija) pranešė apie 2024 m. deginant kurą komunalinių atliekų deginimo įrenginiuose išmestą teršalų kiekį</w:t>
      </w:r>
      <w:r>
        <w:rPr>
          <w:rStyle w:val="FootnoteReference"/>
          <w:rFonts w:cs="Times New Roman"/>
          <w:noProof/>
          <w:lang w:val="en-IE"/>
        </w:rPr>
        <w:footnoteReference w:id="100"/>
      </w:r>
      <w:r>
        <w:rPr>
          <w:noProof/>
        </w:rPr>
        <w:t xml:space="preserve">. </w:t>
      </w:r>
    </w:p>
    <w:p w14:paraId="0FF4C79E" w14:textId="1D849072" w:rsidR="00363737" w:rsidRPr="00EC4FC3" w:rsidRDefault="1F8A8195" w:rsidP="00EC4FC3">
      <w:pPr>
        <w:pStyle w:val="CMR-SubHead2"/>
        <w:rPr>
          <w:noProof/>
        </w:rPr>
      </w:pPr>
      <w:r>
        <w:rPr>
          <w:noProof/>
        </w:rPr>
        <w:t xml:space="preserve"> </w:t>
      </w:r>
      <w:bookmarkStart w:id="81" w:name="_Ref209099098"/>
      <w:bookmarkStart w:id="82" w:name="_Toc219127285"/>
      <w:r>
        <w:rPr>
          <w:noProof/>
        </w:rPr>
        <w:t>Su CO</w:t>
      </w:r>
      <w:r>
        <w:rPr>
          <w:noProof/>
          <w:vertAlign w:val="subscript"/>
        </w:rPr>
        <w:t>2</w:t>
      </w:r>
      <w:r>
        <w:rPr>
          <w:noProof/>
        </w:rPr>
        <w:t xml:space="preserve"> nesusijusio aviacijos poveikio stebėsena ir ataskaitų teikimas</w:t>
      </w:r>
      <w:bookmarkEnd w:id="81"/>
      <w:bookmarkEnd w:id="82"/>
    </w:p>
    <w:p w14:paraId="1E241B90" w14:textId="40B7F795" w:rsidR="00D53392" w:rsidRPr="00685D02" w:rsidRDefault="00363737" w:rsidP="006E00E4">
      <w:pPr>
        <w:pStyle w:val="CMR-text"/>
        <w:rPr>
          <w:rFonts w:cs="Times New Roman"/>
          <w:noProof/>
          <w:color w:val="000000"/>
          <w:shd w:val="clear" w:color="auto" w:fill="FFFFFF"/>
        </w:rPr>
      </w:pPr>
      <w:r>
        <w:rPr>
          <w:noProof/>
        </w:rPr>
        <w:t xml:space="preserve">Nuo 2025 m. sausio 1 d. </w:t>
      </w:r>
      <w:r>
        <w:rPr>
          <w:noProof/>
          <w:color w:val="000000" w:themeColor="text1"/>
        </w:rPr>
        <w:t>orlaivių naudotojai privalo stebėti su CO</w:t>
      </w:r>
      <w:r>
        <w:rPr>
          <w:noProof/>
          <w:color w:val="000000" w:themeColor="text1"/>
          <w:vertAlign w:val="subscript"/>
        </w:rPr>
        <w:t>2</w:t>
      </w:r>
      <w:r>
        <w:rPr>
          <w:noProof/>
          <w:color w:val="000000" w:themeColor="text1"/>
        </w:rPr>
        <w:t xml:space="preserve"> nesusijusį aviacijos poveikį ir dėl to teikti ataskaitas. Ši pareiga apima iš skrendančių lėktuvų išmetamas sulfatų ir suodžių kietąsias daleles, vandens garus, azoto oksidus ir sieros dioksidą. Kad pradžia būtų sklandesnė, privaloma su CO</w:t>
      </w:r>
      <w:r>
        <w:rPr>
          <w:noProof/>
          <w:color w:val="000000" w:themeColor="text1"/>
          <w:vertAlign w:val="subscript"/>
        </w:rPr>
        <w:t>2</w:t>
      </w:r>
      <w:r>
        <w:rPr>
          <w:noProof/>
          <w:color w:val="000000" w:themeColor="text1"/>
        </w:rPr>
        <w:t xml:space="preserve"> nesusijusio poveikio stebėsena ir pareiga dėl to teikti ataskaitas iki 2026 m. taikoma tik EEE vidaus skrydžiams (apimant ir atokiausius regionus), taip pat skrydžiams iš EEE į Šveicariją ir Jungtinę Karalystę. Raginama savanoriškai teikti ataskaitas dėl skrydžių visais maršrutais. Nuo 2027 m. pareiga teikti ataskaitas automatiškai taikoma visiems skrydžiams.</w:t>
      </w:r>
    </w:p>
    <w:p w14:paraId="50274EE9" w14:textId="41A344A3" w:rsidR="005A5451" w:rsidRPr="00685D02" w:rsidRDefault="00F55976" w:rsidP="5F4B9D88">
      <w:pPr>
        <w:pStyle w:val="CMR-text"/>
        <w:rPr>
          <w:rFonts w:cs="Times New Roman"/>
          <w:noProof/>
          <w:color w:val="000000" w:themeColor="text1"/>
        </w:rPr>
      </w:pPr>
      <w:r>
        <w:rPr>
          <w:noProof/>
          <w:color w:val="000000" w:themeColor="text1"/>
        </w:rPr>
        <w:t>Orlaivių naudotojai gali rinktis vieną iš dviejų metodų savo aviacijos poveikiui, nesusijusiam su CO</w:t>
      </w:r>
      <w:r>
        <w:rPr>
          <w:noProof/>
          <w:color w:val="000000" w:themeColor="text1"/>
          <w:vertAlign w:val="subscript"/>
        </w:rPr>
        <w:t>2</w:t>
      </w:r>
      <w:r>
        <w:rPr>
          <w:noProof/>
          <w:color w:val="000000" w:themeColor="text1"/>
        </w:rPr>
        <w:t xml:space="preserve">, stebėti. C metodas yra standartinis metodas: jį taikant atsižvelgiama į oro sąlygų ir skrydžio informaciją, taip pat į orlaivio ir degalų savybes. Pagal D metodą taikoma paprastesnė stebėsenos metodika mažataršių orlaivių naudotojų išmetamų teršalų kiekiui apskaičiuoti, nes tam daugiausia reikia informacijos apie skrydį ir trajektoriją, o duomenų apie oro sąlygas ir degalų savybes galima neįtraukti. </w:t>
      </w:r>
    </w:p>
    <w:p w14:paraId="1D857A29" w14:textId="69CE8C4B" w:rsidR="005A5451" w:rsidRPr="00685D02" w:rsidRDefault="005A5451" w:rsidP="006E00E4">
      <w:pPr>
        <w:pStyle w:val="CMR-text"/>
        <w:rPr>
          <w:rFonts w:cs="Times New Roman"/>
          <w:noProof/>
          <w:color w:val="000000" w:themeColor="text1"/>
        </w:rPr>
      </w:pPr>
      <w:r>
        <w:rPr>
          <w:noProof/>
          <w:color w:val="000000" w:themeColor="text1"/>
        </w:rPr>
        <w:t>Komisija kuria NEATS stebėsenos priemonę stebėsenos ir ataskaitų teikimo procesui palengvinti. Pirmosios ataskaitos turi būti pateiktos 2026 m.</w:t>
      </w:r>
    </w:p>
    <w:p w14:paraId="7E5E301D" w14:textId="1E71B3ED" w:rsidR="00E74B45" w:rsidRPr="00685D02" w:rsidRDefault="00E74B45" w:rsidP="006E00E4">
      <w:pPr>
        <w:pStyle w:val="CMR-text"/>
        <w:rPr>
          <w:rFonts w:cs="Times New Roman"/>
          <w:noProof/>
          <w:color w:val="000000"/>
          <w:shd w:val="clear" w:color="auto" w:fill="FFFFFF"/>
        </w:rPr>
      </w:pPr>
      <w:r>
        <w:rPr>
          <w:noProof/>
        </w:rPr>
        <w:t>Iki 2027 m. gruodžio 31 d. Komisija, remdamasi su CO</w:t>
      </w:r>
      <w:r>
        <w:rPr>
          <w:noProof/>
          <w:vertAlign w:val="subscript"/>
        </w:rPr>
        <w:t>2</w:t>
      </w:r>
      <w:r>
        <w:rPr>
          <w:noProof/>
        </w:rPr>
        <w:t xml:space="preserve"> nesusijusio aviacijos poveikio stebėsenos sistemos taikymo rezultatais, pateiks ataskaitą ir, jei bus tikslinga, pasiūlymą dėl teisėkūros procedūra priimamo akto, skirto su CO</w:t>
      </w:r>
      <w:r>
        <w:rPr>
          <w:noProof/>
          <w:vertAlign w:val="subscript"/>
        </w:rPr>
        <w:t>2</w:t>
      </w:r>
      <w:r>
        <w:rPr>
          <w:noProof/>
        </w:rPr>
        <w:t xml:space="preserve"> nesusijusiam poveikiui mažinti. </w:t>
      </w:r>
    </w:p>
    <w:p w14:paraId="35D3471C" w14:textId="210DB619" w:rsidR="00DA1F61" w:rsidRPr="00EC4FC3" w:rsidRDefault="008E6FA0" w:rsidP="00EC4FC3">
      <w:pPr>
        <w:pStyle w:val="CMR-Subheading"/>
        <w:rPr>
          <w:noProof/>
        </w:rPr>
      </w:pPr>
      <w:bookmarkStart w:id="83" w:name="_Toc180513412"/>
      <w:bookmarkStart w:id="84" w:name="_Toc219127286"/>
      <w:r>
        <w:rPr>
          <w:noProof/>
        </w:rPr>
        <w:t>Tikrinimas ir akreditavimas</w:t>
      </w:r>
      <w:bookmarkEnd w:id="83"/>
      <w:bookmarkEnd w:id="84"/>
    </w:p>
    <w:p w14:paraId="0DC6EEA8" w14:textId="4DF5E19A" w:rsidR="00DA1F61" w:rsidRPr="00685D02" w:rsidRDefault="48181C28" w:rsidP="00A115B2">
      <w:pPr>
        <w:pStyle w:val="CMR-text"/>
        <w:rPr>
          <w:rFonts w:cs="Times New Roman"/>
          <w:noProof/>
        </w:rPr>
      </w:pPr>
      <w:r>
        <w:rPr>
          <w:noProof/>
        </w:rPr>
        <w:t>ES ATLPS išmetamųjų teršalų kiekio ataskaitų tikrintojai turi būti akredituoti nacionalinės akreditacijos įstaigos pagal Akreditavimo ir tikrinimo reglamentą</w:t>
      </w:r>
      <w:r>
        <w:rPr>
          <w:rFonts w:cs="Times New Roman"/>
          <w:noProof/>
          <w:vertAlign w:val="superscript"/>
        </w:rPr>
        <w:fldChar w:fldCharType="begin"/>
      </w:r>
      <w:r>
        <w:rPr>
          <w:rFonts w:cs="Times New Roman"/>
          <w:noProof/>
          <w:vertAlign w:val="superscript"/>
        </w:rPr>
        <w:instrText xml:space="preserve"> NOTEREF _Ref212025534 \h  \* MERGEFORMAT </w:instrText>
      </w:r>
      <w:r>
        <w:rPr>
          <w:rFonts w:cs="Times New Roman"/>
          <w:noProof/>
          <w:vertAlign w:val="superscript"/>
        </w:rPr>
      </w:r>
      <w:r>
        <w:rPr>
          <w:rFonts w:cs="Times New Roman"/>
          <w:noProof/>
          <w:vertAlign w:val="superscript"/>
        </w:rPr>
        <w:fldChar w:fldCharType="separate"/>
      </w:r>
      <w:r>
        <w:rPr>
          <w:rFonts w:cs="Times New Roman"/>
          <w:noProof/>
          <w:vertAlign w:val="superscript"/>
        </w:rPr>
        <w:t>94</w:t>
      </w:r>
      <w:r>
        <w:rPr>
          <w:rFonts w:cs="Times New Roman"/>
          <w:noProof/>
          <w:vertAlign w:val="superscript"/>
        </w:rPr>
        <w:fldChar w:fldCharType="end"/>
      </w:r>
      <w:r>
        <w:rPr>
          <w:noProof/>
        </w:rPr>
        <w:t>, ISO 17029 ir ISO 14065 (tarptautinius ISO standartus, kurie taikomi akredituojant tikrintojus). Akredituotų tikrintojų veikla abipusiškai pripažįstama visose ES ATLPS dalyvaujančiose šalyse ir jie gali naudotis visais bendrosios rinkos teikiamais pranašumais. Taip užtikrinamas ir pakankamas paslaugų prieinamumas visoje ES. Išsami 2024 m. akreditavimo ir tikrinimo aspektų apžvalga pateikta pridedamo Komisijos tarnybų darbinio dokumento 4 skirsnyje.</w:t>
      </w:r>
    </w:p>
    <w:p w14:paraId="23BE5F80" w14:textId="05CDD744" w:rsidR="00DA1F61" w:rsidRPr="00685D02" w:rsidRDefault="48181C28" w:rsidP="65EC3A73">
      <w:pPr>
        <w:pStyle w:val="CMR-text"/>
        <w:rPr>
          <w:rFonts w:cs="Times New Roman"/>
          <w:noProof/>
        </w:rPr>
      </w:pPr>
      <w:r>
        <w:rPr>
          <w:noProof/>
        </w:rPr>
        <w:t>2024 m. veikė 94 akredituoti įrenginių tikrintojai ir 17 akredituotų orlaivių naudotojų tikrintojų. Be to, 26 šalys pranešė, kad jų teritorijoje 2024 m. veikė bent vienas užsienio tikrintojas, o šešios šalys nurodė, kad jose veikė vien užsienio tikrintojai. Tai rodo, kad tikrintojų abipusis pripažinimas tarp šalių tebėra sklandus.</w:t>
      </w:r>
    </w:p>
    <w:p w14:paraId="59627B61" w14:textId="2B8E6539" w:rsidR="00DA1F61" w:rsidRPr="00685D02" w:rsidRDefault="48181C28" w:rsidP="65EC3A73">
      <w:pPr>
        <w:pStyle w:val="CMR-text"/>
        <w:rPr>
          <w:rFonts w:cs="Times New Roman"/>
          <w:noProof/>
        </w:rPr>
      </w:pPr>
      <w:r>
        <w:rPr>
          <w:noProof/>
        </w:rPr>
        <w:t xml:space="preserve">Nustatyta, kad tikrintojai gerai laikosi Akreditavimo ir ataskaitų teikimo reglamento reikalavimų. Pranešta tik apie vieną tikrintojo veiklos sustabdymo 2024 m. atvejį (Rumunijoje). Be to, nepranešta apie jokių tikrintojų akreditacijos panaikinimą. Dviem atvejais (Danijoje ir Prancūzijoje) susiaurinta vertintojų akreditacijos sritis. Palyginimo tikslais pažymėtina, kad 2023 m. nebuvo pranešimų apie jokius akreditacijos laikino sustabdymo ar panaikinimo atvejus, tačiau buvo pranešta apie du akreditacijos srities susiaurinimo atvejus. </w:t>
      </w:r>
    </w:p>
    <w:p w14:paraId="10BDA97A" w14:textId="53F25650" w:rsidR="00956A00" w:rsidRPr="00685D02" w:rsidRDefault="64EF1D1C" w:rsidP="00A05E1B">
      <w:pPr>
        <w:pStyle w:val="CMR-text"/>
        <w:rPr>
          <w:rFonts w:cs="Times New Roman"/>
          <w:noProof/>
          <w:shd w:val="clear" w:color="auto" w:fill="FFFFFF"/>
        </w:rPr>
      </w:pPr>
      <w:r>
        <w:rPr>
          <w:noProof/>
        </w:rPr>
        <w:t>Antroji Akreditavimo ir tikrinimo reglamento peržiūra priimta 2025 m. birželio 18 d.</w:t>
      </w:r>
      <w:r>
        <w:rPr>
          <w:rStyle w:val="FootnoteReference"/>
          <w:rFonts w:cs="Times New Roman"/>
          <w:noProof/>
          <w:lang w:val="en-IE"/>
        </w:rPr>
        <w:footnoteReference w:id="101"/>
      </w:r>
      <w:r>
        <w:rPr>
          <w:noProof/>
        </w:rPr>
        <w:t xml:space="preserve"> Peržiūros tikslas buvo:</w:t>
      </w:r>
      <w:r>
        <w:rPr>
          <w:noProof/>
          <w:shd w:val="clear" w:color="auto" w:fill="FFFFFF"/>
        </w:rPr>
        <w:t xml:space="preserve"> </w:t>
      </w:r>
    </w:p>
    <w:p w14:paraId="61FC4057" w14:textId="111C45F8" w:rsidR="00C53FAD" w:rsidRPr="00685D02" w:rsidRDefault="00D21A20" w:rsidP="002226DD">
      <w:pPr>
        <w:pStyle w:val="CMR-text"/>
        <w:numPr>
          <w:ilvl w:val="0"/>
          <w:numId w:val="28"/>
        </w:numPr>
        <w:rPr>
          <w:rFonts w:cs="Times New Roman"/>
          <w:noProof/>
          <w:shd w:val="clear" w:color="auto" w:fill="FFFFFF"/>
        </w:rPr>
      </w:pPr>
      <w:r>
        <w:rPr>
          <w:noProof/>
        </w:rPr>
        <w:t>suderinti su pakeitimais, kurie 2024 m. įtraukti į Stebėsenos ir ataskaitų teikimo reglamentą:</w:t>
      </w:r>
    </w:p>
    <w:p w14:paraId="554EBC18" w14:textId="47FD801B" w:rsidR="002608EC" w:rsidRPr="00685D02" w:rsidRDefault="00486238" w:rsidP="004F100B">
      <w:pPr>
        <w:pStyle w:val="CMR-text"/>
        <w:numPr>
          <w:ilvl w:val="1"/>
          <w:numId w:val="28"/>
        </w:numPr>
        <w:rPr>
          <w:rFonts w:cs="Times New Roman"/>
          <w:noProof/>
          <w:shd w:val="clear" w:color="auto" w:fill="FFFFFF"/>
        </w:rPr>
      </w:pPr>
      <w:r>
        <w:rPr>
          <w:noProof/>
        </w:rPr>
        <w:t>įtraukti reikalavimus dėl su CO</w:t>
      </w:r>
      <w:r>
        <w:rPr>
          <w:noProof/>
          <w:vertAlign w:val="subscript"/>
        </w:rPr>
        <w:t>2</w:t>
      </w:r>
      <w:r>
        <w:rPr>
          <w:noProof/>
        </w:rPr>
        <w:t xml:space="preserve"> nesusijusio aviacijos poveikio ataskaitų tikrinimo, tikrintojo patikrų, susijusių su CO</w:t>
      </w:r>
      <w:r>
        <w:rPr>
          <w:noProof/>
          <w:vertAlign w:val="subscript"/>
        </w:rPr>
        <w:t>2</w:t>
      </w:r>
      <w:r>
        <w:rPr>
          <w:noProof/>
        </w:rPr>
        <w:t xml:space="preserve"> transportavimu ir CCU, tikrintojo patikrų, susijusių su biomase, nebiologinės kilmės degalais iš atsinaujinančiųjų energijos išteklių (RFNBO), perdirbtos anglies degalais (RCF), mažo anglies dioksido pėdsako sintetiniais degalais (SLCF), taip pat tikrintojo patikrų, susijusių su alternatyviais aviaciniais degalais ir degalais, dėl kurių gali būti teikiama parama pagal ATLPS; </w:t>
      </w:r>
    </w:p>
    <w:p w14:paraId="3C4D0DC5" w14:textId="2E5EB5FD" w:rsidR="008E27B9" w:rsidRPr="00685D02" w:rsidRDefault="00E76DB0" w:rsidP="004F100B">
      <w:pPr>
        <w:pStyle w:val="CMR-text"/>
        <w:numPr>
          <w:ilvl w:val="1"/>
          <w:numId w:val="28"/>
        </w:numPr>
        <w:rPr>
          <w:rFonts w:cs="Times New Roman"/>
          <w:noProof/>
        </w:rPr>
      </w:pPr>
      <w:r>
        <w:rPr>
          <w:noProof/>
        </w:rPr>
        <w:t xml:space="preserve">apibrėžti tikrintojo vaidmenį ATLPS 2 konkrečiais nesudėtingais stebėsenos atvejais ir labiau supaprastinti tikrinimą tokiais atvejais; </w:t>
      </w:r>
    </w:p>
    <w:p w14:paraId="7B4A767F" w14:textId="05B1FFDC" w:rsidR="00CD7868" w:rsidRPr="00685D02" w:rsidRDefault="00CD7868" w:rsidP="004F100B">
      <w:pPr>
        <w:pStyle w:val="CMR-text"/>
        <w:numPr>
          <w:ilvl w:val="0"/>
          <w:numId w:val="28"/>
        </w:numPr>
        <w:rPr>
          <w:rFonts w:cs="Times New Roman"/>
          <w:noProof/>
        </w:rPr>
      </w:pPr>
      <w:r>
        <w:rPr>
          <w:noProof/>
        </w:rPr>
        <w:t>suderinti su Reglamentu dėl nemokamų ATL suteikimo, įtraukiant poveikio klimatui neutralumo ataskaitų tikrinimą.</w:t>
      </w:r>
    </w:p>
    <w:p w14:paraId="783BDE11" w14:textId="79FA1DB2" w:rsidR="00250740" w:rsidRPr="00EC4FC3" w:rsidRDefault="00250740" w:rsidP="00EC4FC3">
      <w:pPr>
        <w:pStyle w:val="CMR-Subheading"/>
        <w:rPr>
          <w:noProof/>
        </w:rPr>
      </w:pPr>
      <w:bookmarkStart w:id="85" w:name="_Toc180513413"/>
      <w:bookmarkStart w:id="86" w:name="_Toc219127287"/>
      <w:r>
        <w:rPr>
          <w:noProof/>
        </w:rPr>
        <w:t>Rekomendaciniai dokumentai</w:t>
      </w:r>
      <w:bookmarkEnd w:id="85"/>
      <w:bookmarkEnd w:id="86"/>
    </w:p>
    <w:p w14:paraId="5C6AF3F3" w14:textId="5B054C5B" w:rsidR="001D5B15" w:rsidRPr="00685D02" w:rsidRDefault="620E271A" w:rsidP="006A36DC">
      <w:pPr>
        <w:pStyle w:val="CMR-text"/>
        <w:rPr>
          <w:rFonts w:cs="Times New Roman"/>
          <w:noProof/>
        </w:rPr>
      </w:pPr>
      <w:r>
        <w:rPr>
          <w:noProof/>
        </w:rPr>
        <w:t>Komisija yra parengusi rekomendacinius dokumentus</w:t>
      </w:r>
      <w:r>
        <w:rPr>
          <w:rStyle w:val="FootnoteReference"/>
          <w:rFonts w:cs="Times New Roman"/>
          <w:noProof/>
          <w:lang w:val="en-IE"/>
        </w:rPr>
        <w:footnoteReference w:id="102"/>
      </w:r>
      <w:r>
        <w:rPr>
          <w:noProof/>
        </w:rPr>
        <w:t xml:space="preserve"> dėl stebėsenos, ataskaitų teikimo, tikrinimo ir akreditavimo. Juose siekiama kompetentingoms institucijoms, veiklos vykdytojams, tikrintojams ir kitiems suinteresuotiesiems subjektams pateikti išsamius nurodymus, metodus ir geriausią praktiką, kaip įgyvendinti ES ATLPS. Šios rekomendacijos yra labai svarbios ES ATLPS išmetamo teršalų kiekio duomenų vientisumui, skaidrumui, suderinimui ir tikslumui užtikrinti. Kadangi metodikos ir technologijos tobulėja, geriausios praktikos ir naujų metodų taikymas padeda mažinti klaidų ir pasiekti bendrą sistemos veiksmingumą mažinant išmetamą ŠESD kiekį.</w:t>
      </w:r>
    </w:p>
    <w:p w14:paraId="61D51E38" w14:textId="17110CE9" w:rsidR="00BD5DC4" w:rsidRPr="00685D02" w:rsidRDefault="21B025AC" w:rsidP="006A36DC">
      <w:pPr>
        <w:pStyle w:val="CMR-text"/>
        <w:rPr>
          <w:rFonts w:cs="Times New Roman"/>
          <w:noProof/>
        </w:rPr>
      </w:pPr>
      <w:r>
        <w:rPr>
          <w:noProof/>
        </w:rPr>
        <w:t xml:space="preserve">Šie dokumentai bus atnaujinami atsižvelgiant į Stebėsenos ir ataskaitų teikimo reglamento ir Akreditavimo ir tikrinimo reglamento peržiūras. Pirmenybė teikta bendrajam rekomendaciniam dokumentui dėl įrenginių (jis paskelbtas 2025 m. pradžioje), po to – rekomendaciniams dokumentams orlaivių naudotojams, dėl biomasės kuro ir kito visai netaršaus kuro, rekomendacijoms dėl tikrinimo ir kt.; visus šiuos dokumentus numatoma paskelbti 2025 m. antrojoje pusėje. </w:t>
      </w:r>
    </w:p>
    <w:p w14:paraId="493C8438" w14:textId="5D8FEB0C" w:rsidR="00CF1586" w:rsidRPr="00685D02" w:rsidRDefault="075C9C17" w:rsidP="006A36DC">
      <w:pPr>
        <w:pStyle w:val="CMR-text"/>
        <w:rPr>
          <w:rFonts w:cs="Times New Roman"/>
          <w:noProof/>
        </w:rPr>
      </w:pPr>
      <w:r>
        <w:rPr>
          <w:noProof/>
        </w:rPr>
        <w:t>Be to, visi stebėsenos, ataskaitų teikimo ir tikrinimo (SATT) duomenims teikti skirti šablonai 2025 m. pradžioje atnaujinti pritaikant prie naujų abiejų reglamentų nuostatų. Galiausiai, šiuo metu atnaujinamos rekomendacijos dėl stebėsenos ir ataskaitų teikimo ATLPS 2. Rekomendacijos dėl akreditavimo ir tikrinimo ATLPS 2 paskelbtos 2025 m. birželio mėn.</w:t>
      </w:r>
      <w:r>
        <w:rPr>
          <w:rStyle w:val="FootnoteReference"/>
          <w:rFonts w:cs="Times New Roman"/>
          <w:noProof/>
          <w:lang w:val="en-IE"/>
        </w:rPr>
        <w:footnoteReference w:id="103"/>
      </w:r>
      <w:r>
        <w:rPr>
          <w:noProof/>
        </w:rPr>
        <w:t xml:space="preserve"> Visus antrinius rekomendacinius dokumentus planuojama per 2025 m. atnaujinti.</w:t>
      </w:r>
    </w:p>
    <w:p w14:paraId="0F4B1BBE" w14:textId="5BCF0190" w:rsidR="00797ADF" w:rsidRPr="00EC4FC3" w:rsidRDefault="00DA1F61" w:rsidP="00EC4FC3">
      <w:pPr>
        <w:pStyle w:val="CMR-Subheading"/>
        <w:rPr>
          <w:noProof/>
        </w:rPr>
      </w:pPr>
      <w:bookmarkStart w:id="87" w:name="_Toc180513414"/>
      <w:bookmarkStart w:id="88" w:name="_Toc219127288"/>
      <w:r>
        <w:rPr>
          <w:noProof/>
        </w:rPr>
        <w:t>Nacionalinės kompetentingos institucijos</w:t>
      </w:r>
      <w:bookmarkEnd w:id="87"/>
      <w:bookmarkEnd w:id="88"/>
    </w:p>
    <w:p w14:paraId="5E38C188" w14:textId="62C7D10F" w:rsidR="006922C5" w:rsidRPr="00685D02" w:rsidRDefault="0062721E" w:rsidP="00B47294">
      <w:pPr>
        <w:pStyle w:val="CMR-text"/>
        <w:rPr>
          <w:rFonts w:cs="Times New Roman"/>
          <w:noProof/>
        </w:rPr>
      </w:pPr>
      <w:r>
        <w:rPr>
          <w:noProof/>
        </w:rPr>
        <w:t>Įvairiose šalyse skiriasi tai, kaip nacionalinės kompetentingos institucijos organizuoja savo darbą įgyvendinant ES ATLPS. Kai kuriose šalyse dalyvauja daugiau vietos valdžios institucijų, o kitose įgyvendinimas labiau centralizuotas. Šalys renkasi šiuos požiūrius pagal efektyvumą išlaidų ir laiko atžvilgiais. ES ATLPS įgyvendinančių kompetentingų institucijų tarpusavio koordinavimo apžvalga pateikta pridedamo Komisijos tarnybų darbinio dokumento 4 skirsnyje.</w:t>
      </w:r>
    </w:p>
    <w:p w14:paraId="42656C07" w14:textId="00BF4F66" w:rsidR="006922C5" w:rsidRPr="00685D02" w:rsidRDefault="2B086B56" w:rsidP="65EC3A73">
      <w:pPr>
        <w:pStyle w:val="CMR-text"/>
        <w:rPr>
          <w:rFonts w:cs="Times New Roman"/>
          <w:noProof/>
          <w:highlight w:val="yellow"/>
        </w:rPr>
      </w:pPr>
      <w:r>
        <w:rPr>
          <w:noProof/>
        </w:rPr>
        <w:t>Visos šalys pranešė, kad 2024 m. įgyvendinant ES ATLPS dalyvavo bent viena centrinė kompetentinga institucija. Šešiose šalyse tik viena centrinė kompetentinga institucija buvo atsakinga už visą ES ATLPS veiklą</w:t>
      </w:r>
      <w:r>
        <w:rPr>
          <w:rStyle w:val="FootnoteReference"/>
          <w:rFonts w:cs="Times New Roman"/>
          <w:noProof/>
          <w:lang w:val="en-IE"/>
        </w:rPr>
        <w:footnoteReference w:id="104"/>
      </w:r>
      <w:r>
        <w:rPr>
          <w:noProof/>
        </w:rPr>
        <w:t>. Tais atvejais, kai ES ATLPS veiklą valdo kelios kompetentingos institucijos, šalys nurodė naudojančios vieną ar daugiau įvairių sprendimų ir priemonių šių institucijų darbui tarpusavyje koordinuoti. Pagal tokius sprendimus ir priemones, be kita ko, centrinė kompetentinga institucija atsako už stebėsenos, ataskaitų teikimo, akreditavimo ir tikrinimo darbą (11 šalių), atlieka koordinavimo funkciją</w:t>
      </w:r>
      <w:r>
        <w:rPr>
          <w:rFonts w:cs="Times New Roman"/>
          <w:noProof/>
          <w:vertAlign w:val="superscript"/>
          <w:lang w:val="en-IE"/>
        </w:rPr>
        <w:footnoteReference w:id="105"/>
      </w:r>
      <w:r>
        <w:rPr>
          <w:noProof/>
        </w:rPr>
        <w:t xml:space="preserve"> (dešimtyje šalių), centrinė kompetentinga institucija teikia vietos valdžiai nurodymus ir gaires, kurių laikytis privaloma (penkiose šalyse), organizuoja bendrą mokymą kompetentingoms institucijoms (aštuoniose šalyse) ir sudaro reguliarias darbo grupes arba rengia susitikimus tarp institucijų (14 šalių). </w:t>
      </w:r>
    </w:p>
    <w:p w14:paraId="47EE186B" w14:textId="15A00F25" w:rsidR="006922C5" w:rsidRPr="00685D02" w:rsidRDefault="12991094" w:rsidP="65EC3A73">
      <w:pPr>
        <w:pStyle w:val="CMR-text"/>
        <w:rPr>
          <w:rFonts w:cs="Times New Roman"/>
          <w:noProof/>
        </w:rPr>
      </w:pPr>
      <w:r>
        <w:rPr>
          <w:noProof/>
        </w:rPr>
        <w:t>2024 m. 16 šalių (tiek pat, kiek ir 2023 m.) neėmė administracinių rinkliavų iš įrenginių valdytojų už leidimų išmesti ŠESD išdavimą ir stebėsenos planų patvirtinimą. 18 šalių (2023 m. – 17) orlaivių naudotojams taip pat nereikėjo mokėti jokių rinkliavų. Rinkliavų dydis reikšmingai skyrėsi tarp šalių ir priklausomai nuo paslaugų pobūdžio: nuo maždaug 19 EUR iki 9 300 EUR už leidimo išmesti ŠESD išdavimą ir stebėsenos plano patvirtinimą dėl įrenginių, o orlaivių naudotojams nuo maždaug 2 EUR iki 4 700 EUR. Be pradinio patvirtinimo, 13 šalių pranešė taip pat imančios įvairaus dydžio administracines rinkliavas už leidimų ar stebėsenos planų reikšmingus pakeitimus. ES ATLPS administracinių rinkliavų apžvalga pateikta pridedamo Komisijos tarnybų darbinio dokumento 4 skirsnyje.</w:t>
      </w:r>
    </w:p>
    <w:p w14:paraId="41148B72" w14:textId="03ABB656" w:rsidR="000E3032" w:rsidRPr="00EC4FC3" w:rsidRDefault="000E3032" w:rsidP="00EC4FC3">
      <w:pPr>
        <w:pStyle w:val="CMR-Subheading"/>
        <w:rPr>
          <w:noProof/>
        </w:rPr>
      </w:pPr>
      <w:bookmarkStart w:id="89" w:name="_Toc180513415"/>
      <w:bookmarkStart w:id="90" w:name="_Toc219127289"/>
      <w:r>
        <w:rPr>
          <w:noProof/>
        </w:rPr>
        <w:t>Atitiktis ES ATLPS reikalavimams</w:t>
      </w:r>
      <w:bookmarkEnd w:id="89"/>
      <w:bookmarkEnd w:id="90"/>
      <w:r>
        <w:rPr>
          <w:noProof/>
        </w:rPr>
        <w:t xml:space="preserve"> </w:t>
      </w:r>
    </w:p>
    <w:p w14:paraId="09465D17" w14:textId="1E683D9D" w:rsidR="00911AB3" w:rsidRPr="00685D02" w:rsidRDefault="2026E9FA" w:rsidP="0060292C">
      <w:pPr>
        <w:pStyle w:val="CMR-text"/>
        <w:rPr>
          <w:rFonts w:cs="Times New Roman"/>
          <w:noProof/>
        </w:rPr>
      </w:pPr>
      <w:r>
        <w:rPr>
          <w:noProof/>
        </w:rPr>
        <w:t xml:space="preserve">Atitiktis ES ATLPS reikalavimams tikrinama per metinius ciklus. Įrenginių valdytojai ir orlaivių naudotojai už kiekvienus veiklos metus turi iki kitų metų kovo 31 d. pateikti metinę išmetamųjų teršalų kiekio ataskaitą. Kompetentingai institucijai patikrinus patvirtintą ataskaitą, veiklos vykdytojas turi iki tų pačių metų rugsėjo 30 d. atsisakyti tokio ATL skaičiaus, koks atitinka patikrintą jo išmestų teršalų kiekį. </w:t>
      </w:r>
    </w:p>
    <w:p w14:paraId="2EBB31A4" w14:textId="1A24F921" w:rsidR="00493CD0" w:rsidRPr="00685D02" w:rsidRDefault="2026E9FA" w:rsidP="0060292C">
      <w:pPr>
        <w:pStyle w:val="CMR-text"/>
        <w:rPr>
          <w:rFonts w:cs="Times New Roman"/>
          <w:noProof/>
        </w:rPr>
      </w:pPr>
      <w:r>
        <w:rPr>
          <w:noProof/>
        </w:rPr>
        <w:t>Pagal ES ATLPS direktyvą skiriama 100 EUR</w:t>
      </w:r>
      <w:r>
        <w:rPr>
          <w:rFonts w:cs="Times New Roman"/>
          <w:noProof/>
          <w:vertAlign w:val="superscript"/>
          <w:lang w:val="en-IE"/>
        </w:rPr>
        <w:footnoteReference w:id="106"/>
      </w:r>
      <w:r>
        <w:rPr>
          <w:noProof/>
        </w:rPr>
        <w:t xml:space="preserve"> bauda už kiekvieną išmesto CO</w:t>
      </w:r>
      <w:r>
        <w:rPr>
          <w:noProof/>
          <w:vertAlign w:val="subscript"/>
        </w:rPr>
        <w:t>2</w:t>
      </w:r>
      <w:r>
        <w:rPr>
          <w:noProof/>
        </w:rPr>
        <w:t xml:space="preserve">, dėl kurio nebuvo laiku atsisakyta ATL, toną. Šios baudos suma papildo reikiamo ATL atsisakymo išlaidas. Gali būti taikomos ir kitokios sankcijos už ES ATLPS teisės aktų pažeidimus. </w:t>
      </w:r>
    </w:p>
    <w:p w14:paraId="422EF2EF" w14:textId="113A7E7F" w:rsidR="0060292C" w:rsidRPr="00685D02" w:rsidRDefault="3078641D" w:rsidP="0060292C">
      <w:pPr>
        <w:pStyle w:val="CMR-text"/>
        <w:rPr>
          <w:rFonts w:cs="Times New Roman"/>
          <w:noProof/>
          <w:highlight w:val="cyan"/>
        </w:rPr>
      </w:pPr>
      <w:r>
        <w:rPr>
          <w:noProof/>
        </w:rPr>
        <w:t xml:space="preserve">Atitikties ES ATLPS reikalavimams užtikrinimo priemonių ir baudų už išmestą perviršinį teršalų kiekį išsami apžvalga pateikta pridedamo Komisijos tarnybų darbinio dokumento 4 skirsnyje. </w:t>
      </w:r>
    </w:p>
    <w:p w14:paraId="55C922C2" w14:textId="1656DE0E" w:rsidR="00AC75B8" w:rsidRPr="00685D02" w:rsidRDefault="3078641D" w:rsidP="65EC3A73">
      <w:pPr>
        <w:pStyle w:val="CMR-text"/>
        <w:rPr>
          <w:rFonts w:cs="Times New Roman"/>
          <w:noProof/>
        </w:rPr>
      </w:pPr>
      <w:r>
        <w:rPr>
          <w:noProof/>
        </w:rPr>
        <w:t xml:space="preserve">Atitikties ES ATLPS reikalavimams lygis per 2024 m. atitikties ciklą išliko labai aukštas. Kaip ir per praėjusius kelerius metus, veiklos vykdytojai, kuriems tenka atsakomybė už daugiau kaip 99 proc. elektros energijos gamyboje, pramoninėje gamyboje ir aviacijoje išmetamo teršalų kiekio, savo teisines prievoles atliko laiku. </w:t>
      </w:r>
    </w:p>
    <w:p w14:paraId="1E2A957D" w14:textId="66860C3F" w:rsidR="0060292C" w:rsidRPr="00685D02" w:rsidRDefault="3078641D" w:rsidP="65EC3A73">
      <w:pPr>
        <w:pStyle w:val="CMR-text"/>
        <w:rPr>
          <w:rFonts w:cs="Times New Roman"/>
          <w:noProof/>
        </w:rPr>
      </w:pPr>
      <w:r>
        <w:rPr>
          <w:noProof/>
        </w:rPr>
        <w:t>Atitikties užtikrinimo sistemos efektyvumas taip pat padidėjo, plačiau pereinama prie elektroninio ataskaitų teikimo. 2024 m. 17 šalių naudojo automatizuotą elektroninio keitimosi duomenimis tarp veiklos vykdytojų ar orlaivių naudotojų sistemą. Dešimt šalių taip pat naudojo automatizuotas IT sistemas valdydamos su stebėsenos metodikos planais, metinėmis veiklos lygio ataskaitomis ir kitokiu keitimusi informacija apie ATL paskirstymo duomenis susijusį darbo srautą.</w:t>
      </w:r>
    </w:p>
    <w:p w14:paraId="6E387743" w14:textId="2C5A7B1E" w:rsidR="0060292C" w:rsidRPr="00685D02" w:rsidRDefault="2FE337A4" w:rsidP="65EC3A73">
      <w:pPr>
        <w:pStyle w:val="CMR-text"/>
        <w:rPr>
          <w:rFonts w:cs="Times New Roman"/>
          <w:noProof/>
        </w:rPr>
      </w:pPr>
      <w:r>
        <w:rPr>
          <w:noProof/>
        </w:rPr>
        <w:t>Dėl išimtinių aplinkybių 12 šalių (2023 m. – devynios šalys) leido tikrintojų virtualius apsilankymus vietoje</w:t>
      </w:r>
      <w:r>
        <w:rPr>
          <w:rFonts w:cs="Times New Roman"/>
          <w:noProof/>
          <w:vertAlign w:val="superscript"/>
          <w:lang w:val="en-IE"/>
        </w:rPr>
        <w:footnoteReference w:id="107"/>
      </w:r>
      <w:r>
        <w:rPr>
          <w:noProof/>
        </w:rPr>
        <w:t xml:space="preserve">. Atitinkamos kompetentingos institucijos patvirtino virtualius apsilankymus vietoje dėl 27 įrenginių ir 46 orlaivių naudotojų. Akreditavimo ir tikrinimo reglamentas 2024 m. iš dalies pakeistas išplečiant virtualių apsilankymų vietoje galimybes aviacijos sektoriuose. Dabar, jeigu yra įvykdytos tam tikros sąlygos, virtualūs tikrintojų apsilankymai vietoje leidžiami ne vien </w:t>
      </w:r>
      <w:r>
        <w:rPr>
          <w:i/>
          <w:iCs/>
          <w:noProof/>
        </w:rPr>
        <w:t>force majeure</w:t>
      </w:r>
      <w:r>
        <w:rPr>
          <w:noProof/>
        </w:rPr>
        <w:t xml:space="preserve"> aplinkybėmis. </w:t>
      </w:r>
    </w:p>
    <w:p w14:paraId="6EE15525" w14:textId="39C10DEE" w:rsidR="0060292C" w:rsidRPr="00685D02" w:rsidRDefault="1FDA9A19" w:rsidP="65EC3A73">
      <w:pPr>
        <w:pStyle w:val="CMR-text"/>
        <w:rPr>
          <w:rFonts w:cs="Times New Roman"/>
          <w:noProof/>
        </w:rPr>
      </w:pPr>
      <w:r>
        <w:rPr>
          <w:noProof/>
        </w:rPr>
        <w:t>Atitikties reikalavimams patikras pagal metines išmetamųjų teršalų kiekio ataskaitas atlieka visos šalys, administruojančios veiklos vykdytojus (taip nėra Lichtenšteine įrenginių atžvilgiu, Lichtenšteine ir Šiaurės Airijoje orlaivių naudotojų atžvilgiu). Dėl įvairaus pobūdžio patikrų pranešama, kiek procentų išmetamųjų teršalų kiekio ataskaitų patikrinta; žr. pridedamo Komisijos tarnybų darbinio dokumento 4 skirsnį. 2024 m. Italija nepranešė apie atliktų patikrų pobūdį, o visos kitos atitinkamos kompetentingos institucijos tikrino dėl įrenginių parengtų ataskaitų išsamumą ir dauguma jų, įskaitant Italijos institucijas, tą patį darė ir dėl orlaivių naudotojų ataskaitų. Išimtys buvo Graikijos, Latvijos, Norvegijos ir Prancūzijos kompetentingos institucijos; Lietuva nurodė, kad išmetamųjų teršalų kiekis sutikrinamas su duomenimis iš kitų šaltinių.</w:t>
      </w:r>
    </w:p>
    <w:p w14:paraId="558C6526" w14:textId="34D381CB" w:rsidR="0060292C" w:rsidRPr="00685D02" w:rsidRDefault="27AB0616">
      <w:pPr>
        <w:pStyle w:val="CMR-text"/>
        <w:rPr>
          <w:rFonts w:cs="Times New Roman"/>
          <w:noProof/>
        </w:rPr>
      </w:pPr>
      <w:r>
        <w:rPr>
          <w:noProof/>
        </w:rPr>
        <w:t xml:space="preserve">12 šalių kompetentingos institucijos nustatė konservatyvius įverčius dėl 62 įrenginių (apie 0,55 proc. visų įrenginių, tiek pat, kiek ir 2023 m.). Dėl kai kurių įrenginių įvertintas per keletą metų išmestų teršalų kiekis, gauti iš viso 87 įverčiai, iš kurių 33 buvo 2024 metų, o likusieji – konservatyvūs ankstesnių metų įverčiai. Konservatyvūs išmetamųjų teršalų kiekio įverčiai pagal Stebėsenos ir ataskaitų teikimo reglamento 70 straipsnį buvo nustatomi, kai metinės išmetamųjų teršalų kiekio ataskaitos nebuvo pateiktos laiku arba kai neigiama patikros išvada buvo padaryta dėl patikros srities apribojimų, reikšmingo iškraipymo ar neatitikties reikalavimams, trūkstant aiškumo, kad būtų galima pagrįstai patikinti, jog ataskaitoje reikšmingų iškraipymų nėra. Toks įvertinimas taip pat bus atliekamas tuo atveju, jei bus nustatyta, kad išmetamųjų teršalų kiekio ataskaita neatitinka Stebėsenos ir ataskaitų teikimo reglamento nuostatų. </w:t>
      </w:r>
    </w:p>
    <w:p w14:paraId="061154A0" w14:textId="030354A5" w:rsidR="0060292C" w:rsidRPr="00685D02" w:rsidRDefault="5F1749CF" w:rsidP="65EC3A73">
      <w:pPr>
        <w:pStyle w:val="CMR-text"/>
        <w:rPr>
          <w:rFonts w:cs="Times New Roman"/>
          <w:noProof/>
        </w:rPr>
      </w:pPr>
      <w:r>
        <w:rPr>
          <w:noProof/>
        </w:rPr>
        <w:t xml:space="preserve">Trys šalys (2023 m. – taip pat trys) pateikė konservatyvius aviacijos sektoriaus įverčius dėl 17 (2023 m. – 22) orlaivių naudotojų. </w:t>
      </w:r>
    </w:p>
    <w:p w14:paraId="61E82E3A" w14:textId="7B434598" w:rsidR="0060292C" w:rsidRPr="00685D02" w:rsidRDefault="48BCFA95" w:rsidP="65EC3A73">
      <w:pPr>
        <w:pStyle w:val="CMR-text"/>
        <w:rPr>
          <w:rFonts w:cs="Times New Roman"/>
          <w:noProof/>
        </w:rPr>
      </w:pPr>
      <w:r>
        <w:rPr>
          <w:noProof/>
        </w:rPr>
        <w:t>Kompetentingų institucijų atliekamos patikros ir toliau reikšmingai papildo tikrintojų darbą. 18 šalių (2023 m. – 19) pranešė, kad, be išmetamųjų teršalų kiekio ataskaitų tikrinimo, jų institucijos atliko ir įrenginių patikrinimus vietoje. Penkios šalys</w:t>
      </w:r>
      <w:r>
        <w:rPr>
          <w:rFonts w:cs="Times New Roman"/>
          <w:noProof/>
          <w:vertAlign w:val="superscript"/>
          <w:lang w:val="en-IE"/>
        </w:rPr>
        <w:footnoteReference w:id="108"/>
      </w:r>
      <w:r>
        <w:rPr>
          <w:noProof/>
        </w:rPr>
        <w:t xml:space="preserve"> (2023 m. – trys) pranešė apie aviacijos sektoriuje atliktus patikrinimus vietoje. </w:t>
      </w:r>
    </w:p>
    <w:p w14:paraId="4B759358" w14:textId="14E54D6E" w:rsidR="007F7046" w:rsidRPr="00685D02" w:rsidRDefault="48BCFA95" w:rsidP="65EC3A73">
      <w:pPr>
        <w:pStyle w:val="CMR-text"/>
        <w:rPr>
          <w:rFonts w:cs="Times New Roman"/>
          <w:noProof/>
        </w:rPr>
      </w:pPr>
      <w:r>
        <w:rPr>
          <w:noProof/>
        </w:rPr>
        <w:t>2024 m. 31 įrenginio veiklos vykdytojams devyniose šalyse skirtos baudos už tai, kad ATL, kurių atsisakyta, skaičius nebuvo pakankamas jų ataskaitose nurodytam išmetamųjų teršalų kiekiui (perviršiniam kiekiui) padengti. Aviacijos sektoriuje šešios šalys pranešė, kad baudos už išmestą perviršinį teršalų kiekį skirtos 11 orlaivių naudotojų. Dėl su įrenginiais susijusių prievolių dėl išmetamųjų teršalų pranešta apie iš viso 47 pažeidimus 12 šalių</w:t>
      </w:r>
      <w:r>
        <w:rPr>
          <w:rFonts w:cs="Times New Roman"/>
          <w:noProof/>
          <w:vertAlign w:val="superscript"/>
          <w:lang w:val="en-IE"/>
        </w:rPr>
        <w:footnoteReference w:id="109"/>
      </w:r>
      <w:r>
        <w:rPr>
          <w:noProof/>
        </w:rPr>
        <w:t>, už kuriuos skirtos 36 baudos (bendra suma – 476,5 mln. EUR), pateikti oficialūs įspėjimai ar oficialūs pranešimai. Dėl įrenginių, kuriuos eksploatuojantys subjektai prašė suteikti nemokamų ATL, pranešta apie keturis pažeidimus trijose šalyse</w:t>
      </w:r>
      <w:r>
        <w:rPr>
          <w:rFonts w:cs="Times New Roman"/>
          <w:noProof/>
          <w:vertAlign w:val="superscript"/>
          <w:lang w:val="en-IE"/>
        </w:rPr>
        <w:footnoteReference w:id="110"/>
      </w:r>
      <w:r>
        <w:rPr>
          <w:noProof/>
        </w:rPr>
        <w:t xml:space="preserve">, dėl dviejų iš jų skirtos baudos, kurių bendra suma – 0,07 mln. EUR. </w:t>
      </w:r>
    </w:p>
    <w:p w14:paraId="23425870" w14:textId="73C3A8F0" w:rsidR="0060292C" w:rsidRPr="00685D02" w:rsidRDefault="1EDB94C0" w:rsidP="65EC3A73">
      <w:pPr>
        <w:pStyle w:val="CMR-text"/>
        <w:rPr>
          <w:rFonts w:cs="Times New Roman"/>
          <w:noProof/>
        </w:rPr>
      </w:pPr>
      <w:r>
        <w:rPr>
          <w:noProof/>
        </w:rPr>
        <w:t>Aviacijos sektoriuje pranešta apie 19 pažeidimų šešiose šalyse</w:t>
      </w:r>
      <w:r>
        <w:rPr>
          <w:rFonts w:cs="Times New Roman"/>
          <w:noProof/>
          <w:vertAlign w:val="superscript"/>
          <w:lang w:val="en-IE"/>
        </w:rPr>
        <w:footnoteReference w:id="111"/>
      </w:r>
      <w:r>
        <w:rPr>
          <w:noProof/>
        </w:rPr>
        <w:t>, dėl 13 iš jų skirtos piniginės baudos (iš viso 4,1 mln. EUR). Pagrindinės priežastys buvo išmetamųjų teršalų kiekio ataskaitų teikimo terminų nesilaikymas ir tai, kad nebuvo atsisakyta ATL, kurių reikėjo atsisakyti.</w:t>
      </w:r>
    </w:p>
    <w:p w14:paraId="330D86B0" w14:textId="7D261F0C" w:rsidR="009503C8" w:rsidRPr="00EC4FC3" w:rsidRDefault="00E71ACF" w:rsidP="00EC4FC3">
      <w:pPr>
        <w:pStyle w:val="CMR-Subheading"/>
        <w:rPr>
          <w:noProof/>
        </w:rPr>
      </w:pPr>
      <w:bookmarkStart w:id="91" w:name="_Toc219127290"/>
      <w:r>
        <w:rPr>
          <w:noProof/>
        </w:rPr>
        <w:t>Įgyvendinimo jūrų transporto sektoriuje tvarka</w:t>
      </w:r>
      <w:bookmarkEnd w:id="91"/>
    </w:p>
    <w:p w14:paraId="6609B48C" w14:textId="37D3BD49" w:rsidR="00662736" w:rsidRPr="00685D02" w:rsidRDefault="51CC7D28" w:rsidP="00717EB2">
      <w:pPr>
        <w:pStyle w:val="CMR-text"/>
        <w:rPr>
          <w:rFonts w:cs="Times New Roman"/>
          <w:b/>
          <w:bCs/>
          <w:noProof/>
        </w:rPr>
      </w:pPr>
      <w:r>
        <w:rPr>
          <w:noProof/>
        </w:rPr>
        <w:t>Jūrų transportui taikoma stebėsenos, ataskaitų teikimo, tikrinimo ir akreditavimo reikalavimų tvarka parengta pagal kitiems sektoriams ES ATLPS nustatytą tvarką, atitinkamai ją pritaikius. Jūrų transporto stebėsenos, ataskaitų teikimo ir tikrinimo (SATT) reglamentas 2023 m. peržiūrėtas, kad ES ATLPS būtų galima išplėsti įtraukiant jūrų transportą, visų pirma išplėsti SATT sistemos taikymo sritį, kad ji apimtų CH</w:t>
      </w:r>
      <w:r>
        <w:rPr>
          <w:noProof/>
          <w:vertAlign w:val="subscript"/>
        </w:rPr>
        <w:t>4</w:t>
      </w:r>
      <w:r>
        <w:rPr>
          <w:noProof/>
        </w:rPr>
        <w:t xml:space="preserve"> ir N</w:t>
      </w:r>
      <w:r>
        <w:rPr>
          <w:noProof/>
          <w:vertAlign w:val="subscript"/>
        </w:rPr>
        <w:t>2</w:t>
      </w:r>
      <w:r>
        <w:rPr>
          <w:noProof/>
        </w:rPr>
        <w:t>O (nuo 2026 m.), ir nustatyti taisykles, kaip turi būti nustatomi laivų, kuriems taikoma ES ATLPS, išmetami teršalų kiekiai ir tie kiekiai sudedami laivybos bendrovės lygmeniu. Atitinkami sistemos įgyvendinimui reikalingi deleguotieji aktai priimti 2023 m., o po to Komisija parengė rekomendacinių dokumentų, skirtų padėti suinteresuotiesiems subjektams atlikti savo teisines prievoles, rinkinį</w:t>
      </w:r>
      <w:r>
        <w:rPr>
          <w:rStyle w:val="FootnoteReference"/>
          <w:rFonts w:cs="Times New Roman"/>
          <w:noProof/>
          <w:lang w:val="en-IE"/>
        </w:rPr>
        <w:footnoteReference w:id="112"/>
      </w:r>
      <w:r>
        <w:rPr>
          <w:noProof/>
        </w:rPr>
        <w:t>.</w:t>
      </w:r>
      <w:r>
        <w:rPr>
          <w:b/>
          <w:noProof/>
        </w:rPr>
        <w:t xml:space="preserve"> </w:t>
      </w:r>
    </w:p>
    <w:p w14:paraId="504CC7C4" w14:textId="3C9CCFEC" w:rsidR="00662736" w:rsidRPr="00EC4FC3" w:rsidRDefault="00662736" w:rsidP="00EC4FC3">
      <w:pPr>
        <w:pStyle w:val="CMR-SubHead2"/>
        <w:rPr>
          <w:noProof/>
        </w:rPr>
      </w:pPr>
      <w:bookmarkStart w:id="92" w:name="_Toc219127291"/>
      <w:r>
        <w:rPr>
          <w:noProof/>
        </w:rPr>
        <w:t>Išmetamųjų teršalų kiekio stebėsena ir ataskaitų teikimas</w:t>
      </w:r>
      <w:bookmarkEnd w:id="92"/>
      <w:r>
        <w:rPr>
          <w:noProof/>
        </w:rPr>
        <w:t xml:space="preserve"> </w:t>
      </w:r>
    </w:p>
    <w:p w14:paraId="090828AA" w14:textId="55251482" w:rsidR="004B2A23" w:rsidRPr="00685D02" w:rsidRDefault="00BA7B86" w:rsidP="00717EB2">
      <w:pPr>
        <w:pStyle w:val="CMR-text"/>
        <w:rPr>
          <w:rFonts w:cs="Times New Roman"/>
          <w:noProof/>
        </w:rPr>
      </w:pPr>
      <w:r>
        <w:rPr>
          <w:noProof/>
        </w:rPr>
        <w:t xml:space="preserve">Laivybos bendrovės nuo 2018 m. privalo stebėti išmetamųjų teršalų kiekį ir dėl to teikti ataskaitas pagal Jūrų transporto SATT reglamentą: pagal jį bendrovės turi teikti stebėsenos planus, išmetamųjų teršalų kiekio ataskaitas ir patikrų ataskaitas dėl kiekvieno laivo, už kurį jos atsakingos. Nuo 2024 m. jos taip pat turi teikti duomenis bendrovės lygmeniu, su papildomais duomenimis, pranešamais ES ATLPS, pateikdamos suvestinę ataskaitą dėl visų savo laivų. </w:t>
      </w:r>
    </w:p>
    <w:p w14:paraId="5E3A49B9" w14:textId="1041C889" w:rsidR="00D005B0" w:rsidRPr="00685D02" w:rsidRDefault="00BA7B86" w:rsidP="00717EB2">
      <w:pPr>
        <w:pStyle w:val="CMR-text"/>
        <w:rPr>
          <w:rFonts w:cs="Times New Roman"/>
          <w:b/>
          <w:noProof/>
        </w:rPr>
      </w:pPr>
      <w:r>
        <w:rPr>
          <w:noProof/>
        </w:rPr>
        <w:t>Šiuo tikslu pakanka vieno bendro stebėsenos ir ataskaitų teikimo proceso, nors ES ATLPS teiktini duomenys iš dalies gali skirtis nuo duomenų, teiktinų pagal Jūrų transporto SATT reglamentą, pvz., dėl taikymo srities (šiltnamio efektą sukeliančios dujos, reisų aprėptis) ir skirtingų taikytinų nukrypti leidžiančių nuostatų, nustatytų ES ATLPS direktyvoje. Be to, ES ATLPS taikymo srityje veikiančios bendrovės turi įvykdyti papildomus reikalavimus, kad užtikrintų savo pareigų pagal ES ATLPS direktyvą vykdymą (pvz., turėti atitinkamos administruojančiosios institucijos patvirtintą stebėsenos planą, Sąjungos registre atidaryti jūrų transporto veiklos vykdytojo sąskaitą ir kt.), palyginti su tomis bendrovėmis, kurių veikla patenka tik į jūrų transporto SATT taikymo sritį.</w:t>
      </w:r>
      <w:r>
        <w:rPr>
          <w:b/>
          <w:noProof/>
        </w:rPr>
        <w:t xml:space="preserve"> </w:t>
      </w:r>
    </w:p>
    <w:p w14:paraId="74D0D381" w14:textId="2F702B34" w:rsidR="007627AC" w:rsidRPr="00685D02" w:rsidRDefault="62879E6D">
      <w:pPr>
        <w:pStyle w:val="CMR-text"/>
        <w:rPr>
          <w:rFonts w:cs="Times New Roman"/>
          <w:b/>
          <w:bCs/>
          <w:noProof/>
        </w:rPr>
      </w:pPr>
      <w:r>
        <w:rPr>
          <w:noProof/>
        </w:rPr>
        <w:t>2024 m. 3 313 laivybos bendrovių pateikė išmetamųjų teršalų kiekio ataskaitą bendrovės lygmeniu; šios ataskaitos apėmė iš viso 13 627 laivus. Šios bendrovės platesnėje SATT taikymo srityje pranešė apie 138,3 mln. t CO</w:t>
      </w:r>
      <w:r>
        <w:rPr>
          <w:noProof/>
          <w:vertAlign w:val="subscript"/>
        </w:rPr>
        <w:t>2</w:t>
      </w:r>
      <w:r>
        <w:rPr>
          <w:rStyle w:val="FootnoteReference"/>
          <w:rFonts w:cs="Times New Roman"/>
          <w:noProof/>
          <w:lang w:val="en-IE"/>
        </w:rPr>
        <w:footnoteReference w:id="113"/>
      </w:r>
      <w:r>
        <w:rPr>
          <w:noProof/>
        </w:rPr>
        <w:t>, išmesto sunaudojus 44,7 mln. tonų kuro; iš šio kiekio jūrinis iškastinis kuras</w:t>
      </w:r>
      <w:r>
        <w:rPr>
          <w:rStyle w:val="FootnoteReference"/>
          <w:rFonts w:cs="Times New Roman"/>
          <w:noProof/>
          <w:lang w:val="en-IE"/>
        </w:rPr>
        <w:footnoteReference w:id="114"/>
      </w:r>
      <w:r>
        <w:rPr>
          <w:noProof/>
        </w:rPr>
        <w:t xml:space="preserve"> sudarė 99,4 proc. suvartojimo, apie kurį pranešta</w:t>
      </w:r>
      <w:r>
        <w:rPr>
          <w:rStyle w:val="FootnoteReference"/>
          <w:rFonts w:cs="Times New Roman"/>
          <w:noProof/>
          <w:lang w:val="en-IE"/>
        </w:rPr>
        <w:footnoteReference w:id="115"/>
      </w:r>
      <w:r>
        <w:rPr>
          <w:noProof/>
        </w:rPr>
        <w:t>, o 0,6 proc. buvo visai netaršus (pagal netaršumo reitingą) kuras.</w:t>
      </w:r>
    </w:p>
    <w:p w14:paraId="534AF5CD" w14:textId="25527DF5" w:rsidR="005B5151" w:rsidRPr="00685D02" w:rsidRDefault="4DF18327" w:rsidP="65EC3A73">
      <w:pPr>
        <w:pStyle w:val="CMR-text"/>
        <w:rPr>
          <w:rFonts w:cs="Times New Roman"/>
          <w:b/>
          <w:bCs/>
          <w:noProof/>
        </w:rPr>
      </w:pPr>
      <w:r>
        <w:rPr>
          <w:noProof/>
        </w:rPr>
        <w:t>SATT taikymo srityje bendrovės lygmeniu pranešamas patikrintas išmestų teršalų kiekis buvo sumažintas, kaip užfiksuota THETIS SATT sistemoje, kad būtų nustatytas išmetamųjų teršalų kiekis ES ATLPS taikymo srityje; tam taikytos atitinkamos taisyklės: nulinis netaršumo reitingas reikalavimus atitinkančiam kurui (0,7 mln. tonų), ATLPS geografinės taikymo srities apribojimas iki 50 proc. reisų už EEE ribų (48,6 mln. tonų), anglies dioksido surinkimas ir saugojimas (CCS) ir anglies dioksido surinkimas ir naudojimas (CCU) (56 tonos) ir nukrypti leidžiančios nuostatos dėl mažųjų salų, paslaugų viešojo pirkimo sutarčių bei viešųjų paslaugų įsipareigojimų ir atokiausių regionų (3,9 mln. tonų)</w:t>
      </w:r>
      <w:r>
        <w:rPr>
          <w:rStyle w:val="FootnoteReference"/>
          <w:rFonts w:cs="Times New Roman"/>
          <w:b/>
          <w:bCs/>
          <w:noProof/>
          <w:lang w:val="en-IE"/>
        </w:rPr>
        <w:footnoteReference w:id="116"/>
      </w:r>
      <w:r>
        <w:rPr>
          <w:noProof/>
        </w:rPr>
        <w:t>.</w:t>
      </w:r>
      <w:r>
        <w:rPr>
          <w:b/>
          <w:noProof/>
        </w:rPr>
        <w:t xml:space="preserve">   </w:t>
      </w:r>
    </w:p>
    <w:p w14:paraId="798CB06D" w14:textId="3E9D72C1" w:rsidR="006D6C21" w:rsidRPr="00EC4FC3" w:rsidRDefault="006D6C21" w:rsidP="00EC4FC3">
      <w:pPr>
        <w:pStyle w:val="CMR-SubHead2"/>
        <w:rPr>
          <w:noProof/>
        </w:rPr>
      </w:pPr>
      <w:bookmarkStart w:id="93" w:name="_Toc219127292"/>
      <w:r>
        <w:rPr>
          <w:noProof/>
        </w:rPr>
        <w:t>Tikrinimas ir akreditavimas</w:t>
      </w:r>
      <w:bookmarkEnd w:id="93"/>
      <w:r>
        <w:rPr>
          <w:noProof/>
        </w:rPr>
        <w:t xml:space="preserve"> </w:t>
      </w:r>
    </w:p>
    <w:p w14:paraId="00CC663E" w14:textId="6262FFA3" w:rsidR="006D6C21" w:rsidRPr="00685D02" w:rsidRDefault="00097B30" w:rsidP="00671D98">
      <w:pPr>
        <w:pStyle w:val="CMR-text"/>
        <w:rPr>
          <w:rFonts w:cs="Times New Roman"/>
          <w:noProof/>
        </w:rPr>
      </w:pPr>
      <w:r>
        <w:rPr>
          <w:noProof/>
        </w:rPr>
        <w:t xml:space="preserve">ATLPS jūrų transporto sektoriuje, kaip ir kituose ATLPS sektoriuose, veikiantis tikrintojas turi būti nacionalinės akreditacijos įstaigos akredituotas pagal Akreditavimo ir tikrinimo reglamentą ir ISO 14065 (tarptautinį ISO standartą). Tikrintojas vykdo įvairią veiklą pagal SATT reglamento reikalavimus, tikrindamas stebėsenos plano įgyvendinimą ir laivybos bendrovės ataskaitose – tiek laivo, tiek bendrovės lygmeniu – pateiktus duomenis. </w:t>
      </w:r>
    </w:p>
    <w:p w14:paraId="6336B871" w14:textId="03FE2820" w:rsidR="00171EBE" w:rsidRPr="00685D02" w:rsidRDefault="00171EBE" w:rsidP="00171EBE">
      <w:pPr>
        <w:pStyle w:val="CMR-text"/>
        <w:rPr>
          <w:rFonts w:cs="Times New Roman"/>
          <w:noProof/>
        </w:rPr>
      </w:pPr>
      <w:r>
        <w:rPr>
          <w:noProof/>
        </w:rPr>
        <w:t xml:space="preserve">2024 m. jūrų transporto SATT veiklą vykdė 22 akredituoti tikrintojai. Nustatyta, kad tikrintojai gerai laikosi akreditavimo ir ataskaitų teikimo jūrų transporto sektoriuje taisyklių. Nepranešta apie jokį tikrintojų veiklos laikiną sustabdymą ar tikrintojo akreditacijos panaikinimą 2024 m. </w:t>
      </w:r>
    </w:p>
    <w:p w14:paraId="577EDD7D" w14:textId="1283C382" w:rsidR="0090557D" w:rsidRPr="00EC4FC3" w:rsidRDefault="0090557D" w:rsidP="00EC4FC3">
      <w:pPr>
        <w:pStyle w:val="CMR-SubHead2"/>
        <w:rPr>
          <w:noProof/>
        </w:rPr>
      </w:pPr>
      <w:bookmarkStart w:id="94" w:name="_Toc219127293"/>
      <w:r>
        <w:rPr>
          <w:noProof/>
        </w:rPr>
        <w:t>Administruojančiosios institucijos</w:t>
      </w:r>
      <w:bookmarkEnd w:id="94"/>
      <w:r>
        <w:rPr>
          <w:noProof/>
        </w:rPr>
        <w:t xml:space="preserve"> </w:t>
      </w:r>
    </w:p>
    <w:p w14:paraId="0507A8A1" w14:textId="690AA0A3" w:rsidR="00C46EE5" w:rsidRPr="00685D02" w:rsidRDefault="16DF4BC3">
      <w:pPr>
        <w:pStyle w:val="CMR-text"/>
        <w:rPr>
          <w:rFonts w:cs="Times New Roman"/>
          <w:bCs/>
          <w:noProof/>
        </w:rPr>
      </w:pPr>
      <w:r>
        <w:rPr>
          <w:noProof/>
        </w:rPr>
        <w:t>Kad ES ATLPS veiktų sklandžiai ir būtų veiksminga, kiekviena laivybos bendrovė priskiriama vienai administruojančiajai institucijai vienoje valstybėje narėje. Tai ta valstybė narė, kuriai laivybos bendrovė pateikia stebėsenos planą patvirtinti, patikrintą metinę išmetamųjų teršalų kiekio ataskaitą ir bendrovės išmetamųjų teršalų kiekio ataskaitą ir kuri administruoja laivybos bendrovę pagal jos sąskaitą Sąjungos registre. Kiekviena laivybos bendrovė administruojančiajai valstybei narei priskiriama taikant ES ATLPS direktyvoje nustatytas taisykles</w:t>
      </w:r>
      <w:r>
        <w:rPr>
          <w:rStyle w:val="FootnoteReference"/>
          <w:rFonts w:cs="Times New Roman"/>
          <w:noProof/>
          <w:lang w:val="en-IE"/>
        </w:rPr>
        <w:footnoteReference w:id="117"/>
      </w:r>
      <w:r>
        <w:rPr>
          <w:noProof/>
        </w:rPr>
        <w:t>.</w:t>
      </w:r>
    </w:p>
    <w:p w14:paraId="050AF7F7" w14:textId="7AB1B1E0" w:rsidR="00C6468B" w:rsidRPr="00EC4FC3" w:rsidRDefault="0090557D" w:rsidP="00EC4FC3">
      <w:pPr>
        <w:pStyle w:val="CMR-SubHead2"/>
        <w:rPr>
          <w:noProof/>
        </w:rPr>
      </w:pPr>
      <w:bookmarkStart w:id="95" w:name="_Toc219127294"/>
      <w:r>
        <w:rPr>
          <w:noProof/>
        </w:rPr>
        <w:t>Atitiktis ES ATLPS reikalavimams jūrų transporto sektoriuje</w:t>
      </w:r>
      <w:bookmarkEnd w:id="95"/>
    </w:p>
    <w:p w14:paraId="65DCFEF7" w14:textId="77777777" w:rsidR="00F44587" w:rsidRDefault="0F0313D8" w:rsidP="007F7046">
      <w:pPr>
        <w:pStyle w:val="CMR-text"/>
        <w:rPr>
          <w:rFonts w:cs="Times New Roman"/>
          <w:noProof/>
        </w:rPr>
      </w:pPr>
      <w:r>
        <w:rPr>
          <w:noProof/>
        </w:rPr>
        <w:t>2025 m. buvo pirmieji metai, kai ES ATLPS, remiantis pateiktais duomenimis apie 2024 m. veiklą, buvo atsisakoma apyvartinių taršos leidimų (ATL) už jūrų transporto išmetamuosius teršalus. Laivybos bendrovės iki teisės aktais nustatyto termino atsisakydamos ATL, įvykdė daugiau kaip 99 proc. atsisakymo reikalavimų</w:t>
      </w:r>
      <w:r>
        <w:rPr>
          <w:rFonts w:cs="Times New Roman"/>
          <w:noProof/>
          <w:vertAlign w:val="superscript"/>
          <w:lang w:val="en-IE"/>
        </w:rPr>
        <w:footnoteReference w:id="118"/>
      </w:r>
      <w:r>
        <w:rPr>
          <w:noProof/>
        </w:rPr>
        <w:t xml:space="preserve">.   </w:t>
      </w:r>
    </w:p>
    <w:p w14:paraId="182A3BB9" w14:textId="1D15BC14" w:rsidR="00C6468B" w:rsidRPr="00F44587" w:rsidRDefault="00C6468B" w:rsidP="00F44587">
      <w:pPr>
        <w:pStyle w:val="CMR-SubHead2"/>
        <w:rPr>
          <w:noProof/>
        </w:rPr>
      </w:pPr>
      <w:bookmarkStart w:id="96" w:name="_Toc219127295"/>
      <w:r>
        <w:rPr>
          <w:noProof/>
        </w:rPr>
        <w:t>ATLPS 2 įgyvendinimas</w:t>
      </w:r>
      <w:bookmarkEnd w:id="96"/>
      <w:r>
        <w:rPr>
          <w:noProof/>
        </w:rPr>
        <w:t xml:space="preserve"> </w:t>
      </w:r>
    </w:p>
    <w:p w14:paraId="2687529C" w14:textId="2984AFA2" w:rsidR="006D6C21" w:rsidRPr="00685D02" w:rsidRDefault="7B9A1957" w:rsidP="50C721A3">
      <w:pPr>
        <w:pStyle w:val="CMR-text"/>
        <w:rPr>
          <w:rFonts w:cs="Times New Roman"/>
          <w:noProof/>
        </w:rPr>
      </w:pPr>
      <w:r>
        <w:rPr>
          <w:noProof/>
        </w:rPr>
        <w:t>Stebėsenos ir ataskaitų teikimo reglamente ir Akreditavimo ir tikrinimo reglamente taip pat nustatyti ATLPS 2 įgyvendinimo SATTA (stebėsenos, ataskaitų teikimo, tikrinimo ir akreditavimo) reikalavimai. Kad naująją sistemą būtų lengviau įgyvendinti, Komisija parengė rekomendacinius dokumentus ir šablonus nacionalinėms kompetentingoms institucijoms, reguliuojamiesiems subjektams ir tikrintojams</w:t>
      </w:r>
      <w:r>
        <w:rPr>
          <w:rStyle w:val="FootnoteReference"/>
          <w:rFonts w:cs="Times New Roman"/>
          <w:noProof/>
        </w:rPr>
        <w:footnoteReference w:id="119"/>
      </w:r>
      <w:r>
        <w:rPr>
          <w:noProof/>
        </w:rPr>
        <w:t xml:space="preserve">:  </w:t>
      </w:r>
    </w:p>
    <w:p w14:paraId="2269D2FB" w14:textId="331C6B40" w:rsidR="00C6468B" w:rsidRPr="00CE747B" w:rsidRDefault="003158AE" w:rsidP="00CE747B">
      <w:pPr>
        <w:pStyle w:val="CMR-text"/>
        <w:numPr>
          <w:ilvl w:val="0"/>
          <w:numId w:val="60"/>
        </w:numPr>
        <w:spacing w:before="120" w:after="120"/>
        <w:ind w:left="714" w:hanging="357"/>
        <w:rPr>
          <w:noProof/>
          <w:szCs w:val="20"/>
        </w:rPr>
      </w:pPr>
      <w:r>
        <w:rPr>
          <w:noProof/>
        </w:rPr>
        <w:t>bendrąsias rekomendacijas ATLPS 2 reguliuojamiesiems subjektams dėl Stebėsenos ir ataskaitų teikimo reglamento;</w:t>
      </w:r>
    </w:p>
    <w:p w14:paraId="50CF9CE8" w14:textId="7F92FF3A" w:rsidR="00C6468B" w:rsidRPr="00CE747B" w:rsidRDefault="003158AE" w:rsidP="00CE747B">
      <w:pPr>
        <w:pStyle w:val="CMR-text"/>
        <w:numPr>
          <w:ilvl w:val="0"/>
          <w:numId w:val="60"/>
        </w:numPr>
        <w:spacing w:before="120" w:after="120"/>
        <w:ind w:left="714" w:hanging="357"/>
        <w:rPr>
          <w:noProof/>
          <w:szCs w:val="20"/>
        </w:rPr>
      </w:pPr>
      <w:r>
        <w:rPr>
          <w:noProof/>
        </w:rPr>
        <w:t>stebėsenos plano šabloną reguliuojamiesiems subjektams;</w:t>
      </w:r>
    </w:p>
    <w:p w14:paraId="47C35330" w14:textId="7E49650E" w:rsidR="00C6468B" w:rsidRPr="00CE747B" w:rsidRDefault="003158AE" w:rsidP="00CE747B">
      <w:pPr>
        <w:pStyle w:val="CMR-text"/>
        <w:numPr>
          <w:ilvl w:val="0"/>
          <w:numId w:val="60"/>
        </w:numPr>
        <w:spacing w:before="120" w:after="120"/>
        <w:ind w:left="714" w:hanging="357"/>
        <w:rPr>
          <w:noProof/>
          <w:szCs w:val="20"/>
        </w:rPr>
      </w:pPr>
      <w:r>
        <w:rPr>
          <w:noProof/>
        </w:rPr>
        <w:t>metinės išmetamųjų teršalų kiekio ataskaitos šabloną reguliuojamiesiems subjektams;</w:t>
      </w:r>
    </w:p>
    <w:p w14:paraId="2B5B2949" w14:textId="08D30329" w:rsidR="00C6468B" w:rsidRPr="00CE747B" w:rsidRDefault="006D2913" w:rsidP="00CE747B">
      <w:pPr>
        <w:pStyle w:val="CMR-text"/>
        <w:numPr>
          <w:ilvl w:val="0"/>
          <w:numId w:val="60"/>
        </w:numPr>
        <w:spacing w:before="120" w:after="120"/>
        <w:ind w:left="714" w:hanging="357"/>
        <w:rPr>
          <w:noProof/>
          <w:szCs w:val="20"/>
        </w:rPr>
      </w:pPr>
      <w:r>
        <w:rPr>
          <w:noProof/>
        </w:rPr>
        <w:t>rekomendacijas dėl akreditavimo ir tikrinimo ATLPS 2;</w:t>
      </w:r>
    </w:p>
    <w:p w14:paraId="1725106F" w14:textId="0693CBB7" w:rsidR="39243AE7" w:rsidRPr="00E718DF" w:rsidRDefault="00C6468B" w:rsidP="00CE747B">
      <w:pPr>
        <w:pStyle w:val="CMR-text"/>
        <w:numPr>
          <w:ilvl w:val="0"/>
          <w:numId w:val="60"/>
        </w:numPr>
        <w:spacing w:before="120" w:after="120"/>
        <w:ind w:left="714" w:hanging="357"/>
        <w:rPr>
          <w:noProof/>
          <w:szCs w:val="20"/>
        </w:rPr>
      </w:pPr>
      <w:r>
        <w:rPr>
          <w:noProof/>
        </w:rPr>
        <w:t>ATLPS 2 patikros ataskaitos šabloną.</w:t>
      </w:r>
    </w:p>
    <w:p w14:paraId="1327CC32" w14:textId="7C391D92" w:rsidR="000E3032" w:rsidRPr="00EC4FC3" w:rsidRDefault="00E75BFF" w:rsidP="00EC4FC3">
      <w:pPr>
        <w:pStyle w:val="CMR-Heading"/>
        <w:rPr>
          <w:noProof/>
        </w:rPr>
      </w:pPr>
      <w:bookmarkStart w:id="97" w:name="_Toc180513416"/>
      <w:r>
        <w:rPr>
          <w:noProof/>
        </w:rPr>
        <w:t xml:space="preserve"> </w:t>
      </w:r>
      <w:bookmarkStart w:id="98" w:name="_Toc219127296"/>
      <w:r>
        <w:rPr>
          <w:noProof/>
        </w:rPr>
        <w:t>ES ATLPS Europos Sąjungos klimato ir energetikos valdymo kontekste</w:t>
      </w:r>
      <w:bookmarkEnd w:id="97"/>
      <w:bookmarkEnd w:id="98"/>
      <w:r>
        <w:rPr>
          <w:noProof/>
        </w:rPr>
        <w:t xml:space="preserve"> </w:t>
      </w:r>
    </w:p>
    <w:p w14:paraId="621D74F7" w14:textId="7E7E0417" w:rsidR="00983C03" w:rsidRPr="00685D02" w:rsidRDefault="409D608C" w:rsidP="00983C03">
      <w:pPr>
        <w:pStyle w:val="CMR-text"/>
        <w:rPr>
          <w:rFonts w:cs="Times New Roman"/>
          <w:noProof/>
        </w:rPr>
      </w:pPr>
      <w:r>
        <w:rPr>
          <w:noProof/>
        </w:rPr>
        <w:t>ES ATLPS veikia platesniame ES klimato ir energetikos valdymo kontekste, apimančiame Energijos vartojimo efektyvumo direktyvą (Direktyva (ES) 2023/1791)</w:t>
      </w:r>
      <w:r>
        <w:rPr>
          <w:rFonts w:cs="Times New Roman"/>
          <w:noProof/>
          <w:vertAlign w:val="superscript"/>
          <w:lang w:val="en-IE"/>
        </w:rPr>
        <w:footnoteReference w:id="120"/>
      </w:r>
      <w:r>
        <w:rPr>
          <w:noProof/>
        </w:rPr>
        <w:t>, kurios išdėstymas nauja redakcija atliktas kaip Pasirengimo įgyvendinti 55 % tikslą reformų rinkinio dalis. Šios direktyvos tikslas – taupyti energiją, nustatant su tuo susijusius tikslus ir įpareigojimus valstybėms narėms ir įmonėms. Renkantis tam skirtas politikos priemones ir veiksmus, ES ATLPS anglies dioksido kainos signalas yra svarbus veiksnys. Pagal Energijos vartojimo efektyvumo direktyvos 35 straipsnio 1 dalį, Komisijos metinėje ataskaitoje dėl Europos anglies dioksido rinkos veikimo (ši ataskaita) turi būti atsižvelgiama į tos direktyvos įgyvendinimą.</w:t>
      </w:r>
    </w:p>
    <w:p w14:paraId="1F1D0279" w14:textId="4DB1EAA3" w:rsidR="00983C03" w:rsidRDefault="00983C03" w:rsidP="00983C03">
      <w:pPr>
        <w:pStyle w:val="CMR-text"/>
        <w:rPr>
          <w:rFonts w:cs="Times New Roman"/>
          <w:noProof/>
        </w:rPr>
      </w:pPr>
      <w:r>
        <w:rPr>
          <w:noProof/>
        </w:rPr>
        <w:t xml:space="preserve">Peržiūrėtoje Energijos vartojimo efektyvumo direktyvoje nustatytos naujos taisyklės siekiant galutinės energijos suvartojimą ES lygmeniu iki 2030 m. sumažinti 11,7 proc., palyginti su projekcijomis pagal 2020 m. ES atskaitos scenarijų. Visos valstybės narės turi prisidėti prie to, kad šis tikslas būtų pasiektas. Šiuo tikslu jos nustato nacionalinius orientacinius įnašus ir trajektorijas savo atnaujintuose integruotuose nacionaliniuose energetikos ir klimato srities veiksmų planuose (NEKSVP) pagal Valdymo reglamentą. Savo galutinius atnaujintus NEKSVP valstybės narės turėjo pateikti iki 2024 m. birželio 30 d. </w:t>
      </w:r>
    </w:p>
    <w:p w14:paraId="47E3967C" w14:textId="31D2E4AE" w:rsidR="003A41AC" w:rsidRPr="00685D02" w:rsidRDefault="007915CC" w:rsidP="00983C03">
      <w:pPr>
        <w:pStyle w:val="CMR-text"/>
        <w:rPr>
          <w:rFonts w:cs="Times New Roman"/>
          <w:noProof/>
        </w:rPr>
      </w:pPr>
      <w:r>
        <w:rPr>
          <w:noProof/>
        </w:rPr>
        <w:t>2025 m. gegužės mėn. Komisija paskelbė savo ES mastu atliktą NEKSVP vertinimą po jų atnaujinimo, atlikto atsižvelgiant į 2030 m. tikslus</w:t>
      </w:r>
      <w:r>
        <w:rPr>
          <w:rStyle w:val="FootnoteReference"/>
          <w:rFonts w:cs="Times New Roman"/>
          <w:noProof/>
        </w:rPr>
        <w:footnoteReference w:id="121"/>
      </w:r>
      <w:r>
        <w:rPr>
          <w:noProof/>
        </w:rPr>
        <w:t>.</w:t>
      </w:r>
      <w:r>
        <w:rPr>
          <w:b/>
          <w:noProof/>
        </w:rPr>
        <w:t xml:space="preserve"> </w:t>
      </w:r>
      <w:r>
        <w:rPr>
          <w:noProof/>
        </w:rPr>
        <w:t>Prie šio vertinimo pridėtas Komisijos tarnybų darbinis dokumentas, kuriame pateiktas individualus pirmųjų pateiktų 23 planų vertinimas</w:t>
      </w:r>
      <w:r>
        <w:rPr>
          <w:rStyle w:val="FootnoteReference"/>
          <w:rFonts w:cs="Times New Roman"/>
          <w:noProof/>
        </w:rPr>
        <w:footnoteReference w:id="122"/>
      </w:r>
      <w:r>
        <w:rPr>
          <w:noProof/>
        </w:rPr>
        <w:t>. Vėliau Komisija 2025 m. spalio mėn. paskelbė savo atliktą Estijos ir Slovakijos galutinių NEKSVP vertinimą</w:t>
      </w:r>
      <w:r>
        <w:rPr>
          <w:rStyle w:val="FootnoteReference"/>
          <w:rFonts w:cs="Times New Roman"/>
          <w:noProof/>
        </w:rPr>
        <w:footnoteReference w:id="123"/>
      </w:r>
      <w:r>
        <w:rPr>
          <w:noProof/>
        </w:rPr>
        <w:t>. Belgija savo galutinį NEKSVP pateikė 2025 m. spalio mėn. Lenkija yra vienintelė valstybė narė, kuri dar nepateikė savo galutinio atnaujinto NEKSVP. Atnaujintų NEKSVP analizės išvados aptariamos ir 2025 m. klimato politikos veiksmų pažangos ataskaitoje</w:t>
      </w:r>
      <w:r>
        <w:rPr>
          <w:rStyle w:val="FootnoteReference"/>
          <w:rFonts w:cs="Times New Roman"/>
          <w:noProof/>
          <w:lang w:val="en-IE"/>
        </w:rPr>
        <w:footnoteReference w:id="124"/>
      </w:r>
      <w:r>
        <w:rPr>
          <w:noProof/>
        </w:rPr>
        <w:t xml:space="preserve">. </w:t>
      </w:r>
    </w:p>
    <w:p w14:paraId="36F48E29" w14:textId="62D30B46" w:rsidR="00983C03" w:rsidRPr="00685D02" w:rsidRDefault="00983C03" w:rsidP="00983C03">
      <w:pPr>
        <w:pStyle w:val="CMR-text"/>
        <w:rPr>
          <w:rFonts w:cs="Times New Roman"/>
          <w:noProof/>
        </w:rPr>
      </w:pPr>
      <w:r>
        <w:rPr>
          <w:noProof/>
        </w:rPr>
        <w:t>Į ES ATLPS anglies dioksido kainos signalą atsižvelgiama vertinant su energijos vartojimo efektyvumu susijusias investicijas ir priemones į ATLPS įtrauktuose sektoriuose. Valstybės narės iš ES ATLPS aukcionų gautas pajamas naudoja ir energijos vartojimo efektyvumo didinimui finansuoti (žr. 8 skyrių). Iš 2024 m. ATLPS pajamų 15 valstybių narių nurodė išleidusios 3,3 mlrd. EUR 63 projektams, susijusiems su energijos vartojimo efektyvumu, finansuoti. Tai apėmė investicijas į viešųjų ir privačių pastatų šiluminį modernizavimą, konsultacijas dėl efektyvaus energijos vartojimo, efektyvų viešąjį apšvietimą, efektyvias šildymo ir vėsinimo sistemas (įskaitant centralizuotą šilumos tiekimą), taip pat mokslinius tyrimus ir plėtrą; visu tuo siekiama tikslo mažinti energijos suvartojimą.</w:t>
      </w:r>
    </w:p>
    <w:p w14:paraId="66C3D3F2" w14:textId="7CE9D5B0" w:rsidR="0071029D" w:rsidRPr="00EC4FC3" w:rsidRDefault="009055DF" w:rsidP="00EC4FC3">
      <w:pPr>
        <w:pStyle w:val="CMR-Heading"/>
        <w:rPr>
          <w:noProof/>
        </w:rPr>
      </w:pPr>
      <w:r>
        <w:rPr>
          <w:noProof/>
        </w:rPr>
        <w:t xml:space="preserve"> </w:t>
      </w:r>
      <w:bookmarkStart w:id="99" w:name="_Toc180513417"/>
      <w:bookmarkStart w:id="100" w:name="_Toc219127297"/>
      <w:r>
        <w:rPr>
          <w:noProof/>
        </w:rPr>
        <w:t>ES ATLPS ir Šveicarijos ATLPS sąsaja</w:t>
      </w:r>
      <w:bookmarkEnd w:id="99"/>
      <w:bookmarkEnd w:id="100"/>
    </w:p>
    <w:p w14:paraId="1FA6DAF0" w14:textId="6E300C3A" w:rsidR="00C85430" w:rsidRPr="00685D02" w:rsidRDefault="38F0252D" w:rsidP="00C85430">
      <w:pPr>
        <w:pStyle w:val="CMR-text"/>
        <w:rPr>
          <w:rFonts w:cs="Times New Roman"/>
          <w:noProof/>
        </w:rPr>
      </w:pPr>
      <w:r>
        <w:rPr>
          <w:noProof/>
        </w:rPr>
        <w:t>Nuo 2020 m. ES ATLPS ir Šveicarijos ATLPS yra susietos tarptautiniu ES ir Šveicarijos Konfederacijos susitarimu. Tai reiškia, kad vienoje iš šių sistemų išduotų ATL gali būti atsisakoma atsiskaitant už išmetamus teršalus bet kurioje iš šių dviejų sistemų. Veiklos vykdytojai, galėdami patekti į didesnę rinką, geba padidinti ekonominį veiklos efektyvumą ir turi daugiau galimų būdų sumažinti išmetamųjų teršalų kiekį. Abiejų sistemų susiejimo sąlygos ir reikalavimai nustatyti Susiejimo susitarimu</w:t>
      </w:r>
      <w:r>
        <w:rPr>
          <w:rFonts w:cs="Times New Roman"/>
          <w:noProof/>
          <w:vertAlign w:val="superscript"/>
          <w:lang w:val="en-IE"/>
        </w:rPr>
        <w:footnoteReference w:id="125"/>
      </w:r>
      <w:r>
        <w:rPr>
          <w:noProof/>
        </w:rPr>
        <w:t xml:space="preserve">. Juo taip pat nustatytas mechanizmas, kuriuo užtikrinama, kad būtų laikomasi susiejimo sąlygų, nustatytų ES ATLPS direktyvos 25 straipsnyje. </w:t>
      </w:r>
    </w:p>
    <w:p w14:paraId="02BA900F" w14:textId="57D9F7E2" w:rsidR="00E57CBF" w:rsidRPr="00685D02" w:rsidRDefault="00692815" w:rsidP="004E370C">
      <w:pPr>
        <w:pStyle w:val="CMR-text"/>
        <w:rPr>
          <w:rFonts w:cs="Times New Roman"/>
          <w:noProof/>
        </w:rPr>
      </w:pPr>
      <w:r>
        <w:rPr>
          <w:noProof/>
        </w:rPr>
        <w:t xml:space="preserve">ES itin svarbus reikalavimas buvo tai, kad į Susiejimo susitarimą būtų įtraukta aviacija. Pagal susitarimo 6 straipsnį, Šveicarijos požiūris į geografinės taikymo srities, viršutinės ribos ir ATL paskirstymo taisykles yra toks pats kaip ir ES ATLPS. Laikantis Susiejimo susitarimo 7 straipsnio, taip tebėra ir pagal peržiūrėtą ES ATLPS direktyvą. </w:t>
      </w:r>
    </w:p>
    <w:p w14:paraId="08E0BC03" w14:textId="672E8A06" w:rsidR="00692815" w:rsidRPr="00685D02" w:rsidRDefault="00692815" w:rsidP="004E370C">
      <w:pPr>
        <w:pStyle w:val="CMR-text"/>
        <w:rPr>
          <w:rFonts w:cs="Times New Roman"/>
          <w:noProof/>
        </w:rPr>
      </w:pPr>
      <w:r>
        <w:rPr>
          <w:noProof/>
        </w:rPr>
        <w:t>Šveicarijos vidaus skrydžiams ir išvykimo į EEE oro uostus skrydžiams taikoma Šveicarijos ATLPS, o skrydžiams iš EEE į Šveicariją taikoma ES ATLPS. Šiuo susitarimu palaikomas aplinkosauginis abiejų sistemų naudingumas. Ir ES ATLPS, ir Šveicarijos ATLPS apima atitinkamus išvykimo į Jungtinę Karalystę skrydžius, taip pat skrydžius į ES atokiausius regionus ir iš jų.</w:t>
      </w:r>
    </w:p>
    <w:p w14:paraId="1C52AC22" w14:textId="51656307" w:rsidR="004E370C" w:rsidRPr="00685D02" w:rsidRDefault="00C85430" w:rsidP="004E370C">
      <w:pPr>
        <w:pStyle w:val="CMR-text"/>
        <w:rPr>
          <w:rFonts w:cs="Times New Roman"/>
          <w:noProof/>
          <w:highlight w:val="lightGray"/>
        </w:rPr>
      </w:pPr>
      <w:r>
        <w:rPr>
          <w:noProof/>
        </w:rPr>
        <w:t xml:space="preserve">Pridedamo Komisijos tarnybų darbinio dokumento 5 skirsnyje pateiktose 16 ir 17 lentelėse nurodyti svarbiausi abiejų sistemų 2024 m. duomenys – aukcionuose parduoti ATL, paskirstyti nemokami ATL ir patikrinti įrenginių bei orlaivių naudotojų išmestų teršalų kiekiai. Juos palyginus matyti, kad abiejų sistemų suderinamumas priklauso ne nuo dydžio, o nuo kokybinių reikalavimų, vienodų veiklos sąlygų ir priemonių, kuriomis užtikrinamas rinkos vientisumas. </w:t>
      </w:r>
    </w:p>
    <w:p w14:paraId="6192AA99" w14:textId="52614A0E" w:rsidR="004E370C" w:rsidRPr="00685D02" w:rsidRDefault="57B434C1" w:rsidP="34CB6D00">
      <w:pPr>
        <w:pStyle w:val="CMR-text"/>
        <w:rPr>
          <w:rFonts w:cs="Times New Roman"/>
          <w:noProof/>
        </w:rPr>
      </w:pPr>
      <w:r>
        <w:rPr>
          <w:noProof/>
        </w:rPr>
        <w:t>Pagal Susiejimo susitarimą sukurta tiesioginė sąsaja tarp abiejų sistemų registrų, kad ATL būtų galima perkelti iš vienos sistemos į kitą. Nuo 2024 m. perkėlimų tarp abiejų sistemų, t. y. kasdienių operacijų, skaičius labai padidėjo – nuo 156 operacijų 2023 m. iki beveik 800 2024 m., taigi ir Šveicarijos, ir ES rinkos dalyviai galėjo veikti tarsi vienoje rinkoje ir taip pagerintas likvidumas susietoje rinkoje. Perkėlimai iš vienos sistemos (registro) į kitą atliekami kasdien, nuo pirmadienio iki penktadienio, išskyrus konkrečias su švenčių dienomis susietas datas.</w:t>
      </w:r>
    </w:p>
    <w:p w14:paraId="28EC78E5" w14:textId="68453B58" w:rsidR="00F44BF8" w:rsidRPr="00685D02" w:rsidRDefault="00F44BF8" w:rsidP="004E370C">
      <w:pPr>
        <w:pStyle w:val="CMR-text"/>
        <w:rPr>
          <w:rFonts w:cs="Times New Roman"/>
          <w:noProof/>
        </w:rPr>
      </w:pPr>
      <w:r>
        <w:rPr>
          <w:noProof/>
        </w:rPr>
        <w:t xml:space="preserve">8 ir 9 lentelėse parodytas ES ATLPS ir Šveicarijos ATLPS susiejimo poveikis 2024 m. Jose nurodyta, kiek įmonės kiekvienoje iš šių sistemų naudojo kitoje sistemoje išduotus ATL atitikčiai reikalavimams užtikrinti. </w:t>
      </w:r>
    </w:p>
    <w:p w14:paraId="088DBDF8" w14:textId="53A9F892" w:rsidR="006C05A9" w:rsidRPr="00685D02" w:rsidRDefault="1005F31A" w:rsidP="006C05A9">
      <w:pPr>
        <w:pStyle w:val="CMR-text"/>
        <w:rPr>
          <w:rFonts w:cs="Times New Roman"/>
          <w:noProof/>
        </w:rPr>
      </w:pPr>
      <w:r>
        <w:rPr>
          <w:noProof/>
        </w:rPr>
        <w:t>ES ATLPS reguliuojamieji subjektai (įrenginių valdytojai ir orlaivių naudotojai) 2024 m. atitikčiai reikalavimams užtikrinti naudojo ir Šveicarijos ATLPS išduotus ATL – iš viso 1 578 101. Tai beveik 440 000 ATL daugiau nei 2023 m. ir beveik 605 000 ATL daugiau nei 2022 m., o tai rodo, kad ES ATLPS ir Šveicarijos ATLPS sąsajos teikiamomis lankstumo galimybėmis vis daugiau naudojamasi, taip pat nuolat didėja informuotumas apie šią sąsają ir jos pripažinimas.</w:t>
      </w:r>
    </w:p>
    <w:p w14:paraId="40BD7E7A" w14:textId="72C4D748" w:rsidR="006C05A9" w:rsidRPr="00685D02" w:rsidRDefault="28C1A5A5" w:rsidP="006C05A9">
      <w:pPr>
        <w:pStyle w:val="CMR-text"/>
        <w:rPr>
          <w:rFonts w:cs="Times New Roman"/>
          <w:noProof/>
        </w:rPr>
      </w:pPr>
      <w:r>
        <w:rPr>
          <w:noProof/>
        </w:rPr>
        <w:t>Įrenginiams, įtrauktiems į ES ATLPS, Šveicarijos ATLPS išduotų aviacijos ATL panaudota kur kas daugiau negu praėjusiais metais (2024 m. – apie 355 000, 2023 m. – 100 000). Taip pat padidintas Šveicarijos ATLPS paprastųjų ATL naudojimas šiuo tikslu (2024 m. – apie 700 000, 2023 m. – 425 000).</w:t>
      </w:r>
    </w:p>
    <w:p w14:paraId="7D54A0FC" w14:textId="415E9FBF" w:rsidR="000C6517" w:rsidRPr="00685D02" w:rsidRDefault="1005F31A" w:rsidP="006C05A9">
      <w:pPr>
        <w:pStyle w:val="CMR-text"/>
        <w:rPr>
          <w:rFonts w:cs="Times New Roman"/>
          <w:noProof/>
        </w:rPr>
      </w:pPr>
      <w:r>
        <w:rPr>
          <w:noProof/>
        </w:rPr>
        <w:t xml:space="preserve">ES orlaivių naudotojų atitikčiai reikalavimams užtikrinti 2024 m. panaudotų Šveicarijos ATLPS paprastųjų ATL skaičius liko beveik nepakitęs, apie 49 000 (2023 m. – 50 000). Šveicarijos ATLPS aviacijos ATL, orlaivių naudotojų naudojamų atitikčiai ES ATLPS reikalavimams užtikrinti, skaičius sumažėjo nuo maždaug 560 000 ATL 2023 m. iki maždaug 470 000 ATL 2024 m. </w:t>
      </w:r>
    </w:p>
    <w:p w14:paraId="40A9EEAE" w14:textId="3AB1DEDE" w:rsidR="006C05A9" w:rsidRPr="00685D02" w:rsidRDefault="3B586611" w:rsidP="006C05A9">
      <w:pPr>
        <w:pStyle w:val="CMR-text"/>
        <w:rPr>
          <w:rFonts w:cs="Times New Roman"/>
          <w:noProof/>
        </w:rPr>
      </w:pPr>
      <w:r>
        <w:rPr>
          <w:noProof/>
        </w:rPr>
        <w:t>Šveicarijos ATLPS išduotų ATL skaičius santykine išraiška sudarė apie 0,14 proc. visų ATL, kurių 2024 m. atsisakyta ES ATLPS. Vis dėlto jie sudarė didesnę visų tų metų Šveicarijos ATLPS apyvartinių taršos leidimų dalį – 31,5 proc.</w:t>
      </w:r>
    </w:p>
    <w:p w14:paraId="164896FA" w14:textId="77777777" w:rsidR="002F65A3" w:rsidRDefault="006C05A9" w:rsidP="50E9F988">
      <w:pPr>
        <w:pStyle w:val="CMR-text"/>
        <w:rPr>
          <w:rFonts w:cs="Times New Roman"/>
          <w:noProof/>
        </w:rPr>
      </w:pPr>
      <w:r>
        <w:rPr>
          <w:noProof/>
        </w:rPr>
        <w:t>Šveicarijos ATLPS aviacijos veiklos vykdytojai 2024 m. reikšmingai padidino ES ATLPS apyvartinių taršos leidimų naudojimą (79,6 proc.), palyginti su 2023 m. (51,08 proc.). Kita vertus, įrenginiams keliamiems reikalavimams įvykdyti 2024 m. panaudota mažesnė ES ATLPS apyvartinių taršos leidimų dalis (5,19 proc.), palyginti su 2023 m. dalimi (11,6 proc.). Nė vienais iš šių metų į Šveicarijos ATLPS įtrauktiems įrenginiams keliamiems reikalavimams įvykdyti nenaudoti ES ATLPS aviacijos ATL. Santykine išraiška ES ATLPS leidimai sudarė 31,37 proc. visų ATL, kurių atsisakyta Šveicarijos ATLPS.</w:t>
      </w:r>
      <w:bookmarkStart w:id="101" w:name="_Ref179899508"/>
      <w:bookmarkStart w:id="102" w:name="_Ref179899493"/>
      <w:r>
        <w:rPr>
          <w:noProof/>
        </w:rPr>
        <w:t xml:space="preserve"> </w:t>
      </w:r>
    </w:p>
    <w:p w14:paraId="1F3D5855" w14:textId="7E441E3A" w:rsidR="001F1040" w:rsidRPr="00685D02" w:rsidRDefault="71666FD0" w:rsidP="50E9F988">
      <w:pPr>
        <w:pStyle w:val="CMR-text"/>
        <w:rPr>
          <w:rFonts w:cs="Times New Roman"/>
          <w:noProof/>
        </w:rPr>
      </w:pPr>
      <w:r>
        <w:rPr>
          <w:noProof/>
        </w:rPr>
        <w:t>10 lentelėje pateiktas bendras nuo 2020 m. rinkos dalyvių vardu iš ES ATLPS į Šveicarijos ATLPS ir atvirkščiai perkeltų ATL (tiek paprastųjų, tiek aviacijos ATL) kiekis. Iš ankstesnio laikotarpio likučio matyti, kad grynasis iš ES ATLPS į Šveicarijos ATLPS perkeltų ATL kiekis buvo 1 284 657 ATL. Vis dėlto pažymėtina, kad šie duomenys gali apimti šių ATL perkėlimą kelis kartus.</w:t>
      </w:r>
    </w:p>
    <w:p w14:paraId="53A299E3" w14:textId="77777777" w:rsidR="00B2767E" w:rsidRPr="00685D02" w:rsidRDefault="00B2767E" w:rsidP="50E9F988">
      <w:pPr>
        <w:pStyle w:val="Caption"/>
        <w:keepNext/>
        <w:rPr>
          <w:noProof/>
          <w:szCs w:val="22"/>
          <w:highlight w:val="red"/>
          <w:lang w:val="en-IE"/>
        </w:rPr>
        <w:sectPr w:rsidR="00B2767E" w:rsidRPr="00685D02">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pPr>
    </w:p>
    <w:p w14:paraId="6EF6EB3F" w14:textId="38F8AC80" w:rsidR="00422712" w:rsidRPr="00EB1066" w:rsidRDefault="00422712" w:rsidP="00422712">
      <w:pPr>
        <w:pStyle w:val="Caption"/>
        <w:keepNext/>
        <w:rPr>
          <w:noProof/>
          <w:sz w:val="20"/>
        </w:rPr>
      </w:pPr>
      <w:r>
        <w:rPr>
          <w:noProof/>
          <w:sz w:val="20"/>
        </w:rPr>
        <w:t xml:space="preserve">8 </w:t>
      </w:r>
      <w:bookmarkEnd w:id="101"/>
      <w:r>
        <w:rPr>
          <w:noProof/>
          <w:sz w:val="20"/>
        </w:rPr>
        <w:t>lentelė. Vienetai, naudoti 2024 m. atitikčiai reikalavimams patvirtinti Sąjungos registre.</w:t>
      </w:r>
      <w:bookmarkEnd w:id="102"/>
      <w:r>
        <w:rPr>
          <w:noProof/>
          <w:sz w:val="20"/>
        </w:rPr>
        <w:t xml:space="preserve"> 2025 m. spalio 1 d. iš Sąjungos registro gauti duomenys.</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129"/>
        <w:gridCol w:w="2452"/>
        <w:gridCol w:w="2427"/>
        <w:gridCol w:w="2335"/>
        <w:gridCol w:w="1515"/>
        <w:gridCol w:w="1384"/>
        <w:gridCol w:w="1336"/>
        <w:gridCol w:w="1370"/>
      </w:tblGrid>
      <w:tr w:rsidR="002B72B3" w:rsidRPr="00EB1066" w14:paraId="7122759E" w14:textId="77777777" w:rsidTr="00382783">
        <w:trPr>
          <w:cantSplit/>
          <w:trHeight w:val="454"/>
        </w:trPr>
        <w:tc>
          <w:tcPr>
            <w:tcW w:w="405" w:type="pct"/>
            <w:vMerge w:val="restart"/>
            <w:textDirection w:val="btLr"/>
            <w:vAlign w:val="center"/>
          </w:tcPr>
          <w:p w14:paraId="202E2678" w14:textId="17ABCAD3" w:rsidR="0089087F" w:rsidRPr="00EB1066" w:rsidRDefault="00000905" w:rsidP="00BE5E78">
            <w:pPr>
              <w:pStyle w:val="CMR-tables"/>
              <w:keepNext/>
              <w:jc w:val="center"/>
              <w:rPr>
                <w:rFonts w:cs="Times New Roman"/>
                <w:b/>
                <w:noProof/>
                <w:szCs w:val="20"/>
              </w:rPr>
            </w:pPr>
            <w:r>
              <w:rPr>
                <w:b/>
                <w:noProof/>
              </w:rPr>
              <w:t>Įrenginiai</w:t>
            </w:r>
          </w:p>
        </w:tc>
        <w:tc>
          <w:tcPr>
            <w:tcW w:w="879" w:type="pct"/>
            <w:vMerge w:val="restart"/>
            <w:vAlign w:val="center"/>
          </w:tcPr>
          <w:p w14:paraId="25869ABE" w14:textId="77777777" w:rsidR="0089087F" w:rsidRPr="00EB1066" w:rsidRDefault="0089087F" w:rsidP="00F03925">
            <w:pPr>
              <w:pStyle w:val="CMR-tables"/>
              <w:keepNext/>
              <w:jc w:val="center"/>
              <w:rPr>
                <w:rFonts w:cs="Times New Roman"/>
                <w:b/>
                <w:noProof/>
                <w:szCs w:val="20"/>
              </w:rPr>
            </w:pPr>
            <w:r>
              <w:rPr>
                <w:b/>
                <w:noProof/>
              </w:rPr>
              <w:t>Nemokamai paskirstyti ir aukcionuose parduoti ATL</w:t>
            </w:r>
          </w:p>
        </w:tc>
        <w:tc>
          <w:tcPr>
            <w:tcW w:w="870" w:type="pct"/>
            <w:vMerge w:val="restart"/>
            <w:vAlign w:val="center"/>
          </w:tcPr>
          <w:p w14:paraId="37EB3A00" w14:textId="77777777" w:rsidR="0089087F" w:rsidRPr="00EB1066" w:rsidRDefault="0089087F" w:rsidP="00F03925">
            <w:pPr>
              <w:pStyle w:val="CMR-tables"/>
              <w:keepNext/>
              <w:jc w:val="center"/>
              <w:rPr>
                <w:rFonts w:cs="Times New Roman"/>
                <w:b/>
                <w:noProof/>
                <w:szCs w:val="20"/>
              </w:rPr>
            </w:pPr>
            <w:r>
              <w:rPr>
                <w:b/>
                <w:noProof/>
              </w:rPr>
              <w:t>Patikrintas išmestų teršalų kiekis</w:t>
            </w:r>
          </w:p>
        </w:tc>
        <w:tc>
          <w:tcPr>
            <w:tcW w:w="837" w:type="pct"/>
            <w:vMerge w:val="restart"/>
            <w:vAlign w:val="center"/>
          </w:tcPr>
          <w:p w14:paraId="561CD6B5" w14:textId="77777777" w:rsidR="0089087F" w:rsidRPr="00EB1066" w:rsidRDefault="0089087F" w:rsidP="00F03925">
            <w:pPr>
              <w:pStyle w:val="CMR-tables"/>
              <w:keepNext/>
              <w:jc w:val="center"/>
              <w:rPr>
                <w:rFonts w:cs="Times New Roman"/>
                <w:b/>
                <w:noProof/>
                <w:szCs w:val="20"/>
              </w:rPr>
            </w:pPr>
            <w:r>
              <w:rPr>
                <w:b/>
                <w:noProof/>
              </w:rPr>
              <w:t>Vienetai, kurių atsisakyta</w:t>
            </w:r>
          </w:p>
        </w:tc>
        <w:tc>
          <w:tcPr>
            <w:tcW w:w="1039" w:type="pct"/>
            <w:gridSpan w:val="2"/>
            <w:vAlign w:val="center"/>
          </w:tcPr>
          <w:p w14:paraId="2B65CD40" w14:textId="60913532" w:rsidR="0089087F" w:rsidRPr="00EB1066" w:rsidRDefault="0089087F" w:rsidP="00F03925">
            <w:pPr>
              <w:pStyle w:val="CMR-tables"/>
              <w:keepNext/>
              <w:jc w:val="center"/>
              <w:rPr>
                <w:rFonts w:cs="Times New Roman"/>
                <w:b/>
                <w:noProof/>
                <w:szCs w:val="20"/>
              </w:rPr>
            </w:pPr>
            <w:r>
              <w:rPr>
                <w:b/>
                <w:noProof/>
              </w:rPr>
              <w:t>ES ATLPS apyvartiniai taršos leidimai</w:t>
            </w:r>
          </w:p>
        </w:tc>
        <w:tc>
          <w:tcPr>
            <w:tcW w:w="971" w:type="pct"/>
            <w:gridSpan w:val="2"/>
            <w:vAlign w:val="center"/>
          </w:tcPr>
          <w:p w14:paraId="7B7FCE83" w14:textId="77777777" w:rsidR="0089087F" w:rsidRPr="00EB1066" w:rsidRDefault="0089087F" w:rsidP="00F03925">
            <w:pPr>
              <w:pStyle w:val="CMR-tables"/>
              <w:keepNext/>
              <w:jc w:val="center"/>
              <w:rPr>
                <w:rFonts w:cs="Times New Roman"/>
                <w:b/>
                <w:noProof/>
                <w:szCs w:val="20"/>
              </w:rPr>
            </w:pPr>
            <w:r>
              <w:rPr>
                <w:b/>
                <w:noProof/>
              </w:rPr>
              <w:t>Šveicarijos ATLPS apyvartiniai taršos leidimai</w:t>
            </w:r>
          </w:p>
        </w:tc>
      </w:tr>
      <w:tr w:rsidR="00094B10" w:rsidRPr="00EB1066" w14:paraId="1754CFD3" w14:textId="77777777" w:rsidTr="00382783">
        <w:trPr>
          <w:cantSplit/>
          <w:trHeight w:val="454"/>
        </w:trPr>
        <w:tc>
          <w:tcPr>
            <w:tcW w:w="405" w:type="pct"/>
            <w:vMerge/>
            <w:vAlign w:val="center"/>
          </w:tcPr>
          <w:p w14:paraId="52071C51" w14:textId="77777777" w:rsidR="0089087F" w:rsidRPr="00EB1066" w:rsidRDefault="0089087F" w:rsidP="00BE5E78">
            <w:pPr>
              <w:pStyle w:val="CMR-tables"/>
              <w:keepNext/>
              <w:jc w:val="center"/>
              <w:rPr>
                <w:rFonts w:cs="Times New Roman"/>
                <w:b/>
                <w:noProof/>
                <w:szCs w:val="20"/>
                <w:lang w:val="en-IE"/>
              </w:rPr>
            </w:pPr>
          </w:p>
        </w:tc>
        <w:tc>
          <w:tcPr>
            <w:tcW w:w="879" w:type="pct"/>
            <w:vMerge/>
            <w:vAlign w:val="center"/>
          </w:tcPr>
          <w:p w14:paraId="75D63B3F" w14:textId="77777777" w:rsidR="0089087F" w:rsidRPr="00EB1066" w:rsidRDefault="0089087F" w:rsidP="00164DD9">
            <w:pPr>
              <w:pStyle w:val="CMR-tables"/>
              <w:keepNext/>
              <w:jc w:val="center"/>
              <w:rPr>
                <w:rFonts w:cs="Times New Roman"/>
                <w:noProof/>
                <w:szCs w:val="20"/>
                <w:lang w:val="en-IE"/>
              </w:rPr>
            </w:pPr>
          </w:p>
        </w:tc>
        <w:tc>
          <w:tcPr>
            <w:tcW w:w="870" w:type="pct"/>
            <w:vMerge/>
            <w:vAlign w:val="center"/>
          </w:tcPr>
          <w:p w14:paraId="36ABC856" w14:textId="77777777" w:rsidR="0089087F" w:rsidRPr="00EB1066" w:rsidRDefault="0089087F" w:rsidP="00164DD9">
            <w:pPr>
              <w:pStyle w:val="CMR-tables"/>
              <w:keepNext/>
              <w:jc w:val="center"/>
              <w:rPr>
                <w:rFonts w:cs="Times New Roman"/>
                <w:noProof/>
                <w:szCs w:val="20"/>
                <w:lang w:val="en-IE"/>
              </w:rPr>
            </w:pPr>
          </w:p>
        </w:tc>
        <w:tc>
          <w:tcPr>
            <w:tcW w:w="837" w:type="pct"/>
            <w:vMerge/>
            <w:vAlign w:val="center"/>
          </w:tcPr>
          <w:p w14:paraId="77316D2C" w14:textId="77777777" w:rsidR="0089087F" w:rsidRPr="00EB1066" w:rsidRDefault="0089087F" w:rsidP="00164DD9">
            <w:pPr>
              <w:pStyle w:val="CMR-tables"/>
              <w:keepNext/>
              <w:jc w:val="center"/>
              <w:rPr>
                <w:rFonts w:cs="Times New Roman"/>
                <w:noProof/>
                <w:szCs w:val="20"/>
                <w:lang w:val="en-IE"/>
              </w:rPr>
            </w:pPr>
          </w:p>
        </w:tc>
        <w:tc>
          <w:tcPr>
            <w:tcW w:w="543" w:type="pct"/>
            <w:vAlign w:val="center"/>
          </w:tcPr>
          <w:p w14:paraId="3E361A56" w14:textId="77777777" w:rsidR="0089087F" w:rsidRPr="00EB1066" w:rsidRDefault="0089087F" w:rsidP="00164DD9">
            <w:pPr>
              <w:pStyle w:val="CMR-tables"/>
              <w:keepNext/>
              <w:jc w:val="center"/>
              <w:rPr>
                <w:rFonts w:cs="Times New Roman"/>
                <w:i/>
                <w:noProof/>
                <w:szCs w:val="20"/>
              </w:rPr>
            </w:pPr>
            <w:r>
              <w:rPr>
                <w:i/>
                <w:noProof/>
              </w:rPr>
              <w:t>Paprastieji</w:t>
            </w:r>
          </w:p>
        </w:tc>
        <w:tc>
          <w:tcPr>
            <w:tcW w:w="495" w:type="pct"/>
            <w:vAlign w:val="center"/>
          </w:tcPr>
          <w:p w14:paraId="3C9D17B4" w14:textId="77777777" w:rsidR="0089087F" w:rsidRPr="00EB1066" w:rsidRDefault="0089087F" w:rsidP="00164DD9">
            <w:pPr>
              <w:pStyle w:val="CMR-tables"/>
              <w:keepNext/>
              <w:jc w:val="center"/>
              <w:rPr>
                <w:rFonts w:cs="Times New Roman"/>
                <w:i/>
                <w:noProof/>
                <w:szCs w:val="20"/>
              </w:rPr>
            </w:pPr>
            <w:r>
              <w:rPr>
                <w:i/>
                <w:noProof/>
              </w:rPr>
              <w:t>Aviacijos</w:t>
            </w:r>
          </w:p>
        </w:tc>
        <w:tc>
          <w:tcPr>
            <w:tcW w:w="479" w:type="pct"/>
            <w:vAlign w:val="center"/>
          </w:tcPr>
          <w:p w14:paraId="71A332A6" w14:textId="77777777" w:rsidR="0089087F" w:rsidRPr="00EB1066" w:rsidRDefault="0089087F" w:rsidP="00164DD9">
            <w:pPr>
              <w:pStyle w:val="CMR-tables"/>
              <w:keepNext/>
              <w:jc w:val="center"/>
              <w:rPr>
                <w:rFonts w:cs="Times New Roman"/>
                <w:i/>
                <w:noProof/>
                <w:szCs w:val="20"/>
              </w:rPr>
            </w:pPr>
            <w:r>
              <w:rPr>
                <w:i/>
                <w:noProof/>
              </w:rPr>
              <w:t>Paprastieji</w:t>
            </w:r>
          </w:p>
        </w:tc>
        <w:tc>
          <w:tcPr>
            <w:tcW w:w="492" w:type="pct"/>
            <w:vAlign w:val="center"/>
          </w:tcPr>
          <w:p w14:paraId="1CDAF77A" w14:textId="77777777" w:rsidR="0089087F" w:rsidRPr="00EB1066" w:rsidRDefault="0089087F" w:rsidP="00164DD9">
            <w:pPr>
              <w:pStyle w:val="CMR-tables"/>
              <w:keepNext/>
              <w:jc w:val="center"/>
              <w:rPr>
                <w:rFonts w:cs="Times New Roman"/>
                <w:i/>
                <w:noProof/>
                <w:szCs w:val="20"/>
              </w:rPr>
            </w:pPr>
            <w:r>
              <w:rPr>
                <w:i/>
                <w:noProof/>
              </w:rPr>
              <w:t>Aviacijos</w:t>
            </w:r>
          </w:p>
        </w:tc>
      </w:tr>
      <w:tr w:rsidR="00BE5E78" w:rsidRPr="00EB1066" w14:paraId="10F5F1E9" w14:textId="77777777" w:rsidTr="00382783">
        <w:trPr>
          <w:trHeight w:val="454"/>
        </w:trPr>
        <w:tc>
          <w:tcPr>
            <w:tcW w:w="405" w:type="pct"/>
            <w:vMerge/>
            <w:vAlign w:val="center"/>
          </w:tcPr>
          <w:p w14:paraId="2BB59697" w14:textId="77777777" w:rsidR="0089087F" w:rsidRPr="00EB1066" w:rsidRDefault="0089087F" w:rsidP="001F1040">
            <w:pPr>
              <w:pStyle w:val="CMR-tables"/>
              <w:keepNext/>
              <w:jc w:val="center"/>
              <w:rPr>
                <w:rFonts w:cs="Times New Roman"/>
                <w:b/>
                <w:noProof/>
                <w:szCs w:val="20"/>
                <w:lang w:val="en-IE"/>
              </w:rPr>
            </w:pPr>
          </w:p>
        </w:tc>
        <w:tc>
          <w:tcPr>
            <w:tcW w:w="879" w:type="pct"/>
            <w:shd w:val="clear" w:color="auto" w:fill="D9E2F3" w:themeFill="accent1" w:themeFillTint="33"/>
            <w:vAlign w:val="center"/>
          </w:tcPr>
          <w:p w14:paraId="705ED686" w14:textId="7A7DBACB" w:rsidR="0089087F" w:rsidRPr="00EB1066" w:rsidRDefault="005028F6" w:rsidP="001F1040">
            <w:pPr>
              <w:pStyle w:val="CMR-tables"/>
              <w:keepNext/>
              <w:jc w:val="right"/>
              <w:rPr>
                <w:rFonts w:cs="Times New Roman"/>
                <w:noProof/>
                <w:szCs w:val="20"/>
              </w:rPr>
            </w:pPr>
            <w:r>
              <w:rPr>
                <w:noProof/>
              </w:rPr>
              <w:t>1 089 612 748</w:t>
            </w:r>
          </w:p>
        </w:tc>
        <w:tc>
          <w:tcPr>
            <w:tcW w:w="870" w:type="pct"/>
            <w:shd w:val="clear" w:color="auto" w:fill="D9E2F3" w:themeFill="accent1" w:themeFillTint="33"/>
            <w:vAlign w:val="center"/>
          </w:tcPr>
          <w:p w14:paraId="0158D150" w14:textId="4314E94D" w:rsidR="0089087F" w:rsidRPr="00EB1066" w:rsidRDefault="008233E7" w:rsidP="001F1040">
            <w:pPr>
              <w:pStyle w:val="CMR-tables"/>
              <w:keepNext/>
              <w:jc w:val="right"/>
              <w:rPr>
                <w:rFonts w:cs="Times New Roman"/>
                <w:noProof/>
                <w:szCs w:val="20"/>
              </w:rPr>
            </w:pPr>
            <w:r>
              <w:rPr>
                <w:noProof/>
                <w:color w:val="000000"/>
              </w:rPr>
              <w:t>1 033 244 671</w:t>
            </w:r>
          </w:p>
        </w:tc>
        <w:tc>
          <w:tcPr>
            <w:tcW w:w="837" w:type="pct"/>
            <w:shd w:val="clear" w:color="auto" w:fill="D9E2F3" w:themeFill="accent1" w:themeFillTint="33"/>
            <w:vAlign w:val="center"/>
          </w:tcPr>
          <w:p w14:paraId="47629CA4" w14:textId="03ABD064" w:rsidR="0089087F" w:rsidRPr="00EB1066" w:rsidRDefault="00DF4550" w:rsidP="001F1040">
            <w:pPr>
              <w:pStyle w:val="CMR-tables"/>
              <w:keepNext/>
              <w:jc w:val="right"/>
              <w:rPr>
                <w:rFonts w:cs="Times New Roman"/>
                <w:noProof/>
                <w:szCs w:val="20"/>
              </w:rPr>
            </w:pPr>
            <w:r>
              <w:rPr>
                <w:noProof/>
                <w:color w:val="000000"/>
              </w:rPr>
              <w:t>1 029 808 309</w:t>
            </w:r>
          </w:p>
        </w:tc>
        <w:tc>
          <w:tcPr>
            <w:tcW w:w="543" w:type="pct"/>
            <w:shd w:val="clear" w:color="auto" w:fill="D9E2F3" w:themeFill="accent1" w:themeFillTint="33"/>
            <w:vAlign w:val="center"/>
          </w:tcPr>
          <w:p w14:paraId="2D200A5C" w14:textId="7D786C32" w:rsidR="0089087F" w:rsidRPr="00EB1066" w:rsidRDefault="006117F2" w:rsidP="001F1040">
            <w:pPr>
              <w:pStyle w:val="CMR-tables"/>
              <w:keepNext/>
              <w:jc w:val="right"/>
              <w:rPr>
                <w:rFonts w:cs="Times New Roman"/>
                <w:noProof/>
                <w:szCs w:val="20"/>
              </w:rPr>
            </w:pPr>
            <w:r>
              <w:rPr>
                <w:noProof/>
                <w:color w:val="000000"/>
              </w:rPr>
              <w:t>1 025 571 370</w:t>
            </w:r>
          </w:p>
        </w:tc>
        <w:tc>
          <w:tcPr>
            <w:tcW w:w="495" w:type="pct"/>
            <w:shd w:val="clear" w:color="auto" w:fill="D9E2F3" w:themeFill="accent1" w:themeFillTint="33"/>
            <w:vAlign w:val="center"/>
          </w:tcPr>
          <w:p w14:paraId="413A3500" w14:textId="168C4235" w:rsidR="0089087F" w:rsidRPr="00EB1066" w:rsidRDefault="00761121" w:rsidP="001F1040">
            <w:pPr>
              <w:pStyle w:val="CMR-tables"/>
              <w:keepNext/>
              <w:jc w:val="right"/>
              <w:rPr>
                <w:rFonts w:cs="Times New Roman"/>
                <w:noProof/>
                <w:szCs w:val="20"/>
              </w:rPr>
            </w:pPr>
            <w:r>
              <w:rPr>
                <w:noProof/>
                <w:color w:val="000000"/>
              </w:rPr>
              <w:t>3 428 201</w:t>
            </w:r>
          </w:p>
        </w:tc>
        <w:tc>
          <w:tcPr>
            <w:tcW w:w="479" w:type="pct"/>
            <w:shd w:val="clear" w:color="auto" w:fill="D9E2F3" w:themeFill="accent1" w:themeFillTint="33"/>
            <w:vAlign w:val="center"/>
          </w:tcPr>
          <w:p w14:paraId="71102913" w14:textId="48F6D7EA" w:rsidR="0089087F" w:rsidRPr="00EB1066" w:rsidRDefault="00A4538C" w:rsidP="001F1040">
            <w:pPr>
              <w:pStyle w:val="CMR-tables"/>
              <w:keepNext/>
              <w:jc w:val="right"/>
              <w:rPr>
                <w:rFonts w:cs="Times New Roman"/>
                <w:noProof/>
                <w:szCs w:val="20"/>
              </w:rPr>
            </w:pPr>
            <w:r>
              <w:rPr>
                <w:noProof/>
                <w:color w:val="000000"/>
              </w:rPr>
              <w:t>701 150</w:t>
            </w:r>
          </w:p>
        </w:tc>
        <w:tc>
          <w:tcPr>
            <w:tcW w:w="492" w:type="pct"/>
            <w:shd w:val="clear" w:color="auto" w:fill="D9E2F3" w:themeFill="accent1" w:themeFillTint="33"/>
            <w:vAlign w:val="center"/>
          </w:tcPr>
          <w:p w14:paraId="1404A335" w14:textId="4A0AC157" w:rsidR="0089087F" w:rsidRPr="00EB1066" w:rsidRDefault="008C1111" w:rsidP="001F1040">
            <w:pPr>
              <w:pStyle w:val="CMR-tables"/>
              <w:keepNext/>
              <w:jc w:val="right"/>
              <w:rPr>
                <w:rFonts w:cs="Times New Roman"/>
                <w:noProof/>
                <w:szCs w:val="20"/>
              </w:rPr>
            </w:pPr>
            <w:r>
              <w:rPr>
                <w:noProof/>
              </w:rPr>
              <w:t>357 341</w:t>
            </w:r>
          </w:p>
        </w:tc>
      </w:tr>
      <w:tr w:rsidR="00FB0646" w:rsidRPr="00EB1066" w14:paraId="25D323BF" w14:textId="77777777" w:rsidTr="00382783">
        <w:trPr>
          <w:trHeight w:val="454"/>
        </w:trPr>
        <w:tc>
          <w:tcPr>
            <w:tcW w:w="405" w:type="pct"/>
            <w:vMerge/>
            <w:vAlign w:val="center"/>
          </w:tcPr>
          <w:p w14:paraId="464E4053" w14:textId="77777777" w:rsidR="00FB5954" w:rsidRPr="00EB1066" w:rsidRDefault="00FB5954" w:rsidP="001F1040">
            <w:pPr>
              <w:pStyle w:val="CMR-tables"/>
              <w:keepNext/>
              <w:jc w:val="center"/>
              <w:rPr>
                <w:rFonts w:cs="Times New Roman"/>
                <w:b/>
                <w:noProof/>
                <w:szCs w:val="20"/>
                <w:lang w:val="en-IE"/>
              </w:rPr>
            </w:pPr>
          </w:p>
        </w:tc>
        <w:tc>
          <w:tcPr>
            <w:tcW w:w="2586" w:type="pct"/>
            <w:gridSpan w:val="3"/>
            <w:vAlign w:val="center"/>
          </w:tcPr>
          <w:p w14:paraId="43069156" w14:textId="77777777" w:rsidR="00FB5954" w:rsidRPr="00EB1066" w:rsidRDefault="00FB5954" w:rsidP="00FB5954">
            <w:pPr>
              <w:pStyle w:val="CMR-tables"/>
              <w:keepNext/>
              <w:jc w:val="center"/>
              <w:rPr>
                <w:rFonts w:cs="Times New Roman"/>
                <w:i/>
                <w:noProof/>
                <w:szCs w:val="20"/>
              </w:rPr>
            </w:pPr>
            <w:r>
              <w:rPr>
                <w:i/>
                <w:noProof/>
              </w:rPr>
              <w:t>Visumos procentinė dalis</w:t>
            </w:r>
          </w:p>
        </w:tc>
        <w:tc>
          <w:tcPr>
            <w:tcW w:w="543" w:type="pct"/>
            <w:vAlign w:val="center"/>
          </w:tcPr>
          <w:p w14:paraId="6E025A45" w14:textId="19A8126E" w:rsidR="00FB5954" w:rsidRPr="00EB1066" w:rsidRDefault="00FB5954" w:rsidP="001F1040">
            <w:pPr>
              <w:pStyle w:val="CMR-tables"/>
              <w:keepNext/>
              <w:jc w:val="right"/>
              <w:rPr>
                <w:rFonts w:cs="Times New Roman"/>
                <w:noProof/>
                <w:szCs w:val="20"/>
              </w:rPr>
            </w:pPr>
            <w:r>
              <w:rPr>
                <w:noProof/>
                <w:color w:val="000000"/>
              </w:rPr>
              <w:t>99,59</w:t>
            </w:r>
          </w:p>
        </w:tc>
        <w:tc>
          <w:tcPr>
            <w:tcW w:w="495" w:type="pct"/>
            <w:vAlign w:val="center"/>
          </w:tcPr>
          <w:p w14:paraId="6B4DF496" w14:textId="0BCC33A4" w:rsidR="00FB5954" w:rsidRPr="00EB1066" w:rsidRDefault="00FB5954" w:rsidP="001F1040">
            <w:pPr>
              <w:pStyle w:val="CMR-tables"/>
              <w:keepNext/>
              <w:jc w:val="right"/>
              <w:rPr>
                <w:rFonts w:cs="Times New Roman"/>
                <w:noProof/>
                <w:szCs w:val="20"/>
              </w:rPr>
            </w:pPr>
            <w:r>
              <w:rPr>
                <w:noProof/>
                <w:color w:val="000000"/>
              </w:rPr>
              <w:t>0,31</w:t>
            </w:r>
          </w:p>
        </w:tc>
        <w:tc>
          <w:tcPr>
            <w:tcW w:w="479" w:type="pct"/>
            <w:vAlign w:val="center"/>
          </w:tcPr>
          <w:p w14:paraId="28AD1182" w14:textId="33E5CB5C" w:rsidR="00FB5954" w:rsidRPr="00EB1066" w:rsidRDefault="00FB5954" w:rsidP="001F1040">
            <w:pPr>
              <w:pStyle w:val="CMR-tables"/>
              <w:keepNext/>
              <w:jc w:val="right"/>
              <w:rPr>
                <w:rFonts w:cs="Times New Roman"/>
                <w:noProof/>
                <w:szCs w:val="20"/>
              </w:rPr>
            </w:pPr>
            <w:r>
              <w:rPr>
                <w:noProof/>
                <w:color w:val="000000"/>
              </w:rPr>
              <w:t>0,07</w:t>
            </w:r>
          </w:p>
        </w:tc>
        <w:tc>
          <w:tcPr>
            <w:tcW w:w="492" w:type="pct"/>
            <w:vAlign w:val="center"/>
          </w:tcPr>
          <w:p w14:paraId="12857B2D" w14:textId="11B7456B" w:rsidR="00FB5954" w:rsidRPr="00EB1066" w:rsidRDefault="00FB5954" w:rsidP="001F1040">
            <w:pPr>
              <w:pStyle w:val="CMR-tables"/>
              <w:keepNext/>
              <w:jc w:val="right"/>
              <w:rPr>
                <w:rFonts w:cs="Times New Roman"/>
                <w:noProof/>
                <w:szCs w:val="20"/>
              </w:rPr>
            </w:pPr>
            <w:r>
              <w:rPr>
                <w:noProof/>
                <w:color w:val="000000"/>
              </w:rPr>
              <w:t>0,03</w:t>
            </w:r>
          </w:p>
        </w:tc>
      </w:tr>
      <w:tr w:rsidR="00094B10" w:rsidRPr="00EB1066" w14:paraId="1BD32780" w14:textId="77777777" w:rsidTr="00382783">
        <w:trPr>
          <w:cantSplit/>
          <w:trHeight w:val="454"/>
        </w:trPr>
        <w:tc>
          <w:tcPr>
            <w:tcW w:w="405" w:type="pct"/>
            <w:vMerge w:val="restart"/>
            <w:textDirection w:val="btLr"/>
            <w:vAlign w:val="center"/>
          </w:tcPr>
          <w:p w14:paraId="300F2B48" w14:textId="2CEE23E5" w:rsidR="0089087F" w:rsidRPr="00EB1066" w:rsidRDefault="0089087F" w:rsidP="00BE5E78">
            <w:pPr>
              <w:pStyle w:val="CMR-tables"/>
              <w:keepNext/>
              <w:jc w:val="center"/>
              <w:rPr>
                <w:rFonts w:cs="Times New Roman"/>
                <w:b/>
                <w:noProof/>
                <w:szCs w:val="20"/>
              </w:rPr>
            </w:pPr>
            <w:r>
              <w:rPr>
                <w:b/>
                <w:noProof/>
              </w:rPr>
              <w:t>Orlaivių naudotojai</w:t>
            </w:r>
          </w:p>
        </w:tc>
        <w:tc>
          <w:tcPr>
            <w:tcW w:w="879" w:type="pct"/>
            <w:vMerge w:val="restart"/>
            <w:vAlign w:val="center"/>
          </w:tcPr>
          <w:p w14:paraId="50FC3B47" w14:textId="2ACF9270" w:rsidR="0089087F" w:rsidRPr="00EB1066" w:rsidRDefault="0089087F" w:rsidP="001F1040">
            <w:pPr>
              <w:pStyle w:val="CMR-tables"/>
              <w:keepNext/>
              <w:jc w:val="center"/>
              <w:rPr>
                <w:rFonts w:cs="Times New Roman"/>
                <w:b/>
                <w:noProof/>
                <w:szCs w:val="20"/>
              </w:rPr>
            </w:pPr>
            <w:bookmarkStart w:id="103" w:name="_Ref115772878"/>
            <w:r>
              <w:rPr>
                <w:b/>
                <w:noProof/>
              </w:rPr>
              <w:t>Nemokamai paskirstyti</w:t>
            </w:r>
            <w:r>
              <w:rPr>
                <w:noProof/>
              </w:rPr>
              <w:t xml:space="preserve"> </w:t>
            </w:r>
            <w:r>
              <w:rPr>
                <w:b/>
                <w:noProof/>
              </w:rPr>
              <w:t>(įskaitant Šveicarijos ATLPS) ir aukcionuose parduoti ATL</w:t>
            </w:r>
          </w:p>
        </w:tc>
        <w:tc>
          <w:tcPr>
            <w:tcW w:w="870" w:type="pct"/>
            <w:vMerge w:val="restart"/>
            <w:vAlign w:val="center"/>
          </w:tcPr>
          <w:p w14:paraId="777AEFA0" w14:textId="77777777" w:rsidR="0089087F" w:rsidRPr="00EB1066" w:rsidRDefault="0089087F" w:rsidP="001F1040">
            <w:pPr>
              <w:pStyle w:val="CMR-tables"/>
              <w:keepNext/>
              <w:jc w:val="center"/>
              <w:rPr>
                <w:rFonts w:cs="Times New Roman"/>
                <w:b/>
                <w:noProof/>
                <w:szCs w:val="20"/>
              </w:rPr>
            </w:pPr>
            <w:r>
              <w:rPr>
                <w:b/>
                <w:noProof/>
              </w:rPr>
              <w:t>Patikrintas išmestų teršalų kiekis (įskaitant kiekį pagal Šveicarijos ATLPS)</w:t>
            </w:r>
          </w:p>
        </w:tc>
        <w:tc>
          <w:tcPr>
            <w:tcW w:w="837" w:type="pct"/>
            <w:vMerge w:val="restart"/>
            <w:vAlign w:val="center"/>
          </w:tcPr>
          <w:p w14:paraId="4247CF5A" w14:textId="77777777" w:rsidR="0089087F" w:rsidRPr="00EB1066" w:rsidRDefault="0089087F" w:rsidP="001F1040">
            <w:pPr>
              <w:pStyle w:val="CMR-tables"/>
              <w:keepNext/>
              <w:jc w:val="center"/>
              <w:rPr>
                <w:rFonts w:cs="Times New Roman"/>
                <w:b/>
                <w:noProof/>
                <w:szCs w:val="20"/>
              </w:rPr>
            </w:pPr>
            <w:r>
              <w:rPr>
                <w:b/>
                <w:noProof/>
              </w:rPr>
              <w:t>Vienetai, kurių atsisakyta</w:t>
            </w:r>
          </w:p>
        </w:tc>
        <w:tc>
          <w:tcPr>
            <w:tcW w:w="1039" w:type="pct"/>
            <w:gridSpan w:val="2"/>
            <w:vAlign w:val="center"/>
          </w:tcPr>
          <w:p w14:paraId="57EA7DD8" w14:textId="77777777" w:rsidR="0089087F" w:rsidRPr="00EB1066" w:rsidRDefault="0089087F" w:rsidP="001F1040">
            <w:pPr>
              <w:pStyle w:val="CMR-tables"/>
              <w:keepNext/>
              <w:jc w:val="center"/>
              <w:rPr>
                <w:rFonts w:cs="Times New Roman"/>
                <w:b/>
                <w:noProof/>
                <w:szCs w:val="20"/>
              </w:rPr>
            </w:pPr>
            <w:r>
              <w:rPr>
                <w:b/>
                <w:noProof/>
              </w:rPr>
              <w:t>ES ATLPS apyvartiniai taršos leidimai</w:t>
            </w:r>
          </w:p>
        </w:tc>
        <w:tc>
          <w:tcPr>
            <w:tcW w:w="971" w:type="pct"/>
            <w:gridSpan w:val="2"/>
            <w:vAlign w:val="center"/>
          </w:tcPr>
          <w:p w14:paraId="59EAB29D" w14:textId="77777777" w:rsidR="0089087F" w:rsidRPr="00EB1066" w:rsidRDefault="0089087F" w:rsidP="001F1040">
            <w:pPr>
              <w:pStyle w:val="CMR-tables"/>
              <w:keepNext/>
              <w:jc w:val="center"/>
              <w:rPr>
                <w:rFonts w:cs="Times New Roman"/>
                <w:b/>
                <w:noProof/>
                <w:szCs w:val="20"/>
              </w:rPr>
            </w:pPr>
            <w:r>
              <w:rPr>
                <w:b/>
                <w:noProof/>
              </w:rPr>
              <w:t>Šveicarijos ATLPS apyvartiniai taršos leidimai</w:t>
            </w:r>
          </w:p>
        </w:tc>
      </w:tr>
      <w:tr w:rsidR="00094B10" w:rsidRPr="00EB1066" w14:paraId="143AC1A9" w14:textId="77777777" w:rsidTr="00382783">
        <w:trPr>
          <w:cantSplit/>
          <w:trHeight w:val="454"/>
        </w:trPr>
        <w:tc>
          <w:tcPr>
            <w:tcW w:w="405" w:type="pct"/>
            <w:vMerge/>
          </w:tcPr>
          <w:p w14:paraId="0E9F13A6" w14:textId="77777777" w:rsidR="0089087F" w:rsidRPr="00EB1066" w:rsidRDefault="0089087F" w:rsidP="00164DD9">
            <w:pPr>
              <w:pStyle w:val="CMR-tables"/>
              <w:keepNext/>
              <w:rPr>
                <w:rFonts w:cs="Times New Roman"/>
                <w:noProof/>
                <w:szCs w:val="20"/>
                <w:lang w:val="en-IE"/>
              </w:rPr>
            </w:pPr>
          </w:p>
        </w:tc>
        <w:tc>
          <w:tcPr>
            <w:tcW w:w="879" w:type="pct"/>
            <w:vMerge/>
          </w:tcPr>
          <w:p w14:paraId="07C178FC" w14:textId="77777777" w:rsidR="0089087F" w:rsidRPr="00EB1066" w:rsidRDefault="0089087F" w:rsidP="00164DD9">
            <w:pPr>
              <w:pStyle w:val="CMR-tables"/>
              <w:keepNext/>
              <w:rPr>
                <w:rFonts w:cs="Times New Roman"/>
                <w:noProof/>
                <w:szCs w:val="20"/>
                <w:lang w:val="en-IE"/>
              </w:rPr>
            </w:pPr>
          </w:p>
        </w:tc>
        <w:tc>
          <w:tcPr>
            <w:tcW w:w="870" w:type="pct"/>
            <w:vMerge/>
          </w:tcPr>
          <w:p w14:paraId="244B1F6F" w14:textId="77777777" w:rsidR="0089087F" w:rsidRPr="00EB1066" w:rsidRDefault="0089087F" w:rsidP="00164DD9">
            <w:pPr>
              <w:pStyle w:val="CMR-tables"/>
              <w:keepNext/>
              <w:rPr>
                <w:rFonts w:cs="Times New Roman"/>
                <w:noProof/>
                <w:szCs w:val="20"/>
                <w:lang w:val="en-IE"/>
              </w:rPr>
            </w:pPr>
          </w:p>
        </w:tc>
        <w:tc>
          <w:tcPr>
            <w:tcW w:w="837" w:type="pct"/>
            <w:vMerge/>
          </w:tcPr>
          <w:p w14:paraId="7101AE87" w14:textId="77777777" w:rsidR="0089087F" w:rsidRPr="00EB1066" w:rsidRDefault="0089087F" w:rsidP="00164DD9">
            <w:pPr>
              <w:pStyle w:val="CMR-tables"/>
              <w:keepNext/>
              <w:rPr>
                <w:rFonts w:cs="Times New Roman"/>
                <w:noProof/>
                <w:szCs w:val="20"/>
                <w:lang w:val="en-IE"/>
              </w:rPr>
            </w:pPr>
          </w:p>
        </w:tc>
        <w:tc>
          <w:tcPr>
            <w:tcW w:w="543" w:type="pct"/>
            <w:vAlign w:val="center"/>
          </w:tcPr>
          <w:p w14:paraId="68915CA3" w14:textId="77777777" w:rsidR="0089087F" w:rsidRPr="00EB1066" w:rsidRDefault="0089087F" w:rsidP="001F1040">
            <w:pPr>
              <w:pStyle w:val="CMR-tables"/>
              <w:keepNext/>
              <w:jc w:val="center"/>
              <w:rPr>
                <w:rFonts w:cs="Times New Roman"/>
                <w:i/>
                <w:noProof/>
                <w:szCs w:val="20"/>
              </w:rPr>
            </w:pPr>
            <w:r>
              <w:rPr>
                <w:i/>
                <w:noProof/>
              </w:rPr>
              <w:t>Paprastieji</w:t>
            </w:r>
          </w:p>
        </w:tc>
        <w:tc>
          <w:tcPr>
            <w:tcW w:w="495" w:type="pct"/>
            <w:vAlign w:val="center"/>
          </w:tcPr>
          <w:p w14:paraId="2B9BD320" w14:textId="77777777" w:rsidR="0089087F" w:rsidRPr="00EB1066" w:rsidRDefault="0089087F" w:rsidP="001F1040">
            <w:pPr>
              <w:pStyle w:val="CMR-tables"/>
              <w:keepNext/>
              <w:jc w:val="center"/>
              <w:rPr>
                <w:rFonts w:cs="Times New Roman"/>
                <w:i/>
                <w:noProof/>
                <w:szCs w:val="20"/>
              </w:rPr>
            </w:pPr>
            <w:r>
              <w:rPr>
                <w:i/>
                <w:noProof/>
              </w:rPr>
              <w:t>Aviacijos</w:t>
            </w:r>
          </w:p>
        </w:tc>
        <w:tc>
          <w:tcPr>
            <w:tcW w:w="479" w:type="pct"/>
            <w:vAlign w:val="center"/>
          </w:tcPr>
          <w:p w14:paraId="13FF3A69" w14:textId="77777777" w:rsidR="0089087F" w:rsidRPr="00EB1066" w:rsidRDefault="0089087F" w:rsidP="001F1040">
            <w:pPr>
              <w:pStyle w:val="CMR-tables"/>
              <w:keepNext/>
              <w:jc w:val="center"/>
              <w:rPr>
                <w:rFonts w:cs="Times New Roman"/>
                <w:i/>
                <w:noProof/>
                <w:szCs w:val="20"/>
              </w:rPr>
            </w:pPr>
            <w:r>
              <w:rPr>
                <w:i/>
                <w:noProof/>
              </w:rPr>
              <w:t>Paprastieji</w:t>
            </w:r>
          </w:p>
        </w:tc>
        <w:tc>
          <w:tcPr>
            <w:tcW w:w="492" w:type="pct"/>
            <w:vAlign w:val="center"/>
          </w:tcPr>
          <w:p w14:paraId="41708212" w14:textId="77777777" w:rsidR="0089087F" w:rsidRPr="00EB1066" w:rsidRDefault="0089087F" w:rsidP="001F1040">
            <w:pPr>
              <w:pStyle w:val="CMR-tables"/>
              <w:keepNext/>
              <w:jc w:val="center"/>
              <w:rPr>
                <w:rFonts w:cs="Times New Roman"/>
                <w:i/>
                <w:noProof/>
                <w:szCs w:val="20"/>
              </w:rPr>
            </w:pPr>
            <w:r>
              <w:rPr>
                <w:i/>
                <w:noProof/>
              </w:rPr>
              <w:t>Aviacijos</w:t>
            </w:r>
          </w:p>
        </w:tc>
      </w:tr>
      <w:tr w:rsidR="00094B10" w:rsidRPr="00EB1066" w14:paraId="097157F6" w14:textId="77777777" w:rsidTr="00382783">
        <w:trPr>
          <w:trHeight w:val="454"/>
        </w:trPr>
        <w:tc>
          <w:tcPr>
            <w:tcW w:w="405" w:type="pct"/>
            <w:vMerge/>
          </w:tcPr>
          <w:p w14:paraId="2D24310F" w14:textId="77777777" w:rsidR="006F164D" w:rsidRPr="00EB1066" w:rsidRDefault="006F164D" w:rsidP="006F164D">
            <w:pPr>
              <w:pStyle w:val="CMR-tables"/>
              <w:keepNext/>
              <w:rPr>
                <w:rFonts w:cs="Times New Roman"/>
                <w:noProof/>
                <w:szCs w:val="20"/>
                <w:lang w:val="en-IE"/>
              </w:rPr>
            </w:pPr>
          </w:p>
        </w:tc>
        <w:tc>
          <w:tcPr>
            <w:tcW w:w="879" w:type="pct"/>
            <w:shd w:val="clear" w:color="auto" w:fill="D9E2F3" w:themeFill="accent1" w:themeFillTint="33"/>
            <w:vAlign w:val="center"/>
          </w:tcPr>
          <w:p w14:paraId="607ADCEC" w14:textId="70F03108" w:rsidR="006F164D" w:rsidRPr="00EB1066" w:rsidRDefault="12B8845F" w:rsidP="002232F4">
            <w:pPr>
              <w:pStyle w:val="CMR-tables"/>
              <w:keepNext/>
              <w:jc w:val="right"/>
              <w:rPr>
                <w:rFonts w:cs="Times New Roman"/>
                <w:noProof/>
                <w:szCs w:val="20"/>
              </w:rPr>
            </w:pPr>
            <w:r>
              <w:rPr>
                <w:noProof/>
                <w:color w:val="000000" w:themeColor="text1"/>
              </w:rPr>
              <w:t>24 270 111</w:t>
            </w:r>
          </w:p>
        </w:tc>
        <w:tc>
          <w:tcPr>
            <w:tcW w:w="870" w:type="pct"/>
            <w:shd w:val="clear" w:color="auto" w:fill="D9E2F3" w:themeFill="accent1" w:themeFillTint="33"/>
            <w:vAlign w:val="center"/>
          </w:tcPr>
          <w:p w14:paraId="647A26B8" w14:textId="0A1F45F6" w:rsidR="006F164D" w:rsidRPr="00EB1066" w:rsidRDefault="25FE72E9" w:rsidP="002232F4">
            <w:pPr>
              <w:pStyle w:val="CMR-tables"/>
              <w:keepNext/>
              <w:jc w:val="right"/>
              <w:rPr>
                <w:rFonts w:cs="Times New Roman"/>
                <w:noProof/>
                <w:szCs w:val="20"/>
              </w:rPr>
            </w:pPr>
            <w:r>
              <w:rPr>
                <w:noProof/>
                <w:color w:val="000000" w:themeColor="text1"/>
              </w:rPr>
              <w:t>62 247 419</w:t>
            </w:r>
          </w:p>
        </w:tc>
        <w:tc>
          <w:tcPr>
            <w:tcW w:w="837" w:type="pct"/>
            <w:shd w:val="clear" w:color="auto" w:fill="D9E2F3" w:themeFill="accent1" w:themeFillTint="33"/>
            <w:vAlign w:val="center"/>
          </w:tcPr>
          <w:p w14:paraId="3D2C4AA5" w14:textId="4DBAD30C" w:rsidR="006F164D" w:rsidRPr="00EB1066" w:rsidRDefault="536A9637" w:rsidP="001F1040">
            <w:pPr>
              <w:pStyle w:val="CMR-tables"/>
              <w:keepNext/>
              <w:jc w:val="right"/>
              <w:rPr>
                <w:rFonts w:cs="Times New Roman"/>
                <w:noProof/>
                <w:szCs w:val="20"/>
              </w:rPr>
            </w:pPr>
            <w:r>
              <w:rPr>
                <w:noProof/>
                <w:color w:val="000000" w:themeColor="text1"/>
              </w:rPr>
              <w:t>61 645 450</w:t>
            </w:r>
          </w:p>
        </w:tc>
        <w:tc>
          <w:tcPr>
            <w:tcW w:w="543" w:type="pct"/>
            <w:shd w:val="clear" w:color="auto" w:fill="D9E2F3" w:themeFill="accent1" w:themeFillTint="33"/>
            <w:vAlign w:val="center"/>
          </w:tcPr>
          <w:p w14:paraId="673861B3" w14:textId="2A2E0F36" w:rsidR="006F164D" w:rsidRPr="00EB1066" w:rsidRDefault="08894101" w:rsidP="001F1040">
            <w:pPr>
              <w:pStyle w:val="CMR-tables"/>
              <w:keepNext/>
              <w:jc w:val="right"/>
              <w:rPr>
                <w:rFonts w:cs="Times New Roman"/>
                <w:noProof/>
                <w:szCs w:val="20"/>
              </w:rPr>
            </w:pPr>
            <w:r>
              <w:rPr>
                <w:noProof/>
                <w:color w:val="000000" w:themeColor="text1"/>
              </w:rPr>
              <w:t>43 299 227</w:t>
            </w:r>
          </w:p>
        </w:tc>
        <w:tc>
          <w:tcPr>
            <w:tcW w:w="495" w:type="pct"/>
            <w:shd w:val="clear" w:color="auto" w:fill="D9E2F3" w:themeFill="accent1" w:themeFillTint="33"/>
            <w:vAlign w:val="center"/>
          </w:tcPr>
          <w:p w14:paraId="7908EDFC" w14:textId="7343F6CC" w:rsidR="006F164D" w:rsidRPr="00EB1066" w:rsidRDefault="7E4C1930" w:rsidP="001F1040">
            <w:pPr>
              <w:pStyle w:val="CMR-tables"/>
              <w:keepNext/>
              <w:jc w:val="right"/>
              <w:rPr>
                <w:rFonts w:cs="Times New Roman"/>
                <w:noProof/>
                <w:szCs w:val="20"/>
              </w:rPr>
            </w:pPr>
            <w:r>
              <w:rPr>
                <w:noProof/>
                <w:color w:val="000000" w:themeColor="text1"/>
              </w:rPr>
              <w:t>17 826 613</w:t>
            </w:r>
          </w:p>
        </w:tc>
        <w:tc>
          <w:tcPr>
            <w:tcW w:w="479" w:type="pct"/>
            <w:shd w:val="clear" w:color="auto" w:fill="D9E2F3" w:themeFill="accent1" w:themeFillTint="33"/>
            <w:vAlign w:val="center"/>
          </w:tcPr>
          <w:p w14:paraId="669ED435" w14:textId="544AAF96" w:rsidR="006F164D" w:rsidRPr="00EB1066" w:rsidRDefault="06613BDB" w:rsidP="001F1040">
            <w:pPr>
              <w:pStyle w:val="CMR-tables"/>
              <w:keepNext/>
              <w:jc w:val="right"/>
              <w:rPr>
                <w:rFonts w:cs="Times New Roman"/>
                <w:noProof/>
                <w:szCs w:val="20"/>
              </w:rPr>
            </w:pPr>
            <w:r>
              <w:rPr>
                <w:noProof/>
                <w:color w:val="000000" w:themeColor="text1"/>
              </w:rPr>
              <w:t>49 077</w:t>
            </w:r>
          </w:p>
        </w:tc>
        <w:tc>
          <w:tcPr>
            <w:tcW w:w="492" w:type="pct"/>
            <w:shd w:val="clear" w:color="auto" w:fill="D9E2F3" w:themeFill="accent1" w:themeFillTint="33"/>
            <w:vAlign w:val="center"/>
          </w:tcPr>
          <w:p w14:paraId="763FD23D" w14:textId="67E0A775" w:rsidR="006F164D" w:rsidRPr="00EB1066" w:rsidRDefault="20C00B5E" w:rsidP="001F1040">
            <w:pPr>
              <w:pStyle w:val="CMR-tables"/>
              <w:keepNext/>
              <w:jc w:val="right"/>
              <w:rPr>
                <w:rFonts w:cs="Times New Roman"/>
                <w:noProof/>
                <w:szCs w:val="20"/>
              </w:rPr>
            </w:pPr>
            <w:r>
              <w:rPr>
                <w:noProof/>
                <w:color w:val="000000" w:themeColor="text1"/>
              </w:rPr>
              <w:t>470 533</w:t>
            </w:r>
          </w:p>
        </w:tc>
      </w:tr>
      <w:tr w:rsidR="00FB0646" w:rsidRPr="00EB1066" w14:paraId="0980D5FA" w14:textId="77777777" w:rsidTr="00382783">
        <w:trPr>
          <w:trHeight w:val="454"/>
        </w:trPr>
        <w:tc>
          <w:tcPr>
            <w:tcW w:w="405" w:type="pct"/>
            <w:vMerge/>
          </w:tcPr>
          <w:p w14:paraId="5C483E20" w14:textId="77777777" w:rsidR="008B4FC3" w:rsidRPr="00EB1066" w:rsidRDefault="008B4FC3" w:rsidP="008B4FC3">
            <w:pPr>
              <w:pStyle w:val="CMR-tables"/>
              <w:keepNext/>
              <w:rPr>
                <w:rFonts w:cs="Times New Roman"/>
                <w:noProof/>
                <w:szCs w:val="20"/>
                <w:lang w:val="en-IE"/>
              </w:rPr>
            </w:pPr>
          </w:p>
        </w:tc>
        <w:tc>
          <w:tcPr>
            <w:tcW w:w="2586" w:type="pct"/>
            <w:gridSpan w:val="3"/>
            <w:vAlign w:val="center"/>
          </w:tcPr>
          <w:p w14:paraId="5A842F95" w14:textId="77777777" w:rsidR="008B4FC3" w:rsidRPr="00EB1066" w:rsidRDefault="008B4FC3" w:rsidP="001F1040">
            <w:pPr>
              <w:pStyle w:val="CMR-tables"/>
              <w:keepNext/>
              <w:jc w:val="center"/>
              <w:rPr>
                <w:rFonts w:cs="Times New Roman"/>
                <w:b/>
                <w:i/>
                <w:noProof/>
                <w:szCs w:val="20"/>
              </w:rPr>
            </w:pPr>
            <w:r>
              <w:rPr>
                <w:b/>
                <w:i/>
                <w:noProof/>
              </w:rPr>
              <w:t>Visumos procentinė dalis</w:t>
            </w:r>
          </w:p>
        </w:tc>
        <w:tc>
          <w:tcPr>
            <w:tcW w:w="543" w:type="pct"/>
            <w:vAlign w:val="center"/>
          </w:tcPr>
          <w:p w14:paraId="1C225ECB" w14:textId="30850FF7" w:rsidR="008B4FC3" w:rsidRPr="00EB1066" w:rsidRDefault="5B2CFF49" w:rsidP="001F1040">
            <w:pPr>
              <w:pStyle w:val="CMR-tables"/>
              <w:keepNext/>
              <w:jc w:val="right"/>
              <w:rPr>
                <w:rFonts w:cs="Times New Roman"/>
                <w:noProof/>
                <w:szCs w:val="20"/>
              </w:rPr>
            </w:pPr>
            <w:r>
              <w:rPr>
                <w:noProof/>
                <w:color w:val="000000" w:themeColor="text1"/>
              </w:rPr>
              <w:t>70,24</w:t>
            </w:r>
          </w:p>
        </w:tc>
        <w:tc>
          <w:tcPr>
            <w:tcW w:w="495" w:type="pct"/>
            <w:vAlign w:val="center"/>
          </w:tcPr>
          <w:p w14:paraId="6D9B484B" w14:textId="6EB73820" w:rsidR="008B4FC3" w:rsidRPr="00EB1066" w:rsidRDefault="76B4BE33" w:rsidP="001F1040">
            <w:pPr>
              <w:pStyle w:val="CMR-tables"/>
              <w:keepNext/>
              <w:jc w:val="right"/>
              <w:rPr>
                <w:rFonts w:cs="Times New Roman"/>
                <w:noProof/>
                <w:szCs w:val="20"/>
              </w:rPr>
            </w:pPr>
            <w:r>
              <w:rPr>
                <w:noProof/>
                <w:color w:val="000000" w:themeColor="text1"/>
              </w:rPr>
              <w:t>28,92</w:t>
            </w:r>
          </w:p>
        </w:tc>
        <w:tc>
          <w:tcPr>
            <w:tcW w:w="479" w:type="pct"/>
            <w:vAlign w:val="center"/>
          </w:tcPr>
          <w:p w14:paraId="79314813" w14:textId="05F128DA" w:rsidR="008B4FC3" w:rsidRPr="00EB1066" w:rsidRDefault="4537CB61" w:rsidP="001F1040">
            <w:pPr>
              <w:pStyle w:val="CMR-tables"/>
              <w:keepNext/>
              <w:jc w:val="right"/>
              <w:rPr>
                <w:rFonts w:cs="Times New Roman"/>
                <w:noProof/>
                <w:szCs w:val="20"/>
              </w:rPr>
            </w:pPr>
            <w:r>
              <w:rPr>
                <w:noProof/>
                <w:color w:val="000000" w:themeColor="text1"/>
              </w:rPr>
              <w:t>0,08</w:t>
            </w:r>
          </w:p>
        </w:tc>
        <w:tc>
          <w:tcPr>
            <w:tcW w:w="492" w:type="pct"/>
            <w:vAlign w:val="center"/>
          </w:tcPr>
          <w:p w14:paraId="72A6F138" w14:textId="0FB8E52D" w:rsidR="008B4FC3" w:rsidRPr="00EB1066" w:rsidRDefault="7D3EA5D6" w:rsidP="001F1040">
            <w:pPr>
              <w:pStyle w:val="CMR-tables"/>
              <w:keepNext/>
              <w:jc w:val="right"/>
              <w:rPr>
                <w:rFonts w:cs="Times New Roman"/>
                <w:noProof/>
                <w:szCs w:val="20"/>
              </w:rPr>
            </w:pPr>
            <w:r>
              <w:rPr>
                <w:noProof/>
                <w:color w:val="000000" w:themeColor="text1"/>
              </w:rPr>
              <w:t>0,76</w:t>
            </w:r>
          </w:p>
        </w:tc>
      </w:tr>
    </w:tbl>
    <w:p w14:paraId="50D8A571" w14:textId="0379BA62" w:rsidR="00422712" w:rsidRPr="00EB1066" w:rsidRDefault="00422712" w:rsidP="00422712">
      <w:pPr>
        <w:pStyle w:val="Caption"/>
        <w:keepNext/>
        <w:rPr>
          <w:noProof/>
          <w:sz w:val="20"/>
        </w:rPr>
      </w:pPr>
      <w:bookmarkStart w:id="104" w:name="_Ref179899545"/>
      <w:bookmarkEnd w:id="103"/>
      <w:r>
        <w:rPr>
          <w:noProof/>
          <w:sz w:val="20"/>
        </w:rPr>
        <w:t>9 lentelė</w:t>
      </w:r>
      <w:bookmarkEnd w:id="104"/>
      <w:r>
        <w:rPr>
          <w:noProof/>
          <w:sz w:val="20"/>
        </w:rPr>
        <w:t xml:space="preserve">. Vienetai, naudoti 2024 m. atitikčiai reikalavimams patvirtinti Šveicarijos registre. Orlaivių naudotojai – tai Šveicarijos administruojami orlaivių naudotojai. </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057"/>
        <w:gridCol w:w="2625"/>
        <w:gridCol w:w="2516"/>
        <w:gridCol w:w="2162"/>
        <w:gridCol w:w="1331"/>
        <w:gridCol w:w="1504"/>
        <w:gridCol w:w="1400"/>
        <w:gridCol w:w="1353"/>
      </w:tblGrid>
      <w:tr w:rsidR="006036F8" w:rsidRPr="00EB1066" w14:paraId="5AD843AC" w14:textId="77777777" w:rsidTr="00382783">
        <w:trPr>
          <w:cantSplit/>
          <w:trHeight w:val="454"/>
        </w:trPr>
        <w:tc>
          <w:tcPr>
            <w:tcW w:w="379" w:type="pct"/>
            <w:vMerge w:val="restart"/>
            <w:textDirection w:val="btLr"/>
            <w:vAlign w:val="center"/>
          </w:tcPr>
          <w:p w14:paraId="61B9642A" w14:textId="70D095DE" w:rsidR="0095203A" w:rsidRPr="00EB1066" w:rsidRDefault="00000905" w:rsidP="00F03925">
            <w:pPr>
              <w:pStyle w:val="CMR-tables"/>
              <w:keepNext/>
              <w:ind w:left="113" w:right="113"/>
              <w:jc w:val="center"/>
              <w:rPr>
                <w:rFonts w:cs="Times New Roman"/>
                <w:b/>
                <w:noProof/>
                <w:szCs w:val="20"/>
              </w:rPr>
            </w:pPr>
            <w:r>
              <w:rPr>
                <w:b/>
                <w:noProof/>
              </w:rPr>
              <w:t>Įrenginiai</w:t>
            </w:r>
          </w:p>
        </w:tc>
        <w:tc>
          <w:tcPr>
            <w:tcW w:w="941" w:type="pct"/>
            <w:vMerge w:val="restart"/>
            <w:vAlign w:val="center"/>
          </w:tcPr>
          <w:p w14:paraId="20448730" w14:textId="77777777" w:rsidR="0095203A" w:rsidRPr="00EB1066" w:rsidRDefault="0095203A" w:rsidP="001F1040">
            <w:pPr>
              <w:pStyle w:val="CMR-tables"/>
              <w:keepNext/>
              <w:jc w:val="center"/>
              <w:rPr>
                <w:rFonts w:cs="Times New Roman"/>
                <w:b/>
                <w:noProof/>
                <w:szCs w:val="20"/>
              </w:rPr>
            </w:pPr>
            <w:r>
              <w:rPr>
                <w:b/>
                <w:noProof/>
              </w:rPr>
              <w:t>Nemokamai paskirstyti ir aukcionuose parduoti ATL</w:t>
            </w:r>
          </w:p>
        </w:tc>
        <w:tc>
          <w:tcPr>
            <w:tcW w:w="902" w:type="pct"/>
            <w:vMerge w:val="restart"/>
            <w:vAlign w:val="center"/>
          </w:tcPr>
          <w:p w14:paraId="0002ED72" w14:textId="77777777" w:rsidR="0095203A" w:rsidRPr="00EB1066" w:rsidRDefault="0095203A" w:rsidP="001F1040">
            <w:pPr>
              <w:pStyle w:val="CMR-tables"/>
              <w:keepNext/>
              <w:jc w:val="center"/>
              <w:rPr>
                <w:rFonts w:cs="Times New Roman"/>
                <w:b/>
                <w:noProof/>
                <w:szCs w:val="20"/>
              </w:rPr>
            </w:pPr>
            <w:r>
              <w:rPr>
                <w:b/>
                <w:noProof/>
              </w:rPr>
              <w:t>Patikrintas išmestų teršalų kiekis</w:t>
            </w:r>
          </w:p>
        </w:tc>
        <w:tc>
          <w:tcPr>
            <w:tcW w:w="775" w:type="pct"/>
            <w:vMerge w:val="restart"/>
            <w:vAlign w:val="center"/>
          </w:tcPr>
          <w:p w14:paraId="0B5BD9F3" w14:textId="77777777" w:rsidR="0095203A" w:rsidRPr="00EB1066" w:rsidRDefault="0095203A" w:rsidP="001F1040">
            <w:pPr>
              <w:pStyle w:val="CMR-tables"/>
              <w:keepNext/>
              <w:jc w:val="center"/>
              <w:rPr>
                <w:rFonts w:cs="Times New Roman"/>
                <w:b/>
                <w:noProof/>
                <w:szCs w:val="20"/>
              </w:rPr>
            </w:pPr>
            <w:r>
              <w:rPr>
                <w:b/>
                <w:noProof/>
              </w:rPr>
              <w:t>Vienetai, kurių atsisakyta</w:t>
            </w:r>
          </w:p>
        </w:tc>
        <w:tc>
          <w:tcPr>
            <w:tcW w:w="1016" w:type="pct"/>
            <w:gridSpan w:val="2"/>
            <w:vAlign w:val="center"/>
          </w:tcPr>
          <w:p w14:paraId="5DC50735" w14:textId="77777777" w:rsidR="0095203A" w:rsidRPr="00EB1066" w:rsidRDefault="0095203A" w:rsidP="001F1040">
            <w:pPr>
              <w:pStyle w:val="CMR-tables"/>
              <w:keepNext/>
              <w:jc w:val="center"/>
              <w:rPr>
                <w:rFonts w:cs="Times New Roman"/>
                <w:b/>
                <w:noProof/>
                <w:szCs w:val="20"/>
              </w:rPr>
            </w:pPr>
            <w:r>
              <w:rPr>
                <w:b/>
                <w:noProof/>
              </w:rPr>
              <w:t>ES ATLPS apyvartiniai taršos leidimai</w:t>
            </w:r>
          </w:p>
        </w:tc>
        <w:tc>
          <w:tcPr>
            <w:tcW w:w="987" w:type="pct"/>
            <w:gridSpan w:val="2"/>
            <w:vAlign w:val="center"/>
          </w:tcPr>
          <w:p w14:paraId="6AB2724F" w14:textId="77777777" w:rsidR="0095203A" w:rsidRPr="00EB1066" w:rsidRDefault="0095203A" w:rsidP="001F1040">
            <w:pPr>
              <w:pStyle w:val="CMR-tables"/>
              <w:keepNext/>
              <w:jc w:val="center"/>
              <w:rPr>
                <w:rFonts w:cs="Times New Roman"/>
                <w:b/>
                <w:noProof/>
                <w:szCs w:val="20"/>
              </w:rPr>
            </w:pPr>
            <w:r>
              <w:rPr>
                <w:b/>
                <w:noProof/>
              </w:rPr>
              <w:t>Šveicarijos ATLPS apyvartiniai taršos leidimai</w:t>
            </w:r>
          </w:p>
        </w:tc>
      </w:tr>
      <w:tr w:rsidR="006036F8" w:rsidRPr="00EB1066" w14:paraId="65F66B15" w14:textId="77777777" w:rsidTr="00382783">
        <w:trPr>
          <w:trHeight w:val="454"/>
        </w:trPr>
        <w:tc>
          <w:tcPr>
            <w:tcW w:w="379" w:type="pct"/>
            <w:vMerge/>
            <w:textDirection w:val="btLr"/>
            <w:vAlign w:val="center"/>
          </w:tcPr>
          <w:p w14:paraId="35A90ACE" w14:textId="77777777" w:rsidR="0095203A" w:rsidRPr="00EB1066" w:rsidRDefault="0095203A" w:rsidP="00F03925">
            <w:pPr>
              <w:pStyle w:val="CMR-tables"/>
              <w:keepNext/>
              <w:ind w:left="113" w:right="113"/>
              <w:jc w:val="center"/>
              <w:rPr>
                <w:rFonts w:cs="Times New Roman"/>
                <w:b/>
                <w:noProof/>
                <w:szCs w:val="20"/>
                <w:lang w:val="en-IE"/>
              </w:rPr>
            </w:pPr>
          </w:p>
        </w:tc>
        <w:tc>
          <w:tcPr>
            <w:tcW w:w="941" w:type="pct"/>
            <w:vMerge/>
          </w:tcPr>
          <w:p w14:paraId="31105B33" w14:textId="77777777" w:rsidR="0095203A" w:rsidRPr="00EB1066" w:rsidRDefault="0095203A" w:rsidP="00F03925">
            <w:pPr>
              <w:pStyle w:val="CMR-tables"/>
              <w:keepNext/>
              <w:rPr>
                <w:rFonts w:cs="Times New Roman"/>
                <w:noProof/>
                <w:szCs w:val="20"/>
                <w:lang w:val="en-IE"/>
              </w:rPr>
            </w:pPr>
          </w:p>
        </w:tc>
        <w:tc>
          <w:tcPr>
            <w:tcW w:w="902" w:type="pct"/>
            <w:vMerge/>
          </w:tcPr>
          <w:p w14:paraId="5B878F9D" w14:textId="77777777" w:rsidR="0095203A" w:rsidRPr="00EB1066" w:rsidRDefault="0095203A" w:rsidP="00F03925">
            <w:pPr>
              <w:pStyle w:val="CMR-tables"/>
              <w:keepNext/>
              <w:rPr>
                <w:rFonts w:cs="Times New Roman"/>
                <w:noProof/>
                <w:szCs w:val="20"/>
                <w:lang w:val="en-IE"/>
              </w:rPr>
            </w:pPr>
          </w:p>
        </w:tc>
        <w:tc>
          <w:tcPr>
            <w:tcW w:w="775" w:type="pct"/>
            <w:vMerge/>
          </w:tcPr>
          <w:p w14:paraId="7A9D5CF0" w14:textId="77777777" w:rsidR="0095203A" w:rsidRPr="00EB1066" w:rsidRDefault="0095203A" w:rsidP="00F03925">
            <w:pPr>
              <w:pStyle w:val="CMR-tables"/>
              <w:keepNext/>
              <w:rPr>
                <w:rFonts w:cs="Times New Roman"/>
                <w:noProof/>
                <w:szCs w:val="20"/>
                <w:lang w:val="en-IE"/>
              </w:rPr>
            </w:pPr>
          </w:p>
        </w:tc>
        <w:tc>
          <w:tcPr>
            <w:tcW w:w="477" w:type="pct"/>
            <w:vAlign w:val="center"/>
          </w:tcPr>
          <w:p w14:paraId="02035A67" w14:textId="77777777" w:rsidR="0095203A" w:rsidRPr="00EB1066" w:rsidRDefault="0095203A" w:rsidP="001F1040">
            <w:pPr>
              <w:pStyle w:val="CMR-tables"/>
              <w:keepNext/>
              <w:jc w:val="center"/>
              <w:rPr>
                <w:rFonts w:cs="Times New Roman"/>
                <w:i/>
                <w:noProof/>
                <w:szCs w:val="20"/>
              </w:rPr>
            </w:pPr>
            <w:r>
              <w:rPr>
                <w:i/>
                <w:noProof/>
              </w:rPr>
              <w:t>Paprastieji</w:t>
            </w:r>
          </w:p>
        </w:tc>
        <w:tc>
          <w:tcPr>
            <w:tcW w:w="539" w:type="pct"/>
            <w:vAlign w:val="center"/>
          </w:tcPr>
          <w:p w14:paraId="55AFD498" w14:textId="77777777" w:rsidR="0095203A" w:rsidRPr="00EB1066" w:rsidRDefault="0095203A" w:rsidP="001F1040">
            <w:pPr>
              <w:pStyle w:val="CMR-tables"/>
              <w:keepNext/>
              <w:jc w:val="center"/>
              <w:rPr>
                <w:rFonts w:cs="Times New Roman"/>
                <w:i/>
                <w:noProof/>
                <w:szCs w:val="20"/>
              </w:rPr>
            </w:pPr>
            <w:r>
              <w:rPr>
                <w:i/>
                <w:noProof/>
              </w:rPr>
              <w:t>Aviacijos</w:t>
            </w:r>
          </w:p>
        </w:tc>
        <w:tc>
          <w:tcPr>
            <w:tcW w:w="502" w:type="pct"/>
            <w:vAlign w:val="center"/>
          </w:tcPr>
          <w:p w14:paraId="557BA762" w14:textId="77777777" w:rsidR="0095203A" w:rsidRPr="00EB1066" w:rsidRDefault="0095203A" w:rsidP="001F1040">
            <w:pPr>
              <w:pStyle w:val="CMR-tables"/>
              <w:keepNext/>
              <w:jc w:val="center"/>
              <w:rPr>
                <w:rFonts w:cs="Times New Roman"/>
                <w:i/>
                <w:noProof/>
                <w:szCs w:val="20"/>
              </w:rPr>
            </w:pPr>
            <w:r>
              <w:rPr>
                <w:i/>
                <w:noProof/>
              </w:rPr>
              <w:t>Paprastieji</w:t>
            </w:r>
          </w:p>
        </w:tc>
        <w:tc>
          <w:tcPr>
            <w:tcW w:w="485" w:type="pct"/>
            <w:vAlign w:val="center"/>
          </w:tcPr>
          <w:p w14:paraId="03D1351E" w14:textId="77777777" w:rsidR="0095203A" w:rsidRPr="00EB1066" w:rsidRDefault="0095203A" w:rsidP="001F1040">
            <w:pPr>
              <w:pStyle w:val="CMR-tables"/>
              <w:keepNext/>
              <w:jc w:val="center"/>
              <w:rPr>
                <w:rFonts w:cs="Times New Roman"/>
                <w:i/>
                <w:noProof/>
                <w:szCs w:val="20"/>
              </w:rPr>
            </w:pPr>
            <w:r>
              <w:rPr>
                <w:i/>
                <w:noProof/>
              </w:rPr>
              <w:t>Aviacijos</w:t>
            </w:r>
          </w:p>
        </w:tc>
      </w:tr>
      <w:tr w:rsidR="006036F8" w:rsidRPr="00EB1066" w14:paraId="599C904F" w14:textId="77777777" w:rsidTr="00382783">
        <w:trPr>
          <w:cantSplit/>
          <w:trHeight w:val="454"/>
        </w:trPr>
        <w:tc>
          <w:tcPr>
            <w:tcW w:w="379" w:type="pct"/>
            <w:vMerge/>
            <w:textDirection w:val="btLr"/>
            <w:vAlign w:val="center"/>
          </w:tcPr>
          <w:p w14:paraId="7E96DF9C" w14:textId="77777777" w:rsidR="00C6376E" w:rsidRPr="00EB1066" w:rsidRDefault="00C6376E" w:rsidP="00C6376E">
            <w:pPr>
              <w:pStyle w:val="CMR-tables"/>
              <w:keepNext/>
              <w:ind w:left="113" w:right="113"/>
              <w:jc w:val="center"/>
              <w:rPr>
                <w:rFonts w:cs="Times New Roman"/>
                <w:b/>
                <w:noProof/>
                <w:szCs w:val="20"/>
                <w:lang w:val="en-IE"/>
              </w:rPr>
            </w:pPr>
          </w:p>
        </w:tc>
        <w:tc>
          <w:tcPr>
            <w:tcW w:w="941" w:type="pct"/>
            <w:shd w:val="clear" w:color="auto" w:fill="D9E2F3" w:themeFill="accent1" w:themeFillTint="33"/>
            <w:vAlign w:val="center"/>
          </w:tcPr>
          <w:p w14:paraId="7D0D5BA1" w14:textId="3A0A4BF4" w:rsidR="00C6376E" w:rsidRPr="00EB1066" w:rsidRDefault="009C3DE6" w:rsidP="001F1040">
            <w:pPr>
              <w:pStyle w:val="CMR-tables"/>
              <w:keepNext/>
              <w:jc w:val="right"/>
              <w:rPr>
                <w:rFonts w:cs="Times New Roman"/>
                <w:noProof/>
                <w:szCs w:val="20"/>
              </w:rPr>
            </w:pPr>
            <w:r>
              <w:rPr>
                <w:noProof/>
                <w:color w:val="000000"/>
              </w:rPr>
              <w:t>3 891 680</w:t>
            </w:r>
          </w:p>
        </w:tc>
        <w:tc>
          <w:tcPr>
            <w:tcW w:w="902" w:type="pct"/>
            <w:shd w:val="clear" w:color="auto" w:fill="D9E2F3" w:themeFill="accent1" w:themeFillTint="33"/>
            <w:vAlign w:val="center"/>
          </w:tcPr>
          <w:p w14:paraId="0481285A" w14:textId="73FD5BDB" w:rsidR="00C6376E" w:rsidRPr="00EB1066" w:rsidRDefault="0019774B" w:rsidP="001F1040">
            <w:pPr>
              <w:pStyle w:val="CMR-tables"/>
              <w:keepNext/>
              <w:jc w:val="right"/>
              <w:rPr>
                <w:rFonts w:cs="Times New Roman"/>
                <w:noProof/>
                <w:szCs w:val="20"/>
              </w:rPr>
            </w:pPr>
            <w:r>
              <w:rPr>
                <w:noProof/>
                <w:color w:val="000000"/>
              </w:rPr>
              <w:t>3 694 355</w:t>
            </w:r>
          </w:p>
        </w:tc>
        <w:tc>
          <w:tcPr>
            <w:tcW w:w="775" w:type="pct"/>
            <w:shd w:val="clear" w:color="auto" w:fill="D9E2F3" w:themeFill="accent1" w:themeFillTint="33"/>
            <w:vAlign w:val="center"/>
          </w:tcPr>
          <w:p w14:paraId="69F5B7B8" w14:textId="7FD4FD99" w:rsidR="00C6376E" w:rsidRPr="00EB1066" w:rsidRDefault="00482D14" w:rsidP="001F1040">
            <w:pPr>
              <w:pStyle w:val="CMR-tables"/>
              <w:keepNext/>
              <w:jc w:val="right"/>
              <w:rPr>
                <w:rFonts w:cs="Times New Roman"/>
                <w:noProof/>
                <w:szCs w:val="20"/>
              </w:rPr>
            </w:pPr>
            <w:r>
              <w:rPr>
                <w:noProof/>
                <w:color w:val="000000"/>
              </w:rPr>
              <w:t>3 677 899</w:t>
            </w:r>
          </w:p>
        </w:tc>
        <w:tc>
          <w:tcPr>
            <w:tcW w:w="477" w:type="pct"/>
            <w:shd w:val="clear" w:color="auto" w:fill="D9E2F3" w:themeFill="accent1" w:themeFillTint="33"/>
            <w:vAlign w:val="center"/>
          </w:tcPr>
          <w:p w14:paraId="1296026F" w14:textId="0EB08381" w:rsidR="00C6376E" w:rsidRPr="00EB1066" w:rsidRDefault="006B05D8" w:rsidP="001F1040">
            <w:pPr>
              <w:pStyle w:val="CMR-tables"/>
              <w:keepNext/>
              <w:jc w:val="right"/>
              <w:rPr>
                <w:rFonts w:cs="Times New Roman"/>
                <w:noProof/>
                <w:szCs w:val="20"/>
              </w:rPr>
            </w:pPr>
            <w:r>
              <w:rPr>
                <w:noProof/>
                <w:color w:val="000000"/>
              </w:rPr>
              <w:t>191 006</w:t>
            </w:r>
          </w:p>
        </w:tc>
        <w:tc>
          <w:tcPr>
            <w:tcW w:w="539" w:type="pct"/>
            <w:shd w:val="clear" w:color="auto" w:fill="D9E2F3" w:themeFill="accent1" w:themeFillTint="33"/>
            <w:vAlign w:val="center"/>
          </w:tcPr>
          <w:p w14:paraId="1FE82814" w14:textId="5182CCE9" w:rsidR="00C6376E" w:rsidRPr="00EB1066" w:rsidRDefault="00C6376E" w:rsidP="001F1040">
            <w:pPr>
              <w:pStyle w:val="CMR-tables"/>
              <w:keepNext/>
              <w:jc w:val="right"/>
              <w:rPr>
                <w:rFonts w:cs="Times New Roman"/>
                <w:noProof/>
                <w:szCs w:val="20"/>
              </w:rPr>
            </w:pPr>
            <w:r>
              <w:rPr>
                <w:noProof/>
                <w:color w:val="000000"/>
              </w:rPr>
              <w:t>0</w:t>
            </w:r>
          </w:p>
        </w:tc>
        <w:tc>
          <w:tcPr>
            <w:tcW w:w="502" w:type="pct"/>
            <w:shd w:val="clear" w:color="auto" w:fill="D9E2F3" w:themeFill="accent1" w:themeFillTint="33"/>
            <w:vAlign w:val="center"/>
          </w:tcPr>
          <w:p w14:paraId="2856533F" w14:textId="43E5B7F9" w:rsidR="00C6376E" w:rsidRPr="00EB1066" w:rsidRDefault="003A5EB9" w:rsidP="001F1040">
            <w:pPr>
              <w:pStyle w:val="CMR-tables"/>
              <w:keepNext/>
              <w:jc w:val="right"/>
              <w:rPr>
                <w:rFonts w:cs="Times New Roman"/>
                <w:noProof/>
                <w:szCs w:val="20"/>
              </w:rPr>
            </w:pPr>
            <w:r>
              <w:rPr>
                <w:noProof/>
                <w:color w:val="000000"/>
              </w:rPr>
              <w:t>3 433 205</w:t>
            </w:r>
          </w:p>
        </w:tc>
        <w:tc>
          <w:tcPr>
            <w:tcW w:w="485" w:type="pct"/>
            <w:shd w:val="clear" w:color="auto" w:fill="D9E2F3" w:themeFill="accent1" w:themeFillTint="33"/>
            <w:vAlign w:val="center"/>
          </w:tcPr>
          <w:p w14:paraId="12C45269" w14:textId="02C36137" w:rsidR="00C6376E" w:rsidRPr="00EB1066" w:rsidRDefault="00C83EC4" w:rsidP="001F1040">
            <w:pPr>
              <w:pStyle w:val="CMR-tables"/>
              <w:keepNext/>
              <w:jc w:val="right"/>
              <w:rPr>
                <w:rFonts w:cs="Times New Roman"/>
                <w:noProof/>
                <w:szCs w:val="20"/>
              </w:rPr>
            </w:pPr>
            <w:r>
              <w:rPr>
                <w:noProof/>
                <w:color w:val="000000"/>
              </w:rPr>
              <w:t>53 688</w:t>
            </w:r>
          </w:p>
        </w:tc>
      </w:tr>
      <w:tr w:rsidR="00B42513" w:rsidRPr="00EB1066" w14:paraId="4386030F" w14:textId="77777777" w:rsidTr="00382783">
        <w:trPr>
          <w:cantSplit/>
          <w:trHeight w:val="454"/>
        </w:trPr>
        <w:tc>
          <w:tcPr>
            <w:tcW w:w="379" w:type="pct"/>
            <w:vMerge/>
            <w:textDirection w:val="btLr"/>
            <w:vAlign w:val="center"/>
          </w:tcPr>
          <w:p w14:paraId="06D5439F" w14:textId="77777777" w:rsidR="00B42513" w:rsidRPr="00EB1066" w:rsidRDefault="00B42513" w:rsidP="00B42513">
            <w:pPr>
              <w:pStyle w:val="CMR-tables"/>
              <w:keepNext/>
              <w:ind w:left="113" w:right="113"/>
              <w:jc w:val="center"/>
              <w:rPr>
                <w:rFonts w:cs="Times New Roman"/>
                <w:b/>
                <w:noProof/>
                <w:szCs w:val="20"/>
                <w:lang w:val="en-IE"/>
              </w:rPr>
            </w:pPr>
          </w:p>
        </w:tc>
        <w:tc>
          <w:tcPr>
            <w:tcW w:w="2618" w:type="pct"/>
            <w:gridSpan w:val="3"/>
            <w:vAlign w:val="center"/>
          </w:tcPr>
          <w:p w14:paraId="3E8FCF7A" w14:textId="77777777" w:rsidR="00B42513" w:rsidRPr="00EB1066" w:rsidRDefault="00B42513" w:rsidP="00B42513">
            <w:pPr>
              <w:pStyle w:val="CMR-tables"/>
              <w:keepNext/>
              <w:jc w:val="center"/>
              <w:rPr>
                <w:rFonts w:cs="Times New Roman"/>
                <w:i/>
                <w:noProof/>
                <w:szCs w:val="20"/>
              </w:rPr>
            </w:pPr>
            <w:r>
              <w:rPr>
                <w:i/>
                <w:noProof/>
              </w:rPr>
              <w:t>Visumos procentinė dalis</w:t>
            </w:r>
          </w:p>
        </w:tc>
        <w:tc>
          <w:tcPr>
            <w:tcW w:w="477" w:type="pct"/>
            <w:vAlign w:val="center"/>
          </w:tcPr>
          <w:p w14:paraId="2E175550" w14:textId="1C751BCD" w:rsidR="00B42513" w:rsidRPr="00EB1066" w:rsidRDefault="005E06C6" w:rsidP="001F1040">
            <w:pPr>
              <w:pStyle w:val="CMR-tables"/>
              <w:keepNext/>
              <w:jc w:val="right"/>
              <w:rPr>
                <w:rFonts w:cs="Times New Roman"/>
                <w:noProof/>
                <w:szCs w:val="20"/>
              </w:rPr>
            </w:pPr>
            <w:r>
              <w:rPr>
                <w:noProof/>
                <w:color w:val="000000"/>
              </w:rPr>
              <w:t>5,19</w:t>
            </w:r>
          </w:p>
        </w:tc>
        <w:tc>
          <w:tcPr>
            <w:tcW w:w="539" w:type="pct"/>
            <w:vAlign w:val="center"/>
          </w:tcPr>
          <w:p w14:paraId="5030974F" w14:textId="319AE1FD" w:rsidR="00B42513" w:rsidRPr="00EB1066" w:rsidRDefault="00B42513" w:rsidP="001F1040">
            <w:pPr>
              <w:pStyle w:val="CMR-tables"/>
              <w:keepNext/>
              <w:jc w:val="right"/>
              <w:rPr>
                <w:rFonts w:cs="Times New Roman"/>
                <w:noProof/>
                <w:szCs w:val="20"/>
              </w:rPr>
            </w:pPr>
            <w:r>
              <w:rPr>
                <w:noProof/>
              </w:rPr>
              <w:t>-</w:t>
            </w:r>
          </w:p>
        </w:tc>
        <w:tc>
          <w:tcPr>
            <w:tcW w:w="502" w:type="pct"/>
            <w:vAlign w:val="center"/>
          </w:tcPr>
          <w:p w14:paraId="732982D8" w14:textId="53B85061" w:rsidR="00B42513" w:rsidRPr="00EB1066" w:rsidRDefault="00B82763" w:rsidP="001F1040">
            <w:pPr>
              <w:pStyle w:val="CMR-tables"/>
              <w:keepNext/>
              <w:jc w:val="right"/>
              <w:rPr>
                <w:rFonts w:cs="Times New Roman"/>
                <w:noProof/>
                <w:szCs w:val="20"/>
              </w:rPr>
            </w:pPr>
            <w:r>
              <w:rPr>
                <w:noProof/>
              </w:rPr>
              <w:t>93,35</w:t>
            </w:r>
          </w:p>
        </w:tc>
        <w:tc>
          <w:tcPr>
            <w:tcW w:w="485" w:type="pct"/>
            <w:vAlign w:val="center"/>
          </w:tcPr>
          <w:p w14:paraId="1A8D8DCF" w14:textId="60F07FF7" w:rsidR="00B42513" w:rsidRPr="00EB1066" w:rsidRDefault="00A8231D" w:rsidP="001F1040">
            <w:pPr>
              <w:pStyle w:val="CMR-tables"/>
              <w:keepNext/>
              <w:jc w:val="right"/>
              <w:rPr>
                <w:rFonts w:cs="Times New Roman"/>
                <w:noProof/>
                <w:szCs w:val="20"/>
              </w:rPr>
            </w:pPr>
            <w:r>
              <w:rPr>
                <w:noProof/>
              </w:rPr>
              <w:t>1,46</w:t>
            </w:r>
          </w:p>
        </w:tc>
      </w:tr>
      <w:tr w:rsidR="002B72B3" w:rsidRPr="00EB1066" w14:paraId="5213CF1A" w14:textId="77777777" w:rsidTr="00382783">
        <w:trPr>
          <w:cantSplit/>
          <w:trHeight w:val="454"/>
        </w:trPr>
        <w:tc>
          <w:tcPr>
            <w:tcW w:w="379" w:type="pct"/>
            <w:vMerge w:val="restart"/>
            <w:textDirection w:val="btLr"/>
            <w:vAlign w:val="center"/>
          </w:tcPr>
          <w:p w14:paraId="5E4EFD57" w14:textId="670CAC72" w:rsidR="0095203A" w:rsidRPr="00EB1066" w:rsidRDefault="0095203A" w:rsidP="007818FB">
            <w:pPr>
              <w:pStyle w:val="CMR-tables"/>
              <w:keepNext/>
              <w:ind w:left="113" w:right="113"/>
              <w:jc w:val="center"/>
              <w:rPr>
                <w:rFonts w:cs="Times New Roman"/>
                <w:b/>
                <w:noProof/>
                <w:szCs w:val="20"/>
              </w:rPr>
            </w:pPr>
            <w:r>
              <w:rPr>
                <w:b/>
                <w:noProof/>
              </w:rPr>
              <w:t>Orlaivių naudotojai</w:t>
            </w:r>
          </w:p>
        </w:tc>
        <w:tc>
          <w:tcPr>
            <w:tcW w:w="941" w:type="pct"/>
            <w:vMerge w:val="restart"/>
            <w:vAlign w:val="center"/>
          </w:tcPr>
          <w:p w14:paraId="1759CB06" w14:textId="77777777" w:rsidR="0095203A" w:rsidRPr="00EB1066" w:rsidRDefault="0095203A" w:rsidP="001F1040">
            <w:pPr>
              <w:pStyle w:val="CMR-tables"/>
              <w:keepNext/>
              <w:jc w:val="center"/>
              <w:rPr>
                <w:rFonts w:cs="Times New Roman"/>
                <w:b/>
                <w:noProof/>
                <w:szCs w:val="20"/>
              </w:rPr>
            </w:pPr>
            <w:bookmarkStart w:id="105" w:name="_Ref115774290"/>
            <w:r>
              <w:rPr>
                <w:b/>
                <w:noProof/>
              </w:rPr>
              <w:t>Nemokamai paskirstyti (taip pat pagal ES ATLPS) ir aukcionuose parduoti ATL</w:t>
            </w:r>
          </w:p>
        </w:tc>
        <w:tc>
          <w:tcPr>
            <w:tcW w:w="902" w:type="pct"/>
            <w:vMerge w:val="restart"/>
            <w:vAlign w:val="center"/>
          </w:tcPr>
          <w:p w14:paraId="6ACE658A" w14:textId="77777777" w:rsidR="0095203A" w:rsidRPr="00EB1066" w:rsidRDefault="0095203A" w:rsidP="001F1040">
            <w:pPr>
              <w:pStyle w:val="CMR-tables"/>
              <w:keepNext/>
              <w:jc w:val="center"/>
              <w:rPr>
                <w:rFonts w:cs="Times New Roman"/>
                <w:b/>
                <w:noProof/>
                <w:szCs w:val="20"/>
              </w:rPr>
            </w:pPr>
            <w:r>
              <w:rPr>
                <w:b/>
                <w:noProof/>
              </w:rPr>
              <w:t>Patikrintas išmestų teršalų kiekis (įskaitant kiekį pagal ES ATLPS)</w:t>
            </w:r>
          </w:p>
        </w:tc>
        <w:tc>
          <w:tcPr>
            <w:tcW w:w="775" w:type="pct"/>
            <w:vMerge w:val="restart"/>
            <w:vAlign w:val="center"/>
          </w:tcPr>
          <w:p w14:paraId="0B1A6076" w14:textId="77777777" w:rsidR="0095203A" w:rsidRPr="00EB1066" w:rsidRDefault="0095203A" w:rsidP="001F1040">
            <w:pPr>
              <w:pStyle w:val="CMR-tables"/>
              <w:keepNext/>
              <w:jc w:val="center"/>
              <w:rPr>
                <w:rFonts w:cs="Times New Roman"/>
                <w:b/>
                <w:noProof/>
                <w:szCs w:val="20"/>
              </w:rPr>
            </w:pPr>
            <w:r>
              <w:rPr>
                <w:b/>
                <w:noProof/>
              </w:rPr>
              <w:t>Vienetai, kurių atsisakyta</w:t>
            </w:r>
          </w:p>
        </w:tc>
        <w:tc>
          <w:tcPr>
            <w:tcW w:w="1016" w:type="pct"/>
            <w:gridSpan w:val="2"/>
            <w:vAlign w:val="center"/>
          </w:tcPr>
          <w:p w14:paraId="0DF35621" w14:textId="77777777" w:rsidR="0095203A" w:rsidRPr="00EB1066" w:rsidRDefault="0095203A" w:rsidP="001F1040">
            <w:pPr>
              <w:pStyle w:val="CMR-tables"/>
              <w:keepNext/>
              <w:jc w:val="center"/>
              <w:rPr>
                <w:rFonts w:cs="Times New Roman"/>
                <w:b/>
                <w:noProof/>
                <w:szCs w:val="20"/>
              </w:rPr>
            </w:pPr>
            <w:r>
              <w:rPr>
                <w:b/>
                <w:noProof/>
              </w:rPr>
              <w:t>ES ATLPS apyvartiniai taršos leidimai</w:t>
            </w:r>
          </w:p>
        </w:tc>
        <w:tc>
          <w:tcPr>
            <w:tcW w:w="987" w:type="pct"/>
            <w:gridSpan w:val="2"/>
            <w:vAlign w:val="center"/>
          </w:tcPr>
          <w:p w14:paraId="4B3BD980" w14:textId="77777777" w:rsidR="0095203A" w:rsidRPr="00EB1066" w:rsidRDefault="0095203A" w:rsidP="001F1040">
            <w:pPr>
              <w:pStyle w:val="CMR-tables"/>
              <w:keepNext/>
              <w:jc w:val="center"/>
              <w:rPr>
                <w:rFonts w:cs="Times New Roman"/>
                <w:b/>
                <w:noProof/>
                <w:szCs w:val="20"/>
              </w:rPr>
            </w:pPr>
            <w:r>
              <w:rPr>
                <w:b/>
                <w:noProof/>
              </w:rPr>
              <w:t>Šveicarijos ATLPS apyvartiniai taršos leidimai</w:t>
            </w:r>
          </w:p>
        </w:tc>
      </w:tr>
      <w:tr w:rsidR="006036F8" w:rsidRPr="00EB1066" w14:paraId="1CA67337" w14:textId="77777777" w:rsidTr="00382783">
        <w:trPr>
          <w:trHeight w:val="454"/>
        </w:trPr>
        <w:tc>
          <w:tcPr>
            <w:tcW w:w="379" w:type="pct"/>
            <w:vMerge/>
          </w:tcPr>
          <w:p w14:paraId="5CFCFCD9" w14:textId="77777777" w:rsidR="0095203A" w:rsidRPr="00EB1066" w:rsidRDefault="0095203A" w:rsidP="00F03925">
            <w:pPr>
              <w:pStyle w:val="CMR-tables"/>
              <w:keepNext/>
              <w:rPr>
                <w:rFonts w:cs="Times New Roman"/>
                <w:noProof/>
                <w:szCs w:val="20"/>
                <w:lang w:val="en-IE"/>
              </w:rPr>
            </w:pPr>
          </w:p>
        </w:tc>
        <w:tc>
          <w:tcPr>
            <w:tcW w:w="941" w:type="pct"/>
            <w:vMerge/>
            <w:vAlign w:val="center"/>
          </w:tcPr>
          <w:p w14:paraId="707CF9F4" w14:textId="77777777" w:rsidR="0095203A" w:rsidRPr="00EB1066" w:rsidRDefault="0095203A" w:rsidP="00F03925">
            <w:pPr>
              <w:pStyle w:val="CMR-tables"/>
              <w:keepNext/>
              <w:rPr>
                <w:rFonts w:cs="Times New Roman"/>
                <w:noProof/>
                <w:szCs w:val="20"/>
                <w:lang w:val="en-IE"/>
              </w:rPr>
            </w:pPr>
          </w:p>
        </w:tc>
        <w:tc>
          <w:tcPr>
            <w:tcW w:w="902" w:type="pct"/>
            <w:vMerge/>
            <w:vAlign w:val="center"/>
          </w:tcPr>
          <w:p w14:paraId="058DFFC7" w14:textId="77777777" w:rsidR="0095203A" w:rsidRPr="00EB1066" w:rsidRDefault="0095203A" w:rsidP="00F03925">
            <w:pPr>
              <w:pStyle w:val="CMR-tables"/>
              <w:keepNext/>
              <w:rPr>
                <w:rFonts w:cs="Times New Roman"/>
                <w:noProof/>
                <w:szCs w:val="20"/>
                <w:lang w:val="en-IE"/>
              </w:rPr>
            </w:pPr>
          </w:p>
        </w:tc>
        <w:tc>
          <w:tcPr>
            <w:tcW w:w="775" w:type="pct"/>
            <w:vMerge/>
            <w:vAlign w:val="center"/>
          </w:tcPr>
          <w:p w14:paraId="339A2BC4" w14:textId="77777777" w:rsidR="0095203A" w:rsidRPr="00EB1066" w:rsidRDefault="0095203A" w:rsidP="00F03925">
            <w:pPr>
              <w:pStyle w:val="CMR-tables"/>
              <w:keepNext/>
              <w:rPr>
                <w:rFonts w:cs="Times New Roman"/>
                <w:noProof/>
                <w:szCs w:val="20"/>
                <w:lang w:val="en-IE"/>
              </w:rPr>
            </w:pPr>
          </w:p>
        </w:tc>
        <w:tc>
          <w:tcPr>
            <w:tcW w:w="477" w:type="pct"/>
            <w:vAlign w:val="center"/>
          </w:tcPr>
          <w:p w14:paraId="3C8DDA11" w14:textId="77777777" w:rsidR="0095203A" w:rsidRPr="00EB1066" w:rsidRDefault="0095203A" w:rsidP="001F1040">
            <w:pPr>
              <w:pStyle w:val="CMR-tables"/>
              <w:keepNext/>
              <w:jc w:val="center"/>
              <w:rPr>
                <w:rFonts w:cs="Times New Roman"/>
                <w:i/>
                <w:noProof/>
                <w:szCs w:val="20"/>
              </w:rPr>
            </w:pPr>
            <w:r>
              <w:rPr>
                <w:i/>
                <w:noProof/>
              </w:rPr>
              <w:t>Paprastieji</w:t>
            </w:r>
          </w:p>
        </w:tc>
        <w:tc>
          <w:tcPr>
            <w:tcW w:w="539" w:type="pct"/>
            <w:vAlign w:val="center"/>
          </w:tcPr>
          <w:p w14:paraId="28F38C2E" w14:textId="77777777" w:rsidR="0095203A" w:rsidRPr="00EB1066" w:rsidRDefault="0095203A" w:rsidP="001F1040">
            <w:pPr>
              <w:pStyle w:val="CMR-tables"/>
              <w:keepNext/>
              <w:jc w:val="center"/>
              <w:rPr>
                <w:rFonts w:cs="Times New Roman"/>
                <w:i/>
                <w:noProof/>
                <w:szCs w:val="20"/>
              </w:rPr>
            </w:pPr>
            <w:r>
              <w:rPr>
                <w:i/>
                <w:noProof/>
              </w:rPr>
              <w:t>Aviacijos</w:t>
            </w:r>
          </w:p>
        </w:tc>
        <w:tc>
          <w:tcPr>
            <w:tcW w:w="502" w:type="pct"/>
            <w:vAlign w:val="center"/>
          </w:tcPr>
          <w:p w14:paraId="22557790" w14:textId="77777777" w:rsidR="0095203A" w:rsidRPr="00EB1066" w:rsidRDefault="0095203A" w:rsidP="001F1040">
            <w:pPr>
              <w:pStyle w:val="CMR-tables"/>
              <w:keepNext/>
              <w:jc w:val="center"/>
              <w:rPr>
                <w:rFonts w:cs="Times New Roman"/>
                <w:i/>
                <w:noProof/>
                <w:szCs w:val="20"/>
              </w:rPr>
            </w:pPr>
            <w:r>
              <w:rPr>
                <w:i/>
                <w:noProof/>
              </w:rPr>
              <w:t>Paprastieji</w:t>
            </w:r>
          </w:p>
        </w:tc>
        <w:tc>
          <w:tcPr>
            <w:tcW w:w="485" w:type="pct"/>
            <w:vAlign w:val="center"/>
          </w:tcPr>
          <w:p w14:paraId="43D8814A" w14:textId="77777777" w:rsidR="0095203A" w:rsidRPr="00EB1066" w:rsidRDefault="0095203A" w:rsidP="001F1040">
            <w:pPr>
              <w:pStyle w:val="CMR-tables"/>
              <w:keepNext/>
              <w:jc w:val="center"/>
              <w:rPr>
                <w:rFonts w:cs="Times New Roman"/>
                <w:i/>
                <w:noProof/>
                <w:szCs w:val="20"/>
              </w:rPr>
            </w:pPr>
            <w:r>
              <w:rPr>
                <w:i/>
                <w:noProof/>
              </w:rPr>
              <w:t>Aviacijos</w:t>
            </w:r>
          </w:p>
        </w:tc>
      </w:tr>
      <w:tr w:rsidR="006036F8" w:rsidRPr="00EB1066" w14:paraId="601A0D0F" w14:textId="77777777" w:rsidTr="00382783">
        <w:trPr>
          <w:trHeight w:val="454"/>
        </w:trPr>
        <w:tc>
          <w:tcPr>
            <w:tcW w:w="379" w:type="pct"/>
            <w:vMerge/>
          </w:tcPr>
          <w:p w14:paraId="5C9819A9" w14:textId="77777777" w:rsidR="000B4852" w:rsidRPr="00EB1066" w:rsidRDefault="000B4852" w:rsidP="000B4852">
            <w:pPr>
              <w:pStyle w:val="CMR-tables"/>
              <w:keepNext/>
              <w:rPr>
                <w:rFonts w:cs="Times New Roman"/>
                <w:noProof/>
                <w:szCs w:val="20"/>
                <w:lang w:val="en-IE"/>
              </w:rPr>
            </w:pPr>
          </w:p>
        </w:tc>
        <w:tc>
          <w:tcPr>
            <w:tcW w:w="941" w:type="pct"/>
            <w:shd w:val="clear" w:color="auto" w:fill="D9E2F3" w:themeFill="accent1" w:themeFillTint="33"/>
            <w:vAlign w:val="center"/>
          </w:tcPr>
          <w:p w14:paraId="521D557D" w14:textId="20C6226E" w:rsidR="000B4852" w:rsidRPr="00EB1066" w:rsidRDefault="37614C91" w:rsidP="001F1040">
            <w:pPr>
              <w:pStyle w:val="CMR-tables"/>
              <w:keepNext/>
              <w:jc w:val="right"/>
              <w:rPr>
                <w:rFonts w:cs="Times New Roman"/>
                <w:noProof/>
                <w:szCs w:val="20"/>
              </w:rPr>
            </w:pPr>
            <w:r>
              <w:rPr>
                <w:noProof/>
                <w:color w:val="000000" w:themeColor="text1"/>
              </w:rPr>
              <w:t>1 118 087</w:t>
            </w:r>
          </w:p>
        </w:tc>
        <w:tc>
          <w:tcPr>
            <w:tcW w:w="902" w:type="pct"/>
            <w:shd w:val="clear" w:color="auto" w:fill="D9E2F3" w:themeFill="accent1" w:themeFillTint="33"/>
            <w:vAlign w:val="center"/>
          </w:tcPr>
          <w:p w14:paraId="4A65883B" w14:textId="52DE4718" w:rsidR="000B4852" w:rsidRPr="00EB1066" w:rsidRDefault="599B81EC" w:rsidP="0A98DA47">
            <w:pPr>
              <w:pStyle w:val="CMR-tables"/>
              <w:keepNext/>
              <w:jc w:val="right"/>
              <w:rPr>
                <w:rFonts w:eastAsia="Times New Roman" w:cs="Times New Roman"/>
                <w:noProof/>
                <w:szCs w:val="20"/>
              </w:rPr>
            </w:pPr>
            <w:r>
              <w:rPr>
                <w:noProof/>
                <w:color w:val="000000" w:themeColor="text1"/>
              </w:rPr>
              <w:t>1 990 349</w:t>
            </w:r>
          </w:p>
        </w:tc>
        <w:tc>
          <w:tcPr>
            <w:tcW w:w="775" w:type="pct"/>
            <w:shd w:val="clear" w:color="auto" w:fill="D9E2F3" w:themeFill="accent1" w:themeFillTint="33"/>
            <w:vAlign w:val="center"/>
          </w:tcPr>
          <w:p w14:paraId="342827E2" w14:textId="3EF1959B" w:rsidR="000B4852" w:rsidRPr="00EB1066" w:rsidRDefault="1B964664" w:rsidP="001F1040">
            <w:pPr>
              <w:pStyle w:val="CMR-tables"/>
              <w:keepNext/>
              <w:jc w:val="right"/>
              <w:rPr>
                <w:rFonts w:cs="Times New Roman"/>
                <w:noProof/>
                <w:szCs w:val="20"/>
              </w:rPr>
            </w:pPr>
            <w:r>
              <w:rPr>
                <w:noProof/>
                <w:color w:val="000000" w:themeColor="text1"/>
              </w:rPr>
              <w:t>1 990 349</w:t>
            </w:r>
          </w:p>
        </w:tc>
        <w:tc>
          <w:tcPr>
            <w:tcW w:w="477" w:type="pct"/>
            <w:shd w:val="clear" w:color="auto" w:fill="D9E2F3" w:themeFill="accent1" w:themeFillTint="33"/>
            <w:vAlign w:val="center"/>
          </w:tcPr>
          <w:p w14:paraId="038EEAE3" w14:textId="142084B3" w:rsidR="000B4852" w:rsidRPr="00EB1066" w:rsidRDefault="5CD5FC3E" w:rsidP="001F1040">
            <w:pPr>
              <w:pStyle w:val="CMR-tables"/>
              <w:keepNext/>
              <w:jc w:val="right"/>
              <w:rPr>
                <w:rFonts w:cs="Times New Roman"/>
                <w:noProof/>
                <w:szCs w:val="20"/>
              </w:rPr>
            </w:pPr>
            <w:r>
              <w:rPr>
                <w:noProof/>
                <w:color w:val="000000" w:themeColor="text1"/>
              </w:rPr>
              <w:t>1 301 096</w:t>
            </w:r>
          </w:p>
        </w:tc>
        <w:tc>
          <w:tcPr>
            <w:tcW w:w="539" w:type="pct"/>
            <w:shd w:val="clear" w:color="auto" w:fill="D9E2F3" w:themeFill="accent1" w:themeFillTint="33"/>
            <w:vAlign w:val="center"/>
          </w:tcPr>
          <w:p w14:paraId="1CD5BB84" w14:textId="1F7BA9FB" w:rsidR="000B4852" w:rsidRPr="00EB1066" w:rsidRDefault="236A9EF5" w:rsidP="001F1040">
            <w:pPr>
              <w:pStyle w:val="CMR-tables"/>
              <w:keepNext/>
              <w:jc w:val="right"/>
              <w:rPr>
                <w:rFonts w:cs="Times New Roman"/>
                <w:noProof/>
                <w:szCs w:val="20"/>
              </w:rPr>
            </w:pPr>
            <w:r>
              <w:rPr>
                <w:noProof/>
                <w:color w:val="000000" w:themeColor="text1"/>
              </w:rPr>
              <w:t>283 515</w:t>
            </w:r>
          </w:p>
        </w:tc>
        <w:tc>
          <w:tcPr>
            <w:tcW w:w="502" w:type="pct"/>
            <w:shd w:val="clear" w:color="auto" w:fill="D9E2F3" w:themeFill="accent1" w:themeFillTint="33"/>
            <w:vAlign w:val="center"/>
          </w:tcPr>
          <w:p w14:paraId="4E878182" w14:textId="1F848299" w:rsidR="000B4852" w:rsidRPr="00EB1066" w:rsidRDefault="18E751FF" w:rsidP="001F1040">
            <w:pPr>
              <w:pStyle w:val="CMR-tables"/>
              <w:keepNext/>
              <w:jc w:val="right"/>
              <w:rPr>
                <w:rFonts w:cs="Times New Roman"/>
                <w:noProof/>
                <w:szCs w:val="20"/>
              </w:rPr>
            </w:pPr>
            <w:r>
              <w:rPr>
                <w:noProof/>
                <w:color w:val="000000" w:themeColor="text1"/>
              </w:rPr>
              <w:t>3 372</w:t>
            </w:r>
          </w:p>
        </w:tc>
        <w:tc>
          <w:tcPr>
            <w:tcW w:w="485" w:type="pct"/>
            <w:shd w:val="clear" w:color="auto" w:fill="D9E2F3" w:themeFill="accent1" w:themeFillTint="33"/>
            <w:vAlign w:val="center"/>
          </w:tcPr>
          <w:p w14:paraId="3F8027CD" w14:textId="386AF4B2" w:rsidR="000B4852" w:rsidRPr="00EB1066" w:rsidRDefault="493CFEAE" w:rsidP="001F1040">
            <w:pPr>
              <w:pStyle w:val="CMR-tables"/>
              <w:keepNext/>
              <w:jc w:val="right"/>
              <w:rPr>
                <w:rFonts w:cs="Times New Roman"/>
                <w:noProof/>
                <w:szCs w:val="20"/>
              </w:rPr>
            </w:pPr>
            <w:r>
              <w:rPr>
                <w:noProof/>
                <w:color w:val="000000" w:themeColor="text1"/>
              </w:rPr>
              <w:t>402 366</w:t>
            </w:r>
          </w:p>
        </w:tc>
      </w:tr>
      <w:tr w:rsidR="00B72CCE" w:rsidRPr="00EB1066" w14:paraId="6FDADB53" w14:textId="77777777" w:rsidTr="00382783">
        <w:trPr>
          <w:trHeight w:val="454"/>
        </w:trPr>
        <w:tc>
          <w:tcPr>
            <w:tcW w:w="379" w:type="pct"/>
            <w:vMerge/>
          </w:tcPr>
          <w:p w14:paraId="0272BE34" w14:textId="77777777" w:rsidR="00B72CCE" w:rsidRPr="00EB1066" w:rsidRDefault="00B72CCE" w:rsidP="00B72CCE">
            <w:pPr>
              <w:pStyle w:val="CMR-tables"/>
              <w:keepNext/>
              <w:rPr>
                <w:rFonts w:cs="Times New Roman"/>
                <w:noProof/>
                <w:szCs w:val="20"/>
                <w:lang w:val="en-IE"/>
              </w:rPr>
            </w:pPr>
          </w:p>
        </w:tc>
        <w:tc>
          <w:tcPr>
            <w:tcW w:w="2618" w:type="pct"/>
            <w:gridSpan w:val="3"/>
            <w:vAlign w:val="center"/>
          </w:tcPr>
          <w:p w14:paraId="06F79228" w14:textId="77777777" w:rsidR="00B72CCE" w:rsidRPr="00EB1066" w:rsidRDefault="00B72CCE" w:rsidP="00B72CCE">
            <w:pPr>
              <w:pStyle w:val="CMR-tables"/>
              <w:keepNext/>
              <w:jc w:val="center"/>
              <w:rPr>
                <w:rFonts w:cs="Times New Roman"/>
                <w:b/>
                <w:i/>
                <w:noProof/>
                <w:szCs w:val="20"/>
              </w:rPr>
            </w:pPr>
            <w:r>
              <w:rPr>
                <w:b/>
                <w:i/>
                <w:noProof/>
              </w:rPr>
              <w:t>Visumos procentinė dalis</w:t>
            </w:r>
          </w:p>
        </w:tc>
        <w:tc>
          <w:tcPr>
            <w:tcW w:w="477" w:type="pct"/>
            <w:vAlign w:val="center"/>
          </w:tcPr>
          <w:p w14:paraId="62AEC406" w14:textId="20E2B20D" w:rsidR="00B72CCE" w:rsidRPr="00EB1066" w:rsidRDefault="4518C0D4" w:rsidP="001F1040">
            <w:pPr>
              <w:pStyle w:val="CMR-tables"/>
              <w:keepNext/>
              <w:jc w:val="right"/>
              <w:rPr>
                <w:rFonts w:cs="Times New Roman"/>
                <w:noProof/>
                <w:szCs w:val="20"/>
              </w:rPr>
            </w:pPr>
            <w:r>
              <w:rPr>
                <w:noProof/>
                <w:color w:val="000000" w:themeColor="text1"/>
              </w:rPr>
              <w:t>65,3</w:t>
            </w:r>
          </w:p>
        </w:tc>
        <w:tc>
          <w:tcPr>
            <w:tcW w:w="539" w:type="pct"/>
            <w:vAlign w:val="center"/>
          </w:tcPr>
          <w:p w14:paraId="65A3138D" w14:textId="690C6785" w:rsidR="00B72CCE" w:rsidRPr="00EB1066" w:rsidRDefault="18CE3E28" w:rsidP="001F1040">
            <w:pPr>
              <w:pStyle w:val="CMR-tables"/>
              <w:keepNext/>
              <w:jc w:val="right"/>
              <w:rPr>
                <w:rFonts w:cs="Times New Roman"/>
                <w:noProof/>
                <w:szCs w:val="20"/>
              </w:rPr>
            </w:pPr>
            <w:r>
              <w:rPr>
                <w:noProof/>
                <w:color w:val="000000" w:themeColor="text1"/>
              </w:rPr>
              <w:t>14,24</w:t>
            </w:r>
          </w:p>
        </w:tc>
        <w:tc>
          <w:tcPr>
            <w:tcW w:w="502" w:type="pct"/>
            <w:vAlign w:val="center"/>
          </w:tcPr>
          <w:p w14:paraId="3C320308" w14:textId="1C5D73A4" w:rsidR="00B72CCE" w:rsidRPr="00EB1066" w:rsidRDefault="2689B561" w:rsidP="001F1040">
            <w:pPr>
              <w:pStyle w:val="CMR-tables"/>
              <w:keepNext/>
              <w:jc w:val="right"/>
              <w:rPr>
                <w:rFonts w:cs="Times New Roman"/>
                <w:noProof/>
                <w:szCs w:val="20"/>
              </w:rPr>
            </w:pPr>
            <w:r>
              <w:rPr>
                <w:noProof/>
                <w:color w:val="000000" w:themeColor="text1"/>
              </w:rPr>
              <w:t>0,17</w:t>
            </w:r>
          </w:p>
        </w:tc>
        <w:tc>
          <w:tcPr>
            <w:tcW w:w="485" w:type="pct"/>
            <w:vAlign w:val="center"/>
          </w:tcPr>
          <w:p w14:paraId="65AB1894" w14:textId="12278CB7" w:rsidR="00B72CCE" w:rsidRPr="00EB1066" w:rsidRDefault="228C4266" w:rsidP="001F1040">
            <w:pPr>
              <w:pStyle w:val="CMR-tables"/>
              <w:keepNext/>
              <w:jc w:val="right"/>
              <w:rPr>
                <w:rFonts w:cs="Times New Roman"/>
                <w:noProof/>
                <w:szCs w:val="20"/>
              </w:rPr>
            </w:pPr>
            <w:r>
              <w:rPr>
                <w:noProof/>
                <w:color w:val="000000" w:themeColor="text1"/>
              </w:rPr>
              <w:t>20,22</w:t>
            </w:r>
          </w:p>
        </w:tc>
      </w:tr>
      <w:bookmarkEnd w:id="105"/>
    </w:tbl>
    <w:p w14:paraId="30EB7862" w14:textId="77777777" w:rsidR="00EB3A56" w:rsidRPr="00685D02" w:rsidRDefault="00EB3A56" w:rsidP="00A63877">
      <w:pPr>
        <w:pStyle w:val="CMR-text"/>
        <w:rPr>
          <w:rFonts w:cs="Times New Roman"/>
          <w:noProof/>
          <w:highlight w:val="yellow"/>
          <w:lang w:val="en-IE"/>
        </w:rPr>
        <w:sectPr w:rsidR="00EB3A56" w:rsidRPr="00685D02" w:rsidSect="00B2767E">
          <w:headerReference w:type="even" r:id="rId45"/>
          <w:headerReference w:type="default" r:id="rId46"/>
          <w:footerReference w:type="even" r:id="rId47"/>
          <w:footerReference w:type="default" r:id="rId48"/>
          <w:headerReference w:type="first" r:id="rId49"/>
          <w:footerReference w:type="first" r:id="rId50"/>
          <w:pgSz w:w="16838" w:h="11906" w:orient="landscape"/>
          <w:pgMar w:top="1440" w:right="1440" w:bottom="1440" w:left="1440" w:header="709" w:footer="709" w:gutter="0"/>
          <w:cols w:space="708"/>
          <w:docGrid w:linePitch="360"/>
        </w:sectPr>
      </w:pPr>
    </w:p>
    <w:p w14:paraId="76CECA03" w14:textId="53F95AA3" w:rsidR="001B6B22" w:rsidRPr="00EB1066" w:rsidRDefault="001B6B22" w:rsidP="00BB63DC">
      <w:pPr>
        <w:pStyle w:val="Caption"/>
        <w:keepNext/>
        <w:rPr>
          <w:noProof/>
          <w:sz w:val="20"/>
        </w:rPr>
      </w:pPr>
      <w:bookmarkStart w:id="106" w:name="_Ref176770365"/>
      <w:bookmarkStart w:id="107" w:name="_Ref176770359"/>
      <w:r>
        <w:rPr>
          <w:noProof/>
          <w:sz w:val="20"/>
        </w:rPr>
        <w:t>10 lentelė</w:t>
      </w:r>
      <w:bookmarkEnd w:id="106"/>
      <w:r>
        <w:rPr>
          <w:noProof/>
          <w:sz w:val="20"/>
        </w:rPr>
        <w:t>. Apyvartinių taršos leidimų perkėlimas tarp ES ATLPS ir Šveicarijos ATLPS (2020–2024 m.).</w:t>
      </w:r>
      <w:bookmarkEnd w:id="107"/>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26"/>
        <w:gridCol w:w="1131"/>
        <w:gridCol w:w="1132"/>
        <w:gridCol w:w="1132"/>
        <w:gridCol w:w="1132"/>
        <w:gridCol w:w="1131"/>
        <w:gridCol w:w="1132"/>
      </w:tblGrid>
      <w:tr w:rsidR="00181A1C" w:rsidRPr="00EB1066" w14:paraId="7F42DEAF" w14:textId="77777777" w:rsidTr="00382783">
        <w:trPr>
          <w:cantSplit/>
          <w:trHeight w:val="720"/>
        </w:trPr>
        <w:tc>
          <w:tcPr>
            <w:tcW w:w="1234" w:type="pct"/>
            <w:vAlign w:val="center"/>
          </w:tcPr>
          <w:p w14:paraId="71018D53" w14:textId="47484442" w:rsidR="00181A1C" w:rsidRPr="00EB1066" w:rsidRDefault="00181A1C" w:rsidP="00353D57">
            <w:pPr>
              <w:pStyle w:val="CMR-tables"/>
              <w:tabs>
                <w:tab w:val="left" w:pos="2455"/>
              </w:tabs>
              <w:jc w:val="center"/>
              <w:rPr>
                <w:rFonts w:cs="Times New Roman"/>
                <w:noProof/>
                <w:szCs w:val="20"/>
              </w:rPr>
            </w:pPr>
            <w:r>
              <w:rPr>
                <w:b/>
                <w:noProof/>
              </w:rPr>
              <w:t>Metai</w:t>
            </w:r>
          </w:p>
        </w:tc>
        <w:tc>
          <w:tcPr>
            <w:tcW w:w="627" w:type="pct"/>
            <w:vAlign w:val="center"/>
          </w:tcPr>
          <w:p w14:paraId="6397957F" w14:textId="77777777" w:rsidR="00181A1C" w:rsidRPr="00EB1066" w:rsidRDefault="00181A1C" w:rsidP="00353D57">
            <w:pPr>
              <w:pStyle w:val="CMR-tables"/>
              <w:jc w:val="center"/>
              <w:rPr>
                <w:rFonts w:cs="Times New Roman"/>
                <w:noProof/>
                <w:szCs w:val="20"/>
              </w:rPr>
            </w:pPr>
            <w:r>
              <w:rPr>
                <w:noProof/>
              </w:rPr>
              <w:t>2020</w:t>
            </w:r>
          </w:p>
        </w:tc>
        <w:tc>
          <w:tcPr>
            <w:tcW w:w="628" w:type="pct"/>
            <w:vAlign w:val="center"/>
          </w:tcPr>
          <w:p w14:paraId="494F1C27" w14:textId="77777777" w:rsidR="00181A1C" w:rsidRPr="00EB1066" w:rsidRDefault="00181A1C" w:rsidP="00353D57">
            <w:pPr>
              <w:pStyle w:val="CMR-tables"/>
              <w:jc w:val="center"/>
              <w:rPr>
                <w:rFonts w:cs="Times New Roman"/>
                <w:noProof/>
                <w:szCs w:val="20"/>
              </w:rPr>
            </w:pPr>
            <w:r>
              <w:rPr>
                <w:noProof/>
              </w:rPr>
              <w:t>2021</w:t>
            </w:r>
          </w:p>
        </w:tc>
        <w:tc>
          <w:tcPr>
            <w:tcW w:w="628" w:type="pct"/>
            <w:vAlign w:val="center"/>
          </w:tcPr>
          <w:p w14:paraId="7AF7D709" w14:textId="77777777" w:rsidR="00181A1C" w:rsidRPr="00EB1066" w:rsidRDefault="00181A1C" w:rsidP="00353D57">
            <w:pPr>
              <w:pStyle w:val="CMR-tables"/>
              <w:jc w:val="center"/>
              <w:rPr>
                <w:rFonts w:cs="Times New Roman"/>
                <w:noProof/>
                <w:szCs w:val="20"/>
              </w:rPr>
            </w:pPr>
            <w:r>
              <w:rPr>
                <w:noProof/>
              </w:rPr>
              <w:t>2022</w:t>
            </w:r>
          </w:p>
        </w:tc>
        <w:tc>
          <w:tcPr>
            <w:tcW w:w="628" w:type="pct"/>
            <w:vAlign w:val="center"/>
          </w:tcPr>
          <w:p w14:paraId="0B0FE6C5" w14:textId="42869404" w:rsidR="00181A1C" w:rsidRPr="00EB1066" w:rsidRDefault="00181A1C" w:rsidP="00353D57">
            <w:pPr>
              <w:pStyle w:val="CMR-tables"/>
              <w:jc w:val="center"/>
              <w:rPr>
                <w:rFonts w:cs="Times New Roman"/>
                <w:noProof/>
                <w:szCs w:val="20"/>
              </w:rPr>
            </w:pPr>
            <w:r>
              <w:rPr>
                <w:noProof/>
              </w:rPr>
              <w:t>2023</w:t>
            </w:r>
          </w:p>
        </w:tc>
        <w:tc>
          <w:tcPr>
            <w:tcW w:w="627" w:type="pct"/>
            <w:vAlign w:val="center"/>
          </w:tcPr>
          <w:p w14:paraId="56C6D9C9" w14:textId="257C9615" w:rsidR="00181A1C" w:rsidRPr="00EB1066" w:rsidRDefault="00181A1C" w:rsidP="00181A1C">
            <w:pPr>
              <w:pStyle w:val="CMR-tables"/>
              <w:jc w:val="center"/>
              <w:rPr>
                <w:rFonts w:cs="Times New Roman"/>
                <w:noProof/>
                <w:szCs w:val="20"/>
              </w:rPr>
            </w:pPr>
            <w:r>
              <w:rPr>
                <w:noProof/>
              </w:rPr>
              <w:t>2024</w:t>
            </w:r>
          </w:p>
        </w:tc>
        <w:tc>
          <w:tcPr>
            <w:tcW w:w="628" w:type="pct"/>
            <w:vAlign w:val="center"/>
          </w:tcPr>
          <w:p w14:paraId="1101706E" w14:textId="6379E804" w:rsidR="00181A1C" w:rsidRPr="00EB1066" w:rsidRDefault="00181A1C" w:rsidP="00353D57">
            <w:pPr>
              <w:pStyle w:val="CMR-tables"/>
              <w:jc w:val="center"/>
              <w:rPr>
                <w:rFonts w:cs="Times New Roman"/>
                <w:b/>
                <w:noProof/>
                <w:szCs w:val="20"/>
              </w:rPr>
            </w:pPr>
            <w:r>
              <w:rPr>
                <w:b/>
                <w:noProof/>
              </w:rPr>
              <w:t>Iš viso</w:t>
            </w:r>
          </w:p>
        </w:tc>
      </w:tr>
      <w:tr w:rsidR="00181A1C" w:rsidRPr="00EB1066" w14:paraId="26C3505D" w14:textId="77777777" w:rsidTr="00382783">
        <w:trPr>
          <w:cantSplit/>
          <w:trHeight w:val="925"/>
        </w:trPr>
        <w:tc>
          <w:tcPr>
            <w:tcW w:w="1234" w:type="pct"/>
            <w:shd w:val="clear" w:color="auto" w:fill="D9E2F3" w:themeFill="accent1" w:themeFillTint="33"/>
            <w:vAlign w:val="center"/>
          </w:tcPr>
          <w:p w14:paraId="361B88E8" w14:textId="03AC8415" w:rsidR="00181A1C" w:rsidRPr="00EB1066" w:rsidRDefault="00181A1C" w:rsidP="00BB63DC">
            <w:pPr>
              <w:pStyle w:val="CMR-tables"/>
              <w:rPr>
                <w:rFonts w:cs="Times New Roman"/>
                <w:b/>
                <w:i/>
                <w:noProof/>
                <w:szCs w:val="20"/>
              </w:rPr>
            </w:pPr>
            <w:r>
              <w:rPr>
                <w:b/>
                <w:i/>
                <w:noProof/>
              </w:rPr>
              <w:t>Perkėlimas iš ES ATLPS į Šveicarijos ATLPS</w:t>
            </w:r>
          </w:p>
        </w:tc>
        <w:tc>
          <w:tcPr>
            <w:tcW w:w="627" w:type="pct"/>
            <w:shd w:val="clear" w:color="auto" w:fill="D9E2F3" w:themeFill="accent1" w:themeFillTint="33"/>
            <w:vAlign w:val="center"/>
          </w:tcPr>
          <w:p w14:paraId="595FF6C2" w14:textId="0C53D99F" w:rsidR="00181A1C" w:rsidRPr="00EB1066" w:rsidRDefault="00181A1C" w:rsidP="00353D57">
            <w:pPr>
              <w:pStyle w:val="CMR-tables"/>
              <w:jc w:val="right"/>
              <w:rPr>
                <w:rFonts w:cs="Times New Roman"/>
                <w:noProof/>
                <w:szCs w:val="20"/>
              </w:rPr>
            </w:pPr>
            <w:r>
              <w:rPr>
                <w:noProof/>
              </w:rPr>
              <w:t>475 679</w:t>
            </w:r>
          </w:p>
        </w:tc>
        <w:tc>
          <w:tcPr>
            <w:tcW w:w="628" w:type="pct"/>
            <w:shd w:val="clear" w:color="auto" w:fill="D9E2F3" w:themeFill="accent1" w:themeFillTint="33"/>
            <w:vAlign w:val="center"/>
          </w:tcPr>
          <w:p w14:paraId="518A5F72" w14:textId="602199D0" w:rsidR="00181A1C" w:rsidRPr="00EB1066" w:rsidRDefault="00181A1C" w:rsidP="00353D57">
            <w:pPr>
              <w:pStyle w:val="CMR-tables"/>
              <w:jc w:val="right"/>
              <w:rPr>
                <w:rFonts w:cs="Times New Roman"/>
                <w:noProof/>
                <w:szCs w:val="20"/>
              </w:rPr>
            </w:pPr>
            <w:r>
              <w:rPr>
                <w:noProof/>
              </w:rPr>
              <w:t>1 051 360</w:t>
            </w:r>
          </w:p>
        </w:tc>
        <w:tc>
          <w:tcPr>
            <w:tcW w:w="628" w:type="pct"/>
            <w:shd w:val="clear" w:color="auto" w:fill="D9E2F3" w:themeFill="accent1" w:themeFillTint="33"/>
            <w:vAlign w:val="center"/>
          </w:tcPr>
          <w:p w14:paraId="447C72A1" w14:textId="74111D5C" w:rsidR="00181A1C" w:rsidRPr="00EB1066" w:rsidRDefault="00181A1C" w:rsidP="00353D57">
            <w:pPr>
              <w:pStyle w:val="CMR-tables"/>
              <w:jc w:val="right"/>
              <w:rPr>
                <w:rFonts w:cs="Times New Roman"/>
                <w:noProof/>
                <w:szCs w:val="20"/>
              </w:rPr>
            </w:pPr>
            <w:r>
              <w:rPr>
                <w:noProof/>
              </w:rPr>
              <w:t>1 714 499</w:t>
            </w:r>
          </w:p>
        </w:tc>
        <w:tc>
          <w:tcPr>
            <w:tcW w:w="628" w:type="pct"/>
            <w:shd w:val="clear" w:color="auto" w:fill="D9E2F3" w:themeFill="accent1" w:themeFillTint="33"/>
            <w:vAlign w:val="center"/>
          </w:tcPr>
          <w:p w14:paraId="134AAE3A" w14:textId="543859C0" w:rsidR="00181A1C" w:rsidRPr="00EB1066" w:rsidRDefault="00181A1C" w:rsidP="00353D57">
            <w:pPr>
              <w:pStyle w:val="CMR-tables"/>
              <w:jc w:val="right"/>
              <w:rPr>
                <w:rFonts w:cs="Times New Roman"/>
                <w:noProof/>
                <w:szCs w:val="20"/>
              </w:rPr>
            </w:pPr>
            <w:r>
              <w:rPr>
                <w:noProof/>
              </w:rPr>
              <w:t>2 603 612</w:t>
            </w:r>
          </w:p>
        </w:tc>
        <w:tc>
          <w:tcPr>
            <w:tcW w:w="627" w:type="pct"/>
            <w:shd w:val="clear" w:color="auto" w:fill="D9E2F3" w:themeFill="accent1" w:themeFillTint="33"/>
            <w:vAlign w:val="center"/>
          </w:tcPr>
          <w:p w14:paraId="0E84CB1D" w14:textId="75473045" w:rsidR="00181A1C" w:rsidRPr="00EB1066" w:rsidRDefault="00475DBD" w:rsidP="00181A1C">
            <w:pPr>
              <w:pStyle w:val="CMR-tables"/>
              <w:jc w:val="center"/>
              <w:rPr>
                <w:rFonts w:cs="Times New Roman"/>
                <w:noProof/>
                <w:szCs w:val="20"/>
              </w:rPr>
            </w:pPr>
            <w:r>
              <w:rPr>
                <w:noProof/>
              </w:rPr>
              <w:t>1 591 527</w:t>
            </w:r>
          </w:p>
        </w:tc>
        <w:tc>
          <w:tcPr>
            <w:tcW w:w="628" w:type="pct"/>
            <w:shd w:val="clear" w:color="auto" w:fill="D9E2F3" w:themeFill="accent1" w:themeFillTint="33"/>
            <w:vAlign w:val="center"/>
          </w:tcPr>
          <w:p w14:paraId="754658A3" w14:textId="4713CB51" w:rsidR="00181A1C" w:rsidRPr="00EB1066" w:rsidRDefault="000E608E" w:rsidP="00353D57">
            <w:pPr>
              <w:pStyle w:val="CMR-tables"/>
              <w:jc w:val="right"/>
              <w:rPr>
                <w:rFonts w:cs="Times New Roman"/>
                <w:b/>
                <w:noProof/>
                <w:szCs w:val="20"/>
              </w:rPr>
            </w:pPr>
            <w:r>
              <w:rPr>
                <w:b/>
                <w:noProof/>
              </w:rPr>
              <w:t>7 436 677</w:t>
            </w:r>
          </w:p>
        </w:tc>
      </w:tr>
      <w:tr w:rsidR="00181A1C" w:rsidRPr="00EB1066" w14:paraId="3EB83540" w14:textId="77777777" w:rsidTr="00382783">
        <w:trPr>
          <w:cantSplit/>
          <w:trHeight w:val="925"/>
        </w:trPr>
        <w:tc>
          <w:tcPr>
            <w:tcW w:w="1234" w:type="pct"/>
            <w:vAlign w:val="center"/>
          </w:tcPr>
          <w:p w14:paraId="3DAFB15A" w14:textId="03E93676" w:rsidR="00181A1C" w:rsidRPr="00EB1066" w:rsidRDefault="00181A1C" w:rsidP="00E56EDC">
            <w:pPr>
              <w:pStyle w:val="CMR-tables"/>
              <w:rPr>
                <w:rFonts w:cs="Times New Roman"/>
                <w:b/>
                <w:i/>
                <w:noProof/>
                <w:szCs w:val="20"/>
              </w:rPr>
            </w:pPr>
            <w:r>
              <w:rPr>
                <w:b/>
                <w:i/>
                <w:noProof/>
              </w:rPr>
              <w:t>Perkėlimas iš Šveicarijos ATLPS į ES ATLPS</w:t>
            </w:r>
          </w:p>
        </w:tc>
        <w:tc>
          <w:tcPr>
            <w:tcW w:w="627" w:type="pct"/>
            <w:vAlign w:val="center"/>
          </w:tcPr>
          <w:p w14:paraId="1833997F" w14:textId="77777777" w:rsidR="00181A1C" w:rsidRPr="00EB1066" w:rsidRDefault="00181A1C" w:rsidP="00353D57">
            <w:pPr>
              <w:pStyle w:val="CMR-tables"/>
              <w:jc w:val="right"/>
              <w:rPr>
                <w:rFonts w:cs="Times New Roman"/>
                <w:noProof/>
                <w:szCs w:val="20"/>
              </w:rPr>
            </w:pPr>
            <w:r>
              <w:rPr>
                <w:noProof/>
              </w:rPr>
              <w:t>0</w:t>
            </w:r>
          </w:p>
        </w:tc>
        <w:tc>
          <w:tcPr>
            <w:tcW w:w="628" w:type="pct"/>
            <w:vAlign w:val="center"/>
          </w:tcPr>
          <w:p w14:paraId="0E9461C6" w14:textId="7EB4D824" w:rsidR="00181A1C" w:rsidRPr="00EB1066" w:rsidRDefault="00181A1C" w:rsidP="00353D57">
            <w:pPr>
              <w:pStyle w:val="CMR-tables"/>
              <w:jc w:val="right"/>
              <w:rPr>
                <w:rFonts w:cs="Times New Roman"/>
                <w:noProof/>
                <w:szCs w:val="20"/>
              </w:rPr>
            </w:pPr>
            <w:r>
              <w:rPr>
                <w:noProof/>
              </w:rPr>
              <w:t>1 523 770</w:t>
            </w:r>
          </w:p>
        </w:tc>
        <w:tc>
          <w:tcPr>
            <w:tcW w:w="628" w:type="pct"/>
            <w:vAlign w:val="center"/>
          </w:tcPr>
          <w:p w14:paraId="6D77AB17" w14:textId="7AD4D0FD" w:rsidR="00181A1C" w:rsidRPr="00EB1066" w:rsidRDefault="00181A1C" w:rsidP="00353D57">
            <w:pPr>
              <w:pStyle w:val="CMR-tables"/>
              <w:jc w:val="right"/>
              <w:rPr>
                <w:rFonts w:cs="Times New Roman"/>
                <w:noProof/>
                <w:szCs w:val="20"/>
              </w:rPr>
            </w:pPr>
            <w:r>
              <w:rPr>
                <w:noProof/>
              </w:rPr>
              <w:t>1 215 662</w:t>
            </w:r>
          </w:p>
        </w:tc>
        <w:tc>
          <w:tcPr>
            <w:tcW w:w="628" w:type="pct"/>
            <w:vAlign w:val="center"/>
          </w:tcPr>
          <w:p w14:paraId="2EE7E139" w14:textId="49F37C48" w:rsidR="00181A1C" w:rsidRPr="00EB1066" w:rsidRDefault="00181A1C" w:rsidP="00353D57">
            <w:pPr>
              <w:pStyle w:val="CMR-tables"/>
              <w:jc w:val="right"/>
              <w:rPr>
                <w:rFonts w:cs="Times New Roman"/>
                <w:noProof/>
                <w:szCs w:val="20"/>
              </w:rPr>
            </w:pPr>
            <w:r>
              <w:rPr>
                <w:noProof/>
              </w:rPr>
              <w:t>1 837 292</w:t>
            </w:r>
          </w:p>
        </w:tc>
        <w:tc>
          <w:tcPr>
            <w:tcW w:w="627" w:type="pct"/>
            <w:vAlign w:val="center"/>
          </w:tcPr>
          <w:p w14:paraId="236ACEB7" w14:textId="5D6BACD4" w:rsidR="00181A1C" w:rsidRPr="00EB1066" w:rsidRDefault="00F0793A" w:rsidP="00181A1C">
            <w:pPr>
              <w:pStyle w:val="CMR-tables"/>
              <w:jc w:val="center"/>
              <w:rPr>
                <w:rFonts w:cs="Times New Roman"/>
                <w:noProof/>
                <w:szCs w:val="20"/>
              </w:rPr>
            </w:pPr>
            <w:r>
              <w:rPr>
                <w:noProof/>
              </w:rPr>
              <w:t>1 575 296</w:t>
            </w:r>
          </w:p>
        </w:tc>
        <w:tc>
          <w:tcPr>
            <w:tcW w:w="628" w:type="pct"/>
            <w:vAlign w:val="center"/>
          </w:tcPr>
          <w:p w14:paraId="22EB7A1B" w14:textId="06D22905" w:rsidR="00181A1C" w:rsidRPr="00EB1066" w:rsidRDefault="00DB6699" w:rsidP="00353D57">
            <w:pPr>
              <w:pStyle w:val="CMR-tables"/>
              <w:jc w:val="right"/>
              <w:rPr>
                <w:rFonts w:cs="Times New Roman"/>
                <w:b/>
                <w:noProof/>
                <w:szCs w:val="20"/>
              </w:rPr>
            </w:pPr>
            <w:r>
              <w:rPr>
                <w:b/>
                <w:noProof/>
              </w:rPr>
              <w:t>6 152 020</w:t>
            </w:r>
          </w:p>
        </w:tc>
      </w:tr>
      <w:tr w:rsidR="008F3BB4" w:rsidRPr="00EB1066" w14:paraId="3787FB5B" w14:textId="77777777" w:rsidTr="008F3BB4">
        <w:trPr>
          <w:cantSplit/>
          <w:trHeight w:val="720"/>
        </w:trPr>
        <w:tc>
          <w:tcPr>
            <w:tcW w:w="1234" w:type="pct"/>
            <w:shd w:val="clear" w:color="auto" w:fill="D9E2F3" w:themeFill="accent1" w:themeFillTint="33"/>
            <w:vAlign w:val="center"/>
          </w:tcPr>
          <w:p w14:paraId="5518365B" w14:textId="5EE81CC3" w:rsidR="008F3BB4" w:rsidRPr="00EB1066" w:rsidRDefault="008F3BB4" w:rsidP="001B6B22">
            <w:pPr>
              <w:pStyle w:val="CMR-tables"/>
              <w:jc w:val="center"/>
              <w:rPr>
                <w:rFonts w:cs="Times New Roman"/>
                <w:noProof/>
                <w:szCs w:val="20"/>
              </w:rPr>
            </w:pPr>
            <w:r>
              <w:rPr>
                <w:b/>
                <w:noProof/>
              </w:rPr>
              <w:t>Likutis</w:t>
            </w:r>
          </w:p>
        </w:tc>
        <w:tc>
          <w:tcPr>
            <w:tcW w:w="3766" w:type="pct"/>
            <w:gridSpan w:val="6"/>
            <w:shd w:val="clear" w:color="auto" w:fill="D9E2F3" w:themeFill="accent1" w:themeFillTint="33"/>
            <w:vAlign w:val="center"/>
          </w:tcPr>
          <w:p w14:paraId="0F9A8FB6" w14:textId="477C5CCA" w:rsidR="008F3BB4" w:rsidRPr="00EB1066" w:rsidRDefault="008F3BB4" w:rsidP="008F3BB4">
            <w:pPr>
              <w:pStyle w:val="CMR-tables"/>
              <w:jc w:val="center"/>
              <w:rPr>
                <w:rFonts w:cs="Times New Roman"/>
                <w:b/>
                <w:noProof/>
                <w:szCs w:val="20"/>
              </w:rPr>
            </w:pPr>
            <w:r>
              <w:rPr>
                <w:b/>
                <w:noProof/>
              </w:rPr>
              <w:t>1 284 657</w:t>
            </w:r>
          </w:p>
        </w:tc>
      </w:tr>
    </w:tbl>
    <w:p w14:paraId="6CC4EA26" w14:textId="71EEBF66" w:rsidR="009538E7" w:rsidRPr="00EC4FC3" w:rsidRDefault="002B069D" w:rsidP="00EC4FC3">
      <w:pPr>
        <w:pStyle w:val="CMR-Heading"/>
        <w:rPr>
          <w:noProof/>
        </w:rPr>
      </w:pPr>
      <w:r>
        <w:rPr>
          <w:noProof/>
        </w:rPr>
        <w:t xml:space="preserve"> </w:t>
      </w:r>
      <w:bookmarkStart w:id="108" w:name="_Toc219127298"/>
      <w:r>
        <w:rPr>
          <w:noProof/>
        </w:rPr>
        <w:t>Santrauka</w:t>
      </w:r>
      <w:bookmarkEnd w:id="108"/>
      <w:r>
        <w:rPr>
          <w:noProof/>
        </w:rPr>
        <w:t xml:space="preserve"> </w:t>
      </w:r>
    </w:p>
    <w:p w14:paraId="6316762A" w14:textId="23716889" w:rsidR="006464FB" w:rsidRPr="00685D02" w:rsidRDefault="008F58AB" w:rsidP="00DB0E27">
      <w:pPr>
        <w:pStyle w:val="CMR-text"/>
        <w:rPr>
          <w:rStyle w:val="CMR-textChar"/>
          <w:rFonts w:cs="Times New Roman"/>
          <w:noProof/>
        </w:rPr>
      </w:pPr>
      <w:r>
        <w:rPr>
          <w:rStyle w:val="CMR-textChar"/>
          <w:noProof/>
        </w:rPr>
        <w:t>Ataskaitoje pateikiama išsami ES ATLPS veikimo 2024 m. ir pirmąjį 2025 m. pusmetį apžvalga. Iš jos matyti, kad sistema ir toliau gerai veikė; tai palaikė išsamiai nustatyta ir veiksminga įgyvendinimo tvarka. Ataskaitoje taip pat paaiškinami bet kokie šios tvarkos pakeitimai, kurie jau įsigaliojo arba netrukus įsigalios, pirmiausia – 2026 m. viršutinės ribos koregavimas.</w:t>
      </w:r>
    </w:p>
    <w:p w14:paraId="5B009E32" w14:textId="6F07587D" w:rsidR="004E379B" w:rsidRPr="00685D02" w:rsidRDefault="006464FB" w:rsidP="00DB0E27">
      <w:pPr>
        <w:pStyle w:val="CMR-text"/>
        <w:rPr>
          <w:rStyle w:val="CMR-textChar"/>
          <w:rFonts w:cs="Times New Roman"/>
          <w:noProof/>
        </w:rPr>
      </w:pPr>
      <w:r>
        <w:rPr>
          <w:noProof/>
        </w:rPr>
        <w:t xml:space="preserve">Įrenginių išmetamųjų teršalų kiekis toliau mažėjo, tai lėmė didėjanti atsinaujinančiųjų energijos išteklių ir branduolinės energijos dalis elektros energijos rūšių derinyje ir mažesnė priklausomybė nuo iškastinio kuro. </w:t>
      </w:r>
      <w:r>
        <w:rPr>
          <w:rStyle w:val="CMR-textChar"/>
          <w:noProof/>
        </w:rPr>
        <w:t xml:space="preserve">Dėl šios raidos yra taip, kad teršalų, kuriems taikoma ATLPS, iš įrenginių išmetama jau apie 50 proc. mažiau nei 2005 m., ir sėkmingai siekiama ATLPS 2030 m. tikslo. </w:t>
      </w:r>
    </w:p>
    <w:p w14:paraId="2B65041F" w14:textId="6B9401A8" w:rsidR="008C7AC7" w:rsidRPr="00685D02" w:rsidRDefault="004D6FF7" w:rsidP="008C7AC7">
      <w:pPr>
        <w:pStyle w:val="CMR-text"/>
        <w:rPr>
          <w:rFonts w:cs="Times New Roman"/>
          <w:noProof/>
        </w:rPr>
      </w:pPr>
      <w:r>
        <w:rPr>
          <w:noProof/>
        </w:rPr>
        <w:t xml:space="preserve">Toliau siekti reikšmingo išmetamųjų teršalų kiekio sumažinimo ES ATLPS 2024 m. padėjo ilgalaikis tvirtas anglies dioksido kainos signalas. Europos vertybinių popierių ir rinkų institucijos vertinimu, ES anglies dioksido rinka 2024 m. išliko stabili ir toliau veikė pagal pagrindinius rinkos dėsnius. </w:t>
      </w:r>
    </w:p>
    <w:p w14:paraId="20D920C2" w14:textId="35BA0041" w:rsidR="00610483" w:rsidRPr="00685D02" w:rsidRDefault="00610483" w:rsidP="007B1057">
      <w:pPr>
        <w:pStyle w:val="CMR-text"/>
        <w:rPr>
          <w:rFonts w:cs="Times New Roman"/>
          <w:noProof/>
        </w:rPr>
      </w:pPr>
      <w:r>
        <w:rPr>
          <w:noProof/>
        </w:rPr>
        <w:t xml:space="preserve">ATLPS pajamos taip pat tebebuvo svarbus klimato srities veiksmų ir energetikos pertvarkos finansavimo šaltinis – 2024 m. joje gauta 38,8 mlrd. EUR pajamų, šios lėšos daugiausia paskirstytos nacionaliniams biudžetams, taip pat ATLPS inovacijų fondui, ATLPS modernizavimo fondui ir Ekonomikos gaivinimo ir atsparumo didinimo priemonei – planui „REPowerEU“. Bendras ES ATLPS iki šiol gautų pajamų dydis viršija 230 mlrd. EUR. </w:t>
      </w:r>
    </w:p>
    <w:p w14:paraId="762DCCFC" w14:textId="77E069F5" w:rsidR="00AE0A4E" w:rsidRPr="00685D02" w:rsidRDefault="00FB0147" w:rsidP="007B1057">
      <w:pPr>
        <w:pStyle w:val="CMR-text"/>
        <w:rPr>
          <w:rFonts w:cs="Times New Roman"/>
          <w:noProof/>
        </w:rPr>
      </w:pPr>
      <w:r>
        <w:rPr>
          <w:rStyle w:val="CMR-textChar"/>
          <w:noProof/>
        </w:rPr>
        <w:t xml:space="preserve">Apskritai ataskaitoje patvirtinama, kad ES ATLPS veikia kaip viena pagrindinių politikos paskatų investuoti į perėjimą prie švarios pramonės, inovacijas ir modernizaciją. </w:t>
      </w:r>
    </w:p>
    <w:p w14:paraId="5BC95B27" w14:textId="65FE1C60" w:rsidR="00DB0E27" w:rsidRPr="00685D02" w:rsidRDefault="00DB0E27" w:rsidP="000A7E90">
      <w:pPr>
        <w:pStyle w:val="CMR-text"/>
        <w:rPr>
          <w:rFonts w:cs="Times New Roman"/>
          <w:noProof/>
          <w:lang w:val="en-IE"/>
        </w:rPr>
      </w:pPr>
    </w:p>
    <w:sectPr w:rsidR="00DB0E27" w:rsidRPr="00685D02" w:rsidSect="00653662">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F923B" w14:textId="77777777" w:rsidR="000212E9" w:rsidRDefault="000212E9" w:rsidP="00187D4D">
      <w:pPr>
        <w:spacing w:after="0" w:line="240" w:lineRule="auto"/>
      </w:pPr>
      <w:r>
        <w:separator/>
      </w:r>
    </w:p>
  </w:endnote>
  <w:endnote w:type="continuationSeparator" w:id="0">
    <w:p w14:paraId="676E401D" w14:textId="77777777" w:rsidR="000212E9" w:rsidRDefault="000212E9" w:rsidP="00187D4D">
      <w:pPr>
        <w:spacing w:after="0" w:line="240" w:lineRule="auto"/>
      </w:pPr>
      <w:r>
        <w:continuationSeparator/>
      </w:r>
    </w:p>
  </w:endnote>
  <w:endnote w:type="continuationNotice" w:id="1">
    <w:p w14:paraId="59F82EA3" w14:textId="77777777" w:rsidR="000212E9" w:rsidRDefault="0002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22A9" w14:textId="4FBC89C4" w:rsidR="0080122D" w:rsidRPr="0080122D" w:rsidRDefault="0080122D" w:rsidP="0080122D">
    <w:pPr>
      <w:pStyle w:val="FooterCoverPage"/>
      <w:rPr>
        <w:rFonts w:ascii="Arial" w:hAnsi="Arial" w:cs="Arial"/>
        <w:b/>
        <w:sz w:val="48"/>
      </w:rPr>
    </w:pPr>
    <w:r w:rsidRPr="0080122D">
      <w:rPr>
        <w:rFonts w:ascii="Arial" w:hAnsi="Arial" w:cs="Arial"/>
        <w:b/>
        <w:sz w:val="48"/>
      </w:rPr>
      <w:t>LT</w:t>
    </w:r>
    <w:r w:rsidRPr="0080122D">
      <w:rPr>
        <w:rFonts w:ascii="Arial" w:hAnsi="Arial" w:cs="Arial"/>
        <w:b/>
        <w:sz w:val="48"/>
      </w:rPr>
      <w:tab/>
    </w:r>
    <w:r w:rsidRPr="0080122D">
      <w:rPr>
        <w:rFonts w:ascii="Arial" w:hAnsi="Arial" w:cs="Arial"/>
        <w:b/>
        <w:sz w:val="48"/>
      </w:rPr>
      <w:tab/>
    </w:r>
    <w:r w:rsidRPr="0080122D">
      <w:tab/>
    </w:r>
    <w:r w:rsidRPr="0080122D">
      <w:rPr>
        <w:rFonts w:ascii="Arial" w:hAnsi="Arial" w:cs="Arial"/>
        <w:b/>
        <w:sz w:val="48"/>
      </w:rPr>
      <w:t>LT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73BB" w14:textId="77777777" w:rsidR="00126559" w:rsidRDefault="001265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43787"/>
      <w:docPartObj>
        <w:docPartGallery w:val="Page Numbers (Bottom of Page)"/>
        <w:docPartUnique/>
      </w:docPartObj>
    </w:sdtPr>
    <w:sdtEndPr>
      <w:rPr>
        <w:noProof/>
      </w:rPr>
    </w:sdtEndPr>
    <w:sdtContent>
      <w:p w14:paraId="7859BE15" w14:textId="13B35C5C" w:rsidR="00C459FE" w:rsidRDefault="00C459FE" w:rsidP="00917BE8">
        <w:pPr>
          <w:pStyle w:val="CMR-footnote"/>
        </w:pPr>
        <w:r>
          <w:fldChar w:fldCharType="begin"/>
        </w:r>
        <w:r>
          <w:instrText xml:space="preserve"> PAGE   \* MERGEFORMAT </w:instrText>
        </w:r>
        <w:r>
          <w:fldChar w:fldCharType="separate"/>
        </w:r>
        <w:r w:rsidR="006E4B3F">
          <w:rPr>
            <w:noProof/>
          </w:rPr>
          <w:t>12</w:t>
        </w:r>
        <w:r>
          <w:fldChar w:fldCharType="end"/>
        </w:r>
      </w:p>
    </w:sdtContent>
  </w:sdt>
  <w:p w14:paraId="25DE1428" w14:textId="77777777" w:rsidR="00C459FE" w:rsidRDefault="00C459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4CFA" w14:textId="77777777" w:rsidR="00126559" w:rsidRDefault="001265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9B3D" w14:textId="77777777" w:rsidR="00890E07" w:rsidRDefault="00890E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89614"/>
      <w:docPartObj>
        <w:docPartGallery w:val="Page Numbers (Bottom of Page)"/>
        <w:docPartUnique/>
      </w:docPartObj>
    </w:sdtPr>
    <w:sdtEndPr>
      <w:rPr>
        <w:noProof/>
      </w:rPr>
    </w:sdtEndPr>
    <w:sdtContent>
      <w:p w14:paraId="3E947225" w14:textId="77777777" w:rsidR="00C459FE" w:rsidRDefault="00C459FE" w:rsidP="00917BE8">
        <w:pPr>
          <w:pStyle w:val="CMR-footnote"/>
        </w:pPr>
        <w:r>
          <w:fldChar w:fldCharType="begin"/>
        </w:r>
        <w:r>
          <w:instrText xml:space="preserve"> PAGE   \* MERGEFORMAT </w:instrText>
        </w:r>
        <w:r>
          <w:fldChar w:fldCharType="separate"/>
        </w:r>
        <w:r>
          <w:t>2</w:t>
        </w:r>
        <w:r>
          <w:fldChar w:fldCharType="end"/>
        </w:r>
      </w:p>
    </w:sdtContent>
  </w:sdt>
  <w:p w14:paraId="5FEBCD55" w14:textId="77777777" w:rsidR="00C459FE" w:rsidRDefault="00C459F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65BC" w14:textId="77777777" w:rsidR="00890E07" w:rsidRDefault="00890E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638D" w14:textId="77777777" w:rsidR="00890E07" w:rsidRDefault="00890E0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057874"/>
      <w:docPartObj>
        <w:docPartGallery w:val="Page Numbers (Bottom of Page)"/>
        <w:docPartUnique/>
      </w:docPartObj>
    </w:sdtPr>
    <w:sdtEndPr>
      <w:rPr>
        <w:noProof/>
      </w:rPr>
    </w:sdtEndPr>
    <w:sdtContent>
      <w:p w14:paraId="35DD928A" w14:textId="77777777" w:rsidR="00C459FE" w:rsidRDefault="00C459FE" w:rsidP="00917BE8">
        <w:pPr>
          <w:pStyle w:val="CMR-footnote"/>
        </w:pPr>
        <w:r>
          <w:fldChar w:fldCharType="begin"/>
        </w:r>
        <w:r>
          <w:instrText xml:space="preserve"> PAGE   \* MERGEFORMAT </w:instrText>
        </w:r>
        <w:r>
          <w:fldChar w:fldCharType="separate"/>
        </w:r>
        <w:r>
          <w:t>2</w:t>
        </w:r>
        <w:r>
          <w:fldChar w:fldCharType="end"/>
        </w:r>
      </w:p>
    </w:sdtContent>
  </w:sdt>
  <w:p w14:paraId="104B8D8E" w14:textId="77777777" w:rsidR="00C459FE" w:rsidRDefault="00C459F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A0E9" w14:textId="77777777" w:rsidR="00890E07" w:rsidRDefault="0089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37B2" w14:textId="0234F110" w:rsidR="0080122D" w:rsidRPr="0080122D" w:rsidRDefault="0080122D" w:rsidP="0080122D">
    <w:pPr>
      <w:pStyle w:val="FooterCoverPage"/>
      <w:rPr>
        <w:rFonts w:ascii="Arial" w:hAnsi="Arial" w:cs="Arial"/>
        <w:b/>
        <w:sz w:val="48"/>
      </w:rPr>
    </w:pPr>
    <w:r w:rsidRPr="0080122D">
      <w:rPr>
        <w:rFonts w:ascii="Arial" w:hAnsi="Arial" w:cs="Arial"/>
        <w:b/>
        <w:sz w:val="48"/>
      </w:rPr>
      <w:t>LT</w:t>
    </w:r>
    <w:r w:rsidRPr="0080122D">
      <w:rPr>
        <w:rFonts w:ascii="Arial" w:hAnsi="Arial" w:cs="Arial"/>
        <w:b/>
        <w:sz w:val="48"/>
      </w:rPr>
      <w:tab/>
    </w:r>
    <w:r w:rsidRPr="0080122D">
      <w:rPr>
        <w:rFonts w:ascii="Arial" w:hAnsi="Arial" w:cs="Arial"/>
        <w:b/>
        <w:sz w:val="48"/>
      </w:rPr>
      <w:tab/>
    </w:r>
    <w:r w:rsidRPr="0080122D">
      <w:tab/>
    </w:r>
    <w:r w:rsidRPr="0080122D">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49095" w14:textId="77777777" w:rsidR="0080122D" w:rsidRPr="0080122D" w:rsidRDefault="0080122D" w:rsidP="0080122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7B99" w14:textId="77777777" w:rsidR="007B07AD" w:rsidRDefault="007B0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983863"/>
      <w:docPartObj>
        <w:docPartGallery w:val="Page Numbers (Bottom of Page)"/>
        <w:docPartUnique/>
      </w:docPartObj>
    </w:sdtPr>
    <w:sdtEndPr>
      <w:rPr>
        <w:noProof/>
      </w:rPr>
    </w:sdtEndPr>
    <w:sdtContent>
      <w:p w14:paraId="63396212" w14:textId="3494F814" w:rsidR="008E0063" w:rsidRDefault="008E0063" w:rsidP="00917BE8">
        <w:pPr>
          <w:pStyle w:val="CMR-footnote"/>
        </w:pPr>
        <w:r>
          <w:fldChar w:fldCharType="begin"/>
        </w:r>
        <w:r>
          <w:instrText xml:space="preserve"> PAGE   \* MERGEFORMAT </w:instrText>
        </w:r>
        <w:r>
          <w:fldChar w:fldCharType="separate"/>
        </w:r>
        <w:r w:rsidR="0080122D">
          <w:rPr>
            <w:noProof/>
          </w:rPr>
          <w:t>1</w:t>
        </w:r>
        <w:r>
          <w:fldChar w:fldCharType="end"/>
        </w:r>
      </w:p>
    </w:sdtContent>
  </w:sdt>
  <w:p w14:paraId="2B742DF3" w14:textId="77777777" w:rsidR="008E0063" w:rsidRDefault="008E0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0DA3" w14:textId="77777777" w:rsidR="002B6CFB" w:rsidRDefault="002B6C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18A6" w14:textId="77777777" w:rsidR="00126559" w:rsidRDefault="001265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18881"/>
      <w:docPartObj>
        <w:docPartGallery w:val="Page Numbers (Bottom of Page)"/>
        <w:docPartUnique/>
      </w:docPartObj>
    </w:sdtPr>
    <w:sdtEndPr>
      <w:rPr>
        <w:noProof/>
      </w:rPr>
    </w:sdtEndPr>
    <w:sdtContent>
      <w:p w14:paraId="4D8A8553" w14:textId="246BB3B4" w:rsidR="00126559" w:rsidRDefault="00126559" w:rsidP="00917BE8">
        <w:pPr>
          <w:pStyle w:val="CMR-footnote"/>
        </w:pPr>
        <w:r>
          <w:fldChar w:fldCharType="begin"/>
        </w:r>
        <w:r>
          <w:instrText xml:space="preserve"> PAGE   \* MERGEFORMAT </w:instrText>
        </w:r>
        <w:r>
          <w:fldChar w:fldCharType="separate"/>
        </w:r>
        <w:r w:rsidR="006E4B3F">
          <w:rPr>
            <w:noProof/>
          </w:rPr>
          <w:t>10</w:t>
        </w:r>
        <w:r>
          <w:fldChar w:fldCharType="end"/>
        </w:r>
      </w:p>
    </w:sdtContent>
  </w:sdt>
  <w:p w14:paraId="56299D3D" w14:textId="77777777" w:rsidR="00126559" w:rsidRDefault="001265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4DDB" w14:textId="77777777" w:rsidR="00126559" w:rsidRDefault="0012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47CD6" w14:textId="77777777" w:rsidR="000212E9" w:rsidRDefault="000212E9" w:rsidP="00187D4D">
      <w:pPr>
        <w:spacing w:after="0" w:line="240" w:lineRule="auto"/>
      </w:pPr>
      <w:r>
        <w:separator/>
      </w:r>
    </w:p>
  </w:footnote>
  <w:footnote w:type="continuationSeparator" w:id="0">
    <w:p w14:paraId="3CD852C7" w14:textId="77777777" w:rsidR="000212E9" w:rsidRDefault="000212E9" w:rsidP="00187D4D">
      <w:pPr>
        <w:spacing w:after="0" w:line="240" w:lineRule="auto"/>
      </w:pPr>
      <w:r>
        <w:continuationSeparator/>
      </w:r>
    </w:p>
  </w:footnote>
  <w:footnote w:type="continuationNotice" w:id="1">
    <w:p w14:paraId="7709CD32" w14:textId="77777777" w:rsidR="000212E9" w:rsidRDefault="000212E9">
      <w:pPr>
        <w:spacing w:after="0" w:line="240" w:lineRule="auto"/>
      </w:pPr>
    </w:p>
  </w:footnote>
  <w:footnote w:id="2">
    <w:p w14:paraId="1E4C2BC3" w14:textId="230AF9FB" w:rsidR="00317318" w:rsidRPr="0051224B" w:rsidRDefault="00317318" w:rsidP="00917BE8">
      <w:pPr>
        <w:pStyle w:val="CMR-footnote"/>
      </w:pPr>
      <w:r>
        <w:rPr>
          <w:rStyle w:val="FootnoteReference"/>
          <w:rFonts w:cs="Times New Roman"/>
        </w:rPr>
        <w:footnoteRef/>
      </w:r>
      <w:r>
        <w:t xml:space="preserve"> 2024 m. iš elektros energijos ir pramonės sektorių įrenginių (neįtraukiant Jungtinės Karalystės, </w:t>
      </w:r>
      <w:bookmarkStart w:id="4" w:name="_Hlk148353475"/>
      <w:bookmarkStart w:id="5" w:name="_Hlk148353367"/>
      <w:r>
        <w:t>įtraukiant tik Šiaurės Airijos elektros energijos sektorių)</w:t>
      </w:r>
      <w:bookmarkEnd w:id="4"/>
      <w:bookmarkEnd w:id="5"/>
      <w:r>
        <w:t xml:space="preserve"> išmestų teršalų, kuriems taikoma ATLPS, kiekis, palyginamas su toje pačioje taikymo srityje nustatyta koreguota 2005 m. išmestų teršalų, kuriems taikoma ATLPS, kiekio verte. Remtasi Europos aplinkos agentūros </w:t>
      </w:r>
      <w:hyperlink r:id="rId1" w:history="1">
        <w:r>
          <w:rPr>
            <w:rStyle w:val="Hyperlink"/>
          </w:rPr>
          <w:t>ATLPS duomenų žiūrykle</w:t>
        </w:r>
      </w:hyperlink>
      <w:r>
        <w:t xml:space="preserve">, joje duomenys gauti 2025 m. rugpjūčio 31 d. </w:t>
      </w:r>
    </w:p>
  </w:footnote>
  <w:footnote w:id="3">
    <w:p w14:paraId="5C24AA6B" w14:textId="3B861E64" w:rsidR="00C51F0B" w:rsidRPr="001F1040" w:rsidRDefault="00C51F0B" w:rsidP="00917BE8">
      <w:pPr>
        <w:pStyle w:val="CMR-footnote"/>
      </w:pPr>
      <w:r>
        <w:rPr>
          <w:rStyle w:val="FootnoteReference"/>
        </w:rPr>
        <w:footnoteRef/>
      </w:r>
      <w:r>
        <w:t xml:space="preserve"> Daugiau informacijos rasite Komisijos svetainės tinklalapiuose </w:t>
      </w:r>
      <w:hyperlink r:id="rId2" w:history="1">
        <w:r>
          <w:rPr>
            <w:rStyle w:val="Hyperlink"/>
          </w:rPr>
          <w:t>Ekonomikos gaivinimo ir atsparumo didinimo priemonė</w:t>
        </w:r>
      </w:hyperlink>
      <w:r>
        <w:t xml:space="preserve"> ir </w:t>
      </w:r>
      <w:hyperlink r:id="rId3" w:anchor="how-repowereu-is-funded" w:history="1">
        <w:r>
          <w:rPr>
            <w:rStyle w:val="Hyperlink"/>
          </w:rPr>
          <w:t>„REPowerEU“ – įperkama, saugiai tiekiama ir tvari energija Europai</w:t>
        </w:r>
      </w:hyperlink>
      <w:r>
        <w:t>.</w:t>
      </w:r>
    </w:p>
  </w:footnote>
  <w:footnote w:id="4">
    <w:p w14:paraId="7F6C3F02" w14:textId="3792D8DD" w:rsidR="00447C9A" w:rsidRDefault="00447C9A" w:rsidP="00917BE8">
      <w:pPr>
        <w:pStyle w:val="CMR-footnote"/>
      </w:pPr>
      <w:r>
        <w:rPr>
          <w:rStyle w:val="FootnoteReference"/>
        </w:rPr>
        <w:footnoteRef/>
      </w:r>
      <w:r>
        <w:t xml:space="preserve"> 2003 m. spalio 13 d. Direktyva </w:t>
      </w:r>
      <w:hyperlink r:id="rId4" w:history="1">
        <w:r>
          <w:rPr>
            <w:rStyle w:val="Hyperlink"/>
          </w:rPr>
          <w:t>2003/87/EB</w:t>
        </w:r>
      </w:hyperlink>
      <w:r>
        <w:t>, OL L 275, 2003 10 25, p. 32.</w:t>
      </w:r>
    </w:p>
  </w:footnote>
  <w:footnote w:id="5">
    <w:p w14:paraId="1D4D5B59" w14:textId="77777777" w:rsidR="00F65AD8" w:rsidRDefault="00F65AD8" w:rsidP="00917BE8">
      <w:pPr>
        <w:pStyle w:val="CMR-footnote"/>
      </w:pPr>
      <w:r>
        <w:rPr>
          <w:rStyle w:val="FootnoteReference"/>
          <w:rFonts w:cs="Times New Roman"/>
        </w:rPr>
        <w:footnoteRef/>
      </w:r>
      <w:r>
        <w:t xml:space="preserve"> Pagal Susitarimo dėl Jungtinės Karalystės išstojimo iš ES Protokolą dėl Airijos ir Šiaurės Airijos.</w:t>
      </w:r>
    </w:p>
  </w:footnote>
  <w:footnote w:id="6">
    <w:p w14:paraId="229EB085" w14:textId="6DCEC945" w:rsidR="00F00D70" w:rsidRPr="008A04B8" w:rsidRDefault="00F00D70" w:rsidP="00AE66E2">
      <w:pPr>
        <w:pStyle w:val="CMR-footnote"/>
      </w:pPr>
      <w:r>
        <w:rPr>
          <w:rStyle w:val="FootnoteReference"/>
        </w:rPr>
        <w:footnoteRef/>
      </w:r>
      <w:r>
        <w:t xml:space="preserve"> Šios šalys yra Italija, Nyderlandai, Norvegija ir Švedija. </w:t>
      </w:r>
    </w:p>
  </w:footnote>
  <w:footnote w:id="7">
    <w:p w14:paraId="0871BB92" w14:textId="00FC5170" w:rsidR="00D00679" w:rsidRPr="001B5200" w:rsidRDefault="00D00679" w:rsidP="00917BE8">
      <w:pPr>
        <w:pStyle w:val="CMR-footnote"/>
      </w:pPr>
      <w:r>
        <w:rPr>
          <w:rStyle w:val="FootnoteReference"/>
        </w:rPr>
        <w:footnoteRef/>
      </w:r>
      <w:r>
        <w:t xml:space="preserve"> 2018 m. gegužės 30 d. </w:t>
      </w:r>
      <w:hyperlink r:id="rId5" w:history="1">
        <w:r>
          <w:rPr>
            <w:rStyle w:val="Hyperlink"/>
          </w:rPr>
          <w:t>Reglamentas (ES) 2018/842</w:t>
        </w:r>
      </w:hyperlink>
      <w:r>
        <w:t>, OL L 156, 2018 6 19.</w:t>
      </w:r>
    </w:p>
  </w:footnote>
  <w:footnote w:id="8">
    <w:p w14:paraId="7478BDC4" w14:textId="548C65BD" w:rsidR="002D78B9" w:rsidRPr="00CF247F" w:rsidRDefault="002D78B9" w:rsidP="00CF247F">
      <w:pPr>
        <w:pStyle w:val="CMR-footnote"/>
      </w:pPr>
      <w:r>
        <w:rPr>
          <w:rStyle w:val="FootnoteReference"/>
        </w:rPr>
        <w:footnoteRef/>
      </w:r>
      <w:r>
        <w:t xml:space="preserve"> </w:t>
      </w:r>
      <w:hyperlink r:id="rId6" w:history="1">
        <w:r>
          <w:rPr>
            <w:rStyle w:val="Hyperlink"/>
          </w:rPr>
          <w:t>Naujame tyrime pateikiamas priemonių rinkinys ankstyvai dekarbonizacijai ATLPS 2 sektoriuose</w:t>
        </w:r>
      </w:hyperlink>
      <w:r>
        <w:t xml:space="preserve">, Klimato politikos generalinis direktoratas, 2025 m. rugsėjo 9 d. </w:t>
      </w:r>
    </w:p>
  </w:footnote>
  <w:footnote w:id="9">
    <w:p w14:paraId="503CEAA2" w14:textId="78AB91B4" w:rsidR="00AE66E2" w:rsidRPr="00AE66E2" w:rsidRDefault="00AE66E2" w:rsidP="00AE66E2">
      <w:pPr>
        <w:pStyle w:val="CMR-footnote"/>
      </w:pPr>
      <w:r>
        <w:rPr>
          <w:rStyle w:val="FootnoteReference"/>
        </w:rPr>
        <w:footnoteRef/>
      </w:r>
      <w:r>
        <w:t xml:space="preserve"> </w:t>
      </w:r>
      <w:hyperlink r:id="rId7" w:history="1">
        <w:r>
          <w:rPr>
            <w:rStyle w:val="Hyperlink"/>
          </w:rPr>
          <w:t>Rekomendacijos dėl Socialinio klimato fondo įgyvendinimo</w:t>
        </w:r>
      </w:hyperlink>
      <w:r>
        <w:t>, Užimtumo, socialinių reikalų ir įtraukties generalinis direktoratas, 2025 m. spalio 9 d.</w:t>
      </w:r>
    </w:p>
  </w:footnote>
  <w:footnote w:id="10">
    <w:p w14:paraId="190CB939" w14:textId="77777777" w:rsidR="006C6F89" w:rsidRDefault="006C6F89" w:rsidP="006C6F89">
      <w:pPr>
        <w:pStyle w:val="CMR-footnote"/>
      </w:pPr>
      <w:r>
        <w:rPr>
          <w:rStyle w:val="FootnoteReference"/>
        </w:rPr>
        <w:footnoteRef/>
      </w:r>
      <w:r>
        <w:t xml:space="preserve"> 2024 ir 2025 m. elektros energijos ir šilumos gamybai, pramonės gamybai ir jūrų transportui taikytas linijinis mažinimo koeficientas sudarė 87 924 231 ATL, o aviacijai – 1 330 226 ATL.</w:t>
      </w:r>
    </w:p>
  </w:footnote>
  <w:footnote w:id="11">
    <w:p w14:paraId="2B6335BD" w14:textId="177498DC" w:rsidR="00C65038" w:rsidRDefault="00C65038" w:rsidP="00C941D6">
      <w:pPr>
        <w:pStyle w:val="CMR-footnote"/>
      </w:pPr>
      <w:r>
        <w:rPr>
          <w:rStyle w:val="FootnoteReference"/>
        </w:rPr>
        <w:footnoteRef/>
      </w:r>
      <w:r>
        <w:t xml:space="preserve"> Išsamiau žr. 2023 m. liepos 27 d. </w:t>
      </w:r>
      <w:hyperlink r:id="rId8" w:history="1">
        <w:r>
          <w:rPr>
            <w:rStyle w:val="Hyperlink"/>
          </w:rPr>
          <w:t>Komisijos sprendime (ES) 2023/1575</w:t>
        </w:r>
      </w:hyperlink>
      <w:r>
        <w:t xml:space="preserve">, OL L 192, 2023 7 31, p. 30. </w:t>
      </w:r>
    </w:p>
  </w:footnote>
  <w:footnote w:id="12">
    <w:p w14:paraId="33C5B087" w14:textId="50B5CF00" w:rsidR="003939EE" w:rsidRDefault="003939EE" w:rsidP="00C941D6">
      <w:pPr>
        <w:pStyle w:val="CMR-footnote"/>
      </w:pPr>
      <w:r>
        <w:rPr>
          <w:rStyle w:val="FootnoteReference"/>
        </w:rPr>
        <w:footnoteRef/>
      </w:r>
      <w:r>
        <w:t xml:space="preserve"> Išsamiau žr. 2024 m. birželio 27 d. </w:t>
      </w:r>
      <w:hyperlink r:id="rId9" w:history="1">
        <w:r>
          <w:rPr>
            <w:rStyle w:val="Hyperlink"/>
          </w:rPr>
          <w:t>Komisijos sprendime (ES) 2024/1797</w:t>
        </w:r>
      </w:hyperlink>
      <w:r>
        <w:t>, kuriuo iš dalies keičiamas Sprendimas (ES) 2023/2440, OL L, 2024/1797, 2024 6 28. ELI: </w:t>
      </w:r>
      <w:hyperlink r:id="rId10" w:tgtFrame="_blank" w:tooltip="Prieiga prie šio dokumento per jo ELI URI." w:history="1">
        <w:r>
          <w:rPr>
            <w:rStyle w:val="Hyperlink"/>
          </w:rPr>
          <w:t>http://data.europa.eu/eli/dec/2024/1797/oj</w:t>
        </w:r>
      </w:hyperlink>
      <w:r>
        <w:t>.</w:t>
      </w:r>
    </w:p>
  </w:footnote>
  <w:footnote w:id="13">
    <w:p w14:paraId="050B885F" w14:textId="0CB8CBE4" w:rsidR="001569F0" w:rsidRPr="00854C42" w:rsidRDefault="001569F0" w:rsidP="00C941D6">
      <w:pPr>
        <w:pStyle w:val="CMR-footnote"/>
      </w:pPr>
      <w:r>
        <w:rPr>
          <w:rStyle w:val="FootnoteReference"/>
        </w:rPr>
        <w:footnoteRef/>
      </w:r>
      <w:r>
        <w:t xml:space="preserve"> 2025 m. spalio 1 d. pagal Reglamentą (ES) 2015/757 pateikti 2024 m. ataskaitinio laikotarpio išmetamųjų teršalų kiekio duomenys.</w:t>
      </w:r>
    </w:p>
  </w:footnote>
  <w:footnote w:id="14">
    <w:p w14:paraId="475A0153" w14:textId="57DC4910" w:rsidR="0081523A" w:rsidRDefault="0081523A" w:rsidP="0081523A">
      <w:pPr>
        <w:pStyle w:val="CMR-footnote"/>
      </w:pPr>
      <w:r>
        <w:rPr>
          <w:rStyle w:val="FootnoteReference"/>
        </w:rPr>
        <w:footnoteRef/>
      </w:r>
      <w:r>
        <w:t xml:space="preserve"> 2026 m. elektros energijos ir šilumos gamybai, pramonės gamybai ir jūrų transportui taikytas linijinis mažinimo koeficientas sudarė 87 913 405 ATL, o aviacijai – 1 330 226 ATL.</w:t>
      </w:r>
    </w:p>
  </w:footnote>
  <w:footnote w:id="15">
    <w:p w14:paraId="727B66D7" w14:textId="77777777" w:rsidR="00E109D2" w:rsidRPr="00A10A9E" w:rsidRDefault="00E109D2" w:rsidP="00E109D2">
      <w:pPr>
        <w:pStyle w:val="CMR-footnote"/>
      </w:pPr>
      <w:r>
        <w:rPr>
          <w:rStyle w:val="FootnoteReference"/>
        </w:rPr>
        <w:footnoteRef/>
      </w:r>
      <w:r>
        <w:t xml:space="preserve"> Tiksli aukcionuose parduodamų ATL dalis praktikoje kinta, nes aukcionuose parduodamų ATL kiekis sumažintas siekiant papildyti rinkos stabilumo rezervą, o ATL, skirtų paskirstyti nemokamai, kiekis nepakito.</w:t>
      </w:r>
    </w:p>
  </w:footnote>
  <w:footnote w:id="16">
    <w:p w14:paraId="03253E4B" w14:textId="593C2954" w:rsidR="00E109D2" w:rsidRPr="001179E4" w:rsidRDefault="00E109D2" w:rsidP="00E109D2">
      <w:pPr>
        <w:pStyle w:val="CMR-footnote"/>
      </w:pPr>
      <w:r>
        <w:rPr>
          <w:rStyle w:val="FootnoteReference"/>
          <w:rFonts w:cs="Times New Roman"/>
        </w:rPr>
        <w:footnoteRef/>
      </w:r>
      <w:r>
        <w:t xml:space="preserve"> 2023 m. spalio 17 d. </w:t>
      </w:r>
      <w:hyperlink r:id="rId11" w:history="1">
        <w:r>
          <w:rPr>
            <w:rStyle w:val="Hyperlink"/>
          </w:rPr>
          <w:t>Komisijos deleguotasis reglamentas (ES) 2023/2830</w:t>
        </w:r>
      </w:hyperlink>
      <w:r>
        <w:t>, OL L, 2023/2830, 2023 12 20. ELI: </w:t>
      </w:r>
      <w:hyperlink r:id="rId12" w:tgtFrame="_blank" w:tooltip="Prieiga prie šio dokumento per jo ELI URI." w:history="1">
        <w:r>
          <w:rPr>
            <w:rStyle w:val="Hyperlink"/>
          </w:rPr>
          <w:t>http://data.europa.eu/eli/reg_del/2023/2830/oj</w:t>
        </w:r>
      </w:hyperlink>
      <w:r>
        <w:t>.</w:t>
      </w:r>
    </w:p>
  </w:footnote>
  <w:footnote w:id="17">
    <w:p w14:paraId="46D38435" w14:textId="4DC3BB59" w:rsidR="00E109D2" w:rsidRPr="00507E1D" w:rsidRDefault="00E109D2" w:rsidP="00E109D2">
      <w:pPr>
        <w:pStyle w:val="CMR-footnote"/>
      </w:pPr>
      <w:r>
        <w:rPr>
          <w:rStyle w:val="FootnoteReference"/>
          <w:lang w:val="en-IE"/>
        </w:rPr>
        <w:footnoteRef/>
      </w:r>
      <w:r>
        <w:t xml:space="preserve"> 2023 m. vasario 27 d. </w:t>
      </w:r>
      <w:hyperlink r:id="rId13" w:history="1">
        <w:r>
          <w:rPr>
            <w:rStyle w:val="Hyperlink"/>
          </w:rPr>
          <w:t>Reglamentas (ES) 2023/435</w:t>
        </w:r>
      </w:hyperlink>
      <w:r>
        <w:t>, OL L 63, 2023 2 28.</w:t>
      </w:r>
    </w:p>
  </w:footnote>
  <w:footnote w:id="18">
    <w:p w14:paraId="4B0CE473" w14:textId="6BE6A77B" w:rsidR="00E109D2" w:rsidRPr="00785C31" w:rsidRDefault="00E109D2" w:rsidP="00E109D2">
      <w:pPr>
        <w:pStyle w:val="CMR-footnote"/>
      </w:pPr>
      <w:r>
        <w:rPr>
          <w:rStyle w:val="FootnoteReference"/>
          <w:lang w:val="en-IE"/>
        </w:rPr>
        <w:footnoteRef/>
      </w:r>
      <w:r>
        <w:t xml:space="preserve"> </w:t>
      </w:r>
      <w:hyperlink r:id="rId14" w:history="1">
        <w:r>
          <w:rPr>
            <w:rStyle w:val="Hyperlink"/>
          </w:rPr>
          <w:t>ES ATLPS aukcionai</w:t>
        </w:r>
      </w:hyperlink>
      <w:r>
        <w:t xml:space="preserve">, EEX. </w:t>
      </w:r>
    </w:p>
  </w:footnote>
  <w:footnote w:id="19">
    <w:p w14:paraId="48A4F202" w14:textId="388BBFA5" w:rsidR="00E109D2" w:rsidRPr="00785C31" w:rsidRDefault="00E109D2" w:rsidP="00E109D2">
      <w:pPr>
        <w:pStyle w:val="CMR-footnote"/>
      </w:pPr>
      <w:r>
        <w:rPr>
          <w:rStyle w:val="FootnoteReference"/>
          <w:rFonts w:cs="Times New Roman"/>
          <w:lang w:val="en-IE"/>
        </w:rPr>
        <w:footnoteRef/>
      </w:r>
      <w:r>
        <w:t xml:space="preserve"> </w:t>
      </w:r>
      <w:hyperlink r:id="rId15" w:anchor="dokumentai" w:history="1">
        <w:r>
          <w:rPr>
            <w:rStyle w:val="Hyperlink"/>
          </w:rPr>
          <w:t>Aukcionų ataskaitos</w:t>
        </w:r>
      </w:hyperlink>
      <w:r>
        <w:t xml:space="preserve">, Klimato politikos generalinis direktoratas. </w:t>
      </w:r>
    </w:p>
  </w:footnote>
  <w:footnote w:id="20">
    <w:p w14:paraId="19544CF4" w14:textId="12F349B7" w:rsidR="00A96807" w:rsidRPr="00854C42" w:rsidRDefault="00A96807" w:rsidP="001214E7">
      <w:pPr>
        <w:pStyle w:val="CMR-footnote"/>
      </w:pPr>
      <w:r>
        <w:rPr>
          <w:rStyle w:val="FootnoteReference"/>
          <w:rFonts w:cs="Times New Roman"/>
          <w:szCs w:val="18"/>
          <w:lang w:val="en-IE"/>
        </w:rPr>
        <w:footnoteRef/>
      </w:r>
      <w:r>
        <w:t xml:space="preserve"> Šios devynios valstybės narės yra Belgija, Danija, Airija, Liuksemburgas, Malta, Nyderlandai, Austrija, Suomija ir Švedija. Lankstumo nuostata taikoma toms valstybėms narėms, kurių tikslai pagal Pastangų pasidalijimo reglamentą yra reikšmingai didesni tiek už ES vidurkį, tiek už jų ekonomiškai efektyvaus išmetamo ŠESD kiekio sumažinimo potencialą, ir toms valstybėms narėms, kurios 2013 m. pramonės įrenginiams visai neskyrė nemokamų ES ATLPS apyvartinių taršos leidimų.</w:t>
      </w:r>
    </w:p>
  </w:footnote>
  <w:footnote w:id="21">
    <w:p w14:paraId="5A2321D7" w14:textId="6220A5B0" w:rsidR="00564985" w:rsidRPr="003F3A6C" w:rsidRDefault="00564985" w:rsidP="001214E7">
      <w:pPr>
        <w:pStyle w:val="CMR-footnote"/>
      </w:pPr>
      <w:r>
        <w:rPr>
          <w:rStyle w:val="FootnoteReference"/>
          <w:rFonts w:cs="Times New Roman"/>
          <w:szCs w:val="18"/>
        </w:rPr>
        <w:footnoteRef/>
      </w:r>
      <w:r>
        <w:t xml:space="preserve"> Nyderlandai ir Švedija lankstumo priemone nepasinaudojo.</w:t>
      </w:r>
    </w:p>
  </w:footnote>
  <w:footnote w:id="22">
    <w:p w14:paraId="3E483EDE" w14:textId="1F30FEE4" w:rsidR="000F66CB" w:rsidRPr="00E52022" w:rsidRDefault="000F66CB" w:rsidP="00F53E2D">
      <w:pPr>
        <w:pStyle w:val="CMR-footnote"/>
      </w:pPr>
      <w:r>
        <w:rPr>
          <w:rStyle w:val="FootnoteReference"/>
        </w:rPr>
        <w:footnoteRef/>
      </w:r>
      <w:r>
        <w:t xml:space="preserve"> </w:t>
      </w:r>
      <w:hyperlink r:id="rId16" w:history="1">
        <w:r>
          <w:rPr>
            <w:rStyle w:val="Hyperlink"/>
          </w:rPr>
          <w:t>Vokietijos pranešimas apie savanorišką ATL panaikinimą dėl 2022 m. uždarytų elektrinių</w:t>
        </w:r>
      </w:hyperlink>
      <w:r>
        <w:t>, Klimato politikos generalinis direktoratas, 2024 m. gegužės 2 d.</w:t>
      </w:r>
    </w:p>
  </w:footnote>
  <w:footnote w:id="23">
    <w:p w14:paraId="0880F23D" w14:textId="1BE82C50" w:rsidR="00135CD1" w:rsidRPr="001B67E1" w:rsidRDefault="00135CD1" w:rsidP="00F53E2D">
      <w:pPr>
        <w:pStyle w:val="CMR-footnote"/>
        <w:rPr>
          <w:rStyle w:val="CMR-footnoteChar"/>
        </w:rPr>
      </w:pPr>
      <w:r>
        <w:rPr>
          <w:rStyle w:val="FootnoteReference"/>
        </w:rPr>
        <w:footnoteRef/>
      </w:r>
      <w:r>
        <w:t xml:space="preserve"> </w:t>
      </w:r>
      <w:hyperlink r:id="rId17" w:history="1">
        <w:r>
          <w:rPr>
            <w:rStyle w:val="Hyperlink"/>
          </w:rPr>
          <w:t>Vokietijos pranešimas apie savanorišką ES ATLPS apyvartinių taršos leidimų panaikinimą dėl 2023 m. uždarytų elektrinių</w:t>
        </w:r>
      </w:hyperlink>
      <w:r>
        <w:t xml:space="preserve">, </w:t>
      </w:r>
      <w:r>
        <w:rPr>
          <w:rStyle w:val="CMR-footnoteChar"/>
        </w:rPr>
        <w:t>Klimato politikos generalinis direktoratas, 2024 m. gegužės 5 d.</w:t>
      </w:r>
    </w:p>
  </w:footnote>
  <w:footnote w:id="24">
    <w:p w14:paraId="034ED44F" w14:textId="7399AACC" w:rsidR="00F53E2D" w:rsidRPr="00F53E2D" w:rsidRDefault="00F53E2D" w:rsidP="00F53E2D">
      <w:pPr>
        <w:pStyle w:val="CMR-footnote"/>
      </w:pPr>
      <w:r>
        <w:rPr>
          <w:rStyle w:val="CMR-footnoteChar"/>
        </w:rPr>
        <w:footnoteRef/>
      </w:r>
      <w:r>
        <w:rPr>
          <w:rStyle w:val="CMR-footnoteChar"/>
        </w:rPr>
        <w:t xml:space="preserve"> Jei 2024 m. bendras apyvartoje buvusių ATL skaičius viršytų 1 096 mln., būtų panaikinta 514 000 ATL. Jei 2024 m. bendras apyvartoje buvusių ATL skaičius būtų tarp 833 mln. ir 1 096 mln., nebūtų panaikinta jokių ATL.</w:t>
      </w:r>
    </w:p>
  </w:footnote>
  <w:footnote w:id="25">
    <w:p w14:paraId="386D41A0" w14:textId="1E6F4E1E" w:rsidR="00DE42A8" w:rsidRPr="00462B46" w:rsidRDefault="00DE42A8" w:rsidP="00F53E2D">
      <w:pPr>
        <w:pStyle w:val="CMR-footnote"/>
        <w:rPr>
          <w:rStyle w:val="CMR-footnoteChar"/>
        </w:rPr>
      </w:pPr>
      <w:r>
        <w:rPr>
          <w:rStyle w:val="FootnoteReference"/>
        </w:rPr>
        <w:footnoteRef/>
      </w:r>
      <w:r>
        <w:t xml:space="preserve"> </w:t>
      </w:r>
      <w:r>
        <w:rPr>
          <w:rStyle w:val="CMR-footnoteChar"/>
        </w:rPr>
        <w:t>Anglies dioksido nutekėjimas galėtų įvykti, jeigu ATLPS reguliuojama veikla būtų perkelta į ES nepriklausančias šalis, kurių klimato politika yra mažesnio užmojo, ir dėl to padidėtų bendras išmetamas šiltnamio efektą sukeliančių dujų kiekis.</w:t>
      </w:r>
    </w:p>
  </w:footnote>
  <w:footnote w:id="26">
    <w:p w14:paraId="2C18D473" w14:textId="429B6055" w:rsidR="00882D9C" w:rsidRPr="00462B46" w:rsidRDefault="00882D9C" w:rsidP="00917BE8">
      <w:pPr>
        <w:pStyle w:val="CMR-footnote"/>
      </w:pPr>
      <w:r>
        <w:rPr>
          <w:rStyle w:val="FootnoteReference"/>
        </w:rPr>
        <w:footnoteRef/>
      </w:r>
      <w:r>
        <w:t xml:space="preserve"> 2021 m. kovo 12 d. </w:t>
      </w:r>
      <w:hyperlink r:id="rId18" w:history="1">
        <w:r>
          <w:rPr>
            <w:rStyle w:val="Hyperlink"/>
          </w:rPr>
          <w:t>Komisijos įgyvendinimo reglamentas (ES) 2021/447</w:t>
        </w:r>
      </w:hyperlink>
      <w:r>
        <w:rPr>
          <w:rStyle w:val="CMR-footnoteChar"/>
        </w:rPr>
        <w:t xml:space="preserve">, </w:t>
      </w:r>
      <w:r>
        <w:t>OL L 87</w:t>
      </w:r>
      <w:r>
        <w:rPr>
          <w:rStyle w:val="CMR-footnoteChar"/>
        </w:rPr>
        <w:t>, 2021 3 15.</w:t>
      </w:r>
    </w:p>
  </w:footnote>
  <w:footnote w:id="27">
    <w:p w14:paraId="58F13F43" w14:textId="60237332" w:rsidR="2FB941BE" w:rsidRPr="00917BE8" w:rsidRDefault="2FB941BE" w:rsidP="00917BE8">
      <w:pPr>
        <w:pStyle w:val="CMR-footnote"/>
      </w:pPr>
      <w:r>
        <w:rPr>
          <w:vertAlign w:val="superscript"/>
        </w:rPr>
        <w:footnoteRef/>
      </w:r>
      <w:r>
        <w:rPr>
          <w:vertAlign w:val="superscript"/>
        </w:rPr>
        <w:t xml:space="preserve"> </w:t>
      </w:r>
      <w:r>
        <w:t xml:space="preserve">2019 m. spalio 31 d. </w:t>
      </w:r>
      <w:hyperlink r:id="rId19" w:history="1">
        <w:r>
          <w:rPr>
            <w:rStyle w:val="Hyperlink"/>
          </w:rPr>
          <w:t>Komisijos įgyvendinimo reglamentas (ES) 2019/1842</w:t>
        </w:r>
      </w:hyperlink>
      <w:r>
        <w:t>, OL L 282, 2019 11 4.</w:t>
      </w:r>
    </w:p>
  </w:footnote>
  <w:footnote w:id="28">
    <w:p w14:paraId="310C312F" w14:textId="77777777" w:rsidR="00F43884" w:rsidRPr="00DE5769" w:rsidRDefault="00F43884" w:rsidP="00917BE8">
      <w:pPr>
        <w:pStyle w:val="CMR-footnote"/>
      </w:pPr>
      <w:r>
        <w:rPr>
          <w:vertAlign w:val="superscript"/>
        </w:rPr>
        <w:footnoteRef/>
      </w:r>
      <w:r>
        <w:t xml:space="preserve"> Europos laisvosios prekybos susitarimo priežiūros institucija taip pat priėmė sprendimus dėl Islandijos, Lichtenšteino ir Norvegijos.</w:t>
      </w:r>
    </w:p>
  </w:footnote>
  <w:footnote w:id="29">
    <w:p w14:paraId="4E449934" w14:textId="77777777" w:rsidR="00DE3719" w:rsidRDefault="00DE3719" w:rsidP="00917BE8">
      <w:pPr>
        <w:pStyle w:val="CMR-footnote"/>
      </w:pPr>
      <w:r>
        <w:rPr>
          <w:vertAlign w:val="superscript"/>
        </w:rPr>
        <w:footnoteRef/>
      </w:r>
      <w:r>
        <w:rPr>
          <w:vertAlign w:val="superscript"/>
        </w:rPr>
        <w:t xml:space="preserve"> </w:t>
      </w:r>
      <w:r>
        <w:t>Europos laisvosios prekybos susitarimo priežiūros institucija taip pat priėmė sprendimus dėl Islandijos, Lichtenšteino ir Norvegijos.</w:t>
      </w:r>
    </w:p>
  </w:footnote>
  <w:footnote w:id="30">
    <w:p w14:paraId="4E4136CC" w14:textId="7019E309" w:rsidR="002C446D" w:rsidRPr="000525CD" w:rsidDel="00B56C09" w:rsidRDefault="001B056F" w:rsidP="00917BE8">
      <w:pPr>
        <w:pStyle w:val="CMR-footnote"/>
      </w:pPr>
      <w:r>
        <w:rPr>
          <w:rStyle w:val="FootnoteReference"/>
        </w:rPr>
        <w:footnoteRef/>
      </w:r>
      <w:r>
        <w:t xml:space="preserve"> 2023 m. gegužės 10 d. </w:t>
      </w:r>
      <w:hyperlink r:id="rId20" w:history="1">
        <w:r>
          <w:rPr>
            <w:rStyle w:val="Hyperlink"/>
          </w:rPr>
          <w:t>Reglamentas (ES) 2023/956</w:t>
        </w:r>
      </w:hyperlink>
      <w:r>
        <w:t xml:space="preserve">, OL L 130, 2023 5 16. </w:t>
      </w:r>
    </w:p>
  </w:footnote>
  <w:footnote w:id="31">
    <w:p w14:paraId="1351AEB6" w14:textId="0B704692" w:rsidR="00085A37" w:rsidRPr="000525CD" w:rsidRDefault="00085A37" w:rsidP="0087017E">
      <w:pPr>
        <w:pStyle w:val="CMR-footnote"/>
      </w:pPr>
      <w:r>
        <w:rPr>
          <w:rStyle w:val="FootnoteReference"/>
        </w:rPr>
        <w:footnoteRef/>
      </w:r>
      <w:r>
        <w:t xml:space="preserve"> </w:t>
      </w:r>
      <w:hyperlink r:id="rId21" w:history="1">
        <w:r>
          <w:rPr>
            <w:rStyle w:val="Hyperlink"/>
          </w:rPr>
          <w:t>Komisija palankiai vertina politinį susitarimą supaprastinti ir sustiprinti pasienio anglies dioksido korekcinį mechanizmą</w:t>
        </w:r>
      </w:hyperlink>
      <w:r>
        <w:t>, Klimato politikos generalinis direktoratas, 2025 m. birželio 18 d.</w:t>
      </w:r>
    </w:p>
  </w:footnote>
  <w:footnote w:id="32">
    <w:p w14:paraId="61364EF1" w14:textId="64442176" w:rsidR="001D20A1" w:rsidRPr="00854C42" w:rsidRDefault="001D20A1" w:rsidP="001C1F62">
      <w:pPr>
        <w:pStyle w:val="CMR-footnote"/>
      </w:pPr>
      <w:r>
        <w:rPr>
          <w:rStyle w:val="FootnoteReference"/>
        </w:rPr>
        <w:footnoteRef/>
      </w:r>
      <w:r>
        <w:t xml:space="preserve"> Tais atvejais, kai su pirminėmis PADKM medžiagomis susijusios išlaidos dėl išmetamo anglies dioksido gali paskatinti tiekimo grandinės galutinės grandies prekių gamintojus perkelti gamybą į užsienį, ten, kur netaikoma ES ATLPS. </w:t>
      </w:r>
    </w:p>
  </w:footnote>
  <w:footnote w:id="33">
    <w:p w14:paraId="459C219A" w14:textId="1A5D093D" w:rsidR="001D20A1" w:rsidRPr="00854C42" w:rsidRDefault="001D20A1" w:rsidP="001C1F62">
      <w:pPr>
        <w:pStyle w:val="CMR-footnote"/>
      </w:pPr>
      <w:r>
        <w:rPr>
          <w:rStyle w:val="FootnoteReference"/>
        </w:rPr>
        <w:footnoteRef/>
      </w:r>
      <w:r>
        <w:t xml:space="preserve"> PADKM reglamente „apėjimas“ apibrėžiamas kaip praktika, kuriai nėra pakankamos priežasties ar ekonominio pagrindimo, išskyrus siekį faktiškai išvengti (visiškai ar iš dalies) finansinių įsipareigojimų, atsirandančių pagal PADKM.</w:t>
      </w:r>
    </w:p>
  </w:footnote>
  <w:footnote w:id="34">
    <w:p w14:paraId="2FB71EB3" w14:textId="32EA6334" w:rsidR="00687C48" w:rsidRPr="00687C48" w:rsidRDefault="00687C48" w:rsidP="00317AC4">
      <w:pPr>
        <w:pStyle w:val="CMR-footnote"/>
      </w:pPr>
      <w:r>
        <w:rPr>
          <w:rStyle w:val="FootnoteReference"/>
        </w:rPr>
        <w:footnoteRef/>
      </w:r>
      <w:r>
        <w:t xml:space="preserve"> Žr. </w:t>
      </w:r>
      <w:hyperlink r:id="rId22" w:history="1">
        <w:r>
          <w:rPr>
            <w:rStyle w:val="Hyperlink"/>
          </w:rPr>
          <w:t>COM(2025) 378 </w:t>
        </w:r>
        <w:r>
          <w:rPr>
            <w:rStyle w:val="Hyperlink"/>
            <w:i/>
            <w:iCs/>
          </w:rPr>
          <w:t>final</w:t>
        </w:r>
      </w:hyperlink>
      <w:r>
        <w:t xml:space="preserve">, Pirmasis švarios pramonės kurso įgyvendinimo etapas, 2025 7 2, p. 4. </w:t>
      </w:r>
    </w:p>
  </w:footnote>
  <w:footnote w:id="35">
    <w:p w14:paraId="77F6049B" w14:textId="7A06BA86" w:rsidR="00B14664" w:rsidRPr="00B04064" w:rsidRDefault="00B14664" w:rsidP="00917BE8">
      <w:pPr>
        <w:pStyle w:val="CMR-footnote"/>
      </w:pPr>
      <w:r>
        <w:rPr>
          <w:rStyle w:val="FootnoteReference"/>
        </w:rPr>
        <w:footnoteRef/>
      </w:r>
      <w:r>
        <w:t xml:space="preserve"> </w:t>
      </w:r>
      <w:hyperlink r:id="rId23" w:history="1">
        <w:r>
          <w:rPr>
            <w:rStyle w:val="Hyperlink"/>
          </w:rPr>
          <w:t>ES apyvartinių taršos leidimų prekybos sistemos (ES ATLPS) rinkos stabilumo rezervas laikotarpiu nuo 2025 m. rugsėjo iki 2026 m. rugpjūčio mėn. sumažins aukcionuose parduodamų apyvartinių taršos leidimų kiekį 276 mln. leidimų</w:t>
        </w:r>
      </w:hyperlink>
      <w:r>
        <w:t>, Klimato politikos GD, naujienų straipsnis, 2025 m. gegužės 28 d. ES oficialusis leidinys: Komisijos komunikatas „Bendro 2024 m. apyvartoje buvusių apyvartinių taršos leidimų skaičiaus paskelbimas ES apyvartinių taršos leidimų prekybos sistemos rinkos stabilumo rezervo reikmėms“ (</w:t>
      </w:r>
      <w:hyperlink r:id="rId24" w:history="1">
        <w:r>
          <w:rPr>
            <w:rStyle w:val="Hyperlink"/>
          </w:rPr>
          <w:t>OL C, C/2025/3180</w:t>
        </w:r>
      </w:hyperlink>
      <w:r>
        <w:t xml:space="preserve">, 2024 6 4). </w:t>
      </w:r>
    </w:p>
  </w:footnote>
  <w:footnote w:id="36">
    <w:p w14:paraId="5121BCE5" w14:textId="41D531A9" w:rsidR="00EC2FDE" w:rsidRPr="00657817" w:rsidRDefault="00EC2FDE" w:rsidP="00917BE8">
      <w:pPr>
        <w:pStyle w:val="CMR-footnote"/>
      </w:pPr>
      <w:r>
        <w:rPr>
          <w:rStyle w:val="FootnoteReference"/>
        </w:rPr>
        <w:footnoteRef/>
      </w:r>
      <w:r>
        <w:t xml:space="preserve"> 2014 m. gegužės 15 d. </w:t>
      </w:r>
      <w:hyperlink r:id="rId25" w:history="1">
        <w:r>
          <w:rPr>
            <w:rStyle w:val="Hyperlink"/>
          </w:rPr>
          <w:t>Direktyva 2014/65/ES</w:t>
        </w:r>
      </w:hyperlink>
      <w:r>
        <w:t xml:space="preserve">, </w:t>
      </w:r>
      <w:hyperlink r:id="rId26" w:history="1">
        <w:r>
          <w:rPr>
            <w:rStyle w:val="Hyperlink"/>
          </w:rPr>
          <w:t>OL L 173</w:t>
        </w:r>
      </w:hyperlink>
      <w:r>
        <w:t xml:space="preserve">, 2014 6 12. Žr. jos </w:t>
      </w:r>
      <w:hyperlink r:id="rId27" w:history="1">
        <w:r>
          <w:rPr>
            <w:rStyle w:val="Hyperlink"/>
          </w:rPr>
          <w:t>konsoliduotą redakciją</w:t>
        </w:r>
      </w:hyperlink>
      <w:r>
        <w:t xml:space="preserve">. </w:t>
      </w:r>
    </w:p>
  </w:footnote>
  <w:footnote w:id="37">
    <w:p w14:paraId="23199287" w14:textId="4691A8B6" w:rsidR="00FB65F5" w:rsidRPr="00FC1EC8" w:rsidRDefault="00FB65F5" w:rsidP="00917BE8">
      <w:pPr>
        <w:pStyle w:val="CMR-footnote"/>
      </w:pPr>
      <w:r>
        <w:rPr>
          <w:rStyle w:val="FootnoteReference"/>
        </w:rPr>
        <w:footnoteRef/>
      </w:r>
      <w:r>
        <w:t xml:space="preserve"> Žr. nacionalinių kompetentingų institucijų, kurioms tenka atsakomybė pagal Reglamentą dėl piktnaudžiavimo rinka, sąrašą </w:t>
      </w:r>
      <w:hyperlink r:id="rId28" w:history="1">
        <w:r>
          <w:rPr>
            <w:rStyle w:val="Hyperlink"/>
          </w:rPr>
          <w:t>ESMA svetainėje</w:t>
        </w:r>
      </w:hyperlink>
      <w:r>
        <w:t>.</w:t>
      </w:r>
    </w:p>
  </w:footnote>
  <w:footnote w:id="38">
    <w:p w14:paraId="4E9D27D8" w14:textId="47F70BCA" w:rsidR="00DE7C5D" w:rsidRPr="0083153A" w:rsidRDefault="00DE7C5D" w:rsidP="00917BE8">
      <w:pPr>
        <w:pStyle w:val="CMR-footnote"/>
      </w:pPr>
      <w:r>
        <w:rPr>
          <w:rStyle w:val="FootnoteReference"/>
        </w:rPr>
        <w:footnoteRef/>
      </w:r>
      <w:r>
        <w:t xml:space="preserve"> 2014 m. balandžio 16 d. Europos Parlamento ir Tarybos reglamentas (ES) Nr. 596/2014 dėl piktnaudžiavimo rinka (</w:t>
      </w:r>
      <w:hyperlink r:id="rId29" w:history="1">
        <w:r>
          <w:rPr>
            <w:rStyle w:val="Hyperlink"/>
          </w:rPr>
          <w:t>OL L 173</w:t>
        </w:r>
      </w:hyperlink>
      <w:r>
        <w:t xml:space="preserve">, 2014 6 12). Žr. jo </w:t>
      </w:r>
      <w:hyperlink r:id="rId30" w:history="1">
        <w:r>
          <w:rPr>
            <w:rStyle w:val="Hyperlink"/>
          </w:rPr>
          <w:t>konsoliduotą redakciją</w:t>
        </w:r>
      </w:hyperlink>
      <w:r>
        <w:t xml:space="preserve">. </w:t>
      </w:r>
    </w:p>
  </w:footnote>
  <w:footnote w:id="39">
    <w:p w14:paraId="04A29390" w14:textId="7311696C" w:rsidR="00F1285D" w:rsidRPr="007C0CA9" w:rsidRDefault="00F1285D" w:rsidP="00917BE8">
      <w:pPr>
        <w:pStyle w:val="CMR-footnote"/>
      </w:pPr>
      <w:r>
        <w:rPr>
          <w:rStyle w:val="FootnoteReference"/>
        </w:rPr>
        <w:footnoteRef/>
      </w:r>
      <w:r>
        <w:t xml:space="preserve"> ESMA rinkų ataskaita dėl ES </w:t>
      </w:r>
      <w:hyperlink r:id="rId31" w:history="1">
        <w:r>
          <w:t>anglies dioksido rinkų 2024 m.</w:t>
        </w:r>
      </w:hyperlink>
      <w:r>
        <w:t xml:space="preserve"> (</w:t>
      </w:r>
      <w:hyperlink r:id="rId32" w:history="1">
        <w:r>
          <w:rPr>
            <w:rStyle w:val="Hyperlink"/>
          </w:rPr>
          <w:t>ESMA50-43599798-10379</w:t>
        </w:r>
      </w:hyperlink>
      <w:r>
        <w:t>, 2024 10 7).</w:t>
      </w:r>
    </w:p>
  </w:footnote>
  <w:footnote w:id="40">
    <w:p w14:paraId="1A03BBDF" w14:textId="4B3A6CF1" w:rsidR="00C61794" w:rsidRPr="002843F4" w:rsidRDefault="00C61794">
      <w:pPr>
        <w:pStyle w:val="FootnoteText"/>
      </w:pPr>
      <w:r>
        <w:rPr>
          <w:rStyle w:val="FootnoteReference"/>
        </w:rPr>
        <w:footnoteRef/>
      </w:r>
      <w:r>
        <w:t xml:space="preserve"> </w:t>
      </w:r>
      <w:r>
        <w:rPr>
          <w:rFonts w:ascii="Times New Roman" w:hAnsi="Times New Roman"/>
          <w:sz w:val="18"/>
        </w:rPr>
        <w:t xml:space="preserve">ESMA rinkų ataskaita dėl ES </w:t>
      </w:r>
      <w:hyperlink r:id="rId33" w:history="1">
        <w:r>
          <w:rPr>
            <w:rFonts w:ascii="Times New Roman" w:hAnsi="Times New Roman"/>
            <w:sz w:val="18"/>
          </w:rPr>
          <w:t>anglies dioksido rinkų 2025 m.</w:t>
        </w:r>
      </w:hyperlink>
      <w:r>
        <w:rPr>
          <w:rFonts w:ascii="Times New Roman" w:hAnsi="Times New Roman"/>
          <w:sz w:val="18"/>
        </w:rPr>
        <w:t xml:space="preserve"> (</w:t>
      </w:r>
      <w:hyperlink r:id="rId34" w:history="1">
        <w:r>
          <w:rPr>
            <w:rStyle w:val="Hyperlink"/>
            <w:rFonts w:ascii="Times New Roman" w:hAnsi="Times New Roman"/>
            <w:sz w:val="18"/>
          </w:rPr>
          <w:t>ESMA50-481369926-30552</w:t>
        </w:r>
      </w:hyperlink>
      <w:r>
        <w:rPr>
          <w:rFonts w:ascii="Times New Roman" w:hAnsi="Times New Roman"/>
          <w:sz w:val="18"/>
        </w:rPr>
        <w:t>, 2025 10 22).</w:t>
      </w:r>
    </w:p>
  </w:footnote>
  <w:footnote w:id="41">
    <w:p w14:paraId="3717E9EE" w14:textId="108FCE7D" w:rsidR="000C4C3C" w:rsidRPr="00B06A9A" w:rsidRDefault="000C4C3C" w:rsidP="00917BE8">
      <w:pPr>
        <w:pStyle w:val="CMR-footnote"/>
      </w:pPr>
      <w:r>
        <w:rPr>
          <w:rStyle w:val="FootnoteReference"/>
        </w:rPr>
        <w:footnoteRef/>
      </w:r>
      <w:r>
        <w:t xml:space="preserve"> 2019 m. kovo 12 d. </w:t>
      </w:r>
      <w:hyperlink r:id="rId35" w:history="1">
        <w:r>
          <w:rPr>
            <w:rStyle w:val="Hyperlink"/>
          </w:rPr>
          <w:t>Komisijos deleguotasis reglamentas (ES) 2019/1122</w:t>
        </w:r>
      </w:hyperlink>
      <w:r>
        <w:t xml:space="preserve">, kuriuo papildomos Direktyvos 2003/87/EB nuostatos, OL L 177, 2019 7 2. Žr. jo </w:t>
      </w:r>
      <w:hyperlink r:id="rId36" w:history="1">
        <w:r>
          <w:rPr>
            <w:rStyle w:val="Hyperlink"/>
          </w:rPr>
          <w:t>konsoliduotą redakciją</w:t>
        </w:r>
      </w:hyperlink>
      <w:r>
        <w:t>.</w:t>
      </w:r>
    </w:p>
  </w:footnote>
  <w:footnote w:id="42">
    <w:p w14:paraId="6EA1F648" w14:textId="142DC9C5" w:rsidR="00350F38" w:rsidRPr="0083153A" w:rsidRDefault="0067277D" w:rsidP="00917BE8">
      <w:pPr>
        <w:pStyle w:val="CMR-footnote"/>
      </w:pPr>
      <w:r>
        <w:rPr>
          <w:rStyle w:val="FootnoteReference"/>
        </w:rPr>
        <w:footnoteRef/>
      </w:r>
      <w:r>
        <w:t xml:space="preserve"> 2024 m. vasario 28 d. </w:t>
      </w:r>
      <w:hyperlink r:id="rId37" w:history="1">
        <w:r>
          <w:rPr>
            <w:rStyle w:val="Hyperlink"/>
          </w:rPr>
          <w:t>Direktyva (ES) 2024/790</w:t>
        </w:r>
      </w:hyperlink>
      <w:r>
        <w:t xml:space="preserve">, kuria iš dalies keičiama Direktyva 2014/65/ES, OL L, 2024/790, 2024 3 8, ELI: </w:t>
      </w:r>
      <w:hyperlink r:id="rId38" w:history="1">
        <w:r>
          <w:rPr>
            <w:rStyle w:val="Hyperlink"/>
          </w:rPr>
          <w:t>http://data.europa.eu/eli/dir/2024/790/oj</w:t>
        </w:r>
      </w:hyperlink>
      <w:r>
        <w:t xml:space="preserve">. Žr. jos </w:t>
      </w:r>
      <w:hyperlink r:id="rId39" w:history="1">
        <w:r>
          <w:rPr>
            <w:rStyle w:val="Hyperlink"/>
          </w:rPr>
          <w:t>konsoliduotą redakciją</w:t>
        </w:r>
      </w:hyperlink>
      <w:r>
        <w:t xml:space="preserve">. </w:t>
      </w:r>
    </w:p>
  </w:footnote>
  <w:footnote w:id="43">
    <w:p w14:paraId="48DAD65D" w14:textId="34FDA7B1" w:rsidR="00B362EB" w:rsidRPr="0083153A" w:rsidRDefault="00B362EB" w:rsidP="00917BE8">
      <w:pPr>
        <w:pStyle w:val="CMR-footnote"/>
      </w:pPr>
      <w:r>
        <w:rPr>
          <w:rStyle w:val="FootnoteReference"/>
        </w:rPr>
        <w:footnoteRef/>
      </w:r>
      <w:r>
        <w:t xml:space="preserve"> 2024 m. vasario 28 d. </w:t>
      </w:r>
      <w:hyperlink r:id="rId40" w:history="1">
        <w:r>
          <w:rPr>
            <w:rStyle w:val="Hyperlink"/>
          </w:rPr>
          <w:t>Reglamentas (ES) 2024/791</w:t>
        </w:r>
      </w:hyperlink>
      <w:r>
        <w:t>, kuriuo iš dalies keičiamas Reglamentas (ES) Nr. 600/2014, OL L, 2024/791, 2024 3 8, ELI: </w:t>
      </w:r>
      <w:hyperlink r:id="rId41" w:tgtFrame="_blank" w:tooltip="Prieiga prie šio dokumento per jo ELI URI." w:history="1">
        <w:r>
          <w:rPr>
            <w:rStyle w:val="Hyperlink"/>
          </w:rPr>
          <w:t>http://data.europa.eu/eli/reg/2024/791/oj</w:t>
        </w:r>
      </w:hyperlink>
      <w:r>
        <w:t xml:space="preserve">. Žr. jo </w:t>
      </w:r>
      <w:hyperlink r:id="rId42" w:history="1">
        <w:r>
          <w:rPr>
            <w:rStyle w:val="Hyperlink"/>
          </w:rPr>
          <w:t>konsoliduotą redakciją</w:t>
        </w:r>
      </w:hyperlink>
      <w:r>
        <w:t xml:space="preserve">. </w:t>
      </w:r>
    </w:p>
  </w:footnote>
  <w:footnote w:id="44">
    <w:p w14:paraId="04C1ADC5" w14:textId="10FE28B8" w:rsidR="005D5E97" w:rsidRPr="00415A77" w:rsidRDefault="005D5E97" w:rsidP="00917BE8">
      <w:pPr>
        <w:pStyle w:val="CMR-footnote"/>
      </w:pPr>
      <w:r>
        <w:rPr>
          <w:rStyle w:val="FootnoteReference"/>
        </w:rPr>
        <w:footnoteRef/>
      </w:r>
      <w:r>
        <w:t xml:space="preserve"> Pareiga skelbti dvi ataskaitas taikoma tik toms prekybos vietoms, kuriose prekiaujama tiek ateities, tiek pasirinkimo sandoriais. Dėl prekybos vietų, kuriose prekiaujama tik ateities sandoriais, ir toliau bus skelbiama tik viena ataskaita.</w:t>
      </w:r>
    </w:p>
  </w:footnote>
  <w:footnote w:id="45">
    <w:p w14:paraId="15261B59" w14:textId="04A306A9" w:rsidR="00E24CBE" w:rsidRPr="00E24CBE" w:rsidRDefault="00E24CBE" w:rsidP="00991926">
      <w:pPr>
        <w:pStyle w:val="CMR-footnote"/>
      </w:pPr>
      <w:r>
        <w:rPr>
          <w:rStyle w:val="FootnoteReference"/>
        </w:rPr>
        <w:footnoteRef/>
      </w:r>
      <w:r>
        <w:t xml:space="preserve"> 2012 m. liepos 4 d. </w:t>
      </w:r>
      <w:hyperlink r:id="rId43" w:history="1">
        <w:r>
          <w:rPr>
            <w:rStyle w:val="Hyperlink"/>
          </w:rPr>
          <w:t>Reglamentas (ES) Nr. 648/2012</w:t>
        </w:r>
      </w:hyperlink>
      <w:r>
        <w:t xml:space="preserve">, OL L 201, 2012 7 27. Žr. jo </w:t>
      </w:r>
      <w:hyperlink r:id="rId44" w:history="1">
        <w:r>
          <w:rPr>
            <w:rStyle w:val="Hyperlink"/>
          </w:rPr>
          <w:t>konsoliduotą redakciją</w:t>
        </w:r>
      </w:hyperlink>
      <w:r>
        <w:t xml:space="preserve">. </w:t>
      </w:r>
    </w:p>
  </w:footnote>
  <w:footnote w:id="46">
    <w:p w14:paraId="451215E7" w14:textId="1697FD74" w:rsidR="00476CD9" w:rsidRPr="000B3CB8" w:rsidRDefault="00476CD9" w:rsidP="00476CD9">
      <w:pPr>
        <w:pStyle w:val="FootnoteText"/>
        <w:rPr>
          <w:rFonts w:ascii="Times New Roman" w:hAnsi="Times New Roman"/>
          <w:sz w:val="18"/>
        </w:rPr>
      </w:pPr>
      <w:r>
        <w:rPr>
          <w:rStyle w:val="FootnoteReference"/>
        </w:rPr>
        <w:footnoteRef/>
      </w:r>
      <w:r>
        <w:t xml:space="preserve"> </w:t>
      </w:r>
      <w:hyperlink r:id="rId45" w:history="1">
        <w:r>
          <w:rPr>
            <w:rFonts w:ascii="Times New Roman" w:hAnsi="Times New Roman"/>
            <w:sz w:val="18"/>
          </w:rPr>
          <w:t xml:space="preserve">Tikslinių konsultacijų dokumentas – </w:t>
        </w:r>
        <w:r>
          <w:rPr>
            <w:rFonts w:ascii="Times New Roman" w:hAnsi="Times New Roman"/>
            <w:i/>
            <w:iCs/>
            <w:sz w:val="18"/>
          </w:rPr>
          <w:t>Review of the functioning of commodity derivatives markets and certain aspects relating to spot energy markets</w:t>
        </w:r>
      </w:hyperlink>
      <w:r>
        <w:rPr>
          <w:rFonts w:ascii="Times New Roman" w:hAnsi="Times New Roman"/>
          <w:sz w:val="18"/>
        </w:rPr>
        <w:t xml:space="preserve">. 2025 02 26. </w:t>
      </w:r>
    </w:p>
  </w:footnote>
  <w:footnote w:id="47">
    <w:p w14:paraId="67BB8A1A" w14:textId="240F30E6" w:rsidR="00E85050" w:rsidRPr="007C3EE6" w:rsidRDefault="00E85050" w:rsidP="007C3EE6">
      <w:pPr>
        <w:pStyle w:val="CMR-footnote"/>
      </w:pPr>
      <w:r>
        <w:rPr>
          <w:rStyle w:val="FootnoteReference"/>
        </w:rPr>
        <w:footnoteRef/>
      </w:r>
      <w:r>
        <w:t xml:space="preserve"> </w:t>
      </w:r>
      <w:hyperlink r:id="rId46" w:history="1">
        <w:r>
          <w:rPr>
            <w:rStyle w:val="Hyperlink"/>
          </w:rPr>
          <w:t>Įperkamos energijos veiksmų planas. Mūsų energetikos sąjungos tikros vertės atskleidimas siekiant užtikrinti įperkamą, efektyviai naudojamą ir švarią energiją visiems europiečiams</w:t>
        </w:r>
      </w:hyperlink>
      <w:r>
        <w:t>. Paskelbta 2025 m. vasario 26 d.</w:t>
      </w:r>
    </w:p>
  </w:footnote>
  <w:footnote w:id="48">
    <w:p w14:paraId="2B2E8F85" w14:textId="4E821BF3" w:rsidR="00BA3479" w:rsidRPr="0057218E" w:rsidRDefault="00BA3479" w:rsidP="00BA3479">
      <w:pPr>
        <w:pStyle w:val="CMR-footnote"/>
      </w:pPr>
      <w:r>
        <w:rPr>
          <w:rStyle w:val="FootnoteReference"/>
          <w:lang w:val="en-IE"/>
        </w:rPr>
        <w:footnoteRef/>
      </w:r>
      <w:r>
        <w:t xml:space="preserve"> Patikrintas ATLPS 2024 m. išmestų teršalų kiekis, Sąjungos registras, 2025 m. spalio 1 d. gauti duomenys.</w:t>
      </w:r>
    </w:p>
  </w:footnote>
  <w:footnote w:id="49">
    <w:p w14:paraId="7A11C07E" w14:textId="2CCA3716" w:rsidR="00EC5BCA" w:rsidRPr="0057218E" w:rsidRDefault="00EC5BCA" w:rsidP="00EC5BCA">
      <w:pPr>
        <w:pStyle w:val="CMR-footnote"/>
      </w:pPr>
      <w:r>
        <w:rPr>
          <w:rStyle w:val="FootnoteReference"/>
          <w:lang w:val="en-IE"/>
        </w:rPr>
        <w:footnoteRef/>
      </w:r>
      <w:r>
        <w:t xml:space="preserve"> 2 proc. šio sumažėjimo taip pat paaiškinama duomenų neatitikimais, turinčiais įtakos išmetamųjų teršalų kiekio padalijimui tarp elektros energijos ir pramonės sektorių, o ne rinkos tendencijomis.</w:t>
      </w:r>
    </w:p>
  </w:footnote>
  <w:footnote w:id="50">
    <w:p w14:paraId="52C4DA8C" w14:textId="53428451" w:rsidR="00B60243" w:rsidRPr="0057218E" w:rsidRDefault="00B60243" w:rsidP="00C268B8">
      <w:pPr>
        <w:pStyle w:val="CMR-footnote"/>
      </w:pPr>
      <w:r>
        <w:rPr>
          <w:rStyle w:val="FootnoteReference"/>
          <w:lang w:val="en-IE"/>
        </w:rPr>
        <w:footnoteRef/>
      </w:r>
      <w:r>
        <w:t xml:space="preserve"> </w:t>
      </w:r>
      <w:hyperlink r:id="rId47" w:history="1">
        <w:r>
          <w:rPr>
            <w:rStyle w:val="Hyperlink"/>
          </w:rPr>
          <w:t>Grynoji elektros energijos gamyba pagal kuro rūšis – mėnesių duomenys</w:t>
        </w:r>
      </w:hyperlink>
      <w:r>
        <w:t>, Eurostatas.</w:t>
      </w:r>
    </w:p>
  </w:footnote>
  <w:footnote w:id="51">
    <w:p w14:paraId="4EBC1CA4" w14:textId="21327AAF" w:rsidR="005A5A04" w:rsidRPr="006D4D91" w:rsidRDefault="005A5A04" w:rsidP="00F47056">
      <w:pPr>
        <w:pStyle w:val="CMR-footnote"/>
      </w:pPr>
      <w:r>
        <w:rPr>
          <w:rStyle w:val="FootnoteReference"/>
          <w:lang w:val="en-IE"/>
        </w:rPr>
        <w:footnoteRef/>
      </w:r>
      <w:r>
        <w:t xml:space="preserve"> </w:t>
      </w:r>
      <w:hyperlink r:id="rId48" w:history="1">
        <w:r>
          <w:rPr>
            <w:rStyle w:val="Hyperlink"/>
          </w:rPr>
          <w:t>Pramonės gamyba euro zonoje sumažėjo 1,1 proc., visoje ES – 0,8 proc.</w:t>
        </w:r>
      </w:hyperlink>
      <w:r>
        <w:t>, Eurostatas, 2025 2 13.</w:t>
      </w:r>
    </w:p>
  </w:footnote>
  <w:footnote w:id="52">
    <w:p w14:paraId="4ECDDB37" w14:textId="5A78CE7E" w:rsidR="005F69A5" w:rsidRPr="00014399" w:rsidRDefault="005F69A5" w:rsidP="00917BE8">
      <w:pPr>
        <w:pStyle w:val="CMR-footnote"/>
      </w:pPr>
      <w:r>
        <w:rPr>
          <w:rStyle w:val="FootnoteReference"/>
        </w:rPr>
        <w:footnoteRef/>
      </w:r>
      <w:r>
        <w:t xml:space="preserve"> Ši analizė pagrįsta duomenimis apie ES ATLPS įgyvendinimą, kuriuos valstybės kasmet pateikia pagal ES ATLPS direktyvos 21 straipsnį (terminas – birželio 30 d.). </w:t>
      </w:r>
    </w:p>
  </w:footnote>
  <w:footnote w:id="53">
    <w:p w14:paraId="2693315F" w14:textId="0A8E53E2" w:rsidR="00C75203" w:rsidRPr="00A77F56" w:rsidRDefault="00C75203" w:rsidP="00917BE8">
      <w:pPr>
        <w:pStyle w:val="CMR-footnote"/>
      </w:pPr>
      <w:r>
        <w:rPr>
          <w:rStyle w:val="FootnoteReference"/>
        </w:rPr>
        <w:footnoteRef/>
      </w:r>
      <w:r>
        <w:t xml:space="preserve"> Visai netaršus (pagal netaršumo reitingą) tvarios biomasės naudojimas sudaro papildomus 22 proc. prie viso įrenginių, kuriems taikoma ATLPS, išmetamųjų teršalų kiekio 2024 m. </w:t>
      </w:r>
    </w:p>
  </w:footnote>
  <w:footnote w:id="54">
    <w:p w14:paraId="7D60956F" w14:textId="1EAF3260" w:rsidR="00AC7C5E" w:rsidRPr="00686AC8" w:rsidRDefault="00AC7C5E" w:rsidP="00917BE8">
      <w:pPr>
        <w:pStyle w:val="CMR-footnote"/>
      </w:pPr>
      <w:r>
        <w:rPr>
          <w:rStyle w:val="FootnoteReference"/>
        </w:rPr>
        <w:footnoteRef/>
      </w:r>
      <w:r>
        <w:t xml:space="preserve"> 2018 m. gruodžio 11 d. </w:t>
      </w:r>
      <w:hyperlink r:id="rId49" w:history="1">
        <w:r>
          <w:rPr>
            <w:rStyle w:val="Hyperlink"/>
          </w:rPr>
          <w:t>Reglamentas (ES) 2018/1999</w:t>
        </w:r>
      </w:hyperlink>
      <w:r>
        <w:t xml:space="preserve">, OL L 328, 2018 12 21. </w:t>
      </w:r>
    </w:p>
  </w:footnote>
  <w:footnote w:id="55">
    <w:p w14:paraId="2D858616" w14:textId="365D11FD" w:rsidR="000F529A" w:rsidRPr="00B33C4C" w:rsidRDefault="000F529A" w:rsidP="000F529A">
      <w:pPr>
        <w:pStyle w:val="CMR-footnote"/>
      </w:pPr>
      <w:r>
        <w:rPr>
          <w:rStyle w:val="FootnoteReference"/>
        </w:rPr>
        <w:footnoteRef/>
      </w:r>
      <w:r>
        <w:t xml:space="preserve"> </w:t>
      </w:r>
      <w:hyperlink r:id="rId50" w:history="1">
        <w:r>
          <w:rPr>
            <w:rStyle w:val="Hyperlink"/>
          </w:rPr>
          <w:t>ATLPS aukcionų pajamų panaudojimas. 2025 ataskaitiniai metai. Valdymo reglamentas</w:t>
        </w:r>
      </w:hyperlink>
      <w:r>
        <w:t>, „Reportnet3“, Europos aplinkos agentūra.</w:t>
      </w:r>
    </w:p>
  </w:footnote>
  <w:footnote w:id="56">
    <w:p w14:paraId="67691B99" w14:textId="1B62CED3" w:rsidR="0055278A" w:rsidRPr="008D3427" w:rsidRDefault="0055278A" w:rsidP="00917BE8">
      <w:pPr>
        <w:pStyle w:val="CMR-footnote"/>
      </w:pPr>
      <w:r>
        <w:rPr>
          <w:rStyle w:val="FootnoteReference"/>
        </w:rPr>
        <w:footnoteRef/>
      </w:r>
      <w:r>
        <w:t xml:space="preserve"> Iki 2023 m. birželio 4 d. valstybės narės buvo raginamos panaudoti bent 50 proc. surinktų pajamų paramai investicijoms į dekarbonizaciją ir energetikos pertvarką. Nuo 2023 m. birželio 5 d. surenkamoms pajamoms taikoma pareiga 100 proc. pajamų (arba tų pajamų finansinės vertės atitikmenį) panaudoti dekarbonizacijai ir energetikos pertvarkai ATLPS sektoriuose remti. </w:t>
      </w:r>
    </w:p>
  </w:footnote>
  <w:footnote w:id="57">
    <w:p w14:paraId="20A89585" w14:textId="6CA0DAF8" w:rsidR="004342FC" w:rsidRPr="007C0CA9" w:rsidRDefault="004342FC" w:rsidP="00917BE8">
      <w:pPr>
        <w:pStyle w:val="CMR-footnote"/>
      </w:pPr>
      <w:r>
        <w:rPr>
          <w:rStyle w:val="FootnoteReference"/>
        </w:rPr>
        <w:footnoteRef/>
      </w:r>
      <w:r>
        <w:t xml:space="preserve"> Kai kurios šalys, kurios bendrai finansuoja veiksmus savo pajamomis iš ATLPS, nurodo visą bendrai finansuojamo veiksmo vertę, todėl jų veiksmų suma yra didesnė už jų pajamas. Dėl to šiame skyriuje pateikiamos vertės pakoreguotos, pvz., jei veiksmų suma buvo du kartus didesnė už gautas pajamas, daryta prielaida, kad pusė kiekvieno veiksmo ir netiesioginių išlaidų, patiriamų dėl išmetamo anglies dioksido, kompensacijos buvo apmokėta iš aukcionų pajamų.</w:t>
      </w:r>
    </w:p>
  </w:footnote>
  <w:footnote w:id="58">
    <w:p w14:paraId="7E81AC08" w14:textId="709A4B29" w:rsidR="004B0B27" w:rsidRPr="00686AC8" w:rsidRDefault="004B0B27" w:rsidP="00917BE8">
      <w:pPr>
        <w:pStyle w:val="CMR-footnote"/>
      </w:pPr>
      <w:r>
        <w:rPr>
          <w:rStyle w:val="FootnoteReference"/>
        </w:rPr>
        <w:footnoteRef/>
      </w:r>
      <w:r>
        <w:t xml:space="preserve"> Būsima 2025 m. klimato politikos veiksmų pažangos ataskaita ir prie jos pridedamas Komisijos tarnybų darbinis dokumentas.</w:t>
      </w:r>
    </w:p>
  </w:footnote>
  <w:footnote w:id="59">
    <w:p w14:paraId="134C5793" w14:textId="192607AF" w:rsidR="00B70E5F" w:rsidRPr="00B70E5F" w:rsidRDefault="00B70E5F">
      <w:pPr>
        <w:pStyle w:val="FootnoteText"/>
      </w:pPr>
      <w:r>
        <w:rPr>
          <w:rStyle w:val="FootnoteReference"/>
        </w:rPr>
        <w:footnoteRef/>
      </w:r>
      <w:r>
        <w:t xml:space="preserve"> </w:t>
      </w:r>
      <w:r>
        <w:rPr>
          <w:rStyle w:val="CMR-footnoteChar"/>
        </w:rPr>
        <w:t xml:space="preserve">Tam tikrų valstybės pagalbos priemonių, susijusių su šiltnamio efektą sukeliančių dujų apyvartinių taršos leidimų prekybos sistema po 2021 m., gairės (2020/C 317/04). Šiuo metu rengiamas šių gairių </w:t>
      </w:r>
      <w:hyperlink r:id="rId51" w:history="1">
        <w:r>
          <w:rPr>
            <w:rStyle w:val="Hyperlink"/>
            <w:rFonts w:ascii="Times New Roman" w:hAnsi="Times New Roman"/>
            <w:sz w:val="18"/>
          </w:rPr>
          <w:t>techninis atnaujinimas</w:t>
        </w:r>
      </w:hyperlink>
      <w:r>
        <w:rPr>
          <w:rStyle w:val="CMR-footnoteChar"/>
        </w:rPr>
        <w:t xml:space="preserve">. </w:t>
      </w:r>
    </w:p>
  </w:footnote>
  <w:footnote w:id="60">
    <w:p w14:paraId="71CF7AE6" w14:textId="1334FAB6" w:rsidR="002F4398" w:rsidRPr="0087079B" w:rsidRDefault="002F4398" w:rsidP="003453AF">
      <w:pPr>
        <w:pStyle w:val="CMR-footnote"/>
      </w:pPr>
      <w:r>
        <w:rPr>
          <w:rStyle w:val="FootnoteReference"/>
        </w:rPr>
        <w:footnoteRef/>
      </w:r>
      <w:r>
        <w:t xml:space="preserve"> Pagal valstybės pagalbos gaires, valstybių narių mokama kompensacija turi būti nustatoma remiantis vienų metų išankstinių kainų, užfiksuotų tam tikroje ES anglies dioksido biržoje, vidurkiu. Kiekvienoje valstybėje narėje naudojama kaina gali šiek tiek skirtis, priklausomai nuo to, kuria ES anglies dioksido birža naudojamasi.</w:t>
      </w:r>
    </w:p>
  </w:footnote>
  <w:footnote w:id="61">
    <w:p w14:paraId="59F5941E" w14:textId="4DCE1404" w:rsidR="00E3484A" w:rsidRPr="00854C42" w:rsidRDefault="00E3484A" w:rsidP="003453AF">
      <w:pPr>
        <w:pStyle w:val="CMR-footnote"/>
      </w:pPr>
      <w:r>
        <w:rPr>
          <w:rStyle w:val="FootnoteReference"/>
        </w:rPr>
        <w:footnoteRef/>
      </w:r>
      <w:r>
        <w:t xml:space="preserve"> Pagal PPR Liuksemburgui leidžiama 2021–2030 m. laikotarpiu panaikinti vidutiniškai 0,4 mln. ATL per metus; jeigu jie būtų parduoti aukcione už šiame skyriuje numatytą rinkos kainą, atitinkama suma būtų 33,5 mln. EUR. </w:t>
      </w:r>
    </w:p>
  </w:footnote>
  <w:footnote w:id="62">
    <w:p w14:paraId="6FBA7AAC" w14:textId="4B924EF2" w:rsidR="007A720D" w:rsidRPr="00854C42" w:rsidRDefault="007A720D" w:rsidP="003453AF">
      <w:pPr>
        <w:pStyle w:val="CMR-footnote"/>
      </w:pPr>
      <w:r>
        <w:rPr>
          <w:rStyle w:val="FootnoteReference"/>
          <w:rFonts w:cs="Times New Roman"/>
        </w:rPr>
        <w:footnoteRef/>
      </w:r>
      <w:r>
        <w:t xml:space="preserve"> </w:t>
      </w:r>
      <w:r>
        <w:rPr>
          <w:i/>
          <w:iCs/>
        </w:rPr>
        <w:t>Beihilfen für indirekte CO2-Kosten des Emissionshandels (Strompreiskompensation) in Deutschland für das Jahr 2023</w:t>
      </w:r>
      <w:r>
        <w:t xml:space="preserve"> (</w:t>
      </w:r>
      <w:hyperlink r:id="rId52" w:history="1">
        <w:r>
          <w:rPr>
            <w:rStyle w:val="Hyperlink"/>
          </w:rPr>
          <w:t>nuoroda</w:t>
        </w:r>
      </w:hyperlink>
      <w:r>
        <w:t>).</w:t>
      </w:r>
    </w:p>
  </w:footnote>
  <w:footnote w:id="63">
    <w:p w14:paraId="544DBF79" w14:textId="50B650F1" w:rsidR="00FD4030" w:rsidRPr="00810423" w:rsidRDefault="00FD4030" w:rsidP="00917BE8">
      <w:pPr>
        <w:pStyle w:val="CMR-footnote"/>
      </w:pPr>
      <w:r>
        <w:rPr>
          <w:rStyle w:val="FootnoteReference"/>
        </w:rPr>
        <w:footnoteRef/>
      </w:r>
      <w:r>
        <w:t xml:space="preserve"> </w:t>
      </w:r>
      <w:r>
        <w:rPr>
          <w:shd w:val="clear" w:color="auto" w:fill="FFFFFF"/>
        </w:rPr>
        <w:t xml:space="preserve">European Commission: Directorate-General for Climate Action, </w:t>
      </w:r>
      <w:r>
        <w:rPr>
          <w:i/>
          <w:shd w:val="clear" w:color="auto" w:fill="FFFFFF"/>
        </w:rPr>
        <w:t>Innovation Fund progress report 2023 – Report from the Commission to the European Parliament and the Council on the implementation of the Innovation Fund in 2023</w:t>
      </w:r>
      <w:r>
        <w:rPr>
          <w:shd w:val="clear" w:color="auto" w:fill="FFFFFF"/>
        </w:rPr>
        <w:t>, Publications Office of the European Union, 2025 (</w:t>
      </w:r>
      <w:hyperlink r:id="rId53" w:history="1">
        <w:r>
          <w:rPr>
            <w:rStyle w:val="Hyperlink"/>
            <w:shd w:val="clear" w:color="auto" w:fill="FFFFFF"/>
          </w:rPr>
          <w:t>nuoroda</w:t>
        </w:r>
      </w:hyperlink>
      <w:r>
        <w:rPr>
          <w:shd w:val="clear" w:color="auto" w:fill="FFFFFF"/>
        </w:rPr>
        <w:t>)</w:t>
      </w:r>
      <w:r>
        <w:t>.</w:t>
      </w:r>
    </w:p>
  </w:footnote>
  <w:footnote w:id="64">
    <w:p w14:paraId="71E2A34A" w14:textId="6942D34F" w:rsidR="00A53F50" w:rsidRPr="00854C42" w:rsidRDefault="00A53F50" w:rsidP="00C94BD9">
      <w:pPr>
        <w:pStyle w:val="CMR-footnote"/>
      </w:pPr>
      <w:r>
        <w:rPr>
          <w:rStyle w:val="FootnoteReference"/>
        </w:rPr>
        <w:footnoteRef/>
      </w:r>
      <w:r>
        <w:t xml:space="preserve"> </w:t>
      </w:r>
      <w:hyperlink r:id="rId54" w:history="1">
        <w:r>
          <w:rPr>
            <w:rStyle w:val="Hyperlink"/>
          </w:rPr>
          <w:t>Inovacijų fondo portfelio rodiklių suvestinė</w:t>
        </w:r>
      </w:hyperlink>
      <w:r>
        <w:t>.</w:t>
      </w:r>
    </w:p>
  </w:footnote>
  <w:footnote w:id="65">
    <w:p w14:paraId="50DEDEFC" w14:textId="71AD61F4" w:rsidR="00FD4030" w:rsidRPr="001E7394" w:rsidRDefault="00FD4030" w:rsidP="00917BE8">
      <w:pPr>
        <w:pStyle w:val="CMR-footnote"/>
      </w:pPr>
      <w:r>
        <w:rPr>
          <w:rStyle w:val="FootnoteReference"/>
        </w:rPr>
        <w:footnoteRef/>
      </w:r>
      <w:r>
        <w:t xml:space="preserve"> Direktyvos 2009/29/EB 20 konstatuojamoji dalis; tai dar kartą patvirtinta Direktyvos (ES) 2018/410 14 konstatuojamojoje dalyje. </w:t>
      </w:r>
    </w:p>
  </w:footnote>
  <w:footnote w:id="66">
    <w:p w14:paraId="3833B0EA" w14:textId="06FF0938" w:rsidR="004771E8" w:rsidRPr="00854C42" w:rsidRDefault="004771E8" w:rsidP="000B3CB8">
      <w:pPr>
        <w:pStyle w:val="CMR-footnote"/>
      </w:pPr>
      <w:r>
        <w:rPr>
          <w:rStyle w:val="FootnoteReference"/>
        </w:rPr>
        <w:footnoteRef/>
      </w:r>
      <w:r>
        <w:t xml:space="preserve"> </w:t>
      </w:r>
      <w:hyperlink r:id="rId55" w:history="1">
        <w:r>
          <w:rPr>
            <w:rStyle w:val="Hyperlink"/>
          </w:rPr>
          <w:t>Inovacijų fondas – projektų plėtojimo pagalba</w:t>
        </w:r>
      </w:hyperlink>
      <w:r>
        <w:t xml:space="preserve">, EIB. </w:t>
      </w:r>
    </w:p>
  </w:footnote>
  <w:footnote w:id="67">
    <w:p w14:paraId="04CD74F0" w14:textId="44F2EE8A" w:rsidR="002F024C" w:rsidRPr="00854C42" w:rsidRDefault="002F024C" w:rsidP="000B3CB8">
      <w:pPr>
        <w:pStyle w:val="CMR-footnote"/>
      </w:pPr>
      <w:r>
        <w:rPr>
          <w:rStyle w:val="FootnoteReference"/>
        </w:rPr>
        <w:footnoteRef/>
      </w:r>
      <w:r>
        <w:t xml:space="preserve"> 2024 m. vasario 29 d. </w:t>
      </w:r>
      <w:hyperlink r:id="rId56" w:history="1">
        <w:r>
          <w:rPr>
            <w:rStyle w:val="Hyperlink"/>
          </w:rPr>
          <w:t>Reglamentas (ES) 2024/795</w:t>
        </w:r>
      </w:hyperlink>
      <w:r>
        <w:t>, OL L, 2024/795, 2024 2 29, ELI: </w:t>
      </w:r>
      <w:hyperlink r:id="rId57" w:tgtFrame="_blank" w:tooltip="Prieiga prie šio dokumento per jo ELI URI." w:history="1">
        <w:r>
          <w:rPr>
            <w:rStyle w:val="Hyperlink"/>
          </w:rPr>
          <w:t>http://data.europa.eu/eli/reg/2024/795/oj</w:t>
        </w:r>
      </w:hyperlink>
      <w:r>
        <w:t>.</w:t>
      </w:r>
    </w:p>
  </w:footnote>
  <w:footnote w:id="68">
    <w:p w14:paraId="7F9F7919" w14:textId="77777777" w:rsidR="00DC0230" w:rsidRPr="00273826" w:rsidRDefault="00DC0230" w:rsidP="00DC0230">
      <w:pPr>
        <w:pStyle w:val="CMR-footnote"/>
      </w:pPr>
      <w:r>
        <w:rPr>
          <w:rStyle w:val="FootnoteReference"/>
        </w:rPr>
        <w:footnoteRef/>
      </w:r>
      <w:r>
        <w:t xml:space="preserve"> Pirmosios šio fondo paramą gavusios valstybės narės buvo Bulgarija, Čekija, Estija, Kroatija, Latvija, Lenkija, Lietuva, Rumunija, Slovakija ir Vengrija. </w:t>
      </w:r>
    </w:p>
  </w:footnote>
  <w:footnote w:id="69">
    <w:p w14:paraId="31C067E7" w14:textId="1EE946DD" w:rsidR="0069737E" w:rsidRPr="00450FAB" w:rsidRDefault="0069737E" w:rsidP="00917BE8">
      <w:pPr>
        <w:pStyle w:val="CMR-footnote"/>
      </w:pPr>
      <w:r>
        <w:rPr>
          <w:rStyle w:val="FootnoteReference"/>
        </w:rPr>
        <w:footnoteRef/>
      </w:r>
      <w:r>
        <w:t xml:space="preserve"> 2023 m. atliekant ES ATLPS direktyvos peržiūrą prie pradinių dešimties valstybių narių pridėtos Graikija, Portugalija ir Slovėnija.</w:t>
      </w:r>
    </w:p>
  </w:footnote>
  <w:footnote w:id="70">
    <w:p w14:paraId="00FD60A7" w14:textId="021C017C" w:rsidR="006F078C" w:rsidRPr="00E77C65" w:rsidRDefault="006F078C" w:rsidP="00917BE8">
      <w:pPr>
        <w:pStyle w:val="CMR-footnote"/>
      </w:pPr>
      <w:r>
        <w:rPr>
          <w:rStyle w:val="FootnoteReference"/>
        </w:rPr>
        <w:footnoteRef/>
      </w:r>
      <w:r>
        <w:t xml:space="preserve"> ES ATLPS direktyvos IIb priedas (Modernizavimo fondo lėšų paskirstymo schema). </w:t>
      </w:r>
    </w:p>
  </w:footnote>
  <w:footnote w:id="71">
    <w:p w14:paraId="1371914E" w14:textId="000ADD8E" w:rsidR="006F078C" w:rsidRPr="00D070B3" w:rsidRDefault="006F078C" w:rsidP="00917BE8">
      <w:pPr>
        <w:pStyle w:val="CMR-footnote"/>
      </w:pPr>
      <w:r>
        <w:rPr>
          <w:rStyle w:val="FootnoteReference"/>
        </w:rPr>
        <w:footnoteRef/>
      </w:r>
      <w:r>
        <w:t xml:space="preserve"> </w:t>
      </w:r>
      <w:hyperlink r:id="rId58" w:history="1">
        <w:r>
          <w:rPr>
            <w:rStyle w:val="Hyperlink"/>
          </w:rPr>
          <w:t>C(2024) 4190 </w:t>
        </w:r>
        <w:r>
          <w:rPr>
            <w:rStyle w:val="Hyperlink"/>
            <w:i/>
            <w:iCs/>
          </w:rPr>
          <w:t>final</w:t>
        </w:r>
      </w:hyperlink>
      <w:r>
        <w:t> – 2024 m. birželio 12 d. Komisijos sprendimas dėl pajamų iš Modernizavimo fondo išmokėjimo pagal Direktyvą 2003/87/EB. Pirmasis 2024 m. išmokų ciklas iš dviejų kasmetinių ciklų.</w:t>
      </w:r>
    </w:p>
  </w:footnote>
  <w:footnote w:id="72">
    <w:p w14:paraId="06E01E61" w14:textId="5263773B" w:rsidR="006F078C" w:rsidRPr="007E51E1" w:rsidRDefault="006F078C" w:rsidP="00917BE8">
      <w:pPr>
        <w:pStyle w:val="CMR-footnote"/>
      </w:pPr>
      <w:r>
        <w:rPr>
          <w:rStyle w:val="FootnoteReference"/>
        </w:rPr>
        <w:footnoteRef/>
      </w:r>
      <w:r>
        <w:t xml:space="preserve"> Penktuoju Modernizavimo fondo lėšų išmokėjimo sprendimu patvirtintos išmokos Rumunijai (1,1 mlrd. EUR), Čekijai (835 mln. EUR), Lenkijai (698 mln. EUR), Vengrijai (77 mln. EUR), Bulgarijai (65 mln. EUR), Lietuvai (59 mln. EUR), Kroatijai (52 mln. EUR), Slovakijai (35 mln. EUR), Latvijai (27 mln. EUR) ir Estijai (24 mln. EUR).</w:t>
      </w:r>
    </w:p>
  </w:footnote>
  <w:footnote w:id="73">
    <w:p w14:paraId="016F644E" w14:textId="70AD9EC1" w:rsidR="0097021E" w:rsidRPr="0041661C" w:rsidRDefault="0097021E" w:rsidP="00917BE8">
      <w:pPr>
        <w:pStyle w:val="CMR-footnote"/>
      </w:pPr>
      <w:r>
        <w:rPr>
          <w:rStyle w:val="FootnoteReference"/>
        </w:rPr>
        <w:footnoteRef/>
      </w:r>
      <w:r>
        <w:t xml:space="preserve"> 25 mln. ATL atidėta galimam naudojimui pagal ES ATLPS direktyvos 10a straipsnio 9 dalį (Komisijos komunikatas „Bendro 2021 m. apyvartoje buvusių apyvartinių taršos leidimų skaičiaus paskelbimas ES šiltnamio efektą sukeliančių dujų apyvartinių taršos leidimų prekybos sistemos, sukurtos Direktyva 2003/87/EB, rinkos stabilumo rezervo reikmėms ir 2013–2020 m. laikotarpiu nepaskirstytų taršos leidimų skaičiaus paskelbimas“, 2022/C 195/02, C/2022/2780 (</w:t>
      </w:r>
      <w:hyperlink r:id="rId59" w:history="1">
        <w:r>
          <w:rPr>
            <w:rStyle w:val="Hyperlink"/>
          </w:rPr>
          <w:t>OL C 195</w:t>
        </w:r>
      </w:hyperlink>
      <w:r>
        <w:t>, 2022 5 13).</w:t>
      </w:r>
    </w:p>
  </w:footnote>
  <w:footnote w:id="74">
    <w:p w14:paraId="1695B285" w14:textId="36958A50" w:rsidR="2EE81C63" w:rsidRPr="00B05891" w:rsidRDefault="2EE81C63" w:rsidP="00B05891">
      <w:pPr>
        <w:pStyle w:val="CMR-footnote"/>
      </w:pPr>
      <w:r>
        <w:rPr>
          <w:rStyle w:val="FootnoteReference"/>
          <w:rFonts w:cs="Times New Roman"/>
        </w:rPr>
        <w:footnoteRef/>
      </w:r>
      <w:r>
        <w:rPr>
          <w:rStyle w:val="FootnoteReference"/>
        </w:rPr>
        <w:t xml:space="preserve"> </w:t>
      </w:r>
      <w:hyperlink r:id="rId60" w:history="1">
        <w:r>
          <w:rPr>
            <w:rStyle w:val="Hyperlink"/>
            <w:i/>
            <w:iCs/>
            <w:color w:val="auto"/>
            <w:u w:val="none"/>
          </w:rPr>
          <w:t>Executive Vice-President Šefčovič signs agreement between Greece, European Investment Bank and the Commission on a Decarbonisation Fund for Greek islands</w:t>
        </w:r>
        <w:r>
          <w:rPr>
            <w:rStyle w:val="Hyperlink"/>
            <w:color w:val="auto"/>
            <w:u w:val="none"/>
          </w:rPr>
          <w:t xml:space="preserve"> - European Commission</w:t>
        </w:r>
      </w:hyperlink>
      <w:r>
        <w:t xml:space="preserve">. </w:t>
      </w:r>
    </w:p>
  </w:footnote>
  <w:footnote w:id="75">
    <w:p w14:paraId="704629AD" w14:textId="04564CE4" w:rsidR="00187D4D" w:rsidRPr="002B6EB7" w:rsidRDefault="00187D4D" w:rsidP="00917BE8">
      <w:pPr>
        <w:pStyle w:val="CMR-footnote"/>
      </w:pPr>
      <w:r>
        <w:rPr>
          <w:rStyle w:val="FootnoteReference"/>
          <w:rFonts w:cs="Times New Roman"/>
        </w:rPr>
        <w:footnoteRef/>
      </w:r>
      <w:r>
        <w:rPr>
          <w:rStyle w:val="FootnoteReference"/>
        </w:rPr>
        <w:t xml:space="preserve"> </w:t>
      </w:r>
      <w:r>
        <w:t xml:space="preserve">2013 m. balandžio 24 d. </w:t>
      </w:r>
      <w:hyperlink r:id="rId61" w:history="1">
        <w:r>
          <w:rPr>
            <w:rStyle w:val="Hyperlink"/>
          </w:rPr>
          <w:t>Sprendimas Nr. 377/2013/ES</w:t>
        </w:r>
      </w:hyperlink>
      <w:r>
        <w:t xml:space="preserve">, kuriuo laikinai nukrypstama nuo Direktyvos 2003/87/EB, </w:t>
      </w:r>
      <w:hyperlink r:id="rId62" w:history="1">
        <w:r>
          <w:t>OL L 113,</w:t>
        </w:r>
      </w:hyperlink>
      <w:r>
        <w:t xml:space="preserve"> 2013 4 25.</w:t>
      </w:r>
    </w:p>
  </w:footnote>
  <w:footnote w:id="76">
    <w:p w14:paraId="447BC223" w14:textId="41137DF7" w:rsidR="00E772AF" w:rsidRPr="00E772AF" w:rsidRDefault="00E772AF" w:rsidP="00917BE8">
      <w:pPr>
        <w:pStyle w:val="CMR-footnote"/>
      </w:pPr>
      <w:r>
        <w:rPr>
          <w:rStyle w:val="FootnoteReference"/>
        </w:rPr>
        <w:footnoteRef/>
      </w:r>
      <w:r>
        <w:t xml:space="preserve"> </w:t>
      </w:r>
      <w:hyperlink r:id="rId63" w:history="1">
        <w:r>
          <w:rPr>
            <w:rStyle w:val="Hyperlink"/>
          </w:rPr>
          <w:t>Direktyvos (ES) 2023/958</w:t>
        </w:r>
      </w:hyperlink>
      <w:r>
        <w:t>, kuria iš dalies keičiama ES ATLPS direktyva, 30 konstatuojamoji dalis.</w:t>
      </w:r>
    </w:p>
  </w:footnote>
  <w:footnote w:id="77">
    <w:p w14:paraId="49B64EBA" w14:textId="2DF65F73" w:rsidR="00187D4D" w:rsidRPr="0010031B" w:rsidRDefault="00187D4D" w:rsidP="00917BE8">
      <w:pPr>
        <w:pStyle w:val="CMR-footnote"/>
      </w:pPr>
      <w:r>
        <w:rPr>
          <w:rStyle w:val="FootnoteReference"/>
          <w:rFonts w:cs="Times New Roman"/>
        </w:rPr>
        <w:footnoteRef/>
      </w:r>
      <w:r>
        <w:t xml:space="preserve"> Laikina nuo ES ATLPS nukrypti leidžianti nuostata iki 2030 m. taikoma teršalams, išmetamiems vykdant skrydžius tarp vienos valstybės narės atokiausiame regione esančio aerodromo ir kito </w:t>
      </w:r>
      <w:r>
        <w:rPr>
          <w:rStyle w:val="Hyperlink"/>
        </w:rPr>
        <w:t>tos pačios</w:t>
      </w:r>
      <w:r>
        <w:t xml:space="preserve"> valstybės narės aerodromo.</w:t>
      </w:r>
    </w:p>
  </w:footnote>
  <w:footnote w:id="78">
    <w:p w14:paraId="0E271AE1" w14:textId="23254F62" w:rsidR="00D06F73" w:rsidRPr="0041661C" w:rsidRDefault="00D06F73" w:rsidP="00917BE8">
      <w:pPr>
        <w:pStyle w:val="CMR-footnote"/>
      </w:pPr>
      <w:r>
        <w:rPr>
          <w:rStyle w:val="FootnoteReference"/>
          <w:rFonts w:cs="Times New Roman"/>
        </w:rPr>
        <w:footnoteRef/>
      </w:r>
      <w:r>
        <w:t xml:space="preserve"> </w:t>
      </w:r>
      <w:hyperlink r:id="rId64" w:anchor=":~:text=From%202024%2C%20flights%20from%20Switzerland,exempt%20from%20the%20Swiss%20ETS." w:history="1">
        <w:r>
          <w:rPr>
            <w:rStyle w:val="Hyperlink"/>
          </w:rPr>
          <w:t>Papildomi nemokamai skiriami ATL skrydžiams į atokiausius regionus</w:t>
        </w:r>
      </w:hyperlink>
      <w:r>
        <w:t>, Apyvartinių taršos leidimų prekybos sistema orlaivių naudotojams, Federalinis aplinkos apsaugos biuras, 2024 m. rugpjūčio 31 d.</w:t>
      </w:r>
    </w:p>
  </w:footnote>
  <w:footnote w:id="79">
    <w:p w14:paraId="62E53C40" w14:textId="303337EE" w:rsidR="00EA2D29" w:rsidRPr="00854C42" w:rsidRDefault="00EA2D29" w:rsidP="0001718C">
      <w:pPr>
        <w:pStyle w:val="CMR-footnote"/>
      </w:pPr>
      <w:r>
        <w:rPr>
          <w:rStyle w:val="FootnoteReference"/>
        </w:rPr>
        <w:footnoteRef/>
      </w:r>
      <w:r>
        <w:t xml:space="preserve"> Šalys, kurioms teko didžiausia tarptautinės aviacijos veiklos dalis 2018 m., nustatytos vertinant pagal pajamų tonkilometrius (angl. </w:t>
      </w:r>
      <w:r>
        <w:rPr>
          <w:i/>
          <w:iCs/>
        </w:rPr>
        <w:t>revenue tonne kilometres</w:t>
      </w:r>
      <w:r>
        <w:t xml:space="preserve">), t. y. kiek krovinių ar keleivių už atlygį ir kokiais atstumais skraidino oro transporto bendrovė. Tos 34 valstybės nurodytos </w:t>
      </w:r>
      <w:hyperlink r:id="rId65" w:history="1">
        <w:r>
          <w:rPr>
            <w:rStyle w:val="Hyperlink"/>
          </w:rPr>
          <w:t>International-RTK-rankings_2018_SIDS_LDC_LLDC.pdf</w:t>
        </w:r>
      </w:hyperlink>
      <w:r>
        <w:t>.</w:t>
      </w:r>
    </w:p>
  </w:footnote>
  <w:footnote w:id="80">
    <w:p w14:paraId="32877F82" w14:textId="77777777" w:rsidR="00537304" w:rsidRPr="00817A49" w:rsidRDefault="00537304" w:rsidP="0001718C">
      <w:pPr>
        <w:pStyle w:val="CMR-footnote"/>
      </w:pPr>
      <w:r>
        <w:rPr>
          <w:rStyle w:val="FootnoteReference"/>
        </w:rPr>
        <w:footnoteRef/>
      </w:r>
      <w:r>
        <w:t xml:space="preserve"> CORSIA „maršrutu grindžiamas požiūris“ reiškia, kad nepriklausomai nuo to, kur įsikūrusi oro transporto bendrovė, vykdydama skrydžius maršrutais tarp dviejų dalyvaujančių valstybių ji turėtų visada laikytis kompensavimo reikalavimo. Už tai, kad oro transporto bendrovė laikytųsi CORSIA reikalavimų, atsako tik jos buveinės šalis. Pavyzdys: A valstybės oro transporto bendrovė A, kuriai CORSIA netaikoma, vis vien turėtų prisidėti prie išmetamo anglies dioksido kiekio kompensavimo, kai vykdo skrydžius į sistemą įtrauktais maršrutais tarp dalyvaujančių B ir C valstybių. Kad būtų sudaromos vienodos sąlygos, A valstybei tenka atsakomybė užtikrinti, kad oro transporto bendrovė A vykdydama šiuos skrydžius laikytųsi reikalavimų.</w:t>
      </w:r>
    </w:p>
  </w:footnote>
  <w:footnote w:id="81">
    <w:p w14:paraId="133372F9" w14:textId="5B7787A1" w:rsidR="00537304" w:rsidRPr="00343627" w:rsidRDefault="00537304" w:rsidP="0001718C">
      <w:pPr>
        <w:pStyle w:val="CMR-footnote"/>
      </w:pPr>
      <w:r>
        <w:rPr>
          <w:rStyle w:val="FootnoteReference"/>
        </w:rPr>
        <w:footnoteRef/>
      </w:r>
      <w:r>
        <w:t xml:space="preserve"> ICAO sekretoriatas šį dokumentą skelbia kasmet. 2024 m. skirtas dokumentas paskelbtas spalio mėn. pavadinimu </w:t>
      </w:r>
      <w:r>
        <w:rPr>
          <w:i/>
          <w:iCs/>
        </w:rPr>
        <w:t>Total Annual CO2 Emissions and Information for Aeroplane Operators</w:t>
      </w:r>
      <w:r>
        <w:t xml:space="preserve">; jis prieinamas šioje svetainėje (III dalis): </w:t>
      </w:r>
      <w:hyperlink r:id="rId66" w:history="1">
        <w:r>
          <w:rPr>
            <w:rStyle w:val="Hyperlink"/>
          </w:rPr>
          <w:t>https://www.icao.int/environmental-protection/CORSIA/Pages/CCR.aspx</w:t>
        </w:r>
      </w:hyperlink>
      <w:r>
        <w:t xml:space="preserve">. </w:t>
      </w:r>
    </w:p>
  </w:footnote>
  <w:footnote w:id="82">
    <w:p w14:paraId="5A41783C" w14:textId="41558914" w:rsidR="00B7738B" w:rsidRPr="00DD0C39" w:rsidRDefault="00B7738B" w:rsidP="00917BE8">
      <w:pPr>
        <w:pStyle w:val="CMR-footnote"/>
      </w:pPr>
      <w:r>
        <w:rPr>
          <w:rStyle w:val="FootnoteReference"/>
        </w:rPr>
        <w:footnoteRef/>
      </w:r>
      <w:r>
        <w:t xml:space="preserve"> 2023 m. gegužės 10 d. </w:t>
      </w:r>
      <w:hyperlink r:id="rId67" w:history="1">
        <w:r>
          <w:rPr>
            <w:rStyle w:val="Hyperlink"/>
          </w:rPr>
          <w:t>Direktyva (ES) 2023/958</w:t>
        </w:r>
      </w:hyperlink>
      <w:r>
        <w:t>, kuria iš dalies keičiama Direktyva 2003/87/EB, OL L 130, 2023 5 16.</w:t>
      </w:r>
    </w:p>
  </w:footnote>
  <w:footnote w:id="83">
    <w:p w14:paraId="1CAE71A9" w14:textId="737E81AB" w:rsidR="00B7738B" w:rsidRPr="009D0D66" w:rsidRDefault="00B7738B" w:rsidP="00917BE8">
      <w:pPr>
        <w:pStyle w:val="CMR-footnote"/>
      </w:pPr>
      <w:r>
        <w:rPr>
          <w:rStyle w:val="FootnoteReference"/>
        </w:rPr>
        <w:footnoteRef/>
      </w:r>
      <w:r>
        <w:t xml:space="preserve"> 2023 m. sausio 18 d. </w:t>
      </w:r>
      <w:hyperlink r:id="rId68" w:history="1">
        <w:r>
          <w:rPr>
            <w:rStyle w:val="Hyperlink"/>
          </w:rPr>
          <w:t>Sprendimas (ES) 2023/136</w:t>
        </w:r>
      </w:hyperlink>
      <w:r>
        <w:t>, kuriuo iš dalies keičiama Direktyva 2003/87/EB, OL L 19, 2023 1 20.</w:t>
      </w:r>
    </w:p>
  </w:footnote>
  <w:footnote w:id="84">
    <w:p w14:paraId="6B4B2E64" w14:textId="6B5A3A94" w:rsidR="00B7738B" w:rsidRPr="00165606" w:rsidRDefault="00B7738B" w:rsidP="00917BE8">
      <w:pPr>
        <w:pStyle w:val="CMR-footnote"/>
      </w:pPr>
      <w:r>
        <w:rPr>
          <w:rStyle w:val="FootnoteReference"/>
        </w:rPr>
        <w:footnoteRef/>
      </w:r>
      <w:r>
        <w:t xml:space="preserve"> 2025 m. liepos 23 d. </w:t>
      </w:r>
      <w:hyperlink r:id="rId69" w:history="1">
        <w:r>
          <w:rPr>
            <w:rStyle w:val="Hyperlink"/>
          </w:rPr>
          <w:t>Komisijos įgyvendinimo reglamentas (ES) 2025/1500</w:t>
        </w:r>
      </w:hyperlink>
      <w:r>
        <w:t>, OL L, 2025/1500, 2025 7 24, ELI: </w:t>
      </w:r>
      <w:hyperlink r:id="rId70" w:tooltip="Prieiga prie šio dokumento per jo ELI URI." w:history="1">
        <w:r>
          <w:rPr>
            <w:rStyle w:val="Hyperlink"/>
          </w:rPr>
          <w:t>http://data.europa.eu/eli/reg_impl/2025/1500/oj</w:t>
        </w:r>
      </w:hyperlink>
      <w:r>
        <w:t>.</w:t>
      </w:r>
    </w:p>
  </w:footnote>
  <w:footnote w:id="85">
    <w:p w14:paraId="3E3FB5E7" w14:textId="3F695E8A" w:rsidR="00B7738B" w:rsidRPr="00165606" w:rsidRDefault="00B7738B" w:rsidP="00917BE8">
      <w:pPr>
        <w:pStyle w:val="CMR-footnote"/>
      </w:pPr>
      <w:r>
        <w:rPr>
          <w:rStyle w:val="FootnoteReference"/>
        </w:rPr>
        <w:footnoteRef/>
      </w:r>
      <w:r>
        <w:t xml:space="preserve"> 2024 m. liepos 9 d. </w:t>
      </w:r>
      <w:hyperlink r:id="rId71" w:history="1">
        <w:r>
          <w:rPr>
            <w:rStyle w:val="Hyperlink"/>
          </w:rPr>
          <w:t>Komisijos įgyvendinimo reglamentas (ES) 2024/1879</w:t>
        </w:r>
      </w:hyperlink>
      <w:r>
        <w:t>, OL L, 2024/1879, 2024 7 10, ELI: </w:t>
      </w:r>
      <w:hyperlink r:id="rId72" w:tooltip="Prieiga prie šio dokumento per jo ELI URI." w:history="1">
        <w:r>
          <w:rPr>
            <w:rStyle w:val="Hyperlink"/>
          </w:rPr>
          <w:t>http://data.europa.eu/eli/reg_impl/2024/1879/oj</w:t>
        </w:r>
      </w:hyperlink>
      <w:r>
        <w:t>.</w:t>
      </w:r>
    </w:p>
  </w:footnote>
  <w:footnote w:id="86">
    <w:p w14:paraId="34F555C0" w14:textId="28513DB3" w:rsidR="00510DED" w:rsidRPr="00165606" w:rsidRDefault="00510DED" w:rsidP="00917BE8">
      <w:pPr>
        <w:pStyle w:val="CMR-footnote"/>
      </w:pPr>
      <w:r>
        <w:rPr>
          <w:rStyle w:val="FootnoteReference"/>
        </w:rPr>
        <w:footnoteRef/>
      </w:r>
      <w:r>
        <w:t xml:space="preserve"> </w:t>
      </w:r>
      <w:hyperlink r:id="rId73" w:history="1">
        <w:r>
          <w:rPr>
            <w:rStyle w:val="Hyperlink"/>
          </w:rPr>
          <w:t>2023 m. išmesto teršalų kiekio duomenų pagal aerodromų poras paskelbimas. Europos Komisija</w:t>
        </w:r>
      </w:hyperlink>
      <w:r>
        <w:t>, Klimato politikos generalinis direktoratas, 2025 m. birželio 19 d.</w:t>
      </w:r>
    </w:p>
  </w:footnote>
  <w:footnote w:id="87">
    <w:p w14:paraId="304D4757" w14:textId="7399C8F2" w:rsidR="007E501C" w:rsidRPr="004D1C4F" w:rsidRDefault="007E501C" w:rsidP="00917BE8">
      <w:pPr>
        <w:pStyle w:val="CMR-footnote"/>
      </w:pPr>
      <w:r>
        <w:rPr>
          <w:vertAlign w:val="superscript"/>
        </w:rPr>
        <w:footnoteRef/>
      </w:r>
      <w:r>
        <w:rPr>
          <w:rStyle w:val="Footnote1"/>
          <w:sz w:val="18"/>
          <w:vertAlign w:val="superscript"/>
        </w:rPr>
        <w:t xml:space="preserve"> </w:t>
      </w:r>
      <w:r>
        <w:rPr>
          <w:rStyle w:val="Footnote1"/>
          <w:sz w:val="18"/>
        </w:rPr>
        <w:t>Atsižvelgiant į atnaujintą ES ATLPS taikymo aviacijai sritį (be atvykimo iš Jungtinės Karalystės skrydžių). Šveicarijos administruojamų orlaivių naudotojų duomenys įtraukti tik į 2020–2023 m. įrašus.</w:t>
      </w:r>
    </w:p>
  </w:footnote>
  <w:footnote w:id="88">
    <w:p w14:paraId="3D522878" w14:textId="77777777" w:rsidR="007E501C" w:rsidRPr="004D1C4F" w:rsidRDefault="007E501C" w:rsidP="00917BE8">
      <w:pPr>
        <w:pStyle w:val="CMR-footnote"/>
      </w:pPr>
      <w:r>
        <w:rPr>
          <w:vertAlign w:val="superscript"/>
        </w:rPr>
        <w:footnoteRef/>
      </w:r>
      <w:r>
        <w:t xml:space="preserve"> </w:t>
      </w:r>
      <w:r>
        <w:rPr>
          <w:rStyle w:val="Footnote1"/>
          <w:sz w:val="18"/>
        </w:rPr>
        <w:t>Šie skaičiai gauti neatsižvelgiant į visus orlaivių naudotojų veiklos nutraukimo atvejus ir paskirstytus nemokamus ATL iš</w:t>
      </w:r>
      <w:r>
        <w:t xml:space="preserve"> </w:t>
      </w:r>
      <w:r>
        <w:rPr>
          <w:rStyle w:val="Footnote1"/>
          <w:sz w:val="18"/>
        </w:rPr>
        <w:t>specialaus naujiems rinkos dalyviams ir sparčiai augantiems veiklos vykdytojams skirto rezervo, taip pat į ATL grąžinimą 2012 m. dėl taikymo srities pakeitimo. Šaltiniai: Europos Sąjungos sandorių žurnalas, Klimato politikos GD.</w:t>
      </w:r>
    </w:p>
  </w:footnote>
  <w:footnote w:id="89">
    <w:p w14:paraId="13E74802" w14:textId="6560C57B" w:rsidR="007E501C" w:rsidRPr="00D06F73" w:rsidRDefault="007E501C" w:rsidP="00917BE8">
      <w:pPr>
        <w:pStyle w:val="CMR-footnote"/>
      </w:pPr>
      <w:r>
        <w:rPr>
          <w:vertAlign w:val="superscript"/>
        </w:rPr>
        <w:footnoteRef/>
      </w:r>
      <w:r>
        <w:rPr>
          <w:rStyle w:val="Footnote1"/>
          <w:sz w:val="18"/>
        </w:rPr>
        <w:t xml:space="preserve"> Atsižvelgiant į tai, kiek ATL nebuvo suteikta dėl orlaivių naudotojų veiklos nutraukimo,</w:t>
      </w:r>
      <w:r>
        <w:t xml:space="preserve"> </w:t>
      </w:r>
      <w:r>
        <w:rPr>
          <w:rStyle w:val="Footnote1"/>
          <w:sz w:val="18"/>
        </w:rPr>
        <w:t>realiai 2019 m. paskirstytų ATL kiekis būtų 4 mln. mažesnis už nurodytą skaičių (žr. 8 išnašą Pranešime C/2020/8643, OL C 428, 2020 12 11). ATL skyrimas</w:t>
      </w:r>
      <w:r>
        <w:t xml:space="preserve"> </w:t>
      </w:r>
      <w:r>
        <w:rPr>
          <w:rStyle w:val="Footnote1"/>
          <w:sz w:val="18"/>
        </w:rPr>
        <w:t>Jungtinei Karalystei (4,31 mln. ATL iš bendro 2019 m. ATL kiekio) 2019 m. buvo sustabdytas dėl apsaugos priemonių, kurių</w:t>
      </w:r>
      <w:r>
        <w:t xml:space="preserve"> </w:t>
      </w:r>
      <w:r>
        <w:rPr>
          <w:rStyle w:val="Footnote1"/>
          <w:sz w:val="18"/>
        </w:rPr>
        <w:t>Komisija ėmėsi siekdama apsaugoti ES ATLPS aplinkosauginį naudingumą tais atvejais, kai iš ES išstojančiai valstybei narei nebetaikoma ES teisė. 2020 m. ATL vėl pradėta skirti.</w:t>
      </w:r>
    </w:p>
  </w:footnote>
  <w:footnote w:id="90">
    <w:p w14:paraId="734C21DB" w14:textId="57F68F84" w:rsidR="00835DC2" w:rsidRDefault="00835DC2" w:rsidP="00E309CF">
      <w:pPr>
        <w:pStyle w:val="CMR-footnote"/>
      </w:pPr>
      <w:r>
        <w:rPr>
          <w:rStyle w:val="FootnoteReference"/>
        </w:rPr>
        <w:footnoteRef/>
      </w:r>
      <w:r>
        <w:t xml:space="preserve"> Pagal šią paramos sistemą visiškai ar iš dalies padengiamas likęs kainų skirtumas tarp iškastinio žibalo ir reikalavimus atitinkančių aviacinių degalų, kuriuos atskiri komercinių orlaivių naudotojai naudoja tiems savo skrydžiams, kuriems taikomas faktinis anglies dioksido apmokestinimas pagal ES ATLPS; taip šie orlaivių naudotojai skatinami rinktis mažiau taršių rūšių degalus. </w:t>
      </w:r>
    </w:p>
    <w:p w14:paraId="4ABBB6EF" w14:textId="05297207" w:rsidR="00835DC2" w:rsidRDefault="00835DC2" w:rsidP="00D05818">
      <w:pPr>
        <w:pStyle w:val="CMR-footnote"/>
        <w:ind w:left="720"/>
      </w:pPr>
      <w:r>
        <w:t xml:space="preserve">2025 m. vasario 6 d. </w:t>
      </w:r>
      <w:hyperlink r:id="rId74" w:history="1">
        <w:r>
          <w:rPr>
            <w:rStyle w:val="Hyperlink"/>
          </w:rPr>
          <w:t>Komisijos deleguotasis reglamentas (ES) 2025/723</w:t>
        </w:r>
      </w:hyperlink>
      <w:r>
        <w:t>, OL L, 2025/723, 2025 4 16, ELI: </w:t>
      </w:r>
      <w:hyperlink r:id="rId75" w:tgtFrame="_blank" w:tooltip="Prieiga prie šio dokumento per jo ELI URI." w:history="1">
        <w:r>
          <w:rPr>
            <w:rStyle w:val="Hyperlink"/>
          </w:rPr>
          <w:t>http://data.europa.eu/eli/reg_del/2025/723/oj</w:t>
        </w:r>
      </w:hyperlink>
      <w:r>
        <w:t xml:space="preserve">.  </w:t>
      </w:r>
    </w:p>
    <w:p w14:paraId="1E65C9B7" w14:textId="492DE64E" w:rsidR="00835DC2" w:rsidRPr="00D039FA" w:rsidRDefault="0080122D" w:rsidP="002C170A">
      <w:pPr>
        <w:pStyle w:val="CMR-footnote"/>
        <w:ind w:firstLine="720"/>
      </w:pPr>
      <w:hyperlink r:id="rId76" w:history="1">
        <w:r w:rsidR="00835DC2">
          <w:rPr>
            <w:rStyle w:val="Hyperlink"/>
          </w:rPr>
          <w:t>Komisijos pranešimas</w:t>
        </w:r>
        <w:r w:rsidR="00835DC2">
          <w:rPr>
            <w:rStyle w:val="Hyperlink"/>
            <w:rFonts w:ascii="Roboto" w:hAnsi="Roboto"/>
            <w:sz w:val="21"/>
            <w:shd w:val="clear" w:color="auto" w:fill="FFFFFF"/>
          </w:rPr>
          <w:t xml:space="preserve"> </w:t>
        </w:r>
        <w:r w:rsidR="00835DC2">
          <w:rPr>
            <w:rStyle w:val="Hyperlink"/>
          </w:rPr>
          <w:t>C/2025/3186</w:t>
        </w:r>
      </w:hyperlink>
      <w:r w:rsidR="00835DC2">
        <w:t>, OL C, C/2025/2934, 2025 5 27, ELI: </w:t>
      </w:r>
      <w:hyperlink r:id="rId77" w:tgtFrame="_blank" w:tooltip="Prieiga prie šio dokumento per jo ELI URI." w:history="1">
        <w:r w:rsidR="00835DC2">
          <w:rPr>
            <w:rStyle w:val="Hyperlink"/>
          </w:rPr>
          <w:t>http://data.europa.eu/eli/C/2025/2934/oj</w:t>
        </w:r>
      </w:hyperlink>
      <w:r w:rsidR="00835DC2">
        <w:t xml:space="preserve">. </w:t>
      </w:r>
    </w:p>
  </w:footnote>
  <w:footnote w:id="91">
    <w:p w14:paraId="6B464388" w14:textId="5A423D16" w:rsidR="00874A36" w:rsidRPr="000F417B" w:rsidRDefault="00874A36" w:rsidP="000F417B">
      <w:pPr>
        <w:pStyle w:val="CMR-footnote"/>
      </w:pPr>
      <w:r>
        <w:rPr>
          <w:rStyle w:val="FootnoteReference"/>
          <w:rFonts w:cs="Times New Roman"/>
          <w:szCs w:val="18"/>
        </w:rPr>
        <w:footnoteRef/>
      </w:r>
      <w:r>
        <w:t xml:space="preserve"> 2025 m. rugsėjo 12 d. </w:t>
      </w:r>
      <w:hyperlink r:id="rId78" w:history="1">
        <w:r>
          <w:rPr>
            <w:rStyle w:val="Hyperlink"/>
          </w:rPr>
          <w:t>Komisijos sprendimas</w:t>
        </w:r>
      </w:hyperlink>
      <w:r>
        <w:t>, OL C, C/2025/5004, 2025 9 16, ELI: </w:t>
      </w:r>
      <w:hyperlink r:id="rId79" w:tgtFrame="_blank" w:tooltip="Prieiga prie šio dokumento per jo ELI URI." w:history="1">
        <w:r>
          <w:rPr>
            <w:rStyle w:val="Hyperlink"/>
          </w:rPr>
          <w:t>http://data.europa.eu/eli/C/2025/5004/oj</w:t>
        </w:r>
      </w:hyperlink>
      <w:r>
        <w:t xml:space="preserve">. </w:t>
      </w:r>
    </w:p>
  </w:footnote>
  <w:footnote w:id="92">
    <w:p w14:paraId="749E8F4B" w14:textId="4C5DD29E" w:rsidR="00187D4D" w:rsidRPr="00D06F73" w:rsidRDefault="00187D4D" w:rsidP="00917BE8">
      <w:pPr>
        <w:pStyle w:val="CMR-footnote"/>
      </w:pPr>
      <w:r>
        <w:rPr>
          <w:rStyle w:val="FootnoteReference"/>
          <w:rFonts w:cs="Times New Roman"/>
        </w:rPr>
        <w:footnoteRef/>
      </w:r>
      <w:r>
        <w:rPr>
          <w:rStyle w:val="Bodytext1"/>
        </w:rPr>
        <w:t xml:space="preserve"> Bendras pasaulinės aviacijos poveikis klimatui yra kur kas didesnis negu vien jo CO</w:t>
      </w:r>
      <w:r>
        <w:rPr>
          <w:rStyle w:val="Bodytext1"/>
          <w:vertAlign w:val="subscript"/>
        </w:rPr>
        <w:t>2</w:t>
      </w:r>
      <w:r>
        <w:rPr>
          <w:rStyle w:val="Bodytext1"/>
        </w:rPr>
        <w:t xml:space="preserve"> komponentas. Kai atsižvelgiama į su CO</w:t>
      </w:r>
      <w:r>
        <w:rPr>
          <w:rStyle w:val="Bodytext1"/>
          <w:vertAlign w:val="subscript"/>
        </w:rPr>
        <w:t>2</w:t>
      </w:r>
      <w:r>
        <w:rPr>
          <w:rStyle w:val="Bodytext1"/>
        </w:rPr>
        <w:t xml:space="preserve"> nesusijusį poveikį, bendras aviacijos poveikis, įvertinta, yra nuo dviejų iki keturių kartų didesnis už CO</w:t>
      </w:r>
      <w:r>
        <w:rPr>
          <w:rStyle w:val="Bodytext1"/>
          <w:vertAlign w:val="subscript"/>
        </w:rPr>
        <w:t>2</w:t>
      </w:r>
      <w:r>
        <w:rPr>
          <w:rStyle w:val="Bodytext1"/>
        </w:rPr>
        <w:t xml:space="preserve"> išmetimo poveikį. Šios taršos problemą yra svarbu spręsti, nes Tarpvyriausybinė klimato kaitos komisija (IPCC) savo Šeštojoje klimato kaitos švelninimo vertinimo ataskaitoje išskyrė tarptautinę aviaciją (ir laivybą) kaip sektorius, kuriuose iškelti klimato srities tikslai nėra pakankami siekiant pagal Paryžiaus susitarimą sustabdyti pasaulio temperatūros kilimą.</w:t>
      </w:r>
    </w:p>
  </w:footnote>
  <w:footnote w:id="93">
    <w:p w14:paraId="5062C338" w14:textId="1ED224B3" w:rsidR="00491119" w:rsidRPr="00D8427E" w:rsidRDefault="00491119" w:rsidP="00491119">
      <w:pPr>
        <w:pStyle w:val="CMR-footnote"/>
      </w:pPr>
      <w:r>
        <w:rPr>
          <w:rStyle w:val="FootnoteReference"/>
        </w:rPr>
        <w:footnoteRef/>
      </w:r>
      <w:r>
        <w:t xml:space="preserve"> </w:t>
      </w:r>
      <w:r>
        <w:rPr>
          <w:rStyle w:val="CMR-footnoteChar"/>
        </w:rPr>
        <w:t>2015 m. balandžio 29 d. Europos Parlamento ir Tarybos reglamentas (ES) 2015/757 dėl jūrų transporto išmetamo šiltnamio efektą sukeliančių dujų kiekio stebėsenos, ataskaitų teikimo ir tikrinimo, kuriuo iš dalies keičiama Direktyva 2009/16/EB, (</w:t>
      </w:r>
      <w:hyperlink r:id="rId80" w:history="1">
        <w:r>
          <w:rPr>
            <w:rStyle w:val="Hyperlink"/>
          </w:rPr>
          <w:t>OL L 123</w:t>
        </w:r>
      </w:hyperlink>
      <w:r>
        <w:rPr>
          <w:rStyle w:val="CMR-footnoteChar"/>
        </w:rPr>
        <w:t>, 2015 5 19).</w:t>
      </w:r>
    </w:p>
  </w:footnote>
  <w:footnote w:id="94">
    <w:p w14:paraId="48DD177C" w14:textId="0A2B10AA" w:rsidR="00A62408" w:rsidRPr="00B92F09" w:rsidRDefault="00A62408">
      <w:pPr>
        <w:pStyle w:val="FootnoteText"/>
      </w:pPr>
      <w:r>
        <w:rPr>
          <w:rStyle w:val="FootnoteReference"/>
        </w:rPr>
        <w:footnoteRef/>
      </w:r>
      <w:r>
        <w:t xml:space="preserve"> </w:t>
      </w:r>
      <w:r>
        <w:rPr>
          <w:rStyle w:val="CMR-footnoteChar"/>
        </w:rPr>
        <w:t>Patikrinto jūrų transporto išmestų teršalų kiekio duomenys Sąjungos registre 2025 m. spalio 15 d.</w:t>
      </w:r>
      <w:r>
        <w:t xml:space="preserve"> </w:t>
      </w:r>
    </w:p>
  </w:footnote>
  <w:footnote w:id="95">
    <w:p w14:paraId="215AAC90" w14:textId="4A3F3EAE" w:rsidR="00C9410E" w:rsidRDefault="00C9410E" w:rsidP="00917BE8">
      <w:pPr>
        <w:pStyle w:val="CMR-footnote"/>
      </w:pPr>
      <w:r>
        <w:rPr>
          <w:rStyle w:val="FootnoteReference"/>
        </w:rPr>
        <w:footnoteRef/>
      </w:r>
      <w:r>
        <w:t xml:space="preserve"> 2018 m. gruodžio 19 d. </w:t>
      </w:r>
      <w:hyperlink r:id="rId81" w:history="1">
        <w:r>
          <w:rPr>
            <w:rStyle w:val="Hyperlink"/>
          </w:rPr>
          <w:t>Komisijos įgyvendinimo reglamentas (ES) 2018/2067</w:t>
        </w:r>
      </w:hyperlink>
      <w:r>
        <w:t xml:space="preserve">, OL L 334, 2018 12 31. Šis reglamentas 2020 m. iš dalies pakeistas Komisijos reglamentu (ES) 2020/2084, 2024 m. – Reglamentu (ES) 2024/1321 ir 2025 m. – Reglamentu (ES) 2025/1192. Žr. jo </w:t>
      </w:r>
      <w:hyperlink r:id="rId82" w:history="1">
        <w:r>
          <w:rPr>
            <w:rStyle w:val="Hyperlink"/>
          </w:rPr>
          <w:t>konsoliduotą redakciją</w:t>
        </w:r>
      </w:hyperlink>
      <w:r>
        <w:t>.</w:t>
      </w:r>
    </w:p>
  </w:footnote>
  <w:footnote w:id="96">
    <w:p w14:paraId="6B27E885" w14:textId="7D0FE43E" w:rsidR="00680B54" w:rsidRDefault="00680B54" w:rsidP="00917BE8">
      <w:pPr>
        <w:pStyle w:val="CMR-footnote"/>
      </w:pPr>
      <w:r>
        <w:rPr>
          <w:rStyle w:val="FootnoteReference"/>
        </w:rPr>
        <w:footnoteRef/>
      </w:r>
      <w:r>
        <w:t xml:space="preserve"> Šios valstybės narės buvo Danija, Lietuva, Nyderlandai ir Suomija. Vengrija teikia nebe supaprastintas ataskaitas.</w:t>
      </w:r>
    </w:p>
  </w:footnote>
  <w:footnote w:id="97">
    <w:p w14:paraId="7510177F" w14:textId="1A386E79" w:rsidR="00680B54" w:rsidRDefault="00680B54" w:rsidP="00917BE8">
      <w:pPr>
        <w:pStyle w:val="CMR-footnote"/>
      </w:pPr>
      <w:r>
        <w:rPr>
          <w:rStyle w:val="FootnoteReference"/>
          <w:rFonts w:cs="Times New Roman"/>
        </w:rPr>
        <w:footnoteRef/>
      </w:r>
      <w:r>
        <w:t xml:space="preserve"> Stebėsenos ir ataskaitų teikimo reglamento 13 straipsnis.</w:t>
      </w:r>
    </w:p>
  </w:footnote>
  <w:footnote w:id="98">
    <w:p w14:paraId="3C5C2679" w14:textId="77777777" w:rsidR="00797ADF" w:rsidRPr="0051224B" w:rsidRDefault="00797ADF" w:rsidP="00917BE8">
      <w:pPr>
        <w:pStyle w:val="CMR-footnote"/>
      </w:pPr>
      <w:r>
        <w:rPr>
          <w:rStyle w:val="FootnoteReference"/>
        </w:rPr>
        <w:footnoteRef/>
      </w:r>
      <w:r>
        <w:t xml:space="preserve"> Pagrindinė to priežastis yra ta, kad matavimu grindžiamai metodikai taikyti reikia nemažai išteklių ir praktinės patirties, kurių daugelis mažesnių veiklos vykdytojų stokoja.</w:t>
      </w:r>
    </w:p>
  </w:footnote>
  <w:footnote w:id="99">
    <w:p w14:paraId="363CBFE8" w14:textId="5958C6AB" w:rsidR="00797ADF" w:rsidRPr="0051224B" w:rsidRDefault="00797ADF" w:rsidP="00917BE8">
      <w:pPr>
        <w:pStyle w:val="CMR-footnote"/>
      </w:pPr>
      <w:r>
        <w:rPr>
          <w:rStyle w:val="FootnoteReference"/>
        </w:rPr>
        <w:footnoteRef/>
      </w:r>
      <w:r>
        <w:t xml:space="preserve"> Stebėsenos ir ataskaitų teikimo reglamente reikalaujama, kad visi veiklos vykdytojai pasiektų tam tikras būtiniausias pakopas. Įrenginiai, iš kurių išmetama daugiau kaip 50 tūkst. tonų CO</w:t>
      </w:r>
      <w:r>
        <w:rPr>
          <w:vertAlign w:val="subscript"/>
        </w:rPr>
        <w:t>2</w:t>
      </w:r>
      <w:r>
        <w:t>, turi atitikti didiesiems sukėlikliams taikomus aukščiausios pakopos reikalavimus (taip pasiekiama patikimesnė duomenų kokybė, o mažesniems sukėlikliams mažiau griežti reikalavimai taikomi dėl ekonominio efektyvumo priežasčių).</w:t>
      </w:r>
    </w:p>
  </w:footnote>
  <w:footnote w:id="100">
    <w:p w14:paraId="50D464A6" w14:textId="78E17FCB" w:rsidR="00AD51ED" w:rsidRPr="00685D02" w:rsidRDefault="00AD51ED" w:rsidP="00685D02">
      <w:pPr>
        <w:pStyle w:val="CMR-footnote"/>
      </w:pPr>
      <w:r>
        <w:rPr>
          <w:rStyle w:val="FootnoteReference"/>
        </w:rPr>
        <w:footnoteRef/>
      </w:r>
      <w:r>
        <w:t xml:space="preserve"> Ne visos ES ATLPS dalyvaujančios šalys turi komunalinių atliekų deginimo pajėgumų ar įrenginių, patenkančių į ES ATLPS stebėsenos pareigos taikymo sritį. </w:t>
      </w:r>
    </w:p>
  </w:footnote>
  <w:footnote w:id="101">
    <w:p w14:paraId="43521A73" w14:textId="5A24365B" w:rsidR="005943E5" w:rsidRPr="000B3CB8" w:rsidRDefault="005943E5">
      <w:pPr>
        <w:pStyle w:val="FootnoteText"/>
      </w:pPr>
      <w:r>
        <w:rPr>
          <w:rStyle w:val="FootnoteReference"/>
        </w:rPr>
        <w:footnoteRef/>
      </w:r>
      <w:r>
        <w:t xml:space="preserve"> </w:t>
      </w:r>
      <w:hyperlink r:id="rId83" w:history="1">
        <w:r>
          <w:rPr>
            <w:rStyle w:val="Hyperlink"/>
            <w:rFonts w:ascii="Times New Roman" w:hAnsi="Times New Roman"/>
            <w:sz w:val="18"/>
          </w:rPr>
          <w:t>Komisijos įgyvendinimo reglamentas (ES) 2025/1192</w:t>
        </w:r>
      </w:hyperlink>
      <w:r>
        <w:rPr>
          <w:rStyle w:val="CMR-footnoteChar"/>
        </w:rPr>
        <w:t>, OL L, 2025/1192, 2025 6 19,</w:t>
      </w:r>
      <w:r>
        <w:rPr>
          <w:rFonts w:ascii="Roboto" w:hAnsi="Roboto"/>
          <w:i/>
          <w:color w:val="333333"/>
          <w:shd w:val="clear" w:color="auto" w:fill="FFFFFF"/>
        </w:rPr>
        <w:t xml:space="preserve"> </w:t>
      </w:r>
      <w:r>
        <w:rPr>
          <w:rFonts w:ascii="Times New Roman" w:hAnsi="Times New Roman"/>
          <w:sz w:val="18"/>
        </w:rPr>
        <w:t>ELI: </w:t>
      </w:r>
      <w:hyperlink r:id="rId84" w:tgtFrame="_blank" w:tooltip="Prieiga prie šio dokumento per jo ELI URI." w:history="1">
        <w:r>
          <w:rPr>
            <w:rStyle w:val="Hyperlink"/>
            <w:rFonts w:ascii="Times New Roman" w:hAnsi="Times New Roman"/>
            <w:sz w:val="18"/>
          </w:rPr>
          <w:t>http://data.europa.eu/eli/reg_impl/2025/1192/oj</w:t>
        </w:r>
      </w:hyperlink>
      <w:r>
        <w:rPr>
          <w:rStyle w:val="CMR-footnoteChar"/>
        </w:rPr>
        <w:t>.</w:t>
      </w:r>
    </w:p>
  </w:footnote>
  <w:footnote w:id="102">
    <w:p w14:paraId="6F30665F" w14:textId="320C327D" w:rsidR="003444DD" w:rsidRPr="000C3E9D" w:rsidRDefault="003444DD" w:rsidP="00917BE8">
      <w:pPr>
        <w:pStyle w:val="CMR-footnote"/>
      </w:pPr>
      <w:r>
        <w:rPr>
          <w:rStyle w:val="CMR-footnoteChar"/>
          <w:vertAlign w:val="superscript"/>
        </w:rPr>
        <w:footnoteRef/>
      </w:r>
      <w:r>
        <w:t xml:space="preserve"> </w:t>
      </w:r>
      <w:hyperlink r:id="rId85" w:anchor="dokumentai" w:history="1">
        <w:r>
          <w:rPr>
            <w:rStyle w:val="Hyperlink"/>
          </w:rPr>
          <w:t>ES ATLPS išmetamųjų teršalų stebėsena, ataskaitų teikimas ir tikrinimas</w:t>
        </w:r>
      </w:hyperlink>
      <w:r>
        <w:t>, Klimato politikos generalinis direktoratas, 2024 m. rugpjūčio 31 d.</w:t>
      </w:r>
    </w:p>
  </w:footnote>
  <w:footnote w:id="103">
    <w:p w14:paraId="2425B4D8" w14:textId="410821F7" w:rsidR="00DC6A6B" w:rsidRPr="00DC6A6B" w:rsidRDefault="00DC6A6B" w:rsidP="00DC6A6B">
      <w:pPr>
        <w:pStyle w:val="CMR-footnote"/>
      </w:pPr>
      <w:r>
        <w:rPr>
          <w:rStyle w:val="FootnoteReference"/>
        </w:rPr>
        <w:footnoteRef/>
      </w:r>
      <w:r>
        <w:t xml:space="preserve"> </w:t>
      </w:r>
      <w:r>
        <w:rPr>
          <w:i/>
          <w:iCs/>
        </w:rPr>
        <w:t>Guidance Document, The Accreditation and Verification Regulation -</w:t>
      </w:r>
      <w:r>
        <w:t xml:space="preserve"> </w:t>
      </w:r>
      <w:hyperlink r:id="rId86" w:history="1">
        <w:r>
          <w:rPr>
            <w:rStyle w:val="Hyperlink"/>
          </w:rPr>
          <w:t>ETS2 Verification Guidance</w:t>
        </w:r>
      </w:hyperlink>
      <w:r>
        <w:t xml:space="preserve"> (2025 m. birželio mėn.). </w:t>
      </w:r>
    </w:p>
  </w:footnote>
  <w:footnote w:id="104">
    <w:p w14:paraId="5AFCC636" w14:textId="744B9CDF" w:rsidR="006E7F6D" w:rsidRPr="006E7F6D" w:rsidRDefault="006E7F6D" w:rsidP="006E7F6D">
      <w:pPr>
        <w:pStyle w:val="CMR-footnote"/>
      </w:pPr>
      <w:r>
        <w:rPr>
          <w:rStyle w:val="FootnoteReference"/>
        </w:rPr>
        <w:footnoteRef/>
      </w:r>
      <w:r>
        <w:t xml:space="preserve"> Šios šalys buvo Airija, Čekija, Danija, Islandija, Italija ir Lichtenšteinas. </w:t>
      </w:r>
    </w:p>
  </w:footnote>
  <w:footnote w:id="105">
    <w:p w14:paraId="142B8C7A" w14:textId="77777777" w:rsidR="006922C5" w:rsidRPr="0051224B" w:rsidRDefault="006922C5" w:rsidP="00917BE8">
      <w:pPr>
        <w:pStyle w:val="CMR-footnote"/>
      </w:pPr>
      <w:r>
        <w:rPr>
          <w:rStyle w:val="FootnoteReference"/>
        </w:rPr>
        <w:footnoteRef/>
      </w:r>
      <w:r>
        <w:t xml:space="preserve"> Ten, kur atsakomybė už stebėsenos, ataskaitų teikimo ir tikrinimo (SATT) darbą tenka regionų ir (arba) vietos valdžios institucijoms, centrinė kompetentinga institucija taip pat peržiūri aktualius dokumentus (kaip antai stebėsenos planus); taip siekiama stebėti SATT procesų kokybę.</w:t>
      </w:r>
    </w:p>
  </w:footnote>
  <w:footnote w:id="106">
    <w:p w14:paraId="2BFA6A7C" w14:textId="77777777" w:rsidR="0060292C" w:rsidRPr="0051224B" w:rsidRDefault="0060292C" w:rsidP="00917BE8">
      <w:pPr>
        <w:pStyle w:val="CMR-footnote"/>
      </w:pPr>
      <w:r>
        <w:rPr>
          <w:rStyle w:val="FootnoteReference"/>
        </w:rPr>
        <w:footnoteRef/>
      </w:r>
      <w:r>
        <w:t xml:space="preserve"> Baudos dydis indeksuojamas pagal infliaciją.</w:t>
      </w:r>
    </w:p>
  </w:footnote>
  <w:footnote w:id="107">
    <w:p w14:paraId="40D3E7D2" w14:textId="7029701F" w:rsidR="0060292C" w:rsidRPr="0051224B" w:rsidRDefault="0060292C" w:rsidP="00917BE8">
      <w:pPr>
        <w:pStyle w:val="CMR-footnote"/>
      </w:pPr>
      <w:r>
        <w:rPr>
          <w:rStyle w:val="FootnoteReference"/>
        </w:rPr>
        <w:footnoteRef/>
      </w:r>
      <w:r>
        <w:t xml:space="preserve"> Akreditavimo ir tikrinimo reglamento 34a straipsniu tikrintojui leidžiama apsilankyti vietoje virtualiai, jeigu dėl ypatingų ir nenumatytų aplinkybių tikrintojas negali fiziškai nuvykti į vietą. Tai leidžiama tik jeigu tam pritaria kompetentinga institucija ir jeigu yra įvykdytos tam tikros sąlygos.</w:t>
      </w:r>
    </w:p>
  </w:footnote>
  <w:footnote w:id="108">
    <w:p w14:paraId="3E293956" w14:textId="77777777" w:rsidR="0060292C" w:rsidRPr="0051224B" w:rsidRDefault="0060292C" w:rsidP="00917BE8">
      <w:pPr>
        <w:pStyle w:val="CMR-footnote"/>
      </w:pPr>
      <w:r>
        <w:rPr>
          <w:rStyle w:val="FootnoteReference"/>
        </w:rPr>
        <w:footnoteRef/>
      </w:r>
      <w:r>
        <w:t xml:space="preserve"> Dar dvi šalys (Lichtenšteinas ir Šiaurės Airija) jokių orlaivių naudotojų neadministruoja.</w:t>
      </w:r>
    </w:p>
  </w:footnote>
  <w:footnote w:id="109">
    <w:p w14:paraId="4E895F80" w14:textId="2C444FA2" w:rsidR="0060292C" w:rsidRPr="0051224B" w:rsidRDefault="0060292C" w:rsidP="00917BE8">
      <w:pPr>
        <w:pStyle w:val="CMR-footnote"/>
      </w:pPr>
      <w:r>
        <w:rPr>
          <w:rStyle w:val="FootnoteReference"/>
        </w:rPr>
        <w:footnoteRef/>
      </w:r>
      <w:r>
        <w:t xml:space="preserve"> Šios 12 šalių yra Kroatija (5), Čekija (5), Suomija (1), Prancūzija (4), Vengrija (6), Italija (3), Latvija (1), Lietuva (2), Nyderlandai (1), Lenkija (18), Ispanija (1) ir Švedija (1).</w:t>
      </w:r>
    </w:p>
  </w:footnote>
  <w:footnote w:id="110">
    <w:p w14:paraId="682CED34" w14:textId="37313D0B" w:rsidR="65EC3A73" w:rsidRDefault="65EC3A73" w:rsidP="007F7046">
      <w:pPr>
        <w:pStyle w:val="CMR-footnote"/>
        <w:rPr>
          <w:rFonts w:ascii="Segoe UI" w:eastAsia="Segoe UI" w:hAnsi="Segoe UI" w:cs="Segoe UI"/>
          <w:sz w:val="24"/>
          <w:szCs w:val="24"/>
        </w:rPr>
      </w:pPr>
      <w:r>
        <w:rPr>
          <w:vertAlign w:val="superscript"/>
        </w:rPr>
        <w:footnoteRef/>
      </w:r>
      <w:r>
        <w:rPr>
          <w:vertAlign w:val="superscript"/>
        </w:rPr>
        <w:t xml:space="preserve"> </w:t>
      </w:r>
      <w:r>
        <w:t>Šios trys šalys yra Vengrija (1), Latvija (1) ir Švedija (2).</w:t>
      </w:r>
    </w:p>
  </w:footnote>
  <w:footnote w:id="111">
    <w:p w14:paraId="3A73A4AE" w14:textId="26BDB95E" w:rsidR="65EC3A73" w:rsidRDefault="65EC3A73" w:rsidP="007F7046">
      <w:pPr>
        <w:pStyle w:val="CMR-footnote"/>
        <w:rPr>
          <w:rFonts w:ascii="Segoe UI" w:eastAsia="Segoe UI" w:hAnsi="Segoe UI" w:cs="Segoe UI"/>
          <w:sz w:val="24"/>
          <w:szCs w:val="24"/>
        </w:rPr>
      </w:pPr>
      <w:r>
        <w:rPr>
          <w:vertAlign w:val="superscript"/>
        </w:rPr>
        <w:footnoteRef/>
      </w:r>
      <w:r>
        <w:rPr>
          <w:vertAlign w:val="superscript"/>
        </w:rPr>
        <w:t xml:space="preserve"> </w:t>
      </w:r>
      <w:r>
        <w:t>Šios šešios šalys yra Danija (2), Kroatija (2), Italija (6), Latvija (2), Ispanija (6) ir Švedija (1).</w:t>
      </w:r>
    </w:p>
  </w:footnote>
  <w:footnote w:id="112">
    <w:p w14:paraId="6E4F07F1" w14:textId="1660FBBF" w:rsidR="002741ED" w:rsidRPr="002741ED" w:rsidRDefault="002741ED" w:rsidP="00EC37FE">
      <w:pPr>
        <w:pStyle w:val="CMR-footnote"/>
      </w:pPr>
      <w:r>
        <w:rPr>
          <w:vertAlign w:val="superscript"/>
        </w:rPr>
        <w:footnoteRef/>
      </w:r>
      <w:r>
        <w:t xml:space="preserve"> Tuo metu, kai buvo rengiamas šis dokumentas, buvo baigti rengti trys pagrindiniai 2024 ir 2025 m. rekomendaciniai dokumentai. Šiuo metu jie yra viešai prieinami: SATT (ATLPS) bendrosios rekomendacijos laivybos bendrovėms (rekomendacinis dokumentas Nr. 1), bendrosios rekomendacijos dėl administruojančiųjų institucijų atliekamo stebėsenos planų patvirtinimo proceso (rekomendacinis dokumentas Nr. 2) ir bendrosios rekomendacijos dėl akreditavimo ir tikrinimo (rekomendacinis dokumentas Nr. 3). </w:t>
      </w:r>
    </w:p>
  </w:footnote>
  <w:footnote w:id="113">
    <w:p w14:paraId="2893B7D9" w14:textId="5583FEBA" w:rsidR="00E979CF" w:rsidRPr="00B00AAC" w:rsidRDefault="00B00AAC" w:rsidP="00854C42">
      <w:pPr>
        <w:pStyle w:val="CMR-footnote"/>
      </w:pPr>
      <w:r>
        <w:rPr>
          <w:vertAlign w:val="superscript"/>
        </w:rPr>
        <w:footnoteRef/>
      </w:r>
      <w:r>
        <w:rPr>
          <w:vertAlign w:val="superscript"/>
        </w:rPr>
        <w:t xml:space="preserve"> </w:t>
      </w:r>
      <w:r>
        <w:t xml:space="preserve">Šis skaičius apima laivų, už kuriuos atsakingos laivybos bendrovės, vykdančios veiklą ES ATLPS taikymo srityje, išmetamuosius teršalus, neįtraukiant tų laivų ir veiklos, kurie patenka tik į SATT taikymo sritį (pvz., dėl bendrosios talpos, laivo tipo), taip pat neįtraukiant išmetamo metano ir diazoto oksido. Šiame skirsnyje nurodyti duomenys yra gauti iš THETIS SATT sistemos, kaip nurodyta bendrovių lygmens ataskaitose, laivybos bendrovių pateiktose 2025 m. spalio 15 d. </w:t>
      </w:r>
    </w:p>
  </w:footnote>
  <w:footnote w:id="114">
    <w:p w14:paraId="46418883" w14:textId="555D66D7" w:rsidR="007E36D0" w:rsidRPr="007E36D0" w:rsidRDefault="007E36D0">
      <w:pPr>
        <w:pStyle w:val="FootnoteText"/>
      </w:pPr>
      <w:r>
        <w:rPr>
          <w:rStyle w:val="FootnoteReference"/>
        </w:rPr>
        <w:footnoteRef/>
      </w:r>
      <w:r>
        <w:t xml:space="preserve"> </w:t>
      </w:r>
      <w:r>
        <w:rPr>
          <w:rStyle w:val="CMR-footnoteChar"/>
        </w:rPr>
        <w:t>Kuras, priskiriamas iškastinio kuro klasei pagal Reglamento (ES) 2015/757 I priedo A dalyje nurodytą klasifikaciją.</w:t>
      </w:r>
      <w:r>
        <w:t xml:space="preserve"> </w:t>
      </w:r>
    </w:p>
  </w:footnote>
  <w:footnote w:id="115">
    <w:p w14:paraId="3427D247" w14:textId="753E7F37" w:rsidR="00E979CF" w:rsidRPr="00820150" w:rsidRDefault="00E979CF" w:rsidP="00820150">
      <w:pPr>
        <w:pStyle w:val="CMR-footnote"/>
        <w:rPr>
          <w:b/>
        </w:rPr>
      </w:pPr>
      <w:r>
        <w:rPr>
          <w:vertAlign w:val="superscript"/>
        </w:rPr>
        <w:footnoteRef/>
      </w:r>
      <w:r>
        <w:rPr>
          <w:vertAlign w:val="superscript"/>
        </w:rPr>
        <w:t xml:space="preserve"> </w:t>
      </w:r>
      <w:r>
        <w:t xml:space="preserve">Kaip ir ankstesniais ataskaitiniais laikotarpiais jūrų transporto SATT sistemoje iki jūrų transporto įtraukimo ES ATLPS, laivybos bendrovės išmetamųjų teršalų kiekį nustatė taikydamos tik skaičiavimo metodą. </w:t>
      </w:r>
    </w:p>
  </w:footnote>
  <w:footnote w:id="116">
    <w:p w14:paraId="0F24F632" w14:textId="21710666" w:rsidR="00762044" w:rsidRPr="00854C42" w:rsidRDefault="00762044" w:rsidP="00854C42">
      <w:pPr>
        <w:pStyle w:val="CMR-footnote"/>
      </w:pPr>
      <w:r>
        <w:rPr>
          <w:vertAlign w:val="superscript"/>
        </w:rPr>
        <w:footnoteRef/>
      </w:r>
      <w:r>
        <w:rPr>
          <w:vertAlign w:val="superscript"/>
        </w:rPr>
        <w:t xml:space="preserve"> </w:t>
      </w:r>
      <w:r>
        <w:t xml:space="preserve">Dar 0,5 mln. tonų atskaityta savanoriškai pritaikius atskaitymą dėl ledo klasės laivų. </w:t>
      </w:r>
    </w:p>
  </w:footnote>
  <w:footnote w:id="117">
    <w:p w14:paraId="7EB71A63" w14:textId="0D03765F" w:rsidR="000C7282" w:rsidRPr="000C7282" w:rsidRDefault="000C7282" w:rsidP="00F5668E">
      <w:pPr>
        <w:pStyle w:val="CMR-footnote"/>
      </w:pPr>
      <w:r>
        <w:rPr>
          <w:rStyle w:val="FootnoteReference"/>
        </w:rPr>
        <w:footnoteRef/>
      </w:r>
      <w:r>
        <w:t xml:space="preserve"> </w:t>
      </w:r>
      <w:r>
        <w:rPr>
          <w:rStyle w:val="CMR-footnoteChar"/>
        </w:rPr>
        <w:t>ES ATLPS direktyvos 3gf straipsnis.</w:t>
      </w:r>
      <w:r>
        <w:t xml:space="preserve"> </w:t>
      </w:r>
    </w:p>
  </w:footnote>
  <w:footnote w:id="118">
    <w:p w14:paraId="77BB684A" w14:textId="77777777" w:rsidR="00EC12E1" w:rsidRDefault="00EC12E1" w:rsidP="00EC12E1">
      <w:pPr>
        <w:pStyle w:val="CMR-footnote"/>
      </w:pPr>
      <w:r>
        <w:rPr>
          <w:vertAlign w:val="superscript"/>
        </w:rPr>
        <w:footnoteRef/>
      </w:r>
      <w:r>
        <w:t xml:space="preserve"> Atsisakytinų ATL, apie kuriuos pranešama, kiekis nustatomas pagal 2025 m. spalio 1 d. Sąjungos registre buvusius bendrovių pateiktus duomenis.</w:t>
      </w:r>
    </w:p>
  </w:footnote>
  <w:footnote w:id="119">
    <w:p w14:paraId="0A4D5F44" w14:textId="102C1777" w:rsidR="00495EF0" w:rsidRPr="008A04B8" w:rsidRDefault="00C6468B" w:rsidP="00F5668E">
      <w:pPr>
        <w:pStyle w:val="CMR-footnote"/>
      </w:pPr>
      <w:r>
        <w:rPr>
          <w:rStyle w:val="FootnoteReference"/>
        </w:rPr>
        <w:footnoteRef/>
      </w:r>
      <w:r>
        <w:t xml:space="preserve"> </w:t>
      </w:r>
      <w:hyperlink r:id="rId87" w:anchor="dokumentai" w:history="1">
        <w:r>
          <w:rPr>
            <w:rStyle w:val="Hyperlink"/>
          </w:rPr>
          <w:t>ATLPS 2:</w:t>
        </w:r>
      </w:hyperlink>
      <w:hyperlink r:id="rId88" w:anchor="dokumentai" w:history="1">
        <w:r>
          <w:rPr>
            <w:rStyle w:val="Hyperlink"/>
          </w:rPr>
          <w:t xml:space="preserve"> pastatų, kelių transporto ir papildomi sektoriai</w:t>
        </w:r>
      </w:hyperlink>
      <w:r>
        <w:rPr>
          <w:rStyle w:val="CMR-footnoteChar"/>
        </w:rPr>
        <w:t xml:space="preserve">, Klimato politikos generalinis direktoratas. </w:t>
      </w:r>
    </w:p>
  </w:footnote>
  <w:footnote w:id="120">
    <w:p w14:paraId="2D6E6D53" w14:textId="3CCA65A1" w:rsidR="00983C03" w:rsidRDefault="00983C03" w:rsidP="00F5668E">
      <w:pPr>
        <w:pStyle w:val="CMR-footnote"/>
      </w:pPr>
      <w:r>
        <w:rPr>
          <w:rStyle w:val="FootnoteReference"/>
        </w:rPr>
        <w:footnoteRef/>
      </w:r>
      <w:r>
        <w:t xml:space="preserve"> 2023 m. rugsėjo 13 d. </w:t>
      </w:r>
      <w:hyperlink r:id="rId89" w:history="1">
        <w:r>
          <w:rPr>
            <w:rStyle w:val="Hyperlink"/>
          </w:rPr>
          <w:t>Direktyva (ES) 2023/1791</w:t>
        </w:r>
      </w:hyperlink>
      <w:r>
        <w:t xml:space="preserve">, kuria iš dalies keičiamas Reglamentas (ES) 2023/955 (nauja redakcija), </w:t>
      </w:r>
      <w:hyperlink r:id="rId90" w:history="1">
        <w:r>
          <w:rPr>
            <w:rStyle w:val="Hyperlink"/>
          </w:rPr>
          <w:t>OL L 231</w:t>
        </w:r>
      </w:hyperlink>
      <w:r>
        <w:t>, 2023 9 20.</w:t>
      </w:r>
    </w:p>
  </w:footnote>
  <w:footnote w:id="121">
    <w:p w14:paraId="1C348AE9" w14:textId="2B4EE3B7" w:rsidR="0048515B" w:rsidRPr="001F4341" w:rsidRDefault="0048515B" w:rsidP="001F4341">
      <w:pPr>
        <w:pStyle w:val="CMR-footnote"/>
      </w:pPr>
      <w:r>
        <w:rPr>
          <w:rStyle w:val="FootnoteReference"/>
        </w:rPr>
        <w:footnoteRef/>
      </w:r>
      <w:r>
        <w:t xml:space="preserve"> </w:t>
      </w:r>
      <w:hyperlink r:id="rId91" w:history="1">
        <w:r>
          <w:rPr>
            <w:rStyle w:val="Hyperlink"/>
          </w:rPr>
          <w:t>COM(2025) 274 </w:t>
        </w:r>
        <w:r>
          <w:rPr>
            <w:rStyle w:val="Hyperlink"/>
            <w:i/>
            <w:iCs/>
          </w:rPr>
          <w:t>final</w:t>
        </w:r>
      </w:hyperlink>
      <w:r>
        <w:t xml:space="preserve"> – Galutinių atnaujintų nacionalinių energetikos ir klimato srities veiksmų planų vertinimas ES mastu. Sąjungos 2030 m. energetikos ir klimato srities tikslų įgyvendinimas, 2025 5 27. Žr. pridedamą </w:t>
      </w:r>
      <w:hyperlink r:id="rId92" w:history="1">
        <w:r>
          <w:rPr>
            <w:rStyle w:val="Hyperlink"/>
          </w:rPr>
          <w:t>Komisijos tarnybų darbinį dokumentą</w:t>
        </w:r>
      </w:hyperlink>
      <w:r>
        <w:t xml:space="preserve">. </w:t>
      </w:r>
    </w:p>
  </w:footnote>
  <w:footnote w:id="122">
    <w:p w14:paraId="0EE382D7" w14:textId="285DFC6C" w:rsidR="004024EB" w:rsidRPr="004024EB" w:rsidRDefault="004024EB" w:rsidP="004024EB">
      <w:pPr>
        <w:pStyle w:val="CMR-footnote"/>
      </w:pPr>
      <w:r>
        <w:rPr>
          <w:rStyle w:val="FootnoteReference"/>
        </w:rPr>
        <w:footnoteRef/>
      </w:r>
      <w:r>
        <w:t xml:space="preserve"> Žr. 121 išnašą. </w:t>
      </w:r>
    </w:p>
  </w:footnote>
  <w:footnote w:id="123">
    <w:p w14:paraId="0BE665C6" w14:textId="00D67C95" w:rsidR="009E4E7E" w:rsidRPr="009E4E7E" w:rsidRDefault="009E4E7E" w:rsidP="008C5AA6">
      <w:pPr>
        <w:pStyle w:val="CMR-footnote"/>
      </w:pPr>
      <w:r>
        <w:rPr>
          <w:rStyle w:val="FootnoteReference"/>
        </w:rPr>
        <w:footnoteRef/>
      </w:r>
      <w:r>
        <w:t xml:space="preserve"> Komisijos atliktas galutinių atnaujintų </w:t>
      </w:r>
      <w:hyperlink r:id="rId93" w:history="1">
        <w:r>
          <w:rPr>
            <w:rStyle w:val="Hyperlink"/>
          </w:rPr>
          <w:t>Estijos</w:t>
        </w:r>
      </w:hyperlink>
      <w:r>
        <w:t xml:space="preserve"> ir </w:t>
      </w:r>
      <w:hyperlink r:id="rId94" w:history="1">
        <w:r>
          <w:rPr>
            <w:rStyle w:val="Hyperlink"/>
          </w:rPr>
          <w:t>Slovakijos</w:t>
        </w:r>
      </w:hyperlink>
      <w:r>
        <w:t xml:space="preserve"> NEKSVP vertinimas (SWD/2025/282). </w:t>
      </w:r>
    </w:p>
  </w:footnote>
  <w:footnote w:id="124">
    <w:p w14:paraId="39D12CE9" w14:textId="31F75AAB" w:rsidR="008C1C8A" w:rsidRPr="008C1C8A" w:rsidRDefault="008C1C8A">
      <w:pPr>
        <w:pStyle w:val="FootnoteText"/>
      </w:pPr>
      <w:r>
        <w:rPr>
          <w:rStyle w:val="FootnoteReference"/>
        </w:rPr>
        <w:footnoteRef/>
      </w:r>
      <w:r>
        <w:t xml:space="preserve"> </w:t>
      </w:r>
      <w:hyperlink r:id="rId95" w:history="1">
        <w:r>
          <w:rPr>
            <w:rStyle w:val="Hyperlink"/>
            <w:rFonts w:ascii="Times New Roman" w:hAnsi="Times New Roman"/>
            <w:sz w:val="18"/>
          </w:rPr>
          <w:t>https://climate.ec.europa.eu/eu-action/climate-strategies-targets/progress-climate-action/eu-climate-action-progress-report-2025_en?prefLang=lt</w:t>
        </w:r>
      </w:hyperlink>
      <w:r>
        <w:t>.</w:t>
      </w:r>
      <w:r>
        <w:rPr>
          <w:rFonts w:ascii="Times New Roman" w:hAnsi="Times New Roman"/>
          <w:sz w:val="18"/>
        </w:rPr>
        <w:t xml:space="preserve"> </w:t>
      </w:r>
    </w:p>
  </w:footnote>
  <w:footnote w:id="125">
    <w:p w14:paraId="353DF671" w14:textId="2D5067F6" w:rsidR="00C85430" w:rsidRPr="00D17201" w:rsidRDefault="00C85430" w:rsidP="00917BE8">
      <w:pPr>
        <w:pStyle w:val="CMR-footnote"/>
      </w:pPr>
      <w:r>
        <w:rPr>
          <w:rStyle w:val="FootnoteReference"/>
        </w:rPr>
        <w:footnoteRef/>
      </w:r>
      <w:r>
        <w:t xml:space="preserve"> </w:t>
      </w:r>
      <w:r>
        <w:rPr>
          <w:shd w:val="clear" w:color="auto" w:fill="FFFFFF"/>
        </w:rPr>
        <w:t>Europos Sąjungos ir Šveicarijos Konfederacijos susitarimas dėl jų šiltnamio efektą sukeliančių dujų apyvartinių taršos leidimų prekybos sistemų susiejimo (</w:t>
      </w:r>
      <w:hyperlink r:id="rId96" w:history="1">
        <w:r>
          <w:rPr>
            <w:rStyle w:val="Hyperlink"/>
            <w:color w:val="337AB7"/>
            <w:sz w:val="19"/>
            <w:shd w:val="clear" w:color="auto" w:fill="FFFFFF"/>
          </w:rPr>
          <w:t>OL L 322</w:t>
        </w:r>
      </w:hyperlink>
      <w:r>
        <w:rPr>
          <w:shd w:val="clear" w:color="auto" w:fill="FFFFFF"/>
        </w:rPr>
        <w:t>, 2017 12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8892A" w14:textId="77777777" w:rsidR="0080122D" w:rsidRPr="0080122D" w:rsidRDefault="0080122D" w:rsidP="0080122D">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CC05" w14:textId="77777777" w:rsidR="00126559" w:rsidRDefault="001265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4143" w14:textId="77777777" w:rsidR="00126559" w:rsidRDefault="001265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0FAF" w14:textId="77777777" w:rsidR="00126559" w:rsidRDefault="001265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AA27" w14:textId="77777777" w:rsidR="00890E07" w:rsidRDefault="00890E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8B0C" w14:textId="77777777" w:rsidR="00890E07" w:rsidRDefault="00890E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DED0" w14:textId="77777777" w:rsidR="00890E07" w:rsidRDefault="00890E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D2C4" w14:textId="77777777" w:rsidR="00890E07" w:rsidRDefault="00890E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C37B" w14:textId="77777777" w:rsidR="00890E07" w:rsidRDefault="00890E0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AF3C" w14:textId="77777777" w:rsidR="00890E07" w:rsidRDefault="0089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DC37" w14:textId="77777777" w:rsidR="0080122D" w:rsidRPr="0080122D" w:rsidRDefault="0080122D" w:rsidP="0080122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F205" w14:textId="77777777" w:rsidR="0080122D" w:rsidRPr="0080122D" w:rsidRDefault="0080122D" w:rsidP="0080122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43C" w14:textId="77777777" w:rsidR="00464745" w:rsidRDefault="0046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F6B" w14:textId="77777777" w:rsidR="000C3DBF" w:rsidRDefault="000C3D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E03" w14:textId="77777777" w:rsidR="00535E6D" w:rsidRDefault="00535E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8AEA" w14:textId="77777777" w:rsidR="00126559" w:rsidRDefault="001265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C9BE" w14:textId="77777777" w:rsidR="00126559" w:rsidRDefault="001265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AA1B4" w14:textId="77777777" w:rsidR="00126559" w:rsidRDefault="0012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9F9"/>
    <w:multiLevelType w:val="hybridMultilevel"/>
    <w:tmpl w:val="C8BEBD42"/>
    <w:lvl w:ilvl="0" w:tplc="1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CA6EB0"/>
    <w:multiLevelType w:val="hybridMultilevel"/>
    <w:tmpl w:val="28B2BF22"/>
    <w:lvl w:ilvl="0" w:tplc="1B586B54">
      <w:start w:val="1"/>
      <w:numFmt w:val="bullet"/>
      <w:lvlText w:val=""/>
      <w:lvlJc w:val="left"/>
      <w:pPr>
        <w:ind w:left="1440" w:hanging="360"/>
      </w:pPr>
      <w:rPr>
        <w:rFonts w:ascii="Symbol" w:hAnsi="Symbol"/>
      </w:rPr>
    </w:lvl>
    <w:lvl w:ilvl="1" w:tplc="153CF760">
      <w:start w:val="1"/>
      <w:numFmt w:val="bullet"/>
      <w:lvlText w:val=""/>
      <w:lvlJc w:val="left"/>
      <w:pPr>
        <w:ind w:left="1440" w:hanging="360"/>
      </w:pPr>
      <w:rPr>
        <w:rFonts w:ascii="Symbol" w:hAnsi="Symbol"/>
      </w:rPr>
    </w:lvl>
    <w:lvl w:ilvl="2" w:tplc="9F46CB0A">
      <w:start w:val="1"/>
      <w:numFmt w:val="bullet"/>
      <w:lvlText w:val=""/>
      <w:lvlJc w:val="left"/>
      <w:pPr>
        <w:ind w:left="1440" w:hanging="360"/>
      </w:pPr>
      <w:rPr>
        <w:rFonts w:ascii="Symbol" w:hAnsi="Symbol"/>
      </w:rPr>
    </w:lvl>
    <w:lvl w:ilvl="3" w:tplc="D05E25E8">
      <w:start w:val="1"/>
      <w:numFmt w:val="bullet"/>
      <w:lvlText w:val=""/>
      <w:lvlJc w:val="left"/>
      <w:pPr>
        <w:ind w:left="1440" w:hanging="360"/>
      </w:pPr>
      <w:rPr>
        <w:rFonts w:ascii="Symbol" w:hAnsi="Symbol"/>
      </w:rPr>
    </w:lvl>
    <w:lvl w:ilvl="4" w:tplc="AF062E6C">
      <w:start w:val="1"/>
      <w:numFmt w:val="bullet"/>
      <w:lvlText w:val=""/>
      <w:lvlJc w:val="left"/>
      <w:pPr>
        <w:ind w:left="1440" w:hanging="360"/>
      </w:pPr>
      <w:rPr>
        <w:rFonts w:ascii="Symbol" w:hAnsi="Symbol"/>
      </w:rPr>
    </w:lvl>
    <w:lvl w:ilvl="5" w:tplc="65003C18">
      <w:start w:val="1"/>
      <w:numFmt w:val="bullet"/>
      <w:lvlText w:val=""/>
      <w:lvlJc w:val="left"/>
      <w:pPr>
        <w:ind w:left="1440" w:hanging="360"/>
      </w:pPr>
      <w:rPr>
        <w:rFonts w:ascii="Symbol" w:hAnsi="Symbol"/>
      </w:rPr>
    </w:lvl>
    <w:lvl w:ilvl="6" w:tplc="E116BFE6">
      <w:start w:val="1"/>
      <w:numFmt w:val="bullet"/>
      <w:lvlText w:val=""/>
      <w:lvlJc w:val="left"/>
      <w:pPr>
        <w:ind w:left="1440" w:hanging="360"/>
      </w:pPr>
      <w:rPr>
        <w:rFonts w:ascii="Symbol" w:hAnsi="Symbol"/>
      </w:rPr>
    </w:lvl>
    <w:lvl w:ilvl="7" w:tplc="82D6D324">
      <w:start w:val="1"/>
      <w:numFmt w:val="bullet"/>
      <w:lvlText w:val=""/>
      <w:lvlJc w:val="left"/>
      <w:pPr>
        <w:ind w:left="1440" w:hanging="360"/>
      </w:pPr>
      <w:rPr>
        <w:rFonts w:ascii="Symbol" w:hAnsi="Symbol"/>
      </w:rPr>
    </w:lvl>
    <w:lvl w:ilvl="8" w:tplc="AAB2FF3C">
      <w:start w:val="1"/>
      <w:numFmt w:val="bullet"/>
      <w:lvlText w:val=""/>
      <w:lvlJc w:val="left"/>
      <w:pPr>
        <w:ind w:left="1440" w:hanging="360"/>
      </w:pPr>
      <w:rPr>
        <w:rFonts w:ascii="Symbol" w:hAnsi="Symbol"/>
      </w:rPr>
    </w:lvl>
  </w:abstractNum>
  <w:abstractNum w:abstractNumId="2" w15:restartNumberingAfterBreak="0">
    <w:nsid w:val="0BBD7281"/>
    <w:multiLevelType w:val="hybridMultilevel"/>
    <w:tmpl w:val="2EB88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74785C"/>
    <w:multiLevelType w:val="hybridMultilevel"/>
    <w:tmpl w:val="AB2A1AC8"/>
    <w:lvl w:ilvl="0" w:tplc="BC2EA328">
      <w:start w:val="16"/>
      <w:numFmt w:val="bullet"/>
      <w:lvlText w:val="-"/>
      <w:lvlJc w:val="left"/>
      <w:pPr>
        <w:ind w:left="644"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BD32C1"/>
    <w:multiLevelType w:val="hybridMultilevel"/>
    <w:tmpl w:val="A5B0C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3B1A87"/>
    <w:multiLevelType w:val="hybridMultilevel"/>
    <w:tmpl w:val="7B16A150"/>
    <w:lvl w:ilvl="0" w:tplc="31A4A7D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AA5363"/>
    <w:multiLevelType w:val="hybridMultilevel"/>
    <w:tmpl w:val="73F6FF88"/>
    <w:lvl w:ilvl="0" w:tplc="2D64AD0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A3B234"/>
    <w:multiLevelType w:val="hybridMultilevel"/>
    <w:tmpl w:val="196E05DE"/>
    <w:lvl w:ilvl="0" w:tplc="92AC529C">
      <w:start w:val="1"/>
      <w:numFmt w:val="bullet"/>
      <w:lvlText w:val="-"/>
      <w:lvlJc w:val="left"/>
      <w:pPr>
        <w:ind w:left="720" w:hanging="360"/>
      </w:pPr>
      <w:rPr>
        <w:rFonts w:ascii="Aptos" w:hAnsi="Aptos" w:hint="default"/>
      </w:rPr>
    </w:lvl>
    <w:lvl w:ilvl="1" w:tplc="BC3A7EBC">
      <w:start w:val="1"/>
      <w:numFmt w:val="bullet"/>
      <w:lvlText w:val="o"/>
      <w:lvlJc w:val="left"/>
      <w:pPr>
        <w:ind w:left="1440" w:hanging="360"/>
      </w:pPr>
      <w:rPr>
        <w:rFonts w:ascii="Courier New" w:hAnsi="Courier New" w:hint="default"/>
      </w:rPr>
    </w:lvl>
    <w:lvl w:ilvl="2" w:tplc="5B2C04E6">
      <w:start w:val="1"/>
      <w:numFmt w:val="bullet"/>
      <w:lvlText w:val=""/>
      <w:lvlJc w:val="left"/>
      <w:pPr>
        <w:ind w:left="2160" w:hanging="360"/>
      </w:pPr>
      <w:rPr>
        <w:rFonts w:ascii="Wingdings" w:hAnsi="Wingdings" w:hint="default"/>
      </w:rPr>
    </w:lvl>
    <w:lvl w:ilvl="3" w:tplc="45FE90C6">
      <w:start w:val="1"/>
      <w:numFmt w:val="bullet"/>
      <w:lvlText w:val=""/>
      <w:lvlJc w:val="left"/>
      <w:pPr>
        <w:ind w:left="2880" w:hanging="360"/>
      </w:pPr>
      <w:rPr>
        <w:rFonts w:ascii="Symbol" w:hAnsi="Symbol" w:hint="default"/>
      </w:rPr>
    </w:lvl>
    <w:lvl w:ilvl="4" w:tplc="A29A5682">
      <w:start w:val="1"/>
      <w:numFmt w:val="bullet"/>
      <w:lvlText w:val="o"/>
      <w:lvlJc w:val="left"/>
      <w:pPr>
        <w:ind w:left="3600" w:hanging="360"/>
      </w:pPr>
      <w:rPr>
        <w:rFonts w:ascii="Courier New" w:hAnsi="Courier New" w:hint="default"/>
      </w:rPr>
    </w:lvl>
    <w:lvl w:ilvl="5" w:tplc="27CE5DC0">
      <w:start w:val="1"/>
      <w:numFmt w:val="bullet"/>
      <w:lvlText w:val=""/>
      <w:lvlJc w:val="left"/>
      <w:pPr>
        <w:ind w:left="4320" w:hanging="360"/>
      </w:pPr>
      <w:rPr>
        <w:rFonts w:ascii="Wingdings" w:hAnsi="Wingdings" w:hint="default"/>
      </w:rPr>
    </w:lvl>
    <w:lvl w:ilvl="6" w:tplc="F2A65B46">
      <w:start w:val="1"/>
      <w:numFmt w:val="bullet"/>
      <w:lvlText w:val=""/>
      <w:lvlJc w:val="left"/>
      <w:pPr>
        <w:ind w:left="5040" w:hanging="360"/>
      </w:pPr>
      <w:rPr>
        <w:rFonts w:ascii="Symbol" w:hAnsi="Symbol" w:hint="default"/>
      </w:rPr>
    </w:lvl>
    <w:lvl w:ilvl="7" w:tplc="E1EA7F48">
      <w:start w:val="1"/>
      <w:numFmt w:val="bullet"/>
      <w:lvlText w:val="o"/>
      <w:lvlJc w:val="left"/>
      <w:pPr>
        <w:ind w:left="5760" w:hanging="360"/>
      </w:pPr>
      <w:rPr>
        <w:rFonts w:ascii="Courier New" w:hAnsi="Courier New" w:hint="default"/>
      </w:rPr>
    </w:lvl>
    <w:lvl w:ilvl="8" w:tplc="5E3CAFBC">
      <w:start w:val="1"/>
      <w:numFmt w:val="bullet"/>
      <w:lvlText w:val=""/>
      <w:lvlJc w:val="left"/>
      <w:pPr>
        <w:ind w:left="6480" w:hanging="360"/>
      </w:pPr>
      <w:rPr>
        <w:rFonts w:ascii="Wingdings" w:hAnsi="Wingdings" w:hint="default"/>
      </w:rPr>
    </w:lvl>
  </w:abstractNum>
  <w:abstractNum w:abstractNumId="8" w15:restartNumberingAfterBreak="0">
    <w:nsid w:val="14E13037"/>
    <w:multiLevelType w:val="hybridMultilevel"/>
    <w:tmpl w:val="DEBEBF52"/>
    <w:lvl w:ilvl="0" w:tplc="3F52A286">
      <w:start w:val="1"/>
      <w:numFmt w:val="bullet"/>
      <w:lvlText w:val=""/>
      <w:lvlJc w:val="left"/>
      <w:pPr>
        <w:ind w:left="1020" w:hanging="360"/>
      </w:pPr>
      <w:rPr>
        <w:rFonts w:ascii="Symbol" w:hAnsi="Symbol"/>
      </w:rPr>
    </w:lvl>
    <w:lvl w:ilvl="1" w:tplc="7F5C7FFC">
      <w:start w:val="1"/>
      <w:numFmt w:val="bullet"/>
      <w:lvlText w:val=""/>
      <w:lvlJc w:val="left"/>
      <w:pPr>
        <w:ind w:left="1020" w:hanging="360"/>
      </w:pPr>
      <w:rPr>
        <w:rFonts w:ascii="Symbol" w:hAnsi="Symbol"/>
      </w:rPr>
    </w:lvl>
    <w:lvl w:ilvl="2" w:tplc="81F633BA">
      <w:start w:val="1"/>
      <w:numFmt w:val="bullet"/>
      <w:lvlText w:val=""/>
      <w:lvlJc w:val="left"/>
      <w:pPr>
        <w:ind w:left="1020" w:hanging="360"/>
      </w:pPr>
      <w:rPr>
        <w:rFonts w:ascii="Symbol" w:hAnsi="Symbol"/>
      </w:rPr>
    </w:lvl>
    <w:lvl w:ilvl="3" w:tplc="F4506AA8">
      <w:start w:val="1"/>
      <w:numFmt w:val="bullet"/>
      <w:lvlText w:val=""/>
      <w:lvlJc w:val="left"/>
      <w:pPr>
        <w:ind w:left="1020" w:hanging="360"/>
      </w:pPr>
      <w:rPr>
        <w:rFonts w:ascii="Symbol" w:hAnsi="Symbol"/>
      </w:rPr>
    </w:lvl>
    <w:lvl w:ilvl="4" w:tplc="11961136">
      <w:start w:val="1"/>
      <w:numFmt w:val="bullet"/>
      <w:lvlText w:val=""/>
      <w:lvlJc w:val="left"/>
      <w:pPr>
        <w:ind w:left="1020" w:hanging="360"/>
      </w:pPr>
      <w:rPr>
        <w:rFonts w:ascii="Symbol" w:hAnsi="Symbol"/>
      </w:rPr>
    </w:lvl>
    <w:lvl w:ilvl="5" w:tplc="A4049604">
      <w:start w:val="1"/>
      <w:numFmt w:val="bullet"/>
      <w:lvlText w:val=""/>
      <w:lvlJc w:val="left"/>
      <w:pPr>
        <w:ind w:left="1020" w:hanging="360"/>
      </w:pPr>
      <w:rPr>
        <w:rFonts w:ascii="Symbol" w:hAnsi="Symbol"/>
      </w:rPr>
    </w:lvl>
    <w:lvl w:ilvl="6" w:tplc="7CD8D7D2">
      <w:start w:val="1"/>
      <w:numFmt w:val="bullet"/>
      <w:lvlText w:val=""/>
      <w:lvlJc w:val="left"/>
      <w:pPr>
        <w:ind w:left="1020" w:hanging="360"/>
      </w:pPr>
      <w:rPr>
        <w:rFonts w:ascii="Symbol" w:hAnsi="Symbol"/>
      </w:rPr>
    </w:lvl>
    <w:lvl w:ilvl="7" w:tplc="36585476">
      <w:start w:val="1"/>
      <w:numFmt w:val="bullet"/>
      <w:lvlText w:val=""/>
      <w:lvlJc w:val="left"/>
      <w:pPr>
        <w:ind w:left="1020" w:hanging="360"/>
      </w:pPr>
      <w:rPr>
        <w:rFonts w:ascii="Symbol" w:hAnsi="Symbol"/>
      </w:rPr>
    </w:lvl>
    <w:lvl w:ilvl="8" w:tplc="CE88E732">
      <w:start w:val="1"/>
      <w:numFmt w:val="bullet"/>
      <w:lvlText w:val=""/>
      <w:lvlJc w:val="left"/>
      <w:pPr>
        <w:ind w:left="1020" w:hanging="360"/>
      </w:pPr>
      <w:rPr>
        <w:rFonts w:ascii="Symbol" w:hAnsi="Symbol"/>
      </w:rPr>
    </w:lvl>
  </w:abstractNum>
  <w:abstractNum w:abstractNumId="9" w15:restartNumberingAfterBreak="0">
    <w:nsid w:val="158D6C86"/>
    <w:multiLevelType w:val="hybridMultilevel"/>
    <w:tmpl w:val="54221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A05FB9"/>
    <w:multiLevelType w:val="hybridMultilevel"/>
    <w:tmpl w:val="221AC820"/>
    <w:lvl w:ilvl="0" w:tplc="BC2EA328">
      <w:start w:val="1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B7524E"/>
    <w:multiLevelType w:val="multilevel"/>
    <w:tmpl w:val="5C5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611CC"/>
    <w:multiLevelType w:val="hybridMultilevel"/>
    <w:tmpl w:val="FE9C4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363A9C"/>
    <w:multiLevelType w:val="hybridMultilevel"/>
    <w:tmpl w:val="8206C04C"/>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4" w15:restartNumberingAfterBreak="0">
    <w:nsid w:val="1F094CF3"/>
    <w:multiLevelType w:val="hybridMultilevel"/>
    <w:tmpl w:val="B7CC879C"/>
    <w:lvl w:ilvl="0" w:tplc="E4ECDBEC">
      <w:start w:val="1"/>
      <w:numFmt w:val="bullet"/>
      <w:lvlText w:val=""/>
      <w:lvlJc w:val="left"/>
      <w:pPr>
        <w:ind w:left="1020" w:hanging="360"/>
      </w:pPr>
      <w:rPr>
        <w:rFonts w:ascii="Symbol" w:hAnsi="Symbol"/>
      </w:rPr>
    </w:lvl>
    <w:lvl w:ilvl="1" w:tplc="7EA2A198">
      <w:start w:val="1"/>
      <w:numFmt w:val="bullet"/>
      <w:lvlText w:val=""/>
      <w:lvlJc w:val="left"/>
      <w:pPr>
        <w:ind w:left="1020" w:hanging="360"/>
      </w:pPr>
      <w:rPr>
        <w:rFonts w:ascii="Symbol" w:hAnsi="Symbol"/>
      </w:rPr>
    </w:lvl>
    <w:lvl w:ilvl="2" w:tplc="B6DC88E8">
      <w:start w:val="1"/>
      <w:numFmt w:val="bullet"/>
      <w:lvlText w:val=""/>
      <w:lvlJc w:val="left"/>
      <w:pPr>
        <w:ind w:left="1020" w:hanging="360"/>
      </w:pPr>
      <w:rPr>
        <w:rFonts w:ascii="Symbol" w:hAnsi="Symbol"/>
      </w:rPr>
    </w:lvl>
    <w:lvl w:ilvl="3" w:tplc="CC489318">
      <w:start w:val="1"/>
      <w:numFmt w:val="bullet"/>
      <w:lvlText w:val=""/>
      <w:lvlJc w:val="left"/>
      <w:pPr>
        <w:ind w:left="1020" w:hanging="360"/>
      </w:pPr>
      <w:rPr>
        <w:rFonts w:ascii="Symbol" w:hAnsi="Symbol"/>
      </w:rPr>
    </w:lvl>
    <w:lvl w:ilvl="4" w:tplc="6B5E7B4C">
      <w:start w:val="1"/>
      <w:numFmt w:val="bullet"/>
      <w:lvlText w:val=""/>
      <w:lvlJc w:val="left"/>
      <w:pPr>
        <w:ind w:left="1020" w:hanging="360"/>
      </w:pPr>
      <w:rPr>
        <w:rFonts w:ascii="Symbol" w:hAnsi="Symbol"/>
      </w:rPr>
    </w:lvl>
    <w:lvl w:ilvl="5" w:tplc="A5EE422A">
      <w:start w:val="1"/>
      <w:numFmt w:val="bullet"/>
      <w:lvlText w:val=""/>
      <w:lvlJc w:val="left"/>
      <w:pPr>
        <w:ind w:left="1020" w:hanging="360"/>
      </w:pPr>
      <w:rPr>
        <w:rFonts w:ascii="Symbol" w:hAnsi="Symbol"/>
      </w:rPr>
    </w:lvl>
    <w:lvl w:ilvl="6" w:tplc="AB961CE2">
      <w:start w:val="1"/>
      <w:numFmt w:val="bullet"/>
      <w:lvlText w:val=""/>
      <w:lvlJc w:val="left"/>
      <w:pPr>
        <w:ind w:left="1020" w:hanging="360"/>
      </w:pPr>
      <w:rPr>
        <w:rFonts w:ascii="Symbol" w:hAnsi="Symbol"/>
      </w:rPr>
    </w:lvl>
    <w:lvl w:ilvl="7" w:tplc="4E04749A">
      <w:start w:val="1"/>
      <w:numFmt w:val="bullet"/>
      <w:lvlText w:val=""/>
      <w:lvlJc w:val="left"/>
      <w:pPr>
        <w:ind w:left="1020" w:hanging="360"/>
      </w:pPr>
      <w:rPr>
        <w:rFonts w:ascii="Symbol" w:hAnsi="Symbol"/>
      </w:rPr>
    </w:lvl>
    <w:lvl w:ilvl="8" w:tplc="B314979A">
      <w:start w:val="1"/>
      <w:numFmt w:val="bullet"/>
      <w:lvlText w:val=""/>
      <w:lvlJc w:val="left"/>
      <w:pPr>
        <w:ind w:left="1020" w:hanging="360"/>
      </w:pPr>
      <w:rPr>
        <w:rFonts w:ascii="Symbol" w:hAnsi="Symbol"/>
      </w:rPr>
    </w:lvl>
  </w:abstractNum>
  <w:abstractNum w:abstractNumId="15" w15:restartNumberingAfterBreak="0">
    <w:nsid w:val="20342DF5"/>
    <w:multiLevelType w:val="multilevel"/>
    <w:tmpl w:val="97C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685294"/>
    <w:multiLevelType w:val="multilevel"/>
    <w:tmpl w:val="C98232A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6528E9"/>
    <w:multiLevelType w:val="hybridMultilevel"/>
    <w:tmpl w:val="38FA603A"/>
    <w:lvl w:ilvl="0" w:tplc="1809000F">
      <w:start w:val="1"/>
      <w:numFmt w:val="decimal"/>
      <w:lvlText w:val="%1."/>
      <w:lvlJc w:val="left"/>
      <w:pPr>
        <w:ind w:left="1083" w:hanging="360"/>
      </w:p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18" w15:restartNumberingAfterBreak="0">
    <w:nsid w:val="2719114C"/>
    <w:multiLevelType w:val="hybridMultilevel"/>
    <w:tmpl w:val="A4025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2304A8"/>
    <w:multiLevelType w:val="hybridMultilevel"/>
    <w:tmpl w:val="8C82B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07F2CAF"/>
    <w:multiLevelType w:val="hybridMultilevel"/>
    <w:tmpl w:val="C6461B02"/>
    <w:lvl w:ilvl="0" w:tplc="95FA03E6">
      <w:start w:val="1"/>
      <w:numFmt w:val="bullet"/>
      <w:lvlText w:val=""/>
      <w:lvlJc w:val="left"/>
      <w:pPr>
        <w:ind w:left="1020" w:hanging="360"/>
      </w:pPr>
      <w:rPr>
        <w:rFonts w:ascii="Symbol" w:hAnsi="Symbol"/>
      </w:rPr>
    </w:lvl>
    <w:lvl w:ilvl="1" w:tplc="016006E0">
      <w:start w:val="1"/>
      <w:numFmt w:val="bullet"/>
      <w:lvlText w:val=""/>
      <w:lvlJc w:val="left"/>
      <w:pPr>
        <w:ind w:left="1020" w:hanging="360"/>
      </w:pPr>
      <w:rPr>
        <w:rFonts w:ascii="Symbol" w:hAnsi="Symbol"/>
      </w:rPr>
    </w:lvl>
    <w:lvl w:ilvl="2" w:tplc="32A08A1C">
      <w:start w:val="1"/>
      <w:numFmt w:val="bullet"/>
      <w:lvlText w:val=""/>
      <w:lvlJc w:val="left"/>
      <w:pPr>
        <w:ind w:left="1020" w:hanging="360"/>
      </w:pPr>
      <w:rPr>
        <w:rFonts w:ascii="Symbol" w:hAnsi="Symbol"/>
      </w:rPr>
    </w:lvl>
    <w:lvl w:ilvl="3" w:tplc="EF96EC48">
      <w:start w:val="1"/>
      <w:numFmt w:val="bullet"/>
      <w:lvlText w:val=""/>
      <w:lvlJc w:val="left"/>
      <w:pPr>
        <w:ind w:left="1020" w:hanging="360"/>
      </w:pPr>
      <w:rPr>
        <w:rFonts w:ascii="Symbol" w:hAnsi="Symbol"/>
      </w:rPr>
    </w:lvl>
    <w:lvl w:ilvl="4" w:tplc="18D87820">
      <w:start w:val="1"/>
      <w:numFmt w:val="bullet"/>
      <w:lvlText w:val=""/>
      <w:lvlJc w:val="left"/>
      <w:pPr>
        <w:ind w:left="1020" w:hanging="360"/>
      </w:pPr>
      <w:rPr>
        <w:rFonts w:ascii="Symbol" w:hAnsi="Symbol"/>
      </w:rPr>
    </w:lvl>
    <w:lvl w:ilvl="5" w:tplc="0246ADBE">
      <w:start w:val="1"/>
      <w:numFmt w:val="bullet"/>
      <w:lvlText w:val=""/>
      <w:lvlJc w:val="left"/>
      <w:pPr>
        <w:ind w:left="1020" w:hanging="360"/>
      </w:pPr>
      <w:rPr>
        <w:rFonts w:ascii="Symbol" w:hAnsi="Symbol"/>
      </w:rPr>
    </w:lvl>
    <w:lvl w:ilvl="6" w:tplc="FD08DA5C">
      <w:start w:val="1"/>
      <w:numFmt w:val="bullet"/>
      <w:lvlText w:val=""/>
      <w:lvlJc w:val="left"/>
      <w:pPr>
        <w:ind w:left="1020" w:hanging="360"/>
      </w:pPr>
      <w:rPr>
        <w:rFonts w:ascii="Symbol" w:hAnsi="Symbol"/>
      </w:rPr>
    </w:lvl>
    <w:lvl w:ilvl="7" w:tplc="8B62BE76">
      <w:start w:val="1"/>
      <w:numFmt w:val="bullet"/>
      <w:lvlText w:val=""/>
      <w:lvlJc w:val="left"/>
      <w:pPr>
        <w:ind w:left="1020" w:hanging="360"/>
      </w:pPr>
      <w:rPr>
        <w:rFonts w:ascii="Symbol" w:hAnsi="Symbol"/>
      </w:rPr>
    </w:lvl>
    <w:lvl w:ilvl="8" w:tplc="6D106C9E">
      <w:start w:val="1"/>
      <w:numFmt w:val="bullet"/>
      <w:lvlText w:val=""/>
      <w:lvlJc w:val="left"/>
      <w:pPr>
        <w:ind w:left="1020" w:hanging="360"/>
      </w:pPr>
      <w:rPr>
        <w:rFonts w:ascii="Symbol" w:hAnsi="Symbol"/>
      </w:rPr>
    </w:lvl>
  </w:abstractNum>
  <w:abstractNum w:abstractNumId="21" w15:restartNumberingAfterBreak="0">
    <w:nsid w:val="31AF43A9"/>
    <w:multiLevelType w:val="multilevel"/>
    <w:tmpl w:val="CFDE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C4148"/>
    <w:multiLevelType w:val="hybridMultilevel"/>
    <w:tmpl w:val="6C0A3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307E3EF"/>
    <w:multiLevelType w:val="hybridMultilevel"/>
    <w:tmpl w:val="D1820AD4"/>
    <w:lvl w:ilvl="0" w:tplc="B9A6C5FE">
      <w:start w:val="1"/>
      <w:numFmt w:val="bullet"/>
      <w:lvlText w:val="-"/>
      <w:lvlJc w:val="left"/>
      <w:pPr>
        <w:ind w:left="720" w:hanging="360"/>
      </w:pPr>
      <w:rPr>
        <w:rFonts w:ascii="Aptos" w:hAnsi="Aptos" w:hint="default"/>
      </w:rPr>
    </w:lvl>
    <w:lvl w:ilvl="1" w:tplc="426A4198">
      <w:start w:val="1"/>
      <w:numFmt w:val="bullet"/>
      <w:lvlText w:val="o"/>
      <w:lvlJc w:val="left"/>
      <w:pPr>
        <w:ind w:left="1440" w:hanging="360"/>
      </w:pPr>
      <w:rPr>
        <w:rFonts w:ascii="Courier New" w:hAnsi="Courier New" w:hint="default"/>
      </w:rPr>
    </w:lvl>
    <w:lvl w:ilvl="2" w:tplc="B2CAA618">
      <w:start w:val="1"/>
      <w:numFmt w:val="bullet"/>
      <w:lvlText w:val=""/>
      <w:lvlJc w:val="left"/>
      <w:pPr>
        <w:ind w:left="2160" w:hanging="360"/>
      </w:pPr>
      <w:rPr>
        <w:rFonts w:ascii="Wingdings" w:hAnsi="Wingdings" w:hint="default"/>
      </w:rPr>
    </w:lvl>
    <w:lvl w:ilvl="3" w:tplc="7ED053AA">
      <w:start w:val="1"/>
      <w:numFmt w:val="bullet"/>
      <w:lvlText w:val=""/>
      <w:lvlJc w:val="left"/>
      <w:pPr>
        <w:ind w:left="2880" w:hanging="360"/>
      </w:pPr>
      <w:rPr>
        <w:rFonts w:ascii="Symbol" w:hAnsi="Symbol" w:hint="default"/>
      </w:rPr>
    </w:lvl>
    <w:lvl w:ilvl="4" w:tplc="0408E026">
      <w:start w:val="1"/>
      <w:numFmt w:val="bullet"/>
      <w:lvlText w:val="o"/>
      <w:lvlJc w:val="left"/>
      <w:pPr>
        <w:ind w:left="3600" w:hanging="360"/>
      </w:pPr>
      <w:rPr>
        <w:rFonts w:ascii="Courier New" w:hAnsi="Courier New" w:hint="default"/>
      </w:rPr>
    </w:lvl>
    <w:lvl w:ilvl="5" w:tplc="CB42170E">
      <w:start w:val="1"/>
      <w:numFmt w:val="bullet"/>
      <w:lvlText w:val=""/>
      <w:lvlJc w:val="left"/>
      <w:pPr>
        <w:ind w:left="4320" w:hanging="360"/>
      </w:pPr>
      <w:rPr>
        <w:rFonts w:ascii="Wingdings" w:hAnsi="Wingdings" w:hint="default"/>
      </w:rPr>
    </w:lvl>
    <w:lvl w:ilvl="6" w:tplc="E59AD784">
      <w:start w:val="1"/>
      <w:numFmt w:val="bullet"/>
      <w:lvlText w:val=""/>
      <w:lvlJc w:val="left"/>
      <w:pPr>
        <w:ind w:left="5040" w:hanging="360"/>
      </w:pPr>
      <w:rPr>
        <w:rFonts w:ascii="Symbol" w:hAnsi="Symbol" w:hint="default"/>
      </w:rPr>
    </w:lvl>
    <w:lvl w:ilvl="7" w:tplc="76225D74">
      <w:start w:val="1"/>
      <w:numFmt w:val="bullet"/>
      <w:lvlText w:val="o"/>
      <w:lvlJc w:val="left"/>
      <w:pPr>
        <w:ind w:left="5760" w:hanging="360"/>
      </w:pPr>
      <w:rPr>
        <w:rFonts w:ascii="Courier New" w:hAnsi="Courier New" w:hint="default"/>
      </w:rPr>
    </w:lvl>
    <w:lvl w:ilvl="8" w:tplc="87CC3728">
      <w:start w:val="1"/>
      <w:numFmt w:val="bullet"/>
      <w:lvlText w:val=""/>
      <w:lvlJc w:val="left"/>
      <w:pPr>
        <w:ind w:left="6480" w:hanging="360"/>
      </w:pPr>
      <w:rPr>
        <w:rFonts w:ascii="Wingdings" w:hAnsi="Wingdings" w:hint="default"/>
      </w:rPr>
    </w:lvl>
  </w:abstractNum>
  <w:abstractNum w:abstractNumId="24" w15:restartNumberingAfterBreak="0">
    <w:nsid w:val="36520CCC"/>
    <w:multiLevelType w:val="hybridMultilevel"/>
    <w:tmpl w:val="78BC41F2"/>
    <w:lvl w:ilvl="0" w:tplc="31A4A7D8">
      <w:start w:val="1"/>
      <w:numFmt w:val="bullet"/>
      <w:lvlText w:val="-"/>
      <w:lvlJc w:val="left"/>
      <w:pPr>
        <w:ind w:left="720" w:hanging="360"/>
      </w:pPr>
      <w:rPr>
        <w:rFonts w:ascii="Aptos" w:hAnsi="Aptos" w:hint="default"/>
      </w:rPr>
    </w:lvl>
    <w:lvl w:ilvl="1" w:tplc="8EF031D0">
      <w:start w:val="1"/>
      <w:numFmt w:val="bullet"/>
      <w:lvlText w:val="o"/>
      <w:lvlJc w:val="left"/>
      <w:pPr>
        <w:ind w:left="1440" w:hanging="360"/>
      </w:pPr>
      <w:rPr>
        <w:rFonts w:ascii="Courier New" w:hAnsi="Courier New" w:hint="default"/>
      </w:rPr>
    </w:lvl>
    <w:lvl w:ilvl="2" w:tplc="5444101A">
      <w:start w:val="1"/>
      <w:numFmt w:val="bullet"/>
      <w:lvlText w:val=""/>
      <w:lvlJc w:val="left"/>
      <w:pPr>
        <w:ind w:left="2160" w:hanging="360"/>
      </w:pPr>
      <w:rPr>
        <w:rFonts w:ascii="Wingdings" w:hAnsi="Wingdings" w:hint="default"/>
      </w:rPr>
    </w:lvl>
    <w:lvl w:ilvl="3" w:tplc="3CBC7BDE">
      <w:start w:val="1"/>
      <w:numFmt w:val="bullet"/>
      <w:lvlText w:val=""/>
      <w:lvlJc w:val="left"/>
      <w:pPr>
        <w:ind w:left="2880" w:hanging="360"/>
      </w:pPr>
      <w:rPr>
        <w:rFonts w:ascii="Symbol" w:hAnsi="Symbol" w:hint="default"/>
      </w:rPr>
    </w:lvl>
    <w:lvl w:ilvl="4" w:tplc="56009C36">
      <w:start w:val="1"/>
      <w:numFmt w:val="bullet"/>
      <w:lvlText w:val="o"/>
      <w:lvlJc w:val="left"/>
      <w:pPr>
        <w:ind w:left="3600" w:hanging="360"/>
      </w:pPr>
      <w:rPr>
        <w:rFonts w:ascii="Courier New" w:hAnsi="Courier New" w:hint="default"/>
      </w:rPr>
    </w:lvl>
    <w:lvl w:ilvl="5" w:tplc="2D5A4A6C">
      <w:start w:val="1"/>
      <w:numFmt w:val="bullet"/>
      <w:lvlText w:val=""/>
      <w:lvlJc w:val="left"/>
      <w:pPr>
        <w:ind w:left="4320" w:hanging="360"/>
      </w:pPr>
      <w:rPr>
        <w:rFonts w:ascii="Wingdings" w:hAnsi="Wingdings" w:hint="default"/>
      </w:rPr>
    </w:lvl>
    <w:lvl w:ilvl="6" w:tplc="889E93AC">
      <w:start w:val="1"/>
      <w:numFmt w:val="bullet"/>
      <w:lvlText w:val=""/>
      <w:lvlJc w:val="left"/>
      <w:pPr>
        <w:ind w:left="5040" w:hanging="360"/>
      </w:pPr>
      <w:rPr>
        <w:rFonts w:ascii="Symbol" w:hAnsi="Symbol" w:hint="default"/>
      </w:rPr>
    </w:lvl>
    <w:lvl w:ilvl="7" w:tplc="B5DAF9F0">
      <w:start w:val="1"/>
      <w:numFmt w:val="bullet"/>
      <w:lvlText w:val="o"/>
      <w:lvlJc w:val="left"/>
      <w:pPr>
        <w:ind w:left="5760" w:hanging="360"/>
      </w:pPr>
      <w:rPr>
        <w:rFonts w:ascii="Courier New" w:hAnsi="Courier New" w:hint="default"/>
      </w:rPr>
    </w:lvl>
    <w:lvl w:ilvl="8" w:tplc="FB521048">
      <w:start w:val="1"/>
      <w:numFmt w:val="bullet"/>
      <w:lvlText w:val=""/>
      <w:lvlJc w:val="left"/>
      <w:pPr>
        <w:ind w:left="6480" w:hanging="360"/>
      </w:pPr>
      <w:rPr>
        <w:rFonts w:ascii="Wingdings" w:hAnsi="Wingdings" w:hint="default"/>
      </w:rPr>
    </w:lvl>
  </w:abstractNum>
  <w:abstractNum w:abstractNumId="25" w15:restartNumberingAfterBreak="0">
    <w:nsid w:val="37E45A90"/>
    <w:multiLevelType w:val="hybridMultilevel"/>
    <w:tmpl w:val="8F38C6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152369"/>
    <w:multiLevelType w:val="hybridMultilevel"/>
    <w:tmpl w:val="2850F2DE"/>
    <w:lvl w:ilvl="0" w:tplc="0809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246E5D"/>
    <w:multiLevelType w:val="hybridMultilevel"/>
    <w:tmpl w:val="825EED68"/>
    <w:lvl w:ilvl="0" w:tplc="72861EFC">
      <w:start w:val="1"/>
      <w:numFmt w:val="bullet"/>
      <w:lvlText w:val=""/>
      <w:lvlJc w:val="left"/>
      <w:pPr>
        <w:ind w:left="1020" w:hanging="360"/>
      </w:pPr>
      <w:rPr>
        <w:rFonts w:ascii="Symbol" w:hAnsi="Symbol"/>
      </w:rPr>
    </w:lvl>
    <w:lvl w:ilvl="1" w:tplc="0A2A6E3C">
      <w:start w:val="1"/>
      <w:numFmt w:val="bullet"/>
      <w:lvlText w:val=""/>
      <w:lvlJc w:val="left"/>
      <w:pPr>
        <w:ind w:left="1020" w:hanging="360"/>
      </w:pPr>
      <w:rPr>
        <w:rFonts w:ascii="Symbol" w:hAnsi="Symbol"/>
      </w:rPr>
    </w:lvl>
    <w:lvl w:ilvl="2" w:tplc="84F4FDE4">
      <w:start w:val="1"/>
      <w:numFmt w:val="bullet"/>
      <w:lvlText w:val=""/>
      <w:lvlJc w:val="left"/>
      <w:pPr>
        <w:ind w:left="1020" w:hanging="360"/>
      </w:pPr>
      <w:rPr>
        <w:rFonts w:ascii="Symbol" w:hAnsi="Symbol"/>
      </w:rPr>
    </w:lvl>
    <w:lvl w:ilvl="3" w:tplc="BD2497E6">
      <w:start w:val="1"/>
      <w:numFmt w:val="bullet"/>
      <w:lvlText w:val=""/>
      <w:lvlJc w:val="left"/>
      <w:pPr>
        <w:ind w:left="1020" w:hanging="360"/>
      </w:pPr>
      <w:rPr>
        <w:rFonts w:ascii="Symbol" w:hAnsi="Symbol"/>
      </w:rPr>
    </w:lvl>
    <w:lvl w:ilvl="4" w:tplc="DD34B8D8">
      <w:start w:val="1"/>
      <w:numFmt w:val="bullet"/>
      <w:lvlText w:val=""/>
      <w:lvlJc w:val="left"/>
      <w:pPr>
        <w:ind w:left="1020" w:hanging="360"/>
      </w:pPr>
      <w:rPr>
        <w:rFonts w:ascii="Symbol" w:hAnsi="Symbol"/>
      </w:rPr>
    </w:lvl>
    <w:lvl w:ilvl="5" w:tplc="E16442DE">
      <w:start w:val="1"/>
      <w:numFmt w:val="bullet"/>
      <w:lvlText w:val=""/>
      <w:lvlJc w:val="left"/>
      <w:pPr>
        <w:ind w:left="1020" w:hanging="360"/>
      </w:pPr>
      <w:rPr>
        <w:rFonts w:ascii="Symbol" w:hAnsi="Symbol"/>
      </w:rPr>
    </w:lvl>
    <w:lvl w:ilvl="6" w:tplc="A8C05EFE">
      <w:start w:val="1"/>
      <w:numFmt w:val="bullet"/>
      <w:lvlText w:val=""/>
      <w:lvlJc w:val="left"/>
      <w:pPr>
        <w:ind w:left="1020" w:hanging="360"/>
      </w:pPr>
      <w:rPr>
        <w:rFonts w:ascii="Symbol" w:hAnsi="Symbol"/>
      </w:rPr>
    </w:lvl>
    <w:lvl w:ilvl="7" w:tplc="ACA48568">
      <w:start w:val="1"/>
      <w:numFmt w:val="bullet"/>
      <w:lvlText w:val=""/>
      <w:lvlJc w:val="left"/>
      <w:pPr>
        <w:ind w:left="1020" w:hanging="360"/>
      </w:pPr>
      <w:rPr>
        <w:rFonts w:ascii="Symbol" w:hAnsi="Symbol"/>
      </w:rPr>
    </w:lvl>
    <w:lvl w:ilvl="8" w:tplc="87A67908">
      <w:start w:val="1"/>
      <w:numFmt w:val="bullet"/>
      <w:lvlText w:val=""/>
      <w:lvlJc w:val="left"/>
      <w:pPr>
        <w:ind w:left="1020" w:hanging="360"/>
      </w:pPr>
      <w:rPr>
        <w:rFonts w:ascii="Symbol" w:hAnsi="Symbol"/>
      </w:rPr>
    </w:lvl>
  </w:abstractNum>
  <w:abstractNum w:abstractNumId="28" w15:restartNumberingAfterBreak="0">
    <w:nsid w:val="46A271AE"/>
    <w:multiLevelType w:val="hybridMultilevel"/>
    <w:tmpl w:val="E0A81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464DD1"/>
    <w:multiLevelType w:val="hybridMultilevel"/>
    <w:tmpl w:val="424A5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2844FF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2F95A5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4212CD"/>
    <w:multiLevelType w:val="multilevel"/>
    <w:tmpl w:val="290629E0"/>
    <w:lvl w:ilvl="0">
      <w:start w:val="1"/>
      <w:numFmt w:val="decimal"/>
      <w:lvlText w:val="%1."/>
      <w:lvlJc w:val="left"/>
      <w:pPr>
        <w:ind w:left="360" w:hanging="360"/>
      </w:pPr>
      <w:rPr>
        <w:rFonts w:ascii="Times New Roman" w:hAnsi="Times New Roman"/>
        <w:b/>
        <w:bCs/>
        <w:sz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7B2357"/>
    <w:multiLevelType w:val="multilevel"/>
    <w:tmpl w:val="8586D5F6"/>
    <w:lvl w:ilvl="0">
      <w:start w:val="1"/>
      <w:numFmt w:val="decimal"/>
      <w:pStyle w:val="CMR-Heading"/>
      <w:lvlText w:val="%1."/>
      <w:lvlJc w:val="left"/>
      <w:pPr>
        <w:ind w:left="502" w:hanging="360"/>
      </w:pPr>
      <w:rPr>
        <w:rFonts w:hint="default"/>
        <w:b/>
        <w:bCs/>
      </w:rPr>
    </w:lvl>
    <w:lvl w:ilvl="1">
      <w:start w:val="1"/>
      <w:numFmt w:val="decimal"/>
      <w:pStyle w:val="CMR-Subheading"/>
      <w:lvlText w:val="%1.%2."/>
      <w:lvlJc w:val="left"/>
      <w:pPr>
        <w:ind w:left="999" w:hanging="432"/>
      </w:pPr>
      <w:rPr>
        <w:rFonts w:hint="default"/>
        <w:sz w:val="24"/>
        <w:szCs w:val="24"/>
      </w:rPr>
    </w:lvl>
    <w:lvl w:ilvl="2">
      <w:start w:val="1"/>
      <w:numFmt w:val="decimal"/>
      <w:pStyle w:val="CMR-SubHead2"/>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493CC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9F0FD5"/>
    <w:multiLevelType w:val="hybridMultilevel"/>
    <w:tmpl w:val="46EC2C9C"/>
    <w:lvl w:ilvl="0" w:tplc="18090001">
      <w:start w:val="1"/>
      <w:numFmt w:val="bullet"/>
      <w:lvlText w:val=""/>
      <w:lvlJc w:val="left"/>
      <w:pPr>
        <w:ind w:left="776" w:hanging="360"/>
      </w:pPr>
      <w:rPr>
        <w:rFonts w:ascii="Symbol" w:hAnsi="Symbol"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36" w15:restartNumberingAfterBreak="0">
    <w:nsid w:val="6A5AC1D0"/>
    <w:multiLevelType w:val="hybridMultilevel"/>
    <w:tmpl w:val="4D8414B6"/>
    <w:lvl w:ilvl="0" w:tplc="E14E0296">
      <w:start w:val="1"/>
      <w:numFmt w:val="bullet"/>
      <w:lvlText w:val="-"/>
      <w:lvlJc w:val="left"/>
      <w:pPr>
        <w:ind w:left="720" w:hanging="360"/>
      </w:pPr>
      <w:rPr>
        <w:rFonts w:ascii="Aptos" w:hAnsi="Aptos" w:hint="default"/>
      </w:rPr>
    </w:lvl>
    <w:lvl w:ilvl="1" w:tplc="A4AE4970">
      <w:start w:val="1"/>
      <w:numFmt w:val="bullet"/>
      <w:lvlText w:val="o"/>
      <w:lvlJc w:val="left"/>
      <w:pPr>
        <w:ind w:left="1440" w:hanging="360"/>
      </w:pPr>
      <w:rPr>
        <w:rFonts w:ascii="Courier New" w:hAnsi="Courier New" w:hint="default"/>
      </w:rPr>
    </w:lvl>
    <w:lvl w:ilvl="2" w:tplc="C93CA7C4">
      <w:start w:val="1"/>
      <w:numFmt w:val="bullet"/>
      <w:lvlText w:val=""/>
      <w:lvlJc w:val="left"/>
      <w:pPr>
        <w:ind w:left="2160" w:hanging="360"/>
      </w:pPr>
      <w:rPr>
        <w:rFonts w:ascii="Wingdings" w:hAnsi="Wingdings" w:hint="default"/>
      </w:rPr>
    </w:lvl>
    <w:lvl w:ilvl="3" w:tplc="832805E4">
      <w:start w:val="1"/>
      <w:numFmt w:val="bullet"/>
      <w:lvlText w:val=""/>
      <w:lvlJc w:val="left"/>
      <w:pPr>
        <w:ind w:left="2880" w:hanging="360"/>
      </w:pPr>
      <w:rPr>
        <w:rFonts w:ascii="Symbol" w:hAnsi="Symbol" w:hint="default"/>
      </w:rPr>
    </w:lvl>
    <w:lvl w:ilvl="4" w:tplc="72025A16">
      <w:start w:val="1"/>
      <w:numFmt w:val="bullet"/>
      <w:lvlText w:val="o"/>
      <w:lvlJc w:val="left"/>
      <w:pPr>
        <w:ind w:left="3600" w:hanging="360"/>
      </w:pPr>
      <w:rPr>
        <w:rFonts w:ascii="Courier New" w:hAnsi="Courier New" w:hint="default"/>
      </w:rPr>
    </w:lvl>
    <w:lvl w:ilvl="5" w:tplc="8D92BB2E">
      <w:start w:val="1"/>
      <w:numFmt w:val="bullet"/>
      <w:lvlText w:val=""/>
      <w:lvlJc w:val="left"/>
      <w:pPr>
        <w:ind w:left="4320" w:hanging="360"/>
      </w:pPr>
      <w:rPr>
        <w:rFonts w:ascii="Wingdings" w:hAnsi="Wingdings" w:hint="default"/>
      </w:rPr>
    </w:lvl>
    <w:lvl w:ilvl="6" w:tplc="73B8DC2A">
      <w:start w:val="1"/>
      <w:numFmt w:val="bullet"/>
      <w:lvlText w:val=""/>
      <w:lvlJc w:val="left"/>
      <w:pPr>
        <w:ind w:left="5040" w:hanging="360"/>
      </w:pPr>
      <w:rPr>
        <w:rFonts w:ascii="Symbol" w:hAnsi="Symbol" w:hint="default"/>
      </w:rPr>
    </w:lvl>
    <w:lvl w:ilvl="7" w:tplc="BE58D412">
      <w:start w:val="1"/>
      <w:numFmt w:val="bullet"/>
      <w:lvlText w:val="o"/>
      <w:lvlJc w:val="left"/>
      <w:pPr>
        <w:ind w:left="5760" w:hanging="360"/>
      </w:pPr>
      <w:rPr>
        <w:rFonts w:ascii="Courier New" w:hAnsi="Courier New" w:hint="default"/>
      </w:rPr>
    </w:lvl>
    <w:lvl w:ilvl="8" w:tplc="417E151A">
      <w:start w:val="1"/>
      <w:numFmt w:val="bullet"/>
      <w:lvlText w:val=""/>
      <w:lvlJc w:val="left"/>
      <w:pPr>
        <w:ind w:left="6480" w:hanging="360"/>
      </w:pPr>
      <w:rPr>
        <w:rFonts w:ascii="Wingdings" w:hAnsi="Wingdings" w:hint="default"/>
      </w:rPr>
    </w:lvl>
  </w:abstractNum>
  <w:abstractNum w:abstractNumId="37" w15:restartNumberingAfterBreak="0">
    <w:nsid w:val="6ABC09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D9543C"/>
    <w:multiLevelType w:val="hybridMultilevel"/>
    <w:tmpl w:val="B756FA8E"/>
    <w:lvl w:ilvl="0" w:tplc="F9805A9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FF6A63"/>
    <w:multiLevelType w:val="hybridMultilevel"/>
    <w:tmpl w:val="AD5C3926"/>
    <w:lvl w:ilvl="0" w:tplc="90802C94">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4F4C01"/>
    <w:multiLevelType w:val="hybridMultilevel"/>
    <w:tmpl w:val="2BFCE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CC0B5B"/>
    <w:multiLevelType w:val="multilevel"/>
    <w:tmpl w:val="A09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D22C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BD6630"/>
    <w:multiLevelType w:val="hybridMultilevel"/>
    <w:tmpl w:val="19E6F590"/>
    <w:lvl w:ilvl="0" w:tplc="431A95D4">
      <w:start w:val="1"/>
      <w:numFmt w:val="bullet"/>
      <w:lvlText w:val=""/>
      <w:lvlJc w:val="left"/>
      <w:pPr>
        <w:ind w:left="1020" w:hanging="360"/>
      </w:pPr>
      <w:rPr>
        <w:rFonts w:ascii="Symbol" w:hAnsi="Symbol"/>
      </w:rPr>
    </w:lvl>
    <w:lvl w:ilvl="1" w:tplc="5B1CDEE8">
      <w:start w:val="1"/>
      <w:numFmt w:val="bullet"/>
      <w:lvlText w:val=""/>
      <w:lvlJc w:val="left"/>
      <w:pPr>
        <w:ind w:left="1020" w:hanging="360"/>
      </w:pPr>
      <w:rPr>
        <w:rFonts w:ascii="Symbol" w:hAnsi="Symbol"/>
      </w:rPr>
    </w:lvl>
    <w:lvl w:ilvl="2" w:tplc="E9BEAB2C">
      <w:start w:val="1"/>
      <w:numFmt w:val="bullet"/>
      <w:lvlText w:val=""/>
      <w:lvlJc w:val="left"/>
      <w:pPr>
        <w:ind w:left="1020" w:hanging="360"/>
      </w:pPr>
      <w:rPr>
        <w:rFonts w:ascii="Symbol" w:hAnsi="Symbol"/>
      </w:rPr>
    </w:lvl>
    <w:lvl w:ilvl="3" w:tplc="21947EF8">
      <w:start w:val="1"/>
      <w:numFmt w:val="bullet"/>
      <w:lvlText w:val=""/>
      <w:lvlJc w:val="left"/>
      <w:pPr>
        <w:ind w:left="1020" w:hanging="360"/>
      </w:pPr>
      <w:rPr>
        <w:rFonts w:ascii="Symbol" w:hAnsi="Symbol"/>
      </w:rPr>
    </w:lvl>
    <w:lvl w:ilvl="4" w:tplc="973423C6">
      <w:start w:val="1"/>
      <w:numFmt w:val="bullet"/>
      <w:lvlText w:val=""/>
      <w:lvlJc w:val="left"/>
      <w:pPr>
        <w:ind w:left="1020" w:hanging="360"/>
      </w:pPr>
      <w:rPr>
        <w:rFonts w:ascii="Symbol" w:hAnsi="Symbol"/>
      </w:rPr>
    </w:lvl>
    <w:lvl w:ilvl="5" w:tplc="D0B448D8">
      <w:start w:val="1"/>
      <w:numFmt w:val="bullet"/>
      <w:lvlText w:val=""/>
      <w:lvlJc w:val="left"/>
      <w:pPr>
        <w:ind w:left="1020" w:hanging="360"/>
      </w:pPr>
      <w:rPr>
        <w:rFonts w:ascii="Symbol" w:hAnsi="Symbol"/>
      </w:rPr>
    </w:lvl>
    <w:lvl w:ilvl="6" w:tplc="0F743D14">
      <w:start w:val="1"/>
      <w:numFmt w:val="bullet"/>
      <w:lvlText w:val=""/>
      <w:lvlJc w:val="left"/>
      <w:pPr>
        <w:ind w:left="1020" w:hanging="360"/>
      </w:pPr>
      <w:rPr>
        <w:rFonts w:ascii="Symbol" w:hAnsi="Symbol"/>
      </w:rPr>
    </w:lvl>
    <w:lvl w:ilvl="7" w:tplc="B728F216">
      <w:start w:val="1"/>
      <w:numFmt w:val="bullet"/>
      <w:lvlText w:val=""/>
      <w:lvlJc w:val="left"/>
      <w:pPr>
        <w:ind w:left="1020" w:hanging="360"/>
      </w:pPr>
      <w:rPr>
        <w:rFonts w:ascii="Symbol" w:hAnsi="Symbol"/>
      </w:rPr>
    </w:lvl>
    <w:lvl w:ilvl="8" w:tplc="ED0EDCD6">
      <w:start w:val="1"/>
      <w:numFmt w:val="bullet"/>
      <w:lvlText w:val=""/>
      <w:lvlJc w:val="left"/>
      <w:pPr>
        <w:ind w:left="1020" w:hanging="360"/>
      </w:pPr>
      <w:rPr>
        <w:rFonts w:ascii="Symbol" w:hAnsi="Symbol"/>
      </w:rPr>
    </w:lvl>
  </w:abstractNum>
  <w:abstractNum w:abstractNumId="44" w15:restartNumberingAfterBreak="0">
    <w:nsid w:val="7D9C0406"/>
    <w:multiLevelType w:val="hybridMultilevel"/>
    <w:tmpl w:val="BE368D3E"/>
    <w:lvl w:ilvl="0" w:tplc="EBAEFD54">
      <w:start w:val="1"/>
      <w:numFmt w:val="bullet"/>
      <w:lvlText w:val="-"/>
      <w:lvlJc w:val="left"/>
      <w:pPr>
        <w:ind w:left="720" w:hanging="360"/>
      </w:pPr>
      <w:rPr>
        <w:rFonts w:ascii="Aptos" w:hAnsi="Aptos" w:hint="default"/>
      </w:rPr>
    </w:lvl>
    <w:lvl w:ilvl="1" w:tplc="2890820E">
      <w:start w:val="1"/>
      <w:numFmt w:val="bullet"/>
      <w:lvlText w:val="o"/>
      <w:lvlJc w:val="left"/>
      <w:pPr>
        <w:ind w:left="1440" w:hanging="360"/>
      </w:pPr>
      <w:rPr>
        <w:rFonts w:ascii="Courier New" w:hAnsi="Courier New" w:hint="default"/>
      </w:rPr>
    </w:lvl>
    <w:lvl w:ilvl="2" w:tplc="D3C6EDF2">
      <w:start w:val="1"/>
      <w:numFmt w:val="bullet"/>
      <w:lvlText w:val=""/>
      <w:lvlJc w:val="left"/>
      <w:pPr>
        <w:ind w:left="2160" w:hanging="360"/>
      </w:pPr>
      <w:rPr>
        <w:rFonts w:ascii="Wingdings" w:hAnsi="Wingdings" w:hint="default"/>
      </w:rPr>
    </w:lvl>
    <w:lvl w:ilvl="3" w:tplc="FDAC6E4A">
      <w:start w:val="1"/>
      <w:numFmt w:val="bullet"/>
      <w:lvlText w:val=""/>
      <w:lvlJc w:val="left"/>
      <w:pPr>
        <w:ind w:left="2880" w:hanging="360"/>
      </w:pPr>
      <w:rPr>
        <w:rFonts w:ascii="Symbol" w:hAnsi="Symbol" w:hint="default"/>
      </w:rPr>
    </w:lvl>
    <w:lvl w:ilvl="4" w:tplc="9940BEE6">
      <w:start w:val="1"/>
      <w:numFmt w:val="bullet"/>
      <w:lvlText w:val="o"/>
      <w:lvlJc w:val="left"/>
      <w:pPr>
        <w:ind w:left="3600" w:hanging="360"/>
      </w:pPr>
      <w:rPr>
        <w:rFonts w:ascii="Courier New" w:hAnsi="Courier New" w:hint="default"/>
      </w:rPr>
    </w:lvl>
    <w:lvl w:ilvl="5" w:tplc="2DAEE3B2">
      <w:start w:val="1"/>
      <w:numFmt w:val="bullet"/>
      <w:lvlText w:val=""/>
      <w:lvlJc w:val="left"/>
      <w:pPr>
        <w:ind w:left="4320" w:hanging="360"/>
      </w:pPr>
      <w:rPr>
        <w:rFonts w:ascii="Wingdings" w:hAnsi="Wingdings" w:hint="default"/>
      </w:rPr>
    </w:lvl>
    <w:lvl w:ilvl="6" w:tplc="ABF08878">
      <w:start w:val="1"/>
      <w:numFmt w:val="bullet"/>
      <w:lvlText w:val=""/>
      <w:lvlJc w:val="left"/>
      <w:pPr>
        <w:ind w:left="5040" w:hanging="360"/>
      </w:pPr>
      <w:rPr>
        <w:rFonts w:ascii="Symbol" w:hAnsi="Symbol" w:hint="default"/>
      </w:rPr>
    </w:lvl>
    <w:lvl w:ilvl="7" w:tplc="F8DCC312">
      <w:start w:val="1"/>
      <w:numFmt w:val="bullet"/>
      <w:lvlText w:val="o"/>
      <w:lvlJc w:val="left"/>
      <w:pPr>
        <w:ind w:left="5760" w:hanging="360"/>
      </w:pPr>
      <w:rPr>
        <w:rFonts w:ascii="Courier New" w:hAnsi="Courier New" w:hint="default"/>
      </w:rPr>
    </w:lvl>
    <w:lvl w:ilvl="8" w:tplc="388831AE">
      <w:start w:val="1"/>
      <w:numFmt w:val="bullet"/>
      <w:lvlText w:val=""/>
      <w:lvlJc w:val="left"/>
      <w:pPr>
        <w:ind w:left="6480" w:hanging="360"/>
      </w:pPr>
      <w:rPr>
        <w:rFonts w:ascii="Wingdings" w:hAnsi="Wingdings" w:hint="default"/>
      </w:rPr>
    </w:lvl>
  </w:abstractNum>
  <w:abstractNum w:abstractNumId="45" w15:restartNumberingAfterBreak="0">
    <w:nsid w:val="7E68FE28"/>
    <w:multiLevelType w:val="hybridMultilevel"/>
    <w:tmpl w:val="E9061BA2"/>
    <w:lvl w:ilvl="0" w:tplc="68BA3086">
      <w:start w:val="1"/>
      <w:numFmt w:val="bullet"/>
      <w:lvlText w:val=""/>
      <w:lvlJc w:val="left"/>
      <w:pPr>
        <w:ind w:left="720" w:hanging="360"/>
      </w:pPr>
      <w:rPr>
        <w:rFonts w:ascii="Symbol" w:hAnsi="Symbol" w:hint="default"/>
      </w:rPr>
    </w:lvl>
    <w:lvl w:ilvl="1" w:tplc="ED464CC4">
      <w:start w:val="1"/>
      <w:numFmt w:val="bullet"/>
      <w:lvlText w:val="o"/>
      <w:lvlJc w:val="left"/>
      <w:pPr>
        <w:ind w:left="1440" w:hanging="360"/>
      </w:pPr>
      <w:rPr>
        <w:rFonts w:ascii="Courier New" w:hAnsi="Courier New" w:hint="default"/>
      </w:rPr>
    </w:lvl>
    <w:lvl w:ilvl="2" w:tplc="87403D74">
      <w:start w:val="1"/>
      <w:numFmt w:val="bullet"/>
      <w:lvlText w:val=""/>
      <w:lvlJc w:val="left"/>
      <w:pPr>
        <w:ind w:left="2160" w:hanging="360"/>
      </w:pPr>
      <w:rPr>
        <w:rFonts w:ascii="Wingdings" w:hAnsi="Wingdings" w:hint="default"/>
      </w:rPr>
    </w:lvl>
    <w:lvl w:ilvl="3" w:tplc="F42E0A80">
      <w:start w:val="1"/>
      <w:numFmt w:val="bullet"/>
      <w:lvlText w:val=""/>
      <w:lvlJc w:val="left"/>
      <w:pPr>
        <w:ind w:left="2880" w:hanging="360"/>
      </w:pPr>
      <w:rPr>
        <w:rFonts w:ascii="Symbol" w:hAnsi="Symbol" w:hint="default"/>
      </w:rPr>
    </w:lvl>
    <w:lvl w:ilvl="4" w:tplc="13B429B6">
      <w:start w:val="1"/>
      <w:numFmt w:val="bullet"/>
      <w:lvlText w:val="o"/>
      <w:lvlJc w:val="left"/>
      <w:pPr>
        <w:ind w:left="3600" w:hanging="360"/>
      </w:pPr>
      <w:rPr>
        <w:rFonts w:ascii="Courier New" w:hAnsi="Courier New" w:hint="default"/>
      </w:rPr>
    </w:lvl>
    <w:lvl w:ilvl="5" w:tplc="6F8474F0">
      <w:start w:val="1"/>
      <w:numFmt w:val="bullet"/>
      <w:lvlText w:val=""/>
      <w:lvlJc w:val="left"/>
      <w:pPr>
        <w:ind w:left="4320" w:hanging="360"/>
      </w:pPr>
      <w:rPr>
        <w:rFonts w:ascii="Wingdings" w:hAnsi="Wingdings" w:hint="default"/>
      </w:rPr>
    </w:lvl>
    <w:lvl w:ilvl="6" w:tplc="766EE8BA">
      <w:start w:val="1"/>
      <w:numFmt w:val="bullet"/>
      <w:lvlText w:val=""/>
      <w:lvlJc w:val="left"/>
      <w:pPr>
        <w:ind w:left="5040" w:hanging="360"/>
      </w:pPr>
      <w:rPr>
        <w:rFonts w:ascii="Symbol" w:hAnsi="Symbol" w:hint="default"/>
      </w:rPr>
    </w:lvl>
    <w:lvl w:ilvl="7" w:tplc="BC881F94">
      <w:start w:val="1"/>
      <w:numFmt w:val="bullet"/>
      <w:lvlText w:val="o"/>
      <w:lvlJc w:val="left"/>
      <w:pPr>
        <w:ind w:left="5760" w:hanging="360"/>
      </w:pPr>
      <w:rPr>
        <w:rFonts w:ascii="Courier New" w:hAnsi="Courier New" w:hint="default"/>
      </w:rPr>
    </w:lvl>
    <w:lvl w:ilvl="8" w:tplc="F1CA5528">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6"/>
  </w:num>
  <w:num w:numId="4">
    <w:abstractNumId w:val="7"/>
  </w:num>
  <w:num w:numId="5">
    <w:abstractNumId w:val="44"/>
  </w:num>
  <w:num w:numId="6">
    <w:abstractNumId w:val="33"/>
  </w:num>
  <w:num w:numId="7">
    <w:abstractNumId w:val="3"/>
  </w:num>
  <w:num w:numId="8">
    <w:abstractNumId w:val="39"/>
  </w:num>
  <w:num w:numId="9">
    <w:abstractNumId w:val="34"/>
  </w:num>
  <w:num w:numId="10">
    <w:abstractNumId w:val="16"/>
  </w:num>
  <w:num w:numId="11">
    <w:abstractNumId w:val="19"/>
  </w:num>
  <w:num w:numId="12">
    <w:abstractNumId w:val="9"/>
  </w:num>
  <w:num w:numId="13">
    <w:abstractNumId w:val="28"/>
  </w:num>
  <w:num w:numId="14">
    <w:abstractNumId w:val="6"/>
  </w:num>
  <w:num w:numId="15">
    <w:abstractNumId w:val="32"/>
  </w:num>
  <w:num w:numId="16">
    <w:abstractNumId w:val="38"/>
  </w:num>
  <w:num w:numId="17">
    <w:abstractNumId w:val="45"/>
  </w:num>
  <w:num w:numId="18">
    <w:abstractNumId w:val="31"/>
  </w:num>
  <w:num w:numId="19">
    <w:abstractNumId w:val="2"/>
  </w:num>
  <w:num w:numId="20">
    <w:abstractNumId w:val="10"/>
  </w:num>
  <w:num w:numId="21">
    <w:abstractNumId w:val="0"/>
  </w:num>
  <w:num w:numId="22">
    <w:abstractNumId w:val="13"/>
  </w:num>
  <w:num w:numId="23">
    <w:abstractNumId w:val="42"/>
  </w:num>
  <w:num w:numId="24">
    <w:abstractNumId w:val="37"/>
  </w:num>
  <w:num w:numId="25">
    <w:abstractNumId w:val="33"/>
  </w:num>
  <w:num w:numId="26">
    <w:abstractNumId w:val="33"/>
  </w:num>
  <w:num w:numId="27">
    <w:abstractNumId w:val="33"/>
  </w:num>
  <w:num w:numId="28">
    <w:abstractNumId w:val="25"/>
  </w:num>
  <w:num w:numId="29">
    <w:abstractNumId w:val="26"/>
  </w:num>
  <w:num w:numId="30">
    <w:abstractNumId w:val="41"/>
  </w:num>
  <w:num w:numId="31">
    <w:abstractNumId w:val="4"/>
  </w:num>
  <w:num w:numId="32">
    <w:abstractNumId w:val="27"/>
  </w:num>
  <w:num w:numId="33">
    <w:abstractNumId w:val="43"/>
  </w:num>
  <w:num w:numId="34">
    <w:abstractNumId w:val="2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2"/>
  </w:num>
  <w:num w:numId="41">
    <w:abstractNumId w:val="22"/>
  </w:num>
  <w:num w:numId="42">
    <w:abstractNumId w:val="18"/>
  </w:num>
  <w:num w:numId="43">
    <w:abstractNumId w:val="17"/>
  </w:num>
  <w:num w:numId="44">
    <w:abstractNumId w:val="33"/>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3"/>
  </w:num>
  <w:num w:numId="48">
    <w:abstractNumId w:val="33"/>
  </w:num>
  <w:num w:numId="49">
    <w:abstractNumId w:val="33"/>
  </w:num>
  <w:num w:numId="50">
    <w:abstractNumId w:val="35"/>
  </w:num>
  <w:num w:numId="51">
    <w:abstractNumId w:val="33"/>
  </w:num>
  <w:num w:numId="52">
    <w:abstractNumId w:val="21"/>
  </w:num>
  <w:num w:numId="53">
    <w:abstractNumId w:val="15"/>
  </w:num>
  <w:num w:numId="54">
    <w:abstractNumId w:val="11"/>
  </w:num>
  <w:num w:numId="55">
    <w:abstractNumId w:val="30"/>
  </w:num>
  <w:num w:numId="56">
    <w:abstractNumId w:val="8"/>
  </w:num>
  <w:num w:numId="57">
    <w:abstractNumId w:val="14"/>
  </w:num>
  <w:num w:numId="58">
    <w:abstractNumId w:val="29"/>
  </w:num>
  <w:num w:numId="59">
    <w:abstractNumId w:val="40"/>
  </w:num>
  <w:num w:numId="60">
    <w:abstractNumId w:val="5"/>
  </w:num>
  <w:num w:numId="6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4C34179-A29B-4432-9ED2-ECB5AC6CC883"/>
    <w:docVar w:name="LW_COVERPAGE_TYPE" w:val="1"/>
    <w:docVar w:name="LW_CROSSREFERENCE" w:val="{SWD(2025) 388 final}"/>
    <w:docVar w:name="LW_DocType" w:val="NORMAL"/>
    <w:docVar w:name="LW_EMISSION" w:val="2025 12 03"/>
    <w:docVar w:name="LW_EMISSION_ISODATE" w:val="2025-12-03"/>
    <w:docVar w:name="LW_EMISSION_LOCATION" w:val="BRX"/>
    <w:docVar w:name="LW_EMISSION_PREFIX" w:val="Briuselis, "/>
    <w:docVar w:name="LW_EMISSION_SUFFIX" w:val=" "/>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5) 7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u279?l Europos anglies dioksido rinkos veikimo 2024 m."/>
    <w:docVar w:name="LW_TYPE.DOC.CP" w:val="KOMISIJOS ATASKAITA EUROPOS PARLAMENTUI IR TARYBAI"/>
    <w:docVar w:name="LwApiVersions" w:val="LW4CoDe 1.24.5.0; LW 9.2, Build 20251112"/>
  </w:docVars>
  <w:rsids>
    <w:rsidRoot w:val="004F5575"/>
    <w:rsid w:val="0000013C"/>
    <w:rsid w:val="00000258"/>
    <w:rsid w:val="000004BA"/>
    <w:rsid w:val="00000559"/>
    <w:rsid w:val="000005CF"/>
    <w:rsid w:val="000005F9"/>
    <w:rsid w:val="000006BA"/>
    <w:rsid w:val="00000787"/>
    <w:rsid w:val="000008C4"/>
    <w:rsid w:val="000008EB"/>
    <w:rsid w:val="000008FA"/>
    <w:rsid w:val="00000905"/>
    <w:rsid w:val="00000A79"/>
    <w:rsid w:val="00000AA6"/>
    <w:rsid w:val="00000B37"/>
    <w:rsid w:val="00000B59"/>
    <w:rsid w:val="00000CB8"/>
    <w:rsid w:val="00000E2C"/>
    <w:rsid w:val="00000ED1"/>
    <w:rsid w:val="00000EF0"/>
    <w:rsid w:val="00000F16"/>
    <w:rsid w:val="000011E5"/>
    <w:rsid w:val="0000135C"/>
    <w:rsid w:val="00001384"/>
    <w:rsid w:val="000013D3"/>
    <w:rsid w:val="000013F6"/>
    <w:rsid w:val="000014CB"/>
    <w:rsid w:val="00001655"/>
    <w:rsid w:val="000016AE"/>
    <w:rsid w:val="0000190D"/>
    <w:rsid w:val="0000191F"/>
    <w:rsid w:val="00001ACD"/>
    <w:rsid w:val="00001AE8"/>
    <w:rsid w:val="00001B1A"/>
    <w:rsid w:val="00001C25"/>
    <w:rsid w:val="00001D6C"/>
    <w:rsid w:val="00001E7A"/>
    <w:rsid w:val="00001E81"/>
    <w:rsid w:val="00001ECD"/>
    <w:rsid w:val="00001EE6"/>
    <w:rsid w:val="0000207B"/>
    <w:rsid w:val="000021E3"/>
    <w:rsid w:val="0000266F"/>
    <w:rsid w:val="00002720"/>
    <w:rsid w:val="000027DE"/>
    <w:rsid w:val="00002A6F"/>
    <w:rsid w:val="00002AD8"/>
    <w:rsid w:val="00002C1E"/>
    <w:rsid w:val="00002C4A"/>
    <w:rsid w:val="00002C88"/>
    <w:rsid w:val="00002CD2"/>
    <w:rsid w:val="00002F0A"/>
    <w:rsid w:val="00002FDA"/>
    <w:rsid w:val="00003079"/>
    <w:rsid w:val="00003122"/>
    <w:rsid w:val="00003169"/>
    <w:rsid w:val="000031CA"/>
    <w:rsid w:val="000032D0"/>
    <w:rsid w:val="0000334F"/>
    <w:rsid w:val="00003798"/>
    <w:rsid w:val="00003A73"/>
    <w:rsid w:val="00003D65"/>
    <w:rsid w:val="00003E05"/>
    <w:rsid w:val="00003E55"/>
    <w:rsid w:val="00003EB4"/>
    <w:rsid w:val="00003EC4"/>
    <w:rsid w:val="00004085"/>
    <w:rsid w:val="00004096"/>
    <w:rsid w:val="0000414E"/>
    <w:rsid w:val="000046AB"/>
    <w:rsid w:val="0000470D"/>
    <w:rsid w:val="00004783"/>
    <w:rsid w:val="000047ED"/>
    <w:rsid w:val="0000483B"/>
    <w:rsid w:val="00004843"/>
    <w:rsid w:val="0000487E"/>
    <w:rsid w:val="00004883"/>
    <w:rsid w:val="00004984"/>
    <w:rsid w:val="00004B30"/>
    <w:rsid w:val="00004BFC"/>
    <w:rsid w:val="00004D42"/>
    <w:rsid w:val="00004D47"/>
    <w:rsid w:val="000052F1"/>
    <w:rsid w:val="00005446"/>
    <w:rsid w:val="00005501"/>
    <w:rsid w:val="00005650"/>
    <w:rsid w:val="00005661"/>
    <w:rsid w:val="000056BD"/>
    <w:rsid w:val="000056EE"/>
    <w:rsid w:val="0000575A"/>
    <w:rsid w:val="0000580A"/>
    <w:rsid w:val="0000581D"/>
    <w:rsid w:val="00005A7D"/>
    <w:rsid w:val="00005B7D"/>
    <w:rsid w:val="00005B94"/>
    <w:rsid w:val="00005BA0"/>
    <w:rsid w:val="00005BF5"/>
    <w:rsid w:val="00005CAD"/>
    <w:rsid w:val="00005CCB"/>
    <w:rsid w:val="00005D34"/>
    <w:rsid w:val="00005EC1"/>
    <w:rsid w:val="00005F68"/>
    <w:rsid w:val="00005FB8"/>
    <w:rsid w:val="0000604B"/>
    <w:rsid w:val="0000609B"/>
    <w:rsid w:val="0000612E"/>
    <w:rsid w:val="00006141"/>
    <w:rsid w:val="00006166"/>
    <w:rsid w:val="000061E0"/>
    <w:rsid w:val="00006268"/>
    <w:rsid w:val="00006296"/>
    <w:rsid w:val="000063F7"/>
    <w:rsid w:val="00006416"/>
    <w:rsid w:val="0000643E"/>
    <w:rsid w:val="00006458"/>
    <w:rsid w:val="00006538"/>
    <w:rsid w:val="0000668F"/>
    <w:rsid w:val="000068BF"/>
    <w:rsid w:val="00006A14"/>
    <w:rsid w:val="00006B66"/>
    <w:rsid w:val="00006B9D"/>
    <w:rsid w:val="00006E3F"/>
    <w:rsid w:val="00006E71"/>
    <w:rsid w:val="00006E98"/>
    <w:rsid w:val="00006EDD"/>
    <w:rsid w:val="00006F12"/>
    <w:rsid w:val="00006F30"/>
    <w:rsid w:val="00006F69"/>
    <w:rsid w:val="00006FE6"/>
    <w:rsid w:val="0000733C"/>
    <w:rsid w:val="000073EB"/>
    <w:rsid w:val="000074F1"/>
    <w:rsid w:val="000075F8"/>
    <w:rsid w:val="0000768B"/>
    <w:rsid w:val="0000773B"/>
    <w:rsid w:val="000077D1"/>
    <w:rsid w:val="000077E2"/>
    <w:rsid w:val="0000780B"/>
    <w:rsid w:val="00007B79"/>
    <w:rsid w:val="00007C6E"/>
    <w:rsid w:val="00007C8E"/>
    <w:rsid w:val="00007E5D"/>
    <w:rsid w:val="00007E88"/>
    <w:rsid w:val="00007F2E"/>
    <w:rsid w:val="00007F46"/>
    <w:rsid w:val="00007F7B"/>
    <w:rsid w:val="0001000F"/>
    <w:rsid w:val="00010258"/>
    <w:rsid w:val="000103EC"/>
    <w:rsid w:val="00010402"/>
    <w:rsid w:val="00010462"/>
    <w:rsid w:val="0001053C"/>
    <w:rsid w:val="0001055F"/>
    <w:rsid w:val="000105BB"/>
    <w:rsid w:val="000109AE"/>
    <w:rsid w:val="000109CA"/>
    <w:rsid w:val="00010BBA"/>
    <w:rsid w:val="00010BDC"/>
    <w:rsid w:val="00010C1C"/>
    <w:rsid w:val="00010E0A"/>
    <w:rsid w:val="00010EAE"/>
    <w:rsid w:val="00010F71"/>
    <w:rsid w:val="0001103A"/>
    <w:rsid w:val="00011158"/>
    <w:rsid w:val="00011220"/>
    <w:rsid w:val="0001127B"/>
    <w:rsid w:val="00011336"/>
    <w:rsid w:val="000114E2"/>
    <w:rsid w:val="0001150C"/>
    <w:rsid w:val="00011557"/>
    <w:rsid w:val="000116D1"/>
    <w:rsid w:val="00011747"/>
    <w:rsid w:val="00011785"/>
    <w:rsid w:val="00011A07"/>
    <w:rsid w:val="00011B9C"/>
    <w:rsid w:val="00011D1F"/>
    <w:rsid w:val="00011DEF"/>
    <w:rsid w:val="00011E25"/>
    <w:rsid w:val="00011EC5"/>
    <w:rsid w:val="00011EFC"/>
    <w:rsid w:val="0001205E"/>
    <w:rsid w:val="00012109"/>
    <w:rsid w:val="000122E4"/>
    <w:rsid w:val="00012372"/>
    <w:rsid w:val="0001239F"/>
    <w:rsid w:val="000123DE"/>
    <w:rsid w:val="000124A9"/>
    <w:rsid w:val="0001251A"/>
    <w:rsid w:val="000125A8"/>
    <w:rsid w:val="0001269B"/>
    <w:rsid w:val="000128D0"/>
    <w:rsid w:val="000129BA"/>
    <w:rsid w:val="00012BA9"/>
    <w:rsid w:val="00012EDD"/>
    <w:rsid w:val="0001303A"/>
    <w:rsid w:val="00013164"/>
    <w:rsid w:val="0001325D"/>
    <w:rsid w:val="0001348B"/>
    <w:rsid w:val="00013563"/>
    <w:rsid w:val="000135E4"/>
    <w:rsid w:val="00013627"/>
    <w:rsid w:val="00013644"/>
    <w:rsid w:val="000136EF"/>
    <w:rsid w:val="00013796"/>
    <w:rsid w:val="00013868"/>
    <w:rsid w:val="0001386C"/>
    <w:rsid w:val="00013940"/>
    <w:rsid w:val="0001399B"/>
    <w:rsid w:val="00013A0A"/>
    <w:rsid w:val="00013A61"/>
    <w:rsid w:val="00013B3E"/>
    <w:rsid w:val="00013BC7"/>
    <w:rsid w:val="00013E89"/>
    <w:rsid w:val="00013EF1"/>
    <w:rsid w:val="00013EF9"/>
    <w:rsid w:val="00013F7F"/>
    <w:rsid w:val="00013FBE"/>
    <w:rsid w:val="00014165"/>
    <w:rsid w:val="00014174"/>
    <w:rsid w:val="0001418E"/>
    <w:rsid w:val="000141D3"/>
    <w:rsid w:val="00014399"/>
    <w:rsid w:val="00014417"/>
    <w:rsid w:val="0001443D"/>
    <w:rsid w:val="000144F1"/>
    <w:rsid w:val="0001466F"/>
    <w:rsid w:val="0001474A"/>
    <w:rsid w:val="0001474C"/>
    <w:rsid w:val="00014818"/>
    <w:rsid w:val="0001491B"/>
    <w:rsid w:val="0001492A"/>
    <w:rsid w:val="00014B3E"/>
    <w:rsid w:val="00014B72"/>
    <w:rsid w:val="00014C8E"/>
    <w:rsid w:val="00014DC7"/>
    <w:rsid w:val="00014DD7"/>
    <w:rsid w:val="00014F31"/>
    <w:rsid w:val="00015066"/>
    <w:rsid w:val="00015109"/>
    <w:rsid w:val="00015205"/>
    <w:rsid w:val="00015219"/>
    <w:rsid w:val="0001523A"/>
    <w:rsid w:val="000153AA"/>
    <w:rsid w:val="000154C8"/>
    <w:rsid w:val="00015583"/>
    <w:rsid w:val="00015621"/>
    <w:rsid w:val="00015657"/>
    <w:rsid w:val="00015889"/>
    <w:rsid w:val="000158B1"/>
    <w:rsid w:val="00015A4E"/>
    <w:rsid w:val="00015BBE"/>
    <w:rsid w:val="00015BD3"/>
    <w:rsid w:val="00015C92"/>
    <w:rsid w:val="00015EAB"/>
    <w:rsid w:val="00015EC4"/>
    <w:rsid w:val="00015EE6"/>
    <w:rsid w:val="000160D3"/>
    <w:rsid w:val="0001612D"/>
    <w:rsid w:val="00016257"/>
    <w:rsid w:val="000162C4"/>
    <w:rsid w:val="00016370"/>
    <w:rsid w:val="000163A7"/>
    <w:rsid w:val="00016639"/>
    <w:rsid w:val="00016681"/>
    <w:rsid w:val="000166FD"/>
    <w:rsid w:val="00016843"/>
    <w:rsid w:val="00016887"/>
    <w:rsid w:val="000168CD"/>
    <w:rsid w:val="0001691F"/>
    <w:rsid w:val="00016963"/>
    <w:rsid w:val="000169A1"/>
    <w:rsid w:val="00016A82"/>
    <w:rsid w:val="00016B06"/>
    <w:rsid w:val="00016BD6"/>
    <w:rsid w:val="00016CC5"/>
    <w:rsid w:val="00016D46"/>
    <w:rsid w:val="00016E78"/>
    <w:rsid w:val="00016F50"/>
    <w:rsid w:val="00016F59"/>
    <w:rsid w:val="0001707D"/>
    <w:rsid w:val="000170E4"/>
    <w:rsid w:val="0001711B"/>
    <w:rsid w:val="0001718C"/>
    <w:rsid w:val="000171CF"/>
    <w:rsid w:val="000171F5"/>
    <w:rsid w:val="00017234"/>
    <w:rsid w:val="000172A8"/>
    <w:rsid w:val="000172CC"/>
    <w:rsid w:val="000173A8"/>
    <w:rsid w:val="000173C5"/>
    <w:rsid w:val="00017612"/>
    <w:rsid w:val="00017682"/>
    <w:rsid w:val="00017AF6"/>
    <w:rsid w:val="00017BA2"/>
    <w:rsid w:val="00017BAE"/>
    <w:rsid w:val="00017C88"/>
    <w:rsid w:val="00017CA7"/>
    <w:rsid w:val="00017DC3"/>
    <w:rsid w:val="00017DDD"/>
    <w:rsid w:val="00017E16"/>
    <w:rsid w:val="00017E9F"/>
    <w:rsid w:val="00017FBF"/>
    <w:rsid w:val="00020077"/>
    <w:rsid w:val="00020225"/>
    <w:rsid w:val="000202A1"/>
    <w:rsid w:val="000202D9"/>
    <w:rsid w:val="0002034D"/>
    <w:rsid w:val="0002076E"/>
    <w:rsid w:val="00020996"/>
    <w:rsid w:val="000209BC"/>
    <w:rsid w:val="00020AF2"/>
    <w:rsid w:val="00020B39"/>
    <w:rsid w:val="00020BD0"/>
    <w:rsid w:val="00020D30"/>
    <w:rsid w:val="00020F1A"/>
    <w:rsid w:val="00020F5A"/>
    <w:rsid w:val="00020F91"/>
    <w:rsid w:val="00020FD7"/>
    <w:rsid w:val="000210AE"/>
    <w:rsid w:val="000212E9"/>
    <w:rsid w:val="00021321"/>
    <w:rsid w:val="000213F2"/>
    <w:rsid w:val="00021417"/>
    <w:rsid w:val="0002145F"/>
    <w:rsid w:val="000214CC"/>
    <w:rsid w:val="000215D2"/>
    <w:rsid w:val="00021AF8"/>
    <w:rsid w:val="00021D1A"/>
    <w:rsid w:val="00021D86"/>
    <w:rsid w:val="00021D8F"/>
    <w:rsid w:val="00021D99"/>
    <w:rsid w:val="00021DC1"/>
    <w:rsid w:val="00022120"/>
    <w:rsid w:val="00022226"/>
    <w:rsid w:val="00022319"/>
    <w:rsid w:val="00022407"/>
    <w:rsid w:val="000224CE"/>
    <w:rsid w:val="00022530"/>
    <w:rsid w:val="00022563"/>
    <w:rsid w:val="00022657"/>
    <w:rsid w:val="000226D3"/>
    <w:rsid w:val="00022778"/>
    <w:rsid w:val="0002278C"/>
    <w:rsid w:val="00022964"/>
    <w:rsid w:val="00022E64"/>
    <w:rsid w:val="0002308D"/>
    <w:rsid w:val="000230E9"/>
    <w:rsid w:val="00023146"/>
    <w:rsid w:val="000231DA"/>
    <w:rsid w:val="000231FC"/>
    <w:rsid w:val="000233B7"/>
    <w:rsid w:val="000234EE"/>
    <w:rsid w:val="00023516"/>
    <w:rsid w:val="00023527"/>
    <w:rsid w:val="000235BB"/>
    <w:rsid w:val="000236AF"/>
    <w:rsid w:val="000236D6"/>
    <w:rsid w:val="00023976"/>
    <w:rsid w:val="00023A47"/>
    <w:rsid w:val="00023DE7"/>
    <w:rsid w:val="00023E46"/>
    <w:rsid w:val="00023E7A"/>
    <w:rsid w:val="00023F00"/>
    <w:rsid w:val="00024175"/>
    <w:rsid w:val="000241EB"/>
    <w:rsid w:val="00024222"/>
    <w:rsid w:val="00024309"/>
    <w:rsid w:val="00024311"/>
    <w:rsid w:val="0002446E"/>
    <w:rsid w:val="000244C1"/>
    <w:rsid w:val="000245FF"/>
    <w:rsid w:val="000246AD"/>
    <w:rsid w:val="000246E3"/>
    <w:rsid w:val="000248AD"/>
    <w:rsid w:val="000249A3"/>
    <w:rsid w:val="000249FD"/>
    <w:rsid w:val="00024ABB"/>
    <w:rsid w:val="00024C3B"/>
    <w:rsid w:val="00024CDD"/>
    <w:rsid w:val="00024CF5"/>
    <w:rsid w:val="00024D7F"/>
    <w:rsid w:val="00024E2C"/>
    <w:rsid w:val="00024F4D"/>
    <w:rsid w:val="0002520C"/>
    <w:rsid w:val="00025260"/>
    <w:rsid w:val="0002548D"/>
    <w:rsid w:val="000254B5"/>
    <w:rsid w:val="000254D8"/>
    <w:rsid w:val="00025549"/>
    <w:rsid w:val="00025630"/>
    <w:rsid w:val="000257A1"/>
    <w:rsid w:val="0002581B"/>
    <w:rsid w:val="00025A05"/>
    <w:rsid w:val="00025AE0"/>
    <w:rsid w:val="00025B20"/>
    <w:rsid w:val="00025F00"/>
    <w:rsid w:val="00026043"/>
    <w:rsid w:val="000260D0"/>
    <w:rsid w:val="00026106"/>
    <w:rsid w:val="00026298"/>
    <w:rsid w:val="000263ED"/>
    <w:rsid w:val="00026811"/>
    <w:rsid w:val="000268C9"/>
    <w:rsid w:val="0002696C"/>
    <w:rsid w:val="00026A55"/>
    <w:rsid w:val="00026A6C"/>
    <w:rsid w:val="00026B6D"/>
    <w:rsid w:val="00026F3E"/>
    <w:rsid w:val="0002703E"/>
    <w:rsid w:val="00027168"/>
    <w:rsid w:val="00027204"/>
    <w:rsid w:val="000273F4"/>
    <w:rsid w:val="000274BD"/>
    <w:rsid w:val="0002752C"/>
    <w:rsid w:val="00027626"/>
    <w:rsid w:val="0002770E"/>
    <w:rsid w:val="00027967"/>
    <w:rsid w:val="00027B26"/>
    <w:rsid w:val="00027DB3"/>
    <w:rsid w:val="00027DEE"/>
    <w:rsid w:val="00027E8B"/>
    <w:rsid w:val="00027E8C"/>
    <w:rsid w:val="00027EB2"/>
    <w:rsid w:val="00027FC4"/>
    <w:rsid w:val="00030007"/>
    <w:rsid w:val="000301EB"/>
    <w:rsid w:val="00030235"/>
    <w:rsid w:val="00030280"/>
    <w:rsid w:val="0003028A"/>
    <w:rsid w:val="0003043B"/>
    <w:rsid w:val="00030628"/>
    <w:rsid w:val="000306F6"/>
    <w:rsid w:val="00030743"/>
    <w:rsid w:val="00030803"/>
    <w:rsid w:val="0003089F"/>
    <w:rsid w:val="00030969"/>
    <w:rsid w:val="000309B8"/>
    <w:rsid w:val="00030A14"/>
    <w:rsid w:val="00030A3A"/>
    <w:rsid w:val="00030B90"/>
    <w:rsid w:val="00030B9A"/>
    <w:rsid w:val="00030C58"/>
    <w:rsid w:val="00030D31"/>
    <w:rsid w:val="00030D37"/>
    <w:rsid w:val="00030E06"/>
    <w:rsid w:val="00030E2E"/>
    <w:rsid w:val="00030E72"/>
    <w:rsid w:val="00030EF3"/>
    <w:rsid w:val="00030F04"/>
    <w:rsid w:val="00031077"/>
    <w:rsid w:val="000310CD"/>
    <w:rsid w:val="00031165"/>
    <w:rsid w:val="00031170"/>
    <w:rsid w:val="00031193"/>
    <w:rsid w:val="00031223"/>
    <w:rsid w:val="000312D3"/>
    <w:rsid w:val="000312D4"/>
    <w:rsid w:val="00031339"/>
    <w:rsid w:val="00031400"/>
    <w:rsid w:val="000314DD"/>
    <w:rsid w:val="000317AD"/>
    <w:rsid w:val="00031854"/>
    <w:rsid w:val="00031858"/>
    <w:rsid w:val="00031913"/>
    <w:rsid w:val="000319A3"/>
    <w:rsid w:val="00031AC7"/>
    <w:rsid w:val="00031C0D"/>
    <w:rsid w:val="00031D47"/>
    <w:rsid w:val="00031DD3"/>
    <w:rsid w:val="00031E90"/>
    <w:rsid w:val="00032099"/>
    <w:rsid w:val="00032164"/>
    <w:rsid w:val="000321AF"/>
    <w:rsid w:val="00032390"/>
    <w:rsid w:val="0003248D"/>
    <w:rsid w:val="0003256F"/>
    <w:rsid w:val="00032614"/>
    <w:rsid w:val="0003261D"/>
    <w:rsid w:val="000328DB"/>
    <w:rsid w:val="00032974"/>
    <w:rsid w:val="00032B47"/>
    <w:rsid w:val="00032BDA"/>
    <w:rsid w:val="00032CDE"/>
    <w:rsid w:val="00032D90"/>
    <w:rsid w:val="00032DDC"/>
    <w:rsid w:val="00032E0F"/>
    <w:rsid w:val="00032FCD"/>
    <w:rsid w:val="00032FF8"/>
    <w:rsid w:val="0003306C"/>
    <w:rsid w:val="000330D3"/>
    <w:rsid w:val="00033161"/>
    <w:rsid w:val="00033249"/>
    <w:rsid w:val="00033318"/>
    <w:rsid w:val="0003337C"/>
    <w:rsid w:val="000333D5"/>
    <w:rsid w:val="00033592"/>
    <w:rsid w:val="000335B0"/>
    <w:rsid w:val="000335B5"/>
    <w:rsid w:val="0003380D"/>
    <w:rsid w:val="0003382D"/>
    <w:rsid w:val="00033849"/>
    <w:rsid w:val="0003385A"/>
    <w:rsid w:val="00033992"/>
    <w:rsid w:val="0003399B"/>
    <w:rsid w:val="000339ED"/>
    <w:rsid w:val="00033C05"/>
    <w:rsid w:val="00033C5C"/>
    <w:rsid w:val="00033D18"/>
    <w:rsid w:val="00033DE1"/>
    <w:rsid w:val="00033E23"/>
    <w:rsid w:val="00033F31"/>
    <w:rsid w:val="000340FC"/>
    <w:rsid w:val="00034108"/>
    <w:rsid w:val="0003412C"/>
    <w:rsid w:val="00034151"/>
    <w:rsid w:val="00034174"/>
    <w:rsid w:val="00034245"/>
    <w:rsid w:val="000342BD"/>
    <w:rsid w:val="00034393"/>
    <w:rsid w:val="00034457"/>
    <w:rsid w:val="0003455B"/>
    <w:rsid w:val="000345C2"/>
    <w:rsid w:val="0003470F"/>
    <w:rsid w:val="00034758"/>
    <w:rsid w:val="000347C8"/>
    <w:rsid w:val="00034869"/>
    <w:rsid w:val="00034969"/>
    <w:rsid w:val="00034981"/>
    <w:rsid w:val="00034AD0"/>
    <w:rsid w:val="00034D7F"/>
    <w:rsid w:val="00034E8D"/>
    <w:rsid w:val="00034ECD"/>
    <w:rsid w:val="00034FE7"/>
    <w:rsid w:val="000350C3"/>
    <w:rsid w:val="0003520A"/>
    <w:rsid w:val="00035259"/>
    <w:rsid w:val="0003531C"/>
    <w:rsid w:val="000353C9"/>
    <w:rsid w:val="0003553B"/>
    <w:rsid w:val="000355F0"/>
    <w:rsid w:val="0003560B"/>
    <w:rsid w:val="00035698"/>
    <w:rsid w:val="000357BC"/>
    <w:rsid w:val="000358C2"/>
    <w:rsid w:val="00035A39"/>
    <w:rsid w:val="00035E07"/>
    <w:rsid w:val="00035E20"/>
    <w:rsid w:val="00035EE2"/>
    <w:rsid w:val="00035F26"/>
    <w:rsid w:val="00036048"/>
    <w:rsid w:val="00036076"/>
    <w:rsid w:val="000361C3"/>
    <w:rsid w:val="000363A3"/>
    <w:rsid w:val="000363C2"/>
    <w:rsid w:val="00036577"/>
    <w:rsid w:val="00036615"/>
    <w:rsid w:val="000366F8"/>
    <w:rsid w:val="000367C4"/>
    <w:rsid w:val="000369FB"/>
    <w:rsid w:val="00036C89"/>
    <w:rsid w:val="00036CD1"/>
    <w:rsid w:val="00036D5C"/>
    <w:rsid w:val="00036DF3"/>
    <w:rsid w:val="00036FD0"/>
    <w:rsid w:val="00037181"/>
    <w:rsid w:val="00037211"/>
    <w:rsid w:val="00037308"/>
    <w:rsid w:val="0003733E"/>
    <w:rsid w:val="000376DC"/>
    <w:rsid w:val="000377B4"/>
    <w:rsid w:val="000377BD"/>
    <w:rsid w:val="00037815"/>
    <w:rsid w:val="0003785D"/>
    <w:rsid w:val="000378E8"/>
    <w:rsid w:val="00037923"/>
    <w:rsid w:val="0003793B"/>
    <w:rsid w:val="00037959"/>
    <w:rsid w:val="00037BEC"/>
    <w:rsid w:val="00037C4C"/>
    <w:rsid w:val="00037C54"/>
    <w:rsid w:val="00037E65"/>
    <w:rsid w:val="00037E91"/>
    <w:rsid w:val="00037F65"/>
    <w:rsid w:val="0004000D"/>
    <w:rsid w:val="0004003E"/>
    <w:rsid w:val="00040071"/>
    <w:rsid w:val="00040300"/>
    <w:rsid w:val="00040517"/>
    <w:rsid w:val="00040537"/>
    <w:rsid w:val="000406D6"/>
    <w:rsid w:val="000406F1"/>
    <w:rsid w:val="00040808"/>
    <w:rsid w:val="0004082D"/>
    <w:rsid w:val="00040B7D"/>
    <w:rsid w:val="00040BA4"/>
    <w:rsid w:val="00040E07"/>
    <w:rsid w:val="00040E57"/>
    <w:rsid w:val="00040FDF"/>
    <w:rsid w:val="0004101D"/>
    <w:rsid w:val="000410BE"/>
    <w:rsid w:val="000412FB"/>
    <w:rsid w:val="00041408"/>
    <w:rsid w:val="00041458"/>
    <w:rsid w:val="000414EA"/>
    <w:rsid w:val="000415A7"/>
    <w:rsid w:val="000417CE"/>
    <w:rsid w:val="000418B3"/>
    <w:rsid w:val="00041A9E"/>
    <w:rsid w:val="00041B42"/>
    <w:rsid w:val="00041BA3"/>
    <w:rsid w:val="00041D46"/>
    <w:rsid w:val="00041D59"/>
    <w:rsid w:val="00041E14"/>
    <w:rsid w:val="00041E24"/>
    <w:rsid w:val="00041F0C"/>
    <w:rsid w:val="00041F8F"/>
    <w:rsid w:val="00041FFE"/>
    <w:rsid w:val="000420D6"/>
    <w:rsid w:val="0004232B"/>
    <w:rsid w:val="00042337"/>
    <w:rsid w:val="0004247F"/>
    <w:rsid w:val="0004256B"/>
    <w:rsid w:val="00042610"/>
    <w:rsid w:val="0004279B"/>
    <w:rsid w:val="00042896"/>
    <w:rsid w:val="00042B9D"/>
    <w:rsid w:val="00042C04"/>
    <w:rsid w:val="00042DD7"/>
    <w:rsid w:val="00042E08"/>
    <w:rsid w:val="0004302E"/>
    <w:rsid w:val="000430E0"/>
    <w:rsid w:val="000431CC"/>
    <w:rsid w:val="0004324D"/>
    <w:rsid w:val="00043317"/>
    <w:rsid w:val="0004334C"/>
    <w:rsid w:val="0004342D"/>
    <w:rsid w:val="00043660"/>
    <w:rsid w:val="0004372D"/>
    <w:rsid w:val="000437B7"/>
    <w:rsid w:val="00043851"/>
    <w:rsid w:val="000438A6"/>
    <w:rsid w:val="00043A15"/>
    <w:rsid w:val="00043B2B"/>
    <w:rsid w:val="00043C36"/>
    <w:rsid w:val="00043D63"/>
    <w:rsid w:val="00043F42"/>
    <w:rsid w:val="00044070"/>
    <w:rsid w:val="000440EF"/>
    <w:rsid w:val="0004424B"/>
    <w:rsid w:val="00044538"/>
    <w:rsid w:val="000445E2"/>
    <w:rsid w:val="0004490A"/>
    <w:rsid w:val="00044ACE"/>
    <w:rsid w:val="00044B49"/>
    <w:rsid w:val="00044C51"/>
    <w:rsid w:val="00044C5F"/>
    <w:rsid w:val="00044DF4"/>
    <w:rsid w:val="00044E96"/>
    <w:rsid w:val="00044F02"/>
    <w:rsid w:val="00044F28"/>
    <w:rsid w:val="00045045"/>
    <w:rsid w:val="00045135"/>
    <w:rsid w:val="0004518E"/>
    <w:rsid w:val="00045251"/>
    <w:rsid w:val="000452CC"/>
    <w:rsid w:val="0004539C"/>
    <w:rsid w:val="0004547A"/>
    <w:rsid w:val="000454C0"/>
    <w:rsid w:val="0004567B"/>
    <w:rsid w:val="000456A0"/>
    <w:rsid w:val="0004574D"/>
    <w:rsid w:val="00045801"/>
    <w:rsid w:val="000458E2"/>
    <w:rsid w:val="00045920"/>
    <w:rsid w:val="00045AB5"/>
    <w:rsid w:val="00045C31"/>
    <w:rsid w:val="00045EBC"/>
    <w:rsid w:val="000460CB"/>
    <w:rsid w:val="0004616A"/>
    <w:rsid w:val="0004621E"/>
    <w:rsid w:val="00046281"/>
    <w:rsid w:val="000462CB"/>
    <w:rsid w:val="000462DC"/>
    <w:rsid w:val="000462F7"/>
    <w:rsid w:val="0004639B"/>
    <w:rsid w:val="0004640E"/>
    <w:rsid w:val="0004648E"/>
    <w:rsid w:val="00046518"/>
    <w:rsid w:val="000465C1"/>
    <w:rsid w:val="00046618"/>
    <w:rsid w:val="00046777"/>
    <w:rsid w:val="00046A4F"/>
    <w:rsid w:val="00046B06"/>
    <w:rsid w:val="00046D75"/>
    <w:rsid w:val="00046D98"/>
    <w:rsid w:val="00046DEC"/>
    <w:rsid w:val="00047039"/>
    <w:rsid w:val="000470FB"/>
    <w:rsid w:val="00047204"/>
    <w:rsid w:val="00047265"/>
    <w:rsid w:val="000472FC"/>
    <w:rsid w:val="00047351"/>
    <w:rsid w:val="000475CE"/>
    <w:rsid w:val="00047623"/>
    <w:rsid w:val="00047829"/>
    <w:rsid w:val="00047937"/>
    <w:rsid w:val="000479D7"/>
    <w:rsid w:val="00047A15"/>
    <w:rsid w:val="00047B3E"/>
    <w:rsid w:val="00047C66"/>
    <w:rsid w:val="00047DFB"/>
    <w:rsid w:val="00047FD1"/>
    <w:rsid w:val="0005000D"/>
    <w:rsid w:val="00050039"/>
    <w:rsid w:val="000500FE"/>
    <w:rsid w:val="0005011B"/>
    <w:rsid w:val="0005033D"/>
    <w:rsid w:val="00050386"/>
    <w:rsid w:val="0005065F"/>
    <w:rsid w:val="000506C3"/>
    <w:rsid w:val="000506D7"/>
    <w:rsid w:val="000509E0"/>
    <w:rsid w:val="00050BB6"/>
    <w:rsid w:val="00050CD1"/>
    <w:rsid w:val="00050D05"/>
    <w:rsid w:val="00050DCB"/>
    <w:rsid w:val="00050E60"/>
    <w:rsid w:val="00050EDD"/>
    <w:rsid w:val="00050EE8"/>
    <w:rsid w:val="00050FF1"/>
    <w:rsid w:val="00051186"/>
    <w:rsid w:val="00051258"/>
    <w:rsid w:val="000512E7"/>
    <w:rsid w:val="0005136C"/>
    <w:rsid w:val="0005143F"/>
    <w:rsid w:val="00051485"/>
    <w:rsid w:val="000514FD"/>
    <w:rsid w:val="0005150D"/>
    <w:rsid w:val="0005155B"/>
    <w:rsid w:val="0005160D"/>
    <w:rsid w:val="000516D6"/>
    <w:rsid w:val="000517FD"/>
    <w:rsid w:val="00051872"/>
    <w:rsid w:val="000518A5"/>
    <w:rsid w:val="000518F8"/>
    <w:rsid w:val="00051B57"/>
    <w:rsid w:val="00051D62"/>
    <w:rsid w:val="00051DA5"/>
    <w:rsid w:val="00051F42"/>
    <w:rsid w:val="00051F54"/>
    <w:rsid w:val="00051F86"/>
    <w:rsid w:val="00052135"/>
    <w:rsid w:val="00052223"/>
    <w:rsid w:val="000524FB"/>
    <w:rsid w:val="000525CD"/>
    <w:rsid w:val="0005267C"/>
    <w:rsid w:val="000527AA"/>
    <w:rsid w:val="000527CF"/>
    <w:rsid w:val="000529B4"/>
    <w:rsid w:val="00052B60"/>
    <w:rsid w:val="00052BEF"/>
    <w:rsid w:val="00052C44"/>
    <w:rsid w:val="00052CB5"/>
    <w:rsid w:val="00052D5A"/>
    <w:rsid w:val="00052E56"/>
    <w:rsid w:val="00052E9D"/>
    <w:rsid w:val="00052EBD"/>
    <w:rsid w:val="00052ED2"/>
    <w:rsid w:val="00052EF2"/>
    <w:rsid w:val="00052F22"/>
    <w:rsid w:val="00052FD1"/>
    <w:rsid w:val="00053080"/>
    <w:rsid w:val="00053249"/>
    <w:rsid w:val="000532DA"/>
    <w:rsid w:val="000532E8"/>
    <w:rsid w:val="00053335"/>
    <w:rsid w:val="00053356"/>
    <w:rsid w:val="00053517"/>
    <w:rsid w:val="000535E4"/>
    <w:rsid w:val="000536DE"/>
    <w:rsid w:val="00053B18"/>
    <w:rsid w:val="00053BBB"/>
    <w:rsid w:val="00053D2B"/>
    <w:rsid w:val="00053D77"/>
    <w:rsid w:val="00053DF2"/>
    <w:rsid w:val="00053E28"/>
    <w:rsid w:val="00053F51"/>
    <w:rsid w:val="00053FD4"/>
    <w:rsid w:val="0005408E"/>
    <w:rsid w:val="00054367"/>
    <w:rsid w:val="00054534"/>
    <w:rsid w:val="0005455C"/>
    <w:rsid w:val="000545D3"/>
    <w:rsid w:val="00054617"/>
    <w:rsid w:val="0005466A"/>
    <w:rsid w:val="0005466D"/>
    <w:rsid w:val="0005474B"/>
    <w:rsid w:val="00054789"/>
    <w:rsid w:val="00054839"/>
    <w:rsid w:val="00054906"/>
    <w:rsid w:val="00054942"/>
    <w:rsid w:val="00054956"/>
    <w:rsid w:val="00054C3A"/>
    <w:rsid w:val="00054D70"/>
    <w:rsid w:val="00055081"/>
    <w:rsid w:val="000550FD"/>
    <w:rsid w:val="00055168"/>
    <w:rsid w:val="0005522D"/>
    <w:rsid w:val="00055309"/>
    <w:rsid w:val="00055337"/>
    <w:rsid w:val="000553A3"/>
    <w:rsid w:val="00055408"/>
    <w:rsid w:val="0005543B"/>
    <w:rsid w:val="000554EE"/>
    <w:rsid w:val="0005556D"/>
    <w:rsid w:val="000555FD"/>
    <w:rsid w:val="00055825"/>
    <w:rsid w:val="00055845"/>
    <w:rsid w:val="00055903"/>
    <w:rsid w:val="00055927"/>
    <w:rsid w:val="0005593E"/>
    <w:rsid w:val="00055A27"/>
    <w:rsid w:val="00055B6B"/>
    <w:rsid w:val="00055C93"/>
    <w:rsid w:val="00055CD4"/>
    <w:rsid w:val="00055DAC"/>
    <w:rsid w:val="00055F73"/>
    <w:rsid w:val="00056385"/>
    <w:rsid w:val="000563C8"/>
    <w:rsid w:val="000565F2"/>
    <w:rsid w:val="000566BF"/>
    <w:rsid w:val="000566E4"/>
    <w:rsid w:val="00056904"/>
    <w:rsid w:val="000569B2"/>
    <w:rsid w:val="00056A4D"/>
    <w:rsid w:val="00056BC0"/>
    <w:rsid w:val="00056BDD"/>
    <w:rsid w:val="00056C97"/>
    <w:rsid w:val="00056CFA"/>
    <w:rsid w:val="00056E92"/>
    <w:rsid w:val="00056ECB"/>
    <w:rsid w:val="00056FB8"/>
    <w:rsid w:val="000570F6"/>
    <w:rsid w:val="000570FF"/>
    <w:rsid w:val="00057163"/>
    <w:rsid w:val="000571D2"/>
    <w:rsid w:val="0005742B"/>
    <w:rsid w:val="00057529"/>
    <w:rsid w:val="00057722"/>
    <w:rsid w:val="00057796"/>
    <w:rsid w:val="00057853"/>
    <w:rsid w:val="000578C2"/>
    <w:rsid w:val="000579F1"/>
    <w:rsid w:val="00057A83"/>
    <w:rsid w:val="00057AAB"/>
    <w:rsid w:val="00057CA5"/>
    <w:rsid w:val="00057D0A"/>
    <w:rsid w:val="00057DC2"/>
    <w:rsid w:val="00057E03"/>
    <w:rsid w:val="00057E42"/>
    <w:rsid w:val="00057F1A"/>
    <w:rsid w:val="00057F38"/>
    <w:rsid w:val="00057FFD"/>
    <w:rsid w:val="0006012F"/>
    <w:rsid w:val="0006024E"/>
    <w:rsid w:val="000602B6"/>
    <w:rsid w:val="000602BB"/>
    <w:rsid w:val="00060301"/>
    <w:rsid w:val="0006034C"/>
    <w:rsid w:val="00060447"/>
    <w:rsid w:val="00060470"/>
    <w:rsid w:val="000607F0"/>
    <w:rsid w:val="0006088C"/>
    <w:rsid w:val="00060A3D"/>
    <w:rsid w:val="00060A3F"/>
    <w:rsid w:val="00060A5D"/>
    <w:rsid w:val="00060BDB"/>
    <w:rsid w:val="00060BEC"/>
    <w:rsid w:val="00060C53"/>
    <w:rsid w:val="00060C88"/>
    <w:rsid w:val="00060CC9"/>
    <w:rsid w:val="00060D68"/>
    <w:rsid w:val="00060DB4"/>
    <w:rsid w:val="00060F0B"/>
    <w:rsid w:val="00060F45"/>
    <w:rsid w:val="00061099"/>
    <w:rsid w:val="000610A7"/>
    <w:rsid w:val="000610E4"/>
    <w:rsid w:val="00061102"/>
    <w:rsid w:val="00061278"/>
    <w:rsid w:val="000612FA"/>
    <w:rsid w:val="00061312"/>
    <w:rsid w:val="00061381"/>
    <w:rsid w:val="000613CB"/>
    <w:rsid w:val="00061935"/>
    <w:rsid w:val="00061A16"/>
    <w:rsid w:val="00061B8B"/>
    <w:rsid w:val="00061C7A"/>
    <w:rsid w:val="00061C8E"/>
    <w:rsid w:val="00061CDC"/>
    <w:rsid w:val="00061CEF"/>
    <w:rsid w:val="00061D75"/>
    <w:rsid w:val="00061DF5"/>
    <w:rsid w:val="00061E74"/>
    <w:rsid w:val="00061F69"/>
    <w:rsid w:val="00061FD8"/>
    <w:rsid w:val="00061FDD"/>
    <w:rsid w:val="00062189"/>
    <w:rsid w:val="000622CE"/>
    <w:rsid w:val="0006239E"/>
    <w:rsid w:val="000623A8"/>
    <w:rsid w:val="0006243D"/>
    <w:rsid w:val="000624F4"/>
    <w:rsid w:val="00062572"/>
    <w:rsid w:val="000625B1"/>
    <w:rsid w:val="00062658"/>
    <w:rsid w:val="00062739"/>
    <w:rsid w:val="0006298C"/>
    <w:rsid w:val="000629B3"/>
    <w:rsid w:val="00062A5E"/>
    <w:rsid w:val="00062C2A"/>
    <w:rsid w:val="00062D6C"/>
    <w:rsid w:val="00062DB3"/>
    <w:rsid w:val="00062FFD"/>
    <w:rsid w:val="00063051"/>
    <w:rsid w:val="000630F8"/>
    <w:rsid w:val="000630FC"/>
    <w:rsid w:val="0006317B"/>
    <w:rsid w:val="000632D5"/>
    <w:rsid w:val="000632E3"/>
    <w:rsid w:val="00063338"/>
    <w:rsid w:val="000633D5"/>
    <w:rsid w:val="000636E1"/>
    <w:rsid w:val="000637D2"/>
    <w:rsid w:val="000637F0"/>
    <w:rsid w:val="0006383C"/>
    <w:rsid w:val="00063949"/>
    <w:rsid w:val="00063952"/>
    <w:rsid w:val="00063992"/>
    <w:rsid w:val="00063A53"/>
    <w:rsid w:val="00063B9D"/>
    <w:rsid w:val="00063BFA"/>
    <w:rsid w:val="00063C95"/>
    <w:rsid w:val="00063F97"/>
    <w:rsid w:val="00063FA7"/>
    <w:rsid w:val="000640DB"/>
    <w:rsid w:val="00064118"/>
    <w:rsid w:val="00064414"/>
    <w:rsid w:val="000645BE"/>
    <w:rsid w:val="000645F5"/>
    <w:rsid w:val="00064715"/>
    <w:rsid w:val="00064771"/>
    <w:rsid w:val="00064A3E"/>
    <w:rsid w:val="00064B52"/>
    <w:rsid w:val="00064E3A"/>
    <w:rsid w:val="00064EC0"/>
    <w:rsid w:val="00064FC0"/>
    <w:rsid w:val="0006502B"/>
    <w:rsid w:val="000650B7"/>
    <w:rsid w:val="0006514F"/>
    <w:rsid w:val="000651B8"/>
    <w:rsid w:val="000651CA"/>
    <w:rsid w:val="0006525B"/>
    <w:rsid w:val="00065373"/>
    <w:rsid w:val="00065518"/>
    <w:rsid w:val="0006555D"/>
    <w:rsid w:val="0006559A"/>
    <w:rsid w:val="0006575C"/>
    <w:rsid w:val="000658D9"/>
    <w:rsid w:val="0006592F"/>
    <w:rsid w:val="000659D8"/>
    <w:rsid w:val="000659F0"/>
    <w:rsid w:val="00065A17"/>
    <w:rsid w:val="00065B22"/>
    <w:rsid w:val="00065B29"/>
    <w:rsid w:val="00065B5D"/>
    <w:rsid w:val="00065CCA"/>
    <w:rsid w:val="00065FC6"/>
    <w:rsid w:val="00065FD7"/>
    <w:rsid w:val="00066058"/>
    <w:rsid w:val="000661E5"/>
    <w:rsid w:val="000662BA"/>
    <w:rsid w:val="0006639D"/>
    <w:rsid w:val="0006646E"/>
    <w:rsid w:val="00066493"/>
    <w:rsid w:val="00066505"/>
    <w:rsid w:val="00066549"/>
    <w:rsid w:val="00066626"/>
    <w:rsid w:val="0006662D"/>
    <w:rsid w:val="000666A0"/>
    <w:rsid w:val="00066748"/>
    <w:rsid w:val="00066791"/>
    <w:rsid w:val="000667E0"/>
    <w:rsid w:val="00066982"/>
    <w:rsid w:val="00066A1F"/>
    <w:rsid w:val="00066A89"/>
    <w:rsid w:val="00066BBC"/>
    <w:rsid w:val="00066BD8"/>
    <w:rsid w:val="00066C08"/>
    <w:rsid w:val="00066C1F"/>
    <w:rsid w:val="00067085"/>
    <w:rsid w:val="00067127"/>
    <w:rsid w:val="0006740A"/>
    <w:rsid w:val="0006750B"/>
    <w:rsid w:val="0006755B"/>
    <w:rsid w:val="00067561"/>
    <w:rsid w:val="000675DB"/>
    <w:rsid w:val="0006765F"/>
    <w:rsid w:val="0006768D"/>
    <w:rsid w:val="000677D3"/>
    <w:rsid w:val="000678C1"/>
    <w:rsid w:val="00067989"/>
    <w:rsid w:val="000679F8"/>
    <w:rsid w:val="00067C25"/>
    <w:rsid w:val="00067C5C"/>
    <w:rsid w:val="00067E99"/>
    <w:rsid w:val="00067ECC"/>
    <w:rsid w:val="00067FA5"/>
    <w:rsid w:val="000700AF"/>
    <w:rsid w:val="000700B5"/>
    <w:rsid w:val="00070107"/>
    <w:rsid w:val="000701D9"/>
    <w:rsid w:val="000701E8"/>
    <w:rsid w:val="0007027C"/>
    <w:rsid w:val="000702EB"/>
    <w:rsid w:val="0007030B"/>
    <w:rsid w:val="00070322"/>
    <w:rsid w:val="000703E1"/>
    <w:rsid w:val="000703F0"/>
    <w:rsid w:val="000704B8"/>
    <w:rsid w:val="000704C2"/>
    <w:rsid w:val="00070685"/>
    <w:rsid w:val="000707A0"/>
    <w:rsid w:val="0007086B"/>
    <w:rsid w:val="000708EE"/>
    <w:rsid w:val="000709A3"/>
    <w:rsid w:val="00070A15"/>
    <w:rsid w:val="00070D6D"/>
    <w:rsid w:val="00070DE4"/>
    <w:rsid w:val="00070E6F"/>
    <w:rsid w:val="00070ECA"/>
    <w:rsid w:val="00071118"/>
    <w:rsid w:val="000711B7"/>
    <w:rsid w:val="000712F8"/>
    <w:rsid w:val="0007148E"/>
    <w:rsid w:val="00071507"/>
    <w:rsid w:val="00071592"/>
    <w:rsid w:val="000715FD"/>
    <w:rsid w:val="0007162B"/>
    <w:rsid w:val="00071746"/>
    <w:rsid w:val="000717A1"/>
    <w:rsid w:val="0007181F"/>
    <w:rsid w:val="0007186D"/>
    <w:rsid w:val="00071B86"/>
    <w:rsid w:val="00071BD8"/>
    <w:rsid w:val="00071CB9"/>
    <w:rsid w:val="00071D27"/>
    <w:rsid w:val="00071D7E"/>
    <w:rsid w:val="00071E6B"/>
    <w:rsid w:val="00071EC5"/>
    <w:rsid w:val="00071F65"/>
    <w:rsid w:val="00071FE6"/>
    <w:rsid w:val="00072055"/>
    <w:rsid w:val="000720FD"/>
    <w:rsid w:val="0007215E"/>
    <w:rsid w:val="000721C5"/>
    <w:rsid w:val="00072432"/>
    <w:rsid w:val="00072568"/>
    <w:rsid w:val="000725FB"/>
    <w:rsid w:val="000729EA"/>
    <w:rsid w:val="000729EF"/>
    <w:rsid w:val="00072C73"/>
    <w:rsid w:val="00072CD6"/>
    <w:rsid w:val="00072D84"/>
    <w:rsid w:val="00072DD3"/>
    <w:rsid w:val="00072DE8"/>
    <w:rsid w:val="00073158"/>
    <w:rsid w:val="0007316D"/>
    <w:rsid w:val="0007319B"/>
    <w:rsid w:val="000732F4"/>
    <w:rsid w:val="00073328"/>
    <w:rsid w:val="00073331"/>
    <w:rsid w:val="000733AE"/>
    <w:rsid w:val="00073637"/>
    <w:rsid w:val="00073776"/>
    <w:rsid w:val="00073929"/>
    <w:rsid w:val="00073A41"/>
    <w:rsid w:val="00073B18"/>
    <w:rsid w:val="00073C22"/>
    <w:rsid w:val="00073CB8"/>
    <w:rsid w:val="00073CDA"/>
    <w:rsid w:val="00073CE8"/>
    <w:rsid w:val="00073EF9"/>
    <w:rsid w:val="00073F0A"/>
    <w:rsid w:val="00074045"/>
    <w:rsid w:val="00074084"/>
    <w:rsid w:val="00074195"/>
    <w:rsid w:val="000743CB"/>
    <w:rsid w:val="0007444C"/>
    <w:rsid w:val="000744E5"/>
    <w:rsid w:val="00074517"/>
    <w:rsid w:val="00074685"/>
    <w:rsid w:val="000746E9"/>
    <w:rsid w:val="0007470B"/>
    <w:rsid w:val="00074731"/>
    <w:rsid w:val="0007473B"/>
    <w:rsid w:val="00074937"/>
    <w:rsid w:val="000749B2"/>
    <w:rsid w:val="00074A0D"/>
    <w:rsid w:val="00074A24"/>
    <w:rsid w:val="00074B27"/>
    <w:rsid w:val="00074B41"/>
    <w:rsid w:val="00074C2E"/>
    <w:rsid w:val="00074C3F"/>
    <w:rsid w:val="00074D19"/>
    <w:rsid w:val="00074F00"/>
    <w:rsid w:val="00074F60"/>
    <w:rsid w:val="00075089"/>
    <w:rsid w:val="000750A1"/>
    <w:rsid w:val="0007519F"/>
    <w:rsid w:val="00075247"/>
    <w:rsid w:val="00075307"/>
    <w:rsid w:val="0007538E"/>
    <w:rsid w:val="000753F5"/>
    <w:rsid w:val="000757CA"/>
    <w:rsid w:val="0007588F"/>
    <w:rsid w:val="000758EC"/>
    <w:rsid w:val="000758F1"/>
    <w:rsid w:val="0007598F"/>
    <w:rsid w:val="000759AC"/>
    <w:rsid w:val="00075AA8"/>
    <w:rsid w:val="00075B1F"/>
    <w:rsid w:val="00075D3D"/>
    <w:rsid w:val="00075D65"/>
    <w:rsid w:val="00075E19"/>
    <w:rsid w:val="00075EC2"/>
    <w:rsid w:val="00075F69"/>
    <w:rsid w:val="0007604C"/>
    <w:rsid w:val="0007608F"/>
    <w:rsid w:val="000760D5"/>
    <w:rsid w:val="0007617A"/>
    <w:rsid w:val="0007617D"/>
    <w:rsid w:val="00076185"/>
    <w:rsid w:val="00076258"/>
    <w:rsid w:val="000762CB"/>
    <w:rsid w:val="00076362"/>
    <w:rsid w:val="0007642D"/>
    <w:rsid w:val="00076471"/>
    <w:rsid w:val="00076495"/>
    <w:rsid w:val="0007654A"/>
    <w:rsid w:val="000765D1"/>
    <w:rsid w:val="00076600"/>
    <w:rsid w:val="00076635"/>
    <w:rsid w:val="00076687"/>
    <w:rsid w:val="000766AC"/>
    <w:rsid w:val="000767AB"/>
    <w:rsid w:val="000767F3"/>
    <w:rsid w:val="0007694A"/>
    <w:rsid w:val="000769A4"/>
    <w:rsid w:val="00076B54"/>
    <w:rsid w:val="00076EF7"/>
    <w:rsid w:val="00076FB0"/>
    <w:rsid w:val="0007709E"/>
    <w:rsid w:val="000770E0"/>
    <w:rsid w:val="0007712B"/>
    <w:rsid w:val="000771FF"/>
    <w:rsid w:val="00077250"/>
    <w:rsid w:val="000773EA"/>
    <w:rsid w:val="00077539"/>
    <w:rsid w:val="000775C0"/>
    <w:rsid w:val="000775CB"/>
    <w:rsid w:val="0007773E"/>
    <w:rsid w:val="000777C7"/>
    <w:rsid w:val="00077823"/>
    <w:rsid w:val="0007785A"/>
    <w:rsid w:val="0007785B"/>
    <w:rsid w:val="00077A08"/>
    <w:rsid w:val="00077A84"/>
    <w:rsid w:val="00077B13"/>
    <w:rsid w:val="00077B32"/>
    <w:rsid w:val="00077C57"/>
    <w:rsid w:val="00077D12"/>
    <w:rsid w:val="00077D1A"/>
    <w:rsid w:val="00077DB3"/>
    <w:rsid w:val="00077EAC"/>
    <w:rsid w:val="00077EC3"/>
    <w:rsid w:val="00077F42"/>
    <w:rsid w:val="00080016"/>
    <w:rsid w:val="000801A7"/>
    <w:rsid w:val="0008028C"/>
    <w:rsid w:val="000803D7"/>
    <w:rsid w:val="0008051D"/>
    <w:rsid w:val="000807FB"/>
    <w:rsid w:val="0008088D"/>
    <w:rsid w:val="000809BC"/>
    <w:rsid w:val="00080A40"/>
    <w:rsid w:val="00080A56"/>
    <w:rsid w:val="00080AD4"/>
    <w:rsid w:val="00080D18"/>
    <w:rsid w:val="00080DA0"/>
    <w:rsid w:val="00080DBD"/>
    <w:rsid w:val="00080DD2"/>
    <w:rsid w:val="00080E49"/>
    <w:rsid w:val="00080EAC"/>
    <w:rsid w:val="00080EFC"/>
    <w:rsid w:val="00080F0B"/>
    <w:rsid w:val="00080F3F"/>
    <w:rsid w:val="00080FE9"/>
    <w:rsid w:val="000810EE"/>
    <w:rsid w:val="00081228"/>
    <w:rsid w:val="00081243"/>
    <w:rsid w:val="000812F7"/>
    <w:rsid w:val="00081326"/>
    <w:rsid w:val="00081396"/>
    <w:rsid w:val="000813DA"/>
    <w:rsid w:val="000813FF"/>
    <w:rsid w:val="00081568"/>
    <w:rsid w:val="000815B6"/>
    <w:rsid w:val="00081622"/>
    <w:rsid w:val="00081777"/>
    <w:rsid w:val="000817FD"/>
    <w:rsid w:val="00081853"/>
    <w:rsid w:val="00081924"/>
    <w:rsid w:val="00081A28"/>
    <w:rsid w:val="00081C1F"/>
    <w:rsid w:val="00081CBF"/>
    <w:rsid w:val="00081D63"/>
    <w:rsid w:val="00081D7B"/>
    <w:rsid w:val="00081D88"/>
    <w:rsid w:val="00081DA4"/>
    <w:rsid w:val="00081DBA"/>
    <w:rsid w:val="00081E95"/>
    <w:rsid w:val="00081EE4"/>
    <w:rsid w:val="00081FA9"/>
    <w:rsid w:val="00081FF0"/>
    <w:rsid w:val="00082031"/>
    <w:rsid w:val="0008203F"/>
    <w:rsid w:val="000820BA"/>
    <w:rsid w:val="000820C1"/>
    <w:rsid w:val="000820ED"/>
    <w:rsid w:val="000826AA"/>
    <w:rsid w:val="000826E8"/>
    <w:rsid w:val="000826EE"/>
    <w:rsid w:val="0008270D"/>
    <w:rsid w:val="000828D7"/>
    <w:rsid w:val="00082ADA"/>
    <w:rsid w:val="00082C7C"/>
    <w:rsid w:val="00082CEA"/>
    <w:rsid w:val="00082D03"/>
    <w:rsid w:val="00082F1F"/>
    <w:rsid w:val="00082F74"/>
    <w:rsid w:val="00083256"/>
    <w:rsid w:val="000832B8"/>
    <w:rsid w:val="00083355"/>
    <w:rsid w:val="000833AF"/>
    <w:rsid w:val="0008360C"/>
    <w:rsid w:val="00083615"/>
    <w:rsid w:val="00083688"/>
    <w:rsid w:val="00083735"/>
    <w:rsid w:val="00083737"/>
    <w:rsid w:val="000837B3"/>
    <w:rsid w:val="00083827"/>
    <w:rsid w:val="000838B7"/>
    <w:rsid w:val="00083A4C"/>
    <w:rsid w:val="00083C4D"/>
    <w:rsid w:val="00083C4E"/>
    <w:rsid w:val="00083D1F"/>
    <w:rsid w:val="00083E14"/>
    <w:rsid w:val="00083E99"/>
    <w:rsid w:val="000842AA"/>
    <w:rsid w:val="00084319"/>
    <w:rsid w:val="00084400"/>
    <w:rsid w:val="00084418"/>
    <w:rsid w:val="00084452"/>
    <w:rsid w:val="000844B4"/>
    <w:rsid w:val="000845BD"/>
    <w:rsid w:val="000845EE"/>
    <w:rsid w:val="00084674"/>
    <w:rsid w:val="000846B8"/>
    <w:rsid w:val="00084780"/>
    <w:rsid w:val="00084CAE"/>
    <w:rsid w:val="00084D28"/>
    <w:rsid w:val="00084D9E"/>
    <w:rsid w:val="00084DDC"/>
    <w:rsid w:val="00084FE1"/>
    <w:rsid w:val="000850F0"/>
    <w:rsid w:val="0008516F"/>
    <w:rsid w:val="00085171"/>
    <w:rsid w:val="000855A5"/>
    <w:rsid w:val="0008572F"/>
    <w:rsid w:val="00085779"/>
    <w:rsid w:val="0008580E"/>
    <w:rsid w:val="00085886"/>
    <w:rsid w:val="000859D4"/>
    <w:rsid w:val="00085A2A"/>
    <w:rsid w:val="00085A37"/>
    <w:rsid w:val="00085AB7"/>
    <w:rsid w:val="00085BAC"/>
    <w:rsid w:val="00085BAE"/>
    <w:rsid w:val="00085C3D"/>
    <w:rsid w:val="00085E9B"/>
    <w:rsid w:val="00085F02"/>
    <w:rsid w:val="00085F77"/>
    <w:rsid w:val="00085FFC"/>
    <w:rsid w:val="00086028"/>
    <w:rsid w:val="00086062"/>
    <w:rsid w:val="0008609F"/>
    <w:rsid w:val="000860A9"/>
    <w:rsid w:val="000860BD"/>
    <w:rsid w:val="00086332"/>
    <w:rsid w:val="00086366"/>
    <w:rsid w:val="000865E5"/>
    <w:rsid w:val="00086638"/>
    <w:rsid w:val="000866E8"/>
    <w:rsid w:val="00086868"/>
    <w:rsid w:val="0008688F"/>
    <w:rsid w:val="00086973"/>
    <w:rsid w:val="00086B16"/>
    <w:rsid w:val="00086B81"/>
    <w:rsid w:val="00086CD4"/>
    <w:rsid w:val="00086F45"/>
    <w:rsid w:val="0008717E"/>
    <w:rsid w:val="00087337"/>
    <w:rsid w:val="0008758B"/>
    <w:rsid w:val="000875B6"/>
    <w:rsid w:val="00087630"/>
    <w:rsid w:val="0008795F"/>
    <w:rsid w:val="00087A44"/>
    <w:rsid w:val="00087CD6"/>
    <w:rsid w:val="00087D10"/>
    <w:rsid w:val="00087DAB"/>
    <w:rsid w:val="00087ECF"/>
    <w:rsid w:val="00090020"/>
    <w:rsid w:val="00090067"/>
    <w:rsid w:val="0009009E"/>
    <w:rsid w:val="000900FC"/>
    <w:rsid w:val="00090198"/>
    <w:rsid w:val="000902AC"/>
    <w:rsid w:val="00090392"/>
    <w:rsid w:val="00090563"/>
    <w:rsid w:val="00090589"/>
    <w:rsid w:val="000907C9"/>
    <w:rsid w:val="0009088E"/>
    <w:rsid w:val="00090944"/>
    <w:rsid w:val="00090A2A"/>
    <w:rsid w:val="00090BFC"/>
    <w:rsid w:val="00090E17"/>
    <w:rsid w:val="00090EB3"/>
    <w:rsid w:val="00090EDE"/>
    <w:rsid w:val="00090F06"/>
    <w:rsid w:val="00090F73"/>
    <w:rsid w:val="00090FDE"/>
    <w:rsid w:val="00091011"/>
    <w:rsid w:val="0009101E"/>
    <w:rsid w:val="00091150"/>
    <w:rsid w:val="0009115B"/>
    <w:rsid w:val="00091169"/>
    <w:rsid w:val="00091283"/>
    <w:rsid w:val="00091559"/>
    <w:rsid w:val="00091771"/>
    <w:rsid w:val="0009185E"/>
    <w:rsid w:val="00091AA3"/>
    <w:rsid w:val="00091BBB"/>
    <w:rsid w:val="00091BE9"/>
    <w:rsid w:val="00091BF3"/>
    <w:rsid w:val="00091BF5"/>
    <w:rsid w:val="00091D21"/>
    <w:rsid w:val="00091D4D"/>
    <w:rsid w:val="00091DB0"/>
    <w:rsid w:val="00091E51"/>
    <w:rsid w:val="00091F47"/>
    <w:rsid w:val="0009203C"/>
    <w:rsid w:val="000920A6"/>
    <w:rsid w:val="000921FA"/>
    <w:rsid w:val="00092330"/>
    <w:rsid w:val="000924F5"/>
    <w:rsid w:val="0009252F"/>
    <w:rsid w:val="0009271B"/>
    <w:rsid w:val="0009278B"/>
    <w:rsid w:val="000927A3"/>
    <w:rsid w:val="000927C7"/>
    <w:rsid w:val="00092928"/>
    <w:rsid w:val="00092AF2"/>
    <w:rsid w:val="00092B8B"/>
    <w:rsid w:val="00092C21"/>
    <w:rsid w:val="00092C8F"/>
    <w:rsid w:val="00092CFF"/>
    <w:rsid w:val="00092DB8"/>
    <w:rsid w:val="000930FD"/>
    <w:rsid w:val="0009312D"/>
    <w:rsid w:val="00093143"/>
    <w:rsid w:val="000931AB"/>
    <w:rsid w:val="00093292"/>
    <w:rsid w:val="0009337A"/>
    <w:rsid w:val="00093386"/>
    <w:rsid w:val="00093476"/>
    <w:rsid w:val="000934A1"/>
    <w:rsid w:val="000935FE"/>
    <w:rsid w:val="000936D1"/>
    <w:rsid w:val="00093755"/>
    <w:rsid w:val="00093794"/>
    <w:rsid w:val="000938AE"/>
    <w:rsid w:val="0009394C"/>
    <w:rsid w:val="00093A52"/>
    <w:rsid w:val="00093CDC"/>
    <w:rsid w:val="00093D2E"/>
    <w:rsid w:val="00093D48"/>
    <w:rsid w:val="00093F3D"/>
    <w:rsid w:val="00093F5B"/>
    <w:rsid w:val="00093F81"/>
    <w:rsid w:val="00094083"/>
    <w:rsid w:val="000940D0"/>
    <w:rsid w:val="000942CD"/>
    <w:rsid w:val="00094548"/>
    <w:rsid w:val="000946CC"/>
    <w:rsid w:val="000946F0"/>
    <w:rsid w:val="000949D0"/>
    <w:rsid w:val="00094A65"/>
    <w:rsid w:val="00094A88"/>
    <w:rsid w:val="00094ACA"/>
    <w:rsid w:val="00094B10"/>
    <w:rsid w:val="00094B3A"/>
    <w:rsid w:val="00094E31"/>
    <w:rsid w:val="00094E70"/>
    <w:rsid w:val="00094EAB"/>
    <w:rsid w:val="00094F00"/>
    <w:rsid w:val="00094F07"/>
    <w:rsid w:val="00094FB1"/>
    <w:rsid w:val="00094FC8"/>
    <w:rsid w:val="00095013"/>
    <w:rsid w:val="00095100"/>
    <w:rsid w:val="00095218"/>
    <w:rsid w:val="000952D3"/>
    <w:rsid w:val="00095393"/>
    <w:rsid w:val="00095467"/>
    <w:rsid w:val="0009548D"/>
    <w:rsid w:val="000955F1"/>
    <w:rsid w:val="00095780"/>
    <w:rsid w:val="000957D5"/>
    <w:rsid w:val="00095979"/>
    <w:rsid w:val="00095AFC"/>
    <w:rsid w:val="00095B60"/>
    <w:rsid w:val="00095C88"/>
    <w:rsid w:val="00095CED"/>
    <w:rsid w:val="00095D54"/>
    <w:rsid w:val="00095D87"/>
    <w:rsid w:val="00095D98"/>
    <w:rsid w:val="00095DC7"/>
    <w:rsid w:val="00095F21"/>
    <w:rsid w:val="00095F6D"/>
    <w:rsid w:val="00096035"/>
    <w:rsid w:val="00096252"/>
    <w:rsid w:val="000963C2"/>
    <w:rsid w:val="0009642B"/>
    <w:rsid w:val="000964F6"/>
    <w:rsid w:val="0009683E"/>
    <w:rsid w:val="00096914"/>
    <w:rsid w:val="0009697F"/>
    <w:rsid w:val="00096A3F"/>
    <w:rsid w:val="00096A57"/>
    <w:rsid w:val="00096B40"/>
    <w:rsid w:val="00096B89"/>
    <w:rsid w:val="00096BCD"/>
    <w:rsid w:val="00096C66"/>
    <w:rsid w:val="00096CAB"/>
    <w:rsid w:val="00096D24"/>
    <w:rsid w:val="00096D42"/>
    <w:rsid w:val="00096DBA"/>
    <w:rsid w:val="00096DD3"/>
    <w:rsid w:val="00096E59"/>
    <w:rsid w:val="00096EB9"/>
    <w:rsid w:val="00096FB5"/>
    <w:rsid w:val="00097005"/>
    <w:rsid w:val="0009706F"/>
    <w:rsid w:val="000971C9"/>
    <w:rsid w:val="00097281"/>
    <w:rsid w:val="0009743B"/>
    <w:rsid w:val="0009743E"/>
    <w:rsid w:val="00097454"/>
    <w:rsid w:val="000974A4"/>
    <w:rsid w:val="0009758D"/>
    <w:rsid w:val="0009782F"/>
    <w:rsid w:val="00097855"/>
    <w:rsid w:val="0009785E"/>
    <w:rsid w:val="00097B30"/>
    <w:rsid w:val="00097B64"/>
    <w:rsid w:val="00097B79"/>
    <w:rsid w:val="00097BE9"/>
    <w:rsid w:val="00097D49"/>
    <w:rsid w:val="000A01B2"/>
    <w:rsid w:val="000A01C5"/>
    <w:rsid w:val="000A0214"/>
    <w:rsid w:val="000A02AD"/>
    <w:rsid w:val="000A031E"/>
    <w:rsid w:val="000A04F0"/>
    <w:rsid w:val="000A05AB"/>
    <w:rsid w:val="000A070B"/>
    <w:rsid w:val="000A0719"/>
    <w:rsid w:val="000A09CF"/>
    <w:rsid w:val="000A0A45"/>
    <w:rsid w:val="000A0C88"/>
    <w:rsid w:val="000A0CEE"/>
    <w:rsid w:val="000A0D05"/>
    <w:rsid w:val="000A0D33"/>
    <w:rsid w:val="000A0DC7"/>
    <w:rsid w:val="000A0DF2"/>
    <w:rsid w:val="000A0FE6"/>
    <w:rsid w:val="000A1022"/>
    <w:rsid w:val="000A1132"/>
    <w:rsid w:val="000A1284"/>
    <w:rsid w:val="000A134E"/>
    <w:rsid w:val="000A13C8"/>
    <w:rsid w:val="000A14FF"/>
    <w:rsid w:val="000A15B3"/>
    <w:rsid w:val="000A170D"/>
    <w:rsid w:val="000A178E"/>
    <w:rsid w:val="000A19B0"/>
    <w:rsid w:val="000A1A88"/>
    <w:rsid w:val="000A1AE2"/>
    <w:rsid w:val="000A1B6F"/>
    <w:rsid w:val="000A1B70"/>
    <w:rsid w:val="000A1BC4"/>
    <w:rsid w:val="000A1C5B"/>
    <w:rsid w:val="000A1D91"/>
    <w:rsid w:val="000A1E4F"/>
    <w:rsid w:val="000A1EB3"/>
    <w:rsid w:val="000A226D"/>
    <w:rsid w:val="000A2415"/>
    <w:rsid w:val="000A24B4"/>
    <w:rsid w:val="000A252A"/>
    <w:rsid w:val="000A2588"/>
    <w:rsid w:val="000A26E0"/>
    <w:rsid w:val="000A26E9"/>
    <w:rsid w:val="000A26F0"/>
    <w:rsid w:val="000A270B"/>
    <w:rsid w:val="000A28CB"/>
    <w:rsid w:val="000A2A16"/>
    <w:rsid w:val="000A2A7C"/>
    <w:rsid w:val="000A2B57"/>
    <w:rsid w:val="000A2C07"/>
    <w:rsid w:val="000A2C77"/>
    <w:rsid w:val="000A2F00"/>
    <w:rsid w:val="000A2F5E"/>
    <w:rsid w:val="000A300E"/>
    <w:rsid w:val="000A3192"/>
    <w:rsid w:val="000A31F5"/>
    <w:rsid w:val="000A324D"/>
    <w:rsid w:val="000A3260"/>
    <w:rsid w:val="000A33C5"/>
    <w:rsid w:val="000A3444"/>
    <w:rsid w:val="000A3485"/>
    <w:rsid w:val="000A3600"/>
    <w:rsid w:val="000A36E0"/>
    <w:rsid w:val="000A36E7"/>
    <w:rsid w:val="000A37D2"/>
    <w:rsid w:val="000A3914"/>
    <w:rsid w:val="000A3946"/>
    <w:rsid w:val="000A39ED"/>
    <w:rsid w:val="000A3A1B"/>
    <w:rsid w:val="000A3B62"/>
    <w:rsid w:val="000A3C3A"/>
    <w:rsid w:val="000A3DDD"/>
    <w:rsid w:val="000A3E50"/>
    <w:rsid w:val="000A4029"/>
    <w:rsid w:val="000A4331"/>
    <w:rsid w:val="000A445A"/>
    <w:rsid w:val="000A44E3"/>
    <w:rsid w:val="000A4523"/>
    <w:rsid w:val="000A4561"/>
    <w:rsid w:val="000A4660"/>
    <w:rsid w:val="000A4772"/>
    <w:rsid w:val="000A4964"/>
    <w:rsid w:val="000A4A2A"/>
    <w:rsid w:val="000A4A79"/>
    <w:rsid w:val="000A4AEF"/>
    <w:rsid w:val="000A4B27"/>
    <w:rsid w:val="000A4B9A"/>
    <w:rsid w:val="000A4BD0"/>
    <w:rsid w:val="000A4C57"/>
    <w:rsid w:val="000A4D84"/>
    <w:rsid w:val="000A4EA1"/>
    <w:rsid w:val="000A51C1"/>
    <w:rsid w:val="000A527B"/>
    <w:rsid w:val="000A52A2"/>
    <w:rsid w:val="000A52CA"/>
    <w:rsid w:val="000A5353"/>
    <w:rsid w:val="000A566C"/>
    <w:rsid w:val="000A57FE"/>
    <w:rsid w:val="000A57FF"/>
    <w:rsid w:val="000A5868"/>
    <w:rsid w:val="000A5959"/>
    <w:rsid w:val="000A598F"/>
    <w:rsid w:val="000A5B29"/>
    <w:rsid w:val="000A5B52"/>
    <w:rsid w:val="000A5B70"/>
    <w:rsid w:val="000A5CCC"/>
    <w:rsid w:val="000A5CF2"/>
    <w:rsid w:val="000A5CFB"/>
    <w:rsid w:val="000A6040"/>
    <w:rsid w:val="000A6243"/>
    <w:rsid w:val="000A62EF"/>
    <w:rsid w:val="000A635C"/>
    <w:rsid w:val="000A64E4"/>
    <w:rsid w:val="000A65DB"/>
    <w:rsid w:val="000A65EB"/>
    <w:rsid w:val="000A6632"/>
    <w:rsid w:val="000A66C6"/>
    <w:rsid w:val="000A68A2"/>
    <w:rsid w:val="000A6A91"/>
    <w:rsid w:val="000A6ABD"/>
    <w:rsid w:val="000A6AF9"/>
    <w:rsid w:val="000A6B6D"/>
    <w:rsid w:val="000A6BE7"/>
    <w:rsid w:val="000A6C29"/>
    <w:rsid w:val="000A6C65"/>
    <w:rsid w:val="000A6C81"/>
    <w:rsid w:val="000A6D00"/>
    <w:rsid w:val="000A6E18"/>
    <w:rsid w:val="000A6E86"/>
    <w:rsid w:val="000A6F8B"/>
    <w:rsid w:val="000A6F91"/>
    <w:rsid w:val="000A706F"/>
    <w:rsid w:val="000A70B4"/>
    <w:rsid w:val="000A7170"/>
    <w:rsid w:val="000A7270"/>
    <w:rsid w:val="000A72A6"/>
    <w:rsid w:val="000A730E"/>
    <w:rsid w:val="000A731B"/>
    <w:rsid w:val="000A7467"/>
    <w:rsid w:val="000A7476"/>
    <w:rsid w:val="000A75A9"/>
    <w:rsid w:val="000A75D9"/>
    <w:rsid w:val="000A75F1"/>
    <w:rsid w:val="000A76B5"/>
    <w:rsid w:val="000A7794"/>
    <w:rsid w:val="000A77E8"/>
    <w:rsid w:val="000A7820"/>
    <w:rsid w:val="000A789F"/>
    <w:rsid w:val="000A78E1"/>
    <w:rsid w:val="000A797D"/>
    <w:rsid w:val="000A7992"/>
    <w:rsid w:val="000A7B3B"/>
    <w:rsid w:val="000A7BBF"/>
    <w:rsid w:val="000A7BDF"/>
    <w:rsid w:val="000A7C4E"/>
    <w:rsid w:val="000A7C6D"/>
    <w:rsid w:val="000A7D74"/>
    <w:rsid w:val="000A7E90"/>
    <w:rsid w:val="000B0224"/>
    <w:rsid w:val="000B033A"/>
    <w:rsid w:val="000B0467"/>
    <w:rsid w:val="000B0581"/>
    <w:rsid w:val="000B065E"/>
    <w:rsid w:val="000B0678"/>
    <w:rsid w:val="000B081E"/>
    <w:rsid w:val="000B082F"/>
    <w:rsid w:val="000B0D20"/>
    <w:rsid w:val="000B0ED7"/>
    <w:rsid w:val="000B0FCF"/>
    <w:rsid w:val="000B1021"/>
    <w:rsid w:val="000B109E"/>
    <w:rsid w:val="000B10D6"/>
    <w:rsid w:val="000B11EC"/>
    <w:rsid w:val="000B11F0"/>
    <w:rsid w:val="000B12D6"/>
    <w:rsid w:val="000B12E5"/>
    <w:rsid w:val="000B1305"/>
    <w:rsid w:val="000B13D9"/>
    <w:rsid w:val="000B13E8"/>
    <w:rsid w:val="000B1463"/>
    <w:rsid w:val="000B1540"/>
    <w:rsid w:val="000B16DB"/>
    <w:rsid w:val="000B16DF"/>
    <w:rsid w:val="000B190F"/>
    <w:rsid w:val="000B1931"/>
    <w:rsid w:val="000B1985"/>
    <w:rsid w:val="000B19B3"/>
    <w:rsid w:val="000B1AB3"/>
    <w:rsid w:val="000B1C57"/>
    <w:rsid w:val="000B1E1B"/>
    <w:rsid w:val="000B1FB0"/>
    <w:rsid w:val="000B1FFA"/>
    <w:rsid w:val="000B2069"/>
    <w:rsid w:val="000B20DA"/>
    <w:rsid w:val="000B20DE"/>
    <w:rsid w:val="000B21A8"/>
    <w:rsid w:val="000B247E"/>
    <w:rsid w:val="000B25E9"/>
    <w:rsid w:val="000B284A"/>
    <w:rsid w:val="000B2B62"/>
    <w:rsid w:val="000B2C77"/>
    <w:rsid w:val="000B2CDF"/>
    <w:rsid w:val="000B2CFD"/>
    <w:rsid w:val="000B2D8F"/>
    <w:rsid w:val="000B2E35"/>
    <w:rsid w:val="000B2E39"/>
    <w:rsid w:val="000B2EAB"/>
    <w:rsid w:val="000B2F87"/>
    <w:rsid w:val="000B3027"/>
    <w:rsid w:val="000B30AB"/>
    <w:rsid w:val="000B3139"/>
    <w:rsid w:val="000B3165"/>
    <w:rsid w:val="000B31C4"/>
    <w:rsid w:val="000B31FB"/>
    <w:rsid w:val="000B3378"/>
    <w:rsid w:val="000B3456"/>
    <w:rsid w:val="000B3458"/>
    <w:rsid w:val="000B358D"/>
    <w:rsid w:val="000B3636"/>
    <w:rsid w:val="000B364E"/>
    <w:rsid w:val="000B373D"/>
    <w:rsid w:val="000B3749"/>
    <w:rsid w:val="000B3793"/>
    <w:rsid w:val="000B37E3"/>
    <w:rsid w:val="000B38DA"/>
    <w:rsid w:val="000B3903"/>
    <w:rsid w:val="000B39EA"/>
    <w:rsid w:val="000B3A8C"/>
    <w:rsid w:val="000B3C96"/>
    <w:rsid w:val="000B3CB8"/>
    <w:rsid w:val="000B3DC5"/>
    <w:rsid w:val="000B3DD1"/>
    <w:rsid w:val="000B3E86"/>
    <w:rsid w:val="000B3F57"/>
    <w:rsid w:val="000B3F58"/>
    <w:rsid w:val="000B4047"/>
    <w:rsid w:val="000B4048"/>
    <w:rsid w:val="000B4060"/>
    <w:rsid w:val="000B408F"/>
    <w:rsid w:val="000B41F4"/>
    <w:rsid w:val="000B4400"/>
    <w:rsid w:val="000B44D5"/>
    <w:rsid w:val="000B451D"/>
    <w:rsid w:val="000B4673"/>
    <w:rsid w:val="000B46D3"/>
    <w:rsid w:val="000B4723"/>
    <w:rsid w:val="000B47A1"/>
    <w:rsid w:val="000B4852"/>
    <w:rsid w:val="000B487D"/>
    <w:rsid w:val="000B499E"/>
    <w:rsid w:val="000B4A93"/>
    <w:rsid w:val="000B4C36"/>
    <w:rsid w:val="000B4E89"/>
    <w:rsid w:val="000B4FBF"/>
    <w:rsid w:val="000B52AB"/>
    <w:rsid w:val="000B545A"/>
    <w:rsid w:val="000B5623"/>
    <w:rsid w:val="000B57EE"/>
    <w:rsid w:val="000B5892"/>
    <w:rsid w:val="000B5B0A"/>
    <w:rsid w:val="000B5B6B"/>
    <w:rsid w:val="000B5C30"/>
    <w:rsid w:val="000B5C79"/>
    <w:rsid w:val="000B5E8E"/>
    <w:rsid w:val="000B5EEC"/>
    <w:rsid w:val="000B5F42"/>
    <w:rsid w:val="000B5FB3"/>
    <w:rsid w:val="000B61CC"/>
    <w:rsid w:val="000B6257"/>
    <w:rsid w:val="000B6348"/>
    <w:rsid w:val="000B6424"/>
    <w:rsid w:val="000B66D6"/>
    <w:rsid w:val="000B672A"/>
    <w:rsid w:val="000B695F"/>
    <w:rsid w:val="000B6A6B"/>
    <w:rsid w:val="000B6B2F"/>
    <w:rsid w:val="000B6B90"/>
    <w:rsid w:val="000B6C10"/>
    <w:rsid w:val="000B6D35"/>
    <w:rsid w:val="000B6DAD"/>
    <w:rsid w:val="000B6EBA"/>
    <w:rsid w:val="000B6F4C"/>
    <w:rsid w:val="000B6FE9"/>
    <w:rsid w:val="000B70E5"/>
    <w:rsid w:val="000B7112"/>
    <w:rsid w:val="000B716B"/>
    <w:rsid w:val="000B7506"/>
    <w:rsid w:val="000B76BE"/>
    <w:rsid w:val="000B77A1"/>
    <w:rsid w:val="000B7A64"/>
    <w:rsid w:val="000B7B86"/>
    <w:rsid w:val="000B7C13"/>
    <w:rsid w:val="000B7E27"/>
    <w:rsid w:val="000B7E4D"/>
    <w:rsid w:val="000B7EC8"/>
    <w:rsid w:val="000B7F56"/>
    <w:rsid w:val="000C0035"/>
    <w:rsid w:val="000C00DE"/>
    <w:rsid w:val="000C01D8"/>
    <w:rsid w:val="000C031F"/>
    <w:rsid w:val="000C046C"/>
    <w:rsid w:val="000C063B"/>
    <w:rsid w:val="000C069E"/>
    <w:rsid w:val="000C06FE"/>
    <w:rsid w:val="000C097C"/>
    <w:rsid w:val="000C09C8"/>
    <w:rsid w:val="000C0A38"/>
    <w:rsid w:val="000C0B8C"/>
    <w:rsid w:val="000C0BF9"/>
    <w:rsid w:val="000C0C72"/>
    <w:rsid w:val="000C0D0E"/>
    <w:rsid w:val="000C0D6A"/>
    <w:rsid w:val="000C0D6F"/>
    <w:rsid w:val="000C0F72"/>
    <w:rsid w:val="000C0FD0"/>
    <w:rsid w:val="000C1032"/>
    <w:rsid w:val="000C12FA"/>
    <w:rsid w:val="000C1506"/>
    <w:rsid w:val="000C15E9"/>
    <w:rsid w:val="000C16B2"/>
    <w:rsid w:val="000C17EA"/>
    <w:rsid w:val="000C1808"/>
    <w:rsid w:val="000C189F"/>
    <w:rsid w:val="000C18B8"/>
    <w:rsid w:val="000C194E"/>
    <w:rsid w:val="000C19C7"/>
    <w:rsid w:val="000C1D6D"/>
    <w:rsid w:val="000C1E63"/>
    <w:rsid w:val="000C1F31"/>
    <w:rsid w:val="000C2468"/>
    <w:rsid w:val="000C2530"/>
    <w:rsid w:val="000C269C"/>
    <w:rsid w:val="000C2BE1"/>
    <w:rsid w:val="000C2C4D"/>
    <w:rsid w:val="000C2D0F"/>
    <w:rsid w:val="000C2DBB"/>
    <w:rsid w:val="000C2E24"/>
    <w:rsid w:val="000C2EB8"/>
    <w:rsid w:val="000C2F89"/>
    <w:rsid w:val="000C30A0"/>
    <w:rsid w:val="000C312A"/>
    <w:rsid w:val="000C3177"/>
    <w:rsid w:val="000C3347"/>
    <w:rsid w:val="000C33A9"/>
    <w:rsid w:val="000C36BD"/>
    <w:rsid w:val="000C36C3"/>
    <w:rsid w:val="000C372B"/>
    <w:rsid w:val="000C3760"/>
    <w:rsid w:val="000C392F"/>
    <w:rsid w:val="000C3982"/>
    <w:rsid w:val="000C3997"/>
    <w:rsid w:val="000C39BC"/>
    <w:rsid w:val="000C3BCF"/>
    <w:rsid w:val="000C3D75"/>
    <w:rsid w:val="000C3DBF"/>
    <w:rsid w:val="000C3E44"/>
    <w:rsid w:val="000C3E9D"/>
    <w:rsid w:val="000C3ED4"/>
    <w:rsid w:val="000C3F97"/>
    <w:rsid w:val="000C3FF2"/>
    <w:rsid w:val="000C40BE"/>
    <w:rsid w:val="000C41DF"/>
    <w:rsid w:val="000C4297"/>
    <w:rsid w:val="000C42AB"/>
    <w:rsid w:val="000C439C"/>
    <w:rsid w:val="000C45CF"/>
    <w:rsid w:val="000C46A5"/>
    <w:rsid w:val="000C49A8"/>
    <w:rsid w:val="000C49DC"/>
    <w:rsid w:val="000C4A6F"/>
    <w:rsid w:val="000C4A9D"/>
    <w:rsid w:val="000C4AAC"/>
    <w:rsid w:val="000C4B79"/>
    <w:rsid w:val="000C4BFB"/>
    <w:rsid w:val="000C4C0D"/>
    <w:rsid w:val="000C4C3C"/>
    <w:rsid w:val="000C4C5D"/>
    <w:rsid w:val="000C4E87"/>
    <w:rsid w:val="000C4F11"/>
    <w:rsid w:val="000C4F2A"/>
    <w:rsid w:val="000C4F92"/>
    <w:rsid w:val="000C4FBE"/>
    <w:rsid w:val="000C518A"/>
    <w:rsid w:val="000C522D"/>
    <w:rsid w:val="000C5285"/>
    <w:rsid w:val="000C52D8"/>
    <w:rsid w:val="000C5355"/>
    <w:rsid w:val="000C5379"/>
    <w:rsid w:val="000C550E"/>
    <w:rsid w:val="000C5533"/>
    <w:rsid w:val="000C5595"/>
    <w:rsid w:val="000C55D4"/>
    <w:rsid w:val="000C580C"/>
    <w:rsid w:val="000C588A"/>
    <w:rsid w:val="000C58BB"/>
    <w:rsid w:val="000C58C9"/>
    <w:rsid w:val="000C591B"/>
    <w:rsid w:val="000C5A6F"/>
    <w:rsid w:val="000C5BB6"/>
    <w:rsid w:val="000C5C53"/>
    <w:rsid w:val="000C5CA1"/>
    <w:rsid w:val="000C5D07"/>
    <w:rsid w:val="000C5D16"/>
    <w:rsid w:val="000C5D94"/>
    <w:rsid w:val="000C5DB4"/>
    <w:rsid w:val="000C5E44"/>
    <w:rsid w:val="000C5E5B"/>
    <w:rsid w:val="000C5E65"/>
    <w:rsid w:val="000C5ED6"/>
    <w:rsid w:val="000C5FC3"/>
    <w:rsid w:val="000C60E6"/>
    <w:rsid w:val="000C618D"/>
    <w:rsid w:val="000C64D8"/>
    <w:rsid w:val="000C6517"/>
    <w:rsid w:val="000C652F"/>
    <w:rsid w:val="000C6537"/>
    <w:rsid w:val="000C6673"/>
    <w:rsid w:val="000C676D"/>
    <w:rsid w:val="000C6774"/>
    <w:rsid w:val="000C68CF"/>
    <w:rsid w:val="000C68FC"/>
    <w:rsid w:val="000C690C"/>
    <w:rsid w:val="000C6974"/>
    <w:rsid w:val="000C69D1"/>
    <w:rsid w:val="000C6A4B"/>
    <w:rsid w:val="000C6A85"/>
    <w:rsid w:val="000C6B22"/>
    <w:rsid w:val="000C6CE0"/>
    <w:rsid w:val="000C6D10"/>
    <w:rsid w:val="000C6D14"/>
    <w:rsid w:val="000C6D65"/>
    <w:rsid w:val="000C6E73"/>
    <w:rsid w:val="000C6EA6"/>
    <w:rsid w:val="000C6FBE"/>
    <w:rsid w:val="000C7132"/>
    <w:rsid w:val="000C717B"/>
    <w:rsid w:val="000C7282"/>
    <w:rsid w:val="000C7363"/>
    <w:rsid w:val="000C746A"/>
    <w:rsid w:val="000C7478"/>
    <w:rsid w:val="000C76FC"/>
    <w:rsid w:val="000C7722"/>
    <w:rsid w:val="000C779F"/>
    <w:rsid w:val="000C78EB"/>
    <w:rsid w:val="000C7C9D"/>
    <w:rsid w:val="000C7D3D"/>
    <w:rsid w:val="000C7ECD"/>
    <w:rsid w:val="000C7FA1"/>
    <w:rsid w:val="000D00AE"/>
    <w:rsid w:val="000D0294"/>
    <w:rsid w:val="000D0373"/>
    <w:rsid w:val="000D03B3"/>
    <w:rsid w:val="000D040E"/>
    <w:rsid w:val="000D0413"/>
    <w:rsid w:val="000D0638"/>
    <w:rsid w:val="000D0697"/>
    <w:rsid w:val="000D0757"/>
    <w:rsid w:val="000D07B1"/>
    <w:rsid w:val="000D07B2"/>
    <w:rsid w:val="000D0834"/>
    <w:rsid w:val="000D09CD"/>
    <w:rsid w:val="000D0A15"/>
    <w:rsid w:val="000D0AD3"/>
    <w:rsid w:val="000D0C3E"/>
    <w:rsid w:val="000D0CE5"/>
    <w:rsid w:val="000D0D86"/>
    <w:rsid w:val="000D0DBA"/>
    <w:rsid w:val="000D0ED0"/>
    <w:rsid w:val="000D10E9"/>
    <w:rsid w:val="000D1226"/>
    <w:rsid w:val="000D1291"/>
    <w:rsid w:val="000D14D0"/>
    <w:rsid w:val="000D15C0"/>
    <w:rsid w:val="000D1657"/>
    <w:rsid w:val="000D1697"/>
    <w:rsid w:val="000D1765"/>
    <w:rsid w:val="000D197E"/>
    <w:rsid w:val="000D1AA3"/>
    <w:rsid w:val="000D1ACF"/>
    <w:rsid w:val="000D1C27"/>
    <w:rsid w:val="000D1E8B"/>
    <w:rsid w:val="000D1EC5"/>
    <w:rsid w:val="000D1FA6"/>
    <w:rsid w:val="000D213B"/>
    <w:rsid w:val="000D21EF"/>
    <w:rsid w:val="000D2345"/>
    <w:rsid w:val="000D2356"/>
    <w:rsid w:val="000D24C2"/>
    <w:rsid w:val="000D251D"/>
    <w:rsid w:val="000D2534"/>
    <w:rsid w:val="000D25D5"/>
    <w:rsid w:val="000D2650"/>
    <w:rsid w:val="000D26D0"/>
    <w:rsid w:val="000D2745"/>
    <w:rsid w:val="000D2A2E"/>
    <w:rsid w:val="000D2A49"/>
    <w:rsid w:val="000D2AB4"/>
    <w:rsid w:val="000D2AE1"/>
    <w:rsid w:val="000D2B39"/>
    <w:rsid w:val="000D2D31"/>
    <w:rsid w:val="000D2D4B"/>
    <w:rsid w:val="000D2DE6"/>
    <w:rsid w:val="000D2DF5"/>
    <w:rsid w:val="000D2F4D"/>
    <w:rsid w:val="000D312A"/>
    <w:rsid w:val="000D31A2"/>
    <w:rsid w:val="000D326F"/>
    <w:rsid w:val="000D3277"/>
    <w:rsid w:val="000D338F"/>
    <w:rsid w:val="000D3452"/>
    <w:rsid w:val="000D379D"/>
    <w:rsid w:val="000D382D"/>
    <w:rsid w:val="000D3830"/>
    <w:rsid w:val="000D3864"/>
    <w:rsid w:val="000D396F"/>
    <w:rsid w:val="000D3A96"/>
    <w:rsid w:val="000D3B9A"/>
    <w:rsid w:val="000D3EA8"/>
    <w:rsid w:val="000D3EBF"/>
    <w:rsid w:val="000D3ECE"/>
    <w:rsid w:val="000D3FD8"/>
    <w:rsid w:val="000D42C2"/>
    <w:rsid w:val="000D42E2"/>
    <w:rsid w:val="000D434F"/>
    <w:rsid w:val="000D4504"/>
    <w:rsid w:val="000D4662"/>
    <w:rsid w:val="000D47EF"/>
    <w:rsid w:val="000D47F5"/>
    <w:rsid w:val="000D4A5F"/>
    <w:rsid w:val="000D4AAC"/>
    <w:rsid w:val="000D4B3E"/>
    <w:rsid w:val="000D4BBD"/>
    <w:rsid w:val="000D4FEE"/>
    <w:rsid w:val="000D52AC"/>
    <w:rsid w:val="000D52C9"/>
    <w:rsid w:val="000D5307"/>
    <w:rsid w:val="000D546C"/>
    <w:rsid w:val="000D5576"/>
    <w:rsid w:val="000D559D"/>
    <w:rsid w:val="000D588B"/>
    <w:rsid w:val="000D59FA"/>
    <w:rsid w:val="000D5A58"/>
    <w:rsid w:val="000D5AF4"/>
    <w:rsid w:val="000D5B09"/>
    <w:rsid w:val="000D5B2F"/>
    <w:rsid w:val="000D5B38"/>
    <w:rsid w:val="000D5D48"/>
    <w:rsid w:val="000D5E08"/>
    <w:rsid w:val="000D5EA5"/>
    <w:rsid w:val="000D6029"/>
    <w:rsid w:val="000D6082"/>
    <w:rsid w:val="000D64B4"/>
    <w:rsid w:val="000D65E9"/>
    <w:rsid w:val="000D661A"/>
    <w:rsid w:val="000D671C"/>
    <w:rsid w:val="000D67C0"/>
    <w:rsid w:val="000D684C"/>
    <w:rsid w:val="000D6946"/>
    <w:rsid w:val="000D6B50"/>
    <w:rsid w:val="000D6C38"/>
    <w:rsid w:val="000D6C47"/>
    <w:rsid w:val="000D6C89"/>
    <w:rsid w:val="000D6CD2"/>
    <w:rsid w:val="000D6D57"/>
    <w:rsid w:val="000D6E68"/>
    <w:rsid w:val="000D6F0F"/>
    <w:rsid w:val="000D6F34"/>
    <w:rsid w:val="000D6FCB"/>
    <w:rsid w:val="000D7130"/>
    <w:rsid w:val="000D728D"/>
    <w:rsid w:val="000D72A5"/>
    <w:rsid w:val="000D7332"/>
    <w:rsid w:val="000D73CC"/>
    <w:rsid w:val="000D743D"/>
    <w:rsid w:val="000D74D3"/>
    <w:rsid w:val="000D74E6"/>
    <w:rsid w:val="000D7562"/>
    <w:rsid w:val="000D7580"/>
    <w:rsid w:val="000D758A"/>
    <w:rsid w:val="000D765F"/>
    <w:rsid w:val="000D774E"/>
    <w:rsid w:val="000D7802"/>
    <w:rsid w:val="000D78AF"/>
    <w:rsid w:val="000D7987"/>
    <w:rsid w:val="000D7BD7"/>
    <w:rsid w:val="000D7C87"/>
    <w:rsid w:val="000D7D18"/>
    <w:rsid w:val="000D7F64"/>
    <w:rsid w:val="000D7F7F"/>
    <w:rsid w:val="000D7FBD"/>
    <w:rsid w:val="000E00EE"/>
    <w:rsid w:val="000E01FC"/>
    <w:rsid w:val="000E0299"/>
    <w:rsid w:val="000E0480"/>
    <w:rsid w:val="000E04DB"/>
    <w:rsid w:val="000E0561"/>
    <w:rsid w:val="000E0597"/>
    <w:rsid w:val="000E05B5"/>
    <w:rsid w:val="000E0682"/>
    <w:rsid w:val="000E0822"/>
    <w:rsid w:val="000E0879"/>
    <w:rsid w:val="000E09AA"/>
    <w:rsid w:val="000E0BB7"/>
    <w:rsid w:val="000E0BE6"/>
    <w:rsid w:val="000E0C51"/>
    <w:rsid w:val="000E0E3D"/>
    <w:rsid w:val="000E0EF1"/>
    <w:rsid w:val="000E0FD7"/>
    <w:rsid w:val="000E1125"/>
    <w:rsid w:val="000E11A6"/>
    <w:rsid w:val="000E1306"/>
    <w:rsid w:val="000E1336"/>
    <w:rsid w:val="000E1378"/>
    <w:rsid w:val="000E1386"/>
    <w:rsid w:val="000E1394"/>
    <w:rsid w:val="000E13B2"/>
    <w:rsid w:val="000E1582"/>
    <w:rsid w:val="000E17B7"/>
    <w:rsid w:val="000E17ED"/>
    <w:rsid w:val="000E1880"/>
    <w:rsid w:val="000E192C"/>
    <w:rsid w:val="000E19C0"/>
    <w:rsid w:val="000E19C8"/>
    <w:rsid w:val="000E1A72"/>
    <w:rsid w:val="000E1BBC"/>
    <w:rsid w:val="000E1C02"/>
    <w:rsid w:val="000E1C3B"/>
    <w:rsid w:val="000E1D68"/>
    <w:rsid w:val="000E1D84"/>
    <w:rsid w:val="000E1D85"/>
    <w:rsid w:val="000E1DD3"/>
    <w:rsid w:val="000E1E5F"/>
    <w:rsid w:val="000E1E91"/>
    <w:rsid w:val="000E204A"/>
    <w:rsid w:val="000E2055"/>
    <w:rsid w:val="000E21A4"/>
    <w:rsid w:val="000E21D3"/>
    <w:rsid w:val="000E2288"/>
    <w:rsid w:val="000E2346"/>
    <w:rsid w:val="000E2468"/>
    <w:rsid w:val="000E25BC"/>
    <w:rsid w:val="000E25FD"/>
    <w:rsid w:val="000E2779"/>
    <w:rsid w:val="000E288C"/>
    <w:rsid w:val="000E2976"/>
    <w:rsid w:val="000E2AAA"/>
    <w:rsid w:val="000E2B3F"/>
    <w:rsid w:val="000E2C27"/>
    <w:rsid w:val="000E2C6A"/>
    <w:rsid w:val="000E2E60"/>
    <w:rsid w:val="000E2FB2"/>
    <w:rsid w:val="000E3032"/>
    <w:rsid w:val="000E30C5"/>
    <w:rsid w:val="000E3222"/>
    <w:rsid w:val="000E3302"/>
    <w:rsid w:val="000E3318"/>
    <w:rsid w:val="000E33AA"/>
    <w:rsid w:val="000E3448"/>
    <w:rsid w:val="000E3541"/>
    <w:rsid w:val="000E354D"/>
    <w:rsid w:val="000E3596"/>
    <w:rsid w:val="000E35B5"/>
    <w:rsid w:val="000E35C9"/>
    <w:rsid w:val="000E37CD"/>
    <w:rsid w:val="000E37EB"/>
    <w:rsid w:val="000E386E"/>
    <w:rsid w:val="000E3AF9"/>
    <w:rsid w:val="000E3B0D"/>
    <w:rsid w:val="000E3B12"/>
    <w:rsid w:val="000E3B66"/>
    <w:rsid w:val="000E3CA2"/>
    <w:rsid w:val="000E3F21"/>
    <w:rsid w:val="000E4092"/>
    <w:rsid w:val="000E4095"/>
    <w:rsid w:val="000E4211"/>
    <w:rsid w:val="000E4326"/>
    <w:rsid w:val="000E4679"/>
    <w:rsid w:val="000E46AB"/>
    <w:rsid w:val="000E48F2"/>
    <w:rsid w:val="000E4A62"/>
    <w:rsid w:val="000E4B2F"/>
    <w:rsid w:val="000E4B65"/>
    <w:rsid w:val="000E4B9D"/>
    <w:rsid w:val="000E4D60"/>
    <w:rsid w:val="000E4DBB"/>
    <w:rsid w:val="000E4EE1"/>
    <w:rsid w:val="000E4FF0"/>
    <w:rsid w:val="000E50C1"/>
    <w:rsid w:val="000E526C"/>
    <w:rsid w:val="000E535B"/>
    <w:rsid w:val="000E54CA"/>
    <w:rsid w:val="000E55A5"/>
    <w:rsid w:val="000E58C3"/>
    <w:rsid w:val="000E594E"/>
    <w:rsid w:val="000E59EB"/>
    <w:rsid w:val="000E5B41"/>
    <w:rsid w:val="000E5C54"/>
    <w:rsid w:val="000E5C75"/>
    <w:rsid w:val="000E5C86"/>
    <w:rsid w:val="000E5DF6"/>
    <w:rsid w:val="000E5EA3"/>
    <w:rsid w:val="000E5F01"/>
    <w:rsid w:val="000E5F7C"/>
    <w:rsid w:val="000E608E"/>
    <w:rsid w:val="000E622D"/>
    <w:rsid w:val="000E6326"/>
    <w:rsid w:val="000E638E"/>
    <w:rsid w:val="000E654A"/>
    <w:rsid w:val="000E658E"/>
    <w:rsid w:val="000E65BE"/>
    <w:rsid w:val="000E65FB"/>
    <w:rsid w:val="000E667E"/>
    <w:rsid w:val="000E69BB"/>
    <w:rsid w:val="000E69FF"/>
    <w:rsid w:val="000E6B4F"/>
    <w:rsid w:val="000E6BED"/>
    <w:rsid w:val="000E6C63"/>
    <w:rsid w:val="000E6CA9"/>
    <w:rsid w:val="000E6E91"/>
    <w:rsid w:val="000E6FF6"/>
    <w:rsid w:val="000E6FFF"/>
    <w:rsid w:val="000E70E2"/>
    <w:rsid w:val="000E7489"/>
    <w:rsid w:val="000E7503"/>
    <w:rsid w:val="000E7752"/>
    <w:rsid w:val="000E7793"/>
    <w:rsid w:val="000E77C6"/>
    <w:rsid w:val="000E7806"/>
    <w:rsid w:val="000E789E"/>
    <w:rsid w:val="000E7B41"/>
    <w:rsid w:val="000E7B4F"/>
    <w:rsid w:val="000E7BE0"/>
    <w:rsid w:val="000E7C08"/>
    <w:rsid w:val="000E7CF8"/>
    <w:rsid w:val="000E7D3C"/>
    <w:rsid w:val="000E7D59"/>
    <w:rsid w:val="000E7DB9"/>
    <w:rsid w:val="000E7E34"/>
    <w:rsid w:val="000E7EDF"/>
    <w:rsid w:val="000F0125"/>
    <w:rsid w:val="000F0216"/>
    <w:rsid w:val="000F022E"/>
    <w:rsid w:val="000F023D"/>
    <w:rsid w:val="000F0264"/>
    <w:rsid w:val="000F0409"/>
    <w:rsid w:val="000F04D6"/>
    <w:rsid w:val="000F05D4"/>
    <w:rsid w:val="000F0640"/>
    <w:rsid w:val="000F069E"/>
    <w:rsid w:val="000F0741"/>
    <w:rsid w:val="000F07F4"/>
    <w:rsid w:val="000F08CC"/>
    <w:rsid w:val="000F097D"/>
    <w:rsid w:val="000F0AAC"/>
    <w:rsid w:val="000F0ACE"/>
    <w:rsid w:val="000F0C4E"/>
    <w:rsid w:val="000F0C76"/>
    <w:rsid w:val="000F0FA0"/>
    <w:rsid w:val="000F1028"/>
    <w:rsid w:val="000F102D"/>
    <w:rsid w:val="000F1055"/>
    <w:rsid w:val="000F1301"/>
    <w:rsid w:val="000F130D"/>
    <w:rsid w:val="000F140B"/>
    <w:rsid w:val="000F1485"/>
    <w:rsid w:val="000F1617"/>
    <w:rsid w:val="000F1739"/>
    <w:rsid w:val="000F18F3"/>
    <w:rsid w:val="000F193E"/>
    <w:rsid w:val="000F1A64"/>
    <w:rsid w:val="000F1ADA"/>
    <w:rsid w:val="000F1B77"/>
    <w:rsid w:val="000F1BE0"/>
    <w:rsid w:val="000F1D08"/>
    <w:rsid w:val="000F1D66"/>
    <w:rsid w:val="000F1D74"/>
    <w:rsid w:val="000F1D92"/>
    <w:rsid w:val="000F1DE8"/>
    <w:rsid w:val="000F1EF7"/>
    <w:rsid w:val="000F1F16"/>
    <w:rsid w:val="000F1F54"/>
    <w:rsid w:val="000F1FB9"/>
    <w:rsid w:val="000F2094"/>
    <w:rsid w:val="000F22C7"/>
    <w:rsid w:val="000F23DB"/>
    <w:rsid w:val="000F2475"/>
    <w:rsid w:val="000F2487"/>
    <w:rsid w:val="000F2764"/>
    <w:rsid w:val="000F2866"/>
    <w:rsid w:val="000F28D9"/>
    <w:rsid w:val="000F298D"/>
    <w:rsid w:val="000F2B2A"/>
    <w:rsid w:val="000F2B87"/>
    <w:rsid w:val="000F2B99"/>
    <w:rsid w:val="000F2D66"/>
    <w:rsid w:val="000F320F"/>
    <w:rsid w:val="000F35F6"/>
    <w:rsid w:val="000F393C"/>
    <w:rsid w:val="000F39D6"/>
    <w:rsid w:val="000F3A8C"/>
    <w:rsid w:val="000F3AEC"/>
    <w:rsid w:val="000F3BAB"/>
    <w:rsid w:val="000F3CCE"/>
    <w:rsid w:val="000F3E27"/>
    <w:rsid w:val="000F3E4E"/>
    <w:rsid w:val="000F3F2B"/>
    <w:rsid w:val="000F3FF3"/>
    <w:rsid w:val="000F417B"/>
    <w:rsid w:val="000F42D9"/>
    <w:rsid w:val="000F438F"/>
    <w:rsid w:val="000F4404"/>
    <w:rsid w:val="000F47E0"/>
    <w:rsid w:val="000F4A5A"/>
    <w:rsid w:val="000F4B20"/>
    <w:rsid w:val="000F4B2F"/>
    <w:rsid w:val="000F4B49"/>
    <w:rsid w:val="000F4C3C"/>
    <w:rsid w:val="000F4CC2"/>
    <w:rsid w:val="000F4CD8"/>
    <w:rsid w:val="000F4E32"/>
    <w:rsid w:val="000F50EB"/>
    <w:rsid w:val="000F5133"/>
    <w:rsid w:val="000F513A"/>
    <w:rsid w:val="000F5188"/>
    <w:rsid w:val="000F5208"/>
    <w:rsid w:val="000F529A"/>
    <w:rsid w:val="000F529D"/>
    <w:rsid w:val="000F5360"/>
    <w:rsid w:val="000F54AD"/>
    <w:rsid w:val="000F560C"/>
    <w:rsid w:val="000F5629"/>
    <w:rsid w:val="000F5710"/>
    <w:rsid w:val="000F5784"/>
    <w:rsid w:val="000F57EC"/>
    <w:rsid w:val="000F5870"/>
    <w:rsid w:val="000F58FD"/>
    <w:rsid w:val="000F5A1D"/>
    <w:rsid w:val="000F5A2F"/>
    <w:rsid w:val="000F5A48"/>
    <w:rsid w:val="000F5AFC"/>
    <w:rsid w:val="000F5CEA"/>
    <w:rsid w:val="000F5E64"/>
    <w:rsid w:val="000F5EC2"/>
    <w:rsid w:val="000F5FBE"/>
    <w:rsid w:val="000F6114"/>
    <w:rsid w:val="000F6126"/>
    <w:rsid w:val="000F635E"/>
    <w:rsid w:val="000F6403"/>
    <w:rsid w:val="000F6449"/>
    <w:rsid w:val="000F6481"/>
    <w:rsid w:val="000F6592"/>
    <w:rsid w:val="000F6619"/>
    <w:rsid w:val="000F66CB"/>
    <w:rsid w:val="000F67A2"/>
    <w:rsid w:val="000F6A1B"/>
    <w:rsid w:val="000F6B87"/>
    <w:rsid w:val="000F6B98"/>
    <w:rsid w:val="000F6CD3"/>
    <w:rsid w:val="000F6F40"/>
    <w:rsid w:val="000F6FF9"/>
    <w:rsid w:val="000F71D6"/>
    <w:rsid w:val="000F7226"/>
    <w:rsid w:val="000F7299"/>
    <w:rsid w:val="000F72CF"/>
    <w:rsid w:val="000F7391"/>
    <w:rsid w:val="000F7392"/>
    <w:rsid w:val="000F73F9"/>
    <w:rsid w:val="000F7402"/>
    <w:rsid w:val="000F7642"/>
    <w:rsid w:val="000F77F3"/>
    <w:rsid w:val="000F78C8"/>
    <w:rsid w:val="000F7A01"/>
    <w:rsid w:val="000F7AD1"/>
    <w:rsid w:val="000F7AEA"/>
    <w:rsid w:val="000F7CD0"/>
    <w:rsid w:val="000F7D5A"/>
    <w:rsid w:val="000F7DEE"/>
    <w:rsid w:val="000F7DFB"/>
    <w:rsid w:val="000F7E93"/>
    <w:rsid w:val="000F7EE4"/>
    <w:rsid w:val="000F7F7F"/>
    <w:rsid w:val="0010003E"/>
    <w:rsid w:val="00100097"/>
    <w:rsid w:val="001000BB"/>
    <w:rsid w:val="001000C4"/>
    <w:rsid w:val="00100170"/>
    <w:rsid w:val="00100228"/>
    <w:rsid w:val="001002C9"/>
    <w:rsid w:val="0010031B"/>
    <w:rsid w:val="0010031F"/>
    <w:rsid w:val="00100324"/>
    <w:rsid w:val="001003B6"/>
    <w:rsid w:val="001005AF"/>
    <w:rsid w:val="001006F7"/>
    <w:rsid w:val="00100751"/>
    <w:rsid w:val="0010085D"/>
    <w:rsid w:val="001008A0"/>
    <w:rsid w:val="00100915"/>
    <w:rsid w:val="00100929"/>
    <w:rsid w:val="00100957"/>
    <w:rsid w:val="00100984"/>
    <w:rsid w:val="0010099F"/>
    <w:rsid w:val="00100A7C"/>
    <w:rsid w:val="00100B79"/>
    <w:rsid w:val="00100D98"/>
    <w:rsid w:val="00100DB2"/>
    <w:rsid w:val="00100DE4"/>
    <w:rsid w:val="00100E50"/>
    <w:rsid w:val="00100F0D"/>
    <w:rsid w:val="00101078"/>
    <w:rsid w:val="00101089"/>
    <w:rsid w:val="001010A1"/>
    <w:rsid w:val="001010B1"/>
    <w:rsid w:val="00101209"/>
    <w:rsid w:val="00101341"/>
    <w:rsid w:val="00101449"/>
    <w:rsid w:val="001014E0"/>
    <w:rsid w:val="00101798"/>
    <w:rsid w:val="001017AA"/>
    <w:rsid w:val="00101921"/>
    <w:rsid w:val="00101AC5"/>
    <w:rsid w:val="00101BB5"/>
    <w:rsid w:val="00101C45"/>
    <w:rsid w:val="00101C54"/>
    <w:rsid w:val="00101C67"/>
    <w:rsid w:val="00101D2B"/>
    <w:rsid w:val="00101EFA"/>
    <w:rsid w:val="00101F2B"/>
    <w:rsid w:val="0010204F"/>
    <w:rsid w:val="00102062"/>
    <w:rsid w:val="00102315"/>
    <w:rsid w:val="00102355"/>
    <w:rsid w:val="0010236F"/>
    <w:rsid w:val="0010258C"/>
    <w:rsid w:val="0010258F"/>
    <w:rsid w:val="001027C9"/>
    <w:rsid w:val="001027F4"/>
    <w:rsid w:val="00102815"/>
    <w:rsid w:val="00102A39"/>
    <w:rsid w:val="00102CAE"/>
    <w:rsid w:val="00102D24"/>
    <w:rsid w:val="00102D78"/>
    <w:rsid w:val="00102D9B"/>
    <w:rsid w:val="00102DEA"/>
    <w:rsid w:val="00102EC0"/>
    <w:rsid w:val="00102F0A"/>
    <w:rsid w:val="00102FDD"/>
    <w:rsid w:val="001031FC"/>
    <w:rsid w:val="0010329C"/>
    <w:rsid w:val="0010348A"/>
    <w:rsid w:val="0010361B"/>
    <w:rsid w:val="001037EF"/>
    <w:rsid w:val="0010386B"/>
    <w:rsid w:val="001038DE"/>
    <w:rsid w:val="00103903"/>
    <w:rsid w:val="00103B74"/>
    <w:rsid w:val="00103E53"/>
    <w:rsid w:val="00103F02"/>
    <w:rsid w:val="00103F96"/>
    <w:rsid w:val="00104126"/>
    <w:rsid w:val="00104133"/>
    <w:rsid w:val="001041F0"/>
    <w:rsid w:val="001042A7"/>
    <w:rsid w:val="001044AC"/>
    <w:rsid w:val="00104518"/>
    <w:rsid w:val="0010457A"/>
    <w:rsid w:val="00104693"/>
    <w:rsid w:val="0010469D"/>
    <w:rsid w:val="001046A9"/>
    <w:rsid w:val="00104707"/>
    <w:rsid w:val="00104752"/>
    <w:rsid w:val="001047FC"/>
    <w:rsid w:val="0010483F"/>
    <w:rsid w:val="0010488A"/>
    <w:rsid w:val="0010493F"/>
    <w:rsid w:val="00104984"/>
    <w:rsid w:val="00104A4D"/>
    <w:rsid w:val="00104C33"/>
    <w:rsid w:val="00104C37"/>
    <w:rsid w:val="00104C6F"/>
    <w:rsid w:val="00104D5B"/>
    <w:rsid w:val="00104D5E"/>
    <w:rsid w:val="00104F40"/>
    <w:rsid w:val="0010501C"/>
    <w:rsid w:val="00105046"/>
    <w:rsid w:val="00105067"/>
    <w:rsid w:val="001051C9"/>
    <w:rsid w:val="0010541C"/>
    <w:rsid w:val="001054D4"/>
    <w:rsid w:val="00105548"/>
    <w:rsid w:val="001055A9"/>
    <w:rsid w:val="001055D3"/>
    <w:rsid w:val="00105608"/>
    <w:rsid w:val="00105683"/>
    <w:rsid w:val="001056CE"/>
    <w:rsid w:val="00105716"/>
    <w:rsid w:val="0010588F"/>
    <w:rsid w:val="0010594D"/>
    <w:rsid w:val="0010599A"/>
    <w:rsid w:val="001059D7"/>
    <w:rsid w:val="001059ED"/>
    <w:rsid w:val="00105A0A"/>
    <w:rsid w:val="00105CF3"/>
    <w:rsid w:val="00105D59"/>
    <w:rsid w:val="00105DFD"/>
    <w:rsid w:val="00105FAC"/>
    <w:rsid w:val="001060CF"/>
    <w:rsid w:val="00106109"/>
    <w:rsid w:val="00106231"/>
    <w:rsid w:val="00106238"/>
    <w:rsid w:val="00106358"/>
    <w:rsid w:val="0010637E"/>
    <w:rsid w:val="00106479"/>
    <w:rsid w:val="001064D2"/>
    <w:rsid w:val="001065CA"/>
    <w:rsid w:val="001065CF"/>
    <w:rsid w:val="0010667B"/>
    <w:rsid w:val="001066B7"/>
    <w:rsid w:val="0010677C"/>
    <w:rsid w:val="00106965"/>
    <w:rsid w:val="00106D8A"/>
    <w:rsid w:val="00106EAE"/>
    <w:rsid w:val="00106F61"/>
    <w:rsid w:val="0010700B"/>
    <w:rsid w:val="0010707E"/>
    <w:rsid w:val="00107511"/>
    <w:rsid w:val="00107551"/>
    <w:rsid w:val="001075A8"/>
    <w:rsid w:val="001075C8"/>
    <w:rsid w:val="0010763F"/>
    <w:rsid w:val="001076B1"/>
    <w:rsid w:val="001076D6"/>
    <w:rsid w:val="00107863"/>
    <w:rsid w:val="00107945"/>
    <w:rsid w:val="00107988"/>
    <w:rsid w:val="00107A5C"/>
    <w:rsid w:val="00107A91"/>
    <w:rsid w:val="00107AAB"/>
    <w:rsid w:val="00107BA9"/>
    <w:rsid w:val="00107BF5"/>
    <w:rsid w:val="00107D46"/>
    <w:rsid w:val="00107E17"/>
    <w:rsid w:val="00107F05"/>
    <w:rsid w:val="00107FB8"/>
    <w:rsid w:val="0011001D"/>
    <w:rsid w:val="0011049B"/>
    <w:rsid w:val="001104FC"/>
    <w:rsid w:val="0011058A"/>
    <w:rsid w:val="0011087F"/>
    <w:rsid w:val="00110935"/>
    <w:rsid w:val="00110BCC"/>
    <w:rsid w:val="00110C81"/>
    <w:rsid w:val="00110CDA"/>
    <w:rsid w:val="00110D3C"/>
    <w:rsid w:val="00110DB9"/>
    <w:rsid w:val="00110E33"/>
    <w:rsid w:val="00110F98"/>
    <w:rsid w:val="00111014"/>
    <w:rsid w:val="00111055"/>
    <w:rsid w:val="001111F7"/>
    <w:rsid w:val="0011133A"/>
    <w:rsid w:val="00111397"/>
    <w:rsid w:val="001113BB"/>
    <w:rsid w:val="0011151E"/>
    <w:rsid w:val="0011166C"/>
    <w:rsid w:val="0011172B"/>
    <w:rsid w:val="00111865"/>
    <w:rsid w:val="0011198C"/>
    <w:rsid w:val="00111AF4"/>
    <w:rsid w:val="00111AF7"/>
    <w:rsid w:val="00111B15"/>
    <w:rsid w:val="00111B23"/>
    <w:rsid w:val="00111BA1"/>
    <w:rsid w:val="00111BF4"/>
    <w:rsid w:val="00111C2D"/>
    <w:rsid w:val="00111EA6"/>
    <w:rsid w:val="00111F10"/>
    <w:rsid w:val="00111F76"/>
    <w:rsid w:val="00112013"/>
    <w:rsid w:val="0011211E"/>
    <w:rsid w:val="0011220B"/>
    <w:rsid w:val="00112246"/>
    <w:rsid w:val="001122F0"/>
    <w:rsid w:val="00112386"/>
    <w:rsid w:val="00112463"/>
    <w:rsid w:val="00112472"/>
    <w:rsid w:val="0011281D"/>
    <w:rsid w:val="0011283D"/>
    <w:rsid w:val="00112901"/>
    <w:rsid w:val="0011298B"/>
    <w:rsid w:val="00112A7D"/>
    <w:rsid w:val="00112A98"/>
    <w:rsid w:val="00112C9C"/>
    <w:rsid w:val="00112E6C"/>
    <w:rsid w:val="00112F62"/>
    <w:rsid w:val="00112FED"/>
    <w:rsid w:val="001130F2"/>
    <w:rsid w:val="001132A7"/>
    <w:rsid w:val="00113303"/>
    <w:rsid w:val="0011343B"/>
    <w:rsid w:val="0011358B"/>
    <w:rsid w:val="0011375A"/>
    <w:rsid w:val="00113855"/>
    <w:rsid w:val="00113988"/>
    <w:rsid w:val="00113A21"/>
    <w:rsid w:val="00113B14"/>
    <w:rsid w:val="00113B6B"/>
    <w:rsid w:val="00113C6D"/>
    <w:rsid w:val="00113C90"/>
    <w:rsid w:val="00113DA2"/>
    <w:rsid w:val="00113E62"/>
    <w:rsid w:val="00113F01"/>
    <w:rsid w:val="00113F8F"/>
    <w:rsid w:val="00114068"/>
    <w:rsid w:val="001140BC"/>
    <w:rsid w:val="0011419F"/>
    <w:rsid w:val="0011429F"/>
    <w:rsid w:val="00114318"/>
    <w:rsid w:val="00114330"/>
    <w:rsid w:val="00114586"/>
    <w:rsid w:val="001145F5"/>
    <w:rsid w:val="00114623"/>
    <w:rsid w:val="00114624"/>
    <w:rsid w:val="001147AC"/>
    <w:rsid w:val="00114BF1"/>
    <w:rsid w:val="00114D19"/>
    <w:rsid w:val="00114D8E"/>
    <w:rsid w:val="0011507A"/>
    <w:rsid w:val="00115160"/>
    <w:rsid w:val="0011517A"/>
    <w:rsid w:val="0011518E"/>
    <w:rsid w:val="001151A2"/>
    <w:rsid w:val="00115253"/>
    <w:rsid w:val="00115298"/>
    <w:rsid w:val="001152F4"/>
    <w:rsid w:val="00115465"/>
    <w:rsid w:val="00115704"/>
    <w:rsid w:val="00115779"/>
    <w:rsid w:val="00115807"/>
    <w:rsid w:val="0011582E"/>
    <w:rsid w:val="001158D1"/>
    <w:rsid w:val="0011596C"/>
    <w:rsid w:val="00115A60"/>
    <w:rsid w:val="00115A91"/>
    <w:rsid w:val="00115B2B"/>
    <w:rsid w:val="00115BA3"/>
    <w:rsid w:val="00115BD0"/>
    <w:rsid w:val="00115D7B"/>
    <w:rsid w:val="00115EEB"/>
    <w:rsid w:val="00115EF1"/>
    <w:rsid w:val="00115F0D"/>
    <w:rsid w:val="00115FE7"/>
    <w:rsid w:val="001162C8"/>
    <w:rsid w:val="001163DB"/>
    <w:rsid w:val="001164FE"/>
    <w:rsid w:val="00116560"/>
    <w:rsid w:val="001165F0"/>
    <w:rsid w:val="001166CF"/>
    <w:rsid w:val="001167C9"/>
    <w:rsid w:val="00116A24"/>
    <w:rsid w:val="00116CFA"/>
    <w:rsid w:val="00116D6F"/>
    <w:rsid w:val="00116E0E"/>
    <w:rsid w:val="00116E92"/>
    <w:rsid w:val="00116EEA"/>
    <w:rsid w:val="00117009"/>
    <w:rsid w:val="00117014"/>
    <w:rsid w:val="0011706B"/>
    <w:rsid w:val="00117118"/>
    <w:rsid w:val="00117166"/>
    <w:rsid w:val="0011717A"/>
    <w:rsid w:val="00117305"/>
    <w:rsid w:val="0011734F"/>
    <w:rsid w:val="0011747E"/>
    <w:rsid w:val="001174A7"/>
    <w:rsid w:val="00117557"/>
    <w:rsid w:val="0011764A"/>
    <w:rsid w:val="00117728"/>
    <w:rsid w:val="00117932"/>
    <w:rsid w:val="00117A28"/>
    <w:rsid w:val="00117A78"/>
    <w:rsid w:val="00117AF2"/>
    <w:rsid w:val="00117B8B"/>
    <w:rsid w:val="00117EBF"/>
    <w:rsid w:val="0012006A"/>
    <w:rsid w:val="00120147"/>
    <w:rsid w:val="001203AE"/>
    <w:rsid w:val="001203ED"/>
    <w:rsid w:val="0012056C"/>
    <w:rsid w:val="001206EE"/>
    <w:rsid w:val="0012071B"/>
    <w:rsid w:val="0012082E"/>
    <w:rsid w:val="00120BE5"/>
    <w:rsid w:val="00120CCD"/>
    <w:rsid w:val="00120E8D"/>
    <w:rsid w:val="00120F3D"/>
    <w:rsid w:val="00120F76"/>
    <w:rsid w:val="00120FF4"/>
    <w:rsid w:val="00121110"/>
    <w:rsid w:val="0012114F"/>
    <w:rsid w:val="001211E6"/>
    <w:rsid w:val="00121208"/>
    <w:rsid w:val="0012120E"/>
    <w:rsid w:val="00121290"/>
    <w:rsid w:val="0012142E"/>
    <w:rsid w:val="001214E7"/>
    <w:rsid w:val="0012158A"/>
    <w:rsid w:val="001215A2"/>
    <w:rsid w:val="00121684"/>
    <w:rsid w:val="00121837"/>
    <w:rsid w:val="001218FA"/>
    <w:rsid w:val="001219F0"/>
    <w:rsid w:val="00121A3D"/>
    <w:rsid w:val="00121EEA"/>
    <w:rsid w:val="001220E6"/>
    <w:rsid w:val="001221F0"/>
    <w:rsid w:val="001221FC"/>
    <w:rsid w:val="00122216"/>
    <w:rsid w:val="00122244"/>
    <w:rsid w:val="0012236A"/>
    <w:rsid w:val="00122396"/>
    <w:rsid w:val="00122424"/>
    <w:rsid w:val="001225E9"/>
    <w:rsid w:val="001229AF"/>
    <w:rsid w:val="00122A94"/>
    <w:rsid w:val="00122D28"/>
    <w:rsid w:val="00122E22"/>
    <w:rsid w:val="00122FB9"/>
    <w:rsid w:val="00123080"/>
    <w:rsid w:val="00123125"/>
    <w:rsid w:val="00123204"/>
    <w:rsid w:val="0012372F"/>
    <w:rsid w:val="00123753"/>
    <w:rsid w:val="001237A7"/>
    <w:rsid w:val="001237B4"/>
    <w:rsid w:val="001237F3"/>
    <w:rsid w:val="0012390D"/>
    <w:rsid w:val="00123973"/>
    <w:rsid w:val="001239DD"/>
    <w:rsid w:val="001239ED"/>
    <w:rsid w:val="00123A3B"/>
    <w:rsid w:val="00123A7A"/>
    <w:rsid w:val="00123AA5"/>
    <w:rsid w:val="00123BAE"/>
    <w:rsid w:val="00123BF4"/>
    <w:rsid w:val="00123C03"/>
    <w:rsid w:val="00123C7A"/>
    <w:rsid w:val="00123D72"/>
    <w:rsid w:val="00123D73"/>
    <w:rsid w:val="00123FA1"/>
    <w:rsid w:val="00124066"/>
    <w:rsid w:val="00124165"/>
    <w:rsid w:val="0012428F"/>
    <w:rsid w:val="001242AE"/>
    <w:rsid w:val="0012436A"/>
    <w:rsid w:val="001243F8"/>
    <w:rsid w:val="0012457F"/>
    <w:rsid w:val="001247AE"/>
    <w:rsid w:val="00124861"/>
    <w:rsid w:val="00124A03"/>
    <w:rsid w:val="00124AC2"/>
    <w:rsid w:val="00124B39"/>
    <w:rsid w:val="00124C12"/>
    <w:rsid w:val="00124C1D"/>
    <w:rsid w:val="00124C44"/>
    <w:rsid w:val="00124C9A"/>
    <w:rsid w:val="00124CA2"/>
    <w:rsid w:val="00124DC7"/>
    <w:rsid w:val="00124E02"/>
    <w:rsid w:val="00124E49"/>
    <w:rsid w:val="00124E93"/>
    <w:rsid w:val="00124EC8"/>
    <w:rsid w:val="00125003"/>
    <w:rsid w:val="0012518F"/>
    <w:rsid w:val="0012533D"/>
    <w:rsid w:val="00125356"/>
    <w:rsid w:val="0012555E"/>
    <w:rsid w:val="001255E5"/>
    <w:rsid w:val="001256B4"/>
    <w:rsid w:val="0012570E"/>
    <w:rsid w:val="001258E4"/>
    <w:rsid w:val="0012599B"/>
    <w:rsid w:val="0012599D"/>
    <w:rsid w:val="00125A1E"/>
    <w:rsid w:val="00125A24"/>
    <w:rsid w:val="00125AB1"/>
    <w:rsid w:val="00125B00"/>
    <w:rsid w:val="00125B38"/>
    <w:rsid w:val="00125B95"/>
    <w:rsid w:val="00125BFD"/>
    <w:rsid w:val="00125C95"/>
    <w:rsid w:val="00125DC6"/>
    <w:rsid w:val="00125E06"/>
    <w:rsid w:val="00125FAF"/>
    <w:rsid w:val="001261BB"/>
    <w:rsid w:val="001261DB"/>
    <w:rsid w:val="001261DC"/>
    <w:rsid w:val="0012622C"/>
    <w:rsid w:val="00126307"/>
    <w:rsid w:val="00126559"/>
    <w:rsid w:val="00126935"/>
    <w:rsid w:val="00126D25"/>
    <w:rsid w:val="00126E48"/>
    <w:rsid w:val="00126ED1"/>
    <w:rsid w:val="00127021"/>
    <w:rsid w:val="001270AC"/>
    <w:rsid w:val="0012715A"/>
    <w:rsid w:val="001271F2"/>
    <w:rsid w:val="001273DD"/>
    <w:rsid w:val="001273DF"/>
    <w:rsid w:val="0012749B"/>
    <w:rsid w:val="001274C0"/>
    <w:rsid w:val="00127532"/>
    <w:rsid w:val="00127765"/>
    <w:rsid w:val="00127780"/>
    <w:rsid w:val="00127843"/>
    <w:rsid w:val="00127863"/>
    <w:rsid w:val="00127897"/>
    <w:rsid w:val="001278B4"/>
    <w:rsid w:val="001279D3"/>
    <w:rsid w:val="00127BCF"/>
    <w:rsid w:val="00127C0B"/>
    <w:rsid w:val="00127D55"/>
    <w:rsid w:val="00127E41"/>
    <w:rsid w:val="00127ED0"/>
    <w:rsid w:val="00127F5E"/>
    <w:rsid w:val="00127F79"/>
    <w:rsid w:val="00127FC2"/>
    <w:rsid w:val="0012C851"/>
    <w:rsid w:val="00130000"/>
    <w:rsid w:val="0013004D"/>
    <w:rsid w:val="00130064"/>
    <w:rsid w:val="001300A9"/>
    <w:rsid w:val="0013010C"/>
    <w:rsid w:val="00130136"/>
    <w:rsid w:val="001301CB"/>
    <w:rsid w:val="001302F9"/>
    <w:rsid w:val="00130378"/>
    <w:rsid w:val="001303C8"/>
    <w:rsid w:val="00130424"/>
    <w:rsid w:val="0013052E"/>
    <w:rsid w:val="0013058F"/>
    <w:rsid w:val="00130659"/>
    <w:rsid w:val="00130910"/>
    <w:rsid w:val="00130A36"/>
    <w:rsid w:val="00130AC0"/>
    <w:rsid w:val="00130BDC"/>
    <w:rsid w:val="00130BEA"/>
    <w:rsid w:val="00130C03"/>
    <w:rsid w:val="00130C1E"/>
    <w:rsid w:val="00130CA4"/>
    <w:rsid w:val="00130F9C"/>
    <w:rsid w:val="0013106F"/>
    <w:rsid w:val="00131070"/>
    <w:rsid w:val="001311D3"/>
    <w:rsid w:val="0013134B"/>
    <w:rsid w:val="00131588"/>
    <w:rsid w:val="001315C2"/>
    <w:rsid w:val="0013165A"/>
    <w:rsid w:val="0013165D"/>
    <w:rsid w:val="00131679"/>
    <w:rsid w:val="0013167A"/>
    <w:rsid w:val="001316EE"/>
    <w:rsid w:val="00131846"/>
    <w:rsid w:val="00131955"/>
    <w:rsid w:val="00131B81"/>
    <w:rsid w:val="00131B8C"/>
    <w:rsid w:val="00132167"/>
    <w:rsid w:val="001321A7"/>
    <w:rsid w:val="00132372"/>
    <w:rsid w:val="00132381"/>
    <w:rsid w:val="0013240D"/>
    <w:rsid w:val="0013253B"/>
    <w:rsid w:val="00132629"/>
    <w:rsid w:val="00132655"/>
    <w:rsid w:val="0013269C"/>
    <w:rsid w:val="001326A0"/>
    <w:rsid w:val="001328AF"/>
    <w:rsid w:val="0013291B"/>
    <w:rsid w:val="00132AC1"/>
    <w:rsid w:val="00132ACD"/>
    <w:rsid w:val="00132AE9"/>
    <w:rsid w:val="00132B41"/>
    <w:rsid w:val="00132B7F"/>
    <w:rsid w:val="00132C18"/>
    <w:rsid w:val="00132CF1"/>
    <w:rsid w:val="00133030"/>
    <w:rsid w:val="001330AC"/>
    <w:rsid w:val="00133147"/>
    <w:rsid w:val="00133A4E"/>
    <w:rsid w:val="00133B6C"/>
    <w:rsid w:val="00133BF8"/>
    <w:rsid w:val="00133DD9"/>
    <w:rsid w:val="00133E93"/>
    <w:rsid w:val="00133FD8"/>
    <w:rsid w:val="00134050"/>
    <w:rsid w:val="001340A3"/>
    <w:rsid w:val="001340C7"/>
    <w:rsid w:val="00134122"/>
    <w:rsid w:val="00134188"/>
    <w:rsid w:val="001341E6"/>
    <w:rsid w:val="001342D9"/>
    <w:rsid w:val="001343E8"/>
    <w:rsid w:val="0013442B"/>
    <w:rsid w:val="00134496"/>
    <w:rsid w:val="001345C4"/>
    <w:rsid w:val="00134640"/>
    <w:rsid w:val="00134651"/>
    <w:rsid w:val="00134687"/>
    <w:rsid w:val="0013474E"/>
    <w:rsid w:val="00134803"/>
    <w:rsid w:val="00134836"/>
    <w:rsid w:val="0013486C"/>
    <w:rsid w:val="001348D0"/>
    <w:rsid w:val="00134964"/>
    <w:rsid w:val="00134A77"/>
    <w:rsid w:val="00134A9C"/>
    <w:rsid w:val="00134ADF"/>
    <w:rsid w:val="00134BAC"/>
    <w:rsid w:val="00134BC5"/>
    <w:rsid w:val="00134C65"/>
    <w:rsid w:val="00134D6E"/>
    <w:rsid w:val="00134D8D"/>
    <w:rsid w:val="00134DF6"/>
    <w:rsid w:val="00134E45"/>
    <w:rsid w:val="00134E5F"/>
    <w:rsid w:val="00134F56"/>
    <w:rsid w:val="00134F9B"/>
    <w:rsid w:val="00135098"/>
    <w:rsid w:val="001350EE"/>
    <w:rsid w:val="00135128"/>
    <w:rsid w:val="00135336"/>
    <w:rsid w:val="00135433"/>
    <w:rsid w:val="00135609"/>
    <w:rsid w:val="001356A5"/>
    <w:rsid w:val="001357FB"/>
    <w:rsid w:val="001359F7"/>
    <w:rsid w:val="00135A19"/>
    <w:rsid w:val="00135BC8"/>
    <w:rsid w:val="00135C6D"/>
    <w:rsid w:val="00135C77"/>
    <w:rsid w:val="00135C7C"/>
    <w:rsid w:val="00135CD1"/>
    <w:rsid w:val="00135E1D"/>
    <w:rsid w:val="00135E42"/>
    <w:rsid w:val="00135EA0"/>
    <w:rsid w:val="00135F6D"/>
    <w:rsid w:val="00136009"/>
    <w:rsid w:val="0013613C"/>
    <w:rsid w:val="001363D5"/>
    <w:rsid w:val="00136531"/>
    <w:rsid w:val="001365B6"/>
    <w:rsid w:val="00136682"/>
    <w:rsid w:val="00136690"/>
    <w:rsid w:val="00136723"/>
    <w:rsid w:val="0013676C"/>
    <w:rsid w:val="001367B2"/>
    <w:rsid w:val="001369AE"/>
    <w:rsid w:val="00136A19"/>
    <w:rsid w:val="00136A2A"/>
    <w:rsid w:val="00136D29"/>
    <w:rsid w:val="00136D6C"/>
    <w:rsid w:val="00136FDD"/>
    <w:rsid w:val="00136FF6"/>
    <w:rsid w:val="00137004"/>
    <w:rsid w:val="001370EB"/>
    <w:rsid w:val="0013711C"/>
    <w:rsid w:val="001371E0"/>
    <w:rsid w:val="001371E2"/>
    <w:rsid w:val="00137346"/>
    <w:rsid w:val="0013737B"/>
    <w:rsid w:val="00137387"/>
    <w:rsid w:val="001373C5"/>
    <w:rsid w:val="001374B3"/>
    <w:rsid w:val="0013751B"/>
    <w:rsid w:val="00137567"/>
    <w:rsid w:val="001376F4"/>
    <w:rsid w:val="00137702"/>
    <w:rsid w:val="0013770D"/>
    <w:rsid w:val="0013775A"/>
    <w:rsid w:val="00137A73"/>
    <w:rsid w:val="00137A7E"/>
    <w:rsid w:val="00137C55"/>
    <w:rsid w:val="00137C7B"/>
    <w:rsid w:val="00137DD4"/>
    <w:rsid w:val="00137E34"/>
    <w:rsid w:val="00137E60"/>
    <w:rsid w:val="00137F2D"/>
    <w:rsid w:val="0014004B"/>
    <w:rsid w:val="001400E8"/>
    <w:rsid w:val="0014035E"/>
    <w:rsid w:val="0014037C"/>
    <w:rsid w:val="001403F5"/>
    <w:rsid w:val="0014042A"/>
    <w:rsid w:val="0014042E"/>
    <w:rsid w:val="001404C7"/>
    <w:rsid w:val="0014050D"/>
    <w:rsid w:val="00140561"/>
    <w:rsid w:val="0014057C"/>
    <w:rsid w:val="00140699"/>
    <w:rsid w:val="00140776"/>
    <w:rsid w:val="00140809"/>
    <w:rsid w:val="001408FE"/>
    <w:rsid w:val="001409CA"/>
    <w:rsid w:val="00140A30"/>
    <w:rsid w:val="00140A52"/>
    <w:rsid w:val="00140B11"/>
    <w:rsid w:val="00140B38"/>
    <w:rsid w:val="00140B92"/>
    <w:rsid w:val="00140CA3"/>
    <w:rsid w:val="00140D68"/>
    <w:rsid w:val="00140DC6"/>
    <w:rsid w:val="00141014"/>
    <w:rsid w:val="00141029"/>
    <w:rsid w:val="0014108A"/>
    <w:rsid w:val="001410FC"/>
    <w:rsid w:val="0014110D"/>
    <w:rsid w:val="00141158"/>
    <w:rsid w:val="00141275"/>
    <w:rsid w:val="0014141C"/>
    <w:rsid w:val="001415B6"/>
    <w:rsid w:val="001415C8"/>
    <w:rsid w:val="00141639"/>
    <w:rsid w:val="001416B1"/>
    <w:rsid w:val="00141936"/>
    <w:rsid w:val="0014194E"/>
    <w:rsid w:val="00141A0F"/>
    <w:rsid w:val="00141A7B"/>
    <w:rsid w:val="00141B27"/>
    <w:rsid w:val="00141B3F"/>
    <w:rsid w:val="00141C20"/>
    <w:rsid w:val="00141D3D"/>
    <w:rsid w:val="00141D53"/>
    <w:rsid w:val="00141DAC"/>
    <w:rsid w:val="00141DDB"/>
    <w:rsid w:val="00141ECE"/>
    <w:rsid w:val="00142031"/>
    <w:rsid w:val="00142058"/>
    <w:rsid w:val="0014217F"/>
    <w:rsid w:val="001421CB"/>
    <w:rsid w:val="001421CD"/>
    <w:rsid w:val="00142318"/>
    <w:rsid w:val="001423BB"/>
    <w:rsid w:val="00142471"/>
    <w:rsid w:val="001424CF"/>
    <w:rsid w:val="001427AF"/>
    <w:rsid w:val="00142A6A"/>
    <w:rsid w:val="00142BA6"/>
    <w:rsid w:val="00142C60"/>
    <w:rsid w:val="00142C87"/>
    <w:rsid w:val="00142D1D"/>
    <w:rsid w:val="00142D95"/>
    <w:rsid w:val="00142E12"/>
    <w:rsid w:val="00142F55"/>
    <w:rsid w:val="001430FB"/>
    <w:rsid w:val="00143148"/>
    <w:rsid w:val="001431AB"/>
    <w:rsid w:val="001431BE"/>
    <w:rsid w:val="001431F0"/>
    <w:rsid w:val="00143255"/>
    <w:rsid w:val="001432EA"/>
    <w:rsid w:val="00143324"/>
    <w:rsid w:val="0014335B"/>
    <w:rsid w:val="001433EF"/>
    <w:rsid w:val="00143429"/>
    <w:rsid w:val="00143503"/>
    <w:rsid w:val="0014355D"/>
    <w:rsid w:val="0014357A"/>
    <w:rsid w:val="0014362E"/>
    <w:rsid w:val="00143763"/>
    <w:rsid w:val="00143771"/>
    <w:rsid w:val="00143800"/>
    <w:rsid w:val="00143875"/>
    <w:rsid w:val="001438BA"/>
    <w:rsid w:val="0014397B"/>
    <w:rsid w:val="00143B82"/>
    <w:rsid w:val="00143C54"/>
    <w:rsid w:val="00143C96"/>
    <w:rsid w:val="00143D6E"/>
    <w:rsid w:val="00143D77"/>
    <w:rsid w:val="00143D91"/>
    <w:rsid w:val="00143E89"/>
    <w:rsid w:val="00143EA5"/>
    <w:rsid w:val="00143EF5"/>
    <w:rsid w:val="00143F06"/>
    <w:rsid w:val="00144138"/>
    <w:rsid w:val="00144376"/>
    <w:rsid w:val="0014454D"/>
    <w:rsid w:val="0014475A"/>
    <w:rsid w:val="001449DA"/>
    <w:rsid w:val="00144A46"/>
    <w:rsid w:val="00144AE9"/>
    <w:rsid w:val="00144AEE"/>
    <w:rsid w:val="00144CA3"/>
    <w:rsid w:val="00144E03"/>
    <w:rsid w:val="00144EB6"/>
    <w:rsid w:val="00144F15"/>
    <w:rsid w:val="00145181"/>
    <w:rsid w:val="0014523F"/>
    <w:rsid w:val="00145246"/>
    <w:rsid w:val="0014525F"/>
    <w:rsid w:val="001452EC"/>
    <w:rsid w:val="001452FC"/>
    <w:rsid w:val="0014535A"/>
    <w:rsid w:val="0014539C"/>
    <w:rsid w:val="001454F8"/>
    <w:rsid w:val="00145575"/>
    <w:rsid w:val="0014560C"/>
    <w:rsid w:val="00145616"/>
    <w:rsid w:val="001459B2"/>
    <w:rsid w:val="00145A26"/>
    <w:rsid w:val="00145B2A"/>
    <w:rsid w:val="00145BA3"/>
    <w:rsid w:val="00145C2D"/>
    <w:rsid w:val="00145CBC"/>
    <w:rsid w:val="00145D51"/>
    <w:rsid w:val="00145DC0"/>
    <w:rsid w:val="00145E97"/>
    <w:rsid w:val="00145F05"/>
    <w:rsid w:val="00145FFB"/>
    <w:rsid w:val="0014601E"/>
    <w:rsid w:val="00146098"/>
    <w:rsid w:val="00146101"/>
    <w:rsid w:val="00146106"/>
    <w:rsid w:val="00146142"/>
    <w:rsid w:val="001461E1"/>
    <w:rsid w:val="001461E3"/>
    <w:rsid w:val="00146236"/>
    <w:rsid w:val="00146263"/>
    <w:rsid w:val="00146366"/>
    <w:rsid w:val="001463C8"/>
    <w:rsid w:val="00146433"/>
    <w:rsid w:val="001464E1"/>
    <w:rsid w:val="0014652D"/>
    <w:rsid w:val="0014653E"/>
    <w:rsid w:val="00146610"/>
    <w:rsid w:val="00146657"/>
    <w:rsid w:val="0014688E"/>
    <w:rsid w:val="00146A83"/>
    <w:rsid w:val="00146B69"/>
    <w:rsid w:val="001470B0"/>
    <w:rsid w:val="0014727C"/>
    <w:rsid w:val="00147705"/>
    <w:rsid w:val="00147AA0"/>
    <w:rsid w:val="00147E62"/>
    <w:rsid w:val="00147E9F"/>
    <w:rsid w:val="00147EE6"/>
    <w:rsid w:val="00147F23"/>
    <w:rsid w:val="0015017A"/>
    <w:rsid w:val="00150209"/>
    <w:rsid w:val="0015027D"/>
    <w:rsid w:val="0015031C"/>
    <w:rsid w:val="00150559"/>
    <w:rsid w:val="00150565"/>
    <w:rsid w:val="00150568"/>
    <w:rsid w:val="001505B9"/>
    <w:rsid w:val="00150668"/>
    <w:rsid w:val="00150819"/>
    <w:rsid w:val="001508FD"/>
    <w:rsid w:val="0015095D"/>
    <w:rsid w:val="00150BC7"/>
    <w:rsid w:val="00150C77"/>
    <w:rsid w:val="00150D39"/>
    <w:rsid w:val="00150E0D"/>
    <w:rsid w:val="00150F72"/>
    <w:rsid w:val="0015107F"/>
    <w:rsid w:val="0015115F"/>
    <w:rsid w:val="001511FC"/>
    <w:rsid w:val="00151265"/>
    <w:rsid w:val="001512E6"/>
    <w:rsid w:val="001512E9"/>
    <w:rsid w:val="0015159D"/>
    <w:rsid w:val="001516BB"/>
    <w:rsid w:val="001516CE"/>
    <w:rsid w:val="001518DC"/>
    <w:rsid w:val="00151A7E"/>
    <w:rsid w:val="00151CD3"/>
    <w:rsid w:val="00151E10"/>
    <w:rsid w:val="00151E63"/>
    <w:rsid w:val="00151EB3"/>
    <w:rsid w:val="00151EFC"/>
    <w:rsid w:val="00151F30"/>
    <w:rsid w:val="00151FB0"/>
    <w:rsid w:val="001520DC"/>
    <w:rsid w:val="001520E3"/>
    <w:rsid w:val="00152110"/>
    <w:rsid w:val="0015213D"/>
    <w:rsid w:val="00152392"/>
    <w:rsid w:val="001523A4"/>
    <w:rsid w:val="00152475"/>
    <w:rsid w:val="00152479"/>
    <w:rsid w:val="00152B7A"/>
    <w:rsid w:val="00152C7C"/>
    <w:rsid w:val="00152C98"/>
    <w:rsid w:val="00152C9B"/>
    <w:rsid w:val="00152D66"/>
    <w:rsid w:val="00152D7A"/>
    <w:rsid w:val="00152E37"/>
    <w:rsid w:val="00152E7F"/>
    <w:rsid w:val="00152EE1"/>
    <w:rsid w:val="00152F74"/>
    <w:rsid w:val="00152FCB"/>
    <w:rsid w:val="00153137"/>
    <w:rsid w:val="00153258"/>
    <w:rsid w:val="001532AF"/>
    <w:rsid w:val="00153335"/>
    <w:rsid w:val="001533DE"/>
    <w:rsid w:val="0015349F"/>
    <w:rsid w:val="001534DC"/>
    <w:rsid w:val="00153503"/>
    <w:rsid w:val="00153553"/>
    <w:rsid w:val="001536B2"/>
    <w:rsid w:val="001536E4"/>
    <w:rsid w:val="00153854"/>
    <w:rsid w:val="0015388E"/>
    <w:rsid w:val="00153A85"/>
    <w:rsid w:val="00153A89"/>
    <w:rsid w:val="00153B25"/>
    <w:rsid w:val="00153C1E"/>
    <w:rsid w:val="00153C96"/>
    <w:rsid w:val="00153CEA"/>
    <w:rsid w:val="00153D0C"/>
    <w:rsid w:val="00153D7C"/>
    <w:rsid w:val="00153D85"/>
    <w:rsid w:val="00153D8F"/>
    <w:rsid w:val="001540B2"/>
    <w:rsid w:val="001540DA"/>
    <w:rsid w:val="00154133"/>
    <w:rsid w:val="00154214"/>
    <w:rsid w:val="001542DE"/>
    <w:rsid w:val="00154360"/>
    <w:rsid w:val="0015455D"/>
    <w:rsid w:val="0015456A"/>
    <w:rsid w:val="001545E2"/>
    <w:rsid w:val="001546E4"/>
    <w:rsid w:val="0015496B"/>
    <w:rsid w:val="001549DA"/>
    <w:rsid w:val="00154A14"/>
    <w:rsid w:val="00154A66"/>
    <w:rsid w:val="00154BF4"/>
    <w:rsid w:val="00154BF5"/>
    <w:rsid w:val="00154CA8"/>
    <w:rsid w:val="00154D7D"/>
    <w:rsid w:val="00154F35"/>
    <w:rsid w:val="0015516A"/>
    <w:rsid w:val="001551E8"/>
    <w:rsid w:val="0015526E"/>
    <w:rsid w:val="001552F6"/>
    <w:rsid w:val="00155597"/>
    <w:rsid w:val="001555CF"/>
    <w:rsid w:val="001556B7"/>
    <w:rsid w:val="001556F8"/>
    <w:rsid w:val="00155732"/>
    <w:rsid w:val="0015579C"/>
    <w:rsid w:val="001557BF"/>
    <w:rsid w:val="00155862"/>
    <w:rsid w:val="00155915"/>
    <w:rsid w:val="00155AC1"/>
    <w:rsid w:val="00155BA3"/>
    <w:rsid w:val="00155D2B"/>
    <w:rsid w:val="00155DAF"/>
    <w:rsid w:val="00155E7C"/>
    <w:rsid w:val="00155E9C"/>
    <w:rsid w:val="00155EEB"/>
    <w:rsid w:val="00155EF2"/>
    <w:rsid w:val="00155FF3"/>
    <w:rsid w:val="00156182"/>
    <w:rsid w:val="001561A3"/>
    <w:rsid w:val="001562B9"/>
    <w:rsid w:val="0015657E"/>
    <w:rsid w:val="00156645"/>
    <w:rsid w:val="001566AA"/>
    <w:rsid w:val="001566C9"/>
    <w:rsid w:val="001566F2"/>
    <w:rsid w:val="00156738"/>
    <w:rsid w:val="001567D3"/>
    <w:rsid w:val="001568DE"/>
    <w:rsid w:val="001569E1"/>
    <w:rsid w:val="001569F0"/>
    <w:rsid w:val="00156ACB"/>
    <w:rsid w:val="00156DEE"/>
    <w:rsid w:val="00156EC5"/>
    <w:rsid w:val="00156FF2"/>
    <w:rsid w:val="00157031"/>
    <w:rsid w:val="001572B9"/>
    <w:rsid w:val="001572BA"/>
    <w:rsid w:val="00157316"/>
    <w:rsid w:val="0015742D"/>
    <w:rsid w:val="001574C0"/>
    <w:rsid w:val="0015756E"/>
    <w:rsid w:val="001575B7"/>
    <w:rsid w:val="001575DE"/>
    <w:rsid w:val="00157602"/>
    <w:rsid w:val="0015767C"/>
    <w:rsid w:val="001576F6"/>
    <w:rsid w:val="00157780"/>
    <w:rsid w:val="0015778C"/>
    <w:rsid w:val="0015784E"/>
    <w:rsid w:val="0015795B"/>
    <w:rsid w:val="00157A68"/>
    <w:rsid w:val="00157A87"/>
    <w:rsid w:val="00157BDD"/>
    <w:rsid w:val="00157C98"/>
    <w:rsid w:val="00157E42"/>
    <w:rsid w:val="00157E72"/>
    <w:rsid w:val="00157F88"/>
    <w:rsid w:val="0016010D"/>
    <w:rsid w:val="00160122"/>
    <w:rsid w:val="00160141"/>
    <w:rsid w:val="00160340"/>
    <w:rsid w:val="00160571"/>
    <w:rsid w:val="00160606"/>
    <w:rsid w:val="0016063B"/>
    <w:rsid w:val="00160742"/>
    <w:rsid w:val="00160779"/>
    <w:rsid w:val="0016090A"/>
    <w:rsid w:val="00160932"/>
    <w:rsid w:val="001609EE"/>
    <w:rsid w:val="00160B4D"/>
    <w:rsid w:val="00160C5C"/>
    <w:rsid w:val="00160D46"/>
    <w:rsid w:val="00160ECF"/>
    <w:rsid w:val="00160F15"/>
    <w:rsid w:val="00160F75"/>
    <w:rsid w:val="00161182"/>
    <w:rsid w:val="001612AB"/>
    <w:rsid w:val="0016130A"/>
    <w:rsid w:val="00161349"/>
    <w:rsid w:val="0016135B"/>
    <w:rsid w:val="0016135F"/>
    <w:rsid w:val="00161426"/>
    <w:rsid w:val="0016151B"/>
    <w:rsid w:val="00161609"/>
    <w:rsid w:val="0016160F"/>
    <w:rsid w:val="00161653"/>
    <w:rsid w:val="001616F9"/>
    <w:rsid w:val="00161766"/>
    <w:rsid w:val="0016181B"/>
    <w:rsid w:val="00161970"/>
    <w:rsid w:val="00161A70"/>
    <w:rsid w:val="00161A95"/>
    <w:rsid w:val="00161B89"/>
    <w:rsid w:val="00161F6A"/>
    <w:rsid w:val="00161F6B"/>
    <w:rsid w:val="00161F6D"/>
    <w:rsid w:val="00161FC8"/>
    <w:rsid w:val="00162105"/>
    <w:rsid w:val="0016219E"/>
    <w:rsid w:val="001621DA"/>
    <w:rsid w:val="001622BE"/>
    <w:rsid w:val="00162315"/>
    <w:rsid w:val="0016234E"/>
    <w:rsid w:val="001623E5"/>
    <w:rsid w:val="001623F0"/>
    <w:rsid w:val="001624D5"/>
    <w:rsid w:val="00162530"/>
    <w:rsid w:val="001625E3"/>
    <w:rsid w:val="001626A3"/>
    <w:rsid w:val="00162777"/>
    <w:rsid w:val="001627DA"/>
    <w:rsid w:val="00162903"/>
    <w:rsid w:val="00162A83"/>
    <w:rsid w:val="00162B6E"/>
    <w:rsid w:val="00162B72"/>
    <w:rsid w:val="00162D7F"/>
    <w:rsid w:val="00162D8F"/>
    <w:rsid w:val="00162E3E"/>
    <w:rsid w:val="00162F19"/>
    <w:rsid w:val="00162F50"/>
    <w:rsid w:val="00162F87"/>
    <w:rsid w:val="00163026"/>
    <w:rsid w:val="0016314E"/>
    <w:rsid w:val="001631D5"/>
    <w:rsid w:val="001631ED"/>
    <w:rsid w:val="001632AE"/>
    <w:rsid w:val="001632FE"/>
    <w:rsid w:val="00163301"/>
    <w:rsid w:val="00163351"/>
    <w:rsid w:val="001633AB"/>
    <w:rsid w:val="001635B0"/>
    <w:rsid w:val="00163695"/>
    <w:rsid w:val="0016383B"/>
    <w:rsid w:val="00163885"/>
    <w:rsid w:val="00163911"/>
    <w:rsid w:val="00163919"/>
    <w:rsid w:val="00163982"/>
    <w:rsid w:val="00163BF4"/>
    <w:rsid w:val="00163C2F"/>
    <w:rsid w:val="00163C67"/>
    <w:rsid w:val="00163C6C"/>
    <w:rsid w:val="00163D3D"/>
    <w:rsid w:val="00163EBE"/>
    <w:rsid w:val="00163EDE"/>
    <w:rsid w:val="00163F80"/>
    <w:rsid w:val="0016407A"/>
    <w:rsid w:val="0016417E"/>
    <w:rsid w:val="001641CC"/>
    <w:rsid w:val="001641E1"/>
    <w:rsid w:val="001642BC"/>
    <w:rsid w:val="001642FB"/>
    <w:rsid w:val="0016441C"/>
    <w:rsid w:val="00164626"/>
    <w:rsid w:val="00164659"/>
    <w:rsid w:val="00164713"/>
    <w:rsid w:val="00164986"/>
    <w:rsid w:val="00164AB8"/>
    <w:rsid w:val="00164BBC"/>
    <w:rsid w:val="00164D1B"/>
    <w:rsid w:val="00164DD9"/>
    <w:rsid w:val="00164E6B"/>
    <w:rsid w:val="00164FF7"/>
    <w:rsid w:val="00165148"/>
    <w:rsid w:val="001651B6"/>
    <w:rsid w:val="001652FC"/>
    <w:rsid w:val="00165603"/>
    <w:rsid w:val="00165606"/>
    <w:rsid w:val="00165A06"/>
    <w:rsid w:val="00165B69"/>
    <w:rsid w:val="00165BFA"/>
    <w:rsid w:val="00165C39"/>
    <w:rsid w:val="00165DFC"/>
    <w:rsid w:val="001660A7"/>
    <w:rsid w:val="001661B5"/>
    <w:rsid w:val="001662FA"/>
    <w:rsid w:val="00166458"/>
    <w:rsid w:val="00166531"/>
    <w:rsid w:val="00166697"/>
    <w:rsid w:val="001667DE"/>
    <w:rsid w:val="001669B6"/>
    <w:rsid w:val="00166A3D"/>
    <w:rsid w:val="00166B1E"/>
    <w:rsid w:val="00166B67"/>
    <w:rsid w:val="00166C28"/>
    <w:rsid w:val="00166E6F"/>
    <w:rsid w:val="00166FA5"/>
    <w:rsid w:val="00167026"/>
    <w:rsid w:val="00167078"/>
    <w:rsid w:val="0016742B"/>
    <w:rsid w:val="00167600"/>
    <w:rsid w:val="00167622"/>
    <w:rsid w:val="001678AC"/>
    <w:rsid w:val="00167A3C"/>
    <w:rsid w:val="00167A94"/>
    <w:rsid w:val="00167B0E"/>
    <w:rsid w:val="00167B66"/>
    <w:rsid w:val="00167CAD"/>
    <w:rsid w:val="00167CC3"/>
    <w:rsid w:val="00167CF4"/>
    <w:rsid w:val="00167DE4"/>
    <w:rsid w:val="00167E5E"/>
    <w:rsid w:val="00167ECF"/>
    <w:rsid w:val="00167F81"/>
    <w:rsid w:val="00167FCB"/>
    <w:rsid w:val="00167FD4"/>
    <w:rsid w:val="00170013"/>
    <w:rsid w:val="0017008C"/>
    <w:rsid w:val="001700BA"/>
    <w:rsid w:val="001701E5"/>
    <w:rsid w:val="00170252"/>
    <w:rsid w:val="001703FB"/>
    <w:rsid w:val="00170495"/>
    <w:rsid w:val="0017052D"/>
    <w:rsid w:val="001706C0"/>
    <w:rsid w:val="00170777"/>
    <w:rsid w:val="00170904"/>
    <w:rsid w:val="0017095D"/>
    <w:rsid w:val="0017096C"/>
    <w:rsid w:val="001709A4"/>
    <w:rsid w:val="001709C9"/>
    <w:rsid w:val="00170A32"/>
    <w:rsid w:val="00170A6C"/>
    <w:rsid w:val="00170B16"/>
    <w:rsid w:val="00170B75"/>
    <w:rsid w:val="00170D74"/>
    <w:rsid w:val="00170FC5"/>
    <w:rsid w:val="00171010"/>
    <w:rsid w:val="0017130D"/>
    <w:rsid w:val="00171325"/>
    <w:rsid w:val="001713A7"/>
    <w:rsid w:val="001715FB"/>
    <w:rsid w:val="0017169B"/>
    <w:rsid w:val="001716C8"/>
    <w:rsid w:val="0017188A"/>
    <w:rsid w:val="00171965"/>
    <w:rsid w:val="001719F2"/>
    <w:rsid w:val="00171A97"/>
    <w:rsid w:val="00171AA7"/>
    <w:rsid w:val="00171ADC"/>
    <w:rsid w:val="00171B07"/>
    <w:rsid w:val="00171C2A"/>
    <w:rsid w:val="00171C4C"/>
    <w:rsid w:val="00171D0D"/>
    <w:rsid w:val="00171D98"/>
    <w:rsid w:val="00171E2C"/>
    <w:rsid w:val="00171E60"/>
    <w:rsid w:val="00171EBE"/>
    <w:rsid w:val="00171EF3"/>
    <w:rsid w:val="0017204B"/>
    <w:rsid w:val="00172075"/>
    <w:rsid w:val="00172108"/>
    <w:rsid w:val="00172266"/>
    <w:rsid w:val="00172269"/>
    <w:rsid w:val="001722F1"/>
    <w:rsid w:val="001723EC"/>
    <w:rsid w:val="001726EE"/>
    <w:rsid w:val="00172792"/>
    <w:rsid w:val="0017282C"/>
    <w:rsid w:val="0017288C"/>
    <w:rsid w:val="001728E7"/>
    <w:rsid w:val="001729D3"/>
    <w:rsid w:val="001729F3"/>
    <w:rsid w:val="00172A99"/>
    <w:rsid w:val="00172AC5"/>
    <w:rsid w:val="00172B29"/>
    <w:rsid w:val="00172B8B"/>
    <w:rsid w:val="00172C04"/>
    <w:rsid w:val="00172D0D"/>
    <w:rsid w:val="00172E35"/>
    <w:rsid w:val="00172E71"/>
    <w:rsid w:val="00172ED5"/>
    <w:rsid w:val="00173060"/>
    <w:rsid w:val="0017307F"/>
    <w:rsid w:val="0017312E"/>
    <w:rsid w:val="001731F1"/>
    <w:rsid w:val="00173222"/>
    <w:rsid w:val="00173261"/>
    <w:rsid w:val="001732D5"/>
    <w:rsid w:val="0017334B"/>
    <w:rsid w:val="001734AF"/>
    <w:rsid w:val="001734ED"/>
    <w:rsid w:val="001735FE"/>
    <w:rsid w:val="00173883"/>
    <w:rsid w:val="0017394A"/>
    <w:rsid w:val="00173A1F"/>
    <w:rsid w:val="00173BA4"/>
    <w:rsid w:val="00173BAE"/>
    <w:rsid w:val="00173BF4"/>
    <w:rsid w:val="00173DF3"/>
    <w:rsid w:val="00173F84"/>
    <w:rsid w:val="00173F91"/>
    <w:rsid w:val="0017417A"/>
    <w:rsid w:val="00174187"/>
    <w:rsid w:val="0017437C"/>
    <w:rsid w:val="0017439B"/>
    <w:rsid w:val="0017448A"/>
    <w:rsid w:val="00174585"/>
    <w:rsid w:val="0017470F"/>
    <w:rsid w:val="00174770"/>
    <w:rsid w:val="00174778"/>
    <w:rsid w:val="0017491D"/>
    <w:rsid w:val="00174970"/>
    <w:rsid w:val="001749CB"/>
    <w:rsid w:val="00174AB2"/>
    <w:rsid w:val="00174C7B"/>
    <w:rsid w:val="00174DC4"/>
    <w:rsid w:val="00174E23"/>
    <w:rsid w:val="00174FAD"/>
    <w:rsid w:val="00174FBD"/>
    <w:rsid w:val="0017509E"/>
    <w:rsid w:val="0017522B"/>
    <w:rsid w:val="001752AD"/>
    <w:rsid w:val="0017535D"/>
    <w:rsid w:val="00175555"/>
    <w:rsid w:val="0017584D"/>
    <w:rsid w:val="001758B7"/>
    <w:rsid w:val="001759CA"/>
    <w:rsid w:val="00175AF3"/>
    <w:rsid w:val="00175C01"/>
    <w:rsid w:val="00175C02"/>
    <w:rsid w:val="00175DA9"/>
    <w:rsid w:val="00175E45"/>
    <w:rsid w:val="00175F23"/>
    <w:rsid w:val="00176151"/>
    <w:rsid w:val="00176217"/>
    <w:rsid w:val="00176230"/>
    <w:rsid w:val="0017624A"/>
    <w:rsid w:val="00176418"/>
    <w:rsid w:val="00176630"/>
    <w:rsid w:val="0017678F"/>
    <w:rsid w:val="00176CB4"/>
    <w:rsid w:val="00176F16"/>
    <w:rsid w:val="00176FA5"/>
    <w:rsid w:val="00176FB3"/>
    <w:rsid w:val="001770EE"/>
    <w:rsid w:val="001770FD"/>
    <w:rsid w:val="00177574"/>
    <w:rsid w:val="001776B8"/>
    <w:rsid w:val="0017770C"/>
    <w:rsid w:val="00177886"/>
    <w:rsid w:val="001778D9"/>
    <w:rsid w:val="00177A5A"/>
    <w:rsid w:val="00177B41"/>
    <w:rsid w:val="00177B8E"/>
    <w:rsid w:val="00177BCE"/>
    <w:rsid w:val="00177BDA"/>
    <w:rsid w:val="00177C87"/>
    <w:rsid w:val="00177CB9"/>
    <w:rsid w:val="00177CBC"/>
    <w:rsid w:val="00177E07"/>
    <w:rsid w:val="00177EA9"/>
    <w:rsid w:val="00177F10"/>
    <w:rsid w:val="0017BEAD"/>
    <w:rsid w:val="00180020"/>
    <w:rsid w:val="00180038"/>
    <w:rsid w:val="001800E9"/>
    <w:rsid w:val="0018021D"/>
    <w:rsid w:val="0018027B"/>
    <w:rsid w:val="001802DE"/>
    <w:rsid w:val="00180438"/>
    <w:rsid w:val="00180507"/>
    <w:rsid w:val="0018059B"/>
    <w:rsid w:val="00180602"/>
    <w:rsid w:val="0018062C"/>
    <w:rsid w:val="0018069F"/>
    <w:rsid w:val="001806D4"/>
    <w:rsid w:val="00180796"/>
    <w:rsid w:val="001808CC"/>
    <w:rsid w:val="0018096B"/>
    <w:rsid w:val="00180A0E"/>
    <w:rsid w:val="00180A5F"/>
    <w:rsid w:val="00180ABB"/>
    <w:rsid w:val="00180B21"/>
    <w:rsid w:val="00180CAD"/>
    <w:rsid w:val="00180D1D"/>
    <w:rsid w:val="00180F1C"/>
    <w:rsid w:val="00180F2F"/>
    <w:rsid w:val="00180F5E"/>
    <w:rsid w:val="0018101E"/>
    <w:rsid w:val="001811C2"/>
    <w:rsid w:val="00181320"/>
    <w:rsid w:val="0018149D"/>
    <w:rsid w:val="001816E6"/>
    <w:rsid w:val="00181A1C"/>
    <w:rsid w:val="00181C10"/>
    <w:rsid w:val="00181C65"/>
    <w:rsid w:val="00181D2F"/>
    <w:rsid w:val="00181F66"/>
    <w:rsid w:val="00181FFA"/>
    <w:rsid w:val="00182053"/>
    <w:rsid w:val="00182095"/>
    <w:rsid w:val="001821AC"/>
    <w:rsid w:val="00182203"/>
    <w:rsid w:val="0018227D"/>
    <w:rsid w:val="0018231D"/>
    <w:rsid w:val="00182330"/>
    <w:rsid w:val="00182671"/>
    <w:rsid w:val="001826D5"/>
    <w:rsid w:val="001828B7"/>
    <w:rsid w:val="001829F3"/>
    <w:rsid w:val="00182A33"/>
    <w:rsid w:val="00182B4D"/>
    <w:rsid w:val="00182DBF"/>
    <w:rsid w:val="00183179"/>
    <w:rsid w:val="00183261"/>
    <w:rsid w:val="001832F3"/>
    <w:rsid w:val="00183375"/>
    <w:rsid w:val="001833FA"/>
    <w:rsid w:val="00183430"/>
    <w:rsid w:val="0018349E"/>
    <w:rsid w:val="001835DC"/>
    <w:rsid w:val="0018362F"/>
    <w:rsid w:val="001836AD"/>
    <w:rsid w:val="00183804"/>
    <w:rsid w:val="0018386D"/>
    <w:rsid w:val="00183894"/>
    <w:rsid w:val="00183B92"/>
    <w:rsid w:val="00183C0C"/>
    <w:rsid w:val="00183CE9"/>
    <w:rsid w:val="00183D95"/>
    <w:rsid w:val="00183EE6"/>
    <w:rsid w:val="00183FD6"/>
    <w:rsid w:val="0018400B"/>
    <w:rsid w:val="00184032"/>
    <w:rsid w:val="00184047"/>
    <w:rsid w:val="00184144"/>
    <w:rsid w:val="001841B9"/>
    <w:rsid w:val="001841C4"/>
    <w:rsid w:val="001841CE"/>
    <w:rsid w:val="0018434A"/>
    <w:rsid w:val="00184356"/>
    <w:rsid w:val="00184420"/>
    <w:rsid w:val="00184511"/>
    <w:rsid w:val="00184553"/>
    <w:rsid w:val="00184575"/>
    <w:rsid w:val="00184599"/>
    <w:rsid w:val="001846D8"/>
    <w:rsid w:val="00184817"/>
    <w:rsid w:val="0018482E"/>
    <w:rsid w:val="00184899"/>
    <w:rsid w:val="0018489A"/>
    <w:rsid w:val="00184935"/>
    <w:rsid w:val="001849C7"/>
    <w:rsid w:val="00184A86"/>
    <w:rsid w:val="00184AE2"/>
    <w:rsid w:val="00184B23"/>
    <w:rsid w:val="00184B51"/>
    <w:rsid w:val="00184C72"/>
    <w:rsid w:val="00184D36"/>
    <w:rsid w:val="00184E77"/>
    <w:rsid w:val="00184E88"/>
    <w:rsid w:val="00184EB5"/>
    <w:rsid w:val="00184F99"/>
    <w:rsid w:val="00184FB0"/>
    <w:rsid w:val="00184FD5"/>
    <w:rsid w:val="0018501C"/>
    <w:rsid w:val="00185153"/>
    <w:rsid w:val="001851CB"/>
    <w:rsid w:val="001852D6"/>
    <w:rsid w:val="001852FC"/>
    <w:rsid w:val="00185302"/>
    <w:rsid w:val="0018533E"/>
    <w:rsid w:val="00185394"/>
    <w:rsid w:val="001853C8"/>
    <w:rsid w:val="001853F3"/>
    <w:rsid w:val="001854A3"/>
    <w:rsid w:val="001855D0"/>
    <w:rsid w:val="001856AF"/>
    <w:rsid w:val="001856B7"/>
    <w:rsid w:val="00185736"/>
    <w:rsid w:val="00185822"/>
    <w:rsid w:val="00185922"/>
    <w:rsid w:val="001859DA"/>
    <w:rsid w:val="00185A04"/>
    <w:rsid w:val="00185A1B"/>
    <w:rsid w:val="00185A47"/>
    <w:rsid w:val="00185A71"/>
    <w:rsid w:val="00185B6A"/>
    <w:rsid w:val="00185DB9"/>
    <w:rsid w:val="00185EF0"/>
    <w:rsid w:val="001862ED"/>
    <w:rsid w:val="00186389"/>
    <w:rsid w:val="00186481"/>
    <w:rsid w:val="00186693"/>
    <w:rsid w:val="0018669A"/>
    <w:rsid w:val="0018683E"/>
    <w:rsid w:val="0018692A"/>
    <w:rsid w:val="00186A94"/>
    <w:rsid w:val="00186BC8"/>
    <w:rsid w:val="00186C20"/>
    <w:rsid w:val="00186C83"/>
    <w:rsid w:val="00186CFB"/>
    <w:rsid w:val="00186D35"/>
    <w:rsid w:val="00186D63"/>
    <w:rsid w:val="00186D6F"/>
    <w:rsid w:val="00186D8A"/>
    <w:rsid w:val="00186DD6"/>
    <w:rsid w:val="00186E9C"/>
    <w:rsid w:val="00186F00"/>
    <w:rsid w:val="001870A0"/>
    <w:rsid w:val="001870BA"/>
    <w:rsid w:val="00187548"/>
    <w:rsid w:val="001877EF"/>
    <w:rsid w:val="001878EE"/>
    <w:rsid w:val="00187A89"/>
    <w:rsid w:val="00187B1F"/>
    <w:rsid w:val="00187BC0"/>
    <w:rsid w:val="00187C27"/>
    <w:rsid w:val="00187C8D"/>
    <w:rsid w:val="00187CB0"/>
    <w:rsid w:val="00187D4D"/>
    <w:rsid w:val="001900DB"/>
    <w:rsid w:val="00190264"/>
    <w:rsid w:val="001902E9"/>
    <w:rsid w:val="0019030A"/>
    <w:rsid w:val="00190311"/>
    <w:rsid w:val="0019040A"/>
    <w:rsid w:val="001904CC"/>
    <w:rsid w:val="0019056C"/>
    <w:rsid w:val="0019059E"/>
    <w:rsid w:val="0019063D"/>
    <w:rsid w:val="0019068D"/>
    <w:rsid w:val="00190708"/>
    <w:rsid w:val="00190811"/>
    <w:rsid w:val="001909E3"/>
    <w:rsid w:val="00190BBB"/>
    <w:rsid w:val="00190C3C"/>
    <w:rsid w:val="00190C44"/>
    <w:rsid w:val="00190C8D"/>
    <w:rsid w:val="00190D7B"/>
    <w:rsid w:val="00190EE1"/>
    <w:rsid w:val="00190FD5"/>
    <w:rsid w:val="00191171"/>
    <w:rsid w:val="001911F0"/>
    <w:rsid w:val="00191227"/>
    <w:rsid w:val="00191249"/>
    <w:rsid w:val="001912F1"/>
    <w:rsid w:val="001912FE"/>
    <w:rsid w:val="00191347"/>
    <w:rsid w:val="00191358"/>
    <w:rsid w:val="001913C2"/>
    <w:rsid w:val="001913C6"/>
    <w:rsid w:val="0019140B"/>
    <w:rsid w:val="00191488"/>
    <w:rsid w:val="00191677"/>
    <w:rsid w:val="001916D7"/>
    <w:rsid w:val="00191951"/>
    <w:rsid w:val="00191A1B"/>
    <w:rsid w:val="00191B54"/>
    <w:rsid w:val="00191CD8"/>
    <w:rsid w:val="00191F8E"/>
    <w:rsid w:val="00192091"/>
    <w:rsid w:val="0019216E"/>
    <w:rsid w:val="00192381"/>
    <w:rsid w:val="001923E5"/>
    <w:rsid w:val="001924E2"/>
    <w:rsid w:val="0019257A"/>
    <w:rsid w:val="001925F2"/>
    <w:rsid w:val="001925FB"/>
    <w:rsid w:val="00192745"/>
    <w:rsid w:val="00192782"/>
    <w:rsid w:val="00192889"/>
    <w:rsid w:val="00192943"/>
    <w:rsid w:val="00192A6C"/>
    <w:rsid w:val="00192C21"/>
    <w:rsid w:val="00192F74"/>
    <w:rsid w:val="00192F89"/>
    <w:rsid w:val="0019311C"/>
    <w:rsid w:val="00193122"/>
    <w:rsid w:val="00193136"/>
    <w:rsid w:val="0019340C"/>
    <w:rsid w:val="0019343C"/>
    <w:rsid w:val="00193450"/>
    <w:rsid w:val="00193477"/>
    <w:rsid w:val="001934C0"/>
    <w:rsid w:val="00193543"/>
    <w:rsid w:val="00193594"/>
    <w:rsid w:val="001936C0"/>
    <w:rsid w:val="00193731"/>
    <w:rsid w:val="00193784"/>
    <w:rsid w:val="0019384A"/>
    <w:rsid w:val="00193949"/>
    <w:rsid w:val="00193A9F"/>
    <w:rsid w:val="00193BC1"/>
    <w:rsid w:val="00193C28"/>
    <w:rsid w:val="00193D9A"/>
    <w:rsid w:val="00193FEA"/>
    <w:rsid w:val="00194343"/>
    <w:rsid w:val="00194555"/>
    <w:rsid w:val="0019456D"/>
    <w:rsid w:val="001945DB"/>
    <w:rsid w:val="0019475F"/>
    <w:rsid w:val="001947FF"/>
    <w:rsid w:val="0019496D"/>
    <w:rsid w:val="00194B01"/>
    <w:rsid w:val="00194CB5"/>
    <w:rsid w:val="00194EFA"/>
    <w:rsid w:val="0019511C"/>
    <w:rsid w:val="00195298"/>
    <w:rsid w:val="001952B0"/>
    <w:rsid w:val="00195433"/>
    <w:rsid w:val="001956C1"/>
    <w:rsid w:val="001956D7"/>
    <w:rsid w:val="00195726"/>
    <w:rsid w:val="001957A2"/>
    <w:rsid w:val="0019583C"/>
    <w:rsid w:val="0019592D"/>
    <w:rsid w:val="00195ABB"/>
    <w:rsid w:val="00195BB2"/>
    <w:rsid w:val="00195BC1"/>
    <w:rsid w:val="00195C3B"/>
    <w:rsid w:val="00195C84"/>
    <w:rsid w:val="00195E32"/>
    <w:rsid w:val="00195E80"/>
    <w:rsid w:val="00195E8F"/>
    <w:rsid w:val="00195F04"/>
    <w:rsid w:val="00195F2A"/>
    <w:rsid w:val="001962F6"/>
    <w:rsid w:val="001964BD"/>
    <w:rsid w:val="001964CD"/>
    <w:rsid w:val="0019653F"/>
    <w:rsid w:val="00196854"/>
    <w:rsid w:val="001969D6"/>
    <w:rsid w:val="00196A86"/>
    <w:rsid w:val="00196CA8"/>
    <w:rsid w:val="00196DBA"/>
    <w:rsid w:val="00196E31"/>
    <w:rsid w:val="00196F44"/>
    <w:rsid w:val="001970F7"/>
    <w:rsid w:val="00197256"/>
    <w:rsid w:val="001972D1"/>
    <w:rsid w:val="0019732F"/>
    <w:rsid w:val="0019738F"/>
    <w:rsid w:val="00197405"/>
    <w:rsid w:val="001974C2"/>
    <w:rsid w:val="0019774B"/>
    <w:rsid w:val="0019778D"/>
    <w:rsid w:val="00197A49"/>
    <w:rsid w:val="00197B66"/>
    <w:rsid w:val="00197CBE"/>
    <w:rsid w:val="00197DB1"/>
    <w:rsid w:val="00197E8B"/>
    <w:rsid w:val="00197EC2"/>
    <w:rsid w:val="001A0273"/>
    <w:rsid w:val="001A0575"/>
    <w:rsid w:val="001A05D5"/>
    <w:rsid w:val="001A0863"/>
    <w:rsid w:val="001A08D3"/>
    <w:rsid w:val="001A09BD"/>
    <w:rsid w:val="001A09FE"/>
    <w:rsid w:val="001A0AD9"/>
    <w:rsid w:val="001A0BA4"/>
    <w:rsid w:val="001A0CC1"/>
    <w:rsid w:val="001A0D87"/>
    <w:rsid w:val="001A0DF2"/>
    <w:rsid w:val="001A0FEB"/>
    <w:rsid w:val="001A116D"/>
    <w:rsid w:val="001A1184"/>
    <w:rsid w:val="001A120F"/>
    <w:rsid w:val="001A125D"/>
    <w:rsid w:val="001A12DF"/>
    <w:rsid w:val="001A12F3"/>
    <w:rsid w:val="001A15FE"/>
    <w:rsid w:val="001A174B"/>
    <w:rsid w:val="001A18B2"/>
    <w:rsid w:val="001A19DF"/>
    <w:rsid w:val="001A19EA"/>
    <w:rsid w:val="001A1B65"/>
    <w:rsid w:val="001A1B81"/>
    <w:rsid w:val="001A1C81"/>
    <w:rsid w:val="001A1CEC"/>
    <w:rsid w:val="001A1D51"/>
    <w:rsid w:val="001A1E0B"/>
    <w:rsid w:val="001A1E73"/>
    <w:rsid w:val="001A20E4"/>
    <w:rsid w:val="001A2111"/>
    <w:rsid w:val="001A2254"/>
    <w:rsid w:val="001A24F0"/>
    <w:rsid w:val="001A26DF"/>
    <w:rsid w:val="001A2741"/>
    <w:rsid w:val="001A275F"/>
    <w:rsid w:val="001A2A5C"/>
    <w:rsid w:val="001A2AA6"/>
    <w:rsid w:val="001A2AEE"/>
    <w:rsid w:val="001A2BA2"/>
    <w:rsid w:val="001A2C3E"/>
    <w:rsid w:val="001A2D1F"/>
    <w:rsid w:val="001A2D2A"/>
    <w:rsid w:val="001A3163"/>
    <w:rsid w:val="001A3378"/>
    <w:rsid w:val="001A33FE"/>
    <w:rsid w:val="001A3410"/>
    <w:rsid w:val="001A342D"/>
    <w:rsid w:val="001A347F"/>
    <w:rsid w:val="001A3523"/>
    <w:rsid w:val="001A3579"/>
    <w:rsid w:val="001A3615"/>
    <w:rsid w:val="001A365C"/>
    <w:rsid w:val="001A38F4"/>
    <w:rsid w:val="001A39A2"/>
    <w:rsid w:val="001A39B7"/>
    <w:rsid w:val="001A39E7"/>
    <w:rsid w:val="001A3A22"/>
    <w:rsid w:val="001A3A62"/>
    <w:rsid w:val="001A3A7A"/>
    <w:rsid w:val="001A3B11"/>
    <w:rsid w:val="001A3C88"/>
    <w:rsid w:val="001A3D90"/>
    <w:rsid w:val="001A3E96"/>
    <w:rsid w:val="001A40A7"/>
    <w:rsid w:val="001A4209"/>
    <w:rsid w:val="001A429F"/>
    <w:rsid w:val="001A4594"/>
    <w:rsid w:val="001A46C7"/>
    <w:rsid w:val="001A4834"/>
    <w:rsid w:val="001A4847"/>
    <w:rsid w:val="001A4918"/>
    <w:rsid w:val="001A49FA"/>
    <w:rsid w:val="001A4AF6"/>
    <w:rsid w:val="001A4BB2"/>
    <w:rsid w:val="001A4C18"/>
    <w:rsid w:val="001A4C52"/>
    <w:rsid w:val="001A4CA8"/>
    <w:rsid w:val="001A4D47"/>
    <w:rsid w:val="001A4D53"/>
    <w:rsid w:val="001A4DA2"/>
    <w:rsid w:val="001A4DE6"/>
    <w:rsid w:val="001A4E92"/>
    <w:rsid w:val="001A4EB1"/>
    <w:rsid w:val="001A5158"/>
    <w:rsid w:val="001A5396"/>
    <w:rsid w:val="001A53D2"/>
    <w:rsid w:val="001A53F3"/>
    <w:rsid w:val="001A545D"/>
    <w:rsid w:val="001A54DC"/>
    <w:rsid w:val="001A55BD"/>
    <w:rsid w:val="001A55E4"/>
    <w:rsid w:val="001A566E"/>
    <w:rsid w:val="001A56DF"/>
    <w:rsid w:val="001A5976"/>
    <w:rsid w:val="001A5ACA"/>
    <w:rsid w:val="001A5B5B"/>
    <w:rsid w:val="001A5B69"/>
    <w:rsid w:val="001A5C11"/>
    <w:rsid w:val="001A5E03"/>
    <w:rsid w:val="001A5E3E"/>
    <w:rsid w:val="001A5EB5"/>
    <w:rsid w:val="001A6154"/>
    <w:rsid w:val="001A623E"/>
    <w:rsid w:val="001A6250"/>
    <w:rsid w:val="001A62BA"/>
    <w:rsid w:val="001A63FB"/>
    <w:rsid w:val="001A657F"/>
    <w:rsid w:val="001A66DA"/>
    <w:rsid w:val="001A6A7F"/>
    <w:rsid w:val="001A6CE3"/>
    <w:rsid w:val="001A6D06"/>
    <w:rsid w:val="001A6D61"/>
    <w:rsid w:val="001A6DD3"/>
    <w:rsid w:val="001A6E60"/>
    <w:rsid w:val="001A704E"/>
    <w:rsid w:val="001A707F"/>
    <w:rsid w:val="001A716F"/>
    <w:rsid w:val="001A72C5"/>
    <w:rsid w:val="001A7365"/>
    <w:rsid w:val="001A737E"/>
    <w:rsid w:val="001A771C"/>
    <w:rsid w:val="001A77D1"/>
    <w:rsid w:val="001A77EB"/>
    <w:rsid w:val="001A77F1"/>
    <w:rsid w:val="001A7843"/>
    <w:rsid w:val="001A7866"/>
    <w:rsid w:val="001A7A22"/>
    <w:rsid w:val="001A7AEB"/>
    <w:rsid w:val="001A7AEF"/>
    <w:rsid w:val="001A7BC2"/>
    <w:rsid w:val="001A7D2C"/>
    <w:rsid w:val="001A7F6B"/>
    <w:rsid w:val="001B00F6"/>
    <w:rsid w:val="001B02F3"/>
    <w:rsid w:val="001B0426"/>
    <w:rsid w:val="001B049F"/>
    <w:rsid w:val="001B04AD"/>
    <w:rsid w:val="001B04DC"/>
    <w:rsid w:val="001B0502"/>
    <w:rsid w:val="001B0556"/>
    <w:rsid w:val="001B056F"/>
    <w:rsid w:val="001B07AE"/>
    <w:rsid w:val="001B08EE"/>
    <w:rsid w:val="001B0976"/>
    <w:rsid w:val="001B0A20"/>
    <w:rsid w:val="001B0A70"/>
    <w:rsid w:val="001B0C74"/>
    <w:rsid w:val="001B0C96"/>
    <w:rsid w:val="001B0E4D"/>
    <w:rsid w:val="001B0F4C"/>
    <w:rsid w:val="001B1003"/>
    <w:rsid w:val="001B10ED"/>
    <w:rsid w:val="001B10F4"/>
    <w:rsid w:val="001B11A2"/>
    <w:rsid w:val="001B123D"/>
    <w:rsid w:val="001B1278"/>
    <w:rsid w:val="001B1368"/>
    <w:rsid w:val="001B14D1"/>
    <w:rsid w:val="001B1538"/>
    <w:rsid w:val="001B15ED"/>
    <w:rsid w:val="001B1881"/>
    <w:rsid w:val="001B1957"/>
    <w:rsid w:val="001B1AA8"/>
    <w:rsid w:val="001B1C72"/>
    <w:rsid w:val="001B1CCE"/>
    <w:rsid w:val="001B1F20"/>
    <w:rsid w:val="001B1F46"/>
    <w:rsid w:val="001B1FC1"/>
    <w:rsid w:val="001B2008"/>
    <w:rsid w:val="001B2043"/>
    <w:rsid w:val="001B23B9"/>
    <w:rsid w:val="001B248D"/>
    <w:rsid w:val="001B2688"/>
    <w:rsid w:val="001B26A8"/>
    <w:rsid w:val="001B2738"/>
    <w:rsid w:val="001B27FB"/>
    <w:rsid w:val="001B29FD"/>
    <w:rsid w:val="001B2A46"/>
    <w:rsid w:val="001B2B62"/>
    <w:rsid w:val="001B2BF6"/>
    <w:rsid w:val="001B2CF5"/>
    <w:rsid w:val="001B2E7E"/>
    <w:rsid w:val="001B2E8D"/>
    <w:rsid w:val="001B2F2C"/>
    <w:rsid w:val="001B301E"/>
    <w:rsid w:val="001B30B7"/>
    <w:rsid w:val="001B3178"/>
    <w:rsid w:val="001B3197"/>
    <w:rsid w:val="001B319B"/>
    <w:rsid w:val="001B32E5"/>
    <w:rsid w:val="001B3321"/>
    <w:rsid w:val="001B3348"/>
    <w:rsid w:val="001B34B3"/>
    <w:rsid w:val="001B3560"/>
    <w:rsid w:val="001B35BF"/>
    <w:rsid w:val="001B35C7"/>
    <w:rsid w:val="001B37F7"/>
    <w:rsid w:val="001B384E"/>
    <w:rsid w:val="001B38AF"/>
    <w:rsid w:val="001B390E"/>
    <w:rsid w:val="001B3CD4"/>
    <w:rsid w:val="001B3D0F"/>
    <w:rsid w:val="001B3D36"/>
    <w:rsid w:val="001B3DCB"/>
    <w:rsid w:val="001B3E64"/>
    <w:rsid w:val="001B3EC0"/>
    <w:rsid w:val="001B424A"/>
    <w:rsid w:val="001B447C"/>
    <w:rsid w:val="001B4488"/>
    <w:rsid w:val="001B4584"/>
    <w:rsid w:val="001B464D"/>
    <w:rsid w:val="001B4759"/>
    <w:rsid w:val="001B47D2"/>
    <w:rsid w:val="001B49CD"/>
    <w:rsid w:val="001B49D7"/>
    <w:rsid w:val="001B4A84"/>
    <w:rsid w:val="001B4A8C"/>
    <w:rsid w:val="001B4A8D"/>
    <w:rsid w:val="001B4D45"/>
    <w:rsid w:val="001B4EDF"/>
    <w:rsid w:val="001B5007"/>
    <w:rsid w:val="001B512E"/>
    <w:rsid w:val="001B5200"/>
    <w:rsid w:val="001B52A6"/>
    <w:rsid w:val="001B52D1"/>
    <w:rsid w:val="001B5399"/>
    <w:rsid w:val="001B5444"/>
    <w:rsid w:val="001B54D3"/>
    <w:rsid w:val="001B55CD"/>
    <w:rsid w:val="001B56ED"/>
    <w:rsid w:val="001B575D"/>
    <w:rsid w:val="001B57FA"/>
    <w:rsid w:val="001B59C3"/>
    <w:rsid w:val="001B5A2F"/>
    <w:rsid w:val="001B5B20"/>
    <w:rsid w:val="001B5B8B"/>
    <w:rsid w:val="001B5C4C"/>
    <w:rsid w:val="001B5D01"/>
    <w:rsid w:val="001B5DA8"/>
    <w:rsid w:val="001B5DDE"/>
    <w:rsid w:val="001B5F2B"/>
    <w:rsid w:val="001B5F80"/>
    <w:rsid w:val="001B5FEB"/>
    <w:rsid w:val="001B60BA"/>
    <w:rsid w:val="001B617C"/>
    <w:rsid w:val="001B6180"/>
    <w:rsid w:val="001B61D4"/>
    <w:rsid w:val="001B6252"/>
    <w:rsid w:val="001B62C7"/>
    <w:rsid w:val="001B63B1"/>
    <w:rsid w:val="001B64FF"/>
    <w:rsid w:val="001B6515"/>
    <w:rsid w:val="001B65FB"/>
    <w:rsid w:val="001B67E1"/>
    <w:rsid w:val="001B6910"/>
    <w:rsid w:val="001B6A55"/>
    <w:rsid w:val="001B6B22"/>
    <w:rsid w:val="001B7142"/>
    <w:rsid w:val="001B717D"/>
    <w:rsid w:val="001B71D6"/>
    <w:rsid w:val="001B728D"/>
    <w:rsid w:val="001B730D"/>
    <w:rsid w:val="001B73C8"/>
    <w:rsid w:val="001B7405"/>
    <w:rsid w:val="001B74D0"/>
    <w:rsid w:val="001B7581"/>
    <w:rsid w:val="001B7714"/>
    <w:rsid w:val="001B793D"/>
    <w:rsid w:val="001B7BFD"/>
    <w:rsid w:val="001B7C32"/>
    <w:rsid w:val="001B7D13"/>
    <w:rsid w:val="001B7DA0"/>
    <w:rsid w:val="001B7DC0"/>
    <w:rsid w:val="001B7EA2"/>
    <w:rsid w:val="001B7ED3"/>
    <w:rsid w:val="001B7F0E"/>
    <w:rsid w:val="001B7FA3"/>
    <w:rsid w:val="001C010E"/>
    <w:rsid w:val="001C020E"/>
    <w:rsid w:val="001C0245"/>
    <w:rsid w:val="001C02D9"/>
    <w:rsid w:val="001C03C4"/>
    <w:rsid w:val="001C049E"/>
    <w:rsid w:val="001C06A9"/>
    <w:rsid w:val="001C0820"/>
    <w:rsid w:val="001C0871"/>
    <w:rsid w:val="001C0AE3"/>
    <w:rsid w:val="001C0BA3"/>
    <w:rsid w:val="001C0D0A"/>
    <w:rsid w:val="001C0D2C"/>
    <w:rsid w:val="001C0DC0"/>
    <w:rsid w:val="001C0DD0"/>
    <w:rsid w:val="001C0E57"/>
    <w:rsid w:val="001C0F51"/>
    <w:rsid w:val="001C116F"/>
    <w:rsid w:val="001C1170"/>
    <w:rsid w:val="001C1524"/>
    <w:rsid w:val="001C1565"/>
    <w:rsid w:val="001C1574"/>
    <w:rsid w:val="001C15C3"/>
    <w:rsid w:val="001C1762"/>
    <w:rsid w:val="001C17E0"/>
    <w:rsid w:val="001C1809"/>
    <w:rsid w:val="001C1925"/>
    <w:rsid w:val="001C1A66"/>
    <w:rsid w:val="001C1AB9"/>
    <w:rsid w:val="001C1BD3"/>
    <w:rsid w:val="001C1DF2"/>
    <w:rsid w:val="001C1F62"/>
    <w:rsid w:val="001C1F88"/>
    <w:rsid w:val="001C1FF3"/>
    <w:rsid w:val="001C2147"/>
    <w:rsid w:val="001C21D8"/>
    <w:rsid w:val="001C2271"/>
    <w:rsid w:val="001C22B5"/>
    <w:rsid w:val="001C236C"/>
    <w:rsid w:val="001C23BF"/>
    <w:rsid w:val="001C23F1"/>
    <w:rsid w:val="001C2417"/>
    <w:rsid w:val="001C2503"/>
    <w:rsid w:val="001C25F7"/>
    <w:rsid w:val="001C26C1"/>
    <w:rsid w:val="001C2920"/>
    <w:rsid w:val="001C2ADB"/>
    <w:rsid w:val="001C2E71"/>
    <w:rsid w:val="001C2F40"/>
    <w:rsid w:val="001C2F80"/>
    <w:rsid w:val="001C2FFA"/>
    <w:rsid w:val="001C30BB"/>
    <w:rsid w:val="001C31AF"/>
    <w:rsid w:val="001C32C1"/>
    <w:rsid w:val="001C32EA"/>
    <w:rsid w:val="001C32FD"/>
    <w:rsid w:val="001C3396"/>
    <w:rsid w:val="001C33B0"/>
    <w:rsid w:val="001C340A"/>
    <w:rsid w:val="001C3556"/>
    <w:rsid w:val="001C3657"/>
    <w:rsid w:val="001C36B0"/>
    <w:rsid w:val="001C36F8"/>
    <w:rsid w:val="001C3852"/>
    <w:rsid w:val="001C3901"/>
    <w:rsid w:val="001C39DA"/>
    <w:rsid w:val="001C3AA7"/>
    <w:rsid w:val="001C3C74"/>
    <w:rsid w:val="001C3E6E"/>
    <w:rsid w:val="001C3EDE"/>
    <w:rsid w:val="001C3FD9"/>
    <w:rsid w:val="001C4179"/>
    <w:rsid w:val="001C42A1"/>
    <w:rsid w:val="001C42AE"/>
    <w:rsid w:val="001C4314"/>
    <w:rsid w:val="001C4356"/>
    <w:rsid w:val="001C4379"/>
    <w:rsid w:val="001C4587"/>
    <w:rsid w:val="001C4589"/>
    <w:rsid w:val="001C4679"/>
    <w:rsid w:val="001C46EC"/>
    <w:rsid w:val="001C48A8"/>
    <w:rsid w:val="001C48C9"/>
    <w:rsid w:val="001C49A1"/>
    <w:rsid w:val="001C49A8"/>
    <w:rsid w:val="001C4A2B"/>
    <w:rsid w:val="001C4A93"/>
    <w:rsid w:val="001C4AA2"/>
    <w:rsid w:val="001C4B60"/>
    <w:rsid w:val="001C4B9C"/>
    <w:rsid w:val="001C4F0A"/>
    <w:rsid w:val="001C4FD4"/>
    <w:rsid w:val="001C507C"/>
    <w:rsid w:val="001C51C8"/>
    <w:rsid w:val="001C5202"/>
    <w:rsid w:val="001C5312"/>
    <w:rsid w:val="001C5314"/>
    <w:rsid w:val="001C54C1"/>
    <w:rsid w:val="001C54DF"/>
    <w:rsid w:val="001C576E"/>
    <w:rsid w:val="001C57C6"/>
    <w:rsid w:val="001C5800"/>
    <w:rsid w:val="001C5843"/>
    <w:rsid w:val="001C5952"/>
    <w:rsid w:val="001C5A69"/>
    <w:rsid w:val="001C5AE9"/>
    <w:rsid w:val="001C5B29"/>
    <w:rsid w:val="001C5BB8"/>
    <w:rsid w:val="001C5BE7"/>
    <w:rsid w:val="001C5C55"/>
    <w:rsid w:val="001C5CE7"/>
    <w:rsid w:val="001C5D27"/>
    <w:rsid w:val="001C5D6C"/>
    <w:rsid w:val="001C5EDC"/>
    <w:rsid w:val="001C5FB6"/>
    <w:rsid w:val="001C5FB8"/>
    <w:rsid w:val="001C6129"/>
    <w:rsid w:val="001C616E"/>
    <w:rsid w:val="001C62B2"/>
    <w:rsid w:val="001C6368"/>
    <w:rsid w:val="001C65C1"/>
    <w:rsid w:val="001C66C6"/>
    <w:rsid w:val="001C66E9"/>
    <w:rsid w:val="001C671A"/>
    <w:rsid w:val="001C6734"/>
    <w:rsid w:val="001C678F"/>
    <w:rsid w:val="001C686C"/>
    <w:rsid w:val="001C68C5"/>
    <w:rsid w:val="001C6A77"/>
    <w:rsid w:val="001C6B28"/>
    <w:rsid w:val="001C6BD0"/>
    <w:rsid w:val="001C6CAE"/>
    <w:rsid w:val="001C6E10"/>
    <w:rsid w:val="001C6F78"/>
    <w:rsid w:val="001C7082"/>
    <w:rsid w:val="001C711D"/>
    <w:rsid w:val="001C7169"/>
    <w:rsid w:val="001C71F4"/>
    <w:rsid w:val="001C749C"/>
    <w:rsid w:val="001C7538"/>
    <w:rsid w:val="001C7852"/>
    <w:rsid w:val="001C79DF"/>
    <w:rsid w:val="001C7C0E"/>
    <w:rsid w:val="001C7C22"/>
    <w:rsid w:val="001C7E73"/>
    <w:rsid w:val="001D0104"/>
    <w:rsid w:val="001D01B6"/>
    <w:rsid w:val="001D0296"/>
    <w:rsid w:val="001D0367"/>
    <w:rsid w:val="001D038F"/>
    <w:rsid w:val="001D039B"/>
    <w:rsid w:val="001D0415"/>
    <w:rsid w:val="001D08F2"/>
    <w:rsid w:val="001D090B"/>
    <w:rsid w:val="001D09FB"/>
    <w:rsid w:val="001D0ACF"/>
    <w:rsid w:val="001D0B6A"/>
    <w:rsid w:val="001D0BE6"/>
    <w:rsid w:val="001D0BF2"/>
    <w:rsid w:val="001D0C2F"/>
    <w:rsid w:val="001D0CBF"/>
    <w:rsid w:val="001D0DC0"/>
    <w:rsid w:val="001D0E3C"/>
    <w:rsid w:val="001D107C"/>
    <w:rsid w:val="001D1512"/>
    <w:rsid w:val="001D1571"/>
    <w:rsid w:val="001D15E2"/>
    <w:rsid w:val="001D1844"/>
    <w:rsid w:val="001D1858"/>
    <w:rsid w:val="001D18A1"/>
    <w:rsid w:val="001D19A8"/>
    <w:rsid w:val="001D1CFC"/>
    <w:rsid w:val="001D1D58"/>
    <w:rsid w:val="001D2081"/>
    <w:rsid w:val="001D20A1"/>
    <w:rsid w:val="001D21FC"/>
    <w:rsid w:val="001D22A7"/>
    <w:rsid w:val="001D233E"/>
    <w:rsid w:val="001D2398"/>
    <w:rsid w:val="001D245B"/>
    <w:rsid w:val="001D24AB"/>
    <w:rsid w:val="001D24EE"/>
    <w:rsid w:val="001D2858"/>
    <w:rsid w:val="001D293E"/>
    <w:rsid w:val="001D29FE"/>
    <w:rsid w:val="001D2BE8"/>
    <w:rsid w:val="001D2C9C"/>
    <w:rsid w:val="001D2D41"/>
    <w:rsid w:val="001D2EC3"/>
    <w:rsid w:val="001D2EC5"/>
    <w:rsid w:val="001D2EE9"/>
    <w:rsid w:val="001D2F74"/>
    <w:rsid w:val="001D2FD6"/>
    <w:rsid w:val="001D304B"/>
    <w:rsid w:val="001D309F"/>
    <w:rsid w:val="001D30EA"/>
    <w:rsid w:val="001D33D9"/>
    <w:rsid w:val="001D3416"/>
    <w:rsid w:val="001D379E"/>
    <w:rsid w:val="001D3892"/>
    <w:rsid w:val="001D3AB0"/>
    <w:rsid w:val="001D3D34"/>
    <w:rsid w:val="001D3D3D"/>
    <w:rsid w:val="001D3DA8"/>
    <w:rsid w:val="001D3DFF"/>
    <w:rsid w:val="001D3E46"/>
    <w:rsid w:val="001D3F16"/>
    <w:rsid w:val="001D403C"/>
    <w:rsid w:val="001D4063"/>
    <w:rsid w:val="001D410A"/>
    <w:rsid w:val="001D41BE"/>
    <w:rsid w:val="001D4300"/>
    <w:rsid w:val="001D43B1"/>
    <w:rsid w:val="001D444C"/>
    <w:rsid w:val="001D44D5"/>
    <w:rsid w:val="001D4599"/>
    <w:rsid w:val="001D45CA"/>
    <w:rsid w:val="001D45E4"/>
    <w:rsid w:val="001D4606"/>
    <w:rsid w:val="001D467D"/>
    <w:rsid w:val="001D4775"/>
    <w:rsid w:val="001D47E2"/>
    <w:rsid w:val="001D47F9"/>
    <w:rsid w:val="001D4905"/>
    <w:rsid w:val="001D4952"/>
    <w:rsid w:val="001D49C0"/>
    <w:rsid w:val="001D49C1"/>
    <w:rsid w:val="001D49CE"/>
    <w:rsid w:val="001D4A2B"/>
    <w:rsid w:val="001D4B0A"/>
    <w:rsid w:val="001D4DB3"/>
    <w:rsid w:val="001D4F00"/>
    <w:rsid w:val="001D4FD9"/>
    <w:rsid w:val="001D51C2"/>
    <w:rsid w:val="001D51D7"/>
    <w:rsid w:val="001D53BE"/>
    <w:rsid w:val="001D55C9"/>
    <w:rsid w:val="001D5760"/>
    <w:rsid w:val="001D58F5"/>
    <w:rsid w:val="001D5962"/>
    <w:rsid w:val="001D5B15"/>
    <w:rsid w:val="001D5B5F"/>
    <w:rsid w:val="001D5B68"/>
    <w:rsid w:val="001D5C2A"/>
    <w:rsid w:val="001D5C6A"/>
    <w:rsid w:val="001D5C9B"/>
    <w:rsid w:val="001D5CE8"/>
    <w:rsid w:val="001D5DD6"/>
    <w:rsid w:val="001D5E2C"/>
    <w:rsid w:val="001D5E8E"/>
    <w:rsid w:val="001D5ECE"/>
    <w:rsid w:val="001D5F0D"/>
    <w:rsid w:val="001D5F34"/>
    <w:rsid w:val="001D61D4"/>
    <w:rsid w:val="001D620A"/>
    <w:rsid w:val="001D62C2"/>
    <w:rsid w:val="001D65AD"/>
    <w:rsid w:val="001D66A1"/>
    <w:rsid w:val="001D66F0"/>
    <w:rsid w:val="001D677A"/>
    <w:rsid w:val="001D687C"/>
    <w:rsid w:val="001D6971"/>
    <w:rsid w:val="001D69CF"/>
    <w:rsid w:val="001D6A21"/>
    <w:rsid w:val="001D6A30"/>
    <w:rsid w:val="001D6B2F"/>
    <w:rsid w:val="001D6B5B"/>
    <w:rsid w:val="001D6C6F"/>
    <w:rsid w:val="001D6D1E"/>
    <w:rsid w:val="001D6E45"/>
    <w:rsid w:val="001D6F71"/>
    <w:rsid w:val="001D7222"/>
    <w:rsid w:val="001D729E"/>
    <w:rsid w:val="001D73FB"/>
    <w:rsid w:val="001D7427"/>
    <w:rsid w:val="001D744D"/>
    <w:rsid w:val="001D7456"/>
    <w:rsid w:val="001D7538"/>
    <w:rsid w:val="001D753B"/>
    <w:rsid w:val="001D764C"/>
    <w:rsid w:val="001D7688"/>
    <w:rsid w:val="001D7AEF"/>
    <w:rsid w:val="001D7B3B"/>
    <w:rsid w:val="001D7B67"/>
    <w:rsid w:val="001D7B6B"/>
    <w:rsid w:val="001D7B97"/>
    <w:rsid w:val="001D7BEE"/>
    <w:rsid w:val="001D7D5C"/>
    <w:rsid w:val="001D7EEC"/>
    <w:rsid w:val="001D7F46"/>
    <w:rsid w:val="001D7F4A"/>
    <w:rsid w:val="001D7F58"/>
    <w:rsid w:val="001E0019"/>
    <w:rsid w:val="001E011A"/>
    <w:rsid w:val="001E02B1"/>
    <w:rsid w:val="001E02D3"/>
    <w:rsid w:val="001E033A"/>
    <w:rsid w:val="001E039B"/>
    <w:rsid w:val="001E0578"/>
    <w:rsid w:val="001E062F"/>
    <w:rsid w:val="001E0641"/>
    <w:rsid w:val="001E0658"/>
    <w:rsid w:val="001E06B1"/>
    <w:rsid w:val="001E08F8"/>
    <w:rsid w:val="001E092A"/>
    <w:rsid w:val="001E09B2"/>
    <w:rsid w:val="001E0A3C"/>
    <w:rsid w:val="001E0AC3"/>
    <w:rsid w:val="001E0BC6"/>
    <w:rsid w:val="001E0C79"/>
    <w:rsid w:val="001E0C95"/>
    <w:rsid w:val="001E0D06"/>
    <w:rsid w:val="001E0D5A"/>
    <w:rsid w:val="001E0D5F"/>
    <w:rsid w:val="001E0E6F"/>
    <w:rsid w:val="001E10A5"/>
    <w:rsid w:val="001E10F2"/>
    <w:rsid w:val="001E1205"/>
    <w:rsid w:val="001E1361"/>
    <w:rsid w:val="001E1484"/>
    <w:rsid w:val="001E153A"/>
    <w:rsid w:val="001E18C3"/>
    <w:rsid w:val="001E1A93"/>
    <w:rsid w:val="001E1BA4"/>
    <w:rsid w:val="001E1C3C"/>
    <w:rsid w:val="001E1F14"/>
    <w:rsid w:val="001E1F16"/>
    <w:rsid w:val="001E1F5D"/>
    <w:rsid w:val="001E2316"/>
    <w:rsid w:val="001E237A"/>
    <w:rsid w:val="001E2498"/>
    <w:rsid w:val="001E24CA"/>
    <w:rsid w:val="001E24E3"/>
    <w:rsid w:val="001E25E0"/>
    <w:rsid w:val="001E264E"/>
    <w:rsid w:val="001E2695"/>
    <w:rsid w:val="001E2732"/>
    <w:rsid w:val="001E27DC"/>
    <w:rsid w:val="001E29C3"/>
    <w:rsid w:val="001E29F8"/>
    <w:rsid w:val="001E2A84"/>
    <w:rsid w:val="001E2B3C"/>
    <w:rsid w:val="001E2CA2"/>
    <w:rsid w:val="001E2DC2"/>
    <w:rsid w:val="001E2F20"/>
    <w:rsid w:val="001E3108"/>
    <w:rsid w:val="001E3121"/>
    <w:rsid w:val="001E31BA"/>
    <w:rsid w:val="001E328B"/>
    <w:rsid w:val="001E33CE"/>
    <w:rsid w:val="001E3685"/>
    <w:rsid w:val="001E37BB"/>
    <w:rsid w:val="001E3817"/>
    <w:rsid w:val="001E386B"/>
    <w:rsid w:val="001E39D6"/>
    <w:rsid w:val="001E3A9B"/>
    <w:rsid w:val="001E3AEA"/>
    <w:rsid w:val="001E3B52"/>
    <w:rsid w:val="001E3BF2"/>
    <w:rsid w:val="001E3C14"/>
    <w:rsid w:val="001E3C37"/>
    <w:rsid w:val="001E4088"/>
    <w:rsid w:val="001E440D"/>
    <w:rsid w:val="001E470E"/>
    <w:rsid w:val="001E4851"/>
    <w:rsid w:val="001E4A50"/>
    <w:rsid w:val="001E4AC6"/>
    <w:rsid w:val="001E4C9B"/>
    <w:rsid w:val="001E4D1E"/>
    <w:rsid w:val="001E516A"/>
    <w:rsid w:val="001E51CC"/>
    <w:rsid w:val="001E5274"/>
    <w:rsid w:val="001E545D"/>
    <w:rsid w:val="001E5522"/>
    <w:rsid w:val="001E55E1"/>
    <w:rsid w:val="001E567F"/>
    <w:rsid w:val="001E57D5"/>
    <w:rsid w:val="001E5866"/>
    <w:rsid w:val="001E5993"/>
    <w:rsid w:val="001E59C9"/>
    <w:rsid w:val="001E5D43"/>
    <w:rsid w:val="001E5D9D"/>
    <w:rsid w:val="001E5DD3"/>
    <w:rsid w:val="001E5F06"/>
    <w:rsid w:val="001E5FAD"/>
    <w:rsid w:val="001E602E"/>
    <w:rsid w:val="001E605A"/>
    <w:rsid w:val="001E6175"/>
    <w:rsid w:val="001E6193"/>
    <w:rsid w:val="001E6305"/>
    <w:rsid w:val="001E6315"/>
    <w:rsid w:val="001E64CB"/>
    <w:rsid w:val="001E655F"/>
    <w:rsid w:val="001E663C"/>
    <w:rsid w:val="001E6681"/>
    <w:rsid w:val="001E68AE"/>
    <w:rsid w:val="001E69C4"/>
    <w:rsid w:val="001E6A6C"/>
    <w:rsid w:val="001E6DEA"/>
    <w:rsid w:val="001E6F37"/>
    <w:rsid w:val="001E72A5"/>
    <w:rsid w:val="001E72FA"/>
    <w:rsid w:val="001E7331"/>
    <w:rsid w:val="001E734A"/>
    <w:rsid w:val="001E749F"/>
    <w:rsid w:val="001E7505"/>
    <w:rsid w:val="001E7785"/>
    <w:rsid w:val="001E77F9"/>
    <w:rsid w:val="001E7895"/>
    <w:rsid w:val="001E799C"/>
    <w:rsid w:val="001E7B4E"/>
    <w:rsid w:val="001E7B5B"/>
    <w:rsid w:val="001E7B82"/>
    <w:rsid w:val="001E7B83"/>
    <w:rsid w:val="001E7C14"/>
    <w:rsid w:val="001E7D09"/>
    <w:rsid w:val="001E7DE3"/>
    <w:rsid w:val="001E7E9E"/>
    <w:rsid w:val="001E7EF3"/>
    <w:rsid w:val="001E7F07"/>
    <w:rsid w:val="001E7F25"/>
    <w:rsid w:val="001E7FD6"/>
    <w:rsid w:val="001F01D6"/>
    <w:rsid w:val="001F0259"/>
    <w:rsid w:val="001F032C"/>
    <w:rsid w:val="001F0350"/>
    <w:rsid w:val="001F039C"/>
    <w:rsid w:val="001F0592"/>
    <w:rsid w:val="001F059E"/>
    <w:rsid w:val="001F0608"/>
    <w:rsid w:val="001F06C6"/>
    <w:rsid w:val="001F06C8"/>
    <w:rsid w:val="001F0761"/>
    <w:rsid w:val="001F0B22"/>
    <w:rsid w:val="001F0B9F"/>
    <w:rsid w:val="001F0C69"/>
    <w:rsid w:val="001F0D82"/>
    <w:rsid w:val="001F0DE4"/>
    <w:rsid w:val="001F0F89"/>
    <w:rsid w:val="001F1040"/>
    <w:rsid w:val="001F10EC"/>
    <w:rsid w:val="001F119A"/>
    <w:rsid w:val="001F1250"/>
    <w:rsid w:val="001F127E"/>
    <w:rsid w:val="001F14A4"/>
    <w:rsid w:val="001F15FE"/>
    <w:rsid w:val="001F15FF"/>
    <w:rsid w:val="001F18DC"/>
    <w:rsid w:val="001F1BAB"/>
    <w:rsid w:val="001F1D56"/>
    <w:rsid w:val="001F1E50"/>
    <w:rsid w:val="001F1E51"/>
    <w:rsid w:val="001F1EE2"/>
    <w:rsid w:val="001F1F85"/>
    <w:rsid w:val="001F216D"/>
    <w:rsid w:val="001F233A"/>
    <w:rsid w:val="001F2370"/>
    <w:rsid w:val="001F23E8"/>
    <w:rsid w:val="001F24C7"/>
    <w:rsid w:val="001F26C1"/>
    <w:rsid w:val="001F28EB"/>
    <w:rsid w:val="001F2927"/>
    <w:rsid w:val="001F2B0B"/>
    <w:rsid w:val="001F2BA6"/>
    <w:rsid w:val="001F2C0E"/>
    <w:rsid w:val="001F2E3D"/>
    <w:rsid w:val="001F2E59"/>
    <w:rsid w:val="001F2F34"/>
    <w:rsid w:val="001F2F6F"/>
    <w:rsid w:val="001F3042"/>
    <w:rsid w:val="001F3050"/>
    <w:rsid w:val="001F313B"/>
    <w:rsid w:val="001F324B"/>
    <w:rsid w:val="001F32CF"/>
    <w:rsid w:val="001F3381"/>
    <w:rsid w:val="001F353C"/>
    <w:rsid w:val="001F357A"/>
    <w:rsid w:val="001F36C1"/>
    <w:rsid w:val="001F37A3"/>
    <w:rsid w:val="001F37BB"/>
    <w:rsid w:val="001F3BBE"/>
    <w:rsid w:val="001F3C1F"/>
    <w:rsid w:val="001F3D88"/>
    <w:rsid w:val="001F3F3D"/>
    <w:rsid w:val="001F3F6A"/>
    <w:rsid w:val="001F3FCB"/>
    <w:rsid w:val="001F3FDD"/>
    <w:rsid w:val="001F4088"/>
    <w:rsid w:val="001F4146"/>
    <w:rsid w:val="001F4149"/>
    <w:rsid w:val="001F422E"/>
    <w:rsid w:val="001F4341"/>
    <w:rsid w:val="001F4430"/>
    <w:rsid w:val="001F44A6"/>
    <w:rsid w:val="001F4526"/>
    <w:rsid w:val="001F4544"/>
    <w:rsid w:val="001F45C4"/>
    <w:rsid w:val="001F4656"/>
    <w:rsid w:val="001F46B3"/>
    <w:rsid w:val="001F46BB"/>
    <w:rsid w:val="001F47D5"/>
    <w:rsid w:val="001F4877"/>
    <w:rsid w:val="001F4883"/>
    <w:rsid w:val="001F48FE"/>
    <w:rsid w:val="001F4946"/>
    <w:rsid w:val="001F4A76"/>
    <w:rsid w:val="001F4B36"/>
    <w:rsid w:val="001F4C24"/>
    <w:rsid w:val="001F4C8F"/>
    <w:rsid w:val="001F4F08"/>
    <w:rsid w:val="001F4F69"/>
    <w:rsid w:val="001F507C"/>
    <w:rsid w:val="001F5201"/>
    <w:rsid w:val="001F5334"/>
    <w:rsid w:val="001F539D"/>
    <w:rsid w:val="001F5403"/>
    <w:rsid w:val="001F5462"/>
    <w:rsid w:val="001F5481"/>
    <w:rsid w:val="001F5515"/>
    <w:rsid w:val="001F5662"/>
    <w:rsid w:val="001F56EB"/>
    <w:rsid w:val="001F5758"/>
    <w:rsid w:val="001F5771"/>
    <w:rsid w:val="001F5842"/>
    <w:rsid w:val="001F58F7"/>
    <w:rsid w:val="001F5A18"/>
    <w:rsid w:val="001F5AA9"/>
    <w:rsid w:val="001F5AAA"/>
    <w:rsid w:val="001F5ABC"/>
    <w:rsid w:val="001F5B20"/>
    <w:rsid w:val="001F5B6B"/>
    <w:rsid w:val="001F5BB0"/>
    <w:rsid w:val="001F5EF2"/>
    <w:rsid w:val="001F5F0C"/>
    <w:rsid w:val="001F6024"/>
    <w:rsid w:val="001F60CF"/>
    <w:rsid w:val="001F6160"/>
    <w:rsid w:val="001F662B"/>
    <w:rsid w:val="001F688D"/>
    <w:rsid w:val="001F6B04"/>
    <w:rsid w:val="001F6C77"/>
    <w:rsid w:val="001F6D7D"/>
    <w:rsid w:val="001F6E91"/>
    <w:rsid w:val="001F7038"/>
    <w:rsid w:val="001F71C8"/>
    <w:rsid w:val="001F7221"/>
    <w:rsid w:val="001F730D"/>
    <w:rsid w:val="001F7326"/>
    <w:rsid w:val="001F73A1"/>
    <w:rsid w:val="001F7478"/>
    <w:rsid w:val="001F74C5"/>
    <w:rsid w:val="001F77A0"/>
    <w:rsid w:val="001F7938"/>
    <w:rsid w:val="001F7940"/>
    <w:rsid w:val="001F79A2"/>
    <w:rsid w:val="001F7B10"/>
    <w:rsid w:val="001F7B6C"/>
    <w:rsid w:val="001F7CEB"/>
    <w:rsid w:val="001F7CEE"/>
    <w:rsid w:val="001F7E14"/>
    <w:rsid w:val="001FE7B2"/>
    <w:rsid w:val="002000B0"/>
    <w:rsid w:val="002000DD"/>
    <w:rsid w:val="00200116"/>
    <w:rsid w:val="0020013C"/>
    <w:rsid w:val="00200246"/>
    <w:rsid w:val="0020035A"/>
    <w:rsid w:val="002003FC"/>
    <w:rsid w:val="00200481"/>
    <w:rsid w:val="0020054E"/>
    <w:rsid w:val="0020060B"/>
    <w:rsid w:val="00200732"/>
    <w:rsid w:val="00200756"/>
    <w:rsid w:val="002008F3"/>
    <w:rsid w:val="00200957"/>
    <w:rsid w:val="002009EF"/>
    <w:rsid w:val="00200B24"/>
    <w:rsid w:val="00200B39"/>
    <w:rsid w:val="00200BB9"/>
    <w:rsid w:val="00200C0F"/>
    <w:rsid w:val="00200C91"/>
    <w:rsid w:val="00200D1C"/>
    <w:rsid w:val="00200D87"/>
    <w:rsid w:val="00200EFF"/>
    <w:rsid w:val="00200F41"/>
    <w:rsid w:val="00200FC9"/>
    <w:rsid w:val="002010DE"/>
    <w:rsid w:val="0020112F"/>
    <w:rsid w:val="002011B8"/>
    <w:rsid w:val="0020127D"/>
    <w:rsid w:val="00201358"/>
    <w:rsid w:val="002014FE"/>
    <w:rsid w:val="0020152E"/>
    <w:rsid w:val="002016AA"/>
    <w:rsid w:val="002016C0"/>
    <w:rsid w:val="0020172F"/>
    <w:rsid w:val="002017A6"/>
    <w:rsid w:val="002017A7"/>
    <w:rsid w:val="002018F9"/>
    <w:rsid w:val="002019A9"/>
    <w:rsid w:val="002019B9"/>
    <w:rsid w:val="002019D7"/>
    <w:rsid w:val="00201A81"/>
    <w:rsid w:val="00201A89"/>
    <w:rsid w:val="00201AB7"/>
    <w:rsid w:val="00201C3B"/>
    <w:rsid w:val="00201CC2"/>
    <w:rsid w:val="00201D99"/>
    <w:rsid w:val="00201E1B"/>
    <w:rsid w:val="00202367"/>
    <w:rsid w:val="0020236C"/>
    <w:rsid w:val="002023DE"/>
    <w:rsid w:val="00202640"/>
    <w:rsid w:val="0020273F"/>
    <w:rsid w:val="0020299E"/>
    <w:rsid w:val="00202B42"/>
    <w:rsid w:val="00202C02"/>
    <w:rsid w:val="00202C08"/>
    <w:rsid w:val="00202C64"/>
    <w:rsid w:val="00202CE1"/>
    <w:rsid w:val="00202D0E"/>
    <w:rsid w:val="00202D12"/>
    <w:rsid w:val="00202EF4"/>
    <w:rsid w:val="00202F12"/>
    <w:rsid w:val="00202F31"/>
    <w:rsid w:val="00202F3F"/>
    <w:rsid w:val="002031A9"/>
    <w:rsid w:val="00203241"/>
    <w:rsid w:val="00203292"/>
    <w:rsid w:val="00203327"/>
    <w:rsid w:val="002033A6"/>
    <w:rsid w:val="00203572"/>
    <w:rsid w:val="0020364E"/>
    <w:rsid w:val="002037D7"/>
    <w:rsid w:val="0020381F"/>
    <w:rsid w:val="002039F7"/>
    <w:rsid w:val="00203A08"/>
    <w:rsid w:val="00203A16"/>
    <w:rsid w:val="00203C9F"/>
    <w:rsid w:val="00203CAC"/>
    <w:rsid w:val="00203D8D"/>
    <w:rsid w:val="00204147"/>
    <w:rsid w:val="0020424A"/>
    <w:rsid w:val="00204378"/>
    <w:rsid w:val="002043A5"/>
    <w:rsid w:val="002043AE"/>
    <w:rsid w:val="002045A4"/>
    <w:rsid w:val="0020465B"/>
    <w:rsid w:val="002048EA"/>
    <w:rsid w:val="00204AB5"/>
    <w:rsid w:val="00204B1A"/>
    <w:rsid w:val="00204B3D"/>
    <w:rsid w:val="00204CD8"/>
    <w:rsid w:val="00204F71"/>
    <w:rsid w:val="00204F72"/>
    <w:rsid w:val="00205123"/>
    <w:rsid w:val="0020515D"/>
    <w:rsid w:val="00205186"/>
    <w:rsid w:val="002052B6"/>
    <w:rsid w:val="00205366"/>
    <w:rsid w:val="002053E9"/>
    <w:rsid w:val="0020545B"/>
    <w:rsid w:val="00205549"/>
    <w:rsid w:val="002055C1"/>
    <w:rsid w:val="002056F7"/>
    <w:rsid w:val="00205713"/>
    <w:rsid w:val="0020577B"/>
    <w:rsid w:val="0020589C"/>
    <w:rsid w:val="00205917"/>
    <w:rsid w:val="0020596B"/>
    <w:rsid w:val="0020596C"/>
    <w:rsid w:val="00205C2D"/>
    <w:rsid w:val="00205CF5"/>
    <w:rsid w:val="00205D76"/>
    <w:rsid w:val="00205DB8"/>
    <w:rsid w:val="00205ED6"/>
    <w:rsid w:val="00205FD6"/>
    <w:rsid w:val="002060EE"/>
    <w:rsid w:val="002061BE"/>
    <w:rsid w:val="002061ED"/>
    <w:rsid w:val="00206235"/>
    <w:rsid w:val="0020628E"/>
    <w:rsid w:val="00206316"/>
    <w:rsid w:val="00206319"/>
    <w:rsid w:val="0020638C"/>
    <w:rsid w:val="002063AA"/>
    <w:rsid w:val="0020640E"/>
    <w:rsid w:val="00206544"/>
    <w:rsid w:val="00206766"/>
    <w:rsid w:val="0020677B"/>
    <w:rsid w:val="00206905"/>
    <w:rsid w:val="00206961"/>
    <w:rsid w:val="00206A01"/>
    <w:rsid w:val="00206AC0"/>
    <w:rsid w:val="00206C53"/>
    <w:rsid w:val="00206C5F"/>
    <w:rsid w:val="00206C9B"/>
    <w:rsid w:val="00206D85"/>
    <w:rsid w:val="00206DCC"/>
    <w:rsid w:val="00206EBC"/>
    <w:rsid w:val="00206ED2"/>
    <w:rsid w:val="00206F16"/>
    <w:rsid w:val="00206FB2"/>
    <w:rsid w:val="0020711E"/>
    <w:rsid w:val="0020712F"/>
    <w:rsid w:val="0020722B"/>
    <w:rsid w:val="002072D6"/>
    <w:rsid w:val="00207337"/>
    <w:rsid w:val="00207369"/>
    <w:rsid w:val="00207377"/>
    <w:rsid w:val="002073FC"/>
    <w:rsid w:val="00207402"/>
    <w:rsid w:val="00207453"/>
    <w:rsid w:val="002075C4"/>
    <w:rsid w:val="002075CB"/>
    <w:rsid w:val="00207680"/>
    <w:rsid w:val="002076E9"/>
    <w:rsid w:val="00207734"/>
    <w:rsid w:val="0020775E"/>
    <w:rsid w:val="00207792"/>
    <w:rsid w:val="002077AD"/>
    <w:rsid w:val="0020788E"/>
    <w:rsid w:val="0020793B"/>
    <w:rsid w:val="0020795E"/>
    <w:rsid w:val="00207A3F"/>
    <w:rsid w:val="00207AB6"/>
    <w:rsid w:val="00207B1A"/>
    <w:rsid w:val="0021033C"/>
    <w:rsid w:val="002103A0"/>
    <w:rsid w:val="002103C6"/>
    <w:rsid w:val="0021048F"/>
    <w:rsid w:val="00210492"/>
    <w:rsid w:val="002105E8"/>
    <w:rsid w:val="002105F3"/>
    <w:rsid w:val="00210630"/>
    <w:rsid w:val="00210637"/>
    <w:rsid w:val="0021072A"/>
    <w:rsid w:val="00210748"/>
    <w:rsid w:val="0021076A"/>
    <w:rsid w:val="00210817"/>
    <w:rsid w:val="002109BB"/>
    <w:rsid w:val="002109FF"/>
    <w:rsid w:val="00210A27"/>
    <w:rsid w:val="00210B01"/>
    <w:rsid w:val="00210B0F"/>
    <w:rsid w:val="00210B8B"/>
    <w:rsid w:val="00210BC5"/>
    <w:rsid w:val="00210BE6"/>
    <w:rsid w:val="00210BEA"/>
    <w:rsid w:val="00210BF6"/>
    <w:rsid w:val="00210CF3"/>
    <w:rsid w:val="00210D3D"/>
    <w:rsid w:val="00210D70"/>
    <w:rsid w:val="00210E72"/>
    <w:rsid w:val="00210E85"/>
    <w:rsid w:val="00210EAB"/>
    <w:rsid w:val="00210F90"/>
    <w:rsid w:val="00210FD0"/>
    <w:rsid w:val="0021108B"/>
    <w:rsid w:val="00211111"/>
    <w:rsid w:val="0021114E"/>
    <w:rsid w:val="0021117A"/>
    <w:rsid w:val="002111D3"/>
    <w:rsid w:val="0021120D"/>
    <w:rsid w:val="00211224"/>
    <w:rsid w:val="002113A6"/>
    <w:rsid w:val="002115C8"/>
    <w:rsid w:val="0021169B"/>
    <w:rsid w:val="0021176A"/>
    <w:rsid w:val="0021185F"/>
    <w:rsid w:val="00211894"/>
    <w:rsid w:val="00211971"/>
    <w:rsid w:val="00211AAC"/>
    <w:rsid w:val="00211B8B"/>
    <w:rsid w:val="00211C17"/>
    <w:rsid w:val="00211D37"/>
    <w:rsid w:val="00211DF6"/>
    <w:rsid w:val="00211EE3"/>
    <w:rsid w:val="002121C5"/>
    <w:rsid w:val="002122CB"/>
    <w:rsid w:val="002124F5"/>
    <w:rsid w:val="002125B3"/>
    <w:rsid w:val="00212750"/>
    <w:rsid w:val="002127DC"/>
    <w:rsid w:val="002129DB"/>
    <w:rsid w:val="00212AAE"/>
    <w:rsid w:val="00212E41"/>
    <w:rsid w:val="00212EF5"/>
    <w:rsid w:val="0021317F"/>
    <w:rsid w:val="002131CA"/>
    <w:rsid w:val="00213231"/>
    <w:rsid w:val="00213368"/>
    <w:rsid w:val="002133D0"/>
    <w:rsid w:val="002133ED"/>
    <w:rsid w:val="00213401"/>
    <w:rsid w:val="0021344B"/>
    <w:rsid w:val="002135D3"/>
    <w:rsid w:val="002135D7"/>
    <w:rsid w:val="00213659"/>
    <w:rsid w:val="00213706"/>
    <w:rsid w:val="0021389E"/>
    <w:rsid w:val="00213909"/>
    <w:rsid w:val="00213C52"/>
    <w:rsid w:val="00213CAD"/>
    <w:rsid w:val="00213CCF"/>
    <w:rsid w:val="00213D6A"/>
    <w:rsid w:val="00213E11"/>
    <w:rsid w:val="00213EE8"/>
    <w:rsid w:val="00213EFC"/>
    <w:rsid w:val="00213F7D"/>
    <w:rsid w:val="00213F8C"/>
    <w:rsid w:val="00213FF2"/>
    <w:rsid w:val="00214093"/>
    <w:rsid w:val="00214129"/>
    <w:rsid w:val="002141E6"/>
    <w:rsid w:val="002141EC"/>
    <w:rsid w:val="00214232"/>
    <w:rsid w:val="002143FB"/>
    <w:rsid w:val="0021441B"/>
    <w:rsid w:val="00214458"/>
    <w:rsid w:val="00214472"/>
    <w:rsid w:val="00214503"/>
    <w:rsid w:val="002145AD"/>
    <w:rsid w:val="00214662"/>
    <w:rsid w:val="002147FD"/>
    <w:rsid w:val="0021485E"/>
    <w:rsid w:val="0021493E"/>
    <w:rsid w:val="00214A33"/>
    <w:rsid w:val="00214EE0"/>
    <w:rsid w:val="00214F46"/>
    <w:rsid w:val="00214FF4"/>
    <w:rsid w:val="0021512F"/>
    <w:rsid w:val="00215205"/>
    <w:rsid w:val="00215208"/>
    <w:rsid w:val="0021526F"/>
    <w:rsid w:val="00215326"/>
    <w:rsid w:val="002155B4"/>
    <w:rsid w:val="002155E0"/>
    <w:rsid w:val="0021560C"/>
    <w:rsid w:val="002156C6"/>
    <w:rsid w:val="002156EE"/>
    <w:rsid w:val="0021570F"/>
    <w:rsid w:val="002157AB"/>
    <w:rsid w:val="00215816"/>
    <w:rsid w:val="002159CC"/>
    <w:rsid w:val="002159E2"/>
    <w:rsid w:val="00215A38"/>
    <w:rsid w:val="00215AD4"/>
    <w:rsid w:val="00215CB3"/>
    <w:rsid w:val="00215D97"/>
    <w:rsid w:val="00215E20"/>
    <w:rsid w:val="00215FB7"/>
    <w:rsid w:val="00215FE0"/>
    <w:rsid w:val="00216066"/>
    <w:rsid w:val="00216135"/>
    <w:rsid w:val="002161DE"/>
    <w:rsid w:val="002162FC"/>
    <w:rsid w:val="0021632B"/>
    <w:rsid w:val="00216436"/>
    <w:rsid w:val="0021646A"/>
    <w:rsid w:val="002167A0"/>
    <w:rsid w:val="00216873"/>
    <w:rsid w:val="0021688A"/>
    <w:rsid w:val="002168EA"/>
    <w:rsid w:val="00216B27"/>
    <w:rsid w:val="00216B54"/>
    <w:rsid w:val="00216B94"/>
    <w:rsid w:val="00216BFA"/>
    <w:rsid w:val="00216D41"/>
    <w:rsid w:val="00216DA1"/>
    <w:rsid w:val="00216EE5"/>
    <w:rsid w:val="00216F35"/>
    <w:rsid w:val="00217065"/>
    <w:rsid w:val="00217090"/>
    <w:rsid w:val="00217155"/>
    <w:rsid w:val="00217268"/>
    <w:rsid w:val="00217349"/>
    <w:rsid w:val="00217418"/>
    <w:rsid w:val="00217436"/>
    <w:rsid w:val="00217445"/>
    <w:rsid w:val="002174CE"/>
    <w:rsid w:val="002175F1"/>
    <w:rsid w:val="00217688"/>
    <w:rsid w:val="00217714"/>
    <w:rsid w:val="0021779F"/>
    <w:rsid w:val="00217819"/>
    <w:rsid w:val="0021786F"/>
    <w:rsid w:val="002178F4"/>
    <w:rsid w:val="00217A3A"/>
    <w:rsid w:val="00217B0F"/>
    <w:rsid w:val="00217C05"/>
    <w:rsid w:val="00217E10"/>
    <w:rsid w:val="00217EF0"/>
    <w:rsid w:val="00217F7B"/>
    <w:rsid w:val="00220104"/>
    <w:rsid w:val="00220157"/>
    <w:rsid w:val="00220231"/>
    <w:rsid w:val="002203C5"/>
    <w:rsid w:val="002205B1"/>
    <w:rsid w:val="002205C5"/>
    <w:rsid w:val="00220972"/>
    <w:rsid w:val="002209BE"/>
    <w:rsid w:val="00220A61"/>
    <w:rsid w:val="00220BA4"/>
    <w:rsid w:val="00220D5A"/>
    <w:rsid w:val="00220D9C"/>
    <w:rsid w:val="00220E81"/>
    <w:rsid w:val="00220FA2"/>
    <w:rsid w:val="0022118B"/>
    <w:rsid w:val="0022135B"/>
    <w:rsid w:val="0022137A"/>
    <w:rsid w:val="002213A3"/>
    <w:rsid w:val="0022140D"/>
    <w:rsid w:val="0022151B"/>
    <w:rsid w:val="00221589"/>
    <w:rsid w:val="002217E2"/>
    <w:rsid w:val="0022185A"/>
    <w:rsid w:val="00221863"/>
    <w:rsid w:val="002218D2"/>
    <w:rsid w:val="00221BD5"/>
    <w:rsid w:val="00221D95"/>
    <w:rsid w:val="00221E78"/>
    <w:rsid w:val="00221E7A"/>
    <w:rsid w:val="00221FF2"/>
    <w:rsid w:val="00222087"/>
    <w:rsid w:val="002221C6"/>
    <w:rsid w:val="00222215"/>
    <w:rsid w:val="002222D8"/>
    <w:rsid w:val="00222338"/>
    <w:rsid w:val="00222350"/>
    <w:rsid w:val="0022238F"/>
    <w:rsid w:val="0022248A"/>
    <w:rsid w:val="002226BB"/>
    <w:rsid w:val="002226DD"/>
    <w:rsid w:val="00222735"/>
    <w:rsid w:val="00222863"/>
    <w:rsid w:val="00222915"/>
    <w:rsid w:val="00222A5D"/>
    <w:rsid w:val="00222B9B"/>
    <w:rsid w:val="00222BAD"/>
    <w:rsid w:val="00222BC0"/>
    <w:rsid w:val="00222E94"/>
    <w:rsid w:val="00222F2E"/>
    <w:rsid w:val="00222F9F"/>
    <w:rsid w:val="00223102"/>
    <w:rsid w:val="002232F4"/>
    <w:rsid w:val="002232F7"/>
    <w:rsid w:val="002232F9"/>
    <w:rsid w:val="002232FE"/>
    <w:rsid w:val="002233D8"/>
    <w:rsid w:val="002233F4"/>
    <w:rsid w:val="0022342E"/>
    <w:rsid w:val="002236F5"/>
    <w:rsid w:val="0022374E"/>
    <w:rsid w:val="00223786"/>
    <w:rsid w:val="00223787"/>
    <w:rsid w:val="002237C2"/>
    <w:rsid w:val="002237C9"/>
    <w:rsid w:val="00223805"/>
    <w:rsid w:val="002238EC"/>
    <w:rsid w:val="00223DB5"/>
    <w:rsid w:val="00223FC4"/>
    <w:rsid w:val="00224011"/>
    <w:rsid w:val="00224042"/>
    <w:rsid w:val="00224077"/>
    <w:rsid w:val="002241AA"/>
    <w:rsid w:val="002241D6"/>
    <w:rsid w:val="00224364"/>
    <w:rsid w:val="00224428"/>
    <w:rsid w:val="002245C5"/>
    <w:rsid w:val="0022474B"/>
    <w:rsid w:val="002249A9"/>
    <w:rsid w:val="002249B4"/>
    <w:rsid w:val="00224A0D"/>
    <w:rsid w:val="00224A4A"/>
    <w:rsid w:val="00224A62"/>
    <w:rsid w:val="00224C03"/>
    <w:rsid w:val="00224CDD"/>
    <w:rsid w:val="00224D60"/>
    <w:rsid w:val="00224D82"/>
    <w:rsid w:val="00224E1F"/>
    <w:rsid w:val="00224F2B"/>
    <w:rsid w:val="00225112"/>
    <w:rsid w:val="00225186"/>
    <w:rsid w:val="0022520F"/>
    <w:rsid w:val="0022530B"/>
    <w:rsid w:val="00225485"/>
    <w:rsid w:val="002254A1"/>
    <w:rsid w:val="0022554D"/>
    <w:rsid w:val="002256B0"/>
    <w:rsid w:val="00225892"/>
    <w:rsid w:val="00225899"/>
    <w:rsid w:val="0022599A"/>
    <w:rsid w:val="00225AD0"/>
    <w:rsid w:val="00225B45"/>
    <w:rsid w:val="00225BC1"/>
    <w:rsid w:val="00225D3D"/>
    <w:rsid w:val="00225DB0"/>
    <w:rsid w:val="00225DD8"/>
    <w:rsid w:val="00225EC8"/>
    <w:rsid w:val="00226069"/>
    <w:rsid w:val="00226098"/>
    <w:rsid w:val="00226105"/>
    <w:rsid w:val="002261B1"/>
    <w:rsid w:val="00226342"/>
    <w:rsid w:val="002265D1"/>
    <w:rsid w:val="0022661A"/>
    <w:rsid w:val="00226622"/>
    <w:rsid w:val="0022664C"/>
    <w:rsid w:val="0022669A"/>
    <w:rsid w:val="002266C0"/>
    <w:rsid w:val="002267B9"/>
    <w:rsid w:val="0022685C"/>
    <w:rsid w:val="0022687E"/>
    <w:rsid w:val="00226A6B"/>
    <w:rsid w:val="00226BDD"/>
    <w:rsid w:val="00226E4D"/>
    <w:rsid w:val="00226E9B"/>
    <w:rsid w:val="00226EEC"/>
    <w:rsid w:val="00226FC4"/>
    <w:rsid w:val="00227090"/>
    <w:rsid w:val="00227159"/>
    <w:rsid w:val="002271AF"/>
    <w:rsid w:val="002271F0"/>
    <w:rsid w:val="002271F4"/>
    <w:rsid w:val="00227206"/>
    <w:rsid w:val="00227279"/>
    <w:rsid w:val="002272E5"/>
    <w:rsid w:val="0022739D"/>
    <w:rsid w:val="002273DB"/>
    <w:rsid w:val="00227424"/>
    <w:rsid w:val="0022748C"/>
    <w:rsid w:val="002274F5"/>
    <w:rsid w:val="00227571"/>
    <w:rsid w:val="00227A8E"/>
    <w:rsid w:val="00227AC9"/>
    <w:rsid w:val="00227AEF"/>
    <w:rsid w:val="00227B24"/>
    <w:rsid w:val="00227BDE"/>
    <w:rsid w:val="00227E62"/>
    <w:rsid w:val="00227F0C"/>
    <w:rsid w:val="00227FE7"/>
    <w:rsid w:val="00230251"/>
    <w:rsid w:val="002305C1"/>
    <w:rsid w:val="002305D4"/>
    <w:rsid w:val="0023062D"/>
    <w:rsid w:val="00230704"/>
    <w:rsid w:val="0023071E"/>
    <w:rsid w:val="00230743"/>
    <w:rsid w:val="0023080E"/>
    <w:rsid w:val="00230897"/>
    <w:rsid w:val="002309A4"/>
    <w:rsid w:val="002309CF"/>
    <w:rsid w:val="00230C17"/>
    <w:rsid w:val="00230CD0"/>
    <w:rsid w:val="00230DA5"/>
    <w:rsid w:val="00230DC1"/>
    <w:rsid w:val="00230EF3"/>
    <w:rsid w:val="00230F4D"/>
    <w:rsid w:val="00231187"/>
    <w:rsid w:val="00231244"/>
    <w:rsid w:val="00231256"/>
    <w:rsid w:val="00231334"/>
    <w:rsid w:val="002314AD"/>
    <w:rsid w:val="002315DA"/>
    <w:rsid w:val="0023165A"/>
    <w:rsid w:val="00231749"/>
    <w:rsid w:val="002317E0"/>
    <w:rsid w:val="00231A2D"/>
    <w:rsid w:val="00231AB4"/>
    <w:rsid w:val="00231AB6"/>
    <w:rsid w:val="00231AD4"/>
    <w:rsid w:val="00231D9D"/>
    <w:rsid w:val="00231E22"/>
    <w:rsid w:val="00231E2B"/>
    <w:rsid w:val="00231F78"/>
    <w:rsid w:val="00231FC5"/>
    <w:rsid w:val="002320C0"/>
    <w:rsid w:val="002320D5"/>
    <w:rsid w:val="00232187"/>
    <w:rsid w:val="00232263"/>
    <w:rsid w:val="00232280"/>
    <w:rsid w:val="0023229D"/>
    <w:rsid w:val="002322BC"/>
    <w:rsid w:val="002322BE"/>
    <w:rsid w:val="00232382"/>
    <w:rsid w:val="00232550"/>
    <w:rsid w:val="002325DF"/>
    <w:rsid w:val="0023269F"/>
    <w:rsid w:val="00232711"/>
    <w:rsid w:val="0023286F"/>
    <w:rsid w:val="002328A8"/>
    <w:rsid w:val="002329A8"/>
    <w:rsid w:val="00232B98"/>
    <w:rsid w:val="00232C27"/>
    <w:rsid w:val="00232C93"/>
    <w:rsid w:val="00232D0B"/>
    <w:rsid w:val="00232D8E"/>
    <w:rsid w:val="00233013"/>
    <w:rsid w:val="00233056"/>
    <w:rsid w:val="00233222"/>
    <w:rsid w:val="0023336E"/>
    <w:rsid w:val="002333E9"/>
    <w:rsid w:val="00233474"/>
    <w:rsid w:val="00233559"/>
    <w:rsid w:val="0023368F"/>
    <w:rsid w:val="002336B0"/>
    <w:rsid w:val="00233796"/>
    <w:rsid w:val="002337D3"/>
    <w:rsid w:val="00233821"/>
    <w:rsid w:val="00233880"/>
    <w:rsid w:val="00233896"/>
    <w:rsid w:val="002339BF"/>
    <w:rsid w:val="002339F3"/>
    <w:rsid w:val="00233A52"/>
    <w:rsid w:val="00233B02"/>
    <w:rsid w:val="00233BB0"/>
    <w:rsid w:val="00233C28"/>
    <w:rsid w:val="00233C97"/>
    <w:rsid w:val="00233CFD"/>
    <w:rsid w:val="00233EA0"/>
    <w:rsid w:val="00233F7A"/>
    <w:rsid w:val="00233FAC"/>
    <w:rsid w:val="0023407B"/>
    <w:rsid w:val="00234145"/>
    <w:rsid w:val="00234196"/>
    <w:rsid w:val="002344C7"/>
    <w:rsid w:val="00234549"/>
    <w:rsid w:val="00234611"/>
    <w:rsid w:val="002346D3"/>
    <w:rsid w:val="00234814"/>
    <w:rsid w:val="00234986"/>
    <w:rsid w:val="002349AA"/>
    <w:rsid w:val="002349C6"/>
    <w:rsid w:val="002349E3"/>
    <w:rsid w:val="00234B1C"/>
    <w:rsid w:val="00234B41"/>
    <w:rsid w:val="00234D3F"/>
    <w:rsid w:val="00234D55"/>
    <w:rsid w:val="00234DF3"/>
    <w:rsid w:val="00235273"/>
    <w:rsid w:val="00235385"/>
    <w:rsid w:val="002353B9"/>
    <w:rsid w:val="00235445"/>
    <w:rsid w:val="0023549B"/>
    <w:rsid w:val="00235696"/>
    <w:rsid w:val="002358EC"/>
    <w:rsid w:val="00235916"/>
    <w:rsid w:val="00235A9F"/>
    <w:rsid w:val="00235AA6"/>
    <w:rsid w:val="00235B80"/>
    <w:rsid w:val="00235BA1"/>
    <w:rsid w:val="00235BD7"/>
    <w:rsid w:val="00235C61"/>
    <w:rsid w:val="00235F08"/>
    <w:rsid w:val="00235F50"/>
    <w:rsid w:val="00235F5A"/>
    <w:rsid w:val="00235FE0"/>
    <w:rsid w:val="00235FE4"/>
    <w:rsid w:val="00236112"/>
    <w:rsid w:val="00236138"/>
    <w:rsid w:val="0023615C"/>
    <w:rsid w:val="002361C3"/>
    <w:rsid w:val="002363B0"/>
    <w:rsid w:val="00236524"/>
    <w:rsid w:val="002366C3"/>
    <w:rsid w:val="00236743"/>
    <w:rsid w:val="00236756"/>
    <w:rsid w:val="002367A7"/>
    <w:rsid w:val="00236967"/>
    <w:rsid w:val="00236ADE"/>
    <w:rsid w:val="00236C72"/>
    <w:rsid w:val="00236D62"/>
    <w:rsid w:val="00236E8A"/>
    <w:rsid w:val="00236F8D"/>
    <w:rsid w:val="00236FD6"/>
    <w:rsid w:val="00237058"/>
    <w:rsid w:val="00237092"/>
    <w:rsid w:val="002370C6"/>
    <w:rsid w:val="00237276"/>
    <w:rsid w:val="00237344"/>
    <w:rsid w:val="002373A4"/>
    <w:rsid w:val="00237682"/>
    <w:rsid w:val="002376A3"/>
    <w:rsid w:val="002376CD"/>
    <w:rsid w:val="00237783"/>
    <w:rsid w:val="002377AB"/>
    <w:rsid w:val="002377E5"/>
    <w:rsid w:val="002377E9"/>
    <w:rsid w:val="00237830"/>
    <w:rsid w:val="00237837"/>
    <w:rsid w:val="002378CC"/>
    <w:rsid w:val="00237A3D"/>
    <w:rsid w:val="00237B8C"/>
    <w:rsid w:val="00237C88"/>
    <w:rsid w:val="00237E24"/>
    <w:rsid w:val="00237F90"/>
    <w:rsid w:val="00240267"/>
    <w:rsid w:val="00240275"/>
    <w:rsid w:val="0024031D"/>
    <w:rsid w:val="00240348"/>
    <w:rsid w:val="002403CC"/>
    <w:rsid w:val="0024057B"/>
    <w:rsid w:val="002405CE"/>
    <w:rsid w:val="002406B2"/>
    <w:rsid w:val="002406D6"/>
    <w:rsid w:val="00240834"/>
    <w:rsid w:val="0024088E"/>
    <w:rsid w:val="002408B7"/>
    <w:rsid w:val="002408F5"/>
    <w:rsid w:val="00240CBD"/>
    <w:rsid w:val="00240D19"/>
    <w:rsid w:val="00240D50"/>
    <w:rsid w:val="00240EC7"/>
    <w:rsid w:val="00240F23"/>
    <w:rsid w:val="00240F2E"/>
    <w:rsid w:val="00240F5F"/>
    <w:rsid w:val="00240F8F"/>
    <w:rsid w:val="00241071"/>
    <w:rsid w:val="0024112A"/>
    <w:rsid w:val="00241226"/>
    <w:rsid w:val="0024124E"/>
    <w:rsid w:val="002412A6"/>
    <w:rsid w:val="002412C0"/>
    <w:rsid w:val="00241474"/>
    <w:rsid w:val="002414EE"/>
    <w:rsid w:val="002415E8"/>
    <w:rsid w:val="00241614"/>
    <w:rsid w:val="00241645"/>
    <w:rsid w:val="00241728"/>
    <w:rsid w:val="00241761"/>
    <w:rsid w:val="002418CF"/>
    <w:rsid w:val="0024193A"/>
    <w:rsid w:val="00241953"/>
    <w:rsid w:val="0024196E"/>
    <w:rsid w:val="00241983"/>
    <w:rsid w:val="00241AED"/>
    <w:rsid w:val="00241B63"/>
    <w:rsid w:val="00241B79"/>
    <w:rsid w:val="00241C20"/>
    <w:rsid w:val="00241E0A"/>
    <w:rsid w:val="002421A0"/>
    <w:rsid w:val="00242238"/>
    <w:rsid w:val="0024224B"/>
    <w:rsid w:val="00242495"/>
    <w:rsid w:val="0024249C"/>
    <w:rsid w:val="002424E1"/>
    <w:rsid w:val="002424FF"/>
    <w:rsid w:val="00242573"/>
    <w:rsid w:val="002425F5"/>
    <w:rsid w:val="00242633"/>
    <w:rsid w:val="0024282E"/>
    <w:rsid w:val="00242896"/>
    <w:rsid w:val="0024296D"/>
    <w:rsid w:val="00242986"/>
    <w:rsid w:val="00242A33"/>
    <w:rsid w:val="00242B13"/>
    <w:rsid w:val="00242B2F"/>
    <w:rsid w:val="00242CC3"/>
    <w:rsid w:val="00242CC6"/>
    <w:rsid w:val="00242CFA"/>
    <w:rsid w:val="00242D38"/>
    <w:rsid w:val="00242DD1"/>
    <w:rsid w:val="00242DD5"/>
    <w:rsid w:val="00242E49"/>
    <w:rsid w:val="00242F56"/>
    <w:rsid w:val="002431D8"/>
    <w:rsid w:val="0024323B"/>
    <w:rsid w:val="00243243"/>
    <w:rsid w:val="00243304"/>
    <w:rsid w:val="0024345C"/>
    <w:rsid w:val="0024350C"/>
    <w:rsid w:val="00243566"/>
    <w:rsid w:val="002435DA"/>
    <w:rsid w:val="002435F5"/>
    <w:rsid w:val="00243727"/>
    <w:rsid w:val="002437C3"/>
    <w:rsid w:val="00243845"/>
    <w:rsid w:val="002438DD"/>
    <w:rsid w:val="00243B73"/>
    <w:rsid w:val="00243BE5"/>
    <w:rsid w:val="00243E7E"/>
    <w:rsid w:val="00243F2A"/>
    <w:rsid w:val="00244000"/>
    <w:rsid w:val="00244061"/>
    <w:rsid w:val="0024408C"/>
    <w:rsid w:val="002441C9"/>
    <w:rsid w:val="00244445"/>
    <w:rsid w:val="002444A2"/>
    <w:rsid w:val="00244502"/>
    <w:rsid w:val="00244606"/>
    <w:rsid w:val="0024464E"/>
    <w:rsid w:val="00244812"/>
    <w:rsid w:val="00244878"/>
    <w:rsid w:val="00244D20"/>
    <w:rsid w:val="00244D46"/>
    <w:rsid w:val="00245054"/>
    <w:rsid w:val="002452CD"/>
    <w:rsid w:val="0024548B"/>
    <w:rsid w:val="0024565E"/>
    <w:rsid w:val="0024582F"/>
    <w:rsid w:val="00245BC8"/>
    <w:rsid w:val="00245C38"/>
    <w:rsid w:val="00245D4F"/>
    <w:rsid w:val="00245D54"/>
    <w:rsid w:val="00245EAA"/>
    <w:rsid w:val="00246228"/>
    <w:rsid w:val="002463E9"/>
    <w:rsid w:val="0024645E"/>
    <w:rsid w:val="00246517"/>
    <w:rsid w:val="0024658C"/>
    <w:rsid w:val="002465B0"/>
    <w:rsid w:val="002465C2"/>
    <w:rsid w:val="002465CF"/>
    <w:rsid w:val="002466C7"/>
    <w:rsid w:val="0024682B"/>
    <w:rsid w:val="00246839"/>
    <w:rsid w:val="00246A3C"/>
    <w:rsid w:val="00246A87"/>
    <w:rsid w:val="00246A99"/>
    <w:rsid w:val="00246C51"/>
    <w:rsid w:val="00246D8B"/>
    <w:rsid w:val="0024700D"/>
    <w:rsid w:val="0024716F"/>
    <w:rsid w:val="00247326"/>
    <w:rsid w:val="00247550"/>
    <w:rsid w:val="002475C9"/>
    <w:rsid w:val="002476CA"/>
    <w:rsid w:val="00247783"/>
    <w:rsid w:val="00247844"/>
    <w:rsid w:val="002478BD"/>
    <w:rsid w:val="00247976"/>
    <w:rsid w:val="002479C4"/>
    <w:rsid w:val="00247C28"/>
    <w:rsid w:val="00247C72"/>
    <w:rsid w:val="00247D1E"/>
    <w:rsid w:val="00247E75"/>
    <w:rsid w:val="00247EA6"/>
    <w:rsid w:val="00247F86"/>
    <w:rsid w:val="0024EFE4"/>
    <w:rsid w:val="00250108"/>
    <w:rsid w:val="002501F1"/>
    <w:rsid w:val="00250386"/>
    <w:rsid w:val="002503E4"/>
    <w:rsid w:val="0025046A"/>
    <w:rsid w:val="0025048B"/>
    <w:rsid w:val="0025049D"/>
    <w:rsid w:val="002504E6"/>
    <w:rsid w:val="0025050D"/>
    <w:rsid w:val="002505AD"/>
    <w:rsid w:val="00250690"/>
    <w:rsid w:val="00250724"/>
    <w:rsid w:val="00250740"/>
    <w:rsid w:val="00250750"/>
    <w:rsid w:val="002507A7"/>
    <w:rsid w:val="00250858"/>
    <w:rsid w:val="00250876"/>
    <w:rsid w:val="00250908"/>
    <w:rsid w:val="00250951"/>
    <w:rsid w:val="00250965"/>
    <w:rsid w:val="002509F9"/>
    <w:rsid w:val="00250B55"/>
    <w:rsid w:val="00250B92"/>
    <w:rsid w:val="00250E1E"/>
    <w:rsid w:val="00250F54"/>
    <w:rsid w:val="0025105D"/>
    <w:rsid w:val="002510CB"/>
    <w:rsid w:val="00251117"/>
    <w:rsid w:val="00251165"/>
    <w:rsid w:val="00251219"/>
    <w:rsid w:val="0025128C"/>
    <w:rsid w:val="0025132C"/>
    <w:rsid w:val="00251609"/>
    <w:rsid w:val="002516D5"/>
    <w:rsid w:val="002518F0"/>
    <w:rsid w:val="00251939"/>
    <w:rsid w:val="00251C11"/>
    <w:rsid w:val="00251C4C"/>
    <w:rsid w:val="00251D8F"/>
    <w:rsid w:val="00251F6A"/>
    <w:rsid w:val="00252097"/>
    <w:rsid w:val="00252098"/>
    <w:rsid w:val="0025217D"/>
    <w:rsid w:val="0025225D"/>
    <w:rsid w:val="0025238A"/>
    <w:rsid w:val="002523B2"/>
    <w:rsid w:val="002524A7"/>
    <w:rsid w:val="002524C6"/>
    <w:rsid w:val="00252576"/>
    <w:rsid w:val="002525FB"/>
    <w:rsid w:val="00252676"/>
    <w:rsid w:val="0025268A"/>
    <w:rsid w:val="002526A1"/>
    <w:rsid w:val="00252718"/>
    <w:rsid w:val="0025271A"/>
    <w:rsid w:val="0025274E"/>
    <w:rsid w:val="00252995"/>
    <w:rsid w:val="00252A55"/>
    <w:rsid w:val="00252A58"/>
    <w:rsid w:val="00252D05"/>
    <w:rsid w:val="00252F8D"/>
    <w:rsid w:val="00252FD8"/>
    <w:rsid w:val="00252FF5"/>
    <w:rsid w:val="00253550"/>
    <w:rsid w:val="0025359F"/>
    <w:rsid w:val="002535AD"/>
    <w:rsid w:val="002535F8"/>
    <w:rsid w:val="002535F9"/>
    <w:rsid w:val="002537DA"/>
    <w:rsid w:val="002538C8"/>
    <w:rsid w:val="0025390D"/>
    <w:rsid w:val="00253948"/>
    <w:rsid w:val="00253DD6"/>
    <w:rsid w:val="00253F45"/>
    <w:rsid w:val="00253F6C"/>
    <w:rsid w:val="00254144"/>
    <w:rsid w:val="00254227"/>
    <w:rsid w:val="00254238"/>
    <w:rsid w:val="002542DB"/>
    <w:rsid w:val="002543C3"/>
    <w:rsid w:val="002544B4"/>
    <w:rsid w:val="00254618"/>
    <w:rsid w:val="0025461E"/>
    <w:rsid w:val="002546C2"/>
    <w:rsid w:val="00254840"/>
    <w:rsid w:val="002548A1"/>
    <w:rsid w:val="00254949"/>
    <w:rsid w:val="00254A44"/>
    <w:rsid w:val="00254A54"/>
    <w:rsid w:val="00254A55"/>
    <w:rsid w:val="00254C45"/>
    <w:rsid w:val="00254C6C"/>
    <w:rsid w:val="00254D65"/>
    <w:rsid w:val="00254E06"/>
    <w:rsid w:val="002552B5"/>
    <w:rsid w:val="0025558F"/>
    <w:rsid w:val="002555B6"/>
    <w:rsid w:val="0025573E"/>
    <w:rsid w:val="002558EA"/>
    <w:rsid w:val="002559F5"/>
    <w:rsid w:val="00255AB9"/>
    <w:rsid w:val="00255CA1"/>
    <w:rsid w:val="00255CDF"/>
    <w:rsid w:val="00255CFA"/>
    <w:rsid w:val="00255EF4"/>
    <w:rsid w:val="00255F2D"/>
    <w:rsid w:val="00255F81"/>
    <w:rsid w:val="002566A0"/>
    <w:rsid w:val="00256772"/>
    <w:rsid w:val="00256787"/>
    <w:rsid w:val="00256868"/>
    <w:rsid w:val="002568C4"/>
    <w:rsid w:val="00256A3C"/>
    <w:rsid w:val="00256A3D"/>
    <w:rsid w:val="00256BCE"/>
    <w:rsid w:val="00256C1A"/>
    <w:rsid w:val="00256EF0"/>
    <w:rsid w:val="00256F30"/>
    <w:rsid w:val="0025716C"/>
    <w:rsid w:val="00257252"/>
    <w:rsid w:val="00257458"/>
    <w:rsid w:val="00257499"/>
    <w:rsid w:val="0025759B"/>
    <w:rsid w:val="002576FE"/>
    <w:rsid w:val="002577AA"/>
    <w:rsid w:val="00257838"/>
    <w:rsid w:val="00257923"/>
    <w:rsid w:val="00257AED"/>
    <w:rsid w:val="00257B22"/>
    <w:rsid w:val="00257B96"/>
    <w:rsid w:val="00257BBC"/>
    <w:rsid w:val="00257D2C"/>
    <w:rsid w:val="0026023A"/>
    <w:rsid w:val="00260420"/>
    <w:rsid w:val="002604DC"/>
    <w:rsid w:val="002605EF"/>
    <w:rsid w:val="002606BE"/>
    <w:rsid w:val="0026072C"/>
    <w:rsid w:val="0026078D"/>
    <w:rsid w:val="00260855"/>
    <w:rsid w:val="002608EC"/>
    <w:rsid w:val="00260903"/>
    <w:rsid w:val="00260B43"/>
    <w:rsid w:val="00260B52"/>
    <w:rsid w:val="00260C32"/>
    <w:rsid w:val="00260C66"/>
    <w:rsid w:val="00260C79"/>
    <w:rsid w:val="00260D70"/>
    <w:rsid w:val="00260E36"/>
    <w:rsid w:val="00260FF3"/>
    <w:rsid w:val="002610A4"/>
    <w:rsid w:val="0026113C"/>
    <w:rsid w:val="00261440"/>
    <w:rsid w:val="00261505"/>
    <w:rsid w:val="002615F3"/>
    <w:rsid w:val="002616A2"/>
    <w:rsid w:val="0026170C"/>
    <w:rsid w:val="0026171B"/>
    <w:rsid w:val="00261832"/>
    <w:rsid w:val="0026186D"/>
    <w:rsid w:val="00261AA8"/>
    <w:rsid w:val="00261AF4"/>
    <w:rsid w:val="00261AF5"/>
    <w:rsid w:val="00261B98"/>
    <w:rsid w:val="00261D36"/>
    <w:rsid w:val="00261D58"/>
    <w:rsid w:val="00261DE7"/>
    <w:rsid w:val="00261DF1"/>
    <w:rsid w:val="002620BA"/>
    <w:rsid w:val="002620CF"/>
    <w:rsid w:val="002620FA"/>
    <w:rsid w:val="002622F4"/>
    <w:rsid w:val="00262307"/>
    <w:rsid w:val="002623DA"/>
    <w:rsid w:val="002625B4"/>
    <w:rsid w:val="002625EF"/>
    <w:rsid w:val="00262766"/>
    <w:rsid w:val="00262984"/>
    <w:rsid w:val="002629AD"/>
    <w:rsid w:val="002629FE"/>
    <w:rsid w:val="00262B2D"/>
    <w:rsid w:val="00262C88"/>
    <w:rsid w:val="00262DCB"/>
    <w:rsid w:val="00262FB1"/>
    <w:rsid w:val="002630D1"/>
    <w:rsid w:val="002631FE"/>
    <w:rsid w:val="002632C9"/>
    <w:rsid w:val="00263450"/>
    <w:rsid w:val="002634AA"/>
    <w:rsid w:val="00263590"/>
    <w:rsid w:val="002635B3"/>
    <w:rsid w:val="002636AF"/>
    <w:rsid w:val="0026373D"/>
    <w:rsid w:val="002637FF"/>
    <w:rsid w:val="0026382E"/>
    <w:rsid w:val="0026385F"/>
    <w:rsid w:val="00263985"/>
    <w:rsid w:val="00263DB3"/>
    <w:rsid w:val="00263DD2"/>
    <w:rsid w:val="00263DF9"/>
    <w:rsid w:val="00263F43"/>
    <w:rsid w:val="00263F78"/>
    <w:rsid w:val="00263F7C"/>
    <w:rsid w:val="00263F80"/>
    <w:rsid w:val="00263FCA"/>
    <w:rsid w:val="002641DF"/>
    <w:rsid w:val="0026423C"/>
    <w:rsid w:val="002642D4"/>
    <w:rsid w:val="0026432E"/>
    <w:rsid w:val="00264426"/>
    <w:rsid w:val="002644AC"/>
    <w:rsid w:val="002644DA"/>
    <w:rsid w:val="00264536"/>
    <w:rsid w:val="0026455F"/>
    <w:rsid w:val="00264639"/>
    <w:rsid w:val="00264641"/>
    <w:rsid w:val="002647F0"/>
    <w:rsid w:val="00264869"/>
    <w:rsid w:val="00264897"/>
    <w:rsid w:val="00264A0A"/>
    <w:rsid w:val="00264A6D"/>
    <w:rsid w:val="00264C1D"/>
    <w:rsid w:val="00264CA8"/>
    <w:rsid w:val="00264CAC"/>
    <w:rsid w:val="00264CD3"/>
    <w:rsid w:val="00264CEF"/>
    <w:rsid w:val="00264CF7"/>
    <w:rsid w:val="00264D6E"/>
    <w:rsid w:val="00264FC1"/>
    <w:rsid w:val="002650AA"/>
    <w:rsid w:val="00265129"/>
    <w:rsid w:val="00265330"/>
    <w:rsid w:val="002653A8"/>
    <w:rsid w:val="00265436"/>
    <w:rsid w:val="0026549A"/>
    <w:rsid w:val="00265576"/>
    <w:rsid w:val="0026561A"/>
    <w:rsid w:val="0026563B"/>
    <w:rsid w:val="00265643"/>
    <w:rsid w:val="002658E9"/>
    <w:rsid w:val="0026593C"/>
    <w:rsid w:val="0026594F"/>
    <w:rsid w:val="00265AD0"/>
    <w:rsid w:val="00265BBA"/>
    <w:rsid w:val="00265C73"/>
    <w:rsid w:val="00265E0B"/>
    <w:rsid w:val="00265EDC"/>
    <w:rsid w:val="00265EE0"/>
    <w:rsid w:val="00265EFC"/>
    <w:rsid w:val="00265F0D"/>
    <w:rsid w:val="00265FC6"/>
    <w:rsid w:val="0026600B"/>
    <w:rsid w:val="0026601B"/>
    <w:rsid w:val="002662B2"/>
    <w:rsid w:val="00266476"/>
    <w:rsid w:val="0026647C"/>
    <w:rsid w:val="00266989"/>
    <w:rsid w:val="00266A00"/>
    <w:rsid w:val="00266B73"/>
    <w:rsid w:val="00266C22"/>
    <w:rsid w:val="00266C42"/>
    <w:rsid w:val="00266F80"/>
    <w:rsid w:val="00266FC4"/>
    <w:rsid w:val="00266FD5"/>
    <w:rsid w:val="00267009"/>
    <w:rsid w:val="00267093"/>
    <w:rsid w:val="002672DF"/>
    <w:rsid w:val="002674E2"/>
    <w:rsid w:val="0026777C"/>
    <w:rsid w:val="002677C6"/>
    <w:rsid w:val="00267896"/>
    <w:rsid w:val="00267946"/>
    <w:rsid w:val="00267A39"/>
    <w:rsid w:val="00267A59"/>
    <w:rsid w:val="00267AF6"/>
    <w:rsid w:val="00267AFB"/>
    <w:rsid w:val="00267B56"/>
    <w:rsid w:val="00267C5C"/>
    <w:rsid w:val="00267C6D"/>
    <w:rsid w:val="00267CD4"/>
    <w:rsid w:val="00267D59"/>
    <w:rsid w:val="00267DB4"/>
    <w:rsid w:val="00267FE3"/>
    <w:rsid w:val="0027003F"/>
    <w:rsid w:val="0027018D"/>
    <w:rsid w:val="00270266"/>
    <w:rsid w:val="0027037A"/>
    <w:rsid w:val="00270767"/>
    <w:rsid w:val="002708F5"/>
    <w:rsid w:val="00270915"/>
    <w:rsid w:val="00270984"/>
    <w:rsid w:val="00270AFE"/>
    <w:rsid w:val="00270B0A"/>
    <w:rsid w:val="00270B6C"/>
    <w:rsid w:val="00270C7B"/>
    <w:rsid w:val="00270D11"/>
    <w:rsid w:val="00270D69"/>
    <w:rsid w:val="00270E5D"/>
    <w:rsid w:val="00270EBA"/>
    <w:rsid w:val="00270F4E"/>
    <w:rsid w:val="00270F79"/>
    <w:rsid w:val="0027118C"/>
    <w:rsid w:val="002711BA"/>
    <w:rsid w:val="002713A7"/>
    <w:rsid w:val="002713CC"/>
    <w:rsid w:val="002714AD"/>
    <w:rsid w:val="0027159B"/>
    <w:rsid w:val="002717D8"/>
    <w:rsid w:val="0027187A"/>
    <w:rsid w:val="00271D6B"/>
    <w:rsid w:val="00271DA9"/>
    <w:rsid w:val="00271DAD"/>
    <w:rsid w:val="00271DC1"/>
    <w:rsid w:val="00271E81"/>
    <w:rsid w:val="00271FDF"/>
    <w:rsid w:val="0027212C"/>
    <w:rsid w:val="00272157"/>
    <w:rsid w:val="002722D9"/>
    <w:rsid w:val="002723A5"/>
    <w:rsid w:val="002723B9"/>
    <w:rsid w:val="00272493"/>
    <w:rsid w:val="002726E2"/>
    <w:rsid w:val="00272776"/>
    <w:rsid w:val="002727DF"/>
    <w:rsid w:val="002728F5"/>
    <w:rsid w:val="00272963"/>
    <w:rsid w:val="00272CA7"/>
    <w:rsid w:val="00272DF8"/>
    <w:rsid w:val="00272E27"/>
    <w:rsid w:val="00273063"/>
    <w:rsid w:val="0027313F"/>
    <w:rsid w:val="00273202"/>
    <w:rsid w:val="002732C2"/>
    <w:rsid w:val="002733A3"/>
    <w:rsid w:val="002734E1"/>
    <w:rsid w:val="002734E5"/>
    <w:rsid w:val="0027360E"/>
    <w:rsid w:val="00273645"/>
    <w:rsid w:val="00273742"/>
    <w:rsid w:val="00273773"/>
    <w:rsid w:val="002738E9"/>
    <w:rsid w:val="002739B0"/>
    <w:rsid w:val="00273CDA"/>
    <w:rsid w:val="00273DEE"/>
    <w:rsid w:val="00273E16"/>
    <w:rsid w:val="00273E95"/>
    <w:rsid w:val="00273F27"/>
    <w:rsid w:val="00274064"/>
    <w:rsid w:val="002740EF"/>
    <w:rsid w:val="002741D4"/>
    <w:rsid w:val="002741ED"/>
    <w:rsid w:val="00274216"/>
    <w:rsid w:val="00274251"/>
    <w:rsid w:val="002743AD"/>
    <w:rsid w:val="00274495"/>
    <w:rsid w:val="0027449C"/>
    <w:rsid w:val="0027453F"/>
    <w:rsid w:val="00274574"/>
    <w:rsid w:val="002745C8"/>
    <w:rsid w:val="00274695"/>
    <w:rsid w:val="002746DD"/>
    <w:rsid w:val="00274778"/>
    <w:rsid w:val="002747A2"/>
    <w:rsid w:val="0027489F"/>
    <w:rsid w:val="002748A1"/>
    <w:rsid w:val="002748CA"/>
    <w:rsid w:val="00274B16"/>
    <w:rsid w:val="00274B7A"/>
    <w:rsid w:val="00274B7D"/>
    <w:rsid w:val="00274C7D"/>
    <w:rsid w:val="00274D7B"/>
    <w:rsid w:val="00274E68"/>
    <w:rsid w:val="00274FA1"/>
    <w:rsid w:val="00274FAB"/>
    <w:rsid w:val="002751AA"/>
    <w:rsid w:val="0027529F"/>
    <w:rsid w:val="00275341"/>
    <w:rsid w:val="00275410"/>
    <w:rsid w:val="002754F8"/>
    <w:rsid w:val="0027554B"/>
    <w:rsid w:val="002756B4"/>
    <w:rsid w:val="00275838"/>
    <w:rsid w:val="00275A5D"/>
    <w:rsid w:val="00275B86"/>
    <w:rsid w:val="00275C13"/>
    <w:rsid w:val="00275CFE"/>
    <w:rsid w:val="00275FA0"/>
    <w:rsid w:val="00275FF8"/>
    <w:rsid w:val="0027610E"/>
    <w:rsid w:val="0027621B"/>
    <w:rsid w:val="00276282"/>
    <w:rsid w:val="002762A2"/>
    <w:rsid w:val="00276321"/>
    <w:rsid w:val="00276386"/>
    <w:rsid w:val="0027640E"/>
    <w:rsid w:val="00276413"/>
    <w:rsid w:val="00276443"/>
    <w:rsid w:val="002767D7"/>
    <w:rsid w:val="00276866"/>
    <w:rsid w:val="00276AD2"/>
    <w:rsid w:val="00276DDA"/>
    <w:rsid w:val="00276DFC"/>
    <w:rsid w:val="00276E2F"/>
    <w:rsid w:val="00276ED7"/>
    <w:rsid w:val="00276F16"/>
    <w:rsid w:val="00276FA6"/>
    <w:rsid w:val="00276FB8"/>
    <w:rsid w:val="00277050"/>
    <w:rsid w:val="00277069"/>
    <w:rsid w:val="00277158"/>
    <w:rsid w:val="00277204"/>
    <w:rsid w:val="00277220"/>
    <w:rsid w:val="00277292"/>
    <w:rsid w:val="002772C2"/>
    <w:rsid w:val="002772FF"/>
    <w:rsid w:val="00277372"/>
    <w:rsid w:val="00277452"/>
    <w:rsid w:val="00277507"/>
    <w:rsid w:val="002775E1"/>
    <w:rsid w:val="002778DA"/>
    <w:rsid w:val="00277914"/>
    <w:rsid w:val="00277991"/>
    <w:rsid w:val="00277C62"/>
    <w:rsid w:val="00277DDF"/>
    <w:rsid w:val="00277F98"/>
    <w:rsid w:val="00280089"/>
    <w:rsid w:val="002802AC"/>
    <w:rsid w:val="002802EA"/>
    <w:rsid w:val="002804E1"/>
    <w:rsid w:val="0028053D"/>
    <w:rsid w:val="002805D8"/>
    <w:rsid w:val="00280705"/>
    <w:rsid w:val="0028089A"/>
    <w:rsid w:val="00280971"/>
    <w:rsid w:val="00280975"/>
    <w:rsid w:val="00280976"/>
    <w:rsid w:val="00280A2C"/>
    <w:rsid w:val="00280B61"/>
    <w:rsid w:val="00280BE7"/>
    <w:rsid w:val="00280BF4"/>
    <w:rsid w:val="00280CF9"/>
    <w:rsid w:val="00280ED1"/>
    <w:rsid w:val="00280F09"/>
    <w:rsid w:val="00280F24"/>
    <w:rsid w:val="00280F3B"/>
    <w:rsid w:val="00280FE0"/>
    <w:rsid w:val="00281186"/>
    <w:rsid w:val="00281238"/>
    <w:rsid w:val="002813D9"/>
    <w:rsid w:val="002813FF"/>
    <w:rsid w:val="00281452"/>
    <w:rsid w:val="002815B5"/>
    <w:rsid w:val="002816D2"/>
    <w:rsid w:val="00281708"/>
    <w:rsid w:val="00281799"/>
    <w:rsid w:val="002819EB"/>
    <w:rsid w:val="00281A47"/>
    <w:rsid w:val="00281A5D"/>
    <w:rsid w:val="00281A62"/>
    <w:rsid w:val="00281D8D"/>
    <w:rsid w:val="00281D97"/>
    <w:rsid w:val="00281E27"/>
    <w:rsid w:val="00281E31"/>
    <w:rsid w:val="00281E68"/>
    <w:rsid w:val="00281F2B"/>
    <w:rsid w:val="00281F3D"/>
    <w:rsid w:val="00281F5D"/>
    <w:rsid w:val="00281FCF"/>
    <w:rsid w:val="0028213D"/>
    <w:rsid w:val="002821CD"/>
    <w:rsid w:val="00282266"/>
    <w:rsid w:val="0028249D"/>
    <w:rsid w:val="002824E6"/>
    <w:rsid w:val="0028270C"/>
    <w:rsid w:val="00282840"/>
    <w:rsid w:val="00282922"/>
    <w:rsid w:val="002829D3"/>
    <w:rsid w:val="00282B1D"/>
    <w:rsid w:val="00283080"/>
    <w:rsid w:val="0028312C"/>
    <w:rsid w:val="00283189"/>
    <w:rsid w:val="0028326B"/>
    <w:rsid w:val="00283305"/>
    <w:rsid w:val="002833DD"/>
    <w:rsid w:val="00283CAC"/>
    <w:rsid w:val="00283D18"/>
    <w:rsid w:val="00283E48"/>
    <w:rsid w:val="00283F33"/>
    <w:rsid w:val="00283F6C"/>
    <w:rsid w:val="0028400C"/>
    <w:rsid w:val="0028405C"/>
    <w:rsid w:val="00284075"/>
    <w:rsid w:val="002840DC"/>
    <w:rsid w:val="00284231"/>
    <w:rsid w:val="002843F4"/>
    <w:rsid w:val="0028445F"/>
    <w:rsid w:val="002844EE"/>
    <w:rsid w:val="00284553"/>
    <w:rsid w:val="0028471A"/>
    <w:rsid w:val="002847AE"/>
    <w:rsid w:val="0028482B"/>
    <w:rsid w:val="00284873"/>
    <w:rsid w:val="002848D4"/>
    <w:rsid w:val="00284B14"/>
    <w:rsid w:val="00284C73"/>
    <w:rsid w:val="002852B5"/>
    <w:rsid w:val="002852EB"/>
    <w:rsid w:val="00285307"/>
    <w:rsid w:val="00285379"/>
    <w:rsid w:val="002854E4"/>
    <w:rsid w:val="00285664"/>
    <w:rsid w:val="00285777"/>
    <w:rsid w:val="0028577B"/>
    <w:rsid w:val="002857DE"/>
    <w:rsid w:val="00285820"/>
    <w:rsid w:val="002858E7"/>
    <w:rsid w:val="0028593E"/>
    <w:rsid w:val="00285B78"/>
    <w:rsid w:val="00285BAD"/>
    <w:rsid w:val="00285C00"/>
    <w:rsid w:val="00285CF4"/>
    <w:rsid w:val="00285DAE"/>
    <w:rsid w:val="00285EC7"/>
    <w:rsid w:val="00285EF3"/>
    <w:rsid w:val="00285FE2"/>
    <w:rsid w:val="00286013"/>
    <w:rsid w:val="002860E9"/>
    <w:rsid w:val="0028614F"/>
    <w:rsid w:val="002861BD"/>
    <w:rsid w:val="00286319"/>
    <w:rsid w:val="00286322"/>
    <w:rsid w:val="00286416"/>
    <w:rsid w:val="0028654A"/>
    <w:rsid w:val="00286753"/>
    <w:rsid w:val="00286754"/>
    <w:rsid w:val="0028676C"/>
    <w:rsid w:val="0028677C"/>
    <w:rsid w:val="002867C0"/>
    <w:rsid w:val="0028696D"/>
    <w:rsid w:val="00286995"/>
    <w:rsid w:val="00286BCA"/>
    <w:rsid w:val="00286C6A"/>
    <w:rsid w:val="00286CE3"/>
    <w:rsid w:val="00286D1A"/>
    <w:rsid w:val="00286E26"/>
    <w:rsid w:val="00286F33"/>
    <w:rsid w:val="00286FDC"/>
    <w:rsid w:val="00287049"/>
    <w:rsid w:val="0028709E"/>
    <w:rsid w:val="002873B5"/>
    <w:rsid w:val="00287467"/>
    <w:rsid w:val="0028750E"/>
    <w:rsid w:val="002875BF"/>
    <w:rsid w:val="002876A2"/>
    <w:rsid w:val="00287941"/>
    <w:rsid w:val="00287DA0"/>
    <w:rsid w:val="00287DA4"/>
    <w:rsid w:val="00287DD2"/>
    <w:rsid w:val="00287E4F"/>
    <w:rsid w:val="00287EBF"/>
    <w:rsid w:val="00290031"/>
    <w:rsid w:val="00290122"/>
    <w:rsid w:val="00290190"/>
    <w:rsid w:val="002902F8"/>
    <w:rsid w:val="00290356"/>
    <w:rsid w:val="002903DE"/>
    <w:rsid w:val="0029047E"/>
    <w:rsid w:val="00290485"/>
    <w:rsid w:val="00290641"/>
    <w:rsid w:val="0029071A"/>
    <w:rsid w:val="00290D4D"/>
    <w:rsid w:val="002911CF"/>
    <w:rsid w:val="002912E9"/>
    <w:rsid w:val="00291324"/>
    <w:rsid w:val="00291331"/>
    <w:rsid w:val="00291354"/>
    <w:rsid w:val="00291355"/>
    <w:rsid w:val="00291483"/>
    <w:rsid w:val="00291527"/>
    <w:rsid w:val="002915C1"/>
    <w:rsid w:val="002915D7"/>
    <w:rsid w:val="002915F5"/>
    <w:rsid w:val="00291829"/>
    <w:rsid w:val="002918CC"/>
    <w:rsid w:val="00291975"/>
    <w:rsid w:val="002919CA"/>
    <w:rsid w:val="00291A59"/>
    <w:rsid w:val="00291AEF"/>
    <w:rsid w:val="00291AF2"/>
    <w:rsid w:val="00291B1C"/>
    <w:rsid w:val="00291C15"/>
    <w:rsid w:val="00291CAF"/>
    <w:rsid w:val="00291EB8"/>
    <w:rsid w:val="00291EEA"/>
    <w:rsid w:val="00291F04"/>
    <w:rsid w:val="00292486"/>
    <w:rsid w:val="00292950"/>
    <w:rsid w:val="00292992"/>
    <w:rsid w:val="002929D9"/>
    <w:rsid w:val="00292AC6"/>
    <w:rsid w:val="00292C40"/>
    <w:rsid w:val="00292CD9"/>
    <w:rsid w:val="00292CF0"/>
    <w:rsid w:val="00292E56"/>
    <w:rsid w:val="00292EE2"/>
    <w:rsid w:val="00292FCE"/>
    <w:rsid w:val="00292FE8"/>
    <w:rsid w:val="0029306D"/>
    <w:rsid w:val="002930A2"/>
    <w:rsid w:val="00293106"/>
    <w:rsid w:val="00293202"/>
    <w:rsid w:val="00293260"/>
    <w:rsid w:val="00293320"/>
    <w:rsid w:val="002934EB"/>
    <w:rsid w:val="00293650"/>
    <w:rsid w:val="00293702"/>
    <w:rsid w:val="002937F8"/>
    <w:rsid w:val="0029385E"/>
    <w:rsid w:val="00293890"/>
    <w:rsid w:val="002938A5"/>
    <w:rsid w:val="00293A27"/>
    <w:rsid w:val="00293B71"/>
    <w:rsid w:val="00293C52"/>
    <w:rsid w:val="00293CED"/>
    <w:rsid w:val="00293E1F"/>
    <w:rsid w:val="00293F0C"/>
    <w:rsid w:val="00293FF8"/>
    <w:rsid w:val="002940ED"/>
    <w:rsid w:val="002943B1"/>
    <w:rsid w:val="0029456B"/>
    <w:rsid w:val="0029487F"/>
    <w:rsid w:val="0029495C"/>
    <w:rsid w:val="00294A35"/>
    <w:rsid w:val="00294B59"/>
    <w:rsid w:val="00294C11"/>
    <w:rsid w:val="00294CD2"/>
    <w:rsid w:val="00294DF7"/>
    <w:rsid w:val="00294F70"/>
    <w:rsid w:val="00295041"/>
    <w:rsid w:val="00295063"/>
    <w:rsid w:val="0029524C"/>
    <w:rsid w:val="002952BC"/>
    <w:rsid w:val="002952D8"/>
    <w:rsid w:val="00295676"/>
    <w:rsid w:val="00295821"/>
    <w:rsid w:val="002958FA"/>
    <w:rsid w:val="00295A93"/>
    <w:rsid w:val="00295ABA"/>
    <w:rsid w:val="00295B3D"/>
    <w:rsid w:val="00295B47"/>
    <w:rsid w:val="00295B5B"/>
    <w:rsid w:val="00295C2C"/>
    <w:rsid w:val="00295C6A"/>
    <w:rsid w:val="00295D07"/>
    <w:rsid w:val="00295D33"/>
    <w:rsid w:val="00295E1E"/>
    <w:rsid w:val="00296014"/>
    <w:rsid w:val="00296117"/>
    <w:rsid w:val="00296179"/>
    <w:rsid w:val="002961BF"/>
    <w:rsid w:val="00296201"/>
    <w:rsid w:val="00296259"/>
    <w:rsid w:val="00296292"/>
    <w:rsid w:val="002962C1"/>
    <w:rsid w:val="002963CD"/>
    <w:rsid w:val="002965FA"/>
    <w:rsid w:val="00296700"/>
    <w:rsid w:val="00296709"/>
    <w:rsid w:val="00296784"/>
    <w:rsid w:val="00296852"/>
    <w:rsid w:val="002968D3"/>
    <w:rsid w:val="002968FF"/>
    <w:rsid w:val="0029694A"/>
    <w:rsid w:val="002969D0"/>
    <w:rsid w:val="00296A09"/>
    <w:rsid w:val="00296D48"/>
    <w:rsid w:val="00296E11"/>
    <w:rsid w:val="002970DE"/>
    <w:rsid w:val="00297125"/>
    <w:rsid w:val="00297268"/>
    <w:rsid w:val="002973CD"/>
    <w:rsid w:val="002973D6"/>
    <w:rsid w:val="0029757E"/>
    <w:rsid w:val="0029781B"/>
    <w:rsid w:val="002978BC"/>
    <w:rsid w:val="00297E02"/>
    <w:rsid w:val="00297F27"/>
    <w:rsid w:val="002A0067"/>
    <w:rsid w:val="002A00BB"/>
    <w:rsid w:val="002A0284"/>
    <w:rsid w:val="002A0308"/>
    <w:rsid w:val="002A0519"/>
    <w:rsid w:val="002A06F0"/>
    <w:rsid w:val="002A0714"/>
    <w:rsid w:val="002A097A"/>
    <w:rsid w:val="002A0D1F"/>
    <w:rsid w:val="002A0D26"/>
    <w:rsid w:val="002A0DF1"/>
    <w:rsid w:val="002A0EC1"/>
    <w:rsid w:val="002A0EFA"/>
    <w:rsid w:val="002A112C"/>
    <w:rsid w:val="002A121E"/>
    <w:rsid w:val="002A12B4"/>
    <w:rsid w:val="002A137A"/>
    <w:rsid w:val="002A13B1"/>
    <w:rsid w:val="002A13C1"/>
    <w:rsid w:val="002A13EC"/>
    <w:rsid w:val="002A1487"/>
    <w:rsid w:val="002A14B8"/>
    <w:rsid w:val="002A18D0"/>
    <w:rsid w:val="002A19B2"/>
    <w:rsid w:val="002A1A99"/>
    <w:rsid w:val="002A1BC6"/>
    <w:rsid w:val="002A1BFF"/>
    <w:rsid w:val="002A1DF3"/>
    <w:rsid w:val="002A1E77"/>
    <w:rsid w:val="002A1FB4"/>
    <w:rsid w:val="002A2015"/>
    <w:rsid w:val="002A20D9"/>
    <w:rsid w:val="002A2311"/>
    <w:rsid w:val="002A2563"/>
    <w:rsid w:val="002A25C3"/>
    <w:rsid w:val="002A2739"/>
    <w:rsid w:val="002A2823"/>
    <w:rsid w:val="002A285B"/>
    <w:rsid w:val="002A2872"/>
    <w:rsid w:val="002A298A"/>
    <w:rsid w:val="002A2AE7"/>
    <w:rsid w:val="002A2BEA"/>
    <w:rsid w:val="002A2E75"/>
    <w:rsid w:val="002A2E9C"/>
    <w:rsid w:val="002A2FF9"/>
    <w:rsid w:val="002A310F"/>
    <w:rsid w:val="002A31F7"/>
    <w:rsid w:val="002A3281"/>
    <w:rsid w:val="002A32C3"/>
    <w:rsid w:val="002A35CA"/>
    <w:rsid w:val="002A3601"/>
    <w:rsid w:val="002A36D4"/>
    <w:rsid w:val="002A373A"/>
    <w:rsid w:val="002A3752"/>
    <w:rsid w:val="002A37F9"/>
    <w:rsid w:val="002A3913"/>
    <w:rsid w:val="002A391D"/>
    <w:rsid w:val="002A397E"/>
    <w:rsid w:val="002A39D9"/>
    <w:rsid w:val="002A3A0B"/>
    <w:rsid w:val="002A3A2D"/>
    <w:rsid w:val="002A3AE0"/>
    <w:rsid w:val="002A3B69"/>
    <w:rsid w:val="002A3CAA"/>
    <w:rsid w:val="002A3D50"/>
    <w:rsid w:val="002A3D84"/>
    <w:rsid w:val="002A410B"/>
    <w:rsid w:val="002A421A"/>
    <w:rsid w:val="002A4511"/>
    <w:rsid w:val="002A461F"/>
    <w:rsid w:val="002A4646"/>
    <w:rsid w:val="002A475B"/>
    <w:rsid w:val="002A4781"/>
    <w:rsid w:val="002A47C2"/>
    <w:rsid w:val="002A47D0"/>
    <w:rsid w:val="002A4914"/>
    <w:rsid w:val="002A4AB5"/>
    <w:rsid w:val="002A4B53"/>
    <w:rsid w:val="002A4BC6"/>
    <w:rsid w:val="002A4D1E"/>
    <w:rsid w:val="002A4DC6"/>
    <w:rsid w:val="002A4DDD"/>
    <w:rsid w:val="002A4E0D"/>
    <w:rsid w:val="002A4E58"/>
    <w:rsid w:val="002A4E9C"/>
    <w:rsid w:val="002A4E9F"/>
    <w:rsid w:val="002A4F23"/>
    <w:rsid w:val="002A509C"/>
    <w:rsid w:val="002A50D8"/>
    <w:rsid w:val="002A50F2"/>
    <w:rsid w:val="002A5176"/>
    <w:rsid w:val="002A51B0"/>
    <w:rsid w:val="002A51C4"/>
    <w:rsid w:val="002A51F7"/>
    <w:rsid w:val="002A5229"/>
    <w:rsid w:val="002A52AA"/>
    <w:rsid w:val="002A5403"/>
    <w:rsid w:val="002A5426"/>
    <w:rsid w:val="002A5455"/>
    <w:rsid w:val="002A54A6"/>
    <w:rsid w:val="002A55A2"/>
    <w:rsid w:val="002A5A01"/>
    <w:rsid w:val="002A5C04"/>
    <w:rsid w:val="002A5C1B"/>
    <w:rsid w:val="002A5CAC"/>
    <w:rsid w:val="002A5D78"/>
    <w:rsid w:val="002A60AA"/>
    <w:rsid w:val="002A61AA"/>
    <w:rsid w:val="002A627A"/>
    <w:rsid w:val="002A6333"/>
    <w:rsid w:val="002A6447"/>
    <w:rsid w:val="002A64C5"/>
    <w:rsid w:val="002A6623"/>
    <w:rsid w:val="002A6687"/>
    <w:rsid w:val="002A66C6"/>
    <w:rsid w:val="002A675A"/>
    <w:rsid w:val="002A69FD"/>
    <w:rsid w:val="002A6A01"/>
    <w:rsid w:val="002A6AD4"/>
    <w:rsid w:val="002A6B31"/>
    <w:rsid w:val="002A6BA3"/>
    <w:rsid w:val="002A6C6D"/>
    <w:rsid w:val="002A6D53"/>
    <w:rsid w:val="002A6DF1"/>
    <w:rsid w:val="002A6DF3"/>
    <w:rsid w:val="002A6EB8"/>
    <w:rsid w:val="002A6EE2"/>
    <w:rsid w:val="002A6F1D"/>
    <w:rsid w:val="002A6FCA"/>
    <w:rsid w:val="002A7125"/>
    <w:rsid w:val="002A738D"/>
    <w:rsid w:val="002A74DB"/>
    <w:rsid w:val="002A750E"/>
    <w:rsid w:val="002A754C"/>
    <w:rsid w:val="002A757C"/>
    <w:rsid w:val="002A76A7"/>
    <w:rsid w:val="002A771A"/>
    <w:rsid w:val="002A77C7"/>
    <w:rsid w:val="002A78AB"/>
    <w:rsid w:val="002A7939"/>
    <w:rsid w:val="002A794C"/>
    <w:rsid w:val="002A79A1"/>
    <w:rsid w:val="002A7A79"/>
    <w:rsid w:val="002A7CCE"/>
    <w:rsid w:val="002A7D1E"/>
    <w:rsid w:val="002A7D1F"/>
    <w:rsid w:val="002A7F76"/>
    <w:rsid w:val="002A7F7F"/>
    <w:rsid w:val="002A7F98"/>
    <w:rsid w:val="002B0030"/>
    <w:rsid w:val="002B00F5"/>
    <w:rsid w:val="002B018D"/>
    <w:rsid w:val="002B018F"/>
    <w:rsid w:val="002B01AC"/>
    <w:rsid w:val="002B02BF"/>
    <w:rsid w:val="002B0377"/>
    <w:rsid w:val="002B069D"/>
    <w:rsid w:val="002B079E"/>
    <w:rsid w:val="002B07B2"/>
    <w:rsid w:val="002B08D0"/>
    <w:rsid w:val="002B092D"/>
    <w:rsid w:val="002B0995"/>
    <w:rsid w:val="002B0A15"/>
    <w:rsid w:val="002B0A16"/>
    <w:rsid w:val="002B0ADA"/>
    <w:rsid w:val="002B0B6F"/>
    <w:rsid w:val="002B0C15"/>
    <w:rsid w:val="002B0C1F"/>
    <w:rsid w:val="002B0EF0"/>
    <w:rsid w:val="002B0F17"/>
    <w:rsid w:val="002B10E7"/>
    <w:rsid w:val="002B10EB"/>
    <w:rsid w:val="002B1207"/>
    <w:rsid w:val="002B120A"/>
    <w:rsid w:val="002B1466"/>
    <w:rsid w:val="002B1683"/>
    <w:rsid w:val="002B16AE"/>
    <w:rsid w:val="002B1859"/>
    <w:rsid w:val="002B190D"/>
    <w:rsid w:val="002B19C5"/>
    <w:rsid w:val="002B1A68"/>
    <w:rsid w:val="002B1B45"/>
    <w:rsid w:val="002B1C93"/>
    <w:rsid w:val="002B1D44"/>
    <w:rsid w:val="002B1E5C"/>
    <w:rsid w:val="002B1FEE"/>
    <w:rsid w:val="002B2032"/>
    <w:rsid w:val="002B2338"/>
    <w:rsid w:val="002B24B6"/>
    <w:rsid w:val="002B24EC"/>
    <w:rsid w:val="002B2672"/>
    <w:rsid w:val="002B272F"/>
    <w:rsid w:val="002B27CA"/>
    <w:rsid w:val="002B2807"/>
    <w:rsid w:val="002B28EE"/>
    <w:rsid w:val="002B2A04"/>
    <w:rsid w:val="002B2AAF"/>
    <w:rsid w:val="002B2D50"/>
    <w:rsid w:val="002B2D6C"/>
    <w:rsid w:val="002B2EB6"/>
    <w:rsid w:val="002B2F43"/>
    <w:rsid w:val="002B2F5F"/>
    <w:rsid w:val="002B2F82"/>
    <w:rsid w:val="002B2F8C"/>
    <w:rsid w:val="002B2F9F"/>
    <w:rsid w:val="002B316F"/>
    <w:rsid w:val="002B31DA"/>
    <w:rsid w:val="002B3283"/>
    <w:rsid w:val="002B3492"/>
    <w:rsid w:val="002B34D7"/>
    <w:rsid w:val="002B3507"/>
    <w:rsid w:val="002B352A"/>
    <w:rsid w:val="002B35A5"/>
    <w:rsid w:val="002B363B"/>
    <w:rsid w:val="002B3722"/>
    <w:rsid w:val="002B375A"/>
    <w:rsid w:val="002B396A"/>
    <w:rsid w:val="002B39C3"/>
    <w:rsid w:val="002B3B7A"/>
    <w:rsid w:val="002B3C7E"/>
    <w:rsid w:val="002B3E4C"/>
    <w:rsid w:val="002B3E91"/>
    <w:rsid w:val="002B3E9E"/>
    <w:rsid w:val="002B402A"/>
    <w:rsid w:val="002B4093"/>
    <w:rsid w:val="002B40F7"/>
    <w:rsid w:val="002B41DD"/>
    <w:rsid w:val="002B4243"/>
    <w:rsid w:val="002B431D"/>
    <w:rsid w:val="002B4339"/>
    <w:rsid w:val="002B443B"/>
    <w:rsid w:val="002B44BA"/>
    <w:rsid w:val="002B45AD"/>
    <w:rsid w:val="002B4627"/>
    <w:rsid w:val="002B492A"/>
    <w:rsid w:val="002B4A69"/>
    <w:rsid w:val="002B4A7C"/>
    <w:rsid w:val="002B4CBD"/>
    <w:rsid w:val="002B4CC5"/>
    <w:rsid w:val="002B4D1B"/>
    <w:rsid w:val="002B4DB5"/>
    <w:rsid w:val="002B4DF6"/>
    <w:rsid w:val="002B4E28"/>
    <w:rsid w:val="002B4E76"/>
    <w:rsid w:val="002B4F91"/>
    <w:rsid w:val="002B529F"/>
    <w:rsid w:val="002B53C0"/>
    <w:rsid w:val="002B542C"/>
    <w:rsid w:val="002B55CC"/>
    <w:rsid w:val="002B55DD"/>
    <w:rsid w:val="002B56CC"/>
    <w:rsid w:val="002B57C2"/>
    <w:rsid w:val="002B580F"/>
    <w:rsid w:val="002B5935"/>
    <w:rsid w:val="002B5939"/>
    <w:rsid w:val="002B5A75"/>
    <w:rsid w:val="002B5B84"/>
    <w:rsid w:val="002B5BCF"/>
    <w:rsid w:val="002B5CBA"/>
    <w:rsid w:val="002B5F46"/>
    <w:rsid w:val="002B5FA1"/>
    <w:rsid w:val="002B5FA8"/>
    <w:rsid w:val="002B6058"/>
    <w:rsid w:val="002B619A"/>
    <w:rsid w:val="002B63BF"/>
    <w:rsid w:val="002B661C"/>
    <w:rsid w:val="002B667E"/>
    <w:rsid w:val="002B6698"/>
    <w:rsid w:val="002B6700"/>
    <w:rsid w:val="002B6876"/>
    <w:rsid w:val="002B68CE"/>
    <w:rsid w:val="002B6902"/>
    <w:rsid w:val="002B6A1F"/>
    <w:rsid w:val="002B6A5C"/>
    <w:rsid w:val="002B6AC6"/>
    <w:rsid w:val="002B6AD3"/>
    <w:rsid w:val="002B6AF6"/>
    <w:rsid w:val="002B6B47"/>
    <w:rsid w:val="002B6B5E"/>
    <w:rsid w:val="002B6BF6"/>
    <w:rsid w:val="002B6CDD"/>
    <w:rsid w:val="002B6CFB"/>
    <w:rsid w:val="002B6E09"/>
    <w:rsid w:val="002B6E21"/>
    <w:rsid w:val="002B6EB7"/>
    <w:rsid w:val="002B7048"/>
    <w:rsid w:val="002B7167"/>
    <w:rsid w:val="002B7289"/>
    <w:rsid w:val="002B72B3"/>
    <w:rsid w:val="002B731D"/>
    <w:rsid w:val="002B7353"/>
    <w:rsid w:val="002B7433"/>
    <w:rsid w:val="002B74A0"/>
    <w:rsid w:val="002B753C"/>
    <w:rsid w:val="002B76B2"/>
    <w:rsid w:val="002B76CC"/>
    <w:rsid w:val="002B776A"/>
    <w:rsid w:val="002B7855"/>
    <w:rsid w:val="002B7867"/>
    <w:rsid w:val="002B7895"/>
    <w:rsid w:val="002B795D"/>
    <w:rsid w:val="002B7972"/>
    <w:rsid w:val="002B7999"/>
    <w:rsid w:val="002B79DD"/>
    <w:rsid w:val="002B7B5A"/>
    <w:rsid w:val="002B7BBF"/>
    <w:rsid w:val="002B7F44"/>
    <w:rsid w:val="002B7FD3"/>
    <w:rsid w:val="002B7FDE"/>
    <w:rsid w:val="002C011F"/>
    <w:rsid w:val="002C0223"/>
    <w:rsid w:val="002C02D1"/>
    <w:rsid w:val="002C0361"/>
    <w:rsid w:val="002C0384"/>
    <w:rsid w:val="002C03CF"/>
    <w:rsid w:val="002C0487"/>
    <w:rsid w:val="002C0491"/>
    <w:rsid w:val="002C04B2"/>
    <w:rsid w:val="002C058F"/>
    <w:rsid w:val="002C0700"/>
    <w:rsid w:val="002C0762"/>
    <w:rsid w:val="002C0B2D"/>
    <w:rsid w:val="002C0B30"/>
    <w:rsid w:val="002C0BC3"/>
    <w:rsid w:val="002C0DB8"/>
    <w:rsid w:val="002C0DEE"/>
    <w:rsid w:val="002C0F42"/>
    <w:rsid w:val="002C1041"/>
    <w:rsid w:val="002C109D"/>
    <w:rsid w:val="002C1148"/>
    <w:rsid w:val="002C12D8"/>
    <w:rsid w:val="002C131E"/>
    <w:rsid w:val="002C1411"/>
    <w:rsid w:val="002C1430"/>
    <w:rsid w:val="002C1449"/>
    <w:rsid w:val="002C14A4"/>
    <w:rsid w:val="002C15D8"/>
    <w:rsid w:val="002C1704"/>
    <w:rsid w:val="002C170A"/>
    <w:rsid w:val="002C17A6"/>
    <w:rsid w:val="002C17D0"/>
    <w:rsid w:val="002C1837"/>
    <w:rsid w:val="002C19B8"/>
    <w:rsid w:val="002C1A20"/>
    <w:rsid w:val="002C1A90"/>
    <w:rsid w:val="002C1CFC"/>
    <w:rsid w:val="002C1DAE"/>
    <w:rsid w:val="002C1E32"/>
    <w:rsid w:val="002C1E4A"/>
    <w:rsid w:val="002C1F25"/>
    <w:rsid w:val="002C1F63"/>
    <w:rsid w:val="002C2255"/>
    <w:rsid w:val="002C235E"/>
    <w:rsid w:val="002C2483"/>
    <w:rsid w:val="002C2485"/>
    <w:rsid w:val="002C269B"/>
    <w:rsid w:val="002C2786"/>
    <w:rsid w:val="002C284D"/>
    <w:rsid w:val="002C287F"/>
    <w:rsid w:val="002C2954"/>
    <w:rsid w:val="002C2A65"/>
    <w:rsid w:val="002C2A70"/>
    <w:rsid w:val="002C2AE2"/>
    <w:rsid w:val="002C2B31"/>
    <w:rsid w:val="002C2B70"/>
    <w:rsid w:val="002C2C59"/>
    <w:rsid w:val="002C2CC1"/>
    <w:rsid w:val="002C2F1F"/>
    <w:rsid w:val="002C2F61"/>
    <w:rsid w:val="002C2FAC"/>
    <w:rsid w:val="002C30EB"/>
    <w:rsid w:val="002C3156"/>
    <w:rsid w:val="002C31A2"/>
    <w:rsid w:val="002C3237"/>
    <w:rsid w:val="002C3249"/>
    <w:rsid w:val="002C331F"/>
    <w:rsid w:val="002C336F"/>
    <w:rsid w:val="002C33F6"/>
    <w:rsid w:val="002C34B0"/>
    <w:rsid w:val="002C34FC"/>
    <w:rsid w:val="002C352B"/>
    <w:rsid w:val="002C36DC"/>
    <w:rsid w:val="002C387A"/>
    <w:rsid w:val="002C3930"/>
    <w:rsid w:val="002C39AA"/>
    <w:rsid w:val="002C3A6A"/>
    <w:rsid w:val="002C3AA2"/>
    <w:rsid w:val="002C3ABB"/>
    <w:rsid w:val="002C3B01"/>
    <w:rsid w:val="002C3B8C"/>
    <w:rsid w:val="002C3C02"/>
    <w:rsid w:val="002C3C53"/>
    <w:rsid w:val="002C3D1A"/>
    <w:rsid w:val="002C3D7B"/>
    <w:rsid w:val="002C3D9B"/>
    <w:rsid w:val="002C3DE2"/>
    <w:rsid w:val="002C3E57"/>
    <w:rsid w:val="002C4015"/>
    <w:rsid w:val="002C40BF"/>
    <w:rsid w:val="002C417B"/>
    <w:rsid w:val="002C41B0"/>
    <w:rsid w:val="002C42A1"/>
    <w:rsid w:val="002C42B0"/>
    <w:rsid w:val="002C436F"/>
    <w:rsid w:val="002C4386"/>
    <w:rsid w:val="002C4458"/>
    <w:rsid w:val="002C446D"/>
    <w:rsid w:val="002C4474"/>
    <w:rsid w:val="002C44ED"/>
    <w:rsid w:val="002C44EE"/>
    <w:rsid w:val="002C4744"/>
    <w:rsid w:val="002C4951"/>
    <w:rsid w:val="002C4A18"/>
    <w:rsid w:val="002C4A33"/>
    <w:rsid w:val="002C4A6C"/>
    <w:rsid w:val="002C4CA3"/>
    <w:rsid w:val="002C4CC4"/>
    <w:rsid w:val="002C4D2E"/>
    <w:rsid w:val="002C4DC5"/>
    <w:rsid w:val="002C4E42"/>
    <w:rsid w:val="002C4E86"/>
    <w:rsid w:val="002C4FAC"/>
    <w:rsid w:val="002C5048"/>
    <w:rsid w:val="002C5053"/>
    <w:rsid w:val="002C5057"/>
    <w:rsid w:val="002C50C4"/>
    <w:rsid w:val="002C5111"/>
    <w:rsid w:val="002C5167"/>
    <w:rsid w:val="002C5170"/>
    <w:rsid w:val="002C51E0"/>
    <w:rsid w:val="002C547C"/>
    <w:rsid w:val="002C5483"/>
    <w:rsid w:val="002C5489"/>
    <w:rsid w:val="002C5497"/>
    <w:rsid w:val="002C54BB"/>
    <w:rsid w:val="002C5537"/>
    <w:rsid w:val="002C5544"/>
    <w:rsid w:val="002C55CB"/>
    <w:rsid w:val="002C563C"/>
    <w:rsid w:val="002C56AA"/>
    <w:rsid w:val="002C582E"/>
    <w:rsid w:val="002C5911"/>
    <w:rsid w:val="002C5932"/>
    <w:rsid w:val="002C5939"/>
    <w:rsid w:val="002C5BA3"/>
    <w:rsid w:val="002C5C24"/>
    <w:rsid w:val="002C5C30"/>
    <w:rsid w:val="002C5DE8"/>
    <w:rsid w:val="002C5E2F"/>
    <w:rsid w:val="002C5F84"/>
    <w:rsid w:val="002C5FD2"/>
    <w:rsid w:val="002C5FD8"/>
    <w:rsid w:val="002C6089"/>
    <w:rsid w:val="002C60A7"/>
    <w:rsid w:val="002C60E9"/>
    <w:rsid w:val="002C6156"/>
    <w:rsid w:val="002C643F"/>
    <w:rsid w:val="002C65AF"/>
    <w:rsid w:val="002C6696"/>
    <w:rsid w:val="002C66B0"/>
    <w:rsid w:val="002C682F"/>
    <w:rsid w:val="002C68F0"/>
    <w:rsid w:val="002C6959"/>
    <w:rsid w:val="002C69BA"/>
    <w:rsid w:val="002C69CC"/>
    <w:rsid w:val="002C6AAF"/>
    <w:rsid w:val="002C6AEE"/>
    <w:rsid w:val="002C6B56"/>
    <w:rsid w:val="002C6B8B"/>
    <w:rsid w:val="002C6C2D"/>
    <w:rsid w:val="002C6DE8"/>
    <w:rsid w:val="002C6FFA"/>
    <w:rsid w:val="002C7058"/>
    <w:rsid w:val="002C70A9"/>
    <w:rsid w:val="002C7315"/>
    <w:rsid w:val="002C739E"/>
    <w:rsid w:val="002C73BF"/>
    <w:rsid w:val="002C7664"/>
    <w:rsid w:val="002C76E8"/>
    <w:rsid w:val="002C7727"/>
    <w:rsid w:val="002C7883"/>
    <w:rsid w:val="002C78CF"/>
    <w:rsid w:val="002C78FE"/>
    <w:rsid w:val="002C7945"/>
    <w:rsid w:val="002C797D"/>
    <w:rsid w:val="002C7AF9"/>
    <w:rsid w:val="002C7AFD"/>
    <w:rsid w:val="002C7CD8"/>
    <w:rsid w:val="002C7D5E"/>
    <w:rsid w:val="002C7E26"/>
    <w:rsid w:val="002C7E9E"/>
    <w:rsid w:val="002C7EA7"/>
    <w:rsid w:val="002C7F0D"/>
    <w:rsid w:val="002C7F37"/>
    <w:rsid w:val="002D035A"/>
    <w:rsid w:val="002D04A4"/>
    <w:rsid w:val="002D05D7"/>
    <w:rsid w:val="002D080B"/>
    <w:rsid w:val="002D098F"/>
    <w:rsid w:val="002D0B4D"/>
    <w:rsid w:val="002D0E42"/>
    <w:rsid w:val="002D1265"/>
    <w:rsid w:val="002D12FD"/>
    <w:rsid w:val="002D1330"/>
    <w:rsid w:val="002D1379"/>
    <w:rsid w:val="002D13F2"/>
    <w:rsid w:val="002D1514"/>
    <w:rsid w:val="002D1687"/>
    <w:rsid w:val="002D169D"/>
    <w:rsid w:val="002D1715"/>
    <w:rsid w:val="002D17AC"/>
    <w:rsid w:val="002D17B8"/>
    <w:rsid w:val="002D17EA"/>
    <w:rsid w:val="002D18DB"/>
    <w:rsid w:val="002D195A"/>
    <w:rsid w:val="002D19B1"/>
    <w:rsid w:val="002D1B0A"/>
    <w:rsid w:val="002D1BB3"/>
    <w:rsid w:val="002D1C1A"/>
    <w:rsid w:val="002D1C5B"/>
    <w:rsid w:val="002D1E4F"/>
    <w:rsid w:val="002D1F47"/>
    <w:rsid w:val="002D1F4F"/>
    <w:rsid w:val="002D1FDB"/>
    <w:rsid w:val="002D2030"/>
    <w:rsid w:val="002D21F0"/>
    <w:rsid w:val="002D2216"/>
    <w:rsid w:val="002D22A3"/>
    <w:rsid w:val="002D23B1"/>
    <w:rsid w:val="002D2500"/>
    <w:rsid w:val="002D252F"/>
    <w:rsid w:val="002D25BD"/>
    <w:rsid w:val="002D2622"/>
    <w:rsid w:val="002D26A3"/>
    <w:rsid w:val="002D2853"/>
    <w:rsid w:val="002D287B"/>
    <w:rsid w:val="002D28E2"/>
    <w:rsid w:val="002D2909"/>
    <w:rsid w:val="002D2910"/>
    <w:rsid w:val="002D2991"/>
    <w:rsid w:val="002D29CD"/>
    <w:rsid w:val="002D2AEC"/>
    <w:rsid w:val="002D2AFF"/>
    <w:rsid w:val="002D2E64"/>
    <w:rsid w:val="002D2FA6"/>
    <w:rsid w:val="002D3060"/>
    <w:rsid w:val="002D315F"/>
    <w:rsid w:val="002D32A6"/>
    <w:rsid w:val="002D32C2"/>
    <w:rsid w:val="002D3309"/>
    <w:rsid w:val="002D3322"/>
    <w:rsid w:val="002D33ED"/>
    <w:rsid w:val="002D3440"/>
    <w:rsid w:val="002D3467"/>
    <w:rsid w:val="002D35B2"/>
    <w:rsid w:val="002D3656"/>
    <w:rsid w:val="002D3674"/>
    <w:rsid w:val="002D36D2"/>
    <w:rsid w:val="002D37A5"/>
    <w:rsid w:val="002D3861"/>
    <w:rsid w:val="002D39BE"/>
    <w:rsid w:val="002D39D4"/>
    <w:rsid w:val="002D3A26"/>
    <w:rsid w:val="002D3ACF"/>
    <w:rsid w:val="002D3B7F"/>
    <w:rsid w:val="002D3C21"/>
    <w:rsid w:val="002D3D16"/>
    <w:rsid w:val="002D3D53"/>
    <w:rsid w:val="002D3DB8"/>
    <w:rsid w:val="002D4047"/>
    <w:rsid w:val="002D405F"/>
    <w:rsid w:val="002D4075"/>
    <w:rsid w:val="002D42A5"/>
    <w:rsid w:val="002D4369"/>
    <w:rsid w:val="002D4420"/>
    <w:rsid w:val="002D44A8"/>
    <w:rsid w:val="002D457B"/>
    <w:rsid w:val="002D4592"/>
    <w:rsid w:val="002D45A0"/>
    <w:rsid w:val="002D4749"/>
    <w:rsid w:val="002D487E"/>
    <w:rsid w:val="002D492C"/>
    <w:rsid w:val="002D4B06"/>
    <w:rsid w:val="002D4BF4"/>
    <w:rsid w:val="002D4DBD"/>
    <w:rsid w:val="002D50E0"/>
    <w:rsid w:val="002D5146"/>
    <w:rsid w:val="002D518E"/>
    <w:rsid w:val="002D51B7"/>
    <w:rsid w:val="002D5232"/>
    <w:rsid w:val="002D529D"/>
    <w:rsid w:val="002D5390"/>
    <w:rsid w:val="002D53EB"/>
    <w:rsid w:val="002D54EF"/>
    <w:rsid w:val="002D559B"/>
    <w:rsid w:val="002D564B"/>
    <w:rsid w:val="002D5686"/>
    <w:rsid w:val="002D5700"/>
    <w:rsid w:val="002D573A"/>
    <w:rsid w:val="002D586C"/>
    <w:rsid w:val="002D58D6"/>
    <w:rsid w:val="002D5A9D"/>
    <w:rsid w:val="002D5B14"/>
    <w:rsid w:val="002D5B59"/>
    <w:rsid w:val="002D5B5D"/>
    <w:rsid w:val="002D5C62"/>
    <w:rsid w:val="002D5CF7"/>
    <w:rsid w:val="002D5ED9"/>
    <w:rsid w:val="002D5F85"/>
    <w:rsid w:val="002D602F"/>
    <w:rsid w:val="002D6212"/>
    <w:rsid w:val="002D62C3"/>
    <w:rsid w:val="002D63FC"/>
    <w:rsid w:val="002D649F"/>
    <w:rsid w:val="002D6570"/>
    <w:rsid w:val="002D65C8"/>
    <w:rsid w:val="002D6606"/>
    <w:rsid w:val="002D66FC"/>
    <w:rsid w:val="002D670A"/>
    <w:rsid w:val="002D6724"/>
    <w:rsid w:val="002D67D8"/>
    <w:rsid w:val="002D6812"/>
    <w:rsid w:val="002D690E"/>
    <w:rsid w:val="002D691D"/>
    <w:rsid w:val="002D692F"/>
    <w:rsid w:val="002D6F58"/>
    <w:rsid w:val="002D7240"/>
    <w:rsid w:val="002D7337"/>
    <w:rsid w:val="002D74B5"/>
    <w:rsid w:val="002D75AE"/>
    <w:rsid w:val="002D7777"/>
    <w:rsid w:val="002D7817"/>
    <w:rsid w:val="002D786A"/>
    <w:rsid w:val="002D78B9"/>
    <w:rsid w:val="002D7999"/>
    <w:rsid w:val="002D7B03"/>
    <w:rsid w:val="002D7B1B"/>
    <w:rsid w:val="002D7B5E"/>
    <w:rsid w:val="002D7CE7"/>
    <w:rsid w:val="002D7D65"/>
    <w:rsid w:val="002D7F67"/>
    <w:rsid w:val="002D7FC8"/>
    <w:rsid w:val="002E00B6"/>
    <w:rsid w:val="002E024A"/>
    <w:rsid w:val="002E026A"/>
    <w:rsid w:val="002E02E2"/>
    <w:rsid w:val="002E04D6"/>
    <w:rsid w:val="002E0674"/>
    <w:rsid w:val="002E06E7"/>
    <w:rsid w:val="002E06EE"/>
    <w:rsid w:val="002E08B2"/>
    <w:rsid w:val="002E09E5"/>
    <w:rsid w:val="002E0A74"/>
    <w:rsid w:val="002E0ADC"/>
    <w:rsid w:val="002E0C91"/>
    <w:rsid w:val="002E0E53"/>
    <w:rsid w:val="002E1019"/>
    <w:rsid w:val="002E1166"/>
    <w:rsid w:val="002E1184"/>
    <w:rsid w:val="002E11E6"/>
    <w:rsid w:val="002E1330"/>
    <w:rsid w:val="002E137F"/>
    <w:rsid w:val="002E13E4"/>
    <w:rsid w:val="002E14FF"/>
    <w:rsid w:val="002E16E6"/>
    <w:rsid w:val="002E175F"/>
    <w:rsid w:val="002E17DB"/>
    <w:rsid w:val="002E19A4"/>
    <w:rsid w:val="002E1B5D"/>
    <w:rsid w:val="002E1B95"/>
    <w:rsid w:val="002E1C30"/>
    <w:rsid w:val="002E1CA6"/>
    <w:rsid w:val="002E1D42"/>
    <w:rsid w:val="002E206C"/>
    <w:rsid w:val="002E20BF"/>
    <w:rsid w:val="002E211C"/>
    <w:rsid w:val="002E2135"/>
    <w:rsid w:val="002E22F5"/>
    <w:rsid w:val="002E23C6"/>
    <w:rsid w:val="002E2794"/>
    <w:rsid w:val="002E28E2"/>
    <w:rsid w:val="002E293F"/>
    <w:rsid w:val="002E2949"/>
    <w:rsid w:val="002E2966"/>
    <w:rsid w:val="002E2A37"/>
    <w:rsid w:val="002E2A6A"/>
    <w:rsid w:val="002E2BAD"/>
    <w:rsid w:val="002E2BB1"/>
    <w:rsid w:val="002E2BD7"/>
    <w:rsid w:val="002E2CDC"/>
    <w:rsid w:val="002E2DEA"/>
    <w:rsid w:val="002E3016"/>
    <w:rsid w:val="002E30E6"/>
    <w:rsid w:val="002E3153"/>
    <w:rsid w:val="002E31AB"/>
    <w:rsid w:val="002E31E2"/>
    <w:rsid w:val="002E3358"/>
    <w:rsid w:val="002E3387"/>
    <w:rsid w:val="002E3436"/>
    <w:rsid w:val="002E3515"/>
    <w:rsid w:val="002E35DD"/>
    <w:rsid w:val="002E364C"/>
    <w:rsid w:val="002E37F1"/>
    <w:rsid w:val="002E38A3"/>
    <w:rsid w:val="002E39DF"/>
    <w:rsid w:val="002E3BEE"/>
    <w:rsid w:val="002E3D0E"/>
    <w:rsid w:val="002E3D64"/>
    <w:rsid w:val="002E3E1E"/>
    <w:rsid w:val="002E3E68"/>
    <w:rsid w:val="002E3ED1"/>
    <w:rsid w:val="002E3F6D"/>
    <w:rsid w:val="002E4048"/>
    <w:rsid w:val="002E4099"/>
    <w:rsid w:val="002E41BD"/>
    <w:rsid w:val="002E43BF"/>
    <w:rsid w:val="002E43C9"/>
    <w:rsid w:val="002E43D0"/>
    <w:rsid w:val="002E4497"/>
    <w:rsid w:val="002E45AC"/>
    <w:rsid w:val="002E4674"/>
    <w:rsid w:val="002E4721"/>
    <w:rsid w:val="002E472E"/>
    <w:rsid w:val="002E47CE"/>
    <w:rsid w:val="002E488D"/>
    <w:rsid w:val="002E48B4"/>
    <w:rsid w:val="002E490A"/>
    <w:rsid w:val="002E4AF7"/>
    <w:rsid w:val="002E4B31"/>
    <w:rsid w:val="002E4BB6"/>
    <w:rsid w:val="002E4CC4"/>
    <w:rsid w:val="002E4CE4"/>
    <w:rsid w:val="002E4CE6"/>
    <w:rsid w:val="002E4DBC"/>
    <w:rsid w:val="002E4DE7"/>
    <w:rsid w:val="002E5055"/>
    <w:rsid w:val="002E52CC"/>
    <w:rsid w:val="002E53BA"/>
    <w:rsid w:val="002E53E2"/>
    <w:rsid w:val="002E54E3"/>
    <w:rsid w:val="002E54E5"/>
    <w:rsid w:val="002E5591"/>
    <w:rsid w:val="002E56E0"/>
    <w:rsid w:val="002E5724"/>
    <w:rsid w:val="002E57F5"/>
    <w:rsid w:val="002E59E6"/>
    <w:rsid w:val="002E5A59"/>
    <w:rsid w:val="002E5B80"/>
    <w:rsid w:val="002E5B93"/>
    <w:rsid w:val="002E5C32"/>
    <w:rsid w:val="002E5EB7"/>
    <w:rsid w:val="002E5F82"/>
    <w:rsid w:val="002E5F84"/>
    <w:rsid w:val="002E605F"/>
    <w:rsid w:val="002E6061"/>
    <w:rsid w:val="002E6102"/>
    <w:rsid w:val="002E6220"/>
    <w:rsid w:val="002E645F"/>
    <w:rsid w:val="002E6527"/>
    <w:rsid w:val="002E65C0"/>
    <w:rsid w:val="002E65C2"/>
    <w:rsid w:val="002E65E0"/>
    <w:rsid w:val="002E66B3"/>
    <w:rsid w:val="002E67A8"/>
    <w:rsid w:val="002E6893"/>
    <w:rsid w:val="002E698C"/>
    <w:rsid w:val="002E69F1"/>
    <w:rsid w:val="002E6AA8"/>
    <w:rsid w:val="002E6ACF"/>
    <w:rsid w:val="002E6B03"/>
    <w:rsid w:val="002E6C73"/>
    <w:rsid w:val="002E6E93"/>
    <w:rsid w:val="002E71C1"/>
    <w:rsid w:val="002E7320"/>
    <w:rsid w:val="002E732D"/>
    <w:rsid w:val="002E73EA"/>
    <w:rsid w:val="002E748A"/>
    <w:rsid w:val="002E751A"/>
    <w:rsid w:val="002E755C"/>
    <w:rsid w:val="002E76B5"/>
    <w:rsid w:val="002E78BD"/>
    <w:rsid w:val="002E7B36"/>
    <w:rsid w:val="002E7B78"/>
    <w:rsid w:val="002E7C77"/>
    <w:rsid w:val="002E7C96"/>
    <w:rsid w:val="002E7D1E"/>
    <w:rsid w:val="002E7D7B"/>
    <w:rsid w:val="002E7D84"/>
    <w:rsid w:val="002E7E57"/>
    <w:rsid w:val="002F024C"/>
    <w:rsid w:val="002F03C1"/>
    <w:rsid w:val="002F04A4"/>
    <w:rsid w:val="002F04A5"/>
    <w:rsid w:val="002F05C6"/>
    <w:rsid w:val="002F07DA"/>
    <w:rsid w:val="002F08C1"/>
    <w:rsid w:val="002F0A02"/>
    <w:rsid w:val="002F0A5A"/>
    <w:rsid w:val="002F0A8C"/>
    <w:rsid w:val="002F0C21"/>
    <w:rsid w:val="002F0C65"/>
    <w:rsid w:val="002F0F0B"/>
    <w:rsid w:val="002F100B"/>
    <w:rsid w:val="002F103E"/>
    <w:rsid w:val="002F1052"/>
    <w:rsid w:val="002F1213"/>
    <w:rsid w:val="002F1257"/>
    <w:rsid w:val="002F1340"/>
    <w:rsid w:val="002F156E"/>
    <w:rsid w:val="002F15B4"/>
    <w:rsid w:val="002F1765"/>
    <w:rsid w:val="002F1770"/>
    <w:rsid w:val="002F186E"/>
    <w:rsid w:val="002F1981"/>
    <w:rsid w:val="002F1A46"/>
    <w:rsid w:val="002F1B33"/>
    <w:rsid w:val="002F1B8E"/>
    <w:rsid w:val="002F1BB2"/>
    <w:rsid w:val="002F1BCB"/>
    <w:rsid w:val="002F1C65"/>
    <w:rsid w:val="002F1C70"/>
    <w:rsid w:val="002F1CCD"/>
    <w:rsid w:val="002F1CD5"/>
    <w:rsid w:val="002F1DF5"/>
    <w:rsid w:val="002F1E56"/>
    <w:rsid w:val="002F1EC1"/>
    <w:rsid w:val="002F2157"/>
    <w:rsid w:val="002F2183"/>
    <w:rsid w:val="002F2216"/>
    <w:rsid w:val="002F2266"/>
    <w:rsid w:val="002F229B"/>
    <w:rsid w:val="002F2353"/>
    <w:rsid w:val="002F2438"/>
    <w:rsid w:val="002F2444"/>
    <w:rsid w:val="002F253C"/>
    <w:rsid w:val="002F25F6"/>
    <w:rsid w:val="002F26AB"/>
    <w:rsid w:val="002F2717"/>
    <w:rsid w:val="002F277F"/>
    <w:rsid w:val="002F27F8"/>
    <w:rsid w:val="002F299D"/>
    <w:rsid w:val="002F2A4C"/>
    <w:rsid w:val="002F2C8A"/>
    <w:rsid w:val="002F2FB8"/>
    <w:rsid w:val="002F301E"/>
    <w:rsid w:val="002F30B8"/>
    <w:rsid w:val="002F310C"/>
    <w:rsid w:val="002F3173"/>
    <w:rsid w:val="002F329B"/>
    <w:rsid w:val="002F3303"/>
    <w:rsid w:val="002F333D"/>
    <w:rsid w:val="002F3413"/>
    <w:rsid w:val="002F3659"/>
    <w:rsid w:val="002F3678"/>
    <w:rsid w:val="002F36AE"/>
    <w:rsid w:val="002F37C3"/>
    <w:rsid w:val="002F37C7"/>
    <w:rsid w:val="002F38AF"/>
    <w:rsid w:val="002F38E7"/>
    <w:rsid w:val="002F3ADA"/>
    <w:rsid w:val="002F3D1E"/>
    <w:rsid w:val="002F3D2F"/>
    <w:rsid w:val="002F3D37"/>
    <w:rsid w:val="002F3DC6"/>
    <w:rsid w:val="002F3DF3"/>
    <w:rsid w:val="002F3E24"/>
    <w:rsid w:val="002F3F90"/>
    <w:rsid w:val="002F4064"/>
    <w:rsid w:val="002F4110"/>
    <w:rsid w:val="002F41A2"/>
    <w:rsid w:val="002F424A"/>
    <w:rsid w:val="002F42F4"/>
    <w:rsid w:val="002F4398"/>
    <w:rsid w:val="002F443D"/>
    <w:rsid w:val="002F44FB"/>
    <w:rsid w:val="002F492E"/>
    <w:rsid w:val="002F4A01"/>
    <w:rsid w:val="002F4A39"/>
    <w:rsid w:val="002F4A52"/>
    <w:rsid w:val="002F4C44"/>
    <w:rsid w:val="002F4CAC"/>
    <w:rsid w:val="002F4D2A"/>
    <w:rsid w:val="002F4DC4"/>
    <w:rsid w:val="002F4E20"/>
    <w:rsid w:val="002F4E82"/>
    <w:rsid w:val="002F4FA6"/>
    <w:rsid w:val="002F516B"/>
    <w:rsid w:val="002F520E"/>
    <w:rsid w:val="002F52D0"/>
    <w:rsid w:val="002F549F"/>
    <w:rsid w:val="002F54F2"/>
    <w:rsid w:val="002F5514"/>
    <w:rsid w:val="002F5669"/>
    <w:rsid w:val="002F57FA"/>
    <w:rsid w:val="002F58AF"/>
    <w:rsid w:val="002F595A"/>
    <w:rsid w:val="002F595B"/>
    <w:rsid w:val="002F5A2E"/>
    <w:rsid w:val="002F5ABB"/>
    <w:rsid w:val="002F5B0F"/>
    <w:rsid w:val="002F5CC8"/>
    <w:rsid w:val="002F5D6E"/>
    <w:rsid w:val="002F5D7D"/>
    <w:rsid w:val="002F5DD9"/>
    <w:rsid w:val="002F5E2F"/>
    <w:rsid w:val="002F6092"/>
    <w:rsid w:val="002F6146"/>
    <w:rsid w:val="002F6186"/>
    <w:rsid w:val="002F61E2"/>
    <w:rsid w:val="002F61E3"/>
    <w:rsid w:val="002F6231"/>
    <w:rsid w:val="002F623A"/>
    <w:rsid w:val="002F62CF"/>
    <w:rsid w:val="002F643F"/>
    <w:rsid w:val="002F644C"/>
    <w:rsid w:val="002F64F4"/>
    <w:rsid w:val="002F6512"/>
    <w:rsid w:val="002F65A3"/>
    <w:rsid w:val="002F6657"/>
    <w:rsid w:val="002F6659"/>
    <w:rsid w:val="002F6743"/>
    <w:rsid w:val="002F6758"/>
    <w:rsid w:val="002F67CC"/>
    <w:rsid w:val="002F680C"/>
    <w:rsid w:val="002F6822"/>
    <w:rsid w:val="002F688C"/>
    <w:rsid w:val="002F692E"/>
    <w:rsid w:val="002F6A66"/>
    <w:rsid w:val="002F6C75"/>
    <w:rsid w:val="002F6D26"/>
    <w:rsid w:val="002F6D37"/>
    <w:rsid w:val="002F6D50"/>
    <w:rsid w:val="002F6FA3"/>
    <w:rsid w:val="002F725A"/>
    <w:rsid w:val="002F7281"/>
    <w:rsid w:val="002F7345"/>
    <w:rsid w:val="002F739E"/>
    <w:rsid w:val="002F73E3"/>
    <w:rsid w:val="002F740F"/>
    <w:rsid w:val="002F7441"/>
    <w:rsid w:val="002F749E"/>
    <w:rsid w:val="002F74CF"/>
    <w:rsid w:val="002F773F"/>
    <w:rsid w:val="002F7776"/>
    <w:rsid w:val="002F7793"/>
    <w:rsid w:val="002F77AA"/>
    <w:rsid w:val="002F789B"/>
    <w:rsid w:val="002F7901"/>
    <w:rsid w:val="002F7928"/>
    <w:rsid w:val="002F7AD2"/>
    <w:rsid w:val="002F7B62"/>
    <w:rsid w:val="002F7B93"/>
    <w:rsid w:val="002F7D8A"/>
    <w:rsid w:val="002F7DF4"/>
    <w:rsid w:val="002F7E22"/>
    <w:rsid w:val="002F7EDF"/>
    <w:rsid w:val="00300048"/>
    <w:rsid w:val="00300173"/>
    <w:rsid w:val="00300220"/>
    <w:rsid w:val="00300299"/>
    <w:rsid w:val="00300441"/>
    <w:rsid w:val="003004B1"/>
    <w:rsid w:val="003004BF"/>
    <w:rsid w:val="0030051F"/>
    <w:rsid w:val="0030053A"/>
    <w:rsid w:val="00300604"/>
    <w:rsid w:val="003006FB"/>
    <w:rsid w:val="00300738"/>
    <w:rsid w:val="00300784"/>
    <w:rsid w:val="00300890"/>
    <w:rsid w:val="003009D9"/>
    <w:rsid w:val="003009DC"/>
    <w:rsid w:val="00300A1C"/>
    <w:rsid w:val="00300A3F"/>
    <w:rsid w:val="00300AB8"/>
    <w:rsid w:val="00300AC9"/>
    <w:rsid w:val="00300BE5"/>
    <w:rsid w:val="00300D5E"/>
    <w:rsid w:val="00300DB7"/>
    <w:rsid w:val="00300E37"/>
    <w:rsid w:val="00300FFB"/>
    <w:rsid w:val="003010FC"/>
    <w:rsid w:val="0030117C"/>
    <w:rsid w:val="00301200"/>
    <w:rsid w:val="0030140E"/>
    <w:rsid w:val="00301455"/>
    <w:rsid w:val="00301572"/>
    <w:rsid w:val="0030169D"/>
    <w:rsid w:val="003016B7"/>
    <w:rsid w:val="003017CD"/>
    <w:rsid w:val="0030197E"/>
    <w:rsid w:val="00301A62"/>
    <w:rsid w:val="00301B8D"/>
    <w:rsid w:val="00301C0A"/>
    <w:rsid w:val="00301C12"/>
    <w:rsid w:val="00301C38"/>
    <w:rsid w:val="00301C4F"/>
    <w:rsid w:val="00301CF9"/>
    <w:rsid w:val="00301D8E"/>
    <w:rsid w:val="00301F87"/>
    <w:rsid w:val="00302079"/>
    <w:rsid w:val="00302133"/>
    <w:rsid w:val="00302234"/>
    <w:rsid w:val="003023F4"/>
    <w:rsid w:val="003024BC"/>
    <w:rsid w:val="003025C6"/>
    <w:rsid w:val="0030287C"/>
    <w:rsid w:val="00302C2D"/>
    <w:rsid w:val="00302CB4"/>
    <w:rsid w:val="00302CC1"/>
    <w:rsid w:val="00302DD6"/>
    <w:rsid w:val="00302DDF"/>
    <w:rsid w:val="00302E00"/>
    <w:rsid w:val="00302EA1"/>
    <w:rsid w:val="00302F58"/>
    <w:rsid w:val="0030303F"/>
    <w:rsid w:val="0030306B"/>
    <w:rsid w:val="003032B1"/>
    <w:rsid w:val="00303359"/>
    <w:rsid w:val="003033AA"/>
    <w:rsid w:val="00303440"/>
    <w:rsid w:val="00303468"/>
    <w:rsid w:val="00303471"/>
    <w:rsid w:val="00303487"/>
    <w:rsid w:val="0030355F"/>
    <w:rsid w:val="00303695"/>
    <w:rsid w:val="003036D8"/>
    <w:rsid w:val="003036F5"/>
    <w:rsid w:val="0030386B"/>
    <w:rsid w:val="00303886"/>
    <w:rsid w:val="0030389C"/>
    <w:rsid w:val="0030389E"/>
    <w:rsid w:val="003038EA"/>
    <w:rsid w:val="003038F6"/>
    <w:rsid w:val="00303903"/>
    <w:rsid w:val="003039C0"/>
    <w:rsid w:val="00303A13"/>
    <w:rsid w:val="00303A7B"/>
    <w:rsid w:val="00303B28"/>
    <w:rsid w:val="00303C4F"/>
    <w:rsid w:val="00303C7C"/>
    <w:rsid w:val="00303CBC"/>
    <w:rsid w:val="00303D39"/>
    <w:rsid w:val="00303E07"/>
    <w:rsid w:val="00304111"/>
    <w:rsid w:val="00304134"/>
    <w:rsid w:val="00304177"/>
    <w:rsid w:val="0030423C"/>
    <w:rsid w:val="00304481"/>
    <w:rsid w:val="003044B3"/>
    <w:rsid w:val="00304511"/>
    <w:rsid w:val="00304591"/>
    <w:rsid w:val="003047E4"/>
    <w:rsid w:val="00304904"/>
    <w:rsid w:val="00304908"/>
    <w:rsid w:val="003049E7"/>
    <w:rsid w:val="00304AFC"/>
    <w:rsid w:val="00304BCA"/>
    <w:rsid w:val="00304BF0"/>
    <w:rsid w:val="00304CA5"/>
    <w:rsid w:val="00304F7D"/>
    <w:rsid w:val="003051A3"/>
    <w:rsid w:val="003051FA"/>
    <w:rsid w:val="00305266"/>
    <w:rsid w:val="00305320"/>
    <w:rsid w:val="0030538D"/>
    <w:rsid w:val="0030545A"/>
    <w:rsid w:val="0030545B"/>
    <w:rsid w:val="0030552F"/>
    <w:rsid w:val="00305539"/>
    <w:rsid w:val="00305584"/>
    <w:rsid w:val="0030559B"/>
    <w:rsid w:val="003055DB"/>
    <w:rsid w:val="00305711"/>
    <w:rsid w:val="00305AFA"/>
    <w:rsid w:val="00305CED"/>
    <w:rsid w:val="003060C7"/>
    <w:rsid w:val="00306144"/>
    <w:rsid w:val="003063FE"/>
    <w:rsid w:val="00306454"/>
    <w:rsid w:val="00306538"/>
    <w:rsid w:val="0030657B"/>
    <w:rsid w:val="00306599"/>
    <w:rsid w:val="0030659E"/>
    <w:rsid w:val="003065C1"/>
    <w:rsid w:val="00306686"/>
    <w:rsid w:val="0030668C"/>
    <w:rsid w:val="003066B0"/>
    <w:rsid w:val="0030677C"/>
    <w:rsid w:val="00306797"/>
    <w:rsid w:val="003067C0"/>
    <w:rsid w:val="003067E4"/>
    <w:rsid w:val="0030681D"/>
    <w:rsid w:val="00306A50"/>
    <w:rsid w:val="00306B16"/>
    <w:rsid w:val="00306B66"/>
    <w:rsid w:val="00306C14"/>
    <w:rsid w:val="00306CDA"/>
    <w:rsid w:val="00306D4E"/>
    <w:rsid w:val="00306D4F"/>
    <w:rsid w:val="00306DCE"/>
    <w:rsid w:val="00306E20"/>
    <w:rsid w:val="00306F1E"/>
    <w:rsid w:val="00306F8B"/>
    <w:rsid w:val="00307148"/>
    <w:rsid w:val="0030724B"/>
    <w:rsid w:val="003072F3"/>
    <w:rsid w:val="00307335"/>
    <w:rsid w:val="0030738B"/>
    <w:rsid w:val="0030762C"/>
    <w:rsid w:val="00307681"/>
    <w:rsid w:val="003078C4"/>
    <w:rsid w:val="00307BA4"/>
    <w:rsid w:val="00307C95"/>
    <w:rsid w:val="00307CA2"/>
    <w:rsid w:val="00307CCA"/>
    <w:rsid w:val="00307E6A"/>
    <w:rsid w:val="00307E9E"/>
    <w:rsid w:val="00307F0B"/>
    <w:rsid w:val="00310036"/>
    <w:rsid w:val="00310047"/>
    <w:rsid w:val="00310087"/>
    <w:rsid w:val="003100CA"/>
    <w:rsid w:val="0031013D"/>
    <w:rsid w:val="0031048D"/>
    <w:rsid w:val="0031054D"/>
    <w:rsid w:val="003106C3"/>
    <w:rsid w:val="00310BBB"/>
    <w:rsid w:val="00310BEC"/>
    <w:rsid w:val="00310CCE"/>
    <w:rsid w:val="00310D8D"/>
    <w:rsid w:val="00310E85"/>
    <w:rsid w:val="00311032"/>
    <w:rsid w:val="00311059"/>
    <w:rsid w:val="00311142"/>
    <w:rsid w:val="0031121D"/>
    <w:rsid w:val="003114BD"/>
    <w:rsid w:val="00311600"/>
    <w:rsid w:val="003118C4"/>
    <w:rsid w:val="00311984"/>
    <w:rsid w:val="003119CC"/>
    <w:rsid w:val="003119DC"/>
    <w:rsid w:val="003119E4"/>
    <w:rsid w:val="00311B04"/>
    <w:rsid w:val="00311F12"/>
    <w:rsid w:val="00312059"/>
    <w:rsid w:val="00312156"/>
    <w:rsid w:val="003121B4"/>
    <w:rsid w:val="003123C9"/>
    <w:rsid w:val="0031249E"/>
    <w:rsid w:val="00312662"/>
    <w:rsid w:val="003127E5"/>
    <w:rsid w:val="00312981"/>
    <w:rsid w:val="00312A26"/>
    <w:rsid w:val="00312A83"/>
    <w:rsid w:val="00312AEC"/>
    <w:rsid w:val="00312B1F"/>
    <w:rsid w:val="00312BC2"/>
    <w:rsid w:val="00312D33"/>
    <w:rsid w:val="00312DB3"/>
    <w:rsid w:val="00313192"/>
    <w:rsid w:val="00313297"/>
    <w:rsid w:val="003132C0"/>
    <w:rsid w:val="00313387"/>
    <w:rsid w:val="0031389B"/>
    <w:rsid w:val="00313984"/>
    <w:rsid w:val="00313B58"/>
    <w:rsid w:val="00313BE5"/>
    <w:rsid w:val="00313C4A"/>
    <w:rsid w:val="00313D30"/>
    <w:rsid w:val="00313FCD"/>
    <w:rsid w:val="00314019"/>
    <w:rsid w:val="003140EA"/>
    <w:rsid w:val="00314171"/>
    <w:rsid w:val="003141DB"/>
    <w:rsid w:val="003141F9"/>
    <w:rsid w:val="0031425F"/>
    <w:rsid w:val="00314309"/>
    <w:rsid w:val="003144BF"/>
    <w:rsid w:val="00314533"/>
    <w:rsid w:val="00314538"/>
    <w:rsid w:val="0031455B"/>
    <w:rsid w:val="00314598"/>
    <w:rsid w:val="0031462B"/>
    <w:rsid w:val="00314657"/>
    <w:rsid w:val="003146B2"/>
    <w:rsid w:val="003146BD"/>
    <w:rsid w:val="00314778"/>
    <w:rsid w:val="0031480C"/>
    <w:rsid w:val="0031482C"/>
    <w:rsid w:val="003149B9"/>
    <w:rsid w:val="003149E2"/>
    <w:rsid w:val="00314B2C"/>
    <w:rsid w:val="00314B3F"/>
    <w:rsid w:val="00314B43"/>
    <w:rsid w:val="00314B7C"/>
    <w:rsid w:val="00314BED"/>
    <w:rsid w:val="00314CA4"/>
    <w:rsid w:val="00314D04"/>
    <w:rsid w:val="00314D46"/>
    <w:rsid w:val="00314E20"/>
    <w:rsid w:val="00314E22"/>
    <w:rsid w:val="00314F1C"/>
    <w:rsid w:val="0031506A"/>
    <w:rsid w:val="00315226"/>
    <w:rsid w:val="003152A7"/>
    <w:rsid w:val="003152E0"/>
    <w:rsid w:val="0031540B"/>
    <w:rsid w:val="00315538"/>
    <w:rsid w:val="0031555D"/>
    <w:rsid w:val="00315780"/>
    <w:rsid w:val="00315885"/>
    <w:rsid w:val="003158AE"/>
    <w:rsid w:val="00315907"/>
    <w:rsid w:val="0031594B"/>
    <w:rsid w:val="003159A9"/>
    <w:rsid w:val="00315A21"/>
    <w:rsid w:val="00315A5E"/>
    <w:rsid w:val="00315ABD"/>
    <w:rsid w:val="00315B0A"/>
    <w:rsid w:val="00315B1A"/>
    <w:rsid w:val="00315BE0"/>
    <w:rsid w:val="00315C28"/>
    <w:rsid w:val="00315C30"/>
    <w:rsid w:val="00315C57"/>
    <w:rsid w:val="00315CAB"/>
    <w:rsid w:val="00315D27"/>
    <w:rsid w:val="00315E28"/>
    <w:rsid w:val="00316223"/>
    <w:rsid w:val="00316295"/>
    <w:rsid w:val="0031646E"/>
    <w:rsid w:val="0031649B"/>
    <w:rsid w:val="00316605"/>
    <w:rsid w:val="0031667C"/>
    <w:rsid w:val="0031698C"/>
    <w:rsid w:val="00316991"/>
    <w:rsid w:val="003169BF"/>
    <w:rsid w:val="003169E8"/>
    <w:rsid w:val="00316A2B"/>
    <w:rsid w:val="00316A6B"/>
    <w:rsid w:val="00316B69"/>
    <w:rsid w:val="00316F4C"/>
    <w:rsid w:val="00316FC1"/>
    <w:rsid w:val="00316FE0"/>
    <w:rsid w:val="003171A9"/>
    <w:rsid w:val="00317318"/>
    <w:rsid w:val="003173E5"/>
    <w:rsid w:val="00317488"/>
    <w:rsid w:val="00317505"/>
    <w:rsid w:val="003175C6"/>
    <w:rsid w:val="00317639"/>
    <w:rsid w:val="00317680"/>
    <w:rsid w:val="00317794"/>
    <w:rsid w:val="0031785E"/>
    <w:rsid w:val="003178B2"/>
    <w:rsid w:val="003178C2"/>
    <w:rsid w:val="00317966"/>
    <w:rsid w:val="003179CA"/>
    <w:rsid w:val="00317AAE"/>
    <w:rsid w:val="00317AC4"/>
    <w:rsid w:val="00317C27"/>
    <w:rsid w:val="00317C7B"/>
    <w:rsid w:val="00317DAD"/>
    <w:rsid w:val="00317DC3"/>
    <w:rsid w:val="00317E44"/>
    <w:rsid w:val="00317E63"/>
    <w:rsid w:val="00317F64"/>
    <w:rsid w:val="00317F91"/>
    <w:rsid w:val="00317FAE"/>
    <w:rsid w:val="00320092"/>
    <w:rsid w:val="00320276"/>
    <w:rsid w:val="00320352"/>
    <w:rsid w:val="003203A7"/>
    <w:rsid w:val="0032040F"/>
    <w:rsid w:val="00320556"/>
    <w:rsid w:val="0032076A"/>
    <w:rsid w:val="003208E0"/>
    <w:rsid w:val="003208EC"/>
    <w:rsid w:val="00320AD4"/>
    <w:rsid w:val="00320BFC"/>
    <w:rsid w:val="00320C29"/>
    <w:rsid w:val="00320D72"/>
    <w:rsid w:val="00320DEA"/>
    <w:rsid w:val="00320DEB"/>
    <w:rsid w:val="00320E00"/>
    <w:rsid w:val="00320E38"/>
    <w:rsid w:val="00320E3E"/>
    <w:rsid w:val="00320E65"/>
    <w:rsid w:val="00320EA9"/>
    <w:rsid w:val="00320FC8"/>
    <w:rsid w:val="0032128A"/>
    <w:rsid w:val="003212FD"/>
    <w:rsid w:val="0032136B"/>
    <w:rsid w:val="0032138A"/>
    <w:rsid w:val="0032147B"/>
    <w:rsid w:val="00321522"/>
    <w:rsid w:val="0032160D"/>
    <w:rsid w:val="00321745"/>
    <w:rsid w:val="0032175F"/>
    <w:rsid w:val="00321772"/>
    <w:rsid w:val="0032183E"/>
    <w:rsid w:val="00321841"/>
    <w:rsid w:val="003218FE"/>
    <w:rsid w:val="003219C7"/>
    <w:rsid w:val="00321A6D"/>
    <w:rsid w:val="00321BEB"/>
    <w:rsid w:val="00321DBC"/>
    <w:rsid w:val="00321E05"/>
    <w:rsid w:val="00321E33"/>
    <w:rsid w:val="00321FE4"/>
    <w:rsid w:val="0032204B"/>
    <w:rsid w:val="003220A8"/>
    <w:rsid w:val="00322206"/>
    <w:rsid w:val="00322258"/>
    <w:rsid w:val="003222C9"/>
    <w:rsid w:val="003222E4"/>
    <w:rsid w:val="003222FA"/>
    <w:rsid w:val="00322493"/>
    <w:rsid w:val="003224E8"/>
    <w:rsid w:val="00322520"/>
    <w:rsid w:val="00322561"/>
    <w:rsid w:val="003226D0"/>
    <w:rsid w:val="003226D8"/>
    <w:rsid w:val="00322773"/>
    <w:rsid w:val="00322781"/>
    <w:rsid w:val="00322A24"/>
    <w:rsid w:val="00322AAF"/>
    <w:rsid w:val="00322EC5"/>
    <w:rsid w:val="00322F1E"/>
    <w:rsid w:val="00322F57"/>
    <w:rsid w:val="00322F84"/>
    <w:rsid w:val="003230F6"/>
    <w:rsid w:val="00323196"/>
    <w:rsid w:val="003232C2"/>
    <w:rsid w:val="00323418"/>
    <w:rsid w:val="0032341E"/>
    <w:rsid w:val="003234CD"/>
    <w:rsid w:val="0032351E"/>
    <w:rsid w:val="00323572"/>
    <w:rsid w:val="003235D7"/>
    <w:rsid w:val="003235E8"/>
    <w:rsid w:val="00323679"/>
    <w:rsid w:val="003236B6"/>
    <w:rsid w:val="003236FA"/>
    <w:rsid w:val="00323705"/>
    <w:rsid w:val="003237DE"/>
    <w:rsid w:val="0032385A"/>
    <w:rsid w:val="00323872"/>
    <w:rsid w:val="003239F5"/>
    <w:rsid w:val="00323BCC"/>
    <w:rsid w:val="00323C8E"/>
    <w:rsid w:val="00323D59"/>
    <w:rsid w:val="00323D6A"/>
    <w:rsid w:val="00323D83"/>
    <w:rsid w:val="00323E06"/>
    <w:rsid w:val="00323F8D"/>
    <w:rsid w:val="00323FE9"/>
    <w:rsid w:val="00324051"/>
    <w:rsid w:val="003240BD"/>
    <w:rsid w:val="003241ED"/>
    <w:rsid w:val="00324206"/>
    <w:rsid w:val="003242A0"/>
    <w:rsid w:val="00324489"/>
    <w:rsid w:val="0032462E"/>
    <w:rsid w:val="003246D2"/>
    <w:rsid w:val="003246ED"/>
    <w:rsid w:val="00324810"/>
    <w:rsid w:val="003248E9"/>
    <w:rsid w:val="00324A8C"/>
    <w:rsid w:val="00324A91"/>
    <w:rsid w:val="00324AA6"/>
    <w:rsid w:val="00324C6A"/>
    <w:rsid w:val="00324C7C"/>
    <w:rsid w:val="00324C84"/>
    <w:rsid w:val="00324D8B"/>
    <w:rsid w:val="00324FDE"/>
    <w:rsid w:val="00325005"/>
    <w:rsid w:val="0032517A"/>
    <w:rsid w:val="00325638"/>
    <w:rsid w:val="0032565B"/>
    <w:rsid w:val="00325698"/>
    <w:rsid w:val="003256FD"/>
    <w:rsid w:val="00325742"/>
    <w:rsid w:val="00325755"/>
    <w:rsid w:val="0032578F"/>
    <w:rsid w:val="00325A51"/>
    <w:rsid w:val="00325AB1"/>
    <w:rsid w:val="00325AE0"/>
    <w:rsid w:val="00325B26"/>
    <w:rsid w:val="00325B73"/>
    <w:rsid w:val="00325C68"/>
    <w:rsid w:val="00325C79"/>
    <w:rsid w:val="00325CF2"/>
    <w:rsid w:val="00325F40"/>
    <w:rsid w:val="00326162"/>
    <w:rsid w:val="00326329"/>
    <w:rsid w:val="003263C0"/>
    <w:rsid w:val="00326432"/>
    <w:rsid w:val="0032645B"/>
    <w:rsid w:val="00326686"/>
    <w:rsid w:val="003266BF"/>
    <w:rsid w:val="00326956"/>
    <w:rsid w:val="00326996"/>
    <w:rsid w:val="00326B37"/>
    <w:rsid w:val="00326B5E"/>
    <w:rsid w:val="00326B80"/>
    <w:rsid w:val="00326BDE"/>
    <w:rsid w:val="00326C73"/>
    <w:rsid w:val="00326D32"/>
    <w:rsid w:val="00326E80"/>
    <w:rsid w:val="00326F18"/>
    <w:rsid w:val="00327132"/>
    <w:rsid w:val="0032719C"/>
    <w:rsid w:val="003271ED"/>
    <w:rsid w:val="003273AD"/>
    <w:rsid w:val="00327618"/>
    <w:rsid w:val="0032765F"/>
    <w:rsid w:val="00327661"/>
    <w:rsid w:val="0032766D"/>
    <w:rsid w:val="003276EC"/>
    <w:rsid w:val="003277D0"/>
    <w:rsid w:val="0032791A"/>
    <w:rsid w:val="00327955"/>
    <w:rsid w:val="00327977"/>
    <w:rsid w:val="00327D4A"/>
    <w:rsid w:val="00327D87"/>
    <w:rsid w:val="00327DA2"/>
    <w:rsid w:val="00327DA9"/>
    <w:rsid w:val="00327F9B"/>
    <w:rsid w:val="00327FA2"/>
    <w:rsid w:val="0033001C"/>
    <w:rsid w:val="00330038"/>
    <w:rsid w:val="003300A1"/>
    <w:rsid w:val="003301AE"/>
    <w:rsid w:val="0033029C"/>
    <w:rsid w:val="003302B7"/>
    <w:rsid w:val="00330381"/>
    <w:rsid w:val="003303F3"/>
    <w:rsid w:val="003306F1"/>
    <w:rsid w:val="00330751"/>
    <w:rsid w:val="00330778"/>
    <w:rsid w:val="003309B4"/>
    <w:rsid w:val="00330C1B"/>
    <w:rsid w:val="00330C75"/>
    <w:rsid w:val="00330CDC"/>
    <w:rsid w:val="00330DD9"/>
    <w:rsid w:val="00330ED3"/>
    <w:rsid w:val="00330FB3"/>
    <w:rsid w:val="00331181"/>
    <w:rsid w:val="003311D8"/>
    <w:rsid w:val="00331217"/>
    <w:rsid w:val="00331243"/>
    <w:rsid w:val="003313FE"/>
    <w:rsid w:val="00331420"/>
    <w:rsid w:val="003314BA"/>
    <w:rsid w:val="00331507"/>
    <w:rsid w:val="00331663"/>
    <w:rsid w:val="00331862"/>
    <w:rsid w:val="00331894"/>
    <w:rsid w:val="0033199E"/>
    <w:rsid w:val="003319CA"/>
    <w:rsid w:val="00331A8D"/>
    <w:rsid w:val="00331AF7"/>
    <w:rsid w:val="00331AF9"/>
    <w:rsid w:val="00331B43"/>
    <w:rsid w:val="00331C24"/>
    <w:rsid w:val="00331C3B"/>
    <w:rsid w:val="00331CCB"/>
    <w:rsid w:val="00331D29"/>
    <w:rsid w:val="00331F7E"/>
    <w:rsid w:val="003320B8"/>
    <w:rsid w:val="003320F9"/>
    <w:rsid w:val="003321F9"/>
    <w:rsid w:val="0033220B"/>
    <w:rsid w:val="003322D9"/>
    <w:rsid w:val="00332440"/>
    <w:rsid w:val="0033248E"/>
    <w:rsid w:val="00332868"/>
    <w:rsid w:val="00332958"/>
    <w:rsid w:val="00332A15"/>
    <w:rsid w:val="00332B59"/>
    <w:rsid w:val="00332C84"/>
    <w:rsid w:val="00332EEF"/>
    <w:rsid w:val="00332FDD"/>
    <w:rsid w:val="003330BA"/>
    <w:rsid w:val="00333210"/>
    <w:rsid w:val="003335C1"/>
    <w:rsid w:val="003335E6"/>
    <w:rsid w:val="003335FF"/>
    <w:rsid w:val="00333612"/>
    <w:rsid w:val="003337AD"/>
    <w:rsid w:val="00333817"/>
    <w:rsid w:val="003338AA"/>
    <w:rsid w:val="00333976"/>
    <w:rsid w:val="00333A2E"/>
    <w:rsid w:val="00333AE6"/>
    <w:rsid w:val="00333B0F"/>
    <w:rsid w:val="00333D0D"/>
    <w:rsid w:val="00333D9F"/>
    <w:rsid w:val="00333DD6"/>
    <w:rsid w:val="00333F92"/>
    <w:rsid w:val="00334225"/>
    <w:rsid w:val="0033430A"/>
    <w:rsid w:val="0033444B"/>
    <w:rsid w:val="003344B0"/>
    <w:rsid w:val="003344DB"/>
    <w:rsid w:val="00334546"/>
    <w:rsid w:val="00334783"/>
    <w:rsid w:val="003347A5"/>
    <w:rsid w:val="0033480C"/>
    <w:rsid w:val="003348DC"/>
    <w:rsid w:val="00334A33"/>
    <w:rsid w:val="00334AA3"/>
    <w:rsid w:val="00334E60"/>
    <w:rsid w:val="00334EE2"/>
    <w:rsid w:val="00334F8E"/>
    <w:rsid w:val="00334F9A"/>
    <w:rsid w:val="00334F9D"/>
    <w:rsid w:val="00335002"/>
    <w:rsid w:val="0033530B"/>
    <w:rsid w:val="003354FE"/>
    <w:rsid w:val="0033559A"/>
    <w:rsid w:val="0033559F"/>
    <w:rsid w:val="003356E7"/>
    <w:rsid w:val="00335774"/>
    <w:rsid w:val="003357A9"/>
    <w:rsid w:val="00335876"/>
    <w:rsid w:val="00335889"/>
    <w:rsid w:val="0033599E"/>
    <w:rsid w:val="00335C51"/>
    <w:rsid w:val="00335C87"/>
    <w:rsid w:val="00335CFF"/>
    <w:rsid w:val="00335E2A"/>
    <w:rsid w:val="00335F81"/>
    <w:rsid w:val="0033603F"/>
    <w:rsid w:val="0033609D"/>
    <w:rsid w:val="003360B1"/>
    <w:rsid w:val="003364F5"/>
    <w:rsid w:val="003365AC"/>
    <w:rsid w:val="00336605"/>
    <w:rsid w:val="00336684"/>
    <w:rsid w:val="00336760"/>
    <w:rsid w:val="003368F2"/>
    <w:rsid w:val="003369A1"/>
    <w:rsid w:val="00336A81"/>
    <w:rsid w:val="00336B01"/>
    <w:rsid w:val="00336B83"/>
    <w:rsid w:val="00336C0F"/>
    <w:rsid w:val="00336C7B"/>
    <w:rsid w:val="00336CD1"/>
    <w:rsid w:val="00336D0E"/>
    <w:rsid w:val="00336D0F"/>
    <w:rsid w:val="00336D8F"/>
    <w:rsid w:val="00336DF0"/>
    <w:rsid w:val="00336E14"/>
    <w:rsid w:val="00336EB9"/>
    <w:rsid w:val="00336F36"/>
    <w:rsid w:val="00336FC3"/>
    <w:rsid w:val="00337133"/>
    <w:rsid w:val="0033721F"/>
    <w:rsid w:val="003372BC"/>
    <w:rsid w:val="003372E9"/>
    <w:rsid w:val="0033736B"/>
    <w:rsid w:val="00337371"/>
    <w:rsid w:val="00337587"/>
    <w:rsid w:val="003375A5"/>
    <w:rsid w:val="00337608"/>
    <w:rsid w:val="00337868"/>
    <w:rsid w:val="003378FC"/>
    <w:rsid w:val="0033793A"/>
    <w:rsid w:val="0033794D"/>
    <w:rsid w:val="00337A43"/>
    <w:rsid w:val="00337A84"/>
    <w:rsid w:val="00337AA1"/>
    <w:rsid w:val="00337C55"/>
    <w:rsid w:val="00337CA3"/>
    <w:rsid w:val="00337D21"/>
    <w:rsid w:val="00337E16"/>
    <w:rsid w:val="00337E31"/>
    <w:rsid w:val="00337ECE"/>
    <w:rsid w:val="00337EFF"/>
    <w:rsid w:val="00337FE2"/>
    <w:rsid w:val="003400F8"/>
    <w:rsid w:val="0034011E"/>
    <w:rsid w:val="003401BA"/>
    <w:rsid w:val="003401FA"/>
    <w:rsid w:val="003402F0"/>
    <w:rsid w:val="003404DC"/>
    <w:rsid w:val="0034050E"/>
    <w:rsid w:val="00340677"/>
    <w:rsid w:val="00340935"/>
    <w:rsid w:val="003409D9"/>
    <w:rsid w:val="00340A5E"/>
    <w:rsid w:val="00340BC8"/>
    <w:rsid w:val="00340CC4"/>
    <w:rsid w:val="00340D8C"/>
    <w:rsid w:val="00340E52"/>
    <w:rsid w:val="00340EF2"/>
    <w:rsid w:val="00340F8D"/>
    <w:rsid w:val="00341040"/>
    <w:rsid w:val="00341119"/>
    <w:rsid w:val="00341212"/>
    <w:rsid w:val="0034138B"/>
    <w:rsid w:val="003413BC"/>
    <w:rsid w:val="00341463"/>
    <w:rsid w:val="003414A4"/>
    <w:rsid w:val="003415A6"/>
    <w:rsid w:val="003418C7"/>
    <w:rsid w:val="003418F5"/>
    <w:rsid w:val="00341943"/>
    <w:rsid w:val="00341A7B"/>
    <w:rsid w:val="00341C4E"/>
    <w:rsid w:val="00341CD4"/>
    <w:rsid w:val="00341CF9"/>
    <w:rsid w:val="00341E50"/>
    <w:rsid w:val="00341E83"/>
    <w:rsid w:val="00341EF6"/>
    <w:rsid w:val="00341F3A"/>
    <w:rsid w:val="00341FFC"/>
    <w:rsid w:val="0034205F"/>
    <w:rsid w:val="00342074"/>
    <w:rsid w:val="003420DA"/>
    <w:rsid w:val="00342210"/>
    <w:rsid w:val="00342279"/>
    <w:rsid w:val="00342328"/>
    <w:rsid w:val="0034235B"/>
    <w:rsid w:val="0034270F"/>
    <w:rsid w:val="0034274B"/>
    <w:rsid w:val="0034275B"/>
    <w:rsid w:val="003427EE"/>
    <w:rsid w:val="0034281D"/>
    <w:rsid w:val="0034285D"/>
    <w:rsid w:val="00342891"/>
    <w:rsid w:val="00342928"/>
    <w:rsid w:val="00342AE1"/>
    <w:rsid w:val="00342B1D"/>
    <w:rsid w:val="00342B76"/>
    <w:rsid w:val="00342CDE"/>
    <w:rsid w:val="00342D24"/>
    <w:rsid w:val="00342E92"/>
    <w:rsid w:val="00342EE9"/>
    <w:rsid w:val="00342EEB"/>
    <w:rsid w:val="00342FDD"/>
    <w:rsid w:val="00343048"/>
    <w:rsid w:val="003430B4"/>
    <w:rsid w:val="003430C6"/>
    <w:rsid w:val="0034318D"/>
    <w:rsid w:val="003431C8"/>
    <w:rsid w:val="0034337E"/>
    <w:rsid w:val="0034340F"/>
    <w:rsid w:val="003435C8"/>
    <w:rsid w:val="0034367D"/>
    <w:rsid w:val="003436F3"/>
    <w:rsid w:val="00343863"/>
    <w:rsid w:val="00343886"/>
    <w:rsid w:val="00343A9A"/>
    <w:rsid w:val="00343BB9"/>
    <w:rsid w:val="00343C68"/>
    <w:rsid w:val="00343CFC"/>
    <w:rsid w:val="00343EFB"/>
    <w:rsid w:val="00343F34"/>
    <w:rsid w:val="00344050"/>
    <w:rsid w:val="003440B4"/>
    <w:rsid w:val="0034418F"/>
    <w:rsid w:val="00344277"/>
    <w:rsid w:val="003444DD"/>
    <w:rsid w:val="0034460D"/>
    <w:rsid w:val="003447F2"/>
    <w:rsid w:val="0034486F"/>
    <w:rsid w:val="0034492D"/>
    <w:rsid w:val="00344944"/>
    <w:rsid w:val="00344A3E"/>
    <w:rsid w:val="00344AEF"/>
    <w:rsid w:val="00344C45"/>
    <w:rsid w:val="00344C7C"/>
    <w:rsid w:val="00344C96"/>
    <w:rsid w:val="00344CA9"/>
    <w:rsid w:val="00344CC7"/>
    <w:rsid w:val="00344CF0"/>
    <w:rsid w:val="00344D4D"/>
    <w:rsid w:val="00344DA0"/>
    <w:rsid w:val="00344EEF"/>
    <w:rsid w:val="00344F6B"/>
    <w:rsid w:val="00344FDF"/>
    <w:rsid w:val="003450A9"/>
    <w:rsid w:val="003450BA"/>
    <w:rsid w:val="003450E8"/>
    <w:rsid w:val="00345129"/>
    <w:rsid w:val="0034523B"/>
    <w:rsid w:val="00345287"/>
    <w:rsid w:val="003452EE"/>
    <w:rsid w:val="003453AF"/>
    <w:rsid w:val="0034573E"/>
    <w:rsid w:val="0034584C"/>
    <w:rsid w:val="003459EC"/>
    <w:rsid w:val="00345B0B"/>
    <w:rsid w:val="00345B64"/>
    <w:rsid w:val="00345BE4"/>
    <w:rsid w:val="00345C42"/>
    <w:rsid w:val="00345D05"/>
    <w:rsid w:val="00345EB8"/>
    <w:rsid w:val="00345F2C"/>
    <w:rsid w:val="00345F97"/>
    <w:rsid w:val="00346150"/>
    <w:rsid w:val="0034615A"/>
    <w:rsid w:val="00346296"/>
    <w:rsid w:val="0034647C"/>
    <w:rsid w:val="0034651A"/>
    <w:rsid w:val="003465D1"/>
    <w:rsid w:val="003465FD"/>
    <w:rsid w:val="00346860"/>
    <w:rsid w:val="00346918"/>
    <w:rsid w:val="00346B81"/>
    <w:rsid w:val="00346BD5"/>
    <w:rsid w:val="00346DA7"/>
    <w:rsid w:val="00346DDD"/>
    <w:rsid w:val="00346DFA"/>
    <w:rsid w:val="00346E13"/>
    <w:rsid w:val="00346E89"/>
    <w:rsid w:val="00347028"/>
    <w:rsid w:val="0034706E"/>
    <w:rsid w:val="003474D7"/>
    <w:rsid w:val="003474F9"/>
    <w:rsid w:val="003476A2"/>
    <w:rsid w:val="003476C0"/>
    <w:rsid w:val="003478E9"/>
    <w:rsid w:val="003479C8"/>
    <w:rsid w:val="003479D5"/>
    <w:rsid w:val="00347B2F"/>
    <w:rsid w:val="00347DFC"/>
    <w:rsid w:val="00347F4D"/>
    <w:rsid w:val="00347F8A"/>
    <w:rsid w:val="0035004F"/>
    <w:rsid w:val="0035016B"/>
    <w:rsid w:val="0035024C"/>
    <w:rsid w:val="003504E0"/>
    <w:rsid w:val="003506C2"/>
    <w:rsid w:val="003507DF"/>
    <w:rsid w:val="00350924"/>
    <w:rsid w:val="00350C93"/>
    <w:rsid w:val="00350D8D"/>
    <w:rsid w:val="00350DA3"/>
    <w:rsid w:val="00350DC0"/>
    <w:rsid w:val="00350F38"/>
    <w:rsid w:val="00350FDD"/>
    <w:rsid w:val="00351034"/>
    <w:rsid w:val="00351259"/>
    <w:rsid w:val="0035127D"/>
    <w:rsid w:val="003512B4"/>
    <w:rsid w:val="00351360"/>
    <w:rsid w:val="003513CD"/>
    <w:rsid w:val="0035157C"/>
    <w:rsid w:val="00351641"/>
    <w:rsid w:val="003516F8"/>
    <w:rsid w:val="003517F6"/>
    <w:rsid w:val="003518E0"/>
    <w:rsid w:val="0035193A"/>
    <w:rsid w:val="00351954"/>
    <w:rsid w:val="00351A11"/>
    <w:rsid w:val="00351ABC"/>
    <w:rsid w:val="00351CE0"/>
    <w:rsid w:val="00351D7F"/>
    <w:rsid w:val="00351D93"/>
    <w:rsid w:val="00351ED7"/>
    <w:rsid w:val="00351F20"/>
    <w:rsid w:val="00351FCA"/>
    <w:rsid w:val="003521CF"/>
    <w:rsid w:val="00352379"/>
    <w:rsid w:val="00352382"/>
    <w:rsid w:val="003523F2"/>
    <w:rsid w:val="0035274F"/>
    <w:rsid w:val="0035275E"/>
    <w:rsid w:val="00352781"/>
    <w:rsid w:val="003528AA"/>
    <w:rsid w:val="00352903"/>
    <w:rsid w:val="00352A63"/>
    <w:rsid w:val="00352C5D"/>
    <w:rsid w:val="00352CB2"/>
    <w:rsid w:val="00352E62"/>
    <w:rsid w:val="0035314B"/>
    <w:rsid w:val="00353405"/>
    <w:rsid w:val="00353713"/>
    <w:rsid w:val="00353739"/>
    <w:rsid w:val="00353775"/>
    <w:rsid w:val="00353880"/>
    <w:rsid w:val="0035388D"/>
    <w:rsid w:val="0035391E"/>
    <w:rsid w:val="00353935"/>
    <w:rsid w:val="00353986"/>
    <w:rsid w:val="00353AF8"/>
    <w:rsid w:val="00353B4E"/>
    <w:rsid w:val="00353C06"/>
    <w:rsid w:val="00353CA2"/>
    <w:rsid w:val="00353D57"/>
    <w:rsid w:val="00353E0C"/>
    <w:rsid w:val="00353EC8"/>
    <w:rsid w:val="00354107"/>
    <w:rsid w:val="0035415A"/>
    <w:rsid w:val="00354189"/>
    <w:rsid w:val="00354237"/>
    <w:rsid w:val="003542ED"/>
    <w:rsid w:val="0035446D"/>
    <w:rsid w:val="00354519"/>
    <w:rsid w:val="0035460D"/>
    <w:rsid w:val="003549AB"/>
    <w:rsid w:val="00354A25"/>
    <w:rsid w:val="00354A34"/>
    <w:rsid w:val="00354A54"/>
    <w:rsid w:val="00354C97"/>
    <w:rsid w:val="00354DCA"/>
    <w:rsid w:val="00354E2F"/>
    <w:rsid w:val="00354E8C"/>
    <w:rsid w:val="00354EAB"/>
    <w:rsid w:val="003550FB"/>
    <w:rsid w:val="00355110"/>
    <w:rsid w:val="003552B6"/>
    <w:rsid w:val="00355360"/>
    <w:rsid w:val="00355367"/>
    <w:rsid w:val="00355418"/>
    <w:rsid w:val="0035552A"/>
    <w:rsid w:val="0035565C"/>
    <w:rsid w:val="0035570D"/>
    <w:rsid w:val="00355879"/>
    <w:rsid w:val="003558B0"/>
    <w:rsid w:val="00355965"/>
    <w:rsid w:val="003559AA"/>
    <w:rsid w:val="003559BF"/>
    <w:rsid w:val="00355A8A"/>
    <w:rsid w:val="00355AA9"/>
    <w:rsid w:val="00355AE1"/>
    <w:rsid w:val="00355B46"/>
    <w:rsid w:val="00355B68"/>
    <w:rsid w:val="00355B78"/>
    <w:rsid w:val="00355BD8"/>
    <w:rsid w:val="00355D30"/>
    <w:rsid w:val="00355D66"/>
    <w:rsid w:val="00355DB4"/>
    <w:rsid w:val="00355E41"/>
    <w:rsid w:val="00355E64"/>
    <w:rsid w:val="00355EDD"/>
    <w:rsid w:val="003560D4"/>
    <w:rsid w:val="003561DC"/>
    <w:rsid w:val="00356473"/>
    <w:rsid w:val="00356484"/>
    <w:rsid w:val="003564AE"/>
    <w:rsid w:val="003564F1"/>
    <w:rsid w:val="00356577"/>
    <w:rsid w:val="00356633"/>
    <w:rsid w:val="003566E2"/>
    <w:rsid w:val="00356759"/>
    <w:rsid w:val="00356879"/>
    <w:rsid w:val="003568CA"/>
    <w:rsid w:val="00356934"/>
    <w:rsid w:val="00356B8A"/>
    <w:rsid w:val="00356C60"/>
    <w:rsid w:val="00356E09"/>
    <w:rsid w:val="00356EF5"/>
    <w:rsid w:val="00356F3C"/>
    <w:rsid w:val="00356F5A"/>
    <w:rsid w:val="00356F65"/>
    <w:rsid w:val="00356F9D"/>
    <w:rsid w:val="00357085"/>
    <w:rsid w:val="003570BB"/>
    <w:rsid w:val="00357267"/>
    <w:rsid w:val="00357305"/>
    <w:rsid w:val="00357336"/>
    <w:rsid w:val="00357378"/>
    <w:rsid w:val="003573B5"/>
    <w:rsid w:val="00357492"/>
    <w:rsid w:val="0035749C"/>
    <w:rsid w:val="00357547"/>
    <w:rsid w:val="0035759E"/>
    <w:rsid w:val="003575A7"/>
    <w:rsid w:val="003577DD"/>
    <w:rsid w:val="003579C2"/>
    <w:rsid w:val="00357B2F"/>
    <w:rsid w:val="00357BD6"/>
    <w:rsid w:val="00357CDE"/>
    <w:rsid w:val="00357CE7"/>
    <w:rsid w:val="00357DA3"/>
    <w:rsid w:val="00357DC8"/>
    <w:rsid w:val="00357EDC"/>
    <w:rsid w:val="00357F0C"/>
    <w:rsid w:val="00360005"/>
    <w:rsid w:val="00360016"/>
    <w:rsid w:val="0036016B"/>
    <w:rsid w:val="00360251"/>
    <w:rsid w:val="0036031F"/>
    <w:rsid w:val="00360340"/>
    <w:rsid w:val="003605B3"/>
    <w:rsid w:val="00360667"/>
    <w:rsid w:val="003607BA"/>
    <w:rsid w:val="003607C5"/>
    <w:rsid w:val="00360845"/>
    <w:rsid w:val="003608F3"/>
    <w:rsid w:val="00360912"/>
    <w:rsid w:val="00360AFA"/>
    <w:rsid w:val="00360B61"/>
    <w:rsid w:val="00360D37"/>
    <w:rsid w:val="00360D83"/>
    <w:rsid w:val="00360E24"/>
    <w:rsid w:val="00360F3E"/>
    <w:rsid w:val="00360F8C"/>
    <w:rsid w:val="00360F99"/>
    <w:rsid w:val="00360FB8"/>
    <w:rsid w:val="00360FDE"/>
    <w:rsid w:val="003610E8"/>
    <w:rsid w:val="003610FB"/>
    <w:rsid w:val="00361151"/>
    <w:rsid w:val="0036147F"/>
    <w:rsid w:val="00361488"/>
    <w:rsid w:val="003614D6"/>
    <w:rsid w:val="00361635"/>
    <w:rsid w:val="0036178B"/>
    <w:rsid w:val="00361832"/>
    <w:rsid w:val="003618C9"/>
    <w:rsid w:val="003618E4"/>
    <w:rsid w:val="00361956"/>
    <w:rsid w:val="003619A3"/>
    <w:rsid w:val="00361A67"/>
    <w:rsid w:val="00361B42"/>
    <w:rsid w:val="00361B80"/>
    <w:rsid w:val="00361C2D"/>
    <w:rsid w:val="00361C31"/>
    <w:rsid w:val="00361CA7"/>
    <w:rsid w:val="00361F5B"/>
    <w:rsid w:val="00361F89"/>
    <w:rsid w:val="00362075"/>
    <w:rsid w:val="00362078"/>
    <w:rsid w:val="00362146"/>
    <w:rsid w:val="003621AE"/>
    <w:rsid w:val="003621C8"/>
    <w:rsid w:val="0036227E"/>
    <w:rsid w:val="003622DD"/>
    <w:rsid w:val="0036247E"/>
    <w:rsid w:val="0036251C"/>
    <w:rsid w:val="00362576"/>
    <w:rsid w:val="0036262E"/>
    <w:rsid w:val="00362718"/>
    <w:rsid w:val="00362834"/>
    <w:rsid w:val="00362875"/>
    <w:rsid w:val="0036296B"/>
    <w:rsid w:val="00362ACE"/>
    <w:rsid w:val="00362B39"/>
    <w:rsid w:val="00362C2E"/>
    <w:rsid w:val="00362D27"/>
    <w:rsid w:val="00362DAB"/>
    <w:rsid w:val="00362DDB"/>
    <w:rsid w:val="003630E7"/>
    <w:rsid w:val="0036311D"/>
    <w:rsid w:val="00363233"/>
    <w:rsid w:val="00363239"/>
    <w:rsid w:val="00363505"/>
    <w:rsid w:val="0036351D"/>
    <w:rsid w:val="00363609"/>
    <w:rsid w:val="00363639"/>
    <w:rsid w:val="00363737"/>
    <w:rsid w:val="0036377E"/>
    <w:rsid w:val="00363835"/>
    <w:rsid w:val="00363846"/>
    <w:rsid w:val="003639CA"/>
    <w:rsid w:val="003639E8"/>
    <w:rsid w:val="00363ACE"/>
    <w:rsid w:val="00363B45"/>
    <w:rsid w:val="00363C2C"/>
    <w:rsid w:val="00363D7C"/>
    <w:rsid w:val="00363E80"/>
    <w:rsid w:val="00363EDD"/>
    <w:rsid w:val="00363F3B"/>
    <w:rsid w:val="00363F93"/>
    <w:rsid w:val="0036418D"/>
    <w:rsid w:val="003642B0"/>
    <w:rsid w:val="0036439A"/>
    <w:rsid w:val="00364417"/>
    <w:rsid w:val="0036448F"/>
    <w:rsid w:val="00364530"/>
    <w:rsid w:val="00364867"/>
    <w:rsid w:val="00364869"/>
    <w:rsid w:val="003648FC"/>
    <w:rsid w:val="00364C34"/>
    <w:rsid w:val="00364CB7"/>
    <w:rsid w:val="00364D1F"/>
    <w:rsid w:val="00364E28"/>
    <w:rsid w:val="00364F36"/>
    <w:rsid w:val="00365004"/>
    <w:rsid w:val="0036510C"/>
    <w:rsid w:val="003651A5"/>
    <w:rsid w:val="0036523D"/>
    <w:rsid w:val="00365346"/>
    <w:rsid w:val="003653C0"/>
    <w:rsid w:val="0036540E"/>
    <w:rsid w:val="00365461"/>
    <w:rsid w:val="003655B5"/>
    <w:rsid w:val="00365661"/>
    <w:rsid w:val="003656E5"/>
    <w:rsid w:val="00365723"/>
    <w:rsid w:val="00365833"/>
    <w:rsid w:val="003658CB"/>
    <w:rsid w:val="00365995"/>
    <w:rsid w:val="003659EB"/>
    <w:rsid w:val="00365A65"/>
    <w:rsid w:val="00365B77"/>
    <w:rsid w:val="00365BCC"/>
    <w:rsid w:val="00365C62"/>
    <w:rsid w:val="00365C92"/>
    <w:rsid w:val="00365D94"/>
    <w:rsid w:val="00365DEA"/>
    <w:rsid w:val="00365DFA"/>
    <w:rsid w:val="00365ED6"/>
    <w:rsid w:val="00365EEB"/>
    <w:rsid w:val="003660A8"/>
    <w:rsid w:val="003660C5"/>
    <w:rsid w:val="003662FA"/>
    <w:rsid w:val="00366640"/>
    <w:rsid w:val="003667CA"/>
    <w:rsid w:val="003668B2"/>
    <w:rsid w:val="0036697D"/>
    <w:rsid w:val="00366A41"/>
    <w:rsid w:val="00366A5F"/>
    <w:rsid w:val="00366B0E"/>
    <w:rsid w:val="00366B91"/>
    <w:rsid w:val="00366C52"/>
    <w:rsid w:val="00366D50"/>
    <w:rsid w:val="00366E91"/>
    <w:rsid w:val="00366F94"/>
    <w:rsid w:val="0036708C"/>
    <w:rsid w:val="003670FF"/>
    <w:rsid w:val="00367206"/>
    <w:rsid w:val="00367213"/>
    <w:rsid w:val="00367316"/>
    <w:rsid w:val="0036734E"/>
    <w:rsid w:val="00367426"/>
    <w:rsid w:val="003674E5"/>
    <w:rsid w:val="003674ED"/>
    <w:rsid w:val="003674EF"/>
    <w:rsid w:val="003675DF"/>
    <w:rsid w:val="00367897"/>
    <w:rsid w:val="00367A51"/>
    <w:rsid w:val="00367ACF"/>
    <w:rsid w:val="00367B3D"/>
    <w:rsid w:val="00367B5D"/>
    <w:rsid w:val="00367C6E"/>
    <w:rsid w:val="00367D9A"/>
    <w:rsid w:val="00367F8E"/>
    <w:rsid w:val="00367FFE"/>
    <w:rsid w:val="0037001B"/>
    <w:rsid w:val="0037004F"/>
    <w:rsid w:val="00370145"/>
    <w:rsid w:val="003702CA"/>
    <w:rsid w:val="0037042B"/>
    <w:rsid w:val="0037056A"/>
    <w:rsid w:val="00370673"/>
    <w:rsid w:val="003706B9"/>
    <w:rsid w:val="003707D7"/>
    <w:rsid w:val="003707DD"/>
    <w:rsid w:val="00370887"/>
    <w:rsid w:val="00370962"/>
    <w:rsid w:val="00370AF5"/>
    <w:rsid w:val="00370B4C"/>
    <w:rsid w:val="00370CCC"/>
    <w:rsid w:val="00370D65"/>
    <w:rsid w:val="00370F1F"/>
    <w:rsid w:val="003712C7"/>
    <w:rsid w:val="0037150B"/>
    <w:rsid w:val="0037156A"/>
    <w:rsid w:val="003715B0"/>
    <w:rsid w:val="003715C2"/>
    <w:rsid w:val="003715E8"/>
    <w:rsid w:val="00371620"/>
    <w:rsid w:val="00371801"/>
    <w:rsid w:val="003718A6"/>
    <w:rsid w:val="003718C5"/>
    <w:rsid w:val="0037195E"/>
    <w:rsid w:val="00371A2D"/>
    <w:rsid w:val="00371ACE"/>
    <w:rsid w:val="00371C6C"/>
    <w:rsid w:val="00371C80"/>
    <w:rsid w:val="00371CAF"/>
    <w:rsid w:val="00371D32"/>
    <w:rsid w:val="00371D51"/>
    <w:rsid w:val="00371D8A"/>
    <w:rsid w:val="00371DB8"/>
    <w:rsid w:val="0037211C"/>
    <w:rsid w:val="00372152"/>
    <w:rsid w:val="0037217A"/>
    <w:rsid w:val="003721DE"/>
    <w:rsid w:val="00372258"/>
    <w:rsid w:val="0037243C"/>
    <w:rsid w:val="00372449"/>
    <w:rsid w:val="00372763"/>
    <w:rsid w:val="0037284A"/>
    <w:rsid w:val="00372942"/>
    <w:rsid w:val="00372955"/>
    <w:rsid w:val="00372A98"/>
    <w:rsid w:val="00372BF5"/>
    <w:rsid w:val="00372C0F"/>
    <w:rsid w:val="00372C84"/>
    <w:rsid w:val="00372D46"/>
    <w:rsid w:val="00372D86"/>
    <w:rsid w:val="00372DBD"/>
    <w:rsid w:val="00372DD7"/>
    <w:rsid w:val="0037301D"/>
    <w:rsid w:val="003730A2"/>
    <w:rsid w:val="003730BF"/>
    <w:rsid w:val="003732E7"/>
    <w:rsid w:val="00373308"/>
    <w:rsid w:val="00373335"/>
    <w:rsid w:val="003734B0"/>
    <w:rsid w:val="0037360C"/>
    <w:rsid w:val="003736AE"/>
    <w:rsid w:val="003736B7"/>
    <w:rsid w:val="003736EB"/>
    <w:rsid w:val="00373766"/>
    <w:rsid w:val="003737C8"/>
    <w:rsid w:val="003737FE"/>
    <w:rsid w:val="00373828"/>
    <w:rsid w:val="0037386C"/>
    <w:rsid w:val="003738FC"/>
    <w:rsid w:val="00373976"/>
    <w:rsid w:val="003739EB"/>
    <w:rsid w:val="00373B64"/>
    <w:rsid w:val="00373C0E"/>
    <w:rsid w:val="00373D37"/>
    <w:rsid w:val="00373E07"/>
    <w:rsid w:val="00374164"/>
    <w:rsid w:val="003742A7"/>
    <w:rsid w:val="003742EC"/>
    <w:rsid w:val="003743CF"/>
    <w:rsid w:val="00374405"/>
    <w:rsid w:val="00374675"/>
    <w:rsid w:val="0037499C"/>
    <w:rsid w:val="00374A66"/>
    <w:rsid w:val="00374A7C"/>
    <w:rsid w:val="00374B06"/>
    <w:rsid w:val="00374B91"/>
    <w:rsid w:val="00374C09"/>
    <w:rsid w:val="00374C2F"/>
    <w:rsid w:val="00374C94"/>
    <w:rsid w:val="00374CFA"/>
    <w:rsid w:val="00374F9A"/>
    <w:rsid w:val="00375076"/>
    <w:rsid w:val="00375148"/>
    <w:rsid w:val="003751BB"/>
    <w:rsid w:val="003751F7"/>
    <w:rsid w:val="0037522A"/>
    <w:rsid w:val="00375305"/>
    <w:rsid w:val="003753B8"/>
    <w:rsid w:val="00375429"/>
    <w:rsid w:val="0037546F"/>
    <w:rsid w:val="003754EE"/>
    <w:rsid w:val="00375564"/>
    <w:rsid w:val="003756B8"/>
    <w:rsid w:val="0037571A"/>
    <w:rsid w:val="00375834"/>
    <w:rsid w:val="00375943"/>
    <w:rsid w:val="00375B4F"/>
    <w:rsid w:val="00375BB7"/>
    <w:rsid w:val="00375D31"/>
    <w:rsid w:val="00375D92"/>
    <w:rsid w:val="00375DD6"/>
    <w:rsid w:val="003761DB"/>
    <w:rsid w:val="00376211"/>
    <w:rsid w:val="003762D3"/>
    <w:rsid w:val="00376310"/>
    <w:rsid w:val="003764AA"/>
    <w:rsid w:val="003765B1"/>
    <w:rsid w:val="00376697"/>
    <w:rsid w:val="003767AB"/>
    <w:rsid w:val="003768D6"/>
    <w:rsid w:val="00376926"/>
    <w:rsid w:val="003769A0"/>
    <w:rsid w:val="003769B1"/>
    <w:rsid w:val="00376A24"/>
    <w:rsid w:val="00376B2B"/>
    <w:rsid w:val="00376B83"/>
    <w:rsid w:val="00376B9D"/>
    <w:rsid w:val="00376BA8"/>
    <w:rsid w:val="00376E75"/>
    <w:rsid w:val="00376F05"/>
    <w:rsid w:val="003770C3"/>
    <w:rsid w:val="00377151"/>
    <w:rsid w:val="00377304"/>
    <w:rsid w:val="00377480"/>
    <w:rsid w:val="0037761B"/>
    <w:rsid w:val="00377667"/>
    <w:rsid w:val="0037766E"/>
    <w:rsid w:val="00377683"/>
    <w:rsid w:val="003776A7"/>
    <w:rsid w:val="003776CA"/>
    <w:rsid w:val="003777A7"/>
    <w:rsid w:val="003779B0"/>
    <w:rsid w:val="00377AD0"/>
    <w:rsid w:val="00377B16"/>
    <w:rsid w:val="00377CA6"/>
    <w:rsid w:val="00377E10"/>
    <w:rsid w:val="00377E54"/>
    <w:rsid w:val="00377E90"/>
    <w:rsid w:val="00377F4A"/>
    <w:rsid w:val="00377FD6"/>
    <w:rsid w:val="0038015A"/>
    <w:rsid w:val="00380236"/>
    <w:rsid w:val="00380249"/>
    <w:rsid w:val="00380338"/>
    <w:rsid w:val="0038038F"/>
    <w:rsid w:val="003805E9"/>
    <w:rsid w:val="003805F5"/>
    <w:rsid w:val="00380674"/>
    <w:rsid w:val="003806B7"/>
    <w:rsid w:val="00380784"/>
    <w:rsid w:val="00380823"/>
    <w:rsid w:val="003809AB"/>
    <w:rsid w:val="003809AD"/>
    <w:rsid w:val="00380BA8"/>
    <w:rsid w:val="00380C53"/>
    <w:rsid w:val="00380E03"/>
    <w:rsid w:val="00380F3A"/>
    <w:rsid w:val="003810FD"/>
    <w:rsid w:val="003811FB"/>
    <w:rsid w:val="00381357"/>
    <w:rsid w:val="003813E9"/>
    <w:rsid w:val="003816C2"/>
    <w:rsid w:val="0038189E"/>
    <w:rsid w:val="00381AD3"/>
    <w:rsid w:val="00381B94"/>
    <w:rsid w:val="00381D7C"/>
    <w:rsid w:val="00381DE1"/>
    <w:rsid w:val="00381E57"/>
    <w:rsid w:val="00381E75"/>
    <w:rsid w:val="00381F58"/>
    <w:rsid w:val="00381FE8"/>
    <w:rsid w:val="0038221F"/>
    <w:rsid w:val="003822CE"/>
    <w:rsid w:val="00382477"/>
    <w:rsid w:val="00382738"/>
    <w:rsid w:val="00382783"/>
    <w:rsid w:val="00382CDC"/>
    <w:rsid w:val="00382CED"/>
    <w:rsid w:val="003830AA"/>
    <w:rsid w:val="003831D3"/>
    <w:rsid w:val="0038330F"/>
    <w:rsid w:val="003833F9"/>
    <w:rsid w:val="00383412"/>
    <w:rsid w:val="00383422"/>
    <w:rsid w:val="003834BF"/>
    <w:rsid w:val="003836C5"/>
    <w:rsid w:val="0038372D"/>
    <w:rsid w:val="00383779"/>
    <w:rsid w:val="00383880"/>
    <w:rsid w:val="00383A5C"/>
    <w:rsid w:val="00383A64"/>
    <w:rsid w:val="00383BDC"/>
    <w:rsid w:val="00383C6F"/>
    <w:rsid w:val="00383C7D"/>
    <w:rsid w:val="00383D0D"/>
    <w:rsid w:val="00383D69"/>
    <w:rsid w:val="00383E40"/>
    <w:rsid w:val="00383E9B"/>
    <w:rsid w:val="00383ED8"/>
    <w:rsid w:val="00383F48"/>
    <w:rsid w:val="00384014"/>
    <w:rsid w:val="0038413C"/>
    <w:rsid w:val="0038415A"/>
    <w:rsid w:val="003841F0"/>
    <w:rsid w:val="00384277"/>
    <w:rsid w:val="003842EA"/>
    <w:rsid w:val="00384309"/>
    <w:rsid w:val="00384404"/>
    <w:rsid w:val="00384484"/>
    <w:rsid w:val="0038455E"/>
    <w:rsid w:val="0038469C"/>
    <w:rsid w:val="00384B75"/>
    <w:rsid w:val="00384BA4"/>
    <w:rsid w:val="00384C41"/>
    <w:rsid w:val="00384C58"/>
    <w:rsid w:val="00384CED"/>
    <w:rsid w:val="0038503E"/>
    <w:rsid w:val="003851E3"/>
    <w:rsid w:val="0038546C"/>
    <w:rsid w:val="00385748"/>
    <w:rsid w:val="003859FD"/>
    <w:rsid w:val="00385B36"/>
    <w:rsid w:val="00385B70"/>
    <w:rsid w:val="00385C66"/>
    <w:rsid w:val="00385CCD"/>
    <w:rsid w:val="00385E09"/>
    <w:rsid w:val="00385E61"/>
    <w:rsid w:val="00385F65"/>
    <w:rsid w:val="00385FA9"/>
    <w:rsid w:val="003860DB"/>
    <w:rsid w:val="003862CE"/>
    <w:rsid w:val="00386331"/>
    <w:rsid w:val="003863A4"/>
    <w:rsid w:val="00386426"/>
    <w:rsid w:val="00386463"/>
    <w:rsid w:val="003865B2"/>
    <w:rsid w:val="003865F0"/>
    <w:rsid w:val="00386707"/>
    <w:rsid w:val="00386797"/>
    <w:rsid w:val="0038681E"/>
    <w:rsid w:val="00386871"/>
    <w:rsid w:val="003868F8"/>
    <w:rsid w:val="0038692C"/>
    <w:rsid w:val="00386B3D"/>
    <w:rsid w:val="00386C0D"/>
    <w:rsid w:val="00386D52"/>
    <w:rsid w:val="00386EFE"/>
    <w:rsid w:val="00386F3B"/>
    <w:rsid w:val="0038707A"/>
    <w:rsid w:val="003870CD"/>
    <w:rsid w:val="00387290"/>
    <w:rsid w:val="003872FA"/>
    <w:rsid w:val="0038731A"/>
    <w:rsid w:val="003873C4"/>
    <w:rsid w:val="00387586"/>
    <w:rsid w:val="00387621"/>
    <w:rsid w:val="00387787"/>
    <w:rsid w:val="003877D6"/>
    <w:rsid w:val="003878E5"/>
    <w:rsid w:val="00387994"/>
    <w:rsid w:val="003879D5"/>
    <w:rsid w:val="00387A81"/>
    <w:rsid w:val="00387B14"/>
    <w:rsid w:val="00387B90"/>
    <w:rsid w:val="00387C54"/>
    <w:rsid w:val="00387C74"/>
    <w:rsid w:val="00387CD2"/>
    <w:rsid w:val="00387D6D"/>
    <w:rsid w:val="00387E77"/>
    <w:rsid w:val="00387F1B"/>
    <w:rsid w:val="00387F61"/>
    <w:rsid w:val="00387FA7"/>
    <w:rsid w:val="00387FF3"/>
    <w:rsid w:val="003900B6"/>
    <w:rsid w:val="00390382"/>
    <w:rsid w:val="003903CE"/>
    <w:rsid w:val="0039046C"/>
    <w:rsid w:val="003906E9"/>
    <w:rsid w:val="003907A9"/>
    <w:rsid w:val="0039082E"/>
    <w:rsid w:val="00390977"/>
    <w:rsid w:val="003909E9"/>
    <w:rsid w:val="00390A39"/>
    <w:rsid w:val="00390AF2"/>
    <w:rsid w:val="00390C10"/>
    <w:rsid w:val="00390E34"/>
    <w:rsid w:val="00390E9E"/>
    <w:rsid w:val="00390FB6"/>
    <w:rsid w:val="00390FD6"/>
    <w:rsid w:val="0039124F"/>
    <w:rsid w:val="003914F8"/>
    <w:rsid w:val="0039158D"/>
    <w:rsid w:val="0039177D"/>
    <w:rsid w:val="003917B3"/>
    <w:rsid w:val="00391933"/>
    <w:rsid w:val="00391A6F"/>
    <w:rsid w:val="00391AAE"/>
    <w:rsid w:val="00391AE1"/>
    <w:rsid w:val="00391F24"/>
    <w:rsid w:val="00391FD3"/>
    <w:rsid w:val="00392137"/>
    <w:rsid w:val="003921C4"/>
    <w:rsid w:val="003923E5"/>
    <w:rsid w:val="00392572"/>
    <w:rsid w:val="00392608"/>
    <w:rsid w:val="00392746"/>
    <w:rsid w:val="00392774"/>
    <w:rsid w:val="00392783"/>
    <w:rsid w:val="003927F9"/>
    <w:rsid w:val="00392893"/>
    <w:rsid w:val="003929A7"/>
    <w:rsid w:val="00392AA7"/>
    <w:rsid w:val="00392E34"/>
    <w:rsid w:val="00392E4D"/>
    <w:rsid w:val="00392F0E"/>
    <w:rsid w:val="00392F37"/>
    <w:rsid w:val="00392F5C"/>
    <w:rsid w:val="00392F96"/>
    <w:rsid w:val="00393240"/>
    <w:rsid w:val="003932AF"/>
    <w:rsid w:val="003932F9"/>
    <w:rsid w:val="0039333A"/>
    <w:rsid w:val="00393421"/>
    <w:rsid w:val="0039352E"/>
    <w:rsid w:val="0039358F"/>
    <w:rsid w:val="003935C0"/>
    <w:rsid w:val="0039368A"/>
    <w:rsid w:val="003936C6"/>
    <w:rsid w:val="0039377F"/>
    <w:rsid w:val="003937FF"/>
    <w:rsid w:val="003939AF"/>
    <w:rsid w:val="003939EE"/>
    <w:rsid w:val="00393B8E"/>
    <w:rsid w:val="00393BD5"/>
    <w:rsid w:val="00393C15"/>
    <w:rsid w:val="00393D02"/>
    <w:rsid w:val="00393EDB"/>
    <w:rsid w:val="00393FA0"/>
    <w:rsid w:val="0039412D"/>
    <w:rsid w:val="003941DA"/>
    <w:rsid w:val="003942A2"/>
    <w:rsid w:val="00394366"/>
    <w:rsid w:val="003945B2"/>
    <w:rsid w:val="00394613"/>
    <w:rsid w:val="003947BE"/>
    <w:rsid w:val="003947E1"/>
    <w:rsid w:val="003947E3"/>
    <w:rsid w:val="0039496A"/>
    <w:rsid w:val="00394AB8"/>
    <w:rsid w:val="00394B23"/>
    <w:rsid w:val="00394BC3"/>
    <w:rsid w:val="00394BFB"/>
    <w:rsid w:val="00394DB1"/>
    <w:rsid w:val="00394DD7"/>
    <w:rsid w:val="00394E94"/>
    <w:rsid w:val="00394E9B"/>
    <w:rsid w:val="00394F3D"/>
    <w:rsid w:val="0039510B"/>
    <w:rsid w:val="00395169"/>
    <w:rsid w:val="003952B9"/>
    <w:rsid w:val="0039540A"/>
    <w:rsid w:val="003955AF"/>
    <w:rsid w:val="00395645"/>
    <w:rsid w:val="0039566D"/>
    <w:rsid w:val="003956E0"/>
    <w:rsid w:val="00395790"/>
    <w:rsid w:val="003957C4"/>
    <w:rsid w:val="003958B5"/>
    <w:rsid w:val="00395991"/>
    <w:rsid w:val="003959B8"/>
    <w:rsid w:val="003959C3"/>
    <w:rsid w:val="00395A19"/>
    <w:rsid w:val="00395B1C"/>
    <w:rsid w:val="00395B37"/>
    <w:rsid w:val="00395BB5"/>
    <w:rsid w:val="00395D6E"/>
    <w:rsid w:val="00395FE3"/>
    <w:rsid w:val="003960F9"/>
    <w:rsid w:val="0039614D"/>
    <w:rsid w:val="00396165"/>
    <w:rsid w:val="003961C5"/>
    <w:rsid w:val="00396252"/>
    <w:rsid w:val="0039625F"/>
    <w:rsid w:val="0039631E"/>
    <w:rsid w:val="003963A1"/>
    <w:rsid w:val="00396500"/>
    <w:rsid w:val="003968AD"/>
    <w:rsid w:val="00396ADA"/>
    <w:rsid w:val="00396C22"/>
    <w:rsid w:val="00396D3C"/>
    <w:rsid w:val="00396F10"/>
    <w:rsid w:val="00396F2D"/>
    <w:rsid w:val="0039704C"/>
    <w:rsid w:val="003970AA"/>
    <w:rsid w:val="0039712A"/>
    <w:rsid w:val="00397315"/>
    <w:rsid w:val="0039734E"/>
    <w:rsid w:val="00397411"/>
    <w:rsid w:val="003974D5"/>
    <w:rsid w:val="003975A2"/>
    <w:rsid w:val="0039763E"/>
    <w:rsid w:val="00397663"/>
    <w:rsid w:val="003976B0"/>
    <w:rsid w:val="003978B5"/>
    <w:rsid w:val="0039795F"/>
    <w:rsid w:val="00397C52"/>
    <w:rsid w:val="00397C67"/>
    <w:rsid w:val="00397CC8"/>
    <w:rsid w:val="00397D0E"/>
    <w:rsid w:val="00397E4D"/>
    <w:rsid w:val="00397F24"/>
    <w:rsid w:val="0039A9A1"/>
    <w:rsid w:val="003A01DC"/>
    <w:rsid w:val="003A02CF"/>
    <w:rsid w:val="003A035F"/>
    <w:rsid w:val="003A036A"/>
    <w:rsid w:val="003A03BE"/>
    <w:rsid w:val="003A04B1"/>
    <w:rsid w:val="003A04DF"/>
    <w:rsid w:val="003A0545"/>
    <w:rsid w:val="003A06A4"/>
    <w:rsid w:val="003A0B4F"/>
    <w:rsid w:val="003A0E6D"/>
    <w:rsid w:val="003A0F1B"/>
    <w:rsid w:val="003A1037"/>
    <w:rsid w:val="003A1058"/>
    <w:rsid w:val="003A10C0"/>
    <w:rsid w:val="003A12DD"/>
    <w:rsid w:val="003A1331"/>
    <w:rsid w:val="003A1333"/>
    <w:rsid w:val="003A1397"/>
    <w:rsid w:val="003A1529"/>
    <w:rsid w:val="003A15A6"/>
    <w:rsid w:val="003A16EC"/>
    <w:rsid w:val="003A174D"/>
    <w:rsid w:val="003A1889"/>
    <w:rsid w:val="003A19C0"/>
    <w:rsid w:val="003A19C8"/>
    <w:rsid w:val="003A1A57"/>
    <w:rsid w:val="003A1A83"/>
    <w:rsid w:val="003A1B51"/>
    <w:rsid w:val="003A1BA9"/>
    <w:rsid w:val="003A1D84"/>
    <w:rsid w:val="003A1DC0"/>
    <w:rsid w:val="003A1E86"/>
    <w:rsid w:val="003A1F17"/>
    <w:rsid w:val="003A2197"/>
    <w:rsid w:val="003A2221"/>
    <w:rsid w:val="003A22A9"/>
    <w:rsid w:val="003A22CE"/>
    <w:rsid w:val="003A2459"/>
    <w:rsid w:val="003A24CA"/>
    <w:rsid w:val="003A24EB"/>
    <w:rsid w:val="003A2552"/>
    <w:rsid w:val="003A25CC"/>
    <w:rsid w:val="003A25E0"/>
    <w:rsid w:val="003A2739"/>
    <w:rsid w:val="003A2796"/>
    <w:rsid w:val="003A2908"/>
    <w:rsid w:val="003A2969"/>
    <w:rsid w:val="003A29F9"/>
    <w:rsid w:val="003A2ADB"/>
    <w:rsid w:val="003A2AF6"/>
    <w:rsid w:val="003A2D49"/>
    <w:rsid w:val="003A2DAF"/>
    <w:rsid w:val="003A2E0D"/>
    <w:rsid w:val="003A2E89"/>
    <w:rsid w:val="003A2E8E"/>
    <w:rsid w:val="003A302F"/>
    <w:rsid w:val="003A30E7"/>
    <w:rsid w:val="003A311A"/>
    <w:rsid w:val="003A31E6"/>
    <w:rsid w:val="003A32AF"/>
    <w:rsid w:val="003A3439"/>
    <w:rsid w:val="003A347A"/>
    <w:rsid w:val="003A353D"/>
    <w:rsid w:val="003A3557"/>
    <w:rsid w:val="003A355C"/>
    <w:rsid w:val="003A3612"/>
    <w:rsid w:val="003A3663"/>
    <w:rsid w:val="003A369B"/>
    <w:rsid w:val="003A36ED"/>
    <w:rsid w:val="003A3794"/>
    <w:rsid w:val="003A3919"/>
    <w:rsid w:val="003A3968"/>
    <w:rsid w:val="003A39E7"/>
    <w:rsid w:val="003A3A34"/>
    <w:rsid w:val="003A3B37"/>
    <w:rsid w:val="003A3CA4"/>
    <w:rsid w:val="003A3F74"/>
    <w:rsid w:val="003A3F9C"/>
    <w:rsid w:val="003A404D"/>
    <w:rsid w:val="003A41AC"/>
    <w:rsid w:val="003A4215"/>
    <w:rsid w:val="003A4226"/>
    <w:rsid w:val="003A42C2"/>
    <w:rsid w:val="003A43FD"/>
    <w:rsid w:val="003A4504"/>
    <w:rsid w:val="003A45BE"/>
    <w:rsid w:val="003A45F7"/>
    <w:rsid w:val="003A46B6"/>
    <w:rsid w:val="003A46D8"/>
    <w:rsid w:val="003A477C"/>
    <w:rsid w:val="003A47C2"/>
    <w:rsid w:val="003A4A18"/>
    <w:rsid w:val="003A4ADD"/>
    <w:rsid w:val="003A4B03"/>
    <w:rsid w:val="003A4BE8"/>
    <w:rsid w:val="003A4C5F"/>
    <w:rsid w:val="003A4D17"/>
    <w:rsid w:val="003A4EB7"/>
    <w:rsid w:val="003A4ED0"/>
    <w:rsid w:val="003A4F84"/>
    <w:rsid w:val="003A5260"/>
    <w:rsid w:val="003A527C"/>
    <w:rsid w:val="003A530A"/>
    <w:rsid w:val="003A538E"/>
    <w:rsid w:val="003A53BF"/>
    <w:rsid w:val="003A543C"/>
    <w:rsid w:val="003A5508"/>
    <w:rsid w:val="003A55BF"/>
    <w:rsid w:val="003A56D6"/>
    <w:rsid w:val="003A56DB"/>
    <w:rsid w:val="003A581F"/>
    <w:rsid w:val="003A59B9"/>
    <w:rsid w:val="003A59F6"/>
    <w:rsid w:val="003A5A40"/>
    <w:rsid w:val="003A5BE7"/>
    <w:rsid w:val="003A5C73"/>
    <w:rsid w:val="003A5DB9"/>
    <w:rsid w:val="003A5E9A"/>
    <w:rsid w:val="003A5EB9"/>
    <w:rsid w:val="003A5F0D"/>
    <w:rsid w:val="003A5F1E"/>
    <w:rsid w:val="003A5F2A"/>
    <w:rsid w:val="003A5FC2"/>
    <w:rsid w:val="003A6063"/>
    <w:rsid w:val="003A60B0"/>
    <w:rsid w:val="003A6117"/>
    <w:rsid w:val="003A61A6"/>
    <w:rsid w:val="003A61F2"/>
    <w:rsid w:val="003A62DF"/>
    <w:rsid w:val="003A64C2"/>
    <w:rsid w:val="003A694B"/>
    <w:rsid w:val="003A69EA"/>
    <w:rsid w:val="003A6AB2"/>
    <w:rsid w:val="003A6C7F"/>
    <w:rsid w:val="003A6CCD"/>
    <w:rsid w:val="003A6F2F"/>
    <w:rsid w:val="003A6FC0"/>
    <w:rsid w:val="003A7031"/>
    <w:rsid w:val="003A706F"/>
    <w:rsid w:val="003A7152"/>
    <w:rsid w:val="003A7159"/>
    <w:rsid w:val="003A72C7"/>
    <w:rsid w:val="003A7393"/>
    <w:rsid w:val="003A73E4"/>
    <w:rsid w:val="003A742E"/>
    <w:rsid w:val="003A7581"/>
    <w:rsid w:val="003A75B5"/>
    <w:rsid w:val="003A772F"/>
    <w:rsid w:val="003A77DF"/>
    <w:rsid w:val="003A78E6"/>
    <w:rsid w:val="003A79BD"/>
    <w:rsid w:val="003A7C6C"/>
    <w:rsid w:val="003A7C6E"/>
    <w:rsid w:val="003A7ECA"/>
    <w:rsid w:val="003A7F1F"/>
    <w:rsid w:val="003A7F74"/>
    <w:rsid w:val="003B0015"/>
    <w:rsid w:val="003B00C8"/>
    <w:rsid w:val="003B02C2"/>
    <w:rsid w:val="003B02DD"/>
    <w:rsid w:val="003B0333"/>
    <w:rsid w:val="003B0365"/>
    <w:rsid w:val="003B0421"/>
    <w:rsid w:val="003B047C"/>
    <w:rsid w:val="003B04DB"/>
    <w:rsid w:val="003B0595"/>
    <w:rsid w:val="003B081A"/>
    <w:rsid w:val="003B0831"/>
    <w:rsid w:val="003B0935"/>
    <w:rsid w:val="003B094C"/>
    <w:rsid w:val="003B09BC"/>
    <w:rsid w:val="003B0A35"/>
    <w:rsid w:val="003B0A7F"/>
    <w:rsid w:val="003B0BF3"/>
    <w:rsid w:val="003B0C23"/>
    <w:rsid w:val="003B0C53"/>
    <w:rsid w:val="003B0C6E"/>
    <w:rsid w:val="003B0C77"/>
    <w:rsid w:val="003B0D58"/>
    <w:rsid w:val="003B0E0E"/>
    <w:rsid w:val="003B0E8B"/>
    <w:rsid w:val="003B0EB8"/>
    <w:rsid w:val="003B0ED7"/>
    <w:rsid w:val="003B0EEB"/>
    <w:rsid w:val="003B0F1B"/>
    <w:rsid w:val="003B0F33"/>
    <w:rsid w:val="003B0F69"/>
    <w:rsid w:val="003B10E9"/>
    <w:rsid w:val="003B128A"/>
    <w:rsid w:val="003B1304"/>
    <w:rsid w:val="003B131F"/>
    <w:rsid w:val="003B1330"/>
    <w:rsid w:val="003B13A2"/>
    <w:rsid w:val="003B144F"/>
    <w:rsid w:val="003B1504"/>
    <w:rsid w:val="003B1507"/>
    <w:rsid w:val="003B17AA"/>
    <w:rsid w:val="003B186D"/>
    <w:rsid w:val="003B1A6F"/>
    <w:rsid w:val="003B1BA3"/>
    <w:rsid w:val="003B1D73"/>
    <w:rsid w:val="003B1D7C"/>
    <w:rsid w:val="003B1E74"/>
    <w:rsid w:val="003B2013"/>
    <w:rsid w:val="003B2203"/>
    <w:rsid w:val="003B228A"/>
    <w:rsid w:val="003B2390"/>
    <w:rsid w:val="003B2412"/>
    <w:rsid w:val="003B244F"/>
    <w:rsid w:val="003B24F8"/>
    <w:rsid w:val="003B25FD"/>
    <w:rsid w:val="003B2614"/>
    <w:rsid w:val="003B2642"/>
    <w:rsid w:val="003B278D"/>
    <w:rsid w:val="003B27D7"/>
    <w:rsid w:val="003B2859"/>
    <w:rsid w:val="003B2958"/>
    <w:rsid w:val="003B2A72"/>
    <w:rsid w:val="003B2A7B"/>
    <w:rsid w:val="003B2B7D"/>
    <w:rsid w:val="003B2D80"/>
    <w:rsid w:val="003B2DAE"/>
    <w:rsid w:val="003B2DD7"/>
    <w:rsid w:val="003B2E16"/>
    <w:rsid w:val="003B2EAF"/>
    <w:rsid w:val="003B2F6C"/>
    <w:rsid w:val="003B3220"/>
    <w:rsid w:val="003B32A6"/>
    <w:rsid w:val="003B32CC"/>
    <w:rsid w:val="003B3401"/>
    <w:rsid w:val="003B36DB"/>
    <w:rsid w:val="003B36EB"/>
    <w:rsid w:val="003B3763"/>
    <w:rsid w:val="003B3A09"/>
    <w:rsid w:val="003B3A26"/>
    <w:rsid w:val="003B3C6E"/>
    <w:rsid w:val="003B3D29"/>
    <w:rsid w:val="003B3DC6"/>
    <w:rsid w:val="003B3DFE"/>
    <w:rsid w:val="003B3F0D"/>
    <w:rsid w:val="003B3FBF"/>
    <w:rsid w:val="003B405D"/>
    <w:rsid w:val="003B40AB"/>
    <w:rsid w:val="003B4253"/>
    <w:rsid w:val="003B42A0"/>
    <w:rsid w:val="003B42EF"/>
    <w:rsid w:val="003B430F"/>
    <w:rsid w:val="003B43A3"/>
    <w:rsid w:val="003B4624"/>
    <w:rsid w:val="003B46B7"/>
    <w:rsid w:val="003B4719"/>
    <w:rsid w:val="003B474F"/>
    <w:rsid w:val="003B4754"/>
    <w:rsid w:val="003B4837"/>
    <w:rsid w:val="003B48A0"/>
    <w:rsid w:val="003B4B71"/>
    <w:rsid w:val="003B4BF1"/>
    <w:rsid w:val="003B4D81"/>
    <w:rsid w:val="003B4DBA"/>
    <w:rsid w:val="003B4E84"/>
    <w:rsid w:val="003B4F3A"/>
    <w:rsid w:val="003B51C5"/>
    <w:rsid w:val="003B546A"/>
    <w:rsid w:val="003B5577"/>
    <w:rsid w:val="003B5608"/>
    <w:rsid w:val="003B569F"/>
    <w:rsid w:val="003B5737"/>
    <w:rsid w:val="003B5752"/>
    <w:rsid w:val="003B5753"/>
    <w:rsid w:val="003B57D1"/>
    <w:rsid w:val="003B57D9"/>
    <w:rsid w:val="003B5A04"/>
    <w:rsid w:val="003B5A6D"/>
    <w:rsid w:val="003B5C5E"/>
    <w:rsid w:val="003B5C99"/>
    <w:rsid w:val="003B5DA9"/>
    <w:rsid w:val="003B5F55"/>
    <w:rsid w:val="003B5FAA"/>
    <w:rsid w:val="003B6106"/>
    <w:rsid w:val="003B62D6"/>
    <w:rsid w:val="003B63C0"/>
    <w:rsid w:val="003B66F4"/>
    <w:rsid w:val="003B6886"/>
    <w:rsid w:val="003B68E4"/>
    <w:rsid w:val="003B699B"/>
    <w:rsid w:val="003B6D5B"/>
    <w:rsid w:val="003B6DEB"/>
    <w:rsid w:val="003B6E0E"/>
    <w:rsid w:val="003B6E3C"/>
    <w:rsid w:val="003B6F0B"/>
    <w:rsid w:val="003B6F80"/>
    <w:rsid w:val="003B6F93"/>
    <w:rsid w:val="003B6FC1"/>
    <w:rsid w:val="003B7015"/>
    <w:rsid w:val="003B7036"/>
    <w:rsid w:val="003B7172"/>
    <w:rsid w:val="003B7283"/>
    <w:rsid w:val="003B72A5"/>
    <w:rsid w:val="003B72D0"/>
    <w:rsid w:val="003B741D"/>
    <w:rsid w:val="003B749F"/>
    <w:rsid w:val="003B74D1"/>
    <w:rsid w:val="003B7631"/>
    <w:rsid w:val="003B76D2"/>
    <w:rsid w:val="003B7722"/>
    <w:rsid w:val="003B789A"/>
    <w:rsid w:val="003B7AA1"/>
    <w:rsid w:val="003B7BB6"/>
    <w:rsid w:val="003B7C97"/>
    <w:rsid w:val="003B7DD3"/>
    <w:rsid w:val="003B7E09"/>
    <w:rsid w:val="003B7E24"/>
    <w:rsid w:val="003B7E55"/>
    <w:rsid w:val="003B7FB6"/>
    <w:rsid w:val="003C0057"/>
    <w:rsid w:val="003C014A"/>
    <w:rsid w:val="003C029E"/>
    <w:rsid w:val="003C0442"/>
    <w:rsid w:val="003C04F6"/>
    <w:rsid w:val="003C0542"/>
    <w:rsid w:val="003C0663"/>
    <w:rsid w:val="003C06A8"/>
    <w:rsid w:val="003C0796"/>
    <w:rsid w:val="003C0A1E"/>
    <w:rsid w:val="003C0B1C"/>
    <w:rsid w:val="003C0B22"/>
    <w:rsid w:val="003C0B2D"/>
    <w:rsid w:val="003C0B37"/>
    <w:rsid w:val="003C0B84"/>
    <w:rsid w:val="003C0BB0"/>
    <w:rsid w:val="003C0CC7"/>
    <w:rsid w:val="003C0CF3"/>
    <w:rsid w:val="003C0F2F"/>
    <w:rsid w:val="003C0F83"/>
    <w:rsid w:val="003C10A0"/>
    <w:rsid w:val="003C12BD"/>
    <w:rsid w:val="003C15C6"/>
    <w:rsid w:val="003C1854"/>
    <w:rsid w:val="003C19FE"/>
    <w:rsid w:val="003C1A5C"/>
    <w:rsid w:val="003C1A6C"/>
    <w:rsid w:val="003C1AA2"/>
    <w:rsid w:val="003C1AEB"/>
    <w:rsid w:val="003C1C88"/>
    <w:rsid w:val="003C1CA8"/>
    <w:rsid w:val="003C1D63"/>
    <w:rsid w:val="003C1DA9"/>
    <w:rsid w:val="003C1DF2"/>
    <w:rsid w:val="003C1FA9"/>
    <w:rsid w:val="003C2030"/>
    <w:rsid w:val="003C2043"/>
    <w:rsid w:val="003C2090"/>
    <w:rsid w:val="003C2152"/>
    <w:rsid w:val="003C2350"/>
    <w:rsid w:val="003C23E1"/>
    <w:rsid w:val="003C24E2"/>
    <w:rsid w:val="003C27EE"/>
    <w:rsid w:val="003C2962"/>
    <w:rsid w:val="003C29F4"/>
    <w:rsid w:val="003C2A55"/>
    <w:rsid w:val="003C2A7E"/>
    <w:rsid w:val="003C2AC0"/>
    <w:rsid w:val="003C2D04"/>
    <w:rsid w:val="003C2E5F"/>
    <w:rsid w:val="003C2F46"/>
    <w:rsid w:val="003C2F6C"/>
    <w:rsid w:val="003C306A"/>
    <w:rsid w:val="003C31CD"/>
    <w:rsid w:val="003C3229"/>
    <w:rsid w:val="003C32FD"/>
    <w:rsid w:val="003C37F4"/>
    <w:rsid w:val="003C381E"/>
    <w:rsid w:val="003C38E2"/>
    <w:rsid w:val="003C39B4"/>
    <w:rsid w:val="003C3B01"/>
    <w:rsid w:val="003C3B35"/>
    <w:rsid w:val="003C3C88"/>
    <w:rsid w:val="003C3D13"/>
    <w:rsid w:val="003C3D37"/>
    <w:rsid w:val="003C3DEA"/>
    <w:rsid w:val="003C3E36"/>
    <w:rsid w:val="003C3E44"/>
    <w:rsid w:val="003C3EA6"/>
    <w:rsid w:val="003C3F0D"/>
    <w:rsid w:val="003C400A"/>
    <w:rsid w:val="003C40EF"/>
    <w:rsid w:val="003C4185"/>
    <w:rsid w:val="003C41D9"/>
    <w:rsid w:val="003C42AE"/>
    <w:rsid w:val="003C4311"/>
    <w:rsid w:val="003C43D0"/>
    <w:rsid w:val="003C43E5"/>
    <w:rsid w:val="003C44CE"/>
    <w:rsid w:val="003C4535"/>
    <w:rsid w:val="003C4632"/>
    <w:rsid w:val="003C4649"/>
    <w:rsid w:val="003C4970"/>
    <w:rsid w:val="003C4CB4"/>
    <w:rsid w:val="003C4E2B"/>
    <w:rsid w:val="003C4EA5"/>
    <w:rsid w:val="003C4F5C"/>
    <w:rsid w:val="003C4F7A"/>
    <w:rsid w:val="003C5108"/>
    <w:rsid w:val="003C51A8"/>
    <w:rsid w:val="003C521D"/>
    <w:rsid w:val="003C538C"/>
    <w:rsid w:val="003C589E"/>
    <w:rsid w:val="003C58D6"/>
    <w:rsid w:val="003C58E5"/>
    <w:rsid w:val="003C5A1E"/>
    <w:rsid w:val="003C5A23"/>
    <w:rsid w:val="003C5B3A"/>
    <w:rsid w:val="003C5E05"/>
    <w:rsid w:val="003C5E28"/>
    <w:rsid w:val="003C5EA7"/>
    <w:rsid w:val="003C5F0D"/>
    <w:rsid w:val="003C5F2E"/>
    <w:rsid w:val="003C5F5C"/>
    <w:rsid w:val="003C5F74"/>
    <w:rsid w:val="003C6029"/>
    <w:rsid w:val="003C6091"/>
    <w:rsid w:val="003C6123"/>
    <w:rsid w:val="003C61B5"/>
    <w:rsid w:val="003C61F7"/>
    <w:rsid w:val="003C628C"/>
    <w:rsid w:val="003C645A"/>
    <w:rsid w:val="003C66C1"/>
    <w:rsid w:val="003C66D7"/>
    <w:rsid w:val="003C6775"/>
    <w:rsid w:val="003C6978"/>
    <w:rsid w:val="003C69D3"/>
    <w:rsid w:val="003C6C13"/>
    <w:rsid w:val="003C6C17"/>
    <w:rsid w:val="003C6C27"/>
    <w:rsid w:val="003C6ED8"/>
    <w:rsid w:val="003C6EEE"/>
    <w:rsid w:val="003C7034"/>
    <w:rsid w:val="003C7091"/>
    <w:rsid w:val="003C7110"/>
    <w:rsid w:val="003C7111"/>
    <w:rsid w:val="003C7187"/>
    <w:rsid w:val="003C718F"/>
    <w:rsid w:val="003C7227"/>
    <w:rsid w:val="003C724E"/>
    <w:rsid w:val="003C72D9"/>
    <w:rsid w:val="003C75CF"/>
    <w:rsid w:val="003C77EA"/>
    <w:rsid w:val="003C79C8"/>
    <w:rsid w:val="003C7A8E"/>
    <w:rsid w:val="003C7B43"/>
    <w:rsid w:val="003C7D75"/>
    <w:rsid w:val="003C7E20"/>
    <w:rsid w:val="003C7EFA"/>
    <w:rsid w:val="003C7F60"/>
    <w:rsid w:val="003D0029"/>
    <w:rsid w:val="003D005D"/>
    <w:rsid w:val="003D0074"/>
    <w:rsid w:val="003D00D2"/>
    <w:rsid w:val="003D01F9"/>
    <w:rsid w:val="003D02A1"/>
    <w:rsid w:val="003D031D"/>
    <w:rsid w:val="003D042F"/>
    <w:rsid w:val="003D0471"/>
    <w:rsid w:val="003D0683"/>
    <w:rsid w:val="003D06C2"/>
    <w:rsid w:val="003D091E"/>
    <w:rsid w:val="003D0960"/>
    <w:rsid w:val="003D0A54"/>
    <w:rsid w:val="003D0D04"/>
    <w:rsid w:val="003D0D33"/>
    <w:rsid w:val="003D0DFE"/>
    <w:rsid w:val="003D112A"/>
    <w:rsid w:val="003D117D"/>
    <w:rsid w:val="003D1192"/>
    <w:rsid w:val="003D1241"/>
    <w:rsid w:val="003D1285"/>
    <w:rsid w:val="003D12C6"/>
    <w:rsid w:val="003D1302"/>
    <w:rsid w:val="003D1424"/>
    <w:rsid w:val="003D142D"/>
    <w:rsid w:val="003D1470"/>
    <w:rsid w:val="003D14D1"/>
    <w:rsid w:val="003D14D2"/>
    <w:rsid w:val="003D150C"/>
    <w:rsid w:val="003D151B"/>
    <w:rsid w:val="003D16A4"/>
    <w:rsid w:val="003D16BE"/>
    <w:rsid w:val="003D16E9"/>
    <w:rsid w:val="003D172A"/>
    <w:rsid w:val="003D1754"/>
    <w:rsid w:val="003D1771"/>
    <w:rsid w:val="003D1786"/>
    <w:rsid w:val="003D1BAD"/>
    <w:rsid w:val="003D1C68"/>
    <w:rsid w:val="003D1DF6"/>
    <w:rsid w:val="003D1E06"/>
    <w:rsid w:val="003D1E37"/>
    <w:rsid w:val="003D1F21"/>
    <w:rsid w:val="003D1FD0"/>
    <w:rsid w:val="003D1FDA"/>
    <w:rsid w:val="003D202A"/>
    <w:rsid w:val="003D207B"/>
    <w:rsid w:val="003D20E5"/>
    <w:rsid w:val="003D2106"/>
    <w:rsid w:val="003D21B9"/>
    <w:rsid w:val="003D2204"/>
    <w:rsid w:val="003D22AA"/>
    <w:rsid w:val="003D2339"/>
    <w:rsid w:val="003D244B"/>
    <w:rsid w:val="003D250F"/>
    <w:rsid w:val="003D25E2"/>
    <w:rsid w:val="003D27D7"/>
    <w:rsid w:val="003D2817"/>
    <w:rsid w:val="003D28B3"/>
    <w:rsid w:val="003D2981"/>
    <w:rsid w:val="003D29C1"/>
    <w:rsid w:val="003D2B68"/>
    <w:rsid w:val="003D2D57"/>
    <w:rsid w:val="003D2F41"/>
    <w:rsid w:val="003D2F5F"/>
    <w:rsid w:val="003D2F76"/>
    <w:rsid w:val="003D2F92"/>
    <w:rsid w:val="003D31E3"/>
    <w:rsid w:val="003D329D"/>
    <w:rsid w:val="003D32A1"/>
    <w:rsid w:val="003D3312"/>
    <w:rsid w:val="003D331A"/>
    <w:rsid w:val="003D33C7"/>
    <w:rsid w:val="003D33D6"/>
    <w:rsid w:val="003D34D0"/>
    <w:rsid w:val="003D3574"/>
    <w:rsid w:val="003D35A8"/>
    <w:rsid w:val="003D35C4"/>
    <w:rsid w:val="003D377C"/>
    <w:rsid w:val="003D3817"/>
    <w:rsid w:val="003D3A07"/>
    <w:rsid w:val="003D3B8A"/>
    <w:rsid w:val="003D3BC6"/>
    <w:rsid w:val="003D3C52"/>
    <w:rsid w:val="003D3C5C"/>
    <w:rsid w:val="003D3C8F"/>
    <w:rsid w:val="003D3D64"/>
    <w:rsid w:val="003D4005"/>
    <w:rsid w:val="003D417A"/>
    <w:rsid w:val="003D41B0"/>
    <w:rsid w:val="003D41E4"/>
    <w:rsid w:val="003D43A3"/>
    <w:rsid w:val="003D44E4"/>
    <w:rsid w:val="003D45AD"/>
    <w:rsid w:val="003D45C9"/>
    <w:rsid w:val="003D462D"/>
    <w:rsid w:val="003D4694"/>
    <w:rsid w:val="003D46AA"/>
    <w:rsid w:val="003D46AB"/>
    <w:rsid w:val="003D46DA"/>
    <w:rsid w:val="003D474D"/>
    <w:rsid w:val="003D4902"/>
    <w:rsid w:val="003D4989"/>
    <w:rsid w:val="003D49C3"/>
    <w:rsid w:val="003D49E4"/>
    <w:rsid w:val="003D4D24"/>
    <w:rsid w:val="003D4D9C"/>
    <w:rsid w:val="003D4DE5"/>
    <w:rsid w:val="003D4E02"/>
    <w:rsid w:val="003D4EC3"/>
    <w:rsid w:val="003D4FFA"/>
    <w:rsid w:val="003D50D1"/>
    <w:rsid w:val="003D5168"/>
    <w:rsid w:val="003D5214"/>
    <w:rsid w:val="003D5313"/>
    <w:rsid w:val="003D542E"/>
    <w:rsid w:val="003D5438"/>
    <w:rsid w:val="003D5534"/>
    <w:rsid w:val="003D553D"/>
    <w:rsid w:val="003D5562"/>
    <w:rsid w:val="003D55F2"/>
    <w:rsid w:val="003D566F"/>
    <w:rsid w:val="003D56BD"/>
    <w:rsid w:val="003D5A84"/>
    <w:rsid w:val="003D5AF9"/>
    <w:rsid w:val="003D5BA6"/>
    <w:rsid w:val="003D5C3E"/>
    <w:rsid w:val="003D5C97"/>
    <w:rsid w:val="003D5D78"/>
    <w:rsid w:val="003D5E99"/>
    <w:rsid w:val="003D5F0D"/>
    <w:rsid w:val="003D61DF"/>
    <w:rsid w:val="003D6365"/>
    <w:rsid w:val="003D6553"/>
    <w:rsid w:val="003D6576"/>
    <w:rsid w:val="003D65C4"/>
    <w:rsid w:val="003D6643"/>
    <w:rsid w:val="003D697E"/>
    <w:rsid w:val="003D6B18"/>
    <w:rsid w:val="003D6C8C"/>
    <w:rsid w:val="003D6D2E"/>
    <w:rsid w:val="003D6F2D"/>
    <w:rsid w:val="003D7063"/>
    <w:rsid w:val="003D715D"/>
    <w:rsid w:val="003D7203"/>
    <w:rsid w:val="003D725E"/>
    <w:rsid w:val="003D728E"/>
    <w:rsid w:val="003D7353"/>
    <w:rsid w:val="003D73A0"/>
    <w:rsid w:val="003D7442"/>
    <w:rsid w:val="003D75A1"/>
    <w:rsid w:val="003D7746"/>
    <w:rsid w:val="003D7776"/>
    <w:rsid w:val="003D77B2"/>
    <w:rsid w:val="003D78DA"/>
    <w:rsid w:val="003D7B02"/>
    <w:rsid w:val="003D7CA5"/>
    <w:rsid w:val="003D7F8A"/>
    <w:rsid w:val="003E0029"/>
    <w:rsid w:val="003E00F2"/>
    <w:rsid w:val="003E0150"/>
    <w:rsid w:val="003E030B"/>
    <w:rsid w:val="003E04BA"/>
    <w:rsid w:val="003E04DE"/>
    <w:rsid w:val="003E05EA"/>
    <w:rsid w:val="003E05F1"/>
    <w:rsid w:val="003E0607"/>
    <w:rsid w:val="003E0665"/>
    <w:rsid w:val="003E06FC"/>
    <w:rsid w:val="003E094A"/>
    <w:rsid w:val="003E0986"/>
    <w:rsid w:val="003E0A76"/>
    <w:rsid w:val="003E0D2F"/>
    <w:rsid w:val="003E0DF1"/>
    <w:rsid w:val="003E0F43"/>
    <w:rsid w:val="003E0F85"/>
    <w:rsid w:val="003E1003"/>
    <w:rsid w:val="003E1012"/>
    <w:rsid w:val="003E101E"/>
    <w:rsid w:val="003E116E"/>
    <w:rsid w:val="003E124F"/>
    <w:rsid w:val="003E12F0"/>
    <w:rsid w:val="003E13C8"/>
    <w:rsid w:val="003E14AA"/>
    <w:rsid w:val="003E14AB"/>
    <w:rsid w:val="003E14DE"/>
    <w:rsid w:val="003E14E4"/>
    <w:rsid w:val="003E14E7"/>
    <w:rsid w:val="003E152E"/>
    <w:rsid w:val="003E17CE"/>
    <w:rsid w:val="003E1965"/>
    <w:rsid w:val="003E1DB2"/>
    <w:rsid w:val="003E20A9"/>
    <w:rsid w:val="003E20D0"/>
    <w:rsid w:val="003E213C"/>
    <w:rsid w:val="003E215F"/>
    <w:rsid w:val="003E2202"/>
    <w:rsid w:val="003E242D"/>
    <w:rsid w:val="003E2493"/>
    <w:rsid w:val="003E24C8"/>
    <w:rsid w:val="003E25D5"/>
    <w:rsid w:val="003E2619"/>
    <w:rsid w:val="003E2A49"/>
    <w:rsid w:val="003E2AA0"/>
    <w:rsid w:val="003E2AD1"/>
    <w:rsid w:val="003E2BE1"/>
    <w:rsid w:val="003E2C3C"/>
    <w:rsid w:val="003E2DA2"/>
    <w:rsid w:val="003E2F89"/>
    <w:rsid w:val="003E303C"/>
    <w:rsid w:val="003E307B"/>
    <w:rsid w:val="003E316F"/>
    <w:rsid w:val="003E31A0"/>
    <w:rsid w:val="003E324D"/>
    <w:rsid w:val="003E328E"/>
    <w:rsid w:val="003E32E5"/>
    <w:rsid w:val="003E32E7"/>
    <w:rsid w:val="003E32F0"/>
    <w:rsid w:val="003E346B"/>
    <w:rsid w:val="003E34EE"/>
    <w:rsid w:val="003E36E1"/>
    <w:rsid w:val="003E3732"/>
    <w:rsid w:val="003E3752"/>
    <w:rsid w:val="003E37E0"/>
    <w:rsid w:val="003E3970"/>
    <w:rsid w:val="003E399A"/>
    <w:rsid w:val="003E3A6E"/>
    <w:rsid w:val="003E3BFB"/>
    <w:rsid w:val="003E3DBF"/>
    <w:rsid w:val="003E3FEA"/>
    <w:rsid w:val="003E40A6"/>
    <w:rsid w:val="003E4240"/>
    <w:rsid w:val="003E42AF"/>
    <w:rsid w:val="003E433D"/>
    <w:rsid w:val="003E440B"/>
    <w:rsid w:val="003E469E"/>
    <w:rsid w:val="003E49AC"/>
    <w:rsid w:val="003E49EC"/>
    <w:rsid w:val="003E4A39"/>
    <w:rsid w:val="003E4AC1"/>
    <w:rsid w:val="003E4B83"/>
    <w:rsid w:val="003E4D4D"/>
    <w:rsid w:val="003E4D91"/>
    <w:rsid w:val="003E4E42"/>
    <w:rsid w:val="003E4FFD"/>
    <w:rsid w:val="003E5033"/>
    <w:rsid w:val="003E5070"/>
    <w:rsid w:val="003E50B8"/>
    <w:rsid w:val="003E50C6"/>
    <w:rsid w:val="003E5235"/>
    <w:rsid w:val="003E54D1"/>
    <w:rsid w:val="003E5802"/>
    <w:rsid w:val="003E59A0"/>
    <w:rsid w:val="003E59CF"/>
    <w:rsid w:val="003E5A7E"/>
    <w:rsid w:val="003E5B6A"/>
    <w:rsid w:val="003E5CB3"/>
    <w:rsid w:val="003E5D9F"/>
    <w:rsid w:val="003E5F8B"/>
    <w:rsid w:val="003E60D8"/>
    <w:rsid w:val="003E6201"/>
    <w:rsid w:val="003E6329"/>
    <w:rsid w:val="003E63A6"/>
    <w:rsid w:val="003E6470"/>
    <w:rsid w:val="003E64B7"/>
    <w:rsid w:val="003E663E"/>
    <w:rsid w:val="003E677A"/>
    <w:rsid w:val="003E6A75"/>
    <w:rsid w:val="003E6B54"/>
    <w:rsid w:val="003E6D45"/>
    <w:rsid w:val="003E6FD5"/>
    <w:rsid w:val="003E7054"/>
    <w:rsid w:val="003E7281"/>
    <w:rsid w:val="003E73C9"/>
    <w:rsid w:val="003E73E6"/>
    <w:rsid w:val="003E743B"/>
    <w:rsid w:val="003E7455"/>
    <w:rsid w:val="003E758B"/>
    <w:rsid w:val="003E7789"/>
    <w:rsid w:val="003E78E2"/>
    <w:rsid w:val="003E78F9"/>
    <w:rsid w:val="003E7989"/>
    <w:rsid w:val="003E7B41"/>
    <w:rsid w:val="003E7C18"/>
    <w:rsid w:val="003E7FC9"/>
    <w:rsid w:val="003EA5F3"/>
    <w:rsid w:val="003F021C"/>
    <w:rsid w:val="003F0272"/>
    <w:rsid w:val="003F04EB"/>
    <w:rsid w:val="003F0561"/>
    <w:rsid w:val="003F06B5"/>
    <w:rsid w:val="003F07BD"/>
    <w:rsid w:val="003F07DE"/>
    <w:rsid w:val="003F08B1"/>
    <w:rsid w:val="003F0A74"/>
    <w:rsid w:val="003F0A8B"/>
    <w:rsid w:val="003F0E0A"/>
    <w:rsid w:val="003F0E43"/>
    <w:rsid w:val="003F1031"/>
    <w:rsid w:val="003F1036"/>
    <w:rsid w:val="003F1129"/>
    <w:rsid w:val="003F1160"/>
    <w:rsid w:val="003F1286"/>
    <w:rsid w:val="003F1325"/>
    <w:rsid w:val="003F13B7"/>
    <w:rsid w:val="003F14B3"/>
    <w:rsid w:val="003F1501"/>
    <w:rsid w:val="003F16A0"/>
    <w:rsid w:val="003F16CA"/>
    <w:rsid w:val="003F16F0"/>
    <w:rsid w:val="003F17DE"/>
    <w:rsid w:val="003F1819"/>
    <w:rsid w:val="003F1967"/>
    <w:rsid w:val="003F1ADE"/>
    <w:rsid w:val="003F1C1C"/>
    <w:rsid w:val="003F1CBC"/>
    <w:rsid w:val="003F1D50"/>
    <w:rsid w:val="003F1DE8"/>
    <w:rsid w:val="003F1EDF"/>
    <w:rsid w:val="003F1F5B"/>
    <w:rsid w:val="003F1FF7"/>
    <w:rsid w:val="003F206C"/>
    <w:rsid w:val="003F2098"/>
    <w:rsid w:val="003F20BC"/>
    <w:rsid w:val="003F2149"/>
    <w:rsid w:val="003F217D"/>
    <w:rsid w:val="003F22B2"/>
    <w:rsid w:val="003F272E"/>
    <w:rsid w:val="003F276F"/>
    <w:rsid w:val="003F2966"/>
    <w:rsid w:val="003F29C3"/>
    <w:rsid w:val="003F2B21"/>
    <w:rsid w:val="003F2BF2"/>
    <w:rsid w:val="003F2CDB"/>
    <w:rsid w:val="003F2CF6"/>
    <w:rsid w:val="003F2DEE"/>
    <w:rsid w:val="003F2FC9"/>
    <w:rsid w:val="003F30AF"/>
    <w:rsid w:val="003F3197"/>
    <w:rsid w:val="003F328D"/>
    <w:rsid w:val="003F33C6"/>
    <w:rsid w:val="003F3611"/>
    <w:rsid w:val="003F370B"/>
    <w:rsid w:val="003F3805"/>
    <w:rsid w:val="003F3878"/>
    <w:rsid w:val="003F3A0D"/>
    <w:rsid w:val="003F3B20"/>
    <w:rsid w:val="003F3C8E"/>
    <w:rsid w:val="003F3CB1"/>
    <w:rsid w:val="003F3D24"/>
    <w:rsid w:val="003F3D2C"/>
    <w:rsid w:val="003F3D45"/>
    <w:rsid w:val="003F3EFC"/>
    <w:rsid w:val="003F3FDB"/>
    <w:rsid w:val="003F428E"/>
    <w:rsid w:val="003F4293"/>
    <w:rsid w:val="003F432F"/>
    <w:rsid w:val="003F4467"/>
    <w:rsid w:val="003F450C"/>
    <w:rsid w:val="003F4552"/>
    <w:rsid w:val="003F463E"/>
    <w:rsid w:val="003F4659"/>
    <w:rsid w:val="003F46F9"/>
    <w:rsid w:val="003F4702"/>
    <w:rsid w:val="003F47B5"/>
    <w:rsid w:val="003F48B1"/>
    <w:rsid w:val="003F48C4"/>
    <w:rsid w:val="003F49BC"/>
    <w:rsid w:val="003F49C5"/>
    <w:rsid w:val="003F4B62"/>
    <w:rsid w:val="003F4C61"/>
    <w:rsid w:val="003F4D22"/>
    <w:rsid w:val="003F4D2B"/>
    <w:rsid w:val="003F4D34"/>
    <w:rsid w:val="003F4E5E"/>
    <w:rsid w:val="003F4F73"/>
    <w:rsid w:val="003F507D"/>
    <w:rsid w:val="003F5158"/>
    <w:rsid w:val="003F518D"/>
    <w:rsid w:val="003F5221"/>
    <w:rsid w:val="003F5285"/>
    <w:rsid w:val="003F53D2"/>
    <w:rsid w:val="003F53D8"/>
    <w:rsid w:val="003F5490"/>
    <w:rsid w:val="003F5572"/>
    <w:rsid w:val="003F5658"/>
    <w:rsid w:val="003F57CA"/>
    <w:rsid w:val="003F57F3"/>
    <w:rsid w:val="003F5B9C"/>
    <w:rsid w:val="003F5BB1"/>
    <w:rsid w:val="003F5C5B"/>
    <w:rsid w:val="003F5C64"/>
    <w:rsid w:val="003F5D9B"/>
    <w:rsid w:val="003F5E03"/>
    <w:rsid w:val="003F5ECF"/>
    <w:rsid w:val="003F5EE1"/>
    <w:rsid w:val="003F5FB7"/>
    <w:rsid w:val="003F600B"/>
    <w:rsid w:val="003F6147"/>
    <w:rsid w:val="003F61B1"/>
    <w:rsid w:val="003F62CC"/>
    <w:rsid w:val="003F62D3"/>
    <w:rsid w:val="003F6315"/>
    <w:rsid w:val="003F6375"/>
    <w:rsid w:val="003F644F"/>
    <w:rsid w:val="003F64AA"/>
    <w:rsid w:val="003F6601"/>
    <w:rsid w:val="003F66EE"/>
    <w:rsid w:val="003F6747"/>
    <w:rsid w:val="003F67A1"/>
    <w:rsid w:val="003F687D"/>
    <w:rsid w:val="003F69AC"/>
    <w:rsid w:val="003F6A70"/>
    <w:rsid w:val="003F6A7E"/>
    <w:rsid w:val="003F6B38"/>
    <w:rsid w:val="003F6C28"/>
    <w:rsid w:val="003F6C66"/>
    <w:rsid w:val="003F6CB4"/>
    <w:rsid w:val="003F6CF6"/>
    <w:rsid w:val="003F6D85"/>
    <w:rsid w:val="003F6EB2"/>
    <w:rsid w:val="003F6EC0"/>
    <w:rsid w:val="003F7063"/>
    <w:rsid w:val="003F71ED"/>
    <w:rsid w:val="003F731F"/>
    <w:rsid w:val="003F7445"/>
    <w:rsid w:val="003F74D5"/>
    <w:rsid w:val="003F74EA"/>
    <w:rsid w:val="003F75AA"/>
    <w:rsid w:val="003F76A5"/>
    <w:rsid w:val="003F7994"/>
    <w:rsid w:val="003F7A2F"/>
    <w:rsid w:val="003F7A90"/>
    <w:rsid w:val="003F7B47"/>
    <w:rsid w:val="003F7B5E"/>
    <w:rsid w:val="003F7C4E"/>
    <w:rsid w:val="003F7CF4"/>
    <w:rsid w:val="003F7DA1"/>
    <w:rsid w:val="003F7F6E"/>
    <w:rsid w:val="00400079"/>
    <w:rsid w:val="0040008F"/>
    <w:rsid w:val="004000E5"/>
    <w:rsid w:val="0040018F"/>
    <w:rsid w:val="004001B7"/>
    <w:rsid w:val="004002A5"/>
    <w:rsid w:val="004006E5"/>
    <w:rsid w:val="004006F5"/>
    <w:rsid w:val="00400883"/>
    <w:rsid w:val="00400A0B"/>
    <w:rsid w:val="00400A0D"/>
    <w:rsid w:val="00400B89"/>
    <w:rsid w:val="00400C43"/>
    <w:rsid w:val="00400CA1"/>
    <w:rsid w:val="00400DEF"/>
    <w:rsid w:val="00400EC0"/>
    <w:rsid w:val="00401043"/>
    <w:rsid w:val="00401182"/>
    <w:rsid w:val="004011CF"/>
    <w:rsid w:val="00401308"/>
    <w:rsid w:val="0040139A"/>
    <w:rsid w:val="0040147E"/>
    <w:rsid w:val="004014A1"/>
    <w:rsid w:val="00401572"/>
    <w:rsid w:val="004015BA"/>
    <w:rsid w:val="004016D7"/>
    <w:rsid w:val="0040181D"/>
    <w:rsid w:val="00401949"/>
    <w:rsid w:val="00401C51"/>
    <w:rsid w:val="00401CE8"/>
    <w:rsid w:val="00401D97"/>
    <w:rsid w:val="00401DAE"/>
    <w:rsid w:val="00401F16"/>
    <w:rsid w:val="00402018"/>
    <w:rsid w:val="00402045"/>
    <w:rsid w:val="004020B3"/>
    <w:rsid w:val="004020F4"/>
    <w:rsid w:val="0040215C"/>
    <w:rsid w:val="004021A7"/>
    <w:rsid w:val="0040226A"/>
    <w:rsid w:val="004022AB"/>
    <w:rsid w:val="00402336"/>
    <w:rsid w:val="004023FC"/>
    <w:rsid w:val="004024EB"/>
    <w:rsid w:val="004025ED"/>
    <w:rsid w:val="00402840"/>
    <w:rsid w:val="00402866"/>
    <w:rsid w:val="0040291D"/>
    <w:rsid w:val="00402A84"/>
    <w:rsid w:val="00402AA4"/>
    <w:rsid w:val="00402B98"/>
    <w:rsid w:val="00402C86"/>
    <w:rsid w:val="00402D98"/>
    <w:rsid w:val="00402E1E"/>
    <w:rsid w:val="00402E46"/>
    <w:rsid w:val="00402EEE"/>
    <w:rsid w:val="00402F96"/>
    <w:rsid w:val="00403291"/>
    <w:rsid w:val="004033CF"/>
    <w:rsid w:val="0040363D"/>
    <w:rsid w:val="0040369F"/>
    <w:rsid w:val="004037A4"/>
    <w:rsid w:val="004037C2"/>
    <w:rsid w:val="00403926"/>
    <w:rsid w:val="00403A21"/>
    <w:rsid w:val="00403B09"/>
    <w:rsid w:val="00403BB8"/>
    <w:rsid w:val="00403C1D"/>
    <w:rsid w:val="00403D66"/>
    <w:rsid w:val="00403DD7"/>
    <w:rsid w:val="00403EDF"/>
    <w:rsid w:val="00403FD9"/>
    <w:rsid w:val="004041F7"/>
    <w:rsid w:val="004042BA"/>
    <w:rsid w:val="004042CC"/>
    <w:rsid w:val="0040431D"/>
    <w:rsid w:val="00404334"/>
    <w:rsid w:val="004044AE"/>
    <w:rsid w:val="004044FD"/>
    <w:rsid w:val="00404532"/>
    <w:rsid w:val="004045A7"/>
    <w:rsid w:val="004045E7"/>
    <w:rsid w:val="004045E8"/>
    <w:rsid w:val="0040473D"/>
    <w:rsid w:val="0040489B"/>
    <w:rsid w:val="00404991"/>
    <w:rsid w:val="004049E7"/>
    <w:rsid w:val="00404A29"/>
    <w:rsid w:val="00404B20"/>
    <w:rsid w:val="00405066"/>
    <w:rsid w:val="004050D5"/>
    <w:rsid w:val="004050E1"/>
    <w:rsid w:val="00405203"/>
    <w:rsid w:val="00405233"/>
    <w:rsid w:val="004052DD"/>
    <w:rsid w:val="004053F5"/>
    <w:rsid w:val="0040543B"/>
    <w:rsid w:val="00405471"/>
    <w:rsid w:val="00405477"/>
    <w:rsid w:val="00405524"/>
    <w:rsid w:val="00405537"/>
    <w:rsid w:val="00405670"/>
    <w:rsid w:val="004056D6"/>
    <w:rsid w:val="004057FB"/>
    <w:rsid w:val="0040584B"/>
    <w:rsid w:val="00405905"/>
    <w:rsid w:val="00405A78"/>
    <w:rsid w:val="00405BDA"/>
    <w:rsid w:val="00405C1F"/>
    <w:rsid w:val="00405C84"/>
    <w:rsid w:val="00405D48"/>
    <w:rsid w:val="00405E17"/>
    <w:rsid w:val="00405F7B"/>
    <w:rsid w:val="00406004"/>
    <w:rsid w:val="00406137"/>
    <w:rsid w:val="004061EE"/>
    <w:rsid w:val="00406397"/>
    <w:rsid w:val="004065D5"/>
    <w:rsid w:val="004065DB"/>
    <w:rsid w:val="0040663A"/>
    <w:rsid w:val="00406678"/>
    <w:rsid w:val="00406726"/>
    <w:rsid w:val="004068CC"/>
    <w:rsid w:val="00406AC5"/>
    <w:rsid w:val="00406B0D"/>
    <w:rsid w:val="00406BDB"/>
    <w:rsid w:val="00406C6C"/>
    <w:rsid w:val="00406D09"/>
    <w:rsid w:val="00406E6B"/>
    <w:rsid w:val="00406F13"/>
    <w:rsid w:val="00406FB7"/>
    <w:rsid w:val="00406FBA"/>
    <w:rsid w:val="00406FF3"/>
    <w:rsid w:val="0040709E"/>
    <w:rsid w:val="004071FE"/>
    <w:rsid w:val="00407315"/>
    <w:rsid w:val="00407457"/>
    <w:rsid w:val="00407716"/>
    <w:rsid w:val="00407851"/>
    <w:rsid w:val="00407B9A"/>
    <w:rsid w:val="00407BC1"/>
    <w:rsid w:val="00407C67"/>
    <w:rsid w:val="00407C8D"/>
    <w:rsid w:val="00407E4F"/>
    <w:rsid w:val="00407EC8"/>
    <w:rsid w:val="00407F34"/>
    <w:rsid w:val="00407F35"/>
    <w:rsid w:val="00407F6E"/>
    <w:rsid w:val="00410049"/>
    <w:rsid w:val="004100B0"/>
    <w:rsid w:val="00410183"/>
    <w:rsid w:val="0041058C"/>
    <w:rsid w:val="004105A6"/>
    <w:rsid w:val="004105AA"/>
    <w:rsid w:val="004105C6"/>
    <w:rsid w:val="00410756"/>
    <w:rsid w:val="004109B9"/>
    <w:rsid w:val="00410C0A"/>
    <w:rsid w:val="00410C86"/>
    <w:rsid w:val="00410DEB"/>
    <w:rsid w:val="00410E77"/>
    <w:rsid w:val="00410FD9"/>
    <w:rsid w:val="0041112D"/>
    <w:rsid w:val="00411137"/>
    <w:rsid w:val="00411220"/>
    <w:rsid w:val="0041123D"/>
    <w:rsid w:val="00411266"/>
    <w:rsid w:val="00411334"/>
    <w:rsid w:val="00411547"/>
    <w:rsid w:val="00411645"/>
    <w:rsid w:val="00411804"/>
    <w:rsid w:val="00411827"/>
    <w:rsid w:val="004118A5"/>
    <w:rsid w:val="0041190A"/>
    <w:rsid w:val="00411967"/>
    <w:rsid w:val="0041196D"/>
    <w:rsid w:val="004119E1"/>
    <w:rsid w:val="00411A3F"/>
    <w:rsid w:val="00411ABE"/>
    <w:rsid w:val="00411AEE"/>
    <w:rsid w:val="00411B48"/>
    <w:rsid w:val="00411BF0"/>
    <w:rsid w:val="00411C24"/>
    <w:rsid w:val="00411C5E"/>
    <w:rsid w:val="00411C94"/>
    <w:rsid w:val="00411CAE"/>
    <w:rsid w:val="00411ED4"/>
    <w:rsid w:val="0041237B"/>
    <w:rsid w:val="004123CE"/>
    <w:rsid w:val="00412461"/>
    <w:rsid w:val="0041250E"/>
    <w:rsid w:val="0041257F"/>
    <w:rsid w:val="004126A7"/>
    <w:rsid w:val="004126B9"/>
    <w:rsid w:val="00412AED"/>
    <w:rsid w:val="00412B1A"/>
    <w:rsid w:val="00412B48"/>
    <w:rsid w:val="00412B74"/>
    <w:rsid w:val="00412B77"/>
    <w:rsid w:val="00412BF1"/>
    <w:rsid w:val="00413172"/>
    <w:rsid w:val="0041325B"/>
    <w:rsid w:val="00413293"/>
    <w:rsid w:val="00413436"/>
    <w:rsid w:val="004134A5"/>
    <w:rsid w:val="00413517"/>
    <w:rsid w:val="00413541"/>
    <w:rsid w:val="004137A8"/>
    <w:rsid w:val="0041380D"/>
    <w:rsid w:val="00413810"/>
    <w:rsid w:val="0041381F"/>
    <w:rsid w:val="0041388E"/>
    <w:rsid w:val="004139BA"/>
    <w:rsid w:val="00413A70"/>
    <w:rsid w:val="00413AB5"/>
    <w:rsid w:val="00413B07"/>
    <w:rsid w:val="00413CC2"/>
    <w:rsid w:val="00413D87"/>
    <w:rsid w:val="00413EBB"/>
    <w:rsid w:val="00413F5A"/>
    <w:rsid w:val="00414040"/>
    <w:rsid w:val="00414053"/>
    <w:rsid w:val="004140E0"/>
    <w:rsid w:val="00414105"/>
    <w:rsid w:val="0041410D"/>
    <w:rsid w:val="00414129"/>
    <w:rsid w:val="00414137"/>
    <w:rsid w:val="00414198"/>
    <w:rsid w:val="00414199"/>
    <w:rsid w:val="0041439A"/>
    <w:rsid w:val="004143AD"/>
    <w:rsid w:val="004143B5"/>
    <w:rsid w:val="0041450D"/>
    <w:rsid w:val="0041457C"/>
    <w:rsid w:val="00414711"/>
    <w:rsid w:val="00414823"/>
    <w:rsid w:val="00414A0A"/>
    <w:rsid w:val="00414A59"/>
    <w:rsid w:val="00414AB8"/>
    <w:rsid w:val="00414B1B"/>
    <w:rsid w:val="00414BA8"/>
    <w:rsid w:val="00414D44"/>
    <w:rsid w:val="00414D99"/>
    <w:rsid w:val="00414E68"/>
    <w:rsid w:val="00414EE4"/>
    <w:rsid w:val="00414F0F"/>
    <w:rsid w:val="00414F1D"/>
    <w:rsid w:val="00414F30"/>
    <w:rsid w:val="00414F36"/>
    <w:rsid w:val="00414FED"/>
    <w:rsid w:val="00415235"/>
    <w:rsid w:val="004152FA"/>
    <w:rsid w:val="004155BD"/>
    <w:rsid w:val="00415643"/>
    <w:rsid w:val="0041566E"/>
    <w:rsid w:val="00415692"/>
    <w:rsid w:val="004156D7"/>
    <w:rsid w:val="004156FD"/>
    <w:rsid w:val="00415808"/>
    <w:rsid w:val="004158FC"/>
    <w:rsid w:val="00415A77"/>
    <w:rsid w:val="00415BAA"/>
    <w:rsid w:val="00415BC1"/>
    <w:rsid w:val="00415C74"/>
    <w:rsid w:val="00415ED8"/>
    <w:rsid w:val="00415F44"/>
    <w:rsid w:val="0041608C"/>
    <w:rsid w:val="004160E5"/>
    <w:rsid w:val="00416125"/>
    <w:rsid w:val="00416136"/>
    <w:rsid w:val="00416313"/>
    <w:rsid w:val="004163B5"/>
    <w:rsid w:val="00416445"/>
    <w:rsid w:val="0041661C"/>
    <w:rsid w:val="0041663D"/>
    <w:rsid w:val="004166E7"/>
    <w:rsid w:val="00416713"/>
    <w:rsid w:val="00416A4A"/>
    <w:rsid w:val="00416C87"/>
    <w:rsid w:val="00416D4F"/>
    <w:rsid w:val="00416EA0"/>
    <w:rsid w:val="00416F33"/>
    <w:rsid w:val="0041707A"/>
    <w:rsid w:val="004170BF"/>
    <w:rsid w:val="0041716E"/>
    <w:rsid w:val="004171A3"/>
    <w:rsid w:val="004171DF"/>
    <w:rsid w:val="0041726F"/>
    <w:rsid w:val="00417417"/>
    <w:rsid w:val="00417545"/>
    <w:rsid w:val="0041775E"/>
    <w:rsid w:val="0041794F"/>
    <w:rsid w:val="004179D7"/>
    <w:rsid w:val="00417B20"/>
    <w:rsid w:val="00417B24"/>
    <w:rsid w:val="00417BE5"/>
    <w:rsid w:val="00417C1C"/>
    <w:rsid w:val="00417D15"/>
    <w:rsid w:val="00417DF3"/>
    <w:rsid w:val="00417F36"/>
    <w:rsid w:val="00420008"/>
    <w:rsid w:val="004201B6"/>
    <w:rsid w:val="00420303"/>
    <w:rsid w:val="00420358"/>
    <w:rsid w:val="004205CD"/>
    <w:rsid w:val="004205D4"/>
    <w:rsid w:val="00420619"/>
    <w:rsid w:val="00420749"/>
    <w:rsid w:val="00420883"/>
    <w:rsid w:val="0042099D"/>
    <w:rsid w:val="004209C6"/>
    <w:rsid w:val="004209F4"/>
    <w:rsid w:val="00420A2B"/>
    <w:rsid w:val="00420C47"/>
    <w:rsid w:val="00420CD1"/>
    <w:rsid w:val="00420D61"/>
    <w:rsid w:val="00420EA8"/>
    <w:rsid w:val="00420EFA"/>
    <w:rsid w:val="00420F6D"/>
    <w:rsid w:val="0042108E"/>
    <w:rsid w:val="004210CB"/>
    <w:rsid w:val="00421216"/>
    <w:rsid w:val="004212F5"/>
    <w:rsid w:val="0042131D"/>
    <w:rsid w:val="00421477"/>
    <w:rsid w:val="00421534"/>
    <w:rsid w:val="00421612"/>
    <w:rsid w:val="0042162C"/>
    <w:rsid w:val="004216EF"/>
    <w:rsid w:val="00421727"/>
    <w:rsid w:val="004217C5"/>
    <w:rsid w:val="0042181D"/>
    <w:rsid w:val="00421899"/>
    <w:rsid w:val="00421B53"/>
    <w:rsid w:val="00421C83"/>
    <w:rsid w:val="00421CA0"/>
    <w:rsid w:val="00421D90"/>
    <w:rsid w:val="00421DE1"/>
    <w:rsid w:val="00422305"/>
    <w:rsid w:val="00422365"/>
    <w:rsid w:val="004224C3"/>
    <w:rsid w:val="00422631"/>
    <w:rsid w:val="00422712"/>
    <w:rsid w:val="0042272D"/>
    <w:rsid w:val="00422739"/>
    <w:rsid w:val="0042294B"/>
    <w:rsid w:val="00422B51"/>
    <w:rsid w:val="00422B7E"/>
    <w:rsid w:val="00422B92"/>
    <w:rsid w:val="00422BA6"/>
    <w:rsid w:val="00422CB4"/>
    <w:rsid w:val="00422CDF"/>
    <w:rsid w:val="00422E32"/>
    <w:rsid w:val="0042305F"/>
    <w:rsid w:val="004230EC"/>
    <w:rsid w:val="00423230"/>
    <w:rsid w:val="004232B1"/>
    <w:rsid w:val="004233D9"/>
    <w:rsid w:val="00423403"/>
    <w:rsid w:val="0042340D"/>
    <w:rsid w:val="004234E3"/>
    <w:rsid w:val="004235D1"/>
    <w:rsid w:val="00423603"/>
    <w:rsid w:val="00423637"/>
    <w:rsid w:val="004237C2"/>
    <w:rsid w:val="00423873"/>
    <w:rsid w:val="00423890"/>
    <w:rsid w:val="00423917"/>
    <w:rsid w:val="0042398A"/>
    <w:rsid w:val="00423AF6"/>
    <w:rsid w:val="00423B09"/>
    <w:rsid w:val="00423B51"/>
    <w:rsid w:val="00423C8A"/>
    <w:rsid w:val="00424016"/>
    <w:rsid w:val="00424068"/>
    <w:rsid w:val="004240A1"/>
    <w:rsid w:val="0042426B"/>
    <w:rsid w:val="004242F3"/>
    <w:rsid w:val="004243AE"/>
    <w:rsid w:val="004244CC"/>
    <w:rsid w:val="004244CE"/>
    <w:rsid w:val="004245C2"/>
    <w:rsid w:val="004245DA"/>
    <w:rsid w:val="00424885"/>
    <w:rsid w:val="0042496D"/>
    <w:rsid w:val="0042497D"/>
    <w:rsid w:val="00424AB5"/>
    <w:rsid w:val="00424AF0"/>
    <w:rsid w:val="00424C7D"/>
    <w:rsid w:val="00424CCA"/>
    <w:rsid w:val="00424D21"/>
    <w:rsid w:val="00424D8D"/>
    <w:rsid w:val="00424DE3"/>
    <w:rsid w:val="00424F75"/>
    <w:rsid w:val="00425009"/>
    <w:rsid w:val="004250AE"/>
    <w:rsid w:val="0042519F"/>
    <w:rsid w:val="0042521C"/>
    <w:rsid w:val="004252BA"/>
    <w:rsid w:val="004252C4"/>
    <w:rsid w:val="004252F4"/>
    <w:rsid w:val="004255F4"/>
    <w:rsid w:val="00425655"/>
    <w:rsid w:val="0042565A"/>
    <w:rsid w:val="004258CD"/>
    <w:rsid w:val="00425955"/>
    <w:rsid w:val="0042599F"/>
    <w:rsid w:val="00425A94"/>
    <w:rsid w:val="00425A95"/>
    <w:rsid w:val="00425B31"/>
    <w:rsid w:val="00425B72"/>
    <w:rsid w:val="00425D63"/>
    <w:rsid w:val="00425D80"/>
    <w:rsid w:val="00425DAB"/>
    <w:rsid w:val="00425F23"/>
    <w:rsid w:val="00425F7F"/>
    <w:rsid w:val="00425FE7"/>
    <w:rsid w:val="004260C5"/>
    <w:rsid w:val="004260DD"/>
    <w:rsid w:val="0042639A"/>
    <w:rsid w:val="00426425"/>
    <w:rsid w:val="004264B0"/>
    <w:rsid w:val="00426592"/>
    <w:rsid w:val="00426633"/>
    <w:rsid w:val="00426720"/>
    <w:rsid w:val="004267A5"/>
    <w:rsid w:val="004267F4"/>
    <w:rsid w:val="00426922"/>
    <w:rsid w:val="004269E4"/>
    <w:rsid w:val="00426D29"/>
    <w:rsid w:val="00426E05"/>
    <w:rsid w:val="00426E72"/>
    <w:rsid w:val="00426F19"/>
    <w:rsid w:val="00426FF6"/>
    <w:rsid w:val="00426FFA"/>
    <w:rsid w:val="00427022"/>
    <w:rsid w:val="004270F9"/>
    <w:rsid w:val="00427107"/>
    <w:rsid w:val="004271B7"/>
    <w:rsid w:val="00427253"/>
    <w:rsid w:val="00427270"/>
    <w:rsid w:val="00427299"/>
    <w:rsid w:val="0042734B"/>
    <w:rsid w:val="0042748D"/>
    <w:rsid w:val="004274D9"/>
    <w:rsid w:val="00427515"/>
    <w:rsid w:val="00427591"/>
    <w:rsid w:val="004277C4"/>
    <w:rsid w:val="00427819"/>
    <w:rsid w:val="0042786D"/>
    <w:rsid w:val="004278DD"/>
    <w:rsid w:val="0042792C"/>
    <w:rsid w:val="00427950"/>
    <w:rsid w:val="004279AF"/>
    <w:rsid w:val="00427B00"/>
    <w:rsid w:val="00427B06"/>
    <w:rsid w:val="00427CBF"/>
    <w:rsid w:val="00427DED"/>
    <w:rsid w:val="004301CB"/>
    <w:rsid w:val="004301DF"/>
    <w:rsid w:val="004304E0"/>
    <w:rsid w:val="00430704"/>
    <w:rsid w:val="004307DB"/>
    <w:rsid w:val="0043085C"/>
    <w:rsid w:val="0043091C"/>
    <w:rsid w:val="00430A7D"/>
    <w:rsid w:val="00430AA8"/>
    <w:rsid w:val="00430AFF"/>
    <w:rsid w:val="00430B2B"/>
    <w:rsid w:val="00430C54"/>
    <w:rsid w:val="00430D94"/>
    <w:rsid w:val="00430DA4"/>
    <w:rsid w:val="00430DB5"/>
    <w:rsid w:val="00430E96"/>
    <w:rsid w:val="00430F69"/>
    <w:rsid w:val="00431039"/>
    <w:rsid w:val="0043106A"/>
    <w:rsid w:val="004310C6"/>
    <w:rsid w:val="00431226"/>
    <w:rsid w:val="004312A1"/>
    <w:rsid w:val="00431324"/>
    <w:rsid w:val="00431371"/>
    <w:rsid w:val="004313AC"/>
    <w:rsid w:val="00431410"/>
    <w:rsid w:val="004315B4"/>
    <w:rsid w:val="00431739"/>
    <w:rsid w:val="00431773"/>
    <w:rsid w:val="004317AA"/>
    <w:rsid w:val="004317CC"/>
    <w:rsid w:val="004317F6"/>
    <w:rsid w:val="00431945"/>
    <w:rsid w:val="00431A7F"/>
    <w:rsid w:val="00431A82"/>
    <w:rsid w:val="00431AE8"/>
    <w:rsid w:val="00431D24"/>
    <w:rsid w:val="00431EE0"/>
    <w:rsid w:val="00431FD0"/>
    <w:rsid w:val="00432105"/>
    <w:rsid w:val="00432168"/>
    <w:rsid w:val="00432199"/>
    <w:rsid w:val="00432229"/>
    <w:rsid w:val="004322AB"/>
    <w:rsid w:val="004323A1"/>
    <w:rsid w:val="0043240C"/>
    <w:rsid w:val="0043241B"/>
    <w:rsid w:val="00432443"/>
    <w:rsid w:val="004325FE"/>
    <w:rsid w:val="004326D9"/>
    <w:rsid w:val="00432878"/>
    <w:rsid w:val="00432A86"/>
    <w:rsid w:val="00432C14"/>
    <w:rsid w:val="00432D69"/>
    <w:rsid w:val="00432DA5"/>
    <w:rsid w:val="00432DED"/>
    <w:rsid w:val="00432F17"/>
    <w:rsid w:val="00432FB6"/>
    <w:rsid w:val="004333BE"/>
    <w:rsid w:val="004335B6"/>
    <w:rsid w:val="00433724"/>
    <w:rsid w:val="0043378F"/>
    <w:rsid w:val="00433806"/>
    <w:rsid w:val="00433894"/>
    <w:rsid w:val="004338E4"/>
    <w:rsid w:val="00433924"/>
    <w:rsid w:val="00433B80"/>
    <w:rsid w:val="00433B8C"/>
    <w:rsid w:val="00433BA4"/>
    <w:rsid w:val="00433C46"/>
    <w:rsid w:val="00433CA2"/>
    <w:rsid w:val="00433E96"/>
    <w:rsid w:val="00433EF4"/>
    <w:rsid w:val="00433F25"/>
    <w:rsid w:val="00434024"/>
    <w:rsid w:val="0043402E"/>
    <w:rsid w:val="004340E6"/>
    <w:rsid w:val="0043410C"/>
    <w:rsid w:val="004342FC"/>
    <w:rsid w:val="004345CD"/>
    <w:rsid w:val="00434606"/>
    <w:rsid w:val="00434680"/>
    <w:rsid w:val="00434A02"/>
    <w:rsid w:val="00434B32"/>
    <w:rsid w:val="00434BBA"/>
    <w:rsid w:val="00434BF3"/>
    <w:rsid w:val="00434C09"/>
    <w:rsid w:val="00434C28"/>
    <w:rsid w:val="00434EE4"/>
    <w:rsid w:val="00434FCD"/>
    <w:rsid w:val="00434FD2"/>
    <w:rsid w:val="00435018"/>
    <w:rsid w:val="0043504F"/>
    <w:rsid w:val="0043505C"/>
    <w:rsid w:val="00435080"/>
    <w:rsid w:val="004350FB"/>
    <w:rsid w:val="004351DC"/>
    <w:rsid w:val="0043529C"/>
    <w:rsid w:val="004352A3"/>
    <w:rsid w:val="004353D2"/>
    <w:rsid w:val="004354DC"/>
    <w:rsid w:val="004355D6"/>
    <w:rsid w:val="0043565C"/>
    <w:rsid w:val="00435740"/>
    <w:rsid w:val="004357EB"/>
    <w:rsid w:val="004359DF"/>
    <w:rsid w:val="00435A99"/>
    <w:rsid w:val="00435B79"/>
    <w:rsid w:val="00435C6A"/>
    <w:rsid w:val="00435CD1"/>
    <w:rsid w:val="00435CD4"/>
    <w:rsid w:val="00435EE0"/>
    <w:rsid w:val="00435EFD"/>
    <w:rsid w:val="0043614B"/>
    <w:rsid w:val="004362BE"/>
    <w:rsid w:val="00436366"/>
    <w:rsid w:val="00436380"/>
    <w:rsid w:val="00436575"/>
    <w:rsid w:val="004365D9"/>
    <w:rsid w:val="004368FE"/>
    <w:rsid w:val="00436972"/>
    <w:rsid w:val="00436A3C"/>
    <w:rsid w:val="00436AD0"/>
    <w:rsid w:val="00436BC6"/>
    <w:rsid w:val="00436C60"/>
    <w:rsid w:val="00436D16"/>
    <w:rsid w:val="00436D46"/>
    <w:rsid w:val="00436D91"/>
    <w:rsid w:val="00436DF4"/>
    <w:rsid w:val="00436E7D"/>
    <w:rsid w:val="00436F14"/>
    <w:rsid w:val="00436F54"/>
    <w:rsid w:val="00436F98"/>
    <w:rsid w:val="00436FFD"/>
    <w:rsid w:val="004373D4"/>
    <w:rsid w:val="00437750"/>
    <w:rsid w:val="004377ED"/>
    <w:rsid w:val="00437875"/>
    <w:rsid w:val="004379A5"/>
    <w:rsid w:val="00437A01"/>
    <w:rsid w:val="00437A37"/>
    <w:rsid w:val="00437AC8"/>
    <w:rsid w:val="00437B04"/>
    <w:rsid w:val="00437B5D"/>
    <w:rsid w:val="00437B7C"/>
    <w:rsid w:val="00437BBD"/>
    <w:rsid w:val="00437C33"/>
    <w:rsid w:val="00437C5A"/>
    <w:rsid w:val="00437CEE"/>
    <w:rsid w:val="00437D31"/>
    <w:rsid w:val="00437D3C"/>
    <w:rsid w:val="00437DF7"/>
    <w:rsid w:val="00437F60"/>
    <w:rsid w:val="00440068"/>
    <w:rsid w:val="00440087"/>
    <w:rsid w:val="004400B8"/>
    <w:rsid w:val="00440155"/>
    <w:rsid w:val="00440212"/>
    <w:rsid w:val="00440219"/>
    <w:rsid w:val="004402E8"/>
    <w:rsid w:val="0044036D"/>
    <w:rsid w:val="004403C2"/>
    <w:rsid w:val="00440401"/>
    <w:rsid w:val="0044057F"/>
    <w:rsid w:val="004405DA"/>
    <w:rsid w:val="0044062F"/>
    <w:rsid w:val="0044065F"/>
    <w:rsid w:val="00440667"/>
    <w:rsid w:val="00440682"/>
    <w:rsid w:val="004407EA"/>
    <w:rsid w:val="00440811"/>
    <w:rsid w:val="004408FA"/>
    <w:rsid w:val="00440925"/>
    <w:rsid w:val="00440B75"/>
    <w:rsid w:val="00440BEB"/>
    <w:rsid w:val="00440C87"/>
    <w:rsid w:val="00440DA1"/>
    <w:rsid w:val="00440F03"/>
    <w:rsid w:val="00441404"/>
    <w:rsid w:val="00441627"/>
    <w:rsid w:val="0044169F"/>
    <w:rsid w:val="004416CF"/>
    <w:rsid w:val="00441742"/>
    <w:rsid w:val="00441759"/>
    <w:rsid w:val="0044180B"/>
    <w:rsid w:val="00441821"/>
    <w:rsid w:val="0044188C"/>
    <w:rsid w:val="00441A43"/>
    <w:rsid w:val="00441A94"/>
    <w:rsid w:val="00441BD5"/>
    <w:rsid w:val="00441BFD"/>
    <w:rsid w:val="00441CEB"/>
    <w:rsid w:val="00441F12"/>
    <w:rsid w:val="00441F87"/>
    <w:rsid w:val="00442079"/>
    <w:rsid w:val="004421FD"/>
    <w:rsid w:val="00442220"/>
    <w:rsid w:val="004424D4"/>
    <w:rsid w:val="00442552"/>
    <w:rsid w:val="00442608"/>
    <w:rsid w:val="0044262A"/>
    <w:rsid w:val="004427FB"/>
    <w:rsid w:val="00442976"/>
    <w:rsid w:val="00442990"/>
    <w:rsid w:val="00442A0C"/>
    <w:rsid w:val="00442AE1"/>
    <w:rsid w:val="00442B3C"/>
    <w:rsid w:val="00442C33"/>
    <w:rsid w:val="00442D01"/>
    <w:rsid w:val="00442E0C"/>
    <w:rsid w:val="00442E64"/>
    <w:rsid w:val="004430A3"/>
    <w:rsid w:val="004433D2"/>
    <w:rsid w:val="004433D8"/>
    <w:rsid w:val="0044341F"/>
    <w:rsid w:val="004434BC"/>
    <w:rsid w:val="00443528"/>
    <w:rsid w:val="0044354E"/>
    <w:rsid w:val="00443710"/>
    <w:rsid w:val="00443835"/>
    <w:rsid w:val="00443A94"/>
    <w:rsid w:val="00443BB6"/>
    <w:rsid w:val="00443C43"/>
    <w:rsid w:val="00443C47"/>
    <w:rsid w:val="00443E94"/>
    <w:rsid w:val="00443FD3"/>
    <w:rsid w:val="00444052"/>
    <w:rsid w:val="004440AB"/>
    <w:rsid w:val="004440E5"/>
    <w:rsid w:val="00444341"/>
    <w:rsid w:val="0044443F"/>
    <w:rsid w:val="00444493"/>
    <w:rsid w:val="004444DB"/>
    <w:rsid w:val="00444779"/>
    <w:rsid w:val="004447A6"/>
    <w:rsid w:val="004448DA"/>
    <w:rsid w:val="00444AA8"/>
    <w:rsid w:val="00444B27"/>
    <w:rsid w:val="00444C38"/>
    <w:rsid w:val="00444E02"/>
    <w:rsid w:val="00444E99"/>
    <w:rsid w:val="00444FB2"/>
    <w:rsid w:val="00445062"/>
    <w:rsid w:val="00445123"/>
    <w:rsid w:val="004451B5"/>
    <w:rsid w:val="004452B2"/>
    <w:rsid w:val="004452BC"/>
    <w:rsid w:val="00445314"/>
    <w:rsid w:val="004453DE"/>
    <w:rsid w:val="0044541D"/>
    <w:rsid w:val="00445513"/>
    <w:rsid w:val="00445594"/>
    <w:rsid w:val="0044569E"/>
    <w:rsid w:val="004456B2"/>
    <w:rsid w:val="004456B6"/>
    <w:rsid w:val="0044570F"/>
    <w:rsid w:val="00445830"/>
    <w:rsid w:val="00445835"/>
    <w:rsid w:val="00445A3F"/>
    <w:rsid w:val="00445A9D"/>
    <w:rsid w:val="00445B9B"/>
    <w:rsid w:val="00445E6E"/>
    <w:rsid w:val="00445F9C"/>
    <w:rsid w:val="00446000"/>
    <w:rsid w:val="004462A1"/>
    <w:rsid w:val="00446442"/>
    <w:rsid w:val="0044649C"/>
    <w:rsid w:val="004464EA"/>
    <w:rsid w:val="0044659A"/>
    <w:rsid w:val="004465A8"/>
    <w:rsid w:val="0044675C"/>
    <w:rsid w:val="00446823"/>
    <w:rsid w:val="00446917"/>
    <w:rsid w:val="00446A2A"/>
    <w:rsid w:val="00446B6C"/>
    <w:rsid w:val="00446CBD"/>
    <w:rsid w:val="00446DB7"/>
    <w:rsid w:val="00446E77"/>
    <w:rsid w:val="00446F6F"/>
    <w:rsid w:val="00446FCA"/>
    <w:rsid w:val="00447060"/>
    <w:rsid w:val="004470B7"/>
    <w:rsid w:val="00447320"/>
    <w:rsid w:val="0044741B"/>
    <w:rsid w:val="004479BB"/>
    <w:rsid w:val="00447BC8"/>
    <w:rsid w:val="00447C9A"/>
    <w:rsid w:val="00447DCE"/>
    <w:rsid w:val="00447EEE"/>
    <w:rsid w:val="00447F4B"/>
    <w:rsid w:val="004500FE"/>
    <w:rsid w:val="00450166"/>
    <w:rsid w:val="004503B9"/>
    <w:rsid w:val="004503D9"/>
    <w:rsid w:val="0045048B"/>
    <w:rsid w:val="00450544"/>
    <w:rsid w:val="0045054D"/>
    <w:rsid w:val="004505E3"/>
    <w:rsid w:val="00450823"/>
    <w:rsid w:val="00450857"/>
    <w:rsid w:val="004509A5"/>
    <w:rsid w:val="004509BC"/>
    <w:rsid w:val="00450B56"/>
    <w:rsid w:val="00450BF8"/>
    <w:rsid w:val="00450C98"/>
    <w:rsid w:val="00450D8F"/>
    <w:rsid w:val="00450E3A"/>
    <w:rsid w:val="00450ED3"/>
    <w:rsid w:val="00450F4C"/>
    <w:rsid w:val="00450FAB"/>
    <w:rsid w:val="00450FB8"/>
    <w:rsid w:val="00451000"/>
    <w:rsid w:val="00451031"/>
    <w:rsid w:val="004510B4"/>
    <w:rsid w:val="004511AB"/>
    <w:rsid w:val="004511CB"/>
    <w:rsid w:val="004511DB"/>
    <w:rsid w:val="004512EC"/>
    <w:rsid w:val="0045135D"/>
    <w:rsid w:val="00451383"/>
    <w:rsid w:val="004513AD"/>
    <w:rsid w:val="004513F2"/>
    <w:rsid w:val="00451592"/>
    <w:rsid w:val="004515B1"/>
    <w:rsid w:val="004516D4"/>
    <w:rsid w:val="004516EC"/>
    <w:rsid w:val="00451723"/>
    <w:rsid w:val="00451773"/>
    <w:rsid w:val="0045182E"/>
    <w:rsid w:val="00451893"/>
    <w:rsid w:val="00451957"/>
    <w:rsid w:val="00451A86"/>
    <w:rsid w:val="00451BBD"/>
    <w:rsid w:val="00451C87"/>
    <w:rsid w:val="00451CB0"/>
    <w:rsid w:val="00451E1C"/>
    <w:rsid w:val="00451E4F"/>
    <w:rsid w:val="00451F21"/>
    <w:rsid w:val="00451F44"/>
    <w:rsid w:val="00451FF7"/>
    <w:rsid w:val="004521D0"/>
    <w:rsid w:val="0045240A"/>
    <w:rsid w:val="0045241D"/>
    <w:rsid w:val="004526D2"/>
    <w:rsid w:val="004527F7"/>
    <w:rsid w:val="004528EB"/>
    <w:rsid w:val="004528F4"/>
    <w:rsid w:val="00452A19"/>
    <w:rsid w:val="00452AED"/>
    <w:rsid w:val="00452B42"/>
    <w:rsid w:val="00452B47"/>
    <w:rsid w:val="00452B71"/>
    <w:rsid w:val="00452C14"/>
    <w:rsid w:val="00452F87"/>
    <w:rsid w:val="00453037"/>
    <w:rsid w:val="0045306B"/>
    <w:rsid w:val="00453090"/>
    <w:rsid w:val="00453233"/>
    <w:rsid w:val="00453236"/>
    <w:rsid w:val="004532A9"/>
    <w:rsid w:val="00453350"/>
    <w:rsid w:val="0045336E"/>
    <w:rsid w:val="0045337B"/>
    <w:rsid w:val="00453503"/>
    <w:rsid w:val="004535A1"/>
    <w:rsid w:val="0045368E"/>
    <w:rsid w:val="004537E1"/>
    <w:rsid w:val="004537E9"/>
    <w:rsid w:val="0045381B"/>
    <w:rsid w:val="0045383E"/>
    <w:rsid w:val="00453935"/>
    <w:rsid w:val="00453A2F"/>
    <w:rsid w:val="00453A68"/>
    <w:rsid w:val="00453AAF"/>
    <w:rsid w:val="00453AE7"/>
    <w:rsid w:val="00453B6C"/>
    <w:rsid w:val="00453BB5"/>
    <w:rsid w:val="00453DA4"/>
    <w:rsid w:val="00453EBD"/>
    <w:rsid w:val="00453F28"/>
    <w:rsid w:val="004541F2"/>
    <w:rsid w:val="0045422A"/>
    <w:rsid w:val="004543DA"/>
    <w:rsid w:val="004547A5"/>
    <w:rsid w:val="004547AB"/>
    <w:rsid w:val="0045487F"/>
    <w:rsid w:val="004549C2"/>
    <w:rsid w:val="00454B74"/>
    <w:rsid w:val="00454C4F"/>
    <w:rsid w:val="004550E1"/>
    <w:rsid w:val="004551B4"/>
    <w:rsid w:val="004551B8"/>
    <w:rsid w:val="004551DD"/>
    <w:rsid w:val="004552A4"/>
    <w:rsid w:val="004553B6"/>
    <w:rsid w:val="00455487"/>
    <w:rsid w:val="0045574D"/>
    <w:rsid w:val="00455851"/>
    <w:rsid w:val="00455875"/>
    <w:rsid w:val="004558D0"/>
    <w:rsid w:val="00455937"/>
    <w:rsid w:val="004559F8"/>
    <w:rsid w:val="00455AF6"/>
    <w:rsid w:val="00455D75"/>
    <w:rsid w:val="00456084"/>
    <w:rsid w:val="00456133"/>
    <w:rsid w:val="0045614B"/>
    <w:rsid w:val="00456195"/>
    <w:rsid w:val="004561A3"/>
    <w:rsid w:val="00456302"/>
    <w:rsid w:val="00456399"/>
    <w:rsid w:val="004563F3"/>
    <w:rsid w:val="004564BD"/>
    <w:rsid w:val="0045656B"/>
    <w:rsid w:val="004565F6"/>
    <w:rsid w:val="00456627"/>
    <w:rsid w:val="00456788"/>
    <w:rsid w:val="0045679A"/>
    <w:rsid w:val="004567F3"/>
    <w:rsid w:val="00456896"/>
    <w:rsid w:val="00456933"/>
    <w:rsid w:val="004569C2"/>
    <w:rsid w:val="00456BEB"/>
    <w:rsid w:val="00456D4D"/>
    <w:rsid w:val="00456D79"/>
    <w:rsid w:val="00456F18"/>
    <w:rsid w:val="00456F8E"/>
    <w:rsid w:val="00457011"/>
    <w:rsid w:val="00457088"/>
    <w:rsid w:val="004572E6"/>
    <w:rsid w:val="00457562"/>
    <w:rsid w:val="004575FB"/>
    <w:rsid w:val="0045772E"/>
    <w:rsid w:val="004578E9"/>
    <w:rsid w:val="00457949"/>
    <w:rsid w:val="00457A6F"/>
    <w:rsid w:val="00457ABB"/>
    <w:rsid w:val="00457AFE"/>
    <w:rsid w:val="00457B38"/>
    <w:rsid w:val="00457CF7"/>
    <w:rsid w:val="00460137"/>
    <w:rsid w:val="004601C2"/>
    <w:rsid w:val="004601E9"/>
    <w:rsid w:val="004601FD"/>
    <w:rsid w:val="00460221"/>
    <w:rsid w:val="0046032C"/>
    <w:rsid w:val="0046043F"/>
    <w:rsid w:val="004604DF"/>
    <w:rsid w:val="0046065B"/>
    <w:rsid w:val="00460713"/>
    <w:rsid w:val="0046075C"/>
    <w:rsid w:val="004608AA"/>
    <w:rsid w:val="0046097E"/>
    <w:rsid w:val="004609AA"/>
    <w:rsid w:val="004609F7"/>
    <w:rsid w:val="00460C4C"/>
    <w:rsid w:val="00460DA1"/>
    <w:rsid w:val="00460E4A"/>
    <w:rsid w:val="00460F02"/>
    <w:rsid w:val="004611FF"/>
    <w:rsid w:val="0046130C"/>
    <w:rsid w:val="004613D0"/>
    <w:rsid w:val="004613F6"/>
    <w:rsid w:val="00461570"/>
    <w:rsid w:val="004615CB"/>
    <w:rsid w:val="004616A8"/>
    <w:rsid w:val="00461725"/>
    <w:rsid w:val="0046174E"/>
    <w:rsid w:val="00461798"/>
    <w:rsid w:val="00461A62"/>
    <w:rsid w:val="00461C3C"/>
    <w:rsid w:val="00461C79"/>
    <w:rsid w:val="00461C7F"/>
    <w:rsid w:val="00461E03"/>
    <w:rsid w:val="00461EB2"/>
    <w:rsid w:val="00461F5E"/>
    <w:rsid w:val="00462149"/>
    <w:rsid w:val="004621F9"/>
    <w:rsid w:val="004623B4"/>
    <w:rsid w:val="0046245D"/>
    <w:rsid w:val="0046249D"/>
    <w:rsid w:val="00462826"/>
    <w:rsid w:val="0046288B"/>
    <w:rsid w:val="0046292D"/>
    <w:rsid w:val="00462962"/>
    <w:rsid w:val="00462A33"/>
    <w:rsid w:val="00462B46"/>
    <w:rsid w:val="00462BCB"/>
    <w:rsid w:val="00462C83"/>
    <w:rsid w:val="00462C97"/>
    <w:rsid w:val="00462C9F"/>
    <w:rsid w:val="00462D11"/>
    <w:rsid w:val="00462D3B"/>
    <w:rsid w:val="00462E0F"/>
    <w:rsid w:val="00462EAF"/>
    <w:rsid w:val="004630C5"/>
    <w:rsid w:val="004631EC"/>
    <w:rsid w:val="00463304"/>
    <w:rsid w:val="004633A2"/>
    <w:rsid w:val="004633B8"/>
    <w:rsid w:val="0046357D"/>
    <w:rsid w:val="0046357E"/>
    <w:rsid w:val="0046366C"/>
    <w:rsid w:val="00463687"/>
    <w:rsid w:val="0046373D"/>
    <w:rsid w:val="004637E3"/>
    <w:rsid w:val="0046386D"/>
    <w:rsid w:val="0046398B"/>
    <w:rsid w:val="00463B99"/>
    <w:rsid w:val="00463E1D"/>
    <w:rsid w:val="00463E24"/>
    <w:rsid w:val="00463EE2"/>
    <w:rsid w:val="00463F71"/>
    <w:rsid w:val="00463F7F"/>
    <w:rsid w:val="00463FD3"/>
    <w:rsid w:val="00464024"/>
    <w:rsid w:val="0046429F"/>
    <w:rsid w:val="004642C2"/>
    <w:rsid w:val="00464461"/>
    <w:rsid w:val="004644BF"/>
    <w:rsid w:val="0046452C"/>
    <w:rsid w:val="004645BA"/>
    <w:rsid w:val="004645BC"/>
    <w:rsid w:val="004646E5"/>
    <w:rsid w:val="00464745"/>
    <w:rsid w:val="00464992"/>
    <w:rsid w:val="00464A24"/>
    <w:rsid w:val="00464A54"/>
    <w:rsid w:val="00464A82"/>
    <w:rsid w:val="00464A95"/>
    <w:rsid w:val="00464CBF"/>
    <w:rsid w:val="00464E06"/>
    <w:rsid w:val="00464E23"/>
    <w:rsid w:val="00464F2E"/>
    <w:rsid w:val="004651E4"/>
    <w:rsid w:val="004653BB"/>
    <w:rsid w:val="004653D2"/>
    <w:rsid w:val="00465415"/>
    <w:rsid w:val="00465454"/>
    <w:rsid w:val="004654DA"/>
    <w:rsid w:val="004655B2"/>
    <w:rsid w:val="004656D2"/>
    <w:rsid w:val="00465735"/>
    <w:rsid w:val="0046576B"/>
    <w:rsid w:val="00465799"/>
    <w:rsid w:val="00465816"/>
    <w:rsid w:val="004658CB"/>
    <w:rsid w:val="004658F6"/>
    <w:rsid w:val="0046591D"/>
    <w:rsid w:val="00465A98"/>
    <w:rsid w:val="00465AB9"/>
    <w:rsid w:val="00465BE7"/>
    <w:rsid w:val="00465C06"/>
    <w:rsid w:val="00465D1F"/>
    <w:rsid w:val="00465D2C"/>
    <w:rsid w:val="00465E82"/>
    <w:rsid w:val="004660CF"/>
    <w:rsid w:val="00466215"/>
    <w:rsid w:val="0046624E"/>
    <w:rsid w:val="00466465"/>
    <w:rsid w:val="00466544"/>
    <w:rsid w:val="00466678"/>
    <w:rsid w:val="004666BF"/>
    <w:rsid w:val="00466755"/>
    <w:rsid w:val="00466775"/>
    <w:rsid w:val="004667C3"/>
    <w:rsid w:val="004668AC"/>
    <w:rsid w:val="004668D2"/>
    <w:rsid w:val="00466963"/>
    <w:rsid w:val="0046696A"/>
    <w:rsid w:val="00466A05"/>
    <w:rsid w:val="00466A55"/>
    <w:rsid w:val="00466A5F"/>
    <w:rsid w:val="00466B06"/>
    <w:rsid w:val="00466B28"/>
    <w:rsid w:val="00466C44"/>
    <w:rsid w:val="00466EE2"/>
    <w:rsid w:val="00467287"/>
    <w:rsid w:val="004674DC"/>
    <w:rsid w:val="00467735"/>
    <w:rsid w:val="00467789"/>
    <w:rsid w:val="0046780E"/>
    <w:rsid w:val="00467848"/>
    <w:rsid w:val="0046787C"/>
    <w:rsid w:val="004679F0"/>
    <w:rsid w:val="00467A3A"/>
    <w:rsid w:val="00467A91"/>
    <w:rsid w:val="00467BB0"/>
    <w:rsid w:val="00467CDD"/>
    <w:rsid w:val="00467D2B"/>
    <w:rsid w:val="00467E06"/>
    <w:rsid w:val="00467E18"/>
    <w:rsid w:val="00467E7C"/>
    <w:rsid w:val="00467F0C"/>
    <w:rsid w:val="0047005D"/>
    <w:rsid w:val="004702DC"/>
    <w:rsid w:val="004702EA"/>
    <w:rsid w:val="004706E2"/>
    <w:rsid w:val="0047079F"/>
    <w:rsid w:val="0047086D"/>
    <w:rsid w:val="00470896"/>
    <w:rsid w:val="004708AB"/>
    <w:rsid w:val="0047092A"/>
    <w:rsid w:val="00470BA7"/>
    <w:rsid w:val="00470C37"/>
    <w:rsid w:val="00470CB0"/>
    <w:rsid w:val="00470D09"/>
    <w:rsid w:val="00470D76"/>
    <w:rsid w:val="00470DC4"/>
    <w:rsid w:val="00470E7B"/>
    <w:rsid w:val="00470FF8"/>
    <w:rsid w:val="00471024"/>
    <w:rsid w:val="004711E5"/>
    <w:rsid w:val="00471460"/>
    <w:rsid w:val="0047150A"/>
    <w:rsid w:val="00471549"/>
    <w:rsid w:val="004715A5"/>
    <w:rsid w:val="00471691"/>
    <w:rsid w:val="004716C1"/>
    <w:rsid w:val="004718D0"/>
    <w:rsid w:val="00471A0E"/>
    <w:rsid w:val="00471B77"/>
    <w:rsid w:val="00471BCC"/>
    <w:rsid w:val="00471D68"/>
    <w:rsid w:val="00471D6F"/>
    <w:rsid w:val="00471D8F"/>
    <w:rsid w:val="00471D9A"/>
    <w:rsid w:val="00471DD4"/>
    <w:rsid w:val="00471DDC"/>
    <w:rsid w:val="00471E5B"/>
    <w:rsid w:val="00471FB1"/>
    <w:rsid w:val="0047202F"/>
    <w:rsid w:val="00472140"/>
    <w:rsid w:val="00472182"/>
    <w:rsid w:val="004722B6"/>
    <w:rsid w:val="004722B7"/>
    <w:rsid w:val="0047230C"/>
    <w:rsid w:val="00472353"/>
    <w:rsid w:val="004723FC"/>
    <w:rsid w:val="00472658"/>
    <w:rsid w:val="004726F7"/>
    <w:rsid w:val="00472743"/>
    <w:rsid w:val="004727CB"/>
    <w:rsid w:val="004727CE"/>
    <w:rsid w:val="00472921"/>
    <w:rsid w:val="00472AAB"/>
    <w:rsid w:val="00472ED2"/>
    <w:rsid w:val="00472F30"/>
    <w:rsid w:val="00472F55"/>
    <w:rsid w:val="00473237"/>
    <w:rsid w:val="00473347"/>
    <w:rsid w:val="0047361B"/>
    <w:rsid w:val="004736A2"/>
    <w:rsid w:val="00473820"/>
    <w:rsid w:val="00473921"/>
    <w:rsid w:val="00473958"/>
    <w:rsid w:val="00473B9A"/>
    <w:rsid w:val="00473CB6"/>
    <w:rsid w:val="00473CF3"/>
    <w:rsid w:val="00473D73"/>
    <w:rsid w:val="00473E59"/>
    <w:rsid w:val="00473F5C"/>
    <w:rsid w:val="0047409A"/>
    <w:rsid w:val="004740CF"/>
    <w:rsid w:val="00474151"/>
    <w:rsid w:val="00474168"/>
    <w:rsid w:val="00474182"/>
    <w:rsid w:val="00474185"/>
    <w:rsid w:val="004743B6"/>
    <w:rsid w:val="00474488"/>
    <w:rsid w:val="004745AC"/>
    <w:rsid w:val="004746BE"/>
    <w:rsid w:val="0047479B"/>
    <w:rsid w:val="0047483E"/>
    <w:rsid w:val="00474AC8"/>
    <w:rsid w:val="00474BF7"/>
    <w:rsid w:val="00474CD2"/>
    <w:rsid w:val="00474CE8"/>
    <w:rsid w:val="00474D2E"/>
    <w:rsid w:val="00474D71"/>
    <w:rsid w:val="00474D7F"/>
    <w:rsid w:val="00474F82"/>
    <w:rsid w:val="00475448"/>
    <w:rsid w:val="00475472"/>
    <w:rsid w:val="00475493"/>
    <w:rsid w:val="004754B7"/>
    <w:rsid w:val="00475536"/>
    <w:rsid w:val="004755C9"/>
    <w:rsid w:val="004755D6"/>
    <w:rsid w:val="00475618"/>
    <w:rsid w:val="00475653"/>
    <w:rsid w:val="00475705"/>
    <w:rsid w:val="0047584B"/>
    <w:rsid w:val="004759AF"/>
    <w:rsid w:val="00475AFD"/>
    <w:rsid w:val="00475AFF"/>
    <w:rsid w:val="00475D58"/>
    <w:rsid w:val="00475DBD"/>
    <w:rsid w:val="00475F40"/>
    <w:rsid w:val="00475F71"/>
    <w:rsid w:val="00475FD8"/>
    <w:rsid w:val="00476041"/>
    <w:rsid w:val="0047622B"/>
    <w:rsid w:val="004766F0"/>
    <w:rsid w:val="00476862"/>
    <w:rsid w:val="00476872"/>
    <w:rsid w:val="00476A33"/>
    <w:rsid w:val="00476A40"/>
    <w:rsid w:val="00476AFA"/>
    <w:rsid w:val="00476B14"/>
    <w:rsid w:val="00476B19"/>
    <w:rsid w:val="00476B99"/>
    <w:rsid w:val="00476C63"/>
    <w:rsid w:val="00476CD9"/>
    <w:rsid w:val="00476DB7"/>
    <w:rsid w:val="00476F2E"/>
    <w:rsid w:val="00476F7A"/>
    <w:rsid w:val="004770FE"/>
    <w:rsid w:val="00477130"/>
    <w:rsid w:val="004771E8"/>
    <w:rsid w:val="00477330"/>
    <w:rsid w:val="0047734F"/>
    <w:rsid w:val="00477508"/>
    <w:rsid w:val="0047770A"/>
    <w:rsid w:val="0047778E"/>
    <w:rsid w:val="00477883"/>
    <w:rsid w:val="00477995"/>
    <w:rsid w:val="004779FB"/>
    <w:rsid w:val="00477AAA"/>
    <w:rsid w:val="00477D0E"/>
    <w:rsid w:val="00477E34"/>
    <w:rsid w:val="00477E8A"/>
    <w:rsid w:val="00480093"/>
    <w:rsid w:val="004802F2"/>
    <w:rsid w:val="00480373"/>
    <w:rsid w:val="0048040D"/>
    <w:rsid w:val="00480478"/>
    <w:rsid w:val="004804FF"/>
    <w:rsid w:val="004807A1"/>
    <w:rsid w:val="004808D9"/>
    <w:rsid w:val="004808F5"/>
    <w:rsid w:val="00480A9E"/>
    <w:rsid w:val="00480B18"/>
    <w:rsid w:val="00480BF3"/>
    <w:rsid w:val="00480C5B"/>
    <w:rsid w:val="00480D08"/>
    <w:rsid w:val="00480D98"/>
    <w:rsid w:val="004811F1"/>
    <w:rsid w:val="00481200"/>
    <w:rsid w:val="0048121C"/>
    <w:rsid w:val="004814D8"/>
    <w:rsid w:val="00481528"/>
    <w:rsid w:val="0048153B"/>
    <w:rsid w:val="004815CE"/>
    <w:rsid w:val="00481643"/>
    <w:rsid w:val="00481648"/>
    <w:rsid w:val="00481669"/>
    <w:rsid w:val="00481801"/>
    <w:rsid w:val="00481876"/>
    <w:rsid w:val="00481904"/>
    <w:rsid w:val="00481BC2"/>
    <w:rsid w:val="00481BE5"/>
    <w:rsid w:val="00481CAE"/>
    <w:rsid w:val="00481D94"/>
    <w:rsid w:val="00481F58"/>
    <w:rsid w:val="00481FF9"/>
    <w:rsid w:val="00482021"/>
    <w:rsid w:val="00482148"/>
    <w:rsid w:val="00482169"/>
    <w:rsid w:val="0048230A"/>
    <w:rsid w:val="00482317"/>
    <w:rsid w:val="00482355"/>
    <w:rsid w:val="004825AE"/>
    <w:rsid w:val="00482692"/>
    <w:rsid w:val="00482753"/>
    <w:rsid w:val="0048276D"/>
    <w:rsid w:val="0048278B"/>
    <w:rsid w:val="004828E0"/>
    <w:rsid w:val="00482978"/>
    <w:rsid w:val="00482AFF"/>
    <w:rsid w:val="00482B8F"/>
    <w:rsid w:val="00482C40"/>
    <w:rsid w:val="00482D14"/>
    <w:rsid w:val="00482E6B"/>
    <w:rsid w:val="00482ED6"/>
    <w:rsid w:val="00483036"/>
    <w:rsid w:val="00483050"/>
    <w:rsid w:val="004830E7"/>
    <w:rsid w:val="0048318F"/>
    <w:rsid w:val="004831C1"/>
    <w:rsid w:val="00483278"/>
    <w:rsid w:val="00483322"/>
    <w:rsid w:val="00483443"/>
    <w:rsid w:val="00483502"/>
    <w:rsid w:val="004835C9"/>
    <w:rsid w:val="004836ED"/>
    <w:rsid w:val="004836F3"/>
    <w:rsid w:val="004837DC"/>
    <w:rsid w:val="0048383C"/>
    <w:rsid w:val="00483852"/>
    <w:rsid w:val="00483870"/>
    <w:rsid w:val="00483896"/>
    <w:rsid w:val="00483BB8"/>
    <w:rsid w:val="00483C5A"/>
    <w:rsid w:val="00483CFF"/>
    <w:rsid w:val="00483DC4"/>
    <w:rsid w:val="00483DFE"/>
    <w:rsid w:val="00483E2D"/>
    <w:rsid w:val="00483F3E"/>
    <w:rsid w:val="00483FEA"/>
    <w:rsid w:val="004841F5"/>
    <w:rsid w:val="00484297"/>
    <w:rsid w:val="00484350"/>
    <w:rsid w:val="00484476"/>
    <w:rsid w:val="004846B9"/>
    <w:rsid w:val="00484797"/>
    <w:rsid w:val="004847BE"/>
    <w:rsid w:val="0048487A"/>
    <w:rsid w:val="00484991"/>
    <w:rsid w:val="004849A9"/>
    <w:rsid w:val="00484A4C"/>
    <w:rsid w:val="00484B6D"/>
    <w:rsid w:val="00484C25"/>
    <w:rsid w:val="00484C71"/>
    <w:rsid w:val="00484D28"/>
    <w:rsid w:val="00484D3F"/>
    <w:rsid w:val="00485019"/>
    <w:rsid w:val="0048508F"/>
    <w:rsid w:val="0048515B"/>
    <w:rsid w:val="00485191"/>
    <w:rsid w:val="004851D1"/>
    <w:rsid w:val="004853B1"/>
    <w:rsid w:val="004853C4"/>
    <w:rsid w:val="00485773"/>
    <w:rsid w:val="004857FF"/>
    <w:rsid w:val="004858DC"/>
    <w:rsid w:val="0048599F"/>
    <w:rsid w:val="00485BA7"/>
    <w:rsid w:val="00485CF8"/>
    <w:rsid w:val="00485D68"/>
    <w:rsid w:val="00485D81"/>
    <w:rsid w:val="00485DB9"/>
    <w:rsid w:val="00485DC6"/>
    <w:rsid w:val="00485E08"/>
    <w:rsid w:val="00485E4D"/>
    <w:rsid w:val="0048602F"/>
    <w:rsid w:val="0048605B"/>
    <w:rsid w:val="004860E7"/>
    <w:rsid w:val="00486238"/>
    <w:rsid w:val="0048633C"/>
    <w:rsid w:val="00486351"/>
    <w:rsid w:val="004863F5"/>
    <w:rsid w:val="00486437"/>
    <w:rsid w:val="00486569"/>
    <w:rsid w:val="004866CC"/>
    <w:rsid w:val="004867EA"/>
    <w:rsid w:val="00486856"/>
    <w:rsid w:val="00486887"/>
    <w:rsid w:val="00486B92"/>
    <w:rsid w:val="00486D70"/>
    <w:rsid w:val="00486EE2"/>
    <w:rsid w:val="00486FDB"/>
    <w:rsid w:val="00487208"/>
    <w:rsid w:val="0048728E"/>
    <w:rsid w:val="0048737E"/>
    <w:rsid w:val="00487410"/>
    <w:rsid w:val="004874BD"/>
    <w:rsid w:val="0048759A"/>
    <w:rsid w:val="004875E8"/>
    <w:rsid w:val="004877AA"/>
    <w:rsid w:val="0048786B"/>
    <w:rsid w:val="004878D3"/>
    <w:rsid w:val="00487BAA"/>
    <w:rsid w:val="00487C69"/>
    <w:rsid w:val="00487EFD"/>
    <w:rsid w:val="00487FEC"/>
    <w:rsid w:val="0048FE0B"/>
    <w:rsid w:val="00490069"/>
    <w:rsid w:val="0049010A"/>
    <w:rsid w:val="0049017C"/>
    <w:rsid w:val="004901B8"/>
    <w:rsid w:val="004901D0"/>
    <w:rsid w:val="00490334"/>
    <w:rsid w:val="004904B5"/>
    <w:rsid w:val="004904CE"/>
    <w:rsid w:val="00490518"/>
    <w:rsid w:val="004905F0"/>
    <w:rsid w:val="00490778"/>
    <w:rsid w:val="004909F4"/>
    <w:rsid w:val="00490C32"/>
    <w:rsid w:val="00490F12"/>
    <w:rsid w:val="00490F78"/>
    <w:rsid w:val="00490FCE"/>
    <w:rsid w:val="00491010"/>
    <w:rsid w:val="00491070"/>
    <w:rsid w:val="00491111"/>
    <w:rsid w:val="00491119"/>
    <w:rsid w:val="004911A8"/>
    <w:rsid w:val="0049138C"/>
    <w:rsid w:val="00491391"/>
    <w:rsid w:val="0049141E"/>
    <w:rsid w:val="00491487"/>
    <w:rsid w:val="004914C2"/>
    <w:rsid w:val="0049157E"/>
    <w:rsid w:val="00491615"/>
    <w:rsid w:val="004916BC"/>
    <w:rsid w:val="00491791"/>
    <w:rsid w:val="004917AF"/>
    <w:rsid w:val="00491954"/>
    <w:rsid w:val="004919A1"/>
    <w:rsid w:val="004919D0"/>
    <w:rsid w:val="00491ABD"/>
    <w:rsid w:val="00491B5B"/>
    <w:rsid w:val="00491BBC"/>
    <w:rsid w:val="00491D57"/>
    <w:rsid w:val="00491DC0"/>
    <w:rsid w:val="00491DE4"/>
    <w:rsid w:val="00491E30"/>
    <w:rsid w:val="004920D2"/>
    <w:rsid w:val="0049216A"/>
    <w:rsid w:val="00492176"/>
    <w:rsid w:val="0049218E"/>
    <w:rsid w:val="004924FA"/>
    <w:rsid w:val="004927A9"/>
    <w:rsid w:val="00492ABB"/>
    <w:rsid w:val="00492BC5"/>
    <w:rsid w:val="00492CB7"/>
    <w:rsid w:val="00492CE7"/>
    <w:rsid w:val="00492D17"/>
    <w:rsid w:val="00492DD9"/>
    <w:rsid w:val="00492E36"/>
    <w:rsid w:val="00492F57"/>
    <w:rsid w:val="00493139"/>
    <w:rsid w:val="00493192"/>
    <w:rsid w:val="004931DB"/>
    <w:rsid w:val="004933B1"/>
    <w:rsid w:val="004933B8"/>
    <w:rsid w:val="00493457"/>
    <w:rsid w:val="00493816"/>
    <w:rsid w:val="00493AA2"/>
    <w:rsid w:val="00493ACF"/>
    <w:rsid w:val="00493CD0"/>
    <w:rsid w:val="00493E44"/>
    <w:rsid w:val="00493EF1"/>
    <w:rsid w:val="00493F67"/>
    <w:rsid w:val="00493F6D"/>
    <w:rsid w:val="00494035"/>
    <w:rsid w:val="00494068"/>
    <w:rsid w:val="004940F1"/>
    <w:rsid w:val="00494132"/>
    <w:rsid w:val="0049458A"/>
    <w:rsid w:val="00494678"/>
    <w:rsid w:val="0049467F"/>
    <w:rsid w:val="004946C5"/>
    <w:rsid w:val="0049487D"/>
    <w:rsid w:val="004948C4"/>
    <w:rsid w:val="004948DA"/>
    <w:rsid w:val="0049491F"/>
    <w:rsid w:val="00494A0B"/>
    <w:rsid w:val="00494AD7"/>
    <w:rsid w:val="00494BB1"/>
    <w:rsid w:val="00494D43"/>
    <w:rsid w:val="00494E6A"/>
    <w:rsid w:val="00494EEA"/>
    <w:rsid w:val="00495072"/>
    <w:rsid w:val="00495096"/>
    <w:rsid w:val="00495103"/>
    <w:rsid w:val="0049523B"/>
    <w:rsid w:val="00495306"/>
    <w:rsid w:val="0049560C"/>
    <w:rsid w:val="00495619"/>
    <w:rsid w:val="004956A2"/>
    <w:rsid w:val="00495718"/>
    <w:rsid w:val="00495752"/>
    <w:rsid w:val="0049597C"/>
    <w:rsid w:val="004959A6"/>
    <w:rsid w:val="00495A22"/>
    <w:rsid w:val="00495AEE"/>
    <w:rsid w:val="00495B09"/>
    <w:rsid w:val="00495BF0"/>
    <w:rsid w:val="00495C16"/>
    <w:rsid w:val="00495C77"/>
    <w:rsid w:val="00495E45"/>
    <w:rsid w:val="00495EF0"/>
    <w:rsid w:val="0049600D"/>
    <w:rsid w:val="0049611F"/>
    <w:rsid w:val="0049625A"/>
    <w:rsid w:val="0049627D"/>
    <w:rsid w:val="00496309"/>
    <w:rsid w:val="0049637C"/>
    <w:rsid w:val="004965B6"/>
    <w:rsid w:val="0049661C"/>
    <w:rsid w:val="0049676C"/>
    <w:rsid w:val="0049684E"/>
    <w:rsid w:val="00496955"/>
    <w:rsid w:val="00496A47"/>
    <w:rsid w:val="00496A94"/>
    <w:rsid w:val="00496B24"/>
    <w:rsid w:val="00496C1D"/>
    <w:rsid w:val="00496DE8"/>
    <w:rsid w:val="00496EF8"/>
    <w:rsid w:val="00497004"/>
    <w:rsid w:val="004970CF"/>
    <w:rsid w:val="00497163"/>
    <w:rsid w:val="004971A5"/>
    <w:rsid w:val="0049723F"/>
    <w:rsid w:val="00497260"/>
    <w:rsid w:val="004972A6"/>
    <w:rsid w:val="004972F7"/>
    <w:rsid w:val="004973A9"/>
    <w:rsid w:val="004973C9"/>
    <w:rsid w:val="004973F7"/>
    <w:rsid w:val="00497458"/>
    <w:rsid w:val="004974BC"/>
    <w:rsid w:val="0049762F"/>
    <w:rsid w:val="004976BA"/>
    <w:rsid w:val="004977E8"/>
    <w:rsid w:val="00497A21"/>
    <w:rsid w:val="00497ACA"/>
    <w:rsid w:val="00497BD7"/>
    <w:rsid w:val="00497C49"/>
    <w:rsid w:val="00497C54"/>
    <w:rsid w:val="00497C59"/>
    <w:rsid w:val="00497C67"/>
    <w:rsid w:val="00497D52"/>
    <w:rsid w:val="00497D55"/>
    <w:rsid w:val="00497D5C"/>
    <w:rsid w:val="00497E73"/>
    <w:rsid w:val="00497F58"/>
    <w:rsid w:val="004A00B6"/>
    <w:rsid w:val="004A02B3"/>
    <w:rsid w:val="004A02FC"/>
    <w:rsid w:val="004A0308"/>
    <w:rsid w:val="004A04FA"/>
    <w:rsid w:val="004A0655"/>
    <w:rsid w:val="004A074F"/>
    <w:rsid w:val="004A0752"/>
    <w:rsid w:val="004A08E0"/>
    <w:rsid w:val="004A09A6"/>
    <w:rsid w:val="004A0A95"/>
    <w:rsid w:val="004A0B3F"/>
    <w:rsid w:val="004A0B56"/>
    <w:rsid w:val="004A0CFE"/>
    <w:rsid w:val="004A0D8D"/>
    <w:rsid w:val="004A1014"/>
    <w:rsid w:val="004A1064"/>
    <w:rsid w:val="004A10D4"/>
    <w:rsid w:val="004A11C4"/>
    <w:rsid w:val="004A1317"/>
    <w:rsid w:val="004A1362"/>
    <w:rsid w:val="004A14A8"/>
    <w:rsid w:val="004A1541"/>
    <w:rsid w:val="004A15B2"/>
    <w:rsid w:val="004A18EE"/>
    <w:rsid w:val="004A1A35"/>
    <w:rsid w:val="004A1A9F"/>
    <w:rsid w:val="004A1CEE"/>
    <w:rsid w:val="004A22EE"/>
    <w:rsid w:val="004A2386"/>
    <w:rsid w:val="004A23D4"/>
    <w:rsid w:val="004A24E3"/>
    <w:rsid w:val="004A25A0"/>
    <w:rsid w:val="004A26C1"/>
    <w:rsid w:val="004A2756"/>
    <w:rsid w:val="004A2758"/>
    <w:rsid w:val="004A2836"/>
    <w:rsid w:val="004A284A"/>
    <w:rsid w:val="004A2925"/>
    <w:rsid w:val="004A2B79"/>
    <w:rsid w:val="004A2F10"/>
    <w:rsid w:val="004A2F74"/>
    <w:rsid w:val="004A3029"/>
    <w:rsid w:val="004A3203"/>
    <w:rsid w:val="004A33A6"/>
    <w:rsid w:val="004A34D3"/>
    <w:rsid w:val="004A35E8"/>
    <w:rsid w:val="004A35F0"/>
    <w:rsid w:val="004A393F"/>
    <w:rsid w:val="004A3953"/>
    <w:rsid w:val="004A3AF9"/>
    <w:rsid w:val="004A3BE5"/>
    <w:rsid w:val="004A3CB3"/>
    <w:rsid w:val="004A3D44"/>
    <w:rsid w:val="004A3F8B"/>
    <w:rsid w:val="004A3FB1"/>
    <w:rsid w:val="004A3FB4"/>
    <w:rsid w:val="004A42AB"/>
    <w:rsid w:val="004A4490"/>
    <w:rsid w:val="004A4594"/>
    <w:rsid w:val="004A46F3"/>
    <w:rsid w:val="004A472A"/>
    <w:rsid w:val="004A47C0"/>
    <w:rsid w:val="004A4807"/>
    <w:rsid w:val="004A4848"/>
    <w:rsid w:val="004A4863"/>
    <w:rsid w:val="004A4B7D"/>
    <w:rsid w:val="004A4C54"/>
    <w:rsid w:val="004A4DF5"/>
    <w:rsid w:val="004A4E22"/>
    <w:rsid w:val="004A4E89"/>
    <w:rsid w:val="004A50AF"/>
    <w:rsid w:val="004A51E9"/>
    <w:rsid w:val="004A542C"/>
    <w:rsid w:val="004A54ED"/>
    <w:rsid w:val="004A569E"/>
    <w:rsid w:val="004A5718"/>
    <w:rsid w:val="004A5840"/>
    <w:rsid w:val="004A585B"/>
    <w:rsid w:val="004A59F8"/>
    <w:rsid w:val="004A5BB8"/>
    <w:rsid w:val="004A5BE6"/>
    <w:rsid w:val="004A5DA8"/>
    <w:rsid w:val="004A5F37"/>
    <w:rsid w:val="004A5F47"/>
    <w:rsid w:val="004A5F5C"/>
    <w:rsid w:val="004A5FEB"/>
    <w:rsid w:val="004A6126"/>
    <w:rsid w:val="004A615B"/>
    <w:rsid w:val="004A6206"/>
    <w:rsid w:val="004A6320"/>
    <w:rsid w:val="004A635F"/>
    <w:rsid w:val="004A66F4"/>
    <w:rsid w:val="004A6794"/>
    <w:rsid w:val="004A6825"/>
    <w:rsid w:val="004A688C"/>
    <w:rsid w:val="004A6933"/>
    <w:rsid w:val="004A697C"/>
    <w:rsid w:val="004A6B80"/>
    <w:rsid w:val="004A6B8B"/>
    <w:rsid w:val="004A6B8F"/>
    <w:rsid w:val="004A6C6B"/>
    <w:rsid w:val="004A6CD6"/>
    <w:rsid w:val="004A6CF8"/>
    <w:rsid w:val="004A6D58"/>
    <w:rsid w:val="004A6D67"/>
    <w:rsid w:val="004A6D7D"/>
    <w:rsid w:val="004A6DF8"/>
    <w:rsid w:val="004A6E8D"/>
    <w:rsid w:val="004A6EDC"/>
    <w:rsid w:val="004A7041"/>
    <w:rsid w:val="004A720D"/>
    <w:rsid w:val="004A72DB"/>
    <w:rsid w:val="004A7342"/>
    <w:rsid w:val="004A73A2"/>
    <w:rsid w:val="004A7444"/>
    <w:rsid w:val="004A74A5"/>
    <w:rsid w:val="004A7896"/>
    <w:rsid w:val="004A7920"/>
    <w:rsid w:val="004A7AED"/>
    <w:rsid w:val="004A7B5E"/>
    <w:rsid w:val="004A7BE4"/>
    <w:rsid w:val="004A7CF7"/>
    <w:rsid w:val="004A7D16"/>
    <w:rsid w:val="004A7D5F"/>
    <w:rsid w:val="004A7DF2"/>
    <w:rsid w:val="004A7E13"/>
    <w:rsid w:val="004A7E7C"/>
    <w:rsid w:val="004A7E8F"/>
    <w:rsid w:val="004A7EB6"/>
    <w:rsid w:val="004B0238"/>
    <w:rsid w:val="004B029F"/>
    <w:rsid w:val="004B02F6"/>
    <w:rsid w:val="004B03DD"/>
    <w:rsid w:val="004B080C"/>
    <w:rsid w:val="004B0872"/>
    <w:rsid w:val="004B08C9"/>
    <w:rsid w:val="004B0989"/>
    <w:rsid w:val="004B099F"/>
    <w:rsid w:val="004B0AAA"/>
    <w:rsid w:val="004B0AE2"/>
    <w:rsid w:val="004B0B27"/>
    <w:rsid w:val="004B0BF1"/>
    <w:rsid w:val="004B0EE0"/>
    <w:rsid w:val="004B0F81"/>
    <w:rsid w:val="004B1091"/>
    <w:rsid w:val="004B10D2"/>
    <w:rsid w:val="004B111F"/>
    <w:rsid w:val="004B11DD"/>
    <w:rsid w:val="004B1215"/>
    <w:rsid w:val="004B127B"/>
    <w:rsid w:val="004B12DD"/>
    <w:rsid w:val="004B1352"/>
    <w:rsid w:val="004B16EE"/>
    <w:rsid w:val="004B17E3"/>
    <w:rsid w:val="004B1887"/>
    <w:rsid w:val="004B1931"/>
    <w:rsid w:val="004B19F6"/>
    <w:rsid w:val="004B1A98"/>
    <w:rsid w:val="004B1AB0"/>
    <w:rsid w:val="004B1B76"/>
    <w:rsid w:val="004B1FDB"/>
    <w:rsid w:val="004B2138"/>
    <w:rsid w:val="004B21CA"/>
    <w:rsid w:val="004B21FB"/>
    <w:rsid w:val="004B2216"/>
    <w:rsid w:val="004B22F9"/>
    <w:rsid w:val="004B233E"/>
    <w:rsid w:val="004B234F"/>
    <w:rsid w:val="004B23FE"/>
    <w:rsid w:val="004B24C8"/>
    <w:rsid w:val="004B2602"/>
    <w:rsid w:val="004B264E"/>
    <w:rsid w:val="004B28EC"/>
    <w:rsid w:val="004B29F9"/>
    <w:rsid w:val="004B2A23"/>
    <w:rsid w:val="004B2A88"/>
    <w:rsid w:val="004B2BE2"/>
    <w:rsid w:val="004B2C02"/>
    <w:rsid w:val="004B2C18"/>
    <w:rsid w:val="004B2DBB"/>
    <w:rsid w:val="004B2DC0"/>
    <w:rsid w:val="004B2DFD"/>
    <w:rsid w:val="004B2F27"/>
    <w:rsid w:val="004B2FCF"/>
    <w:rsid w:val="004B3240"/>
    <w:rsid w:val="004B351B"/>
    <w:rsid w:val="004B3542"/>
    <w:rsid w:val="004B3680"/>
    <w:rsid w:val="004B369E"/>
    <w:rsid w:val="004B38E2"/>
    <w:rsid w:val="004B3D48"/>
    <w:rsid w:val="004B3DAA"/>
    <w:rsid w:val="004B4027"/>
    <w:rsid w:val="004B405C"/>
    <w:rsid w:val="004B4080"/>
    <w:rsid w:val="004B40CD"/>
    <w:rsid w:val="004B40D1"/>
    <w:rsid w:val="004B4138"/>
    <w:rsid w:val="004B41C2"/>
    <w:rsid w:val="004B4225"/>
    <w:rsid w:val="004B446B"/>
    <w:rsid w:val="004B44AA"/>
    <w:rsid w:val="004B454A"/>
    <w:rsid w:val="004B455C"/>
    <w:rsid w:val="004B45E8"/>
    <w:rsid w:val="004B45FA"/>
    <w:rsid w:val="004B46A7"/>
    <w:rsid w:val="004B4734"/>
    <w:rsid w:val="004B482C"/>
    <w:rsid w:val="004B487B"/>
    <w:rsid w:val="004B4924"/>
    <w:rsid w:val="004B497E"/>
    <w:rsid w:val="004B49AE"/>
    <w:rsid w:val="004B4B33"/>
    <w:rsid w:val="004B4B79"/>
    <w:rsid w:val="004B4BE3"/>
    <w:rsid w:val="004B4D1D"/>
    <w:rsid w:val="004B4F57"/>
    <w:rsid w:val="004B4F83"/>
    <w:rsid w:val="004B4FE9"/>
    <w:rsid w:val="004B5048"/>
    <w:rsid w:val="004B5142"/>
    <w:rsid w:val="004B5193"/>
    <w:rsid w:val="004B51FD"/>
    <w:rsid w:val="004B528E"/>
    <w:rsid w:val="004B529C"/>
    <w:rsid w:val="004B532E"/>
    <w:rsid w:val="004B55E9"/>
    <w:rsid w:val="004B5858"/>
    <w:rsid w:val="004B585F"/>
    <w:rsid w:val="004B592D"/>
    <w:rsid w:val="004B59E2"/>
    <w:rsid w:val="004B5A55"/>
    <w:rsid w:val="004B5A5E"/>
    <w:rsid w:val="004B5CCF"/>
    <w:rsid w:val="004B5E2C"/>
    <w:rsid w:val="004B5E5D"/>
    <w:rsid w:val="004B5EA0"/>
    <w:rsid w:val="004B5EF4"/>
    <w:rsid w:val="004B62EA"/>
    <w:rsid w:val="004B63DF"/>
    <w:rsid w:val="004B63F6"/>
    <w:rsid w:val="004B6580"/>
    <w:rsid w:val="004B65A6"/>
    <w:rsid w:val="004B66EB"/>
    <w:rsid w:val="004B6748"/>
    <w:rsid w:val="004B6912"/>
    <w:rsid w:val="004B69E0"/>
    <w:rsid w:val="004B6AB8"/>
    <w:rsid w:val="004B6AF6"/>
    <w:rsid w:val="004B6B52"/>
    <w:rsid w:val="004B6B5B"/>
    <w:rsid w:val="004B6B7D"/>
    <w:rsid w:val="004B6CA1"/>
    <w:rsid w:val="004B6D3B"/>
    <w:rsid w:val="004B6E2D"/>
    <w:rsid w:val="004B6ED5"/>
    <w:rsid w:val="004B73AC"/>
    <w:rsid w:val="004B7421"/>
    <w:rsid w:val="004B74F4"/>
    <w:rsid w:val="004B751E"/>
    <w:rsid w:val="004B7814"/>
    <w:rsid w:val="004B782E"/>
    <w:rsid w:val="004B7915"/>
    <w:rsid w:val="004B7960"/>
    <w:rsid w:val="004B7A48"/>
    <w:rsid w:val="004B7A8F"/>
    <w:rsid w:val="004B7B42"/>
    <w:rsid w:val="004B7C08"/>
    <w:rsid w:val="004B7C24"/>
    <w:rsid w:val="004B7CED"/>
    <w:rsid w:val="004B7D94"/>
    <w:rsid w:val="004B7DB9"/>
    <w:rsid w:val="004B7E0F"/>
    <w:rsid w:val="004B7E7B"/>
    <w:rsid w:val="004C00DB"/>
    <w:rsid w:val="004C00E8"/>
    <w:rsid w:val="004C0203"/>
    <w:rsid w:val="004C02AB"/>
    <w:rsid w:val="004C02F2"/>
    <w:rsid w:val="004C031F"/>
    <w:rsid w:val="004C04E0"/>
    <w:rsid w:val="004C05F5"/>
    <w:rsid w:val="004C06D3"/>
    <w:rsid w:val="004C0804"/>
    <w:rsid w:val="004C0953"/>
    <w:rsid w:val="004C0A8C"/>
    <w:rsid w:val="004C0B80"/>
    <w:rsid w:val="004C0BCC"/>
    <w:rsid w:val="004C0C5C"/>
    <w:rsid w:val="004C0CD5"/>
    <w:rsid w:val="004C0EFF"/>
    <w:rsid w:val="004C0FC1"/>
    <w:rsid w:val="004C0FD0"/>
    <w:rsid w:val="004C122C"/>
    <w:rsid w:val="004C153E"/>
    <w:rsid w:val="004C1554"/>
    <w:rsid w:val="004C16A3"/>
    <w:rsid w:val="004C16E4"/>
    <w:rsid w:val="004C16F0"/>
    <w:rsid w:val="004C1735"/>
    <w:rsid w:val="004C193A"/>
    <w:rsid w:val="004C199C"/>
    <w:rsid w:val="004C1BC8"/>
    <w:rsid w:val="004C1BD0"/>
    <w:rsid w:val="004C1CBB"/>
    <w:rsid w:val="004C1D21"/>
    <w:rsid w:val="004C1FDE"/>
    <w:rsid w:val="004C212C"/>
    <w:rsid w:val="004C214C"/>
    <w:rsid w:val="004C219D"/>
    <w:rsid w:val="004C219F"/>
    <w:rsid w:val="004C257D"/>
    <w:rsid w:val="004C2657"/>
    <w:rsid w:val="004C2889"/>
    <w:rsid w:val="004C28A0"/>
    <w:rsid w:val="004C28BC"/>
    <w:rsid w:val="004C28CC"/>
    <w:rsid w:val="004C2A4C"/>
    <w:rsid w:val="004C2B3C"/>
    <w:rsid w:val="004C2D01"/>
    <w:rsid w:val="004C2D6C"/>
    <w:rsid w:val="004C2DD5"/>
    <w:rsid w:val="004C2FBE"/>
    <w:rsid w:val="004C2FCB"/>
    <w:rsid w:val="004C301A"/>
    <w:rsid w:val="004C30BF"/>
    <w:rsid w:val="004C335A"/>
    <w:rsid w:val="004C344A"/>
    <w:rsid w:val="004C35B4"/>
    <w:rsid w:val="004C37EF"/>
    <w:rsid w:val="004C38AE"/>
    <w:rsid w:val="004C38B6"/>
    <w:rsid w:val="004C394F"/>
    <w:rsid w:val="004C3AF2"/>
    <w:rsid w:val="004C3DD6"/>
    <w:rsid w:val="004C3E71"/>
    <w:rsid w:val="004C3F64"/>
    <w:rsid w:val="004C40A7"/>
    <w:rsid w:val="004C4267"/>
    <w:rsid w:val="004C4770"/>
    <w:rsid w:val="004C47D9"/>
    <w:rsid w:val="004C47E1"/>
    <w:rsid w:val="004C48A9"/>
    <w:rsid w:val="004C4946"/>
    <w:rsid w:val="004C4972"/>
    <w:rsid w:val="004C4A78"/>
    <w:rsid w:val="004C51D6"/>
    <w:rsid w:val="004C51DE"/>
    <w:rsid w:val="004C5339"/>
    <w:rsid w:val="004C53CA"/>
    <w:rsid w:val="004C5592"/>
    <w:rsid w:val="004C5727"/>
    <w:rsid w:val="004C57F3"/>
    <w:rsid w:val="004C5849"/>
    <w:rsid w:val="004C590E"/>
    <w:rsid w:val="004C5978"/>
    <w:rsid w:val="004C598B"/>
    <w:rsid w:val="004C5ABA"/>
    <w:rsid w:val="004C5AE9"/>
    <w:rsid w:val="004C5B58"/>
    <w:rsid w:val="004C5B6D"/>
    <w:rsid w:val="004C5B75"/>
    <w:rsid w:val="004C5F54"/>
    <w:rsid w:val="004C604A"/>
    <w:rsid w:val="004C6083"/>
    <w:rsid w:val="004C6085"/>
    <w:rsid w:val="004C6160"/>
    <w:rsid w:val="004C6583"/>
    <w:rsid w:val="004C66B5"/>
    <w:rsid w:val="004C66D8"/>
    <w:rsid w:val="004C6A42"/>
    <w:rsid w:val="004C6A75"/>
    <w:rsid w:val="004C6A84"/>
    <w:rsid w:val="004C6A8B"/>
    <w:rsid w:val="004C6AAB"/>
    <w:rsid w:val="004C6B05"/>
    <w:rsid w:val="004C6B34"/>
    <w:rsid w:val="004C6C11"/>
    <w:rsid w:val="004C6C7A"/>
    <w:rsid w:val="004C6D36"/>
    <w:rsid w:val="004C6D47"/>
    <w:rsid w:val="004C6DC7"/>
    <w:rsid w:val="004C6DD1"/>
    <w:rsid w:val="004C6E91"/>
    <w:rsid w:val="004C6ED2"/>
    <w:rsid w:val="004C6EF6"/>
    <w:rsid w:val="004C6F10"/>
    <w:rsid w:val="004C7010"/>
    <w:rsid w:val="004C7140"/>
    <w:rsid w:val="004C7219"/>
    <w:rsid w:val="004C730F"/>
    <w:rsid w:val="004C738A"/>
    <w:rsid w:val="004C739C"/>
    <w:rsid w:val="004C748F"/>
    <w:rsid w:val="004C7683"/>
    <w:rsid w:val="004C76F0"/>
    <w:rsid w:val="004C7892"/>
    <w:rsid w:val="004C7911"/>
    <w:rsid w:val="004C793F"/>
    <w:rsid w:val="004C7BA2"/>
    <w:rsid w:val="004C7BB7"/>
    <w:rsid w:val="004C7BBB"/>
    <w:rsid w:val="004C7BEE"/>
    <w:rsid w:val="004C7E5B"/>
    <w:rsid w:val="004C7EDC"/>
    <w:rsid w:val="004C7F78"/>
    <w:rsid w:val="004D01EE"/>
    <w:rsid w:val="004D02BC"/>
    <w:rsid w:val="004D0372"/>
    <w:rsid w:val="004D0400"/>
    <w:rsid w:val="004D041C"/>
    <w:rsid w:val="004D062C"/>
    <w:rsid w:val="004D07A3"/>
    <w:rsid w:val="004D0880"/>
    <w:rsid w:val="004D0DDA"/>
    <w:rsid w:val="004D0F83"/>
    <w:rsid w:val="004D1016"/>
    <w:rsid w:val="004D115A"/>
    <w:rsid w:val="004D11EB"/>
    <w:rsid w:val="004D1257"/>
    <w:rsid w:val="004D13A8"/>
    <w:rsid w:val="004D1425"/>
    <w:rsid w:val="004D156B"/>
    <w:rsid w:val="004D1636"/>
    <w:rsid w:val="004D169D"/>
    <w:rsid w:val="004D1817"/>
    <w:rsid w:val="004D18C3"/>
    <w:rsid w:val="004D195F"/>
    <w:rsid w:val="004D1AA0"/>
    <w:rsid w:val="004D1C4F"/>
    <w:rsid w:val="004D1E3F"/>
    <w:rsid w:val="004D1E98"/>
    <w:rsid w:val="004D1F2A"/>
    <w:rsid w:val="004D1FB4"/>
    <w:rsid w:val="004D2047"/>
    <w:rsid w:val="004D21AE"/>
    <w:rsid w:val="004D21BF"/>
    <w:rsid w:val="004D21D9"/>
    <w:rsid w:val="004D2212"/>
    <w:rsid w:val="004D226E"/>
    <w:rsid w:val="004D241C"/>
    <w:rsid w:val="004D24F1"/>
    <w:rsid w:val="004D2626"/>
    <w:rsid w:val="004D265C"/>
    <w:rsid w:val="004D2952"/>
    <w:rsid w:val="004D29E5"/>
    <w:rsid w:val="004D2A34"/>
    <w:rsid w:val="004D2C44"/>
    <w:rsid w:val="004D2E4C"/>
    <w:rsid w:val="004D2E6D"/>
    <w:rsid w:val="004D2F11"/>
    <w:rsid w:val="004D2F3E"/>
    <w:rsid w:val="004D3027"/>
    <w:rsid w:val="004D3077"/>
    <w:rsid w:val="004D316A"/>
    <w:rsid w:val="004D3175"/>
    <w:rsid w:val="004D31EC"/>
    <w:rsid w:val="004D3374"/>
    <w:rsid w:val="004D3409"/>
    <w:rsid w:val="004D3602"/>
    <w:rsid w:val="004D367A"/>
    <w:rsid w:val="004D36DF"/>
    <w:rsid w:val="004D3731"/>
    <w:rsid w:val="004D38C2"/>
    <w:rsid w:val="004D3917"/>
    <w:rsid w:val="004D3927"/>
    <w:rsid w:val="004D3A88"/>
    <w:rsid w:val="004D3AEA"/>
    <w:rsid w:val="004D3B06"/>
    <w:rsid w:val="004D3D41"/>
    <w:rsid w:val="004D3D95"/>
    <w:rsid w:val="004D3E16"/>
    <w:rsid w:val="004D3E97"/>
    <w:rsid w:val="004D3EBD"/>
    <w:rsid w:val="004D402F"/>
    <w:rsid w:val="004D40C0"/>
    <w:rsid w:val="004D40DB"/>
    <w:rsid w:val="004D40EA"/>
    <w:rsid w:val="004D4126"/>
    <w:rsid w:val="004D427B"/>
    <w:rsid w:val="004D4472"/>
    <w:rsid w:val="004D44BC"/>
    <w:rsid w:val="004D45C3"/>
    <w:rsid w:val="004D45C4"/>
    <w:rsid w:val="004D45D1"/>
    <w:rsid w:val="004D46B4"/>
    <w:rsid w:val="004D488E"/>
    <w:rsid w:val="004D489D"/>
    <w:rsid w:val="004D48F0"/>
    <w:rsid w:val="004D497D"/>
    <w:rsid w:val="004D4AF4"/>
    <w:rsid w:val="004D4B28"/>
    <w:rsid w:val="004D4B72"/>
    <w:rsid w:val="004D4B83"/>
    <w:rsid w:val="004D4BA6"/>
    <w:rsid w:val="004D4CA9"/>
    <w:rsid w:val="004D4D4A"/>
    <w:rsid w:val="004D5112"/>
    <w:rsid w:val="004D51F8"/>
    <w:rsid w:val="004D5243"/>
    <w:rsid w:val="004D5404"/>
    <w:rsid w:val="004D55E4"/>
    <w:rsid w:val="004D58E8"/>
    <w:rsid w:val="004D5961"/>
    <w:rsid w:val="004D5E0B"/>
    <w:rsid w:val="004D5E9F"/>
    <w:rsid w:val="004D5EDA"/>
    <w:rsid w:val="004D6062"/>
    <w:rsid w:val="004D6122"/>
    <w:rsid w:val="004D6152"/>
    <w:rsid w:val="004D6505"/>
    <w:rsid w:val="004D65F2"/>
    <w:rsid w:val="004D6661"/>
    <w:rsid w:val="004D6777"/>
    <w:rsid w:val="004D6818"/>
    <w:rsid w:val="004D68EF"/>
    <w:rsid w:val="004D6DE0"/>
    <w:rsid w:val="004D6F59"/>
    <w:rsid w:val="004D6FF7"/>
    <w:rsid w:val="004D7085"/>
    <w:rsid w:val="004D70D1"/>
    <w:rsid w:val="004D711C"/>
    <w:rsid w:val="004D712A"/>
    <w:rsid w:val="004D712D"/>
    <w:rsid w:val="004D7149"/>
    <w:rsid w:val="004D717B"/>
    <w:rsid w:val="004D738C"/>
    <w:rsid w:val="004D73EB"/>
    <w:rsid w:val="004D73F5"/>
    <w:rsid w:val="004D74CD"/>
    <w:rsid w:val="004D75C2"/>
    <w:rsid w:val="004D76F2"/>
    <w:rsid w:val="004D77E1"/>
    <w:rsid w:val="004D77EE"/>
    <w:rsid w:val="004D7BCD"/>
    <w:rsid w:val="004D7BED"/>
    <w:rsid w:val="004D7E23"/>
    <w:rsid w:val="004D7F5D"/>
    <w:rsid w:val="004D7F6B"/>
    <w:rsid w:val="004D7FA7"/>
    <w:rsid w:val="004D7FD3"/>
    <w:rsid w:val="004E014E"/>
    <w:rsid w:val="004E047C"/>
    <w:rsid w:val="004E0515"/>
    <w:rsid w:val="004E0577"/>
    <w:rsid w:val="004E05AE"/>
    <w:rsid w:val="004E0778"/>
    <w:rsid w:val="004E07B0"/>
    <w:rsid w:val="004E07E2"/>
    <w:rsid w:val="004E09BF"/>
    <w:rsid w:val="004E0B2D"/>
    <w:rsid w:val="004E0C2F"/>
    <w:rsid w:val="004E0C46"/>
    <w:rsid w:val="004E0CC8"/>
    <w:rsid w:val="004E0DAB"/>
    <w:rsid w:val="004E0E09"/>
    <w:rsid w:val="004E0E7F"/>
    <w:rsid w:val="004E0EC3"/>
    <w:rsid w:val="004E0F5E"/>
    <w:rsid w:val="004E10E2"/>
    <w:rsid w:val="004E13A8"/>
    <w:rsid w:val="004E13F6"/>
    <w:rsid w:val="004E146A"/>
    <w:rsid w:val="004E14CF"/>
    <w:rsid w:val="004E171B"/>
    <w:rsid w:val="004E174C"/>
    <w:rsid w:val="004E1991"/>
    <w:rsid w:val="004E1AB5"/>
    <w:rsid w:val="004E1AF4"/>
    <w:rsid w:val="004E1B62"/>
    <w:rsid w:val="004E1B8F"/>
    <w:rsid w:val="004E1CD9"/>
    <w:rsid w:val="004E1D23"/>
    <w:rsid w:val="004E1DA3"/>
    <w:rsid w:val="004E1EDB"/>
    <w:rsid w:val="004E2069"/>
    <w:rsid w:val="004E2094"/>
    <w:rsid w:val="004E20AA"/>
    <w:rsid w:val="004E20B9"/>
    <w:rsid w:val="004E20CB"/>
    <w:rsid w:val="004E20FD"/>
    <w:rsid w:val="004E2187"/>
    <w:rsid w:val="004E22B9"/>
    <w:rsid w:val="004E23B6"/>
    <w:rsid w:val="004E2403"/>
    <w:rsid w:val="004E26AC"/>
    <w:rsid w:val="004E26C9"/>
    <w:rsid w:val="004E26FF"/>
    <w:rsid w:val="004E28DF"/>
    <w:rsid w:val="004E2940"/>
    <w:rsid w:val="004E2A21"/>
    <w:rsid w:val="004E2A33"/>
    <w:rsid w:val="004E2A95"/>
    <w:rsid w:val="004E2C4B"/>
    <w:rsid w:val="004E2C58"/>
    <w:rsid w:val="004E2DA4"/>
    <w:rsid w:val="004E2DD8"/>
    <w:rsid w:val="004E2E39"/>
    <w:rsid w:val="004E3043"/>
    <w:rsid w:val="004E31DB"/>
    <w:rsid w:val="004E3235"/>
    <w:rsid w:val="004E3325"/>
    <w:rsid w:val="004E3330"/>
    <w:rsid w:val="004E3391"/>
    <w:rsid w:val="004E3430"/>
    <w:rsid w:val="004E364E"/>
    <w:rsid w:val="004E36F5"/>
    <w:rsid w:val="004E3703"/>
    <w:rsid w:val="004E370C"/>
    <w:rsid w:val="004E378B"/>
    <w:rsid w:val="004E379B"/>
    <w:rsid w:val="004E37B3"/>
    <w:rsid w:val="004E3859"/>
    <w:rsid w:val="004E38BC"/>
    <w:rsid w:val="004E38C6"/>
    <w:rsid w:val="004E38F8"/>
    <w:rsid w:val="004E3A4D"/>
    <w:rsid w:val="004E3A67"/>
    <w:rsid w:val="004E3B11"/>
    <w:rsid w:val="004E3B75"/>
    <w:rsid w:val="004E3BAC"/>
    <w:rsid w:val="004E3BDC"/>
    <w:rsid w:val="004E3D41"/>
    <w:rsid w:val="004E3D73"/>
    <w:rsid w:val="004E3DC4"/>
    <w:rsid w:val="004E3DEA"/>
    <w:rsid w:val="004E3EF1"/>
    <w:rsid w:val="004E3FCE"/>
    <w:rsid w:val="004E416A"/>
    <w:rsid w:val="004E4252"/>
    <w:rsid w:val="004E4265"/>
    <w:rsid w:val="004E448A"/>
    <w:rsid w:val="004E465C"/>
    <w:rsid w:val="004E46CD"/>
    <w:rsid w:val="004E4715"/>
    <w:rsid w:val="004E485C"/>
    <w:rsid w:val="004E49AF"/>
    <w:rsid w:val="004E49FD"/>
    <w:rsid w:val="004E4A78"/>
    <w:rsid w:val="004E4AF2"/>
    <w:rsid w:val="004E4EA8"/>
    <w:rsid w:val="004E4F94"/>
    <w:rsid w:val="004E5072"/>
    <w:rsid w:val="004E50BF"/>
    <w:rsid w:val="004E50CA"/>
    <w:rsid w:val="004E53CB"/>
    <w:rsid w:val="004E53FA"/>
    <w:rsid w:val="004E54B1"/>
    <w:rsid w:val="004E556A"/>
    <w:rsid w:val="004E55D7"/>
    <w:rsid w:val="004E569A"/>
    <w:rsid w:val="004E5724"/>
    <w:rsid w:val="004E5894"/>
    <w:rsid w:val="004E590C"/>
    <w:rsid w:val="004E5943"/>
    <w:rsid w:val="004E5968"/>
    <w:rsid w:val="004E5C48"/>
    <w:rsid w:val="004E5C5F"/>
    <w:rsid w:val="004E5E44"/>
    <w:rsid w:val="004E61D5"/>
    <w:rsid w:val="004E6329"/>
    <w:rsid w:val="004E6492"/>
    <w:rsid w:val="004E6539"/>
    <w:rsid w:val="004E661B"/>
    <w:rsid w:val="004E6647"/>
    <w:rsid w:val="004E679D"/>
    <w:rsid w:val="004E67AC"/>
    <w:rsid w:val="004E6828"/>
    <w:rsid w:val="004E6E87"/>
    <w:rsid w:val="004E6F60"/>
    <w:rsid w:val="004E6FE0"/>
    <w:rsid w:val="004E71C6"/>
    <w:rsid w:val="004E76FD"/>
    <w:rsid w:val="004E77FB"/>
    <w:rsid w:val="004E782D"/>
    <w:rsid w:val="004E786A"/>
    <w:rsid w:val="004E787F"/>
    <w:rsid w:val="004E78B1"/>
    <w:rsid w:val="004E7943"/>
    <w:rsid w:val="004E7E10"/>
    <w:rsid w:val="004F002D"/>
    <w:rsid w:val="004F00CA"/>
    <w:rsid w:val="004F0240"/>
    <w:rsid w:val="004F0246"/>
    <w:rsid w:val="004F0421"/>
    <w:rsid w:val="004F073D"/>
    <w:rsid w:val="004F0770"/>
    <w:rsid w:val="004F08B3"/>
    <w:rsid w:val="004F098F"/>
    <w:rsid w:val="004F0B5E"/>
    <w:rsid w:val="004F0B60"/>
    <w:rsid w:val="004F0CE1"/>
    <w:rsid w:val="004F0D3C"/>
    <w:rsid w:val="004F0D54"/>
    <w:rsid w:val="004F0D6E"/>
    <w:rsid w:val="004F0DDB"/>
    <w:rsid w:val="004F0E1D"/>
    <w:rsid w:val="004F0E38"/>
    <w:rsid w:val="004F100B"/>
    <w:rsid w:val="004F1078"/>
    <w:rsid w:val="004F10C2"/>
    <w:rsid w:val="004F1254"/>
    <w:rsid w:val="004F1273"/>
    <w:rsid w:val="004F13C0"/>
    <w:rsid w:val="004F142F"/>
    <w:rsid w:val="004F143F"/>
    <w:rsid w:val="004F1502"/>
    <w:rsid w:val="004F1764"/>
    <w:rsid w:val="004F1825"/>
    <w:rsid w:val="004F1888"/>
    <w:rsid w:val="004F18AD"/>
    <w:rsid w:val="004F18FB"/>
    <w:rsid w:val="004F1925"/>
    <w:rsid w:val="004F1BB4"/>
    <w:rsid w:val="004F1CFE"/>
    <w:rsid w:val="004F1DB7"/>
    <w:rsid w:val="004F2144"/>
    <w:rsid w:val="004F2268"/>
    <w:rsid w:val="004F22CD"/>
    <w:rsid w:val="004F2360"/>
    <w:rsid w:val="004F23B3"/>
    <w:rsid w:val="004F23D1"/>
    <w:rsid w:val="004F258F"/>
    <w:rsid w:val="004F25B3"/>
    <w:rsid w:val="004F267B"/>
    <w:rsid w:val="004F290D"/>
    <w:rsid w:val="004F2C58"/>
    <w:rsid w:val="004F2F01"/>
    <w:rsid w:val="004F2FA2"/>
    <w:rsid w:val="004F3015"/>
    <w:rsid w:val="004F3133"/>
    <w:rsid w:val="004F322A"/>
    <w:rsid w:val="004F3320"/>
    <w:rsid w:val="004F3366"/>
    <w:rsid w:val="004F33A0"/>
    <w:rsid w:val="004F3678"/>
    <w:rsid w:val="004F369B"/>
    <w:rsid w:val="004F36B9"/>
    <w:rsid w:val="004F37C9"/>
    <w:rsid w:val="004F38A0"/>
    <w:rsid w:val="004F3943"/>
    <w:rsid w:val="004F3AEC"/>
    <w:rsid w:val="004F3BC6"/>
    <w:rsid w:val="004F3BD5"/>
    <w:rsid w:val="004F3BE2"/>
    <w:rsid w:val="004F3C5C"/>
    <w:rsid w:val="004F3C85"/>
    <w:rsid w:val="004F3D12"/>
    <w:rsid w:val="004F3F1D"/>
    <w:rsid w:val="004F3F2B"/>
    <w:rsid w:val="004F3FCF"/>
    <w:rsid w:val="004F405A"/>
    <w:rsid w:val="004F40BA"/>
    <w:rsid w:val="004F41C4"/>
    <w:rsid w:val="004F42C4"/>
    <w:rsid w:val="004F42FC"/>
    <w:rsid w:val="004F4508"/>
    <w:rsid w:val="004F4756"/>
    <w:rsid w:val="004F47B5"/>
    <w:rsid w:val="004F4A47"/>
    <w:rsid w:val="004F4BBD"/>
    <w:rsid w:val="004F4C70"/>
    <w:rsid w:val="004F4F45"/>
    <w:rsid w:val="004F5069"/>
    <w:rsid w:val="004F507D"/>
    <w:rsid w:val="004F50FD"/>
    <w:rsid w:val="004F5283"/>
    <w:rsid w:val="004F52E3"/>
    <w:rsid w:val="004F552B"/>
    <w:rsid w:val="004F5575"/>
    <w:rsid w:val="004F576D"/>
    <w:rsid w:val="004F59C2"/>
    <w:rsid w:val="004F5A9C"/>
    <w:rsid w:val="004F5B73"/>
    <w:rsid w:val="004F5BA2"/>
    <w:rsid w:val="004F5BE1"/>
    <w:rsid w:val="004F5F27"/>
    <w:rsid w:val="004F60DC"/>
    <w:rsid w:val="004F6238"/>
    <w:rsid w:val="004F6322"/>
    <w:rsid w:val="004F63F5"/>
    <w:rsid w:val="004F647A"/>
    <w:rsid w:val="004F65F6"/>
    <w:rsid w:val="004F6885"/>
    <w:rsid w:val="004F68C9"/>
    <w:rsid w:val="004F68F6"/>
    <w:rsid w:val="004F694E"/>
    <w:rsid w:val="004F695F"/>
    <w:rsid w:val="004F6976"/>
    <w:rsid w:val="004F6997"/>
    <w:rsid w:val="004F6A1B"/>
    <w:rsid w:val="004F6AE8"/>
    <w:rsid w:val="004F6B37"/>
    <w:rsid w:val="004F6B89"/>
    <w:rsid w:val="004F6BBA"/>
    <w:rsid w:val="004F6BC5"/>
    <w:rsid w:val="004F6C10"/>
    <w:rsid w:val="004F6DB5"/>
    <w:rsid w:val="004F6E42"/>
    <w:rsid w:val="004F6F47"/>
    <w:rsid w:val="004F6F84"/>
    <w:rsid w:val="004F70DC"/>
    <w:rsid w:val="004F715F"/>
    <w:rsid w:val="004F717F"/>
    <w:rsid w:val="004F72C3"/>
    <w:rsid w:val="004F736B"/>
    <w:rsid w:val="004F73AB"/>
    <w:rsid w:val="004F73DF"/>
    <w:rsid w:val="004F73E5"/>
    <w:rsid w:val="004F750D"/>
    <w:rsid w:val="004F7625"/>
    <w:rsid w:val="004F781A"/>
    <w:rsid w:val="004F7875"/>
    <w:rsid w:val="004F78F8"/>
    <w:rsid w:val="004F78FA"/>
    <w:rsid w:val="004F7909"/>
    <w:rsid w:val="004F7D20"/>
    <w:rsid w:val="004F7D2E"/>
    <w:rsid w:val="004F7D3A"/>
    <w:rsid w:val="004F7D97"/>
    <w:rsid w:val="004F7F53"/>
    <w:rsid w:val="00500003"/>
    <w:rsid w:val="005000D2"/>
    <w:rsid w:val="00500413"/>
    <w:rsid w:val="00500657"/>
    <w:rsid w:val="0050094C"/>
    <w:rsid w:val="00500A38"/>
    <w:rsid w:val="00500AD4"/>
    <w:rsid w:val="00500AE5"/>
    <w:rsid w:val="00500B00"/>
    <w:rsid w:val="00500B3C"/>
    <w:rsid w:val="00500B67"/>
    <w:rsid w:val="00500BD5"/>
    <w:rsid w:val="00500D73"/>
    <w:rsid w:val="00500DE2"/>
    <w:rsid w:val="00500DE4"/>
    <w:rsid w:val="00500DE8"/>
    <w:rsid w:val="00500EB9"/>
    <w:rsid w:val="00501032"/>
    <w:rsid w:val="00501057"/>
    <w:rsid w:val="0050105B"/>
    <w:rsid w:val="00501205"/>
    <w:rsid w:val="00501246"/>
    <w:rsid w:val="0050125D"/>
    <w:rsid w:val="00501380"/>
    <w:rsid w:val="005014C1"/>
    <w:rsid w:val="005015F0"/>
    <w:rsid w:val="0050164A"/>
    <w:rsid w:val="005018B2"/>
    <w:rsid w:val="00501918"/>
    <w:rsid w:val="00501A51"/>
    <w:rsid w:val="00501D4B"/>
    <w:rsid w:val="00501D61"/>
    <w:rsid w:val="00501E38"/>
    <w:rsid w:val="00501E6E"/>
    <w:rsid w:val="00501E74"/>
    <w:rsid w:val="00501E8E"/>
    <w:rsid w:val="00501FD7"/>
    <w:rsid w:val="00502077"/>
    <w:rsid w:val="005021A6"/>
    <w:rsid w:val="005022C9"/>
    <w:rsid w:val="005023A6"/>
    <w:rsid w:val="00502452"/>
    <w:rsid w:val="0050247B"/>
    <w:rsid w:val="0050255D"/>
    <w:rsid w:val="00502614"/>
    <w:rsid w:val="0050264D"/>
    <w:rsid w:val="00502753"/>
    <w:rsid w:val="005028F6"/>
    <w:rsid w:val="0050290B"/>
    <w:rsid w:val="00502947"/>
    <w:rsid w:val="00502993"/>
    <w:rsid w:val="00502A75"/>
    <w:rsid w:val="00502B48"/>
    <w:rsid w:val="00502BEA"/>
    <w:rsid w:val="00502C1C"/>
    <w:rsid w:val="00502C84"/>
    <w:rsid w:val="00502CF3"/>
    <w:rsid w:val="00502E10"/>
    <w:rsid w:val="00502F09"/>
    <w:rsid w:val="0050301A"/>
    <w:rsid w:val="00503267"/>
    <w:rsid w:val="0050328E"/>
    <w:rsid w:val="005033BA"/>
    <w:rsid w:val="005033E7"/>
    <w:rsid w:val="005033EE"/>
    <w:rsid w:val="00503450"/>
    <w:rsid w:val="0050351E"/>
    <w:rsid w:val="00503587"/>
    <w:rsid w:val="005035C1"/>
    <w:rsid w:val="0050365D"/>
    <w:rsid w:val="005037AA"/>
    <w:rsid w:val="005037B5"/>
    <w:rsid w:val="00503AFB"/>
    <w:rsid w:val="00503B54"/>
    <w:rsid w:val="00503BE1"/>
    <w:rsid w:val="00503CB7"/>
    <w:rsid w:val="00503D15"/>
    <w:rsid w:val="00503D47"/>
    <w:rsid w:val="00503D56"/>
    <w:rsid w:val="0050400E"/>
    <w:rsid w:val="00504039"/>
    <w:rsid w:val="00504101"/>
    <w:rsid w:val="00504338"/>
    <w:rsid w:val="0050434B"/>
    <w:rsid w:val="005043A8"/>
    <w:rsid w:val="00504524"/>
    <w:rsid w:val="005048DE"/>
    <w:rsid w:val="00504B13"/>
    <w:rsid w:val="00504B3A"/>
    <w:rsid w:val="00504B9F"/>
    <w:rsid w:val="00504D67"/>
    <w:rsid w:val="005050FF"/>
    <w:rsid w:val="0050515D"/>
    <w:rsid w:val="005051FB"/>
    <w:rsid w:val="00505214"/>
    <w:rsid w:val="005054EE"/>
    <w:rsid w:val="005055DF"/>
    <w:rsid w:val="00505636"/>
    <w:rsid w:val="00505681"/>
    <w:rsid w:val="00505729"/>
    <w:rsid w:val="00505850"/>
    <w:rsid w:val="005058E0"/>
    <w:rsid w:val="005059A5"/>
    <w:rsid w:val="00505B13"/>
    <w:rsid w:val="00505B4C"/>
    <w:rsid w:val="00505C1E"/>
    <w:rsid w:val="00505DE6"/>
    <w:rsid w:val="00505E0D"/>
    <w:rsid w:val="00505EC0"/>
    <w:rsid w:val="00505F2D"/>
    <w:rsid w:val="00505F9B"/>
    <w:rsid w:val="005060AB"/>
    <w:rsid w:val="005060E2"/>
    <w:rsid w:val="0050616C"/>
    <w:rsid w:val="005061F3"/>
    <w:rsid w:val="005062A2"/>
    <w:rsid w:val="005063CB"/>
    <w:rsid w:val="005065A6"/>
    <w:rsid w:val="00506632"/>
    <w:rsid w:val="0050675E"/>
    <w:rsid w:val="00506858"/>
    <w:rsid w:val="00506859"/>
    <w:rsid w:val="00506B59"/>
    <w:rsid w:val="00506B94"/>
    <w:rsid w:val="00506BBD"/>
    <w:rsid w:val="00506C73"/>
    <w:rsid w:val="00506CEB"/>
    <w:rsid w:val="00506D4E"/>
    <w:rsid w:val="00506E07"/>
    <w:rsid w:val="00506E2A"/>
    <w:rsid w:val="00506E36"/>
    <w:rsid w:val="00506E7F"/>
    <w:rsid w:val="00506F1E"/>
    <w:rsid w:val="00506F4D"/>
    <w:rsid w:val="005070CB"/>
    <w:rsid w:val="005073F5"/>
    <w:rsid w:val="00507444"/>
    <w:rsid w:val="005074FB"/>
    <w:rsid w:val="0050752F"/>
    <w:rsid w:val="0050762A"/>
    <w:rsid w:val="005076FF"/>
    <w:rsid w:val="00507802"/>
    <w:rsid w:val="00507807"/>
    <w:rsid w:val="0050788C"/>
    <w:rsid w:val="005079CB"/>
    <w:rsid w:val="00507A8B"/>
    <w:rsid w:val="00507BE0"/>
    <w:rsid w:val="00507BEC"/>
    <w:rsid w:val="00507D57"/>
    <w:rsid w:val="00507D84"/>
    <w:rsid w:val="00507E13"/>
    <w:rsid w:val="00507E1D"/>
    <w:rsid w:val="00507F14"/>
    <w:rsid w:val="00507F23"/>
    <w:rsid w:val="00510015"/>
    <w:rsid w:val="00510075"/>
    <w:rsid w:val="005100E8"/>
    <w:rsid w:val="0051012D"/>
    <w:rsid w:val="00510160"/>
    <w:rsid w:val="005101FF"/>
    <w:rsid w:val="005102F4"/>
    <w:rsid w:val="005103B0"/>
    <w:rsid w:val="00510422"/>
    <w:rsid w:val="005104CC"/>
    <w:rsid w:val="00510592"/>
    <w:rsid w:val="00510594"/>
    <w:rsid w:val="00510646"/>
    <w:rsid w:val="005107A1"/>
    <w:rsid w:val="005107B1"/>
    <w:rsid w:val="00510981"/>
    <w:rsid w:val="005109EA"/>
    <w:rsid w:val="00510A75"/>
    <w:rsid w:val="00510B73"/>
    <w:rsid w:val="00510C07"/>
    <w:rsid w:val="00510C77"/>
    <w:rsid w:val="00510CBE"/>
    <w:rsid w:val="00510DED"/>
    <w:rsid w:val="00510FA6"/>
    <w:rsid w:val="00511067"/>
    <w:rsid w:val="005111D7"/>
    <w:rsid w:val="00511216"/>
    <w:rsid w:val="005112CE"/>
    <w:rsid w:val="0051141E"/>
    <w:rsid w:val="005116E3"/>
    <w:rsid w:val="0051188F"/>
    <w:rsid w:val="005118F9"/>
    <w:rsid w:val="005119E7"/>
    <w:rsid w:val="005119FB"/>
    <w:rsid w:val="00511A03"/>
    <w:rsid w:val="00511CA6"/>
    <w:rsid w:val="00511CCB"/>
    <w:rsid w:val="00511DA7"/>
    <w:rsid w:val="00511DFE"/>
    <w:rsid w:val="00511ED8"/>
    <w:rsid w:val="00511F52"/>
    <w:rsid w:val="00511F9A"/>
    <w:rsid w:val="00511FB5"/>
    <w:rsid w:val="00512125"/>
    <w:rsid w:val="0051213B"/>
    <w:rsid w:val="00512212"/>
    <w:rsid w:val="0051227E"/>
    <w:rsid w:val="005124C1"/>
    <w:rsid w:val="00512646"/>
    <w:rsid w:val="005126A8"/>
    <w:rsid w:val="00512731"/>
    <w:rsid w:val="0051284B"/>
    <w:rsid w:val="00512873"/>
    <w:rsid w:val="00512878"/>
    <w:rsid w:val="00512991"/>
    <w:rsid w:val="00512AD8"/>
    <w:rsid w:val="00512B4E"/>
    <w:rsid w:val="00512B7D"/>
    <w:rsid w:val="00512C3A"/>
    <w:rsid w:val="00512D28"/>
    <w:rsid w:val="00512D30"/>
    <w:rsid w:val="00512DFD"/>
    <w:rsid w:val="00512F4B"/>
    <w:rsid w:val="00513226"/>
    <w:rsid w:val="00513380"/>
    <w:rsid w:val="005134D3"/>
    <w:rsid w:val="00513540"/>
    <w:rsid w:val="00513542"/>
    <w:rsid w:val="00513575"/>
    <w:rsid w:val="00513810"/>
    <w:rsid w:val="0051391A"/>
    <w:rsid w:val="0051396D"/>
    <w:rsid w:val="00513A52"/>
    <w:rsid w:val="00513EFE"/>
    <w:rsid w:val="00513F2C"/>
    <w:rsid w:val="00514281"/>
    <w:rsid w:val="00514350"/>
    <w:rsid w:val="00514413"/>
    <w:rsid w:val="0051446E"/>
    <w:rsid w:val="005144E0"/>
    <w:rsid w:val="0051465D"/>
    <w:rsid w:val="0051469E"/>
    <w:rsid w:val="005147BC"/>
    <w:rsid w:val="0051480A"/>
    <w:rsid w:val="0051484C"/>
    <w:rsid w:val="00514A74"/>
    <w:rsid w:val="00514AA9"/>
    <w:rsid w:val="00514AE5"/>
    <w:rsid w:val="00514AEE"/>
    <w:rsid w:val="00514BCC"/>
    <w:rsid w:val="00514D52"/>
    <w:rsid w:val="00514DD5"/>
    <w:rsid w:val="00514DED"/>
    <w:rsid w:val="00514E24"/>
    <w:rsid w:val="00514E7A"/>
    <w:rsid w:val="00514F2C"/>
    <w:rsid w:val="00514F89"/>
    <w:rsid w:val="0051504E"/>
    <w:rsid w:val="005150AF"/>
    <w:rsid w:val="005150E2"/>
    <w:rsid w:val="005151A7"/>
    <w:rsid w:val="005151DD"/>
    <w:rsid w:val="00515398"/>
    <w:rsid w:val="0051549D"/>
    <w:rsid w:val="00515684"/>
    <w:rsid w:val="005156E1"/>
    <w:rsid w:val="005158B4"/>
    <w:rsid w:val="005158FD"/>
    <w:rsid w:val="0051590D"/>
    <w:rsid w:val="00515A63"/>
    <w:rsid w:val="00515B11"/>
    <w:rsid w:val="00515B6C"/>
    <w:rsid w:val="00515C19"/>
    <w:rsid w:val="00515C31"/>
    <w:rsid w:val="00516095"/>
    <w:rsid w:val="005160FA"/>
    <w:rsid w:val="00516133"/>
    <w:rsid w:val="005163D2"/>
    <w:rsid w:val="005164A5"/>
    <w:rsid w:val="0051651F"/>
    <w:rsid w:val="0051660A"/>
    <w:rsid w:val="00516666"/>
    <w:rsid w:val="00516813"/>
    <w:rsid w:val="0051688B"/>
    <w:rsid w:val="0051688E"/>
    <w:rsid w:val="00516895"/>
    <w:rsid w:val="00516906"/>
    <w:rsid w:val="00516BED"/>
    <w:rsid w:val="00516C37"/>
    <w:rsid w:val="00516C73"/>
    <w:rsid w:val="00516DAA"/>
    <w:rsid w:val="00516DBB"/>
    <w:rsid w:val="00516E41"/>
    <w:rsid w:val="00516F2A"/>
    <w:rsid w:val="00516F5C"/>
    <w:rsid w:val="00516F6A"/>
    <w:rsid w:val="00516FE1"/>
    <w:rsid w:val="00517206"/>
    <w:rsid w:val="00517279"/>
    <w:rsid w:val="0051728B"/>
    <w:rsid w:val="00517429"/>
    <w:rsid w:val="0051756E"/>
    <w:rsid w:val="00517706"/>
    <w:rsid w:val="00517715"/>
    <w:rsid w:val="00517743"/>
    <w:rsid w:val="0051775A"/>
    <w:rsid w:val="005177D8"/>
    <w:rsid w:val="00517887"/>
    <w:rsid w:val="005178D1"/>
    <w:rsid w:val="00517A29"/>
    <w:rsid w:val="00517AF8"/>
    <w:rsid w:val="00517CE7"/>
    <w:rsid w:val="00520267"/>
    <w:rsid w:val="0052029F"/>
    <w:rsid w:val="0052036B"/>
    <w:rsid w:val="005203DE"/>
    <w:rsid w:val="005203FD"/>
    <w:rsid w:val="005205BC"/>
    <w:rsid w:val="005206BB"/>
    <w:rsid w:val="00520774"/>
    <w:rsid w:val="005207F4"/>
    <w:rsid w:val="005208FC"/>
    <w:rsid w:val="00520BDF"/>
    <w:rsid w:val="00520C3E"/>
    <w:rsid w:val="00520C49"/>
    <w:rsid w:val="00520E78"/>
    <w:rsid w:val="00520EE5"/>
    <w:rsid w:val="00520F96"/>
    <w:rsid w:val="00520F99"/>
    <w:rsid w:val="005210F6"/>
    <w:rsid w:val="00521149"/>
    <w:rsid w:val="005211B1"/>
    <w:rsid w:val="005211C1"/>
    <w:rsid w:val="005211FD"/>
    <w:rsid w:val="005212B6"/>
    <w:rsid w:val="005213B1"/>
    <w:rsid w:val="005213BA"/>
    <w:rsid w:val="005213CD"/>
    <w:rsid w:val="005213F6"/>
    <w:rsid w:val="00521468"/>
    <w:rsid w:val="00521566"/>
    <w:rsid w:val="00521628"/>
    <w:rsid w:val="00521769"/>
    <w:rsid w:val="005217A2"/>
    <w:rsid w:val="0052183E"/>
    <w:rsid w:val="00521A46"/>
    <w:rsid w:val="00521AEC"/>
    <w:rsid w:val="00521B23"/>
    <w:rsid w:val="00521C44"/>
    <w:rsid w:val="00521CA4"/>
    <w:rsid w:val="00521D90"/>
    <w:rsid w:val="00521E2C"/>
    <w:rsid w:val="00521E4A"/>
    <w:rsid w:val="00521E65"/>
    <w:rsid w:val="00521EA1"/>
    <w:rsid w:val="00521F0D"/>
    <w:rsid w:val="00521F22"/>
    <w:rsid w:val="00521F92"/>
    <w:rsid w:val="00521FDE"/>
    <w:rsid w:val="005220E7"/>
    <w:rsid w:val="005220F9"/>
    <w:rsid w:val="00522360"/>
    <w:rsid w:val="00522446"/>
    <w:rsid w:val="00522478"/>
    <w:rsid w:val="005224C1"/>
    <w:rsid w:val="0052258B"/>
    <w:rsid w:val="005227AB"/>
    <w:rsid w:val="0052295C"/>
    <w:rsid w:val="005229E5"/>
    <w:rsid w:val="00522A4E"/>
    <w:rsid w:val="00522AC3"/>
    <w:rsid w:val="00522B42"/>
    <w:rsid w:val="00522B7C"/>
    <w:rsid w:val="00522C13"/>
    <w:rsid w:val="00522C5B"/>
    <w:rsid w:val="00522D93"/>
    <w:rsid w:val="00522F2B"/>
    <w:rsid w:val="00523055"/>
    <w:rsid w:val="0052324D"/>
    <w:rsid w:val="005232BF"/>
    <w:rsid w:val="0052356A"/>
    <w:rsid w:val="005235B2"/>
    <w:rsid w:val="0052364B"/>
    <w:rsid w:val="005236BA"/>
    <w:rsid w:val="00523AEE"/>
    <w:rsid w:val="00523B8D"/>
    <w:rsid w:val="00524309"/>
    <w:rsid w:val="0052430E"/>
    <w:rsid w:val="00524459"/>
    <w:rsid w:val="00524487"/>
    <w:rsid w:val="00524553"/>
    <w:rsid w:val="0052459B"/>
    <w:rsid w:val="0052465B"/>
    <w:rsid w:val="00524782"/>
    <w:rsid w:val="00524787"/>
    <w:rsid w:val="005249E4"/>
    <w:rsid w:val="00524B02"/>
    <w:rsid w:val="00524C5E"/>
    <w:rsid w:val="00524D74"/>
    <w:rsid w:val="00524DA1"/>
    <w:rsid w:val="00524E1A"/>
    <w:rsid w:val="00525173"/>
    <w:rsid w:val="005251A6"/>
    <w:rsid w:val="005251CF"/>
    <w:rsid w:val="0052530C"/>
    <w:rsid w:val="0052547D"/>
    <w:rsid w:val="0052548A"/>
    <w:rsid w:val="005254F3"/>
    <w:rsid w:val="00525546"/>
    <w:rsid w:val="00525839"/>
    <w:rsid w:val="00525875"/>
    <w:rsid w:val="00525A5E"/>
    <w:rsid w:val="00525AAB"/>
    <w:rsid w:val="00525BA4"/>
    <w:rsid w:val="00525C5C"/>
    <w:rsid w:val="00525F28"/>
    <w:rsid w:val="00526094"/>
    <w:rsid w:val="00526215"/>
    <w:rsid w:val="005262D4"/>
    <w:rsid w:val="005264F5"/>
    <w:rsid w:val="00526879"/>
    <w:rsid w:val="0052693B"/>
    <w:rsid w:val="005269DD"/>
    <w:rsid w:val="00526AA2"/>
    <w:rsid w:val="00526B95"/>
    <w:rsid w:val="00526C33"/>
    <w:rsid w:val="00526DF4"/>
    <w:rsid w:val="00526E91"/>
    <w:rsid w:val="00526F48"/>
    <w:rsid w:val="005270A4"/>
    <w:rsid w:val="00527105"/>
    <w:rsid w:val="0052731C"/>
    <w:rsid w:val="005273C8"/>
    <w:rsid w:val="00527522"/>
    <w:rsid w:val="0052758F"/>
    <w:rsid w:val="005275D2"/>
    <w:rsid w:val="0052768F"/>
    <w:rsid w:val="00527755"/>
    <w:rsid w:val="00527850"/>
    <w:rsid w:val="005278A1"/>
    <w:rsid w:val="005278B3"/>
    <w:rsid w:val="005278F9"/>
    <w:rsid w:val="00527BDD"/>
    <w:rsid w:val="00527F02"/>
    <w:rsid w:val="0053001C"/>
    <w:rsid w:val="00530251"/>
    <w:rsid w:val="005303F8"/>
    <w:rsid w:val="00530591"/>
    <w:rsid w:val="005305E9"/>
    <w:rsid w:val="0053081A"/>
    <w:rsid w:val="00530820"/>
    <w:rsid w:val="005309DF"/>
    <w:rsid w:val="00530A28"/>
    <w:rsid w:val="00530A7C"/>
    <w:rsid w:val="00530C00"/>
    <w:rsid w:val="00530C6B"/>
    <w:rsid w:val="00530D8F"/>
    <w:rsid w:val="00530DE8"/>
    <w:rsid w:val="00530FB2"/>
    <w:rsid w:val="00531048"/>
    <w:rsid w:val="00531087"/>
    <w:rsid w:val="005312D4"/>
    <w:rsid w:val="005312DE"/>
    <w:rsid w:val="005312DF"/>
    <w:rsid w:val="0053130B"/>
    <w:rsid w:val="00531396"/>
    <w:rsid w:val="005314B8"/>
    <w:rsid w:val="005315EC"/>
    <w:rsid w:val="0053163D"/>
    <w:rsid w:val="00531707"/>
    <w:rsid w:val="0053170F"/>
    <w:rsid w:val="00531870"/>
    <w:rsid w:val="005318A2"/>
    <w:rsid w:val="00531A73"/>
    <w:rsid w:val="00531B6E"/>
    <w:rsid w:val="00531BA7"/>
    <w:rsid w:val="00531BE2"/>
    <w:rsid w:val="00531C5D"/>
    <w:rsid w:val="00531CE5"/>
    <w:rsid w:val="00531CF8"/>
    <w:rsid w:val="00531DAA"/>
    <w:rsid w:val="00531E2E"/>
    <w:rsid w:val="0053217E"/>
    <w:rsid w:val="0053222E"/>
    <w:rsid w:val="005322C8"/>
    <w:rsid w:val="00532304"/>
    <w:rsid w:val="00532361"/>
    <w:rsid w:val="005323F1"/>
    <w:rsid w:val="00532423"/>
    <w:rsid w:val="0053244C"/>
    <w:rsid w:val="00532630"/>
    <w:rsid w:val="00532771"/>
    <w:rsid w:val="005327BB"/>
    <w:rsid w:val="00532870"/>
    <w:rsid w:val="005328E2"/>
    <w:rsid w:val="00532A06"/>
    <w:rsid w:val="00532A1B"/>
    <w:rsid w:val="00532B8F"/>
    <w:rsid w:val="00532BA1"/>
    <w:rsid w:val="00532BB2"/>
    <w:rsid w:val="00532BF4"/>
    <w:rsid w:val="00532C9B"/>
    <w:rsid w:val="00532DD1"/>
    <w:rsid w:val="00532EB8"/>
    <w:rsid w:val="00532FB9"/>
    <w:rsid w:val="00532FBF"/>
    <w:rsid w:val="00532FD5"/>
    <w:rsid w:val="0053304F"/>
    <w:rsid w:val="00533127"/>
    <w:rsid w:val="00533174"/>
    <w:rsid w:val="00533189"/>
    <w:rsid w:val="0053340A"/>
    <w:rsid w:val="00533420"/>
    <w:rsid w:val="0053348C"/>
    <w:rsid w:val="0053363A"/>
    <w:rsid w:val="00533644"/>
    <w:rsid w:val="005337C6"/>
    <w:rsid w:val="0053387C"/>
    <w:rsid w:val="005338B3"/>
    <w:rsid w:val="00533965"/>
    <w:rsid w:val="00533A2C"/>
    <w:rsid w:val="00533ABB"/>
    <w:rsid w:val="00533AEE"/>
    <w:rsid w:val="00533AFB"/>
    <w:rsid w:val="00533B8C"/>
    <w:rsid w:val="00533F54"/>
    <w:rsid w:val="00533F84"/>
    <w:rsid w:val="005340DB"/>
    <w:rsid w:val="0053428C"/>
    <w:rsid w:val="005343DB"/>
    <w:rsid w:val="0053445F"/>
    <w:rsid w:val="005345F4"/>
    <w:rsid w:val="0053472D"/>
    <w:rsid w:val="005348F8"/>
    <w:rsid w:val="00534966"/>
    <w:rsid w:val="00534980"/>
    <w:rsid w:val="00534A4D"/>
    <w:rsid w:val="00534BE8"/>
    <w:rsid w:val="00534C1B"/>
    <w:rsid w:val="00534FCC"/>
    <w:rsid w:val="00535055"/>
    <w:rsid w:val="005350C2"/>
    <w:rsid w:val="00535212"/>
    <w:rsid w:val="0053521D"/>
    <w:rsid w:val="005352B4"/>
    <w:rsid w:val="005352F6"/>
    <w:rsid w:val="005353DB"/>
    <w:rsid w:val="00535421"/>
    <w:rsid w:val="00535445"/>
    <w:rsid w:val="00535648"/>
    <w:rsid w:val="00535687"/>
    <w:rsid w:val="00535696"/>
    <w:rsid w:val="00535772"/>
    <w:rsid w:val="005357B7"/>
    <w:rsid w:val="00535B95"/>
    <w:rsid w:val="00535C53"/>
    <w:rsid w:val="00535C71"/>
    <w:rsid w:val="00535D21"/>
    <w:rsid w:val="00535D83"/>
    <w:rsid w:val="00535DDF"/>
    <w:rsid w:val="00535E6D"/>
    <w:rsid w:val="00536349"/>
    <w:rsid w:val="00536466"/>
    <w:rsid w:val="00536504"/>
    <w:rsid w:val="005365A2"/>
    <w:rsid w:val="005366E5"/>
    <w:rsid w:val="00536830"/>
    <w:rsid w:val="0053687B"/>
    <w:rsid w:val="005368CB"/>
    <w:rsid w:val="00536AE1"/>
    <w:rsid w:val="00536B1E"/>
    <w:rsid w:val="00536BD4"/>
    <w:rsid w:val="00536CE4"/>
    <w:rsid w:val="00536D1D"/>
    <w:rsid w:val="00536D29"/>
    <w:rsid w:val="00536DDA"/>
    <w:rsid w:val="00536EA1"/>
    <w:rsid w:val="00536F46"/>
    <w:rsid w:val="00537016"/>
    <w:rsid w:val="00537130"/>
    <w:rsid w:val="0053717D"/>
    <w:rsid w:val="005371E3"/>
    <w:rsid w:val="00537290"/>
    <w:rsid w:val="005372EF"/>
    <w:rsid w:val="00537304"/>
    <w:rsid w:val="00537350"/>
    <w:rsid w:val="005376B9"/>
    <w:rsid w:val="005376F6"/>
    <w:rsid w:val="005377D5"/>
    <w:rsid w:val="0053783E"/>
    <w:rsid w:val="00537939"/>
    <w:rsid w:val="005379B4"/>
    <w:rsid w:val="00537B70"/>
    <w:rsid w:val="00537BA1"/>
    <w:rsid w:val="00537BFA"/>
    <w:rsid w:val="00537D4B"/>
    <w:rsid w:val="00537EB1"/>
    <w:rsid w:val="00537ED4"/>
    <w:rsid w:val="00537FA8"/>
    <w:rsid w:val="00540122"/>
    <w:rsid w:val="0054012C"/>
    <w:rsid w:val="0054018D"/>
    <w:rsid w:val="00540195"/>
    <w:rsid w:val="005401ED"/>
    <w:rsid w:val="005402E5"/>
    <w:rsid w:val="00540321"/>
    <w:rsid w:val="00540424"/>
    <w:rsid w:val="0054065A"/>
    <w:rsid w:val="00540706"/>
    <w:rsid w:val="0054077E"/>
    <w:rsid w:val="00540786"/>
    <w:rsid w:val="005408EA"/>
    <w:rsid w:val="00540954"/>
    <w:rsid w:val="00540A1C"/>
    <w:rsid w:val="00540BAF"/>
    <w:rsid w:val="00540BDF"/>
    <w:rsid w:val="00540D70"/>
    <w:rsid w:val="00540EAB"/>
    <w:rsid w:val="00540FC1"/>
    <w:rsid w:val="0054100D"/>
    <w:rsid w:val="00541077"/>
    <w:rsid w:val="0054110A"/>
    <w:rsid w:val="0054114B"/>
    <w:rsid w:val="005411B5"/>
    <w:rsid w:val="005411D5"/>
    <w:rsid w:val="0054132A"/>
    <w:rsid w:val="00541541"/>
    <w:rsid w:val="0054155C"/>
    <w:rsid w:val="00541592"/>
    <w:rsid w:val="005416E0"/>
    <w:rsid w:val="0054176B"/>
    <w:rsid w:val="005417B8"/>
    <w:rsid w:val="005417DD"/>
    <w:rsid w:val="00541A0B"/>
    <w:rsid w:val="00541A4F"/>
    <w:rsid w:val="00541BD0"/>
    <w:rsid w:val="00541BF7"/>
    <w:rsid w:val="00541C6F"/>
    <w:rsid w:val="00541E83"/>
    <w:rsid w:val="00541EA3"/>
    <w:rsid w:val="00541FC7"/>
    <w:rsid w:val="00542119"/>
    <w:rsid w:val="0054217F"/>
    <w:rsid w:val="0054220F"/>
    <w:rsid w:val="0054228F"/>
    <w:rsid w:val="00542359"/>
    <w:rsid w:val="0054241D"/>
    <w:rsid w:val="0054256A"/>
    <w:rsid w:val="005425CB"/>
    <w:rsid w:val="00542859"/>
    <w:rsid w:val="00542884"/>
    <w:rsid w:val="005428FA"/>
    <w:rsid w:val="005429E4"/>
    <w:rsid w:val="00542AD3"/>
    <w:rsid w:val="00542CDC"/>
    <w:rsid w:val="00542CF7"/>
    <w:rsid w:val="00542DCB"/>
    <w:rsid w:val="00542DCC"/>
    <w:rsid w:val="00542F31"/>
    <w:rsid w:val="00542F5C"/>
    <w:rsid w:val="00543126"/>
    <w:rsid w:val="00543145"/>
    <w:rsid w:val="005431D5"/>
    <w:rsid w:val="005433E0"/>
    <w:rsid w:val="0054354D"/>
    <w:rsid w:val="00543555"/>
    <w:rsid w:val="005436A9"/>
    <w:rsid w:val="00543708"/>
    <w:rsid w:val="005437AD"/>
    <w:rsid w:val="0054390B"/>
    <w:rsid w:val="00543AD4"/>
    <w:rsid w:val="00543B59"/>
    <w:rsid w:val="00543CED"/>
    <w:rsid w:val="00543CFF"/>
    <w:rsid w:val="00543DA4"/>
    <w:rsid w:val="00543E01"/>
    <w:rsid w:val="00543F62"/>
    <w:rsid w:val="00543F97"/>
    <w:rsid w:val="00543FFD"/>
    <w:rsid w:val="00544011"/>
    <w:rsid w:val="005441E2"/>
    <w:rsid w:val="005442DE"/>
    <w:rsid w:val="00544323"/>
    <w:rsid w:val="00544342"/>
    <w:rsid w:val="00544344"/>
    <w:rsid w:val="005443AB"/>
    <w:rsid w:val="005443E4"/>
    <w:rsid w:val="00544520"/>
    <w:rsid w:val="00544659"/>
    <w:rsid w:val="005448E3"/>
    <w:rsid w:val="00544925"/>
    <w:rsid w:val="005449CA"/>
    <w:rsid w:val="00544B96"/>
    <w:rsid w:val="00544DEC"/>
    <w:rsid w:val="00544F47"/>
    <w:rsid w:val="00544FCE"/>
    <w:rsid w:val="00544FD0"/>
    <w:rsid w:val="00544FD4"/>
    <w:rsid w:val="00545013"/>
    <w:rsid w:val="00545196"/>
    <w:rsid w:val="00545266"/>
    <w:rsid w:val="005453EE"/>
    <w:rsid w:val="005455C6"/>
    <w:rsid w:val="005456AE"/>
    <w:rsid w:val="00545831"/>
    <w:rsid w:val="00545ACF"/>
    <w:rsid w:val="00545BB2"/>
    <w:rsid w:val="00545BEB"/>
    <w:rsid w:val="00545D42"/>
    <w:rsid w:val="00545D72"/>
    <w:rsid w:val="00545E25"/>
    <w:rsid w:val="00545F53"/>
    <w:rsid w:val="0054602C"/>
    <w:rsid w:val="00546137"/>
    <w:rsid w:val="0054616A"/>
    <w:rsid w:val="0054632F"/>
    <w:rsid w:val="00546360"/>
    <w:rsid w:val="0054638B"/>
    <w:rsid w:val="00546413"/>
    <w:rsid w:val="00546484"/>
    <w:rsid w:val="0054652E"/>
    <w:rsid w:val="00546550"/>
    <w:rsid w:val="005465F8"/>
    <w:rsid w:val="00546633"/>
    <w:rsid w:val="00546775"/>
    <w:rsid w:val="0054693F"/>
    <w:rsid w:val="005469C3"/>
    <w:rsid w:val="005469EB"/>
    <w:rsid w:val="00546A53"/>
    <w:rsid w:val="00546BED"/>
    <w:rsid w:val="00546C64"/>
    <w:rsid w:val="00546D67"/>
    <w:rsid w:val="00546DD5"/>
    <w:rsid w:val="00546E0A"/>
    <w:rsid w:val="00546EBA"/>
    <w:rsid w:val="00546F7D"/>
    <w:rsid w:val="00547117"/>
    <w:rsid w:val="00547141"/>
    <w:rsid w:val="00547198"/>
    <w:rsid w:val="00547274"/>
    <w:rsid w:val="005472F9"/>
    <w:rsid w:val="0054735F"/>
    <w:rsid w:val="00547396"/>
    <w:rsid w:val="0054739C"/>
    <w:rsid w:val="0054740B"/>
    <w:rsid w:val="0054740C"/>
    <w:rsid w:val="00547419"/>
    <w:rsid w:val="0054774D"/>
    <w:rsid w:val="005477D2"/>
    <w:rsid w:val="0054795B"/>
    <w:rsid w:val="005479C7"/>
    <w:rsid w:val="00547A47"/>
    <w:rsid w:val="00547BCE"/>
    <w:rsid w:val="00547C76"/>
    <w:rsid w:val="00547C97"/>
    <w:rsid w:val="00547DE4"/>
    <w:rsid w:val="00547DEF"/>
    <w:rsid w:val="00547EE1"/>
    <w:rsid w:val="00547F6D"/>
    <w:rsid w:val="00547FD7"/>
    <w:rsid w:val="00550136"/>
    <w:rsid w:val="0055013F"/>
    <w:rsid w:val="00550159"/>
    <w:rsid w:val="00550180"/>
    <w:rsid w:val="005501E6"/>
    <w:rsid w:val="00550221"/>
    <w:rsid w:val="0055027C"/>
    <w:rsid w:val="005502B1"/>
    <w:rsid w:val="0055035F"/>
    <w:rsid w:val="00550444"/>
    <w:rsid w:val="005504AC"/>
    <w:rsid w:val="005504FD"/>
    <w:rsid w:val="0055050C"/>
    <w:rsid w:val="005506A7"/>
    <w:rsid w:val="00550751"/>
    <w:rsid w:val="005509FE"/>
    <w:rsid w:val="00550A12"/>
    <w:rsid w:val="00550AE8"/>
    <w:rsid w:val="00550B0B"/>
    <w:rsid w:val="00550B86"/>
    <w:rsid w:val="00550B9B"/>
    <w:rsid w:val="00550E1F"/>
    <w:rsid w:val="00550E72"/>
    <w:rsid w:val="00550F73"/>
    <w:rsid w:val="00551075"/>
    <w:rsid w:val="005510A8"/>
    <w:rsid w:val="0055110D"/>
    <w:rsid w:val="00551232"/>
    <w:rsid w:val="00551300"/>
    <w:rsid w:val="00551360"/>
    <w:rsid w:val="005514ED"/>
    <w:rsid w:val="0055154F"/>
    <w:rsid w:val="00551601"/>
    <w:rsid w:val="00551670"/>
    <w:rsid w:val="005516D8"/>
    <w:rsid w:val="00551716"/>
    <w:rsid w:val="00551751"/>
    <w:rsid w:val="005517FE"/>
    <w:rsid w:val="005518BD"/>
    <w:rsid w:val="0055194A"/>
    <w:rsid w:val="00551A6C"/>
    <w:rsid w:val="00551AF3"/>
    <w:rsid w:val="00551AFE"/>
    <w:rsid w:val="00551B38"/>
    <w:rsid w:val="00551BA3"/>
    <w:rsid w:val="00551C8D"/>
    <w:rsid w:val="00552045"/>
    <w:rsid w:val="0055204D"/>
    <w:rsid w:val="005521BB"/>
    <w:rsid w:val="00552201"/>
    <w:rsid w:val="0055233E"/>
    <w:rsid w:val="00552380"/>
    <w:rsid w:val="00552421"/>
    <w:rsid w:val="005526A8"/>
    <w:rsid w:val="00552725"/>
    <w:rsid w:val="0055278A"/>
    <w:rsid w:val="00552829"/>
    <w:rsid w:val="005528C3"/>
    <w:rsid w:val="005528DB"/>
    <w:rsid w:val="00552AED"/>
    <w:rsid w:val="00552BA0"/>
    <w:rsid w:val="00552C6F"/>
    <w:rsid w:val="00552C84"/>
    <w:rsid w:val="00552CA7"/>
    <w:rsid w:val="00552CA8"/>
    <w:rsid w:val="00552D1B"/>
    <w:rsid w:val="00552D33"/>
    <w:rsid w:val="00552DEF"/>
    <w:rsid w:val="00552EC9"/>
    <w:rsid w:val="0055319F"/>
    <w:rsid w:val="00553246"/>
    <w:rsid w:val="00553415"/>
    <w:rsid w:val="00553445"/>
    <w:rsid w:val="00553482"/>
    <w:rsid w:val="005535F9"/>
    <w:rsid w:val="0055371B"/>
    <w:rsid w:val="00553741"/>
    <w:rsid w:val="005537CF"/>
    <w:rsid w:val="00553A6B"/>
    <w:rsid w:val="00553AF8"/>
    <w:rsid w:val="00553B0C"/>
    <w:rsid w:val="00553D0D"/>
    <w:rsid w:val="00553F7A"/>
    <w:rsid w:val="00553F95"/>
    <w:rsid w:val="005540E1"/>
    <w:rsid w:val="0055421D"/>
    <w:rsid w:val="005542E6"/>
    <w:rsid w:val="00554308"/>
    <w:rsid w:val="0055433C"/>
    <w:rsid w:val="0055438C"/>
    <w:rsid w:val="00554402"/>
    <w:rsid w:val="005544CF"/>
    <w:rsid w:val="005548C4"/>
    <w:rsid w:val="005549D8"/>
    <w:rsid w:val="00554A43"/>
    <w:rsid w:val="00554AB1"/>
    <w:rsid w:val="00554CB1"/>
    <w:rsid w:val="00554E19"/>
    <w:rsid w:val="00554E1C"/>
    <w:rsid w:val="00554E71"/>
    <w:rsid w:val="00554EC0"/>
    <w:rsid w:val="00554EC4"/>
    <w:rsid w:val="00554EC5"/>
    <w:rsid w:val="005550CF"/>
    <w:rsid w:val="005550F1"/>
    <w:rsid w:val="005552A6"/>
    <w:rsid w:val="005552FE"/>
    <w:rsid w:val="00555348"/>
    <w:rsid w:val="0055534E"/>
    <w:rsid w:val="0055543F"/>
    <w:rsid w:val="005554D2"/>
    <w:rsid w:val="005557A6"/>
    <w:rsid w:val="00555809"/>
    <w:rsid w:val="00555846"/>
    <w:rsid w:val="0055598C"/>
    <w:rsid w:val="005559ED"/>
    <w:rsid w:val="00555B1A"/>
    <w:rsid w:val="00555DDB"/>
    <w:rsid w:val="00555DFE"/>
    <w:rsid w:val="00555EE9"/>
    <w:rsid w:val="00555F33"/>
    <w:rsid w:val="0055602D"/>
    <w:rsid w:val="0055608D"/>
    <w:rsid w:val="005560CA"/>
    <w:rsid w:val="00556116"/>
    <w:rsid w:val="00556310"/>
    <w:rsid w:val="00556312"/>
    <w:rsid w:val="0055633B"/>
    <w:rsid w:val="005563FA"/>
    <w:rsid w:val="0055641C"/>
    <w:rsid w:val="00556519"/>
    <w:rsid w:val="005565C6"/>
    <w:rsid w:val="005565ED"/>
    <w:rsid w:val="0055663F"/>
    <w:rsid w:val="00556709"/>
    <w:rsid w:val="0055676D"/>
    <w:rsid w:val="00556862"/>
    <w:rsid w:val="005569F8"/>
    <w:rsid w:val="00556A09"/>
    <w:rsid w:val="00556C29"/>
    <w:rsid w:val="00556C94"/>
    <w:rsid w:val="00556D13"/>
    <w:rsid w:val="00556E1D"/>
    <w:rsid w:val="00556EC8"/>
    <w:rsid w:val="00556ED8"/>
    <w:rsid w:val="005570EE"/>
    <w:rsid w:val="0055721C"/>
    <w:rsid w:val="005572FB"/>
    <w:rsid w:val="0055740A"/>
    <w:rsid w:val="0055753A"/>
    <w:rsid w:val="00557751"/>
    <w:rsid w:val="00557769"/>
    <w:rsid w:val="0055782B"/>
    <w:rsid w:val="00557A3F"/>
    <w:rsid w:val="00557A92"/>
    <w:rsid w:val="00557AEA"/>
    <w:rsid w:val="00557B1B"/>
    <w:rsid w:val="00557C2D"/>
    <w:rsid w:val="00557E3B"/>
    <w:rsid w:val="00557E72"/>
    <w:rsid w:val="00557EAA"/>
    <w:rsid w:val="0056004C"/>
    <w:rsid w:val="005601E8"/>
    <w:rsid w:val="00560249"/>
    <w:rsid w:val="005602A5"/>
    <w:rsid w:val="00560310"/>
    <w:rsid w:val="0056031A"/>
    <w:rsid w:val="005605AD"/>
    <w:rsid w:val="00560623"/>
    <w:rsid w:val="00560736"/>
    <w:rsid w:val="005609A5"/>
    <w:rsid w:val="005609AE"/>
    <w:rsid w:val="005609BF"/>
    <w:rsid w:val="005609F6"/>
    <w:rsid w:val="00560A0B"/>
    <w:rsid w:val="00560BE3"/>
    <w:rsid w:val="00560CF7"/>
    <w:rsid w:val="00560D92"/>
    <w:rsid w:val="00560E4E"/>
    <w:rsid w:val="00560FDC"/>
    <w:rsid w:val="005610BB"/>
    <w:rsid w:val="00561299"/>
    <w:rsid w:val="0056133B"/>
    <w:rsid w:val="0056145F"/>
    <w:rsid w:val="00561469"/>
    <w:rsid w:val="0056152A"/>
    <w:rsid w:val="00561715"/>
    <w:rsid w:val="00561772"/>
    <w:rsid w:val="00561831"/>
    <w:rsid w:val="00561851"/>
    <w:rsid w:val="005619A5"/>
    <w:rsid w:val="00561AE3"/>
    <w:rsid w:val="00561BFB"/>
    <w:rsid w:val="00561CC4"/>
    <w:rsid w:val="00561CC9"/>
    <w:rsid w:val="00561DCF"/>
    <w:rsid w:val="00561E0B"/>
    <w:rsid w:val="00561F42"/>
    <w:rsid w:val="00561F60"/>
    <w:rsid w:val="00561F78"/>
    <w:rsid w:val="0056210F"/>
    <w:rsid w:val="00562161"/>
    <w:rsid w:val="005621D7"/>
    <w:rsid w:val="00562257"/>
    <w:rsid w:val="005623B7"/>
    <w:rsid w:val="005624BB"/>
    <w:rsid w:val="005624C2"/>
    <w:rsid w:val="0056255A"/>
    <w:rsid w:val="00562566"/>
    <w:rsid w:val="00562595"/>
    <w:rsid w:val="00562765"/>
    <w:rsid w:val="00562786"/>
    <w:rsid w:val="00562919"/>
    <w:rsid w:val="0056297B"/>
    <w:rsid w:val="00562A01"/>
    <w:rsid w:val="00562A97"/>
    <w:rsid w:val="00562AA5"/>
    <w:rsid w:val="00562C11"/>
    <w:rsid w:val="00562CD5"/>
    <w:rsid w:val="00563047"/>
    <w:rsid w:val="0056317F"/>
    <w:rsid w:val="0056322F"/>
    <w:rsid w:val="00563306"/>
    <w:rsid w:val="00563340"/>
    <w:rsid w:val="00563398"/>
    <w:rsid w:val="0056351A"/>
    <w:rsid w:val="00563585"/>
    <w:rsid w:val="005637E4"/>
    <w:rsid w:val="00563967"/>
    <w:rsid w:val="005639D0"/>
    <w:rsid w:val="00563AE5"/>
    <w:rsid w:val="00563BD1"/>
    <w:rsid w:val="00563D5B"/>
    <w:rsid w:val="00563E06"/>
    <w:rsid w:val="00563E66"/>
    <w:rsid w:val="00563F77"/>
    <w:rsid w:val="005641F4"/>
    <w:rsid w:val="005641FC"/>
    <w:rsid w:val="005643FE"/>
    <w:rsid w:val="005644CA"/>
    <w:rsid w:val="0056479B"/>
    <w:rsid w:val="005647BB"/>
    <w:rsid w:val="005647BE"/>
    <w:rsid w:val="005648C7"/>
    <w:rsid w:val="005648FF"/>
    <w:rsid w:val="00564927"/>
    <w:rsid w:val="00564946"/>
    <w:rsid w:val="0056496F"/>
    <w:rsid w:val="00564985"/>
    <w:rsid w:val="005649F6"/>
    <w:rsid w:val="00564B66"/>
    <w:rsid w:val="00564D81"/>
    <w:rsid w:val="00564D93"/>
    <w:rsid w:val="00564DAD"/>
    <w:rsid w:val="00564F80"/>
    <w:rsid w:val="00564FE5"/>
    <w:rsid w:val="00565113"/>
    <w:rsid w:val="0056528F"/>
    <w:rsid w:val="0056531B"/>
    <w:rsid w:val="00565374"/>
    <w:rsid w:val="005654DE"/>
    <w:rsid w:val="005654E7"/>
    <w:rsid w:val="005656D5"/>
    <w:rsid w:val="00565725"/>
    <w:rsid w:val="00565739"/>
    <w:rsid w:val="00565746"/>
    <w:rsid w:val="00565B05"/>
    <w:rsid w:val="00565C71"/>
    <w:rsid w:val="00565CB6"/>
    <w:rsid w:val="00565EA8"/>
    <w:rsid w:val="00565F42"/>
    <w:rsid w:val="00565FEA"/>
    <w:rsid w:val="00566005"/>
    <w:rsid w:val="005660D3"/>
    <w:rsid w:val="0056613C"/>
    <w:rsid w:val="005661C7"/>
    <w:rsid w:val="005662B1"/>
    <w:rsid w:val="005664A4"/>
    <w:rsid w:val="00566541"/>
    <w:rsid w:val="005665CE"/>
    <w:rsid w:val="00566629"/>
    <w:rsid w:val="00566740"/>
    <w:rsid w:val="00566787"/>
    <w:rsid w:val="005667E0"/>
    <w:rsid w:val="005667E6"/>
    <w:rsid w:val="0056680E"/>
    <w:rsid w:val="005668D2"/>
    <w:rsid w:val="00566921"/>
    <w:rsid w:val="00566993"/>
    <w:rsid w:val="005669AD"/>
    <w:rsid w:val="00566ADF"/>
    <w:rsid w:val="00566B47"/>
    <w:rsid w:val="00566BA1"/>
    <w:rsid w:val="00566DFB"/>
    <w:rsid w:val="00567060"/>
    <w:rsid w:val="0056717F"/>
    <w:rsid w:val="0056738C"/>
    <w:rsid w:val="00567396"/>
    <w:rsid w:val="005673CB"/>
    <w:rsid w:val="0056750B"/>
    <w:rsid w:val="005677DD"/>
    <w:rsid w:val="00567962"/>
    <w:rsid w:val="00567AC4"/>
    <w:rsid w:val="00567B69"/>
    <w:rsid w:val="00567C29"/>
    <w:rsid w:val="00567DFA"/>
    <w:rsid w:val="00570055"/>
    <w:rsid w:val="00570186"/>
    <w:rsid w:val="00570194"/>
    <w:rsid w:val="005701DB"/>
    <w:rsid w:val="00570266"/>
    <w:rsid w:val="005703AD"/>
    <w:rsid w:val="005703B1"/>
    <w:rsid w:val="005703FA"/>
    <w:rsid w:val="005704D1"/>
    <w:rsid w:val="005705B5"/>
    <w:rsid w:val="0057069E"/>
    <w:rsid w:val="005706F6"/>
    <w:rsid w:val="00570710"/>
    <w:rsid w:val="0057071E"/>
    <w:rsid w:val="005707B1"/>
    <w:rsid w:val="0057082B"/>
    <w:rsid w:val="005708A7"/>
    <w:rsid w:val="005708CE"/>
    <w:rsid w:val="00570C03"/>
    <w:rsid w:val="00570C92"/>
    <w:rsid w:val="00570DEC"/>
    <w:rsid w:val="00570E57"/>
    <w:rsid w:val="00570EA7"/>
    <w:rsid w:val="005710EA"/>
    <w:rsid w:val="005712A2"/>
    <w:rsid w:val="00571396"/>
    <w:rsid w:val="00571463"/>
    <w:rsid w:val="005714D8"/>
    <w:rsid w:val="00571658"/>
    <w:rsid w:val="0057193F"/>
    <w:rsid w:val="00571A81"/>
    <w:rsid w:val="00571B16"/>
    <w:rsid w:val="00571B4F"/>
    <w:rsid w:val="00571B9C"/>
    <w:rsid w:val="00571BE3"/>
    <w:rsid w:val="00571C7C"/>
    <w:rsid w:val="00571D69"/>
    <w:rsid w:val="00571D96"/>
    <w:rsid w:val="00571E64"/>
    <w:rsid w:val="0057211B"/>
    <w:rsid w:val="0057218E"/>
    <w:rsid w:val="005721E2"/>
    <w:rsid w:val="005722BE"/>
    <w:rsid w:val="0057232D"/>
    <w:rsid w:val="00572336"/>
    <w:rsid w:val="0057233D"/>
    <w:rsid w:val="00572367"/>
    <w:rsid w:val="00572470"/>
    <w:rsid w:val="00572626"/>
    <w:rsid w:val="0057263E"/>
    <w:rsid w:val="00572645"/>
    <w:rsid w:val="00572671"/>
    <w:rsid w:val="00572983"/>
    <w:rsid w:val="00572A1A"/>
    <w:rsid w:val="00572ACE"/>
    <w:rsid w:val="00572C7F"/>
    <w:rsid w:val="00572D2B"/>
    <w:rsid w:val="00572E23"/>
    <w:rsid w:val="00572EC2"/>
    <w:rsid w:val="00572ECC"/>
    <w:rsid w:val="00572F45"/>
    <w:rsid w:val="00573213"/>
    <w:rsid w:val="0057325D"/>
    <w:rsid w:val="005732D6"/>
    <w:rsid w:val="005732E9"/>
    <w:rsid w:val="005733B8"/>
    <w:rsid w:val="00573543"/>
    <w:rsid w:val="00573549"/>
    <w:rsid w:val="005735D5"/>
    <w:rsid w:val="0057362E"/>
    <w:rsid w:val="00573930"/>
    <w:rsid w:val="0057398C"/>
    <w:rsid w:val="00573A64"/>
    <w:rsid w:val="00573AA9"/>
    <w:rsid w:val="00573B1C"/>
    <w:rsid w:val="00573B32"/>
    <w:rsid w:val="00573B8A"/>
    <w:rsid w:val="00573D6F"/>
    <w:rsid w:val="00573F06"/>
    <w:rsid w:val="00573FFE"/>
    <w:rsid w:val="00574171"/>
    <w:rsid w:val="005741E9"/>
    <w:rsid w:val="0057420E"/>
    <w:rsid w:val="00574255"/>
    <w:rsid w:val="00574256"/>
    <w:rsid w:val="005742E5"/>
    <w:rsid w:val="00574430"/>
    <w:rsid w:val="0057468A"/>
    <w:rsid w:val="005747A2"/>
    <w:rsid w:val="005747B8"/>
    <w:rsid w:val="0057488B"/>
    <w:rsid w:val="005748D0"/>
    <w:rsid w:val="005749C5"/>
    <w:rsid w:val="00574B79"/>
    <w:rsid w:val="00574E23"/>
    <w:rsid w:val="00574E5F"/>
    <w:rsid w:val="00574F1E"/>
    <w:rsid w:val="00574FC1"/>
    <w:rsid w:val="005751DE"/>
    <w:rsid w:val="00575233"/>
    <w:rsid w:val="00575329"/>
    <w:rsid w:val="00575354"/>
    <w:rsid w:val="00575453"/>
    <w:rsid w:val="005755AA"/>
    <w:rsid w:val="00575643"/>
    <w:rsid w:val="0057573A"/>
    <w:rsid w:val="0057588A"/>
    <w:rsid w:val="005758A2"/>
    <w:rsid w:val="00575993"/>
    <w:rsid w:val="00575D03"/>
    <w:rsid w:val="00575E61"/>
    <w:rsid w:val="00575F43"/>
    <w:rsid w:val="00576196"/>
    <w:rsid w:val="0057627D"/>
    <w:rsid w:val="005762E2"/>
    <w:rsid w:val="005765CA"/>
    <w:rsid w:val="00576627"/>
    <w:rsid w:val="00576671"/>
    <w:rsid w:val="00576778"/>
    <w:rsid w:val="00576B66"/>
    <w:rsid w:val="00576C55"/>
    <w:rsid w:val="00576C98"/>
    <w:rsid w:val="00576CE6"/>
    <w:rsid w:val="00576E0D"/>
    <w:rsid w:val="00576E49"/>
    <w:rsid w:val="00576EB2"/>
    <w:rsid w:val="00576F78"/>
    <w:rsid w:val="00576F99"/>
    <w:rsid w:val="005770EC"/>
    <w:rsid w:val="00577158"/>
    <w:rsid w:val="005774ED"/>
    <w:rsid w:val="00577520"/>
    <w:rsid w:val="00577535"/>
    <w:rsid w:val="005775E4"/>
    <w:rsid w:val="00577648"/>
    <w:rsid w:val="00577695"/>
    <w:rsid w:val="005776FC"/>
    <w:rsid w:val="00577828"/>
    <w:rsid w:val="00577855"/>
    <w:rsid w:val="00577975"/>
    <w:rsid w:val="0057798B"/>
    <w:rsid w:val="00577B38"/>
    <w:rsid w:val="00577B94"/>
    <w:rsid w:val="00577BCC"/>
    <w:rsid w:val="00577CE8"/>
    <w:rsid w:val="00577D34"/>
    <w:rsid w:val="00577F3E"/>
    <w:rsid w:val="00577F79"/>
    <w:rsid w:val="00580072"/>
    <w:rsid w:val="00580126"/>
    <w:rsid w:val="0058017E"/>
    <w:rsid w:val="0058029F"/>
    <w:rsid w:val="005802F6"/>
    <w:rsid w:val="00580460"/>
    <w:rsid w:val="005804ED"/>
    <w:rsid w:val="005805F2"/>
    <w:rsid w:val="005806F2"/>
    <w:rsid w:val="0058077D"/>
    <w:rsid w:val="00580811"/>
    <w:rsid w:val="005808A0"/>
    <w:rsid w:val="005809B5"/>
    <w:rsid w:val="00580A91"/>
    <w:rsid w:val="00580AF3"/>
    <w:rsid w:val="00580D5D"/>
    <w:rsid w:val="00580EC9"/>
    <w:rsid w:val="00580F1A"/>
    <w:rsid w:val="00580F2A"/>
    <w:rsid w:val="00580F4E"/>
    <w:rsid w:val="00580F7C"/>
    <w:rsid w:val="0058102B"/>
    <w:rsid w:val="005810F1"/>
    <w:rsid w:val="00581222"/>
    <w:rsid w:val="0058122A"/>
    <w:rsid w:val="005814D7"/>
    <w:rsid w:val="00581631"/>
    <w:rsid w:val="0058172B"/>
    <w:rsid w:val="0058188E"/>
    <w:rsid w:val="0058188F"/>
    <w:rsid w:val="00581924"/>
    <w:rsid w:val="005819BB"/>
    <w:rsid w:val="00581CC4"/>
    <w:rsid w:val="00581D2A"/>
    <w:rsid w:val="00581D8C"/>
    <w:rsid w:val="00581DB2"/>
    <w:rsid w:val="00581DD0"/>
    <w:rsid w:val="00581E3E"/>
    <w:rsid w:val="00581E49"/>
    <w:rsid w:val="00581EE2"/>
    <w:rsid w:val="00582097"/>
    <w:rsid w:val="00582247"/>
    <w:rsid w:val="005822A0"/>
    <w:rsid w:val="00582374"/>
    <w:rsid w:val="00582559"/>
    <w:rsid w:val="0058257B"/>
    <w:rsid w:val="0058258F"/>
    <w:rsid w:val="0058259E"/>
    <w:rsid w:val="0058267A"/>
    <w:rsid w:val="005826B0"/>
    <w:rsid w:val="005826D6"/>
    <w:rsid w:val="00582726"/>
    <w:rsid w:val="00582771"/>
    <w:rsid w:val="00582830"/>
    <w:rsid w:val="00582B65"/>
    <w:rsid w:val="00582C14"/>
    <w:rsid w:val="00582D8F"/>
    <w:rsid w:val="00583265"/>
    <w:rsid w:val="005833F7"/>
    <w:rsid w:val="00583402"/>
    <w:rsid w:val="00583478"/>
    <w:rsid w:val="00583BF6"/>
    <w:rsid w:val="00583CBB"/>
    <w:rsid w:val="00583E1B"/>
    <w:rsid w:val="005840CB"/>
    <w:rsid w:val="00584169"/>
    <w:rsid w:val="005841CF"/>
    <w:rsid w:val="0058425A"/>
    <w:rsid w:val="00584260"/>
    <w:rsid w:val="005843B8"/>
    <w:rsid w:val="005843E2"/>
    <w:rsid w:val="00584465"/>
    <w:rsid w:val="00584518"/>
    <w:rsid w:val="00584569"/>
    <w:rsid w:val="00584617"/>
    <w:rsid w:val="00584694"/>
    <w:rsid w:val="00584786"/>
    <w:rsid w:val="00584932"/>
    <w:rsid w:val="005849EC"/>
    <w:rsid w:val="005849F7"/>
    <w:rsid w:val="00584A3A"/>
    <w:rsid w:val="00584A3D"/>
    <w:rsid w:val="00584A40"/>
    <w:rsid w:val="00584D92"/>
    <w:rsid w:val="00584F00"/>
    <w:rsid w:val="00584FC2"/>
    <w:rsid w:val="00585426"/>
    <w:rsid w:val="00585589"/>
    <w:rsid w:val="00585618"/>
    <w:rsid w:val="0058566D"/>
    <w:rsid w:val="00585697"/>
    <w:rsid w:val="005856C4"/>
    <w:rsid w:val="005856E9"/>
    <w:rsid w:val="005857B7"/>
    <w:rsid w:val="0058585C"/>
    <w:rsid w:val="00585949"/>
    <w:rsid w:val="00585A6D"/>
    <w:rsid w:val="00585B12"/>
    <w:rsid w:val="00585B76"/>
    <w:rsid w:val="00585C91"/>
    <w:rsid w:val="00585DB7"/>
    <w:rsid w:val="00585DE9"/>
    <w:rsid w:val="00585F11"/>
    <w:rsid w:val="00585F35"/>
    <w:rsid w:val="005860E6"/>
    <w:rsid w:val="00586140"/>
    <w:rsid w:val="0058614E"/>
    <w:rsid w:val="00586195"/>
    <w:rsid w:val="005861F3"/>
    <w:rsid w:val="00586207"/>
    <w:rsid w:val="005863A5"/>
    <w:rsid w:val="005863D4"/>
    <w:rsid w:val="0058669F"/>
    <w:rsid w:val="00586781"/>
    <w:rsid w:val="005867AC"/>
    <w:rsid w:val="005867E4"/>
    <w:rsid w:val="0058688E"/>
    <w:rsid w:val="0058699C"/>
    <w:rsid w:val="00586A1B"/>
    <w:rsid w:val="00586A26"/>
    <w:rsid w:val="00586A67"/>
    <w:rsid w:val="00586AAA"/>
    <w:rsid w:val="00586B91"/>
    <w:rsid w:val="00586CD2"/>
    <w:rsid w:val="00586D41"/>
    <w:rsid w:val="00586E8F"/>
    <w:rsid w:val="00586EB7"/>
    <w:rsid w:val="00586F89"/>
    <w:rsid w:val="00587070"/>
    <w:rsid w:val="00587290"/>
    <w:rsid w:val="005872F1"/>
    <w:rsid w:val="0058736A"/>
    <w:rsid w:val="00587372"/>
    <w:rsid w:val="0058737E"/>
    <w:rsid w:val="005873C5"/>
    <w:rsid w:val="00587415"/>
    <w:rsid w:val="005875D1"/>
    <w:rsid w:val="005875EC"/>
    <w:rsid w:val="005875ED"/>
    <w:rsid w:val="005876FB"/>
    <w:rsid w:val="005877B7"/>
    <w:rsid w:val="00587854"/>
    <w:rsid w:val="005879A3"/>
    <w:rsid w:val="00587A7E"/>
    <w:rsid w:val="00587A96"/>
    <w:rsid w:val="00587AE8"/>
    <w:rsid w:val="00587B32"/>
    <w:rsid w:val="00587BD3"/>
    <w:rsid w:val="00587D3D"/>
    <w:rsid w:val="00587D40"/>
    <w:rsid w:val="00587E95"/>
    <w:rsid w:val="00587F10"/>
    <w:rsid w:val="0059010D"/>
    <w:rsid w:val="00590176"/>
    <w:rsid w:val="00590285"/>
    <w:rsid w:val="005902C1"/>
    <w:rsid w:val="005902CA"/>
    <w:rsid w:val="00590401"/>
    <w:rsid w:val="00590454"/>
    <w:rsid w:val="0059047E"/>
    <w:rsid w:val="00590494"/>
    <w:rsid w:val="0059072F"/>
    <w:rsid w:val="0059077F"/>
    <w:rsid w:val="00590788"/>
    <w:rsid w:val="005907F4"/>
    <w:rsid w:val="00590920"/>
    <w:rsid w:val="0059092E"/>
    <w:rsid w:val="00590948"/>
    <w:rsid w:val="005909A4"/>
    <w:rsid w:val="00590A0F"/>
    <w:rsid w:val="00590ACA"/>
    <w:rsid w:val="00590AD3"/>
    <w:rsid w:val="00590B1C"/>
    <w:rsid w:val="00590F01"/>
    <w:rsid w:val="0059101B"/>
    <w:rsid w:val="00591034"/>
    <w:rsid w:val="0059111B"/>
    <w:rsid w:val="00591218"/>
    <w:rsid w:val="00591225"/>
    <w:rsid w:val="00591387"/>
    <w:rsid w:val="00591394"/>
    <w:rsid w:val="00591404"/>
    <w:rsid w:val="00591468"/>
    <w:rsid w:val="005915DA"/>
    <w:rsid w:val="00591629"/>
    <w:rsid w:val="005916BD"/>
    <w:rsid w:val="005916C5"/>
    <w:rsid w:val="0059190C"/>
    <w:rsid w:val="00591939"/>
    <w:rsid w:val="00591C46"/>
    <w:rsid w:val="00591CE3"/>
    <w:rsid w:val="00591F61"/>
    <w:rsid w:val="0059207A"/>
    <w:rsid w:val="005920EC"/>
    <w:rsid w:val="00592142"/>
    <w:rsid w:val="005921FC"/>
    <w:rsid w:val="005922ED"/>
    <w:rsid w:val="00592302"/>
    <w:rsid w:val="00592372"/>
    <w:rsid w:val="005923B1"/>
    <w:rsid w:val="005923F1"/>
    <w:rsid w:val="00592401"/>
    <w:rsid w:val="005924BB"/>
    <w:rsid w:val="0059264B"/>
    <w:rsid w:val="0059269E"/>
    <w:rsid w:val="00592716"/>
    <w:rsid w:val="00592897"/>
    <w:rsid w:val="00592942"/>
    <w:rsid w:val="00592979"/>
    <w:rsid w:val="005929BA"/>
    <w:rsid w:val="00592AC2"/>
    <w:rsid w:val="00592B0E"/>
    <w:rsid w:val="00592B1B"/>
    <w:rsid w:val="00592D0B"/>
    <w:rsid w:val="00592D20"/>
    <w:rsid w:val="00592D79"/>
    <w:rsid w:val="00592D88"/>
    <w:rsid w:val="00592E80"/>
    <w:rsid w:val="00592FB2"/>
    <w:rsid w:val="00592FB7"/>
    <w:rsid w:val="0059317C"/>
    <w:rsid w:val="005931A6"/>
    <w:rsid w:val="005931B3"/>
    <w:rsid w:val="00593274"/>
    <w:rsid w:val="005933C4"/>
    <w:rsid w:val="00593752"/>
    <w:rsid w:val="0059375E"/>
    <w:rsid w:val="005937F5"/>
    <w:rsid w:val="00593A0C"/>
    <w:rsid w:val="00593A65"/>
    <w:rsid w:val="00593A71"/>
    <w:rsid w:val="00593C85"/>
    <w:rsid w:val="00593D38"/>
    <w:rsid w:val="00593DED"/>
    <w:rsid w:val="00593E88"/>
    <w:rsid w:val="00593ECF"/>
    <w:rsid w:val="00594089"/>
    <w:rsid w:val="0059412A"/>
    <w:rsid w:val="00594148"/>
    <w:rsid w:val="005941B1"/>
    <w:rsid w:val="005942BC"/>
    <w:rsid w:val="005942E4"/>
    <w:rsid w:val="00594300"/>
    <w:rsid w:val="00594362"/>
    <w:rsid w:val="005943E5"/>
    <w:rsid w:val="0059444B"/>
    <w:rsid w:val="0059461E"/>
    <w:rsid w:val="00594773"/>
    <w:rsid w:val="005948E0"/>
    <w:rsid w:val="00594B51"/>
    <w:rsid w:val="00594B8D"/>
    <w:rsid w:val="00594D8A"/>
    <w:rsid w:val="00594FEA"/>
    <w:rsid w:val="0059500B"/>
    <w:rsid w:val="00595120"/>
    <w:rsid w:val="005952AC"/>
    <w:rsid w:val="005952FC"/>
    <w:rsid w:val="00595351"/>
    <w:rsid w:val="005953C5"/>
    <w:rsid w:val="0059546D"/>
    <w:rsid w:val="005954C2"/>
    <w:rsid w:val="005954F8"/>
    <w:rsid w:val="00595711"/>
    <w:rsid w:val="00595715"/>
    <w:rsid w:val="0059577A"/>
    <w:rsid w:val="005957C8"/>
    <w:rsid w:val="005958B5"/>
    <w:rsid w:val="00595FBE"/>
    <w:rsid w:val="00595FE7"/>
    <w:rsid w:val="00595FEA"/>
    <w:rsid w:val="00596063"/>
    <w:rsid w:val="00596097"/>
    <w:rsid w:val="00596138"/>
    <w:rsid w:val="00596371"/>
    <w:rsid w:val="005963D1"/>
    <w:rsid w:val="0059649E"/>
    <w:rsid w:val="005965C7"/>
    <w:rsid w:val="0059664D"/>
    <w:rsid w:val="005966E6"/>
    <w:rsid w:val="00596745"/>
    <w:rsid w:val="00596AB5"/>
    <w:rsid w:val="00596ADC"/>
    <w:rsid w:val="00596DA6"/>
    <w:rsid w:val="00596DB7"/>
    <w:rsid w:val="00596E49"/>
    <w:rsid w:val="00596FC9"/>
    <w:rsid w:val="005970AD"/>
    <w:rsid w:val="005971D4"/>
    <w:rsid w:val="005972DC"/>
    <w:rsid w:val="0059743E"/>
    <w:rsid w:val="00597495"/>
    <w:rsid w:val="00597582"/>
    <w:rsid w:val="0059759E"/>
    <w:rsid w:val="0059766D"/>
    <w:rsid w:val="005976E1"/>
    <w:rsid w:val="0059778F"/>
    <w:rsid w:val="00597857"/>
    <w:rsid w:val="00597A0A"/>
    <w:rsid w:val="00597ABC"/>
    <w:rsid w:val="00597BDE"/>
    <w:rsid w:val="00597D06"/>
    <w:rsid w:val="00597E34"/>
    <w:rsid w:val="00597F09"/>
    <w:rsid w:val="00597F0A"/>
    <w:rsid w:val="00597F68"/>
    <w:rsid w:val="00597F71"/>
    <w:rsid w:val="00597FC1"/>
    <w:rsid w:val="00597FF8"/>
    <w:rsid w:val="005A00D3"/>
    <w:rsid w:val="005A01D1"/>
    <w:rsid w:val="005A0424"/>
    <w:rsid w:val="005A043C"/>
    <w:rsid w:val="005A045D"/>
    <w:rsid w:val="005A046F"/>
    <w:rsid w:val="005A04B4"/>
    <w:rsid w:val="005A050E"/>
    <w:rsid w:val="005A057E"/>
    <w:rsid w:val="005A063A"/>
    <w:rsid w:val="005A0811"/>
    <w:rsid w:val="005A082D"/>
    <w:rsid w:val="005A0A06"/>
    <w:rsid w:val="005A0A7B"/>
    <w:rsid w:val="005A0A90"/>
    <w:rsid w:val="005A0C1E"/>
    <w:rsid w:val="005A0CA8"/>
    <w:rsid w:val="005A0DF0"/>
    <w:rsid w:val="005A0EEA"/>
    <w:rsid w:val="005A1050"/>
    <w:rsid w:val="005A10DC"/>
    <w:rsid w:val="005A11C1"/>
    <w:rsid w:val="005A11F0"/>
    <w:rsid w:val="005A1297"/>
    <w:rsid w:val="005A1353"/>
    <w:rsid w:val="005A1380"/>
    <w:rsid w:val="005A13C9"/>
    <w:rsid w:val="005A15BA"/>
    <w:rsid w:val="005A16ED"/>
    <w:rsid w:val="005A1840"/>
    <w:rsid w:val="005A18E4"/>
    <w:rsid w:val="005A1935"/>
    <w:rsid w:val="005A193A"/>
    <w:rsid w:val="005A1971"/>
    <w:rsid w:val="005A1981"/>
    <w:rsid w:val="005A1A2A"/>
    <w:rsid w:val="005A1AFC"/>
    <w:rsid w:val="005A1B10"/>
    <w:rsid w:val="005A1C74"/>
    <w:rsid w:val="005A1C80"/>
    <w:rsid w:val="005A1D69"/>
    <w:rsid w:val="005A1DEA"/>
    <w:rsid w:val="005A1F3E"/>
    <w:rsid w:val="005A1FF2"/>
    <w:rsid w:val="005A2017"/>
    <w:rsid w:val="005A2297"/>
    <w:rsid w:val="005A23C8"/>
    <w:rsid w:val="005A2419"/>
    <w:rsid w:val="005A24FA"/>
    <w:rsid w:val="005A2543"/>
    <w:rsid w:val="005A2575"/>
    <w:rsid w:val="005A278A"/>
    <w:rsid w:val="005A27DA"/>
    <w:rsid w:val="005A283C"/>
    <w:rsid w:val="005A28D1"/>
    <w:rsid w:val="005A2910"/>
    <w:rsid w:val="005A2A13"/>
    <w:rsid w:val="005A2A8C"/>
    <w:rsid w:val="005A2AC0"/>
    <w:rsid w:val="005A2B26"/>
    <w:rsid w:val="005A2D7D"/>
    <w:rsid w:val="005A2E8D"/>
    <w:rsid w:val="005A2EA1"/>
    <w:rsid w:val="005A2F09"/>
    <w:rsid w:val="005A3092"/>
    <w:rsid w:val="005A3099"/>
    <w:rsid w:val="005A30DE"/>
    <w:rsid w:val="005A31ED"/>
    <w:rsid w:val="005A321E"/>
    <w:rsid w:val="005A3250"/>
    <w:rsid w:val="005A349E"/>
    <w:rsid w:val="005A34A1"/>
    <w:rsid w:val="005A351B"/>
    <w:rsid w:val="005A35F7"/>
    <w:rsid w:val="005A36A4"/>
    <w:rsid w:val="005A36E2"/>
    <w:rsid w:val="005A3805"/>
    <w:rsid w:val="005A380A"/>
    <w:rsid w:val="005A38DA"/>
    <w:rsid w:val="005A39F2"/>
    <w:rsid w:val="005A3C0C"/>
    <w:rsid w:val="005A3C5C"/>
    <w:rsid w:val="005A3D7F"/>
    <w:rsid w:val="005A3DA0"/>
    <w:rsid w:val="005A3E28"/>
    <w:rsid w:val="005A3F90"/>
    <w:rsid w:val="005A401B"/>
    <w:rsid w:val="005A407B"/>
    <w:rsid w:val="005A4291"/>
    <w:rsid w:val="005A42CB"/>
    <w:rsid w:val="005A4420"/>
    <w:rsid w:val="005A45DF"/>
    <w:rsid w:val="005A4761"/>
    <w:rsid w:val="005A47A8"/>
    <w:rsid w:val="005A49AA"/>
    <w:rsid w:val="005A4AC7"/>
    <w:rsid w:val="005A4C2A"/>
    <w:rsid w:val="005A4CE8"/>
    <w:rsid w:val="005A4EB0"/>
    <w:rsid w:val="005A4F14"/>
    <w:rsid w:val="005A4F5F"/>
    <w:rsid w:val="005A4F6C"/>
    <w:rsid w:val="005A4FB8"/>
    <w:rsid w:val="005A5091"/>
    <w:rsid w:val="005A517D"/>
    <w:rsid w:val="005A5356"/>
    <w:rsid w:val="005A5451"/>
    <w:rsid w:val="005A54E0"/>
    <w:rsid w:val="005A55A9"/>
    <w:rsid w:val="005A5622"/>
    <w:rsid w:val="005A564C"/>
    <w:rsid w:val="005A56E1"/>
    <w:rsid w:val="005A5743"/>
    <w:rsid w:val="005A583A"/>
    <w:rsid w:val="005A58B1"/>
    <w:rsid w:val="005A58E3"/>
    <w:rsid w:val="005A5A04"/>
    <w:rsid w:val="005A5FBC"/>
    <w:rsid w:val="005A61DB"/>
    <w:rsid w:val="005A61F1"/>
    <w:rsid w:val="005A6283"/>
    <w:rsid w:val="005A6322"/>
    <w:rsid w:val="005A636C"/>
    <w:rsid w:val="005A638B"/>
    <w:rsid w:val="005A63B8"/>
    <w:rsid w:val="005A660F"/>
    <w:rsid w:val="005A6645"/>
    <w:rsid w:val="005A671E"/>
    <w:rsid w:val="005A6733"/>
    <w:rsid w:val="005A69C4"/>
    <w:rsid w:val="005A6A8B"/>
    <w:rsid w:val="005A6B1A"/>
    <w:rsid w:val="005A6D20"/>
    <w:rsid w:val="005A6DA2"/>
    <w:rsid w:val="005A6E9B"/>
    <w:rsid w:val="005A72AC"/>
    <w:rsid w:val="005A744F"/>
    <w:rsid w:val="005A7556"/>
    <w:rsid w:val="005A76A4"/>
    <w:rsid w:val="005A76F6"/>
    <w:rsid w:val="005A771D"/>
    <w:rsid w:val="005A783F"/>
    <w:rsid w:val="005A78D2"/>
    <w:rsid w:val="005A7B33"/>
    <w:rsid w:val="005A7B60"/>
    <w:rsid w:val="005A7C0A"/>
    <w:rsid w:val="005A7D1D"/>
    <w:rsid w:val="005B00FB"/>
    <w:rsid w:val="005B0127"/>
    <w:rsid w:val="005B04CC"/>
    <w:rsid w:val="005B05F0"/>
    <w:rsid w:val="005B0631"/>
    <w:rsid w:val="005B0654"/>
    <w:rsid w:val="005B0681"/>
    <w:rsid w:val="005B0897"/>
    <w:rsid w:val="005B0AFF"/>
    <w:rsid w:val="005B0D0B"/>
    <w:rsid w:val="005B0DA4"/>
    <w:rsid w:val="005B0E77"/>
    <w:rsid w:val="005B0F45"/>
    <w:rsid w:val="005B103C"/>
    <w:rsid w:val="005B1065"/>
    <w:rsid w:val="005B106F"/>
    <w:rsid w:val="005B11AC"/>
    <w:rsid w:val="005B1264"/>
    <w:rsid w:val="005B13EA"/>
    <w:rsid w:val="005B14C9"/>
    <w:rsid w:val="005B150E"/>
    <w:rsid w:val="005B1611"/>
    <w:rsid w:val="005B175B"/>
    <w:rsid w:val="005B1786"/>
    <w:rsid w:val="005B18AF"/>
    <w:rsid w:val="005B1910"/>
    <w:rsid w:val="005B1929"/>
    <w:rsid w:val="005B1A25"/>
    <w:rsid w:val="005B1B9D"/>
    <w:rsid w:val="005B1BF5"/>
    <w:rsid w:val="005B1C92"/>
    <w:rsid w:val="005B1CBE"/>
    <w:rsid w:val="005B1E87"/>
    <w:rsid w:val="005B1F73"/>
    <w:rsid w:val="005B2113"/>
    <w:rsid w:val="005B2795"/>
    <w:rsid w:val="005B297B"/>
    <w:rsid w:val="005B29F6"/>
    <w:rsid w:val="005B2B7C"/>
    <w:rsid w:val="005B2CCD"/>
    <w:rsid w:val="005B2D0D"/>
    <w:rsid w:val="005B2E19"/>
    <w:rsid w:val="005B2FA3"/>
    <w:rsid w:val="005B300A"/>
    <w:rsid w:val="005B30D0"/>
    <w:rsid w:val="005B30F9"/>
    <w:rsid w:val="005B31E0"/>
    <w:rsid w:val="005B3389"/>
    <w:rsid w:val="005B34A6"/>
    <w:rsid w:val="005B351C"/>
    <w:rsid w:val="005B3581"/>
    <w:rsid w:val="005B3623"/>
    <w:rsid w:val="005B36DA"/>
    <w:rsid w:val="005B38A4"/>
    <w:rsid w:val="005B396C"/>
    <w:rsid w:val="005B3C0D"/>
    <w:rsid w:val="005B3D89"/>
    <w:rsid w:val="005B3E10"/>
    <w:rsid w:val="005B3F02"/>
    <w:rsid w:val="005B4117"/>
    <w:rsid w:val="005B41D4"/>
    <w:rsid w:val="005B42C8"/>
    <w:rsid w:val="005B44E0"/>
    <w:rsid w:val="005B455C"/>
    <w:rsid w:val="005B45CA"/>
    <w:rsid w:val="005B4698"/>
    <w:rsid w:val="005B46B3"/>
    <w:rsid w:val="005B46C6"/>
    <w:rsid w:val="005B475D"/>
    <w:rsid w:val="005B4801"/>
    <w:rsid w:val="005B4984"/>
    <w:rsid w:val="005B49CC"/>
    <w:rsid w:val="005B4A22"/>
    <w:rsid w:val="005B4A50"/>
    <w:rsid w:val="005B4A92"/>
    <w:rsid w:val="005B4AFC"/>
    <w:rsid w:val="005B4C0A"/>
    <w:rsid w:val="005B4C43"/>
    <w:rsid w:val="005B4C56"/>
    <w:rsid w:val="005B4CD2"/>
    <w:rsid w:val="005B4DB6"/>
    <w:rsid w:val="005B4DB8"/>
    <w:rsid w:val="005B4EAE"/>
    <w:rsid w:val="005B5059"/>
    <w:rsid w:val="005B5151"/>
    <w:rsid w:val="005B5367"/>
    <w:rsid w:val="005B5396"/>
    <w:rsid w:val="005B5468"/>
    <w:rsid w:val="005B55F6"/>
    <w:rsid w:val="005B5606"/>
    <w:rsid w:val="005B56C9"/>
    <w:rsid w:val="005B56D9"/>
    <w:rsid w:val="005B56DB"/>
    <w:rsid w:val="005B5824"/>
    <w:rsid w:val="005B5915"/>
    <w:rsid w:val="005B5917"/>
    <w:rsid w:val="005B59EA"/>
    <w:rsid w:val="005B5A02"/>
    <w:rsid w:val="005B5CFD"/>
    <w:rsid w:val="005B5F8D"/>
    <w:rsid w:val="005B604F"/>
    <w:rsid w:val="005B611C"/>
    <w:rsid w:val="005B6354"/>
    <w:rsid w:val="005B66D7"/>
    <w:rsid w:val="005B66EE"/>
    <w:rsid w:val="005B6AD2"/>
    <w:rsid w:val="005B6B36"/>
    <w:rsid w:val="005B6C55"/>
    <w:rsid w:val="005B6D02"/>
    <w:rsid w:val="005B6D47"/>
    <w:rsid w:val="005B6E15"/>
    <w:rsid w:val="005B7079"/>
    <w:rsid w:val="005B7267"/>
    <w:rsid w:val="005B7308"/>
    <w:rsid w:val="005B73AC"/>
    <w:rsid w:val="005B7668"/>
    <w:rsid w:val="005B789E"/>
    <w:rsid w:val="005B79E3"/>
    <w:rsid w:val="005B7A4F"/>
    <w:rsid w:val="005B7B80"/>
    <w:rsid w:val="005B7C18"/>
    <w:rsid w:val="005C0033"/>
    <w:rsid w:val="005C0034"/>
    <w:rsid w:val="005C0042"/>
    <w:rsid w:val="005C01EC"/>
    <w:rsid w:val="005C02D9"/>
    <w:rsid w:val="005C02FD"/>
    <w:rsid w:val="005C03AB"/>
    <w:rsid w:val="005C046F"/>
    <w:rsid w:val="005C04AE"/>
    <w:rsid w:val="005C0568"/>
    <w:rsid w:val="005C0706"/>
    <w:rsid w:val="005C08B8"/>
    <w:rsid w:val="005C090A"/>
    <w:rsid w:val="005C0A2E"/>
    <w:rsid w:val="005C0A7A"/>
    <w:rsid w:val="005C0D0F"/>
    <w:rsid w:val="005C0D6B"/>
    <w:rsid w:val="005C0FE9"/>
    <w:rsid w:val="005C1029"/>
    <w:rsid w:val="005C10B0"/>
    <w:rsid w:val="005C1324"/>
    <w:rsid w:val="005C13ED"/>
    <w:rsid w:val="005C140A"/>
    <w:rsid w:val="005C14BB"/>
    <w:rsid w:val="005C174F"/>
    <w:rsid w:val="005C1795"/>
    <w:rsid w:val="005C192E"/>
    <w:rsid w:val="005C199A"/>
    <w:rsid w:val="005C1B08"/>
    <w:rsid w:val="005C1B86"/>
    <w:rsid w:val="005C1E34"/>
    <w:rsid w:val="005C1F5A"/>
    <w:rsid w:val="005C1F95"/>
    <w:rsid w:val="005C1FC7"/>
    <w:rsid w:val="005C20F1"/>
    <w:rsid w:val="005C2166"/>
    <w:rsid w:val="005C217D"/>
    <w:rsid w:val="005C22C4"/>
    <w:rsid w:val="005C24F6"/>
    <w:rsid w:val="005C2515"/>
    <w:rsid w:val="005C2824"/>
    <w:rsid w:val="005C2888"/>
    <w:rsid w:val="005C28B3"/>
    <w:rsid w:val="005C2A75"/>
    <w:rsid w:val="005C2F5C"/>
    <w:rsid w:val="005C30B4"/>
    <w:rsid w:val="005C3434"/>
    <w:rsid w:val="005C34F2"/>
    <w:rsid w:val="005C35A9"/>
    <w:rsid w:val="005C36D4"/>
    <w:rsid w:val="005C386E"/>
    <w:rsid w:val="005C397A"/>
    <w:rsid w:val="005C39BD"/>
    <w:rsid w:val="005C3AE7"/>
    <w:rsid w:val="005C3AE9"/>
    <w:rsid w:val="005C3AFB"/>
    <w:rsid w:val="005C3F20"/>
    <w:rsid w:val="005C3F22"/>
    <w:rsid w:val="005C3F70"/>
    <w:rsid w:val="005C404C"/>
    <w:rsid w:val="005C4077"/>
    <w:rsid w:val="005C409A"/>
    <w:rsid w:val="005C4120"/>
    <w:rsid w:val="005C4130"/>
    <w:rsid w:val="005C413A"/>
    <w:rsid w:val="005C4153"/>
    <w:rsid w:val="005C4196"/>
    <w:rsid w:val="005C4211"/>
    <w:rsid w:val="005C427B"/>
    <w:rsid w:val="005C45F7"/>
    <w:rsid w:val="005C467C"/>
    <w:rsid w:val="005C47E0"/>
    <w:rsid w:val="005C4837"/>
    <w:rsid w:val="005C4851"/>
    <w:rsid w:val="005C485A"/>
    <w:rsid w:val="005C488E"/>
    <w:rsid w:val="005C48E6"/>
    <w:rsid w:val="005C48F5"/>
    <w:rsid w:val="005C48F6"/>
    <w:rsid w:val="005C48FF"/>
    <w:rsid w:val="005C4B9B"/>
    <w:rsid w:val="005C4BFB"/>
    <w:rsid w:val="005C4C63"/>
    <w:rsid w:val="005C4D6B"/>
    <w:rsid w:val="005C4DC7"/>
    <w:rsid w:val="005C4E59"/>
    <w:rsid w:val="005C4EA4"/>
    <w:rsid w:val="005C51AB"/>
    <w:rsid w:val="005C51B8"/>
    <w:rsid w:val="005C5219"/>
    <w:rsid w:val="005C528A"/>
    <w:rsid w:val="005C53A8"/>
    <w:rsid w:val="005C54F6"/>
    <w:rsid w:val="005C55E5"/>
    <w:rsid w:val="005C571D"/>
    <w:rsid w:val="005C57B7"/>
    <w:rsid w:val="005C57B9"/>
    <w:rsid w:val="005C5819"/>
    <w:rsid w:val="005C5877"/>
    <w:rsid w:val="005C5978"/>
    <w:rsid w:val="005C59DB"/>
    <w:rsid w:val="005C5A0B"/>
    <w:rsid w:val="005C5BB0"/>
    <w:rsid w:val="005C5BB9"/>
    <w:rsid w:val="005C5C32"/>
    <w:rsid w:val="005C5D2A"/>
    <w:rsid w:val="005C5EFE"/>
    <w:rsid w:val="005C6305"/>
    <w:rsid w:val="005C6392"/>
    <w:rsid w:val="005C63E5"/>
    <w:rsid w:val="005C641F"/>
    <w:rsid w:val="005C649E"/>
    <w:rsid w:val="005C6508"/>
    <w:rsid w:val="005C65EA"/>
    <w:rsid w:val="005C663F"/>
    <w:rsid w:val="005C682F"/>
    <w:rsid w:val="005C688F"/>
    <w:rsid w:val="005C6A26"/>
    <w:rsid w:val="005C6D68"/>
    <w:rsid w:val="005C6D8A"/>
    <w:rsid w:val="005C6DF8"/>
    <w:rsid w:val="005C6FA4"/>
    <w:rsid w:val="005C70A2"/>
    <w:rsid w:val="005C7132"/>
    <w:rsid w:val="005C71BF"/>
    <w:rsid w:val="005C7245"/>
    <w:rsid w:val="005C7407"/>
    <w:rsid w:val="005C757A"/>
    <w:rsid w:val="005C757D"/>
    <w:rsid w:val="005C762E"/>
    <w:rsid w:val="005C7683"/>
    <w:rsid w:val="005C7723"/>
    <w:rsid w:val="005C7735"/>
    <w:rsid w:val="005C7753"/>
    <w:rsid w:val="005C77BF"/>
    <w:rsid w:val="005C785C"/>
    <w:rsid w:val="005C7986"/>
    <w:rsid w:val="005C7A88"/>
    <w:rsid w:val="005C7BAB"/>
    <w:rsid w:val="005C7C4A"/>
    <w:rsid w:val="005C7D26"/>
    <w:rsid w:val="005C7E7F"/>
    <w:rsid w:val="005C7F69"/>
    <w:rsid w:val="005C7F93"/>
    <w:rsid w:val="005C7FBC"/>
    <w:rsid w:val="005C7FC6"/>
    <w:rsid w:val="005D02D8"/>
    <w:rsid w:val="005D044E"/>
    <w:rsid w:val="005D0545"/>
    <w:rsid w:val="005D0831"/>
    <w:rsid w:val="005D0897"/>
    <w:rsid w:val="005D0CFB"/>
    <w:rsid w:val="005D0D9E"/>
    <w:rsid w:val="005D0DC8"/>
    <w:rsid w:val="005D114F"/>
    <w:rsid w:val="005D117F"/>
    <w:rsid w:val="005D13B6"/>
    <w:rsid w:val="005D1440"/>
    <w:rsid w:val="005D14A5"/>
    <w:rsid w:val="005D1838"/>
    <w:rsid w:val="005D1865"/>
    <w:rsid w:val="005D189C"/>
    <w:rsid w:val="005D19E2"/>
    <w:rsid w:val="005D19E6"/>
    <w:rsid w:val="005D1B51"/>
    <w:rsid w:val="005D1B63"/>
    <w:rsid w:val="005D1C55"/>
    <w:rsid w:val="005D1CD3"/>
    <w:rsid w:val="005D1EA2"/>
    <w:rsid w:val="005D201B"/>
    <w:rsid w:val="005D2157"/>
    <w:rsid w:val="005D2210"/>
    <w:rsid w:val="005D228D"/>
    <w:rsid w:val="005D236C"/>
    <w:rsid w:val="005D2383"/>
    <w:rsid w:val="005D2414"/>
    <w:rsid w:val="005D24DA"/>
    <w:rsid w:val="005D2898"/>
    <w:rsid w:val="005D295A"/>
    <w:rsid w:val="005D299E"/>
    <w:rsid w:val="005D2A7A"/>
    <w:rsid w:val="005D2B5B"/>
    <w:rsid w:val="005D2C79"/>
    <w:rsid w:val="005D2CAB"/>
    <w:rsid w:val="005D2D3A"/>
    <w:rsid w:val="005D2D66"/>
    <w:rsid w:val="005D2DDF"/>
    <w:rsid w:val="005D2E0F"/>
    <w:rsid w:val="005D2E55"/>
    <w:rsid w:val="005D2FF2"/>
    <w:rsid w:val="005D3038"/>
    <w:rsid w:val="005D30AB"/>
    <w:rsid w:val="005D30FE"/>
    <w:rsid w:val="005D311F"/>
    <w:rsid w:val="005D31E9"/>
    <w:rsid w:val="005D323B"/>
    <w:rsid w:val="005D32F6"/>
    <w:rsid w:val="005D334F"/>
    <w:rsid w:val="005D340C"/>
    <w:rsid w:val="005D349F"/>
    <w:rsid w:val="005D36AF"/>
    <w:rsid w:val="005D36E1"/>
    <w:rsid w:val="005D3700"/>
    <w:rsid w:val="005D371B"/>
    <w:rsid w:val="005D38B7"/>
    <w:rsid w:val="005D3BC7"/>
    <w:rsid w:val="005D3C51"/>
    <w:rsid w:val="005D3CA0"/>
    <w:rsid w:val="005D3CE9"/>
    <w:rsid w:val="005D3EE9"/>
    <w:rsid w:val="005D407E"/>
    <w:rsid w:val="005D4120"/>
    <w:rsid w:val="005D412B"/>
    <w:rsid w:val="005D4296"/>
    <w:rsid w:val="005D434C"/>
    <w:rsid w:val="005D4486"/>
    <w:rsid w:val="005D46ED"/>
    <w:rsid w:val="005D471E"/>
    <w:rsid w:val="005D47AB"/>
    <w:rsid w:val="005D48B4"/>
    <w:rsid w:val="005D4967"/>
    <w:rsid w:val="005D4ACC"/>
    <w:rsid w:val="005D4BC2"/>
    <w:rsid w:val="005D4D9B"/>
    <w:rsid w:val="005D4DC8"/>
    <w:rsid w:val="005D4E76"/>
    <w:rsid w:val="005D50B1"/>
    <w:rsid w:val="005D50C4"/>
    <w:rsid w:val="005D5172"/>
    <w:rsid w:val="005D5191"/>
    <w:rsid w:val="005D51F6"/>
    <w:rsid w:val="005D5216"/>
    <w:rsid w:val="005D5280"/>
    <w:rsid w:val="005D5327"/>
    <w:rsid w:val="005D5366"/>
    <w:rsid w:val="005D53E1"/>
    <w:rsid w:val="005D53EA"/>
    <w:rsid w:val="005D5440"/>
    <w:rsid w:val="005D54B4"/>
    <w:rsid w:val="005D54F2"/>
    <w:rsid w:val="005D560F"/>
    <w:rsid w:val="005D5662"/>
    <w:rsid w:val="005D5698"/>
    <w:rsid w:val="005D5836"/>
    <w:rsid w:val="005D596F"/>
    <w:rsid w:val="005D59A5"/>
    <w:rsid w:val="005D59ED"/>
    <w:rsid w:val="005D5ADA"/>
    <w:rsid w:val="005D5B73"/>
    <w:rsid w:val="005D5BCF"/>
    <w:rsid w:val="005D5E55"/>
    <w:rsid w:val="005D5E97"/>
    <w:rsid w:val="005D5EF4"/>
    <w:rsid w:val="005D5FBC"/>
    <w:rsid w:val="005D6251"/>
    <w:rsid w:val="005D62B3"/>
    <w:rsid w:val="005D634B"/>
    <w:rsid w:val="005D65CE"/>
    <w:rsid w:val="005D6837"/>
    <w:rsid w:val="005D6A65"/>
    <w:rsid w:val="005D6B25"/>
    <w:rsid w:val="005D6B4F"/>
    <w:rsid w:val="005D6B74"/>
    <w:rsid w:val="005D6B7A"/>
    <w:rsid w:val="005D6BA3"/>
    <w:rsid w:val="005D6C47"/>
    <w:rsid w:val="005D6CB0"/>
    <w:rsid w:val="005D6D97"/>
    <w:rsid w:val="005D6DE2"/>
    <w:rsid w:val="005D6F3B"/>
    <w:rsid w:val="005D6F8A"/>
    <w:rsid w:val="005D7185"/>
    <w:rsid w:val="005D739B"/>
    <w:rsid w:val="005D73C7"/>
    <w:rsid w:val="005D771A"/>
    <w:rsid w:val="005D7734"/>
    <w:rsid w:val="005D7760"/>
    <w:rsid w:val="005D776C"/>
    <w:rsid w:val="005D77FD"/>
    <w:rsid w:val="005D78A9"/>
    <w:rsid w:val="005D78E4"/>
    <w:rsid w:val="005D7983"/>
    <w:rsid w:val="005D79A9"/>
    <w:rsid w:val="005D79D6"/>
    <w:rsid w:val="005D7A5C"/>
    <w:rsid w:val="005D7A81"/>
    <w:rsid w:val="005D7A82"/>
    <w:rsid w:val="005D7AA8"/>
    <w:rsid w:val="005D7AB3"/>
    <w:rsid w:val="005D7D41"/>
    <w:rsid w:val="005E004B"/>
    <w:rsid w:val="005E005C"/>
    <w:rsid w:val="005E05CB"/>
    <w:rsid w:val="005E05F8"/>
    <w:rsid w:val="005E06C6"/>
    <w:rsid w:val="005E0792"/>
    <w:rsid w:val="005E0822"/>
    <w:rsid w:val="005E08DE"/>
    <w:rsid w:val="005E09A4"/>
    <w:rsid w:val="005E0AEA"/>
    <w:rsid w:val="005E0C9E"/>
    <w:rsid w:val="005E0CF0"/>
    <w:rsid w:val="005E0F0B"/>
    <w:rsid w:val="005E0F84"/>
    <w:rsid w:val="005E0FA4"/>
    <w:rsid w:val="005E0FFD"/>
    <w:rsid w:val="005E1034"/>
    <w:rsid w:val="005E10BE"/>
    <w:rsid w:val="005E10CB"/>
    <w:rsid w:val="005E10E9"/>
    <w:rsid w:val="005E1181"/>
    <w:rsid w:val="005E12A6"/>
    <w:rsid w:val="005E12D1"/>
    <w:rsid w:val="005E1343"/>
    <w:rsid w:val="005E14C1"/>
    <w:rsid w:val="005E16E8"/>
    <w:rsid w:val="005E1866"/>
    <w:rsid w:val="005E18C0"/>
    <w:rsid w:val="005E18FF"/>
    <w:rsid w:val="005E1936"/>
    <w:rsid w:val="005E1B47"/>
    <w:rsid w:val="005E1BAB"/>
    <w:rsid w:val="005E1D03"/>
    <w:rsid w:val="005E1D51"/>
    <w:rsid w:val="005E1FD3"/>
    <w:rsid w:val="005E202D"/>
    <w:rsid w:val="005E2184"/>
    <w:rsid w:val="005E22B9"/>
    <w:rsid w:val="005E2380"/>
    <w:rsid w:val="005E2423"/>
    <w:rsid w:val="005E2767"/>
    <w:rsid w:val="005E2785"/>
    <w:rsid w:val="005E2792"/>
    <w:rsid w:val="005E2868"/>
    <w:rsid w:val="005E2948"/>
    <w:rsid w:val="005E29AF"/>
    <w:rsid w:val="005E2A0D"/>
    <w:rsid w:val="005E2A38"/>
    <w:rsid w:val="005E2C31"/>
    <w:rsid w:val="005E2E96"/>
    <w:rsid w:val="005E2F54"/>
    <w:rsid w:val="005E2FC4"/>
    <w:rsid w:val="005E2FEC"/>
    <w:rsid w:val="005E3114"/>
    <w:rsid w:val="005E3118"/>
    <w:rsid w:val="005E3326"/>
    <w:rsid w:val="005E332A"/>
    <w:rsid w:val="005E337B"/>
    <w:rsid w:val="005E3402"/>
    <w:rsid w:val="005E345C"/>
    <w:rsid w:val="005E3663"/>
    <w:rsid w:val="005E372B"/>
    <w:rsid w:val="005E3782"/>
    <w:rsid w:val="005E3A69"/>
    <w:rsid w:val="005E3B98"/>
    <w:rsid w:val="005E3BE9"/>
    <w:rsid w:val="005E3BEB"/>
    <w:rsid w:val="005E3C7E"/>
    <w:rsid w:val="005E3D68"/>
    <w:rsid w:val="005E3EF5"/>
    <w:rsid w:val="005E3F64"/>
    <w:rsid w:val="005E4082"/>
    <w:rsid w:val="005E40FE"/>
    <w:rsid w:val="005E417F"/>
    <w:rsid w:val="005E42FD"/>
    <w:rsid w:val="005E4354"/>
    <w:rsid w:val="005E43F3"/>
    <w:rsid w:val="005E4594"/>
    <w:rsid w:val="005E45C4"/>
    <w:rsid w:val="005E45C6"/>
    <w:rsid w:val="005E46AE"/>
    <w:rsid w:val="005E46D7"/>
    <w:rsid w:val="005E478A"/>
    <w:rsid w:val="005E4923"/>
    <w:rsid w:val="005E49DF"/>
    <w:rsid w:val="005E4AAD"/>
    <w:rsid w:val="005E4C19"/>
    <w:rsid w:val="005E4C72"/>
    <w:rsid w:val="005E4CEE"/>
    <w:rsid w:val="005E4DCE"/>
    <w:rsid w:val="005E4E76"/>
    <w:rsid w:val="005E4F62"/>
    <w:rsid w:val="005E50C4"/>
    <w:rsid w:val="005E521F"/>
    <w:rsid w:val="005E5698"/>
    <w:rsid w:val="005E56C6"/>
    <w:rsid w:val="005E57C0"/>
    <w:rsid w:val="005E582E"/>
    <w:rsid w:val="005E5839"/>
    <w:rsid w:val="005E5942"/>
    <w:rsid w:val="005E59DE"/>
    <w:rsid w:val="005E5AC3"/>
    <w:rsid w:val="005E5B73"/>
    <w:rsid w:val="005E5BF1"/>
    <w:rsid w:val="005E5DE6"/>
    <w:rsid w:val="005E5F73"/>
    <w:rsid w:val="005E60E0"/>
    <w:rsid w:val="005E6248"/>
    <w:rsid w:val="005E62BC"/>
    <w:rsid w:val="005E6359"/>
    <w:rsid w:val="005E6462"/>
    <w:rsid w:val="005E648A"/>
    <w:rsid w:val="005E64CF"/>
    <w:rsid w:val="005E6528"/>
    <w:rsid w:val="005E65C2"/>
    <w:rsid w:val="005E6799"/>
    <w:rsid w:val="005E67FE"/>
    <w:rsid w:val="005E6885"/>
    <w:rsid w:val="005E688B"/>
    <w:rsid w:val="005E68AC"/>
    <w:rsid w:val="005E68B7"/>
    <w:rsid w:val="005E695F"/>
    <w:rsid w:val="005E6B59"/>
    <w:rsid w:val="005E6CA8"/>
    <w:rsid w:val="005E6FC4"/>
    <w:rsid w:val="005E715A"/>
    <w:rsid w:val="005E71FF"/>
    <w:rsid w:val="005E72E5"/>
    <w:rsid w:val="005E7359"/>
    <w:rsid w:val="005E7433"/>
    <w:rsid w:val="005E757C"/>
    <w:rsid w:val="005E7583"/>
    <w:rsid w:val="005E7780"/>
    <w:rsid w:val="005E77EE"/>
    <w:rsid w:val="005E794A"/>
    <w:rsid w:val="005E79A5"/>
    <w:rsid w:val="005E7A9F"/>
    <w:rsid w:val="005E7AE8"/>
    <w:rsid w:val="005E7BA1"/>
    <w:rsid w:val="005E7CD0"/>
    <w:rsid w:val="005E7CD7"/>
    <w:rsid w:val="005E7DFB"/>
    <w:rsid w:val="005E7E0B"/>
    <w:rsid w:val="005E7E22"/>
    <w:rsid w:val="005E7EE8"/>
    <w:rsid w:val="005F002F"/>
    <w:rsid w:val="005F024A"/>
    <w:rsid w:val="005F0252"/>
    <w:rsid w:val="005F034D"/>
    <w:rsid w:val="005F058B"/>
    <w:rsid w:val="005F077B"/>
    <w:rsid w:val="005F0929"/>
    <w:rsid w:val="005F092E"/>
    <w:rsid w:val="005F0C6A"/>
    <w:rsid w:val="005F0E5A"/>
    <w:rsid w:val="005F0E67"/>
    <w:rsid w:val="005F10F7"/>
    <w:rsid w:val="005F12EF"/>
    <w:rsid w:val="005F1808"/>
    <w:rsid w:val="005F18D4"/>
    <w:rsid w:val="005F192C"/>
    <w:rsid w:val="005F19D3"/>
    <w:rsid w:val="005F1B87"/>
    <w:rsid w:val="005F1DD6"/>
    <w:rsid w:val="005F1DEC"/>
    <w:rsid w:val="005F1E2E"/>
    <w:rsid w:val="005F1E30"/>
    <w:rsid w:val="005F1E5E"/>
    <w:rsid w:val="005F1F67"/>
    <w:rsid w:val="005F21EF"/>
    <w:rsid w:val="005F22C9"/>
    <w:rsid w:val="005F22E7"/>
    <w:rsid w:val="005F235C"/>
    <w:rsid w:val="005F2375"/>
    <w:rsid w:val="005F23E2"/>
    <w:rsid w:val="005F243B"/>
    <w:rsid w:val="005F245B"/>
    <w:rsid w:val="005F25F9"/>
    <w:rsid w:val="005F27DA"/>
    <w:rsid w:val="005F2806"/>
    <w:rsid w:val="005F29A1"/>
    <w:rsid w:val="005F2A21"/>
    <w:rsid w:val="005F2A30"/>
    <w:rsid w:val="005F2A62"/>
    <w:rsid w:val="005F2AED"/>
    <w:rsid w:val="005F2B2E"/>
    <w:rsid w:val="005F2B30"/>
    <w:rsid w:val="005F2B5E"/>
    <w:rsid w:val="005F2D2F"/>
    <w:rsid w:val="005F2D7F"/>
    <w:rsid w:val="005F2E57"/>
    <w:rsid w:val="005F2F47"/>
    <w:rsid w:val="005F3010"/>
    <w:rsid w:val="005F31CF"/>
    <w:rsid w:val="005F3235"/>
    <w:rsid w:val="005F3353"/>
    <w:rsid w:val="005F336A"/>
    <w:rsid w:val="005F3436"/>
    <w:rsid w:val="005F3499"/>
    <w:rsid w:val="005F34A8"/>
    <w:rsid w:val="005F34CC"/>
    <w:rsid w:val="005F358E"/>
    <w:rsid w:val="005F37A4"/>
    <w:rsid w:val="005F38E0"/>
    <w:rsid w:val="005F38E7"/>
    <w:rsid w:val="005F3AA7"/>
    <w:rsid w:val="005F3B1B"/>
    <w:rsid w:val="005F3B7B"/>
    <w:rsid w:val="005F3BC7"/>
    <w:rsid w:val="005F3C59"/>
    <w:rsid w:val="005F3CDA"/>
    <w:rsid w:val="005F3CF4"/>
    <w:rsid w:val="005F3D16"/>
    <w:rsid w:val="005F3D42"/>
    <w:rsid w:val="005F3D80"/>
    <w:rsid w:val="005F3E75"/>
    <w:rsid w:val="005F3EDF"/>
    <w:rsid w:val="005F40AB"/>
    <w:rsid w:val="005F40FB"/>
    <w:rsid w:val="005F4132"/>
    <w:rsid w:val="005F416C"/>
    <w:rsid w:val="005F439A"/>
    <w:rsid w:val="005F441F"/>
    <w:rsid w:val="005F4439"/>
    <w:rsid w:val="005F444A"/>
    <w:rsid w:val="005F4738"/>
    <w:rsid w:val="005F47E7"/>
    <w:rsid w:val="005F493F"/>
    <w:rsid w:val="005F4965"/>
    <w:rsid w:val="005F4AD9"/>
    <w:rsid w:val="005F4BAA"/>
    <w:rsid w:val="005F4CD4"/>
    <w:rsid w:val="005F4D28"/>
    <w:rsid w:val="005F4FD3"/>
    <w:rsid w:val="005F5222"/>
    <w:rsid w:val="005F5248"/>
    <w:rsid w:val="005F5286"/>
    <w:rsid w:val="005F53F7"/>
    <w:rsid w:val="005F5434"/>
    <w:rsid w:val="005F5510"/>
    <w:rsid w:val="005F56CD"/>
    <w:rsid w:val="005F57B5"/>
    <w:rsid w:val="005F584C"/>
    <w:rsid w:val="005F590E"/>
    <w:rsid w:val="005F5965"/>
    <w:rsid w:val="005F5A92"/>
    <w:rsid w:val="005F5B4B"/>
    <w:rsid w:val="005F5B86"/>
    <w:rsid w:val="005F5C3F"/>
    <w:rsid w:val="005F5CC9"/>
    <w:rsid w:val="005F5D89"/>
    <w:rsid w:val="005F5E29"/>
    <w:rsid w:val="005F5E49"/>
    <w:rsid w:val="005F5F09"/>
    <w:rsid w:val="005F5FE7"/>
    <w:rsid w:val="005F6028"/>
    <w:rsid w:val="005F604A"/>
    <w:rsid w:val="005F617C"/>
    <w:rsid w:val="005F6335"/>
    <w:rsid w:val="005F63D9"/>
    <w:rsid w:val="005F63FF"/>
    <w:rsid w:val="005F6524"/>
    <w:rsid w:val="005F66F2"/>
    <w:rsid w:val="005F6771"/>
    <w:rsid w:val="005F677C"/>
    <w:rsid w:val="005F6787"/>
    <w:rsid w:val="005F68CD"/>
    <w:rsid w:val="005F69A5"/>
    <w:rsid w:val="005F6AE9"/>
    <w:rsid w:val="005F6F11"/>
    <w:rsid w:val="005F6FD6"/>
    <w:rsid w:val="005F712C"/>
    <w:rsid w:val="005F723F"/>
    <w:rsid w:val="005F731A"/>
    <w:rsid w:val="005F7378"/>
    <w:rsid w:val="005F7406"/>
    <w:rsid w:val="005F745A"/>
    <w:rsid w:val="005F74AF"/>
    <w:rsid w:val="005F7501"/>
    <w:rsid w:val="005F7556"/>
    <w:rsid w:val="005F7590"/>
    <w:rsid w:val="005F75F2"/>
    <w:rsid w:val="005F78AA"/>
    <w:rsid w:val="005F78C6"/>
    <w:rsid w:val="005F7A8F"/>
    <w:rsid w:val="005F7B5E"/>
    <w:rsid w:val="005F7B8C"/>
    <w:rsid w:val="005F7BC9"/>
    <w:rsid w:val="005F7C31"/>
    <w:rsid w:val="005F7DCF"/>
    <w:rsid w:val="005F7E31"/>
    <w:rsid w:val="005F7EC7"/>
    <w:rsid w:val="005F7F8A"/>
    <w:rsid w:val="005FB692"/>
    <w:rsid w:val="0060008E"/>
    <w:rsid w:val="006000EF"/>
    <w:rsid w:val="006001B0"/>
    <w:rsid w:val="006001B3"/>
    <w:rsid w:val="006001D6"/>
    <w:rsid w:val="0060029E"/>
    <w:rsid w:val="0060037E"/>
    <w:rsid w:val="0060042A"/>
    <w:rsid w:val="00600485"/>
    <w:rsid w:val="006004B9"/>
    <w:rsid w:val="00600589"/>
    <w:rsid w:val="006006A3"/>
    <w:rsid w:val="00600776"/>
    <w:rsid w:val="006009CF"/>
    <w:rsid w:val="00600A3A"/>
    <w:rsid w:val="00600A63"/>
    <w:rsid w:val="00600A69"/>
    <w:rsid w:val="00600AE3"/>
    <w:rsid w:val="00600B35"/>
    <w:rsid w:val="00600B7E"/>
    <w:rsid w:val="00600BBF"/>
    <w:rsid w:val="00600C00"/>
    <w:rsid w:val="00600C5E"/>
    <w:rsid w:val="00600CA3"/>
    <w:rsid w:val="00600D13"/>
    <w:rsid w:val="00600D62"/>
    <w:rsid w:val="00600E7A"/>
    <w:rsid w:val="00600ECF"/>
    <w:rsid w:val="00600F70"/>
    <w:rsid w:val="00600FF6"/>
    <w:rsid w:val="00601153"/>
    <w:rsid w:val="0060126C"/>
    <w:rsid w:val="00601288"/>
    <w:rsid w:val="00601355"/>
    <w:rsid w:val="0060135D"/>
    <w:rsid w:val="00601376"/>
    <w:rsid w:val="006013CA"/>
    <w:rsid w:val="006013D1"/>
    <w:rsid w:val="0060154B"/>
    <w:rsid w:val="006015DA"/>
    <w:rsid w:val="006015EC"/>
    <w:rsid w:val="00601772"/>
    <w:rsid w:val="006018B6"/>
    <w:rsid w:val="00601965"/>
    <w:rsid w:val="00601AA6"/>
    <w:rsid w:val="00601B0A"/>
    <w:rsid w:val="00601B85"/>
    <w:rsid w:val="00601D5A"/>
    <w:rsid w:val="00601D88"/>
    <w:rsid w:val="00601DC7"/>
    <w:rsid w:val="00601DC8"/>
    <w:rsid w:val="00602099"/>
    <w:rsid w:val="006023C4"/>
    <w:rsid w:val="0060292C"/>
    <w:rsid w:val="006029A2"/>
    <w:rsid w:val="00602A0E"/>
    <w:rsid w:val="00602A5A"/>
    <w:rsid w:val="00602B02"/>
    <w:rsid w:val="00602BA2"/>
    <w:rsid w:val="00602C32"/>
    <w:rsid w:val="00602EB9"/>
    <w:rsid w:val="00602ED4"/>
    <w:rsid w:val="00602FCB"/>
    <w:rsid w:val="00603044"/>
    <w:rsid w:val="006030EA"/>
    <w:rsid w:val="0060311E"/>
    <w:rsid w:val="0060319A"/>
    <w:rsid w:val="006031ED"/>
    <w:rsid w:val="00603207"/>
    <w:rsid w:val="006034F7"/>
    <w:rsid w:val="006036BD"/>
    <w:rsid w:val="006036F8"/>
    <w:rsid w:val="006037D4"/>
    <w:rsid w:val="006037DD"/>
    <w:rsid w:val="006037F9"/>
    <w:rsid w:val="006038E8"/>
    <w:rsid w:val="00603AEB"/>
    <w:rsid w:val="00603B24"/>
    <w:rsid w:val="00603B47"/>
    <w:rsid w:val="006040AF"/>
    <w:rsid w:val="006040D2"/>
    <w:rsid w:val="00604168"/>
    <w:rsid w:val="00604182"/>
    <w:rsid w:val="00604202"/>
    <w:rsid w:val="0060423E"/>
    <w:rsid w:val="006044F9"/>
    <w:rsid w:val="00604532"/>
    <w:rsid w:val="006046F0"/>
    <w:rsid w:val="00604715"/>
    <w:rsid w:val="006047C8"/>
    <w:rsid w:val="006047FA"/>
    <w:rsid w:val="006048B9"/>
    <w:rsid w:val="006048D4"/>
    <w:rsid w:val="00604999"/>
    <w:rsid w:val="00604A53"/>
    <w:rsid w:val="00604B86"/>
    <w:rsid w:val="00604B89"/>
    <w:rsid w:val="00604C2C"/>
    <w:rsid w:val="00604C74"/>
    <w:rsid w:val="00604CC8"/>
    <w:rsid w:val="00604DBA"/>
    <w:rsid w:val="00605280"/>
    <w:rsid w:val="006052D3"/>
    <w:rsid w:val="006053D4"/>
    <w:rsid w:val="0060543B"/>
    <w:rsid w:val="00605456"/>
    <w:rsid w:val="006054FD"/>
    <w:rsid w:val="00605681"/>
    <w:rsid w:val="00605696"/>
    <w:rsid w:val="0060579E"/>
    <w:rsid w:val="006057D3"/>
    <w:rsid w:val="00605856"/>
    <w:rsid w:val="00605875"/>
    <w:rsid w:val="006058D0"/>
    <w:rsid w:val="006058E1"/>
    <w:rsid w:val="00605A72"/>
    <w:rsid w:val="00606050"/>
    <w:rsid w:val="0060607F"/>
    <w:rsid w:val="00606173"/>
    <w:rsid w:val="00606177"/>
    <w:rsid w:val="006061B8"/>
    <w:rsid w:val="006062C1"/>
    <w:rsid w:val="0060644E"/>
    <w:rsid w:val="00606457"/>
    <w:rsid w:val="006064AF"/>
    <w:rsid w:val="006064D6"/>
    <w:rsid w:val="00606537"/>
    <w:rsid w:val="0060669A"/>
    <w:rsid w:val="006066B6"/>
    <w:rsid w:val="00606892"/>
    <w:rsid w:val="00606B23"/>
    <w:rsid w:val="00606BCD"/>
    <w:rsid w:val="00606C21"/>
    <w:rsid w:val="00606C52"/>
    <w:rsid w:val="00606CB3"/>
    <w:rsid w:val="00606CE8"/>
    <w:rsid w:val="00606CF9"/>
    <w:rsid w:val="00606E28"/>
    <w:rsid w:val="00606EC7"/>
    <w:rsid w:val="0060703D"/>
    <w:rsid w:val="006070D4"/>
    <w:rsid w:val="00607142"/>
    <w:rsid w:val="0060721D"/>
    <w:rsid w:val="0060721F"/>
    <w:rsid w:val="006073A7"/>
    <w:rsid w:val="00607505"/>
    <w:rsid w:val="0060780E"/>
    <w:rsid w:val="0060785C"/>
    <w:rsid w:val="0060786E"/>
    <w:rsid w:val="0060790C"/>
    <w:rsid w:val="00607B36"/>
    <w:rsid w:val="00607BAA"/>
    <w:rsid w:val="00607C03"/>
    <w:rsid w:val="00607D88"/>
    <w:rsid w:val="00607DC3"/>
    <w:rsid w:val="00607E00"/>
    <w:rsid w:val="00607E3D"/>
    <w:rsid w:val="00607EFC"/>
    <w:rsid w:val="00607F3E"/>
    <w:rsid w:val="00610148"/>
    <w:rsid w:val="0061033D"/>
    <w:rsid w:val="006103EA"/>
    <w:rsid w:val="00610483"/>
    <w:rsid w:val="00610556"/>
    <w:rsid w:val="006105E7"/>
    <w:rsid w:val="0061065C"/>
    <w:rsid w:val="00610704"/>
    <w:rsid w:val="0061084F"/>
    <w:rsid w:val="006108DD"/>
    <w:rsid w:val="00610A43"/>
    <w:rsid w:val="00610C39"/>
    <w:rsid w:val="00610D43"/>
    <w:rsid w:val="00610D47"/>
    <w:rsid w:val="00610F89"/>
    <w:rsid w:val="006111C2"/>
    <w:rsid w:val="00611222"/>
    <w:rsid w:val="006113BA"/>
    <w:rsid w:val="006115B5"/>
    <w:rsid w:val="006115FC"/>
    <w:rsid w:val="00611784"/>
    <w:rsid w:val="006117F2"/>
    <w:rsid w:val="00611852"/>
    <w:rsid w:val="00611874"/>
    <w:rsid w:val="006119AC"/>
    <w:rsid w:val="006119B8"/>
    <w:rsid w:val="00611BB0"/>
    <w:rsid w:val="00611BBE"/>
    <w:rsid w:val="00611CA5"/>
    <w:rsid w:val="00611E0F"/>
    <w:rsid w:val="00611EAA"/>
    <w:rsid w:val="00611EBA"/>
    <w:rsid w:val="00611EE3"/>
    <w:rsid w:val="00611F75"/>
    <w:rsid w:val="00611FD9"/>
    <w:rsid w:val="0061217F"/>
    <w:rsid w:val="0061219B"/>
    <w:rsid w:val="006121F4"/>
    <w:rsid w:val="00612206"/>
    <w:rsid w:val="0061220A"/>
    <w:rsid w:val="006124D8"/>
    <w:rsid w:val="00612738"/>
    <w:rsid w:val="006128E4"/>
    <w:rsid w:val="0061290D"/>
    <w:rsid w:val="006129BD"/>
    <w:rsid w:val="006129FC"/>
    <w:rsid w:val="00612BCA"/>
    <w:rsid w:val="00612C28"/>
    <w:rsid w:val="00612EDD"/>
    <w:rsid w:val="00612F31"/>
    <w:rsid w:val="00612F76"/>
    <w:rsid w:val="00612F9D"/>
    <w:rsid w:val="006131A7"/>
    <w:rsid w:val="006133D2"/>
    <w:rsid w:val="006136B0"/>
    <w:rsid w:val="00613785"/>
    <w:rsid w:val="0061384A"/>
    <w:rsid w:val="006138B8"/>
    <w:rsid w:val="00613965"/>
    <w:rsid w:val="006139B4"/>
    <w:rsid w:val="00613B80"/>
    <w:rsid w:val="00613B8F"/>
    <w:rsid w:val="00613D09"/>
    <w:rsid w:val="00613D51"/>
    <w:rsid w:val="00613ED8"/>
    <w:rsid w:val="00614029"/>
    <w:rsid w:val="006141CA"/>
    <w:rsid w:val="006142B0"/>
    <w:rsid w:val="006143A2"/>
    <w:rsid w:val="006143A7"/>
    <w:rsid w:val="006143CB"/>
    <w:rsid w:val="00614588"/>
    <w:rsid w:val="00614699"/>
    <w:rsid w:val="0061473D"/>
    <w:rsid w:val="006147C0"/>
    <w:rsid w:val="006147F6"/>
    <w:rsid w:val="006148B7"/>
    <w:rsid w:val="00614CBA"/>
    <w:rsid w:val="00614E3B"/>
    <w:rsid w:val="00614EAF"/>
    <w:rsid w:val="00615000"/>
    <w:rsid w:val="00615227"/>
    <w:rsid w:val="00615241"/>
    <w:rsid w:val="00615292"/>
    <w:rsid w:val="006152CD"/>
    <w:rsid w:val="006153E3"/>
    <w:rsid w:val="00615459"/>
    <w:rsid w:val="006155C5"/>
    <w:rsid w:val="00615718"/>
    <w:rsid w:val="00615799"/>
    <w:rsid w:val="006158E3"/>
    <w:rsid w:val="006158E9"/>
    <w:rsid w:val="0061595B"/>
    <w:rsid w:val="00615AB6"/>
    <w:rsid w:val="00615B44"/>
    <w:rsid w:val="00615BD6"/>
    <w:rsid w:val="00615BE0"/>
    <w:rsid w:val="00615C16"/>
    <w:rsid w:val="00615CDF"/>
    <w:rsid w:val="0061614F"/>
    <w:rsid w:val="00616197"/>
    <w:rsid w:val="00616292"/>
    <w:rsid w:val="006162B4"/>
    <w:rsid w:val="006163BC"/>
    <w:rsid w:val="006163C5"/>
    <w:rsid w:val="006164D2"/>
    <w:rsid w:val="0061663C"/>
    <w:rsid w:val="00616642"/>
    <w:rsid w:val="00616717"/>
    <w:rsid w:val="00616768"/>
    <w:rsid w:val="006169CE"/>
    <w:rsid w:val="006169DA"/>
    <w:rsid w:val="006169DC"/>
    <w:rsid w:val="00616B10"/>
    <w:rsid w:val="00616C5B"/>
    <w:rsid w:val="00616C5E"/>
    <w:rsid w:val="00616C94"/>
    <w:rsid w:val="00616CBD"/>
    <w:rsid w:val="00616CE3"/>
    <w:rsid w:val="00616CF4"/>
    <w:rsid w:val="00616D69"/>
    <w:rsid w:val="00616E2F"/>
    <w:rsid w:val="00616EA5"/>
    <w:rsid w:val="0061719B"/>
    <w:rsid w:val="006172CE"/>
    <w:rsid w:val="0061740C"/>
    <w:rsid w:val="00617434"/>
    <w:rsid w:val="006175C0"/>
    <w:rsid w:val="00617606"/>
    <w:rsid w:val="0061774C"/>
    <w:rsid w:val="006177B2"/>
    <w:rsid w:val="006177FB"/>
    <w:rsid w:val="00617884"/>
    <w:rsid w:val="00617933"/>
    <w:rsid w:val="006179DE"/>
    <w:rsid w:val="006179E8"/>
    <w:rsid w:val="00617B1F"/>
    <w:rsid w:val="00617CA2"/>
    <w:rsid w:val="00617CFC"/>
    <w:rsid w:val="00617D04"/>
    <w:rsid w:val="00617F2E"/>
    <w:rsid w:val="00617F99"/>
    <w:rsid w:val="00620009"/>
    <w:rsid w:val="0062003E"/>
    <w:rsid w:val="0062006D"/>
    <w:rsid w:val="0062008D"/>
    <w:rsid w:val="006200CE"/>
    <w:rsid w:val="006200F6"/>
    <w:rsid w:val="0062011C"/>
    <w:rsid w:val="0062012E"/>
    <w:rsid w:val="00620168"/>
    <w:rsid w:val="0062050B"/>
    <w:rsid w:val="0062053E"/>
    <w:rsid w:val="006206C6"/>
    <w:rsid w:val="006206F9"/>
    <w:rsid w:val="006206FB"/>
    <w:rsid w:val="00620919"/>
    <w:rsid w:val="00620B68"/>
    <w:rsid w:val="00620B9E"/>
    <w:rsid w:val="00620C39"/>
    <w:rsid w:val="00620D6A"/>
    <w:rsid w:val="00620F77"/>
    <w:rsid w:val="00621020"/>
    <w:rsid w:val="0062107F"/>
    <w:rsid w:val="006210A4"/>
    <w:rsid w:val="00621135"/>
    <w:rsid w:val="0062118D"/>
    <w:rsid w:val="006211EC"/>
    <w:rsid w:val="00621310"/>
    <w:rsid w:val="0062140A"/>
    <w:rsid w:val="00621621"/>
    <w:rsid w:val="0062164B"/>
    <w:rsid w:val="0062173B"/>
    <w:rsid w:val="00621768"/>
    <w:rsid w:val="00621928"/>
    <w:rsid w:val="00621A40"/>
    <w:rsid w:val="00621AFC"/>
    <w:rsid w:val="00621CEE"/>
    <w:rsid w:val="00621FF4"/>
    <w:rsid w:val="00622004"/>
    <w:rsid w:val="006220DC"/>
    <w:rsid w:val="006221B2"/>
    <w:rsid w:val="006221CA"/>
    <w:rsid w:val="006221DC"/>
    <w:rsid w:val="006222DB"/>
    <w:rsid w:val="0062235E"/>
    <w:rsid w:val="0062251E"/>
    <w:rsid w:val="0062277F"/>
    <w:rsid w:val="00622911"/>
    <w:rsid w:val="006229C6"/>
    <w:rsid w:val="006229F1"/>
    <w:rsid w:val="00622A9E"/>
    <w:rsid w:val="00622D5C"/>
    <w:rsid w:val="00622D73"/>
    <w:rsid w:val="00622D76"/>
    <w:rsid w:val="00622E17"/>
    <w:rsid w:val="00622E92"/>
    <w:rsid w:val="00622F90"/>
    <w:rsid w:val="00623082"/>
    <w:rsid w:val="006230FB"/>
    <w:rsid w:val="0062317F"/>
    <w:rsid w:val="0062319D"/>
    <w:rsid w:val="0062325A"/>
    <w:rsid w:val="006233C9"/>
    <w:rsid w:val="00623724"/>
    <w:rsid w:val="0062380C"/>
    <w:rsid w:val="006239E8"/>
    <w:rsid w:val="00623B3B"/>
    <w:rsid w:val="00623B92"/>
    <w:rsid w:val="00623BCA"/>
    <w:rsid w:val="00623C56"/>
    <w:rsid w:val="00623D72"/>
    <w:rsid w:val="00623DEB"/>
    <w:rsid w:val="00623DF6"/>
    <w:rsid w:val="00623FB3"/>
    <w:rsid w:val="00624050"/>
    <w:rsid w:val="00624266"/>
    <w:rsid w:val="006244F9"/>
    <w:rsid w:val="00624544"/>
    <w:rsid w:val="0062455D"/>
    <w:rsid w:val="006245E5"/>
    <w:rsid w:val="0062462A"/>
    <w:rsid w:val="0062469D"/>
    <w:rsid w:val="00624865"/>
    <w:rsid w:val="00624B31"/>
    <w:rsid w:val="00624BC0"/>
    <w:rsid w:val="00624CB0"/>
    <w:rsid w:val="00624D5E"/>
    <w:rsid w:val="00624D95"/>
    <w:rsid w:val="00624E4E"/>
    <w:rsid w:val="00624EDF"/>
    <w:rsid w:val="00625046"/>
    <w:rsid w:val="0062506C"/>
    <w:rsid w:val="006252E6"/>
    <w:rsid w:val="006252FD"/>
    <w:rsid w:val="00625326"/>
    <w:rsid w:val="0062541B"/>
    <w:rsid w:val="0062543C"/>
    <w:rsid w:val="0062545D"/>
    <w:rsid w:val="0062548D"/>
    <w:rsid w:val="0062550D"/>
    <w:rsid w:val="00625574"/>
    <w:rsid w:val="0062584F"/>
    <w:rsid w:val="00625913"/>
    <w:rsid w:val="00625927"/>
    <w:rsid w:val="00625A8F"/>
    <w:rsid w:val="00625ABA"/>
    <w:rsid w:val="00625B3D"/>
    <w:rsid w:val="00625C24"/>
    <w:rsid w:val="00625C34"/>
    <w:rsid w:val="00625C79"/>
    <w:rsid w:val="00625CBD"/>
    <w:rsid w:val="00625CF2"/>
    <w:rsid w:val="00625E17"/>
    <w:rsid w:val="00625F0A"/>
    <w:rsid w:val="00625F6D"/>
    <w:rsid w:val="00625F86"/>
    <w:rsid w:val="006260D3"/>
    <w:rsid w:val="00626144"/>
    <w:rsid w:val="006261B7"/>
    <w:rsid w:val="00626290"/>
    <w:rsid w:val="00626544"/>
    <w:rsid w:val="006268C9"/>
    <w:rsid w:val="006268CC"/>
    <w:rsid w:val="0062691A"/>
    <w:rsid w:val="00626AF8"/>
    <w:rsid w:val="00626B5A"/>
    <w:rsid w:val="00626B69"/>
    <w:rsid w:val="00626BD2"/>
    <w:rsid w:val="00626C13"/>
    <w:rsid w:val="00626C1C"/>
    <w:rsid w:val="00626CBF"/>
    <w:rsid w:val="00626F36"/>
    <w:rsid w:val="00626F69"/>
    <w:rsid w:val="00627010"/>
    <w:rsid w:val="00627044"/>
    <w:rsid w:val="00627114"/>
    <w:rsid w:val="0062721E"/>
    <w:rsid w:val="0062729D"/>
    <w:rsid w:val="006272A8"/>
    <w:rsid w:val="0062730C"/>
    <w:rsid w:val="0062733A"/>
    <w:rsid w:val="0062736B"/>
    <w:rsid w:val="00627408"/>
    <w:rsid w:val="006275F6"/>
    <w:rsid w:val="006277A2"/>
    <w:rsid w:val="006277AD"/>
    <w:rsid w:val="00627926"/>
    <w:rsid w:val="0062792B"/>
    <w:rsid w:val="0062796F"/>
    <w:rsid w:val="006279A2"/>
    <w:rsid w:val="00627B1E"/>
    <w:rsid w:val="00627B9D"/>
    <w:rsid w:val="00627C31"/>
    <w:rsid w:val="00627D70"/>
    <w:rsid w:val="00627EC4"/>
    <w:rsid w:val="00627F1A"/>
    <w:rsid w:val="00627FBA"/>
    <w:rsid w:val="00630071"/>
    <w:rsid w:val="0063013B"/>
    <w:rsid w:val="0063046A"/>
    <w:rsid w:val="006305CF"/>
    <w:rsid w:val="00630664"/>
    <w:rsid w:val="0063075E"/>
    <w:rsid w:val="00630946"/>
    <w:rsid w:val="00630A03"/>
    <w:rsid w:val="00630B1C"/>
    <w:rsid w:val="00630CF7"/>
    <w:rsid w:val="00630E27"/>
    <w:rsid w:val="00630FA5"/>
    <w:rsid w:val="00631071"/>
    <w:rsid w:val="006311BF"/>
    <w:rsid w:val="00631291"/>
    <w:rsid w:val="006312BD"/>
    <w:rsid w:val="00631459"/>
    <w:rsid w:val="00631473"/>
    <w:rsid w:val="00631578"/>
    <w:rsid w:val="00631683"/>
    <w:rsid w:val="006316E5"/>
    <w:rsid w:val="006316F5"/>
    <w:rsid w:val="0063198C"/>
    <w:rsid w:val="006319CF"/>
    <w:rsid w:val="00631CF2"/>
    <w:rsid w:val="00631D32"/>
    <w:rsid w:val="00631F2D"/>
    <w:rsid w:val="006321E1"/>
    <w:rsid w:val="006322C1"/>
    <w:rsid w:val="006324AB"/>
    <w:rsid w:val="0063259E"/>
    <w:rsid w:val="00632617"/>
    <w:rsid w:val="00632689"/>
    <w:rsid w:val="0063273C"/>
    <w:rsid w:val="006327B8"/>
    <w:rsid w:val="00632800"/>
    <w:rsid w:val="0063287F"/>
    <w:rsid w:val="006328B4"/>
    <w:rsid w:val="00632935"/>
    <w:rsid w:val="00632A1F"/>
    <w:rsid w:val="00632A67"/>
    <w:rsid w:val="00632BE2"/>
    <w:rsid w:val="00632D49"/>
    <w:rsid w:val="00632DBB"/>
    <w:rsid w:val="00632EC7"/>
    <w:rsid w:val="00632F4E"/>
    <w:rsid w:val="00632F57"/>
    <w:rsid w:val="00632FA3"/>
    <w:rsid w:val="0063305E"/>
    <w:rsid w:val="006330D1"/>
    <w:rsid w:val="006331A5"/>
    <w:rsid w:val="006331C8"/>
    <w:rsid w:val="0063323E"/>
    <w:rsid w:val="00633248"/>
    <w:rsid w:val="006333ED"/>
    <w:rsid w:val="00633571"/>
    <w:rsid w:val="00633780"/>
    <w:rsid w:val="0063386E"/>
    <w:rsid w:val="00633876"/>
    <w:rsid w:val="006338D8"/>
    <w:rsid w:val="006339B5"/>
    <w:rsid w:val="00633AB0"/>
    <w:rsid w:val="00633B03"/>
    <w:rsid w:val="00633C50"/>
    <w:rsid w:val="00633C91"/>
    <w:rsid w:val="00633DFB"/>
    <w:rsid w:val="00633E50"/>
    <w:rsid w:val="00633E83"/>
    <w:rsid w:val="00633F95"/>
    <w:rsid w:val="00633FA6"/>
    <w:rsid w:val="00634071"/>
    <w:rsid w:val="006340F0"/>
    <w:rsid w:val="00634153"/>
    <w:rsid w:val="00634159"/>
    <w:rsid w:val="006342CF"/>
    <w:rsid w:val="0063439D"/>
    <w:rsid w:val="00634409"/>
    <w:rsid w:val="00634411"/>
    <w:rsid w:val="00634744"/>
    <w:rsid w:val="00634757"/>
    <w:rsid w:val="00634910"/>
    <w:rsid w:val="00634926"/>
    <w:rsid w:val="00634A11"/>
    <w:rsid w:val="00634A19"/>
    <w:rsid w:val="00634B35"/>
    <w:rsid w:val="00634C50"/>
    <w:rsid w:val="00634CE2"/>
    <w:rsid w:val="00634ED0"/>
    <w:rsid w:val="00634F3D"/>
    <w:rsid w:val="00635023"/>
    <w:rsid w:val="0063503A"/>
    <w:rsid w:val="006350E5"/>
    <w:rsid w:val="006350F1"/>
    <w:rsid w:val="006351E5"/>
    <w:rsid w:val="006351ED"/>
    <w:rsid w:val="00635242"/>
    <w:rsid w:val="006352D3"/>
    <w:rsid w:val="006353F6"/>
    <w:rsid w:val="006353F8"/>
    <w:rsid w:val="006356D3"/>
    <w:rsid w:val="0063578F"/>
    <w:rsid w:val="006357D6"/>
    <w:rsid w:val="00635808"/>
    <w:rsid w:val="00635823"/>
    <w:rsid w:val="006359AF"/>
    <w:rsid w:val="006359E8"/>
    <w:rsid w:val="006359F8"/>
    <w:rsid w:val="00635A15"/>
    <w:rsid w:val="00635A52"/>
    <w:rsid w:val="00635A9E"/>
    <w:rsid w:val="00635AD0"/>
    <w:rsid w:val="00635CAB"/>
    <w:rsid w:val="00635E49"/>
    <w:rsid w:val="00635F32"/>
    <w:rsid w:val="00635FE3"/>
    <w:rsid w:val="00636022"/>
    <w:rsid w:val="006360D2"/>
    <w:rsid w:val="0063625C"/>
    <w:rsid w:val="00636266"/>
    <w:rsid w:val="00636278"/>
    <w:rsid w:val="006362B2"/>
    <w:rsid w:val="006362D1"/>
    <w:rsid w:val="00636362"/>
    <w:rsid w:val="006363A8"/>
    <w:rsid w:val="00636401"/>
    <w:rsid w:val="00636450"/>
    <w:rsid w:val="00636452"/>
    <w:rsid w:val="00636463"/>
    <w:rsid w:val="006365DA"/>
    <w:rsid w:val="00636623"/>
    <w:rsid w:val="0063666C"/>
    <w:rsid w:val="00636781"/>
    <w:rsid w:val="0063679B"/>
    <w:rsid w:val="006367B6"/>
    <w:rsid w:val="006367BE"/>
    <w:rsid w:val="0063680C"/>
    <w:rsid w:val="006368C3"/>
    <w:rsid w:val="006368D6"/>
    <w:rsid w:val="006368DF"/>
    <w:rsid w:val="0063691F"/>
    <w:rsid w:val="00636AFE"/>
    <w:rsid w:val="00636CD8"/>
    <w:rsid w:val="00636DB5"/>
    <w:rsid w:val="00636E58"/>
    <w:rsid w:val="00636EE4"/>
    <w:rsid w:val="00636FC4"/>
    <w:rsid w:val="006370CA"/>
    <w:rsid w:val="006372CA"/>
    <w:rsid w:val="006372FB"/>
    <w:rsid w:val="006372FC"/>
    <w:rsid w:val="0063733E"/>
    <w:rsid w:val="006373B1"/>
    <w:rsid w:val="006373F7"/>
    <w:rsid w:val="006375A3"/>
    <w:rsid w:val="0063788F"/>
    <w:rsid w:val="006378E7"/>
    <w:rsid w:val="00637948"/>
    <w:rsid w:val="0063799E"/>
    <w:rsid w:val="00637C01"/>
    <w:rsid w:val="00637C33"/>
    <w:rsid w:val="00637D79"/>
    <w:rsid w:val="00637D8E"/>
    <w:rsid w:val="00637DA1"/>
    <w:rsid w:val="00637DED"/>
    <w:rsid w:val="00637DFA"/>
    <w:rsid w:val="00637E27"/>
    <w:rsid w:val="00637E8A"/>
    <w:rsid w:val="00640034"/>
    <w:rsid w:val="00640065"/>
    <w:rsid w:val="006401BF"/>
    <w:rsid w:val="0064034C"/>
    <w:rsid w:val="0064034E"/>
    <w:rsid w:val="00640377"/>
    <w:rsid w:val="006403D0"/>
    <w:rsid w:val="0064047C"/>
    <w:rsid w:val="006406A8"/>
    <w:rsid w:val="0064089E"/>
    <w:rsid w:val="00640960"/>
    <w:rsid w:val="0064098F"/>
    <w:rsid w:val="006409E1"/>
    <w:rsid w:val="00640A70"/>
    <w:rsid w:val="00640BC4"/>
    <w:rsid w:val="00640BC9"/>
    <w:rsid w:val="00640C4C"/>
    <w:rsid w:val="00640C68"/>
    <w:rsid w:val="00640D5C"/>
    <w:rsid w:val="00640D71"/>
    <w:rsid w:val="00640EF7"/>
    <w:rsid w:val="00640F4E"/>
    <w:rsid w:val="006410FA"/>
    <w:rsid w:val="00641182"/>
    <w:rsid w:val="0064129A"/>
    <w:rsid w:val="006413C1"/>
    <w:rsid w:val="006414F1"/>
    <w:rsid w:val="006416B8"/>
    <w:rsid w:val="006416C2"/>
    <w:rsid w:val="0064172D"/>
    <w:rsid w:val="006417FE"/>
    <w:rsid w:val="00641941"/>
    <w:rsid w:val="0064199E"/>
    <w:rsid w:val="00641A74"/>
    <w:rsid w:val="00641C1C"/>
    <w:rsid w:val="00641D85"/>
    <w:rsid w:val="00641D93"/>
    <w:rsid w:val="00641E41"/>
    <w:rsid w:val="00641E74"/>
    <w:rsid w:val="00641F4A"/>
    <w:rsid w:val="00641FA4"/>
    <w:rsid w:val="00642033"/>
    <w:rsid w:val="00642046"/>
    <w:rsid w:val="00642158"/>
    <w:rsid w:val="00642187"/>
    <w:rsid w:val="00642198"/>
    <w:rsid w:val="0064224E"/>
    <w:rsid w:val="0064226D"/>
    <w:rsid w:val="00642392"/>
    <w:rsid w:val="006423F5"/>
    <w:rsid w:val="00642497"/>
    <w:rsid w:val="006424CA"/>
    <w:rsid w:val="00642B6E"/>
    <w:rsid w:val="00642CDD"/>
    <w:rsid w:val="00642DB9"/>
    <w:rsid w:val="00642E53"/>
    <w:rsid w:val="00642E68"/>
    <w:rsid w:val="00642E9F"/>
    <w:rsid w:val="00642F08"/>
    <w:rsid w:val="0064317B"/>
    <w:rsid w:val="006431D4"/>
    <w:rsid w:val="00643260"/>
    <w:rsid w:val="00643362"/>
    <w:rsid w:val="006433A0"/>
    <w:rsid w:val="00643440"/>
    <w:rsid w:val="00643528"/>
    <w:rsid w:val="006436CE"/>
    <w:rsid w:val="00643784"/>
    <w:rsid w:val="006437FD"/>
    <w:rsid w:val="00643901"/>
    <w:rsid w:val="006439FC"/>
    <w:rsid w:val="00643AB7"/>
    <w:rsid w:val="00643ABF"/>
    <w:rsid w:val="00643AC3"/>
    <w:rsid w:val="00643AC7"/>
    <w:rsid w:val="00643AD0"/>
    <w:rsid w:val="00643B05"/>
    <w:rsid w:val="00643BF2"/>
    <w:rsid w:val="00643E7B"/>
    <w:rsid w:val="00643E9B"/>
    <w:rsid w:val="00643F2A"/>
    <w:rsid w:val="00643F58"/>
    <w:rsid w:val="0064406C"/>
    <w:rsid w:val="006441BD"/>
    <w:rsid w:val="00644289"/>
    <w:rsid w:val="00644308"/>
    <w:rsid w:val="0064436F"/>
    <w:rsid w:val="0064438B"/>
    <w:rsid w:val="006443A7"/>
    <w:rsid w:val="006443BA"/>
    <w:rsid w:val="00644517"/>
    <w:rsid w:val="00644663"/>
    <w:rsid w:val="0064477A"/>
    <w:rsid w:val="00644805"/>
    <w:rsid w:val="00644A2C"/>
    <w:rsid w:val="00644ABF"/>
    <w:rsid w:val="00644B38"/>
    <w:rsid w:val="00644BAF"/>
    <w:rsid w:val="00644BCB"/>
    <w:rsid w:val="00644BFD"/>
    <w:rsid w:val="00644C41"/>
    <w:rsid w:val="00644CE9"/>
    <w:rsid w:val="00644D4A"/>
    <w:rsid w:val="00644E4E"/>
    <w:rsid w:val="00644E58"/>
    <w:rsid w:val="00645041"/>
    <w:rsid w:val="00645147"/>
    <w:rsid w:val="0064519C"/>
    <w:rsid w:val="00645337"/>
    <w:rsid w:val="0064539F"/>
    <w:rsid w:val="0064543F"/>
    <w:rsid w:val="0064552C"/>
    <w:rsid w:val="00645636"/>
    <w:rsid w:val="00645668"/>
    <w:rsid w:val="006456CA"/>
    <w:rsid w:val="00645747"/>
    <w:rsid w:val="006457CA"/>
    <w:rsid w:val="00645922"/>
    <w:rsid w:val="006459C7"/>
    <w:rsid w:val="00645A21"/>
    <w:rsid w:val="00645AA9"/>
    <w:rsid w:val="00645ACD"/>
    <w:rsid w:val="00645CA0"/>
    <w:rsid w:val="00645D1D"/>
    <w:rsid w:val="00645D23"/>
    <w:rsid w:val="00645E6A"/>
    <w:rsid w:val="0064609A"/>
    <w:rsid w:val="006460A3"/>
    <w:rsid w:val="006460C6"/>
    <w:rsid w:val="006461C5"/>
    <w:rsid w:val="006461E5"/>
    <w:rsid w:val="006461E9"/>
    <w:rsid w:val="00646348"/>
    <w:rsid w:val="006464FB"/>
    <w:rsid w:val="00646585"/>
    <w:rsid w:val="00646593"/>
    <w:rsid w:val="00646759"/>
    <w:rsid w:val="00646839"/>
    <w:rsid w:val="00646842"/>
    <w:rsid w:val="006468DF"/>
    <w:rsid w:val="00646BC6"/>
    <w:rsid w:val="00646CB2"/>
    <w:rsid w:val="00646CCF"/>
    <w:rsid w:val="00646F4F"/>
    <w:rsid w:val="006470A1"/>
    <w:rsid w:val="00647247"/>
    <w:rsid w:val="006472BD"/>
    <w:rsid w:val="006473FB"/>
    <w:rsid w:val="0064740F"/>
    <w:rsid w:val="006474CF"/>
    <w:rsid w:val="0064754D"/>
    <w:rsid w:val="00647885"/>
    <w:rsid w:val="00647932"/>
    <w:rsid w:val="0064793E"/>
    <w:rsid w:val="00647ACE"/>
    <w:rsid w:val="00647AEA"/>
    <w:rsid w:val="00647B01"/>
    <w:rsid w:val="00647BBC"/>
    <w:rsid w:val="00647C70"/>
    <w:rsid w:val="00647C73"/>
    <w:rsid w:val="00647D21"/>
    <w:rsid w:val="00647D60"/>
    <w:rsid w:val="00647EDA"/>
    <w:rsid w:val="00647EEC"/>
    <w:rsid w:val="00647F13"/>
    <w:rsid w:val="00647FF5"/>
    <w:rsid w:val="006501BC"/>
    <w:rsid w:val="006502CE"/>
    <w:rsid w:val="00650301"/>
    <w:rsid w:val="00650354"/>
    <w:rsid w:val="00650422"/>
    <w:rsid w:val="0065042C"/>
    <w:rsid w:val="00650444"/>
    <w:rsid w:val="006504D2"/>
    <w:rsid w:val="00650647"/>
    <w:rsid w:val="006506C7"/>
    <w:rsid w:val="006506D0"/>
    <w:rsid w:val="00650774"/>
    <w:rsid w:val="00650A6E"/>
    <w:rsid w:val="00650ADF"/>
    <w:rsid w:val="00650B7E"/>
    <w:rsid w:val="00650CFC"/>
    <w:rsid w:val="00650DF4"/>
    <w:rsid w:val="00651042"/>
    <w:rsid w:val="00651063"/>
    <w:rsid w:val="00651129"/>
    <w:rsid w:val="006512DD"/>
    <w:rsid w:val="0065136A"/>
    <w:rsid w:val="006514A6"/>
    <w:rsid w:val="00651502"/>
    <w:rsid w:val="006516F6"/>
    <w:rsid w:val="006516F7"/>
    <w:rsid w:val="0065181B"/>
    <w:rsid w:val="0065194D"/>
    <w:rsid w:val="00651B51"/>
    <w:rsid w:val="00651D1B"/>
    <w:rsid w:val="00651DCE"/>
    <w:rsid w:val="00651E4E"/>
    <w:rsid w:val="00652020"/>
    <w:rsid w:val="00652214"/>
    <w:rsid w:val="00652234"/>
    <w:rsid w:val="0065274A"/>
    <w:rsid w:val="0065279D"/>
    <w:rsid w:val="006527CA"/>
    <w:rsid w:val="00652905"/>
    <w:rsid w:val="00652C0C"/>
    <w:rsid w:val="00652CC7"/>
    <w:rsid w:val="00652DC4"/>
    <w:rsid w:val="00652ED3"/>
    <w:rsid w:val="00652FD0"/>
    <w:rsid w:val="00653161"/>
    <w:rsid w:val="00653191"/>
    <w:rsid w:val="006532C7"/>
    <w:rsid w:val="006533CE"/>
    <w:rsid w:val="00653497"/>
    <w:rsid w:val="0065349D"/>
    <w:rsid w:val="00653553"/>
    <w:rsid w:val="0065356C"/>
    <w:rsid w:val="00653623"/>
    <w:rsid w:val="00653662"/>
    <w:rsid w:val="00653838"/>
    <w:rsid w:val="0065383E"/>
    <w:rsid w:val="00653876"/>
    <w:rsid w:val="00653887"/>
    <w:rsid w:val="006538A2"/>
    <w:rsid w:val="00653914"/>
    <w:rsid w:val="00653AE0"/>
    <w:rsid w:val="00653B55"/>
    <w:rsid w:val="00653D96"/>
    <w:rsid w:val="00653DEA"/>
    <w:rsid w:val="00653DF6"/>
    <w:rsid w:val="00653DFD"/>
    <w:rsid w:val="00653E24"/>
    <w:rsid w:val="00653E6B"/>
    <w:rsid w:val="00654102"/>
    <w:rsid w:val="006541C6"/>
    <w:rsid w:val="0065423F"/>
    <w:rsid w:val="00654363"/>
    <w:rsid w:val="006543B0"/>
    <w:rsid w:val="0065440D"/>
    <w:rsid w:val="006544EA"/>
    <w:rsid w:val="006546B5"/>
    <w:rsid w:val="0065470F"/>
    <w:rsid w:val="0065476E"/>
    <w:rsid w:val="00654A91"/>
    <w:rsid w:val="00654AB8"/>
    <w:rsid w:val="00654B0C"/>
    <w:rsid w:val="00654BE0"/>
    <w:rsid w:val="00654C7B"/>
    <w:rsid w:val="00654E94"/>
    <w:rsid w:val="00655010"/>
    <w:rsid w:val="006550C7"/>
    <w:rsid w:val="006552E0"/>
    <w:rsid w:val="00655373"/>
    <w:rsid w:val="00655388"/>
    <w:rsid w:val="006554BC"/>
    <w:rsid w:val="00655535"/>
    <w:rsid w:val="006555BD"/>
    <w:rsid w:val="0065595F"/>
    <w:rsid w:val="00655A4F"/>
    <w:rsid w:val="00655F29"/>
    <w:rsid w:val="00655FCA"/>
    <w:rsid w:val="00656005"/>
    <w:rsid w:val="0065605A"/>
    <w:rsid w:val="00656280"/>
    <w:rsid w:val="006563EA"/>
    <w:rsid w:val="00656412"/>
    <w:rsid w:val="0065645A"/>
    <w:rsid w:val="006564FC"/>
    <w:rsid w:val="00656512"/>
    <w:rsid w:val="00656517"/>
    <w:rsid w:val="0065653B"/>
    <w:rsid w:val="006565F0"/>
    <w:rsid w:val="00656698"/>
    <w:rsid w:val="00656795"/>
    <w:rsid w:val="006567B4"/>
    <w:rsid w:val="0065686C"/>
    <w:rsid w:val="006568BF"/>
    <w:rsid w:val="0065691D"/>
    <w:rsid w:val="00656932"/>
    <w:rsid w:val="00656944"/>
    <w:rsid w:val="006569C0"/>
    <w:rsid w:val="006569C1"/>
    <w:rsid w:val="00656A1E"/>
    <w:rsid w:val="00656B87"/>
    <w:rsid w:val="00656B98"/>
    <w:rsid w:val="00656C0E"/>
    <w:rsid w:val="00656C2E"/>
    <w:rsid w:val="00656C30"/>
    <w:rsid w:val="00656D71"/>
    <w:rsid w:val="00656EA7"/>
    <w:rsid w:val="00656F0C"/>
    <w:rsid w:val="00656F63"/>
    <w:rsid w:val="00656F8B"/>
    <w:rsid w:val="00657092"/>
    <w:rsid w:val="0065712F"/>
    <w:rsid w:val="00657169"/>
    <w:rsid w:val="006571A8"/>
    <w:rsid w:val="006572DA"/>
    <w:rsid w:val="00657417"/>
    <w:rsid w:val="006575D4"/>
    <w:rsid w:val="0065762D"/>
    <w:rsid w:val="00657685"/>
    <w:rsid w:val="00657717"/>
    <w:rsid w:val="00657724"/>
    <w:rsid w:val="006577CE"/>
    <w:rsid w:val="00657817"/>
    <w:rsid w:val="006579AC"/>
    <w:rsid w:val="006579E4"/>
    <w:rsid w:val="00657A79"/>
    <w:rsid w:val="00657BFC"/>
    <w:rsid w:val="00657C70"/>
    <w:rsid w:val="00657E73"/>
    <w:rsid w:val="00657EE5"/>
    <w:rsid w:val="00660155"/>
    <w:rsid w:val="006601C2"/>
    <w:rsid w:val="0066031F"/>
    <w:rsid w:val="00660478"/>
    <w:rsid w:val="0066065C"/>
    <w:rsid w:val="00660783"/>
    <w:rsid w:val="00660809"/>
    <w:rsid w:val="00660840"/>
    <w:rsid w:val="00660943"/>
    <w:rsid w:val="00660A56"/>
    <w:rsid w:val="00660BA7"/>
    <w:rsid w:val="00660C01"/>
    <w:rsid w:val="00660E66"/>
    <w:rsid w:val="00660F57"/>
    <w:rsid w:val="00661260"/>
    <w:rsid w:val="006612F2"/>
    <w:rsid w:val="00661323"/>
    <w:rsid w:val="00661330"/>
    <w:rsid w:val="0066141A"/>
    <w:rsid w:val="006615B6"/>
    <w:rsid w:val="006615D2"/>
    <w:rsid w:val="006615F4"/>
    <w:rsid w:val="006615F8"/>
    <w:rsid w:val="00661683"/>
    <w:rsid w:val="0066176A"/>
    <w:rsid w:val="006618D2"/>
    <w:rsid w:val="0066195B"/>
    <w:rsid w:val="00661961"/>
    <w:rsid w:val="00661A72"/>
    <w:rsid w:val="00661BAA"/>
    <w:rsid w:val="00661EA1"/>
    <w:rsid w:val="00662002"/>
    <w:rsid w:val="00662031"/>
    <w:rsid w:val="0066226D"/>
    <w:rsid w:val="0066240E"/>
    <w:rsid w:val="006624DA"/>
    <w:rsid w:val="006625FC"/>
    <w:rsid w:val="00662736"/>
    <w:rsid w:val="00662783"/>
    <w:rsid w:val="0066279E"/>
    <w:rsid w:val="00662872"/>
    <w:rsid w:val="00662B25"/>
    <w:rsid w:val="00662D6E"/>
    <w:rsid w:val="00662EDC"/>
    <w:rsid w:val="00662F07"/>
    <w:rsid w:val="00663098"/>
    <w:rsid w:val="006630FE"/>
    <w:rsid w:val="0066310A"/>
    <w:rsid w:val="00663200"/>
    <w:rsid w:val="006632A4"/>
    <w:rsid w:val="00663483"/>
    <w:rsid w:val="006634DF"/>
    <w:rsid w:val="006635C3"/>
    <w:rsid w:val="00663C6D"/>
    <w:rsid w:val="00663EA1"/>
    <w:rsid w:val="00663F07"/>
    <w:rsid w:val="00663F3F"/>
    <w:rsid w:val="006640BF"/>
    <w:rsid w:val="006641D2"/>
    <w:rsid w:val="00664495"/>
    <w:rsid w:val="00664726"/>
    <w:rsid w:val="00664837"/>
    <w:rsid w:val="006648AD"/>
    <w:rsid w:val="00664A1F"/>
    <w:rsid w:val="00664AF0"/>
    <w:rsid w:val="00664BE7"/>
    <w:rsid w:val="00664BE9"/>
    <w:rsid w:val="00664C80"/>
    <w:rsid w:val="00664CC4"/>
    <w:rsid w:val="00664CD6"/>
    <w:rsid w:val="00664EBC"/>
    <w:rsid w:val="0066504D"/>
    <w:rsid w:val="006651CC"/>
    <w:rsid w:val="00665486"/>
    <w:rsid w:val="0066563C"/>
    <w:rsid w:val="00665696"/>
    <w:rsid w:val="006656E3"/>
    <w:rsid w:val="0066572F"/>
    <w:rsid w:val="0066576F"/>
    <w:rsid w:val="00665793"/>
    <w:rsid w:val="006657A1"/>
    <w:rsid w:val="006657AD"/>
    <w:rsid w:val="006659C1"/>
    <w:rsid w:val="00665AB1"/>
    <w:rsid w:val="00665AFA"/>
    <w:rsid w:val="00666144"/>
    <w:rsid w:val="0066619D"/>
    <w:rsid w:val="0066658E"/>
    <w:rsid w:val="00666B5C"/>
    <w:rsid w:val="00666E32"/>
    <w:rsid w:val="00666EF7"/>
    <w:rsid w:val="0066706B"/>
    <w:rsid w:val="00667347"/>
    <w:rsid w:val="00667453"/>
    <w:rsid w:val="0066748D"/>
    <w:rsid w:val="00667522"/>
    <w:rsid w:val="00667535"/>
    <w:rsid w:val="006675B4"/>
    <w:rsid w:val="006675B6"/>
    <w:rsid w:val="006676D3"/>
    <w:rsid w:val="0066772C"/>
    <w:rsid w:val="0066772D"/>
    <w:rsid w:val="00667745"/>
    <w:rsid w:val="00667A48"/>
    <w:rsid w:val="00667AE2"/>
    <w:rsid w:val="00667AF3"/>
    <w:rsid w:val="00667BC3"/>
    <w:rsid w:val="00667BDD"/>
    <w:rsid w:val="00667FDC"/>
    <w:rsid w:val="0067036E"/>
    <w:rsid w:val="00670407"/>
    <w:rsid w:val="00670425"/>
    <w:rsid w:val="0067053E"/>
    <w:rsid w:val="0067061E"/>
    <w:rsid w:val="006706CC"/>
    <w:rsid w:val="006707FA"/>
    <w:rsid w:val="00670883"/>
    <w:rsid w:val="00670898"/>
    <w:rsid w:val="00670A97"/>
    <w:rsid w:val="00670D8C"/>
    <w:rsid w:val="00670E97"/>
    <w:rsid w:val="006710CB"/>
    <w:rsid w:val="0067126D"/>
    <w:rsid w:val="0067144C"/>
    <w:rsid w:val="0067151B"/>
    <w:rsid w:val="0067164C"/>
    <w:rsid w:val="006718E5"/>
    <w:rsid w:val="0067192A"/>
    <w:rsid w:val="00671A09"/>
    <w:rsid w:val="00671A39"/>
    <w:rsid w:val="00671A75"/>
    <w:rsid w:val="00671AA4"/>
    <w:rsid w:val="00671B6A"/>
    <w:rsid w:val="00671CAD"/>
    <w:rsid w:val="00671D95"/>
    <w:rsid w:val="00671D98"/>
    <w:rsid w:val="00671E12"/>
    <w:rsid w:val="00672062"/>
    <w:rsid w:val="0067216E"/>
    <w:rsid w:val="00672184"/>
    <w:rsid w:val="006722CB"/>
    <w:rsid w:val="006723B6"/>
    <w:rsid w:val="00672433"/>
    <w:rsid w:val="006725DC"/>
    <w:rsid w:val="006725FE"/>
    <w:rsid w:val="006726AB"/>
    <w:rsid w:val="0067277D"/>
    <w:rsid w:val="006727DA"/>
    <w:rsid w:val="00672804"/>
    <w:rsid w:val="006728C6"/>
    <w:rsid w:val="00672ACD"/>
    <w:rsid w:val="00672E35"/>
    <w:rsid w:val="00672ED6"/>
    <w:rsid w:val="00673047"/>
    <w:rsid w:val="00673071"/>
    <w:rsid w:val="0067309A"/>
    <w:rsid w:val="00673135"/>
    <w:rsid w:val="006731CF"/>
    <w:rsid w:val="006731E0"/>
    <w:rsid w:val="00673208"/>
    <w:rsid w:val="0067322D"/>
    <w:rsid w:val="00673264"/>
    <w:rsid w:val="00673289"/>
    <w:rsid w:val="006733D5"/>
    <w:rsid w:val="0067351A"/>
    <w:rsid w:val="0067384D"/>
    <w:rsid w:val="006739F6"/>
    <w:rsid w:val="00673A45"/>
    <w:rsid w:val="00673AAF"/>
    <w:rsid w:val="00673AF3"/>
    <w:rsid w:val="00673B1E"/>
    <w:rsid w:val="00673B43"/>
    <w:rsid w:val="00673B5F"/>
    <w:rsid w:val="00673B9A"/>
    <w:rsid w:val="00673C6F"/>
    <w:rsid w:val="00673CD2"/>
    <w:rsid w:val="00673DF5"/>
    <w:rsid w:val="00673E8B"/>
    <w:rsid w:val="00674057"/>
    <w:rsid w:val="006741AF"/>
    <w:rsid w:val="00674527"/>
    <w:rsid w:val="006745D3"/>
    <w:rsid w:val="006745F6"/>
    <w:rsid w:val="00674620"/>
    <w:rsid w:val="00674677"/>
    <w:rsid w:val="00674717"/>
    <w:rsid w:val="006747F9"/>
    <w:rsid w:val="0067486B"/>
    <w:rsid w:val="00674970"/>
    <w:rsid w:val="00674A5C"/>
    <w:rsid w:val="00674EB2"/>
    <w:rsid w:val="0067501E"/>
    <w:rsid w:val="0067511C"/>
    <w:rsid w:val="00675139"/>
    <w:rsid w:val="006752C2"/>
    <w:rsid w:val="006752D8"/>
    <w:rsid w:val="006752E8"/>
    <w:rsid w:val="0067530B"/>
    <w:rsid w:val="00675427"/>
    <w:rsid w:val="0067547C"/>
    <w:rsid w:val="00675631"/>
    <w:rsid w:val="0067566A"/>
    <w:rsid w:val="00675708"/>
    <w:rsid w:val="0067591B"/>
    <w:rsid w:val="006759BA"/>
    <w:rsid w:val="006759CA"/>
    <w:rsid w:val="00675A7E"/>
    <w:rsid w:val="00675B25"/>
    <w:rsid w:val="00675BF1"/>
    <w:rsid w:val="00675CD9"/>
    <w:rsid w:val="00675D3A"/>
    <w:rsid w:val="00675E15"/>
    <w:rsid w:val="00675FAD"/>
    <w:rsid w:val="0067626C"/>
    <w:rsid w:val="006763EE"/>
    <w:rsid w:val="00676547"/>
    <w:rsid w:val="006765ED"/>
    <w:rsid w:val="006765FB"/>
    <w:rsid w:val="006766AD"/>
    <w:rsid w:val="006766E9"/>
    <w:rsid w:val="006768A6"/>
    <w:rsid w:val="00676925"/>
    <w:rsid w:val="00676B82"/>
    <w:rsid w:val="00676C09"/>
    <w:rsid w:val="00676D27"/>
    <w:rsid w:val="00676ED8"/>
    <w:rsid w:val="00676F19"/>
    <w:rsid w:val="00676F21"/>
    <w:rsid w:val="00677025"/>
    <w:rsid w:val="006772AD"/>
    <w:rsid w:val="0067731A"/>
    <w:rsid w:val="00677358"/>
    <w:rsid w:val="006774E4"/>
    <w:rsid w:val="00677530"/>
    <w:rsid w:val="00677573"/>
    <w:rsid w:val="006776F4"/>
    <w:rsid w:val="0067772C"/>
    <w:rsid w:val="006778F3"/>
    <w:rsid w:val="00677981"/>
    <w:rsid w:val="00677ADB"/>
    <w:rsid w:val="00677B0C"/>
    <w:rsid w:val="00677F39"/>
    <w:rsid w:val="00677FA2"/>
    <w:rsid w:val="006800AA"/>
    <w:rsid w:val="00680174"/>
    <w:rsid w:val="00680233"/>
    <w:rsid w:val="00680399"/>
    <w:rsid w:val="006804E9"/>
    <w:rsid w:val="00680893"/>
    <w:rsid w:val="00680895"/>
    <w:rsid w:val="00680948"/>
    <w:rsid w:val="00680B13"/>
    <w:rsid w:val="00680B54"/>
    <w:rsid w:val="00680E5F"/>
    <w:rsid w:val="00680E64"/>
    <w:rsid w:val="00680E73"/>
    <w:rsid w:val="0068120E"/>
    <w:rsid w:val="006812D5"/>
    <w:rsid w:val="0068136C"/>
    <w:rsid w:val="0068138D"/>
    <w:rsid w:val="0068143D"/>
    <w:rsid w:val="00681503"/>
    <w:rsid w:val="00681568"/>
    <w:rsid w:val="00681604"/>
    <w:rsid w:val="00681701"/>
    <w:rsid w:val="00681727"/>
    <w:rsid w:val="006817AE"/>
    <w:rsid w:val="006818D0"/>
    <w:rsid w:val="006818FD"/>
    <w:rsid w:val="0068191F"/>
    <w:rsid w:val="00681AAE"/>
    <w:rsid w:val="00681B04"/>
    <w:rsid w:val="00681E33"/>
    <w:rsid w:val="00681E76"/>
    <w:rsid w:val="00681E9B"/>
    <w:rsid w:val="00682043"/>
    <w:rsid w:val="0068207E"/>
    <w:rsid w:val="006820F3"/>
    <w:rsid w:val="00682125"/>
    <w:rsid w:val="006822CA"/>
    <w:rsid w:val="00682313"/>
    <w:rsid w:val="00682358"/>
    <w:rsid w:val="006825DE"/>
    <w:rsid w:val="00682719"/>
    <w:rsid w:val="0068281B"/>
    <w:rsid w:val="00682A5C"/>
    <w:rsid w:val="00683072"/>
    <w:rsid w:val="00683083"/>
    <w:rsid w:val="0068309A"/>
    <w:rsid w:val="0068318B"/>
    <w:rsid w:val="0068325A"/>
    <w:rsid w:val="00683283"/>
    <w:rsid w:val="006832FF"/>
    <w:rsid w:val="006833A7"/>
    <w:rsid w:val="00683533"/>
    <w:rsid w:val="006835D3"/>
    <w:rsid w:val="006836A7"/>
    <w:rsid w:val="006837D1"/>
    <w:rsid w:val="00683861"/>
    <w:rsid w:val="00683878"/>
    <w:rsid w:val="006838F9"/>
    <w:rsid w:val="0068398A"/>
    <w:rsid w:val="00683CDD"/>
    <w:rsid w:val="00683D31"/>
    <w:rsid w:val="00683D69"/>
    <w:rsid w:val="00683F16"/>
    <w:rsid w:val="00683FD6"/>
    <w:rsid w:val="0068400F"/>
    <w:rsid w:val="0068422B"/>
    <w:rsid w:val="006844B4"/>
    <w:rsid w:val="006844E8"/>
    <w:rsid w:val="00684507"/>
    <w:rsid w:val="0068463B"/>
    <w:rsid w:val="006846F0"/>
    <w:rsid w:val="0068478E"/>
    <w:rsid w:val="0068482A"/>
    <w:rsid w:val="006848F4"/>
    <w:rsid w:val="006849B4"/>
    <w:rsid w:val="00684AC5"/>
    <w:rsid w:val="00684ADD"/>
    <w:rsid w:val="00684BE3"/>
    <w:rsid w:val="00684CBA"/>
    <w:rsid w:val="00684D4E"/>
    <w:rsid w:val="00684F1B"/>
    <w:rsid w:val="00684FAE"/>
    <w:rsid w:val="00685036"/>
    <w:rsid w:val="00685065"/>
    <w:rsid w:val="00685120"/>
    <w:rsid w:val="00685138"/>
    <w:rsid w:val="0068528E"/>
    <w:rsid w:val="00685338"/>
    <w:rsid w:val="00685363"/>
    <w:rsid w:val="006853DA"/>
    <w:rsid w:val="0068543A"/>
    <w:rsid w:val="00685618"/>
    <w:rsid w:val="00685630"/>
    <w:rsid w:val="0068566E"/>
    <w:rsid w:val="00685761"/>
    <w:rsid w:val="0068585C"/>
    <w:rsid w:val="006858BC"/>
    <w:rsid w:val="00685987"/>
    <w:rsid w:val="006859A4"/>
    <w:rsid w:val="00685A28"/>
    <w:rsid w:val="00685BD1"/>
    <w:rsid w:val="00685D02"/>
    <w:rsid w:val="00685D7F"/>
    <w:rsid w:val="00685D93"/>
    <w:rsid w:val="00685D9C"/>
    <w:rsid w:val="00685FDC"/>
    <w:rsid w:val="00686198"/>
    <w:rsid w:val="0068622E"/>
    <w:rsid w:val="006862F2"/>
    <w:rsid w:val="0068639D"/>
    <w:rsid w:val="00686572"/>
    <w:rsid w:val="006867AF"/>
    <w:rsid w:val="00686816"/>
    <w:rsid w:val="00686A24"/>
    <w:rsid w:val="00686A3C"/>
    <w:rsid w:val="00686AC8"/>
    <w:rsid w:val="00686BF6"/>
    <w:rsid w:val="00686CB3"/>
    <w:rsid w:val="00686DE5"/>
    <w:rsid w:val="00686F2E"/>
    <w:rsid w:val="00687075"/>
    <w:rsid w:val="006870F7"/>
    <w:rsid w:val="0068717F"/>
    <w:rsid w:val="006871A5"/>
    <w:rsid w:val="00687277"/>
    <w:rsid w:val="00687374"/>
    <w:rsid w:val="0068749A"/>
    <w:rsid w:val="00687516"/>
    <w:rsid w:val="0068752C"/>
    <w:rsid w:val="00687886"/>
    <w:rsid w:val="00687952"/>
    <w:rsid w:val="00687988"/>
    <w:rsid w:val="00687A53"/>
    <w:rsid w:val="00687B13"/>
    <w:rsid w:val="00687B74"/>
    <w:rsid w:val="00687BA2"/>
    <w:rsid w:val="00687C48"/>
    <w:rsid w:val="00687F3D"/>
    <w:rsid w:val="00687F81"/>
    <w:rsid w:val="006903D5"/>
    <w:rsid w:val="00690953"/>
    <w:rsid w:val="00690962"/>
    <w:rsid w:val="00690AFD"/>
    <w:rsid w:val="00690C47"/>
    <w:rsid w:val="00690D53"/>
    <w:rsid w:val="00690D63"/>
    <w:rsid w:val="00690DC7"/>
    <w:rsid w:val="00690E39"/>
    <w:rsid w:val="006910A7"/>
    <w:rsid w:val="0069110E"/>
    <w:rsid w:val="0069118F"/>
    <w:rsid w:val="006911EF"/>
    <w:rsid w:val="006911F0"/>
    <w:rsid w:val="006911FD"/>
    <w:rsid w:val="0069139D"/>
    <w:rsid w:val="0069147B"/>
    <w:rsid w:val="00691487"/>
    <w:rsid w:val="006917AF"/>
    <w:rsid w:val="00691A36"/>
    <w:rsid w:val="00691A9E"/>
    <w:rsid w:val="00691AAC"/>
    <w:rsid w:val="00691AF6"/>
    <w:rsid w:val="00691C6D"/>
    <w:rsid w:val="00691D7C"/>
    <w:rsid w:val="0069220C"/>
    <w:rsid w:val="006922C5"/>
    <w:rsid w:val="0069251A"/>
    <w:rsid w:val="0069253F"/>
    <w:rsid w:val="0069256A"/>
    <w:rsid w:val="006925B2"/>
    <w:rsid w:val="006926A8"/>
    <w:rsid w:val="00692815"/>
    <w:rsid w:val="006928AF"/>
    <w:rsid w:val="006928D4"/>
    <w:rsid w:val="00692931"/>
    <w:rsid w:val="00692B82"/>
    <w:rsid w:val="00692C7B"/>
    <w:rsid w:val="00692CE2"/>
    <w:rsid w:val="00692E1B"/>
    <w:rsid w:val="006931D8"/>
    <w:rsid w:val="0069333A"/>
    <w:rsid w:val="00693481"/>
    <w:rsid w:val="0069359B"/>
    <w:rsid w:val="0069369B"/>
    <w:rsid w:val="00693795"/>
    <w:rsid w:val="00693836"/>
    <w:rsid w:val="00693843"/>
    <w:rsid w:val="00693A3C"/>
    <w:rsid w:val="00693A8C"/>
    <w:rsid w:val="00693AD8"/>
    <w:rsid w:val="00693AF6"/>
    <w:rsid w:val="00693C57"/>
    <w:rsid w:val="00693D66"/>
    <w:rsid w:val="00693E59"/>
    <w:rsid w:val="00693EEF"/>
    <w:rsid w:val="00693F17"/>
    <w:rsid w:val="006940CD"/>
    <w:rsid w:val="0069410E"/>
    <w:rsid w:val="0069424A"/>
    <w:rsid w:val="00694310"/>
    <w:rsid w:val="00694487"/>
    <w:rsid w:val="006944F9"/>
    <w:rsid w:val="006946E2"/>
    <w:rsid w:val="006946F0"/>
    <w:rsid w:val="0069480C"/>
    <w:rsid w:val="00694885"/>
    <w:rsid w:val="00694934"/>
    <w:rsid w:val="00694A58"/>
    <w:rsid w:val="00694E67"/>
    <w:rsid w:val="00694F60"/>
    <w:rsid w:val="006951E3"/>
    <w:rsid w:val="00695255"/>
    <w:rsid w:val="00695284"/>
    <w:rsid w:val="006952F0"/>
    <w:rsid w:val="006952F4"/>
    <w:rsid w:val="00695403"/>
    <w:rsid w:val="00695471"/>
    <w:rsid w:val="00695496"/>
    <w:rsid w:val="006957FA"/>
    <w:rsid w:val="006957FF"/>
    <w:rsid w:val="00695873"/>
    <w:rsid w:val="006958DB"/>
    <w:rsid w:val="00695AF5"/>
    <w:rsid w:val="00695BB3"/>
    <w:rsid w:val="00695C05"/>
    <w:rsid w:val="00696012"/>
    <w:rsid w:val="00696022"/>
    <w:rsid w:val="00696087"/>
    <w:rsid w:val="00696093"/>
    <w:rsid w:val="006960A1"/>
    <w:rsid w:val="00696258"/>
    <w:rsid w:val="006962C0"/>
    <w:rsid w:val="00696417"/>
    <w:rsid w:val="0069645F"/>
    <w:rsid w:val="00696606"/>
    <w:rsid w:val="006966B9"/>
    <w:rsid w:val="006966D3"/>
    <w:rsid w:val="006966E8"/>
    <w:rsid w:val="0069693C"/>
    <w:rsid w:val="00696AB1"/>
    <w:rsid w:val="00696C9D"/>
    <w:rsid w:val="00696D13"/>
    <w:rsid w:val="00696D6F"/>
    <w:rsid w:val="00696FE2"/>
    <w:rsid w:val="006970A6"/>
    <w:rsid w:val="00697190"/>
    <w:rsid w:val="006972A4"/>
    <w:rsid w:val="006972CF"/>
    <w:rsid w:val="00697379"/>
    <w:rsid w:val="0069737E"/>
    <w:rsid w:val="00697397"/>
    <w:rsid w:val="006973B5"/>
    <w:rsid w:val="0069750F"/>
    <w:rsid w:val="006975AF"/>
    <w:rsid w:val="0069783C"/>
    <w:rsid w:val="0069795F"/>
    <w:rsid w:val="00697A7C"/>
    <w:rsid w:val="00697FE2"/>
    <w:rsid w:val="006A01A7"/>
    <w:rsid w:val="006A01F1"/>
    <w:rsid w:val="006A01FC"/>
    <w:rsid w:val="006A040E"/>
    <w:rsid w:val="006A047C"/>
    <w:rsid w:val="006A0586"/>
    <w:rsid w:val="006A05C0"/>
    <w:rsid w:val="006A05E1"/>
    <w:rsid w:val="006A05EA"/>
    <w:rsid w:val="006A0667"/>
    <w:rsid w:val="006A0884"/>
    <w:rsid w:val="006A09CA"/>
    <w:rsid w:val="006A0A33"/>
    <w:rsid w:val="006A0C77"/>
    <w:rsid w:val="006A0D35"/>
    <w:rsid w:val="006A0DBC"/>
    <w:rsid w:val="006A0E4C"/>
    <w:rsid w:val="006A0E90"/>
    <w:rsid w:val="006A0F07"/>
    <w:rsid w:val="006A0F6E"/>
    <w:rsid w:val="006A0FC2"/>
    <w:rsid w:val="006A15F2"/>
    <w:rsid w:val="006A162C"/>
    <w:rsid w:val="006A178D"/>
    <w:rsid w:val="006A1A17"/>
    <w:rsid w:val="006A1A81"/>
    <w:rsid w:val="006A1C96"/>
    <w:rsid w:val="006A1EAA"/>
    <w:rsid w:val="006A1F25"/>
    <w:rsid w:val="006A2008"/>
    <w:rsid w:val="006A23BC"/>
    <w:rsid w:val="006A26B5"/>
    <w:rsid w:val="006A2746"/>
    <w:rsid w:val="006A278C"/>
    <w:rsid w:val="006A2AB9"/>
    <w:rsid w:val="006A2ABE"/>
    <w:rsid w:val="006A2BCF"/>
    <w:rsid w:val="006A2C23"/>
    <w:rsid w:val="006A2C80"/>
    <w:rsid w:val="006A2C8D"/>
    <w:rsid w:val="006A2C99"/>
    <w:rsid w:val="006A2D18"/>
    <w:rsid w:val="006A2F11"/>
    <w:rsid w:val="006A307F"/>
    <w:rsid w:val="006A3098"/>
    <w:rsid w:val="006A31CC"/>
    <w:rsid w:val="006A328A"/>
    <w:rsid w:val="006A333E"/>
    <w:rsid w:val="006A335B"/>
    <w:rsid w:val="006A34B7"/>
    <w:rsid w:val="006A36DC"/>
    <w:rsid w:val="006A370A"/>
    <w:rsid w:val="006A374A"/>
    <w:rsid w:val="006A38D5"/>
    <w:rsid w:val="006A3A23"/>
    <w:rsid w:val="006A3A74"/>
    <w:rsid w:val="006A3AE4"/>
    <w:rsid w:val="006A3E4F"/>
    <w:rsid w:val="006A4139"/>
    <w:rsid w:val="006A4150"/>
    <w:rsid w:val="006A4314"/>
    <w:rsid w:val="006A4377"/>
    <w:rsid w:val="006A4398"/>
    <w:rsid w:val="006A4409"/>
    <w:rsid w:val="006A445A"/>
    <w:rsid w:val="006A446A"/>
    <w:rsid w:val="006A4536"/>
    <w:rsid w:val="006A4582"/>
    <w:rsid w:val="006A4610"/>
    <w:rsid w:val="006A463B"/>
    <w:rsid w:val="006A4669"/>
    <w:rsid w:val="006A4677"/>
    <w:rsid w:val="006A478F"/>
    <w:rsid w:val="006A47AC"/>
    <w:rsid w:val="006A47C9"/>
    <w:rsid w:val="006A47F5"/>
    <w:rsid w:val="006A49EA"/>
    <w:rsid w:val="006A4B20"/>
    <w:rsid w:val="006A4C00"/>
    <w:rsid w:val="006A4D6E"/>
    <w:rsid w:val="006A4D8C"/>
    <w:rsid w:val="006A4D90"/>
    <w:rsid w:val="006A4DB9"/>
    <w:rsid w:val="006A4DF9"/>
    <w:rsid w:val="006A4ED1"/>
    <w:rsid w:val="006A4FA0"/>
    <w:rsid w:val="006A5010"/>
    <w:rsid w:val="006A5134"/>
    <w:rsid w:val="006A5231"/>
    <w:rsid w:val="006A523A"/>
    <w:rsid w:val="006A5594"/>
    <w:rsid w:val="006A559F"/>
    <w:rsid w:val="006A5713"/>
    <w:rsid w:val="006A5856"/>
    <w:rsid w:val="006A5946"/>
    <w:rsid w:val="006A59A5"/>
    <w:rsid w:val="006A5A01"/>
    <w:rsid w:val="006A5B5B"/>
    <w:rsid w:val="006A5C45"/>
    <w:rsid w:val="006A5C6E"/>
    <w:rsid w:val="006A5DB0"/>
    <w:rsid w:val="006A5FCC"/>
    <w:rsid w:val="006A602F"/>
    <w:rsid w:val="006A6031"/>
    <w:rsid w:val="006A60E3"/>
    <w:rsid w:val="006A6108"/>
    <w:rsid w:val="006A61DC"/>
    <w:rsid w:val="006A6220"/>
    <w:rsid w:val="006A6257"/>
    <w:rsid w:val="006A62A8"/>
    <w:rsid w:val="006A62C2"/>
    <w:rsid w:val="006A6363"/>
    <w:rsid w:val="006A6487"/>
    <w:rsid w:val="006A648E"/>
    <w:rsid w:val="006A64C7"/>
    <w:rsid w:val="006A64F9"/>
    <w:rsid w:val="006A6505"/>
    <w:rsid w:val="006A650A"/>
    <w:rsid w:val="006A6643"/>
    <w:rsid w:val="006A6662"/>
    <w:rsid w:val="006A66BC"/>
    <w:rsid w:val="006A67E7"/>
    <w:rsid w:val="006A6881"/>
    <w:rsid w:val="006A6C64"/>
    <w:rsid w:val="006A6D03"/>
    <w:rsid w:val="006A6D61"/>
    <w:rsid w:val="006A6E9B"/>
    <w:rsid w:val="006A6EAD"/>
    <w:rsid w:val="006A70DE"/>
    <w:rsid w:val="006A7166"/>
    <w:rsid w:val="006A72BE"/>
    <w:rsid w:val="006A73C1"/>
    <w:rsid w:val="006A7403"/>
    <w:rsid w:val="006A74EA"/>
    <w:rsid w:val="006A758E"/>
    <w:rsid w:val="006A771A"/>
    <w:rsid w:val="006A77ED"/>
    <w:rsid w:val="006A789A"/>
    <w:rsid w:val="006A78A0"/>
    <w:rsid w:val="006A79B2"/>
    <w:rsid w:val="006A79E3"/>
    <w:rsid w:val="006A7CD0"/>
    <w:rsid w:val="006A7EC6"/>
    <w:rsid w:val="006B00D2"/>
    <w:rsid w:val="006B013F"/>
    <w:rsid w:val="006B020F"/>
    <w:rsid w:val="006B022D"/>
    <w:rsid w:val="006B04BC"/>
    <w:rsid w:val="006B05D8"/>
    <w:rsid w:val="006B0677"/>
    <w:rsid w:val="006B068B"/>
    <w:rsid w:val="006B0814"/>
    <w:rsid w:val="006B08A1"/>
    <w:rsid w:val="006B0B2B"/>
    <w:rsid w:val="006B0BF1"/>
    <w:rsid w:val="006B0D2A"/>
    <w:rsid w:val="006B0D9B"/>
    <w:rsid w:val="006B0E3F"/>
    <w:rsid w:val="006B0E43"/>
    <w:rsid w:val="006B0E68"/>
    <w:rsid w:val="006B0F71"/>
    <w:rsid w:val="006B0FDD"/>
    <w:rsid w:val="006B0FFB"/>
    <w:rsid w:val="006B1195"/>
    <w:rsid w:val="006B1399"/>
    <w:rsid w:val="006B14F0"/>
    <w:rsid w:val="006B14F6"/>
    <w:rsid w:val="006B1522"/>
    <w:rsid w:val="006B1536"/>
    <w:rsid w:val="006B1910"/>
    <w:rsid w:val="006B19DF"/>
    <w:rsid w:val="006B19FA"/>
    <w:rsid w:val="006B1A04"/>
    <w:rsid w:val="006B1A45"/>
    <w:rsid w:val="006B1A48"/>
    <w:rsid w:val="006B1A5C"/>
    <w:rsid w:val="006B1B7E"/>
    <w:rsid w:val="006B1C7E"/>
    <w:rsid w:val="006B1CF1"/>
    <w:rsid w:val="006B1E5A"/>
    <w:rsid w:val="006B1EBE"/>
    <w:rsid w:val="006B2192"/>
    <w:rsid w:val="006B21C0"/>
    <w:rsid w:val="006B22AF"/>
    <w:rsid w:val="006B23B4"/>
    <w:rsid w:val="006B23C1"/>
    <w:rsid w:val="006B243D"/>
    <w:rsid w:val="006B2479"/>
    <w:rsid w:val="006B257A"/>
    <w:rsid w:val="006B25A2"/>
    <w:rsid w:val="006B2678"/>
    <w:rsid w:val="006B28B6"/>
    <w:rsid w:val="006B2A2D"/>
    <w:rsid w:val="006B2A8B"/>
    <w:rsid w:val="006B2C90"/>
    <w:rsid w:val="006B2D7E"/>
    <w:rsid w:val="006B3074"/>
    <w:rsid w:val="006B3429"/>
    <w:rsid w:val="006B3449"/>
    <w:rsid w:val="006B348F"/>
    <w:rsid w:val="006B3551"/>
    <w:rsid w:val="006B3621"/>
    <w:rsid w:val="006B36B7"/>
    <w:rsid w:val="006B3731"/>
    <w:rsid w:val="006B3855"/>
    <w:rsid w:val="006B389F"/>
    <w:rsid w:val="006B390D"/>
    <w:rsid w:val="006B39DB"/>
    <w:rsid w:val="006B3AA3"/>
    <w:rsid w:val="006B3B65"/>
    <w:rsid w:val="006B3BAB"/>
    <w:rsid w:val="006B3C5A"/>
    <w:rsid w:val="006B3C67"/>
    <w:rsid w:val="006B3DF1"/>
    <w:rsid w:val="006B3E87"/>
    <w:rsid w:val="006B4034"/>
    <w:rsid w:val="006B4157"/>
    <w:rsid w:val="006B4377"/>
    <w:rsid w:val="006B46D6"/>
    <w:rsid w:val="006B47D6"/>
    <w:rsid w:val="006B4862"/>
    <w:rsid w:val="006B4A30"/>
    <w:rsid w:val="006B4A57"/>
    <w:rsid w:val="006B4A74"/>
    <w:rsid w:val="006B4A9A"/>
    <w:rsid w:val="006B4AED"/>
    <w:rsid w:val="006B4B5A"/>
    <w:rsid w:val="006B4D36"/>
    <w:rsid w:val="006B503C"/>
    <w:rsid w:val="006B5094"/>
    <w:rsid w:val="006B50AD"/>
    <w:rsid w:val="006B510F"/>
    <w:rsid w:val="006B51CD"/>
    <w:rsid w:val="006B5530"/>
    <w:rsid w:val="006B5882"/>
    <w:rsid w:val="006B591B"/>
    <w:rsid w:val="006B5A32"/>
    <w:rsid w:val="006B5A98"/>
    <w:rsid w:val="006B5BF5"/>
    <w:rsid w:val="006B5C7C"/>
    <w:rsid w:val="006B5CE8"/>
    <w:rsid w:val="006B5CF5"/>
    <w:rsid w:val="006B5DED"/>
    <w:rsid w:val="006B5FF1"/>
    <w:rsid w:val="006B64C1"/>
    <w:rsid w:val="006B652C"/>
    <w:rsid w:val="006B674A"/>
    <w:rsid w:val="006B6861"/>
    <w:rsid w:val="006B6AF0"/>
    <w:rsid w:val="006B6B35"/>
    <w:rsid w:val="006B6BA9"/>
    <w:rsid w:val="006B6C15"/>
    <w:rsid w:val="006B6D3A"/>
    <w:rsid w:val="006B6D58"/>
    <w:rsid w:val="006B6E36"/>
    <w:rsid w:val="006B7079"/>
    <w:rsid w:val="006B7130"/>
    <w:rsid w:val="006B74E9"/>
    <w:rsid w:val="006B75E0"/>
    <w:rsid w:val="006B774B"/>
    <w:rsid w:val="006B7770"/>
    <w:rsid w:val="006B77FC"/>
    <w:rsid w:val="006B7937"/>
    <w:rsid w:val="006B799C"/>
    <w:rsid w:val="006B7A35"/>
    <w:rsid w:val="006B7CC5"/>
    <w:rsid w:val="006B7CEF"/>
    <w:rsid w:val="006B7E3D"/>
    <w:rsid w:val="006BE8E0"/>
    <w:rsid w:val="006C0025"/>
    <w:rsid w:val="006C0138"/>
    <w:rsid w:val="006C01F8"/>
    <w:rsid w:val="006C0283"/>
    <w:rsid w:val="006C03A8"/>
    <w:rsid w:val="006C044D"/>
    <w:rsid w:val="006C0494"/>
    <w:rsid w:val="006C04B4"/>
    <w:rsid w:val="006C0531"/>
    <w:rsid w:val="006C054B"/>
    <w:rsid w:val="006C056E"/>
    <w:rsid w:val="006C05A9"/>
    <w:rsid w:val="006C0652"/>
    <w:rsid w:val="006C0666"/>
    <w:rsid w:val="006C06E2"/>
    <w:rsid w:val="006C0745"/>
    <w:rsid w:val="006C08B9"/>
    <w:rsid w:val="006C097C"/>
    <w:rsid w:val="006C0A46"/>
    <w:rsid w:val="006C0B6A"/>
    <w:rsid w:val="006C0C0A"/>
    <w:rsid w:val="006C0CFF"/>
    <w:rsid w:val="006C0DC3"/>
    <w:rsid w:val="006C0ED8"/>
    <w:rsid w:val="006C0F81"/>
    <w:rsid w:val="006C1040"/>
    <w:rsid w:val="006C111F"/>
    <w:rsid w:val="006C129F"/>
    <w:rsid w:val="006C13FB"/>
    <w:rsid w:val="006C1517"/>
    <w:rsid w:val="006C1614"/>
    <w:rsid w:val="006C1627"/>
    <w:rsid w:val="006C1770"/>
    <w:rsid w:val="006C1801"/>
    <w:rsid w:val="006C1969"/>
    <w:rsid w:val="006C19DD"/>
    <w:rsid w:val="006C1AC3"/>
    <w:rsid w:val="006C1D8C"/>
    <w:rsid w:val="006C1DD3"/>
    <w:rsid w:val="006C1E0F"/>
    <w:rsid w:val="006C1E8B"/>
    <w:rsid w:val="006C1E93"/>
    <w:rsid w:val="006C1EC4"/>
    <w:rsid w:val="006C1EE5"/>
    <w:rsid w:val="006C1EF0"/>
    <w:rsid w:val="006C2087"/>
    <w:rsid w:val="006C21EF"/>
    <w:rsid w:val="006C22BE"/>
    <w:rsid w:val="006C23EC"/>
    <w:rsid w:val="006C2471"/>
    <w:rsid w:val="006C2518"/>
    <w:rsid w:val="006C2539"/>
    <w:rsid w:val="006C26BE"/>
    <w:rsid w:val="006C292D"/>
    <w:rsid w:val="006C2A57"/>
    <w:rsid w:val="006C2CB0"/>
    <w:rsid w:val="006C2DE8"/>
    <w:rsid w:val="006C3262"/>
    <w:rsid w:val="006C327B"/>
    <w:rsid w:val="006C3282"/>
    <w:rsid w:val="006C32AC"/>
    <w:rsid w:val="006C3358"/>
    <w:rsid w:val="006C3382"/>
    <w:rsid w:val="006C346C"/>
    <w:rsid w:val="006C35E0"/>
    <w:rsid w:val="006C35F1"/>
    <w:rsid w:val="006C36C8"/>
    <w:rsid w:val="006C36DA"/>
    <w:rsid w:val="006C3812"/>
    <w:rsid w:val="006C3885"/>
    <w:rsid w:val="006C3962"/>
    <w:rsid w:val="006C39E8"/>
    <w:rsid w:val="006C3C32"/>
    <w:rsid w:val="006C3C3B"/>
    <w:rsid w:val="006C3D25"/>
    <w:rsid w:val="006C3E16"/>
    <w:rsid w:val="006C3EC2"/>
    <w:rsid w:val="006C3FF3"/>
    <w:rsid w:val="006C407B"/>
    <w:rsid w:val="006C41C4"/>
    <w:rsid w:val="006C42BC"/>
    <w:rsid w:val="006C4341"/>
    <w:rsid w:val="006C4407"/>
    <w:rsid w:val="006C456D"/>
    <w:rsid w:val="006C4747"/>
    <w:rsid w:val="006C4801"/>
    <w:rsid w:val="006C4810"/>
    <w:rsid w:val="006C48BA"/>
    <w:rsid w:val="006C497E"/>
    <w:rsid w:val="006C498D"/>
    <w:rsid w:val="006C4A28"/>
    <w:rsid w:val="006C4B3B"/>
    <w:rsid w:val="006C4C94"/>
    <w:rsid w:val="006C4D73"/>
    <w:rsid w:val="006C4E7C"/>
    <w:rsid w:val="006C4F0C"/>
    <w:rsid w:val="006C5184"/>
    <w:rsid w:val="006C51AE"/>
    <w:rsid w:val="006C51FC"/>
    <w:rsid w:val="006C5233"/>
    <w:rsid w:val="006C5374"/>
    <w:rsid w:val="006C5586"/>
    <w:rsid w:val="006C565D"/>
    <w:rsid w:val="006C573B"/>
    <w:rsid w:val="006C57E0"/>
    <w:rsid w:val="006C5802"/>
    <w:rsid w:val="006C58FC"/>
    <w:rsid w:val="006C5934"/>
    <w:rsid w:val="006C59F8"/>
    <w:rsid w:val="006C5AE5"/>
    <w:rsid w:val="006C5BE2"/>
    <w:rsid w:val="006C5C7A"/>
    <w:rsid w:val="006C5C80"/>
    <w:rsid w:val="006C5D98"/>
    <w:rsid w:val="006C5E00"/>
    <w:rsid w:val="006C5EFD"/>
    <w:rsid w:val="006C65B2"/>
    <w:rsid w:val="006C66F1"/>
    <w:rsid w:val="006C6701"/>
    <w:rsid w:val="006C686C"/>
    <w:rsid w:val="006C6889"/>
    <w:rsid w:val="006C689C"/>
    <w:rsid w:val="006C6928"/>
    <w:rsid w:val="006C699E"/>
    <w:rsid w:val="006C6B8B"/>
    <w:rsid w:val="006C6DC2"/>
    <w:rsid w:val="006C6E14"/>
    <w:rsid w:val="006C6F46"/>
    <w:rsid w:val="006C6F89"/>
    <w:rsid w:val="006C7122"/>
    <w:rsid w:val="006C7146"/>
    <w:rsid w:val="006C72E6"/>
    <w:rsid w:val="006C730D"/>
    <w:rsid w:val="006C735C"/>
    <w:rsid w:val="006C73E7"/>
    <w:rsid w:val="006C7435"/>
    <w:rsid w:val="006C7516"/>
    <w:rsid w:val="006C75DB"/>
    <w:rsid w:val="006C75F3"/>
    <w:rsid w:val="006C76B4"/>
    <w:rsid w:val="006C7735"/>
    <w:rsid w:val="006C774C"/>
    <w:rsid w:val="006C783D"/>
    <w:rsid w:val="006C784F"/>
    <w:rsid w:val="006C7936"/>
    <w:rsid w:val="006C7941"/>
    <w:rsid w:val="006C79CA"/>
    <w:rsid w:val="006C7AC0"/>
    <w:rsid w:val="006C7BC8"/>
    <w:rsid w:val="006C7C39"/>
    <w:rsid w:val="006C7CE1"/>
    <w:rsid w:val="006C7E27"/>
    <w:rsid w:val="006C7E38"/>
    <w:rsid w:val="006C7E6A"/>
    <w:rsid w:val="006C7F16"/>
    <w:rsid w:val="006C7F98"/>
    <w:rsid w:val="006D014E"/>
    <w:rsid w:val="006D0230"/>
    <w:rsid w:val="006D0435"/>
    <w:rsid w:val="006D04C6"/>
    <w:rsid w:val="006D0521"/>
    <w:rsid w:val="006D0596"/>
    <w:rsid w:val="006D09F2"/>
    <w:rsid w:val="006D0A95"/>
    <w:rsid w:val="006D0BDE"/>
    <w:rsid w:val="006D0C73"/>
    <w:rsid w:val="006D0D7C"/>
    <w:rsid w:val="006D0F60"/>
    <w:rsid w:val="006D1088"/>
    <w:rsid w:val="006D10DB"/>
    <w:rsid w:val="006D1280"/>
    <w:rsid w:val="006D1309"/>
    <w:rsid w:val="006D1336"/>
    <w:rsid w:val="006D1499"/>
    <w:rsid w:val="006D14BE"/>
    <w:rsid w:val="006D14DD"/>
    <w:rsid w:val="006D1511"/>
    <w:rsid w:val="006D1724"/>
    <w:rsid w:val="006D174D"/>
    <w:rsid w:val="006D1913"/>
    <w:rsid w:val="006D1947"/>
    <w:rsid w:val="006D19C9"/>
    <w:rsid w:val="006D1AEA"/>
    <w:rsid w:val="006D1D50"/>
    <w:rsid w:val="006D1EBB"/>
    <w:rsid w:val="006D1F57"/>
    <w:rsid w:val="006D2011"/>
    <w:rsid w:val="006D2016"/>
    <w:rsid w:val="006D2083"/>
    <w:rsid w:val="006D21A7"/>
    <w:rsid w:val="006D21D4"/>
    <w:rsid w:val="006D21F0"/>
    <w:rsid w:val="006D2298"/>
    <w:rsid w:val="006D23C7"/>
    <w:rsid w:val="006D251D"/>
    <w:rsid w:val="006D25BC"/>
    <w:rsid w:val="006D263C"/>
    <w:rsid w:val="006D26D3"/>
    <w:rsid w:val="006D2797"/>
    <w:rsid w:val="006D283C"/>
    <w:rsid w:val="006D283D"/>
    <w:rsid w:val="006D284F"/>
    <w:rsid w:val="006D2905"/>
    <w:rsid w:val="006D290B"/>
    <w:rsid w:val="006D2913"/>
    <w:rsid w:val="006D29DB"/>
    <w:rsid w:val="006D29E6"/>
    <w:rsid w:val="006D2A61"/>
    <w:rsid w:val="006D2D15"/>
    <w:rsid w:val="006D2F07"/>
    <w:rsid w:val="006D3026"/>
    <w:rsid w:val="006D3130"/>
    <w:rsid w:val="006D331F"/>
    <w:rsid w:val="006D3332"/>
    <w:rsid w:val="006D33D9"/>
    <w:rsid w:val="006D346F"/>
    <w:rsid w:val="006D348D"/>
    <w:rsid w:val="006D3533"/>
    <w:rsid w:val="006D37E5"/>
    <w:rsid w:val="006D3B69"/>
    <w:rsid w:val="006D3C01"/>
    <w:rsid w:val="006D3C08"/>
    <w:rsid w:val="006D3C40"/>
    <w:rsid w:val="006D3C4E"/>
    <w:rsid w:val="006D3CDC"/>
    <w:rsid w:val="006D3D37"/>
    <w:rsid w:val="006D3DB1"/>
    <w:rsid w:val="006D3E5D"/>
    <w:rsid w:val="006D3E73"/>
    <w:rsid w:val="006D3EE9"/>
    <w:rsid w:val="006D3F5F"/>
    <w:rsid w:val="006D3FB5"/>
    <w:rsid w:val="006D4011"/>
    <w:rsid w:val="006D40E1"/>
    <w:rsid w:val="006D416F"/>
    <w:rsid w:val="006D427A"/>
    <w:rsid w:val="006D42EF"/>
    <w:rsid w:val="006D4654"/>
    <w:rsid w:val="006D4694"/>
    <w:rsid w:val="006D46A9"/>
    <w:rsid w:val="006D4876"/>
    <w:rsid w:val="006D4B67"/>
    <w:rsid w:val="006D4BE2"/>
    <w:rsid w:val="006D4CCA"/>
    <w:rsid w:val="006D4D91"/>
    <w:rsid w:val="006D4D95"/>
    <w:rsid w:val="006D4DDB"/>
    <w:rsid w:val="006D5013"/>
    <w:rsid w:val="006D508F"/>
    <w:rsid w:val="006D50C6"/>
    <w:rsid w:val="006D5120"/>
    <w:rsid w:val="006D5247"/>
    <w:rsid w:val="006D52F8"/>
    <w:rsid w:val="006D5310"/>
    <w:rsid w:val="006D533C"/>
    <w:rsid w:val="006D5484"/>
    <w:rsid w:val="006D54B1"/>
    <w:rsid w:val="006D553E"/>
    <w:rsid w:val="006D55CE"/>
    <w:rsid w:val="006D56B9"/>
    <w:rsid w:val="006D5819"/>
    <w:rsid w:val="006D58BA"/>
    <w:rsid w:val="006D5959"/>
    <w:rsid w:val="006D5A18"/>
    <w:rsid w:val="006D5AAF"/>
    <w:rsid w:val="006D5AD7"/>
    <w:rsid w:val="006D5B14"/>
    <w:rsid w:val="006D5C32"/>
    <w:rsid w:val="006D5D1C"/>
    <w:rsid w:val="006D5EB6"/>
    <w:rsid w:val="006D6264"/>
    <w:rsid w:val="006D626B"/>
    <w:rsid w:val="006D647D"/>
    <w:rsid w:val="006D6582"/>
    <w:rsid w:val="006D66CA"/>
    <w:rsid w:val="006D6AAA"/>
    <w:rsid w:val="006D6B73"/>
    <w:rsid w:val="006D6BEE"/>
    <w:rsid w:val="006D6C21"/>
    <w:rsid w:val="006D6D02"/>
    <w:rsid w:val="006D6D1C"/>
    <w:rsid w:val="006D6D99"/>
    <w:rsid w:val="006D6E8E"/>
    <w:rsid w:val="006D6EF7"/>
    <w:rsid w:val="006D6F9E"/>
    <w:rsid w:val="006D6FC6"/>
    <w:rsid w:val="006D7415"/>
    <w:rsid w:val="006D74F0"/>
    <w:rsid w:val="006D75E2"/>
    <w:rsid w:val="006D770F"/>
    <w:rsid w:val="006D789B"/>
    <w:rsid w:val="006D7A83"/>
    <w:rsid w:val="006D7AC8"/>
    <w:rsid w:val="006D7B36"/>
    <w:rsid w:val="006D7E6C"/>
    <w:rsid w:val="006D7F54"/>
    <w:rsid w:val="006D7FCE"/>
    <w:rsid w:val="006D9E69"/>
    <w:rsid w:val="006DDB90"/>
    <w:rsid w:val="006E0011"/>
    <w:rsid w:val="006E00E4"/>
    <w:rsid w:val="006E0171"/>
    <w:rsid w:val="006E02AA"/>
    <w:rsid w:val="006E031F"/>
    <w:rsid w:val="006E03FF"/>
    <w:rsid w:val="006E047B"/>
    <w:rsid w:val="006E04AF"/>
    <w:rsid w:val="006E04E7"/>
    <w:rsid w:val="006E0577"/>
    <w:rsid w:val="006E05C6"/>
    <w:rsid w:val="006E0735"/>
    <w:rsid w:val="006E0B90"/>
    <w:rsid w:val="006E0D46"/>
    <w:rsid w:val="006E0E31"/>
    <w:rsid w:val="006E0E36"/>
    <w:rsid w:val="006E1010"/>
    <w:rsid w:val="006E1017"/>
    <w:rsid w:val="006E1034"/>
    <w:rsid w:val="006E107C"/>
    <w:rsid w:val="006E1119"/>
    <w:rsid w:val="006E1170"/>
    <w:rsid w:val="006E11CF"/>
    <w:rsid w:val="006E12BC"/>
    <w:rsid w:val="006E13EA"/>
    <w:rsid w:val="006E14C4"/>
    <w:rsid w:val="006E14CD"/>
    <w:rsid w:val="006E160E"/>
    <w:rsid w:val="006E1716"/>
    <w:rsid w:val="006E175E"/>
    <w:rsid w:val="006E181E"/>
    <w:rsid w:val="006E1932"/>
    <w:rsid w:val="006E1988"/>
    <w:rsid w:val="006E19DE"/>
    <w:rsid w:val="006E1A63"/>
    <w:rsid w:val="006E1B55"/>
    <w:rsid w:val="006E1BC9"/>
    <w:rsid w:val="006E1C5B"/>
    <w:rsid w:val="006E1C5D"/>
    <w:rsid w:val="006E1CA4"/>
    <w:rsid w:val="006E1D19"/>
    <w:rsid w:val="006E1E23"/>
    <w:rsid w:val="006E1E40"/>
    <w:rsid w:val="006E1E76"/>
    <w:rsid w:val="006E1F81"/>
    <w:rsid w:val="006E1FFE"/>
    <w:rsid w:val="006E2270"/>
    <w:rsid w:val="006E23C6"/>
    <w:rsid w:val="006E2432"/>
    <w:rsid w:val="006E2445"/>
    <w:rsid w:val="006E2501"/>
    <w:rsid w:val="006E25F6"/>
    <w:rsid w:val="006E26A4"/>
    <w:rsid w:val="006E28B8"/>
    <w:rsid w:val="006E2904"/>
    <w:rsid w:val="006E297C"/>
    <w:rsid w:val="006E2A4D"/>
    <w:rsid w:val="006E2A66"/>
    <w:rsid w:val="006E2B59"/>
    <w:rsid w:val="006E2CB1"/>
    <w:rsid w:val="006E2E20"/>
    <w:rsid w:val="006E2EAB"/>
    <w:rsid w:val="006E310A"/>
    <w:rsid w:val="006E315D"/>
    <w:rsid w:val="006E3330"/>
    <w:rsid w:val="006E3467"/>
    <w:rsid w:val="006E35BF"/>
    <w:rsid w:val="006E37FB"/>
    <w:rsid w:val="006E38F3"/>
    <w:rsid w:val="006E3B52"/>
    <w:rsid w:val="006E3CC5"/>
    <w:rsid w:val="006E3D29"/>
    <w:rsid w:val="006E3DDC"/>
    <w:rsid w:val="006E3E3E"/>
    <w:rsid w:val="006E3F4C"/>
    <w:rsid w:val="006E416F"/>
    <w:rsid w:val="006E4196"/>
    <w:rsid w:val="006E441E"/>
    <w:rsid w:val="006E45FE"/>
    <w:rsid w:val="006E46DA"/>
    <w:rsid w:val="006E470A"/>
    <w:rsid w:val="006E4734"/>
    <w:rsid w:val="006E48D1"/>
    <w:rsid w:val="006E4A29"/>
    <w:rsid w:val="006E4B3F"/>
    <w:rsid w:val="006E4C8C"/>
    <w:rsid w:val="006E4D1E"/>
    <w:rsid w:val="006E4F2F"/>
    <w:rsid w:val="006E4FD9"/>
    <w:rsid w:val="006E5088"/>
    <w:rsid w:val="006E50BA"/>
    <w:rsid w:val="006E5341"/>
    <w:rsid w:val="006E539F"/>
    <w:rsid w:val="006E53B4"/>
    <w:rsid w:val="006E53D7"/>
    <w:rsid w:val="006E567A"/>
    <w:rsid w:val="006E57D5"/>
    <w:rsid w:val="006E5809"/>
    <w:rsid w:val="006E58B6"/>
    <w:rsid w:val="006E59BC"/>
    <w:rsid w:val="006E5A2C"/>
    <w:rsid w:val="006E5C3D"/>
    <w:rsid w:val="006E5C76"/>
    <w:rsid w:val="006E5E8B"/>
    <w:rsid w:val="006E5EF0"/>
    <w:rsid w:val="006E5F43"/>
    <w:rsid w:val="006E5F4D"/>
    <w:rsid w:val="006E62A6"/>
    <w:rsid w:val="006E6306"/>
    <w:rsid w:val="006E6353"/>
    <w:rsid w:val="006E638C"/>
    <w:rsid w:val="006E638E"/>
    <w:rsid w:val="006E63FD"/>
    <w:rsid w:val="006E65C6"/>
    <w:rsid w:val="006E6637"/>
    <w:rsid w:val="006E6644"/>
    <w:rsid w:val="006E66BB"/>
    <w:rsid w:val="006E67BF"/>
    <w:rsid w:val="006E6928"/>
    <w:rsid w:val="006E6AF8"/>
    <w:rsid w:val="006E6C4C"/>
    <w:rsid w:val="006E6C9F"/>
    <w:rsid w:val="006E6E47"/>
    <w:rsid w:val="006E6E7A"/>
    <w:rsid w:val="006E6E97"/>
    <w:rsid w:val="006E6F73"/>
    <w:rsid w:val="006E705F"/>
    <w:rsid w:val="006E7095"/>
    <w:rsid w:val="006E7145"/>
    <w:rsid w:val="006E7209"/>
    <w:rsid w:val="006E727B"/>
    <w:rsid w:val="006E72AC"/>
    <w:rsid w:val="006E72B9"/>
    <w:rsid w:val="006E73E8"/>
    <w:rsid w:val="006E73EA"/>
    <w:rsid w:val="006E7547"/>
    <w:rsid w:val="006E7586"/>
    <w:rsid w:val="006E75D3"/>
    <w:rsid w:val="006E75EE"/>
    <w:rsid w:val="006E7771"/>
    <w:rsid w:val="006E7780"/>
    <w:rsid w:val="006E7782"/>
    <w:rsid w:val="006E77B1"/>
    <w:rsid w:val="006E791B"/>
    <w:rsid w:val="006E79BC"/>
    <w:rsid w:val="006E7A93"/>
    <w:rsid w:val="006E7BA3"/>
    <w:rsid w:val="006E7D3D"/>
    <w:rsid w:val="006E7D7E"/>
    <w:rsid w:val="006E7F6D"/>
    <w:rsid w:val="006E7F73"/>
    <w:rsid w:val="006F033F"/>
    <w:rsid w:val="006F0478"/>
    <w:rsid w:val="006F0631"/>
    <w:rsid w:val="006F078C"/>
    <w:rsid w:val="006F07DB"/>
    <w:rsid w:val="006F0A78"/>
    <w:rsid w:val="006F0B6F"/>
    <w:rsid w:val="006F0B8C"/>
    <w:rsid w:val="006F0D0D"/>
    <w:rsid w:val="006F0D2E"/>
    <w:rsid w:val="006F0ED3"/>
    <w:rsid w:val="006F0F72"/>
    <w:rsid w:val="006F0F85"/>
    <w:rsid w:val="006F10E2"/>
    <w:rsid w:val="006F10FF"/>
    <w:rsid w:val="006F13AA"/>
    <w:rsid w:val="006F13E3"/>
    <w:rsid w:val="006F157D"/>
    <w:rsid w:val="006F164D"/>
    <w:rsid w:val="006F16CD"/>
    <w:rsid w:val="006F17D3"/>
    <w:rsid w:val="006F181E"/>
    <w:rsid w:val="006F18D7"/>
    <w:rsid w:val="006F1BE9"/>
    <w:rsid w:val="006F1CDB"/>
    <w:rsid w:val="006F2208"/>
    <w:rsid w:val="006F2323"/>
    <w:rsid w:val="006F2437"/>
    <w:rsid w:val="006F25BC"/>
    <w:rsid w:val="006F2787"/>
    <w:rsid w:val="006F2BCF"/>
    <w:rsid w:val="006F2C5A"/>
    <w:rsid w:val="006F2C8B"/>
    <w:rsid w:val="006F2CCD"/>
    <w:rsid w:val="006F2DD4"/>
    <w:rsid w:val="006F2E45"/>
    <w:rsid w:val="006F2F89"/>
    <w:rsid w:val="006F306E"/>
    <w:rsid w:val="006F30B1"/>
    <w:rsid w:val="006F30DE"/>
    <w:rsid w:val="006F31DB"/>
    <w:rsid w:val="006F3269"/>
    <w:rsid w:val="006F33EA"/>
    <w:rsid w:val="006F341F"/>
    <w:rsid w:val="006F34E6"/>
    <w:rsid w:val="006F35F2"/>
    <w:rsid w:val="006F3670"/>
    <w:rsid w:val="006F36C8"/>
    <w:rsid w:val="006F37D8"/>
    <w:rsid w:val="006F3807"/>
    <w:rsid w:val="006F38AA"/>
    <w:rsid w:val="006F38B1"/>
    <w:rsid w:val="006F39BB"/>
    <w:rsid w:val="006F3BD0"/>
    <w:rsid w:val="006F3F0C"/>
    <w:rsid w:val="006F40E6"/>
    <w:rsid w:val="006F418B"/>
    <w:rsid w:val="006F42ED"/>
    <w:rsid w:val="006F4572"/>
    <w:rsid w:val="006F458E"/>
    <w:rsid w:val="006F48BF"/>
    <w:rsid w:val="006F4A69"/>
    <w:rsid w:val="006F4B83"/>
    <w:rsid w:val="006F4B84"/>
    <w:rsid w:val="006F4D9D"/>
    <w:rsid w:val="006F4EE1"/>
    <w:rsid w:val="006F4F06"/>
    <w:rsid w:val="006F4F49"/>
    <w:rsid w:val="006F4F61"/>
    <w:rsid w:val="006F4FAC"/>
    <w:rsid w:val="006F5185"/>
    <w:rsid w:val="006F51C2"/>
    <w:rsid w:val="006F5257"/>
    <w:rsid w:val="006F5297"/>
    <w:rsid w:val="006F5394"/>
    <w:rsid w:val="006F54AE"/>
    <w:rsid w:val="006F5580"/>
    <w:rsid w:val="006F55CD"/>
    <w:rsid w:val="006F5688"/>
    <w:rsid w:val="006F58F4"/>
    <w:rsid w:val="006F5B15"/>
    <w:rsid w:val="006F5B20"/>
    <w:rsid w:val="006F5BC2"/>
    <w:rsid w:val="006F5C3E"/>
    <w:rsid w:val="006F5D39"/>
    <w:rsid w:val="006F5FCF"/>
    <w:rsid w:val="006F6071"/>
    <w:rsid w:val="006F60A4"/>
    <w:rsid w:val="006F6140"/>
    <w:rsid w:val="006F619C"/>
    <w:rsid w:val="006F6350"/>
    <w:rsid w:val="006F63F7"/>
    <w:rsid w:val="006F6469"/>
    <w:rsid w:val="006F6499"/>
    <w:rsid w:val="006F66A0"/>
    <w:rsid w:val="006F674B"/>
    <w:rsid w:val="006F675E"/>
    <w:rsid w:val="006F6826"/>
    <w:rsid w:val="006F69E9"/>
    <w:rsid w:val="006F6B0D"/>
    <w:rsid w:val="006F6B54"/>
    <w:rsid w:val="006F6C6C"/>
    <w:rsid w:val="006F6CC3"/>
    <w:rsid w:val="006F6D31"/>
    <w:rsid w:val="006F6E09"/>
    <w:rsid w:val="006F6F8F"/>
    <w:rsid w:val="006F7031"/>
    <w:rsid w:val="006F7100"/>
    <w:rsid w:val="006F7148"/>
    <w:rsid w:val="006F7228"/>
    <w:rsid w:val="006F72BC"/>
    <w:rsid w:val="006F735E"/>
    <w:rsid w:val="006F73A1"/>
    <w:rsid w:val="006F74FA"/>
    <w:rsid w:val="006F7532"/>
    <w:rsid w:val="006F757F"/>
    <w:rsid w:val="006F7652"/>
    <w:rsid w:val="006F765D"/>
    <w:rsid w:val="006F77B8"/>
    <w:rsid w:val="006F77EE"/>
    <w:rsid w:val="006F7E87"/>
    <w:rsid w:val="006F7EA6"/>
    <w:rsid w:val="006F7EB0"/>
    <w:rsid w:val="006F7EE1"/>
    <w:rsid w:val="007002DE"/>
    <w:rsid w:val="00700328"/>
    <w:rsid w:val="007003CD"/>
    <w:rsid w:val="0070047B"/>
    <w:rsid w:val="00700787"/>
    <w:rsid w:val="0070079D"/>
    <w:rsid w:val="007007FB"/>
    <w:rsid w:val="00700809"/>
    <w:rsid w:val="00700909"/>
    <w:rsid w:val="00700BDD"/>
    <w:rsid w:val="00700DD5"/>
    <w:rsid w:val="00700FC0"/>
    <w:rsid w:val="0070101F"/>
    <w:rsid w:val="00701048"/>
    <w:rsid w:val="0070107B"/>
    <w:rsid w:val="00701175"/>
    <w:rsid w:val="007011B8"/>
    <w:rsid w:val="0070145A"/>
    <w:rsid w:val="007014DF"/>
    <w:rsid w:val="0070154D"/>
    <w:rsid w:val="0070160A"/>
    <w:rsid w:val="0070161C"/>
    <w:rsid w:val="007016B8"/>
    <w:rsid w:val="007016B9"/>
    <w:rsid w:val="007016C2"/>
    <w:rsid w:val="007016D0"/>
    <w:rsid w:val="0070177B"/>
    <w:rsid w:val="00701870"/>
    <w:rsid w:val="007018D6"/>
    <w:rsid w:val="00701A16"/>
    <w:rsid w:val="00701A70"/>
    <w:rsid w:val="00701B18"/>
    <w:rsid w:val="00701C09"/>
    <w:rsid w:val="00701CA4"/>
    <w:rsid w:val="00701F4F"/>
    <w:rsid w:val="00701FD8"/>
    <w:rsid w:val="00702036"/>
    <w:rsid w:val="007020BF"/>
    <w:rsid w:val="0070226D"/>
    <w:rsid w:val="007022C8"/>
    <w:rsid w:val="00702467"/>
    <w:rsid w:val="00702628"/>
    <w:rsid w:val="00702783"/>
    <w:rsid w:val="007027BA"/>
    <w:rsid w:val="00702810"/>
    <w:rsid w:val="00702CA7"/>
    <w:rsid w:val="00702E0B"/>
    <w:rsid w:val="00702EDE"/>
    <w:rsid w:val="007030DB"/>
    <w:rsid w:val="0070314F"/>
    <w:rsid w:val="0070319C"/>
    <w:rsid w:val="007031D3"/>
    <w:rsid w:val="00703397"/>
    <w:rsid w:val="007033D9"/>
    <w:rsid w:val="00703540"/>
    <w:rsid w:val="007036C5"/>
    <w:rsid w:val="00703787"/>
    <w:rsid w:val="00703B25"/>
    <w:rsid w:val="00703B30"/>
    <w:rsid w:val="00703BA6"/>
    <w:rsid w:val="00703C83"/>
    <w:rsid w:val="00703FD9"/>
    <w:rsid w:val="007041FF"/>
    <w:rsid w:val="0070420D"/>
    <w:rsid w:val="00704245"/>
    <w:rsid w:val="007043FF"/>
    <w:rsid w:val="00704415"/>
    <w:rsid w:val="0070449A"/>
    <w:rsid w:val="0070458F"/>
    <w:rsid w:val="007045E6"/>
    <w:rsid w:val="00704621"/>
    <w:rsid w:val="007046B2"/>
    <w:rsid w:val="0070478D"/>
    <w:rsid w:val="007047B8"/>
    <w:rsid w:val="00704804"/>
    <w:rsid w:val="007048BC"/>
    <w:rsid w:val="007049FF"/>
    <w:rsid w:val="00704A85"/>
    <w:rsid w:val="00704ED6"/>
    <w:rsid w:val="00704F77"/>
    <w:rsid w:val="00704F87"/>
    <w:rsid w:val="00704F96"/>
    <w:rsid w:val="00705095"/>
    <w:rsid w:val="007050ED"/>
    <w:rsid w:val="00705201"/>
    <w:rsid w:val="00705295"/>
    <w:rsid w:val="007052D7"/>
    <w:rsid w:val="0070534D"/>
    <w:rsid w:val="00705372"/>
    <w:rsid w:val="0070557A"/>
    <w:rsid w:val="0070577A"/>
    <w:rsid w:val="007057ED"/>
    <w:rsid w:val="00705ABC"/>
    <w:rsid w:val="00705C51"/>
    <w:rsid w:val="00705C53"/>
    <w:rsid w:val="00705EAF"/>
    <w:rsid w:val="00705EB7"/>
    <w:rsid w:val="00706027"/>
    <w:rsid w:val="00706045"/>
    <w:rsid w:val="007060DF"/>
    <w:rsid w:val="00706138"/>
    <w:rsid w:val="007061B6"/>
    <w:rsid w:val="0070629E"/>
    <w:rsid w:val="0070648A"/>
    <w:rsid w:val="007066A7"/>
    <w:rsid w:val="0070688B"/>
    <w:rsid w:val="0070693C"/>
    <w:rsid w:val="00706A70"/>
    <w:rsid w:val="00706AA7"/>
    <w:rsid w:val="00706B72"/>
    <w:rsid w:val="00706BE4"/>
    <w:rsid w:val="00706CDD"/>
    <w:rsid w:val="00706F01"/>
    <w:rsid w:val="00706F11"/>
    <w:rsid w:val="00706F25"/>
    <w:rsid w:val="007071AA"/>
    <w:rsid w:val="00707208"/>
    <w:rsid w:val="00707221"/>
    <w:rsid w:val="00707524"/>
    <w:rsid w:val="0070757A"/>
    <w:rsid w:val="0070760C"/>
    <w:rsid w:val="0070761A"/>
    <w:rsid w:val="00707655"/>
    <w:rsid w:val="007077AE"/>
    <w:rsid w:val="00707873"/>
    <w:rsid w:val="007078AB"/>
    <w:rsid w:val="007078C1"/>
    <w:rsid w:val="007079A1"/>
    <w:rsid w:val="00707A8F"/>
    <w:rsid w:val="00707B5A"/>
    <w:rsid w:val="00707B9B"/>
    <w:rsid w:val="00707BEC"/>
    <w:rsid w:val="00707C5A"/>
    <w:rsid w:val="00707F9D"/>
    <w:rsid w:val="00710131"/>
    <w:rsid w:val="00710158"/>
    <w:rsid w:val="0071029D"/>
    <w:rsid w:val="00710472"/>
    <w:rsid w:val="00710595"/>
    <w:rsid w:val="007105FB"/>
    <w:rsid w:val="00710650"/>
    <w:rsid w:val="00710665"/>
    <w:rsid w:val="00710A3E"/>
    <w:rsid w:val="00710B1D"/>
    <w:rsid w:val="00710C6B"/>
    <w:rsid w:val="00710F02"/>
    <w:rsid w:val="007110E3"/>
    <w:rsid w:val="00711452"/>
    <w:rsid w:val="0071170A"/>
    <w:rsid w:val="00711786"/>
    <w:rsid w:val="00711B75"/>
    <w:rsid w:val="00711C39"/>
    <w:rsid w:val="00711D91"/>
    <w:rsid w:val="00711DEC"/>
    <w:rsid w:val="00711EE1"/>
    <w:rsid w:val="0071206E"/>
    <w:rsid w:val="00712415"/>
    <w:rsid w:val="007124D1"/>
    <w:rsid w:val="007124EE"/>
    <w:rsid w:val="007124F6"/>
    <w:rsid w:val="0071255B"/>
    <w:rsid w:val="0071255F"/>
    <w:rsid w:val="0071277F"/>
    <w:rsid w:val="007127CF"/>
    <w:rsid w:val="007127EB"/>
    <w:rsid w:val="00712868"/>
    <w:rsid w:val="007128E8"/>
    <w:rsid w:val="0071297B"/>
    <w:rsid w:val="00712986"/>
    <w:rsid w:val="007129C8"/>
    <w:rsid w:val="00712ABF"/>
    <w:rsid w:val="00712CD9"/>
    <w:rsid w:val="00712E0F"/>
    <w:rsid w:val="00712E8E"/>
    <w:rsid w:val="00712F8D"/>
    <w:rsid w:val="00713012"/>
    <w:rsid w:val="007130F9"/>
    <w:rsid w:val="007130FB"/>
    <w:rsid w:val="0071312F"/>
    <w:rsid w:val="00713282"/>
    <w:rsid w:val="00713292"/>
    <w:rsid w:val="00713339"/>
    <w:rsid w:val="00713371"/>
    <w:rsid w:val="0071350B"/>
    <w:rsid w:val="007135FF"/>
    <w:rsid w:val="00713661"/>
    <w:rsid w:val="00713691"/>
    <w:rsid w:val="007137EC"/>
    <w:rsid w:val="0071383A"/>
    <w:rsid w:val="00713881"/>
    <w:rsid w:val="00713963"/>
    <w:rsid w:val="00713A1E"/>
    <w:rsid w:val="00713A7C"/>
    <w:rsid w:val="00713B24"/>
    <w:rsid w:val="00713BC3"/>
    <w:rsid w:val="00713C06"/>
    <w:rsid w:val="00713CA6"/>
    <w:rsid w:val="007140BB"/>
    <w:rsid w:val="007140EA"/>
    <w:rsid w:val="00714130"/>
    <w:rsid w:val="00714194"/>
    <w:rsid w:val="007142B5"/>
    <w:rsid w:val="0071433D"/>
    <w:rsid w:val="00714352"/>
    <w:rsid w:val="0071454E"/>
    <w:rsid w:val="00714635"/>
    <w:rsid w:val="00714666"/>
    <w:rsid w:val="007147A2"/>
    <w:rsid w:val="0071487E"/>
    <w:rsid w:val="0071494C"/>
    <w:rsid w:val="00714959"/>
    <w:rsid w:val="0071496B"/>
    <w:rsid w:val="0071496E"/>
    <w:rsid w:val="00714AA4"/>
    <w:rsid w:val="00714ACD"/>
    <w:rsid w:val="00714B7D"/>
    <w:rsid w:val="00714D43"/>
    <w:rsid w:val="00714E24"/>
    <w:rsid w:val="00714E4C"/>
    <w:rsid w:val="00714E55"/>
    <w:rsid w:val="00714F3F"/>
    <w:rsid w:val="007150FB"/>
    <w:rsid w:val="00715163"/>
    <w:rsid w:val="0071540B"/>
    <w:rsid w:val="00715462"/>
    <w:rsid w:val="007154C6"/>
    <w:rsid w:val="00715542"/>
    <w:rsid w:val="0071555B"/>
    <w:rsid w:val="00715580"/>
    <w:rsid w:val="0071564E"/>
    <w:rsid w:val="0071581F"/>
    <w:rsid w:val="00715876"/>
    <w:rsid w:val="00715936"/>
    <w:rsid w:val="00715963"/>
    <w:rsid w:val="00715ABC"/>
    <w:rsid w:val="00715ADC"/>
    <w:rsid w:val="00715B8B"/>
    <w:rsid w:val="00715B8D"/>
    <w:rsid w:val="00715BB2"/>
    <w:rsid w:val="00715BC4"/>
    <w:rsid w:val="00715E8A"/>
    <w:rsid w:val="00715F93"/>
    <w:rsid w:val="00715FA3"/>
    <w:rsid w:val="00716078"/>
    <w:rsid w:val="00716100"/>
    <w:rsid w:val="00716164"/>
    <w:rsid w:val="0071616F"/>
    <w:rsid w:val="0071618B"/>
    <w:rsid w:val="007161A2"/>
    <w:rsid w:val="0071633C"/>
    <w:rsid w:val="007165BC"/>
    <w:rsid w:val="00716610"/>
    <w:rsid w:val="0071685D"/>
    <w:rsid w:val="00716985"/>
    <w:rsid w:val="007169F0"/>
    <w:rsid w:val="00716A05"/>
    <w:rsid w:val="00716A3E"/>
    <w:rsid w:val="00716A4A"/>
    <w:rsid w:val="00716AC5"/>
    <w:rsid w:val="00716B38"/>
    <w:rsid w:val="00716B68"/>
    <w:rsid w:val="00716C4A"/>
    <w:rsid w:val="00716C5C"/>
    <w:rsid w:val="00716C82"/>
    <w:rsid w:val="00716D1E"/>
    <w:rsid w:val="00716D77"/>
    <w:rsid w:val="00716ED2"/>
    <w:rsid w:val="00716F89"/>
    <w:rsid w:val="007170F2"/>
    <w:rsid w:val="00717188"/>
    <w:rsid w:val="007172FA"/>
    <w:rsid w:val="00717550"/>
    <w:rsid w:val="007175FE"/>
    <w:rsid w:val="007177BE"/>
    <w:rsid w:val="0071792B"/>
    <w:rsid w:val="007179B2"/>
    <w:rsid w:val="00717A27"/>
    <w:rsid w:val="00717AAF"/>
    <w:rsid w:val="00717CDC"/>
    <w:rsid w:val="00717CF9"/>
    <w:rsid w:val="00717D0A"/>
    <w:rsid w:val="00717DC6"/>
    <w:rsid w:val="00717E2C"/>
    <w:rsid w:val="00717EB2"/>
    <w:rsid w:val="00717F02"/>
    <w:rsid w:val="00717FDA"/>
    <w:rsid w:val="0072025D"/>
    <w:rsid w:val="007202A7"/>
    <w:rsid w:val="007203AE"/>
    <w:rsid w:val="007203ED"/>
    <w:rsid w:val="007204EE"/>
    <w:rsid w:val="00720681"/>
    <w:rsid w:val="00720720"/>
    <w:rsid w:val="00720B8F"/>
    <w:rsid w:val="00720CD3"/>
    <w:rsid w:val="00720CE3"/>
    <w:rsid w:val="00720D25"/>
    <w:rsid w:val="00720E47"/>
    <w:rsid w:val="00720E6F"/>
    <w:rsid w:val="0072104B"/>
    <w:rsid w:val="007210A1"/>
    <w:rsid w:val="00721126"/>
    <w:rsid w:val="0072128C"/>
    <w:rsid w:val="00721299"/>
    <w:rsid w:val="007212AB"/>
    <w:rsid w:val="007213FC"/>
    <w:rsid w:val="0072186C"/>
    <w:rsid w:val="0072195A"/>
    <w:rsid w:val="007219E4"/>
    <w:rsid w:val="00721B1C"/>
    <w:rsid w:val="00721C24"/>
    <w:rsid w:val="00721C78"/>
    <w:rsid w:val="00721CA2"/>
    <w:rsid w:val="00721D02"/>
    <w:rsid w:val="00721D30"/>
    <w:rsid w:val="00721D37"/>
    <w:rsid w:val="00721D9F"/>
    <w:rsid w:val="00721E95"/>
    <w:rsid w:val="00721F89"/>
    <w:rsid w:val="00722100"/>
    <w:rsid w:val="0072217A"/>
    <w:rsid w:val="00722443"/>
    <w:rsid w:val="00722475"/>
    <w:rsid w:val="007224E8"/>
    <w:rsid w:val="00722690"/>
    <w:rsid w:val="007226D6"/>
    <w:rsid w:val="00722721"/>
    <w:rsid w:val="007229DF"/>
    <w:rsid w:val="00722A72"/>
    <w:rsid w:val="00722ADC"/>
    <w:rsid w:val="00722AF9"/>
    <w:rsid w:val="00722B3A"/>
    <w:rsid w:val="00722BC8"/>
    <w:rsid w:val="00722C31"/>
    <w:rsid w:val="00722C36"/>
    <w:rsid w:val="00722DBB"/>
    <w:rsid w:val="00722E48"/>
    <w:rsid w:val="00722F6E"/>
    <w:rsid w:val="0072308B"/>
    <w:rsid w:val="007230CE"/>
    <w:rsid w:val="00723115"/>
    <w:rsid w:val="00723208"/>
    <w:rsid w:val="00723232"/>
    <w:rsid w:val="00723253"/>
    <w:rsid w:val="0072327C"/>
    <w:rsid w:val="00723330"/>
    <w:rsid w:val="0072337D"/>
    <w:rsid w:val="007233F0"/>
    <w:rsid w:val="007234AF"/>
    <w:rsid w:val="007234B7"/>
    <w:rsid w:val="00723708"/>
    <w:rsid w:val="00723751"/>
    <w:rsid w:val="0072376A"/>
    <w:rsid w:val="0072384C"/>
    <w:rsid w:val="007238B3"/>
    <w:rsid w:val="00723BA7"/>
    <w:rsid w:val="00723C56"/>
    <w:rsid w:val="00723D54"/>
    <w:rsid w:val="00723D71"/>
    <w:rsid w:val="00723EA6"/>
    <w:rsid w:val="00724091"/>
    <w:rsid w:val="0072429D"/>
    <w:rsid w:val="00724386"/>
    <w:rsid w:val="007244F2"/>
    <w:rsid w:val="007245B9"/>
    <w:rsid w:val="00724647"/>
    <w:rsid w:val="00724757"/>
    <w:rsid w:val="007247AC"/>
    <w:rsid w:val="007247FE"/>
    <w:rsid w:val="00724814"/>
    <w:rsid w:val="00724889"/>
    <w:rsid w:val="0072498F"/>
    <w:rsid w:val="00724A4D"/>
    <w:rsid w:val="00724AEC"/>
    <w:rsid w:val="00724BD9"/>
    <w:rsid w:val="00724BEE"/>
    <w:rsid w:val="00724C27"/>
    <w:rsid w:val="00724CFC"/>
    <w:rsid w:val="00724E77"/>
    <w:rsid w:val="00724ECB"/>
    <w:rsid w:val="00724F16"/>
    <w:rsid w:val="00724F72"/>
    <w:rsid w:val="007250F4"/>
    <w:rsid w:val="00725103"/>
    <w:rsid w:val="00725146"/>
    <w:rsid w:val="007253AD"/>
    <w:rsid w:val="007253F7"/>
    <w:rsid w:val="007254C8"/>
    <w:rsid w:val="007254F2"/>
    <w:rsid w:val="00725583"/>
    <w:rsid w:val="007255E8"/>
    <w:rsid w:val="00725659"/>
    <w:rsid w:val="00725896"/>
    <w:rsid w:val="007258F2"/>
    <w:rsid w:val="0072594F"/>
    <w:rsid w:val="0072595A"/>
    <w:rsid w:val="007259A1"/>
    <w:rsid w:val="007259D8"/>
    <w:rsid w:val="00725AC1"/>
    <w:rsid w:val="00725C51"/>
    <w:rsid w:val="00725F86"/>
    <w:rsid w:val="0072604E"/>
    <w:rsid w:val="00726181"/>
    <w:rsid w:val="0072619A"/>
    <w:rsid w:val="00726238"/>
    <w:rsid w:val="007262CC"/>
    <w:rsid w:val="0072638D"/>
    <w:rsid w:val="00726502"/>
    <w:rsid w:val="0072657E"/>
    <w:rsid w:val="0072659A"/>
    <w:rsid w:val="007265A2"/>
    <w:rsid w:val="00726618"/>
    <w:rsid w:val="00726634"/>
    <w:rsid w:val="007267AD"/>
    <w:rsid w:val="007267C1"/>
    <w:rsid w:val="00726834"/>
    <w:rsid w:val="007268FB"/>
    <w:rsid w:val="007269F0"/>
    <w:rsid w:val="00726C37"/>
    <w:rsid w:val="00726C98"/>
    <w:rsid w:val="00726D67"/>
    <w:rsid w:val="00726D99"/>
    <w:rsid w:val="00726EDD"/>
    <w:rsid w:val="00727049"/>
    <w:rsid w:val="00727092"/>
    <w:rsid w:val="007270B1"/>
    <w:rsid w:val="00727157"/>
    <w:rsid w:val="0072717B"/>
    <w:rsid w:val="007271AD"/>
    <w:rsid w:val="00727264"/>
    <w:rsid w:val="00727434"/>
    <w:rsid w:val="0072753E"/>
    <w:rsid w:val="007275EC"/>
    <w:rsid w:val="00727666"/>
    <w:rsid w:val="00727797"/>
    <w:rsid w:val="00727A67"/>
    <w:rsid w:val="00727AD7"/>
    <w:rsid w:val="00727B62"/>
    <w:rsid w:val="00727BAE"/>
    <w:rsid w:val="00727CE7"/>
    <w:rsid w:val="00727D00"/>
    <w:rsid w:val="00727EC7"/>
    <w:rsid w:val="00727F80"/>
    <w:rsid w:val="00730023"/>
    <w:rsid w:val="00730174"/>
    <w:rsid w:val="007301D0"/>
    <w:rsid w:val="007302F6"/>
    <w:rsid w:val="00730306"/>
    <w:rsid w:val="007303F5"/>
    <w:rsid w:val="00730968"/>
    <w:rsid w:val="007309A3"/>
    <w:rsid w:val="00730AF2"/>
    <w:rsid w:val="00730BCA"/>
    <w:rsid w:val="00730C1E"/>
    <w:rsid w:val="00730CE5"/>
    <w:rsid w:val="00730CF6"/>
    <w:rsid w:val="00730DF3"/>
    <w:rsid w:val="00730E88"/>
    <w:rsid w:val="0073108D"/>
    <w:rsid w:val="007311B3"/>
    <w:rsid w:val="00731439"/>
    <w:rsid w:val="0073149A"/>
    <w:rsid w:val="00731813"/>
    <w:rsid w:val="007318FA"/>
    <w:rsid w:val="00731BC2"/>
    <w:rsid w:val="00731D33"/>
    <w:rsid w:val="00731D59"/>
    <w:rsid w:val="00731EE8"/>
    <w:rsid w:val="00731F6C"/>
    <w:rsid w:val="00731F88"/>
    <w:rsid w:val="00732078"/>
    <w:rsid w:val="00732092"/>
    <w:rsid w:val="00732183"/>
    <w:rsid w:val="007321B5"/>
    <w:rsid w:val="0073236B"/>
    <w:rsid w:val="007323C8"/>
    <w:rsid w:val="00732607"/>
    <w:rsid w:val="0073264B"/>
    <w:rsid w:val="00732673"/>
    <w:rsid w:val="007327AA"/>
    <w:rsid w:val="007328D2"/>
    <w:rsid w:val="00732B13"/>
    <w:rsid w:val="00732C5C"/>
    <w:rsid w:val="00732D1D"/>
    <w:rsid w:val="00732DE4"/>
    <w:rsid w:val="00732E07"/>
    <w:rsid w:val="00732E13"/>
    <w:rsid w:val="00732EAC"/>
    <w:rsid w:val="00732EDF"/>
    <w:rsid w:val="00732F9F"/>
    <w:rsid w:val="00732FFC"/>
    <w:rsid w:val="00733035"/>
    <w:rsid w:val="00733092"/>
    <w:rsid w:val="007330CE"/>
    <w:rsid w:val="0073314C"/>
    <w:rsid w:val="0073328D"/>
    <w:rsid w:val="00733733"/>
    <w:rsid w:val="00733865"/>
    <w:rsid w:val="007338B0"/>
    <w:rsid w:val="00733A08"/>
    <w:rsid w:val="00733BD4"/>
    <w:rsid w:val="00733C99"/>
    <w:rsid w:val="00733CEF"/>
    <w:rsid w:val="00733CF3"/>
    <w:rsid w:val="00733E62"/>
    <w:rsid w:val="00733ECA"/>
    <w:rsid w:val="00734065"/>
    <w:rsid w:val="007340BE"/>
    <w:rsid w:val="00734204"/>
    <w:rsid w:val="00734332"/>
    <w:rsid w:val="00734367"/>
    <w:rsid w:val="007343F6"/>
    <w:rsid w:val="007344CA"/>
    <w:rsid w:val="0073479A"/>
    <w:rsid w:val="00734A1C"/>
    <w:rsid w:val="00734AE1"/>
    <w:rsid w:val="00734CEA"/>
    <w:rsid w:val="00734D33"/>
    <w:rsid w:val="00734EBE"/>
    <w:rsid w:val="00734F1E"/>
    <w:rsid w:val="00734F42"/>
    <w:rsid w:val="00734FC1"/>
    <w:rsid w:val="00735046"/>
    <w:rsid w:val="00735066"/>
    <w:rsid w:val="0073515B"/>
    <w:rsid w:val="00735490"/>
    <w:rsid w:val="00735491"/>
    <w:rsid w:val="007354CC"/>
    <w:rsid w:val="007355DB"/>
    <w:rsid w:val="0073577E"/>
    <w:rsid w:val="00735795"/>
    <w:rsid w:val="007357A9"/>
    <w:rsid w:val="00735882"/>
    <w:rsid w:val="007358DB"/>
    <w:rsid w:val="00735901"/>
    <w:rsid w:val="0073593F"/>
    <w:rsid w:val="007359D9"/>
    <w:rsid w:val="00735A63"/>
    <w:rsid w:val="00735B5B"/>
    <w:rsid w:val="00735C5E"/>
    <w:rsid w:val="00735E21"/>
    <w:rsid w:val="0073613E"/>
    <w:rsid w:val="0073623B"/>
    <w:rsid w:val="00736244"/>
    <w:rsid w:val="0073629C"/>
    <w:rsid w:val="007362A5"/>
    <w:rsid w:val="00736305"/>
    <w:rsid w:val="007364A1"/>
    <w:rsid w:val="00736556"/>
    <w:rsid w:val="00736849"/>
    <w:rsid w:val="00736A32"/>
    <w:rsid w:val="00736A80"/>
    <w:rsid w:val="00736B78"/>
    <w:rsid w:val="00736C06"/>
    <w:rsid w:val="00736EB1"/>
    <w:rsid w:val="00736ED1"/>
    <w:rsid w:val="00736FC4"/>
    <w:rsid w:val="00737186"/>
    <w:rsid w:val="0073734D"/>
    <w:rsid w:val="0073736B"/>
    <w:rsid w:val="007374C7"/>
    <w:rsid w:val="007376B7"/>
    <w:rsid w:val="00737709"/>
    <w:rsid w:val="00737730"/>
    <w:rsid w:val="00737739"/>
    <w:rsid w:val="0073785C"/>
    <w:rsid w:val="00737884"/>
    <w:rsid w:val="00737A4C"/>
    <w:rsid w:val="00737BC5"/>
    <w:rsid w:val="00737D42"/>
    <w:rsid w:val="00737DA6"/>
    <w:rsid w:val="00737F12"/>
    <w:rsid w:val="00740056"/>
    <w:rsid w:val="00740121"/>
    <w:rsid w:val="00740301"/>
    <w:rsid w:val="00740321"/>
    <w:rsid w:val="00740326"/>
    <w:rsid w:val="0074043F"/>
    <w:rsid w:val="00740454"/>
    <w:rsid w:val="0074047E"/>
    <w:rsid w:val="00740513"/>
    <w:rsid w:val="0074051F"/>
    <w:rsid w:val="00740530"/>
    <w:rsid w:val="00740627"/>
    <w:rsid w:val="00740716"/>
    <w:rsid w:val="007408C5"/>
    <w:rsid w:val="00740A55"/>
    <w:rsid w:val="00740C1A"/>
    <w:rsid w:val="00740C6C"/>
    <w:rsid w:val="00740CBA"/>
    <w:rsid w:val="00740D25"/>
    <w:rsid w:val="00740D66"/>
    <w:rsid w:val="00740D94"/>
    <w:rsid w:val="00740FD6"/>
    <w:rsid w:val="007410EA"/>
    <w:rsid w:val="0074112B"/>
    <w:rsid w:val="007411B1"/>
    <w:rsid w:val="007411FE"/>
    <w:rsid w:val="00741257"/>
    <w:rsid w:val="00741285"/>
    <w:rsid w:val="007413C7"/>
    <w:rsid w:val="007413EB"/>
    <w:rsid w:val="00741400"/>
    <w:rsid w:val="007414F3"/>
    <w:rsid w:val="00741576"/>
    <w:rsid w:val="007416BE"/>
    <w:rsid w:val="0074177E"/>
    <w:rsid w:val="007417DD"/>
    <w:rsid w:val="007418B2"/>
    <w:rsid w:val="007419E1"/>
    <w:rsid w:val="00741B69"/>
    <w:rsid w:val="00741DC6"/>
    <w:rsid w:val="00741EFF"/>
    <w:rsid w:val="00741F85"/>
    <w:rsid w:val="00741FA2"/>
    <w:rsid w:val="00742106"/>
    <w:rsid w:val="007421DF"/>
    <w:rsid w:val="007422F8"/>
    <w:rsid w:val="0074245C"/>
    <w:rsid w:val="00742557"/>
    <w:rsid w:val="007427A8"/>
    <w:rsid w:val="007427D3"/>
    <w:rsid w:val="0074285D"/>
    <w:rsid w:val="00742879"/>
    <w:rsid w:val="00742888"/>
    <w:rsid w:val="007428AD"/>
    <w:rsid w:val="007429B2"/>
    <w:rsid w:val="00742AC5"/>
    <w:rsid w:val="00742B9B"/>
    <w:rsid w:val="00742C07"/>
    <w:rsid w:val="00742C1E"/>
    <w:rsid w:val="00742D98"/>
    <w:rsid w:val="00742DDD"/>
    <w:rsid w:val="00742DEC"/>
    <w:rsid w:val="00742F08"/>
    <w:rsid w:val="0074302E"/>
    <w:rsid w:val="007430F9"/>
    <w:rsid w:val="007431AF"/>
    <w:rsid w:val="007431F5"/>
    <w:rsid w:val="0074333A"/>
    <w:rsid w:val="007434B7"/>
    <w:rsid w:val="00743504"/>
    <w:rsid w:val="00743659"/>
    <w:rsid w:val="00743749"/>
    <w:rsid w:val="007437C6"/>
    <w:rsid w:val="00743870"/>
    <w:rsid w:val="007439C1"/>
    <w:rsid w:val="00743AAE"/>
    <w:rsid w:val="00743AC5"/>
    <w:rsid w:val="00743BB2"/>
    <w:rsid w:val="00743F36"/>
    <w:rsid w:val="00743F58"/>
    <w:rsid w:val="00743FB4"/>
    <w:rsid w:val="00744118"/>
    <w:rsid w:val="007441D3"/>
    <w:rsid w:val="00744300"/>
    <w:rsid w:val="0074442F"/>
    <w:rsid w:val="0074444A"/>
    <w:rsid w:val="0074454D"/>
    <w:rsid w:val="00744584"/>
    <w:rsid w:val="007448BE"/>
    <w:rsid w:val="007449B4"/>
    <w:rsid w:val="007449FF"/>
    <w:rsid w:val="00744A42"/>
    <w:rsid w:val="00744AD0"/>
    <w:rsid w:val="00744C10"/>
    <w:rsid w:val="00744C11"/>
    <w:rsid w:val="00744DE4"/>
    <w:rsid w:val="00744EE2"/>
    <w:rsid w:val="00744F0C"/>
    <w:rsid w:val="00744F13"/>
    <w:rsid w:val="007450A2"/>
    <w:rsid w:val="00745463"/>
    <w:rsid w:val="00745588"/>
    <w:rsid w:val="0074571A"/>
    <w:rsid w:val="0074573C"/>
    <w:rsid w:val="00745795"/>
    <w:rsid w:val="00745862"/>
    <w:rsid w:val="00745899"/>
    <w:rsid w:val="00745B62"/>
    <w:rsid w:val="00745BD9"/>
    <w:rsid w:val="00745EAC"/>
    <w:rsid w:val="007460DA"/>
    <w:rsid w:val="00746139"/>
    <w:rsid w:val="00746215"/>
    <w:rsid w:val="007462CC"/>
    <w:rsid w:val="00746331"/>
    <w:rsid w:val="0074637C"/>
    <w:rsid w:val="00746405"/>
    <w:rsid w:val="007464DE"/>
    <w:rsid w:val="00746565"/>
    <w:rsid w:val="0074666A"/>
    <w:rsid w:val="0074673A"/>
    <w:rsid w:val="00746878"/>
    <w:rsid w:val="007468F2"/>
    <w:rsid w:val="00746913"/>
    <w:rsid w:val="00746A12"/>
    <w:rsid w:val="00746A79"/>
    <w:rsid w:val="00746AC5"/>
    <w:rsid w:val="00746D53"/>
    <w:rsid w:val="00747012"/>
    <w:rsid w:val="007471A1"/>
    <w:rsid w:val="007471B7"/>
    <w:rsid w:val="007471E5"/>
    <w:rsid w:val="0074734F"/>
    <w:rsid w:val="00747461"/>
    <w:rsid w:val="00747529"/>
    <w:rsid w:val="007477A4"/>
    <w:rsid w:val="0074796E"/>
    <w:rsid w:val="00747A06"/>
    <w:rsid w:val="00747A4E"/>
    <w:rsid w:val="00747B70"/>
    <w:rsid w:val="00747C60"/>
    <w:rsid w:val="00747CAC"/>
    <w:rsid w:val="00747DEB"/>
    <w:rsid w:val="00747F78"/>
    <w:rsid w:val="0074B757"/>
    <w:rsid w:val="007501F2"/>
    <w:rsid w:val="0075036C"/>
    <w:rsid w:val="007503E3"/>
    <w:rsid w:val="00750423"/>
    <w:rsid w:val="00750438"/>
    <w:rsid w:val="007504A5"/>
    <w:rsid w:val="0075066F"/>
    <w:rsid w:val="00750A25"/>
    <w:rsid w:val="00750BE8"/>
    <w:rsid w:val="00750C18"/>
    <w:rsid w:val="00750F75"/>
    <w:rsid w:val="00750FDF"/>
    <w:rsid w:val="00751072"/>
    <w:rsid w:val="00751169"/>
    <w:rsid w:val="00751201"/>
    <w:rsid w:val="0075131F"/>
    <w:rsid w:val="00751543"/>
    <w:rsid w:val="00751682"/>
    <w:rsid w:val="007516AE"/>
    <w:rsid w:val="007516D1"/>
    <w:rsid w:val="007518D2"/>
    <w:rsid w:val="007518D8"/>
    <w:rsid w:val="00751911"/>
    <w:rsid w:val="00751949"/>
    <w:rsid w:val="007519B3"/>
    <w:rsid w:val="007519E5"/>
    <w:rsid w:val="00751A1C"/>
    <w:rsid w:val="00751AF8"/>
    <w:rsid w:val="00751CCD"/>
    <w:rsid w:val="00751E60"/>
    <w:rsid w:val="00751E8F"/>
    <w:rsid w:val="00751FEB"/>
    <w:rsid w:val="00751FF9"/>
    <w:rsid w:val="0075208B"/>
    <w:rsid w:val="007520AB"/>
    <w:rsid w:val="007522D2"/>
    <w:rsid w:val="0075231F"/>
    <w:rsid w:val="00752354"/>
    <w:rsid w:val="00752375"/>
    <w:rsid w:val="007525A9"/>
    <w:rsid w:val="0075260E"/>
    <w:rsid w:val="007526BB"/>
    <w:rsid w:val="00752922"/>
    <w:rsid w:val="0075295D"/>
    <w:rsid w:val="00752A7E"/>
    <w:rsid w:val="00752E35"/>
    <w:rsid w:val="00752E3C"/>
    <w:rsid w:val="00752EB4"/>
    <w:rsid w:val="00753169"/>
    <w:rsid w:val="00753270"/>
    <w:rsid w:val="00753273"/>
    <w:rsid w:val="00753473"/>
    <w:rsid w:val="007536D4"/>
    <w:rsid w:val="00753ACE"/>
    <w:rsid w:val="00753CC9"/>
    <w:rsid w:val="00753D4F"/>
    <w:rsid w:val="00753D6F"/>
    <w:rsid w:val="00753D95"/>
    <w:rsid w:val="00753E64"/>
    <w:rsid w:val="00753F13"/>
    <w:rsid w:val="00753FA9"/>
    <w:rsid w:val="00753FF1"/>
    <w:rsid w:val="007541FD"/>
    <w:rsid w:val="0075435F"/>
    <w:rsid w:val="0075449B"/>
    <w:rsid w:val="0075454F"/>
    <w:rsid w:val="00754586"/>
    <w:rsid w:val="00754682"/>
    <w:rsid w:val="007546B6"/>
    <w:rsid w:val="00754700"/>
    <w:rsid w:val="00754711"/>
    <w:rsid w:val="007548BB"/>
    <w:rsid w:val="007548C2"/>
    <w:rsid w:val="0075497C"/>
    <w:rsid w:val="00754993"/>
    <w:rsid w:val="007549C1"/>
    <w:rsid w:val="007549F8"/>
    <w:rsid w:val="00754A88"/>
    <w:rsid w:val="00754AE1"/>
    <w:rsid w:val="00754B22"/>
    <w:rsid w:val="00754BBE"/>
    <w:rsid w:val="00754C65"/>
    <w:rsid w:val="00754D77"/>
    <w:rsid w:val="00754DFF"/>
    <w:rsid w:val="00754EA5"/>
    <w:rsid w:val="00755054"/>
    <w:rsid w:val="0075509A"/>
    <w:rsid w:val="007551CD"/>
    <w:rsid w:val="007552B3"/>
    <w:rsid w:val="0075538B"/>
    <w:rsid w:val="00755450"/>
    <w:rsid w:val="00755461"/>
    <w:rsid w:val="00755512"/>
    <w:rsid w:val="0075551F"/>
    <w:rsid w:val="00755528"/>
    <w:rsid w:val="0075553A"/>
    <w:rsid w:val="00755561"/>
    <w:rsid w:val="00755721"/>
    <w:rsid w:val="00755841"/>
    <w:rsid w:val="007558F2"/>
    <w:rsid w:val="007560A8"/>
    <w:rsid w:val="007560D2"/>
    <w:rsid w:val="0075610F"/>
    <w:rsid w:val="0075611D"/>
    <w:rsid w:val="00756122"/>
    <w:rsid w:val="007562A7"/>
    <w:rsid w:val="007563D2"/>
    <w:rsid w:val="007564D7"/>
    <w:rsid w:val="0075652F"/>
    <w:rsid w:val="00756789"/>
    <w:rsid w:val="00756876"/>
    <w:rsid w:val="00756930"/>
    <w:rsid w:val="0075694B"/>
    <w:rsid w:val="00756AC1"/>
    <w:rsid w:val="00756B3D"/>
    <w:rsid w:val="00756C54"/>
    <w:rsid w:val="00756CAC"/>
    <w:rsid w:val="00756E59"/>
    <w:rsid w:val="00756EA2"/>
    <w:rsid w:val="00756EC0"/>
    <w:rsid w:val="00756FF5"/>
    <w:rsid w:val="0075715B"/>
    <w:rsid w:val="0075722C"/>
    <w:rsid w:val="00757245"/>
    <w:rsid w:val="00757292"/>
    <w:rsid w:val="007572D8"/>
    <w:rsid w:val="00757338"/>
    <w:rsid w:val="00757339"/>
    <w:rsid w:val="007574AB"/>
    <w:rsid w:val="0075756F"/>
    <w:rsid w:val="007575FA"/>
    <w:rsid w:val="00757735"/>
    <w:rsid w:val="00757808"/>
    <w:rsid w:val="00757B06"/>
    <w:rsid w:val="00757BC5"/>
    <w:rsid w:val="00757C6A"/>
    <w:rsid w:val="00757CA4"/>
    <w:rsid w:val="00757E31"/>
    <w:rsid w:val="00757ECC"/>
    <w:rsid w:val="00757FBB"/>
    <w:rsid w:val="00757FE8"/>
    <w:rsid w:val="00760019"/>
    <w:rsid w:val="007600FC"/>
    <w:rsid w:val="007602AB"/>
    <w:rsid w:val="007602F0"/>
    <w:rsid w:val="007603CA"/>
    <w:rsid w:val="007604D5"/>
    <w:rsid w:val="007605A1"/>
    <w:rsid w:val="00760677"/>
    <w:rsid w:val="007606A9"/>
    <w:rsid w:val="007608D8"/>
    <w:rsid w:val="00760938"/>
    <w:rsid w:val="0076098F"/>
    <w:rsid w:val="007609B1"/>
    <w:rsid w:val="00760AB6"/>
    <w:rsid w:val="00760ACC"/>
    <w:rsid w:val="00760B00"/>
    <w:rsid w:val="00760C41"/>
    <w:rsid w:val="00760C42"/>
    <w:rsid w:val="00760D44"/>
    <w:rsid w:val="00760F2F"/>
    <w:rsid w:val="00760F5B"/>
    <w:rsid w:val="0076106E"/>
    <w:rsid w:val="00761121"/>
    <w:rsid w:val="0076113D"/>
    <w:rsid w:val="00761241"/>
    <w:rsid w:val="00761369"/>
    <w:rsid w:val="007613F7"/>
    <w:rsid w:val="007617C0"/>
    <w:rsid w:val="0076186F"/>
    <w:rsid w:val="007619DE"/>
    <w:rsid w:val="00761A6A"/>
    <w:rsid w:val="00761A70"/>
    <w:rsid w:val="00761A91"/>
    <w:rsid w:val="00761B4F"/>
    <w:rsid w:val="00761CA4"/>
    <w:rsid w:val="00761CDE"/>
    <w:rsid w:val="00761D5D"/>
    <w:rsid w:val="00761DB0"/>
    <w:rsid w:val="00761F97"/>
    <w:rsid w:val="00761FC7"/>
    <w:rsid w:val="00761FDE"/>
    <w:rsid w:val="00762020"/>
    <w:rsid w:val="00762044"/>
    <w:rsid w:val="00762083"/>
    <w:rsid w:val="0076210B"/>
    <w:rsid w:val="0076214B"/>
    <w:rsid w:val="0076215C"/>
    <w:rsid w:val="00762164"/>
    <w:rsid w:val="0076233B"/>
    <w:rsid w:val="00762383"/>
    <w:rsid w:val="007623B8"/>
    <w:rsid w:val="00762435"/>
    <w:rsid w:val="00762494"/>
    <w:rsid w:val="007624A7"/>
    <w:rsid w:val="0076266E"/>
    <w:rsid w:val="007627AC"/>
    <w:rsid w:val="0076296E"/>
    <w:rsid w:val="007629C7"/>
    <w:rsid w:val="00762B58"/>
    <w:rsid w:val="00762BCB"/>
    <w:rsid w:val="00762D77"/>
    <w:rsid w:val="00762E00"/>
    <w:rsid w:val="00762E94"/>
    <w:rsid w:val="00762EBE"/>
    <w:rsid w:val="00762F73"/>
    <w:rsid w:val="00763054"/>
    <w:rsid w:val="0076334F"/>
    <w:rsid w:val="007634B9"/>
    <w:rsid w:val="0076360B"/>
    <w:rsid w:val="00763679"/>
    <w:rsid w:val="007636E0"/>
    <w:rsid w:val="00763C27"/>
    <w:rsid w:val="00763C8D"/>
    <w:rsid w:val="00763CDD"/>
    <w:rsid w:val="00763CEC"/>
    <w:rsid w:val="00763D06"/>
    <w:rsid w:val="00763D5B"/>
    <w:rsid w:val="00763F04"/>
    <w:rsid w:val="00763FE2"/>
    <w:rsid w:val="007640A2"/>
    <w:rsid w:val="007640E6"/>
    <w:rsid w:val="00764347"/>
    <w:rsid w:val="0076446C"/>
    <w:rsid w:val="007646FD"/>
    <w:rsid w:val="0076471A"/>
    <w:rsid w:val="0076475C"/>
    <w:rsid w:val="00764A3D"/>
    <w:rsid w:val="00764AE6"/>
    <w:rsid w:val="00764B53"/>
    <w:rsid w:val="00764BB8"/>
    <w:rsid w:val="00764BC3"/>
    <w:rsid w:val="00764C33"/>
    <w:rsid w:val="00764D66"/>
    <w:rsid w:val="00764D87"/>
    <w:rsid w:val="00764E5C"/>
    <w:rsid w:val="00764E84"/>
    <w:rsid w:val="00764F8B"/>
    <w:rsid w:val="00765013"/>
    <w:rsid w:val="00765016"/>
    <w:rsid w:val="0076510C"/>
    <w:rsid w:val="0076546D"/>
    <w:rsid w:val="00765490"/>
    <w:rsid w:val="0076555A"/>
    <w:rsid w:val="007656B0"/>
    <w:rsid w:val="007656C5"/>
    <w:rsid w:val="007658E7"/>
    <w:rsid w:val="007658F6"/>
    <w:rsid w:val="00765A82"/>
    <w:rsid w:val="00765AFC"/>
    <w:rsid w:val="00765B24"/>
    <w:rsid w:val="00765B7E"/>
    <w:rsid w:val="00765BBB"/>
    <w:rsid w:val="00765C94"/>
    <w:rsid w:val="00765CAE"/>
    <w:rsid w:val="00765CFA"/>
    <w:rsid w:val="00765F94"/>
    <w:rsid w:val="00766050"/>
    <w:rsid w:val="0076605C"/>
    <w:rsid w:val="007660FD"/>
    <w:rsid w:val="0076619F"/>
    <w:rsid w:val="007662B5"/>
    <w:rsid w:val="0076650D"/>
    <w:rsid w:val="007665FB"/>
    <w:rsid w:val="0076677E"/>
    <w:rsid w:val="007667C3"/>
    <w:rsid w:val="00766938"/>
    <w:rsid w:val="0076696E"/>
    <w:rsid w:val="0076699F"/>
    <w:rsid w:val="007669AC"/>
    <w:rsid w:val="007669C0"/>
    <w:rsid w:val="00766A58"/>
    <w:rsid w:val="00766A6B"/>
    <w:rsid w:val="00766B9F"/>
    <w:rsid w:val="00766C30"/>
    <w:rsid w:val="00766CA2"/>
    <w:rsid w:val="00766D1A"/>
    <w:rsid w:val="00766D85"/>
    <w:rsid w:val="00766DAB"/>
    <w:rsid w:val="00766E70"/>
    <w:rsid w:val="0076701E"/>
    <w:rsid w:val="00767052"/>
    <w:rsid w:val="0076706D"/>
    <w:rsid w:val="0076708D"/>
    <w:rsid w:val="0076716C"/>
    <w:rsid w:val="007672A7"/>
    <w:rsid w:val="00767775"/>
    <w:rsid w:val="007678AE"/>
    <w:rsid w:val="0076792E"/>
    <w:rsid w:val="0076793B"/>
    <w:rsid w:val="00767B36"/>
    <w:rsid w:val="00767BAC"/>
    <w:rsid w:val="00767BF7"/>
    <w:rsid w:val="00767C62"/>
    <w:rsid w:val="00767EC7"/>
    <w:rsid w:val="007700BC"/>
    <w:rsid w:val="007702DD"/>
    <w:rsid w:val="00770461"/>
    <w:rsid w:val="007704D0"/>
    <w:rsid w:val="00770596"/>
    <w:rsid w:val="0077061B"/>
    <w:rsid w:val="007706E4"/>
    <w:rsid w:val="007707E6"/>
    <w:rsid w:val="00770B14"/>
    <w:rsid w:val="00770B38"/>
    <w:rsid w:val="00770B74"/>
    <w:rsid w:val="00770BDE"/>
    <w:rsid w:val="00770C78"/>
    <w:rsid w:val="00770CD4"/>
    <w:rsid w:val="00770D82"/>
    <w:rsid w:val="00770EAD"/>
    <w:rsid w:val="00770F1A"/>
    <w:rsid w:val="00770F9E"/>
    <w:rsid w:val="007710BB"/>
    <w:rsid w:val="007711F6"/>
    <w:rsid w:val="007711FF"/>
    <w:rsid w:val="007712AB"/>
    <w:rsid w:val="0077170D"/>
    <w:rsid w:val="00771720"/>
    <w:rsid w:val="007717BF"/>
    <w:rsid w:val="007719B0"/>
    <w:rsid w:val="00771A8F"/>
    <w:rsid w:val="00771AC3"/>
    <w:rsid w:val="00771AF8"/>
    <w:rsid w:val="00771CA4"/>
    <w:rsid w:val="00771CE0"/>
    <w:rsid w:val="00771D4F"/>
    <w:rsid w:val="00771E0D"/>
    <w:rsid w:val="00771FCD"/>
    <w:rsid w:val="0077238D"/>
    <w:rsid w:val="00772393"/>
    <w:rsid w:val="007724AB"/>
    <w:rsid w:val="00772613"/>
    <w:rsid w:val="0077274C"/>
    <w:rsid w:val="007727FD"/>
    <w:rsid w:val="00772875"/>
    <w:rsid w:val="0077290F"/>
    <w:rsid w:val="0077294E"/>
    <w:rsid w:val="00772A19"/>
    <w:rsid w:val="00772B47"/>
    <w:rsid w:val="00772BAC"/>
    <w:rsid w:val="00772BEE"/>
    <w:rsid w:val="00772D89"/>
    <w:rsid w:val="00772EEB"/>
    <w:rsid w:val="00773060"/>
    <w:rsid w:val="007730E1"/>
    <w:rsid w:val="007732CD"/>
    <w:rsid w:val="007732FC"/>
    <w:rsid w:val="00773315"/>
    <w:rsid w:val="007733A9"/>
    <w:rsid w:val="007734CD"/>
    <w:rsid w:val="0077368A"/>
    <w:rsid w:val="007736BC"/>
    <w:rsid w:val="007737DB"/>
    <w:rsid w:val="00773AB5"/>
    <w:rsid w:val="00773BFC"/>
    <w:rsid w:val="00773C3F"/>
    <w:rsid w:val="00773E7B"/>
    <w:rsid w:val="00773EC0"/>
    <w:rsid w:val="00773F42"/>
    <w:rsid w:val="00773F5E"/>
    <w:rsid w:val="00773F61"/>
    <w:rsid w:val="007740AE"/>
    <w:rsid w:val="0077429D"/>
    <w:rsid w:val="007742EB"/>
    <w:rsid w:val="00774423"/>
    <w:rsid w:val="007744CB"/>
    <w:rsid w:val="00774503"/>
    <w:rsid w:val="0077450F"/>
    <w:rsid w:val="00774604"/>
    <w:rsid w:val="0077460A"/>
    <w:rsid w:val="00774648"/>
    <w:rsid w:val="00774662"/>
    <w:rsid w:val="00774755"/>
    <w:rsid w:val="007747A9"/>
    <w:rsid w:val="007749BA"/>
    <w:rsid w:val="00774C6C"/>
    <w:rsid w:val="00774C6F"/>
    <w:rsid w:val="00774CA9"/>
    <w:rsid w:val="00774D39"/>
    <w:rsid w:val="00774DE1"/>
    <w:rsid w:val="00774FF3"/>
    <w:rsid w:val="007750F3"/>
    <w:rsid w:val="007751B1"/>
    <w:rsid w:val="007753C4"/>
    <w:rsid w:val="00775480"/>
    <w:rsid w:val="007755B7"/>
    <w:rsid w:val="007755CE"/>
    <w:rsid w:val="007755D1"/>
    <w:rsid w:val="00775639"/>
    <w:rsid w:val="00775697"/>
    <w:rsid w:val="007757C4"/>
    <w:rsid w:val="007758C0"/>
    <w:rsid w:val="00775921"/>
    <w:rsid w:val="00775996"/>
    <w:rsid w:val="007759B4"/>
    <w:rsid w:val="00775A54"/>
    <w:rsid w:val="00775A8F"/>
    <w:rsid w:val="007762DA"/>
    <w:rsid w:val="007763C3"/>
    <w:rsid w:val="00776537"/>
    <w:rsid w:val="00776625"/>
    <w:rsid w:val="007766C0"/>
    <w:rsid w:val="007767A6"/>
    <w:rsid w:val="00776819"/>
    <w:rsid w:val="00776958"/>
    <w:rsid w:val="00776A53"/>
    <w:rsid w:val="00776B95"/>
    <w:rsid w:val="00776C1C"/>
    <w:rsid w:val="00776D87"/>
    <w:rsid w:val="00777035"/>
    <w:rsid w:val="0077707B"/>
    <w:rsid w:val="007773AE"/>
    <w:rsid w:val="007773C9"/>
    <w:rsid w:val="0077744F"/>
    <w:rsid w:val="0077769E"/>
    <w:rsid w:val="007776A8"/>
    <w:rsid w:val="007776C5"/>
    <w:rsid w:val="007776F6"/>
    <w:rsid w:val="00777B13"/>
    <w:rsid w:val="00777C34"/>
    <w:rsid w:val="00777C4F"/>
    <w:rsid w:val="00777C57"/>
    <w:rsid w:val="00777C98"/>
    <w:rsid w:val="00777D10"/>
    <w:rsid w:val="00777D57"/>
    <w:rsid w:val="00777E64"/>
    <w:rsid w:val="00777FC0"/>
    <w:rsid w:val="00780228"/>
    <w:rsid w:val="007803DE"/>
    <w:rsid w:val="007804E8"/>
    <w:rsid w:val="007805F3"/>
    <w:rsid w:val="0078062C"/>
    <w:rsid w:val="0078062E"/>
    <w:rsid w:val="007806A3"/>
    <w:rsid w:val="00780710"/>
    <w:rsid w:val="007807BC"/>
    <w:rsid w:val="007807E8"/>
    <w:rsid w:val="00780818"/>
    <w:rsid w:val="007809EC"/>
    <w:rsid w:val="00780D5C"/>
    <w:rsid w:val="00780D73"/>
    <w:rsid w:val="00780D82"/>
    <w:rsid w:val="00780DC8"/>
    <w:rsid w:val="00780E69"/>
    <w:rsid w:val="00781040"/>
    <w:rsid w:val="00781135"/>
    <w:rsid w:val="00781137"/>
    <w:rsid w:val="00781280"/>
    <w:rsid w:val="00781315"/>
    <w:rsid w:val="0078135B"/>
    <w:rsid w:val="007813A2"/>
    <w:rsid w:val="007813C6"/>
    <w:rsid w:val="007814A1"/>
    <w:rsid w:val="007814B2"/>
    <w:rsid w:val="007815CD"/>
    <w:rsid w:val="0078166C"/>
    <w:rsid w:val="00781803"/>
    <w:rsid w:val="0078185E"/>
    <w:rsid w:val="00781891"/>
    <w:rsid w:val="007818FB"/>
    <w:rsid w:val="00781939"/>
    <w:rsid w:val="0078197E"/>
    <w:rsid w:val="007819F4"/>
    <w:rsid w:val="00781B7F"/>
    <w:rsid w:val="00781BE6"/>
    <w:rsid w:val="00781CB7"/>
    <w:rsid w:val="00781DB1"/>
    <w:rsid w:val="00781F1C"/>
    <w:rsid w:val="0078201F"/>
    <w:rsid w:val="007820F1"/>
    <w:rsid w:val="00782180"/>
    <w:rsid w:val="007821CE"/>
    <w:rsid w:val="007821D9"/>
    <w:rsid w:val="00782213"/>
    <w:rsid w:val="00782261"/>
    <w:rsid w:val="007822B8"/>
    <w:rsid w:val="0078236C"/>
    <w:rsid w:val="0078238C"/>
    <w:rsid w:val="0078240B"/>
    <w:rsid w:val="007825EF"/>
    <w:rsid w:val="00782638"/>
    <w:rsid w:val="007826A8"/>
    <w:rsid w:val="0078277C"/>
    <w:rsid w:val="00782817"/>
    <w:rsid w:val="00782853"/>
    <w:rsid w:val="007828B9"/>
    <w:rsid w:val="00782964"/>
    <w:rsid w:val="00782ADE"/>
    <w:rsid w:val="00782BB4"/>
    <w:rsid w:val="00782C98"/>
    <w:rsid w:val="00782E6C"/>
    <w:rsid w:val="00782F16"/>
    <w:rsid w:val="00782FED"/>
    <w:rsid w:val="007830DB"/>
    <w:rsid w:val="00783193"/>
    <w:rsid w:val="007834D0"/>
    <w:rsid w:val="0078384C"/>
    <w:rsid w:val="0078384F"/>
    <w:rsid w:val="00783863"/>
    <w:rsid w:val="007839AB"/>
    <w:rsid w:val="00783A1E"/>
    <w:rsid w:val="00783A20"/>
    <w:rsid w:val="00783B2A"/>
    <w:rsid w:val="00783C9C"/>
    <w:rsid w:val="00783EB0"/>
    <w:rsid w:val="00783F2D"/>
    <w:rsid w:val="00783F9C"/>
    <w:rsid w:val="00783FB5"/>
    <w:rsid w:val="00783FBF"/>
    <w:rsid w:val="00784080"/>
    <w:rsid w:val="007840B3"/>
    <w:rsid w:val="00784170"/>
    <w:rsid w:val="00784189"/>
    <w:rsid w:val="007843C0"/>
    <w:rsid w:val="007844CA"/>
    <w:rsid w:val="007845B0"/>
    <w:rsid w:val="00784658"/>
    <w:rsid w:val="00784726"/>
    <w:rsid w:val="00784788"/>
    <w:rsid w:val="007847A0"/>
    <w:rsid w:val="007848EF"/>
    <w:rsid w:val="00784F6C"/>
    <w:rsid w:val="00785024"/>
    <w:rsid w:val="0078504E"/>
    <w:rsid w:val="00785071"/>
    <w:rsid w:val="00785207"/>
    <w:rsid w:val="00785251"/>
    <w:rsid w:val="00785335"/>
    <w:rsid w:val="007853FF"/>
    <w:rsid w:val="00785412"/>
    <w:rsid w:val="00785477"/>
    <w:rsid w:val="007854F5"/>
    <w:rsid w:val="00785526"/>
    <w:rsid w:val="00785536"/>
    <w:rsid w:val="0078565E"/>
    <w:rsid w:val="0078577F"/>
    <w:rsid w:val="00785C31"/>
    <w:rsid w:val="00785CAE"/>
    <w:rsid w:val="00785CD2"/>
    <w:rsid w:val="00785D72"/>
    <w:rsid w:val="00785DE4"/>
    <w:rsid w:val="00785E73"/>
    <w:rsid w:val="00786048"/>
    <w:rsid w:val="007862DF"/>
    <w:rsid w:val="0078639A"/>
    <w:rsid w:val="007863C7"/>
    <w:rsid w:val="007864BC"/>
    <w:rsid w:val="0078674B"/>
    <w:rsid w:val="007867C0"/>
    <w:rsid w:val="00786806"/>
    <w:rsid w:val="007868D0"/>
    <w:rsid w:val="00786973"/>
    <w:rsid w:val="00786A1C"/>
    <w:rsid w:val="00786B9D"/>
    <w:rsid w:val="00786C03"/>
    <w:rsid w:val="00786C34"/>
    <w:rsid w:val="00786D5F"/>
    <w:rsid w:val="00786D94"/>
    <w:rsid w:val="00786DAA"/>
    <w:rsid w:val="007870CF"/>
    <w:rsid w:val="00787163"/>
    <w:rsid w:val="0078720B"/>
    <w:rsid w:val="00787356"/>
    <w:rsid w:val="007873B3"/>
    <w:rsid w:val="007874CB"/>
    <w:rsid w:val="00787642"/>
    <w:rsid w:val="00787692"/>
    <w:rsid w:val="007877BD"/>
    <w:rsid w:val="00787800"/>
    <w:rsid w:val="0078789C"/>
    <w:rsid w:val="00787916"/>
    <w:rsid w:val="007879D6"/>
    <w:rsid w:val="00787AD0"/>
    <w:rsid w:val="00787C0C"/>
    <w:rsid w:val="00787C15"/>
    <w:rsid w:val="00787CEE"/>
    <w:rsid w:val="00787D24"/>
    <w:rsid w:val="00787D75"/>
    <w:rsid w:val="00787E11"/>
    <w:rsid w:val="00787E95"/>
    <w:rsid w:val="00790069"/>
    <w:rsid w:val="0079033C"/>
    <w:rsid w:val="00790369"/>
    <w:rsid w:val="00790446"/>
    <w:rsid w:val="00790487"/>
    <w:rsid w:val="00790491"/>
    <w:rsid w:val="007904E6"/>
    <w:rsid w:val="00790740"/>
    <w:rsid w:val="00790832"/>
    <w:rsid w:val="007908D8"/>
    <w:rsid w:val="00790909"/>
    <w:rsid w:val="00790991"/>
    <w:rsid w:val="00790BE4"/>
    <w:rsid w:val="00790CDD"/>
    <w:rsid w:val="00790D8A"/>
    <w:rsid w:val="00790E47"/>
    <w:rsid w:val="00790EC0"/>
    <w:rsid w:val="00790F91"/>
    <w:rsid w:val="007910C7"/>
    <w:rsid w:val="0079125F"/>
    <w:rsid w:val="00791307"/>
    <w:rsid w:val="00791417"/>
    <w:rsid w:val="00791535"/>
    <w:rsid w:val="0079156E"/>
    <w:rsid w:val="007915CC"/>
    <w:rsid w:val="00791640"/>
    <w:rsid w:val="00791946"/>
    <w:rsid w:val="007919EF"/>
    <w:rsid w:val="00791B06"/>
    <w:rsid w:val="00791CF1"/>
    <w:rsid w:val="00791E17"/>
    <w:rsid w:val="007920C1"/>
    <w:rsid w:val="00792178"/>
    <w:rsid w:val="00792439"/>
    <w:rsid w:val="0079244A"/>
    <w:rsid w:val="007924F5"/>
    <w:rsid w:val="00792619"/>
    <w:rsid w:val="0079285B"/>
    <w:rsid w:val="007928B6"/>
    <w:rsid w:val="0079291C"/>
    <w:rsid w:val="00792A4E"/>
    <w:rsid w:val="00792B60"/>
    <w:rsid w:val="00792BD6"/>
    <w:rsid w:val="00792D02"/>
    <w:rsid w:val="00792ED4"/>
    <w:rsid w:val="00792F39"/>
    <w:rsid w:val="00792F9E"/>
    <w:rsid w:val="00793134"/>
    <w:rsid w:val="00793143"/>
    <w:rsid w:val="007931A0"/>
    <w:rsid w:val="007931A8"/>
    <w:rsid w:val="007932E0"/>
    <w:rsid w:val="007932EE"/>
    <w:rsid w:val="00793388"/>
    <w:rsid w:val="007933BF"/>
    <w:rsid w:val="007933C0"/>
    <w:rsid w:val="007933FA"/>
    <w:rsid w:val="0079342F"/>
    <w:rsid w:val="007934DA"/>
    <w:rsid w:val="0079352A"/>
    <w:rsid w:val="007935BA"/>
    <w:rsid w:val="0079367A"/>
    <w:rsid w:val="00793686"/>
    <w:rsid w:val="00793709"/>
    <w:rsid w:val="0079390E"/>
    <w:rsid w:val="00793A78"/>
    <w:rsid w:val="00793AB9"/>
    <w:rsid w:val="00793CE4"/>
    <w:rsid w:val="007940C6"/>
    <w:rsid w:val="0079415F"/>
    <w:rsid w:val="007941DF"/>
    <w:rsid w:val="00794285"/>
    <w:rsid w:val="007942D8"/>
    <w:rsid w:val="00794327"/>
    <w:rsid w:val="00794380"/>
    <w:rsid w:val="007944A5"/>
    <w:rsid w:val="00794690"/>
    <w:rsid w:val="0079471C"/>
    <w:rsid w:val="00794915"/>
    <w:rsid w:val="00794925"/>
    <w:rsid w:val="00794A04"/>
    <w:rsid w:val="00794A61"/>
    <w:rsid w:val="00794AF7"/>
    <w:rsid w:val="00794B18"/>
    <w:rsid w:val="00794B54"/>
    <w:rsid w:val="00794C42"/>
    <w:rsid w:val="00794CB1"/>
    <w:rsid w:val="00794CCE"/>
    <w:rsid w:val="00794D08"/>
    <w:rsid w:val="00794D23"/>
    <w:rsid w:val="00794D4A"/>
    <w:rsid w:val="00794F0A"/>
    <w:rsid w:val="00795039"/>
    <w:rsid w:val="00795496"/>
    <w:rsid w:val="00795569"/>
    <w:rsid w:val="00795668"/>
    <w:rsid w:val="00795798"/>
    <w:rsid w:val="00795956"/>
    <w:rsid w:val="007959C1"/>
    <w:rsid w:val="007959D4"/>
    <w:rsid w:val="007959D6"/>
    <w:rsid w:val="00795B0A"/>
    <w:rsid w:val="00795C35"/>
    <w:rsid w:val="00795C74"/>
    <w:rsid w:val="00795E17"/>
    <w:rsid w:val="00796221"/>
    <w:rsid w:val="00796242"/>
    <w:rsid w:val="00796253"/>
    <w:rsid w:val="00796297"/>
    <w:rsid w:val="007962D4"/>
    <w:rsid w:val="00796390"/>
    <w:rsid w:val="00796488"/>
    <w:rsid w:val="007964AE"/>
    <w:rsid w:val="0079674B"/>
    <w:rsid w:val="007967D1"/>
    <w:rsid w:val="007968E0"/>
    <w:rsid w:val="007969F9"/>
    <w:rsid w:val="00796AF6"/>
    <w:rsid w:val="00796E07"/>
    <w:rsid w:val="00796E9B"/>
    <w:rsid w:val="00796FC5"/>
    <w:rsid w:val="00796FF2"/>
    <w:rsid w:val="00797162"/>
    <w:rsid w:val="007971DA"/>
    <w:rsid w:val="00797379"/>
    <w:rsid w:val="007973AD"/>
    <w:rsid w:val="007973D4"/>
    <w:rsid w:val="0079754B"/>
    <w:rsid w:val="00797598"/>
    <w:rsid w:val="00797620"/>
    <w:rsid w:val="00797645"/>
    <w:rsid w:val="007976BD"/>
    <w:rsid w:val="007977FC"/>
    <w:rsid w:val="00797ACC"/>
    <w:rsid w:val="00797ADF"/>
    <w:rsid w:val="00797B11"/>
    <w:rsid w:val="00797B3C"/>
    <w:rsid w:val="00797B72"/>
    <w:rsid w:val="00797D00"/>
    <w:rsid w:val="00797E0A"/>
    <w:rsid w:val="007A019F"/>
    <w:rsid w:val="007A0236"/>
    <w:rsid w:val="007A0252"/>
    <w:rsid w:val="007A025F"/>
    <w:rsid w:val="007A03BB"/>
    <w:rsid w:val="007A0459"/>
    <w:rsid w:val="007A0496"/>
    <w:rsid w:val="007A04F5"/>
    <w:rsid w:val="007A0529"/>
    <w:rsid w:val="007A0593"/>
    <w:rsid w:val="007A0614"/>
    <w:rsid w:val="007A06D2"/>
    <w:rsid w:val="007A0B00"/>
    <w:rsid w:val="007A0C11"/>
    <w:rsid w:val="007A0CBB"/>
    <w:rsid w:val="007A0EF6"/>
    <w:rsid w:val="007A1220"/>
    <w:rsid w:val="007A1302"/>
    <w:rsid w:val="007A153C"/>
    <w:rsid w:val="007A181D"/>
    <w:rsid w:val="007A1ABC"/>
    <w:rsid w:val="007A1BE8"/>
    <w:rsid w:val="007A1DCF"/>
    <w:rsid w:val="007A1F8C"/>
    <w:rsid w:val="007A2092"/>
    <w:rsid w:val="007A210B"/>
    <w:rsid w:val="007A214C"/>
    <w:rsid w:val="007A2215"/>
    <w:rsid w:val="007A232D"/>
    <w:rsid w:val="007A239A"/>
    <w:rsid w:val="007A23AF"/>
    <w:rsid w:val="007A244D"/>
    <w:rsid w:val="007A2486"/>
    <w:rsid w:val="007A24AB"/>
    <w:rsid w:val="007A2582"/>
    <w:rsid w:val="007A26CC"/>
    <w:rsid w:val="007A2754"/>
    <w:rsid w:val="007A27ED"/>
    <w:rsid w:val="007A2858"/>
    <w:rsid w:val="007A2880"/>
    <w:rsid w:val="007A2C02"/>
    <w:rsid w:val="007A2D1C"/>
    <w:rsid w:val="007A2DAB"/>
    <w:rsid w:val="007A2E90"/>
    <w:rsid w:val="007A313B"/>
    <w:rsid w:val="007A3148"/>
    <w:rsid w:val="007A3318"/>
    <w:rsid w:val="007A342E"/>
    <w:rsid w:val="007A343E"/>
    <w:rsid w:val="007A3458"/>
    <w:rsid w:val="007A3509"/>
    <w:rsid w:val="007A3AB2"/>
    <w:rsid w:val="007A3DC0"/>
    <w:rsid w:val="007A3EAA"/>
    <w:rsid w:val="007A3F2A"/>
    <w:rsid w:val="007A412F"/>
    <w:rsid w:val="007A423F"/>
    <w:rsid w:val="007A428F"/>
    <w:rsid w:val="007A43AD"/>
    <w:rsid w:val="007A44BA"/>
    <w:rsid w:val="007A45BD"/>
    <w:rsid w:val="007A460A"/>
    <w:rsid w:val="007A470E"/>
    <w:rsid w:val="007A4761"/>
    <w:rsid w:val="007A47A9"/>
    <w:rsid w:val="007A486B"/>
    <w:rsid w:val="007A48B2"/>
    <w:rsid w:val="007A4951"/>
    <w:rsid w:val="007A49A4"/>
    <w:rsid w:val="007A4B0E"/>
    <w:rsid w:val="007A4B22"/>
    <w:rsid w:val="007A4B4E"/>
    <w:rsid w:val="007A4B70"/>
    <w:rsid w:val="007A4B98"/>
    <w:rsid w:val="007A4C23"/>
    <w:rsid w:val="007A4D8B"/>
    <w:rsid w:val="007A4E9C"/>
    <w:rsid w:val="007A4EF6"/>
    <w:rsid w:val="007A5008"/>
    <w:rsid w:val="007A50EF"/>
    <w:rsid w:val="007A52CA"/>
    <w:rsid w:val="007A5467"/>
    <w:rsid w:val="007A54CF"/>
    <w:rsid w:val="007A54D7"/>
    <w:rsid w:val="007A5598"/>
    <w:rsid w:val="007A566C"/>
    <w:rsid w:val="007A57B6"/>
    <w:rsid w:val="007A587A"/>
    <w:rsid w:val="007A5909"/>
    <w:rsid w:val="007A59B0"/>
    <w:rsid w:val="007A5ACE"/>
    <w:rsid w:val="007A5AD2"/>
    <w:rsid w:val="007A5BA1"/>
    <w:rsid w:val="007A5C3B"/>
    <w:rsid w:val="007A5CA6"/>
    <w:rsid w:val="007A5D4C"/>
    <w:rsid w:val="007A5D8D"/>
    <w:rsid w:val="007A5DEB"/>
    <w:rsid w:val="007A5F78"/>
    <w:rsid w:val="007A5FC8"/>
    <w:rsid w:val="007A6050"/>
    <w:rsid w:val="007A621D"/>
    <w:rsid w:val="007A6313"/>
    <w:rsid w:val="007A63E0"/>
    <w:rsid w:val="007A645C"/>
    <w:rsid w:val="007A6737"/>
    <w:rsid w:val="007A67E9"/>
    <w:rsid w:val="007A6830"/>
    <w:rsid w:val="007A6873"/>
    <w:rsid w:val="007A68BB"/>
    <w:rsid w:val="007A6B20"/>
    <w:rsid w:val="007A6B95"/>
    <w:rsid w:val="007A6BEF"/>
    <w:rsid w:val="007A6C82"/>
    <w:rsid w:val="007A6CAE"/>
    <w:rsid w:val="007A6E35"/>
    <w:rsid w:val="007A6E73"/>
    <w:rsid w:val="007A6F2E"/>
    <w:rsid w:val="007A6F39"/>
    <w:rsid w:val="007A703B"/>
    <w:rsid w:val="007A714D"/>
    <w:rsid w:val="007A7190"/>
    <w:rsid w:val="007A71DD"/>
    <w:rsid w:val="007A720D"/>
    <w:rsid w:val="007A722C"/>
    <w:rsid w:val="007A730E"/>
    <w:rsid w:val="007A77CE"/>
    <w:rsid w:val="007A7839"/>
    <w:rsid w:val="007A7991"/>
    <w:rsid w:val="007A79B0"/>
    <w:rsid w:val="007A7A2C"/>
    <w:rsid w:val="007A7B3A"/>
    <w:rsid w:val="007A7B69"/>
    <w:rsid w:val="007A7D0A"/>
    <w:rsid w:val="007A7D41"/>
    <w:rsid w:val="007A7EF8"/>
    <w:rsid w:val="007B0010"/>
    <w:rsid w:val="007B032E"/>
    <w:rsid w:val="007B0394"/>
    <w:rsid w:val="007B05B7"/>
    <w:rsid w:val="007B0658"/>
    <w:rsid w:val="007B078A"/>
    <w:rsid w:val="007B07AD"/>
    <w:rsid w:val="007B07D2"/>
    <w:rsid w:val="007B08AD"/>
    <w:rsid w:val="007B0926"/>
    <w:rsid w:val="007B099F"/>
    <w:rsid w:val="007B09E2"/>
    <w:rsid w:val="007B0BA0"/>
    <w:rsid w:val="007B0BDE"/>
    <w:rsid w:val="007B0CA6"/>
    <w:rsid w:val="007B0D84"/>
    <w:rsid w:val="007B0EC1"/>
    <w:rsid w:val="007B1057"/>
    <w:rsid w:val="007B106A"/>
    <w:rsid w:val="007B11C4"/>
    <w:rsid w:val="007B1229"/>
    <w:rsid w:val="007B1258"/>
    <w:rsid w:val="007B12BD"/>
    <w:rsid w:val="007B1311"/>
    <w:rsid w:val="007B134E"/>
    <w:rsid w:val="007B135A"/>
    <w:rsid w:val="007B13F4"/>
    <w:rsid w:val="007B1431"/>
    <w:rsid w:val="007B1509"/>
    <w:rsid w:val="007B1538"/>
    <w:rsid w:val="007B1549"/>
    <w:rsid w:val="007B159B"/>
    <w:rsid w:val="007B15DA"/>
    <w:rsid w:val="007B15F3"/>
    <w:rsid w:val="007B15FE"/>
    <w:rsid w:val="007B19FA"/>
    <w:rsid w:val="007B1B04"/>
    <w:rsid w:val="007B1B79"/>
    <w:rsid w:val="007B1CB4"/>
    <w:rsid w:val="007B1EB2"/>
    <w:rsid w:val="007B1ECE"/>
    <w:rsid w:val="007B1F45"/>
    <w:rsid w:val="007B20C2"/>
    <w:rsid w:val="007B20F4"/>
    <w:rsid w:val="007B2207"/>
    <w:rsid w:val="007B223C"/>
    <w:rsid w:val="007B22EA"/>
    <w:rsid w:val="007B24EE"/>
    <w:rsid w:val="007B2520"/>
    <w:rsid w:val="007B254D"/>
    <w:rsid w:val="007B266C"/>
    <w:rsid w:val="007B26BD"/>
    <w:rsid w:val="007B2752"/>
    <w:rsid w:val="007B2765"/>
    <w:rsid w:val="007B2771"/>
    <w:rsid w:val="007B27D3"/>
    <w:rsid w:val="007B287D"/>
    <w:rsid w:val="007B2917"/>
    <w:rsid w:val="007B2972"/>
    <w:rsid w:val="007B2AAC"/>
    <w:rsid w:val="007B2B59"/>
    <w:rsid w:val="007B2C34"/>
    <w:rsid w:val="007B2DCF"/>
    <w:rsid w:val="007B2DDC"/>
    <w:rsid w:val="007B2F9C"/>
    <w:rsid w:val="007B3292"/>
    <w:rsid w:val="007B32AB"/>
    <w:rsid w:val="007B32DB"/>
    <w:rsid w:val="007B36A8"/>
    <w:rsid w:val="007B36B8"/>
    <w:rsid w:val="007B36ED"/>
    <w:rsid w:val="007B3768"/>
    <w:rsid w:val="007B37A4"/>
    <w:rsid w:val="007B37AB"/>
    <w:rsid w:val="007B37D0"/>
    <w:rsid w:val="007B39ED"/>
    <w:rsid w:val="007B3AC7"/>
    <w:rsid w:val="007B3AD1"/>
    <w:rsid w:val="007B3C75"/>
    <w:rsid w:val="007B3CF2"/>
    <w:rsid w:val="007B3D19"/>
    <w:rsid w:val="007B3F07"/>
    <w:rsid w:val="007B407E"/>
    <w:rsid w:val="007B41D0"/>
    <w:rsid w:val="007B424A"/>
    <w:rsid w:val="007B42CC"/>
    <w:rsid w:val="007B4468"/>
    <w:rsid w:val="007B4620"/>
    <w:rsid w:val="007B46E3"/>
    <w:rsid w:val="007B47EC"/>
    <w:rsid w:val="007B48B3"/>
    <w:rsid w:val="007B4940"/>
    <w:rsid w:val="007B4B24"/>
    <w:rsid w:val="007B4BE0"/>
    <w:rsid w:val="007B4C78"/>
    <w:rsid w:val="007B4E39"/>
    <w:rsid w:val="007B4E51"/>
    <w:rsid w:val="007B5027"/>
    <w:rsid w:val="007B51EC"/>
    <w:rsid w:val="007B51EF"/>
    <w:rsid w:val="007B5306"/>
    <w:rsid w:val="007B56D0"/>
    <w:rsid w:val="007B5706"/>
    <w:rsid w:val="007B57F1"/>
    <w:rsid w:val="007B589C"/>
    <w:rsid w:val="007B5A7C"/>
    <w:rsid w:val="007B5A98"/>
    <w:rsid w:val="007B5B4A"/>
    <w:rsid w:val="007B5CEE"/>
    <w:rsid w:val="007B5E54"/>
    <w:rsid w:val="007B5FBD"/>
    <w:rsid w:val="007B6075"/>
    <w:rsid w:val="007B6138"/>
    <w:rsid w:val="007B6149"/>
    <w:rsid w:val="007B6193"/>
    <w:rsid w:val="007B61A2"/>
    <w:rsid w:val="007B61AF"/>
    <w:rsid w:val="007B6320"/>
    <w:rsid w:val="007B6375"/>
    <w:rsid w:val="007B64B9"/>
    <w:rsid w:val="007B64CE"/>
    <w:rsid w:val="007B65DA"/>
    <w:rsid w:val="007B65E1"/>
    <w:rsid w:val="007B6851"/>
    <w:rsid w:val="007B6A10"/>
    <w:rsid w:val="007B6AC2"/>
    <w:rsid w:val="007B6B44"/>
    <w:rsid w:val="007B6B81"/>
    <w:rsid w:val="007B6C31"/>
    <w:rsid w:val="007B6D5D"/>
    <w:rsid w:val="007B6DFF"/>
    <w:rsid w:val="007B6E30"/>
    <w:rsid w:val="007B70F3"/>
    <w:rsid w:val="007B718E"/>
    <w:rsid w:val="007B71D3"/>
    <w:rsid w:val="007B7332"/>
    <w:rsid w:val="007B73CC"/>
    <w:rsid w:val="007B745F"/>
    <w:rsid w:val="007B746C"/>
    <w:rsid w:val="007B772C"/>
    <w:rsid w:val="007B7736"/>
    <w:rsid w:val="007B7764"/>
    <w:rsid w:val="007B78D3"/>
    <w:rsid w:val="007B7902"/>
    <w:rsid w:val="007B79B8"/>
    <w:rsid w:val="007B7A7D"/>
    <w:rsid w:val="007B7B22"/>
    <w:rsid w:val="007B7D13"/>
    <w:rsid w:val="007B7E00"/>
    <w:rsid w:val="007B7F37"/>
    <w:rsid w:val="007B7F9A"/>
    <w:rsid w:val="007C02D8"/>
    <w:rsid w:val="007C0361"/>
    <w:rsid w:val="007C040A"/>
    <w:rsid w:val="007C0431"/>
    <w:rsid w:val="007C043C"/>
    <w:rsid w:val="007C0508"/>
    <w:rsid w:val="007C0526"/>
    <w:rsid w:val="007C074E"/>
    <w:rsid w:val="007C0794"/>
    <w:rsid w:val="007C084E"/>
    <w:rsid w:val="007C094A"/>
    <w:rsid w:val="007C0982"/>
    <w:rsid w:val="007C0A31"/>
    <w:rsid w:val="007C0A75"/>
    <w:rsid w:val="007C0B23"/>
    <w:rsid w:val="007C0CA9"/>
    <w:rsid w:val="007C0CC9"/>
    <w:rsid w:val="007C0EDC"/>
    <w:rsid w:val="007C0F43"/>
    <w:rsid w:val="007C0F9E"/>
    <w:rsid w:val="007C1095"/>
    <w:rsid w:val="007C10A8"/>
    <w:rsid w:val="007C10D5"/>
    <w:rsid w:val="007C13AA"/>
    <w:rsid w:val="007C13B5"/>
    <w:rsid w:val="007C13D1"/>
    <w:rsid w:val="007C15CA"/>
    <w:rsid w:val="007C1632"/>
    <w:rsid w:val="007C17EB"/>
    <w:rsid w:val="007C190A"/>
    <w:rsid w:val="007C19A5"/>
    <w:rsid w:val="007C1AB5"/>
    <w:rsid w:val="007C1C32"/>
    <w:rsid w:val="007C1CDA"/>
    <w:rsid w:val="007C1DF6"/>
    <w:rsid w:val="007C20EA"/>
    <w:rsid w:val="007C21E8"/>
    <w:rsid w:val="007C220E"/>
    <w:rsid w:val="007C235F"/>
    <w:rsid w:val="007C23FD"/>
    <w:rsid w:val="007C2467"/>
    <w:rsid w:val="007C24BD"/>
    <w:rsid w:val="007C25DC"/>
    <w:rsid w:val="007C265B"/>
    <w:rsid w:val="007C28FE"/>
    <w:rsid w:val="007C2A2D"/>
    <w:rsid w:val="007C2CE7"/>
    <w:rsid w:val="007C2D0C"/>
    <w:rsid w:val="007C2D7D"/>
    <w:rsid w:val="007C2FC0"/>
    <w:rsid w:val="007C314D"/>
    <w:rsid w:val="007C3157"/>
    <w:rsid w:val="007C3206"/>
    <w:rsid w:val="007C33AA"/>
    <w:rsid w:val="007C3446"/>
    <w:rsid w:val="007C357B"/>
    <w:rsid w:val="007C36AA"/>
    <w:rsid w:val="007C3715"/>
    <w:rsid w:val="007C37AA"/>
    <w:rsid w:val="007C38A6"/>
    <w:rsid w:val="007C38E4"/>
    <w:rsid w:val="007C395C"/>
    <w:rsid w:val="007C396A"/>
    <w:rsid w:val="007C39F9"/>
    <w:rsid w:val="007C3B0F"/>
    <w:rsid w:val="007C3BF3"/>
    <w:rsid w:val="007C3CE1"/>
    <w:rsid w:val="007C3D31"/>
    <w:rsid w:val="007C3DD1"/>
    <w:rsid w:val="007C3E84"/>
    <w:rsid w:val="007C3EE6"/>
    <w:rsid w:val="007C3F81"/>
    <w:rsid w:val="007C4001"/>
    <w:rsid w:val="007C4075"/>
    <w:rsid w:val="007C40EE"/>
    <w:rsid w:val="007C41B7"/>
    <w:rsid w:val="007C4332"/>
    <w:rsid w:val="007C4342"/>
    <w:rsid w:val="007C4442"/>
    <w:rsid w:val="007C44A9"/>
    <w:rsid w:val="007C4536"/>
    <w:rsid w:val="007C457F"/>
    <w:rsid w:val="007C4586"/>
    <w:rsid w:val="007C45FD"/>
    <w:rsid w:val="007C46E6"/>
    <w:rsid w:val="007C4712"/>
    <w:rsid w:val="007C49AF"/>
    <w:rsid w:val="007C49B3"/>
    <w:rsid w:val="007C49B8"/>
    <w:rsid w:val="007C4A19"/>
    <w:rsid w:val="007C4C75"/>
    <w:rsid w:val="007C51D7"/>
    <w:rsid w:val="007C53E4"/>
    <w:rsid w:val="007C54A0"/>
    <w:rsid w:val="007C558B"/>
    <w:rsid w:val="007C55E2"/>
    <w:rsid w:val="007C56DC"/>
    <w:rsid w:val="007C5739"/>
    <w:rsid w:val="007C57CF"/>
    <w:rsid w:val="007C5887"/>
    <w:rsid w:val="007C5963"/>
    <w:rsid w:val="007C5A58"/>
    <w:rsid w:val="007C5A6B"/>
    <w:rsid w:val="007C5B71"/>
    <w:rsid w:val="007C5BAF"/>
    <w:rsid w:val="007C5BB6"/>
    <w:rsid w:val="007C5BBC"/>
    <w:rsid w:val="007C5C7E"/>
    <w:rsid w:val="007C5CC0"/>
    <w:rsid w:val="007C5CDB"/>
    <w:rsid w:val="007C5D4F"/>
    <w:rsid w:val="007C5E15"/>
    <w:rsid w:val="007C5E4E"/>
    <w:rsid w:val="007C5E69"/>
    <w:rsid w:val="007C5ECF"/>
    <w:rsid w:val="007C6023"/>
    <w:rsid w:val="007C61B1"/>
    <w:rsid w:val="007C6212"/>
    <w:rsid w:val="007C6316"/>
    <w:rsid w:val="007C6341"/>
    <w:rsid w:val="007C6401"/>
    <w:rsid w:val="007C64D9"/>
    <w:rsid w:val="007C6508"/>
    <w:rsid w:val="007C66FB"/>
    <w:rsid w:val="007C66FD"/>
    <w:rsid w:val="007C6852"/>
    <w:rsid w:val="007C6974"/>
    <w:rsid w:val="007C6A19"/>
    <w:rsid w:val="007C6B6D"/>
    <w:rsid w:val="007C6C25"/>
    <w:rsid w:val="007C6C69"/>
    <w:rsid w:val="007C6D52"/>
    <w:rsid w:val="007C70EC"/>
    <w:rsid w:val="007C7167"/>
    <w:rsid w:val="007C7219"/>
    <w:rsid w:val="007C72B7"/>
    <w:rsid w:val="007C7431"/>
    <w:rsid w:val="007C75E4"/>
    <w:rsid w:val="007C7662"/>
    <w:rsid w:val="007C76A3"/>
    <w:rsid w:val="007C771F"/>
    <w:rsid w:val="007C7756"/>
    <w:rsid w:val="007C7922"/>
    <w:rsid w:val="007C7957"/>
    <w:rsid w:val="007C7960"/>
    <w:rsid w:val="007C7B2E"/>
    <w:rsid w:val="007C7C52"/>
    <w:rsid w:val="007C7D36"/>
    <w:rsid w:val="007C7D5E"/>
    <w:rsid w:val="007C7DF7"/>
    <w:rsid w:val="007C7EE6"/>
    <w:rsid w:val="007C7F47"/>
    <w:rsid w:val="007D009E"/>
    <w:rsid w:val="007D0118"/>
    <w:rsid w:val="007D01F1"/>
    <w:rsid w:val="007D02E8"/>
    <w:rsid w:val="007D05E1"/>
    <w:rsid w:val="007D0961"/>
    <w:rsid w:val="007D0AF0"/>
    <w:rsid w:val="007D0B7C"/>
    <w:rsid w:val="007D0BC8"/>
    <w:rsid w:val="007D0BE0"/>
    <w:rsid w:val="007D0C62"/>
    <w:rsid w:val="007D0D76"/>
    <w:rsid w:val="007D0F07"/>
    <w:rsid w:val="007D1255"/>
    <w:rsid w:val="007D1395"/>
    <w:rsid w:val="007D146D"/>
    <w:rsid w:val="007D1553"/>
    <w:rsid w:val="007D162A"/>
    <w:rsid w:val="007D1795"/>
    <w:rsid w:val="007D185E"/>
    <w:rsid w:val="007D18AF"/>
    <w:rsid w:val="007D190C"/>
    <w:rsid w:val="007D1A0A"/>
    <w:rsid w:val="007D1C02"/>
    <w:rsid w:val="007D1D26"/>
    <w:rsid w:val="007D1E64"/>
    <w:rsid w:val="007D1EEC"/>
    <w:rsid w:val="007D204E"/>
    <w:rsid w:val="007D20C3"/>
    <w:rsid w:val="007D2213"/>
    <w:rsid w:val="007D22DF"/>
    <w:rsid w:val="007D2311"/>
    <w:rsid w:val="007D24FF"/>
    <w:rsid w:val="007D26D6"/>
    <w:rsid w:val="007D2883"/>
    <w:rsid w:val="007D299D"/>
    <w:rsid w:val="007D29D9"/>
    <w:rsid w:val="007D2A96"/>
    <w:rsid w:val="007D2B85"/>
    <w:rsid w:val="007D2DB2"/>
    <w:rsid w:val="007D2E8D"/>
    <w:rsid w:val="007D2F57"/>
    <w:rsid w:val="007D2F74"/>
    <w:rsid w:val="007D302E"/>
    <w:rsid w:val="007D3060"/>
    <w:rsid w:val="007D323B"/>
    <w:rsid w:val="007D32DD"/>
    <w:rsid w:val="007D32E8"/>
    <w:rsid w:val="007D341D"/>
    <w:rsid w:val="007D3491"/>
    <w:rsid w:val="007D34D3"/>
    <w:rsid w:val="007D36E1"/>
    <w:rsid w:val="007D372E"/>
    <w:rsid w:val="007D3800"/>
    <w:rsid w:val="007D3832"/>
    <w:rsid w:val="007D3918"/>
    <w:rsid w:val="007D3998"/>
    <w:rsid w:val="007D39AE"/>
    <w:rsid w:val="007D3AD4"/>
    <w:rsid w:val="007D3AE0"/>
    <w:rsid w:val="007D3AE8"/>
    <w:rsid w:val="007D3AEB"/>
    <w:rsid w:val="007D3C9F"/>
    <w:rsid w:val="007D3CE6"/>
    <w:rsid w:val="007D3DBB"/>
    <w:rsid w:val="007D3DD9"/>
    <w:rsid w:val="007D3F58"/>
    <w:rsid w:val="007D3F61"/>
    <w:rsid w:val="007D4194"/>
    <w:rsid w:val="007D41D9"/>
    <w:rsid w:val="007D4308"/>
    <w:rsid w:val="007D4380"/>
    <w:rsid w:val="007D450B"/>
    <w:rsid w:val="007D456A"/>
    <w:rsid w:val="007D457F"/>
    <w:rsid w:val="007D459E"/>
    <w:rsid w:val="007D45A4"/>
    <w:rsid w:val="007D4659"/>
    <w:rsid w:val="007D4715"/>
    <w:rsid w:val="007D4727"/>
    <w:rsid w:val="007D4BC0"/>
    <w:rsid w:val="007D4BEA"/>
    <w:rsid w:val="007D4CBF"/>
    <w:rsid w:val="007D4D0C"/>
    <w:rsid w:val="007D4E82"/>
    <w:rsid w:val="007D4E88"/>
    <w:rsid w:val="007D508B"/>
    <w:rsid w:val="007D5095"/>
    <w:rsid w:val="007D536F"/>
    <w:rsid w:val="007D53D9"/>
    <w:rsid w:val="007D5466"/>
    <w:rsid w:val="007D558E"/>
    <w:rsid w:val="007D55BA"/>
    <w:rsid w:val="007D5689"/>
    <w:rsid w:val="007D585D"/>
    <w:rsid w:val="007D58D2"/>
    <w:rsid w:val="007D5955"/>
    <w:rsid w:val="007D5B69"/>
    <w:rsid w:val="007D5B93"/>
    <w:rsid w:val="007D5BDE"/>
    <w:rsid w:val="007D5BF5"/>
    <w:rsid w:val="007D5C89"/>
    <w:rsid w:val="007D5D6F"/>
    <w:rsid w:val="007D5D7E"/>
    <w:rsid w:val="007D5DDE"/>
    <w:rsid w:val="007D5F57"/>
    <w:rsid w:val="007D5F6C"/>
    <w:rsid w:val="007D5F84"/>
    <w:rsid w:val="007D6075"/>
    <w:rsid w:val="007D60BB"/>
    <w:rsid w:val="007D627B"/>
    <w:rsid w:val="007D62CC"/>
    <w:rsid w:val="007D62F7"/>
    <w:rsid w:val="007D631E"/>
    <w:rsid w:val="007D64CB"/>
    <w:rsid w:val="007D665D"/>
    <w:rsid w:val="007D689D"/>
    <w:rsid w:val="007D6C01"/>
    <w:rsid w:val="007D6C11"/>
    <w:rsid w:val="007D6DCB"/>
    <w:rsid w:val="007D6E12"/>
    <w:rsid w:val="007D6F5F"/>
    <w:rsid w:val="007D6FB2"/>
    <w:rsid w:val="007D7014"/>
    <w:rsid w:val="007D710B"/>
    <w:rsid w:val="007D72F4"/>
    <w:rsid w:val="007D7370"/>
    <w:rsid w:val="007D745F"/>
    <w:rsid w:val="007D7496"/>
    <w:rsid w:val="007D74ED"/>
    <w:rsid w:val="007D7638"/>
    <w:rsid w:val="007D777A"/>
    <w:rsid w:val="007D790A"/>
    <w:rsid w:val="007D7978"/>
    <w:rsid w:val="007D79B2"/>
    <w:rsid w:val="007D79C7"/>
    <w:rsid w:val="007D7C20"/>
    <w:rsid w:val="007D7D24"/>
    <w:rsid w:val="007D7E54"/>
    <w:rsid w:val="007D7EE4"/>
    <w:rsid w:val="007D8FD3"/>
    <w:rsid w:val="007E0056"/>
    <w:rsid w:val="007E018A"/>
    <w:rsid w:val="007E021F"/>
    <w:rsid w:val="007E0241"/>
    <w:rsid w:val="007E0242"/>
    <w:rsid w:val="007E025A"/>
    <w:rsid w:val="007E029B"/>
    <w:rsid w:val="007E0370"/>
    <w:rsid w:val="007E0414"/>
    <w:rsid w:val="007E0451"/>
    <w:rsid w:val="007E04A0"/>
    <w:rsid w:val="007E0506"/>
    <w:rsid w:val="007E07B0"/>
    <w:rsid w:val="007E07CC"/>
    <w:rsid w:val="007E081B"/>
    <w:rsid w:val="007E0A2C"/>
    <w:rsid w:val="007E0A59"/>
    <w:rsid w:val="007E0D43"/>
    <w:rsid w:val="007E0DA6"/>
    <w:rsid w:val="007E0E0E"/>
    <w:rsid w:val="007E0EB1"/>
    <w:rsid w:val="007E0F66"/>
    <w:rsid w:val="007E0FD7"/>
    <w:rsid w:val="007E1117"/>
    <w:rsid w:val="007E111E"/>
    <w:rsid w:val="007E12FF"/>
    <w:rsid w:val="007E1323"/>
    <w:rsid w:val="007E137F"/>
    <w:rsid w:val="007E160C"/>
    <w:rsid w:val="007E16BC"/>
    <w:rsid w:val="007E176D"/>
    <w:rsid w:val="007E179F"/>
    <w:rsid w:val="007E18BC"/>
    <w:rsid w:val="007E18D6"/>
    <w:rsid w:val="007E1944"/>
    <w:rsid w:val="007E1AFE"/>
    <w:rsid w:val="007E1B21"/>
    <w:rsid w:val="007E1B2D"/>
    <w:rsid w:val="007E1B34"/>
    <w:rsid w:val="007E1B67"/>
    <w:rsid w:val="007E1D9D"/>
    <w:rsid w:val="007E1F0E"/>
    <w:rsid w:val="007E1F17"/>
    <w:rsid w:val="007E1F39"/>
    <w:rsid w:val="007E2156"/>
    <w:rsid w:val="007E21BE"/>
    <w:rsid w:val="007E21DB"/>
    <w:rsid w:val="007E2428"/>
    <w:rsid w:val="007E244C"/>
    <w:rsid w:val="007E25D8"/>
    <w:rsid w:val="007E27A4"/>
    <w:rsid w:val="007E2B83"/>
    <w:rsid w:val="007E2C01"/>
    <w:rsid w:val="007E2EDA"/>
    <w:rsid w:val="007E2FDB"/>
    <w:rsid w:val="007E3023"/>
    <w:rsid w:val="007E312D"/>
    <w:rsid w:val="007E319A"/>
    <w:rsid w:val="007E327C"/>
    <w:rsid w:val="007E32F1"/>
    <w:rsid w:val="007E34CD"/>
    <w:rsid w:val="007E34EC"/>
    <w:rsid w:val="007E356A"/>
    <w:rsid w:val="007E35F5"/>
    <w:rsid w:val="007E3659"/>
    <w:rsid w:val="007E36D0"/>
    <w:rsid w:val="007E3762"/>
    <w:rsid w:val="007E3773"/>
    <w:rsid w:val="007E3785"/>
    <w:rsid w:val="007E37C0"/>
    <w:rsid w:val="007E3812"/>
    <w:rsid w:val="007E3904"/>
    <w:rsid w:val="007E3990"/>
    <w:rsid w:val="007E39E3"/>
    <w:rsid w:val="007E3A3F"/>
    <w:rsid w:val="007E3AB9"/>
    <w:rsid w:val="007E3C35"/>
    <w:rsid w:val="007E4128"/>
    <w:rsid w:val="007E4395"/>
    <w:rsid w:val="007E449E"/>
    <w:rsid w:val="007E44FC"/>
    <w:rsid w:val="007E45E4"/>
    <w:rsid w:val="007E46B0"/>
    <w:rsid w:val="007E4789"/>
    <w:rsid w:val="007E47D8"/>
    <w:rsid w:val="007E484A"/>
    <w:rsid w:val="007E4893"/>
    <w:rsid w:val="007E4895"/>
    <w:rsid w:val="007E49BA"/>
    <w:rsid w:val="007E4A8D"/>
    <w:rsid w:val="007E4B6F"/>
    <w:rsid w:val="007E4C4E"/>
    <w:rsid w:val="007E4C84"/>
    <w:rsid w:val="007E4E59"/>
    <w:rsid w:val="007E4E80"/>
    <w:rsid w:val="007E4FF8"/>
    <w:rsid w:val="007E501C"/>
    <w:rsid w:val="007E50AA"/>
    <w:rsid w:val="007E52DF"/>
    <w:rsid w:val="007E530E"/>
    <w:rsid w:val="007E5419"/>
    <w:rsid w:val="007E5442"/>
    <w:rsid w:val="007E5514"/>
    <w:rsid w:val="007E5603"/>
    <w:rsid w:val="007E56EA"/>
    <w:rsid w:val="007E5899"/>
    <w:rsid w:val="007E58E3"/>
    <w:rsid w:val="007E5A66"/>
    <w:rsid w:val="007E5A90"/>
    <w:rsid w:val="007E5AB2"/>
    <w:rsid w:val="007E5B33"/>
    <w:rsid w:val="007E5D5B"/>
    <w:rsid w:val="007E5FBB"/>
    <w:rsid w:val="007E5FFD"/>
    <w:rsid w:val="007E600D"/>
    <w:rsid w:val="007E610F"/>
    <w:rsid w:val="007E6266"/>
    <w:rsid w:val="007E626C"/>
    <w:rsid w:val="007E629C"/>
    <w:rsid w:val="007E62F0"/>
    <w:rsid w:val="007E6336"/>
    <w:rsid w:val="007E6420"/>
    <w:rsid w:val="007E648D"/>
    <w:rsid w:val="007E65FD"/>
    <w:rsid w:val="007E69BD"/>
    <w:rsid w:val="007E69D1"/>
    <w:rsid w:val="007E6A53"/>
    <w:rsid w:val="007E6BE0"/>
    <w:rsid w:val="007E6C09"/>
    <w:rsid w:val="007E6C42"/>
    <w:rsid w:val="007E6F73"/>
    <w:rsid w:val="007E6FBB"/>
    <w:rsid w:val="007E6FE1"/>
    <w:rsid w:val="007E70D7"/>
    <w:rsid w:val="007E7177"/>
    <w:rsid w:val="007E7295"/>
    <w:rsid w:val="007E7448"/>
    <w:rsid w:val="007E75FA"/>
    <w:rsid w:val="007E761D"/>
    <w:rsid w:val="007E7726"/>
    <w:rsid w:val="007E77D3"/>
    <w:rsid w:val="007E7919"/>
    <w:rsid w:val="007E7958"/>
    <w:rsid w:val="007E7991"/>
    <w:rsid w:val="007E7C17"/>
    <w:rsid w:val="007E7C61"/>
    <w:rsid w:val="007E7CA2"/>
    <w:rsid w:val="007E7CD8"/>
    <w:rsid w:val="007E7CFE"/>
    <w:rsid w:val="007E7D34"/>
    <w:rsid w:val="007E7D4D"/>
    <w:rsid w:val="007E7D5F"/>
    <w:rsid w:val="007E7D9F"/>
    <w:rsid w:val="007E7F6F"/>
    <w:rsid w:val="007F0042"/>
    <w:rsid w:val="007F0052"/>
    <w:rsid w:val="007F0093"/>
    <w:rsid w:val="007F009D"/>
    <w:rsid w:val="007F0205"/>
    <w:rsid w:val="007F02A2"/>
    <w:rsid w:val="007F06BA"/>
    <w:rsid w:val="007F08C6"/>
    <w:rsid w:val="007F08DB"/>
    <w:rsid w:val="007F0931"/>
    <w:rsid w:val="007F0957"/>
    <w:rsid w:val="007F097E"/>
    <w:rsid w:val="007F0A9E"/>
    <w:rsid w:val="007F0B60"/>
    <w:rsid w:val="007F0B76"/>
    <w:rsid w:val="007F0C08"/>
    <w:rsid w:val="007F0CC1"/>
    <w:rsid w:val="007F0CD8"/>
    <w:rsid w:val="007F0E31"/>
    <w:rsid w:val="007F0F28"/>
    <w:rsid w:val="007F0FB5"/>
    <w:rsid w:val="007F10D5"/>
    <w:rsid w:val="007F11B5"/>
    <w:rsid w:val="007F128C"/>
    <w:rsid w:val="007F12EA"/>
    <w:rsid w:val="007F147B"/>
    <w:rsid w:val="007F14CA"/>
    <w:rsid w:val="007F1586"/>
    <w:rsid w:val="007F1680"/>
    <w:rsid w:val="007F17C0"/>
    <w:rsid w:val="007F17F1"/>
    <w:rsid w:val="007F18B7"/>
    <w:rsid w:val="007F19A0"/>
    <w:rsid w:val="007F19B1"/>
    <w:rsid w:val="007F19E6"/>
    <w:rsid w:val="007F1B0B"/>
    <w:rsid w:val="007F1CE9"/>
    <w:rsid w:val="007F1D7E"/>
    <w:rsid w:val="007F1DBC"/>
    <w:rsid w:val="007F1DED"/>
    <w:rsid w:val="007F1DFF"/>
    <w:rsid w:val="007F1EB1"/>
    <w:rsid w:val="007F202A"/>
    <w:rsid w:val="007F211E"/>
    <w:rsid w:val="007F22CE"/>
    <w:rsid w:val="007F237D"/>
    <w:rsid w:val="007F2434"/>
    <w:rsid w:val="007F2609"/>
    <w:rsid w:val="007F2803"/>
    <w:rsid w:val="007F287D"/>
    <w:rsid w:val="007F28F4"/>
    <w:rsid w:val="007F2964"/>
    <w:rsid w:val="007F29C5"/>
    <w:rsid w:val="007F29F1"/>
    <w:rsid w:val="007F2A58"/>
    <w:rsid w:val="007F2C1A"/>
    <w:rsid w:val="007F2CBD"/>
    <w:rsid w:val="007F2DA8"/>
    <w:rsid w:val="007F2E02"/>
    <w:rsid w:val="007F2F5A"/>
    <w:rsid w:val="007F301B"/>
    <w:rsid w:val="007F3026"/>
    <w:rsid w:val="007F31C9"/>
    <w:rsid w:val="007F3229"/>
    <w:rsid w:val="007F3298"/>
    <w:rsid w:val="007F32DB"/>
    <w:rsid w:val="007F3488"/>
    <w:rsid w:val="007F34C7"/>
    <w:rsid w:val="007F356D"/>
    <w:rsid w:val="007F35B2"/>
    <w:rsid w:val="007F363C"/>
    <w:rsid w:val="007F36A0"/>
    <w:rsid w:val="007F3726"/>
    <w:rsid w:val="007F378E"/>
    <w:rsid w:val="007F3879"/>
    <w:rsid w:val="007F3919"/>
    <w:rsid w:val="007F3B13"/>
    <w:rsid w:val="007F3C2E"/>
    <w:rsid w:val="007F3C37"/>
    <w:rsid w:val="007F3CE4"/>
    <w:rsid w:val="007F3D6D"/>
    <w:rsid w:val="007F3E4A"/>
    <w:rsid w:val="007F3FC8"/>
    <w:rsid w:val="007F3FF9"/>
    <w:rsid w:val="007F413D"/>
    <w:rsid w:val="007F44FF"/>
    <w:rsid w:val="007F451D"/>
    <w:rsid w:val="007F4721"/>
    <w:rsid w:val="007F4A7B"/>
    <w:rsid w:val="007F4B21"/>
    <w:rsid w:val="007F4C2E"/>
    <w:rsid w:val="007F4C47"/>
    <w:rsid w:val="007F4D0C"/>
    <w:rsid w:val="007F4DAB"/>
    <w:rsid w:val="007F4DF9"/>
    <w:rsid w:val="007F4E35"/>
    <w:rsid w:val="007F4EE0"/>
    <w:rsid w:val="007F4F70"/>
    <w:rsid w:val="007F4F8D"/>
    <w:rsid w:val="007F5047"/>
    <w:rsid w:val="007F5052"/>
    <w:rsid w:val="007F5114"/>
    <w:rsid w:val="007F5144"/>
    <w:rsid w:val="007F51B9"/>
    <w:rsid w:val="007F52A5"/>
    <w:rsid w:val="007F52C6"/>
    <w:rsid w:val="007F5405"/>
    <w:rsid w:val="007F5493"/>
    <w:rsid w:val="007F54C6"/>
    <w:rsid w:val="007F5515"/>
    <w:rsid w:val="007F55AD"/>
    <w:rsid w:val="007F5832"/>
    <w:rsid w:val="007F5917"/>
    <w:rsid w:val="007F5A4F"/>
    <w:rsid w:val="007F5A5C"/>
    <w:rsid w:val="007F5B44"/>
    <w:rsid w:val="007F5B8C"/>
    <w:rsid w:val="007F5BA0"/>
    <w:rsid w:val="007F5E56"/>
    <w:rsid w:val="007F5E73"/>
    <w:rsid w:val="007F5E96"/>
    <w:rsid w:val="007F61ED"/>
    <w:rsid w:val="007F6222"/>
    <w:rsid w:val="007F6323"/>
    <w:rsid w:val="007F64E0"/>
    <w:rsid w:val="007F6566"/>
    <w:rsid w:val="007F6743"/>
    <w:rsid w:val="007F6769"/>
    <w:rsid w:val="007F6790"/>
    <w:rsid w:val="007F67FB"/>
    <w:rsid w:val="007F6934"/>
    <w:rsid w:val="007F6B0D"/>
    <w:rsid w:val="007F6C57"/>
    <w:rsid w:val="007F6D61"/>
    <w:rsid w:val="007F6F15"/>
    <w:rsid w:val="007F7046"/>
    <w:rsid w:val="007F7197"/>
    <w:rsid w:val="007F71F4"/>
    <w:rsid w:val="007F72E4"/>
    <w:rsid w:val="007F7345"/>
    <w:rsid w:val="007F744E"/>
    <w:rsid w:val="007F755A"/>
    <w:rsid w:val="007F7885"/>
    <w:rsid w:val="007F78D2"/>
    <w:rsid w:val="007F78F3"/>
    <w:rsid w:val="007F7908"/>
    <w:rsid w:val="007F7916"/>
    <w:rsid w:val="007F7956"/>
    <w:rsid w:val="007F799B"/>
    <w:rsid w:val="007F7A97"/>
    <w:rsid w:val="007F7AD4"/>
    <w:rsid w:val="007F7B53"/>
    <w:rsid w:val="007F7CAA"/>
    <w:rsid w:val="007F7E33"/>
    <w:rsid w:val="007F7EC5"/>
    <w:rsid w:val="007F7ED6"/>
    <w:rsid w:val="007F7FCC"/>
    <w:rsid w:val="00800016"/>
    <w:rsid w:val="00800131"/>
    <w:rsid w:val="00800254"/>
    <w:rsid w:val="008003C9"/>
    <w:rsid w:val="00800428"/>
    <w:rsid w:val="00800489"/>
    <w:rsid w:val="00800597"/>
    <w:rsid w:val="008005B2"/>
    <w:rsid w:val="00800A46"/>
    <w:rsid w:val="00800A7E"/>
    <w:rsid w:val="00800B08"/>
    <w:rsid w:val="00800B93"/>
    <w:rsid w:val="00800B9E"/>
    <w:rsid w:val="00800E05"/>
    <w:rsid w:val="00800E2D"/>
    <w:rsid w:val="00800E71"/>
    <w:rsid w:val="008010A2"/>
    <w:rsid w:val="008010E6"/>
    <w:rsid w:val="00801169"/>
    <w:rsid w:val="0080117D"/>
    <w:rsid w:val="0080122D"/>
    <w:rsid w:val="008012C6"/>
    <w:rsid w:val="0080132A"/>
    <w:rsid w:val="00801336"/>
    <w:rsid w:val="0080144F"/>
    <w:rsid w:val="008018D8"/>
    <w:rsid w:val="00801904"/>
    <w:rsid w:val="00801951"/>
    <w:rsid w:val="008019E0"/>
    <w:rsid w:val="00801C67"/>
    <w:rsid w:val="00801E37"/>
    <w:rsid w:val="0080202D"/>
    <w:rsid w:val="00802170"/>
    <w:rsid w:val="00802231"/>
    <w:rsid w:val="00802299"/>
    <w:rsid w:val="0080238E"/>
    <w:rsid w:val="00802445"/>
    <w:rsid w:val="00802546"/>
    <w:rsid w:val="008026CE"/>
    <w:rsid w:val="008027C0"/>
    <w:rsid w:val="008028E4"/>
    <w:rsid w:val="00802B4C"/>
    <w:rsid w:val="00802BE6"/>
    <w:rsid w:val="00802C98"/>
    <w:rsid w:val="00802CCF"/>
    <w:rsid w:val="00802CE1"/>
    <w:rsid w:val="00802D26"/>
    <w:rsid w:val="00802DEE"/>
    <w:rsid w:val="00802E22"/>
    <w:rsid w:val="0080307C"/>
    <w:rsid w:val="00803139"/>
    <w:rsid w:val="00803285"/>
    <w:rsid w:val="008033EF"/>
    <w:rsid w:val="00803412"/>
    <w:rsid w:val="0080342F"/>
    <w:rsid w:val="0080347C"/>
    <w:rsid w:val="0080356E"/>
    <w:rsid w:val="0080385A"/>
    <w:rsid w:val="008039A5"/>
    <w:rsid w:val="008039DD"/>
    <w:rsid w:val="00803AC4"/>
    <w:rsid w:val="00803CA5"/>
    <w:rsid w:val="008040D8"/>
    <w:rsid w:val="008040E2"/>
    <w:rsid w:val="0080413F"/>
    <w:rsid w:val="00804260"/>
    <w:rsid w:val="0080429A"/>
    <w:rsid w:val="008042DA"/>
    <w:rsid w:val="008044BB"/>
    <w:rsid w:val="00804531"/>
    <w:rsid w:val="0080459C"/>
    <w:rsid w:val="0080470D"/>
    <w:rsid w:val="00804815"/>
    <w:rsid w:val="0080488C"/>
    <w:rsid w:val="00804931"/>
    <w:rsid w:val="00804C0C"/>
    <w:rsid w:val="00804F54"/>
    <w:rsid w:val="00804FA3"/>
    <w:rsid w:val="00805003"/>
    <w:rsid w:val="008050E4"/>
    <w:rsid w:val="008050EB"/>
    <w:rsid w:val="00805348"/>
    <w:rsid w:val="00805411"/>
    <w:rsid w:val="0080563C"/>
    <w:rsid w:val="008056DD"/>
    <w:rsid w:val="008057D9"/>
    <w:rsid w:val="0080588F"/>
    <w:rsid w:val="008058A0"/>
    <w:rsid w:val="00805926"/>
    <w:rsid w:val="00805C64"/>
    <w:rsid w:val="00805D12"/>
    <w:rsid w:val="00805D31"/>
    <w:rsid w:val="00805D53"/>
    <w:rsid w:val="00805E7A"/>
    <w:rsid w:val="00805F3B"/>
    <w:rsid w:val="00805FEF"/>
    <w:rsid w:val="008060C9"/>
    <w:rsid w:val="0080618D"/>
    <w:rsid w:val="0080626C"/>
    <w:rsid w:val="008062D6"/>
    <w:rsid w:val="0080639A"/>
    <w:rsid w:val="0080660D"/>
    <w:rsid w:val="008066A4"/>
    <w:rsid w:val="008066DB"/>
    <w:rsid w:val="008066E5"/>
    <w:rsid w:val="00806740"/>
    <w:rsid w:val="00806900"/>
    <w:rsid w:val="00806AF7"/>
    <w:rsid w:val="00806B12"/>
    <w:rsid w:val="00806B44"/>
    <w:rsid w:val="00806B79"/>
    <w:rsid w:val="00806DE5"/>
    <w:rsid w:val="00806E72"/>
    <w:rsid w:val="008070E3"/>
    <w:rsid w:val="00807102"/>
    <w:rsid w:val="00807154"/>
    <w:rsid w:val="008071F4"/>
    <w:rsid w:val="008072DE"/>
    <w:rsid w:val="00807371"/>
    <w:rsid w:val="00807443"/>
    <w:rsid w:val="0080746F"/>
    <w:rsid w:val="00807477"/>
    <w:rsid w:val="008075D9"/>
    <w:rsid w:val="00807667"/>
    <w:rsid w:val="00807678"/>
    <w:rsid w:val="008077E5"/>
    <w:rsid w:val="00807859"/>
    <w:rsid w:val="00807948"/>
    <w:rsid w:val="00807A96"/>
    <w:rsid w:val="00807D6F"/>
    <w:rsid w:val="00807E82"/>
    <w:rsid w:val="00807FB8"/>
    <w:rsid w:val="00807FF8"/>
    <w:rsid w:val="00810039"/>
    <w:rsid w:val="00810069"/>
    <w:rsid w:val="008100D4"/>
    <w:rsid w:val="00810284"/>
    <w:rsid w:val="008103D5"/>
    <w:rsid w:val="008103EA"/>
    <w:rsid w:val="008104F3"/>
    <w:rsid w:val="0081068F"/>
    <w:rsid w:val="0081092A"/>
    <w:rsid w:val="00810A58"/>
    <w:rsid w:val="00810B0F"/>
    <w:rsid w:val="00810B46"/>
    <w:rsid w:val="00810C1C"/>
    <w:rsid w:val="00810C7A"/>
    <w:rsid w:val="00810CBF"/>
    <w:rsid w:val="00810DF1"/>
    <w:rsid w:val="00810EA8"/>
    <w:rsid w:val="00810EFC"/>
    <w:rsid w:val="00810F9C"/>
    <w:rsid w:val="00810FE6"/>
    <w:rsid w:val="0081107B"/>
    <w:rsid w:val="00811328"/>
    <w:rsid w:val="008113F3"/>
    <w:rsid w:val="0081152F"/>
    <w:rsid w:val="0081169E"/>
    <w:rsid w:val="0081175C"/>
    <w:rsid w:val="0081182D"/>
    <w:rsid w:val="0081185F"/>
    <w:rsid w:val="00811861"/>
    <w:rsid w:val="0081186A"/>
    <w:rsid w:val="008118CE"/>
    <w:rsid w:val="0081198F"/>
    <w:rsid w:val="008119EA"/>
    <w:rsid w:val="00811A6B"/>
    <w:rsid w:val="00811AC8"/>
    <w:rsid w:val="00811AC9"/>
    <w:rsid w:val="00811B10"/>
    <w:rsid w:val="00811B24"/>
    <w:rsid w:val="00811B4A"/>
    <w:rsid w:val="00811BD0"/>
    <w:rsid w:val="00811D81"/>
    <w:rsid w:val="00811DEB"/>
    <w:rsid w:val="00811F53"/>
    <w:rsid w:val="00811FB4"/>
    <w:rsid w:val="008120E1"/>
    <w:rsid w:val="00812236"/>
    <w:rsid w:val="0081234E"/>
    <w:rsid w:val="00812375"/>
    <w:rsid w:val="008124E9"/>
    <w:rsid w:val="008126A3"/>
    <w:rsid w:val="008128F4"/>
    <w:rsid w:val="0081295E"/>
    <w:rsid w:val="008129EF"/>
    <w:rsid w:val="00812B9D"/>
    <w:rsid w:val="00812B9E"/>
    <w:rsid w:val="00812BDD"/>
    <w:rsid w:val="00812D31"/>
    <w:rsid w:val="00812D5D"/>
    <w:rsid w:val="00812E56"/>
    <w:rsid w:val="00812EA0"/>
    <w:rsid w:val="008130AC"/>
    <w:rsid w:val="008130D3"/>
    <w:rsid w:val="00813195"/>
    <w:rsid w:val="008131BC"/>
    <w:rsid w:val="008132BA"/>
    <w:rsid w:val="00813386"/>
    <w:rsid w:val="008133B1"/>
    <w:rsid w:val="00813409"/>
    <w:rsid w:val="0081356F"/>
    <w:rsid w:val="00813739"/>
    <w:rsid w:val="008138B9"/>
    <w:rsid w:val="0081390C"/>
    <w:rsid w:val="0081393A"/>
    <w:rsid w:val="00813952"/>
    <w:rsid w:val="008139CC"/>
    <w:rsid w:val="00813A19"/>
    <w:rsid w:val="00813ACF"/>
    <w:rsid w:val="00813B5C"/>
    <w:rsid w:val="00813BB0"/>
    <w:rsid w:val="00813C51"/>
    <w:rsid w:val="00813DC4"/>
    <w:rsid w:val="00813DDC"/>
    <w:rsid w:val="00814040"/>
    <w:rsid w:val="00814049"/>
    <w:rsid w:val="00814097"/>
    <w:rsid w:val="008140C7"/>
    <w:rsid w:val="008142F7"/>
    <w:rsid w:val="00814437"/>
    <w:rsid w:val="008144AF"/>
    <w:rsid w:val="00814514"/>
    <w:rsid w:val="0081455D"/>
    <w:rsid w:val="008145B6"/>
    <w:rsid w:val="008145DC"/>
    <w:rsid w:val="00814645"/>
    <w:rsid w:val="0081467C"/>
    <w:rsid w:val="008146F8"/>
    <w:rsid w:val="008147A6"/>
    <w:rsid w:val="0081499C"/>
    <w:rsid w:val="00814A30"/>
    <w:rsid w:val="00814C76"/>
    <w:rsid w:val="00814C85"/>
    <w:rsid w:val="00814CB8"/>
    <w:rsid w:val="00814D79"/>
    <w:rsid w:val="00814E6A"/>
    <w:rsid w:val="00814EFF"/>
    <w:rsid w:val="00814F99"/>
    <w:rsid w:val="00814FF0"/>
    <w:rsid w:val="00815061"/>
    <w:rsid w:val="00815066"/>
    <w:rsid w:val="0081510C"/>
    <w:rsid w:val="008151DF"/>
    <w:rsid w:val="008151F5"/>
    <w:rsid w:val="0081523A"/>
    <w:rsid w:val="008152BB"/>
    <w:rsid w:val="00815315"/>
    <w:rsid w:val="00815335"/>
    <w:rsid w:val="0081541E"/>
    <w:rsid w:val="0081555C"/>
    <w:rsid w:val="00815717"/>
    <w:rsid w:val="008158FE"/>
    <w:rsid w:val="008159A1"/>
    <w:rsid w:val="00815A97"/>
    <w:rsid w:val="00815C4B"/>
    <w:rsid w:val="00815C5E"/>
    <w:rsid w:val="00815D27"/>
    <w:rsid w:val="00815E16"/>
    <w:rsid w:val="00815E7C"/>
    <w:rsid w:val="008160C9"/>
    <w:rsid w:val="008160EB"/>
    <w:rsid w:val="0081635D"/>
    <w:rsid w:val="00816536"/>
    <w:rsid w:val="0081658A"/>
    <w:rsid w:val="008165EC"/>
    <w:rsid w:val="008166AC"/>
    <w:rsid w:val="00816871"/>
    <w:rsid w:val="008168C6"/>
    <w:rsid w:val="00816B75"/>
    <w:rsid w:val="00816BB6"/>
    <w:rsid w:val="00816C1B"/>
    <w:rsid w:val="00816C87"/>
    <w:rsid w:val="00816D22"/>
    <w:rsid w:val="00816D50"/>
    <w:rsid w:val="00816D5D"/>
    <w:rsid w:val="00816E5B"/>
    <w:rsid w:val="00816E8A"/>
    <w:rsid w:val="00816E8B"/>
    <w:rsid w:val="00817113"/>
    <w:rsid w:val="0081712C"/>
    <w:rsid w:val="0081715E"/>
    <w:rsid w:val="008171EB"/>
    <w:rsid w:val="00817451"/>
    <w:rsid w:val="008175C3"/>
    <w:rsid w:val="0081769B"/>
    <w:rsid w:val="008176A5"/>
    <w:rsid w:val="0081777D"/>
    <w:rsid w:val="00817831"/>
    <w:rsid w:val="00817A1C"/>
    <w:rsid w:val="00817D7A"/>
    <w:rsid w:val="00817F8E"/>
    <w:rsid w:val="00820150"/>
    <w:rsid w:val="00820177"/>
    <w:rsid w:val="0082021D"/>
    <w:rsid w:val="00820397"/>
    <w:rsid w:val="008203F4"/>
    <w:rsid w:val="00820518"/>
    <w:rsid w:val="0082058D"/>
    <w:rsid w:val="008205E6"/>
    <w:rsid w:val="008205F1"/>
    <w:rsid w:val="008206AC"/>
    <w:rsid w:val="00820824"/>
    <w:rsid w:val="00820932"/>
    <w:rsid w:val="00820EFA"/>
    <w:rsid w:val="00820F3A"/>
    <w:rsid w:val="00821047"/>
    <w:rsid w:val="0082126E"/>
    <w:rsid w:val="008212A4"/>
    <w:rsid w:val="00821386"/>
    <w:rsid w:val="008214D1"/>
    <w:rsid w:val="0082164E"/>
    <w:rsid w:val="008217F3"/>
    <w:rsid w:val="008218DF"/>
    <w:rsid w:val="008219C0"/>
    <w:rsid w:val="00821A22"/>
    <w:rsid w:val="00821B00"/>
    <w:rsid w:val="00821CD6"/>
    <w:rsid w:val="00821EDC"/>
    <w:rsid w:val="00822099"/>
    <w:rsid w:val="0082218D"/>
    <w:rsid w:val="008221A0"/>
    <w:rsid w:val="0082221A"/>
    <w:rsid w:val="00822228"/>
    <w:rsid w:val="00822248"/>
    <w:rsid w:val="00822420"/>
    <w:rsid w:val="008224CE"/>
    <w:rsid w:val="0082256B"/>
    <w:rsid w:val="0082260B"/>
    <w:rsid w:val="00822694"/>
    <w:rsid w:val="008227A1"/>
    <w:rsid w:val="00822821"/>
    <w:rsid w:val="00822842"/>
    <w:rsid w:val="00822953"/>
    <w:rsid w:val="00822AB4"/>
    <w:rsid w:val="00822ACC"/>
    <w:rsid w:val="00822B2C"/>
    <w:rsid w:val="00822C7F"/>
    <w:rsid w:val="00822CBC"/>
    <w:rsid w:val="00822D63"/>
    <w:rsid w:val="00822DC4"/>
    <w:rsid w:val="00822E03"/>
    <w:rsid w:val="00822E0E"/>
    <w:rsid w:val="00822E94"/>
    <w:rsid w:val="00822EDD"/>
    <w:rsid w:val="00823043"/>
    <w:rsid w:val="0082304C"/>
    <w:rsid w:val="0082309B"/>
    <w:rsid w:val="008230C3"/>
    <w:rsid w:val="00823145"/>
    <w:rsid w:val="0082319E"/>
    <w:rsid w:val="008231AA"/>
    <w:rsid w:val="008231E4"/>
    <w:rsid w:val="00823218"/>
    <w:rsid w:val="0082325A"/>
    <w:rsid w:val="00823272"/>
    <w:rsid w:val="0082330B"/>
    <w:rsid w:val="00823365"/>
    <w:rsid w:val="008233DD"/>
    <w:rsid w:val="008233E7"/>
    <w:rsid w:val="0082343C"/>
    <w:rsid w:val="00823457"/>
    <w:rsid w:val="0082345A"/>
    <w:rsid w:val="008235CA"/>
    <w:rsid w:val="00823844"/>
    <w:rsid w:val="00823A44"/>
    <w:rsid w:val="00823B0D"/>
    <w:rsid w:val="00823C5D"/>
    <w:rsid w:val="00823F29"/>
    <w:rsid w:val="00823F54"/>
    <w:rsid w:val="0082411C"/>
    <w:rsid w:val="0082442B"/>
    <w:rsid w:val="00824769"/>
    <w:rsid w:val="00824833"/>
    <w:rsid w:val="00824946"/>
    <w:rsid w:val="00824A5A"/>
    <w:rsid w:val="00824D4E"/>
    <w:rsid w:val="00824DC3"/>
    <w:rsid w:val="00824E46"/>
    <w:rsid w:val="00824EE3"/>
    <w:rsid w:val="0082519D"/>
    <w:rsid w:val="00825248"/>
    <w:rsid w:val="0082524E"/>
    <w:rsid w:val="00825269"/>
    <w:rsid w:val="008252F1"/>
    <w:rsid w:val="00825521"/>
    <w:rsid w:val="00825581"/>
    <w:rsid w:val="00825622"/>
    <w:rsid w:val="00825627"/>
    <w:rsid w:val="0082582C"/>
    <w:rsid w:val="0082588D"/>
    <w:rsid w:val="008258AB"/>
    <w:rsid w:val="008258E5"/>
    <w:rsid w:val="008258F7"/>
    <w:rsid w:val="00825A63"/>
    <w:rsid w:val="00825C58"/>
    <w:rsid w:val="00825CC2"/>
    <w:rsid w:val="00825D79"/>
    <w:rsid w:val="00825DB6"/>
    <w:rsid w:val="00825EB6"/>
    <w:rsid w:val="00825EC9"/>
    <w:rsid w:val="00825F49"/>
    <w:rsid w:val="00825F63"/>
    <w:rsid w:val="00825FA5"/>
    <w:rsid w:val="00826206"/>
    <w:rsid w:val="00826268"/>
    <w:rsid w:val="008263A6"/>
    <w:rsid w:val="00826467"/>
    <w:rsid w:val="00826618"/>
    <w:rsid w:val="008266E9"/>
    <w:rsid w:val="008267D1"/>
    <w:rsid w:val="00826800"/>
    <w:rsid w:val="008268E8"/>
    <w:rsid w:val="00826900"/>
    <w:rsid w:val="00826937"/>
    <w:rsid w:val="00826A52"/>
    <w:rsid w:val="00826ACD"/>
    <w:rsid w:val="00826B54"/>
    <w:rsid w:val="00826D96"/>
    <w:rsid w:val="00826F5B"/>
    <w:rsid w:val="00826F60"/>
    <w:rsid w:val="00826F65"/>
    <w:rsid w:val="0082704F"/>
    <w:rsid w:val="00827076"/>
    <w:rsid w:val="00827079"/>
    <w:rsid w:val="008270C6"/>
    <w:rsid w:val="00827106"/>
    <w:rsid w:val="00827230"/>
    <w:rsid w:val="008273A2"/>
    <w:rsid w:val="008273C4"/>
    <w:rsid w:val="00827419"/>
    <w:rsid w:val="0082745D"/>
    <w:rsid w:val="00827961"/>
    <w:rsid w:val="008279EA"/>
    <w:rsid w:val="00827AC1"/>
    <w:rsid w:val="00827B15"/>
    <w:rsid w:val="00827B29"/>
    <w:rsid w:val="00827B6A"/>
    <w:rsid w:val="00827C97"/>
    <w:rsid w:val="00827DCC"/>
    <w:rsid w:val="00827E2D"/>
    <w:rsid w:val="00827E8A"/>
    <w:rsid w:val="00830015"/>
    <w:rsid w:val="00830161"/>
    <w:rsid w:val="008301A1"/>
    <w:rsid w:val="008301AD"/>
    <w:rsid w:val="008301B4"/>
    <w:rsid w:val="0083030C"/>
    <w:rsid w:val="00830319"/>
    <w:rsid w:val="0083034B"/>
    <w:rsid w:val="008303B3"/>
    <w:rsid w:val="008303E6"/>
    <w:rsid w:val="008303F8"/>
    <w:rsid w:val="0083047B"/>
    <w:rsid w:val="00830505"/>
    <w:rsid w:val="008305AE"/>
    <w:rsid w:val="00830605"/>
    <w:rsid w:val="00830619"/>
    <w:rsid w:val="00830638"/>
    <w:rsid w:val="008308F2"/>
    <w:rsid w:val="0083090F"/>
    <w:rsid w:val="00830AD6"/>
    <w:rsid w:val="00830B70"/>
    <w:rsid w:val="00830D75"/>
    <w:rsid w:val="00830E4A"/>
    <w:rsid w:val="00830E84"/>
    <w:rsid w:val="00830EDA"/>
    <w:rsid w:val="00831139"/>
    <w:rsid w:val="0083122F"/>
    <w:rsid w:val="00831310"/>
    <w:rsid w:val="0083153A"/>
    <w:rsid w:val="00831558"/>
    <w:rsid w:val="008315BD"/>
    <w:rsid w:val="0083160A"/>
    <w:rsid w:val="00831680"/>
    <w:rsid w:val="008316A9"/>
    <w:rsid w:val="008316E8"/>
    <w:rsid w:val="0083174F"/>
    <w:rsid w:val="00831873"/>
    <w:rsid w:val="008318D4"/>
    <w:rsid w:val="00831914"/>
    <w:rsid w:val="00831957"/>
    <w:rsid w:val="00831958"/>
    <w:rsid w:val="00831968"/>
    <w:rsid w:val="0083196C"/>
    <w:rsid w:val="008319A3"/>
    <w:rsid w:val="008319B6"/>
    <w:rsid w:val="00831B96"/>
    <w:rsid w:val="00831BB2"/>
    <w:rsid w:val="00831C58"/>
    <w:rsid w:val="00831E22"/>
    <w:rsid w:val="00832028"/>
    <w:rsid w:val="0083216E"/>
    <w:rsid w:val="008321F8"/>
    <w:rsid w:val="00832485"/>
    <w:rsid w:val="008324BA"/>
    <w:rsid w:val="0083258D"/>
    <w:rsid w:val="0083264A"/>
    <w:rsid w:val="00832815"/>
    <w:rsid w:val="008328CF"/>
    <w:rsid w:val="00832A0A"/>
    <w:rsid w:val="00832A3B"/>
    <w:rsid w:val="00832AD0"/>
    <w:rsid w:val="00832B50"/>
    <w:rsid w:val="00832BFE"/>
    <w:rsid w:val="00832C07"/>
    <w:rsid w:val="00832C40"/>
    <w:rsid w:val="00832E63"/>
    <w:rsid w:val="00832EDD"/>
    <w:rsid w:val="00833081"/>
    <w:rsid w:val="008330E2"/>
    <w:rsid w:val="0083320E"/>
    <w:rsid w:val="00833384"/>
    <w:rsid w:val="00833551"/>
    <w:rsid w:val="008336BD"/>
    <w:rsid w:val="00833738"/>
    <w:rsid w:val="00833823"/>
    <w:rsid w:val="00833901"/>
    <w:rsid w:val="008339B3"/>
    <w:rsid w:val="008339CD"/>
    <w:rsid w:val="008339D9"/>
    <w:rsid w:val="00833B28"/>
    <w:rsid w:val="00833B61"/>
    <w:rsid w:val="00833D45"/>
    <w:rsid w:val="00833D51"/>
    <w:rsid w:val="00833E3C"/>
    <w:rsid w:val="00833EC6"/>
    <w:rsid w:val="00833FAD"/>
    <w:rsid w:val="00834069"/>
    <w:rsid w:val="0083407F"/>
    <w:rsid w:val="008340F2"/>
    <w:rsid w:val="00834153"/>
    <w:rsid w:val="00834274"/>
    <w:rsid w:val="008344A3"/>
    <w:rsid w:val="008344E6"/>
    <w:rsid w:val="0083458C"/>
    <w:rsid w:val="00834617"/>
    <w:rsid w:val="008348A1"/>
    <w:rsid w:val="008349D1"/>
    <w:rsid w:val="00834A70"/>
    <w:rsid w:val="00834BD5"/>
    <w:rsid w:val="00834BF0"/>
    <w:rsid w:val="00834C12"/>
    <w:rsid w:val="00834C3B"/>
    <w:rsid w:val="00834E03"/>
    <w:rsid w:val="00835084"/>
    <w:rsid w:val="00835166"/>
    <w:rsid w:val="008352FC"/>
    <w:rsid w:val="008353F0"/>
    <w:rsid w:val="00835576"/>
    <w:rsid w:val="008355F5"/>
    <w:rsid w:val="008355FD"/>
    <w:rsid w:val="00835792"/>
    <w:rsid w:val="0083586D"/>
    <w:rsid w:val="00835931"/>
    <w:rsid w:val="00835A12"/>
    <w:rsid w:val="00835A4D"/>
    <w:rsid w:val="00835B73"/>
    <w:rsid w:val="00835BB1"/>
    <w:rsid w:val="00835C6F"/>
    <w:rsid w:val="00835DC2"/>
    <w:rsid w:val="00835F2F"/>
    <w:rsid w:val="00836313"/>
    <w:rsid w:val="0083639C"/>
    <w:rsid w:val="008363E9"/>
    <w:rsid w:val="00836555"/>
    <w:rsid w:val="00836563"/>
    <w:rsid w:val="00836650"/>
    <w:rsid w:val="008366B0"/>
    <w:rsid w:val="0083677D"/>
    <w:rsid w:val="008368F7"/>
    <w:rsid w:val="00836A03"/>
    <w:rsid w:val="00836AE4"/>
    <w:rsid w:val="00836BC4"/>
    <w:rsid w:val="00836DA6"/>
    <w:rsid w:val="00836DFB"/>
    <w:rsid w:val="00836E48"/>
    <w:rsid w:val="00836EA1"/>
    <w:rsid w:val="00836EFA"/>
    <w:rsid w:val="008372BB"/>
    <w:rsid w:val="0083737F"/>
    <w:rsid w:val="00837519"/>
    <w:rsid w:val="0083772E"/>
    <w:rsid w:val="0083772F"/>
    <w:rsid w:val="00837744"/>
    <w:rsid w:val="00837A2E"/>
    <w:rsid w:val="00837ACC"/>
    <w:rsid w:val="00837D3B"/>
    <w:rsid w:val="00837D47"/>
    <w:rsid w:val="00837F16"/>
    <w:rsid w:val="00840190"/>
    <w:rsid w:val="008401E6"/>
    <w:rsid w:val="0084030B"/>
    <w:rsid w:val="00840451"/>
    <w:rsid w:val="0084048B"/>
    <w:rsid w:val="00840498"/>
    <w:rsid w:val="008404BC"/>
    <w:rsid w:val="0084066E"/>
    <w:rsid w:val="0084069A"/>
    <w:rsid w:val="008408D0"/>
    <w:rsid w:val="00840A66"/>
    <w:rsid w:val="00840B92"/>
    <w:rsid w:val="00840CF1"/>
    <w:rsid w:val="00840E98"/>
    <w:rsid w:val="00840EB5"/>
    <w:rsid w:val="00840FBC"/>
    <w:rsid w:val="008411F4"/>
    <w:rsid w:val="00841263"/>
    <w:rsid w:val="0084126F"/>
    <w:rsid w:val="00841283"/>
    <w:rsid w:val="0084137F"/>
    <w:rsid w:val="008413E0"/>
    <w:rsid w:val="0084142E"/>
    <w:rsid w:val="008414E0"/>
    <w:rsid w:val="00841727"/>
    <w:rsid w:val="0084173B"/>
    <w:rsid w:val="00841894"/>
    <w:rsid w:val="00841A0D"/>
    <w:rsid w:val="00841CC4"/>
    <w:rsid w:val="00841D03"/>
    <w:rsid w:val="00841D7F"/>
    <w:rsid w:val="00841F9E"/>
    <w:rsid w:val="00841FBC"/>
    <w:rsid w:val="00842292"/>
    <w:rsid w:val="008422AD"/>
    <w:rsid w:val="00842334"/>
    <w:rsid w:val="00842425"/>
    <w:rsid w:val="00842448"/>
    <w:rsid w:val="00842627"/>
    <w:rsid w:val="00842668"/>
    <w:rsid w:val="0084292A"/>
    <w:rsid w:val="00842973"/>
    <w:rsid w:val="00842B49"/>
    <w:rsid w:val="00842BF5"/>
    <w:rsid w:val="00842C0F"/>
    <w:rsid w:val="00842CBC"/>
    <w:rsid w:val="00842E2F"/>
    <w:rsid w:val="00842E3B"/>
    <w:rsid w:val="00842F9A"/>
    <w:rsid w:val="00843325"/>
    <w:rsid w:val="0084338A"/>
    <w:rsid w:val="0084349B"/>
    <w:rsid w:val="0084353C"/>
    <w:rsid w:val="008436FA"/>
    <w:rsid w:val="0084387D"/>
    <w:rsid w:val="0084389A"/>
    <w:rsid w:val="008438FD"/>
    <w:rsid w:val="0084395C"/>
    <w:rsid w:val="00843A4F"/>
    <w:rsid w:val="00843CC1"/>
    <w:rsid w:val="00843D20"/>
    <w:rsid w:val="00843D72"/>
    <w:rsid w:val="00843E35"/>
    <w:rsid w:val="00843FEE"/>
    <w:rsid w:val="008441B8"/>
    <w:rsid w:val="00844200"/>
    <w:rsid w:val="00844486"/>
    <w:rsid w:val="00844489"/>
    <w:rsid w:val="00844502"/>
    <w:rsid w:val="00844548"/>
    <w:rsid w:val="008445CE"/>
    <w:rsid w:val="008446BD"/>
    <w:rsid w:val="008447A3"/>
    <w:rsid w:val="008447E8"/>
    <w:rsid w:val="0084485D"/>
    <w:rsid w:val="00844887"/>
    <w:rsid w:val="00844C05"/>
    <w:rsid w:val="00844CF3"/>
    <w:rsid w:val="00844F51"/>
    <w:rsid w:val="00844FB2"/>
    <w:rsid w:val="00844FD1"/>
    <w:rsid w:val="00844FD5"/>
    <w:rsid w:val="00844FE8"/>
    <w:rsid w:val="0084507C"/>
    <w:rsid w:val="008450BA"/>
    <w:rsid w:val="00845126"/>
    <w:rsid w:val="008451C7"/>
    <w:rsid w:val="008451D7"/>
    <w:rsid w:val="008452B4"/>
    <w:rsid w:val="00845471"/>
    <w:rsid w:val="008456EF"/>
    <w:rsid w:val="008457B7"/>
    <w:rsid w:val="00845806"/>
    <w:rsid w:val="0084581E"/>
    <w:rsid w:val="00845CAA"/>
    <w:rsid w:val="00845DB0"/>
    <w:rsid w:val="00845E28"/>
    <w:rsid w:val="00845E70"/>
    <w:rsid w:val="00846027"/>
    <w:rsid w:val="00846108"/>
    <w:rsid w:val="00846142"/>
    <w:rsid w:val="008461AF"/>
    <w:rsid w:val="008461CF"/>
    <w:rsid w:val="00846201"/>
    <w:rsid w:val="00846228"/>
    <w:rsid w:val="00846234"/>
    <w:rsid w:val="008462F9"/>
    <w:rsid w:val="008463C6"/>
    <w:rsid w:val="008464BD"/>
    <w:rsid w:val="00846567"/>
    <w:rsid w:val="0084662C"/>
    <w:rsid w:val="00846763"/>
    <w:rsid w:val="00846837"/>
    <w:rsid w:val="008469B2"/>
    <w:rsid w:val="00846A1D"/>
    <w:rsid w:val="00846C14"/>
    <w:rsid w:val="00846C72"/>
    <w:rsid w:val="00846CD4"/>
    <w:rsid w:val="00846E5A"/>
    <w:rsid w:val="00846E73"/>
    <w:rsid w:val="00846EAE"/>
    <w:rsid w:val="00847029"/>
    <w:rsid w:val="0084705E"/>
    <w:rsid w:val="008470B3"/>
    <w:rsid w:val="00847344"/>
    <w:rsid w:val="008473D3"/>
    <w:rsid w:val="008474A1"/>
    <w:rsid w:val="008478E9"/>
    <w:rsid w:val="00847A13"/>
    <w:rsid w:val="00847A6D"/>
    <w:rsid w:val="00847AC3"/>
    <w:rsid w:val="00847B05"/>
    <w:rsid w:val="00847B47"/>
    <w:rsid w:val="00847D18"/>
    <w:rsid w:val="00847D9F"/>
    <w:rsid w:val="00847DED"/>
    <w:rsid w:val="00847FBB"/>
    <w:rsid w:val="0085004C"/>
    <w:rsid w:val="0085010A"/>
    <w:rsid w:val="00850229"/>
    <w:rsid w:val="0085025B"/>
    <w:rsid w:val="008502F8"/>
    <w:rsid w:val="0085036A"/>
    <w:rsid w:val="008504A3"/>
    <w:rsid w:val="008504E0"/>
    <w:rsid w:val="0085058D"/>
    <w:rsid w:val="0085079A"/>
    <w:rsid w:val="008507BD"/>
    <w:rsid w:val="00850806"/>
    <w:rsid w:val="008509A0"/>
    <w:rsid w:val="00850A41"/>
    <w:rsid w:val="00850AB0"/>
    <w:rsid w:val="00850B8F"/>
    <w:rsid w:val="00850DFD"/>
    <w:rsid w:val="00850E2E"/>
    <w:rsid w:val="00850F68"/>
    <w:rsid w:val="008510DE"/>
    <w:rsid w:val="00851155"/>
    <w:rsid w:val="0085116A"/>
    <w:rsid w:val="00851408"/>
    <w:rsid w:val="0085142A"/>
    <w:rsid w:val="00851430"/>
    <w:rsid w:val="00851481"/>
    <w:rsid w:val="00851817"/>
    <w:rsid w:val="00851965"/>
    <w:rsid w:val="00851970"/>
    <w:rsid w:val="00851AF8"/>
    <w:rsid w:val="00851B14"/>
    <w:rsid w:val="00851C1A"/>
    <w:rsid w:val="00851D56"/>
    <w:rsid w:val="0085202C"/>
    <w:rsid w:val="00852126"/>
    <w:rsid w:val="00852364"/>
    <w:rsid w:val="0085245C"/>
    <w:rsid w:val="00852554"/>
    <w:rsid w:val="008525DC"/>
    <w:rsid w:val="00852622"/>
    <w:rsid w:val="00852649"/>
    <w:rsid w:val="00852799"/>
    <w:rsid w:val="008527FD"/>
    <w:rsid w:val="00852800"/>
    <w:rsid w:val="00852910"/>
    <w:rsid w:val="0085298B"/>
    <w:rsid w:val="00852A21"/>
    <w:rsid w:val="00852A55"/>
    <w:rsid w:val="00852B83"/>
    <w:rsid w:val="00852C87"/>
    <w:rsid w:val="00852CA7"/>
    <w:rsid w:val="00852CC6"/>
    <w:rsid w:val="00852D30"/>
    <w:rsid w:val="00852D42"/>
    <w:rsid w:val="00852D60"/>
    <w:rsid w:val="00852EB4"/>
    <w:rsid w:val="00852EE7"/>
    <w:rsid w:val="00852F96"/>
    <w:rsid w:val="0085315C"/>
    <w:rsid w:val="008533B9"/>
    <w:rsid w:val="00853444"/>
    <w:rsid w:val="0085348D"/>
    <w:rsid w:val="008534C5"/>
    <w:rsid w:val="008534D1"/>
    <w:rsid w:val="00853521"/>
    <w:rsid w:val="0085366B"/>
    <w:rsid w:val="00853833"/>
    <w:rsid w:val="008538B5"/>
    <w:rsid w:val="008538F8"/>
    <w:rsid w:val="008539D1"/>
    <w:rsid w:val="00853A37"/>
    <w:rsid w:val="00853E58"/>
    <w:rsid w:val="0085413A"/>
    <w:rsid w:val="00854179"/>
    <w:rsid w:val="008541EA"/>
    <w:rsid w:val="008542EE"/>
    <w:rsid w:val="0085430D"/>
    <w:rsid w:val="00854652"/>
    <w:rsid w:val="0085465D"/>
    <w:rsid w:val="008546FE"/>
    <w:rsid w:val="00854717"/>
    <w:rsid w:val="008547B2"/>
    <w:rsid w:val="00854803"/>
    <w:rsid w:val="008548EA"/>
    <w:rsid w:val="0085493A"/>
    <w:rsid w:val="00854A99"/>
    <w:rsid w:val="00854B0C"/>
    <w:rsid w:val="00854B58"/>
    <w:rsid w:val="00854B60"/>
    <w:rsid w:val="00854C42"/>
    <w:rsid w:val="00854CBF"/>
    <w:rsid w:val="00854CD7"/>
    <w:rsid w:val="00854D31"/>
    <w:rsid w:val="00854EEC"/>
    <w:rsid w:val="00854FBA"/>
    <w:rsid w:val="00854FED"/>
    <w:rsid w:val="0085501B"/>
    <w:rsid w:val="00855117"/>
    <w:rsid w:val="00855147"/>
    <w:rsid w:val="008551F5"/>
    <w:rsid w:val="00855318"/>
    <w:rsid w:val="00855322"/>
    <w:rsid w:val="0085540B"/>
    <w:rsid w:val="00855475"/>
    <w:rsid w:val="008557D9"/>
    <w:rsid w:val="008558B5"/>
    <w:rsid w:val="008558FA"/>
    <w:rsid w:val="0085594D"/>
    <w:rsid w:val="00855BFB"/>
    <w:rsid w:val="00855C7D"/>
    <w:rsid w:val="00855CA9"/>
    <w:rsid w:val="00855D1A"/>
    <w:rsid w:val="00855E05"/>
    <w:rsid w:val="00855E1B"/>
    <w:rsid w:val="00855F90"/>
    <w:rsid w:val="00856105"/>
    <w:rsid w:val="0085612F"/>
    <w:rsid w:val="00856177"/>
    <w:rsid w:val="0085618B"/>
    <w:rsid w:val="008561AD"/>
    <w:rsid w:val="008562AF"/>
    <w:rsid w:val="008562D0"/>
    <w:rsid w:val="008562E5"/>
    <w:rsid w:val="00856416"/>
    <w:rsid w:val="00856462"/>
    <w:rsid w:val="008564D7"/>
    <w:rsid w:val="008564F5"/>
    <w:rsid w:val="00856658"/>
    <w:rsid w:val="00856767"/>
    <w:rsid w:val="00856771"/>
    <w:rsid w:val="0085686F"/>
    <w:rsid w:val="00856884"/>
    <w:rsid w:val="00856950"/>
    <w:rsid w:val="00856980"/>
    <w:rsid w:val="008569F5"/>
    <w:rsid w:val="00856A26"/>
    <w:rsid w:val="00856A3F"/>
    <w:rsid w:val="00856A6B"/>
    <w:rsid w:val="00856BC7"/>
    <w:rsid w:val="00856CAD"/>
    <w:rsid w:val="00856CCD"/>
    <w:rsid w:val="00856D8B"/>
    <w:rsid w:val="00856D9D"/>
    <w:rsid w:val="00856E5A"/>
    <w:rsid w:val="00856EBF"/>
    <w:rsid w:val="00856EF4"/>
    <w:rsid w:val="00856EFF"/>
    <w:rsid w:val="00856F78"/>
    <w:rsid w:val="0085710B"/>
    <w:rsid w:val="0085723F"/>
    <w:rsid w:val="0085727D"/>
    <w:rsid w:val="008572E8"/>
    <w:rsid w:val="00857607"/>
    <w:rsid w:val="008576A1"/>
    <w:rsid w:val="008576F8"/>
    <w:rsid w:val="00857720"/>
    <w:rsid w:val="00857733"/>
    <w:rsid w:val="008579C3"/>
    <w:rsid w:val="00857A3B"/>
    <w:rsid w:val="00857AE8"/>
    <w:rsid w:val="00857B81"/>
    <w:rsid w:val="00857BBB"/>
    <w:rsid w:val="00857BE7"/>
    <w:rsid w:val="00857BE8"/>
    <w:rsid w:val="00857C32"/>
    <w:rsid w:val="00857EAC"/>
    <w:rsid w:val="00857FD9"/>
    <w:rsid w:val="00857FF2"/>
    <w:rsid w:val="008600A0"/>
    <w:rsid w:val="00860147"/>
    <w:rsid w:val="0086014E"/>
    <w:rsid w:val="00860322"/>
    <w:rsid w:val="00860336"/>
    <w:rsid w:val="0086039E"/>
    <w:rsid w:val="008603D5"/>
    <w:rsid w:val="00860433"/>
    <w:rsid w:val="00860604"/>
    <w:rsid w:val="00860759"/>
    <w:rsid w:val="00860762"/>
    <w:rsid w:val="008607A8"/>
    <w:rsid w:val="00860950"/>
    <w:rsid w:val="00860B52"/>
    <w:rsid w:val="00860B7E"/>
    <w:rsid w:val="00860E4A"/>
    <w:rsid w:val="00860EE7"/>
    <w:rsid w:val="00860F3F"/>
    <w:rsid w:val="00860FBD"/>
    <w:rsid w:val="00861005"/>
    <w:rsid w:val="008610F8"/>
    <w:rsid w:val="008611B6"/>
    <w:rsid w:val="008611D6"/>
    <w:rsid w:val="0086126E"/>
    <w:rsid w:val="00861575"/>
    <w:rsid w:val="008615D5"/>
    <w:rsid w:val="00861736"/>
    <w:rsid w:val="008617D5"/>
    <w:rsid w:val="00861996"/>
    <w:rsid w:val="00861A1A"/>
    <w:rsid w:val="00861CFD"/>
    <w:rsid w:val="00861D31"/>
    <w:rsid w:val="00861E3D"/>
    <w:rsid w:val="00861E50"/>
    <w:rsid w:val="00861E65"/>
    <w:rsid w:val="00861EFB"/>
    <w:rsid w:val="00862043"/>
    <w:rsid w:val="008620AE"/>
    <w:rsid w:val="0086222B"/>
    <w:rsid w:val="0086234D"/>
    <w:rsid w:val="008623C2"/>
    <w:rsid w:val="00862478"/>
    <w:rsid w:val="0086273F"/>
    <w:rsid w:val="00862759"/>
    <w:rsid w:val="00862870"/>
    <w:rsid w:val="0086287B"/>
    <w:rsid w:val="008628D5"/>
    <w:rsid w:val="008629F0"/>
    <w:rsid w:val="00862A8E"/>
    <w:rsid w:val="00862D8C"/>
    <w:rsid w:val="00862DF2"/>
    <w:rsid w:val="00862EA7"/>
    <w:rsid w:val="00862EE7"/>
    <w:rsid w:val="00862F8F"/>
    <w:rsid w:val="008630B9"/>
    <w:rsid w:val="008630E8"/>
    <w:rsid w:val="008630F2"/>
    <w:rsid w:val="008630FF"/>
    <w:rsid w:val="00863120"/>
    <w:rsid w:val="00863142"/>
    <w:rsid w:val="008632FD"/>
    <w:rsid w:val="00863375"/>
    <w:rsid w:val="008633D2"/>
    <w:rsid w:val="00863458"/>
    <w:rsid w:val="00863555"/>
    <w:rsid w:val="00863673"/>
    <w:rsid w:val="00863945"/>
    <w:rsid w:val="0086396D"/>
    <w:rsid w:val="00863B42"/>
    <w:rsid w:val="00863FC5"/>
    <w:rsid w:val="00863FF1"/>
    <w:rsid w:val="0086417D"/>
    <w:rsid w:val="00864303"/>
    <w:rsid w:val="00864397"/>
    <w:rsid w:val="00864435"/>
    <w:rsid w:val="00864525"/>
    <w:rsid w:val="00864535"/>
    <w:rsid w:val="00864581"/>
    <w:rsid w:val="00864701"/>
    <w:rsid w:val="0086484B"/>
    <w:rsid w:val="008648E5"/>
    <w:rsid w:val="00864900"/>
    <w:rsid w:val="00864A89"/>
    <w:rsid w:val="00864A9D"/>
    <w:rsid w:val="00864AD7"/>
    <w:rsid w:val="00864B41"/>
    <w:rsid w:val="00864BF5"/>
    <w:rsid w:val="00864C06"/>
    <w:rsid w:val="00864C8A"/>
    <w:rsid w:val="00864D93"/>
    <w:rsid w:val="00864F5A"/>
    <w:rsid w:val="00864FED"/>
    <w:rsid w:val="008650B5"/>
    <w:rsid w:val="00865154"/>
    <w:rsid w:val="008651A2"/>
    <w:rsid w:val="00865283"/>
    <w:rsid w:val="008652F0"/>
    <w:rsid w:val="008653DA"/>
    <w:rsid w:val="008655C5"/>
    <w:rsid w:val="00865634"/>
    <w:rsid w:val="00865695"/>
    <w:rsid w:val="008656BA"/>
    <w:rsid w:val="00865769"/>
    <w:rsid w:val="008659FC"/>
    <w:rsid w:val="00865EF8"/>
    <w:rsid w:val="00866013"/>
    <w:rsid w:val="008660C7"/>
    <w:rsid w:val="00866127"/>
    <w:rsid w:val="008662AB"/>
    <w:rsid w:val="0086631B"/>
    <w:rsid w:val="0086638A"/>
    <w:rsid w:val="008664B0"/>
    <w:rsid w:val="008664F1"/>
    <w:rsid w:val="0086685A"/>
    <w:rsid w:val="008668B1"/>
    <w:rsid w:val="00866947"/>
    <w:rsid w:val="00866AC1"/>
    <w:rsid w:val="00866AE5"/>
    <w:rsid w:val="00866BC4"/>
    <w:rsid w:val="00866C74"/>
    <w:rsid w:val="00866C8C"/>
    <w:rsid w:val="00866C90"/>
    <w:rsid w:val="00866C94"/>
    <w:rsid w:val="00866E2D"/>
    <w:rsid w:val="00866ED4"/>
    <w:rsid w:val="00866F56"/>
    <w:rsid w:val="00866FDB"/>
    <w:rsid w:val="00867042"/>
    <w:rsid w:val="00867199"/>
    <w:rsid w:val="0086727B"/>
    <w:rsid w:val="00867416"/>
    <w:rsid w:val="008674E7"/>
    <w:rsid w:val="0086756E"/>
    <w:rsid w:val="008676B7"/>
    <w:rsid w:val="008676DE"/>
    <w:rsid w:val="008676FB"/>
    <w:rsid w:val="008677B0"/>
    <w:rsid w:val="008679E7"/>
    <w:rsid w:val="00867A8D"/>
    <w:rsid w:val="00867B87"/>
    <w:rsid w:val="00867B97"/>
    <w:rsid w:val="00867CC6"/>
    <w:rsid w:val="00867F38"/>
    <w:rsid w:val="00870016"/>
    <w:rsid w:val="0087017E"/>
    <w:rsid w:val="008701FE"/>
    <w:rsid w:val="0087035A"/>
    <w:rsid w:val="0087039A"/>
    <w:rsid w:val="008703F2"/>
    <w:rsid w:val="008705CE"/>
    <w:rsid w:val="00870716"/>
    <w:rsid w:val="00870894"/>
    <w:rsid w:val="008708A5"/>
    <w:rsid w:val="00870906"/>
    <w:rsid w:val="0087099C"/>
    <w:rsid w:val="00870A1D"/>
    <w:rsid w:val="00870A39"/>
    <w:rsid w:val="00870AE1"/>
    <w:rsid w:val="00870B90"/>
    <w:rsid w:val="00870BC3"/>
    <w:rsid w:val="00870C23"/>
    <w:rsid w:val="00870D05"/>
    <w:rsid w:val="00870D66"/>
    <w:rsid w:val="00870D8C"/>
    <w:rsid w:val="00870ECB"/>
    <w:rsid w:val="00870EDC"/>
    <w:rsid w:val="00870EF1"/>
    <w:rsid w:val="00870F3A"/>
    <w:rsid w:val="00871125"/>
    <w:rsid w:val="00871155"/>
    <w:rsid w:val="0087119E"/>
    <w:rsid w:val="00871226"/>
    <w:rsid w:val="008713B2"/>
    <w:rsid w:val="008713E0"/>
    <w:rsid w:val="0087144E"/>
    <w:rsid w:val="00871488"/>
    <w:rsid w:val="00871812"/>
    <w:rsid w:val="00871842"/>
    <w:rsid w:val="0087190A"/>
    <w:rsid w:val="00871B28"/>
    <w:rsid w:val="00871B5B"/>
    <w:rsid w:val="00871CBC"/>
    <w:rsid w:val="00871D06"/>
    <w:rsid w:val="00871E1E"/>
    <w:rsid w:val="00871F18"/>
    <w:rsid w:val="00871FCC"/>
    <w:rsid w:val="0087235D"/>
    <w:rsid w:val="008723A3"/>
    <w:rsid w:val="008723C5"/>
    <w:rsid w:val="0087262C"/>
    <w:rsid w:val="00872714"/>
    <w:rsid w:val="00872799"/>
    <w:rsid w:val="008728E9"/>
    <w:rsid w:val="008729E2"/>
    <w:rsid w:val="008729F1"/>
    <w:rsid w:val="00872B70"/>
    <w:rsid w:val="00872BC3"/>
    <w:rsid w:val="00872CD3"/>
    <w:rsid w:val="00872CEA"/>
    <w:rsid w:val="00872EE4"/>
    <w:rsid w:val="0087301A"/>
    <w:rsid w:val="008730FA"/>
    <w:rsid w:val="0087320F"/>
    <w:rsid w:val="00873343"/>
    <w:rsid w:val="008733D2"/>
    <w:rsid w:val="00873452"/>
    <w:rsid w:val="00873532"/>
    <w:rsid w:val="00873584"/>
    <w:rsid w:val="008735D7"/>
    <w:rsid w:val="00873653"/>
    <w:rsid w:val="00873914"/>
    <w:rsid w:val="00873A33"/>
    <w:rsid w:val="00873CA1"/>
    <w:rsid w:val="00873CDE"/>
    <w:rsid w:val="00873D22"/>
    <w:rsid w:val="00873D2F"/>
    <w:rsid w:val="008740F6"/>
    <w:rsid w:val="00874179"/>
    <w:rsid w:val="00874324"/>
    <w:rsid w:val="0087432C"/>
    <w:rsid w:val="008743AB"/>
    <w:rsid w:val="008744A3"/>
    <w:rsid w:val="008745FE"/>
    <w:rsid w:val="00874603"/>
    <w:rsid w:val="0087475E"/>
    <w:rsid w:val="008747D8"/>
    <w:rsid w:val="0087489B"/>
    <w:rsid w:val="00874A36"/>
    <w:rsid w:val="00874B7F"/>
    <w:rsid w:val="00874BFA"/>
    <w:rsid w:val="00874CEB"/>
    <w:rsid w:val="00874F17"/>
    <w:rsid w:val="008751C1"/>
    <w:rsid w:val="00875390"/>
    <w:rsid w:val="0087547C"/>
    <w:rsid w:val="008756C0"/>
    <w:rsid w:val="008756FE"/>
    <w:rsid w:val="0087573C"/>
    <w:rsid w:val="008757B4"/>
    <w:rsid w:val="008758A4"/>
    <w:rsid w:val="00875932"/>
    <w:rsid w:val="00875B2D"/>
    <w:rsid w:val="00875C46"/>
    <w:rsid w:val="00875C47"/>
    <w:rsid w:val="00875D8E"/>
    <w:rsid w:val="00875E6B"/>
    <w:rsid w:val="00875F61"/>
    <w:rsid w:val="00875FDB"/>
    <w:rsid w:val="0087608B"/>
    <w:rsid w:val="008760AE"/>
    <w:rsid w:val="0087628E"/>
    <w:rsid w:val="00876314"/>
    <w:rsid w:val="008763DA"/>
    <w:rsid w:val="00876425"/>
    <w:rsid w:val="00876483"/>
    <w:rsid w:val="008764BA"/>
    <w:rsid w:val="0087660A"/>
    <w:rsid w:val="0087668C"/>
    <w:rsid w:val="008766FB"/>
    <w:rsid w:val="008767FB"/>
    <w:rsid w:val="00876848"/>
    <w:rsid w:val="008768CA"/>
    <w:rsid w:val="00876CDA"/>
    <w:rsid w:val="00876E44"/>
    <w:rsid w:val="00876E52"/>
    <w:rsid w:val="00876E5E"/>
    <w:rsid w:val="00876F6E"/>
    <w:rsid w:val="0087700F"/>
    <w:rsid w:val="008774C6"/>
    <w:rsid w:val="0087763D"/>
    <w:rsid w:val="008777BD"/>
    <w:rsid w:val="008779E8"/>
    <w:rsid w:val="00877A35"/>
    <w:rsid w:val="00877AE3"/>
    <w:rsid w:val="00877B10"/>
    <w:rsid w:val="00877C0C"/>
    <w:rsid w:val="00877CDE"/>
    <w:rsid w:val="00877D48"/>
    <w:rsid w:val="00877D51"/>
    <w:rsid w:val="00877E33"/>
    <w:rsid w:val="00877ECB"/>
    <w:rsid w:val="00877F9F"/>
    <w:rsid w:val="00877FD4"/>
    <w:rsid w:val="00880535"/>
    <w:rsid w:val="008805A7"/>
    <w:rsid w:val="0088073C"/>
    <w:rsid w:val="00880771"/>
    <w:rsid w:val="00880821"/>
    <w:rsid w:val="0088093F"/>
    <w:rsid w:val="00880A41"/>
    <w:rsid w:val="00880B3F"/>
    <w:rsid w:val="00880D61"/>
    <w:rsid w:val="00880D66"/>
    <w:rsid w:val="00880E4E"/>
    <w:rsid w:val="00880E6A"/>
    <w:rsid w:val="00880EC2"/>
    <w:rsid w:val="00880EDB"/>
    <w:rsid w:val="00880F60"/>
    <w:rsid w:val="008814B2"/>
    <w:rsid w:val="0088159E"/>
    <w:rsid w:val="008815F1"/>
    <w:rsid w:val="0088162B"/>
    <w:rsid w:val="008816D6"/>
    <w:rsid w:val="00881787"/>
    <w:rsid w:val="008818E2"/>
    <w:rsid w:val="00881964"/>
    <w:rsid w:val="0088197A"/>
    <w:rsid w:val="00881B23"/>
    <w:rsid w:val="00881B4A"/>
    <w:rsid w:val="00881C0B"/>
    <w:rsid w:val="00881C8E"/>
    <w:rsid w:val="00881D04"/>
    <w:rsid w:val="00881E5E"/>
    <w:rsid w:val="00881EF9"/>
    <w:rsid w:val="00881F18"/>
    <w:rsid w:val="00882143"/>
    <w:rsid w:val="008822D0"/>
    <w:rsid w:val="00882345"/>
    <w:rsid w:val="0088256A"/>
    <w:rsid w:val="008826B7"/>
    <w:rsid w:val="008828BE"/>
    <w:rsid w:val="008829A7"/>
    <w:rsid w:val="008829CB"/>
    <w:rsid w:val="008829D8"/>
    <w:rsid w:val="00882BF4"/>
    <w:rsid w:val="00882D15"/>
    <w:rsid w:val="00882D9C"/>
    <w:rsid w:val="00882E7D"/>
    <w:rsid w:val="00882E81"/>
    <w:rsid w:val="00882ED6"/>
    <w:rsid w:val="00882FDF"/>
    <w:rsid w:val="00883162"/>
    <w:rsid w:val="008831AE"/>
    <w:rsid w:val="008831AF"/>
    <w:rsid w:val="008831B4"/>
    <w:rsid w:val="008831EB"/>
    <w:rsid w:val="0088327F"/>
    <w:rsid w:val="00883291"/>
    <w:rsid w:val="008832F5"/>
    <w:rsid w:val="00883360"/>
    <w:rsid w:val="00883409"/>
    <w:rsid w:val="0088358F"/>
    <w:rsid w:val="00883595"/>
    <w:rsid w:val="0088371A"/>
    <w:rsid w:val="00883770"/>
    <w:rsid w:val="00883847"/>
    <w:rsid w:val="0088397D"/>
    <w:rsid w:val="008839DE"/>
    <w:rsid w:val="00883B93"/>
    <w:rsid w:val="00883C7F"/>
    <w:rsid w:val="00883CA3"/>
    <w:rsid w:val="00883D56"/>
    <w:rsid w:val="00883DAC"/>
    <w:rsid w:val="00883E2B"/>
    <w:rsid w:val="00883E5F"/>
    <w:rsid w:val="00883F5C"/>
    <w:rsid w:val="00883FFD"/>
    <w:rsid w:val="00884091"/>
    <w:rsid w:val="00884277"/>
    <w:rsid w:val="00884392"/>
    <w:rsid w:val="00884555"/>
    <w:rsid w:val="0088463B"/>
    <w:rsid w:val="00884647"/>
    <w:rsid w:val="008846C1"/>
    <w:rsid w:val="008847CE"/>
    <w:rsid w:val="008848FA"/>
    <w:rsid w:val="00884A4D"/>
    <w:rsid w:val="00884B1D"/>
    <w:rsid w:val="00884B97"/>
    <w:rsid w:val="00884D81"/>
    <w:rsid w:val="00884E3C"/>
    <w:rsid w:val="00884E90"/>
    <w:rsid w:val="00884EBE"/>
    <w:rsid w:val="00884F01"/>
    <w:rsid w:val="0088501B"/>
    <w:rsid w:val="00885062"/>
    <w:rsid w:val="00885112"/>
    <w:rsid w:val="00885239"/>
    <w:rsid w:val="00885265"/>
    <w:rsid w:val="008852D5"/>
    <w:rsid w:val="00885616"/>
    <w:rsid w:val="0088563F"/>
    <w:rsid w:val="0088576B"/>
    <w:rsid w:val="00885799"/>
    <w:rsid w:val="008858F9"/>
    <w:rsid w:val="00885A76"/>
    <w:rsid w:val="00885DB2"/>
    <w:rsid w:val="00885E5F"/>
    <w:rsid w:val="00885EAB"/>
    <w:rsid w:val="00885FB2"/>
    <w:rsid w:val="0088608F"/>
    <w:rsid w:val="0088614D"/>
    <w:rsid w:val="008861C8"/>
    <w:rsid w:val="008861D4"/>
    <w:rsid w:val="008862AB"/>
    <w:rsid w:val="0088631F"/>
    <w:rsid w:val="008864CC"/>
    <w:rsid w:val="00886627"/>
    <w:rsid w:val="008866E6"/>
    <w:rsid w:val="0088675F"/>
    <w:rsid w:val="00886761"/>
    <w:rsid w:val="00886771"/>
    <w:rsid w:val="0088677C"/>
    <w:rsid w:val="00886798"/>
    <w:rsid w:val="00886872"/>
    <w:rsid w:val="008868A4"/>
    <w:rsid w:val="008868E1"/>
    <w:rsid w:val="008868FA"/>
    <w:rsid w:val="0088699C"/>
    <w:rsid w:val="00886A01"/>
    <w:rsid w:val="00886A0F"/>
    <w:rsid w:val="00886B3B"/>
    <w:rsid w:val="00886B95"/>
    <w:rsid w:val="00886D79"/>
    <w:rsid w:val="00886E3E"/>
    <w:rsid w:val="00886E7C"/>
    <w:rsid w:val="00886EFF"/>
    <w:rsid w:val="0088712F"/>
    <w:rsid w:val="00887438"/>
    <w:rsid w:val="00887472"/>
    <w:rsid w:val="008874B9"/>
    <w:rsid w:val="00887536"/>
    <w:rsid w:val="008875E1"/>
    <w:rsid w:val="008876A6"/>
    <w:rsid w:val="0088770D"/>
    <w:rsid w:val="00887A1C"/>
    <w:rsid w:val="00887A30"/>
    <w:rsid w:val="00887A80"/>
    <w:rsid w:val="00887B02"/>
    <w:rsid w:val="00887BCB"/>
    <w:rsid w:val="00887C36"/>
    <w:rsid w:val="00887C79"/>
    <w:rsid w:val="00887DB8"/>
    <w:rsid w:val="0088F878"/>
    <w:rsid w:val="00890005"/>
    <w:rsid w:val="00890011"/>
    <w:rsid w:val="0089007D"/>
    <w:rsid w:val="00890117"/>
    <w:rsid w:val="008901A8"/>
    <w:rsid w:val="008902AA"/>
    <w:rsid w:val="008903EB"/>
    <w:rsid w:val="0089066F"/>
    <w:rsid w:val="008906F7"/>
    <w:rsid w:val="0089072F"/>
    <w:rsid w:val="0089087F"/>
    <w:rsid w:val="00890A4F"/>
    <w:rsid w:val="00890A69"/>
    <w:rsid w:val="00890A6D"/>
    <w:rsid w:val="00890BCA"/>
    <w:rsid w:val="00890CC0"/>
    <w:rsid w:val="00890E07"/>
    <w:rsid w:val="00890EF7"/>
    <w:rsid w:val="00890EFF"/>
    <w:rsid w:val="00890F31"/>
    <w:rsid w:val="0089103E"/>
    <w:rsid w:val="008910D4"/>
    <w:rsid w:val="00891157"/>
    <w:rsid w:val="008912BE"/>
    <w:rsid w:val="008913BB"/>
    <w:rsid w:val="008915A1"/>
    <w:rsid w:val="008915AF"/>
    <w:rsid w:val="00891619"/>
    <w:rsid w:val="0089179C"/>
    <w:rsid w:val="00891B6F"/>
    <w:rsid w:val="00891BDB"/>
    <w:rsid w:val="00891E21"/>
    <w:rsid w:val="00891E4A"/>
    <w:rsid w:val="00891F03"/>
    <w:rsid w:val="00891F2F"/>
    <w:rsid w:val="008920C3"/>
    <w:rsid w:val="00892271"/>
    <w:rsid w:val="00892290"/>
    <w:rsid w:val="00892374"/>
    <w:rsid w:val="008924D2"/>
    <w:rsid w:val="00892604"/>
    <w:rsid w:val="0089267F"/>
    <w:rsid w:val="00892A0B"/>
    <w:rsid w:val="00892C78"/>
    <w:rsid w:val="00892CA4"/>
    <w:rsid w:val="00892D2B"/>
    <w:rsid w:val="00892D42"/>
    <w:rsid w:val="00892D4D"/>
    <w:rsid w:val="00892F58"/>
    <w:rsid w:val="00892F7F"/>
    <w:rsid w:val="00892FA6"/>
    <w:rsid w:val="00893093"/>
    <w:rsid w:val="0089317F"/>
    <w:rsid w:val="008931AD"/>
    <w:rsid w:val="008931C4"/>
    <w:rsid w:val="00893237"/>
    <w:rsid w:val="00893320"/>
    <w:rsid w:val="008933BC"/>
    <w:rsid w:val="008936D8"/>
    <w:rsid w:val="008938A2"/>
    <w:rsid w:val="00893917"/>
    <w:rsid w:val="00893B2A"/>
    <w:rsid w:val="00893C02"/>
    <w:rsid w:val="00893CEB"/>
    <w:rsid w:val="00893D30"/>
    <w:rsid w:val="00894717"/>
    <w:rsid w:val="008947E4"/>
    <w:rsid w:val="00894919"/>
    <w:rsid w:val="00894933"/>
    <w:rsid w:val="008949B8"/>
    <w:rsid w:val="008949F3"/>
    <w:rsid w:val="00894AFA"/>
    <w:rsid w:val="00894B09"/>
    <w:rsid w:val="00894E6A"/>
    <w:rsid w:val="00894EE1"/>
    <w:rsid w:val="00894EE7"/>
    <w:rsid w:val="0089513C"/>
    <w:rsid w:val="00895156"/>
    <w:rsid w:val="008951EF"/>
    <w:rsid w:val="00895256"/>
    <w:rsid w:val="00895266"/>
    <w:rsid w:val="00895299"/>
    <w:rsid w:val="0089533C"/>
    <w:rsid w:val="0089541C"/>
    <w:rsid w:val="00895447"/>
    <w:rsid w:val="0089547B"/>
    <w:rsid w:val="0089563E"/>
    <w:rsid w:val="008957C5"/>
    <w:rsid w:val="00895840"/>
    <w:rsid w:val="00895A4A"/>
    <w:rsid w:val="00895A88"/>
    <w:rsid w:val="00895AF8"/>
    <w:rsid w:val="00895C01"/>
    <w:rsid w:val="00895C42"/>
    <w:rsid w:val="00895D1B"/>
    <w:rsid w:val="00895E4F"/>
    <w:rsid w:val="00895E93"/>
    <w:rsid w:val="008960B7"/>
    <w:rsid w:val="0089614B"/>
    <w:rsid w:val="008961C6"/>
    <w:rsid w:val="0089625F"/>
    <w:rsid w:val="008962AB"/>
    <w:rsid w:val="008964D4"/>
    <w:rsid w:val="00896829"/>
    <w:rsid w:val="00896884"/>
    <w:rsid w:val="00896979"/>
    <w:rsid w:val="00896A20"/>
    <w:rsid w:val="00896AD3"/>
    <w:rsid w:val="00896C4C"/>
    <w:rsid w:val="00896C9B"/>
    <w:rsid w:val="00896CF6"/>
    <w:rsid w:val="00896E37"/>
    <w:rsid w:val="00896EC4"/>
    <w:rsid w:val="00896ED2"/>
    <w:rsid w:val="0089708B"/>
    <w:rsid w:val="00897196"/>
    <w:rsid w:val="00897344"/>
    <w:rsid w:val="0089740B"/>
    <w:rsid w:val="008975DC"/>
    <w:rsid w:val="0089761E"/>
    <w:rsid w:val="0089789C"/>
    <w:rsid w:val="0089789D"/>
    <w:rsid w:val="00897A33"/>
    <w:rsid w:val="00897AA2"/>
    <w:rsid w:val="00897AAC"/>
    <w:rsid w:val="00897AB9"/>
    <w:rsid w:val="00897B8A"/>
    <w:rsid w:val="00897BB4"/>
    <w:rsid w:val="00897C7D"/>
    <w:rsid w:val="00897CE0"/>
    <w:rsid w:val="00897D4A"/>
    <w:rsid w:val="00897DF3"/>
    <w:rsid w:val="00897E0C"/>
    <w:rsid w:val="00897E7D"/>
    <w:rsid w:val="008A0040"/>
    <w:rsid w:val="008A0229"/>
    <w:rsid w:val="008A02D2"/>
    <w:rsid w:val="008A0302"/>
    <w:rsid w:val="008A04B8"/>
    <w:rsid w:val="008A054A"/>
    <w:rsid w:val="008A058E"/>
    <w:rsid w:val="008A05A6"/>
    <w:rsid w:val="008A0602"/>
    <w:rsid w:val="008A0632"/>
    <w:rsid w:val="008A0649"/>
    <w:rsid w:val="008A066E"/>
    <w:rsid w:val="008A06A0"/>
    <w:rsid w:val="008A075C"/>
    <w:rsid w:val="008A0882"/>
    <w:rsid w:val="008A09D8"/>
    <w:rsid w:val="008A0AEE"/>
    <w:rsid w:val="008A0B6C"/>
    <w:rsid w:val="008A0BAD"/>
    <w:rsid w:val="008A0CBF"/>
    <w:rsid w:val="008A0CEC"/>
    <w:rsid w:val="008A0E0C"/>
    <w:rsid w:val="008A0E12"/>
    <w:rsid w:val="008A1439"/>
    <w:rsid w:val="008A147C"/>
    <w:rsid w:val="008A1546"/>
    <w:rsid w:val="008A161F"/>
    <w:rsid w:val="008A16BC"/>
    <w:rsid w:val="008A16F1"/>
    <w:rsid w:val="008A180D"/>
    <w:rsid w:val="008A181A"/>
    <w:rsid w:val="008A19D6"/>
    <w:rsid w:val="008A1A63"/>
    <w:rsid w:val="008A1B51"/>
    <w:rsid w:val="008A1BB0"/>
    <w:rsid w:val="008A1BEA"/>
    <w:rsid w:val="008A1D7B"/>
    <w:rsid w:val="008A1EE2"/>
    <w:rsid w:val="008A2311"/>
    <w:rsid w:val="008A2387"/>
    <w:rsid w:val="008A23E6"/>
    <w:rsid w:val="008A24F5"/>
    <w:rsid w:val="008A284C"/>
    <w:rsid w:val="008A2B0D"/>
    <w:rsid w:val="008A2B35"/>
    <w:rsid w:val="008A2B56"/>
    <w:rsid w:val="008A2BAA"/>
    <w:rsid w:val="008A2CA4"/>
    <w:rsid w:val="008A2E39"/>
    <w:rsid w:val="008A2E50"/>
    <w:rsid w:val="008A2E6A"/>
    <w:rsid w:val="008A2FF9"/>
    <w:rsid w:val="008A300A"/>
    <w:rsid w:val="008A3230"/>
    <w:rsid w:val="008A3242"/>
    <w:rsid w:val="008A3249"/>
    <w:rsid w:val="008A32A4"/>
    <w:rsid w:val="008A3347"/>
    <w:rsid w:val="008A33D6"/>
    <w:rsid w:val="008A33F3"/>
    <w:rsid w:val="008A3483"/>
    <w:rsid w:val="008A34EF"/>
    <w:rsid w:val="008A35FF"/>
    <w:rsid w:val="008A36D6"/>
    <w:rsid w:val="008A3756"/>
    <w:rsid w:val="008A37CB"/>
    <w:rsid w:val="008A3996"/>
    <w:rsid w:val="008A3A54"/>
    <w:rsid w:val="008A3A8F"/>
    <w:rsid w:val="008A3A94"/>
    <w:rsid w:val="008A3CC5"/>
    <w:rsid w:val="008A3CC7"/>
    <w:rsid w:val="008A3CD4"/>
    <w:rsid w:val="008A3F07"/>
    <w:rsid w:val="008A3F0B"/>
    <w:rsid w:val="008A3FFC"/>
    <w:rsid w:val="008A4007"/>
    <w:rsid w:val="008A4262"/>
    <w:rsid w:val="008A4280"/>
    <w:rsid w:val="008A42E1"/>
    <w:rsid w:val="008A436B"/>
    <w:rsid w:val="008A43FC"/>
    <w:rsid w:val="008A448B"/>
    <w:rsid w:val="008A48DC"/>
    <w:rsid w:val="008A4B87"/>
    <w:rsid w:val="008A4CC1"/>
    <w:rsid w:val="008A4D9C"/>
    <w:rsid w:val="008A4E20"/>
    <w:rsid w:val="008A4EAE"/>
    <w:rsid w:val="008A5036"/>
    <w:rsid w:val="008A50C5"/>
    <w:rsid w:val="008A5170"/>
    <w:rsid w:val="008A5185"/>
    <w:rsid w:val="008A53DC"/>
    <w:rsid w:val="008A54AC"/>
    <w:rsid w:val="008A553A"/>
    <w:rsid w:val="008A564B"/>
    <w:rsid w:val="008A56AD"/>
    <w:rsid w:val="008A573C"/>
    <w:rsid w:val="008A57C2"/>
    <w:rsid w:val="008A5955"/>
    <w:rsid w:val="008A5B39"/>
    <w:rsid w:val="008A5BC9"/>
    <w:rsid w:val="008A5C7B"/>
    <w:rsid w:val="008A5DBA"/>
    <w:rsid w:val="008A5E28"/>
    <w:rsid w:val="008A5F14"/>
    <w:rsid w:val="008A6090"/>
    <w:rsid w:val="008A6192"/>
    <w:rsid w:val="008A64AA"/>
    <w:rsid w:val="008A6582"/>
    <w:rsid w:val="008A6650"/>
    <w:rsid w:val="008A6664"/>
    <w:rsid w:val="008A668F"/>
    <w:rsid w:val="008A6908"/>
    <w:rsid w:val="008A6A6B"/>
    <w:rsid w:val="008A6A88"/>
    <w:rsid w:val="008A6B3A"/>
    <w:rsid w:val="008A6B3B"/>
    <w:rsid w:val="008A6C3B"/>
    <w:rsid w:val="008A6C8D"/>
    <w:rsid w:val="008A70A1"/>
    <w:rsid w:val="008A70B4"/>
    <w:rsid w:val="008A716C"/>
    <w:rsid w:val="008A725A"/>
    <w:rsid w:val="008A736B"/>
    <w:rsid w:val="008A73A1"/>
    <w:rsid w:val="008A73D7"/>
    <w:rsid w:val="008A744B"/>
    <w:rsid w:val="008A75F0"/>
    <w:rsid w:val="008A7696"/>
    <w:rsid w:val="008A779E"/>
    <w:rsid w:val="008A77D8"/>
    <w:rsid w:val="008A7BA5"/>
    <w:rsid w:val="008A7CE6"/>
    <w:rsid w:val="008A7D01"/>
    <w:rsid w:val="008A7D51"/>
    <w:rsid w:val="008A7E03"/>
    <w:rsid w:val="008B0181"/>
    <w:rsid w:val="008B02FF"/>
    <w:rsid w:val="008B0319"/>
    <w:rsid w:val="008B0381"/>
    <w:rsid w:val="008B050D"/>
    <w:rsid w:val="008B0527"/>
    <w:rsid w:val="008B056F"/>
    <w:rsid w:val="008B05C2"/>
    <w:rsid w:val="008B064A"/>
    <w:rsid w:val="008B080D"/>
    <w:rsid w:val="008B0950"/>
    <w:rsid w:val="008B0990"/>
    <w:rsid w:val="008B09DE"/>
    <w:rsid w:val="008B0BAD"/>
    <w:rsid w:val="008B0CEE"/>
    <w:rsid w:val="008B0D30"/>
    <w:rsid w:val="008B0D95"/>
    <w:rsid w:val="008B0DA3"/>
    <w:rsid w:val="008B0E8E"/>
    <w:rsid w:val="008B0F7C"/>
    <w:rsid w:val="008B0FB1"/>
    <w:rsid w:val="008B1048"/>
    <w:rsid w:val="008B11C2"/>
    <w:rsid w:val="008B135D"/>
    <w:rsid w:val="008B1549"/>
    <w:rsid w:val="008B1554"/>
    <w:rsid w:val="008B16A5"/>
    <w:rsid w:val="008B17BB"/>
    <w:rsid w:val="008B18CF"/>
    <w:rsid w:val="008B1ABA"/>
    <w:rsid w:val="008B1C0F"/>
    <w:rsid w:val="008B1CBD"/>
    <w:rsid w:val="008B1F20"/>
    <w:rsid w:val="008B1F88"/>
    <w:rsid w:val="008B20EC"/>
    <w:rsid w:val="008B2117"/>
    <w:rsid w:val="008B214D"/>
    <w:rsid w:val="008B216C"/>
    <w:rsid w:val="008B24D9"/>
    <w:rsid w:val="008B24E9"/>
    <w:rsid w:val="008B256A"/>
    <w:rsid w:val="008B2807"/>
    <w:rsid w:val="008B292A"/>
    <w:rsid w:val="008B2AA6"/>
    <w:rsid w:val="008B2AB4"/>
    <w:rsid w:val="008B2C4E"/>
    <w:rsid w:val="008B2EFB"/>
    <w:rsid w:val="008B2F15"/>
    <w:rsid w:val="008B3026"/>
    <w:rsid w:val="008B30CD"/>
    <w:rsid w:val="008B31B9"/>
    <w:rsid w:val="008B32B8"/>
    <w:rsid w:val="008B32F8"/>
    <w:rsid w:val="008B337A"/>
    <w:rsid w:val="008B3380"/>
    <w:rsid w:val="008B3451"/>
    <w:rsid w:val="008B372D"/>
    <w:rsid w:val="008B38C5"/>
    <w:rsid w:val="008B3A06"/>
    <w:rsid w:val="008B3A1E"/>
    <w:rsid w:val="008B3C62"/>
    <w:rsid w:val="008B3D0E"/>
    <w:rsid w:val="008B3D5F"/>
    <w:rsid w:val="008B3F16"/>
    <w:rsid w:val="008B3F4C"/>
    <w:rsid w:val="008B3F72"/>
    <w:rsid w:val="008B400E"/>
    <w:rsid w:val="008B40E7"/>
    <w:rsid w:val="008B40EF"/>
    <w:rsid w:val="008B417E"/>
    <w:rsid w:val="008B4202"/>
    <w:rsid w:val="008B427B"/>
    <w:rsid w:val="008B43C8"/>
    <w:rsid w:val="008B43CC"/>
    <w:rsid w:val="008B4490"/>
    <w:rsid w:val="008B44CD"/>
    <w:rsid w:val="008B44ED"/>
    <w:rsid w:val="008B456E"/>
    <w:rsid w:val="008B46E3"/>
    <w:rsid w:val="008B477F"/>
    <w:rsid w:val="008B4804"/>
    <w:rsid w:val="008B4872"/>
    <w:rsid w:val="008B49BA"/>
    <w:rsid w:val="008B49C7"/>
    <w:rsid w:val="008B4A22"/>
    <w:rsid w:val="008B4A39"/>
    <w:rsid w:val="008B4B36"/>
    <w:rsid w:val="008B4CAE"/>
    <w:rsid w:val="008B4D76"/>
    <w:rsid w:val="008B4D7D"/>
    <w:rsid w:val="008B4D85"/>
    <w:rsid w:val="008B4EC1"/>
    <w:rsid w:val="008B4ED1"/>
    <w:rsid w:val="008B4F75"/>
    <w:rsid w:val="008B4F86"/>
    <w:rsid w:val="008B4F92"/>
    <w:rsid w:val="008B4FC3"/>
    <w:rsid w:val="008B50EF"/>
    <w:rsid w:val="008B5140"/>
    <w:rsid w:val="008B522C"/>
    <w:rsid w:val="008B523A"/>
    <w:rsid w:val="008B533F"/>
    <w:rsid w:val="008B5357"/>
    <w:rsid w:val="008B538D"/>
    <w:rsid w:val="008B53C1"/>
    <w:rsid w:val="008B5408"/>
    <w:rsid w:val="008B550D"/>
    <w:rsid w:val="008B576E"/>
    <w:rsid w:val="008B576F"/>
    <w:rsid w:val="008B5939"/>
    <w:rsid w:val="008B5A25"/>
    <w:rsid w:val="008B5B28"/>
    <w:rsid w:val="008B5B4D"/>
    <w:rsid w:val="008B5BEF"/>
    <w:rsid w:val="008B5D95"/>
    <w:rsid w:val="008B5DE9"/>
    <w:rsid w:val="008B5FF4"/>
    <w:rsid w:val="008B6155"/>
    <w:rsid w:val="008B624C"/>
    <w:rsid w:val="008B6313"/>
    <w:rsid w:val="008B64D5"/>
    <w:rsid w:val="008B657A"/>
    <w:rsid w:val="008B6660"/>
    <w:rsid w:val="008B6777"/>
    <w:rsid w:val="008B6787"/>
    <w:rsid w:val="008B67E8"/>
    <w:rsid w:val="008B6814"/>
    <w:rsid w:val="008B68A9"/>
    <w:rsid w:val="008B68F4"/>
    <w:rsid w:val="008B6905"/>
    <w:rsid w:val="008B697B"/>
    <w:rsid w:val="008B6B30"/>
    <w:rsid w:val="008B6C4E"/>
    <w:rsid w:val="008B6C8F"/>
    <w:rsid w:val="008B6CCB"/>
    <w:rsid w:val="008B6DA7"/>
    <w:rsid w:val="008B6E79"/>
    <w:rsid w:val="008B6EFD"/>
    <w:rsid w:val="008B6F03"/>
    <w:rsid w:val="008B6F22"/>
    <w:rsid w:val="008B6F7F"/>
    <w:rsid w:val="008B70B4"/>
    <w:rsid w:val="008B70BB"/>
    <w:rsid w:val="008B7304"/>
    <w:rsid w:val="008B7372"/>
    <w:rsid w:val="008B741A"/>
    <w:rsid w:val="008B74C4"/>
    <w:rsid w:val="008B74DC"/>
    <w:rsid w:val="008B794D"/>
    <w:rsid w:val="008B7A1D"/>
    <w:rsid w:val="008B7A43"/>
    <w:rsid w:val="008B7E43"/>
    <w:rsid w:val="008B7F1F"/>
    <w:rsid w:val="008B7F3E"/>
    <w:rsid w:val="008C020B"/>
    <w:rsid w:val="008C0224"/>
    <w:rsid w:val="008C0380"/>
    <w:rsid w:val="008C0484"/>
    <w:rsid w:val="008C0594"/>
    <w:rsid w:val="008C05AD"/>
    <w:rsid w:val="008C06C8"/>
    <w:rsid w:val="008C088A"/>
    <w:rsid w:val="008C08B5"/>
    <w:rsid w:val="008C08BE"/>
    <w:rsid w:val="008C0948"/>
    <w:rsid w:val="008C0A28"/>
    <w:rsid w:val="008C0A9F"/>
    <w:rsid w:val="008C0CF3"/>
    <w:rsid w:val="008C0DDF"/>
    <w:rsid w:val="008C0E7D"/>
    <w:rsid w:val="008C0EB9"/>
    <w:rsid w:val="008C0FB7"/>
    <w:rsid w:val="008C1111"/>
    <w:rsid w:val="008C1258"/>
    <w:rsid w:val="008C12B6"/>
    <w:rsid w:val="008C12D9"/>
    <w:rsid w:val="008C142E"/>
    <w:rsid w:val="008C144B"/>
    <w:rsid w:val="008C159A"/>
    <w:rsid w:val="008C1A4F"/>
    <w:rsid w:val="008C1B10"/>
    <w:rsid w:val="008C1BDB"/>
    <w:rsid w:val="008C1C8A"/>
    <w:rsid w:val="008C1DBB"/>
    <w:rsid w:val="008C1DF4"/>
    <w:rsid w:val="008C1E00"/>
    <w:rsid w:val="008C1EC6"/>
    <w:rsid w:val="008C207E"/>
    <w:rsid w:val="008C210F"/>
    <w:rsid w:val="008C21AD"/>
    <w:rsid w:val="008C22C1"/>
    <w:rsid w:val="008C230A"/>
    <w:rsid w:val="008C2353"/>
    <w:rsid w:val="008C23AA"/>
    <w:rsid w:val="008C2421"/>
    <w:rsid w:val="008C24CB"/>
    <w:rsid w:val="008C2561"/>
    <w:rsid w:val="008C277D"/>
    <w:rsid w:val="008C2848"/>
    <w:rsid w:val="008C2BE7"/>
    <w:rsid w:val="008C2C2A"/>
    <w:rsid w:val="008C2C62"/>
    <w:rsid w:val="008C2E21"/>
    <w:rsid w:val="008C2E6F"/>
    <w:rsid w:val="008C2F00"/>
    <w:rsid w:val="008C2F45"/>
    <w:rsid w:val="008C2FAB"/>
    <w:rsid w:val="008C2FBB"/>
    <w:rsid w:val="008C2FEE"/>
    <w:rsid w:val="008C3043"/>
    <w:rsid w:val="008C31D2"/>
    <w:rsid w:val="008C3263"/>
    <w:rsid w:val="008C336F"/>
    <w:rsid w:val="008C34CF"/>
    <w:rsid w:val="008C362D"/>
    <w:rsid w:val="008C3654"/>
    <w:rsid w:val="008C3711"/>
    <w:rsid w:val="008C3850"/>
    <w:rsid w:val="008C38D7"/>
    <w:rsid w:val="008C3B85"/>
    <w:rsid w:val="008C3B99"/>
    <w:rsid w:val="008C3BCF"/>
    <w:rsid w:val="008C3CCE"/>
    <w:rsid w:val="008C3E3C"/>
    <w:rsid w:val="008C3E5A"/>
    <w:rsid w:val="008C4041"/>
    <w:rsid w:val="008C4055"/>
    <w:rsid w:val="008C407A"/>
    <w:rsid w:val="008C40EA"/>
    <w:rsid w:val="008C41DC"/>
    <w:rsid w:val="008C4428"/>
    <w:rsid w:val="008C4529"/>
    <w:rsid w:val="008C4A39"/>
    <w:rsid w:val="008C4A7B"/>
    <w:rsid w:val="008C4AD6"/>
    <w:rsid w:val="008C4BF3"/>
    <w:rsid w:val="008C4C35"/>
    <w:rsid w:val="008C4C55"/>
    <w:rsid w:val="008C4D35"/>
    <w:rsid w:val="008C4D8F"/>
    <w:rsid w:val="008C4DF6"/>
    <w:rsid w:val="008C4F09"/>
    <w:rsid w:val="008C4F45"/>
    <w:rsid w:val="008C4FCA"/>
    <w:rsid w:val="008C504F"/>
    <w:rsid w:val="008C50AD"/>
    <w:rsid w:val="008C517C"/>
    <w:rsid w:val="008C51D1"/>
    <w:rsid w:val="008C51E9"/>
    <w:rsid w:val="008C5231"/>
    <w:rsid w:val="008C5252"/>
    <w:rsid w:val="008C53CC"/>
    <w:rsid w:val="008C53DB"/>
    <w:rsid w:val="008C5600"/>
    <w:rsid w:val="008C572A"/>
    <w:rsid w:val="008C5742"/>
    <w:rsid w:val="008C5AA0"/>
    <w:rsid w:val="008C5AA6"/>
    <w:rsid w:val="008C5AE9"/>
    <w:rsid w:val="008C5F7D"/>
    <w:rsid w:val="008C5FEE"/>
    <w:rsid w:val="008C60EE"/>
    <w:rsid w:val="008C62D0"/>
    <w:rsid w:val="008C6429"/>
    <w:rsid w:val="008C67AD"/>
    <w:rsid w:val="008C67DC"/>
    <w:rsid w:val="008C688A"/>
    <w:rsid w:val="008C689D"/>
    <w:rsid w:val="008C6A00"/>
    <w:rsid w:val="008C6A6D"/>
    <w:rsid w:val="008C6AFE"/>
    <w:rsid w:val="008C6B0E"/>
    <w:rsid w:val="008C6B47"/>
    <w:rsid w:val="008C6E7D"/>
    <w:rsid w:val="008C6F35"/>
    <w:rsid w:val="008C6F60"/>
    <w:rsid w:val="008C6FC1"/>
    <w:rsid w:val="008C70D8"/>
    <w:rsid w:val="008C70E7"/>
    <w:rsid w:val="008C711C"/>
    <w:rsid w:val="008C71E1"/>
    <w:rsid w:val="008C7216"/>
    <w:rsid w:val="008C7301"/>
    <w:rsid w:val="008C73E6"/>
    <w:rsid w:val="008C75ED"/>
    <w:rsid w:val="008C7696"/>
    <w:rsid w:val="008C76CB"/>
    <w:rsid w:val="008C770E"/>
    <w:rsid w:val="008C7A64"/>
    <w:rsid w:val="008C7AC7"/>
    <w:rsid w:val="008C7ACF"/>
    <w:rsid w:val="008C7D3B"/>
    <w:rsid w:val="008C7DBA"/>
    <w:rsid w:val="008C7DC3"/>
    <w:rsid w:val="008C7E4E"/>
    <w:rsid w:val="008C7E74"/>
    <w:rsid w:val="008C7F94"/>
    <w:rsid w:val="008D0079"/>
    <w:rsid w:val="008D00C8"/>
    <w:rsid w:val="008D00E0"/>
    <w:rsid w:val="008D00F0"/>
    <w:rsid w:val="008D0120"/>
    <w:rsid w:val="008D02F5"/>
    <w:rsid w:val="008D0336"/>
    <w:rsid w:val="008D0375"/>
    <w:rsid w:val="008D03D0"/>
    <w:rsid w:val="008D046D"/>
    <w:rsid w:val="008D04ED"/>
    <w:rsid w:val="008D05DA"/>
    <w:rsid w:val="008D0662"/>
    <w:rsid w:val="008D0688"/>
    <w:rsid w:val="008D06BE"/>
    <w:rsid w:val="008D08CB"/>
    <w:rsid w:val="008D0971"/>
    <w:rsid w:val="008D0A90"/>
    <w:rsid w:val="008D0D58"/>
    <w:rsid w:val="008D0F8C"/>
    <w:rsid w:val="008D0FDC"/>
    <w:rsid w:val="008D1006"/>
    <w:rsid w:val="008D1014"/>
    <w:rsid w:val="008D139C"/>
    <w:rsid w:val="008D159F"/>
    <w:rsid w:val="008D1794"/>
    <w:rsid w:val="008D1A62"/>
    <w:rsid w:val="008D1BB9"/>
    <w:rsid w:val="008D1C28"/>
    <w:rsid w:val="008D1C67"/>
    <w:rsid w:val="008D1D1D"/>
    <w:rsid w:val="008D1DF3"/>
    <w:rsid w:val="008D1DFE"/>
    <w:rsid w:val="008D1FB9"/>
    <w:rsid w:val="008D2164"/>
    <w:rsid w:val="008D22D1"/>
    <w:rsid w:val="008D23CD"/>
    <w:rsid w:val="008D250A"/>
    <w:rsid w:val="008D26DA"/>
    <w:rsid w:val="008D26EF"/>
    <w:rsid w:val="008D26F7"/>
    <w:rsid w:val="008D274B"/>
    <w:rsid w:val="008D2916"/>
    <w:rsid w:val="008D2A78"/>
    <w:rsid w:val="008D2C5E"/>
    <w:rsid w:val="008D2D78"/>
    <w:rsid w:val="008D2DA7"/>
    <w:rsid w:val="008D2DD5"/>
    <w:rsid w:val="008D2DDF"/>
    <w:rsid w:val="008D2E22"/>
    <w:rsid w:val="008D2EF5"/>
    <w:rsid w:val="008D2F64"/>
    <w:rsid w:val="008D2FC7"/>
    <w:rsid w:val="008D2FF1"/>
    <w:rsid w:val="008D3043"/>
    <w:rsid w:val="008D307B"/>
    <w:rsid w:val="008D30FC"/>
    <w:rsid w:val="008D312E"/>
    <w:rsid w:val="008D3137"/>
    <w:rsid w:val="008D336A"/>
    <w:rsid w:val="008D3427"/>
    <w:rsid w:val="008D34E3"/>
    <w:rsid w:val="008D3539"/>
    <w:rsid w:val="008D3553"/>
    <w:rsid w:val="008D3D02"/>
    <w:rsid w:val="008D3D61"/>
    <w:rsid w:val="008D3E42"/>
    <w:rsid w:val="008D3E62"/>
    <w:rsid w:val="008D3EB4"/>
    <w:rsid w:val="008D4222"/>
    <w:rsid w:val="008D427F"/>
    <w:rsid w:val="008D428C"/>
    <w:rsid w:val="008D4385"/>
    <w:rsid w:val="008D4506"/>
    <w:rsid w:val="008D4553"/>
    <w:rsid w:val="008D4677"/>
    <w:rsid w:val="008D477E"/>
    <w:rsid w:val="008D478E"/>
    <w:rsid w:val="008D4805"/>
    <w:rsid w:val="008D484D"/>
    <w:rsid w:val="008D49B4"/>
    <w:rsid w:val="008D4AC0"/>
    <w:rsid w:val="008D4ACE"/>
    <w:rsid w:val="008D4AD3"/>
    <w:rsid w:val="008D4B2F"/>
    <w:rsid w:val="008D4B43"/>
    <w:rsid w:val="008D4C6F"/>
    <w:rsid w:val="008D4CDB"/>
    <w:rsid w:val="008D4CEB"/>
    <w:rsid w:val="008D4DD0"/>
    <w:rsid w:val="008D4DE0"/>
    <w:rsid w:val="008D4EFA"/>
    <w:rsid w:val="008D5007"/>
    <w:rsid w:val="008D5016"/>
    <w:rsid w:val="008D527F"/>
    <w:rsid w:val="008D5331"/>
    <w:rsid w:val="008D536D"/>
    <w:rsid w:val="008D545F"/>
    <w:rsid w:val="008D5487"/>
    <w:rsid w:val="008D570A"/>
    <w:rsid w:val="008D5719"/>
    <w:rsid w:val="008D5730"/>
    <w:rsid w:val="008D5738"/>
    <w:rsid w:val="008D57C3"/>
    <w:rsid w:val="008D582D"/>
    <w:rsid w:val="008D5905"/>
    <w:rsid w:val="008D5914"/>
    <w:rsid w:val="008D5964"/>
    <w:rsid w:val="008D5BDD"/>
    <w:rsid w:val="008D5C23"/>
    <w:rsid w:val="008D5C5A"/>
    <w:rsid w:val="008D5E55"/>
    <w:rsid w:val="008D5ED2"/>
    <w:rsid w:val="008D5F4D"/>
    <w:rsid w:val="008D5F6D"/>
    <w:rsid w:val="008D6059"/>
    <w:rsid w:val="008D6161"/>
    <w:rsid w:val="008D61E7"/>
    <w:rsid w:val="008D62E0"/>
    <w:rsid w:val="008D6310"/>
    <w:rsid w:val="008D666C"/>
    <w:rsid w:val="008D6763"/>
    <w:rsid w:val="008D6866"/>
    <w:rsid w:val="008D68D2"/>
    <w:rsid w:val="008D6A2D"/>
    <w:rsid w:val="008D6A62"/>
    <w:rsid w:val="008D6BF9"/>
    <w:rsid w:val="008D6C93"/>
    <w:rsid w:val="008D6CFE"/>
    <w:rsid w:val="008D6D50"/>
    <w:rsid w:val="008D6D8E"/>
    <w:rsid w:val="008D6DCE"/>
    <w:rsid w:val="008D7112"/>
    <w:rsid w:val="008D71D1"/>
    <w:rsid w:val="008D71D5"/>
    <w:rsid w:val="008D71E0"/>
    <w:rsid w:val="008D728F"/>
    <w:rsid w:val="008D72DF"/>
    <w:rsid w:val="008D77C1"/>
    <w:rsid w:val="008D7856"/>
    <w:rsid w:val="008D7966"/>
    <w:rsid w:val="008D7DC1"/>
    <w:rsid w:val="008E0063"/>
    <w:rsid w:val="008E03CF"/>
    <w:rsid w:val="008E0432"/>
    <w:rsid w:val="008E071C"/>
    <w:rsid w:val="008E0720"/>
    <w:rsid w:val="008E0745"/>
    <w:rsid w:val="008E085E"/>
    <w:rsid w:val="008E0891"/>
    <w:rsid w:val="008E092A"/>
    <w:rsid w:val="008E0A99"/>
    <w:rsid w:val="008E0B7B"/>
    <w:rsid w:val="008E0B91"/>
    <w:rsid w:val="008E0BDB"/>
    <w:rsid w:val="008E0C36"/>
    <w:rsid w:val="008E0D7E"/>
    <w:rsid w:val="008E0D8C"/>
    <w:rsid w:val="008E0D91"/>
    <w:rsid w:val="008E0DE1"/>
    <w:rsid w:val="008E0DFF"/>
    <w:rsid w:val="008E0EB2"/>
    <w:rsid w:val="008E0FA3"/>
    <w:rsid w:val="008E1027"/>
    <w:rsid w:val="008E1041"/>
    <w:rsid w:val="008E108E"/>
    <w:rsid w:val="008E1186"/>
    <w:rsid w:val="008E12F9"/>
    <w:rsid w:val="008E1374"/>
    <w:rsid w:val="008E1996"/>
    <w:rsid w:val="008E1A30"/>
    <w:rsid w:val="008E1ACE"/>
    <w:rsid w:val="008E1BCA"/>
    <w:rsid w:val="008E1C3E"/>
    <w:rsid w:val="008E1EAF"/>
    <w:rsid w:val="008E1F24"/>
    <w:rsid w:val="008E21A0"/>
    <w:rsid w:val="008E220E"/>
    <w:rsid w:val="008E2244"/>
    <w:rsid w:val="008E22C0"/>
    <w:rsid w:val="008E2304"/>
    <w:rsid w:val="008E23E8"/>
    <w:rsid w:val="008E2422"/>
    <w:rsid w:val="008E2441"/>
    <w:rsid w:val="008E2460"/>
    <w:rsid w:val="008E24C4"/>
    <w:rsid w:val="008E24D6"/>
    <w:rsid w:val="008E26C1"/>
    <w:rsid w:val="008E2748"/>
    <w:rsid w:val="008E27B9"/>
    <w:rsid w:val="008E285B"/>
    <w:rsid w:val="008E288C"/>
    <w:rsid w:val="008E2990"/>
    <w:rsid w:val="008E2A1C"/>
    <w:rsid w:val="008E2A2B"/>
    <w:rsid w:val="008E2C75"/>
    <w:rsid w:val="008E2D13"/>
    <w:rsid w:val="008E2E18"/>
    <w:rsid w:val="008E2E22"/>
    <w:rsid w:val="008E2F22"/>
    <w:rsid w:val="008E30A5"/>
    <w:rsid w:val="008E3182"/>
    <w:rsid w:val="008E31D0"/>
    <w:rsid w:val="008E3441"/>
    <w:rsid w:val="008E34B0"/>
    <w:rsid w:val="008E34F7"/>
    <w:rsid w:val="008E354D"/>
    <w:rsid w:val="008E3569"/>
    <w:rsid w:val="008E35FE"/>
    <w:rsid w:val="008E3657"/>
    <w:rsid w:val="008E3686"/>
    <w:rsid w:val="008E3758"/>
    <w:rsid w:val="008E3832"/>
    <w:rsid w:val="008E38CF"/>
    <w:rsid w:val="008E3960"/>
    <w:rsid w:val="008E398B"/>
    <w:rsid w:val="008E3B66"/>
    <w:rsid w:val="008E3B6B"/>
    <w:rsid w:val="008E3B87"/>
    <w:rsid w:val="008E3BC6"/>
    <w:rsid w:val="008E3CA3"/>
    <w:rsid w:val="008E3DAF"/>
    <w:rsid w:val="008E3F8C"/>
    <w:rsid w:val="008E40E2"/>
    <w:rsid w:val="008E40F7"/>
    <w:rsid w:val="008E4140"/>
    <w:rsid w:val="008E414A"/>
    <w:rsid w:val="008E41A9"/>
    <w:rsid w:val="008E4236"/>
    <w:rsid w:val="008E4269"/>
    <w:rsid w:val="008E4305"/>
    <w:rsid w:val="008E4457"/>
    <w:rsid w:val="008E44A2"/>
    <w:rsid w:val="008E44D6"/>
    <w:rsid w:val="008E44E6"/>
    <w:rsid w:val="008E45CB"/>
    <w:rsid w:val="008E461A"/>
    <w:rsid w:val="008E4671"/>
    <w:rsid w:val="008E4676"/>
    <w:rsid w:val="008E4684"/>
    <w:rsid w:val="008E479B"/>
    <w:rsid w:val="008E47D9"/>
    <w:rsid w:val="008E49DE"/>
    <w:rsid w:val="008E4C2F"/>
    <w:rsid w:val="008E4C94"/>
    <w:rsid w:val="008E4CC1"/>
    <w:rsid w:val="008E4CE5"/>
    <w:rsid w:val="008E4D18"/>
    <w:rsid w:val="008E4E5F"/>
    <w:rsid w:val="008E4E95"/>
    <w:rsid w:val="008E50D5"/>
    <w:rsid w:val="008E50DF"/>
    <w:rsid w:val="008E527B"/>
    <w:rsid w:val="008E5296"/>
    <w:rsid w:val="008E5377"/>
    <w:rsid w:val="008E53B4"/>
    <w:rsid w:val="008E5483"/>
    <w:rsid w:val="008E5628"/>
    <w:rsid w:val="008E5658"/>
    <w:rsid w:val="008E5849"/>
    <w:rsid w:val="008E58A6"/>
    <w:rsid w:val="008E59A1"/>
    <w:rsid w:val="008E5B9B"/>
    <w:rsid w:val="008E5CA0"/>
    <w:rsid w:val="008E5CD1"/>
    <w:rsid w:val="008E5EF6"/>
    <w:rsid w:val="008E6090"/>
    <w:rsid w:val="008E613D"/>
    <w:rsid w:val="008E6272"/>
    <w:rsid w:val="008E640B"/>
    <w:rsid w:val="008E646A"/>
    <w:rsid w:val="008E6552"/>
    <w:rsid w:val="008E6576"/>
    <w:rsid w:val="008E686B"/>
    <w:rsid w:val="008E6A3E"/>
    <w:rsid w:val="008E6BC1"/>
    <w:rsid w:val="008E6C9A"/>
    <w:rsid w:val="008E6E2A"/>
    <w:rsid w:val="008E6FA0"/>
    <w:rsid w:val="008E6FD1"/>
    <w:rsid w:val="008E6FEA"/>
    <w:rsid w:val="008E7030"/>
    <w:rsid w:val="008E70D4"/>
    <w:rsid w:val="008E73DC"/>
    <w:rsid w:val="008E7403"/>
    <w:rsid w:val="008E74E6"/>
    <w:rsid w:val="008E7586"/>
    <w:rsid w:val="008E75EC"/>
    <w:rsid w:val="008E7650"/>
    <w:rsid w:val="008E7766"/>
    <w:rsid w:val="008E7768"/>
    <w:rsid w:val="008E789E"/>
    <w:rsid w:val="008E791C"/>
    <w:rsid w:val="008E79DD"/>
    <w:rsid w:val="008E7ADE"/>
    <w:rsid w:val="008E7B43"/>
    <w:rsid w:val="008E7BC0"/>
    <w:rsid w:val="008E7D07"/>
    <w:rsid w:val="008E7D27"/>
    <w:rsid w:val="008F001E"/>
    <w:rsid w:val="008F0030"/>
    <w:rsid w:val="008F0041"/>
    <w:rsid w:val="008F0087"/>
    <w:rsid w:val="008F0091"/>
    <w:rsid w:val="008F00D9"/>
    <w:rsid w:val="008F011E"/>
    <w:rsid w:val="008F029A"/>
    <w:rsid w:val="008F02CD"/>
    <w:rsid w:val="008F02DC"/>
    <w:rsid w:val="008F046E"/>
    <w:rsid w:val="008F05A1"/>
    <w:rsid w:val="008F0613"/>
    <w:rsid w:val="008F0651"/>
    <w:rsid w:val="008F06D6"/>
    <w:rsid w:val="008F0762"/>
    <w:rsid w:val="008F0944"/>
    <w:rsid w:val="008F09AD"/>
    <w:rsid w:val="008F0BFA"/>
    <w:rsid w:val="008F0C1B"/>
    <w:rsid w:val="008F0F20"/>
    <w:rsid w:val="008F0FFA"/>
    <w:rsid w:val="008F1268"/>
    <w:rsid w:val="008F1323"/>
    <w:rsid w:val="008F133A"/>
    <w:rsid w:val="008F134F"/>
    <w:rsid w:val="008F140F"/>
    <w:rsid w:val="008F15DC"/>
    <w:rsid w:val="008F16B1"/>
    <w:rsid w:val="008F1785"/>
    <w:rsid w:val="008F17BF"/>
    <w:rsid w:val="008F1A8B"/>
    <w:rsid w:val="008F1C96"/>
    <w:rsid w:val="008F1CD8"/>
    <w:rsid w:val="008F1D50"/>
    <w:rsid w:val="008F1D5B"/>
    <w:rsid w:val="008F1F7A"/>
    <w:rsid w:val="008F1FA6"/>
    <w:rsid w:val="008F2231"/>
    <w:rsid w:val="008F22DE"/>
    <w:rsid w:val="008F2497"/>
    <w:rsid w:val="008F249F"/>
    <w:rsid w:val="008F24CD"/>
    <w:rsid w:val="008F262D"/>
    <w:rsid w:val="008F26C8"/>
    <w:rsid w:val="008F2701"/>
    <w:rsid w:val="008F2725"/>
    <w:rsid w:val="008F2795"/>
    <w:rsid w:val="008F27AC"/>
    <w:rsid w:val="008F294D"/>
    <w:rsid w:val="008F294F"/>
    <w:rsid w:val="008F2B05"/>
    <w:rsid w:val="008F2B1E"/>
    <w:rsid w:val="008F2C94"/>
    <w:rsid w:val="008F2F04"/>
    <w:rsid w:val="008F3032"/>
    <w:rsid w:val="008F30FE"/>
    <w:rsid w:val="008F3210"/>
    <w:rsid w:val="008F33D4"/>
    <w:rsid w:val="008F344A"/>
    <w:rsid w:val="008F3A40"/>
    <w:rsid w:val="008F3B05"/>
    <w:rsid w:val="008F3B4A"/>
    <w:rsid w:val="008F3B98"/>
    <w:rsid w:val="008F3BB1"/>
    <w:rsid w:val="008F3BB4"/>
    <w:rsid w:val="008F3BF7"/>
    <w:rsid w:val="008F3C4E"/>
    <w:rsid w:val="008F3C6E"/>
    <w:rsid w:val="008F3D42"/>
    <w:rsid w:val="008F3D9B"/>
    <w:rsid w:val="008F3DA6"/>
    <w:rsid w:val="008F3E0D"/>
    <w:rsid w:val="008F3F2B"/>
    <w:rsid w:val="008F3F80"/>
    <w:rsid w:val="008F4027"/>
    <w:rsid w:val="008F404E"/>
    <w:rsid w:val="008F406F"/>
    <w:rsid w:val="008F40A7"/>
    <w:rsid w:val="008F4317"/>
    <w:rsid w:val="008F43FE"/>
    <w:rsid w:val="008F445B"/>
    <w:rsid w:val="008F452D"/>
    <w:rsid w:val="008F4544"/>
    <w:rsid w:val="008F4694"/>
    <w:rsid w:val="008F46A5"/>
    <w:rsid w:val="008F4700"/>
    <w:rsid w:val="008F475C"/>
    <w:rsid w:val="008F47A2"/>
    <w:rsid w:val="008F4918"/>
    <w:rsid w:val="008F4967"/>
    <w:rsid w:val="008F4A19"/>
    <w:rsid w:val="008F4BF0"/>
    <w:rsid w:val="008F4C86"/>
    <w:rsid w:val="008F4DD8"/>
    <w:rsid w:val="008F4DFA"/>
    <w:rsid w:val="008F4E08"/>
    <w:rsid w:val="008F4E3E"/>
    <w:rsid w:val="008F4EE4"/>
    <w:rsid w:val="008F4FC8"/>
    <w:rsid w:val="008F5050"/>
    <w:rsid w:val="008F515C"/>
    <w:rsid w:val="008F517C"/>
    <w:rsid w:val="008F51D7"/>
    <w:rsid w:val="008F5268"/>
    <w:rsid w:val="008F531A"/>
    <w:rsid w:val="008F531D"/>
    <w:rsid w:val="008F5351"/>
    <w:rsid w:val="008F536D"/>
    <w:rsid w:val="008F5393"/>
    <w:rsid w:val="008F53CF"/>
    <w:rsid w:val="008F547B"/>
    <w:rsid w:val="008F54DC"/>
    <w:rsid w:val="008F5517"/>
    <w:rsid w:val="008F551C"/>
    <w:rsid w:val="008F5530"/>
    <w:rsid w:val="008F5552"/>
    <w:rsid w:val="008F5657"/>
    <w:rsid w:val="008F568E"/>
    <w:rsid w:val="008F5693"/>
    <w:rsid w:val="008F569B"/>
    <w:rsid w:val="008F573F"/>
    <w:rsid w:val="008F5794"/>
    <w:rsid w:val="008F58AB"/>
    <w:rsid w:val="008F5C51"/>
    <w:rsid w:val="008F5D89"/>
    <w:rsid w:val="008F5EFE"/>
    <w:rsid w:val="008F5FBE"/>
    <w:rsid w:val="008F6031"/>
    <w:rsid w:val="008F6084"/>
    <w:rsid w:val="008F62ED"/>
    <w:rsid w:val="008F6321"/>
    <w:rsid w:val="008F63DD"/>
    <w:rsid w:val="008F640D"/>
    <w:rsid w:val="008F6457"/>
    <w:rsid w:val="008F645E"/>
    <w:rsid w:val="008F64E9"/>
    <w:rsid w:val="008F652D"/>
    <w:rsid w:val="008F65D3"/>
    <w:rsid w:val="008F66DA"/>
    <w:rsid w:val="008F6702"/>
    <w:rsid w:val="008F67F8"/>
    <w:rsid w:val="008F6841"/>
    <w:rsid w:val="008F69A8"/>
    <w:rsid w:val="008F69C7"/>
    <w:rsid w:val="008F6A2A"/>
    <w:rsid w:val="008F6ADA"/>
    <w:rsid w:val="008F6B22"/>
    <w:rsid w:val="008F6C1C"/>
    <w:rsid w:val="008F6C8D"/>
    <w:rsid w:val="008F6D49"/>
    <w:rsid w:val="008F70DD"/>
    <w:rsid w:val="008F70ED"/>
    <w:rsid w:val="008F710A"/>
    <w:rsid w:val="008F724C"/>
    <w:rsid w:val="008F7259"/>
    <w:rsid w:val="008F73BC"/>
    <w:rsid w:val="008F740B"/>
    <w:rsid w:val="008F7429"/>
    <w:rsid w:val="008F7436"/>
    <w:rsid w:val="008F7538"/>
    <w:rsid w:val="008F769C"/>
    <w:rsid w:val="008F778A"/>
    <w:rsid w:val="008F7807"/>
    <w:rsid w:val="008F785D"/>
    <w:rsid w:val="008F7928"/>
    <w:rsid w:val="008F7F18"/>
    <w:rsid w:val="008F7FAE"/>
    <w:rsid w:val="0090002E"/>
    <w:rsid w:val="009000CD"/>
    <w:rsid w:val="00900122"/>
    <w:rsid w:val="00900158"/>
    <w:rsid w:val="00900257"/>
    <w:rsid w:val="009002B0"/>
    <w:rsid w:val="00900583"/>
    <w:rsid w:val="00900720"/>
    <w:rsid w:val="00900799"/>
    <w:rsid w:val="00900836"/>
    <w:rsid w:val="00900A17"/>
    <w:rsid w:val="00900B39"/>
    <w:rsid w:val="00900B87"/>
    <w:rsid w:val="00900CCC"/>
    <w:rsid w:val="00900D84"/>
    <w:rsid w:val="00900E82"/>
    <w:rsid w:val="00900FC5"/>
    <w:rsid w:val="009010A3"/>
    <w:rsid w:val="009012EF"/>
    <w:rsid w:val="0090130B"/>
    <w:rsid w:val="009013C3"/>
    <w:rsid w:val="009015FA"/>
    <w:rsid w:val="00901680"/>
    <w:rsid w:val="0090171F"/>
    <w:rsid w:val="0090176C"/>
    <w:rsid w:val="009017FA"/>
    <w:rsid w:val="0090192A"/>
    <w:rsid w:val="00901969"/>
    <w:rsid w:val="009019DC"/>
    <w:rsid w:val="00901A3B"/>
    <w:rsid w:val="00901AE0"/>
    <w:rsid w:val="00901B86"/>
    <w:rsid w:val="00901BD1"/>
    <w:rsid w:val="00901C1B"/>
    <w:rsid w:val="00901E11"/>
    <w:rsid w:val="00901EA9"/>
    <w:rsid w:val="00902214"/>
    <w:rsid w:val="00902261"/>
    <w:rsid w:val="009023B5"/>
    <w:rsid w:val="00902617"/>
    <w:rsid w:val="00902660"/>
    <w:rsid w:val="009026F4"/>
    <w:rsid w:val="009028A9"/>
    <w:rsid w:val="00902B58"/>
    <w:rsid w:val="00902C14"/>
    <w:rsid w:val="00902F2D"/>
    <w:rsid w:val="009030B5"/>
    <w:rsid w:val="00903197"/>
    <w:rsid w:val="0090346D"/>
    <w:rsid w:val="009034F5"/>
    <w:rsid w:val="009035AD"/>
    <w:rsid w:val="009036A1"/>
    <w:rsid w:val="00903844"/>
    <w:rsid w:val="009038DD"/>
    <w:rsid w:val="00903A3F"/>
    <w:rsid w:val="00903BB9"/>
    <w:rsid w:val="00903CA2"/>
    <w:rsid w:val="00903CE9"/>
    <w:rsid w:val="00903E57"/>
    <w:rsid w:val="00903FB4"/>
    <w:rsid w:val="009040FC"/>
    <w:rsid w:val="009041C8"/>
    <w:rsid w:val="00904280"/>
    <w:rsid w:val="009042F1"/>
    <w:rsid w:val="009043AA"/>
    <w:rsid w:val="009043B2"/>
    <w:rsid w:val="009045A3"/>
    <w:rsid w:val="00904658"/>
    <w:rsid w:val="009046B8"/>
    <w:rsid w:val="0090483B"/>
    <w:rsid w:val="009048F0"/>
    <w:rsid w:val="009049AF"/>
    <w:rsid w:val="00904A17"/>
    <w:rsid w:val="00904AAF"/>
    <w:rsid w:val="00904B92"/>
    <w:rsid w:val="00904C2B"/>
    <w:rsid w:val="00905016"/>
    <w:rsid w:val="00905020"/>
    <w:rsid w:val="00905179"/>
    <w:rsid w:val="009051BD"/>
    <w:rsid w:val="00905266"/>
    <w:rsid w:val="00905291"/>
    <w:rsid w:val="0090557D"/>
    <w:rsid w:val="00905596"/>
    <w:rsid w:val="009055DF"/>
    <w:rsid w:val="00905624"/>
    <w:rsid w:val="0090574A"/>
    <w:rsid w:val="00905904"/>
    <w:rsid w:val="00905C73"/>
    <w:rsid w:val="00905DB5"/>
    <w:rsid w:val="00905DC5"/>
    <w:rsid w:val="00905E44"/>
    <w:rsid w:val="00905EC6"/>
    <w:rsid w:val="00905F6D"/>
    <w:rsid w:val="00905FF8"/>
    <w:rsid w:val="00906075"/>
    <w:rsid w:val="009060DB"/>
    <w:rsid w:val="0090610D"/>
    <w:rsid w:val="009061E7"/>
    <w:rsid w:val="0090629D"/>
    <w:rsid w:val="009063DC"/>
    <w:rsid w:val="009064E9"/>
    <w:rsid w:val="0090668B"/>
    <w:rsid w:val="009066BF"/>
    <w:rsid w:val="00906774"/>
    <w:rsid w:val="009067C3"/>
    <w:rsid w:val="00906915"/>
    <w:rsid w:val="009069E8"/>
    <w:rsid w:val="00906A7F"/>
    <w:rsid w:val="00906B4E"/>
    <w:rsid w:val="00906C1B"/>
    <w:rsid w:val="00906C83"/>
    <w:rsid w:val="00906C87"/>
    <w:rsid w:val="00906D37"/>
    <w:rsid w:val="00906E86"/>
    <w:rsid w:val="00906EBD"/>
    <w:rsid w:val="00907313"/>
    <w:rsid w:val="00907451"/>
    <w:rsid w:val="0090756C"/>
    <w:rsid w:val="00907645"/>
    <w:rsid w:val="0090784D"/>
    <w:rsid w:val="009078F8"/>
    <w:rsid w:val="009078FF"/>
    <w:rsid w:val="00907A28"/>
    <w:rsid w:val="00907BB7"/>
    <w:rsid w:val="00907C5D"/>
    <w:rsid w:val="00907CD6"/>
    <w:rsid w:val="00907CEC"/>
    <w:rsid w:val="00907E3A"/>
    <w:rsid w:val="00907E56"/>
    <w:rsid w:val="00907FFE"/>
    <w:rsid w:val="009101B3"/>
    <w:rsid w:val="0091034A"/>
    <w:rsid w:val="0091037A"/>
    <w:rsid w:val="0091042D"/>
    <w:rsid w:val="00910634"/>
    <w:rsid w:val="00910675"/>
    <w:rsid w:val="009106DA"/>
    <w:rsid w:val="009106EC"/>
    <w:rsid w:val="0091073D"/>
    <w:rsid w:val="00910852"/>
    <w:rsid w:val="0091094E"/>
    <w:rsid w:val="009109C5"/>
    <w:rsid w:val="009109F3"/>
    <w:rsid w:val="00910A01"/>
    <w:rsid w:val="00910B96"/>
    <w:rsid w:val="00910E82"/>
    <w:rsid w:val="00911072"/>
    <w:rsid w:val="009110BA"/>
    <w:rsid w:val="009111C9"/>
    <w:rsid w:val="009111ED"/>
    <w:rsid w:val="00911307"/>
    <w:rsid w:val="00911372"/>
    <w:rsid w:val="009116A6"/>
    <w:rsid w:val="009116F6"/>
    <w:rsid w:val="009117F8"/>
    <w:rsid w:val="00911947"/>
    <w:rsid w:val="00911A24"/>
    <w:rsid w:val="00911AB3"/>
    <w:rsid w:val="00911AFB"/>
    <w:rsid w:val="00911BF9"/>
    <w:rsid w:val="00911DFE"/>
    <w:rsid w:val="00911FD3"/>
    <w:rsid w:val="00911FF2"/>
    <w:rsid w:val="00912075"/>
    <w:rsid w:val="009121E7"/>
    <w:rsid w:val="00912244"/>
    <w:rsid w:val="0091239A"/>
    <w:rsid w:val="00912426"/>
    <w:rsid w:val="00912548"/>
    <w:rsid w:val="0091271C"/>
    <w:rsid w:val="0091286A"/>
    <w:rsid w:val="00912A00"/>
    <w:rsid w:val="00912B15"/>
    <w:rsid w:val="00912B3A"/>
    <w:rsid w:val="00912BEA"/>
    <w:rsid w:val="00912C0C"/>
    <w:rsid w:val="00912C5A"/>
    <w:rsid w:val="00912E62"/>
    <w:rsid w:val="00912FC8"/>
    <w:rsid w:val="00912FCD"/>
    <w:rsid w:val="00913112"/>
    <w:rsid w:val="0091314A"/>
    <w:rsid w:val="00913171"/>
    <w:rsid w:val="00913221"/>
    <w:rsid w:val="00913235"/>
    <w:rsid w:val="0091324F"/>
    <w:rsid w:val="00913271"/>
    <w:rsid w:val="009132B2"/>
    <w:rsid w:val="009132D4"/>
    <w:rsid w:val="0091334D"/>
    <w:rsid w:val="00913606"/>
    <w:rsid w:val="009136C9"/>
    <w:rsid w:val="009137CF"/>
    <w:rsid w:val="0091394F"/>
    <w:rsid w:val="00913956"/>
    <w:rsid w:val="00913989"/>
    <w:rsid w:val="00913A50"/>
    <w:rsid w:val="00913ABF"/>
    <w:rsid w:val="00913AC1"/>
    <w:rsid w:val="00913CDB"/>
    <w:rsid w:val="00913E9F"/>
    <w:rsid w:val="00913EB7"/>
    <w:rsid w:val="009141C6"/>
    <w:rsid w:val="00914328"/>
    <w:rsid w:val="0091436A"/>
    <w:rsid w:val="0091494A"/>
    <w:rsid w:val="00914AB5"/>
    <w:rsid w:val="00914B42"/>
    <w:rsid w:val="00914DCC"/>
    <w:rsid w:val="00914F97"/>
    <w:rsid w:val="00915017"/>
    <w:rsid w:val="0091504C"/>
    <w:rsid w:val="009150C7"/>
    <w:rsid w:val="009150D2"/>
    <w:rsid w:val="0091515A"/>
    <w:rsid w:val="0091523B"/>
    <w:rsid w:val="009152D3"/>
    <w:rsid w:val="009154E6"/>
    <w:rsid w:val="00915502"/>
    <w:rsid w:val="00915564"/>
    <w:rsid w:val="0091563B"/>
    <w:rsid w:val="0091569F"/>
    <w:rsid w:val="0091574C"/>
    <w:rsid w:val="00915784"/>
    <w:rsid w:val="00915819"/>
    <w:rsid w:val="009158F1"/>
    <w:rsid w:val="009159DA"/>
    <w:rsid w:val="00915A64"/>
    <w:rsid w:val="00915AFA"/>
    <w:rsid w:val="00915B01"/>
    <w:rsid w:val="00915C4B"/>
    <w:rsid w:val="00915CA2"/>
    <w:rsid w:val="00915D3F"/>
    <w:rsid w:val="00915D7B"/>
    <w:rsid w:val="00915DC0"/>
    <w:rsid w:val="00915DF9"/>
    <w:rsid w:val="00915E18"/>
    <w:rsid w:val="00915E96"/>
    <w:rsid w:val="00915EB1"/>
    <w:rsid w:val="00915FF7"/>
    <w:rsid w:val="00915FFB"/>
    <w:rsid w:val="00916021"/>
    <w:rsid w:val="00916219"/>
    <w:rsid w:val="00916378"/>
    <w:rsid w:val="00916522"/>
    <w:rsid w:val="00916600"/>
    <w:rsid w:val="00916643"/>
    <w:rsid w:val="009167A3"/>
    <w:rsid w:val="00916800"/>
    <w:rsid w:val="0091680D"/>
    <w:rsid w:val="009168C3"/>
    <w:rsid w:val="00916A2A"/>
    <w:rsid w:val="00916A4E"/>
    <w:rsid w:val="00916BB6"/>
    <w:rsid w:val="00916BE3"/>
    <w:rsid w:val="00916BEC"/>
    <w:rsid w:val="00916D2A"/>
    <w:rsid w:val="00916D3F"/>
    <w:rsid w:val="00916DB0"/>
    <w:rsid w:val="00916E05"/>
    <w:rsid w:val="00916E4F"/>
    <w:rsid w:val="00917045"/>
    <w:rsid w:val="009170F6"/>
    <w:rsid w:val="00917302"/>
    <w:rsid w:val="009173B6"/>
    <w:rsid w:val="00917461"/>
    <w:rsid w:val="0091768B"/>
    <w:rsid w:val="009178B1"/>
    <w:rsid w:val="009178EE"/>
    <w:rsid w:val="00917957"/>
    <w:rsid w:val="00917A3F"/>
    <w:rsid w:val="00917A72"/>
    <w:rsid w:val="00917A8B"/>
    <w:rsid w:val="00917BE8"/>
    <w:rsid w:val="00917C09"/>
    <w:rsid w:val="00917CBA"/>
    <w:rsid w:val="00917E54"/>
    <w:rsid w:val="00917F02"/>
    <w:rsid w:val="00917F13"/>
    <w:rsid w:val="00917F2C"/>
    <w:rsid w:val="00917FE2"/>
    <w:rsid w:val="00920030"/>
    <w:rsid w:val="00920487"/>
    <w:rsid w:val="009204B7"/>
    <w:rsid w:val="00920844"/>
    <w:rsid w:val="00920ACF"/>
    <w:rsid w:val="00920B9D"/>
    <w:rsid w:val="00920D71"/>
    <w:rsid w:val="00920DC5"/>
    <w:rsid w:val="00920FBF"/>
    <w:rsid w:val="00920FF1"/>
    <w:rsid w:val="00921151"/>
    <w:rsid w:val="009211DB"/>
    <w:rsid w:val="0092123C"/>
    <w:rsid w:val="00921265"/>
    <w:rsid w:val="0092128B"/>
    <w:rsid w:val="009212DB"/>
    <w:rsid w:val="0092130F"/>
    <w:rsid w:val="009213CA"/>
    <w:rsid w:val="00921463"/>
    <w:rsid w:val="0092149A"/>
    <w:rsid w:val="009217CF"/>
    <w:rsid w:val="009217FE"/>
    <w:rsid w:val="00921A2F"/>
    <w:rsid w:val="00921AF1"/>
    <w:rsid w:val="00921B39"/>
    <w:rsid w:val="00921C0F"/>
    <w:rsid w:val="00921C3C"/>
    <w:rsid w:val="00921CEF"/>
    <w:rsid w:val="00921DEE"/>
    <w:rsid w:val="00921E4E"/>
    <w:rsid w:val="00921E96"/>
    <w:rsid w:val="00921F63"/>
    <w:rsid w:val="00921FC8"/>
    <w:rsid w:val="009220A0"/>
    <w:rsid w:val="00922181"/>
    <w:rsid w:val="0092221D"/>
    <w:rsid w:val="0092224C"/>
    <w:rsid w:val="00922308"/>
    <w:rsid w:val="0092242A"/>
    <w:rsid w:val="00922476"/>
    <w:rsid w:val="0092247F"/>
    <w:rsid w:val="00922524"/>
    <w:rsid w:val="009226F8"/>
    <w:rsid w:val="0092279F"/>
    <w:rsid w:val="009227A9"/>
    <w:rsid w:val="00922827"/>
    <w:rsid w:val="009228A0"/>
    <w:rsid w:val="00922990"/>
    <w:rsid w:val="00922A17"/>
    <w:rsid w:val="00922A36"/>
    <w:rsid w:val="00922BB2"/>
    <w:rsid w:val="00922DC7"/>
    <w:rsid w:val="00922E0A"/>
    <w:rsid w:val="00922F43"/>
    <w:rsid w:val="009230D3"/>
    <w:rsid w:val="00923179"/>
    <w:rsid w:val="009231FA"/>
    <w:rsid w:val="00923280"/>
    <w:rsid w:val="009232A3"/>
    <w:rsid w:val="009232F0"/>
    <w:rsid w:val="0092354D"/>
    <w:rsid w:val="009235E6"/>
    <w:rsid w:val="009235EF"/>
    <w:rsid w:val="0092382F"/>
    <w:rsid w:val="0092387C"/>
    <w:rsid w:val="009238A8"/>
    <w:rsid w:val="009238FF"/>
    <w:rsid w:val="00923936"/>
    <w:rsid w:val="00923946"/>
    <w:rsid w:val="00923B27"/>
    <w:rsid w:val="00923C60"/>
    <w:rsid w:val="00923DDF"/>
    <w:rsid w:val="00923E64"/>
    <w:rsid w:val="00923EBA"/>
    <w:rsid w:val="00923EF1"/>
    <w:rsid w:val="00923F8A"/>
    <w:rsid w:val="00924105"/>
    <w:rsid w:val="00924129"/>
    <w:rsid w:val="00924301"/>
    <w:rsid w:val="0092433C"/>
    <w:rsid w:val="009245B8"/>
    <w:rsid w:val="009245D5"/>
    <w:rsid w:val="009246CE"/>
    <w:rsid w:val="00924ACB"/>
    <w:rsid w:val="00924B01"/>
    <w:rsid w:val="00924BDC"/>
    <w:rsid w:val="00924C22"/>
    <w:rsid w:val="00924C7A"/>
    <w:rsid w:val="00924CE1"/>
    <w:rsid w:val="00924DD1"/>
    <w:rsid w:val="00924E6B"/>
    <w:rsid w:val="00925187"/>
    <w:rsid w:val="009252F8"/>
    <w:rsid w:val="009253CF"/>
    <w:rsid w:val="0092579A"/>
    <w:rsid w:val="00925853"/>
    <w:rsid w:val="00925973"/>
    <w:rsid w:val="009259EA"/>
    <w:rsid w:val="00925A45"/>
    <w:rsid w:val="00925ABB"/>
    <w:rsid w:val="00925ADA"/>
    <w:rsid w:val="00925B43"/>
    <w:rsid w:val="00925B75"/>
    <w:rsid w:val="00925BC6"/>
    <w:rsid w:val="00925C91"/>
    <w:rsid w:val="00925CF9"/>
    <w:rsid w:val="00925D47"/>
    <w:rsid w:val="00925DCD"/>
    <w:rsid w:val="00925E0A"/>
    <w:rsid w:val="00926031"/>
    <w:rsid w:val="0092612D"/>
    <w:rsid w:val="00926170"/>
    <w:rsid w:val="00926288"/>
    <w:rsid w:val="009262AD"/>
    <w:rsid w:val="00926336"/>
    <w:rsid w:val="009266EA"/>
    <w:rsid w:val="00926828"/>
    <w:rsid w:val="009268E7"/>
    <w:rsid w:val="009268F3"/>
    <w:rsid w:val="009269F7"/>
    <w:rsid w:val="00926A02"/>
    <w:rsid w:val="00926BA1"/>
    <w:rsid w:val="00926D12"/>
    <w:rsid w:val="00926D7C"/>
    <w:rsid w:val="00926D9B"/>
    <w:rsid w:val="00926E8A"/>
    <w:rsid w:val="00926E96"/>
    <w:rsid w:val="00926EA1"/>
    <w:rsid w:val="00926F60"/>
    <w:rsid w:val="00927025"/>
    <w:rsid w:val="0092735C"/>
    <w:rsid w:val="00927360"/>
    <w:rsid w:val="009273DD"/>
    <w:rsid w:val="00927436"/>
    <w:rsid w:val="00927490"/>
    <w:rsid w:val="00927585"/>
    <w:rsid w:val="0092768A"/>
    <w:rsid w:val="009276E7"/>
    <w:rsid w:val="00927720"/>
    <w:rsid w:val="0092778F"/>
    <w:rsid w:val="0092780B"/>
    <w:rsid w:val="00927A46"/>
    <w:rsid w:val="00927B01"/>
    <w:rsid w:val="00927B86"/>
    <w:rsid w:val="00927BA2"/>
    <w:rsid w:val="00927BE6"/>
    <w:rsid w:val="00927C53"/>
    <w:rsid w:val="00927C7D"/>
    <w:rsid w:val="00927DEA"/>
    <w:rsid w:val="00927E3D"/>
    <w:rsid w:val="00927F43"/>
    <w:rsid w:val="00927F45"/>
    <w:rsid w:val="00927F46"/>
    <w:rsid w:val="009300BB"/>
    <w:rsid w:val="00930190"/>
    <w:rsid w:val="0093022C"/>
    <w:rsid w:val="00930263"/>
    <w:rsid w:val="009302C8"/>
    <w:rsid w:val="00930518"/>
    <w:rsid w:val="00930565"/>
    <w:rsid w:val="009305C2"/>
    <w:rsid w:val="00930710"/>
    <w:rsid w:val="00930798"/>
    <w:rsid w:val="00930B79"/>
    <w:rsid w:val="00930B87"/>
    <w:rsid w:val="00930BF9"/>
    <w:rsid w:val="00930C01"/>
    <w:rsid w:val="00930C1C"/>
    <w:rsid w:val="00930C75"/>
    <w:rsid w:val="00930CEC"/>
    <w:rsid w:val="00930E91"/>
    <w:rsid w:val="00930EB5"/>
    <w:rsid w:val="00930F06"/>
    <w:rsid w:val="00930F24"/>
    <w:rsid w:val="00930F3D"/>
    <w:rsid w:val="009311AA"/>
    <w:rsid w:val="00931257"/>
    <w:rsid w:val="0093147F"/>
    <w:rsid w:val="009314F6"/>
    <w:rsid w:val="0093154A"/>
    <w:rsid w:val="0093160F"/>
    <w:rsid w:val="00931659"/>
    <w:rsid w:val="009316D8"/>
    <w:rsid w:val="0093170C"/>
    <w:rsid w:val="009317F1"/>
    <w:rsid w:val="00931876"/>
    <w:rsid w:val="00931896"/>
    <w:rsid w:val="009318B0"/>
    <w:rsid w:val="009318E1"/>
    <w:rsid w:val="009319EC"/>
    <w:rsid w:val="00931A0C"/>
    <w:rsid w:val="00931A2F"/>
    <w:rsid w:val="00931A5A"/>
    <w:rsid w:val="00931B33"/>
    <w:rsid w:val="00931CD0"/>
    <w:rsid w:val="00931D60"/>
    <w:rsid w:val="00931D92"/>
    <w:rsid w:val="00931E77"/>
    <w:rsid w:val="00931FBD"/>
    <w:rsid w:val="00931FC2"/>
    <w:rsid w:val="00931FEA"/>
    <w:rsid w:val="00932016"/>
    <w:rsid w:val="009320B0"/>
    <w:rsid w:val="009321BF"/>
    <w:rsid w:val="009321FC"/>
    <w:rsid w:val="0093232D"/>
    <w:rsid w:val="0093242F"/>
    <w:rsid w:val="00932465"/>
    <w:rsid w:val="009324D0"/>
    <w:rsid w:val="00932522"/>
    <w:rsid w:val="0093254F"/>
    <w:rsid w:val="009325C7"/>
    <w:rsid w:val="0093267A"/>
    <w:rsid w:val="0093282A"/>
    <w:rsid w:val="0093296D"/>
    <w:rsid w:val="00932B2B"/>
    <w:rsid w:val="00932B94"/>
    <w:rsid w:val="00932DDD"/>
    <w:rsid w:val="00932EC6"/>
    <w:rsid w:val="0093316A"/>
    <w:rsid w:val="0093330A"/>
    <w:rsid w:val="00933312"/>
    <w:rsid w:val="00933367"/>
    <w:rsid w:val="0093340F"/>
    <w:rsid w:val="0093343F"/>
    <w:rsid w:val="00933446"/>
    <w:rsid w:val="00933452"/>
    <w:rsid w:val="00933521"/>
    <w:rsid w:val="009335E7"/>
    <w:rsid w:val="0093362E"/>
    <w:rsid w:val="00933676"/>
    <w:rsid w:val="009337A7"/>
    <w:rsid w:val="00933817"/>
    <w:rsid w:val="00933A35"/>
    <w:rsid w:val="00933B50"/>
    <w:rsid w:val="00933B6C"/>
    <w:rsid w:val="00933B83"/>
    <w:rsid w:val="00933DC6"/>
    <w:rsid w:val="00933E47"/>
    <w:rsid w:val="00933EEB"/>
    <w:rsid w:val="0093401B"/>
    <w:rsid w:val="009340D3"/>
    <w:rsid w:val="00934148"/>
    <w:rsid w:val="009341BB"/>
    <w:rsid w:val="009342CE"/>
    <w:rsid w:val="0093436E"/>
    <w:rsid w:val="0093442E"/>
    <w:rsid w:val="0093451B"/>
    <w:rsid w:val="00934644"/>
    <w:rsid w:val="00934914"/>
    <w:rsid w:val="009349A2"/>
    <w:rsid w:val="009349E8"/>
    <w:rsid w:val="0093501D"/>
    <w:rsid w:val="009352B5"/>
    <w:rsid w:val="00935460"/>
    <w:rsid w:val="009354CB"/>
    <w:rsid w:val="0093558E"/>
    <w:rsid w:val="009355D8"/>
    <w:rsid w:val="0093566E"/>
    <w:rsid w:val="009357B0"/>
    <w:rsid w:val="009358B5"/>
    <w:rsid w:val="00935CB2"/>
    <w:rsid w:val="00935D83"/>
    <w:rsid w:val="00935DD1"/>
    <w:rsid w:val="00936072"/>
    <w:rsid w:val="0093611C"/>
    <w:rsid w:val="0093623C"/>
    <w:rsid w:val="00936292"/>
    <w:rsid w:val="00936611"/>
    <w:rsid w:val="00936659"/>
    <w:rsid w:val="009366EA"/>
    <w:rsid w:val="00936754"/>
    <w:rsid w:val="0093676A"/>
    <w:rsid w:val="009369B5"/>
    <w:rsid w:val="00936A49"/>
    <w:rsid w:val="00936B6B"/>
    <w:rsid w:val="00936B86"/>
    <w:rsid w:val="00936BA2"/>
    <w:rsid w:val="00936DF7"/>
    <w:rsid w:val="00936E41"/>
    <w:rsid w:val="00936FE1"/>
    <w:rsid w:val="009370E1"/>
    <w:rsid w:val="00937167"/>
    <w:rsid w:val="00937289"/>
    <w:rsid w:val="009372BA"/>
    <w:rsid w:val="00937385"/>
    <w:rsid w:val="009375D8"/>
    <w:rsid w:val="00937691"/>
    <w:rsid w:val="00937796"/>
    <w:rsid w:val="009377A9"/>
    <w:rsid w:val="009377C8"/>
    <w:rsid w:val="00937821"/>
    <w:rsid w:val="00937833"/>
    <w:rsid w:val="00937922"/>
    <w:rsid w:val="00937B80"/>
    <w:rsid w:val="00937CB8"/>
    <w:rsid w:val="00937E02"/>
    <w:rsid w:val="0094007E"/>
    <w:rsid w:val="009400ED"/>
    <w:rsid w:val="0094038C"/>
    <w:rsid w:val="00940397"/>
    <w:rsid w:val="009403C9"/>
    <w:rsid w:val="009403F8"/>
    <w:rsid w:val="0094057D"/>
    <w:rsid w:val="009407DA"/>
    <w:rsid w:val="00940A46"/>
    <w:rsid w:val="00940B6D"/>
    <w:rsid w:val="00940CC9"/>
    <w:rsid w:val="00940CDF"/>
    <w:rsid w:val="00940E88"/>
    <w:rsid w:val="00940EA9"/>
    <w:rsid w:val="00940F72"/>
    <w:rsid w:val="00940FF5"/>
    <w:rsid w:val="009410AB"/>
    <w:rsid w:val="009410F7"/>
    <w:rsid w:val="00941145"/>
    <w:rsid w:val="009412E1"/>
    <w:rsid w:val="0094138D"/>
    <w:rsid w:val="00941479"/>
    <w:rsid w:val="00941488"/>
    <w:rsid w:val="009415E5"/>
    <w:rsid w:val="00941659"/>
    <w:rsid w:val="009418B4"/>
    <w:rsid w:val="0094196D"/>
    <w:rsid w:val="00941A73"/>
    <w:rsid w:val="00941AE8"/>
    <w:rsid w:val="00941BC9"/>
    <w:rsid w:val="00941D36"/>
    <w:rsid w:val="00941D93"/>
    <w:rsid w:val="0094201C"/>
    <w:rsid w:val="00942055"/>
    <w:rsid w:val="0094220C"/>
    <w:rsid w:val="00942216"/>
    <w:rsid w:val="0094221F"/>
    <w:rsid w:val="0094231D"/>
    <w:rsid w:val="009423CE"/>
    <w:rsid w:val="009423D3"/>
    <w:rsid w:val="0094252C"/>
    <w:rsid w:val="00942633"/>
    <w:rsid w:val="009426AB"/>
    <w:rsid w:val="009426BC"/>
    <w:rsid w:val="0094277C"/>
    <w:rsid w:val="0094277F"/>
    <w:rsid w:val="009427C7"/>
    <w:rsid w:val="00942816"/>
    <w:rsid w:val="009428CB"/>
    <w:rsid w:val="00942947"/>
    <w:rsid w:val="00942977"/>
    <w:rsid w:val="00942994"/>
    <w:rsid w:val="00942CE0"/>
    <w:rsid w:val="00942EC3"/>
    <w:rsid w:val="0094301A"/>
    <w:rsid w:val="009430F1"/>
    <w:rsid w:val="0094310E"/>
    <w:rsid w:val="0094320D"/>
    <w:rsid w:val="0094325F"/>
    <w:rsid w:val="00943372"/>
    <w:rsid w:val="009434BB"/>
    <w:rsid w:val="009434C2"/>
    <w:rsid w:val="0094357C"/>
    <w:rsid w:val="00943671"/>
    <w:rsid w:val="00943739"/>
    <w:rsid w:val="00943948"/>
    <w:rsid w:val="00943A3A"/>
    <w:rsid w:val="00943A5B"/>
    <w:rsid w:val="00943AB7"/>
    <w:rsid w:val="00943BA3"/>
    <w:rsid w:val="00943C90"/>
    <w:rsid w:val="00943ECC"/>
    <w:rsid w:val="00944445"/>
    <w:rsid w:val="00944486"/>
    <w:rsid w:val="00944521"/>
    <w:rsid w:val="00944569"/>
    <w:rsid w:val="009446B6"/>
    <w:rsid w:val="00944928"/>
    <w:rsid w:val="00944940"/>
    <w:rsid w:val="00944B6B"/>
    <w:rsid w:val="00944C8A"/>
    <w:rsid w:val="00944D03"/>
    <w:rsid w:val="00944D20"/>
    <w:rsid w:val="00944D3F"/>
    <w:rsid w:val="00944DDB"/>
    <w:rsid w:val="00944E10"/>
    <w:rsid w:val="00944E53"/>
    <w:rsid w:val="00945005"/>
    <w:rsid w:val="0094505D"/>
    <w:rsid w:val="009450AD"/>
    <w:rsid w:val="00945108"/>
    <w:rsid w:val="00945283"/>
    <w:rsid w:val="0094529B"/>
    <w:rsid w:val="009452CA"/>
    <w:rsid w:val="00945329"/>
    <w:rsid w:val="00945654"/>
    <w:rsid w:val="0094580C"/>
    <w:rsid w:val="00945917"/>
    <w:rsid w:val="0094593A"/>
    <w:rsid w:val="00945A3B"/>
    <w:rsid w:val="00945AA5"/>
    <w:rsid w:val="00945ADC"/>
    <w:rsid w:val="00945C2D"/>
    <w:rsid w:val="00945CA9"/>
    <w:rsid w:val="00945D38"/>
    <w:rsid w:val="00945D98"/>
    <w:rsid w:val="00945F8C"/>
    <w:rsid w:val="00946048"/>
    <w:rsid w:val="00946069"/>
    <w:rsid w:val="00946177"/>
    <w:rsid w:val="00946178"/>
    <w:rsid w:val="00946230"/>
    <w:rsid w:val="0094627D"/>
    <w:rsid w:val="00946465"/>
    <w:rsid w:val="0094647C"/>
    <w:rsid w:val="0094653F"/>
    <w:rsid w:val="009465D6"/>
    <w:rsid w:val="00946628"/>
    <w:rsid w:val="00946687"/>
    <w:rsid w:val="0094669D"/>
    <w:rsid w:val="009466C4"/>
    <w:rsid w:val="009466F9"/>
    <w:rsid w:val="00946776"/>
    <w:rsid w:val="009467C1"/>
    <w:rsid w:val="0094689C"/>
    <w:rsid w:val="00946A75"/>
    <w:rsid w:val="00946AA9"/>
    <w:rsid w:val="00946AD3"/>
    <w:rsid w:val="00946AF4"/>
    <w:rsid w:val="00946B06"/>
    <w:rsid w:val="00946D23"/>
    <w:rsid w:val="00946D69"/>
    <w:rsid w:val="00946D6F"/>
    <w:rsid w:val="00946DB9"/>
    <w:rsid w:val="0094716C"/>
    <w:rsid w:val="009471C5"/>
    <w:rsid w:val="0094723A"/>
    <w:rsid w:val="00947367"/>
    <w:rsid w:val="009473A8"/>
    <w:rsid w:val="00947476"/>
    <w:rsid w:val="009475A4"/>
    <w:rsid w:val="009475B3"/>
    <w:rsid w:val="0094762B"/>
    <w:rsid w:val="009476A3"/>
    <w:rsid w:val="0094785E"/>
    <w:rsid w:val="00947883"/>
    <w:rsid w:val="009478FC"/>
    <w:rsid w:val="00947933"/>
    <w:rsid w:val="00947975"/>
    <w:rsid w:val="00947993"/>
    <w:rsid w:val="009479D9"/>
    <w:rsid w:val="00947A13"/>
    <w:rsid w:val="00947CA0"/>
    <w:rsid w:val="00947CFE"/>
    <w:rsid w:val="00947D38"/>
    <w:rsid w:val="0095006A"/>
    <w:rsid w:val="00950101"/>
    <w:rsid w:val="009502FE"/>
    <w:rsid w:val="00950339"/>
    <w:rsid w:val="009503C8"/>
    <w:rsid w:val="009503D1"/>
    <w:rsid w:val="00950414"/>
    <w:rsid w:val="0095041B"/>
    <w:rsid w:val="00950439"/>
    <w:rsid w:val="0095057B"/>
    <w:rsid w:val="009505A2"/>
    <w:rsid w:val="009505D4"/>
    <w:rsid w:val="00950726"/>
    <w:rsid w:val="009507CF"/>
    <w:rsid w:val="009507D2"/>
    <w:rsid w:val="0095089C"/>
    <w:rsid w:val="00950978"/>
    <w:rsid w:val="00950A5F"/>
    <w:rsid w:val="00950AC3"/>
    <w:rsid w:val="00950BAF"/>
    <w:rsid w:val="00950BEB"/>
    <w:rsid w:val="00950C99"/>
    <w:rsid w:val="00950D7D"/>
    <w:rsid w:val="00950DC8"/>
    <w:rsid w:val="00950E2A"/>
    <w:rsid w:val="00950F55"/>
    <w:rsid w:val="00951148"/>
    <w:rsid w:val="009512A2"/>
    <w:rsid w:val="009512BA"/>
    <w:rsid w:val="00951312"/>
    <w:rsid w:val="009513FF"/>
    <w:rsid w:val="0095143D"/>
    <w:rsid w:val="0095180D"/>
    <w:rsid w:val="0095191B"/>
    <w:rsid w:val="00951968"/>
    <w:rsid w:val="00951A03"/>
    <w:rsid w:val="00951A23"/>
    <w:rsid w:val="00951B6A"/>
    <w:rsid w:val="00951BC4"/>
    <w:rsid w:val="00951BE7"/>
    <w:rsid w:val="00951C60"/>
    <w:rsid w:val="00951D9C"/>
    <w:rsid w:val="00951DD8"/>
    <w:rsid w:val="00951DE5"/>
    <w:rsid w:val="00951EDF"/>
    <w:rsid w:val="00951F16"/>
    <w:rsid w:val="0095203A"/>
    <w:rsid w:val="009520C3"/>
    <w:rsid w:val="009520D6"/>
    <w:rsid w:val="0095213F"/>
    <w:rsid w:val="00952204"/>
    <w:rsid w:val="009522FF"/>
    <w:rsid w:val="0095234E"/>
    <w:rsid w:val="0095235C"/>
    <w:rsid w:val="00952537"/>
    <w:rsid w:val="00952595"/>
    <w:rsid w:val="00952622"/>
    <w:rsid w:val="0095271F"/>
    <w:rsid w:val="009527F0"/>
    <w:rsid w:val="009528F8"/>
    <w:rsid w:val="00952958"/>
    <w:rsid w:val="00952A58"/>
    <w:rsid w:val="00952C1E"/>
    <w:rsid w:val="00952C51"/>
    <w:rsid w:val="00952D05"/>
    <w:rsid w:val="00952D35"/>
    <w:rsid w:val="00952E7E"/>
    <w:rsid w:val="00952EEF"/>
    <w:rsid w:val="00952F6A"/>
    <w:rsid w:val="0095312D"/>
    <w:rsid w:val="009531E5"/>
    <w:rsid w:val="0095330E"/>
    <w:rsid w:val="00953444"/>
    <w:rsid w:val="009537F4"/>
    <w:rsid w:val="00953865"/>
    <w:rsid w:val="009538E7"/>
    <w:rsid w:val="00953971"/>
    <w:rsid w:val="00953A17"/>
    <w:rsid w:val="00953A38"/>
    <w:rsid w:val="00953B05"/>
    <w:rsid w:val="00953F23"/>
    <w:rsid w:val="00953FF8"/>
    <w:rsid w:val="0095408B"/>
    <w:rsid w:val="009543D0"/>
    <w:rsid w:val="00954438"/>
    <w:rsid w:val="00954644"/>
    <w:rsid w:val="0095475A"/>
    <w:rsid w:val="00954988"/>
    <w:rsid w:val="00954A1B"/>
    <w:rsid w:val="00954A5E"/>
    <w:rsid w:val="00954B52"/>
    <w:rsid w:val="00954B74"/>
    <w:rsid w:val="00954C07"/>
    <w:rsid w:val="00954E45"/>
    <w:rsid w:val="00954FC3"/>
    <w:rsid w:val="00955041"/>
    <w:rsid w:val="009550B4"/>
    <w:rsid w:val="00955131"/>
    <w:rsid w:val="00955369"/>
    <w:rsid w:val="0095536E"/>
    <w:rsid w:val="0095549B"/>
    <w:rsid w:val="0095557E"/>
    <w:rsid w:val="00955756"/>
    <w:rsid w:val="00955859"/>
    <w:rsid w:val="00955886"/>
    <w:rsid w:val="0095596D"/>
    <w:rsid w:val="00955B0C"/>
    <w:rsid w:val="00955B79"/>
    <w:rsid w:val="00955B8B"/>
    <w:rsid w:val="00955C6E"/>
    <w:rsid w:val="00955D0F"/>
    <w:rsid w:val="00955D14"/>
    <w:rsid w:val="00955D21"/>
    <w:rsid w:val="00955EC7"/>
    <w:rsid w:val="00955ECD"/>
    <w:rsid w:val="00955F06"/>
    <w:rsid w:val="00955F43"/>
    <w:rsid w:val="00955FF0"/>
    <w:rsid w:val="00955FF1"/>
    <w:rsid w:val="00956069"/>
    <w:rsid w:val="00956078"/>
    <w:rsid w:val="0095617B"/>
    <w:rsid w:val="0095623C"/>
    <w:rsid w:val="0095633D"/>
    <w:rsid w:val="00956431"/>
    <w:rsid w:val="00956465"/>
    <w:rsid w:val="00956496"/>
    <w:rsid w:val="009564EB"/>
    <w:rsid w:val="009565E2"/>
    <w:rsid w:val="0095664B"/>
    <w:rsid w:val="0095678D"/>
    <w:rsid w:val="009567DF"/>
    <w:rsid w:val="00956A00"/>
    <w:rsid w:val="00956ACB"/>
    <w:rsid w:val="00956C98"/>
    <w:rsid w:val="00956D49"/>
    <w:rsid w:val="00956DB4"/>
    <w:rsid w:val="00956E3F"/>
    <w:rsid w:val="00956E8F"/>
    <w:rsid w:val="00956F99"/>
    <w:rsid w:val="0095728A"/>
    <w:rsid w:val="009572E4"/>
    <w:rsid w:val="00957306"/>
    <w:rsid w:val="00957360"/>
    <w:rsid w:val="009573E2"/>
    <w:rsid w:val="009574BA"/>
    <w:rsid w:val="0095752E"/>
    <w:rsid w:val="00957746"/>
    <w:rsid w:val="0095782E"/>
    <w:rsid w:val="00957857"/>
    <w:rsid w:val="00957983"/>
    <w:rsid w:val="00957A60"/>
    <w:rsid w:val="00957CAB"/>
    <w:rsid w:val="00957CEE"/>
    <w:rsid w:val="00957D1A"/>
    <w:rsid w:val="00957D3A"/>
    <w:rsid w:val="00957D6F"/>
    <w:rsid w:val="00957D70"/>
    <w:rsid w:val="00957EEF"/>
    <w:rsid w:val="00957F45"/>
    <w:rsid w:val="00960013"/>
    <w:rsid w:val="0096007E"/>
    <w:rsid w:val="0096011C"/>
    <w:rsid w:val="00960183"/>
    <w:rsid w:val="009602C5"/>
    <w:rsid w:val="00960357"/>
    <w:rsid w:val="009603D7"/>
    <w:rsid w:val="00960557"/>
    <w:rsid w:val="00960587"/>
    <w:rsid w:val="009606A4"/>
    <w:rsid w:val="0096088E"/>
    <w:rsid w:val="00960920"/>
    <w:rsid w:val="009609AA"/>
    <w:rsid w:val="009609C6"/>
    <w:rsid w:val="00960B84"/>
    <w:rsid w:val="00960B89"/>
    <w:rsid w:val="00960BEA"/>
    <w:rsid w:val="00960CB2"/>
    <w:rsid w:val="00960D59"/>
    <w:rsid w:val="00960E64"/>
    <w:rsid w:val="00960FF3"/>
    <w:rsid w:val="009610D1"/>
    <w:rsid w:val="009610E0"/>
    <w:rsid w:val="0096119A"/>
    <w:rsid w:val="00961230"/>
    <w:rsid w:val="009612C9"/>
    <w:rsid w:val="00961483"/>
    <w:rsid w:val="00961535"/>
    <w:rsid w:val="00961592"/>
    <w:rsid w:val="009615D3"/>
    <w:rsid w:val="00961643"/>
    <w:rsid w:val="00961650"/>
    <w:rsid w:val="009616B6"/>
    <w:rsid w:val="0096175C"/>
    <w:rsid w:val="009617B4"/>
    <w:rsid w:val="0096181E"/>
    <w:rsid w:val="00961840"/>
    <w:rsid w:val="009618A3"/>
    <w:rsid w:val="009618C1"/>
    <w:rsid w:val="00961904"/>
    <w:rsid w:val="00961960"/>
    <w:rsid w:val="00961A23"/>
    <w:rsid w:val="00961A5A"/>
    <w:rsid w:val="00961A60"/>
    <w:rsid w:val="00961AAC"/>
    <w:rsid w:val="00961BED"/>
    <w:rsid w:val="00961C1A"/>
    <w:rsid w:val="00961C59"/>
    <w:rsid w:val="00961E26"/>
    <w:rsid w:val="00961EC2"/>
    <w:rsid w:val="00961F09"/>
    <w:rsid w:val="00961F97"/>
    <w:rsid w:val="00962025"/>
    <w:rsid w:val="009620CB"/>
    <w:rsid w:val="00962167"/>
    <w:rsid w:val="009621F2"/>
    <w:rsid w:val="0096223C"/>
    <w:rsid w:val="0096231B"/>
    <w:rsid w:val="0096234E"/>
    <w:rsid w:val="009623DA"/>
    <w:rsid w:val="009623F6"/>
    <w:rsid w:val="0096250D"/>
    <w:rsid w:val="0096283F"/>
    <w:rsid w:val="00962860"/>
    <w:rsid w:val="0096298F"/>
    <w:rsid w:val="00962B99"/>
    <w:rsid w:val="00962BAC"/>
    <w:rsid w:val="00962BD0"/>
    <w:rsid w:val="00962CF1"/>
    <w:rsid w:val="00962DF7"/>
    <w:rsid w:val="00962FEB"/>
    <w:rsid w:val="00962FF1"/>
    <w:rsid w:val="00963055"/>
    <w:rsid w:val="009630F3"/>
    <w:rsid w:val="00963121"/>
    <w:rsid w:val="00963130"/>
    <w:rsid w:val="00963201"/>
    <w:rsid w:val="00963399"/>
    <w:rsid w:val="0096339C"/>
    <w:rsid w:val="009633CF"/>
    <w:rsid w:val="0096344B"/>
    <w:rsid w:val="00963535"/>
    <w:rsid w:val="009635DC"/>
    <w:rsid w:val="00963631"/>
    <w:rsid w:val="0096372F"/>
    <w:rsid w:val="00963798"/>
    <w:rsid w:val="009637CB"/>
    <w:rsid w:val="009637CE"/>
    <w:rsid w:val="0096387F"/>
    <w:rsid w:val="009638FB"/>
    <w:rsid w:val="009638FC"/>
    <w:rsid w:val="009639C1"/>
    <w:rsid w:val="00963BD8"/>
    <w:rsid w:val="00963C12"/>
    <w:rsid w:val="00963CCA"/>
    <w:rsid w:val="00963DFE"/>
    <w:rsid w:val="00963ED1"/>
    <w:rsid w:val="00963EF4"/>
    <w:rsid w:val="00963F9D"/>
    <w:rsid w:val="00963FCF"/>
    <w:rsid w:val="00963FE7"/>
    <w:rsid w:val="009641BE"/>
    <w:rsid w:val="009642EA"/>
    <w:rsid w:val="009643C0"/>
    <w:rsid w:val="009644AD"/>
    <w:rsid w:val="00964688"/>
    <w:rsid w:val="009646CB"/>
    <w:rsid w:val="009646D4"/>
    <w:rsid w:val="0096477A"/>
    <w:rsid w:val="00964B16"/>
    <w:rsid w:val="00964B28"/>
    <w:rsid w:val="00964C4B"/>
    <w:rsid w:val="00964C50"/>
    <w:rsid w:val="00964D10"/>
    <w:rsid w:val="00964E56"/>
    <w:rsid w:val="00965084"/>
    <w:rsid w:val="00965193"/>
    <w:rsid w:val="0096523C"/>
    <w:rsid w:val="009652CB"/>
    <w:rsid w:val="0096539D"/>
    <w:rsid w:val="0096554D"/>
    <w:rsid w:val="0096563D"/>
    <w:rsid w:val="00965791"/>
    <w:rsid w:val="00965A7A"/>
    <w:rsid w:val="00965AB1"/>
    <w:rsid w:val="00965C6E"/>
    <w:rsid w:val="00965CE9"/>
    <w:rsid w:val="00965D20"/>
    <w:rsid w:val="00965DB7"/>
    <w:rsid w:val="00965EC8"/>
    <w:rsid w:val="00965F52"/>
    <w:rsid w:val="00965F8F"/>
    <w:rsid w:val="0096605B"/>
    <w:rsid w:val="0096652B"/>
    <w:rsid w:val="00966678"/>
    <w:rsid w:val="0096673D"/>
    <w:rsid w:val="0096676F"/>
    <w:rsid w:val="0096682E"/>
    <w:rsid w:val="009668C2"/>
    <w:rsid w:val="00966A4C"/>
    <w:rsid w:val="00966B7E"/>
    <w:rsid w:val="00966C0A"/>
    <w:rsid w:val="00966D14"/>
    <w:rsid w:val="00966D2E"/>
    <w:rsid w:val="00966DAD"/>
    <w:rsid w:val="00966E1C"/>
    <w:rsid w:val="00966E92"/>
    <w:rsid w:val="00966F84"/>
    <w:rsid w:val="009670B1"/>
    <w:rsid w:val="009670BF"/>
    <w:rsid w:val="009670D4"/>
    <w:rsid w:val="0096717B"/>
    <w:rsid w:val="0096739C"/>
    <w:rsid w:val="009676DD"/>
    <w:rsid w:val="009676EA"/>
    <w:rsid w:val="009677D9"/>
    <w:rsid w:val="00967844"/>
    <w:rsid w:val="009678D9"/>
    <w:rsid w:val="00967AD4"/>
    <w:rsid w:val="00967B0E"/>
    <w:rsid w:val="00967DDD"/>
    <w:rsid w:val="00967F2A"/>
    <w:rsid w:val="00967F57"/>
    <w:rsid w:val="009700C1"/>
    <w:rsid w:val="0097012F"/>
    <w:rsid w:val="0097021E"/>
    <w:rsid w:val="00970228"/>
    <w:rsid w:val="00970298"/>
    <w:rsid w:val="009702A9"/>
    <w:rsid w:val="009702C7"/>
    <w:rsid w:val="00970312"/>
    <w:rsid w:val="00970527"/>
    <w:rsid w:val="00970558"/>
    <w:rsid w:val="009705B1"/>
    <w:rsid w:val="009705C8"/>
    <w:rsid w:val="009708CF"/>
    <w:rsid w:val="0097095F"/>
    <w:rsid w:val="00970A18"/>
    <w:rsid w:val="00970BBA"/>
    <w:rsid w:val="00970BED"/>
    <w:rsid w:val="00970C6B"/>
    <w:rsid w:val="00971007"/>
    <w:rsid w:val="009711D1"/>
    <w:rsid w:val="0097120E"/>
    <w:rsid w:val="009712D9"/>
    <w:rsid w:val="0097130F"/>
    <w:rsid w:val="0097134D"/>
    <w:rsid w:val="00971378"/>
    <w:rsid w:val="00971488"/>
    <w:rsid w:val="009714E3"/>
    <w:rsid w:val="0097162D"/>
    <w:rsid w:val="00971703"/>
    <w:rsid w:val="00971712"/>
    <w:rsid w:val="009717CC"/>
    <w:rsid w:val="009717DF"/>
    <w:rsid w:val="009717F4"/>
    <w:rsid w:val="0097183E"/>
    <w:rsid w:val="009719CD"/>
    <w:rsid w:val="00971B94"/>
    <w:rsid w:val="00971BBD"/>
    <w:rsid w:val="00971CE4"/>
    <w:rsid w:val="00971D32"/>
    <w:rsid w:val="00971DC9"/>
    <w:rsid w:val="00971E9D"/>
    <w:rsid w:val="00971EB2"/>
    <w:rsid w:val="00971EE2"/>
    <w:rsid w:val="00971F49"/>
    <w:rsid w:val="00971FE8"/>
    <w:rsid w:val="00971FEB"/>
    <w:rsid w:val="00971FFB"/>
    <w:rsid w:val="00972035"/>
    <w:rsid w:val="00972135"/>
    <w:rsid w:val="0097222A"/>
    <w:rsid w:val="00972263"/>
    <w:rsid w:val="009722B3"/>
    <w:rsid w:val="0097243F"/>
    <w:rsid w:val="0097244D"/>
    <w:rsid w:val="009724FC"/>
    <w:rsid w:val="00972523"/>
    <w:rsid w:val="00972568"/>
    <w:rsid w:val="00972591"/>
    <w:rsid w:val="00972607"/>
    <w:rsid w:val="009726E8"/>
    <w:rsid w:val="009727E2"/>
    <w:rsid w:val="009727E3"/>
    <w:rsid w:val="00972A9E"/>
    <w:rsid w:val="00972B75"/>
    <w:rsid w:val="00972B7B"/>
    <w:rsid w:val="00972B91"/>
    <w:rsid w:val="00972BAF"/>
    <w:rsid w:val="00972C52"/>
    <w:rsid w:val="00972C89"/>
    <w:rsid w:val="00972D70"/>
    <w:rsid w:val="00972D8B"/>
    <w:rsid w:val="00972DCB"/>
    <w:rsid w:val="00972E56"/>
    <w:rsid w:val="00972E71"/>
    <w:rsid w:val="00972E89"/>
    <w:rsid w:val="00972ED1"/>
    <w:rsid w:val="00972F1A"/>
    <w:rsid w:val="00972F76"/>
    <w:rsid w:val="009730C2"/>
    <w:rsid w:val="0097323E"/>
    <w:rsid w:val="0097325D"/>
    <w:rsid w:val="00973338"/>
    <w:rsid w:val="0097339D"/>
    <w:rsid w:val="009734C8"/>
    <w:rsid w:val="00973637"/>
    <w:rsid w:val="00973698"/>
    <w:rsid w:val="0097373D"/>
    <w:rsid w:val="00973757"/>
    <w:rsid w:val="00973CBF"/>
    <w:rsid w:val="00973E3F"/>
    <w:rsid w:val="00973E9C"/>
    <w:rsid w:val="00973EB0"/>
    <w:rsid w:val="00974012"/>
    <w:rsid w:val="00974183"/>
    <w:rsid w:val="009741E3"/>
    <w:rsid w:val="0097421E"/>
    <w:rsid w:val="00974522"/>
    <w:rsid w:val="009745A3"/>
    <w:rsid w:val="0097463D"/>
    <w:rsid w:val="009747A5"/>
    <w:rsid w:val="009748F5"/>
    <w:rsid w:val="00974B12"/>
    <w:rsid w:val="00974B52"/>
    <w:rsid w:val="00974BAE"/>
    <w:rsid w:val="00974C5F"/>
    <w:rsid w:val="00974DEC"/>
    <w:rsid w:val="00974E76"/>
    <w:rsid w:val="00974E84"/>
    <w:rsid w:val="00974EF9"/>
    <w:rsid w:val="00975104"/>
    <w:rsid w:val="009751A8"/>
    <w:rsid w:val="00975329"/>
    <w:rsid w:val="009753E3"/>
    <w:rsid w:val="00975461"/>
    <w:rsid w:val="009755BB"/>
    <w:rsid w:val="009758AF"/>
    <w:rsid w:val="009758DE"/>
    <w:rsid w:val="0097591B"/>
    <w:rsid w:val="00975D30"/>
    <w:rsid w:val="00975E5E"/>
    <w:rsid w:val="00975ED5"/>
    <w:rsid w:val="009761D5"/>
    <w:rsid w:val="00976242"/>
    <w:rsid w:val="00976260"/>
    <w:rsid w:val="00976310"/>
    <w:rsid w:val="009763CE"/>
    <w:rsid w:val="0097654E"/>
    <w:rsid w:val="0097664F"/>
    <w:rsid w:val="00976722"/>
    <w:rsid w:val="00976745"/>
    <w:rsid w:val="009767CB"/>
    <w:rsid w:val="009768ED"/>
    <w:rsid w:val="00976930"/>
    <w:rsid w:val="00976990"/>
    <w:rsid w:val="00976A58"/>
    <w:rsid w:val="00976C64"/>
    <w:rsid w:val="00976CB5"/>
    <w:rsid w:val="00976D2E"/>
    <w:rsid w:val="00976D6D"/>
    <w:rsid w:val="00976DCF"/>
    <w:rsid w:val="00976E14"/>
    <w:rsid w:val="00976E1D"/>
    <w:rsid w:val="00976E1F"/>
    <w:rsid w:val="00976F26"/>
    <w:rsid w:val="00976F4C"/>
    <w:rsid w:val="00976F9B"/>
    <w:rsid w:val="009770A9"/>
    <w:rsid w:val="009770BC"/>
    <w:rsid w:val="00977122"/>
    <w:rsid w:val="00977252"/>
    <w:rsid w:val="009773F3"/>
    <w:rsid w:val="009775D4"/>
    <w:rsid w:val="00977931"/>
    <w:rsid w:val="009779B4"/>
    <w:rsid w:val="009779BB"/>
    <w:rsid w:val="009779EC"/>
    <w:rsid w:val="00977A17"/>
    <w:rsid w:val="00977B26"/>
    <w:rsid w:val="00977B5C"/>
    <w:rsid w:val="00977C0D"/>
    <w:rsid w:val="00977CAA"/>
    <w:rsid w:val="00977CAB"/>
    <w:rsid w:val="00980036"/>
    <w:rsid w:val="00980147"/>
    <w:rsid w:val="009801CA"/>
    <w:rsid w:val="00980275"/>
    <w:rsid w:val="0098030E"/>
    <w:rsid w:val="009804A8"/>
    <w:rsid w:val="009805B3"/>
    <w:rsid w:val="00980647"/>
    <w:rsid w:val="0098073B"/>
    <w:rsid w:val="009807BC"/>
    <w:rsid w:val="00980805"/>
    <w:rsid w:val="0098080B"/>
    <w:rsid w:val="00980819"/>
    <w:rsid w:val="00980859"/>
    <w:rsid w:val="009809B8"/>
    <w:rsid w:val="00980A31"/>
    <w:rsid w:val="00980C3D"/>
    <w:rsid w:val="00980CA3"/>
    <w:rsid w:val="00980CE9"/>
    <w:rsid w:val="00980D2B"/>
    <w:rsid w:val="00980D81"/>
    <w:rsid w:val="00980EB2"/>
    <w:rsid w:val="00981003"/>
    <w:rsid w:val="00981066"/>
    <w:rsid w:val="009810A6"/>
    <w:rsid w:val="009811B4"/>
    <w:rsid w:val="009815ED"/>
    <w:rsid w:val="00981611"/>
    <w:rsid w:val="0098166B"/>
    <w:rsid w:val="00981678"/>
    <w:rsid w:val="00981765"/>
    <w:rsid w:val="009817D0"/>
    <w:rsid w:val="009817D6"/>
    <w:rsid w:val="00981812"/>
    <w:rsid w:val="009818C1"/>
    <w:rsid w:val="0098193B"/>
    <w:rsid w:val="00981A40"/>
    <w:rsid w:val="00981A47"/>
    <w:rsid w:val="00981C29"/>
    <w:rsid w:val="00981E2D"/>
    <w:rsid w:val="00981E31"/>
    <w:rsid w:val="00981FB6"/>
    <w:rsid w:val="009820FF"/>
    <w:rsid w:val="009821A9"/>
    <w:rsid w:val="009821BA"/>
    <w:rsid w:val="00982249"/>
    <w:rsid w:val="00982411"/>
    <w:rsid w:val="0098247B"/>
    <w:rsid w:val="0098257D"/>
    <w:rsid w:val="009825F6"/>
    <w:rsid w:val="0098261A"/>
    <w:rsid w:val="0098268D"/>
    <w:rsid w:val="0098271C"/>
    <w:rsid w:val="00982757"/>
    <w:rsid w:val="00982809"/>
    <w:rsid w:val="00982A08"/>
    <w:rsid w:val="00982A83"/>
    <w:rsid w:val="00982BCD"/>
    <w:rsid w:val="00982BF3"/>
    <w:rsid w:val="00982ED2"/>
    <w:rsid w:val="00982F5B"/>
    <w:rsid w:val="0098301C"/>
    <w:rsid w:val="00983108"/>
    <w:rsid w:val="0098310F"/>
    <w:rsid w:val="0098323C"/>
    <w:rsid w:val="00983398"/>
    <w:rsid w:val="009833F4"/>
    <w:rsid w:val="00983495"/>
    <w:rsid w:val="0098364C"/>
    <w:rsid w:val="0098366A"/>
    <w:rsid w:val="00983761"/>
    <w:rsid w:val="0098379E"/>
    <w:rsid w:val="009837B2"/>
    <w:rsid w:val="009837EE"/>
    <w:rsid w:val="0098390D"/>
    <w:rsid w:val="00983977"/>
    <w:rsid w:val="009839A7"/>
    <w:rsid w:val="009839EB"/>
    <w:rsid w:val="00983B74"/>
    <w:rsid w:val="00983BBF"/>
    <w:rsid w:val="00983C03"/>
    <w:rsid w:val="00983C7A"/>
    <w:rsid w:val="00983D3E"/>
    <w:rsid w:val="00983DBA"/>
    <w:rsid w:val="00983EEA"/>
    <w:rsid w:val="00984107"/>
    <w:rsid w:val="00984247"/>
    <w:rsid w:val="009842E1"/>
    <w:rsid w:val="00984323"/>
    <w:rsid w:val="00984354"/>
    <w:rsid w:val="0098445E"/>
    <w:rsid w:val="009844E2"/>
    <w:rsid w:val="00984506"/>
    <w:rsid w:val="009847A8"/>
    <w:rsid w:val="00984820"/>
    <w:rsid w:val="0098497A"/>
    <w:rsid w:val="00984980"/>
    <w:rsid w:val="009849E5"/>
    <w:rsid w:val="00984BBD"/>
    <w:rsid w:val="00984CE7"/>
    <w:rsid w:val="00984DC8"/>
    <w:rsid w:val="00984DFE"/>
    <w:rsid w:val="009850A3"/>
    <w:rsid w:val="009850D9"/>
    <w:rsid w:val="0098520E"/>
    <w:rsid w:val="00985450"/>
    <w:rsid w:val="0098546B"/>
    <w:rsid w:val="00985580"/>
    <w:rsid w:val="0098572B"/>
    <w:rsid w:val="009858D2"/>
    <w:rsid w:val="00985A1D"/>
    <w:rsid w:val="00985ACA"/>
    <w:rsid w:val="00985AED"/>
    <w:rsid w:val="00985B07"/>
    <w:rsid w:val="00985B0D"/>
    <w:rsid w:val="00985B27"/>
    <w:rsid w:val="00985BB7"/>
    <w:rsid w:val="00985C75"/>
    <w:rsid w:val="00985D29"/>
    <w:rsid w:val="00985FB4"/>
    <w:rsid w:val="00986125"/>
    <w:rsid w:val="0098619D"/>
    <w:rsid w:val="0098620A"/>
    <w:rsid w:val="0098623F"/>
    <w:rsid w:val="009862A0"/>
    <w:rsid w:val="00986523"/>
    <w:rsid w:val="009865B9"/>
    <w:rsid w:val="00986812"/>
    <w:rsid w:val="00986887"/>
    <w:rsid w:val="009868AF"/>
    <w:rsid w:val="00986A9F"/>
    <w:rsid w:val="00986BDC"/>
    <w:rsid w:val="00986ED0"/>
    <w:rsid w:val="00986EF3"/>
    <w:rsid w:val="009870DF"/>
    <w:rsid w:val="00987179"/>
    <w:rsid w:val="0098730B"/>
    <w:rsid w:val="009873A3"/>
    <w:rsid w:val="00987411"/>
    <w:rsid w:val="00987537"/>
    <w:rsid w:val="00987667"/>
    <w:rsid w:val="00987893"/>
    <w:rsid w:val="00987946"/>
    <w:rsid w:val="00987A3E"/>
    <w:rsid w:val="00987AAF"/>
    <w:rsid w:val="00987AE4"/>
    <w:rsid w:val="00987AF8"/>
    <w:rsid w:val="00987CD6"/>
    <w:rsid w:val="00987E26"/>
    <w:rsid w:val="00987EA7"/>
    <w:rsid w:val="009900D0"/>
    <w:rsid w:val="009900E7"/>
    <w:rsid w:val="0099014C"/>
    <w:rsid w:val="00990193"/>
    <w:rsid w:val="00990203"/>
    <w:rsid w:val="00990254"/>
    <w:rsid w:val="00990288"/>
    <w:rsid w:val="009902D2"/>
    <w:rsid w:val="00990373"/>
    <w:rsid w:val="00990430"/>
    <w:rsid w:val="009904A0"/>
    <w:rsid w:val="009904B5"/>
    <w:rsid w:val="009905A5"/>
    <w:rsid w:val="00990630"/>
    <w:rsid w:val="00990833"/>
    <w:rsid w:val="00990AAA"/>
    <w:rsid w:val="00990B32"/>
    <w:rsid w:val="00990BA2"/>
    <w:rsid w:val="00990C8C"/>
    <w:rsid w:val="00990E63"/>
    <w:rsid w:val="00990F53"/>
    <w:rsid w:val="00991024"/>
    <w:rsid w:val="0099106B"/>
    <w:rsid w:val="009910C9"/>
    <w:rsid w:val="009910E8"/>
    <w:rsid w:val="009911F3"/>
    <w:rsid w:val="009911F7"/>
    <w:rsid w:val="0099120A"/>
    <w:rsid w:val="0099141C"/>
    <w:rsid w:val="009917E0"/>
    <w:rsid w:val="00991828"/>
    <w:rsid w:val="00991926"/>
    <w:rsid w:val="0099196C"/>
    <w:rsid w:val="00991A52"/>
    <w:rsid w:val="00991A9F"/>
    <w:rsid w:val="00991C92"/>
    <w:rsid w:val="00991D34"/>
    <w:rsid w:val="00991D89"/>
    <w:rsid w:val="00991DF1"/>
    <w:rsid w:val="00991DFB"/>
    <w:rsid w:val="00991E8A"/>
    <w:rsid w:val="00991EDD"/>
    <w:rsid w:val="00991F62"/>
    <w:rsid w:val="00991FAA"/>
    <w:rsid w:val="0099230A"/>
    <w:rsid w:val="00992542"/>
    <w:rsid w:val="00992596"/>
    <w:rsid w:val="00992749"/>
    <w:rsid w:val="009927EB"/>
    <w:rsid w:val="00992A0F"/>
    <w:rsid w:val="00992A16"/>
    <w:rsid w:val="00992A52"/>
    <w:rsid w:val="00992CA8"/>
    <w:rsid w:val="00992D1E"/>
    <w:rsid w:val="00992E3A"/>
    <w:rsid w:val="00992E44"/>
    <w:rsid w:val="00992E9D"/>
    <w:rsid w:val="00992EED"/>
    <w:rsid w:val="009930E2"/>
    <w:rsid w:val="00993144"/>
    <w:rsid w:val="0099324D"/>
    <w:rsid w:val="00993266"/>
    <w:rsid w:val="00993333"/>
    <w:rsid w:val="00993376"/>
    <w:rsid w:val="0099346B"/>
    <w:rsid w:val="0099355E"/>
    <w:rsid w:val="009935DF"/>
    <w:rsid w:val="009936EE"/>
    <w:rsid w:val="009937D0"/>
    <w:rsid w:val="009938C2"/>
    <w:rsid w:val="0099394A"/>
    <w:rsid w:val="0099399A"/>
    <w:rsid w:val="00993A25"/>
    <w:rsid w:val="00993AD3"/>
    <w:rsid w:val="00993C13"/>
    <w:rsid w:val="00993C6A"/>
    <w:rsid w:val="00993DC9"/>
    <w:rsid w:val="00993E02"/>
    <w:rsid w:val="00993E45"/>
    <w:rsid w:val="00993E8F"/>
    <w:rsid w:val="00993EB2"/>
    <w:rsid w:val="00993EF6"/>
    <w:rsid w:val="00993F4C"/>
    <w:rsid w:val="00993F92"/>
    <w:rsid w:val="00994203"/>
    <w:rsid w:val="0099428A"/>
    <w:rsid w:val="0099428D"/>
    <w:rsid w:val="009944CC"/>
    <w:rsid w:val="00994687"/>
    <w:rsid w:val="009947C3"/>
    <w:rsid w:val="00994B60"/>
    <w:rsid w:val="00994D81"/>
    <w:rsid w:val="00995081"/>
    <w:rsid w:val="009950D9"/>
    <w:rsid w:val="009950F9"/>
    <w:rsid w:val="009951F1"/>
    <w:rsid w:val="009952DE"/>
    <w:rsid w:val="0099533D"/>
    <w:rsid w:val="009954A3"/>
    <w:rsid w:val="0099557B"/>
    <w:rsid w:val="009956E9"/>
    <w:rsid w:val="009957E2"/>
    <w:rsid w:val="00995949"/>
    <w:rsid w:val="00995987"/>
    <w:rsid w:val="00995B2F"/>
    <w:rsid w:val="00995CC3"/>
    <w:rsid w:val="00995D0F"/>
    <w:rsid w:val="00995EB7"/>
    <w:rsid w:val="00996286"/>
    <w:rsid w:val="0099634E"/>
    <w:rsid w:val="00996363"/>
    <w:rsid w:val="0099651D"/>
    <w:rsid w:val="0099656F"/>
    <w:rsid w:val="009965E4"/>
    <w:rsid w:val="00996606"/>
    <w:rsid w:val="009966C5"/>
    <w:rsid w:val="009966C7"/>
    <w:rsid w:val="00996727"/>
    <w:rsid w:val="0099675E"/>
    <w:rsid w:val="0099679F"/>
    <w:rsid w:val="009967FE"/>
    <w:rsid w:val="00996897"/>
    <w:rsid w:val="00996964"/>
    <w:rsid w:val="00996986"/>
    <w:rsid w:val="00996988"/>
    <w:rsid w:val="00996C30"/>
    <w:rsid w:val="00996C32"/>
    <w:rsid w:val="00996C90"/>
    <w:rsid w:val="00997025"/>
    <w:rsid w:val="00997185"/>
    <w:rsid w:val="00997230"/>
    <w:rsid w:val="0099735B"/>
    <w:rsid w:val="0099737E"/>
    <w:rsid w:val="0099740D"/>
    <w:rsid w:val="009974D5"/>
    <w:rsid w:val="00997819"/>
    <w:rsid w:val="0099788F"/>
    <w:rsid w:val="009979AF"/>
    <w:rsid w:val="009979CA"/>
    <w:rsid w:val="00997CC1"/>
    <w:rsid w:val="00997E17"/>
    <w:rsid w:val="009A00CA"/>
    <w:rsid w:val="009A0333"/>
    <w:rsid w:val="009A0562"/>
    <w:rsid w:val="009A0649"/>
    <w:rsid w:val="009A070B"/>
    <w:rsid w:val="009A073B"/>
    <w:rsid w:val="009A0834"/>
    <w:rsid w:val="009A08D0"/>
    <w:rsid w:val="009A08FC"/>
    <w:rsid w:val="009A0B60"/>
    <w:rsid w:val="009A0B7F"/>
    <w:rsid w:val="009A0BED"/>
    <w:rsid w:val="009A0C3E"/>
    <w:rsid w:val="009A0C98"/>
    <w:rsid w:val="009A0D39"/>
    <w:rsid w:val="009A0D41"/>
    <w:rsid w:val="009A0EC3"/>
    <w:rsid w:val="009A1009"/>
    <w:rsid w:val="009A1074"/>
    <w:rsid w:val="009A10BC"/>
    <w:rsid w:val="009A1153"/>
    <w:rsid w:val="009A11B6"/>
    <w:rsid w:val="009A11C0"/>
    <w:rsid w:val="009A12AF"/>
    <w:rsid w:val="009A1301"/>
    <w:rsid w:val="009A13F7"/>
    <w:rsid w:val="009A1585"/>
    <w:rsid w:val="009A15D1"/>
    <w:rsid w:val="009A167E"/>
    <w:rsid w:val="009A172A"/>
    <w:rsid w:val="009A17D3"/>
    <w:rsid w:val="009A17DE"/>
    <w:rsid w:val="009A18C5"/>
    <w:rsid w:val="009A19D2"/>
    <w:rsid w:val="009A1A92"/>
    <w:rsid w:val="009A1B44"/>
    <w:rsid w:val="009A1B52"/>
    <w:rsid w:val="009A1C93"/>
    <w:rsid w:val="009A1E34"/>
    <w:rsid w:val="009A1E8B"/>
    <w:rsid w:val="009A1EA3"/>
    <w:rsid w:val="009A20E5"/>
    <w:rsid w:val="009A2195"/>
    <w:rsid w:val="009A2358"/>
    <w:rsid w:val="009A2418"/>
    <w:rsid w:val="009A24B0"/>
    <w:rsid w:val="009A24EF"/>
    <w:rsid w:val="009A2648"/>
    <w:rsid w:val="009A2649"/>
    <w:rsid w:val="009A2828"/>
    <w:rsid w:val="009A285D"/>
    <w:rsid w:val="009A28BB"/>
    <w:rsid w:val="009A29D8"/>
    <w:rsid w:val="009A2BAD"/>
    <w:rsid w:val="009A2BE6"/>
    <w:rsid w:val="009A2C37"/>
    <w:rsid w:val="009A2C60"/>
    <w:rsid w:val="009A2D53"/>
    <w:rsid w:val="009A2DDC"/>
    <w:rsid w:val="009A2DE0"/>
    <w:rsid w:val="009A2EA6"/>
    <w:rsid w:val="009A2EF3"/>
    <w:rsid w:val="009A2FA4"/>
    <w:rsid w:val="009A3148"/>
    <w:rsid w:val="009A31A4"/>
    <w:rsid w:val="009A334F"/>
    <w:rsid w:val="009A33DA"/>
    <w:rsid w:val="009A356C"/>
    <w:rsid w:val="009A37AD"/>
    <w:rsid w:val="009A38E6"/>
    <w:rsid w:val="009A39B7"/>
    <w:rsid w:val="009A39DB"/>
    <w:rsid w:val="009A3A3A"/>
    <w:rsid w:val="009A3CF4"/>
    <w:rsid w:val="009A3D42"/>
    <w:rsid w:val="009A3F24"/>
    <w:rsid w:val="009A3FA0"/>
    <w:rsid w:val="009A3FD4"/>
    <w:rsid w:val="009A4041"/>
    <w:rsid w:val="009A40DE"/>
    <w:rsid w:val="009A411B"/>
    <w:rsid w:val="009A41BA"/>
    <w:rsid w:val="009A42BD"/>
    <w:rsid w:val="009A42CC"/>
    <w:rsid w:val="009A436E"/>
    <w:rsid w:val="009A4380"/>
    <w:rsid w:val="009A43B2"/>
    <w:rsid w:val="009A43E5"/>
    <w:rsid w:val="009A4442"/>
    <w:rsid w:val="009A446D"/>
    <w:rsid w:val="009A45DE"/>
    <w:rsid w:val="009A45F1"/>
    <w:rsid w:val="009A4831"/>
    <w:rsid w:val="009A48BF"/>
    <w:rsid w:val="009A4946"/>
    <w:rsid w:val="009A4C68"/>
    <w:rsid w:val="009A4D5B"/>
    <w:rsid w:val="009A4D5F"/>
    <w:rsid w:val="009A4DA7"/>
    <w:rsid w:val="009A4DF9"/>
    <w:rsid w:val="009A4E09"/>
    <w:rsid w:val="009A4F3A"/>
    <w:rsid w:val="009A4FB7"/>
    <w:rsid w:val="009A5094"/>
    <w:rsid w:val="009A5136"/>
    <w:rsid w:val="009A5199"/>
    <w:rsid w:val="009A51D5"/>
    <w:rsid w:val="009A52CF"/>
    <w:rsid w:val="009A52F0"/>
    <w:rsid w:val="009A53EC"/>
    <w:rsid w:val="009A53FC"/>
    <w:rsid w:val="009A54D8"/>
    <w:rsid w:val="009A59DB"/>
    <w:rsid w:val="009A59E6"/>
    <w:rsid w:val="009A5A9C"/>
    <w:rsid w:val="009A5AEA"/>
    <w:rsid w:val="009A5BEE"/>
    <w:rsid w:val="009A5C02"/>
    <w:rsid w:val="009A5CC9"/>
    <w:rsid w:val="009A5DBA"/>
    <w:rsid w:val="009A5E6C"/>
    <w:rsid w:val="009A5EA8"/>
    <w:rsid w:val="009A5F8B"/>
    <w:rsid w:val="009A607C"/>
    <w:rsid w:val="009A6136"/>
    <w:rsid w:val="009A6198"/>
    <w:rsid w:val="009A61A0"/>
    <w:rsid w:val="009A6266"/>
    <w:rsid w:val="009A6556"/>
    <w:rsid w:val="009A676D"/>
    <w:rsid w:val="009A682D"/>
    <w:rsid w:val="009A686E"/>
    <w:rsid w:val="009A6994"/>
    <w:rsid w:val="009A6C8B"/>
    <w:rsid w:val="009A6E17"/>
    <w:rsid w:val="009A6EEA"/>
    <w:rsid w:val="009A6FA8"/>
    <w:rsid w:val="009A702E"/>
    <w:rsid w:val="009A7085"/>
    <w:rsid w:val="009A70FA"/>
    <w:rsid w:val="009A7125"/>
    <w:rsid w:val="009A7327"/>
    <w:rsid w:val="009A73A7"/>
    <w:rsid w:val="009A73D7"/>
    <w:rsid w:val="009A7411"/>
    <w:rsid w:val="009A7478"/>
    <w:rsid w:val="009A7858"/>
    <w:rsid w:val="009A7911"/>
    <w:rsid w:val="009A796E"/>
    <w:rsid w:val="009A797A"/>
    <w:rsid w:val="009A7A70"/>
    <w:rsid w:val="009A7B2D"/>
    <w:rsid w:val="009A7C08"/>
    <w:rsid w:val="009A7C91"/>
    <w:rsid w:val="009A7DBF"/>
    <w:rsid w:val="009A7E7F"/>
    <w:rsid w:val="009A7EA7"/>
    <w:rsid w:val="009A7ED3"/>
    <w:rsid w:val="009B006B"/>
    <w:rsid w:val="009B0294"/>
    <w:rsid w:val="009B0298"/>
    <w:rsid w:val="009B0306"/>
    <w:rsid w:val="009B040D"/>
    <w:rsid w:val="009B04EA"/>
    <w:rsid w:val="009B0766"/>
    <w:rsid w:val="009B090C"/>
    <w:rsid w:val="009B0910"/>
    <w:rsid w:val="009B0B1A"/>
    <w:rsid w:val="009B0B48"/>
    <w:rsid w:val="009B0B4A"/>
    <w:rsid w:val="009B0BAA"/>
    <w:rsid w:val="009B0BC1"/>
    <w:rsid w:val="009B0C69"/>
    <w:rsid w:val="009B0CCA"/>
    <w:rsid w:val="009B0E00"/>
    <w:rsid w:val="009B1091"/>
    <w:rsid w:val="009B10EE"/>
    <w:rsid w:val="009B10F8"/>
    <w:rsid w:val="009B13AF"/>
    <w:rsid w:val="009B1555"/>
    <w:rsid w:val="009B163B"/>
    <w:rsid w:val="009B183F"/>
    <w:rsid w:val="009B197F"/>
    <w:rsid w:val="009B1A7D"/>
    <w:rsid w:val="009B1A84"/>
    <w:rsid w:val="009B1B50"/>
    <w:rsid w:val="009B1BF8"/>
    <w:rsid w:val="009B1C30"/>
    <w:rsid w:val="009B1D33"/>
    <w:rsid w:val="009B1D5D"/>
    <w:rsid w:val="009B1D9F"/>
    <w:rsid w:val="009B1EC2"/>
    <w:rsid w:val="009B1ECB"/>
    <w:rsid w:val="009B1F6D"/>
    <w:rsid w:val="009B1FAF"/>
    <w:rsid w:val="009B2033"/>
    <w:rsid w:val="009B21AF"/>
    <w:rsid w:val="009B21D2"/>
    <w:rsid w:val="009B21DF"/>
    <w:rsid w:val="009B2227"/>
    <w:rsid w:val="009B227C"/>
    <w:rsid w:val="009B229B"/>
    <w:rsid w:val="009B22DE"/>
    <w:rsid w:val="009B25EB"/>
    <w:rsid w:val="009B2618"/>
    <w:rsid w:val="009B2710"/>
    <w:rsid w:val="009B27DC"/>
    <w:rsid w:val="009B2848"/>
    <w:rsid w:val="009B29E5"/>
    <w:rsid w:val="009B2AC5"/>
    <w:rsid w:val="009B2B6D"/>
    <w:rsid w:val="009B2C05"/>
    <w:rsid w:val="009B2C17"/>
    <w:rsid w:val="009B2C3C"/>
    <w:rsid w:val="009B2CBD"/>
    <w:rsid w:val="009B2E73"/>
    <w:rsid w:val="009B3081"/>
    <w:rsid w:val="009B3084"/>
    <w:rsid w:val="009B3389"/>
    <w:rsid w:val="009B3582"/>
    <w:rsid w:val="009B35DB"/>
    <w:rsid w:val="009B36B2"/>
    <w:rsid w:val="009B36E1"/>
    <w:rsid w:val="009B3885"/>
    <w:rsid w:val="009B39C9"/>
    <w:rsid w:val="009B3A64"/>
    <w:rsid w:val="009B3A6B"/>
    <w:rsid w:val="009B3AB3"/>
    <w:rsid w:val="009B3B2E"/>
    <w:rsid w:val="009B3BB7"/>
    <w:rsid w:val="009B3C14"/>
    <w:rsid w:val="009B3C84"/>
    <w:rsid w:val="009B3CD6"/>
    <w:rsid w:val="009B3D2C"/>
    <w:rsid w:val="009B40AC"/>
    <w:rsid w:val="009B41EE"/>
    <w:rsid w:val="009B43B4"/>
    <w:rsid w:val="009B4407"/>
    <w:rsid w:val="009B465B"/>
    <w:rsid w:val="009B46BA"/>
    <w:rsid w:val="009B46BE"/>
    <w:rsid w:val="009B4713"/>
    <w:rsid w:val="009B4731"/>
    <w:rsid w:val="009B4754"/>
    <w:rsid w:val="009B47A2"/>
    <w:rsid w:val="009B49D3"/>
    <w:rsid w:val="009B4A39"/>
    <w:rsid w:val="009B4A81"/>
    <w:rsid w:val="009B4B0B"/>
    <w:rsid w:val="009B4C24"/>
    <w:rsid w:val="009B4C48"/>
    <w:rsid w:val="009B4C52"/>
    <w:rsid w:val="009B4DB3"/>
    <w:rsid w:val="009B4E7C"/>
    <w:rsid w:val="009B4F79"/>
    <w:rsid w:val="009B4F7A"/>
    <w:rsid w:val="009B514E"/>
    <w:rsid w:val="009B51B6"/>
    <w:rsid w:val="009B51BC"/>
    <w:rsid w:val="009B51C8"/>
    <w:rsid w:val="009B53EB"/>
    <w:rsid w:val="009B54AE"/>
    <w:rsid w:val="009B558F"/>
    <w:rsid w:val="009B55F6"/>
    <w:rsid w:val="009B5713"/>
    <w:rsid w:val="009B571C"/>
    <w:rsid w:val="009B5762"/>
    <w:rsid w:val="009B586E"/>
    <w:rsid w:val="009B588E"/>
    <w:rsid w:val="009B597D"/>
    <w:rsid w:val="009B5A09"/>
    <w:rsid w:val="009B5A4E"/>
    <w:rsid w:val="009B5A83"/>
    <w:rsid w:val="009B5CCE"/>
    <w:rsid w:val="009B5E09"/>
    <w:rsid w:val="009B5ECF"/>
    <w:rsid w:val="009B5FA7"/>
    <w:rsid w:val="009B619C"/>
    <w:rsid w:val="009B61A0"/>
    <w:rsid w:val="009B63D6"/>
    <w:rsid w:val="009B646B"/>
    <w:rsid w:val="009B6539"/>
    <w:rsid w:val="009B658A"/>
    <w:rsid w:val="009B65F0"/>
    <w:rsid w:val="009B6614"/>
    <w:rsid w:val="009B66DC"/>
    <w:rsid w:val="009B673F"/>
    <w:rsid w:val="009B67D3"/>
    <w:rsid w:val="009B6916"/>
    <w:rsid w:val="009B69C6"/>
    <w:rsid w:val="009B6A9D"/>
    <w:rsid w:val="009B6AAF"/>
    <w:rsid w:val="009B6B61"/>
    <w:rsid w:val="009B6C54"/>
    <w:rsid w:val="009B6D49"/>
    <w:rsid w:val="009B6D62"/>
    <w:rsid w:val="009B6DDB"/>
    <w:rsid w:val="009B6FDA"/>
    <w:rsid w:val="009B7020"/>
    <w:rsid w:val="009B70D8"/>
    <w:rsid w:val="009B715E"/>
    <w:rsid w:val="009B72B4"/>
    <w:rsid w:val="009B7352"/>
    <w:rsid w:val="009B73EB"/>
    <w:rsid w:val="009B7434"/>
    <w:rsid w:val="009B74B7"/>
    <w:rsid w:val="009B75A0"/>
    <w:rsid w:val="009B75A3"/>
    <w:rsid w:val="009B7628"/>
    <w:rsid w:val="009B768B"/>
    <w:rsid w:val="009B782C"/>
    <w:rsid w:val="009B798D"/>
    <w:rsid w:val="009B79FF"/>
    <w:rsid w:val="009B7A43"/>
    <w:rsid w:val="009B7AD3"/>
    <w:rsid w:val="009B7B94"/>
    <w:rsid w:val="009B7C4C"/>
    <w:rsid w:val="009B7C59"/>
    <w:rsid w:val="009B7C88"/>
    <w:rsid w:val="009B7CCF"/>
    <w:rsid w:val="009B7FF9"/>
    <w:rsid w:val="009C0046"/>
    <w:rsid w:val="009C004E"/>
    <w:rsid w:val="009C00DA"/>
    <w:rsid w:val="009C01E5"/>
    <w:rsid w:val="009C026D"/>
    <w:rsid w:val="009C0439"/>
    <w:rsid w:val="009C06C2"/>
    <w:rsid w:val="009C07C8"/>
    <w:rsid w:val="009C0822"/>
    <w:rsid w:val="009C0A19"/>
    <w:rsid w:val="009C0B20"/>
    <w:rsid w:val="009C0C42"/>
    <w:rsid w:val="009C0F01"/>
    <w:rsid w:val="009C0F9F"/>
    <w:rsid w:val="009C10A9"/>
    <w:rsid w:val="009C11E2"/>
    <w:rsid w:val="009C13C3"/>
    <w:rsid w:val="009C1469"/>
    <w:rsid w:val="009C1513"/>
    <w:rsid w:val="009C15E9"/>
    <w:rsid w:val="009C1610"/>
    <w:rsid w:val="009C1622"/>
    <w:rsid w:val="009C18F2"/>
    <w:rsid w:val="009C19E2"/>
    <w:rsid w:val="009C1A43"/>
    <w:rsid w:val="009C1B93"/>
    <w:rsid w:val="009C1C6B"/>
    <w:rsid w:val="009C1C9E"/>
    <w:rsid w:val="009C1F52"/>
    <w:rsid w:val="009C1F64"/>
    <w:rsid w:val="009C2069"/>
    <w:rsid w:val="009C208F"/>
    <w:rsid w:val="009C20B9"/>
    <w:rsid w:val="009C212D"/>
    <w:rsid w:val="009C21ED"/>
    <w:rsid w:val="009C23A7"/>
    <w:rsid w:val="009C23BD"/>
    <w:rsid w:val="009C24AC"/>
    <w:rsid w:val="009C24E4"/>
    <w:rsid w:val="009C2507"/>
    <w:rsid w:val="009C2551"/>
    <w:rsid w:val="009C264C"/>
    <w:rsid w:val="009C26E4"/>
    <w:rsid w:val="009C2722"/>
    <w:rsid w:val="009C27D7"/>
    <w:rsid w:val="009C28F0"/>
    <w:rsid w:val="009C294A"/>
    <w:rsid w:val="009C2A8E"/>
    <w:rsid w:val="009C2AA1"/>
    <w:rsid w:val="009C2AFF"/>
    <w:rsid w:val="009C2BC6"/>
    <w:rsid w:val="009C2C4F"/>
    <w:rsid w:val="009C2D33"/>
    <w:rsid w:val="009C2E24"/>
    <w:rsid w:val="009C2FD8"/>
    <w:rsid w:val="009C33EC"/>
    <w:rsid w:val="009C3439"/>
    <w:rsid w:val="009C34BA"/>
    <w:rsid w:val="009C36AC"/>
    <w:rsid w:val="009C37A3"/>
    <w:rsid w:val="009C3AC2"/>
    <w:rsid w:val="009C3B14"/>
    <w:rsid w:val="009C3BE5"/>
    <w:rsid w:val="009C3C35"/>
    <w:rsid w:val="009C3C43"/>
    <w:rsid w:val="009C3C52"/>
    <w:rsid w:val="009C3D89"/>
    <w:rsid w:val="009C3DB3"/>
    <w:rsid w:val="009C3DE6"/>
    <w:rsid w:val="009C4047"/>
    <w:rsid w:val="009C408A"/>
    <w:rsid w:val="009C408B"/>
    <w:rsid w:val="009C417B"/>
    <w:rsid w:val="009C4291"/>
    <w:rsid w:val="009C4597"/>
    <w:rsid w:val="009C45C1"/>
    <w:rsid w:val="009C46A3"/>
    <w:rsid w:val="009C46B5"/>
    <w:rsid w:val="009C482F"/>
    <w:rsid w:val="009C4857"/>
    <w:rsid w:val="009C4AA7"/>
    <w:rsid w:val="009C4B04"/>
    <w:rsid w:val="009C4B47"/>
    <w:rsid w:val="009C4C4D"/>
    <w:rsid w:val="009C4D72"/>
    <w:rsid w:val="009C4DF9"/>
    <w:rsid w:val="009C4E0C"/>
    <w:rsid w:val="009C4EB2"/>
    <w:rsid w:val="009C4F20"/>
    <w:rsid w:val="009C5017"/>
    <w:rsid w:val="009C50F1"/>
    <w:rsid w:val="009C526B"/>
    <w:rsid w:val="009C52C1"/>
    <w:rsid w:val="009C5353"/>
    <w:rsid w:val="009C5446"/>
    <w:rsid w:val="009C54F5"/>
    <w:rsid w:val="009C5708"/>
    <w:rsid w:val="009C58D7"/>
    <w:rsid w:val="009C5937"/>
    <w:rsid w:val="009C5942"/>
    <w:rsid w:val="009C5A7D"/>
    <w:rsid w:val="009C5AD2"/>
    <w:rsid w:val="009C5BA1"/>
    <w:rsid w:val="009C5BEB"/>
    <w:rsid w:val="009C5C1D"/>
    <w:rsid w:val="009C5CD5"/>
    <w:rsid w:val="009C5D7F"/>
    <w:rsid w:val="009C5E57"/>
    <w:rsid w:val="009C6175"/>
    <w:rsid w:val="009C6279"/>
    <w:rsid w:val="009C62B0"/>
    <w:rsid w:val="009C6442"/>
    <w:rsid w:val="009C6464"/>
    <w:rsid w:val="009C6492"/>
    <w:rsid w:val="009C649A"/>
    <w:rsid w:val="009C6633"/>
    <w:rsid w:val="009C6648"/>
    <w:rsid w:val="009C6706"/>
    <w:rsid w:val="009C6713"/>
    <w:rsid w:val="009C67F2"/>
    <w:rsid w:val="009C698E"/>
    <w:rsid w:val="009C69A4"/>
    <w:rsid w:val="009C6A09"/>
    <w:rsid w:val="009C6ABE"/>
    <w:rsid w:val="009C6B70"/>
    <w:rsid w:val="009C6D5E"/>
    <w:rsid w:val="009C6D62"/>
    <w:rsid w:val="009C6DD6"/>
    <w:rsid w:val="009C6E57"/>
    <w:rsid w:val="009C6EC7"/>
    <w:rsid w:val="009C6F3C"/>
    <w:rsid w:val="009C6FCA"/>
    <w:rsid w:val="009C7001"/>
    <w:rsid w:val="009C700B"/>
    <w:rsid w:val="009C7043"/>
    <w:rsid w:val="009C70EA"/>
    <w:rsid w:val="009C710B"/>
    <w:rsid w:val="009C71BE"/>
    <w:rsid w:val="009C71EE"/>
    <w:rsid w:val="009C72B0"/>
    <w:rsid w:val="009C74D5"/>
    <w:rsid w:val="009C7532"/>
    <w:rsid w:val="009C7673"/>
    <w:rsid w:val="009C7776"/>
    <w:rsid w:val="009C7809"/>
    <w:rsid w:val="009C7844"/>
    <w:rsid w:val="009C79FE"/>
    <w:rsid w:val="009C7A9F"/>
    <w:rsid w:val="009C7B4E"/>
    <w:rsid w:val="009C7F67"/>
    <w:rsid w:val="009D00AF"/>
    <w:rsid w:val="009D020D"/>
    <w:rsid w:val="009D038A"/>
    <w:rsid w:val="009D04D3"/>
    <w:rsid w:val="009D0541"/>
    <w:rsid w:val="009D056B"/>
    <w:rsid w:val="009D065F"/>
    <w:rsid w:val="009D07CF"/>
    <w:rsid w:val="009D0847"/>
    <w:rsid w:val="009D08DF"/>
    <w:rsid w:val="009D096A"/>
    <w:rsid w:val="009D0D60"/>
    <w:rsid w:val="009D0D66"/>
    <w:rsid w:val="009D0E11"/>
    <w:rsid w:val="009D0EAB"/>
    <w:rsid w:val="009D0EC0"/>
    <w:rsid w:val="009D14BC"/>
    <w:rsid w:val="009D1636"/>
    <w:rsid w:val="009D1745"/>
    <w:rsid w:val="009D180C"/>
    <w:rsid w:val="009D1C33"/>
    <w:rsid w:val="009D1D98"/>
    <w:rsid w:val="009D1E4F"/>
    <w:rsid w:val="009D1F7C"/>
    <w:rsid w:val="009D2238"/>
    <w:rsid w:val="009D2309"/>
    <w:rsid w:val="009D2340"/>
    <w:rsid w:val="009D250D"/>
    <w:rsid w:val="009D2545"/>
    <w:rsid w:val="009D25C1"/>
    <w:rsid w:val="009D267C"/>
    <w:rsid w:val="009D2691"/>
    <w:rsid w:val="009D298B"/>
    <w:rsid w:val="009D29DD"/>
    <w:rsid w:val="009D2A1A"/>
    <w:rsid w:val="009D2A29"/>
    <w:rsid w:val="009D2AD6"/>
    <w:rsid w:val="009D2BAF"/>
    <w:rsid w:val="009D2F3C"/>
    <w:rsid w:val="009D3028"/>
    <w:rsid w:val="009D3047"/>
    <w:rsid w:val="009D30F8"/>
    <w:rsid w:val="009D3141"/>
    <w:rsid w:val="009D31D5"/>
    <w:rsid w:val="009D32B5"/>
    <w:rsid w:val="009D32EA"/>
    <w:rsid w:val="009D3360"/>
    <w:rsid w:val="009D33D7"/>
    <w:rsid w:val="009D34E9"/>
    <w:rsid w:val="009D36FA"/>
    <w:rsid w:val="009D3938"/>
    <w:rsid w:val="009D3AE6"/>
    <w:rsid w:val="009D3B35"/>
    <w:rsid w:val="009D3D52"/>
    <w:rsid w:val="009D3FBD"/>
    <w:rsid w:val="009D421C"/>
    <w:rsid w:val="009D424D"/>
    <w:rsid w:val="009D4287"/>
    <w:rsid w:val="009D438F"/>
    <w:rsid w:val="009D43BE"/>
    <w:rsid w:val="009D444E"/>
    <w:rsid w:val="009D465E"/>
    <w:rsid w:val="009D4A6C"/>
    <w:rsid w:val="009D4AA1"/>
    <w:rsid w:val="009D4AC7"/>
    <w:rsid w:val="009D4CE4"/>
    <w:rsid w:val="009D4D02"/>
    <w:rsid w:val="009D4E46"/>
    <w:rsid w:val="009D4F36"/>
    <w:rsid w:val="009D5041"/>
    <w:rsid w:val="009D5129"/>
    <w:rsid w:val="009D5204"/>
    <w:rsid w:val="009D52AA"/>
    <w:rsid w:val="009D5342"/>
    <w:rsid w:val="009D5364"/>
    <w:rsid w:val="009D548E"/>
    <w:rsid w:val="009D5556"/>
    <w:rsid w:val="009D55E6"/>
    <w:rsid w:val="009D5B5B"/>
    <w:rsid w:val="009D5B92"/>
    <w:rsid w:val="009D5C6B"/>
    <w:rsid w:val="009D5CB6"/>
    <w:rsid w:val="009D5CB9"/>
    <w:rsid w:val="009D5D0D"/>
    <w:rsid w:val="009D5E32"/>
    <w:rsid w:val="009D5F01"/>
    <w:rsid w:val="009D5F80"/>
    <w:rsid w:val="009D5F87"/>
    <w:rsid w:val="009D61C0"/>
    <w:rsid w:val="009D62B2"/>
    <w:rsid w:val="009D6307"/>
    <w:rsid w:val="009D634C"/>
    <w:rsid w:val="009D634D"/>
    <w:rsid w:val="009D6352"/>
    <w:rsid w:val="009D67AF"/>
    <w:rsid w:val="009D68C4"/>
    <w:rsid w:val="009D693E"/>
    <w:rsid w:val="009D6A5A"/>
    <w:rsid w:val="009D6C2E"/>
    <w:rsid w:val="009D6D08"/>
    <w:rsid w:val="009D6D0F"/>
    <w:rsid w:val="009D6D23"/>
    <w:rsid w:val="009D6DC0"/>
    <w:rsid w:val="009D6E49"/>
    <w:rsid w:val="009D6E83"/>
    <w:rsid w:val="009D6F38"/>
    <w:rsid w:val="009D6F40"/>
    <w:rsid w:val="009D6FBC"/>
    <w:rsid w:val="009D7212"/>
    <w:rsid w:val="009D7214"/>
    <w:rsid w:val="009D72A0"/>
    <w:rsid w:val="009D7335"/>
    <w:rsid w:val="009D737E"/>
    <w:rsid w:val="009D73C9"/>
    <w:rsid w:val="009D73EA"/>
    <w:rsid w:val="009D73F9"/>
    <w:rsid w:val="009D75B3"/>
    <w:rsid w:val="009D77C2"/>
    <w:rsid w:val="009D787A"/>
    <w:rsid w:val="009D78E2"/>
    <w:rsid w:val="009D79DA"/>
    <w:rsid w:val="009D7AF6"/>
    <w:rsid w:val="009D7B41"/>
    <w:rsid w:val="009D7B50"/>
    <w:rsid w:val="009D7CE4"/>
    <w:rsid w:val="009D7EC6"/>
    <w:rsid w:val="009E0029"/>
    <w:rsid w:val="009E007B"/>
    <w:rsid w:val="009E00F5"/>
    <w:rsid w:val="009E0109"/>
    <w:rsid w:val="009E01D4"/>
    <w:rsid w:val="009E01E1"/>
    <w:rsid w:val="009E042C"/>
    <w:rsid w:val="009E04C0"/>
    <w:rsid w:val="009E08E3"/>
    <w:rsid w:val="009E0A4E"/>
    <w:rsid w:val="009E0AEA"/>
    <w:rsid w:val="009E0BEC"/>
    <w:rsid w:val="009E0BEE"/>
    <w:rsid w:val="009E0C10"/>
    <w:rsid w:val="009E0C36"/>
    <w:rsid w:val="009E0D20"/>
    <w:rsid w:val="009E0E39"/>
    <w:rsid w:val="009E0E67"/>
    <w:rsid w:val="009E1139"/>
    <w:rsid w:val="009E1265"/>
    <w:rsid w:val="009E12B5"/>
    <w:rsid w:val="009E1394"/>
    <w:rsid w:val="009E1465"/>
    <w:rsid w:val="009E1490"/>
    <w:rsid w:val="009E152B"/>
    <w:rsid w:val="009E1538"/>
    <w:rsid w:val="009E161A"/>
    <w:rsid w:val="009E16AF"/>
    <w:rsid w:val="009E1749"/>
    <w:rsid w:val="009E19D1"/>
    <w:rsid w:val="009E1ACF"/>
    <w:rsid w:val="009E1AD0"/>
    <w:rsid w:val="009E1ADB"/>
    <w:rsid w:val="009E1AE9"/>
    <w:rsid w:val="009E1CE9"/>
    <w:rsid w:val="009E1D07"/>
    <w:rsid w:val="009E20F7"/>
    <w:rsid w:val="009E2121"/>
    <w:rsid w:val="009E2267"/>
    <w:rsid w:val="009E2434"/>
    <w:rsid w:val="009E24A2"/>
    <w:rsid w:val="009E27D0"/>
    <w:rsid w:val="009E29B6"/>
    <w:rsid w:val="009E2A45"/>
    <w:rsid w:val="009E2AE6"/>
    <w:rsid w:val="009E2B39"/>
    <w:rsid w:val="009E2DAD"/>
    <w:rsid w:val="009E2E15"/>
    <w:rsid w:val="009E2F32"/>
    <w:rsid w:val="009E302C"/>
    <w:rsid w:val="009E31BB"/>
    <w:rsid w:val="009E32EA"/>
    <w:rsid w:val="009E3334"/>
    <w:rsid w:val="009E34B5"/>
    <w:rsid w:val="009E357C"/>
    <w:rsid w:val="009E35C6"/>
    <w:rsid w:val="009E3645"/>
    <w:rsid w:val="009E3719"/>
    <w:rsid w:val="009E37B7"/>
    <w:rsid w:val="009E393F"/>
    <w:rsid w:val="009E3954"/>
    <w:rsid w:val="009E39C2"/>
    <w:rsid w:val="009E39E3"/>
    <w:rsid w:val="009E3A68"/>
    <w:rsid w:val="009E3B6B"/>
    <w:rsid w:val="009E3B6D"/>
    <w:rsid w:val="009E3B75"/>
    <w:rsid w:val="009E3E35"/>
    <w:rsid w:val="009E3ED2"/>
    <w:rsid w:val="009E3FE2"/>
    <w:rsid w:val="009E3FFF"/>
    <w:rsid w:val="009E411B"/>
    <w:rsid w:val="009E414E"/>
    <w:rsid w:val="009E423F"/>
    <w:rsid w:val="009E456B"/>
    <w:rsid w:val="009E463F"/>
    <w:rsid w:val="009E4701"/>
    <w:rsid w:val="009E48AE"/>
    <w:rsid w:val="009E493A"/>
    <w:rsid w:val="009E4A13"/>
    <w:rsid w:val="009E4A1C"/>
    <w:rsid w:val="009E4B86"/>
    <w:rsid w:val="009E4BCD"/>
    <w:rsid w:val="009E4BFA"/>
    <w:rsid w:val="009E4CDE"/>
    <w:rsid w:val="009E4DAD"/>
    <w:rsid w:val="009E4DCC"/>
    <w:rsid w:val="009E4E24"/>
    <w:rsid w:val="009E4E7E"/>
    <w:rsid w:val="009E4EE2"/>
    <w:rsid w:val="009E508F"/>
    <w:rsid w:val="009E51E9"/>
    <w:rsid w:val="009E5284"/>
    <w:rsid w:val="009E5486"/>
    <w:rsid w:val="009E54E6"/>
    <w:rsid w:val="009E55BF"/>
    <w:rsid w:val="009E5695"/>
    <w:rsid w:val="009E569E"/>
    <w:rsid w:val="009E56BD"/>
    <w:rsid w:val="009E5863"/>
    <w:rsid w:val="009E5926"/>
    <w:rsid w:val="009E5A03"/>
    <w:rsid w:val="009E5A41"/>
    <w:rsid w:val="009E5BA0"/>
    <w:rsid w:val="009E5BB2"/>
    <w:rsid w:val="009E5CF9"/>
    <w:rsid w:val="009E6072"/>
    <w:rsid w:val="009E6081"/>
    <w:rsid w:val="009E6184"/>
    <w:rsid w:val="009E61B9"/>
    <w:rsid w:val="009E6254"/>
    <w:rsid w:val="009E6380"/>
    <w:rsid w:val="009E6501"/>
    <w:rsid w:val="009E676E"/>
    <w:rsid w:val="009E67BA"/>
    <w:rsid w:val="009E695C"/>
    <w:rsid w:val="009E6985"/>
    <w:rsid w:val="009E6A21"/>
    <w:rsid w:val="009E6A31"/>
    <w:rsid w:val="009E6A5C"/>
    <w:rsid w:val="009E6C13"/>
    <w:rsid w:val="009E6C81"/>
    <w:rsid w:val="009E6CA2"/>
    <w:rsid w:val="009E6E0A"/>
    <w:rsid w:val="009E6F20"/>
    <w:rsid w:val="009E70D8"/>
    <w:rsid w:val="009E710C"/>
    <w:rsid w:val="009E716B"/>
    <w:rsid w:val="009E71C4"/>
    <w:rsid w:val="009E756E"/>
    <w:rsid w:val="009E760F"/>
    <w:rsid w:val="009E7683"/>
    <w:rsid w:val="009E7730"/>
    <w:rsid w:val="009E7779"/>
    <w:rsid w:val="009E779D"/>
    <w:rsid w:val="009E7A07"/>
    <w:rsid w:val="009E7A70"/>
    <w:rsid w:val="009E7BFD"/>
    <w:rsid w:val="009E7CBE"/>
    <w:rsid w:val="009E7D4E"/>
    <w:rsid w:val="009E7E3A"/>
    <w:rsid w:val="009E7E8E"/>
    <w:rsid w:val="009E7F21"/>
    <w:rsid w:val="009E7F96"/>
    <w:rsid w:val="009E7FB5"/>
    <w:rsid w:val="009E7FF3"/>
    <w:rsid w:val="009F0029"/>
    <w:rsid w:val="009F005C"/>
    <w:rsid w:val="009F00F2"/>
    <w:rsid w:val="009F0195"/>
    <w:rsid w:val="009F040E"/>
    <w:rsid w:val="009F04B2"/>
    <w:rsid w:val="009F053F"/>
    <w:rsid w:val="009F070A"/>
    <w:rsid w:val="009F0763"/>
    <w:rsid w:val="009F0872"/>
    <w:rsid w:val="009F0897"/>
    <w:rsid w:val="009F089F"/>
    <w:rsid w:val="009F0A7D"/>
    <w:rsid w:val="009F0B2D"/>
    <w:rsid w:val="009F0B70"/>
    <w:rsid w:val="009F0D89"/>
    <w:rsid w:val="009F0DF5"/>
    <w:rsid w:val="009F0E07"/>
    <w:rsid w:val="009F1105"/>
    <w:rsid w:val="009F1112"/>
    <w:rsid w:val="009F11A9"/>
    <w:rsid w:val="009F11C8"/>
    <w:rsid w:val="009F125F"/>
    <w:rsid w:val="009F128B"/>
    <w:rsid w:val="009F13BB"/>
    <w:rsid w:val="009F142F"/>
    <w:rsid w:val="009F1571"/>
    <w:rsid w:val="009F15EE"/>
    <w:rsid w:val="009F177B"/>
    <w:rsid w:val="009F17A7"/>
    <w:rsid w:val="009F1948"/>
    <w:rsid w:val="009F197D"/>
    <w:rsid w:val="009F1A6F"/>
    <w:rsid w:val="009F1CA4"/>
    <w:rsid w:val="009F1D67"/>
    <w:rsid w:val="009F1D91"/>
    <w:rsid w:val="009F1FA8"/>
    <w:rsid w:val="009F2029"/>
    <w:rsid w:val="009F214D"/>
    <w:rsid w:val="009F24B0"/>
    <w:rsid w:val="009F286D"/>
    <w:rsid w:val="009F29CC"/>
    <w:rsid w:val="009F2A30"/>
    <w:rsid w:val="009F2A7F"/>
    <w:rsid w:val="009F2CF5"/>
    <w:rsid w:val="009F2EF8"/>
    <w:rsid w:val="009F314E"/>
    <w:rsid w:val="009F3189"/>
    <w:rsid w:val="009F3212"/>
    <w:rsid w:val="009F3501"/>
    <w:rsid w:val="009F3563"/>
    <w:rsid w:val="009F36CF"/>
    <w:rsid w:val="009F3847"/>
    <w:rsid w:val="009F3851"/>
    <w:rsid w:val="009F38C2"/>
    <w:rsid w:val="009F39A3"/>
    <w:rsid w:val="009F3A55"/>
    <w:rsid w:val="009F3A5A"/>
    <w:rsid w:val="009F3A9C"/>
    <w:rsid w:val="009F3AEF"/>
    <w:rsid w:val="009F3B92"/>
    <w:rsid w:val="009F3C5D"/>
    <w:rsid w:val="009F3C5E"/>
    <w:rsid w:val="009F3D0C"/>
    <w:rsid w:val="009F3E14"/>
    <w:rsid w:val="009F3E20"/>
    <w:rsid w:val="009F3EA0"/>
    <w:rsid w:val="009F3F05"/>
    <w:rsid w:val="009F3F62"/>
    <w:rsid w:val="009F40D5"/>
    <w:rsid w:val="009F4160"/>
    <w:rsid w:val="009F4198"/>
    <w:rsid w:val="009F42AD"/>
    <w:rsid w:val="009F42B1"/>
    <w:rsid w:val="009F42F3"/>
    <w:rsid w:val="009F43A8"/>
    <w:rsid w:val="009F43F1"/>
    <w:rsid w:val="009F45F4"/>
    <w:rsid w:val="009F47C7"/>
    <w:rsid w:val="009F48A3"/>
    <w:rsid w:val="009F48EA"/>
    <w:rsid w:val="009F48F1"/>
    <w:rsid w:val="009F4923"/>
    <w:rsid w:val="009F495B"/>
    <w:rsid w:val="009F4BC9"/>
    <w:rsid w:val="009F4C24"/>
    <w:rsid w:val="009F4DD6"/>
    <w:rsid w:val="009F50D6"/>
    <w:rsid w:val="009F50DB"/>
    <w:rsid w:val="009F51B5"/>
    <w:rsid w:val="009F5226"/>
    <w:rsid w:val="009F52FA"/>
    <w:rsid w:val="009F5341"/>
    <w:rsid w:val="009F56BB"/>
    <w:rsid w:val="009F5711"/>
    <w:rsid w:val="009F5837"/>
    <w:rsid w:val="009F5878"/>
    <w:rsid w:val="009F5A19"/>
    <w:rsid w:val="009F5A74"/>
    <w:rsid w:val="009F5A92"/>
    <w:rsid w:val="009F5ADA"/>
    <w:rsid w:val="009F5B22"/>
    <w:rsid w:val="009F5B7F"/>
    <w:rsid w:val="009F5BAB"/>
    <w:rsid w:val="009F5DBE"/>
    <w:rsid w:val="009F64FD"/>
    <w:rsid w:val="009F6517"/>
    <w:rsid w:val="009F6660"/>
    <w:rsid w:val="009F6699"/>
    <w:rsid w:val="009F669E"/>
    <w:rsid w:val="009F673F"/>
    <w:rsid w:val="009F67EA"/>
    <w:rsid w:val="009F67F7"/>
    <w:rsid w:val="009F6843"/>
    <w:rsid w:val="009F6852"/>
    <w:rsid w:val="009F685F"/>
    <w:rsid w:val="009F694F"/>
    <w:rsid w:val="009F6A71"/>
    <w:rsid w:val="009F6ACB"/>
    <w:rsid w:val="009F6C47"/>
    <w:rsid w:val="009F6DC8"/>
    <w:rsid w:val="009F6E40"/>
    <w:rsid w:val="009F6FA0"/>
    <w:rsid w:val="009F7089"/>
    <w:rsid w:val="009F7137"/>
    <w:rsid w:val="009F7202"/>
    <w:rsid w:val="009F7253"/>
    <w:rsid w:val="009F72A2"/>
    <w:rsid w:val="009F738D"/>
    <w:rsid w:val="009F73CF"/>
    <w:rsid w:val="009F750D"/>
    <w:rsid w:val="009F756F"/>
    <w:rsid w:val="009F7572"/>
    <w:rsid w:val="009F7589"/>
    <w:rsid w:val="009F75F1"/>
    <w:rsid w:val="009F7604"/>
    <w:rsid w:val="009F76E9"/>
    <w:rsid w:val="009F788F"/>
    <w:rsid w:val="009F78C9"/>
    <w:rsid w:val="009F7ADE"/>
    <w:rsid w:val="009F7B13"/>
    <w:rsid w:val="009F7B35"/>
    <w:rsid w:val="009F7B81"/>
    <w:rsid w:val="009F7BE8"/>
    <w:rsid w:val="009F7DBD"/>
    <w:rsid w:val="009F7DD3"/>
    <w:rsid w:val="009F7E07"/>
    <w:rsid w:val="009F7E32"/>
    <w:rsid w:val="009F7EBD"/>
    <w:rsid w:val="009F7F68"/>
    <w:rsid w:val="009F7FD8"/>
    <w:rsid w:val="00A00161"/>
    <w:rsid w:val="00A002BF"/>
    <w:rsid w:val="00A0079F"/>
    <w:rsid w:val="00A007CA"/>
    <w:rsid w:val="00A0082B"/>
    <w:rsid w:val="00A00923"/>
    <w:rsid w:val="00A00B74"/>
    <w:rsid w:val="00A00BF2"/>
    <w:rsid w:val="00A00C69"/>
    <w:rsid w:val="00A00D54"/>
    <w:rsid w:val="00A00DA6"/>
    <w:rsid w:val="00A010BC"/>
    <w:rsid w:val="00A010EF"/>
    <w:rsid w:val="00A011A1"/>
    <w:rsid w:val="00A011D1"/>
    <w:rsid w:val="00A012B4"/>
    <w:rsid w:val="00A014EC"/>
    <w:rsid w:val="00A017E6"/>
    <w:rsid w:val="00A017FF"/>
    <w:rsid w:val="00A0181A"/>
    <w:rsid w:val="00A018E8"/>
    <w:rsid w:val="00A01AFD"/>
    <w:rsid w:val="00A01B6C"/>
    <w:rsid w:val="00A01C6D"/>
    <w:rsid w:val="00A01C74"/>
    <w:rsid w:val="00A01D84"/>
    <w:rsid w:val="00A01E46"/>
    <w:rsid w:val="00A01F3B"/>
    <w:rsid w:val="00A0204F"/>
    <w:rsid w:val="00A02078"/>
    <w:rsid w:val="00A02087"/>
    <w:rsid w:val="00A020B5"/>
    <w:rsid w:val="00A0213C"/>
    <w:rsid w:val="00A021CF"/>
    <w:rsid w:val="00A02297"/>
    <w:rsid w:val="00A022B6"/>
    <w:rsid w:val="00A024C9"/>
    <w:rsid w:val="00A025FC"/>
    <w:rsid w:val="00A026AF"/>
    <w:rsid w:val="00A026F5"/>
    <w:rsid w:val="00A0271F"/>
    <w:rsid w:val="00A028CA"/>
    <w:rsid w:val="00A02905"/>
    <w:rsid w:val="00A02A75"/>
    <w:rsid w:val="00A02A9B"/>
    <w:rsid w:val="00A02B11"/>
    <w:rsid w:val="00A02B42"/>
    <w:rsid w:val="00A02B5E"/>
    <w:rsid w:val="00A02C2B"/>
    <w:rsid w:val="00A02CA1"/>
    <w:rsid w:val="00A02CC2"/>
    <w:rsid w:val="00A02DBC"/>
    <w:rsid w:val="00A02EAE"/>
    <w:rsid w:val="00A02EB6"/>
    <w:rsid w:val="00A02F00"/>
    <w:rsid w:val="00A02F51"/>
    <w:rsid w:val="00A02F6F"/>
    <w:rsid w:val="00A03146"/>
    <w:rsid w:val="00A031DB"/>
    <w:rsid w:val="00A031DD"/>
    <w:rsid w:val="00A03207"/>
    <w:rsid w:val="00A03233"/>
    <w:rsid w:val="00A032EA"/>
    <w:rsid w:val="00A033AD"/>
    <w:rsid w:val="00A03476"/>
    <w:rsid w:val="00A03531"/>
    <w:rsid w:val="00A0353C"/>
    <w:rsid w:val="00A03558"/>
    <w:rsid w:val="00A03568"/>
    <w:rsid w:val="00A0356C"/>
    <w:rsid w:val="00A03612"/>
    <w:rsid w:val="00A03703"/>
    <w:rsid w:val="00A0373E"/>
    <w:rsid w:val="00A0378E"/>
    <w:rsid w:val="00A0384F"/>
    <w:rsid w:val="00A03883"/>
    <w:rsid w:val="00A03A09"/>
    <w:rsid w:val="00A03A70"/>
    <w:rsid w:val="00A03AE1"/>
    <w:rsid w:val="00A03B23"/>
    <w:rsid w:val="00A03B6A"/>
    <w:rsid w:val="00A03CCF"/>
    <w:rsid w:val="00A03D26"/>
    <w:rsid w:val="00A03E7B"/>
    <w:rsid w:val="00A03F9B"/>
    <w:rsid w:val="00A04166"/>
    <w:rsid w:val="00A042DF"/>
    <w:rsid w:val="00A04349"/>
    <w:rsid w:val="00A04393"/>
    <w:rsid w:val="00A04556"/>
    <w:rsid w:val="00A0458E"/>
    <w:rsid w:val="00A045F2"/>
    <w:rsid w:val="00A0464A"/>
    <w:rsid w:val="00A04665"/>
    <w:rsid w:val="00A0469B"/>
    <w:rsid w:val="00A04766"/>
    <w:rsid w:val="00A047A8"/>
    <w:rsid w:val="00A04980"/>
    <w:rsid w:val="00A04B48"/>
    <w:rsid w:val="00A04B96"/>
    <w:rsid w:val="00A04FCC"/>
    <w:rsid w:val="00A05030"/>
    <w:rsid w:val="00A0528C"/>
    <w:rsid w:val="00A052B9"/>
    <w:rsid w:val="00A0533E"/>
    <w:rsid w:val="00A053A4"/>
    <w:rsid w:val="00A05585"/>
    <w:rsid w:val="00A055DD"/>
    <w:rsid w:val="00A0560F"/>
    <w:rsid w:val="00A057E9"/>
    <w:rsid w:val="00A05AFC"/>
    <w:rsid w:val="00A05B26"/>
    <w:rsid w:val="00A05C8C"/>
    <w:rsid w:val="00A05E17"/>
    <w:rsid w:val="00A05E1B"/>
    <w:rsid w:val="00A05E46"/>
    <w:rsid w:val="00A05E7D"/>
    <w:rsid w:val="00A05FEF"/>
    <w:rsid w:val="00A060DD"/>
    <w:rsid w:val="00A06140"/>
    <w:rsid w:val="00A0622C"/>
    <w:rsid w:val="00A062AB"/>
    <w:rsid w:val="00A062F5"/>
    <w:rsid w:val="00A06392"/>
    <w:rsid w:val="00A06490"/>
    <w:rsid w:val="00A0652D"/>
    <w:rsid w:val="00A065F9"/>
    <w:rsid w:val="00A06600"/>
    <w:rsid w:val="00A06633"/>
    <w:rsid w:val="00A067B3"/>
    <w:rsid w:val="00A06921"/>
    <w:rsid w:val="00A0695A"/>
    <w:rsid w:val="00A069E9"/>
    <w:rsid w:val="00A069F7"/>
    <w:rsid w:val="00A06A3A"/>
    <w:rsid w:val="00A06A65"/>
    <w:rsid w:val="00A06DA1"/>
    <w:rsid w:val="00A06E6A"/>
    <w:rsid w:val="00A07089"/>
    <w:rsid w:val="00A07142"/>
    <w:rsid w:val="00A07184"/>
    <w:rsid w:val="00A07281"/>
    <w:rsid w:val="00A07407"/>
    <w:rsid w:val="00A075D3"/>
    <w:rsid w:val="00A077CF"/>
    <w:rsid w:val="00A077D8"/>
    <w:rsid w:val="00A077EB"/>
    <w:rsid w:val="00A0788E"/>
    <w:rsid w:val="00A0789D"/>
    <w:rsid w:val="00A078A9"/>
    <w:rsid w:val="00A07937"/>
    <w:rsid w:val="00A079F0"/>
    <w:rsid w:val="00A07B4B"/>
    <w:rsid w:val="00A07C3A"/>
    <w:rsid w:val="00A07DD8"/>
    <w:rsid w:val="00A07E66"/>
    <w:rsid w:val="00A1000B"/>
    <w:rsid w:val="00A1005F"/>
    <w:rsid w:val="00A10141"/>
    <w:rsid w:val="00A103B1"/>
    <w:rsid w:val="00A103F1"/>
    <w:rsid w:val="00A1050B"/>
    <w:rsid w:val="00A106B5"/>
    <w:rsid w:val="00A106DC"/>
    <w:rsid w:val="00A107B1"/>
    <w:rsid w:val="00A10809"/>
    <w:rsid w:val="00A10880"/>
    <w:rsid w:val="00A1088E"/>
    <w:rsid w:val="00A1098F"/>
    <w:rsid w:val="00A109D4"/>
    <w:rsid w:val="00A10B2D"/>
    <w:rsid w:val="00A10B68"/>
    <w:rsid w:val="00A10CD7"/>
    <w:rsid w:val="00A10D6E"/>
    <w:rsid w:val="00A11143"/>
    <w:rsid w:val="00A11161"/>
    <w:rsid w:val="00A111C5"/>
    <w:rsid w:val="00A111EF"/>
    <w:rsid w:val="00A111F7"/>
    <w:rsid w:val="00A1122C"/>
    <w:rsid w:val="00A114EB"/>
    <w:rsid w:val="00A115B2"/>
    <w:rsid w:val="00A115D8"/>
    <w:rsid w:val="00A1180B"/>
    <w:rsid w:val="00A11A96"/>
    <w:rsid w:val="00A11B68"/>
    <w:rsid w:val="00A11BC2"/>
    <w:rsid w:val="00A11C56"/>
    <w:rsid w:val="00A11D08"/>
    <w:rsid w:val="00A11D72"/>
    <w:rsid w:val="00A11DAF"/>
    <w:rsid w:val="00A11E6A"/>
    <w:rsid w:val="00A11EBB"/>
    <w:rsid w:val="00A11EFF"/>
    <w:rsid w:val="00A11FB3"/>
    <w:rsid w:val="00A11FD6"/>
    <w:rsid w:val="00A121D3"/>
    <w:rsid w:val="00A122CD"/>
    <w:rsid w:val="00A122FC"/>
    <w:rsid w:val="00A1238D"/>
    <w:rsid w:val="00A123ED"/>
    <w:rsid w:val="00A124ED"/>
    <w:rsid w:val="00A12521"/>
    <w:rsid w:val="00A12585"/>
    <w:rsid w:val="00A12590"/>
    <w:rsid w:val="00A126F1"/>
    <w:rsid w:val="00A127B1"/>
    <w:rsid w:val="00A12A17"/>
    <w:rsid w:val="00A12AE4"/>
    <w:rsid w:val="00A12D7B"/>
    <w:rsid w:val="00A12E12"/>
    <w:rsid w:val="00A12EE3"/>
    <w:rsid w:val="00A12F4B"/>
    <w:rsid w:val="00A12F53"/>
    <w:rsid w:val="00A13076"/>
    <w:rsid w:val="00A1316D"/>
    <w:rsid w:val="00A131E8"/>
    <w:rsid w:val="00A13347"/>
    <w:rsid w:val="00A13402"/>
    <w:rsid w:val="00A13554"/>
    <w:rsid w:val="00A13641"/>
    <w:rsid w:val="00A136EC"/>
    <w:rsid w:val="00A138BA"/>
    <w:rsid w:val="00A13A32"/>
    <w:rsid w:val="00A13A7D"/>
    <w:rsid w:val="00A13C95"/>
    <w:rsid w:val="00A13CD1"/>
    <w:rsid w:val="00A13D1E"/>
    <w:rsid w:val="00A13E1E"/>
    <w:rsid w:val="00A13FCB"/>
    <w:rsid w:val="00A140E7"/>
    <w:rsid w:val="00A141BA"/>
    <w:rsid w:val="00A1422B"/>
    <w:rsid w:val="00A1423E"/>
    <w:rsid w:val="00A14289"/>
    <w:rsid w:val="00A142E8"/>
    <w:rsid w:val="00A14337"/>
    <w:rsid w:val="00A143A6"/>
    <w:rsid w:val="00A1442E"/>
    <w:rsid w:val="00A14468"/>
    <w:rsid w:val="00A144B7"/>
    <w:rsid w:val="00A145A0"/>
    <w:rsid w:val="00A146F6"/>
    <w:rsid w:val="00A14717"/>
    <w:rsid w:val="00A1480B"/>
    <w:rsid w:val="00A14A1B"/>
    <w:rsid w:val="00A14A46"/>
    <w:rsid w:val="00A14A7E"/>
    <w:rsid w:val="00A14AB0"/>
    <w:rsid w:val="00A14C8B"/>
    <w:rsid w:val="00A14CD1"/>
    <w:rsid w:val="00A14CF4"/>
    <w:rsid w:val="00A14D5C"/>
    <w:rsid w:val="00A14D83"/>
    <w:rsid w:val="00A14E00"/>
    <w:rsid w:val="00A151A6"/>
    <w:rsid w:val="00A15367"/>
    <w:rsid w:val="00A153A8"/>
    <w:rsid w:val="00A1562B"/>
    <w:rsid w:val="00A156CB"/>
    <w:rsid w:val="00A158F3"/>
    <w:rsid w:val="00A15905"/>
    <w:rsid w:val="00A15967"/>
    <w:rsid w:val="00A159A4"/>
    <w:rsid w:val="00A159C8"/>
    <w:rsid w:val="00A159F2"/>
    <w:rsid w:val="00A15A73"/>
    <w:rsid w:val="00A15C22"/>
    <w:rsid w:val="00A15DF4"/>
    <w:rsid w:val="00A15E94"/>
    <w:rsid w:val="00A15F20"/>
    <w:rsid w:val="00A15F34"/>
    <w:rsid w:val="00A15FDB"/>
    <w:rsid w:val="00A16097"/>
    <w:rsid w:val="00A16128"/>
    <w:rsid w:val="00A161C9"/>
    <w:rsid w:val="00A161D8"/>
    <w:rsid w:val="00A16279"/>
    <w:rsid w:val="00A162F3"/>
    <w:rsid w:val="00A16320"/>
    <w:rsid w:val="00A1636D"/>
    <w:rsid w:val="00A16565"/>
    <w:rsid w:val="00A16584"/>
    <w:rsid w:val="00A16595"/>
    <w:rsid w:val="00A16724"/>
    <w:rsid w:val="00A16754"/>
    <w:rsid w:val="00A167E5"/>
    <w:rsid w:val="00A16862"/>
    <w:rsid w:val="00A168CA"/>
    <w:rsid w:val="00A16961"/>
    <w:rsid w:val="00A169B2"/>
    <w:rsid w:val="00A16BEE"/>
    <w:rsid w:val="00A16C0D"/>
    <w:rsid w:val="00A16C1A"/>
    <w:rsid w:val="00A16E11"/>
    <w:rsid w:val="00A16E6C"/>
    <w:rsid w:val="00A16F0B"/>
    <w:rsid w:val="00A16FC4"/>
    <w:rsid w:val="00A17029"/>
    <w:rsid w:val="00A1709C"/>
    <w:rsid w:val="00A171C8"/>
    <w:rsid w:val="00A1730A"/>
    <w:rsid w:val="00A174A2"/>
    <w:rsid w:val="00A17564"/>
    <w:rsid w:val="00A1758C"/>
    <w:rsid w:val="00A175D6"/>
    <w:rsid w:val="00A176B8"/>
    <w:rsid w:val="00A1771E"/>
    <w:rsid w:val="00A17791"/>
    <w:rsid w:val="00A178FF"/>
    <w:rsid w:val="00A17A2E"/>
    <w:rsid w:val="00A17B99"/>
    <w:rsid w:val="00A17C70"/>
    <w:rsid w:val="00A17CFE"/>
    <w:rsid w:val="00A17D62"/>
    <w:rsid w:val="00A17D75"/>
    <w:rsid w:val="00A17DDB"/>
    <w:rsid w:val="00A17FEA"/>
    <w:rsid w:val="00A17FFA"/>
    <w:rsid w:val="00A20020"/>
    <w:rsid w:val="00A20036"/>
    <w:rsid w:val="00A2005C"/>
    <w:rsid w:val="00A20173"/>
    <w:rsid w:val="00A20263"/>
    <w:rsid w:val="00A20389"/>
    <w:rsid w:val="00A20488"/>
    <w:rsid w:val="00A205B5"/>
    <w:rsid w:val="00A205E8"/>
    <w:rsid w:val="00A20674"/>
    <w:rsid w:val="00A2071B"/>
    <w:rsid w:val="00A20914"/>
    <w:rsid w:val="00A209C4"/>
    <w:rsid w:val="00A209FE"/>
    <w:rsid w:val="00A20ACD"/>
    <w:rsid w:val="00A20C86"/>
    <w:rsid w:val="00A20D3F"/>
    <w:rsid w:val="00A20DD8"/>
    <w:rsid w:val="00A20E43"/>
    <w:rsid w:val="00A20E73"/>
    <w:rsid w:val="00A21065"/>
    <w:rsid w:val="00A21095"/>
    <w:rsid w:val="00A210BD"/>
    <w:rsid w:val="00A2110D"/>
    <w:rsid w:val="00A21186"/>
    <w:rsid w:val="00A21197"/>
    <w:rsid w:val="00A21490"/>
    <w:rsid w:val="00A214AB"/>
    <w:rsid w:val="00A214E6"/>
    <w:rsid w:val="00A21505"/>
    <w:rsid w:val="00A215C6"/>
    <w:rsid w:val="00A215FA"/>
    <w:rsid w:val="00A2168B"/>
    <w:rsid w:val="00A216F0"/>
    <w:rsid w:val="00A21771"/>
    <w:rsid w:val="00A2184B"/>
    <w:rsid w:val="00A218B5"/>
    <w:rsid w:val="00A2194E"/>
    <w:rsid w:val="00A219B2"/>
    <w:rsid w:val="00A21A3B"/>
    <w:rsid w:val="00A21C63"/>
    <w:rsid w:val="00A21CA9"/>
    <w:rsid w:val="00A21E2F"/>
    <w:rsid w:val="00A21E51"/>
    <w:rsid w:val="00A21EFC"/>
    <w:rsid w:val="00A21FF9"/>
    <w:rsid w:val="00A220C1"/>
    <w:rsid w:val="00A221D0"/>
    <w:rsid w:val="00A22210"/>
    <w:rsid w:val="00A22219"/>
    <w:rsid w:val="00A222C0"/>
    <w:rsid w:val="00A222C5"/>
    <w:rsid w:val="00A224EE"/>
    <w:rsid w:val="00A22625"/>
    <w:rsid w:val="00A226F4"/>
    <w:rsid w:val="00A22772"/>
    <w:rsid w:val="00A22795"/>
    <w:rsid w:val="00A227C3"/>
    <w:rsid w:val="00A22982"/>
    <w:rsid w:val="00A2298E"/>
    <w:rsid w:val="00A22C42"/>
    <w:rsid w:val="00A22CF1"/>
    <w:rsid w:val="00A22EBD"/>
    <w:rsid w:val="00A22EF5"/>
    <w:rsid w:val="00A22F40"/>
    <w:rsid w:val="00A23064"/>
    <w:rsid w:val="00A23198"/>
    <w:rsid w:val="00A2324D"/>
    <w:rsid w:val="00A232D9"/>
    <w:rsid w:val="00A23413"/>
    <w:rsid w:val="00A234F7"/>
    <w:rsid w:val="00A2356D"/>
    <w:rsid w:val="00A235AF"/>
    <w:rsid w:val="00A23878"/>
    <w:rsid w:val="00A23B6F"/>
    <w:rsid w:val="00A23BE3"/>
    <w:rsid w:val="00A23F14"/>
    <w:rsid w:val="00A23F3C"/>
    <w:rsid w:val="00A23FA9"/>
    <w:rsid w:val="00A2402E"/>
    <w:rsid w:val="00A24048"/>
    <w:rsid w:val="00A240FD"/>
    <w:rsid w:val="00A241C2"/>
    <w:rsid w:val="00A24245"/>
    <w:rsid w:val="00A242DE"/>
    <w:rsid w:val="00A24322"/>
    <w:rsid w:val="00A24429"/>
    <w:rsid w:val="00A24531"/>
    <w:rsid w:val="00A2453F"/>
    <w:rsid w:val="00A24554"/>
    <w:rsid w:val="00A245C9"/>
    <w:rsid w:val="00A247E9"/>
    <w:rsid w:val="00A2482D"/>
    <w:rsid w:val="00A24855"/>
    <w:rsid w:val="00A2491E"/>
    <w:rsid w:val="00A24942"/>
    <w:rsid w:val="00A2499C"/>
    <w:rsid w:val="00A249B2"/>
    <w:rsid w:val="00A24B5F"/>
    <w:rsid w:val="00A24E06"/>
    <w:rsid w:val="00A24E09"/>
    <w:rsid w:val="00A24E45"/>
    <w:rsid w:val="00A24F58"/>
    <w:rsid w:val="00A25044"/>
    <w:rsid w:val="00A25108"/>
    <w:rsid w:val="00A25182"/>
    <w:rsid w:val="00A251CA"/>
    <w:rsid w:val="00A25291"/>
    <w:rsid w:val="00A25325"/>
    <w:rsid w:val="00A2559C"/>
    <w:rsid w:val="00A25627"/>
    <w:rsid w:val="00A2564E"/>
    <w:rsid w:val="00A25A01"/>
    <w:rsid w:val="00A25A96"/>
    <w:rsid w:val="00A25B49"/>
    <w:rsid w:val="00A25B65"/>
    <w:rsid w:val="00A25E91"/>
    <w:rsid w:val="00A25FB2"/>
    <w:rsid w:val="00A25FC2"/>
    <w:rsid w:val="00A26135"/>
    <w:rsid w:val="00A26257"/>
    <w:rsid w:val="00A262B0"/>
    <w:rsid w:val="00A262BF"/>
    <w:rsid w:val="00A262D0"/>
    <w:rsid w:val="00A262F4"/>
    <w:rsid w:val="00A26393"/>
    <w:rsid w:val="00A263B8"/>
    <w:rsid w:val="00A26411"/>
    <w:rsid w:val="00A264A3"/>
    <w:rsid w:val="00A2666F"/>
    <w:rsid w:val="00A266CF"/>
    <w:rsid w:val="00A2678E"/>
    <w:rsid w:val="00A267CE"/>
    <w:rsid w:val="00A26892"/>
    <w:rsid w:val="00A268AF"/>
    <w:rsid w:val="00A269ED"/>
    <w:rsid w:val="00A26A13"/>
    <w:rsid w:val="00A26B4F"/>
    <w:rsid w:val="00A26BE2"/>
    <w:rsid w:val="00A26E12"/>
    <w:rsid w:val="00A26E85"/>
    <w:rsid w:val="00A27047"/>
    <w:rsid w:val="00A27097"/>
    <w:rsid w:val="00A270EA"/>
    <w:rsid w:val="00A2712F"/>
    <w:rsid w:val="00A271B5"/>
    <w:rsid w:val="00A27260"/>
    <w:rsid w:val="00A27276"/>
    <w:rsid w:val="00A2734A"/>
    <w:rsid w:val="00A2745F"/>
    <w:rsid w:val="00A27513"/>
    <w:rsid w:val="00A275B8"/>
    <w:rsid w:val="00A275FD"/>
    <w:rsid w:val="00A2762A"/>
    <w:rsid w:val="00A2767D"/>
    <w:rsid w:val="00A2776E"/>
    <w:rsid w:val="00A27A50"/>
    <w:rsid w:val="00A27A81"/>
    <w:rsid w:val="00A27BA3"/>
    <w:rsid w:val="00A27BDC"/>
    <w:rsid w:val="00A27D0C"/>
    <w:rsid w:val="00A27F26"/>
    <w:rsid w:val="00A27FCB"/>
    <w:rsid w:val="00A30146"/>
    <w:rsid w:val="00A303A0"/>
    <w:rsid w:val="00A30493"/>
    <w:rsid w:val="00A305EE"/>
    <w:rsid w:val="00A30913"/>
    <w:rsid w:val="00A30B7E"/>
    <w:rsid w:val="00A30D72"/>
    <w:rsid w:val="00A30E2B"/>
    <w:rsid w:val="00A30EE7"/>
    <w:rsid w:val="00A31097"/>
    <w:rsid w:val="00A31168"/>
    <w:rsid w:val="00A31269"/>
    <w:rsid w:val="00A312B8"/>
    <w:rsid w:val="00A313A5"/>
    <w:rsid w:val="00A314E9"/>
    <w:rsid w:val="00A3156C"/>
    <w:rsid w:val="00A31573"/>
    <w:rsid w:val="00A316BB"/>
    <w:rsid w:val="00A317D6"/>
    <w:rsid w:val="00A317EB"/>
    <w:rsid w:val="00A31800"/>
    <w:rsid w:val="00A318F2"/>
    <w:rsid w:val="00A3192E"/>
    <w:rsid w:val="00A31AD3"/>
    <w:rsid w:val="00A31B76"/>
    <w:rsid w:val="00A31B82"/>
    <w:rsid w:val="00A31D0C"/>
    <w:rsid w:val="00A31E29"/>
    <w:rsid w:val="00A31E56"/>
    <w:rsid w:val="00A31E61"/>
    <w:rsid w:val="00A31EAE"/>
    <w:rsid w:val="00A31ECD"/>
    <w:rsid w:val="00A3207B"/>
    <w:rsid w:val="00A32198"/>
    <w:rsid w:val="00A321CE"/>
    <w:rsid w:val="00A32358"/>
    <w:rsid w:val="00A32580"/>
    <w:rsid w:val="00A325A1"/>
    <w:rsid w:val="00A3263C"/>
    <w:rsid w:val="00A3263F"/>
    <w:rsid w:val="00A32715"/>
    <w:rsid w:val="00A32860"/>
    <w:rsid w:val="00A328FC"/>
    <w:rsid w:val="00A32913"/>
    <w:rsid w:val="00A32B6A"/>
    <w:rsid w:val="00A32BA4"/>
    <w:rsid w:val="00A32BC7"/>
    <w:rsid w:val="00A32F15"/>
    <w:rsid w:val="00A32F7B"/>
    <w:rsid w:val="00A33022"/>
    <w:rsid w:val="00A33077"/>
    <w:rsid w:val="00A33192"/>
    <w:rsid w:val="00A3321D"/>
    <w:rsid w:val="00A3336A"/>
    <w:rsid w:val="00A334ED"/>
    <w:rsid w:val="00A33546"/>
    <w:rsid w:val="00A335F8"/>
    <w:rsid w:val="00A33662"/>
    <w:rsid w:val="00A33672"/>
    <w:rsid w:val="00A337EC"/>
    <w:rsid w:val="00A33840"/>
    <w:rsid w:val="00A3390B"/>
    <w:rsid w:val="00A33A5A"/>
    <w:rsid w:val="00A33A97"/>
    <w:rsid w:val="00A33B3A"/>
    <w:rsid w:val="00A33BF9"/>
    <w:rsid w:val="00A33C00"/>
    <w:rsid w:val="00A33D63"/>
    <w:rsid w:val="00A33F40"/>
    <w:rsid w:val="00A33FB4"/>
    <w:rsid w:val="00A33FC7"/>
    <w:rsid w:val="00A340D7"/>
    <w:rsid w:val="00A3415E"/>
    <w:rsid w:val="00A343DE"/>
    <w:rsid w:val="00A344A0"/>
    <w:rsid w:val="00A345B7"/>
    <w:rsid w:val="00A345E3"/>
    <w:rsid w:val="00A34864"/>
    <w:rsid w:val="00A3487E"/>
    <w:rsid w:val="00A348BE"/>
    <w:rsid w:val="00A34A32"/>
    <w:rsid w:val="00A34A5B"/>
    <w:rsid w:val="00A34D26"/>
    <w:rsid w:val="00A34D46"/>
    <w:rsid w:val="00A34E07"/>
    <w:rsid w:val="00A34E7B"/>
    <w:rsid w:val="00A34EC7"/>
    <w:rsid w:val="00A34FA3"/>
    <w:rsid w:val="00A3521E"/>
    <w:rsid w:val="00A353C9"/>
    <w:rsid w:val="00A35728"/>
    <w:rsid w:val="00A35731"/>
    <w:rsid w:val="00A357A4"/>
    <w:rsid w:val="00A35899"/>
    <w:rsid w:val="00A35954"/>
    <w:rsid w:val="00A35968"/>
    <w:rsid w:val="00A35AC4"/>
    <w:rsid w:val="00A35B1B"/>
    <w:rsid w:val="00A35C71"/>
    <w:rsid w:val="00A35C8A"/>
    <w:rsid w:val="00A35CC6"/>
    <w:rsid w:val="00A35E43"/>
    <w:rsid w:val="00A35EB9"/>
    <w:rsid w:val="00A35F01"/>
    <w:rsid w:val="00A35F0C"/>
    <w:rsid w:val="00A35FC1"/>
    <w:rsid w:val="00A36008"/>
    <w:rsid w:val="00A363B5"/>
    <w:rsid w:val="00A364F1"/>
    <w:rsid w:val="00A36600"/>
    <w:rsid w:val="00A36625"/>
    <w:rsid w:val="00A3674C"/>
    <w:rsid w:val="00A36755"/>
    <w:rsid w:val="00A367F8"/>
    <w:rsid w:val="00A369DD"/>
    <w:rsid w:val="00A36ABA"/>
    <w:rsid w:val="00A36AC7"/>
    <w:rsid w:val="00A36B06"/>
    <w:rsid w:val="00A36B0E"/>
    <w:rsid w:val="00A36BFE"/>
    <w:rsid w:val="00A36E10"/>
    <w:rsid w:val="00A36E2C"/>
    <w:rsid w:val="00A3702C"/>
    <w:rsid w:val="00A372D5"/>
    <w:rsid w:val="00A374B9"/>
    <w:rsid w:val="00A37512"/>
    <w:rsid w:val="00A375A0"/>
    <w:rsid w:val="00A37612"/>
    <w:rsid w:val="00A37640"/>
    <w:rsid w:val="00A376A0"/>
    <w:rsid w:val="00A37733"/>
    <w:rsid w:val="00A37949"/>
    <w:rsid w:val="00A37AA0"/>
    <w:rsid w:val="00A37AB5"/>
    <w:rsid w:val="00A37B34"/>
    <w:rsid w:val="00A37B62"/>
    <w:rsid w:val="00A37B74"/>
    <w:rsid w:val="00A37B98"/>
    <w:rsid w:val="00A37C87"/>
    <w:rsid w:val="00A37E11"/>
    <w:rsid w:val="00A4006C"/>
    <w:rsid w:val="00A4018D"/>
    <w:rsid w:val="00A4025B"/>
    <w:rsid w:val="00A405EB"/>
    <w:rsid w:val="00A405FA"/>
    <w:rsid w:val="00A4067E"/>
    <w:rsid w:val="00A406A0"/>
    <w:rsid w:val="00A4080B"/>
    <w:rsid w:val="00A40840"/>
    <w:rsid w:val="00A408DD"/>
    <w:rsid w:val="00A40916"/>
    <w:rsid w:val="00A4095E"/>
    <w:rsid w:val="00A409BE"/>
    <w:rsid w:val="00A40B05"/>
    <w:rsid w:val="00A40CAA"/>
    <w:rsid w:val="00A40D7C"/>
    <w:rsid w:val="00A40DE4"/>
    <w:rsid w:val="00A40E00"/>
    <w:rsid w:val="00A40F1A"/>
    <w:rsid w:val="00A41300"/>
    <w:rsid w:val="00A413C4"/>
    <w:rsid w:val="00A415DD"/>
    <w:rsid w:val="00A4169A"/>
    <w:rsid w:val="00A417F5"/>
    <w:rsid w:val="00A41854"/>
    <w:rsid w:val="00A41A54"/>
    <w:rsid w:val="00A41AF8"/>
    <w:rsid w:val="00A41B3B"/>
    <w:rsid w:val="00A41BBC"/>
    <w:rsid w:val="00A41CEF"/>
    <w:rsid w:val="00A41E68"/>
    <w:rsid w:val="00A41F72"/>
    <w:rsid w:val="00A42050"/>
    <w:rsid w:val="00A42209"/>
    <w:rsid w:val="00A42449"/>
    <w:rsid w:val="00A42598"/>
    <w:rsid w:val="00A425C5"/>
    <w:rsid w:val="00A425D9"/>
    <w:rsid w:val="00A42655"/>
    <w:rsid w:val="00A4272D"/>
    <w:rsid w:val="00A428A4"/>
    <w:rsid w:val="00A42901"/>
    <w:rsid w:val="00A42964"/>
    <w:rsid w:val="00A429A0"/>
    <w:rsid w:val="00A42B4A"/>
    <w:rsid w:val="00A42BCE"/>
    <w:rsid w:val="00A42BE6"/>
    <w:rsid w:val="00A42CA8"/>
    <w:rsid w:val="00A42DCC"/>
    <w:rsid w:val="00A42EA3"/>
    <w:rsid w:val="00A42F38"/>
    <w:rsid w:val="00A4305C"/>
    <w:rsid w:val="00A4305D"/>
    <w:rsid w:val="00A43234"/>
    <w:rsid w:val="00A4323D"/>
    <w:rsid w:val="00A432AE"/>
    <w:rsid w:val="00A432E0"/>
    <w:rsid w:val="00A432E8"/>
    <w:rsid w:val="00A43455"/>
    <w:rsid w:val="00A4353D"/>
    <w:rsid w:val="00A435CB"/>
    <w:rsid w:val="00A43616"/>
    <w:rsid w:val="00A4361B"/>
    <w:rsid w:val="00A436D2"/>
    <w:rsid w:val="00A436DD"/>
    <w:rsid w:val="00A43780"/>
    <w:rsid w:val="00A43827"/>
    <w:rsid w:val="00A43A1C"/>
    <w:rsid w:val="00A43BD2"/>
    <w:rsid w:val="00A43C7A"/>
    <w:rsid w:val="00A43CCD"/>
    <w:rsid w:val="00A43CEA"/>
    <w:rsid w:val="00A43DE9"/>
    <w:rsid w:val="00A43DF4"/>
    <w:rsid w:val="00A43E06"/>
    <w:rsid w:val="00A43E29"/>
    <w:rsid w:val="00A43E7D"/>
    <w:rsid w:val="00A4400B"/>
    <w:rsid w:val="00A44018"/>
    <w:rsid w:val="00A44044"/>
    <w:rsid w:val="00A44071"/>
    <w:rsid w:val="00A44281"/>
    <w:rsid w:val="00A44390"/>
    <w:rsid w:val="00A443F2"/>
    <w:rsid w:val="00A44568"/>
    <w:rsid w:val="00A44656"/>
    <w:rsid w:val="00A447B8"/>
    <w:rsid w:val="00A448EF"/>
    <w:rsid w:val="00A44946"/>
    <w:rsid w:val="00A44A68"/>
    <w:rsid w:val="00A44AA9"/>
    <w:rsid w:val="00A44AC9"/>
    <w:rsid w:val="00A44B03"/>
    <w:rsid w:val="00A44C41"/>
    <w:rsid w:val="00A44D4B"/>
    <w:rsid w:val="00A45039"/>
    <w:rsid w:val="00A45096"/>
    <w:rsid w:val="00A45097"/>
    <w:rsid w:val="00A451E2"/>
    <w:rsid w:val="00A451EC"/>
    <w:rsid w:val="00A452D0"/>
    <w:rsid w:val="00A4538C"/>
    <w:rsid w:val="00A4544A"/>
    <w:rsid w:val="00A4547C"/>
    <w:rsid w:val="00A454E0"/>
    <w:rsid w:val="00A45789"/>
    <w:rsid w:val="00A458E3"/>
    <w:rsid w:val="00A458FF"/>
    <w:rsid w:val="00A45A3D"/>
    <w:rsid w:val="00A45A4E"/>
    <w:rsid w:val="00A45A9B"/>
    <w:rsid w:val="00A45C56"/>
    <w:rsid w:val="00A45E51"/>
    <w:rsid w:val="00A45E52"/>
    <w:rsid w:val="00A45FA2"/>
    <w:rsid w:val="00A45FA5"/>
    <w:rsid w:val="00A4603B"/>
    <w:rsid w:val="00A4616A"/>
    <w:rsid w:val="00A46243"/>
    <w:rsid w:val="00A462A7"/>
    <w:rsid w:val="00A46438"/>
    <w:rsid w:val="00A464E8"/>
    <w:rsid w:val="00A46596"/>
    <w:rsid w:val="00A46626"/>
    <w:rsid w:val="00A466E2"/>
    <w:rsid w:val="00A467A9"/>
    <w:rsid w:val="00A4682F"/>
    <w:rsid w:val="00A4687D"/>
    <w:rsid w:val="00A46B11"/>
    <w:rsid w:val="00A46BAD"/>
    <w:rsid w:val="00A46DE4"/>
    <w:rsid w:val="00A47013"/>
    <w:rsid w:val="00A470CB"/>
    <w:rsid w:val="00A4761F"/>
    <w:rsid w:val="00A47653"/>
    <w:rsid w:val="00A47691"/>
    <w:rsid w:val="00A476D6"/>
    <w:rsid w:val="00A477F9"/>
    <w:rsid w:val="00A4786D"/>
    <w:rsid w:val="00A478AB"/>
    <w:rsid w:val="00A47B49"/>
    <w:rsid w:val="00A47CF7"/>
    <w:rsid w:val="00A47DE7"/>
    <w:rsid w:val="00A47E90"/>
    <w:rsid w:val="00A47EE8"/>
    <w:rsid w:val="00A47F1D"/>
    <w:rsid w:val="00A50147"/>
    <w:rsid w:val="00A5028B"/>
    <w:rsid w:val="00A50365"/>
    <w:rsid w:val="00A50490"/>
    <w:rsid w:val="00A505CF"/>
    <w:rsid w:val="00A508DA"/>
    <w:rsid w:val="00A50909"/>
    <w:rsid w:val="00A5095F"/>
    <w:rsid w:val="00A5098A"/>
    <w:rsid w:val="00A50B6E"/>
    <w:rsid w:val="00A50BFF"/>
    <w:rsid w:val="00A50C02"/>
    <w:rsid w:val="00A50F0E"/>
    <w:rsid w:val="00A50F22"/>
    <w:rsid w:val="00A5108A"/>
    <w:rsid w:val="00A512B6"/>
    <w:rsid w:val="00A512CC"/>
    <w:rsid w:val="00A512FE"/>
    <w:rsid w:val="00A51328"/>
    <w:rsid w:val="00A5135B"/>
    <w:rsid w:val="00A5148C"/>
    <w:rsid w:val="00A51549"/>
    <w:rsid w:val="00A51558"/>
    <w:rsid w:val="00A51615"/>
    <w:rsid w:val="00A5164B"/>
    <w:rsid w:val="00A5166D"/>
    <w:rsid w:val="00A51792"/>
    <w:rsid w:val="00A517FE"/>
    <w:rsid w:val="00A5194C"/>
    <w:rsid w:val="00A51961"/>
    <w:rsid w:val="00A51971"/>
    <w:rsid w:val="00A51BBE"/>
    <w:rsid w:val="00A51BEC"/>
    <w:rsid w:val="00A51C6E"/>
    <w:rsid w:val="00A51CDE"/>
    <w:rsid w:val="00A51DC7"/>
    <w:rsid w:val="00A51E2F"/>
    <w:rsid w:val="00A51F0E"/>
    <w:rsid w:val="00A51F15"/>
    <w:rsid w:val="00A51FF5"/>
    <w:rsid w:val="00A520BB"/>
    <w:rsid w:val="00A520CD"/>
    <w:rsid w:val="00A522E5"/>
    <w:rsid w:val="00A523DE"/>
    <w:rsid w:val="00A52423"/>
    <w:rsid w:val="00A524B7"/>
    <w:rsid w:val="00A524CE"/>
    <w:rsid w:val="00A5270D"/>
    <w:rsid w:val="00A52778"/>
    <w:rsid w:val="00A5282D"/>
    <w:rsid w:val="00A528D6"/>
    <w:rsid w:val="00A52A34"/>
    <w:rsid w:val="00A52AD8"/>
    <w:rsid w:val="00A52B09"/>
    <w:rsid w:val="00A52C9B"/>
    <w:rsid w:val="00A52D72"/>
    <w:rsid w:val="00A52DFB"/>
    <w:rsid w:val="00A52E30"/>
    <w:rsid w:val="00A52EC1"/>
    <w:rsid w:val="00A52F8E"/>
    <w:rsid w:val="00A52F8F"/>
    <w:rsid w:val="00A53159"/>
    <w:rsid w:val="00A531AD"/>
    <w:rsid w:val="00A53225"/>
    <w:rsid w:val="00A533A3"/>
    <w:rsid w:val="00A533E1"/>
    <w:rsid w:val="00A5343B"/>
    <w:rsid w:val="00A53494"/>
    <w:rsid w:val="00A5358D"/>
    <w:rsid w:val="00A53627"/>
    <w:rsid w:val="00A53642"/>
    <w:rsid w:val="00A53776"/>
    <w:rsid w:val="00A5379E"/>
    <w:rsid w:val="00A537BB"/>
    <w:rsid w:val="00A5387C"/>
    <w:rsid w:val="00A538EA"/>
    <w:rsid w:val="00A53A11"/>
    <w:rsid w:val="00A53B9F"/>
    <w:rsid w:val="00A53C05"/>
    <w:rsid w:val="00A53D30"/>
    <w:rsid w:val="00A53DAD"/>
    <w:rsid w:val="00A53EDF"/>
    <w:rsid w:val="00A53F50"/>
    <w:rsid w:val="00A5435A"/>
    <w:rsid w:val="00A54372"/>
    <w:rsid w:val="00A5438D"/>
    <w:rsid w:val="00A54540"/>
    <w:rsid w:val="00A54572"/>
    <w:rsid w:val="00A5457D"/>
    <w:rsid w:val="00A545F9"/>
    <w:rsid w:val="00A5461E"/>
    <w:rsid w:val="00A54976"/>
    <w:rsid w:val="00A5498B"/>
    <w:rsid w:val="00A549B4"/>
    <w:rsid w:val="00A54A4A"/>
    <w:rsid w:val="00A54ABF"/>
    <w:rsid w:val="00A54CFA"/>
    <w:rsid w:val="00A54D49"/>
    <w:rsid w:val="00A54E23"/>
    <w:rsid w:val="00A54EBC"/>
    <w:rsid w:val="00A54ECD"/>
    <w:rsid w:val="00A54F45"/>
    <w:rsid w:val="00A54FCB"/>
    <w:rsid w:val="00A5537C"/>
    <w:rsid w:val="00A55543"/>
    <w:rsid w:val="00A55584"/>
    <w:rsid w:val="00A5562F"/>
    <w:rsid w:val="00A55630"/>
    <w:rsid w:val="00A557BC"/>
    <w:rsid w:val="00A55BD4"/>
    <w:rsid w:val="00A55C14"/>
    <w:rsid w:val="00A55D2A"/>
    <w:rsid w:val="00A55D92"/>
    <w:rsid w:val="00A55DF0"/>
    <w:rsid w:val="00A55EA2"/>
    <w:rsid w:val="00A55EE1"/>
    <w:rsid w:val="00A56047"/>
    <w:rsid w:val="00A5605F"/>
    <w:rsid w:val="00A560C9"/>
    <w:rsid w:val="00A561C5"/>
    <w:rsid w:val="00A564B6"/>
    <w:rsid w:val="00A5657C"/>
    <w:rsid w:val="00A565CC"/>
    <w:rsid w:val="00A56610"/>
    <w:rsid w:val="00A5669A"/>
    <w:rsid w:val="00A566A5"/>
    <w:rsid w:val="00A566FE"/>
    <w:rsid w:val="00A567ED"/>
    <w:rsid w:val="00A569C3"/>
    <w:rsid w:val="00A56C44"/>
    <w:rsid w:val="00A56D69"/>
    <w:rsid w:val="00A56DA7"/>
    <w:rsid w:val="00A56E26"/>
    <w:rsid w:val="00A56E7A"/>
    <w:rsid w:val="00A56EDA"/>
    <w:rsid w:val="00A56EEA"/>
    <w:rsid w:val="00A56FA6"/>
    <w:rsid w:val="00A57171"/>
    <w:rsid w:val="00A5726C"/>
    <w:rsid w:val="00A57283"/>
    <w:rsid w:val="00A57392"/>
    <w:rsid w:val="00A57409"/>
    <w:rsid w:val="00A574A7"/>
    <w:rsid w:val="00A5762A"/>
    <w:rsid w:val="00A57661"/>
    <w:rsid w:val="00A57698"/>
    <w:rsid w:val="00A576E7"/>
    <w:rsid w:val="00A5781A"/>
    <w:rsid w:val="00A57868"/>
    <w:rsid w:val="00A57967"/>
    <w:rsid w:val="00A579A7"/>
    <w:rsid w:val="00A579DE"/>
    <w:rsid w:val="00A57A8D"/>
    <w:rsid w:val="00A57B45"/>
    <w:rsid w:val="00A57BDA"/>
    <w:rsid w:val="00A57BDD"/>
    <w:rsid w:val="00A57C5E"/>
    <w:rsid w:val="00A57C95"/>
    <w:rsid w:val="00A57CB1"/>
    <w:rsid w:val="00A57CF3"/>
    <w:rsid w:val="00A57D86"/>
    <w:rsid w:val="00A592BC"/>
    <w:rsid w:val="00A6019D"/>
    <w:rsid w:val="00A60294"/>
    <w:rsid w:val="00A602FA"/>
    <w:rsid w:val="00A603A9"/>
    <w:rsid w:val="00A6040C"/>
    <w:rsid w:val="00A60533"/>
    <w:rsid w:val="00A60621"/>
    <w:rsid w:val="00A606B0"/>
    <w:rsid w:val="00A6084B"/>
    <w:rsid w:val="00A6097D"/>
    <w:rsid w:val="00A609D4"/>
    <w:rsid w:val="00A60A43"/>
    <w:rsid w:val="00A60A7D"/>
    <w:rsid w:val="00A60AD4"/>
    <w:rsid w:val="00A60B14"/>
    <w:rsid w:val="00A60C45"/>
    <w:rsid w:val="00A60E06"/>
    <w:rsid w:val="00A60F17"/>
    <w:rsid w:val="00A61124"/>
    <w:rsid w:val="00A61160"/>
    <w:rsid w:val="00A61285"/>
    <w:rsid w:val="00A61327"/>
    <w:rsid w:val="00A6136F"/>
    <w:rsid w:val="00A6145E"/>
    <w:rsid w:val="00A6165E"/>
    <w:rsid w:val="00A616A3"/>
    <w:rsid w:val="00A617BB"/>
    <w:rsid w:val="00A617F2"/>
    <w:rsid w:val="00A617F7"/>
    <w:rsid w:val="00A618FB"/>
    <w:rsid w:val="00A61919"/>
    <w:rsid w:val="00A6195A"/>
    <w:rsid w:val="00A6197B"/>
    <w:rsid w:val="00A61A59"/>
    <w:rsid w:val="00A61AFA"/>
    <w:rsid w:val="00A61B1B"/>
    <w:rsid w:val="00A61B7E"/>
    <w:rsid w:val="00A61BBA"/>
    <w:rsid w:val="00A61EC5"/>
    <w:rsid w:val="00A61FD7"/>
    <w:rsid w:val="00A621E1"/>
    <w:rsid w:val="00A6222F"/>
    <w:rsid w:val="00A6224B"/>
    <w:rsid w:val="00A62276"/>
    <w:rsid w:val="00A622EA"/>
    <w:rsid w:val="00A6230B"/>
    <w:rsid w:val="00A6233D"/>
    <w:rsid w:val="00A623AE"/>
    <w:rsid w:val="00A623D1"/>
    <w:rsid w:val="00A62408"/>
    <w:rsid w:val="00A6245D"/>
    <w:rsid w:val="00A626D5"/>
    <w:rsid w:val="00A6272F"/>
    <w:rsid w:val="00A62751"/>
    <w:rsid w:val="00A62878"/>
    <w:rsid w:val="00A628DD"/>
    <w:rsid w:val="00A62929"/>
    <w:rsid w:val="00A629CB"/>
    <w:rsid w:val="00A62AC5"/>
    <w:rsid w:val="00A62B72"/>
    <w:rsid w:val="00A62D85"/>
    <w:rsid w:val="00A62E8F"/>
    <w:rsid w:val="00A62EE4"/>
    <w:rsid w:val="00A62EF7"/>
    <w:rsid w:val="00A63131"/>
    <w:rsid w:val="00A63132"/>
    <w:rsid w:val="00A632A0"/>
    <w:rsid w:val="00A6334B"/>
    <w:rsid w:val="00A6352F"/>
    <w:rsid w:val="00A637A7"/>
    <w:rsid w:val="00A63877"/>
    <w:rsid w:val="00A638AD"/>
    <w:rsid w:val="00A63B73"/>
    <w:rsid w:val="00A63CC8"/>
    <w:rsid w:val="00A63D0F"/>
    <w:rsid w:val="00A63DE3"/>
    <w:rsid w:val="00A63F42"/>
    <w:rsid w:val="00A64254"/>
    <w:rsid w:val="00A642CD"/>
    <w:rsid w:val="00A642E9"/>
    <w:rsid w:val="00A64529"/>
    <w:rsid w:val="00A6457B"/>
    <w:rsid w:val="00A645F0"/>
    <w:rsid w:val="00A64605"/>
    <w:rsid w:val="00A6462B"/>
    <w:rsid w:val="00A64658"/>
    <w:rsid w:val="00A64766"/>
    <w:rsid w:val="00A6478B"/>
    <w:rsid w:val="00A64A5B"/>
    <w:rsid w:val="00A64B91"/>
    <w:rsid w:val="00A64BF7"/>
    <w:rsid w:val="00A64CCA"/>
    <w:rsid w:val="00A64D83"/>
    <w:rsid w:val="00A64F2A"/>
    <w:rsid w:val="00A65059"/>
    <w:rsid w:val="00A651DE"/>
    <w:rsid w:val="00A651F3"/>
    <w:rsid w:val="00A65250"/>
    <w:rsid w:val="00A65292"/>
    <w:rsid w:val="00A65334"/>
    <w:rsid w:val="00A65347"/>
    <w:rsid w:val="00A653DB"/>
    <w:rsid w:val="00A65498"/>
    <w:rsid w:val="00A65632"/>
    <w:rsid w:val="00A6587E"/>
    <w:rsid w:val="00A65886"/>
    <w:rsid w:val="00A65AFA"/>
    <w:rsid w:val="00A65B13"/>
    <w:rsid w:val="00A65B9B"/>
    <w:rsid w:val="00A660C1"/>
    <w:rsid w:val="00A660FE"/>
    <w:rsid w:val="00A66246"/>
    <w:rsid w:val="00A66286"/>
    <w:rsid w:val="00A663D0"/>
    <w:rsid w:val="00A664C5"/>
    <w:rsid w:val="00A66528"/>
    <w:rsid w:val="00A665B1"/>
    <w:rsid w:val="00A665D3"/>
    <w:rsid w:val="00A66774"/>
    <w:rsid w:val="00A667BF"/>
    <w:rsid w:val="00A6683F"/>
    <w:rsid w:val="00A6694F"/>
    <w:rsid w:val="00A6695F"/>
    <w:rsid w:val="00A66A09"/>
    <w:rsid w:val="00A66AA7"/>
    <w:rsid w:val="00A66B3C"/>
    <w:rsid w:val="00A66BE8"/>
    <w:rsid w:val="00A66DE8"/>
    <w:rsid w:val="00A66DEB"/>
    <w:rsid w:val="00A66E0D"/>
    <w:rsid w:val="00A670C7"/>
    <w:rsid w:val="00A670DC"/>
    <w:rsid w:val="00A67310"/>
    <w:rsid w:val="00A67460"/>
    <w:rsid w:val="00A6747D"/>
    <w:rsid w:val="00A67702"/>
    <w:rsid w:val="00A67742"/>
    <w:rsid w:val="00A677BA"/>
    <w:rsid w:val="00A6790C"/>
    <w:rsid w:val="00A679ED"/>
    <w:rsid w:val="00A67D65"/>
    <w:rsid w:val="00A67FAC"/>
    <w:rsid w:val="00A67FF5"/>
    <w:rsid w:val="00A700B0"/>
    <w:rsid w:val="00A7010B"/>
    <w:rsid w:val="00A70128"/>
    <w:rsid w:val="00A7018A"/>
    <w:rsid w:val="00A70271"/>
    <w:rsid w:val="00A702BC"/>
    <w:rsid w:val="00A702F9"/>
    <w:rsid w:val="00A70350"/>
    <w:rsid w:val="00A70393"/>
    <w:rsid w:val="00A703F8"/>
    <w:rsid w:val="00A705DC"/>
    <w:rsid w:val="00A706E3"/>
    <w:rsid w:val="00A706E7"/>
    <w:rsid w:val="00A706EE"/>
    <w:rsid w:val="00A707F9"/>
    <w:rsid w:val="00A70816"/>
    <w:rsid w:val="00A70827"/>
    <w:rsid w:val="00A70B31"/>
    <w:rsid w:val="00A70C6B"/>
    <w:rsid w:val="00A70CF0"/>
    <w:rsid w:val="00A70D7A"/>
    <w:rsid w:val="00A70DE1"/>
    <w:rsid w:val="00A7106E"/>
    <w:rsid w:val="00A7117D"/>
    <w:rsid w:val="00A71355"/>
    <w:rsid w:val="00A71432"/>
    <w:rsid w:val="00A71518"/>
    <w:rsid w:val="00A7159A"/>
    <w:rsid w:val="00A716E2"/>
    <w:rsid w:val="00A7188A"/>
    <w:rsid w:val="00A7197E"/>
    <w:rsid w:val="00A719BC"/>
    <w:rsid w:val="00A71A9B"/>
    <w:rsid w:val="00A71B4D"/>
    <w:rsid w:val="00A71C3C"/>
    <w:rsid w:val="00A71CA5"/>
    <w:rsid w:val="00A71F39"/>
    <w:rsid w:val="00A71F8E"/>
    <w:rsid w:val="00A71FCC"/>
    <w:rsid w:val="00A72120"/>
    <w:rsid w:val="00A721CD"/>
    <w:rsid w:val="00A72262"/>
    <w:rsid w:val="00A7239B"/>
    <w:rsid w:val="00A72403"/>
    <w:rsid w:val="00A7280F"/>
    <w:rsid w:val="00A72840"/>
    <w:rsid w:val="00A728D1"/>
    <w:rsid w:val="00A728D6"/>
    <w:rsid w:val="00A728E6"/>
    <w:rsid w:val="00A72AC7"/>
    <w:rsid w:val="00A72C38"/>
    <w:rsid w:val="00A72C52"/>
    <w:rsid w:val="00A72CC2"/>
    <w:rsid w:val="00A72DCB"/>
    <w:rsid w:val="00A730CF"/>
    <w:rsid w:val="00A73103"/>
    <w:rsid w:val="00A73126"/>
    <w:rsid w:val="00A73130"/>
    <w:rsid w:val="00A73144"/>
    <w:rsid w:val="00A732B5"/>
    <w:rsid w:val="00A7336D"/>
    <w:rsid w:val="00A734C1"/>
    <w:rsid w:val="00A7358B"/>
    <w:rsid w:val="00A735AF"/>
    <w:rsid w:val="00A73743"/>
    <w:rsid w:val="00A737E6"/>
    <w:rsid w:val="00A73948"/>
    <w:rsid w:val="00A739AC"/>
    <w:rsid w:val="00A73BB4"/>
    <w:rsid w:val="00A73C92"/>
    <w:rsid w:val="00A73E4A"/>
    <w:rsid w:val="00A73EC5"/>
    <w:rsid w:val="00A73F91"/>
    <w:rsid w:val="00A74073"/>
    <w:rsid w:val="00A74096"/>
    <w:rsid w:val="00A74128"/>
    <w:rsid w:val="00A74154"/>
    <w:rsid w:val="00A743B3"/>
    <w:rsid w:val="00A743F2"/>
    <w:rsid w:val="00A74488"/>
    <w:rsid w:val="00A7457F"/>
    <w:rsid w:val="00A745A1"/>
    <w:rsid w:val="00A74626"/>
    <w:rsid w:val="00A746E4"/>
    <w:rsid w:val="00A749D3"/>
    <w:rsid w:val="00A74ACD"/>
    <w:rsid w:val="00A74B66"/>
    <w:rsid w:val="00A74B83"/>
    <w:rsid w:val="00A74C6A"/>
    <w:rsid w:val="00A74CD7"/>
    <w:rsid w:val="00A74D3D"/>
    <w:rsid w:val="00A74D57"/>
    <w:rsid w:val="00A74D63"/>
    <w:rsid w:val="00A74DF6"/>
    <w:rsid w:val="00A74EB8"/>
    <w:rsid w:val="00A74F36"/>
    <w:rsid w:val="00A7504E"/>
    <w:rsid w:val="00A75253"/>
    <w:rsid w:val="00A75381"/>
    <w:rsid w:val="00A75432"/>
    <w:rsid w:val="00A75456"/>
    <w:rsid w:val="00A754E7"/>
    <w:rsid w:val="00A7560D"/>
    <w:rsid w:val="00A75612"/>
    <w:rsid w:val="00A7577D"/>
    <w:rsid w:val="00A7583B"/>
    <w:rsid w:val="00A75847"/>
    <w:rsid w:val="00A75BA3"/>
    <w:rsid w:val="00A75CBF"/>
    <w:rsid w:val="00A75E8E"/>
    <w:rsid w:val="00A76051"/>
    <w:rsid w:val="00A7606B"/>
    <w:rsid w:val="00A76175"/>
    <w:rsid w:val="00A7635C"/>
    <w:rsid w:val="00A763C1"/>
    <w:rsid w:val="00A7655E"/>
    <w:rsid w:val="00A766C4"/>
    <w:rsid w:val="00A76805"/>
    <w:rsid w:val="00A76926"/>
    <w:rsid w:val="00A769A3"/>
    <w:rsid w:val="00A769BA"/>
    <w:rsid w:val="00A76B54"/>
    <w:rsid w:val="00A76E5A"/>
    <w:rsid w:val="00A76EFD"/>
    <w:rsid w:val="00A76FC6"/>
    <w:rsid w:val="00A77067"/>
    <w:rsid w:val="00A77494"/>
    <w:rsid w:val="00A77510"/>
    <w:rsid w:val="00A77524"/>
    <w:rsid w:val="00A7757C"/>
    <w:rsid w:val="00A7767A"/>
    <w:rsid w:val="00A776C9"/>
    <w:rsid w:val="00A776CF"/>
    <w:rsid w:val="00A77746"/>
    <w:rsid w:val="00A77848"/>
    <w:rsid w:val="00A7785C"/>
    <w:rsid w:val="00A77A5F"/>
    <w:rsid w:val="00A77A72"/>
    <w:rsid w:val="00A77ACA"/>
    <w:rsid w:val="00A77CBB"/>
    <w:rsid w:val="00A77E80"/>
    <w:rsid w:val="00A77F56"/>
    <w:rsid w:val="00A77FC6"/>
    <w:rsid w:val="00A77FDB"/>
    <w:rsid w:val="00A8022B"/>
    <w:rsid w:val="00A80230"/>
    <w:rsid w:val="00A804FA"/>
    <w:rsid w:val="00A8059D"/>
    <w:rsid w:val="00A80632"/>
    <w:rsid w:val="00A8067E"/>
    <w:rsid w:val="00A80682"/>
    <w:rsid w:val="00A806BF"/>
    <w:rsid w:val="00A807A0"/>
    <w:rsid w:val="00A809C1"/>
    <w:rsid w:val="00A80A4A"/>
    <w:rsid w:val="00A80A53"/>
    <w:rsid w:val="00A80AEE"/>
    <w:rsid w:val="00A80AFB"/>
    <w:rsid w:val="00A80B28"/>
    <w:rsid w:val="00A80D02"/>
    <w:rsid w:val="00A80D89"/>
    <w:rsid w:val="00A80DBA"/>
    <w:rsid w:val="00A80FDE"/>
    <w:rsid w:val="00A80FFC"/>
    <w:rsid w:val="00A8103F"/>
    <w:rsid w:val="00A81049"/>
    <w:rsid w:val="00A81072"/>
    <w:rsid w:val="00A81107"/>
    <w:rsid w:val="00A81149"/>
    <w:rsid w:val="00A81350"/>
    <w:rsid w:val="00A81489"/>
    <w:rsid w:val="00A815FD"/>
    <w:rsid w:val="00A81676"/>
    <w:rsid w:val="00A816E5"/>
    <w:rsid w:val="00A817CC"/>
    <w:rsid w:val="00A81863"/>
    <w:rsid w:val="00A81973"/>
    <w:rsid w:val="00A81988"/>
    <w:rsid w:val="00A81B22"/>
    <w:rsid w:val="00A81BA1"/>
    <w:rsid w:val="00A81CA0"/>
    <w:rsid w:val="00A81CB7"/>
    <w:rsid w:val="00A81CF3"/>
    <w:rsid w:val="00A81DAB"/>
    <w:rsid w:val="00A81EE5"/>
    <w:rsid w:val="00A81F02"/>
    <w:rsid w:val="00A81FD8"/>
    <w:rsid w:val="00A82027"/>
    <w:rsid w:val="00A82062"/>
    <w:rsid w:val="00A8213A"/>
    <w:rsid w:val="00A82144"/>
    <w:rsid w:val="00A82163"/>
    <w:rsid w:val="00A821E8"/>
    <w:rsid w:val="00A822E6"/>
    <w:rsid w:val="00A8231D"/>
    <w:rsid w:val="00A824BC"/>
    <w:rsid w:val="00A825AA"/>
    <w:rsid w:val="00A826C0"/>
    <w:rsid w:val="00A826EC"/>
    <w:rsid w:val="00A82879"/>
    <w:rsid w:val="00A829D7"/>
    <w:rsid w:val="00A82AA1"/>
    <w:rsid w:val="00A82AFF"/>
    <w:rsid w:val="00A82B04"/>
    <w:rsid w:val="00A82B29"/>
    <w:rsid w:val="00A82BFF"/>
    <w:rsid w:val="00A82C3F"/>
    <w:rsid w:val="00A82D3C"/>
    <w:rsid w:val="00A82D9F"/>
    <w:rsid w:val="00A82E87"/>
    <w:rsid w:val="00A82EF7"/>
    <w:rsid w:val="00A82F48"/>
    <w:rsid w:val="00A830A9"/>
    <w:rsid w:val="00A8321B"/>
    <w:rsid w:val="00A83319"/>
    <w:rsid w:val="00A833B8"/>
    <w:rsid w:val="00A83463"/>
    <w:rsid w:val="00A83567"/>
    <w:rsid w:val="00A835B5"/>
    <w:rsid w:val="00A83617"/>
    <w:rsid w:val="00A83868"/>
    <w:rsid w:val="00A8388B"/>
    <w:rsid w:val="00A838EE"/>
    <w:rsid w:val="00A83A06"/>
    <w:rsid w:val="00A83C7D"/>
    <w:rsid w:val="00A83CB5"/>
    <w:rsid w:val="00A83DD2"/>
    <w:rsid w:val="00A83F20"/>
    <w:rsid w:val="00A840C5"/>
    <w:rsid w:val="00A841BE"/>
    <w:rsid w:val="00A84240"/>
    <w:rsid w:val="00A842D5"/>
    <w:rsid w:val="00A842E0"/>
    <w:rsid w:val="00A84368"/>
    <w:rsid w:val="00A84419"/>
    <w:rsid w:val="00A844D8"/>
    <w:rsid w:val="00A847DE"/>
    <w:rsid w:val="00A847F9"/>
    <w:rsid w:val="00A8482F"/>
    <w:rsid w:val="00A84971"/>
    <w:rsid w:val="00A8497A"/>
    <w:rsid w:val="00A84A76"/>
    <w:rsid w:val="00A84BBC"/>
    <w:rsid w:val="00A84BE7"/>
    <w:rsid w:val="00A84D1E"/>
    <w:rsid w:val="00A84D2A"/>
    <w:rsid w:val="00A84D55"/>
    <w:rsid w:val="00A84DCB"/>
    <w:rsid w:val="00A84E44"/>
    <w:rsid w:val="00A84E5D"/>
    <w:rsid w:val="00A84F16"/>
    <w:rsid w:val="00A84F1D"/>
    <w:rsid w:val="00A850F0"/>
    <w:rsid w:val="00A85112"/>
    <w:rsid w:val="00A85114"/>
    <w:rsid w:val="00A85209"/>
    <w:rsid w:val="00A85505"/>
    <w:rsid w:val="00A85569"/>
    <w:rsid w:val="00A855EA"/>
    <w:rsid w:val="00A855F0"/>
    <w:rsid w:val="00A85634"/>
    <w:rsid w:val="00A856D6"/>
    <w:rsid w:val="00A85754"/>
    <w:rsid w:val="00A85820"/>
    <w:rsid w:val="00A8584E"/>
    <w:rsid w:val="00A858DF"/>
    <w:rsid w:val="00A858F4"/>
    <w:rsid w:val="00A8590F"/>
    <w:rsid w:val="00A8592C"/>
    <w:rsid w:val="00A85A2D"/>
    <w:rsid w:val="00A85A37"/>
    <w:rsid w:val="00A85A58"/>
    <w:rsid w:val="00A85B30"/>
    <w:rsid w:val="00A85B88"/>
    <w:rsid w:val="00A85BA9"/>
    <w:rsid w:val="00A85D39"/>
    <w:rsid w:val="00A85E04"/>
    <w:rsid w:val="00A85EB9"/>
    <w:rsid w:val="00A85F01"/>
    <w:rsid w:val="00A86088"/>
    <w:rsid w:val="00A8626B"/>
    <w:rsid w:val="00A86365"/>
    <w:rsid w:val="00A863BA"/>
    <w:rsid w:val="00A863FA"/>
    <w:rsid w:val="00A8642F"/>
    <w:rsid w:val="00A86438"/>
    <w:rsid w:val="00A8645C"/>
    <w:rsid w:val="00A865FA"/>
    <w:rsid w:val="00A8665D"/>
    <w:rsid w:val="00A866E3"/>
    <w:rsid w:val="00A86727"/>
    <w:rsid w:val="00A86873"/>
    <w:rsid w:val="00A86A92"/>
    <w:rsid w:val="00A86B21"/>
    <w:rsid w:val="00A86E2A"/>
    <w:rsid w:val="00A87238"/>
    <w:rsid w:val="00A87276"/>
    <w:rsid w:val="00A87293"/>
    <w:rsid w:val="00A87430"/>
    <w:rsid w:val="00A87532"/>
    <w:rsid w:val="00A87591"/>
    <w:rsid w:val="00A875F1"/>
    <w:rsid w:val="00A875FB"/>
    <w:rsid w:val="00A87689"/>
    <w:rsid w:val="00A878AC"/>
    <w:rsid w:val="00A87C69"/>
    <w:rsid w:val="00A87CDF"/>
    <w:rsid w:val="00A87CEC"/>
    <w:rsid w:val="00A9008D"/>
    <w:rsid w:val="00A900A0"/>
    <w:rsid w:val="00A90498"/>
    <w:rsid w:val="00A905DD"/>
    <w:rsid w:val="00A907A9"/>
    <w:rsid w:val="00A90815"/>
    <w:rsid w:val="00A90A36"/>
    <w:rsid w:val="00A90C5D"/>
    <w:rsid w:val="00A90D46"/>
    <w:rsid w:val="00A90D71"/>
    <w:rsid w:val="00A90F23"/>
    <w:rsid w:val="00A91128"/>
    <w:rsid w:val="00A91206"/>
    <w:rsid w:val="00A91443"/>
    <w:rsid w:val="00A915B8"/>
    <w:rsid w:val="00A915BF"/>
    <w:rsid w:val="00A9161B"/>
    <w:rsid w:val="00A916D9"/>
    <w:rsid w:val="00A917F1"/>
    <w:rsid w:val="00A9184B"/>
    <w:rsid w:val="00A91889"/>
    <w:rsid w:val="00A91936"/>
    <w:rsid w:val="00A919A7"/>
    <w:rsid w:val="00A91B1D"/>
    <w:rsid w:val="00A91B9A"/>
    <w:rsid w:val="00A91E01"/>
    <w:rsid w:val="00A91F36"/>
    <w:rsid w:val="00A92094"/>
    <w:rsid w:val="00A9210C"/>
    <w:rsid w:val="00A92245"/>
    <w:rsid w:val="00A9229E"/>
    <w:rsid w:val="00A9238B"/>
    <w:rsid w:val="00A923F6"/>
    <w:rsid w:val="00A92556"/>
    <w:rsid w:val="00A92682"/>
    <w:rsid w:val="00A9269C"/>
    <w:rsid w:val="00A9276A"/>
    <w:rsid w:val="00A927ED"/>
    <w:rsid w:val="00A92848"/>
    <w:rsid w:val="00A9294B"/>
    <w:rsid w:val="00A92C13"/>
    <w:rsid w:val="00A92C34"/>
    <w:rsid w:val="00A92F15"/>
    <w:rsid w:val="00A92FC2"/>
    <w:rsid w:val="00A9305B"/>
    <w:rsid w:val="00A93064"/>
    <w:rsid w:val="00A93115"/>
    <w:rsid w:val="00A93428"/>
    <w:rsid w:val="00A93504"/>
    <w:rsid w:val="00A93572"/>
    <w:rsid w:val="00A936CE"/>
    <w:rsid w:val="00A9376E"/>
    <w:rsid w:val="00A937E4"/>
    <w:rsid w:val="00A937EC"/>
    <w:rsid w:val="00A938C7"/>
    <w:rsid w:val="00A939FD"/>
    <w:rsid w:val="00A93A11"/>
    <w:rsid w:val="00A93AA3"/>
    <w:rsid w:val="00A93BEF"/>
    <w:rsid w:val="00A93E23"/>
    <w:rsid w:val="00A93F2A"/>
    <w:rsid w:val="00A93F76"/>
    <w:rsid w:val="00A94381"/>
    <w:rsid w:val="00A946A3"/>
    <w:rsid w:val="00A9479E"/>
    <w:rsid w:val="00A94835"/>
    <w:rsid w:val="00A9489B"/>
    <w:rsid w:val="00A948C0"/>
    <w:rsid w:val="00A94BDA"/>
    <w:rsid w:val="00A94C07"/>
    <w:rsid w:val="00A94D5D"/>
    <w:rsid w:val="00A94F1F"/>
    <w:rsid w:val="00A94F6D"/>
    <w:rsid w:val="00A94FF1"/>
    <w:rsid w:val="00A9512E"/>
    <w:rsid w:val="00A951A1"/>
    <w:rsid w:val="00A95370"/>
    <w:rsid w:val="00A953A1"/>
    <w:rsid w:val="00A954DB"/>
    <w:rsid w:val="00A95525"/>
    <w:rsid w:val="00A955B2"/>
    <w:rsid w:val="00A955D6"/>
    <w:rsid w:val="00A956B3"/>
    <w:rsid w:val="00A9578E"/>
    <w:rsid w:val="00A957E8"/>
    <w:rsid w:val="00A95821"/>
    <w:rsid w:val="00A9590C"/>
    <w:rsid w:val="00A95928"/>
    <w:rsid w:val="00A959B5"/>
    <w:rsid w:val="00A95AEA"/>
    <w:rsid w:val="00A95B2D"/>
    <w:rsid w:val="00A95C17"/>
    <w:rsid w:val="00A95C3B"/>
    <w:rsid w:val="00A95DD8"/>
    <w:rsid w:val="00A95FA9"/>
    <w:rsid w:val="00A95FB6"/>
    <w:rsid w:val="00A96003"/>
    <w:rsid w:val="00A96034"/>
    <w:rsid w:val="00A9614E"/>
    <w:rsid w:val="00A961F0"/>
    <w:rsid w:val="00A9650B"/>
    <w:rsid w:val="00A965E6"/>
    <w:rsid w:val="00A966DB"/>
    <w:rsid w:val="00A9672B"/>
    <w:rsid w:val="00A96807"/>
    <w:rsid w:val="00A968A5"/>
    <w:rsid w:val="00A9692F"/>
    <w:rsid w:val="00A96AD7"/>
    <w:rsid w:val="00A96C19"/>
    <w:rsid w:val="00A96C99"/>
    <w:rsid w:val="00A96CC5"/>
    <w:rsid w:val="00A96EFC"/>
    <w:rsid w:val="00A96F45"/>
    <w:rsid w:val="00A96F7C"/>
    <w:rsid w:val="00A96FC8"/>
    <w:rsid w:val="00A970B0"/>
    <w:rsid w:val="00A9714C"/>
    <w:rsid w:val="00A97155"/>
    <w:rsid w:val="00A9719C"/>
    <w:rsid w:val="00A971E4"/>
    <w:rsid w:val="00A972C2"/>
    <w:rsid w:val="00A973B4"/>
    <w:rsid w:val="00A97497"/>
    <w:rsid w:val="00A975B2"/>
    <w:rsid w:val="00A97632"/>
    <w:rsid w:val="00A9765A"/>
    <w:rsid w:val="00A97739"/>
    <w:rsid w:val="00A9794C"/>
    <w:rsid w:val="00A979C5"/>
    <w:rsid w:val="00A97A67"/>
    <w:rsid w:val="00A97B6F"/>
    <w:rsid w:val="00A97CC9"/>
    <w:rsid w:val="00AA0169"/>
    <w:rsid w:val="00AA0184"/>
    <w:rsid w:val="00AA046B"/>
    <w:rsid w:val="00AA0631"/>
    <w:rsid w:val="00AA0836"/>
    <w:rsid w:val="00AA093C"/>
    <w:rsid w:val="00AA0AA9"/>
    <w:rsid w:val="00AA0AF0"/>
    <w:rsid w:val="00AA0B20"/>
    <w:rsid w:val="00AA0B4F"/>
    <w:rsid w:val="00AA0BCF"/>
    <w:rsid w:val="00AA1039"/>
    <w:rsid w:val="00AA116D"/>
    <w:rsid w:val="00AA12DC"/>
    <w:rsid w:val="00AA130B"/>
    <w:rsid w:val="00AA14B8"/>
    <w:rsid w:val="00AA152B"/>
    <w:rsid w:val="00AA1847"/>
    <w:rsid w:val="00AA184A"/>
    <w:rsid w:val="00AA18A5"/>
    <w:rsid w:val="00AA18B1"/>
    <w:rsid w:val="00AA18EF"/>
    <w:rsid w:val="00AA19E5"/>
    <w:rsid w:val="00AA1A66"/>
    <w:rsid w:val="00AA1A6B"/>
    <w:rsid w:val="00AA1C33"/>
    <w:rsid w:val="00AA1D4F"/>
    <w:rsid w:val="00AA1DC1"/>
    <w:rsid w:val="00AA2020"/>
    <w:rsid w:val="00AA2113"/>
    <w:rsid w:val="00AA22EF"/>
    <w:rsid w:val="00AA23AA"/>
    <w:rsid w:val="00AA2599"/>
    <w:rsid w:val="00AA261C"/>
    <w:rsid w:val="00AA26CF"/>
    <w:rsid w:val="00AA2781"/>
    <w:rsid w:val="00AA2923"/>
    <w:rsid w:val="00AA2A28"/>
    <w:rsid w:val="00AA2B5B"/>
    <w:rsid w:val="00AA2CC1"/>
    <w:rsid w:val="00AA2D64"/>
    <w:rsid w:val="00AA2DA7"/>
    <w:rsid w:val="00AA2F27"/>
    <w:rsid w:val="00AA2F7F"/>
    <w:rsid w:val="00AA3130"/>
    <w:rsid w:val="00AA3367"/>
    <w:rsid w:val="00AA34AF"/>
    <w:rsid w:val="00AA3603"/>
    <w:rsid w:val="00AA36C4"/>
    <w:rsid w:val="00AA3759"/>
    <w:rsid w:val="00AA3821"/>
    <w:rsid w:val="00AA382F"/>
    <w:rsid w:val="00AA39E0"/>
    <w:rsid w:val="00AA3A17"/>
    <w:rsid w:val="00AA3AD3"/>
    <w:rsid w:val="00AA3C77"/>
    <w:rsid w:val="00AA3C88"/>
    <w:rsid w:val="00AA3D5E"/>
    <w:rsid w:val="00AA3E7A"/>
    <w:rsid w:val="00AA3E88"/>
    <w:rsid w:val="00AA3FFA"/>
    <w:rsid w:val="00AA41CA"/>
    <w:rsid w:val="00AA423A"/>
    <w:rsid w:val="00AA426B"/>
    <w:rsid w:val="00AA42F3"/>
    <w:rsid w:val="00AA43A6"/>
    <w:rsid w:val="00AA4589"/>
    <w:rsid w:val="00AA45FB"/>
    <w:rsid w:val="00AA4739"/>
    <w:rsid w:val="00AA485E"/>
    <w:rsid w:val="00AA4C1F"/>
    <w:rsid w:val="00AA5070"/>
    <w:rsid w:val="00AA51D4"/>
    <w:rsid w:val="00AA52A7"/>
    <w:rsid w:val="00AA5394"/>
    <w:rsid w:val="00AA5400"/>
    <w:rsid w:val="00AA5457"/>
    <w:rsid w:val="00AA597C"/>
    <w:rsid w:val="00AA5AE4"/>
    <w:rsid w:val="00AA5BA5"/>
    <w:rsid w:val="00AA5BB3"/>
    <w:rsid w:val="00AA5DD8"/>
    <w:rsid w:val="00AA5E29"/>
    <w:rsid w:val="00AA60EA"/>
    <w:rsid w:val="00AA632F"/>
    <w:rsid w:val="00AA64E9"/>
    <w:rsid w:val="00AA6576"/>
    <w:rsid w:val="00AA65D5"/>
    <w:rsid w:val="00AA65EE"/>
    <w:rsid w:val="00AA664C"/>
    <w:rsid w:val="00AA6716"/>
    <w:rsid w:val="00AA6779"/>
    <w:rsid w:val="00AA6851"/>
    <w:rsid w:val="00AA687F"/>
    <w:rsid w:val="00AA6A5D"/>
    <w:rsid w:val="00AA6AA0"/>
    <w:rsid w:val="00AA6C73"/>
    <w:rsid w:val="00AA6D52"/>
    <w:rsid w:val="00AA6D5E"/>
    <w:rsid w:val="00AA6D92"/>
    <w:rsid w:val="00AA6E04"/>
    <w:rsid w:val="00AA6E88"/>
    <w:rsid w:val="00AA6EFA"/>
    <w:rsid w:val="00AA6F85"/>
    <w:rsid w:val="00AA701B"/>
    <w:rsid w:val="00AA7192"/>
    <w:rsid w:val="00AA7302"/>
    <w:rsid w:val="00AA7349"/>
    <w:rsid w:val="00AA73CC"/>
    <w:rsid w:val="00AA740F"/>
    <w:rsid w:val="00AA7435"/>
    <w:rsid w:val="00AA756C"/>
    <w:rsid w:val="00AA756D"/>
    <w:rsid w:val="00AA7813"/>
    <w:rsid w:val="00AA7B9A"/>
    <w:rsid w:val="00AA7C9D"/>
    <w:rsid w:val="00AA7E10"/>
    <w:rsid w:val="00AA7EB8"/>
    <w:rsid w:val="00AA7F9A"/>
    <w:rsid w:val="00AA7FF6"/>
    <w:rsid w:val="00AB008C"/>
    <w:rsid w:val="00AB00AA"/>
    <w:rsid w:val="00AB030B"/>
    <w:rsid w:val="00AB0354"/>
    <w:rsid w:val="00AB039D"/>
    <w:rsid w:val="00AB0416"/>
    <w:rsid w:val="00AB041E"/>
    <w:rsid w:val="00AB0740"/>
    <w:rsid w:val="00AB0782"/>
    <w:rsid w:val="00AB086F"/>
    <w:rsid w:val="00AB09D1"/>
    <w:rsid w:val="00AB09D9"/>
    <w:rsid w:val="00AB0C85"/>
    <w:rsid w:val="00AB0DAC"/>
    <w:rsid w:val="00AB0DAE"/>
    <w:rsid w:val="00AB0F50"/>
    <w:rsid w:val="00AB0F5B"/>
    <w:rsid w:val="00AB0FE0"/>
    <w:rsid w:val="00AB1006"/>
    <w:rsid w:val="00AB1171"/>
    <w:rsid w:val="00AB1391"/>
    <w:rsid w:val="00AB14FE"/>
    <w:rsid w:val="00AB1512"/>
    <w:rsid w:val="00AB164F"/>
    <w:rsid w:val="00AB1664"/>
    <w:rsid w:val="00AB1679"/>
    <w:rsid w:val="00AB16BF"/>
    <w:rsid w:val="00AB187D"/>
    <w:rsid w:val="00AB19A1"/>
    <w:rsid w:val="00AB1A20"/>
    <w:rsid w:val="00AB1AB0"/>
    <w:rsid w:val="00AB1AE8"/>
    <w:rsid w:val="00AB1B49"/>
    <w:rsid w:val="00AB1C0F"/>
    <w:rsid w:val="00AB1CC1"/>
    <w:rsid w:val="00AB1CCD"/>
    <w:rsid w:val="00AB1D2C"/>
    <w:rsid w:val="00AB1D9C"/>
    <w:rsid w:val="00AB1E24"/>
    <w:rsid w:val="00AB1FA9"/>
    <w:rsid w:val="00AB1FCC"/>
    <w:rsid w:val="00AB1FCE"/>
    <w:rsid w:val="00AB2528"/>
    <w:rsid w:val="00AB2562"/>
    <w:rsid w:val="00AB266B"/>
    <w:rsid w:val="00AB2846"/>
    <w:rsid w:val="00AB285C"/>
    <w:rsid w:val="00AB28F4"/>
    <w:rsid w:val="00AB2A3A"/>
    <w:rsid w:val="00AB2AEA"/>
    <w:rsid w:val="00AB2D59"/>
    <w:rsid w:val="00AB2DFC"/>
    <w:rsid w:val="00AB2E67"/>
    <w:rsid w:val="00AB2EE9"/>
    <w:rsid w:val="00AB2F40"/>
    <w:rsid w:val="00AB2FEB"/>
    <w:rsid w:val="00AB3072"/>
    <w:rsid w:val="00AB3372"/>
    <w:rsid w:val="00AB3528"/>
    <w:rsid w:val="00AB357F"/>
    <w:rsid w:val="00AB36ED"/>
    <w:rsid w:val="00AB384B"/>
    <w:rsid w:val="00AB3948"/>
    <w:rsid w:val="00AB3B41"/>
    <w:rsid w:val="00AB3C35"/>
    <w:rsid w:val="00AB3E00"/>
    <w:rsid w:val="00AB3EED"/>
    <w:rsid w:val="00AB40D7"/>
    <w:rsid w:val="00AB40FE"/>
    <w:rsid w:val="00AB459F"/>
    <w:rsid w:val="00AB45F7"/>
    <w:rsid w:val="00AB462A"/>
    <w:rsid w:val="00AB4771"/>
    <w:rsid w:val="00AB47AB"/>
    <w:rsid w:val="00AB4920"/>
    <w:rsid w:val="00AB4972"/>
    <w:rsid w:val="00AB4984"/>
    <w:rsid w:val="00AB4AD8"/>
    <w:rsid w:val="00AB4B86"/>
    <w:rsid w:val="00AB4C83"/>
    <w:rsid w:val="00AB4D3E"/>
    <w:rsid w:val="00AB4D82"/>
    <w:rsid w:val="00AB4DAB"/>
    <w:rsid w:val="00AB4E99"/>
    <w:rsid w:val="00AB4EC8"/>
    <w:rsid w:val="00AB4F86"/>
    <w:rsid w:val="00AB5150"/>
    <w:rsid w:val="00AB52CE"/>
    <w:rsid w:val="00AB53B6"/>
    <w:rsid w:val="00AB53DD"/>
    <w:rsid w:val="00AB5446"/>
    <w:rsid w:val="00AB55FC"/>
    <w:rsid w:val="00AB565F"/>
    <w:rsid w:val="00AB5674"/>
    <w:rsid w:val="00AB5680"/>
    <w:rsid w:val="00AB569B"/>
    <w:rsid w:val="00AB579D"/>
    <w:rsid w:val="00AB57DB"/>
    <w:rsid w:val="00AB57E0"/>
    <w:rsid w:val="00AB589D"/>
    <w:rsid w:val="00AB58AB"/>
    <w:rsid w:val="00AB5ABC"/>
    <w:rsid w:val="00AB5D34"/>
    <w:rsid w:val="00AB6138"/>
    <w:rsid w:val="00AB61AE"/>
    <w:rsid w:val="00AB61C8"/>
    <w:rsid w:val="00AB6364"/>
    <w:rsid w:val="00AB63DE"/>
    <w:rsid w:val="00AB6400"/>
    <w:rsid w:val="00AB668B"/>
    <w:rsid w:val="00AB681F"/>
    <w:rsid w:val="00AB682A"/>
    <w:rsid w:val="00AB6876"/>
    <w:rsid w:val="00AB69D4"/>
    <w:rsid w:val="00AB6A28"/>
    <w:rsid w:val="00AB6AFD"/>
    <w:rsid w:val="00AB6C18"/>
    <w:rsid w:val="00AB6C5B"/>
    <w:rsid w:val="00AB6C99"/>
    <w:rsid w:val="00AB6CD1"/>
    <w:rsid w:val="00AB6D85"/>
    <w:rsid w:val="00AB6FCB"/>
    <w:rsid w:val="00AB7019"/>
    <w:rsid w:val="00AB710A"/>
    <w:rsid w:val="00AB7160"/>
    <w:rsid w:val="00AB7376"/>
    <w:rsid w:val="00AB739F"/>
    <w:rsid w:val="00AB7438"/>
    <w:rsid w:val="00AB7475"/>
    <w:rsid w:val="00AB7482"/>
    <w:rsid w:val="00AB750D"/>
    <w:rsid w:val="00AB7629"/>
    <w:rsid w:val="00AB772E"/>
    <w:rsid w:val="00AB7792"/>
    <w:rsid w:val="00AB77FE"/>
    <w:rsid w:val="00AB7841"/>
    <w:rsid w:val="00AB785D"/>
    <w:rsid w:val="00AB7A0D"/>
    <w:rsid w:val="00AB7ABD"/>
    <w:rsid w:val="00AB7D26"/>
    <w:rsid w:val="00AB7D41"/>
    <w:rsid w:val="00AB7D51"/>
    <w:rsid w:val="00AB7D59"/>
    <w:rsid w:val="00AC0000"/>
    <w:rsid w:val="00AC00B1"/>
    <w:rsid w:val="00AC00DC"/>
    <w:rsid w:val="00AC01AB"/>
    <w:rsid w:val="00AC038D"/>
    <w:rsid w:val="00AC0437"/>
    <w:rsid w:val="00AC05CB"/>
    <w:rsid w:val="00AC05FF"/>
    <w:rsid w:val="00AC064A"/>
    <w:rsid w:val="00AC0679"/>
    <w:rsid w:val="00AC078E"/>
    <w:rsid w:val="00AC07E0"/>
    <w:rsid w:val="00AC0A52"/>
    <w:rsid w:val="00AC0B8E"/>
    <w:rsid w:val="00AC0BEA"/>
    <w:rsid w:val="00AC0C4F"/>
    <w:rsid w:val="00AC0C63"/>
    <w:rsid w:val="00AC0D39"/>
    <w:rsid w:val="00AC0DA8"/>
    <w:rsid w:val="00AC0E65"/>
    <w:rsid w:val="00AC0E80"/>
    <w:rsid w:val="00AC0EE0"/>
    <w:rsid w:val="00AC0F1D"/>
    <w:rsid w:val="00AC0FE9"/>
    <w:rsid w:val="00AC107A"/>
    <w:rsid w:val="00AC10E6"/>
    <w:rsid w:val="00AC1171"/>
    <w:rsid w:val="00AC1360"/>
    <w:rsid w:val="00AC14E9"/>
    <w:rsid w:val="00AC1507"/>
    <w:rsid w:val="00AC1595"/>
    <w:rsid w:val="00AC17A6"/>
    <w:rsid w:val="00AC1928"/>
    <w:rsid w:val="00AC1965"/>
    <w:rsid w:val="00AC1A0D"/>
    <w:rsid w:val="00AC1A5B"/>
    <w:rsid w:val="00AC1AFA"/>
    <w:rsid w:val="00AC1E76"/>
    <w:rsid w:val="00AC1F24"/>
    <w:rsid w:val="00AC1FB1"/>
    <w:rsid w:val="00AC1FE0"/>
    <w:rsid w:val="00AC2000"/>
    <w:rsid w:val="00AC2226"/>
    <w:rsid w:val="00AC2260"/>
    <w:rsid w:val="00AC22E8"/>
    <w:rsid w:val="00AC2492"/>
    <w:rsid w:val="00AC24BD"/>
    <w:rsid w:val="00AC24C9"/>
    <w:rsid w:val="00AC253A"/>
    <w:rsid w:val="00AC27DB"/>
    <w:rsid w:val="00AC2A35"/>
    <w:rsid w:val="00AC2BE6"/>
    <w:rsid w:val="00AC2C3E"/>
    <w:rsid w:val="00AC2D4D"/>
    <w:rsid w:val="00AC2E0D"/>
    <w:rsid w:val="00AC2E80"/>
    <w:rsid w:val="00AC2E8A"/>
    <w:rsid w:val="00AC2EBF"/>
    <w:rsid w:val="00AC32F3"/>
    <w:rsid w:val="00AC3427"/>
    <w:rsid w:val="00AC3433"/>
    <w:rsid w:val="00AC352B"/>
    <w:rsid w:val="00AC3562"/>
    <w:rsid w:val="00AC35F3"/>
    <w:rsid w:val="00AC3632"/>
    <w:rsid w:val="00AC36A3"/>
    <w:rsid w:val="00AC373F"/>
    <w:rsid w:val="00AC37E5"/>
    <w:rsid w:val="00AC3925"/>
    <w:rsid w:val="00AC3AD5"/>
    <w:rsid w:val="00AC3BAB"/>
    <w:rsid w:val="00AC3BDE"/>
    <w:rsid w:val="00AC3C0F"/>
    <w:rsid w:val="00AC3D3F"/>
    <w:rsid w:val="00AC3E25"/>
    <w:rsid w:val="00AC3E9C"/>
    <w:rsid w:val="00AC3EB2"/>
    <w:rsid w:val="00AC3FD5"/>
    <w:rsid w:val="00AC40F2"/>
    <w:rsid w:val="00AC419C"/>
    <w:rsid w:val="00AC42FE"/>
    <w:rsid w:val="00AC4341"/>
    <w:rsid w:val="00AC4821"/>
    <w:rsid w:val="00AC4914"/>
    <w:rsid w:val="00AC4953"/>
    <w:rsid w:val="00AC4BDF"/>
    <w:rsid w:val="00AC4C18"/>
    <w:rsid w:val="00AC4C55"/>
    <w:rsid w:val="00AC4C64"/>
    <w:rsid w:val="00AC4DE4"/>
    <w:rsid w:val="00AC4DF8"/>
    <w:rsid w:val="00AC4E72"/>
    <w:rsid w:val="00AC4EC5"/>
    <w:rsid w:val="00AC50C3"/>
    <w:rsid w:val="00AC5119"/>
    <w:rsid w:val="00AC5180"/>
    <w:rsid w:val="00AC5329"/>
    <w:rsid w:val="00AC538D"/>
    <w:rsid w:val="00AC53F0"/>
    <w:rsid w:val="00AC540E"/>
    <w:rsid w:val="00AC5549"/>
    <w:rsid w:val="00AC5670"/>
    <w:rsid w:val="00AC57DF"/>
    <w:rsid w:val="00AC5999"/>
    <w:rsid w:val="00AC5A41"/>
    <w:rsid w:val="00AC5B30"/>
    <w:rsid w:val="00AC5C28"/>
    <w:rsid w:val="00AC5CBC"/>
    <w:rsid w:val="00AC5D85"/>
    <w:rsid w:val="00AC605C"/>
    <w:rsid w:val="00AC60B1"/>
    <w:rsid w:val="00AC623F"/>
    <w:rsid w:val="00AC63C3"/>
    <w:rsid w:val="00AC643C"/>
    <w:rsid w:val="00AC6471"/>
    <w:rsid w:val="00AC64A9"/>
    <w:rsid w:val="00AC6765"/>
    <w:rsid w:val="00AC67DE"/>
    <w:rsid w:val="00AC6B36"/>
    <w:rsid w:val="00AC6B43"/>
    <w:rsid w:val="00AC6B6E"/>
    <w:rsid w:val="00AC6D67"/>
    <w:rsid w:val="00AC6DDB"/>
    <w:rsid w:val="00AC6E74"/>
    <w:rsid w:val="00AC70A5"/>
    <w:rsid w:val="00AC70FA"/>
    <w:rsid w:val="00AC7205"/>
    <w:rsid w:val="00AC728B"/>
    <w:rsid w:val="00AC7380"/>
    <w:rsid w:val="00AC738B"/>
    <w:rsid w:val="00AC75B8"/>
    <w:rsid w:val="00AC7688"/>
    <w:rsid w:val="00AC7699"/>
    <w:rsid w:val="00AC7705"/>
    <w:rsid w:val="00AC7730"/>
    <w:rsid w:val="00AC7A3A"/>
    <w:rsid w:val="00AC7B58"/>
    <w:rsid w:val="00AC7B5A"/>
    <w:rsid w:val="00AC7B65"/>
    <w:rsid w:val="00AC7BCF"/>
    <w:rsid w:val="00AC7C5E"/>
    <w:rsid w:val="00AC7D55"/>
    <w:rsid w:val="00AD0141"/>
    <w:rsid w:val="00AD0160"/>
    <w:rsid w:val="00AD01AD"/>
    <w:rsid w:val="00AD01C8"/>
    <w:rsid w:val="00AD01F1"/>
    <w:rsid w:val="00AD0200"/>
    <w:rsid w:val="00AD028F"/>
    <w:rsid w:val="00AD02D3"/>
    <w:rsid w:val="00AD0314"/>
    <w:rsid w:val="00AD032B"/>
    <w:rsid w:val="00AD03E5"/>
    <w:rsid w:val="00AD049C"/>
    <w:rsid w:val="00AD063C"/>
    <w:rsid w:val="00AD06CC"/>
    <w:rsid w:val="00AD0813"/>
    <w:rsid w:val="00AD0AB1"/>
    <w:rsid w:val="00AD0ABD"/>
    <w:rsid w:val="00AD0B47"/>
    <w:rsid w:val="00AD0BA0"/>
    <w:rsid w:val="00AD0D32"/>
    <w:rsid w:val="00AD0D6D"/>
    <w:rsid w:val="00AD1013"/>
    <w:rsid w:val="00AD112C"/>
    <w:rsid w:val="00AD1163"/>
    <w:rsid w:val="00AD1174"/>
    <w:rsid w:val="00AD12B1"/>
    <w:rsid w:val="00AD12D9"/>
    <w:rsid w:val="00AD1342"/>
    <w:rsid w:val="00AD13BB"/>
    <w:rsid w:val="00AD1489"/>
    <w:rsid w:val="00AD149F"/>
    <w:rsid w:val="00AD14F5"/>
    <w:rsid w:val="00AD1550"/>
    <w:rsid w:val="00AD1837"/>
    <w:rsid w:val="00AD195B"/>
    <w:rsid w:val="00AD1A1C"/>
    <w:rsid w:val="00AD1AA7"/>
    <w:rsid w:val="00AD1AC5"/>
    <w:rsid w:val="00AD1C6C"/>
    <w:rsid w:val="00AD1D0E"/>
    <w:rsid w:val="00AD1D10"/>
    <w:rsid w:val="00AD1D81"/>
    <w:rsid w:val="00AD1D89"/>
    <w:rsid w:val="00AD1E8C"/>
    <w:rsid w:val="00AD1EAF"/>
    <w:rsid w:val="00AD203E"/>
    <w:rsid w:val="00AD2258"/>
    <w:rsid w:val="00AD22BC"/>
    <w:rsid w:val="00AD2322"/>
    <w:rsid w:val="00AD2472"/>
    <w:rsid w:val="00AD24CD"/>
    <w:rsid w:val="00AD250D"/>
    <w:rsid w:val="00AD25C4"/>
    <w:rsid w:val="00AD2625"/>
    <w:rsid w:val="00AD26C7"/>
    <w:rsid w:val="00AD273B"/>
    <w:rsid w:val="00AD28F7"/>
    <w:rsid w:val="00AD2966"/>
    <w:rsid w:val="00AD2A3A"/>
    <w:rsid w:val="00AD2AE4"/>
    <w:rsid w:val="00AD2B1A"/>
    <w:rsid w:val="00AD2C5F"/>
    <w:rsid w:val="00AD2D7E"/>
    <w:rsid w:val="00AD2E01"/>
    <w:rsid w:val="00AD2EA6"/>
    <w:rsid w:val="00AD2F9B"/>
    <w:rsid w:val="00AD2FE4"/>
    <w:rsid w:val="00AD30F0"/>
    <w:rsid w:val="00AD32AB"/>
    <w:rsid w:val="00AD3550"/>
    <w:rsid w:val="00AD38A3"/>
    <w:rsid w:val="00AD393D"/>
    <w:rsid w:val="00AD3A09"/>
    <w:rsid w:val="00AD3A53"/>
    <w:rsid w:val="00AD3C40"/>
    <w:rsid w:val="00AD3C60"/>
    <w:rsid w:val="00AD3CDD"/>
    <w:rsid w:val="00AD3DC3"/>
    <w:rsid w:val="00AD3DC7"/>
    <w:rsid w:val="00AD3FB2"/>
    <w:rsid w:val="00AD3FB4"/>
    <w:rsid w:val="00AD3FCC"/>
    <w:rsid w:val="00AD4030"/>
    <w:rsid w:val="00AD41E8"/>
    <w:rsid w:val="00AD4229"/>
    <w:rsid w:val="00AD42B2"/>
    <w:rsid w:val="00AD42DB"/>
    <w:rsid w:val="00AD4329"/>
    <w:rsid w:val="00AD4350"/>
    <w:rsid w:val="00AD4499"/>
    <w:rsid w:val="00AD45BA"/>
    <w:rsid w:val="00AD45C9"/>
    <w:rsid w:val="00AD469A"/>
    <w:rsid w:val="00AD4718"/>
    <w:rsid w:val="00AD47AD"/>
    <w:rsid w:val="00AD48EC"/>
    <w:rsid w:val="00AD4AFE"/>
    <w:rsid w:val="00AD4B69"/>
    <w:rsid w:val="00AD4BC3"/>
    <w:rsid w:val="00AD4C89"/>
    <w:rsid w:val="00AD4D2F"/>
    <w:rsid w:val="00AD501B"/>
    <w:rsid w:val="00AD5027"/>
    <w:rsid w:val="00AD518E"/>
    <w:rsid w:val="00AD51EB"/>
    <w:rsid w:val="00AD51ED"/>
    <w:rsid w:val="00AD52D7"/>
    <w:rsid w:val="00AD52F1"/>
    <w:rsid w:val="00AD532D"/>
    <w:rsid w:val="00AD53FA"/>
    <w:rsid w:val="00AD540E"/>
    <w:rsid w:val="00AD55A7"/>
    <w:rsid w:val="00AD593C"/>
    <w:rsid w:val="00AD59A4"/>
    <w:rsid w:val="00AD5A74"/>
    <w:rsid w:val="00AD5B23"/>
    <w:rsid w:val="00AD5B30"/>
    <w:rsid w:val="00AD5CA7"/>
    <w:rsid w:val="00AD5D1D"/>
    <w:rsid w:val="00AD5E9A"/>
    <w:rsid w:val="00AD5F8C"/>
    <w:rsid w:val="00AD608C"/>
    <w:rsid w:val="00AD6271"/>
    <w:rsid w:val="00AD6342"/>
    <w:rsid w:val="00AD63AC"/>
    <w:rsid w:val="00AD6442"/>
    <w:rsid w:val="00AD662B"/>
    <w:rsid w:val="00AD669C"/>
    <w:rsid w:val="00AD67D7"/>
    <w:rsid w:val="00AD691C"/>
    <w:rsid w:val="00AD69E9"/>
    <w:rsid w:val="00AD6A9F"/>
    <w:rsid w:val="00AD6AD2"/>
    <w:rsid w:val="00AD6B37"/>
    <w:rsid w:val="00AD6BC0"/>
    <w:rsid w:val="00AD6DC0"/>
    <w:rsid w:val="00AD6DDF"/>
    <w:rsid w:val="00AD6F60"/>
    <w:rsid w:val="00AD71A7"/>
    <w:rsid w:val="00AD7215"/>
    <w:rsid w:val="00AD7395"/>
    <w:rsid w:val="00AD739E"/>
    <w:rsid w:val="00AD742E"/>
    <w:rsid w:val="00AD7466"/>
    <w:rsid w:val="00AD74D2"/>
    <w:rsid w:val="00AD761B"/>
    <w:rsid w:val="00AD773B"/>
    <w:rsid w:val="00AD776E"/>
    <w:rsid w:val="00AD7831"/>
    <w:rsid w:val="00AD78B6"/>
    <w:rsid w:val="00AD7968"/>
    <w:rsid w:val="00AD7A41"/>
    <w:rsid w:val="00AD7A7E"/>
    <w:rsid w:val="00AD7AC4"/>
    <w:rsid w:val="00AD7B13"/>
    <w:rsid w:val="00AD7B73"/>
    <w:rsid w:val="00AD7CDA"/>
    <w:rsid w:val="00AD7E81"/>
    <w:rsid w:val="00AE0051"/>
    <w:rsid w:val="00AE01CE"/>
    <w:rsid w:val="00AE0295"/>
    <w:rsid w:val="00AE02F1"/>
    <w:rsid w:val="00AE031A"/>
    <w:rsid w:val="00AE03B7"/>
    <w:rsid w:val="00AE03DB"/>
    <w:rsid w:val="00AE03DF"/>
    <w:rsid w:val="00AE0487"/>
    <w:rsid w:val="00AE04F6"/>
    <w:rsid w:val="00AE06DF"/>
    <w:rsid w:val="00AE0781"/>
    <w:rsid w:val="00AE0797"/>
    <w:rsid w:val="00AE0846"/>
    <w:rsid w:val="00AE08FE"/>
    <w:rsid w:val="00AE099A"/>
    <w:rsid w:val="00AE0A4E"/>
    <w:rsid w:val="00AE0B25"/>
    <w:rsid w:val="00AE0C5A"/>
    <w:rsid w:val="00AE0C61"/>
    <w:rsid w:val="00AE0CA8"/>
    <w:rsid w:val="00AE0D87"/>
    <w:rsid w:val="00AE0D98"/>
    <w:rsid w:val="00AE0DBE"/>
    <w:rsid w:val="00AE0E4F"/>
    <w:rsid w:val="00AE0E87"/>
    <w:rsid w:val="00AE0F02"/>
    <w:rsid w:val="00AE10F5"/>
    <w:rsid w:val="00AE1175"/>
    <w:rsid w:val="00AE11D7"/>
    <w:rsid w:val="00AE1265"/>
    <w:rsid w:val="00AE12A1"/>
    <w:rsid w:val="00AE12C8"/>
    <w:rsid w:val="00AE139B"/>
    <w:rsid w:val="00AE1959"/>
    <w:rsid w:val="00AE1B02"/>
    <w:rsid w:val="00AE1BEF"/>
    <w:rsid w:val="00AE1C83"/>
    <w:rsid w:val="00AE1CC2"/>
    <w:rsid w:val="00AE1CEA"/>
    <w:rsid w:val="00AE1D3B"/>
    <w:rsid w:val="00AE1DD3"/>
    <w:rsid w:val="00AE1E14"/>
    <w:rsid w:val="00AE1E15"/>
    <w:rsid w:val="00AE1EA3"/>
    <w:rsid w:val="00AE1EA7"/>
    <w:rsid w:val="00AE1F2F"/>
    <w:rsid w:val="00AE202D"/>
    <w:rsid w:val="00AE2101"/>
    <w:rsid w:val="00AE21EC"/>
    <w:rsid w:val="00AE2210"/>
    <w:rsid w:val="00AE231E"/>
    <w:rsid w:val="00AE23CC"/>
    <w:rsid w:val="00AE27D3"/>
    <w:rsid w:val="00AE2951"/>
    <w:rsid w:val="00AE29EB"/>
    <w:rsid w:val="00AE2BED"/>
    <w:rsid w:val="00AE2DD3"/>
    <w:rsid w:val="00AE2E76"/>
    <w:rsid w:val="00AE3062"/>
    <w:rsid w:val="00AE317A"/>
    <w:rsid w:val="00AE32A4"/>
    <w:rsid w:val="00AE346D"/>
    <w:rsid w:val="00AE34D1"/>
    <w:rsid w:val="00AE3650"/>
    <w:rsid w:val="00AE3863"/>
    <w:rsid w:val="00AE3985"/>
    <w:rsid w:val="00AE39F6"/>
    <w:rsid w:val="00AE3B30"/>
    <w:rsid w:val="00AE3C2F"/>
    <w:rsid w:val="00AE3D79"/>
    <w:rsid w:val="00AE3E87"/>
    <w:rsid w:val="00AE3FC3"/>
    <w:rsid w:val="00AE424C"/>
    <w:rsid w:val="00AE42C4"/>
    <w:rsid w:val="00AE4341"/>
    <w:rsid w:val="00AE4457"/>
    <w:rsid w:val="00AE4480"/>
    <w:rsid w:val="00AE45F9"/>
    <w:rsid w:val="00AE4630"/>
    <w:rsid w:val="00AE4641"/>
    <w:rsid w:val="00AE4660"/>
    <w:rsid w:val="00AE46DD"/>
    <w:rsid w:val="00AE471E"/>
    <w:rsid w:val="00AE474D"/>
    <w:rsid w:val="00AE4801"/>
    <w:rsid w:val="00AE48E3"/>
    <w:rsid w:val="00AE49E4"/>
    <w:rsid w:val="00AE4A9D"/>
    <w:rsid w:val="00AE4B65"/>
    <w:rsid w:val="00AE4CAC"/>
    <w:rsid w:val="00AE4CBF"/>
    <w:rsid w:val="00AE4D40"/>
    <w:rsid w:val="00AE4DA6"/>
    <w:rsid w:val="00AE4E1D"/>
    <w:rsid w:val="00AE4F14"/>
    <w:rsid w:val="00AE507E"/>
    <w:rsid w:val="00AE509E"/>
    <w:rsid w:val="00AE520F"/>
    <w:rsid w:val="00AE5236"/>
    <w:rsid w:val="00AE5395"/>
    <w:rsid w:val="00AE53F6"/>
    <w:rsid w:val="00AE54ED"/>
    <w:rsid w:val="00AE55BC"/>
    <w:rsid w:val="00AE58CA"/>
    <w:rsid w:val="00AE59A9"/>
    <w:rsid w:val="00AE5BB3"/>
    <w:rsid w:val="00AE5C5A"/>
    <w:rsid w:val="00AE5E01"/>
    <w:rsid w:val="00AE5E05"/>
    <w:rsid w:val="00AE5E3D"/>
    <w:rsid w:val="00AE5EA5"/>
    <w:rsid w:val="00AE5F20"/>
    <w:rsid w:val="00AE5F39"/>
    <w:rsid w:val="00AE61DD"/>
    <w:rsid w:val="00AE624D"/>
    <w:rsid w:val="00AE6250"/>
    <w:rsid w:val="00AE6294"/>
    <w:rsid w:val="00AE6385"/>
    <w:rsid w:val="00AE6406"/>
    <w:rsid w:val="00AE64B4"/>
    <w:rsid w:val="00AE65E9"/>
    <w:rsid w:val="00AE65F1"/>
    <w:rsid w:val="00AE66E2"/>
    <w:rsid w:val="00AE6707"/>
    <w:rsid w:val="00AE670A"/>
    <w:rsid w:val="00AE69FD"/>
    <w:rsid w:val="00AE6AC1"/>
    <w:rsid w:val="00AE6BF5"/>
    <w:rsid w:val="00AE6C2A"/>
    <w:rsid w:val="00AE6CC6"/>
    <w:rsid w:val="00AE6CD2"/>
    <w:rsid w:val="00AE6D30"/>
    <w:rsid w:val="00AE6D3F"/>
    <w:rsid w:val="00AE6F55"/>
    <w:rsid w:val="00AE70B6"/>
    <w:rsid w:val="00AE7229"/>
    <w:rsid w:val="00AE7321"/>
    <w:rsid w:val="00AE740D"/>
    <w:rsid w:val="00AE7493"/>
    <w:rsid w:val="00AE74B5"/>
    <w:rsid w:val="00AE76A3"/>
    <w:rsid w:val="00AE775B"/>
    <w:rsid w:val="00AE7776"/>
    <w:rsid w:val="00AE7859"/>
    <w:rsid w:val="00AE7A02"/>
    <w:rsid w:val="00AE7A5C"/>
    <w:rsid w:val="00AE7AF6"/>
    <w:rsid w:val="00AE7AFF"/>
    <w:rsid w:val="00AE7B2C"/>
    <w:rsid w:val="00AE7C83"/>
    <w:rsid w:val="00AE7E38"/>
    <w:rsid w:val="00AE7FA2"/>
    <w:rsid w:val="00AF04FF"/>
    <w:rsid w:val="00AF06D9"/>
    <w:rsid w:val="00AF085F"/>
    <w:rsid w:val="00AF0945"/>
    <w:rsid w:val="00AF0954"/>
    <w:rsid w:val="00AF09FA"/>
    <w:rsid w:val="00AF0A4D"/>
    <w:rsid w:val="00AF0A8F"/>
    <w:rsid w:val="00AF0B02"/>
    <w:rsid w:val="00AF0B3A"/>
    <w:rsid w:val="00AF0B81"/>
    <w:rsid w:val="00AF0C4D"/>
    <w:rsid w:val="00AF0CAF"/>
    <w:rsid w:val="00AF1024"/>
    <w:rsid w:val="00AF10FD"/>
    <w:rsid w:val="00AF1402"/>
    <w:rsid w:val="00AF142E"/>
    <w:rsid w:val="00AF1520"/>
    <w:rsid w:val="00AF1529"/>
    <w:rsid w:val="00AF16A7"/>
    <w:rsid w:val="00AF16DD"/>
    <w:rsid w:val="00AF18EF"/>
    <w:rsid w:val="00AF1993"/>
    <w:rsid w:val="00AF1B8E"/>
    <w:rsid w:val="00AF1CFB"/>
    <w:rsid w:val="00AF1CFE"/>
    <w:rsid w:val="00AF1D58"/>
    <w:rsid w:val="00AF1E6B"/>
    <w:rsid w:val="00AF1EFE"/>
    <w:rsid w:val="00AF1F2E"/>
    <w:rsid w:val="00AF1FC7"/>
    <w:rsid w:val="00AF1FE8"/>
    <w:rsid w:val="00AF218B"/>
    <w:rsid w:val="00AF21CA"/>
    <w:rsid w:val="00AF22CE"/>
    <w:rsid w:val="00AF24B4"/>
    <w:rsid w:val="00AF257D"/>
    <w:rsid w:val="00AF26E3"/>
    <w:rsid w:val="00AF270D"/>
    <w:rsid w:val="00AF278B"/>
    <w:rsid w:val="00AF2952"/>
    <w:rsid w:val="00AF29BD"/>
    <w:rsid w:val="00AF2B75"/>
    <w:rsid w:val="00AF2B9A"/>
    <w:rsid w:val="00AF2BDA"/>
    <w:rsid w:val="00AF2D9E"/>
    <w:rsid w:val="00AF2E59"/>
    <w:rsid w:val="00AF2F75"/>
    <w:rsid w:val="00AF2F8D"/>
    <w:rsid w:val="00AF2FDA"/>
    <w:rsid w:val="00AF309A"/>
    <w:rsid w:val="00AF30F2"/>
    <w:rsid w:val="00AF313A"/>
    <w:rsid w:val="00AF3228"/>
    <w:rsid w:val="00AF348F"/>
    <w:rsid w:val="00AF3596"/>
    <w:rsid w:val="00AF36AF"/>
    <w:rsid w:val="00AF3815"/>
    <w:rsid w:val="00AF386F"/>
    <w:rsid w:val="00AF3A94"/>
    <w:rsid w:val="00AF3C36"/>
    <w:rsid w:val="00AF3CAE"/>
    <w:rsid w:val="00AF3E90"/>
    <w:rsid w:val="00AF3EA6"/>
    <w:rsid w:val="00AF40F9"/>
    <w:rsid w:val="00AF4144"/>
    <w:rsid w:val="00AF4214"/>
    <w:rsid w:val="00AF42DF"/>
    <w:rsid w:val="00AF42FB"/>
    <w:rsid w:val="00AF433B"/>
    <w:rsid w:val="00AF43C5"/>
    <w:rsid w:val="00AF4474"/>
    <w:rsid w:val="00AF44BD"/>
    <w:rsid w:val="00AF4770"/>
    <w:rsid w:val="00AF4772"/>
    <w:rsid w:val="00AF4965"/>
    <w:rsid w:val="00AF496F"/>
    <w:rsid w:val="00AF4987"/>
    <w:rsid w:val="00AF4B9F"/>
    <w:rsid w:val="00AF4BA3"/>
    <w:rsid w:val="00AF4D6C"/>
    <w:rsid w:val="00AF4DE3"/>
    <w:rsid w:val="00AF4E63"/>
    <w:rsid w:val="00AF4EA0"/>
    <w:rsid w:val="00AF5296"/>
    <w:rsid w:val="00AF52F1"/>
    <w:rsid w:val="00AF52F8"/>
    <w:rsid w:val="00AF5375"/>
    <w:rsid w:val="00AF53A0"/>
    <w:rsid w:val="00AF54DE"/>
    <w:rsid w:val="00AF553C"/>
    <w:rsid w:val="00AF557C"/>
    <w:rsid w:val="00AF57D7"/>
    <w:rsid w:val="00AF5909"/>
    <w:rsid w:val="00AF5913"/>
    <w:rsid w:val="00AF5B49"/>
    <w:rsid w:val="00AF5C4C"/>
    <w:rsid w:val="00AF5C96"/>
    <w:rsid w:val="00AF5E32"/>
    <w:rsid w:val="00AF5E49"/>
    <w:rsid w:val="00AF5EC7"/>
    <w:rsid w:val="00AF5FF8"/>
    <w:rsid w:val="00AF6025"/>
    <w:rsid w:val="00AF602B"/>
    <w:rsid w:val="00AF6071"/>
    <w:rsid w:val="00AF6140"/>
    <w:rsid w:val="00AF6167"/>
    <w:rsid w:val="00AF6199"/>
    <w:rsid w:val="00AF6377"/>
    <w:rsid w:val="00AF6487"/>
    <w:rsid w:val="00AF6558"/>
    <w:rsid w:val="00AF655E"/>
    <w:rsid w:val="00AF66EF"/>
    <w:rsid w:val="00AF683E"/>
    <w:rsid w:val="00AF693C"/>
    <w:rsid w:val="00AF69C5"/>
    <w:rsid w:val="00AF6A9E"/>
    <w:rsid w:val="00AF6DE4"/>
    <w:rsid w:val="00AF6E07"/>
    <w:rsid w:val="00AF6F25"/>
    <w:rsid w:val="00AF6FC5"/>
    <w:rsid w:val="00AF7122"/>
    <w:rsid w:val="00AF71E2"/>
    <w:rsid w:val="00AF7204"/>
    <w:rsid w:val="00AF7247"/>
    <w:rsid w:val="00AF72C1"/>
    <w:rsid w:val="00AF7309"/>
    <w:rsid w:val="00AF73AE"/>
    <w:rsid w:val="00AF7571"/>
    <w:rsid w:val="00AF757F"/>
    <w:rsid w:val="00AF7616"/>
    <w:rsid w:val="00AF7689"/>
    <w:rsid w:val="00AF768A"/>
    <w:rsid w:val="00AF774C"/>
    <w:rsid w:val="00AF78B7"/>
    <w:rsid w:val="00AF79FF"/>
    <w:rsid w:val="00AF7ACE"/>
    <w:rsid w:val="00AF7B9D"/>
    <w:rsid w:val="00AF7BE8"/>
    <w:rsid w:val="00AF7D1A"/>
    <w:rsid w:val="00AF7DF3"/>
    <w:rsid w:val="00AF7E61"/>
    <w:rsid w:val="00AF7FE1"/>
    <w:rsid w:val="00B0011E"/>
    <w:rsid w:val="00B0024E"/>
    <w:rsid w:val="00B00282"/>
    <w:rsid w:val="00B00477"/>
    <w:rsid w:val="00B004BC"/>
    <w:rsid w:val="00B00587"/>
    <w:rsid w:val="00B005B9"/>
    <w:rsid w:val="00B0069C"/>
    <w:rsid w:val="00B0077D"/>
    <w:rsid w:val="00B008F0"/>
    <w:rsid w:val="00B00948"/>
    <w:rsid w:val="00B00957"/>
    <w:rsid w:val="00B00A4E"/>
    <w:rsid w:val="00B00AAC"/>
    <w:rsid w:val="00B00AEA"/>
    <w:rsid w:val="00B00C51"/>
    <w:rsid w:val="00B00D56"/>
    <w:rsid w:val="00B00E95"/>
    <w:rsid w:val="00B00F49"/>
    <w:rsid w:val="00B00F7F"/>
    <w:rsid w:val="00B0107B"/>
    <w:rsid w:val="00B011D3"/>
    <w:rsid w:val="00B01232"/>
    <w:rsid w:val="00B01292"/>
    <w:rsid w:val="00B013BD"/>
    <w:rsid w:val="00B013EF"/>
    <w:rsid w:val="00B01431"/>
    <w:rsid w:val="00B0159B"/>
    <w:rsid w:val="00B01787"/>
    <w:rsid w:val="00B01836"/>
    <w:rsid w:val="00B018AC"/>
    <w:rsid w:val="00B01923"/>
    <w:rsid w:val="00B0197F"/>
    <w:rsid w:val="00B019F6"/>
    <w:rsid w:val="00B01AFE"/>
    <w:rsid w:val="00B01D4D"/>
    <w:rsid w:val="00B02027"/>
    <w:rsid w:val="00B02079"/>
    <w:rsid w:val="00B02287"/>
    <w:rsid w:val="00B02374"/>
    <w:rsid w:val="00B0247C"/>
    <w:rsid w:val="00B0252D"/>
    <w:rsid w:val="00B025D8"/>
    <w:rsid w:val="00B0274B"/>
    <w:rsid w:val="00B027B2"/>
    <w:rsid w:val="00B028AD"/>
    <w:rsid w:val="00B0290D"/>
    <w:rsid w:val="00B0291F"/>
    <w:rsid w:val="00B02948"/>
    <w:rsid w:val="00B02BE9"/>
    <w:rsid w:val="00B02C86"/>
    <w:rsid w:val="00B02D3A"/>
    <w:rsid w:val="00B02E2F"/>
    <w:rsid w:val="00B02E33"/>
    <w:rsid w:val="00B02F79"/>
    <w:rsid w:val="00B03011"/>
    <w:rsid w:val="00B0310E"/>
    <w:rsid w:val="00B03133"/>
    <w:rsid w:val="00B0320F"/>
    <w:rsid w:val="00B03224"/>
    <w:rsid w:val="00B03299"/>
    <w:rsid w:val="00B03328"/>
    <w:rsid w:val="00B033D6"/>
    <w:rsid w:val="00B0343F"/>
    <w:rsid w:val="00B036A6"/>
    <w:rsid w:val="00B036EA"/>
    <w:rsid w:val="00B03827"/>
    <w:rsid w:val="00B038BF"/>
    <w:rsid w:val="00B03A2A"/>
    <w:rsid w:val="00B03A50"/>
    <w:rsid w:val="00B03B6C"/>
    <w:rsid w:val="00B03ECA"/>
    <w:rsid w:val="00B03FA0"/>
    <w:rsid w:val="00B04039"/>
    <w:rsid w:val="00B04064"/>
    <w:rsid w:val="00B04130"/>
    <w:rsid w:val="00B0418E"/>
    <w:rsid w:val="00B041E6"/>
    <w:rsid w:val="00B04273"/>
    <w:rsid w:val="00B044D9"/>
    <w:rsid w:val="00B0459B"/>
    <w:rsid w:val="00B0471F"/>
    <w:rsid w:val="00B04746"/>
    <w:rsid w:val="00B047CD"/>
    <w:rsid w:val="00B048E9"/>
    <w:rsid w:val="00B04924"/>
    <w:rsid w:val="00B0494E"/>
    <w:rsid w:val="00B04A25"/>
    <w:rsid w:val="00B04B46"/>
    <w:rsid w:val="00B04C6F"/>
    <w:rsid w:val="00B04D17"/>
    <w:rsid w:val="00B04DF4"/>
    <w:rsid w:val="00B04E31"/>
    <w:rsid w:val="00B04E41"/>
    <w:rsid w:val="00B04EB3"/>
    <w:rsid w:val="00B0525D"/>
    <w:rsid w:val="00B053B8"/>
    <w:rsid w:val="00B053EB"/>
    <w:rsid w:val="00B054CB"/>
    <w:rsid w:val="00B0552A"/>
    <w:rsid w:val="00B0565A"/>
    <w:rsid w:val="00B056D5"/>
    <w:rsid w:val="00B05764"/>
    <w:rsid w:val="00B05777"/>
    <w:rsid w:val="00B05878"/>
    <w:rsid w:val="00B05885"/>
    <w:rsid w:val="00B05891"/>
    <w:rsid w:val="00B059A3"/>
    <w:rsid w:val="00B059F3"/>
    <w:rsid w:val="00B05A64"/>
    <w:rsid w:val="00B05B86"/>
    <w:rsid w:val="00B05BAB"/>
    <w:rsid w:val="00B05D12"/>
    <w:rsid w:val="00B05D55"/>
    <w:rsid w:val="00B05DC7"/>
    <w:rsid w:val="00B05DC8"/>
    <w:rsid w:val="00B05EA4"/>
    <w:rsid w:val="00B05F1F"/>
    <w:rsid w:val="00B05F42"/>
    <w:rsid w:val="00B05F57"/>
    <w:rsid w:val="00B060E2"/>
    <w:rsid w:val="00B06103"/>
    <w:rsid w:val="00B06364"/>
    <w:rsid w:val="00B063C9"/>
    <w:rsid w:val="00B06475"/>
    <w:rsid w:val="00B06664"/>
    <w:rsid w:val="00B06728"/>
    <w:rsid w:val="00B06737"/>
    <w:rsid w:val="00B06945"/>
    <w:rsid w:val="00B069C4"/>
    <w:rsid w:val="00B06A9A"/>
    <w:rsid w:val="00B06AB8"/>
    <w:rsid w:val="00B06B39"/>
    <w:rsid w:val="00B06B85"/>
    <w:rsid w:val="00B06CB5"/>
    <w:rsid w:val="00B06CE7"/>
    <w:rsid w:val="00B06DAB"/>
    <w:rsid w:val="00B06F1A"/>
    <w:rsid w:val="00B06F77"/>
    <w:rsid w:val="00B0737D"/>
    <w:rsid w:val="00B07409"/>
    <w:rsid w:val="00B074FF"/>
    <w:rsid w:val="00B0750F"/>
    <w:rsid w:val="00B07554"/>
    <w:rsid w:val="00B075E1"/>
    <w:rsid w:val="00B0761F"/>
    <w:rsid w:val="00B0787F"/>
    <w:rsid w:val="00B07B2B"/>
    <w:rsid w:val="00B07BB4"/>
    <w:rsid w:val="00B07C23"/>
    <w:rsid w:val="00B07E0E"/>
    <w:rsid w:val="00B07EB6"/>
    <w:rsid w:val="00B07EBE"/>
    <w:rsid w:val="00B07F7B"/>
    <w:rsid w:val="00B0FCBF"/>
    <w:rsid w:val="00B100DE"/>
    <w:rsid w:val="00B100E6"/>
    <w:rsid w:val="00B10327"/>
    <w:rsid w:val="00B103D4"/>
    <w:rsid w:val="00B103E8"/>
    <w:rsid w:val="00B10547"/>
    <w:rsid w:val="00B105D3"/>
    <w:rsid w:val="00B10655"/>
    <w:rsid w:val="00B106B9"/>
    <w:rsid w:val="00B10A4C"/>
    <w:rsid w:val="00B10DA7"/>
    <w:rsid w:val="00B10DBE"/>
    <w:rsid w:val="00B10E49"/>
    <w:rsid w:val="00B10F0A"/>
    <w:rsid w:val="00B10FFC"/>
    <w:rsid w:val="00B1105B"/>
    <w:rsid w:val="00B110A7"/>
    <w:rsid w:val="00B11148"/>
    <w:rsid w:val="00B111D0"/>
    <w:rsid w:val="00B11217"/>
    <w:rsid w:val="00B1130F"/>
    <w:rsid w:val="00B1147C"/>
    <w:rsid w:val="00B11534"/>
    <w:rsid w:val="00B115BE"/>
    <w:rsid w:val="00B115F0"/>
    <w:rsid w:val="00B1188F"/>
    <w:rsid w:val="00B11CD7"/>
    <w:rsid w:val="00B11DD2"/>
    <w:rsid w:val="00B11E4C"/>
    <w:rsid w:val="00B11FD0"/>
    <w:rsid w:val="00B1203E"/>
    <w:rsid w:val="00B121A6"/>
    <w:rsid w:val="00B1230B"/>
    <w:rsid w:val="00B12329"/>
    <w:rsid w:val="00B125B3"/>
    <w:rsid w:val="00B125EB"/>
    <w:rsid w:val="00B12693"/>
    <w:rsid w:val="00B1278D"/>
    <w:rsid w:val="00B127AC"/>
    <w:rsid w:val="00B1288D"/>
    <w:rsid w:val="00B12902"/>
    <w:rsid w:val="00B129C4"/>
    <w:rsid w:val="00B12A1A"/>
    <w:rsid w:val="00B12AF6"/>
    <w:rsid w:val="00B12D16"/>
    <w:rsid w:val="00B12D23"/>
    <w:rsid w:val="00B12D70"/>
    <w:rsid w:val="00B12DF5"/>
    <w:rsid w:val="00B12EFE"/>
    <w:rsid w:val="00B12F05"/>
    <w:rsid w:val="00B12FD0"/>
    <w:rsid w:val="00B12FD4"/>
    <w:rsid w:val="00B12FE0"/>
    <w:rsid w:val="00B13020"/>
    <w:rsid w:val="00B13085"/>
    <w:rsid w:val="00B13314"/>
    <w:rsid w:val="00B13357"/>
    <w:rsid w:val="00B13386"/>
    <w:rsid w:val="00B1339E"/>
    <w:rsid w:val="00B133C1"/>
    <w:rsid w:val="00B13441"/>
    <w:rsid w:val="00B134C7"/>
    <w:rsid w:val="00B136F3"/>
    <w:rsid w:val="00B13921"/>
    <w:rsid w:val="00B13A4F"/>
    <w:rsid w:val="00B13B29"/>
    <w:rsid w:val="00B13F57"/>
    <w:rsid w:val="00B14014"/>
    <w:rsid w:val="00B140A1"/>
    <w:rsid w:val="00B14147"/>
    <w:rsid w:val="00B143A7"/>
    <w:rsid w:val="00B14400"/>
    <w:rsid w:val="00B1446D"/>
    <w:rsid w:val="00B14481"/>
    <w:rsid w:val="00B14664"/>
    <w:rsid w:val="00B14787"/>
    <w:rsid w:val="00B14798"/>
    <w:rsid w:val="00B147B8"/>
    <w:rsid w:val="00B148D2"/>
    <w:rsid w:val="00B1492A"/>
    <w:rsid w:val="00B1497C"/>
    <w:rsid w:val="00B14AB6"/>
    <w:rsid w:val="00B14B1F"/>
    <w:rsid w:val="00B14B2D"/>
    <w:rsid w:val="00B14CEE"/>
    <w:rsid w:val="00B14D11"/>
    <w:rsid w:val="00B14D5A"/>
    <w:rsid w:val="00B14DDE"/>
    <w:rsid w:val="00B14EB6"/>
    <w:rsid w:val="00B14F20"/>
    <w:rsid w:val="00B1510C"/>
    <w:rsid w:val="00B15145"/>
    <w:rsid w:val="00B15177"/>
    <w:rsid w:val="00B1517E"/>
    <w:rsid w:val="00B15227"/>
    <w:rsid w:val="00B15352"/>
    <w:rsid w:val="00B15444"/>
    <w:rsid w:val="00B15467"/>
    <w:rsid w:val="00B1553D"/>
    <w:rsid w:val="00B1562E"/>
    <w:rsid w:val="00B159E4"/>
    <w:rsid w:val="00B15BD8"/>
    <w:rsid w:val="00B15C25"/>
    <w:rsid w:val="00B15D1F"/>
    <w:rsid w:val="00B15EDA"/>
    <w:rsid w:val="00B15EE5"/>
    <w:rsid w:val="00B1605A"/>
    <w:rsid w:val="00B16079"/>
    <w:rsid w:val="00B161B5"/>
    <w:rsid w:val="00B16399"/>
    <w:rsid w:val="00B165FF"/>
    <w:rsid w:val="00B16709"/>
    <w:rsid w:val="00B1689B"/>
    <w:rsid w:val="00B16A45"/>
    <w:rsid w:val="00B16A86"/>
    <w:rsid w:val="00B16AC3"/>
    <w:rsid w:val="00B16C83"/>
    <w:rsid w:val="00B16D85"/>
    <w:rsid w:val="00B16E3D"/>
    <w:rsid w:val="00B16EBB"/>
    <w:rsid w:val="00B16F90"/>
    <w:rsid w:val="00B16F9A"/>
    <w:rsid w:val="00B17087"/>
    <w:rsid w:val="00B17353"/>
    <w:rsid w:val="00B173C5"/>
    <w:rsid w:val="00B173EC"/>
    <w:rsid w:val="00B17512"/>
    <w:rsid w:val="00B17529"/>
    <w:rsid w:val="00B17674"/>
    <w:rsid w:val="00B17760"/>
    <w:rsid w:val="00B177F5"/>
    <w:rsid w:val="00B17834"/>
    <w:rsid w:val="00B17867"/>
    <w:rsid w:val="00B178CD"/>
    <w:rsid w:val="00B178F5"/>
    <w:rsid w:val="00B17967"/>
    <w:rsid w:val="00B179A1"/>
    <w:rsid w:val="00B17DF5"/>
    <w:rsid w:val="00B17E53"/>
    <w:rsid w:val="00B20101"/>
    <w:rsid w:val="00B2011F"/>
    <w:rsid w:val="00B201CE"/>
    <w:rsid w:val="00B20400"/>
    <w:rsid w:val="00B205F9"/>
    <w:rsid w:val="00B20692"/>
    <w:rsid w:val="00B207B0"/>
    <w:rsid w:val="00B2091F"/>
    <w:rsid w:val="00B20955"/>
    <w:rsid w:val="00B209DE"/>
    <w:rsid w:val="00B20A15"/>
    <w:rsid w:val="00B20A59"/>
    <w:rsid w:val="00B20AB7"/>
    <w:rsid w:val="00B20C54"/>
    <w:rsid w:val="00B20CD4"/>
    <w:rsid w:val="00B20ECD"/>
    <w:rsid w:val="00B20EEA"/>
    <w:rsid w:val="00B20FED"/>
    <w:rsid w:val="00B21040"/>
    <w:rsid w:val="00B21055"/>
    <w:rsid w:val="00B211E2"/>
    <w:rsid w:val="00B2120D"/>
    <w:rsid w:val="00B21271"/>
    <w:rsid w:val="00B212CF"/>
    <w:rsid w:val="00B2150B"/>
    <w:rsid w:val="00B21511"/>
    <w:rsid w:val="00B2163B"/>
    <w:rsid w:val="00B21747"/>
    <w:rsid w:val="00B21956"/>
    <w:rsid w:val="00B21A01"/>
    <w:rsid w:val="00B21A47"/>
    <w:rsid w:val="00B21A91"/>
    <w:rsid w:val="00B21B11"/>
    <w:rsid w:val="00B21B9D"/>
    <w:rsid w:val="00B21C03"/>
    <w:rsid w:val="00B21D2C"/>
    <w:rsid w:val="00B21DE7"/>
    <w:rsid w:val="00B21F12"/>
    <w:rsid w:val="00B220F1"/>
    <w:rsid w:val="00B2214A"/>
    <w:rsid w:val="00B2215F"/>
    <w:rsid w:val="00B22173"/>
    <w:rsid w:val="00B2224F"/>
    <w:rsid w:val="00B223A5"/>
    <w:rsid w:val="00B223B3"/>
    <w:rsid w:val="00B22430"/>
    <w:rsid w:val="00B22462"/>
    <w:rsid w:val="00B2249F"/>
    <w:rsid w:val="00B227DD"/>
    <w:rsid w:val="00B22A2A"/>
    <w:rsid w:val="00B22A6B"/>
    <w:rsid w:val="00B22AED"/>
    <w:rsid w:val="00B22B4B"/>
    <w:rsid w:val="00B22E1B"/>
    <w:rsid w:val="00B22EB9"/>
    <w:rsid w:val="00B22F28"/>
    <w:rsid w:val="00B22F85"/>
    <w:rsid w:val="00B22FAC"/>
    <w:rsid w:val="00B22FFA"/>
    <w:rsid w:val="00B231AD"/>
    <w:rsid w:val="00B2322C"/>
    <w:rsid w:val="00B2323C"/>
    <w:rsid w:val="00B2330D"/>
    <w:rsid w:val="00B233BF"/>
    <w:rsid w:val="00B23403"/>
    <w:rsid w:val="00B23432"/>
    <w:rsid w:val="00B234E0"/>
    <w:rsid w:val="00B235D2"/>
    <w:rsid w:val="00B236A4"/>
    <w:rsid w:val="00B237B2"/>
    <w:rsid w:val="00B23989"/>
    <w:rsid w:val="00B23AD5"/>
    <w:rsid w:val="00B23AF2"/>
    <w:rsid w:val="00B23B41"/>
    <w:rsid w:val="00B23D97"/>
    <w:rsid w:val="00B24028"/>
    <w:rsid w:val="00B24059"/>
    <w:rsid w:val="00B24077"/>
    <w:rsid w:val="00B24236"/>
    <w:rsid w:val="00B2427D"/>
    <w:rsid w:val="00B243C4"/>
    <w:rsid w:val="00B243F1"/>
    <w:rsid w:val="00B243F5"/>
    <w:rsid w:val="00B24448"/>
    <w:rsid w:val="00B24498"/>
    <w:rsid w:val="00B244AB"/>
    <w:rsid w:val="00B244EC"/>
    <w:rsid w:val="00B247FB"/>
    <w:rsid w:val="00B24808"/>
    <w:rsid w:val="00B2485F"/>
    <w:rsid w:val="00B2494C"/>
    <w:rsid w:val="00B24972"/>
    <w:rsid w:val="00B24A74"/>
    <w:rsid w:val="00B24B3C"/>
    <w:rsid w:val="00B24B61"/>
    <w:rsid w:val="00B24C69"/>
    <w:rsid w:val="00B24DFF"/>
    <w:rsid w:val="00B24F21"/>
    <w:rsid w:val="00B24F2F"/>
    <w:rsid w:val="00B24F6C"/>
    <w:rsid w:val="00B2517C"/>
    <w:rsid w:val="00B2532D"/>
    <w:rsid w:val="00B254CC"/>
    <w:rsid w:val="00B256BE"/>
    <w:rsid w:val="00B257CF"/>
    <w:rsid w:val="00B25817"/>
    <w:rsid w:val="00B25A0A"/>
    <w:rsid w:val="00B25A61"/>
    <w:rsid w:val="00B25B7C"/>
    <w:rsid w:val="00B25C33"/>
    <w:rsid w:val="00B25CAD"/>
    <w:rsid w:val="00B25CD6"/>
    <w:rsid w:val="00B25D42"/>
    <w:rsid w:val="00B26056"/>
    <w:rsid w:val="00B26089"/>
    <w:rsid w:val="00B261E7"/>
    <w:rsid w:val="00B2623C"/>
    <w:rsid w:val="00B26375"/>
    <w:rsid w:val="00B26454"/>
    <w:rsid w:val="00B265BF"/>
    <w:rsid w:val="00B26712"/>
    <w:rsid w:val="00B267A0"/>
    <w:rsid w:val="00B267A5"/>
    <w:rsid w:val="00B26BE8"/>
    <w:rsid w:val="00B26C21"/>
    <w:rsid w:val="00B26D58"/>
    <w:rsid w:val="00B26E9A"/>
    <w:rsid w:val="00B26EA2"/>
    <w:rsid w:val="00B26ED9"/>
    <w:rsid w:val="00B26F04"/>
    <w:rsid w:val="00B26FA3"/>
    <w:rsid w:val="00B27060"/>
    <w:rsid w:val="00B272A6"/>
    <w:rsid w:val="00B27459"/>
    <w:rsid w:val="00B2747B"/>
    <w:rsid w:val="00B274BD"/>
    <w:rsid w:val="00B274CD"/>
    <w:rsid w:val="00B275A9"/>
    <w:rsid w:val="00B275BD"/>
    <w:rsid w:val="00B275DF"/>
    <w:rsid w:val="00B2767E"/>
    <w:rsid w:val="00B277A3"/>
    <w:rsid w:val="00B277E3"/>
    <w:rsid w:val="00B279AF"/>
    <w:rsid w:val="00B279B0"/>
    <w:rsid w:val="00B27A58"/>
    <w:rsid w:val="00B27AEF"/>
    <w:rsid w:val="00B27BA8"/>
    <w:rsid w:val="00B27D3A"/>
    <w:rsid w:val="00B27F09"/>
    <w:rsid w:val="00B2F949"/>
    <w:rsid w:val="00B30095"/>
    <w:rsid w:val="00B3044F"/>
    <w:rsid w:val="00B3047C"/>
    <w:rsid w:val="00B3079C"/>
    <w:rsid w:val="00B307B7"/>
    <w:rsid w:val="00B307D7"/>
    <w:rsid w:val="00B3084F"/>
    <w:rsid w:val="00B30963"/>
    <w:rsid w:val="00B309A2"/>
    <w:rsid w:val="00B30A78"/>
    <w:rsid w:val="00B30C2E"/>
    <w:rsid w:val="00B30D5C"/>
    <w:rsid w:val="00B30DE8"/>
    <w:rsid w:val="00B30E78"/>
    <w:rsid w:val="00B3107C"/>
    <w:rsid w:val="00B3109C"/>
    <w:rsid w:val="00B310B1"/>
    <w:rsid w:val="00B31178"/>
    <w:rsid w:val="00B312E8"/>
    <w:rsid w:val="00B313C7"/>
    <w:rsid w:val="00B313F9"/>
    <w:rsid w:val="00B3143B"/>
    <w:rsid w:val="00B314EC"/>
    <w:rsid w:val="00B31528"/>
    <w:rsid w:val="00B3167E"/>
    <w:rsid w:val="00B31691"/>
    <w:rsid w:val="00B31754"/>
    <w:rsid w:val="00B3180A"/>
    <w:rsid w:val="00B318D1"/>
    <w:rsid w:val="00B318E5"/>
    <w:rsid w:val="00B318EA"/>
    <w:rsid w:val="00B319C5"/>
    <w:rsid w:val="00B319E2"/>
    <w:rsid w:val="00B31AD4"/>
    <w:rsid w:val="00B31BBB"/>
    <w:rsid w:val="00B31CF8"/>
    <w:rsid w:val="00B31E56"/>
    <w:rsid w:val="00B31ED4"/>
    <w:rsid w:val="00B31F1B"/>
    <w:rsid w:val="00B31F66"/>
    <w:rsid w:val="00B31F95"/>
    <w:rsid w:val="00B31FF3"/>
    <w:rsid w:val="00B32022"/>
    <w:rsid w:val="00B3211D"/>
    <w:rsid w:val="00B3215E"/>
    <w:rsid w:val="00B324AD"/>
    <w:rsid w:val="00B325A7"/>
    <w:rsid w:val="00B32649"/>
    <w:rsid w:val="00B326E1"/>
    <w:rsid w:val="00B3275D"/>
    <w:rsid w:val="00B327EB"/>
    <w:rsid w:val="00B328CF"/>
    <w:rsid w:val="00B32A2A"/>
    <w:rsid w:val="00B32AA5"/>
    <w:rsid w:val="00B32B4B"/>
    <w:rsid w:val="00B32BB0"/>
    <w:rsid w:val="00B32C3D"/>
    <w:rsid w:val="00B32E2A"/>
    <w:rsid w:val="00B32E6C"/>
    <w:rsid w:val="00B330AC"/>
    <w:rsid w:val="00B330E5"/>
    <w:rsid w:val="00B331C9"/>
    <w:rsid w:val="00B33256"/>
    <w:rsid w:val="00B33285"/>
    <w:rsid w:val="00B332D6"/>
    <w:rsid w:val="00B332D8"/>
    <w:rsid w:val="00B3347F"/>
    <w:rsid w:val="00B334B5"/>
    <w:rsid w:val="00B335A9"/>
    <w:rsid w:val="00B335D1"/>
    <w:rsid w:val="00B3363E"/>
    <w:rsid w:val="00B336EC"/>
    <w:rsid w:val="00B33767"/>
    <w:rsid w:val="00B338E3"/>
    <w:rsid w:val="00B33A0C"/>
    <w:rsid w:val="00B33A89"/>
    <w:rsid w:val="00B33AB0"/>
    <w:rsid w:val="00B33B49"/>
    <w:rsid w:val="00B33C4C"/>
    <w:rsid w:val="00B33C4E"/>
    <w:rsid w:val="00B33C93"/>
    <w:rsid w:val="00B33CB3"/>
    <w:rsid w:val="00B33E28"/>
    <w:rsid w:val="00B33E7A"/>
    <w:rsid w:val="00B33EBF"/>
    <w:rsid w:val="00B33EEE"/>
    <w:rsid w:val="00B33F5B"/>
    <w:rsid w:val="00B33FF0"/>
    <w:rsid w:val="00B34051"/>
    <w:rsid w:val="00B340A0"/>
    <w:rsid w:val="00B341A6"/>
    <w:rsid w:val="00B341C8"/>
    <w:rsid w:val="00B34281"/>
    <w:rsid w:val="00B344C9"/>
    <w:rsid w:val="00B345CA"/>
    <w:rsid w:val="00B34726"/>
    <w:rsid w:val="00B3479D"/>
    <w:rsid w:val="00B34836"/>
    <w:rsid w:val="00B34882"/>
    <w:rsid w:val="00B34912"/>
    <w:rsid w:val="00B34A89"/>
    <w:rsid w:val="00B34ADA"/>
    <w:rsid w:val="00B34B00"/>
    <w:rsid w:val="00B34C45"/>
    <w:rsid w:val="00B34F01"/>
    <w:rsid w:val="00B35017"/>
    <w:rsid w:val="00B35020"/>
    <w:rsid w:val="00B351F4"/>
    <w:rsid w:val="00B3535F"/>
    <w:rsid w:val="00B353D5"/>
    <w:rsid w:val="00B353DC"/>
    <w:rsid w:val="00B354A8"/>
    <w:rsid w:val="00B35532"/>
    <w:rsid w:val="00B355A2"/>
    <w:rsid w:val="00B355F1"/>
    <w:rsid w:val="00B356F2"/>
    <w:rsid w:val="00B35873"/>
    <w:rsid w:val="00B358A9"/>
    <w:rsid w:val="00B358C3"/>
    <w:rsid w:val="00B35A27"/>
    <w:rsid w:val="00B35A58"/>
    <w:rsid w:val="00B35B3B"/>
    <w:rsid w:val="00B35BD0"/>
    <w:rsid w:val="00B35C88"/>
    <w:rsid w:val="00B35E75"/>
    <w:rsid w:val="00B360EE"/>
    <w:rsid w:val="00B36138"/>
    <w:rsid w:val="00B36150"/>
    <w:rsid w:val="00B361A5"/>
    <w:rsid w:val="00B361C0"/>
    <w:rsid w:val="00B362EB"/>
    <w:rsid w:val="00B3637C"/>
    <w:rsid w:val="00B3646A"/>
    <w:rsid w:val="00B364C0"/>
    <w:rsid w:val="00B364C1"/>
    <w:rsid w:val="00B364D3"/>
    <w:rsid w:val="00B3653C"/>
    <w:rsid w:val="00B3657D"/>
    <w:rsid w:val="00B3662C"/>
    <w:rsid w:val="00B3663E"/>
    <w:rsid w:val="00B366B0"/>
    <w:rsid w:val="00B36703"/>
    <w:rsid w:val="00B3677A"/>
    <w:rsid w:val="00B367EB"/>
    <w:rsid w:val="00B3691C"/>
    <w:rsid w:val="00B36960"/>
    <w:rsid w:val="00B36A71"/>
    <w:rsid w:val="00B36B70"/>
    <w:rsid w:val="00B36E0F"/>
    <w:rsid w:val="00B36FCC"/>
    <w:rsid w:val="00B3710E"/>
    <w:rsid w:val="00B37162"/>
    <w:rsid w:val="00B3737E"/>
    <w:rsid w:val="00B37429"/>
    <w:rsid w:val="00B3743E"/>
    <w:rsid w:val="00B37769"/>
    <w:rsid w:val="00B3782F"/>
    <w:rsid w:val="00B378A8"/>
    <w:rsid w:val="00B378F9"/>
    <w:rsid w:val="00B37904"/>
    <w:rsid w:val="00B37957"/>
    <w:rsid w:val="00B379DB"/>
    <w:rsid w:val="00B37A22"/>
    <w:rsid w:val="00B37AD9"/>
    <w:rsid w:val="00B37AF4"/>
    <w:rsid w:val="00B37B2F"/>
    <w:rsid w:val="00B37B6B"/>
    <w:rsid w:val="00B37C11"/>
    <w:rsid w:val="00B37CA9"/>
    <w:rsid w:val="00B37CFC"/>
    <w:rsid w:val="00B37F65"/>
    <w:rsid w:val="00B40362"/>
    <w:rsid w:val="00B4064C"/>
    <w:rsid w:val="00B407BA"/>
    <w:rsid w:val="00B4095C"/>
    <w:rsid w:val="00B40966"/>
    <w:rsid w:val="00B40A04"/>
    <w:rsid w:val="00B40C0C"/>
    <w:rsid w:val="00B40C1C"/>
    <w:rsid w:val="00B40CEC"/>
    <w:rsid w:val="00B40D66"/>
    <w:rsid w:val="00B40ED8"/>
    <w:rsid w:val="00B40F9C"/>
    <w:rsid w:val="00B40FCA"/>
    <w:rsid w:val="00B41286"/>
    <w:rsid w:val="00B414FA"/>
    <w:rsid w:val="00B4175E"/>
    <w:rsid w:val="00B417F8"/>
    <w:rsid w:val="00B41B89"/>
    <w:rsid w:val="00B41BEB"/>
    <w:rsid w:val="00B41C71"/>
    <w:rsid w:val="00B41CAA"/>
    <w:rsid w:val="00B41D26"/>
    <w:rsid w:val="00B41E0D"/>
    <w:rsid w:val="00B41E83"/>
    <w:rsid w:val="00B41EE4"/>
    <w:rsid w:val="00B41EFA"/>
    <w:rsid w:val="00B41FA4"/>
    <w:rsid w:val="00B4204A"/>
    <w:rsid w:val="00B421BC"/>
    <w:rsid w:val="00B421F7"/>
    <w:rsid w:val="00B42254"/>
    <w:rsid w:val="00B423E2"/>
    <w:rsid w:val="00B42513"/>
    <w:rsid w:val="00B42520"/>
    <w:rsid w:val="00B425A3"/>
    <w:rsid w:val="00B42AAC"/>
    <w:rsid w:val="00B42B99"/>
    <w:rsid w:val="00B42BC9"/>
    <w:rsid w:val="00B42DD2"/>
    <w:rsid w:val="00B42E87"/>
    <w:rsid w:val="00B42F98"/>
    <w:rsid w:val="00B4315F"/>
    <w:rsid w:val="00B4322E"/>
    <w:rsid w:val="00B4330F"/>
    <w:rsid w:val="00B4334A"/>
    <w:rsid w:val="00B43351"/>
    <w:rsid w:val="00B4345B"/>
    <w:rsid w:val="00B434AE"/>
    <w:rsid w:val="00B43558"/>
    <w:rsid w:val="00B4373B"/>
    <w:rsid w:val="00B43748"/>
    <w:rsid w:val="00B43799"/>
    <w:rsid w:val="00B43955"/>
    <w:rsid w:val="00B43971"/>
    <w:rsid w:val="00B43981"/>
    <w:rsid w:val="00B43A1A"/>
    <w:rsid w:val="00B43A6D"/>
    <w:rsid w:val="00B43AD2"/>
    <w:rsid w:val="00B43B58"/>
    <w:rsid w:val="00B43B6A"/>
    <w:rsid w:val="00B43B80"/>
    <w:rsid w:val="00B43D3A"/>
    <w:rsid w:val="00B43D76"/>
    <w:rsid w:val="00B43ED7"/>
    <w:rsid w:val="00B43F54"/>
    <w:rsid w:val="00B440B7"/>
    <w:rsid w:val="00B440CE"/>
    <w:rsid w:val="00B4427C"/>
    <w:rsid w:val="00B44381"/>
    <w:rsid w:val="00B44689"/>
    <w:rsid w:val="00B44756"/>
    <w:rsid w:val="00B4478F"/>
    <w:rsid w:val="00B447D3"/>
    <w:rsid w:val="00B447DF"/>
    <w:rsid w:val="00B4486D"/>
    <w:rsid w:val="00B44890"/>
    <w:rsid w:val="00B44A27"/>
    <w:rsid w:val="00B44AD9"/>
    <w:rsid w:val="00B44B9A"/>
    <w:rsid w:val="00B44DE1"/>
    <w:rsid w:val="00B44F68"/>
    <w:rsid w:val="00B450EC"/>
    <w:rsid w:val="00B45121"/>
    <w:rsid w:val="00B4512B"/>
    <w:rsid w:val="00B453C8"/>
    <w:rsid w:val="00B4555A"/>
    <w:rsid w:val="00B455AD"/>
    <w:rsid w:val="00B455D3"/>
    <w:rsid w:val="00B455E6"/>
    <w:rsid w:val="00B457E8"/>
    <w:rsid w:val="00B4586B"/>
    <w:rsid w:val="00B458F6"/>
    <w:rsid w:val="00B4592C"/>
    <w:rsid w:val="00B45993"/>
    <w:rsid w:val="00B45B79"/>
    <w:rsid w:val="00B45C47"/>
    <w:rsid w:val="00B45DAE"/>
    <w:rsid w:val="00B45E44"/>
    <w:rsid w:val="00B45EA8"/>
    <w:rsid w:val="00B45F69"/>
    <w:rsid w:val="00B46084"/>
    <w:rsid w:val="00B4609A"/>
    <w:rsid w:val="00B4611B"/>
    <w:rsid w:val="00B461BE"/>
    <w:rsid w:val="00B461ED"/>
    <w:rsid w:val="00B46289"/>
    <w:rsid w:val="00B462C6"/>
    <w:rsid w:val="00B4633C"/>
    <w:rsid w:val="00B4652B"/>
    <w:rsid w:val="00B4659F"/>
    <w:rsid w:val="00B465BA"/>
    <w:rsid w:val="00B465E5"/>
    <w:rsid w:val="00B4660D"/>
    <w:rsid w:val="00B4670E"/>
    <w:rsid w:val="00B468D4"/>
    <w:rsid w:val="00B46A92"/>
    <w:rsid w:val="00B46AFF"/>
    <w:rsid w:val="00B46DAE"/>
    <w:rsid w:val="00B46F0E"/>
    <w:rsid w:val="00B47121"/>
    <w:rsid w:val="00B47161"/>
    <w:rsid w:val="00B4721C"/>
    <w:rsid w:val="00B47294"/>
    <w:rsid w:val="00B472D1"/>
    <w:rsid w:val="00B47320"/>
    <w:rsid w:val="00B4740B"/>
    <w:rsid w:val="00B47437"/>
    <w:rsid w:val="00B474CE"/>
    <w:rsid w:val="00B474E4"/>
    <w:rsid w:val="00B47533"/>
    <w:rsid w:val="00B47597"/>
    <w:rsid w:val="00B47735"/>
    <w:rsid w:val="00B47775"/>
    <w:rsid w:val="00B47798"/>
    <w:rsid w:val="00B47862"/>
    <w:rsid w:val="00B479F2"/>
    <w:rsid w:val="00B47A87"/>
    <w:rsid w:val="00B47A8A"/>
    <w:rsid w:val="00B47B92"/>
    <w:rsid w:val="00B47BC6"/>
    <w:rsid w:val="00B47C6D"/>
    <w:rsid w:val="00B47E46"/>
    <w:rsid w:val="00B47EA9"/>
    <w:rsid w:val="00B47EC7"/>
    <w:rsid w:val="00B47EF1"/>
    <w:rsid w:val="00B47F8B"/>
    <w:rsid w:val="00B5000F"/>
    <w:rsid w:val="00B50195"/>
    <w:rsid w:val="00B5020C"/>
    <w:rsid w:val="00B502F9"/>
    <w:rsid w:val="00B50331"/>
    <w:rsid w:val="00B504A6"/>
    <w:rsid w:val="00B504F6"/>
    <w:rsid w:val="00B5057F"/>
    <w:rsid w:val="00B50593"/>
    <w:rsid w:val="00B50634"/>
    <w:rsid w:val="00B50679"/>
    <w:rsid w:val="00B506BB"/>
    <w:rsid w:val="00B5081D"/>
    <w:rsid w:val="00B50828"/>
    <w:rsid w:val="00B50B57"/>
    <w:rsid w:val="00B50BB1"/>
    <w:rsid w:val="00B50CEE"/>
    <w:rsid w:val="00B50DA4"/>
    <w:rsid w:val="00B50DF1"/>
    <w:rsid w:val="00B50E82"/>
    <w:rsid w:val="00B51072"/>
    <w:rsid w:val="00B5109E"/>
    <w:rsid w:val="00B510AA"/>
    <w:rsid w:val="00B51128"/>
    <w:rsid w:val="00B51203"/>
    <w:rsid w:val="00B5129C"/>
    <w:rsid w:val="00B5141E"/>
    <w:rsid w:val="00B5144E"/>
    <w:rsid w:val="00B5164D"/>
    <w:rsid w:val="00B51804"/>
    <w:rsid w:val="00B519CF"/>
    <w:rsid w:val="00B51ABE"/>
    <w:rsid w:val="00B51B46"/>
    <w:rsid w:val="00B51C5B"/>
    <w:rsid w:val="00B51F11"/>
    <w:rsid w:val="00B51F96"/>
    <w:rsid w:val="00B520A7"/>
    <w:rsid w:val="00B520B7"/>
    <w:rsid w:val="00B5212F"/>
    <w:rsid w:val="00B521A0"/>
    <w:rsid w:val="00B5238A"/>
    <w:rsid w:val="00B52643"/>
    <w:rsid w:val="00B5264F"/>
    <w:rsid w:val="00B5286C"/>
    <w:rsid w:val="00B52883"/>
    <w:rsid w:val="00B52AFB"/>
    <w:rsid w:val="00B52C06"/>
    <w:rsid w:val="00B52D94"/>
    <w:rsid w:val="00B52DF4"/>
    <w:rsid w:val="00B52E2F"/>
    <w:rsid w:val="00B52EB7"/>
    <w:rsid w:val="00B52F1F"/>
    <w:rsid w:val="00B52FFC"/>
    <w:rsid w:val="00B53028"/>
    <w:rsid w:val="00B53063"/>
    <w:rsid w:val="00B530FF"/>
    <w:rsid w:val="00B53135"/>
    <w:rsid w:val="00B53173"/>
    <w:rsid w:val="00B5317E"/>
    <w:rsid w:val="00B53199"/>
    <w:rsid w:val="00B53374"/>
    <w:rsid w:val="00B5337B"/>
    <w:rsid w:val="00B5337C"/>
    <w:rsid w:val="00B53492"/>
    <w:rsid w:val="00B53624"/>
    <w:rsid w:val="00B5387A"/>
    <w:rsid w:val="00B5389D"/>
    <w:rsid w:val="00B53CB0"/>
    <w:rsid w:val="00B53D00"/>
    <w:rsid w:val="00B53D0E"/>
    <w:rsid w:val="00B53F00"/>
    <w:rsid w:val="00B54112"/>
    <w:rsid w:val="00B543BC"/>
    <w:rsid w:val="00B54436"/>
    <w:rsid w:val="00B547BE"/>
    <w:rsid w:val="00B54B7D"/>
    <w:rsid w:val="00B54C9D"/>
    <w:rsid w:val="00B54E7A"/>
    <w:rsid w:val="00B54FA5"/>
    <w:rsid w:val="00B550A7"/>
    <w:rsid w:val="00B55187"/>
    <w:rsid w:val="00B5523D"/>
    <w:rsid w:val="00B55251"/>
    <w:rsid w:val="00B552E2"/>
    <w:rsid w:val="00B55391"/>
    <w:rsid w:val="00B5540B"/>
    <w:rsid w:val="00B5551D"/>
    <w:rsid w:val="00B5552C"/>
    <w:rsid w:val="00B555B3"/>
    <w:rsid w:val="00B5567B"/>
    <w:rsid w:val="00B55689"/>
    <w:rsid w:val="00B556AA"/>
    <w:rsid w:val="00B557FC"/>
    <w:rsid w:val="00B55838"/>
    <w:rsid w:val="00B55BCD"/>
    <w:rsid w:val="00B55D0F"/>
    <w:rsid w:val="00B55DCD"/>
    <w:rsid w:val="00B55E15"/>
    <w:rsid w:val="00B56098"/>
    <w:rsid w:val="00B5642E"/>
    <w:rsid w:val="00B5645E"/>
    <w:rsid w:val="00B56518"/>
    <w:rsid w:val="00B56642"/>
    <w:rsid w:val="00B5665D"/>
    <w:rsid w:val="00B5671D"/>
    <w:rsid w:val="00B56728"/>
    <w:rsid w:val="00B56916"/>
    <w:rsid w:val="00B5698A"/>
    <w:rsid w:val="00B56B58"/>
    <w:rsid w:val="00B56C09"/>
    <w:rsid w:val="00B56C1D"/>
    <w:rsid w:val="00B56CC5"/>
    <w:rsid w:val="00B56CFE"/>
    <w:rsid w:val="00B56DCF"/>
    <w:rsid w:val="00B56EBC"/>
    <w:rsid w:val="00B57154"/>
    <w:rsid w:val="00B57431"/>
    <w:rsid w:val="00B57447"/>
    <w:rsid w:val="00B574FD"/>
    <w:rsid w:val="00B57512"/>
    <w:rsid w:val="00B576DB"/>
    <w:rsid w:val="00B5772E"/>
    <w:rsid w:val="00B577ED"/>
    <w:rsid w:val="00B5780E"/>
    <w:rsid w:val="00B5781F"/>
    <w:rsid w:val="00B578B0"/>
    <w:rsid w:val="00B578DB"/>
    <w:rsid w:val="00B5798D"/>
    <w:rsid w:val="00B57A7F"/>
    <w:rsid w:val="00B57C8B"/>
    <w:rsid w:val="00B57D5B"/>
    <w:rsid w:val="00B57F64"/>
    <w:rsid w:val="00B601A1"/>
    <w:rsid w:val="00B601F7"/>
    <w:rsid w:val="00B60237"/>
    <w:rsid w:val="00B60243"/>
    <w:rsid w:val="00B60269"/>
    <w:rsid w:val="00B6026E"/>
    <w:rsid w:val="00B6033F"/>
    <w:rsid w:val="00B603D1"/>
    <w:rsid w:val="00B6041B"/>
    <w:rsid w:val="00B60456"/>
    <w:rsid w:val="00B60610"/>
    <w:rsid w:val="00B60659"/>
    <w:rsid w:val="00B606CA"/>
    <w:rsid w:val="00B60701"/>
    <w:rsid w:val="00B60798"/>
    <w:rsid w:val="00B608D2"/>
    <w:rsid w:val="00B609DA"/>
    <w:rsid w:val="00B60AFE"/>
    <w:rsid w:val="00B60E7D"/>
    <w:rsid w:val="00B60EEB"/>
    <w:rsid w:val="00B6115A"/>
    <w:rsid w:val="00B611D7"/>
    <w:rsid w:val="00B611EE"/>
    <w:rsid w:val="00B611F2"/>
    <w:rsid w:val="00B613CA"/>
    <w:rsid w:val="00B6140C"/>
    <w:rsid w:val="00B6144F"/>
    <w:rsid w:val="00B6159C"/>
    <w:rsid w:val="00B616E4"/>
    <w:rsid w:val="00B616EF"/>
    <w:rsid w:val="00B617DE"/>
    <w:rsid w:val="00B61805"/>
    <w:rsid w:val="00B6180C"/>
    <w:rsid w:val="00B618C5"/>
    <w:rsid w:val="00B61A15"/>
    <w:rsid w:val="00B61CDD"/>
    <w:rsid w:val="00B61D76"/>
    <w:rsid w:val="00B61ED8"/>
    <w:rsid w:val="00B61F1E"/>
    <w:rsid w:val="00B6203A"/>
    <w:rsid w:val="00B6210F"/>
    <w:rsid w:val="00B62137"/>
    <w:rsid w:val="00B622DB"/>
    <w:rsid w:val="00B623D4"/>
    <w:rsid w:val="00B624C4"/>
    <w:rsid w:val="00B62697"/>
    <w:rsid w:val="00B628A7"/>
    <w:rsid w:val="00B62A1E"/>
    <w:rsid w:val="00B62A50"/>
    <w:rsid w:val="00B62BD3"/>
    <w:rsid w:val="00B62BF6"/>
    <w:rsid w:val="00B62C3D"/>
    <w:rsid w:val="00B62D2E"/>
    <w:rsid w:val="00B62D84"/>
    <w:rsid w:val="00B62DFF"/>
    <w:rsid w:val="00B630FB"/>
    <w:rsid w:val="00B6320C"/>
    <w:rsid w:val="00B63460"/>
    <w:rsid w:val="00B63478"/>
    <w:rsid w:val="00B634F2"/>
    <w:rsid w:val="00B63505"/>
    <w:rsid w:val="00B63589"/>
    <w:rsid w:val="00B6358B"/>
    <w:rsid w:val="00B6378B"/>
    <w:rsid w:val="00B637FC"/>
    <w:rsid w:val="00B63A04"/>
    <w:rsid w:val="00B63A07"/>
    <w:rsid w:val="00B63B23"/>
    <w:rsid w:val="00B63BD0"/>
    <w:rsid w:val="00B63C14"/>
    <w:rsid w:val="00B63C87"/>
    <w:rsid w:val="00B63D12"/>
    <w:rsid w:val="00B63E06"/>
    <w:rsid w:val="00B640EC"/>
    <w:rsid w:val="00B6432B"/>
    <w:rsid w:val="00B643BB"/>
    <w:rsid w:val="00B64647"/>
    <w:rsid w:val="00B646B7"/>
    <w:rsid w:val="00B646BC"/>
    <w:rsid w:val="00B646DC"/>
    <w:rsid w:val="00B64705"/>
    <w:rsid w:val="00B6473E"/>
    <w:rsid w:val="00B64827"/>
    <w:rsid w:val="00B6489F"/>
    <w:rsid w:val="00B648E0"/>
    <w:rsid w:val="00B64A17"/>
    <w:rsid w:val="00B64B06"/>
    <w:rsid w:val="00B64B87"/>
    <w:rsid w:val="00B64CE4"/>
    <w:rsid w:val="00B64DFD"/>
    <w:rsid w:val="00B64EC7"/>
    <w:rsid w:val="00B64F54"/>
    <w:rsid w:val="00B64FB9"/>
    <w:rsid w:val="00B6509E"/>
    <w:rsid w:val="00B651CF"/>
    <w:rsid w:val="00B652DD"/>
    <w:rsid w:val="00B6538B"/>
    <w:rsid w:val="00B654BF"/>
    <w:rsid w:val="00B65627"/>
    <w:rsid w:val="00B6562A"/>
    <w:rsid w:val="00B65657"/>
    <w:rsid w:val="00B656F2"/>
    <w:rsid w:val="00B65726"/>
    <w:rsid w:val="00B6586A"/>
    <w:rsid w:val="00B659C6"/>
    <w:rsid w:val="00B659ED"/>
    <w:rsid w:val="00B65BBC"/>
    <w:rsid w:val="00B65C51"/>
    <w:rsid w:val="00B65C6A"/>
    <w:rsid w:val="00B65CA8"/>
    <w:rsid w:val="00B65D60"/>
    <w:rsid w:val="00B65D71"/>
    <w:rsid w:val="00B65DE8"/>
    <w:rsid w:val="00B65EA4"/>
    <w:rsid w:val="00B65F41"/>
    <w:rsid w:val="00B6602E"/>
    <w:rsid w:val="00B6622F"/>
    <w:rsid w:val="00B662AF"/>
    <w:rsid w:val="00B662C4"/>
    <w:rsid w:val="00B66305"/>
    <w:rsid w:val="00B66366"/>
    <w:rsid w:val="00B66402"/>
    <w:rsid w:val="00B66559"/>
    <w:rsid w:val="00B66A4C"/>
    <w:rsid w:val="00B66C0B"/>
    <w:rsid w:val="00B66C84"/>
    <w:rsid w:val="00B66DB1"/>
    <w:rsid w:val="00B66F20"/>
    <w:rsid w:val="00B6700D"/>
    <w:rsid w:val="00B670B9"/>
    <w:rsid w:val="00B67143"/>
    <w:rsid w:val="00B675EC"/>
    <w:rsid w:val="00B67612"/>
    <w:rsid w:val="00B6762E"/>
    <w:rsid w:val="00B67847"/>
    <w:rsid w:val="00B678CE"/>
    <w:rsid w:val="00B678EE"/>
    <w:rsid w:val="00B67982"/>
    <w:rsid w:val="00B67BF1"/>
    <w:rsid w:val="00B67E26"/>
    <w:rsid w:val="00B67FAB"/>
    <w:rsid w:val="00B67FEF"/>
    <w:rsid w:val="00B70177"/>
    <w:rsid w:val="00B70223"/>
    <w:rsid w:val="00B702B6"/>
    <w:rsid w:val="00B702C9"/>
    <w:rsid w:val="00B7038A"/>
    <w:rsid w:val="00B70416"/>
    <w:rsid w:val="00B7051C"/>
    <w:rsid w:val="00B705AB"/>
    <w:rsid w:val="00B705FE"/>
    <w:rsid w:val="00B70609"/>
    <w:rsid w:val="00B70645"/>
    <w:rsid w:val="00B707B9"/>
    <w:rsid w:val="00B707EB"/>
    <w:rsid w:val="00B70AA5"/>
    <w:rsid w:val="00B70B4C"/>
    <w:rsid w:val="00B70E5F"/>
    <w:rsid w:val="00B70F7A"/>
    <w:rsid w:val="00B71057"/>
    <w:rsid w:val="00B710BF"/>
    <w:rsid w:val="00B710D2"/>
    <w:rsid w:val="00B7115D"/>
    <w:rsid w:val="00B711E5"/>
    <w:rsid w:val="00B712A2"/>
    <w:rsid w:val="00B712D4"/>
    <w:rsid w:val="00B71438"/>
    <w:rsid w:val="00B71679"/>
    <w:rsid w:val="00B716B3"/>
    <w:rsid w:val="00B716EF"/>
    <w:rsid w:val="00B71726"/>
    <w:rsid w:val="00B71821"/>
    <w:rsid w:val="00B71915"/>
    <w:rsid w:val="00B71B38"/>
    <w:rsid w:val="00B71CFE"/>
    <w:rsid w:val="00B71EA5"/>
    <w:rsid w:val="00B72097"/>
    <w:rsid w:val="00B720BE"/>
    <w:rsid w:val="00B72143"/>
    <w:rsid w:val="00B72272"/>
    <w:rsid w:val="00B722DA"/>
    <w:rsid w:val="00B72317"/>
    <w:rsid w:val="00B72332"/>
    <w:rsid w:val="00B72508"/>
    <w:rsid w:val="00B72599"/>
    <w:rsid w:val="00B725F2"/>
    <w:rsid w:val="00B7261C"/>
    <w:rsid w:val="00B7268B"/>
    <w:rsid w:val="00B72710"/>
    <w:rsid w:val="00B72759"/>
    <w:rsid w:val="00B72962"/>
    <w:rsid w:val="00B729AE"/>
    <w:rsid w:val="00B72CCE"/>
    <w:rsid w:val="00B72DBB"/>
    <w:rsid w:val="00B72E17"/>
    <w:rsid w:val="00B73013"/>
    <w:rsid w:val="00B7309A"/>
    <w:rsid w:val="00B730B9"/>
    <w:rsid w:val="00B7316B"/>
    <w:rsid w:val="00B731D8"/>
    <w:rsid w:val="00B733A5"/>
    <w:rsid w:val="00B733B3"/>
    <w:rsid w:val="00B733EB"/>
    <w:rsid w:val="00B73639"/>
    <w:rsid w:val="00B7370A"/>
    <w:rsid w:val="00B737F9"/>
    <w:rsid w:val="00B738F8"/>
    <w:rsid w:val="00B7390D"/>
    <w:rsid w:val="00B73954"/>
    <w:rsid w:val="00B739D2"/>
    <w:rsid w:val="00B73BB0"/>
    <w:rsid w:val="00B73C06"/>
    <w:rsid w:val="00B73D0D"/>
    <w:rsid w:val="00B73DB5"/>
    <w:rsid w:val="00B73DCD"/>
    <w:rsid w:val="00B73E73"/>
    <w:rsid w:val="00B73F64"/>
    <w:rsid w:val="00B74128"/>
    <w:rsid w:val="00B7413C"/>
    <w:rsid w:val="00B74472"/>
    <w:rsid w:val="00B745B9"/>
    <w:rsid w:val="00B747B6"/>
    <w:rsid w:val="00B7486E"/>
    <w:rsid w:val="00B74879"/>
    <w:rsid w:val="00B74BEF"/>
    <w:rsid w:val="00B74CD9"/>
    <w:rsid w:val="00B74D1A"/>
    <w:rsid w:val="00B74E3D"/>
    <w:rsid w:val="00B74EA9"/>
    <w:rsid w:val="00B74FEC"/>
    <w:rsid w:val="00B7501C"/>
    <w:rsid w:val="00B75099"/>
    <w:rsid w:val="00B750C4"/>
    <w:rsid w:val="00B75187"/>
    <w:rsid w:val="00B751D3"/>
    <w:rsid w:val="00B7526D"/>
    <w:rsid w:val="00B753D7"/>
    <w:rsid w:val="00B75420"/>
    <w:rsid w:val="00B754F4"/>
    <w:rsid w:val="00B75564"/>
    <w:rsid w:val="00B75668"/>
    <w:rsid w:val="00B75781"/>
    <w:rsid w:val="00B7579E"/>
    <w:rsid w:val="00B75833"/>
    <w:rsid w:val="00B7588E"/>
    <w:rsid w:val="00B75902"/>
    <w:rsid w:val="00B7598B"/>
    <w:rsid w:val="00B75AAC"/>
    <w:rsid w:val="00B75B2C"/>
    <w:rsid w:val="00B75BE9"/>
    <w:rsid w:val="00B75C6F"/>
    <w:rsid w:val="00B75CE8"/>
    <w:rsid w:val="00B75D08"/>
    <w:rsid w:val="00B75D9A"/>
    <w:rsid w:val="00B75DDE"/>
    <w:rsid w:val="00B75E1C"/>
    <w:rsid w:val="00B75F38"/>
    <w:rsid w:val="00B75FCC"/>
    <w:rsid w:val="00B76108"/>
    <w:rsid w:val="00B7615E"/>
    <w:rsid w:val="00B76271"/>
    <w:rsid w:val="00B7638F"/>
    <w:rsid w:val="00B768C1"/>
    <w:rsid w:val="00B7691C"/>
    <w:rsid w:val="00B76A05"/>
    <w:rsid w:val="00B76EF2"/>
    <w:rsid w:val="00B76F45"/>
    <w:rsid w:val="00B76FD1"/>
    <w:rsid w:val="00B77010"/>
    <w:rsid w:val="00B77027"/>
    <w:rsid w:val="00B770B7"/>
    <w:rsid w:val="00B770C3"/>
    <w:rsid w:val="00B7711C"/>
    <w:rsid w:val="00B77168"/>
    <w:rsid w:val="00B77241"/>
    <w:rsid w:val="00B7738B"/>
    <w:rsid w:val="00B774EF"/>
    <w:rsid w:val="00B7750C"/>
    <w:rsid w:val="00B7763B"/>
    <w:rsid w:val="00B77835"/>
    <w:rsid w:val="00B77C16"/>
    <w:rsid w:val="00B77C43"/>
    <w:rsid w:val="00B77CA0"/>
    <w:rsid w:val="00B77D2D"/>
    <w:rsid w:val="00B77D48"/>
    <w:rsid w:val="00B77D7A"/>
    <w:rsid w:val="00B77E3C"/>
    <w:rsid w:val="00B77FEC"/>
    <w:rsid w:val="00B80092"/>
    <w:rsid w:val="00B800E2"/>
    <w:rsid w:val="00B8012F"/>
    <w:rsid w:val="00B801DA"/>
    <w:rsid w:val="00B8020B"/>
    <w:rsid w:val="00B80259"/>
    <w:rsid w:val="00B80341"/>
    <w:rsid w:val="00B80492"/>
    <w:rsid w:val="00B8065A"/>
    <w:rsid w:val="00B808AF"/>
    <w:rsid w:val="00B80918"/>
    <w:rsid w:val="00B809C6"/>
    <w:rsid w:val="00B80CD2"/>
    <w:rsid w:val="00B80CF2"/>
    <w:rsid w:val="00B80DA3"/>
    <w:rsid w:val="00B80DD3"/>
    <w:rsid w:val="00B80DE8"/>
    <w:rsid w:val="00B81024"/>
    <w:rsid w:val="00B81134"/>
    <w:rsid w:val="00B81142"/>
    <w:rsid w:val="00B8126B"/>
    <w:rsid w:val="00B81299"/>
    <w:rsid w:val="00B8136B"/>
    <w:rsid w:val="00B81396"/>
    <w:rsid w:val="00B813EC"/>
    <w:rsid w:val="00B814F4"/>
    <w:rsid w:val="00B81549"/>
    <w:rsid w:val="00B817B1"/>
    <w:rsid w:val="00B81835"/>
    <w:rsid w:val="00B8189E"/>
    <w:rsid w:val="00B819B5"/>
    <w:rsid w:val="00B81A09"/>
    <w:rsid w:val="00B81AF3"/>
    <w:rsid w:val="00B81B23"/>
    <w:rsid w:val="00B81B55"/>
    <w:rsid w:val="00B81B71"/>
    <w:rsid w:val="00B81B7B"/>
    <w:rsid w:val="00B81BAE"/>
    <w:rsid w:val="00B81CD0"/>
    <w:rsid w:val="00B81CEC"/>
    <w:rsid w:val="00B81D00"/>
    <w:rsid w:val="00B81D0F"/>
    <w:rsid w:val="00B81D42"/>
    <w:rsid w:val="00B81D7C"/>
    <w:rsid w:val="00B81DF2"/>
    <w:rsid w:val="00B81E7A"/>
    <w:rsid w:val="00B81F32"/>
    <w:rsid w:val="00B81F99"/>
    <w:rsid w:val="00B81FCF"/>
    <w:rsid w:val="00B82072"/>
    <w:rsid w:val="00B8208D"/>
    <w:rsid w:val="00B82103"/>
    <w:rsid w:val="00B82242"/>
    <w:rsid w:val="00B822D6"/>
    <w:rsid w:val="00B8234F"/>
    <w:rsid w:val="00B8235B"/>
    <w:rsid w:val="00B82439"/>
    <w:rsid w:val="00B82580"/>
    <w:rsid w:val="00B825CF"/>
    <w:rsid w:val="00B826A3"/>
    <w:rsid w:val="00B8270F"/>
    <w:rsid w:val="00B82763"/>
    <w:rsid w:val="00B827A4"/>
    <w:rsid w:val="00B827EF"/>
    <w:rsid w:val="00B8283A"/>
    <w:rsid w:val="00B8289C"/>
    <w:rsid w:val="00B828A5"/>
    <w:rsid w:val="00B828F7"/>
    <w:rsid w:val="00B82904"/>
    <w:rsid w:val="00B82932"/>
    <w:rsid w:val="00B82A86"/>
    <w:rsid w:val="00B82BFD"/>
    <w:rsid w:val="00B82CC5"/>
    <w:rsid w:val="00B82CE7"/>
    <w:rsid w:val="00B82DA8"/>
    <w:rsid w:val="00B82DD3"/>
    <w:rsid w:val="00B82F01"/>
    <w:rsid w:val="00B8301A"/>
    <w:rsid w:val="00B8306D"/>
    <w:rsid w:val="00B83112"/>
    <w:rsid w:val="00B832EE"/>
    <w:rsid w:val="00B8332B"/>
    <w:rsid w:val="00B8347F"/>
    <w:rsid w:val="00B83603"/>
    <w:rsid w:val="00B83605"/>
    <w:rsid w:val="00B8365A"/>
    <w:rsid w:val="00B83677"/>
    <w:rsid w:val="00B83753"/>
    <w:rsid w:val="00B83952"/>
    <w:rsid w:val="00B83C14"/>
    <w:rsid w:val="00B83C60"/>
    <w:rsid w:val="00B83C76"/>
    <w:rsid w:val="00B83C7F"/>
    <w:rsid w:val="00B83C85"/>
    <w:rsid w:val="00B83D2E"/>
    <w:rsid w:val="00B83DC5"/>
    <w:rsid w:val="00B83E22"/>
    <w:rsid w:val="00B83E61"/>
    <w:rsid w:val="00B83EAB"/>
    <w:rsid w:val="00B8401D"/>
    <w:rsid w:val="00B840D9"/>
    <w:rsid w:val="00B840F5"/>
    <w:rsid w:val="00B84236"/>
    <w:rsid w:val="00B8428B"/>
    <w:rsid w:val="00B843DA"/>
    <w:rsid w:val="00B8446C"/>
    <w:rsid w:val="00B844C8"/>
    <w:rsid w:val="00B84ACA"/>
    <w:rsid w:val="00B84AD8"/>
    <w:rsid w:val="00B84B2A"/>
    <w:rsid w:val="00B84B45"/>
    <w:rsid w:val="00B84C55"/>
    <w:rsid w:val="00B84C5A"/>
    <w:rsid w:val="00B84CAE"/>
    <w:rsid w:val="00B851B4"/>
    <w:rsid w:val="00B85349"/>
    <w:rsid w:val="00B855CE"/>
    <w:rsid w:val="00B85607"/>
    <w:rsid w:val="00B856E0"/>
    <w:rsid w:val="00B85754"/>
    <w:rsid w:val="00B85875"/>
    <w:rsid w:val="00B85890"/>
    <w:rsid w:val="00B858B9"/>
    <w:rsid w:val="00B858CC"/>
    <w:rsid w:val="00B85A87"/>
    <w:rsid w:val="00B85C65"/>
    <w:rsid w:val="00B85C75"/>
    <w:rsid w:val="00B85E90"/>
    <w:rsid w:val="00B85EDA"/>
    <w:rsid w:val="00B85FE9"/>
    <w:rsid w:val="00B86024"/>
    <w:rsid w:val="00B86029"/>
    <w:rsid w:val="00B86196"/>
    <w:rsid w:val="00B8629A"/>
    <w:rsid w:val="00B86300"/>
    <w:rsid w:val="00B864A2"/>
    <w:rsid w:val="00B86569"/>
    <w:rsid w:val="00B86627"/>
    <w:rsid w:val="00B866A5"/>
    <w:rsid w:val="00B8675F"/>
    <w:rsid w:val="00B867EC"/>
    <w:rsid w:val="00B86832"/>
    <w:rsid w:val="00B86A83"/>
    <w:rsid w:val="00B86B44"/>
    <w:rsid w:val="00B86C6C"/>
    <w:rsid w:val="00B86CDF"/>
    <w:rsid w:val="00B86E23"/>
    <w:rsid w:val="00B87038"/>
    <w:rsid w:val="00B870F8"/>
    <w:rsid w:val="00B8714E"/>
    <w:rsid w:val="00B8723E"/>
    <w:rsid w:val="00B87568"/>
    <w:rsid w:val="00B87664"/>
    <w:rsid w:val="00B876E3"/>
    <w:rsid w:val="00B87743"/>
    <w:rsid w:val="00B8785B"/>
    <w:rsid w:val="00B87888"/>
    <w:rsid w:val="00B879C3"/>
    <w:rsid w:val="00B87C59"/>
    <w:rsid w:val="00B87C6B"/>
    <w:rsid w:val="00B87D4C"/>
    <w:rsid w:val="00B87F86"/>
    <w:rsid w:val="00B87F8B"/>
    <w:rsid w:val="00B901AB"/>
    <w:rsid w:val="00B90356"/>
    <w:rsid w:val="00B903AC"/>
    <w:rsid w:val="00B904CA"/>
    <w:rsid w:val="00B9055A"/>
    <w:rsid w:val="00B9060C"/>
    <w:rsid w:val="00B9061C"/>
    <w:rsid w:val="00B90868"/>
    <w:rsid w:val="00B90939"/>
    <w:rsid w:val="00B90975"/>
    <w:rsid w:val="00B90B70"/>
    <w:rsid w:val="00B90BC7"/>
    <w:rsid w:val="00B90CC7"/>
    <w:rsid w:val="00B90D46"/>
    <w:rsid w:val="00B90ED9"/>
    <w:rsid w:val="00B90FB2"/>
    <w:rsid w:val="00B91072"/>
    <w:rsid w:val="00B9109C"/>
    <w:rsid w:val="00B910BC"/>
    <w:rsid w:val="00B91245"/>
    <w:rsid w:val="00B913A0"/>
    <w:rsid w:val="00B913E1"/>
    <w:rsid w:val="00B91454"/>
    <w:rsid w:val="00B914D9"/>
    <w:rsid w:val="00B91518"/>
    <w:rsid w:val="00B917D4"/>
    <w:rsid w:val="00B91B54"/>
    <w:rsid w:val="00B91BAF"/>
    <w:rsid w:val="00B91BFA"/>
    <w:rsid w:val="00B91E0C"/>
    <w:rsid w:val="00B91E80"/>
    <w:rsid w:val="00B91F77"/>
    <w:rsid w:val="00B91FFE"/>
    <w:rsid w:val="00B9215B"/>
    <w:rsid w:val="00B9221A"/>
    <w:rsid w:val="00B92293"/>
    <w:rsid w:val="00B92491"/>
    <w:rsid w:val="00B9255D"/>
    <w:rsid w:val="00B9258B"/>
    <w:rsid w:val="00B925C7"/>
    <w:rsid w:val="00B925DA"/>
    <w:rsid w:val="00B926D7"/>
    <w:rsid w:val="00B926EE"/>
    <w:rsid w:val="00B9270C"/>
    <w:rsid w:val="00B92779"/>
    <w:rsid w:val="00B927C2"/>
    <w:rsid w:val="00B928AE"/>
    <w:rsid w:val="00B92A34"/>
    <w:rsid w:val="00B92B79"/>
    <w:rsid w:val="00B92BEE"/>
    <w:rsid w:val="00B92C13"/>
    <w:rsid w:val="00B92D51"/>
    <w:rsid w:val="00B92E5C"/>
    <w:rsid w:val="00B92ECA"/>
    <w:rsid w:val="00B92F09"/>
    <w:rsid w:val="00B92F9F"/>
    <w:rsid w:val="00B9313C"/>
    <w:rsid w:val="00B931D5"/>
    <w:rsid w:val="00B9322E"/>
    <w:rsid w:val="00B93280"/>
    <w:rsid w:val="00B93357"/>
    <w:rsid w:val="00B9341E"/>
    <w:rsid w:val="00B934E2"/>
    <w:rsid w:val="00B936DD"/>
    <w:rsid w:val="00B9371C"/>
    <w:rsid w:val="00B93783"/>
    <w:rsid w:val="00B93896"/>
    <w:rsid w:val="00B93BA3"/>
    <w:rsid w:val="00B93C89"/>
    <w:rsid w:val="00B93CDF"/>
    <w:rsid w:val="00B93D54"/>
    <w:rsid w:val="00B93DEA"/>
    <w:rsid w:val="00B93E04"/>
    <w:rsid w:val="00B93E94"/>
    <w:rsid w:val="00B93EB2"/>
    <w:rsid w:val="00B93ED5"/>
    <w:rsid w:val="00B93FA2"/>
    <w:rsid w:val="00B93FE8"/>
    <w:rsid w:val="00B9400C"/>
    <w:rsid w:val="00B940C0"/>
    <w:rsid w:val="00B94259"/>
    <w:rsid w:val="00B9434B"/>
    <w:rsid w:val="00B94585"/>
    <w:rsid w:val="00B945F4"/>
    <w:rsid w:val="00B94606"/>
    <w:rsid w:val="00B94687"/>
    <w:rsid w:val="00B94717"/>
    <w:rsid w:val="00B94721"/>
    <w:rsid w:val="00B94975"/>
    <w:rsid w:val="00B949A7"/>
    <w:rsid w:val="00B94B6D"/>
    <w:rsid w:val="00B94C28"/>
    <w:rsid w:val="00B94C3B"/>
    <w:rsid w:val="00B94D4B"/>
    <w:rsid w:val="00B94D6D"/>
    <w:rsid w:val="00B94F12"/>
    <w:rsid w:val="00B94F25"/>
    <w:rsid w:val="00B94F86"/>
    <w:rsid w:val="00B94FB4"/>
    <w:rsid w:val="00B9502A"/>
    <w:rsid w:val="00B95051"/>
    <w:rsid w:val="00B951A2"/>
    <w:rsid w:val="00B951BA"/>
    <w:rsid w:val="00B9524E"/>
    <w:rsid w:val="00B95399"/>
    <w:rsid w:val="00B95512"/>
    <w:rsid w:val="00B955BD"/>
    <w:rsid w:val="00B958C6"/>
    <w:rsid w:val="00B95A15"/>
    <w:rsid w:val="00B95A97"/>
    <w:rsid w:val="00B95B40"/>
    <w:rsid w:val="00B95C0D"/>
    <w:rsid w:val="00B95D1B"/>
    <w:rsid w:val="00B95ED5"/>
    <w:rsid w:val="00B95FEB"/>
    <w:rsid w:val="00B9602F"/>
    <w:rsid w:val="00B9607F"/>
    <w:rsid w:val="00B960F4"/>
    <w:rsid w:val="00B961B0"/>
    <w:rsid w:val="00B961E8"/>
    <w:rsid w:val="00B96211"/>
    <w:rsid w:val="00B96219"/>
    <w:rsid w:val="00B962A3"/>
    <w:rsid w:val="00B9644E"/>
    <w:rsid w:val="00B964CB"/>
    <w:rsid w:val="00B964F5"/>
    <w:rsid w:val="00B96514"/>
    <w:rsid w:val="00B9675E"/>
    <w:rsid w:val="00B96923"/>
    <w:rsid w:val="00B96935"/>
    <w:rsid w:val="00B969EB"/>
    <w:rsid w:val="00B96A42"/>
    <w:rsid w:val="00B96A6E"/>
    <w:rsid w:val="00B96A82"/>
    <w:rsid w:val="00B96B37"/>
    <w:rsid w:val="00B96BAD"/>
    <w:rsid w:val="00B96BD8"/>
    <w:rsid w:val="00B96CC8"/>
    <w:rsid w:val="00B96D1C"/>
    <w:rsid w:val="00B96F25"/>
    <w:rsid w:val="00B970BE"/>
    <w:rsid w:val="00B970E3"/>
    <w:rsid w:val="00B9756B"/>
    <w:rsid w:val="00B97578"/>
    <w:rsid w:val="00B97750"/>
    <w:rsid w:val="00B9776B"/>
    <w:rsid w:val="00B977BE"/>
    <w:rsid w:val="00B977E4"/>
    <w:rsid w:val="00B97814"/>
    <w:rsid w:val="00B97837"/>
    <w:rsid w:val="00B97937"/>
    <w:rsid w:val="00B97963"/>
    <w:rsid w:val="00B979DA"/>
    <w:rsid w:val="00B97B24"/>
    <w:rsid w:val="00B97B7D"/>
    <w:rsid w:val="00B97E7A"/>
    <w:rsid w:val="00B97EF6"/>
    <w:rsid w:val="00BA01CB"/>
    <w:rsid w:val="00BA02C2"/>
    <w:rsid w:val="00BA03B5"/>
    <w:rsid w:val="00BA03C2"/>
    <w:rsid w:val="00BA04D1"/>
    <w:rsid w:val="00BA04F9"/>
    <w:rsid w:val="00BA0585"/>
    <w:rsid w:val="00BA05C4"/>
    <w:rsid w:val="00BA0698"/>
    <w:rsid w:val="00BA072A"/>
    <w:rsid w:val="00BA0772"/>
    <w:rsid w:val="00BA09D6"/>
    <w:rsid w:val="00BA0A3E"/>
    <w:rsid w:val="00BA0A4C"/>
    <w:rsid w:val="00BA0B3B"/>
    <w:rsid w:val="00BA0BD5"/>
    <w:rsid w:val="00BA0C2C"/>
    <w:rsid w:val="00BA0D62"/>
    <w:rsid w:val="00BA0DDA"/>
    <w:rsid w:val="00BA0E83"/>
    <w:rsid w:val="00BA0EF0"/>
    <w:rsid w:val="00BA0F44"/>
    <w:rsid w:val="00BA133B"/>
    <w:rsid w:val="00BA1494"/>
    <w:rsid w:val="00BA14A3"/>
    <w:rsid w:val="00BA14DF"/>
    <w:rsid w:val="00BA15E4"/>
    <w:rsid w:val="00BA1758"/>
    <w:rsid w:val="00BA1805"/>
    <w:rsid w:val="00BA1836"/>
    <w:rsid w:val="00BA1A0A"/>
    <w:rsid w:val="00BA1C4A"/>
    <w:rsid w:val="00BA1E1E"/>
    <w:rsid w:val="00BA1FFC"/>
    <w:rsid w:val="00BA20FF"/>
    <w:rsid w:val="00BA2218"/>
    <w:rsid w:val="00BA22F5"/>
    <w:rsid w:val="00BA23A0"/>
    <w:rsid w:val="00BA23D6"/>
    <w:rsid w:val="00BA2526"/>
    <w:rsid w:val="00BA257A"/>
    <w:rsid w:val="00BA25E2"/>
    <w:rsid w:val="00BA2656"/>
    <w:rsid w:val="00BA26F3"/>
    <w:rsid w:val="00BA2710"/>
    <w:rsid w:val="00BA296D"/>
    <w:rsid w:val="00BA29D0"/>
    <w:rsid w:val="00BA2B3D"/>
    <w:rsid w:val="00BA2BE8"/>
    <w:rsid w:val="00BA2D34"/>
    <w:rsid w:val="00BA2D54"/>
    <w:rsid w:val="00BA2D9E"/>
    <w:rsid w:val="00BA2DC3"/>
    <w:rsid w:val="00BA2DE2"/>
    <w:rsid w:val="00BA2F03"/>
    <w:rsid w:val="00BA2F46"/>
    <w:rsid w:val="00BA2FAB"/>
    <w:rsid w:val="00BA2FC4"/>
    <w:rsid w:val="00BA302C"/>
    <w:rsid w:val="00BA3085"/>
    <w:rsid w:val="00BA336A"/>
    <w:rsid w:val="00BA33D7"/>
    <w:rsid w:val="00BA3479"/>
    <w:rsid w:val="00BA34F1"/>
    <w:rsid w:val="00BA3511"/>
    <w:rsid w:val="00BA3692"/>
    <w:rsid w:val="00BA3859"/>
    <w:rsid w:val="00BA38BA"/>
    <w:rsid w:val="00BA392F"/>
    <w:rsid w:val="00BA39C4"/>
    <w:rsid w:val="00BA3A45"/>
    <w:rsid w:val="00BA3A5D"/>
    <w:rsid w:val="00BA3A5F"/>
    <w:rsid w:val="00BA3A68"/>
    <w:rsid w:val="00BA3BBE"/>
    <w:rsid w:val="00BA3CD8"/>
    <w:rsid w:val="00BA3D6B"/>
    <w:rsid w:val="00BA3E02"/>
    <w:rsid w:val="00BA3FAB"/>
    <w:rsid w:val="00BA4135"/>
    <w:rsid w:val="00BA4184"/>
    <w:rsid w:val="00BA42EA"/>
    <w:rsid w:val="00BA4357"/>
    <w:rsid w:val="00BA437C"/>
    <w:rsid w:val="00BA43CA"/>
    <w:rsid w:val="00BA446B"/>
    <w:rsid w:val="00BA4920"/>
    <w:rsid w:val="00BA4924"/>
    <w:rsid w:val="00BA49BD"/>
    <w:rsid w:val="00BA4A20"/>
    <w:rsid w:val="00BA4A3A"/>
    <w:rsid w:val="00BA4B2D"/>
    <w:rsid w:val="00BA4B38"/>
    <w:rsid w:val="00BA4C3B"/>
    <w:rsid w:val="00BA4C91"/>
    <w:rsid w:val="00BA4CD5"/>
    <w:rsid w:val="00BA4EB0"/>
    <w:rsid w:val="00BA4F44"/>
    <w:rsid w:val="00BA4F8F"/>
    <w:rsid w:val="00BA5101"/>
    <w:rsid w:val="00BA5400"/>
    <w:rsid w:val="00BA55E7"/>
    <w:rsid w:val="00BA5669"/>
    <w:rsid w:val="00BA578C"/>
    <w:rsid w:val="00BA5899"/>
    <w:rsid w:val="00BA597A"/>
    <w:rsid w:val="00BA5A47"/>
    <w:rsid w:val="00BA5AA5"/>
    <w:rsid w:val="00BA5B02"/>
    <w:rsid w:val="00BA5C0A"/>
    <w:rsid w:val="00BA5C55"/>
    <w:rsid w:val="00BA5D13"/>
    <w:rsid w:val="00BA5D86"/>
    <w:rsid w:val="00BA5D9B"/>
    <w:rsid w:val="00BA5F75"/>
    <w:rsid w:val="00BA6210"/>
    <w:rsid w:val="00BA6230"/>
    <w:rsid w:val="00BA63F5"/>
    <w:rsid w:val="00BA646C"/>
    <w:rsid w:val="00BA64CC"/>
    <w:rsid w:val="00BA64FD"/>
    <w:rsid w:val="00BA6549"/>
    <w:rsid w:val="00BA66C4"/>
    <w:rsid w:val="00BA66E0"/>
    <w:rsid w:val="00BA6700"/>
    <w:rsid w:val="00BA680D"/>
    <w:rsid w:val="00BA6849"/>
    <w:rsid w:val="00BA685B"/>
    <w:rsid w:val="00BA6946"/>
    <w:rsid w:val="00BA6AA8"/>
    <w:rsid w:val="00BA6AFF"/>
    <w:rsid w:val="00BA6BFD"/>
    <w:rsid w:val="00BA6C87"/>
    <w:rsid w:val="00BA6CB0"/>
    <w:rsid w:val="00BA6CB6"/>
    <w:rsid w:val="00BA6CC0"/>
    <w:rsid w:val="00BA6DA9"/>
    <w:rsid w:val="00BA6DAB"/>
    <w:rsid w:val="00BA6F4D"/>
    <w:rsid w:val="00BA6FE2"/>
    <w:rsid w:val="00BA7010"/>
    <w:rsid w:val="00BA7044"/>
    <w:rsid w:val="00BA7084"/>
    <w:rsid w:val="00BA70A1"/>
    <w:rsid w:val="00BA7113"/>
    <w:rsid w:val="00BA7165"/>
    <w:rsid w:val="00BA7200"/>
    <w:rsid w:val="00BA74B2"/>
    <w:rsid w:val="00BA74E4"/>
    <w:rsid w:val="00BA7540"/>
    <w:rsid w:val="00BA76B7"/>
    <w:rsid w:val="00BA79CC"/>
    <w:rsid w:val="00BA7A47"/>
    <w:rsid w:val="00BA7ADA"/>
    <w:rsid w:val="00BA7B21"/>
    <w:rsid w:val="00BA7B86"/>
    <w:rsid w:val="00BA7CED"/>
    <w:rsid w:val="00BA7E61"/>
    <w:rsid w:val="00BB02BC"/>
    <w:rsid w:val="00BB032C"/>
    <w:rsid w:val="00BB047A"/>
    <w:rsid w:val="00BB0812"/>
    <w:rsid w:val="00BB0952"/>
    <w:rsid w:val="00BB0ABB"/>
    <w:rsid w:val="00BB0AC5"/>
    <w:rsid w:val="00BB0AF1"/>
    <w:rsid w:val="00BB0B8C"/>
    <w:rsid w:val="00BB0C3C"/>
    <w:rsid w:val="00BB0D4B"/>
    <w:rsid w:val="00BB0F1A"/>
    <w:rsid w:val="00BB0FDE"/>
    <w:rsid w:val="00BB0FF5"/>
    <w:rsid w:val="00BB1079"/>
    <w:rsid w:val="00BB10A8"/>
    <w:rsid w:val="00BB10AE"/>
    <w:rsid w:val="00BB1180"/>
    <w:rsid w:val="00BB1232"/>
    <w:rsid w:val="00BB133D"/>
    <w:rsid w:val="00BB13C2"/>
    <w:rsid w:val="00BB148C"/>
    <w:rsid w:val="00BB14D2"/>
    <w:rsid w:val="00BB1547"/>
    <w:rsid w:val="00BB1650"/>
    <w:rsid w:val="00BB182F"/>
    <w:rsid w:val="00BB1937"/>
    <w:rsid w:val="00BB193B"/>
    <w:rsid w:val="00BB1B1D"/>
    <w:rsid w:val="00BB1B41"/>
    <w:rsid w:val="00BB1BA3"/>
    <w:rsid w:val="00BB1BBA"/>
    <w:rsid w:val="00BB1BF2"/>
    <w:rsid w:val="00BB1C80"/>
    <w:rsid w:val="00BB2395"/>
    <w:rsid w:val="00BB2680"/>
    <w:rsid w:val="00BB271F"/>
    <w:rsid w:val="00BB27FB"/>
    <w:rsid w:val="00BB2857"/>
    <w:rsid w:val="00BB2BCA"/>
    <w:rsid w:val="00BB2CA0"/>
    <w:rsid w:val="00BB2F39"/>
    <w:rsid w:val="00BB2F6B"/>
    <w:rsid w:val="00BB2FE2"/>
    <w:rsid w:val="00BB3083"/>
    <w:rsid w:val="00BB30C8"/>
    <w:rsid w:val="00BB3190"/>
    <w:rsid w:val="00BB32F9"/>
    <w:rsid w:val="00BB36CA"/>
    <w:rsid w:val="00BB3756"/>
    <w:rsid w:val="00BB37B2"/>
    <w:rsid w:val="00BB37BB"/>
    <w:rsid w:val="00BB3E08"/>
    <w:rsid w:val="00BB4093"/>
    <w:rsid w:val="00BB4142"/>
    <w:rsid w:val="00BB4213"/>
    <w:rsid w:val="00BB42B5"/>
    <w:rsid w:val="00BB42C4"/>
    <w:rsid w:val="00BB42FC"/>
    <w:rsid w:val="00BB4308"/>
    <w:rsid w:val="00BB430D"/>
    <w:rsid w:val="00BB4410"/>
    <w:rsid w:val="00BB4442"/>
    <w:rsid w:val="00BB445B"/>
    <w:rsid w:val="00BB464A"/>
    <w:rsid w:val="00BB46FA"/>
    <w:rsid w:val="00BB4892"/>
    <w:rsid w:val="00BB490F"/>
    <w:rsid w:val="00BB492A"/>
    <w:rsid w:val="00BB49F5"/>
    <w:rsid w:val="00BB4E1E"/>
    <w:rsid w:val="00BB4EAE"/>
    <w:rsid w:val="00BB4F4A"/>
    <w:rsid w:val="00BB4F90"/>
    <w:rsid w:val="00BB4FEC"/>
    <w:rsid w:val="00BB5158"/>
    <w:rsid w:val="00BB5240"/>
    <w:rsid w:val="00BB52D7"/>
    <w:rsid w:val="00BB5378"/>
    <w:rsid w:val="00BB546B"/>
    <w:rsid w:val="00BB57F0"/>
    <w:rsid w:val="00BB58BC"/>
    <w:rsid w:val="00BB597A"/>
    <w:rsid w:val="00BB5981"/>
    <w:rsid w:val="00BB59F3"/>
    <w:rsid w:val="00BB5A07"/>
    <w:rsid w:val="00BB5B2E"/>
    <w:rsid w:val="00BB5B56"/>
    <w:rsid w:val="00BB5C0A"/>
    <w:rsid w:val="00BB5C6A"/>
    <w:rsid w:val="00BB5D53"/>
    <w:rsid w:val="00BB5DEA"/>
    <w:rsid w:val="00BB5E63"/>
    <w:rsid w:val="00BB604F"/>
    <w:rsid w:val="00BB61CC"/>
    <w:rsid w:val="00BB61FD"/>
    <w:rsid w:val="00BB6398"/>
    <w:rsid w:val="00BB639C"/>
    <w:rsid w:val="00BB63B5"/>
    <w:rsid w:val="00BB63DC"/>
    <w:rsid w:val="00BB63E4"/>
    <w:rsid w:val="00BB65ED"/>
    <w:rsid w:val="00BB67B5"/>
    <w:rsid w:val="00BB67D1"/>
    <w:rsid w:val="00BB67F1"/>
    <w:rsid w:val="00BB68B1"/>
    <w:rsid w:val="00BB68F1"/>
    <w:rsid w:val="00BB694D"/>
    <w:rsid w:val="00BB69BB"/>
    <w:rsid w:val="00BB69C6"/>
    <w:rsid w:val="00BB6A03"/>
    <w:rsid w:val="00BB6AB5"/>
    <w:rsid w:val="00BB6B14"/>
    <w:rsid w:val="00BB6B8E"/>
    <w:rsid w:val="00BB6BCA"/>
    <w:rsid w:val="00BB6BE2"/>
    <w:rsid w:val="00BB6C2F"/>
    <w:rsid w:val="00BB6D0D"/>
    <w:rsid w:val="00BB6E6E"/>
    <w:rsid w:val="00BB6F12"/>
    <w:rsid w:val="00BB712F"/>
    <w:rsid w:val="00BB725B"/>
    <w:rsid w:val="00BB7275"/>
    <w:rsid w:val="00BB7580"/>
    <w:rsid w:val="00BB75E9"/>
    <w:rsid w:val="00BB7624"/>
    <w:rsid w:val="00BB7669"/>
    <w:rsid w:val="00BB774F"/>
    <w:rsid w:val="00BB7841"/>
    <w:rsid w:val="00BB7888"/>
    <w:rsid w:val="00BB78DD"/>
    <w:rsid w:val="00BB78E0"/>
    <w:rsid w:val="00BB7910"/>
    <w:rsid w:val="00BB796E"/>
    <w:rsid w:val="00BB79BE"/>
    <w:rsid w:val="00BB7A60"/>
    <w:rsid w:val="00BB7B2A"/>
    <w:rsid w:val="00BB7BC4"/>
    <w:rsid w:val="00BB7C22"/>
    <w:rsid w:val="00BB7DDF"/>
    <w:rsid w:val="00BB7E4F"/>
    <w:rsid w:val="00BB7F5D"/>
    <w:rsid w:val="00BC011E"/>
    <w:rsid w:val="00BC026D"/>
    <w:rsid w:val="00BC055F"/>
    <w:rsid w:val="00BC064E"/>
    <w:rsid w:val="00BC06E9"/>
    <w:rsid w:val="00BC083E"/>
    <w:rsid w:val="00BC08CD"/>
    <w:rsid w:val="00BC08E1"/>
    <w:rsid w:val="00BC0AE7"/>
    <w:rsid w:val="00BC0AF3"/>
    <w:rsid w:val="00BC0C47"/>
    <w:rsid w:val="00BC0D76"/>
    <w:rsid w:val="00BC0E39"/>
    <w:rsid w:val="00BC0E5B"/>
    <w:rsid w:val="00BC0F11"/>
    <w:rsid w:val="00BC10B2"/>
    <w:rsid w:val="00BC1157"/>
    <w:rsid w:val="00BC123E"/>
    <w:rsid w:val="00BC13A4"/>
    <w:rsid w:val="00BC13D3"/>
    <w:rsid w:val="00BC1443"/>
    <w:rsid w:val="00BC15E3"/>
    <w:rsid w:val="00BC18CF"/>
    <w:rsid w:val="00BC19ED"/>
    <w:rsid w:val="00BC1A58"/>
    <w:rsid w:val="00BC1AB2"/>
    <w:rsid w:val="00BC1B26"/>
    <w:rsid w:val="00BC1ED5"/>
    <w:rsid w:val="00BC21BC"/>
    <w:rsid w:val="00BC21BF"/>
    <w:rsid w:val="00BC21E4"/>
    <w:rsid w:val="00BC220B"/>
    <w:rsid w:val="00BC2373"/>
    <w:rsid w:val="00BC23E7"/>
    <w:rsid w:val="00BC23FB"/>
    <w:rsid w:val="00BC2472"/>
    <w:rsid w:val="00BC25A7"/>
    <w:rsid w:val="00BC27F4"/>
    <w:rsid w:val="00BC2938"/>
    <w:rsid w:val="00BC2A76"/>
    <w:rsid w:val="00BC2AE4"/>
    <w:rsid w:val="00BC2AE5"/>
    <w:rsid w:val="00BC2B28"/>
    <w:rsid w:val="00BC2BEB"/>
    <w:rsid w:val="00BC2D49"/>
    <w:rsid w:val="00BC2DE9"/>
    <w:rsid w:val="00BC2E15"/>
    <w:rsid w:val="00BC2E7C"/>
    <w:rsid w:val="00BC2F1D"/>
    <w:rsid w:val="00BC36EF"/>
    <w:rsid w:val="00BC36F4"/>
    <w:rsid w:val="00BC3718"/>
    <w:rsid w:val="00BC37C7"/>
    <w:rsid w:val="00BC38DE"/>
    <w:rsid w:val="00BC399D"/>
    <w:rsid w:val="00BC3AF8"/>
    <w:rsid w:val="00BC3BCA"/>
    <w:rsid w:val="00BC3C2E"/>
    <w:rsid w:val="00BC3DEC"/>
    <w:rsid w:val="00BC3EB8"/>
    <w:rsid w:val="00BC3EF1"/>
    <w:rsid w:val="00BC409D"/>
    <w:rsid w:val="00BC40B5"/>
    <w:rsid w:val="00BC4199"/>
    <w:rsid w:val="00BC419E"/>
    <w:rsid w:val="00BC41E8"/>
    <w:rsid w:val="00BC4413"/>
    <w:rsid w:val="00BC4449"/>
    <w:rsid w:val="00BC45C1"/>
    <w:rsid w:val="00BC46AD"/>
    <w:rsid w:val="00BC481B"/>
    <w:rsid w:val="00BC4A54"/>
    <w:rsid w:val="00BC4A7E"/>
    <w:rsid w:val="00BC4A94"/>
    <w:rsid w:val="00BC4BCB"/>
    <w:rsid w:val="00BC4C1C"/>
    <w:rsid w:val="00BC4C8B"/>
    <w:rsid w:val="00BC4C9A"/>
    <w:rsid w:val="00BC4E87"/>
    <w:rsid w:val="00BC50E2"/>
    <w:rsid w:val="00BC51C2"/>
    <w:rsid w:val="00BC51CD"/>
    <w:rsid w:val="00BC535B"/>
    <w:rsid w:val="00BC5392"/>
    <w:rsid w:val="00BC5402"/>
    <w:rsid w:val="00BC5533"/>
    <w:rsid w:val="00BC55AF"/>
    <w:rsid w:val="00BC55C9"/>
    <w:rsid w:val="00BC5649"/>
    <w:rsid w:val="00BC5660"/>
    <w:rsid w:val="00BC5664"/>
    <w:rsid w:val="00BC56C3"/>
    <w:rsid w:val="00BC56EE"/>
    <w:rsid w:val="00BC5720"/>
    <w:rsid w:val="00BC572B"/>
    <w:rsid w:val="00BC5747"/>
    <w:rsid w:val="00BC5835"/>
    <w:rsid w:val="00BC585F"/>
    <w:rsid w:val="00BC58C9"/>
    <w:rsid w:val="00BC58D0"/>
    <w:rsid w:val="00BC5926"/>
    <w:rsid w:val="00BC592F"/>
    <w:rsid w:val="00BC59AB"/>
    <w:rsid w:val="00BC59F8"/>
    <w:rsid w:val="00BC5AE2"/>
    <w:rsid w:val="00BC5C8E"/>
    <w:rsid w:val="00BC5C9A"/>
    <w:rsid w:val="00BC5CBE"/>
    <w:rsid w:val="00BC5CCD"/>
    <w:rsid w:val="00BC5CDD"/>
    <w:rsid w:val="00BC5D4A"/>
    <w:rsid w:val="00BC5F68"/>
    <w:rsid w:val="00BC613F"/>
    <w:rsid w:val="00BC619B"/>
    <w:rsid w:val="00BC619E"/>
    <w:rsid w:val="00BC61AF"/>
    <w:rsid w:val="00BC62B4"/>
    <w:rsid w:val="00BC62EE"/>
    <w:rsid w:val="00BC63F4"/>
    <w:rsid w:val="00BC6631"/>
    <w:rsid w:val="00BC6776"/>
    <w:rsid w:val="00BC681C"/>
    <w:rsid w:val="00BC68B6"/>
    <w:rsid w:val="00BC6A6F"/>
    <w:rsid w:val="00BC6ACD"/>
    <w:rsid w:val="00BC6B8F"/>
    <w:rsid w:val="00BC6BD9"/>
    <w:rsid w:val="00BC6C6F"/>
    <w:rsid w:val="00BC6C79"/>
    <w:rsid w:val="00BC6D32"/>
    <w:rsid w:val="00BC6E0A"/>
    <w:rsid w:val="00BC6E2C"/>
    <w:rsid w:val="00BC7112"/>
    <w:rsid w:val="00BC7502"/>
    <w:rsid w:val="00BC760D"/>
    <w:rsid w:val="00BC776C"/>
    <w:rsid w:val="00BC7808"/>
    <w:rsid w:val="00BC78DB"/>
    <w:rsid w:val="00BC792A"/>
    <w:rsid w:val="00BC7944"/>
    <w:rsid w:val="00BC796A"/>
    <w:rsid w:val="00BC79A6"/>
    <w:rsid w:val="00BC7D6D"/>
    <w:rsid w:val="00BC7DA5"/>
    <w:rsid w:val="00BC7E4E"/>
    <w:rsid w:val="00BC7FA8"/>
    <w:rsid w:val="00BD005F"/>
    <w:rsid w:val="00BD038F"/>
    <w:rsid w:val="00BD0596"/>
    <w:rsid w:val="00BD0751"/>
    <w:rsid w:val="00BD08AB"/>
    <w:rsid w:val="00BD08F7"/>
    <w:rsid w:val="00BD0945"/>
    <w:rsid w:val="00BD09FE"/>
    <w:rsid w:val="00BD0C9E"/>
    <w:rsid w:val="00BD0D2D"/>
    <w:rsid w:val="00BD0DDB"/>
    <w:rsid w:val="00BD0DF0"/>
    <w:rsid w:val="00BD0E5B"/>
    <w:rsid w:val="00BD0EE6"/>
    <w:rsid w:val="00BD0F03"/>
    <w:rsid w:val="00BD0FAB"/>
    <w:rsid w:val="00BD0FDC"/>
    <w:rsid w:val="00BD10C6"/>
    <w:rsid w:val="00BD10F4"/>
    <w:rsid w:val="00BD116B"/>
    <w:rsid w:val="00BD126D"/>
    <w:rsid w:val="00BD12FE"/>
    <w:rsid w:val="00BD1500"/>
    <w:rsid w:val="00BD1651"/>
    <w:rsid w:val="00BD179B"/>
    <w:rsid w:val="00BD17B0"/>
    <w:rsid w:val="00BD1821"/>
    <w:rsid w:val="00BD1852"/>
    <w:rsid w:val="00BD1888"/>
    <w:rsid w:val="00BD188A"/>
    <w:rsid w:val="00BD195B"/>
    <w:rsid w:val="00BD1ACC"/>
    <w:rsid w:val="00BD1DC8"/>
    <w:rsid w:val="00BD1E1E"/>
    <w:rsid w:val="00BD20A3"/>
    <w:rsid w:val="00BD229A"/>
    <w:rsid w:val="00BD2401"/>
    <w:rsid w:val="00BD248B"/>
    <w:rsid w:val="00BD253D"/>
    <w:rsid w:val="00BD254B"/>
    <w:rsid w:val="00BD2555"/>
    <w:rsid w:val="00BD29FB"/>
    <w:rsid w:val="00BD2A3A"/>
    <w:rsid w:val="00BD2AE4"/>
    <w:rsid w:val="00BD2B4C"/>
    <w:rsid w:val="00BD2BF7"/>
    <w:rsid w:val="00BD2C28"/>
    <w:rsid w:val="00BD2C69"/>
    <w:rsid w:val="00BD2C8E"/>
    <w:rsid w:val="00BD2CEF"/>
    <w:rsid w:val="00BD2E06"/>
    <w:rsid w:val="00BD2E68"/>
    <w:rsid w:val="00BD2FB6"/>
    <w:rsid w:val="00BD306A"/>
    <w:rsid w:val="00BD316B"/>
    <w:rsid w:val="00BD316D"/>
    <w:rsid w:val="00BD320F"/>
    <w:rsid w:val="00BD35C9"/>
    <w:rsid w:val="00BD3666"/>
    <w:rsid w:val="00BD36AC"/>
    <w:rsid w:val="00BD37B7"/>
    <w:rsid w:val="00BD3943"/>
    <w:rsid w:val="00BD3972"/>
    <w:rsid w:val="00BD3976"/>
    <w:rsid w:val="00BD3A7C"/>
    <w:rsid w:val="00BD3B89"/>
    <w:rsid w:val="00BD3BA8"/>
    <w:rsid w:val="00BD3DA3"/>
    <w:rsid w:val="00BD3F09"/>
    <w:rsid w:val="00BD3FA0"/>
    <w:rsid w:val="00BD40BC"/>
    <w:rsid w:val="00BD42C4"/>
    <w:rsid w:val="00BD42F7"/>
    <w:rsid w:val="00BD4322"/>
    <w:rsid w:val="00BD446F"/>
    <w:rsid w:val="00BD4476"/>
    <w:rsid w:val="00BD44E9"/>
    <w:rsid w:val="00BD45BA"/>
    <w:rsid w:val="00BD46C9"/>
    <w:rsid w:val="00BD4727"/>
    <w:rsid w:val="00BD4735"/>
    <w:rsid w:val="00BD4987"/>
    <w:rsid w:val="00BD4999"/>
    <w:rsid w:val="00BD49E9"/>
    <w:rsid w:val="00BD4A6A"/>
    <w:rsid w:val="00BD4B60"/>
    <w:rsid w:val="00BD4B69"/>
    <w:rsid w:val="00BD4C7F"/>
    <w:rsid w:val="00BD4D78"/>
    <w:rsid w:val="00BD4DE8"/>
    <w:rsid w:val="00BD4E19"/>
    <w:rsid w:val="00BD4E21"/>
    <w:rsid w:val="00BD4EBB"/>
    <w:rsid w:val="00BD50E2"/>
    <w:rsid w:val="00BD5183"/>
    <w:rsid w:val="00BD5352"/>
    <w:rsid w:val="00BD5354"/>
    <w:rsid w:val="00BD5379"/>
    <w:rsid w:val="00BD5388"/>
    <w:rsid w:val="00BD545F"/>
    <w:rsid w:val="00BD54EA"/>
    <w:rsid w:val="00BD551B"/>
    <w:rsid w:val="00BD554C"/>
    <w:rsid w:val="00BD55AB"/>
    <w:rsid w:val="00BD56BB"/>
    <w:rsid w:val="00BD580D"/>
    <w:rsid w:val="00BD59A9"/>
    <w:rsid w:val="00BD59C7"/>
    <w:rsid w:val="00BD5A22"/>
    <w:rsid w:val="00BD5A93"/>
    <w:rsid w:val="00BD5B9E"/>
    <w:rsid w:val="00BD5BEA"/>
    <w:rsid w:val="00BD5C5B"/>
    <w:rsid w:val="00BD5D4D"/>
    <w:rsid w:val="00BD5DC4"/>
    <w:rsid w:val="00BD5E7C"/>
    <w:rsid w:val="00BD5F39"/>
    <w:rsid w:val="00BD5F77"/>
    <w:rsid w:val="00BD5F8F"/>
    <w:rsid w:val="00BD61B5"/>
    <w:rsid w:val="00BD621F"/>
    <w:rsid w:val="00BD6224"/>
    <w:rsid w:val="00BD6266"/>
    <w:rsid w:val="00BD634A"/>
    <w:rsid w:val="00BD63E1"/>
    <w:rsid w:val="00BD64C5"/>
    <w:rsid w:val="00BD657E"/>
    <w:rsid w:val="00BD66EF"/>
    <w:rsid w:val="00BD6720"/>
    <w:rsid w:val="00BD67A2"/>
    <w:rsid w:val="00BD682A"/>
    <w:rsid w:val="00BD689F"/>
    <w:rsid w:val="00BD68D9"/>
    <w:rsid w:val="00BD6915"/>
    <w:rsid w:val="00BD6944"/>
    <w:rsid w:val="00BD69A9"/>
    <w:rsid w:val="00BD6AA9"/>
    <w:rsid w:val="00BD6D60"/>
    <w:rsid w:val="00BD6D77"/>
    <w:rsid w:val="00BD6D84"/>
    <w:rsid w:val="00BD6EE7"/>
    <w:rsid w:val="00BD6F91"/>
    <w:rsid w:val="00BD7003"/>
    <w:rsid w:val="00BD7068"/>
    <w:rsid w:val="00BD72EB"/>
    <w:rsid w:val="00BD7365"/>
    <w:rsid w:val="00BD763D"/>
    <w:rsid w:val="00BD7670"/>
    <w:rsid w:val="00BD7801"/>
    <w:rsid w:val="00BD783D"/>
    <w:rsid w:val="00BD7897"/>
    <w:rsid w:val="00BD78E5"/>
    <w:rsid w:val="00BD7921"/>
    <w:rsid w:val="00BD7B27"/>
    <w:rsid w:val="00BD7B2C"/>
    <w:rsid w:val="00BD7B9C"/>
    <w:rsid w:val="00BD7BC4"/>
    <w:rsid w:val="00BD7BE9"/>
    <w:rsid w:val="00BD7C62"/>
    <w:rsid w:val="00BD7C73"/>
    <w:rsid w:val="00BD7E19"/>
    <w:rsid w:val="00BD7E28"/>
    <w:rsid w:val="00BD7E8F"/>
    <w:rsid w:val="00BD7F3C"/>
    <w:rsid w:val="00BE010D"/>
    <w:rsid w:val="00BE013F"/>
    <w:rsid w:val="00BE01C0"/>
    <w:rsid w:val="00BE021F"/>
    <w:rsid w:val="00BE04DF"/>
    <w:rsid w:val="00BE0543"/>
    <w:rsid w:val="00BE0554"/>
    <w:rsid w:val="00BE0620"/>
    <w:rsid w:val="00BE064C"/>
    <w:rsid w:val="00BE06D6"/>
    <w:rsid w:val="00BE0A51"/>
    <w:rsid w:val="00BE0B07"/>
    <w:rsid w:val="00BE0B13"/>
    <w:rsid w:val="00BE0BC7"/>
    <w:rsid w:val="00BE0C0E"/>
    <w:rsid w:val="00BE0C86"/>
    <w:rsid w:val="00BE0CEE"/>
    <w:rsid w:val="00BE0D40"/>
    <w:rsid w:val="00BE0E1B"/>
    <w:rsid w:val="00BE0E74"/>
    <w:rsid w:val="00BE0EC6"/>
    <w:rsid w:val="00BE0EF4"/>
    <w:rsid w:val="00BE0F95"/>
    <w:rsid w:val="00BE1010"/>
    <w:rsid w:val="00BE12EF"/>
    <w:rsid w:val="00BE1319"/>
    <w:rsid w:val="00BE1425"/>
    <w:rsid w:val="00BE149A"/>
    <w:rsid w:val="00BE150C"/>
    <w:rsid w:val="00BE1535"/>
    <w:rsid w:val="00BE1661"/>
    <w:rsid w:val="00BE177D"/>
    <w:rsid w:val="00BE18E9"/>
    <w:rsid w:val="00BE18F0"/>
    <w:rsid w:val="00BE195F"/>
    <w:rsid w:val="00BE1A15"/>
    <w:rsid w:val="00BE1A77"/>
    <w:rsid w:val="00BE1B83"/>
    <w:rsid w:val="00BE1C2F"/>
    <w:rsid w:val="00BE1D04"/>
    <w:rsid w:val="00BE1D2C"/>
    <w:rsid w:val="00BE1EA7"/>
    <w:rsid w:val="00BE1EDE"/>
    <w:rsid w:val="00BE21FD"/>
    <w:rsid w:val="00BE2312"/>
    <w:rsid w:val="00BE23BA"/>
    <w:rsid w:val="00BE240C"/>
    <w:rsid w:val="00BE251D"/>
    <w:rsid w:val="00BE2570"/>
    <w:rsid w:val="00BE2782"/>
    <w:rsid w:val="00BE2794"/>
    <w:rsid w:val="00BE28DD"/>
    <w:rsid w:val="00BE28FD"/>
    <w:rsid w:val="00BE290C"/>
    <w:rsid w:val="00BE2918"/>
    <w:rsid w:val="00BE2933"/>
    <w:rsid w:val="00BE2A39"/>
    <w:rsid w:val="00BE2A75"/>
    <w:rsid w:val="00BE2A92"/>
    <w:rsid w:val="00BE2AC6"/>
    <w:rsid w:val="00BE2B91"/>
    <w:rsid w:val="00BE2C4B"/>
    <w:rsid w:val="00BE2CD2"/>
    <w:rsid w:val="00BE2D6F"/>
    <w:rsid w:val="00BE2D8C"/>
    <w:rsid w:val="00BE2FAF"/>
    <w:rsid w:val="00BE3000"/>
    <w:rsid w:val="00BE318C"/>
    <w:rsid w:val="00BE3214"/>
    <w:rsid w:val="00BE328C"/>
    <w:rsid w:val="00BE3399"/>
    <w:rsid w:val="00BE33A8"/>
    <w:rsid w:val="00BE3442"/>
    <w:rsid w:val="00BE35ED"/>
    <w:rsid w:val="00BE35F9"/>
    <w:rsid w:val="00BE366B"/>
    <w:rsid w:val="00BE377C"/>
    <w:rsid w:val="00BE38D0"/>
    <w:rsid w:val="00BE396E"/>
    <w:rsid w:val="00BE3AB5"/>
    <w:rsid w:val="00BE3BA3"/>
    <w:rsid w:val="00BE3BDA"/>
    <w:rsid w:val="00BE3CB7"/>
    <w:rsid w:val="00BE3CE9"/>
    <w:rsid w:val="00BE3E19"/>
    <w:rsid w:val="00BE40E8"/>
    <w:rsid w:val="00BE4119"/>
    <w:rsid w:val="00BE41BF"/>
    <w:rsid w:val="00BE42E3"/>
    <w:rsid w:val="00BE4322"/>
    <w:rsid w:val="00BE469C"/>
    <w:rsid w:val="00BE4731"/>
    <w:rsid w:val="00BE4762"/>
    <w:rsid w:val="00BE4778"/>
    <w:rsid w:val="00BE484A"/>
    <w:rsid w:val="00BE4A08"/>
    <w:rsid w:val="00BE4B6D"/>
    <w:rsid w:val="00BE4B82"/>
    <w:rsid w:val="00BE4C1C"/>
    <w:rsid w:val="00BE4C97"/>
    <w:rsid w:val="00BE4D63"/>
    <w:rsid w:val="00BE4E56"/>
    <w:rsid w:val="00BE4E89"/>
    <w:rsid w:val="00BE4F00"/>
    <w:rsid w:val="00BE4FB4"/>
    <w:rsid w:val="00BE50EE"/>
    <w:rsid w:val="00BE540E"/>
    <w:rsid w:val="00BE54C8"/>
    <w:rsid w:val="00BE54E5"/>
    <w:rsid w:val="00BE552F"/>
    <w:rsid w:val="00BE5704"/>
    <w:rsid w:val="00BE5754"/>
    <w:rsid w:val="00BE5758"/>
    <w:rsid w:val="00BE57A3"/>
    <w:rsid w:val="00BE5896"/>
    <w:rsid w:val="00BE58A9"/>
    <w:rsid w:val="00BE58B3"/>
    <w:rsid w:val="00BE58B8"/>
    <w:rsid w:val="00BE5B8E"/>
    <w:rsid w:val="00BE5BF5"/>
    <w:rsid w:val="00BE5E78"/>
    <w:rsid w:val="00BE5EFB"/>
    <w:rsid w:val="00BE5FC5"/>
    <w:rsid w:val="00BE6073"/>
    <w:rsid w:val="00BE6252"/>
    <w:rsid w:val="00BE62BB"/>
    <w:rsid w:val="00BE63CD"/>
    <w:rsid w:val="00BE640D"/>
    <w:rsid w:val="00BE6412"/>
    <w:rsid w:val="00BE6440"/>
    <w:rsid w:val="00BE6492"/>
    <w:rsid w:val="00BE64FA"/>
    <w:rsid w:val="00BE6684"/>
    <w:rsid w:val="00BE67CD"/>
    <w:rsid w:val="00BE6805"/>
    <w:rsid w:val="00BE6809"/>
    <w:rsid w:val="00BE6959"/>
    <w:rsid w:val="00BE6A1F"/>
    <w:rsid w:val="00BE6A43"/>
    <w:rsid w:val="00BE6AEE"/>
    <w:rsid w:val="00BE6BC7"/>
    <w:rsid w:val="00BE6CEC"/>
    <w:rsid w:val="00BE7014"/>
    <w:rsid w:val="00BE7084"/>
    <w:rsid w:val="00BE70A5"/>
    <w:rsid w:val="00BE70F2"/>
    <w:rsid w:val="00BE7147"/>
    <w:rsid w:val="00BE7244"/>
    <w:rsid w:val="00BE724F"/>
    <w:rsid w:val="00BE725A"/>
    <w:rsid w:val="00BE72E1"/>
    <w:rsid w:val="00BE736B"/>
    <w:rsid w:val="00BE73A2"/>
    <w:rsid w:val="00BE7542"/>
    <w:rsid w:val="00BE77FC"/>
    <w:rsid w:val="00BE78F6"/>
    <w:rsid w:val="00BE7992"/>
    <w:rsid w:val="00BE79BA"/>
    <w:rsid w:val="00BE7A1E"/>
    <w:rsid w:val="00BE7B34"/>
    <w:rsid w:val="00BE7C5F"/>
    <w:rsid w:val="00BE7DD3"/>
    <w:rsid w:val="00BE7E31"/>
    <w:rsid w:val="00BE7F4D"/>
    <w:rsid w:val="00BF009A"/>
    <w:rsid w:val="00BF00FE"/>
    <w:rsid w:val="00BF01B3"/>
    <w:rsid w:val="00BF02EC"/>
    <w:rsid w:val="00BF04C2"/>
    <w:rsid w:val="00BF0714"/>
    <w:rsid w:val="00BF08A9"/>
    <w:rsid w:val="00BF0980"/>
    <w:rsid w:val="00BF09EB"/>
    <w:rsid w:val="00BF09F5"/>
    <w:rsid w:val="00BF0AAD"/>
    <w:rsid w:val="00BF0C49"/>
    <w:rsid w:val="00BF0C83"/>
    <w:rsid w:val="00BF0D59"/>
    <w:rsid w:val="00BF0FA6"/>
    <w:rsid w:val="00BF115A"/>
    <w:rsid w:val="00BF11CB"/>
    <w:rsid w:val="00BF1328"/>
    <w:rsid w:val="00BF13C7"/>
    <w:rsid w:val="00BF1404"/>
    <w:rsid w:val="00BF1414"/>
    <w:rsid w:val="00BF141A"/>
    <w:rsid w:val="00BF1421"/>
    <w:rsid w:val="00BF1530"/>
    <w:rsid w:val="00BF1587"/>
    <w:rsid w:val="00BF15B3"/>
    <w:rsid w:val="00BF15FA"/>
    <w:rsid w:val="00BF16A8"/>
    <w:rsid w:val="00BF1959"/>
    <w:rsid w:val="00BF19D7"/>
    <w:rsid w:val="00BF1AE3"/>
    <w:rsid w:val="00BF1B03"/>
    <w:rsid w:val="00BF1B1F"/>
    <w:rsid w:val="00BF1B2F"/>
    <w:rsid w:val="00BF1CA6"/>
    <w:rsid w:val="00BF1E1C"/>
    <w:rsid w:val="00BF1EB4"/>
    <w:rsid w:val="00BF1F3F"/>
    <w:rsid w:val="00BF1FC3"/>
    <w:rsid w:val="00BF1FE1"/>
    <w:rsid w:val="00BF2166"/>
    <w:rsid w:val="00BF2337"/>
    <w:rsid w:val="00BF2540"/>
    <w:rsid w:val="00BF25B0"/>
    <w:rsid w:val="00BF2606"/>
    <w:rsid w:val="00BF2830"/>
    <w:rsid w:val="00BF2901"/>
    <w:rsid w:val="00BF29F9"/>
    <w:rsid w:val="00BF2AD4"/>
    <w:rsid w:val="00BF2BEB"/>
    <w:rsid w:val="00BF2C2F"/>
    <w:rsid w:val="00BF2C33"/>
    <w:rsid w:val="00BF2D51"/>
    <w:rsid w:val="00BF2D9C"/>
    <w:rsid w:val="00BF2E10"/>
    <w:rsid w:val="00BF31F2"/>
    <w:rsid w:val="00BF3487"/>
    <w:rsid w:val="00BF3651"/>
    <w:rsid w:val="00BF3825"/>
    <w:rsid w:val="00BF389D"/>
    <w:rsid w:val="00BF3A42"/>
    <w:rsid w:val="00BF3B7A"/>
    <w:rsid w:val="00BF3C58"/>
    <w:rsid w:val="00BF3DAB"/>
    <w:rsid w:val="00BF3DEA"/>
    <w:rsid w:val="00BF3E09"/>
    <w:rsid w:val="00BF3E56"/>
    <w:rsid w:val="00BF3FDD"/>
    <w:rsid w:val="00BF4164"/>
    <w:rsid w:val="00BF41C9"/>
    <w:rsid w:val="00BF429C"/>
    <w:rsid w:val="00BF43EA"/>
    <w:rsid w:val="00BF469B"/>
    <w:rsid w:val="00BF476E"/>
    <w:rsid w:val="00BF4844"/>
    <w:rsid w:val="00BF48CC"/>
    <w:rsid w:val="00BF49A3"/>
    <w:rsid w:val="00BF4A59"/>
    <w:rsid w:val="00BF4BC7"/>
    <w:rsid w:val="00BF4C84"/>
    <w:rsid w:val="00BF4D06"/>
    <w:rsid w:val="00BF4D35"/>
    <w:rsid w:val="00BF4E14"/>
    <w:rsid w:val="00BF4E48"/>
    <w:rsid w:val="00BF5084"/>
    <w:rsid w:val="00BF50D9"/>
    <w:rsid w:val="00BF5206"/>
    <w:rsid w:val="00BF5408"/>
    <w:rsid w:val="00BF5460"/>
    <w:rsid w:val="00BF549F"/>
    <w:rsid w:val="00BF581F"/>
    <w:rsid w:val="00BF5899"/>
    <w:rsid w:val="00BF5A32"/>
    <w:rsid w:val="00BF5A49"/>
    <w:rsid w:val="00BF5A83"/>
    <w:rsid w:val="00BF5BCC"/>
    <w:rsid w:val="00BF5C55"/>
    <w:rsid w:val="00BF5CAB"/>
    <w:rsid w:val="00BF5CED"/>
    <w:rsid w:val="00BF5DFD"/>
    <w:rsid w:val="00BF5E29"/>
    <w:rsid w:val="00BF5F5E"/>
    <w:rsid w:val="00BF5F8C"/>
    <w:rsid w:val="00BF607A"/>
    <w:rsid w:val="00BF6109"/>
    <w:rsid w:val="00BF6120"/>
    <w:rsid w:val="00BF6184"/>
    <w:rsid w:val="00BF628E"/>
    <w:rsid w:val="00BF62A5"/>
    <w:rsid w:val="00BF63C5"/>
    <w:rsid w:val="00BF63C8"/>
    <w:rsid w:val="00BF6408"/>
    <w:rsid w:val="00BF65B2"/>
    <w:rsid w:val="00BF688D"/>
    <w:rsid w:val="00BF6C1D"/>
    <w:rsid w:val="00BF6D22"/>
    <w:rsid w:val="00BF6DA9"/>
    <w:rsid w:val="00BF6E1A"/>
    <w:rsid w:val="00BF6FC1"/>
    <w:rsid w:val="00BF7303"/>
    <w:rsid w:val="00BF7481"/>
    <w:rsid w:val="00BF7AA3"/>
    <w:rsid w:val="00BF7AB5"/>
    <w:rsid w:val="00BF7B81"/>
    <w:rsid w:val="00BF7C1F"/>
    <w:rsid w:val="00BF7C20"/>
    <w:rsid w:val="00BF7D8E"/>
    <w:rsid w:val="00BF7DB3"/>
    <w:rsid w:val="00BF7E4F"/>
    <w:rsid w:val="00BF7E56"/>
    <w:rsid w:val="00BF7EE7"/>
    <w:rsid w:val="00C00107"/>
    <w:rsid w:val="00C001DF"/>
    <w:rsid w:val="00C001F1"/>
    <w:rsid w:val="00C00261"/>
    <w:rsid w:val="00C00535"/>
    <w:rsid w:val="00C00714"/>
    <w:rsid w:val="00C008D8"/>
    <w:rsid w:val="00C00B7E"/>
    <w:rsid w:val="00C00BCA"/>
    <w:rsid w:val="00C00C56"/>
    <w:rsid w:val="00C00E5E"/>
    <w:rsid w:val="00C00F62"/>
    <w:rsid w:val="00C00FAA"/>
    <w:rsid w:val="00C011ED"/>
    <w:rsid w:val="00C0134B"/>
    <w:rsid w:val="00C01359"/>
    <w:rsid w:val="00C0137F"/>
    <w:rsid w:val="00C01452"/>
    <w:rsid w:val="00C01489"/>
    <w:rsid w:val="00C0150D"/>
    <w:rsid w:val="00C0175E"/>
    <w:rsid w:val="00C01767"/>
    <w:rsid w:val="00C0180C"/>
    <w:rsid w:val="00C018E4"/>
    <w:rsid w:val="00C01B60"/>
    <w:rsid w:val="00C01DDD"/>
    <w:rsid w:val="00C01F42"/>
    <w:rsid w:val="00C01F4E"/>
    <w:rsid w:val="00C01FE0"/>
    <w:rsid w:val="00C01FF0"/>
    <w:rsid w:val="00C0201F"/>
    <w:rsid w:val="00C0207B"/>
    <w:rsid w:val="00C020A5"/>
    <w:rsid w:val="00C0216B"/>
    <w:rsid w:val="00C021BE"/>
    <w:rsid w:val="00C021BF"/>
    <w:rsid w:val="00C02382"/>
    <w:rsid w:val="00C023BE"/>
    <w:rsid w:val="00C02404"/>
    <w:rsid w:val="00C02417"/>
    <w:rsid w:val="00C0247E"/>
    <w:rsid w:val="00C02562"/>
    <w:rsid w:val="00C025E7"/>
    <w:rsid w:val="00C0262D"/>
    <w:rsid w:val="00C02632"/>
    <w:rsid w:val="00C02658"/>
    <w:rsid w:val="00C02712"/>
    <w:rsid w:val="00C02748"/>
    <w:rsid w:val="00C0278D"/>
    <w:rsid w:val="00C02792"/>
    <w:rsid w:val="00C027AC"/>
    <w:rsid w:val="00C02893"/>
    <w:rsid w:val="00C02982"/>
    <w:rsid w:val="00C02A29"/>
    <w:rsid w:val="00C02AC6"/>
    <w:rsid w:val="00C02B06"/>
    <w:rsid w:val="00C02B08"/>
    <w:rsid w:val="00C02B50"/>
    <w:rsid w:val="00C02B93"/>
    <w:rsid w:val="00C02D4D"/>
    <w:rsid w:val="00C02D71"/>
    <w:rsid w:val="00C02F29"/>
    <w:rsid w:val="00C02F34"/>
    <w:rsid w:val="00C02FEA"/>
    <w:rsid w:val="00C031FC"/>
    <w:rsid w:val="00C0334C"/>
    <w:rsid w:val="00C03492"/>
    <w:rsid w:val="00C03587"/>
    <w:rsid w:val="00C036F4"/>
    <w:rsid w:val="00C037AE"/>
    <w:rsid w:val="00C038AE"/>
    <w:rsid w:val="00C03915"/>
    <w:rsid w:val="00C0394A"/>
    <w:rsid w:val="00C03AAD"/>
    <w:rsid w:val="00C03B2A"/>
    <w:rsid w:val="00C03CCF"/>
    <w:rsid w:val="00C03D91"/>
    <w:rsid w:val="00C03F21"/>
    <w:rsid w:val="00C03FA6"/>
    <w:rsid w:val="00C0400C"/>
    <w:rsid w:val="00C0404C"/>
    <w:rsid w:val="00C04056"/>
    <w:rsid w:val="00C0408B"/>
    <w:rsid w:val="00C04098"/>
    <w:rsid w:val="00C040E7"/>
    <w:rsid w:val="00C04115"/>
    <w:rsid w:val="00C04192"/>
    <w:rsid w:val="00C04264"/>
    <w:rsid w:val="00C0427E"/>
    <w:rsid w:val="00C04375"/>
    <w:rsid w:val="00C043ED"/>
    <w:rsid w:val="00C043F7"/>
    <w:rsid w:val="00C0443D"/>
    <w:rsid w:val="00C044A8"/>
    <w:rsid w:val="00C04531"/>
    <w:rsid w:val="00C04640"/>
    <w:rsid w:val="00C0479E"/>
    <w:rsid w:val="00C04838"/>
    <w:rsid w:val="00C048B5"/>
    <w:rsid w:val="00C04923"/>
    <w:rsid w:val="00C049E2"/>
    <w:rsid w:val="00C04A6F"/>
    <w:rsid w:val="00C04BEB"/>
    <w:rsid w:val="00C050B1"/>
    <w:rsid w:val="00C05134"/>
    <w:rsid w:val="00C051ED"/>
    <w:rsid w:val="00C0529E"/>
    <w:rsid w:val="00C052C4"/>
    <w:rsid w:val="00C0552B"/>
    <w:rsid w:val="00C055F2"/>
    <w:rsid w:val="00C056B3"/>
    <w:rsid w:val="00C05735"/>
    <w:rsid w:val="00C05890"/>
    <w:rsid w:val="00C059DD"/>
    <w:rsid w:val="00C05AC2"/>
    <w:rsid w:val="00C05B23"/>
    <w:rsid w:val="00C05C4D"/>
    <w:rsid w:val="00C05CF8"/>
    <w:rsid w:val="00C05E79"/>
    <w:rsid w:val="00C05F10"/>
    <w:rsid w:val="00C05F38"/>
    <w:rsid w:val="00C060FA"/>
    <w:rsid w:val="00C0628F"/>
    <w:rsid w:val="00C062A8"/>
    <w:rsid w:val="00C064FE"/>
    <w:rsid w:val="00C065F7"/>
    <w:rsid w:val="00C06753"/>
    <w:rsid w:val="00C0679C"/>
    <w:rsid w:val="00C068A6"/>
    <w:rsid w:val="00C068D7"/>
    <w:rsid w:val="00C0696E"/>
    <w:rsid w:val="00C06A41"/>
    <w:rsid w:val="00C06A6F"/>
    <w:rsid w:val="00C06B54"/>
    <w:rsid w:val="00C06CAB"/>
    <w:rsid w:val="00C06D1C"/>
    <w:rsid w:val="00C06E69"/>
    <w:rsid w:val="00C06EDE"/>
    <w:rsid w:val="00C06EF6"/>
    <w:rsid w:val="00C06F1F"/>
    <w:rsid w:val="00C0707B"/>
    <w:rsid w:val="00C0715E"/>
    <w:rsid w:val="00C07198"/>
    <w:rsid w:val="00C0731A"/>
    <w:rsid w:val="00C0737A"/>
    <w:rsid w:val="00C0739D"/>
    <w:rsid w:val="00C07622"/>
    <w:rsid w:val="00C077C9"/>
    <w:rsid w:val="00C078E5"/>
    <w:rsid w:val="00C0797C"/>
    <w:rsid w:val="00C07AA6"/>
    <w:rsid w:val="00C07AD3"/>
    <w:rsid w:val="00C07C14"/>
    <w:rsid w:val="00C07E5C"/>
    <w:rsid w:val="00C07E6C"/>
    <w:rsid w:val="00C07F33"/>
    <w:rsid w:val="00C07F60"/>
    <w:rsid w:val="00C07FB7"/>
    <w:rsid w:val="00C0C867"/>
    <w:rsid w:val="00C10049"/>
    <w:rsid w:val="00C100C4"/>
    <w:rsid w:val="00C1015A"/>
    <w:rsid w:val="00C1018A"/>
    <w:rsid w:val="00C1021F"/>
    <w:rsid w:val="00C10295"/>
    <w:rsid w:val="00C10363"/>
    <w:rsid w:val="00C103BD"/>
    <w:rsid w:val="00C10428"/>
    <w:rsid w:val="00C10465"/>
    <w:rsid w:val="00C1052F"/>
    <w:rsid w:val="00C1056C"/>
    <w:rsid w:val="00C105AC"/>
    <w:rsid w:val="00C1066A"/>
    <w:rsid w:val="00C1067B"/>
    <w:rsid w:val="00C10682"/>
    <w:rsid w:val="00C1076E"/>
    <w:rsid w:val="00C108D7"/>
    <w:rsid w:val="00C1090F"/>
    <w:rsid w:val="00C10985"/>
    <w:rsid w:val="00C10B5D"/>
    <w:rsid w:val="00C10B60"/>
    <w:rsid w:val="00C10C07"/>
    <w:rsid w:val="00C10CC3"/>
    <w:rsid w:val="00C10D16"/>
    <w:rsid w:val="00C10EFD"/>
    <w:rsid w:val="00C11031"/>
    <w:rsid w:val="00C11357"/>
    <w:rsid w:val="00C11432"/>
    <w:rsid w:val="00C114AA"/>
    <w:rsid w:val="00C1161A"/>
    <w:rsid w:val="00C116D7"/>
    <w:rsid w:val="00C118AB"/>
    <w:rsid w:val="00C1191F"/>
    <w:rsid w:val="00C119D5"/>
    <w:rsid w:val="00C11A33"/>
    <w:rsid w:val="00C11ACF"/>
    <w:rsid w:val="00C11B3F"/>
    <w:rsid w:val="00C11D7C"/>
    <w:rsid w:val="00C11DA8"/>
    <w:rsid w:val="00C11DAE"/>
    <w:rsid w:val="00C11E2A"/>
    <w:rsid w:val="00C11FEF"/>
    <w:rsid w:val="00C12064"/>
    <w:rsid w:val="00C1228B"/>
    <w:rsid w:val="00C12297"/>
    <w:rsid w:val="00C12301"/>
    <w:rsid w:val="00C123B8"/>
    <w:rsid w:val="00C123E3"/>
    <w:rsid w:val="00C124A4"/>
    <w:rsid w:val="00C12597"/>
    <w:rsid w:val="00C125C9"/>
    <w:rsid w:val="00C126BB"/>
    <w:rsid w:val="00C127E9"/>
    <w:rsid w:val="00C127FA"/>
    <w:rsid w:val="00C12986"/>
    <w:rsid w:val="00C129CA"/>
    <w:rsid w:val="00C12B01"/>
    <w:rsid w:val="00C12B1A"/>
    <w:rsid w:val="00C12C99"/>
    <w:rsid w:val="00C12E1B"/>
    <w:rsid w:val="00C12E44"/>
    <w:rsid w:val="00C12EE9"/>
    <w:rsid w:val="00C12F3C"/>
    <w:rsid w:val="00C13153"/>
    <w:rsid w:val="00C13214"/>
    <w:rsid w:val="00C13347"/>
    <w:rsid w:val="00C1337B"/>
    <w:rsid w:val="00C134B6"/>
    <w:rsid w:val="00C134CD"/>
    <w:rsid w:val="00C134FE"/>
    <w:rsid w:val="00C13577"/>
    <w:rsid w:val="00C1359E"/>
    <w:rsid w:val="00C135E8"/>
    <w:rsid w:val="00C136A5"/>
    <w:rsid w:val="00C136DC"/>
    <w:rsid w:val="00C1371F"/>
    <w:rsid w:val="00C137C2"/>
    <w:rsid w:val="00C138B3"/>
    <w:rsid w:val="00C138F9"/>
    <w:rsid w:val="00C13ABA"/>
    <w:rsid w:val="00C13BD3"/>
    <w:rsid w:val="00C13D12"/>
    <w:rsid w:val="00C13E6B"/>
    <w:rsid w:val="00C13F6B"/>
    <w:rsid w:val="00C1403D"/>
    <w:rsid w:val="00C1404A"/>
    <w:rsid w:val="00C14306"/>
    <w:rsid w:val="00C14492"/>
    <w:rsid w:val="00C14503"/>
    <w:rsid w:val="00C14578"/>
    <w:rsid w:val="00C145A9"/>
    <w:rsid w:val="00C14629"/>
    <w:rsid w:val="00C1466D"/>
    <w:rsid w:val="00C146FA"/>
    <w:rsid w:val="00C147CF"/>
    <w:rsid w:val="00C147DA"/>
    <w:rsid w:val="00C14813"/>
    <w:rsid w:val="00C149ED"/>
    <w:rsid w:val="00C14A2D"/>
    <w:rsid w:val="00C14ADA"/>
    <w:rsid w:val="00C14BFC"/>
    <w:rsid w:val="00C14C68"/>
    <w:rsid w:val="00C14CE6"/>
    <w:rsid w:val="00C15006"/>
    <w:rsid w:val="00C15168"/>
    <w:rsid w:val="00C151CF"/>
    <w:rsid w:val="00C15224"/>
    <w:rsid w:val="00C15425"/>
    <w:rsid w:val="00C15563"/>
    <w:rsid w:val="00C15719"/>
    <w:rsid w:val="00C15729"/>
    <w:rsid w:val="00C15839"/>
    <w:rsid w:val="00C15924"/>
    <w:rsid w:val="00C159B2"/>
    <w:rsid w:val="00C15A76"/>
    <w:rsid w:val="00C15A8B"/>
    <w:rsid w:val="00C15B4A"/>
    <w:rsid w:val="00C15C28"/>
    <w:rsid w:val="00C15C99"/>
    <w:rsid w:val="00C15D43"/>
    <w:rsid w:val="00C15EA3"/>
    <w:rsid w:val="00C15F31"/>
    <w:rsid w:val="00C15F6E"/>
    <w:rsid w:val="00C15FB3"/>
    <w:rsid w:val="00C15FF3"/>
    <w:rsid w:val="00C15FF4"/>
    <w:rsid w:val="00C160E1"/>
    <w:rsid w:val="00C16193"/>
    <w:rsid w:val="00C1622C"/>
    <w:rsid w:val="00C16358"/>
    <w:rsid w:val="00C16382"/>
    <w:rsid w:val="00C16390"/>
    <w:rsid w:val="00C16417"/>
    <w:rsid w:val="00C1645C"/>
    <w:rsid w:val="00C16477"/>
    <w:rsid w:val="00C166CE"/>
    <w:rsid w:val="00C166F0"/>
    <w:rsid w:val="00C16712"/>
    <w:rsid w:val="00C16767"/>
    <w:rsid w:val="00C16A5A"/>
    <w:rsid w:val="00C16AB8"/>
    <w:rsid w:val="00C16C41"/>
    <w:rsid w:val="00C16CFC"/>
    <w:rsid w:val="00C16D65"/>
    <w:rsid w:val="00C17016"/>
    <w:rsid w:val="00C17138"/>
    <w:rsid w:val="00C172B9"/>
    <w:rsid w:val="00C172C6"/>
    <w:rsid w:val="00C172E6"/>
    <w:rsid w:val="00C17428"/>
    <w:rsid w:val="00C17447"/>
    <w:rsid w:val="00C17552"/>
    <w:rsid w:val="00C175C0"/>
    <w:rsid w:val="00C175E8"/>
    <w:rsid w:val="00C175E9"/>
    <w:rsid w:val="00C1764D"/>
    <w:rsid w:val="00C17731"/>
    <w:rsid w:val="00C17778"/>
    <w:rsid w:val="00C178CC"/>
    <w:rsid w:val="00C179E8"/>
    <w:rsid w:val="00C17A77"/>
    <w:rsid w:val="00C17C96"/>
    <w:rsid w:val="00C17D34"/>
    <w:rsid w:val="00C17D44"/>
    <w:rsid w:val="00C17D7F"/>
    <w:rsid w:val="00C17DC4"/>
    <w:rsid w:val="00C17DF7"/>
    <w:rsid w:val="00C17F80"/>
    <w:rsid w:val="00C17FFA"/>
    <w:rsid w:val="00C20087"/>
    <w:rsid w:val="00C2009A"/>
    <w:rsid w:val="00C20121"/>
    <w:rsid w:val="00C2035B"/>
    <w:rsid w:val="00C20437"/>
    <w:rsid w:val="00C2044C"/>
    <w:rsid w:val="00C20477"/>
    <w:rsid w:val="00C20496"/>
    <w:rsid w:val="00C2053A"/>
    <w:rsid w:val="00C20597"/>
    <w:rsid w:val="00C205F1"/>
    <w:rsid w:val="00C2066F"/>
    <w:rsid w:val="00C2069C"/>
    <w:rsid w:val="00C20799"/>
    <w:rsid w:val="00C2079E"/>
    <w:rsid w:val="00C207D9"/>
    <w:rsid w:val="00C208D5"/>
    <w:rsid w:val="00C20918"/>
    <w:rsid w:val="00C2091D"/>
    <w:rsid w:val="00C20B29"/>
    <w:rsid w:val="00C20DF7"/>
    <w:rsid w:val="00C20EF8"/>
    <w:rsid w:val="00C20F76"/>
    <w:rsid w:val="00C20FF4"/>
    <w:rsid w:val="00C2148F"/>
    <w:rsid w:val="00C21546"/>
    <w:rsid w:val="00C2159B"/>
    <w:rsid w:val="00C215F3"/>
    <w:rsid w:val="00C21719"/>
    <w:rsid w:val="00C21773"/>
    <w:rsid w:val="00C217BA"/>
    <w:rsid w:val="00C219FA"/>
    <w:rsid w:val="00C21A17"/>
    <w:rsid w:val="00C21AD4"/>
    <w:rsid w:val="00C21BBB"/>
    <w:rsid w:val="00C21BFB"/>
    <w:rsid w:val="00C21E8A"/>
    <w:rsid w:val="00C2227A"/>
    <w:rsid w:val="00C22372"/>
    <w:rsid w:val="00C223D2"/>
    <w:rsid w:val="00C2243C"/>
    <w:rsid w:val="00C224E3"/>
    <w:rsid w:val="00C2255F"/>
    <w:rsid w:val="00C225A4"/>
    <w:rsid w:val="00C2261D"/>
    <w:rsid w:val="00C22714"/>
    <w:rsid w:val="00C22801"/>
    <w:rsid w:val="00C22815"/>
    <w:rsid w:val="00C22826"/>
    <w:rsid w:val="00C228BD"/>
    <w:rsid w:val="00C22B18"/>
    <w:rsid w:val="00C22F6E"/>
    <w:rsid w:val="00C22FA0"/>
    <w:rsid w:val="00C23100"/>
    <w:rsid w:val="00C23133"/>
    <w:rsid w:val="00C23138"/>
    <w:rsid w:val="00C23153"/>
    <w:rsid w:val="00C232B5"/>
    <w:rsid w:val="00C23307"/>
    <w:rsid w:val="00C23352"/>
    <w:rsid w:val="00C23408"/>
    <w:rsid w:val="00C23638"/>
    <w:rsid w:val="00C2365A"/>
    <w:rsid w:val="00C236C8"/>
    <w:rsid w:val="00C2382E"/>
    <w:rsid w:val="00C238F4"/>
    <w:rsid w:val="00C23A0A"/>
    <w:rsid w:val="00C23A17"/>
    <w:rsid w:val="00C23B97"/>
    <w:rsid w:val="00C23C68"/>
    <w:rsid w:val="00C23C8C"/>
    <w:rsid w:val="00C23CD5"/>
    <w:rsid w:val="00C23D16"/>
    <w:rsid w:val="00C23E3B"/>
    <w:rsid w:val="00C23ECA"/>
    <w:rsid w:val="00C23F1D"/>
    <w:rsid w:val="00C23F59"/>
    <w:rsid w:val="00C23F9C"/>
    <w:rsid w:val="00C23FBE"/>
    <w:rsid w:val="00C24022"/>
    <w:rsid w:val="00C24062"/>
    <w:rsid w:val="00C240F2"/>
    <w:rsid w:val="00C2433D"/>
    <w:rsid w:val="00C24344"/>
    <w:rsid w:val="00C243D7"/>
    <w:rsid w:val="00C24522"/>
    <w:rsid w:val="00C24533"/>
    <w:rsid w:val="00C245A9"/>
    <w:rsid w:val="00C245CE"/>
    <w:rsid w:val="00C24731"/>
    <w:rsid w:val="00C248A7"/>
    <w:rsid w:val="00C24996"/>
    <w:rsid w:val="00C24DC4"/>
    <w:rsid w:val="00C24E19"/>
    <w:rsid w:val="00C24E2A"/>
    <w:rsid w:val="00C24FBC"/>
    <w:rsid w:val="00C25077"/>
    <w:rsid w:val="00C25089"/>
    <w:rsid w:val="00C250C0"/>
    <w:rsid w:val="00C2523F"/>
    <w:rsid w:val="00C252B2"/>
    <w:rsid w:val="00C255F1"/>
    <w:rsid w:val="00C25700"/>
    <w:rsid w:val="00C25701"/>
    <w:rsid w:val="00C25723"/>
    <w:rsid w:val="00C258E7"/>
    <w:rsid w:val="00C259B5"/>
    <w:rsid w:val="00C25A53"/>
    <w:rsid w:val="00C25AB0"/>
    <w:rsid w:val="00C25ACF"/>
    <w:rsid w:val="00C25BAE"/>
    <w:rsid w:val="00C25D66"/>
    <w:rsid w:val="00C25DAB"/>
    <w:rsid w:val="00C25DD1"/>
    <w:rsid w:val="00C25FEB"/>
    <w:rsid w:val="00C2600B"/>
    <w:rsid w:val="00C26088"/>
    <w:rsid w:val="00C260A6"/>
    <w:rsid w:val="00C26471"/>
    <w:rsid w:val="00C26675"/>
    <w:rsid w:val="00C26724"/>
    <w:rsid w:val="00C26762"/>
    <w:rsid w:val="00C268B8"/>
    <w:rsid w:val="00C26960"/>
    <w:rsid w:val="00C26C3A"/>
    <w:rsid w:val="00C26DF7"/>
    <w:rsid w:val="00C26F75"/>
    <w:rsid w:val="00C27053"/>
    <w:rsid w:val="00C272A2"/>
    <w:rsid w:val="00C272D2"/>
    <w:rsid w:val="00C27356"/>
    <w:rsid w:val="00C2757D"/>
    <w:rsid w:val="00C275A3"/>
    <w:rsid w:val="00C275FD"/>
    <w:rsid w:val="00C27769"/>
    <w:rsid w:val="00C279EB"/>
    <w:rsid w:val="00C27B35"/>
    <w:rsid w:val="00C27C02"/>
    <w:rsid w:val="00C27C99"/>
    <w:rsid w:val="00C27DA8"/>
    <w:rsid w:val="00C27E04"/>
    <w:rsid w:val="00C27EE6"/>
    <w:rsid w:val="00C27F92"/>
    <w:rsid w:val="00C300EA"/>
    <w:rsid w:val="00C3013C"/>
    <w:rsid w:val="00C302EA"/>
    <w:rsid w:val="00C30373"/>
    <w:rsid w:val="00C304BE"/>
    <w:rsid w:val="00C30706"/>
    <w:rsid w:val="00C30872"/>
    <w:rsid w:val="00C3096B"/>
    <w:rsid w:val="00C30A72"/>
    <w:rsid w:val="00C30B1F"/>
    <w:rsid w:val="00C30D8C"/>
    <w:rsid w:val="00C30DE6"/>
    <w:rsid w:val="00C30EC6"/>
    <w:rsid w:val="00C30EC8"/>
    <w:rsid w:val="00C30F13"/>
    <w:rsid w:val="00C30F72"/>
    <w:rsid w:val="00C3105D"/>
    <w:rsid w:val="00C310C7"/>
    <w:rsid w:val="00C312A0"/>
    <w:rsid w:val="00C3130A"/>
    <w:rsid w:val="00C31341"/>
    <w:rsid w:val="00C31839"/>
    <w:rsid w:val="00C31923"/>
    <w:rsid w:val="00C31941"/>
    <w:rsid w:val="00C31A0E"/>
    <w:rsid w:val="00C31A7F"/>
    <w:rsid w:val="00C31BD1"/>
    <w:rsid w:val="00C31C0D"/>
    <w:rsid w:val="00C31CF1"/>
    <w:rsid w:val="00C31D13"/>
    <w:rsid w:val="00C31E79"/>
    <w:rsid w:val="00C32157"/>
    <w:rsid w:val="00C32256"/>
    <w:rsid w:val="00C32367"/>
    <w:rsid w:val="00C3265B"/>
    <w:rsid w:val="00C32728"/>
    <w:rsid w:val="00C3281F"/>
    <w:rsid w:val="00C329C9"/>
    <w:rsid w:val="00C32AE9"/>
    <w:rsid w:val="00C32AFF"/>
    <w:rsid w:val="00C32B11"/>
    <w:rsid w:val="00C32B9A"/>
    <w:rsid w:val="00C32C0F"/>
    <w:rsid w:val="00C32FBC"/>
    <w:rsid w:val="00C32FC7"/>
    <w:rsid w:val="00C32FFA"/>
    <w:rsid w:val="00C3315D"/>
    <w:rsid w:val="00C33177"/>
    <w:rsid w:val="00C3345D"/>
    <w:rsid w:val="00C334F4"/>
    <w:rsid w:val="00C334FD"/>
    <w:rsid w:val="00C3355A"/>
    <w:rsid w:val="00C33564"/>
    <w:rsid w:val="00C3358E"/>
    <w:rsid w:val="00C335A6"/>
    <w:rsid w:val="00C335AC"/>
    <w:rsid w:val="00C33614"/>
    <w:rsid w:val="00C3363A"/>
    <w:rsid w:val="00C33658"/>
    <w:rsid w:val="00C3365E"/>
    <w:rsid w:val="00C33681"/>
    <w:rsid w:val="00C336A6"/>
    <w:rsid w:val="00C337AB"/>
    <w:rsid w:val="00C337DA"/>
    <w:rsid w:val="00C33888"/>
    <w:rsid w:val="00C33A2F"/>
    <w:rsid w:val="00C33A96"/>
    <w:rsid w:val="00C33AF7"/>
    <w:rsid w:val="00C33BA9"/>
    <w:rsid w:val="00C33BC7"/>
    <w:rsid w:val="00C33D01"/>
    <w:rsid w:val="00C33D98"/>
    <w:rsid w:val="00C33F2F"/>
    <w:rsid w:val="00C3403C"/>
    <w:rsid w:val="00C340D8"/>
    <w:rsid w:val="00C3416F"/>
    <w:rsid w:val="00C3420D"/>
    <w:rsid w:val="00C34223"/>
    <w:rsid w:val="00C34238"/>
    <w:rsid w:val="00C343C0"/>
    <w:rsid w:val="00C34448"/>
    <w:rsid w:val="00C34493"/>
    <w:rsid w:val="00C3454E"/>
    <w:rsid w:val="00C345D0"/>
    <w:rsid w:val="00C34648"/>
    <w:rsid w:val="00C346A8"/>
    <w:rsid w:val="00C347BD"/>
    <w:rsid w:val="00C34869"/>
    <w:rsid w:val="00C3498E"/>
    <w:rsid w:val="00C34C3E"/>
    <w:rsid w:val="00C34D82"/>
    <w:rsid w:val="00C34D8F"/>
    <w:rsid w:val="00C34E83"/>
    <w:rsid w:val="00C34F72"/>
    <w:rsid w:val="00C34F86"/>
    <w:rsid w:val="00C34F94"/>
    <w:rsid w:val="00C34FF5"/>
    <w:rsid w:val="00C350A6"/>
    <w:rsid w:val="00C350BB"/>
    <w:rsid w:val="00C35248"/>
    <w:rsid w:val="00C353B5"/>
    <w:rsid w:val="00C35558"/>
    <w:rsid w:val="00C356F3"/>
    <w:rsid w:val="00C35727"/>
    <w:rsid w:val="00C35734"/>
    <w:rsid w:val="00C35793"/>
    <w:rsid w:val="00C35A09"/>
    <w:rsid w:val="00C35CED"/>
    <w:rsid w:val="00C35DAE"/>
    <w:rsid w:val="00C35E44"/>
    <w:rsid w:val="00C35EC9"/>
    <w:rsid w:val="00C35F30"/>
    <w:rsid w:val="00C36028"/>
    <w:rsid w:val="00C360FF"/>
    <w:rsid w:val="00C3616F"/>
    <w:rsid w:val="00C36284"/>
    <w:rsid w:val="00C36436"/>
    <w:rsid w:val="00C36579"/>
    <w:rsid w:val="00C365EA"/>
    <w:rsid w:val="00C36634"/>
    <w:rsid w:val="00C366D6"/>
    <w:rsid w:val="00C3670B"/>
    <w:rsid w:val="00C3694A"/>
    <w:rsid w:val="00C36965"/>
    <w:rsid w:val="00C36A11"/>
    <w:rsid w:val="00C36A98"/>
    <w:rsid w:val="00C36AE5"/>
    <w:rsid w:val="00C36B23"/>
    <w:rsid w:val="00C36B3A"/>
    <w:rsid w:val="00C36B6E"/>
    <w:rsid w:val="00C36E81"/>
    <w:rsid w:val="00C36E93"/>
    <w:rsid w:val="00C36EA0"/>
    <w:rsid w:val="00C3702A"/>
    <w:rsid w:val="00C3717E"/>
    <w:rsid w:val="00C371C1"/>
    <w:rsid w:val="00C371D0"/>
    <w:rsid w:val="00C371EC"/>
    <w:rsid w:val="00C37275"/>
    <w:rsid w:val="00C3737E"/>
    <w:rsid w:val="00C37427"/>
    <w:rsid w:val="00C37505"/>
    <w:rsid w:val="00C3765B"/>
    <w:rsid w:val="00C37729"/>
    <w:rsid w:val="00C37778"/>
    <w:rsid w:val="00C377E6"/>
    <w:rsid w:val="00C377F6"/>
    <w:rsid w:val="00C37861"/>
    <w:rsid w:val="00C37864"/>
    <w:rsid w:val="00C378B2"/>
    <w:rsid w:val="00C37919"/>
    <w:rsid w:val="00C37924"/>
    <w:rsid w:val="00C3799A"/>
    <w:rsid w:val="00C37E8A"/>
    <w:rsid w:val="00C37EB3"/>
    <w:rsid w:val="00C37F44"/>
    <w:rsid w:val="00C40054"/>
    <w:rsid w:val="00C400DC"/>
    <w:rsid w:val="00C400E9"/>
    <w:rsid w:val="00C40333"/>
    <w:rsid w:val="00C4043D"/>
    <w:rsid w:val="00C404F2"/>
    <w:rsid w:val="00C4058D"/>
    <w:rsid w:val="00C40656"/>
    <w:rsid w:val="00C408A5"/>
    <w:rsid w:val="00C40927"/>
    <w:rsid w:val="00C409A7"/>
    <w:rsid w:val="00C40AAA"/>
    <w:rsid w:val="00C40B1F"/>
    <w:rsid w:val="00C40B6E"/>
    <w:rsid w:val="00C40EE3"/>
    <w:rsid w:val="00C410C0"/>
    <w:rsid w:val="00C41200"/>
    <w:rsid w:val="00C413DD"/>
    <w:rsid w:val="00C413F0"/>
    <w:rsid w:val="00C41634"/>
    <w:rsid w:val="00C41700"/>
    <w:rsid w:val="00C41717"/>
    <w:rsid w:val="00C417B8"/>
    <w:rsid w:val="00C417C1"/>
    <w:rsid w:val="00C419D0"/>
    <w:rsid w:val="00C41A9F"/>
    <w:rsid w:val="00C41D45"/>
    <w:rsid w:val="00C41D93"/>
    <w:rsid w:val="00C41DEE"/>
    <w:rsid w:val="00C41E96"/>
    <w:rsid w:val="00C42206"/>
    <w:rsid w:val="00C4226A"/>
    <w:rsid w:val="00C42394"/>
    <w:rsid w:val="00C423E8"/>
    <w:rsid w:val="00C423F9"/>
    <w:rsid w:val="00C42585"/>
    <w:rsid w:val="00C4285D"/>
    <w:rsid w:val="00C429F6"/>
    <w:rsid w:val="00C42A7F"/>
    <w:rsid w:val="00C42B3E"/>
    <w:rsid w:val="00C42B6F"/>
    <w:rsid w:val="00C42C88"/>
    <w:rsid w:val="00C42DA3"/>
    <w:rsid w:val="00C4307C"/>
    <w:rsid w:val="00C430E2"/>
    <w:rsid w:val="00C43285"/>
    <w:rsid w:val="00C432D2"/>
    <w:rsid w:val="00C433FA"/>
    <w:rsid w:val="00C4344B"/>
    <w:rsid w:val="00C434A3"/>
    <w:rsid w:val="00C4362C"/>
    <w:rsid w:val="00C43709"/>
    <w:rsid w:val="00C43A6D"/>
    <w:rsid w:val="00C43AF4"/>
    <w:rsid w:val="00C43B34"/>
    <w:rsid w:val="00C43C8A"/>
    <w:rsid w:val="00C43D48"/>
    <w:rsid w:val="00C43DE4"/>
    <w:rsid w:val="00C43DE8"/>
    <w:rsid w:val="00C43DFF"/>
    <w:rsid w:val="00C43E3B"/>
    <w:rsid w:val="00C440D8"/>
    <w:rsid w:val="00C4414F"/>
    <w:rsid w:val="00C44160"/>
    <w:rsid w:val="00C44299"/>
    <w:rsid w:val="00C4430B"/>
    <w:rsid w:val="00C4436E"/>
    <w:rsid w:val="00C44394"/>
    <w:rsid w:val="00C443B5"/>
    <w:rsid w:val="00C44505"/>
    <w:rsid w:val="00C44506"/>
    <w:rsid w:val="00C44527"/>
    <w:rsid w:val="00C445D3"/>
    <w:rsid w:val="00C4467E"/>
    <w:rsid w:val="00C447C4"/>
    <w:rsid w:val="00C44903"/>
    <w:rsid w:val="00C44A81"/>
    <w:rsid w:val="00C44B6E"/>
    <w:rsid w:val="00C44E43"/>
    <w:rsid w:val="00C44E58"/>
    <w:rsid w:val="00C44F56"/>
    <w:rsid w:val="00C44F61"/>
    <w:rsid w:val="00C44FCB"/>
    <w:rsid w:val="00C44FCC"/>
    <w:rsid w:val="00C45020"/>
    <w:rsid w:val="00C450C8"/>
    <w:rsid w:val="00C45198"/>
    <w:rsid w:val="00C4527F"/>
    <w:rsid w:val="00C452E1"/>
    <w:rsid w:val="00C452E3"/>
    <w:rsid w:val="00C452E4"/>
    <w:rsid w:val="00C453B1"/>
    <w:rsid w:val="00C454C1"/>
    <w:rsid w:val="00C454F6"/>
    <w:rsid w:val="00C45573"/>
    <w:rsid w:val="00C45619"/>
    <w:rsid w:val="00C45725"/>
    <w:rsid w:val="00C45868"/>
    <w:rsid w:val="00C459DA"/>
    <w:rsid w:val="00C459FE"/>
    <w:rsid w:val="00C45AAE"/>
    <w:rsid w:val="00C45C13"/>
    <w:rsid w:val="00C45CC8"/>
    <w:rsid w:val="00C45D45"/>
    <w:rsid w:val="00C45D65"/>
    <w:rsid w:val="00C45F28"/>
    <w:rsid w:val="00C45F6C"/>
    <w:rsid w:val="00C45FBF"/>
    <w:rsid w:val="00C45FFD"/>
    <w:rsid w:val="00C461A7"/>
    <w:rsid w:val="00C4636C"/>
    <w:rsid w:val="00C46375"/>
    <w:rsid w:val="00C46377"/>
    <w:rsid w:val="00C463D0"/>
    <w:rsid w:val="00C46442"/>
    <w:rsid w:val="00C464EF"/>
    <w:rsid w:val="00C466D1"/>
    <w:rsid w:val="00C466EF"/>
    <w:rsid w:val="00C4679B"/>
    <w:rsid w:val="00C4682D"/>
    <w:rsid w:val="00C4695A"/>
    <w:rsid w:val="00C469DD"/>
    <w:rsid w:val="00C46A5E"/>
    <w:rsid w:val="00C46BAE"/>
    <w:rsid w:val="00C46CF2"/>
    <w:rsid w:val="00C46D2C"/>
    <w:rsid w:val="00C46D90"/>
    <w:rsid w:val="00C46D91"/>
    <w:rsid w:val="00C46DBA"/>
    <w:rsid w:val="00C46E71"/>
    <w:rsid w:val="00C46EE5"/>
    <w:rsid w:val="00C46F37"/>
    <w:rsid w:val="00C46F62"/>
    <w:rsid w:val="00C47005"/>
    <w:rsid w:val="00C4703F"/>
    <w:rsid w:val="00C471AE"/>
    <w:rsid w:val="00C472DE"/>
    <w:rsid w:val="00C47318"/>
    <w:rsid w:val="00C4749C"/>
    <w:rsid w:val="00C47621"/>
    <w:rsid w:val="00C4762B"/>
    <w:rsid w:val="00C47699"/>
    <w:rsid w:val="00C476C3"/>
    <w:rsid w:val="00C4773B"/>
    <w:rsid w:val="00C47771"/>
    <w:rsid w:val="00C477C8"/>
    <w:rsid w:val="00C47823"/>
    <w:rsid w:val="00C4782C"/>
    <w:rsid w:val="00C47896"/>
    <w:rsid w:val="00C4789B"/>
    <w:rsid w:val="00C4798D"/>
    <w:rsid w:val="00C47A3A"/>
    <w:rsid w:val="00C47A5E"/>
    <w:rsid w:val="00C47B16"/>
    <w:rsid w:val="00C47BB4"/>
    <w:rsid w:val="00C47C03"/>
    <w:rsid w:val="00C47C94"/>
    <w:rsid w:val="00C47CB7"/>
    <w:rsid w:val="00C47D01"/>
    <w:rsid w:val="00C47E1F"/>
    <w:rsid w:val="00C47F18"/>
    <w:rsid w:val="00C47F85"/>
    <w:rsid w:val="00C47FBD"/>
    <w:rsid w:val="00C47FD2"/>
    <w:rsid w:val="00C5000A"/>
    <w:rsid w:val="00C50053"/>
    <w:rsid w:val="00C50057"/>
    <w:rsid w:val="00C501D4"/>
    <w:rsid w:val="00C5020C"/>
    <w:rsid w:val="00C502F5"/>
    <w:rsid w:val="00C504C5"/>
    <w:rsid w:val="00C5051B"/>
    <w:rsid w:val="00C50590"/>
    <w:rsid w:val="00C505B9"/>
    <w:rsid w:val="00C506A8"/>
    <w:rsid w:val="00C50714"/>
    <w:rsid w:val="00C50791"/>
    <w:rsid w:val="00C507B3"/>
    <w:rsid w:val="00C50B0F"/>
    <w:rsid w:val="00C50B34"/>
    <w:rsid w:val="00C50B6A"/>
    <w:rsid w:val="00C50CAB"/>
    <w:rsid w:val="00C50E1C"/>
    <w:rsid w:val="00C50E4D"/>
    <w:rsid w:val="00C50F00"/>
    <w:rsid w:val="00C51065"/>
    <w:rsid w:val="00C5130C"/>
    <w:rsid w:val="00C5142F"/>
    <w:rsid w:val="00C5143E"/>
    <w:rsid w:val="00C5156A"/>
    <w:rsid w:val="00C515B5"/>
    <w:rsid w:val="00C51634"/>
    <w:rsid w:val="00C516B1"/>
    <w:rsid w:val="00C516CC"/>
    <w:rsid w:val="00C5172A"/>
    <w:rsid w:val="00C5178B"/>
    <w:rsid w:val="00C5192D"/>
    <w:rsid w:val="00C519F4"/>
    <w:rsid w:val="00C51BD2"/>
    <w:rsid w:val="00C51E3B"/>
    <w:rsid w:val="00C51E3D"/>
    <w:rsid w:val="00C51E90"/>
    <w:rsid w:val="00C51F0B"/>
    <w:rsid w:val="00C51FB4"/>
    <w:rsid w:val="00C5201F"/>
    <w:rsid w:val="00C52113"/>
    <w:rsid w:val="00C52135"/>
    <w:rsid w:val="00C5213B"/>
    <w:rsid w:val="00C52209"/>
    <w:rsid w:val="00C5231E"/>
    <w:rsid w:val="00C523A1"/>
    <w:rsid w:val="00C523DC"/>
    <w:rsid w:val="00C52490"/>
    <w:rsid w:val="00C52587"/>
    <w:rsid w:val="00C529D7"/>
    <w:rsid w:val="00C52C8D"/>
    <w:rsid w:val="00C53098"/>
    <w:rsid w:val="00C532E7"/>
    <w:rsid w:val="00C532F2"/>
    <w:rsid w:val="00C533A2"/>
    <w:rsid w:val="00C53446"/>
    <w:rsid w:val="00C5351F"/>
    <w:rsid w:val="00C53523"/>
    <w:rsid w:val="00C5367B"/>
    <w:rsid w:val="00C536AD"/>
    <w:rsid w:val="00C53811"/>
    <w:rsid w:val="00C5385C"/>
    <w:rsid w:val="00C53A42"/>
    <w:rsid w:val="00C53B3F"/>
    <w:rsid w:val="00C53B53"/>
    <w:rsid w:val="00C53CC6"/>
    <w:rsid w:val="00C53D2A"/>
    <w:rsid w:val="00C53D34"/>
    <w:rsid w:val="00C53E06"/>
    <w:rsid w:val="00C53F6D"/>
    <w:rsid w:val="00C53FAD"/>
    <w:rsid w:val="00C53FB1"/>
    <w:rsid w:val="00C53FED"/>
    <w:rsid w:val="00C54043"/>
    <w:rsid w:val="00C541B4"/>
    <w:rsid w:val="00C541D8"/>
    <w:rsid w:val="00C54370"/>
    <w:rsid w:val="00C543A7"/>
    <w:rsid w:val="00C54478"/>
    <w:rsid w:val="00C544FE"/>
    <w:rsid w:val="00C54559"/>
    <w:rsid w:val="00C545EF"/>
    <w:rsid w:val="00C5460E"/>
    <w:rsid w:val="00C547DC"/>
    <w:rsid w:val="00C547F3"/>
    <w:rsid w:val="00C54803"/>
    <w:rsid w:val="00C549D0"/>
    <w:rsid w:val="00C54B0E"/>
    <w:rsid w:val="00C54B4E"/>
    <w:rsid w:val="00C551B0"/>
    <w:rsid w:val="00C551C3"/>
    <w:rsid w:val="00C55205"/>
    <w:rsid w:val="00C552D2"/>
    <w:rsid w:val="00C55364"/>
    <w:rsid w:val="00C5537F"/>
    <w:rsid w:val="00C553D5"/>
    <w:rsid w:val="00C554A2"/>
    <w:rsid w:val="00C55552"/>
    <w:rsid w:val="00C55628"/>
    <w:rsid w:val="00C55701"/>
    <w:rsid w:val="00C55703"/>
    <w:rsid w:val="00C557EC"/>
    <w:rsid w:val="00C55B52"/>
    <w:rsid w:val="00C55C68"/>
    <w:rsid w:val="00C55FDF"/>
    <w:rsid w:val="00C560CA"/>
    <w:rsid w:val="00C561AF"/>
    <w:rsid w:val="00C56339"/>
    <w:rsid w:val="00C5637E"/>
    <w:rsid w:val="00C563C6"/>
    <w:rsid w:val="00C564C1"/>
    <w:rsid w:val="00C56623"/>
    <w:rsid w:val="00C56698"/>
    <w:rsid w:val="00C566B8"/>
    <w:rsid w:val="00C5671F"/>
    <w:rsid w:val="00C56861"/>
    <w:rsid w:val="00C568B2"/>
    <w:rsid w:val="00C568B8"/>
    <w:rsid w:val="00C568FA"/>
    <w:rsid w:val="00C56CB4"/>
    <w:rsid w:val="00C56D4C"/>
    <w:rsid w:val="00C56E53"/>
    <w:rsid w:val="00C56EAC"/>
    <w:rsid w:val="00C56FC5"/>
    <w:rsid w:val="00C56FFC"/>
    <w:rsid w:val="00C5701B"/>
    <w:rsid w:val="00C570A4"/>
    <w:rsid w:val="00C57238"/>
    <w:rsid w:val="00C57245"/>
    <w:rsid w:val="00C572AC"/>
    <w:rsid w:val="00C57367"/>
    <w:rsid w:val="00C5753F"/>
    <w:rsid w:val="00C575E1"/>
    <w:rsid w:val="00C576D6"/>
    <w:rsid w:val="00C5771E"/>
    <w:rsid w:val="00C57736"/>
    <w:rsid w:val="00C577C6"/>
    <w:rsid w:val="00C57823"/>
    <w:rsid w:val="00C578AB"/>
    <w:rsid w:val="00C57920"/>
    <w:rsid w:val="00C57A52"/>
    <w:rsid w:val="00C57A61"/>
    <w:rsid w:val="00C57D23"/>
    <w:rsid w:val="00C57E44"/>
    <w:rsid w:val="00C57EDC"/>
    <w:rsid w:val="00C57EFF"/>
    <w:rsid w:val="00C57F70"/>
    <w:rsid w:val="00C600A7"/>
    <w:rsid w:val="00C600AD"/>
    <w:rsid w:val="00C60245"/>
    <w:rsid w:val="00C60252"/>
    <w:rsid w:val="00C602FE"/>
    <w:rsid w:val="00C60303"/>
    <w:rsid w:val="00C603BE"/>
    <w:rsid w:val="00C603CB"/>
    <w:rsid w:val="00C60539"/>
    <w:rsid w:val="00C605EF"/>
    <w:rsid w:val="00C60718"/>
    <w:rsid w:val="00C60756"/>
    <w:rsid w:val="00C607D4"/>
    <w:rsid w:val="00C608B8"/>
    <w:rsid w:val="00C60AB5"/>
    <w:rsid w:val="00C60E5F"/>
    <w:rsid w:val="00C60EBE"/>
    <w:rsid w:val="00C60F5D"/>
    <w:rsid w:val="00C60FE4"/>
    <w:rsid w:val="00C61149"/>
    <w:rsid w:val="00C6119A"/>
    <w:rsid w:val="00C611FE"/>
    <w:rsid w:val="00C61401"/>
    <w:rsid w:val="00C614A5"/>
    <w:rsid w:val="00C6155D"/>
    <w:rsid w:val="00C6160B"/>
    <w:rsid w:val="00C616CB"/>
    <w:rsid w:val="00C616EA"/>
    <w:rsid w:val="00C61733"/>
    <w:rsid w:val="00C61794"/>
    <w:rsid w:val="00C617DC"/>
    <w:rsid w:val="00C61980"/>
    <w:rsid w:val="00C61BB2"/>
    <w:rsid w:val="00C61BE3"/>
    <w:rsid w:val="00C61C3D"/>
    <w:rsid w:val="00C61CD3"/>
    <w:rsid w:val="00C61D6A"/>
    <w:rsid w:val="00C61F04"/>
    <w:rsid w:val="00C61F64"/>
    <w:rsid w:val="00C6208F"/>
    <w:rsid w:val="00C620CB"/>
    <w:rsid w:val="00C62227"/>
    <w:rsid w:val="00C62266"/>
    <w:rsid w:val="00C62375"/>
    <w:rsid w:val="00C623CE"/>
    <w:rsid w:val="00C6247D"/>
    <w:rsid w:val="00C62606"/>
    <w:rsid w:val="00C6276E"/>
    <w:rsid w:val="00C6277B"/>
    <w:rsid w:val="00C628F0"/>
    <w:rsid w:val="00C6296C"/>
    <w:rsid w:val="00C6299D"/>
    <w:rsid w:val="00C62BD6"/>
    <w:rsid w:val="00C62C3B"/>
    <w:rsid w:val="00C62C8C"/>
    <w:rsid w:val="00C62D54"/>
    <w:rsid w:val="00C630D1"/>
    <w:rsid w:val="00C631E4"/>
    <w:rsid w:val="00C6324B"/>
    <w:rsid w:val="00C63322"/>
    <w:rsid w:val="00C6335D"/>
    <w:rsid w:val="00C63524"/>
    <w:rsid w:val="00C6355D"/>
    <w:rsid w:val="00C63584"/>
    <w:rsid w:val="00C6376E"/>
    <w:rsid w:val="00C638A4"/>
    <w:rsid w:val="00C63A38"/>
    <w:rsid w:val="00C63B3C"/>
    <w:rsid w:val="00C63B84"/>
    <w:rsid w:val="00C63BCD"/>
    <w:rsid w:val="00C63E32"/>
    <w:rsid w:val="00C63E62"/>
    <w:rsid w:val="00C63E90"/>
    <w:rsid w:val="00C63EBA"/>
    <w:rsid w:val="00C6413F"/>
    <w:rsid w:val="00C64181"/>
    <w:rsid w:val="00C641FF"/>
    <w:rsid w:val="00C64219"/>
    <w:rsid w:val="00C64571"/>
    <w:rsid w:val="00C645E8"/>
    <w:rsid w:val="00C64685"/>
    <w:rsid w:val="00C6468B"/>
    <w:rsid w:val="00C646AE"/>
    <w:rsid w:val="00C646B7"/>
    <w:rsid w:val="00C64918"/>
    <w:rsid w:val="00C6493B"/>
    <w:rsid w:val="00C6493E"/>
    <w:rsid w:val="00C64BD6"/>
    <w:rsid w:val="00C64BE3"/>
    <w:rsid w:val="00C64C83"/>
    <w:rsid w:val="00C64F93"/>
    <w:rsid w:val="00C65038"/>
    <w:rsid w:val="00C6508C"/>
    <w:rsid w:val="00C651E7"/>
    <w:rsid w:val="00C65334"/>
    <w:rsid w:val="00C65506"/>
    <w:rsid w:val="00C65706"/>
    <w:rsid w:val="00C6572C"/>
    <w:rsid w:val="00C65736"/>
    <w:rsid w:val="00C657C4"/>
    <w:rsid w:val="00C6582E"/>
    <w:rsid w:val="00C658A3"/>
    <w:rsid w:val="00C65A91"/>
    <w:rsid w:val="00C65A98"/>
    <w:rsid w:val="00C65C01"/>
    <w:rsid w:val="00C65C7F"/>
    <w:rsid w:val="00C65DB2"/>
    <w:rsid w:val="00C65DE3"/>
    <w:rsid w:val="00C65E4A"/>
    <w:rsid w:val="00C65F50"/>
    <w:rsid w:val="00C66022"/>
    <w:rsid w:val="00C66049"/>
    <w:rsid w:val="00C66067"/>
    <w:rsid w:val="00C66098"/>
    <w:rsid w:val="00C660AE"/>
    <w:rsid w:val="00C661DF"/>
    <w:rsid w:val="00C6646F"/>
    <w:rsid w:val="00C6659F"/>
    <w:rsid w:val="00C66657"/>
    <w:rsid w:val="00C6669A"/>
    <w:rsid w:val="00C66744"/>
    <w:rsid w:val="00C667BA"/>
    <w:rsid w:val="00C668A8"/>
    <w:rsid w:val="00C66E64"/>
    <w:rsid w:val="00C66E81"/>
    <w:rsid w:val="00C6707B"/>
    <w:rsid w:val="00C671CA"/>
    <w:rsid w:val="00C673E9"/>
    <w:rsid w:val="00C673EB"/>
    <w:rsid w:val="00C6744E"/>
    <w:rsid w:val="00C67531"/>
    <w:rsid w:val="00C675E5"/>
    <w:rsid w:val="00C6767A"/>
    <w:rsid w:val="00C67764"/>
    <w:rsid w:val="00C67872"/>
    <w:rsid w:val="00C6793F"/>
    <w:rsid w:val="00C679AA"/>
    <w:rsid w:val="00C67AE7"/>
    <w:rsid w:val="00C67AF3"/>
    <w:rsid w:val="00C67B84"/>
    <w:rsid w:val="00C67C4C"/>
    <w:rsid w:val="00C67C7B"/>
    <w:rsid w:val="00C67CC9"/>
    <w:rsid w:val="00C67D03"/>
    <w:rsid w:val="00C67ECD"/>
    <w:rsid w:val="00C7012F"/>
    <w:rsid w:val="00C701D9"/>
    <w:rsid w:val="00C7021E"/>
    <w:rsid w:val="00C702B5"/>
    <w:rsid w:val="00C702FE"/>
    <w:rsid w:val="00C7033F"/>
    <w:rsid w:val="00C704ED"/>
    <w:rsid w:val="00C7068B"/>
    <w:rsid w:val="00C706BB"/>
    <w:rsid w:val="00C7085E"/>
    <w:rsid w:val="00C709CA"/>
    <w:rsid w:val="00C70AEF"/>
    <w:rsid w:val="00C70BBD"/>
    <w:rsid w:val="00C70EFD"/>
    <w:rsid w:val="00C70FFF"/>
    <w:rsid w:val="00C7108A"/>
    <w:rsid w:val="00C71092"/>
    <w:rsid w:val="00C7119B"/>
    <w:rsid w:val="00C712F5"/>
    <w:rsid w:val="00C7143C"/>
    <w:rsid w:val="00C71512"/>
    <w:rsid w:val="00C71568"/>
    <w:rsid w:val="00C7160D"/>
    <w:rsid w:val="00C71620"/>
    <w:rsid w:val="00C7164C"/>
    <w:rsid w:val="00C7168F"/>
    <w:rsid w:val="00C717A1"/>
    <w:rsid w:val="00C717B6"/>
    <w:rsid w:val="00C717E8"/>
    <w:rsid w:val="00C7197A"/>
    <w:rsid w:val="00C71A0C"/>
    <w:rsid w:val="00C71A76"/>
    <w:rsid w:val="00C71C14"/>
    <w:rsid w:val="00C71CDF"/>
    <w:rsid w:val="00C71D21"/>
    <w:rsid w:val="00C71D76"/>
    <w:rsid w:val="00C71FC8"/>
    <w:rsid w:val="00C72129"/>
    <w:rsid w:val="00C722BF"/>
    <w:rsid w:val="00C723D7"/>
    <w:rsid w:val="00C72426"/>
    <w:rsid w:val="00C72486"/>
    <w:rsid w:val="00C727F1"/>
    <w:rsid w:val="00C7283D"/>
    <w:rsid w:val="00C729C0"/>
    <w:rsid w:val="00C72A10"/>
    <w:rsid w:val="00C72B23"/>
    <w:rsid w:val="00C72C47"/>
    <w:rsid w:val="00C72D35"/>
    <w:rsid w:val="00C72D82"/>
    <w:rsid w:val="00C72F46"/>
    <w:rsid w:val="00C72F61"/>
    <w:rsid w:val="00C72F6A"/>
    <w:rsid w:val="00C72FDB"/>
    <w:rsid w:val="00C7304C"/>
    <w:rsid w:val="00C730A2"/>
    <w:rsid w:val="00C73273"/>
    <w:rsid w:val="00C732E6"/>
    <w:rsid w:val="00C7330A"/>
    <w:rsid w:val="00C73540"/>
    <w:rsid w:val="00C735D4"/>
    <w:rsid w:val="00C736A7"/>
    <w:rsid w:val="00C73734"/>
    <w:rsid w:val="00C7388A"/>
    <w:rsid w:val="00C73907"/>
    <w:rsid w:val="00C73A35"/>
    <w:rsid w:val="00C73A84"/>
    <w:rsid w:val="00C73BF1"/>
    <w:rsid w:val="00C73CB1"/>
    <w:rsid w:val="00C73CF0"/>
    <w:rsid w:val="00C73D01"/>
    <w:rsid w:val="00C73D42"/>
    <w:rsid w:val="00C73E5A"/>
    <w:rsid w:val="00C73ECF"/>
    <w:rsid w:val="00C73EFE"/>
    <w:rsid w:val="00C73F29"/>
    <w:rsid w:val="00C73F3A"/>
    <w:rsid w:val="00C73F9D"/>
    <w:rsid w:val="00C74375"/>
    <w:rsid w:val="00C74437"/>
    <w:rsid w:val="00C74464"/>
    <w:rsid w:val="00C74489"/>
    <w:rsid w:val="00C744F6"/>
    <w:rsid w:val="00C7452B"/>
    <w:rsid w:val="00C74577"/>
    <w:rsid w:val="00C74693"/>
    <w:rsid w:val="00C74717"/>
    <w:rsid w:val="00C74773"/>
    <w:rsid w:val="00C74974"/>
    <w:rsid w:val="00C74A94"/>
    <w:rsid w:val="00C74B3C"/>
    <w:rsid w:val="00C74C2F"/>
    <w:rsid w:val="00C74D05"/>
    <w:rsid w:val="00C74E44"/>
    <w:rsid w:val="00C74E91"/>
    <w:rsid w:val="00C74F32"/>
    <w:rsid w:val="00C74F62"/>
    <w:rsid w:val="00C74F6A"/>
    <w:rsid w:val="00C75203"/>
    <w:rsid w:val="00C752BD"/>
    <w:rsid w:val="00C75666"/>
    <w:rsid w:val="00C756F0"/>
    <w:rsid w:val="00C7582F"/>
    <w:rsid w:val="00C7588C"/>
    <w:rsid w:val="00C758CD"/>
    <w:rsid w:val="00C758D2"/>
    <w:rsid w:val="00C758D6"/>
    <w:rsid w:val="00C758F8"/>
    <w:rsid w:val="00C75987"/>
    <w:rsid w:val="00C75ACF"/>
    <w:rsid w:val="00C75BCA"/>
    <w:rsid w:val="00C75BFA"/>
    <w:rsid w:val="00C75C71"/>
    <w:rsid w:val="00C75D91"/>
    <w:rsid w:val="00C75DA1"/>
    <w:rsid w:val="00C75DD8"/>
    <w:rsid w:val="00C75E52"/>
    <w:rsid w:val="00C75E55"/>
    <w:rsid w:val="00C75E6A"/>
    <w:rsid w:val="00C75ED0"/>
    <w:rsid w:val="00C75F86"/>
    <w:rsid w:val="00C760BE"/>
    <w:rsid w:val="00C760D4"/>
    <w:rsid w:val="00C761BC"/>
    <w:rsid w:val="00C7623B"/>
    <w:rsid w:val="00C76268"/>
    <w:rsid w:val="00C76316"/>
    <w:rsid w:val="00C76407"/>
    <w:rsid w:val="00C765A3"/>
    <w:rsid w:val="00C765CD"/>
    <w:rsid w:val="00C76671"/>
    <w:rsid w:val="00C766D6"/>
    <w:rsid w:val="00C76772"/>
    <w:rsid w:val="00C76789"/>
    <w:rsid w:val="00C767F6"/>
    <w:rsid w:val="00C76868"/>
    <w:rsid w:val="00C768B8"/>
    <w:rsid w:val="00C76AF0"/>
    <w:rsid w:val="00C76B4B"/>
    <w:rsid w:val="00C76CF8"/>
    <w:rsid w:val="00C76D1E"/>
    <w:rsid w:val="00C771B9"/>
    <w:rsid w:val="00C77236"/>
    <w:rsid w:val="00C7738A"/>
    <w:rsid w:val="00C773FC"/>
    <w:rsid w:val="00C77438"/>
    <w:rsid w:val="00C77477"/>
    <w:rsid w:val="00C77617"/>
    <w:rsid w:val="00C7761B"/>
    <w:rsid w:val="00C7765C"/>
    <w:rsid w:val="00C776C6"/>
    <w:rsid w:val="00C77AEF"/>
    <w:rsid w:val="00C77AFC"/>
    <w:rsid w:val="00C77CA1"/>
    <w:rsid w:val="00C77CD8"/>
    <w:rsid w:val="00C77CF3"/>
    <w:rsid w:val="00C77D6E"/>
    <w:rsid w:val="00C77E55"/>
    <w:rsid w:val="00C77E56"/>
    <w:rsid w:val="00C77F76"/>
    <w:rsid w:val="00C77FE9"/>
    <w:rsid w:val="00C801CF"/>
    <w:rsid w:val="00C80245"/>
    <w:rsid w:val="00C8026E"/>
    <w:rsid w:val="00C80398"/>
    <w:rsid w:val="00C80491"/>
    <w:rsid w:val="00C805BC"/>
    <w:rsid w:val="00C8067C"/>
    <w:rsid w:val="00C80864"/>
    <w:rsid w:val="00C80B19"/>
    <w:rsid w:val="00C80BBF"/>
    <w:rsid w:val="00C80BCB"/>
    <w:rsid w:val="00C80C08"/>
    <w:rsid w:val="00C80CF3"/>
    <w:rsid w:val="00C80D50"/>
    <w:rsid w:val="00C80DA7"/>
    <w:rsid w:val="00C80E86"/>
    <w:rsid w:val="00C80F6D"/>
    <w:rsid w:val="00C80F90"/>
    <w:rsid w:val="00C80FDA"/>
    <w:rsid w:val="00C81010"/>
    <w:rsid w:val="00C8116B"/>
    <w:rsid w:val="00C81191"/>
    <w:rsid w:val="00C81242"/>
    <w:rsid w:val="00C8125E"/>
    <w:rsid w:val="00C8127A"/>
    <w:rsid w:val="00C8158A"/>
    <w:rsid w:val="00C815B0"/>
    <w:rsid w:val="00C817F0"/>
    <w:rsid w:val="00C8188F"/>
    <w:rsid w:val="00C818D3"/>
    <w:rsid w:val="00C81BC4"/>
    <w:rsid w:val="00C81BD0"/>
    <w:rsid w:val="00C81D84"/>
    <w:rsid w:val="00C81EE7"/>
    <w:rsid w:val="00C81EF4"/>
    <w:rsid w:val="00C82038"/>
    <w:rsid w:val="00C82055"/>
    <w:rsid w:val="00C82167"/>
    <w:rsid w:val="00C821C8"/>
    <w:rsid w:val="00C8227C"/>
    <w:rsid w:val="00C822E3"/>
    <w:rsid w:val="00C823A6"/>
    <w:rsid w:val="00C824AF"/>
    <w:rsid w:val="00C82525"/>
    <w:rsid w:val="00C8253D"/>
    <w:rsid w:val="00C8253F"/>
    <w:rsid w:val="00C825EB"/>
    <w:rsid w:val="00C82761"/>
    <w:rsid w:val="00C827C1"/>
    <w:rsid w:val="00C828B0"/>
    <w:rsid w:val="00C828EE"/>
    <w:rsid w:val="00C82928"/>
    <w:rsid w:val="00C82988"/>
    <w:rsid w:val="00C82B71"/>
    <w:rsid w:val="00C82B9E"/>
    <w:rsid w:val="00C82C13"/>
    <w:rsid w:val="00C82DA2"/>
    <w:rsid w:val="00C82DB8"/>
    <w:rsid w:val="00C82E09"/>
    <w:rsid w:val="00C82E63"/>
    <w:rsid w:val="00C82F26"/>
    <w:rsid w:val="00C83010"/>
    <w:rsid w:val="00C8309A"/>
    <w:rsid w:val="00C83113"/>
    <w:rsid w:val="00C831D4"/>
    <w:rsid w:val="00C83291"/>
    <w:rsid w:val="00C83294"/>
    <w:rsid w:val="00C832D5"/>
    <w:rsid w:val="00C83323"/>
    <w:rsid w:val="00C8332A"/>
    <w:rsid w:val="00C83385"/>
    <w:rsid w:val="00C833F4"/>
    <w:rsid w:val="00C83401"/>
    <w:rsid w:val="00C834E2"/>
    <w:rsid w:val="00C835CC"/>
    <w:rsid w:val="00C83623"/>
    <w:rsid w:val="00C836C3"/>
    <w:rsid w:val="00C83754"/>
    <w:rsid w:val="00C838ED"/>
    <w:rsid w:val="00C8394B"/>
    <w:rsid w:val="00C839C0"/>
    <w:rsid w:val="00C83AA5"/>
    <w:rsid w:val="00C83C16"/>
    <w:rsid w:val="00C83C20"/>
    <w:rsid w:val="00C83D6D"/>
    <w:rsid w:val="00C83DD0"/>
    <w:rsid w:val="00C83EC4"/>
    <w:rsid w:val="00C83EF3"/>
    <w:rsid w:val="00C83EFF"/>
    <w:rsid w:val="00C841F8"/>
    <w:rsid w:val="00C8439B"/>
    <w:rsid w:val="00C84508"/>
    <w:rsid w:val="00C8458B"/>
    <w:rsid w:val="00C846F6"/>
    <w:rsid w:val="00C84750"/>
    <w:rsid w:val="00C848F7"/>
    <w:rsid w:val="00C848FB"/>
    <w:rsid w:val="00C84940"/>
    <w:rsid w:val="00C8499B"/>
    <w:rsid w:val="00C84B42"/>
    <w:rsid w:val="00C84B4B"/>
    <w:rsid w:val="00C84B94"/>
    <w:rsid w:val="00C84C13"/>
    <w:rsid w:val="00C84C32"/>
    <w:rsid w:val="00C84C95"/>
    <w:rsid w:val="00C84D51"/>
    <w:rsid w:val="00C84DCD"/>
    <w:rsid w:val="00C84EC3"/>
    <w:rsid w:val="00C84F8B"/>
    <w:rsid w:val="00C85007"/>
    <w:rsid w:val="00C85151"/>
    <w:rsid w:val="00C851A3"/>
    <w:rsid w:val="00C8532B"/>
    <w:rsid w:val="00C85385"/>
    <w:rsid w:val="00C853B2"/>
    <w:rsid w:val="00C85430"/>
    <w:rsid w:val="00C8546D"/>
    <w:rsid w:val="00C854F6"/>
    <w:rsid w:val="00C8562E"/>
    <w:rsid w:val="00C85649"/>
    <w:rsid w:val="00C85744"/>
    <w:rsid w:val="00C857A0"/>
    <w:rsid w:val="00C857A2"/>
    <w:rsid w:val="00C8585B"/>
    <w:rsid w:val="00C859D8"/>
    <w:rsid w:val="00C85ACF"/>
    <w:rsid w:val="00C85ADC"/>
    <w:rsid w:val="00C85B1B"/>
    <w:rsid w:val="00C85BFE"/>
    <w:rsid w:val="00C85CDF"/>
    <w:rsid w:val="00C85DC4"/>
    <w:rsid w:val="00C85DCF"/>
    <w:rsid w:val="00C85E7A"/>
    <w:rsid w:val="00C85F05"/>
    <w:rsid w:val="00C85F68"/>
    <w:rsid w:val="00C85FE7"/>
    <w:rsid w:val="00C85FF6"/>
    <w:rsid w:val="00C86040"/>
    <w:rsid w:val="00C861A6"/>
    <w:rsid w:val="00C86289"/>
    <w:rsid w:val="00C862A2"/>
    <w:rsid w:val="00C862B0"/>
    <w:rsid w:val="00C863AA"/>
    <w:rsid w:val="00C864A0"/>
    <w:rsid w:val="00C8657E"/>
    <w:rsid w:val="00C865B0"/>
    <w:rsid w:val="00C8666C"/>
    <w:rsid w:val="00C86679"/>
    <w:rsid w:val="00C866CB"/>
    <w:rsid w:val="00C866F6"/>
    <w:rsid w:val="00C868CB"/>
    <w:rsid w:val="00C86AA6"/>
    <w:rsid w:val="00C86D7C"/>
    <w:rsid w:val="00C86DA5"/>
    <w:rsid w:val="00C86DC6"/>
    <w:rsid w:val="00C86E1B"/>
    <w:rsid w:val="00C86E6C"/>
    <w:rsid w:val="00C86F17"/>
    <w:rsid w:val="00C86FF5"/>
    <w:rsid w:val="00C870DE"/>
    <w:rsid w:val="00C870F4"/>
    <w:rsid w:val="00C87340"/>
    <w:rsid w:val="00C873CC"/>
    <w:rsid w:val="00C87407"/>
    <w:rsid w:val="00C87499"/>
    <w:rsid w:val="00C8767E"/>
    <w:rsid w:val="00C876B7"/>
    <w:rsid w:val="00C8770F"/>
    <w:rsid w:val="00C87923"/>
    <w:rsid w:val="00C8798D"/>
    <w:rsid w:val="00C879AB"/>
    <w:rsid w:val="00C879F4"/>
    <w:rsid w:val="00C87C3B"/>
    <w:rsid w:val="00C87D32"/>
    <w:rsid w:val="00C9002C"/>
    <w:rsid w:val="00C90088"/>
    <w:rsid w:val="00C900EB"/>
    <w:rsid w:val="00C9011A"/>
    <w:rsid w:val="00C9015A"/>
    <w:rsid w:val="00C9052B"/>
    <w:rsid w:val="00C90632"/>
    <w:rsid w:val="00C9063B"/>
    <w:rsid w:val="00C906B6"/>
    <w:rsid w:val="00C906E2"/>
    <w:rsid w:val="00C90723"/>
    <w:rsid w:val="00C90AB3"/>
    <w:rsid w:val="00C90BB0"/>
    <w:rsid w:val="00C90BBB"/>
    <w:rsid w:val="00C90C0A"/>
    <w:rsid w:val="00C90CDE"/>
    <w:rsid w:val="00C90D14"/>
    <w:rsid w:val="00C90D6F"/>
    <w:rsid w:val="00C90DCF"/>
    <w:rsid w:val="00C90E39"/>
    <w:rsid w:val="00C90EF8"/>
    <w:rsid w:val="00C911E6"/>
    <w:rsid w:val="00C91280"/>
    <w:rsid w:val="00C912E3"/>
    <w:rsid w:val="00C91346"/>
    <w:rsid w:val="00C9145C"/>
    <w:rsid w:val="00C914A5"/>
    <w:rsid w:val="00C91515"/>
    <w:rsid w:val="00C915AE"/>
    <w:rsid w:val="00C916C8"/>
    <w:rsid w:val="00C918F4"/>
    <w:rsid w:val="00C91ABF"/>
    <w:rsid w:val="00C91BE2"/>
    <w:rsid w:val="00C91DB0"/>
    <w:rsid w:val="00C91EEB"/>
    <w:rsid w:val="00C9211B"/>
    <w:rsid w:val="00C925BC"/>
    <w:rsid w:val="00C92637"/>
    <w:rsid w:val="00C929A5"/>
    <w:rsid w:val="00C92B01"/>
    <w:rsid w:val="00C92C15"/>
    <w:rsid w:val="00C92D21"/>
    <w:rsid w:val="00C92D9E"/>
    <w:rsid w:val="00C92E46"/>
    <w:rsid w:val="00C92E5C"/>
    <w:rsid w:val="00C92E6F"/>
    <w:rsid w:val="00C92EBB"/>
    <w:rsid w:val="00C931C7"/>
    <w:rsid w:val="00C9338E"/>
    <w:rsid w:val="00C933AC"/>
    <w:rsid w:val="00C9345A"/>
    <w:rsid w:val="00C934A3"/>
    <w:rsid w:val="00C93777"/>
    <w:rsid w:val="00C938A0"/>
    <w:rsid w:val="00C938CC"/>
    <w:rsid w:val="00C938E5"/>
    <w:rsid w:val="00C9399B"/>
    <w:rsid w:val="00C939E1"/>
    <w:rsid w:val="00C939F6"/>
    <w:rsid w:val="00C93A63"/>
    <w:rsid w:val="00C93BCE"/>
    <w:rsid w:val="00C93C4F"/>
    <w:rsid w:val="00C93E87"/>
    <w:rsid w:val="00C93ED1"/>
    <w:rsid w:val="00C93EE0"/>
    <w:rsid w:val="00C93F88"/>
    <w:rsid w:val="00C93FD5"/>
    <w:rsid w:val="00C940B7"/>
    <w:rsid w:val="00C940D4"/>
    <w:rsid w:val="00C9410E"/>
    <w:rsid w:val="00C941AB"/>
    <w:rsid w:val="00C941D6"/>
    <w:rsid w:val="00C942A2"/>
    <w:rsid w:val="00C94310"/>
    <w:rsid w:val="00C944D9"/>
    <w:rsid w:val="00C9458C"/>
    <w:rsid w:val="00C9472D"/>
    <w:rsid w:val="00C947EC"/>
    <w:rsid w:val="00C94A0E"/>
    <w:rsid w:val="00C94A46"/>
    <w:rsid w:val="00C94A98"/>
    <w:rsid w:val="00C94AD1"/>
    <w:rsid w:val="00C94BD9"/>
    <w:rsid w:val="00C94CD8"/>
    <w:rsid w:val="00C94CEE"/>
    <w:rsid w:val="00C94D21"/>
    <w:rsid w:val="00C94D73"/>
    <w:rsid w:val="00C94DEA"/>
    <w:rsid w:val="00C94EFA"/>
    <w:rsid w:val="00C9523A"/>
    <w:rsid w:val="00C953D1"/>
    <w:rsid w:val="00C953E3"/>
    <w:rsid w:val="00C954CB"/>
    <w:rsid w:val="00C9556D"/>
    <w:rsid w:val="00C95690"/>
    <w:rsid w:val="00C95705"/>
    <w:rsid w:val="00C9585F"/>
    <w:rsid w:val="00C958FE"/>
    <w:rsid w:val="00C95935"/>
    <w:rsid w:val="00C959E0"/>
    <w:rsid w:val="00C95D84"/>
    <w:rsid w:val="00C95E23"/>
    <w:rsid w:val="00C95E60"/>
    <w:rsid w:val="00C95E8B"/>
    <w:rsid w:val="00C95F00"/>
    <w:rsid w:val="00C960E1"/>
    <w:rsid w:val="00C962F6"/>
    <w:rsid w:val="00C9638E"/>
    <w:rsid w:val="00C963ED"/>
    <w:rsid w:val="00C96489"/>
    <w:rsid w:val="00C96534"/>
    <w:rsid w:val="00C96538"/>
    <w:rsid w:val="00C96665"/>
    <w:rsid w:val="00C967D4"/>
    <w:rsid w:val="00C968E9"/>
    <w:rsid w:val="00C96974"/>
    <w:rsid w:val="00C969E8"/>
    <w:rsid w:val="00C969F8"/>
    <w:rsid w:val="00C969FC"/>
    <w:rsid w:val="00C96A7C"/>
    <w:rsid w:val="00C96B17"/>
    <w:rsid w:val="00C96C5F"/>
    <w:rsid w:val="00C96CB2"/>
    <w:rsid w:val="00C96D3B"/>
    <w:rsid w:val="00C96DBE"/>
    <w:rsid w:val="00C96DFF"/>
    <w:rsid w:val="00C96EC7"/>
    <w:rsid w:val="00C96F26"/>
    <w:rsid w:val="00C96FCC"/>
    <w:rsid w:val="00C9712F"/>
    <w:rsid w:val="00C9717D"/>
    <w:rsid w:val="00C971B5"/>
    <w:rsid w:val="00C971C3"/>
    <w:rsid w:val="00C971D5"/>
    <w:rsid w:val="00C971EE"/>
    <w:rsid w:val="00C9722D"/>
    <w:rsid w:val="00C972BC"/>
    <w:rsid w:val="00C9732A"/>
    <w:rsid w:val="00C9755D"/>
    <w:rsid w:val="00C97621"/>
    <w:rsid w:val="00C97751"/>
    <w:rsid w:val="00C9775B"/>
    <w:rsid w:val="00C97832"/>
    <w:rsid w:val="00C978B8"/>
    <w:rsid w:val="00C978E4"/>
    <w:rsid w:val="00C979B6"/>
    <w:rsid w:val="00C97B16"/>
    <w:rsid w:val="00C97C1D"/>
    <w:rsid w:val="00C97CD8"/>
    <w:rsid w:val="00C97D4D"/>
    <w:rsid w:val="00C97EFC"/>
    <w:rsid w:val="00C97F50"/>
    <w:rsid w:val="00CA0072"/>
    <w:rsid w:val="00CA02A8"/>
    <w:rsid w:val="00CA0418"/>
    <w:rsid w:val="00CA04DB"/>
    <w:rsid w:val="00CA07B3"/>
    <w:rsid w:val="00CA07BF"/>
    <w:rsid w:val="00CA080D"/>
    <w:rsid w:val="00CA08FD"/>
    <w:rsid w:val="00CA0993"/>
    <w:rsid w:val="00CA0A51"/>
    <w:rsid w:val="00CA0B88"/>
    <w:rsid w:val="00CA0BE7"/>
    <w:rsid w:val="00CA0F69"/>
    <w:rsid w:val="00CA0FD3"/>
    <w:rsid w:val="00CA104D"/>
    <w:rsid w:val="00CA11FD"/>
    <w:rsid w:val="00CA13F7"/>
    <w:rsid w:val="00CA142A"/>
    <w:rsid w:val="00CA14B7"/>
    <w:rsid w:val="00CA16E1"/>
    <w:rsid w:val="00CA177D"/>
    <w:rsid w:val="00CA1813"/>
    <w:rsid w:val="00CA1A2C"/>
    <w:rsid w:val="00CA1AB2"/>
    <w:rsid w:val="00CA1C49"/>
    <w:rsid w:val="00CA1C8F"/>
    <w:rsid w:val="00CA1CBF"/>
    <w:rsid w:val="00CA1CF2"/>
    <w:rsid w:val="00CA1E20"/>
    <w:rsid w:val="00CA1E30"/>
    <w:rsid w:val="00CA1F37"/>
    <w:rsid w:val="00CA1F7D"/>
    <w:rsid w:val="00CA20B9"/>
    <w:rsid w:val="00CA21F4"/>
    <w:rsid w:val="00CA22F3"/>
    <w:rsid w:val="00CA232E"/>
    <w:rsid w:val="00CA234F"/>
    <w:rsid w:val="00CA23DB"/>
    <w:rsid w:val="00CA259F"/>
    <w:rsid w:val="00CA2731"/>
    <w:rsid w:val="00CA27D7"/>
    <w:rsid w:val="00CA2904"/>
    <w:rsid w:val="00CA29D0"/>
    <w:rsid w:val="00CA2A4A"/>
    <w:rsid w:val="00CA2D86"/>
    <w:rsid w:val="00CA2DD5"/>
    <w:rsid w:val="00CA2E4A"/>
    <w:rsid w:val="00CA304B"/>
    <w:rsid w:val="00CA31B0"/>
    <w:rsid w:val="00CA32CB"/>
    <w:rsid w:val="00CA32DF"/>
    <w:rsid w:val="00CA3338"/>
    <w:rsid w:val="00CA33BE"/>
    <w:rsid w:val="00CA3437"/>
    <w:rsid w:val="00CA3576"/>
    <w:rsid w:val="00CA3891"/>
    <w:rsid w:val="00CA38E7"/>
    <w:rsid w:val="00CA3967"/>
    <w:rsid w:val="00CA3AE0"/>
    <w:rsid w:val="00CA3BD2"/>
    <w:rsid w:val="00CA3E8F"/>
    <w:rsid w:val="00CA407F"/>
    <w:rsid w:val="00CA41A9"/>
    <w:rsid w:val="00CA4276"/>
    <w:rsid w:val="00CA429F"/>
    <w:rsid w:val="00CA42C7"/>
    <w:rsid w:val="00CA4369"/>
    <w:rsid w:val="00CA43FC"/>
    <w:rsid w:val="00CA44D1"/>
    <w:rsid w:val="00CA4564"/>
    <w:rsid w:val="00CA4586"/>
    <w:rsid w:val="00CA4688"/>
    <w:rsid w:val="00CA46B2"/>
    <w:rsid w:val="00CA4702"/>
    <w:rsid w:val="00CA4B45"/>
    <w:rsid w:val="00CA4B90"/>
    <w:rsid w:val="00CA4BA5"/>
    <w:rsid w:val="00CA4BDA"/>
    <w:rsid w:val="00CA4C8D"/>
    <w:rsid w:val="00CA4DB7"/>
    <w:rsid w:val="00CA4F4E"/>
    <w:rsid w:val="00CA50A7"/>
    <w:rsid w:val="00CA50C5"/>
    <w:rsid w:val="00CA5190"/>
    <w:rsid w:val="00CA5231"/>
    <w:rsid w:val="00CA5236"/>
    <w:rsid w:val="00CA5250"/>
    <w:rsid w:val="00CA53AC"/>
    <w:rsid w:val="00CA540D"/>
    <w:rsid w:val="00CA548D"/>
    <w:rsid w:val="00CA56D1"/>
    <w:rsid w:val="00CA5785"/>
    <w:rsid w:val="00CA57A6"/>
    <w:rsid w:val="00CA57B4"/>
    <w:rsid w:val="00CA5807"/>
    <w:rsid w:val="00CA59FC"/>
    <w:rsid w:val="00CA5A53"/>
    <w:rsid w:val="00CA5A84"/>
    <w:rsid w:val="00CA5B87"/>
    <w:rsid w:val="00CA5BEB"/>
    <w:rsid w:val="00CA5CFE"/>
    <w:rsid w:val="00CA5D99"/>
    <w:rsid w:val="00CA5F0D"/>
    <w:rsid w:val="00CA5F9F"/>
    <w:rsid w:val="00CA65F9"/>
    <w:rsid w:val="00CA6641"/>
    <w:rsid w:val="00CA67E9"/>
    <w:rsid w:val="00CA681E"/>
    <w:rsid w:val="00CA6A15"/>
    <w:rsid w:val="00CA6D7E"/>
    <w:rsid w:val="00CA6D89"/>
    <w:rsid w:val="00CA6DB7"/>
    <w:rsid w:val="00CA6EA9"/>
    <w:rsid w:val="00CA6FD9"/>
    <w:rsid w:val="00CA6FF0"/>
    <w:rsid w:val="00CA701C"/>
    <w:rsid w:val="00CA70BB"/>
    <w:rsid w:val="00CA72C0"/>
    <w:rsid w:val="00CA7408"/>
    <w:rsid w:val="00CA7587"/>
    <w:rsid w:val="00CA7689"/>
    <w:rsid w:val="00CA7700"/>
    <w:rsid w:val="00CA77DC"/>
    <w:rsid w:val="00CA7AC1"/>
    <w:rsid w:val="00CA7CC9"/>
    <w:rsid w:val="00CA7D96"/>
    <w:rsid w:val="00CA7E61"/>
    <w:rsid w:val="00CA7EAC"/>
    <w:rsid w:val="00CB0002"/>
    <w:rsid w:val="00CB00A6"/>
    <w:rsid w:val="00CB01E2"/>
    <w:rsid w:val="00CB0277"/>
    <w:rsid w:val="00CB0387"/>
    <w:rsid w:val="00CB0398"/>
    <w:rsid w:val="00CB03DA"/>
    <w:rsid w:val="00CB070E"/>
    <w:rsid w:val="00CB0738"/>
    <w:rsid w:val="00CB0799"/>
    <w:rsid w:val="00CB08BB"/>
    <w:rsid w:val="00CB0902"/>
    <w:rsid w:val="00CB0A76"/>
    <w:rsid w:val="00CB0BFC"/>
    <w:rsid w:val="00CB0CBD"/>
    <w:rsid w:val="00CB0D80"/>
    <w:rsid w:val="00CB0EF7"/>
    <w:rsid w:val="00CB0F4F"/>
    <w:rsid w:val="00CB0F75"/>
    <w:rsid w:val="00CB0FBA"/>
    <w:rsid w:val="00CB10D0"/>
    <w:rsid w:val="00CB1140"/>
    <w:rsid w:val="00CB1343"/>
    <w:rsid w:val="00CB1386"/>
    <w:rsid w:val="00CB13FE"/>
    <w:rsid w:val="00CB14A3"/>
    <w:rsid w:val="00CB1528"/>
    <w:rsid w:val="00CB161F"/>
    <w:rsid w:val="00CB1729"/>
    <w:rsid w:val="00CB178C"/>
    <w:rsid w:val="00CB17C9"/>
    <w:rsid w:val="00CB18B0"/>
    <w:rsid w:val="00CB18F4"/>
    <w:rsid w:val="00CB1964"/>
    <w:rsid w:val="00CB1975"/>
    <w:rsid w:val="00CB1B01"/>
    <w:rsid w:val="00CB1D9A"/>
    <w:rsid w:val="00CB1E6C"/>
    <w:rsid w:val="00CB1E8A"/>
    <w:rsid w:val="00CB20F2"/>
    <w:rsid w:val="00CB23B2"/>
    <w:rsid w:val="00CB247A"/>
    <w:rsid w:val="00CB24F1"/>
    <w:rsid w:val="00CB2528"/>
    <w:rsid w:val="00CB26AB"/>
    <w:rsid w:val="00CB28E3"/>
    <w:rsid w:val="00CB2925"/>
    <w:rsid w:val="00CB292E"/>
    <w:rsid w:val="00CB297F"/>
    <w:rsid w:val="00CB2A24"/>
    <w:rsid w:val="00CB2BC7"/>
    <w:rsid w:val="00CB2BDB"/>
    <w:rsid w:val="00CB2D30"/>
    <w:rsid w:val="00CB2E2C"/>
    <w:rsid w:val="00CB2E47"/>
    <w:rsid w:val="00CB2E7C"/>
    <w:rsid w:val="00CB2FE7"/>
    <w:rsid w:val="00CB31DC"/>
    <w:rsid w:val="00CB32FB"/>
    <w:rsid w:val="00CB33AD"/>
    <w:rsid w:val="00CB343F"/>
    <w:rsid w:val="00CB3491"/>
    <w:rsid w:val="00CB3498"/>
    <w:rsid w:val="00CB3579"/>
    <w:rsid w:val="00CB3612"/>
    <w:rsid w:val="00CB36CC"/>
    <w:rsid w:val="00CB399D"/>
    <w:rsid w:val="00CB39E0"/>
    <w:rsid w:val="00CB3AA7"/>
    <w:rsid w:val="00CB3BC9"/>
    <w:rsid w:val="00CB3DF0"/>
    <w:rsid w:val="00CB3E24"/>
    <w:rsid w:val="00CB3EAF"/>
    <w:rsid w:val="00CB4102"/>
    <w:rsid w:val="00CB410C"/>
    <w:rsid w:val="00CB410D"/>
    <w:rsid w:val="00CB4125"/>
    <w:rsid w:val="00CB4202"/>
    <w:rsid w:val="00CB4413"/>
    <w:rsid w:val="00CB4432"/>
    <w:rsid w:val="00CB4469"/>
    <w:rsid w:val="00CB46A4"/>
    <w:rsid w:val="00CB47EB"/>
    <w:rsid w:val="00CB48AB"/>
    <w:rsid w:val="00CB4BC4"/>
    <w:rsid w:val="00CB4C47"/>
    <w:rsid w:val="00CB4C98"/>
    <w:rsid w:val="00CB4D2A"/>
    <w:rsid w:val="00CB50B8"/>
    <w:rsid w:val="00CB5296"/>
    <w:rsid w:val="00CB53E6"/>
    <w:rsid w:val="00CB54A5"/>
    <w:rsid w:val="00CB54B8"/>
    <w:rsid w:val="00CB555F"/>
    <w:rsid w:val="00CB5629"/>
    <w:rsid w:val="00CB571A"/>
    <w:rsid w:val="00CB577C"/>
    <w:rsid w:val="00CB59CE"/>
    <w:rsid w:val="00CB5A23"/>
    <w:rsid w:val="00CB5A5A"/>
    <w:rsid w:val="00CB5A69"/>
    <w:rsid w:val="00CB5B06"/>
    <w:rsid w:val="00CB5BB7"/>
    <w:rsid w:val="00CB5BF5"/>
    <w:rsid w:val="00CB5D9F"/>
    <w:rsid w:val="00CB5E79"/>
    <w:rsid w:val="00CB5E8F"/>
    <w:rsid w:val="00CB5E9E"/>
    <w:rsid w:val="00CB5F25"/>
    <w:rsid w:val="00CB6039"/>
    <w:rsid w:val="00CB60CD"/>
    <w:rsid w:val="00CB610F"/>
    <w:rsid w:val="00CB62C5"/>
    <w:rsid w:val="00CB62E0"/>
    <w:rsid w:val="00CB62F8"/>
    <w:rsid w:val="00CB6305"/>
    <w:rsid w:val="00CB639B"/>
    <w:rsid w:val="00CB63B0"/>
    <w:rsid w:val="00CB64C3"/>
    <w:rsid w:val="00CB6550"/>
    <w:rsid w:val="00CB6581"/>
    <w:rsid w:val="00CB6672"/>
    <w:rsid w:val="00CB67B0"/>
    <w:rsid w:val="00CB67F3"/>
    <w:rsid w:val="00CB6AFB"/>
    <w:rsid w:val="00CB6C3C"/>
    <w:rsid w:val="00CB6CC0"/>
    <w:rsid w:val="00CB6E0A"/>
    <w:rsid w:val="00CB6EA8"/>
    <w:rsid w:val="00CB7227"/>
    <w:rsid w:val="00CB7462"/>
    <w:rsid w:val="00CB7487"/>
    <w:rsid w:val="00CB7592"/>
    <w:rsid w:val="00CB75F2"/>
    <w:rsid w:val="00CB764A"/>
    <w:rsid w:val="00CB7669"/>
    <w:rsid w:val="00CB7850"/>
    <w:rsid w:val="00CB78BA"/>
    <w:rsid w:val="00CB7D93"/>
    <w:rsid w:val="00CB7E01"/>
    <w:rsid w:val="00CB7EF0"/>
    <w:rsid w:val="00CB7FCF"/>
    <w:rsid w:val="00CC0088"/>
    <w:rsid w:val="00CC00E0"/>
    <w:rsid w:val="00CC015A"/>
    <w:rsid w:val="00CC0275"/>
    <w:rsid w:val="00CC02B4"/>
    <w:rsid w:val="00CC0310"/>
    <w:rsid w:val="00CC0453"/>
    <w:rsid w:val="00CC04A1"/>
    <w:rsid w:val="00CC06BA"/>
    <w:rsid w:val="00CC0712"/>
    <w:rsid w:val="00CC0751"/>
    <w:rsid w:val="00CC0927"/>
    <w:rsid w:val="00CC09A2"/>
    <w:rsid w:val="00CC09B3"/>
    <w:rsid w:val="00CC0A60"/>
    <w:rsid w:val="00CC0CD2"/>
    <w:rsid w:val="00CC0E95"/>
    <w:rsid w:val="00CC1092"/>
    <w:rsid w:val="00CC10FC"/>
    <w:rsid w:val="00CC12EA"/>
    <w:rsid w:val="00CC1322"/>
    <w:rsid w:val="00CC13CA"/>
    <w:rsid w:val="00CC140A"/>
    <w:rsid w:val="00CC1495"/>
    <w:rsid w:val="00CC1596"/>
    <w:rsid w:val="00CC15C1"/>
    <w:rsid w:val="00CC15DB"/>
    <w:rsid w:val="00CC162D"/>
    <w:rsid w:val="00CC16A0"/>
    <w:rsid w:val="00CC1795"/>
    <w:rsid w:val="00CC18C3"/>
    <w:rsid w:val="00CC1904"/>
    <w:rsid w:val="00CC1909"/>
    <w:rsid w:val="00CC1994"/>
    <w:rsid w:val="00CC1A76"/>
    <w:rsid w:val="00CC1AAA"/>
    <w:rsid w:val="00CC1AE1"/>
    <w:rsid w:val="00CC1BD7"/>
    <w:rsid w:val="00CC1E30"/>
    <w:rsid w:val="00CC1EA5"/>
    <w:rsid w:val="00CC1F95"/>
    <w:rsid w:val="00CC2075"/>
    <w:rsid w:val="00CC2143"/>
    <w:rsid w:val="00CC216F"/>
    <w:rsid w:val="00CC2264"/>
    <w:rsid w:val="00CC22F9"/>
    <w:rsid w:val="00CC24A4"/>
    <w:rsid w:val="00CC24D8"/>
    <w:rsid w:val="00CC2573"/>
    <w:rsid w:val="00CC2697"/>
    <w:rsid w:val="00CC279D"/>
    <w:rsid w:val="00CC27BC"/>
    <w:rsid w:val="00CC294B"/>
    <w:rsid w:val="00CC2998"/>
    <w:rsid w:val="00CC2A2A"/>
    <w:rsid w:val="00CC2A37"/>
    <w:rsid w:val="00CC2ACB"/>
    <w:rsid w:val="00CC2B07"/>
    <w:rsid w:val="00CC2B4C"/>
    <w:rsid w:val="00CC2C8C"/>
    <w:rsid w:val="00CC2D0B"/>
    <w:rsid w:val="00CC2D6D"/>
    <w:rsid w:val="00CC2E96"/>
    <w:rsid w:val="00CC2ED9"/>
    <w:rsid w:val="00CC2F88"/>
    <w:rsid w:val="00CC2FD8"/>
    <w:rsid w:val="00CC30BF"/>
    <w:rsid w:val="00CC314F"/>
    <w:rsid w:val="00CC3173"/>
    <w:rsid w:val="00CC3268"/>
    <w:rsid w:val="00CC34D3"/>
    <w:rsid w:val="00CC3587"/>
    <w:rsid w:val="00CC35B7"/>
    <w:rsid w:val="00CC3611"/>
    <w:rsid w:val="00CC3633"/>
    <w:rsid w:val="00CC36A6"/>
    <w:rsid w:val="00CC3741"/>
    <w:rsid w:val="00CC3869"/>
    <w:rsid w:val="00CC38EE"/>
    <w:rsid w:val="00CC3999"/>
    <w:rsid w:val="00CC3A91"/>
    <w:rsid w:val="00CC3AF4"/>
    <w:rsid w:val="00CC3B1E"/>
    <w:rsid w:val="00CC3BE0"/>
    <w:rsid w:val="00CC3BFC"/>
    <w:rsid w:val="00CC3EC0"/>
    <w:rsid w:val="00CC3F14"/>
    <w:rsid w:val="00CC3F33"/>
    <w:rsid w:val="00CC3F8C"/>
    <w:rsid w:val="00CC42B4"/>
    <w:rsid w:val="00CC42F4"/>
    <w:rsid w:val="00CC43BD"/>
    <w:rsid w:val="00CC448B"/>
    <w:rsid w:val="00CC44CC"/>
    <w:rsid w:val="00CC4517"/>
    <w:rsid w:val="00CC463B"/>
    <w:rsid w:val="00CC4677"/>
    <w:rsid w:val="00CC46ED"/>
    <w:rsid w:val="00CC4785"/>
    <w:rsid w:val="00CC47A8"/>
    <w:rsid w:val="00CC488C"/>
    <w:rsid w:val="00CC489E"/>
    <w:rsid w:val="00CC4AD9"/>
    <w:rsid w:val="00CC4C35"/>
    <w:rsid w:val="00CC4C6C"/>
    <w:rsid w:val="00CC4CF4"/>
    <w:rsid w:val="00CC4DA7"/>
    <w:rsid w:val="00CC4F39"/>
    <w:rsid w:val="00CC5000"/>
    <w:rsid w:val="00CC504D"/>
    <w:rsid w:val="00CC5431"/>
    <w:rsid w:val="00CC56D5"/>
    <w:rsid w:val="00CC5713"/>
    <w:rsid w:val="00CC587A"/>
    <w:rsid w:val="00CC5942"/>
    <w:rsid w:val="00CC5974"/>
    <w:rsid w:val="00CC5BF6"/>
    <w:rsid w:val="00CC5CCE"/>
    <w:rsid w:val="00CC5CD6"/>
    <w:rsid w:val="00CC5E06"/>
    <w:rsid w:val="00CC5E9F"/>
    <w:rsid w:val="00CC5F70"/>
    <w:rsid w:val="00CC610F"/>
    <w:rsid w:val="00CC619F"/>
    <w:rsid w:val="00CC61AD"/>
    <w:rsid w:val="00CC61B9"/>
    <w:rsid w:val="00CC61E5"/>
    <w:rsid w:val="00CC6236"/>
    <w:rsid w:val="00CC63A8"/>
    <w:rsid w:val="00CC63AC"/>
    <w:rsid w:val="00CC642E"/>
    <w:rsid w:val="00CC64E7"/>
    <w:rsid w:val="00CC66A8"/>
    <w:rsid w:val="00CC6718"/>
    <w:rsid w:val="00CC681E"/>
    <w:rsid w:val="00CC6909"/>
    <w:rsid w:val="00CC6923"/>
    <w:rsid w:val="00CC699F"/>
    <w:rsid w:val="00CC6AAF"/>
    <w:rsid w:val="00CC6C2E"/>
    <w:rsid w:val="00CC6CC6"/>
    <w:rsid w:val="00CC6CFE"/>
    <w:rsid w:val="00CC6D22"/>
    <w:rsid w:val="00CC6F93"/>
    <w:rsid w:val="00CC70B0"/>
    <w:rsid w:val="00CC715A"/>
    <w:rsid w:val="00CC7189"/>
    <w:rsid w:val="00CC7206"/>
    <w:rsid w:val="00CC727B"/>
    <w:rsid w:val="00CC72FA"/>
    <w:rsid w:val="00CC7340"/>
    <w:rsid w:val="00CC7359"/>
    <w:rsid w:val="00CC7363"/>
    <w:rsid w:val="00CC7375"/>
    <w:rsid w:val="00CC7496"/>
    <w:rsid w:val="00CC74C3"/>
    <w:rsid w:val="00CC7635"/>
    <w:rsid w:val="00CC76C4"/>
    <w:rsid w:val="00CC7732"/>
    <w:rsid w:val="00CC7817"/>
    <w:rsid w:val="00CC7866"/>
    <w:rsid w:val="00CC793D"/>
    <w:rsid w:val="00CC7941"/>
    <w:rsid w:val="00CC7AF0"/>
    <w:rsid w:val="00CC7B07"/>
    <w:rsid w:val="00CC7B7B"/>
    <w:rsid w:val="00CC7C3D"/>
    <w:rsid w:val="00CC7C9D"/>
    <w:rsid w:val="00CC7E60"/>
    <w:rsid w:val="00CC7EAB"/>
    <w:rsid w:val="00CC7F39"/>
    <w:rsid w:val="00CC7F6E"/>
    <w:rsid w:val="00CC7FBC"/>
    <w:rsid w:val="00CC7FC5"/>
    <w:rsid w:val="00CC7FFB"/>
    <w:rsid w:val="00CD013C"/>
    <w:rsid w:val="00CD01BE"/>
    <w:rsid w:val="00CD01F3"/>
    <w:rsid w:val="00CD02CA"/>
    <w:rsid w:val="00CD0338"/>
    <w:rsid w:val="00CD03E0"/>
    <w:rsid w:val="00CD0617"/>
    <w:rsid w:val="00CD0692"/>
    <w:rsid w:val="00CD0698"/>
    <w:rsid w:val="00CD06AE"/>
    <w:rsid w:val="00CD086B"/>
    <w:rsid w:val="00CD0ABA"/>
    <w:rsid w:val="00CD0D5D"/>
    <w:rsid w:val="00CD0EA9"/>
    <w:rsid w:val="00CD0F1A"/>
    <w:rsid w:val="00CD1044"/>
    <w:rsid w:val="00CD1090"/>
    <w:rsid w:val="00CD1327"/>
    <w:rsid w:val="00CD13B1"/>
    <w:rsid w:val="00CD13E7"/>
    <w:rsid w:val="00CD15C7"/>
    <w:rsid w:val="00CD160E"/>
    <w:rsid w:val="00CD16A2"/>
    <w:rsid w:val="00CD16D3"/>
    <w:rsid w:val="00CD16F5"/>
    <w:rsid w:val="00CD170C"/>
    <w:rsid w:val="00CD1715"/>
    <w:rsid w:val="00CD19BE"/>
    <w:rsid w:val="00CD1ABA"/>
    <w:rsid w:val="00CD1B24"/>
    <w:rsid w:val="00CD1B8E"/>
    <w:rsid w:val="00CD1BCC"/>
    <w:rsid w:val="00CD1BE2"/>
    <w:rsid w:val="00CD1D65"/>
    <w:rsid w:val="00CD1E14"/>
    <w:rsid w:val="00CD1E56"/>
    <w:rsid w:val="00CD1EA0"/>
    <w:rsid w:val="00CD1F94"/>
    <w:rsid w:val="00CD20DF"/>
    <w:rsid w:val="00CD222C"/>
    <w:rsid w:val="00CD239F"/>
    <w:rsid w:val="00CD23AC"/>
    <w:rsid w:val="00CD2467"/>
    <w:rsid w:val="00CD248D"/>
    <w:rsid w:val="00CD2498"/>
    <w:rsid w:val="00CD24C0"/>
    <w:rsid w:val="00CD24FA"/>
    <w:rsid w:val="00CD2590"/>
    <w:rsid w:val="00CD27A4"/>
    <w:rsid w:val="00CD27CD"/>
    <w:rsid w:val="00CD27D7"/>
    <w:rsid w:val="00CD27E4"/>
    <w:rsid w:val="00CD282F"/>
    <w:rsid w:val="00CD28AE"/>
    <w:rsid w:val="00CD2947"/>
    <w:rsid w:val="00CD29A6"/>
    <w:rsid w:val="00CD2A1B"/>
    <w:rsid w:val="00CD2A51"/>
    <w:rsid w:val="00CD2AEF"/>
    <w:rsid w:val="00CD2B46"/>
    <w:rsid w:val="00CD2B5C"/>
    <w:rsid w:val="00CD2C05"/>
    <w:rsid w:val="00CD2D91"/>
    <w:rsid w:val="00CD2DB9"/>
    <w:rsid w:val="00CD2E18"/>
    <w:rsid w:val="00CD2EB2"/>
    <w:rsid w:val="00CD2F26"/>
    <w:rsid w:val="00CD2F95"/>
    <w:rsid w:val="00CD2FC2"/>
    <w:rsid w:val="00CD300D"/>
    <w:rsid w:val="00CD30A2"/>
    <w:rsid w:val="00CD30E0"/>
    <w:rsid w:val="00CD314D"/>
    <w:rsid w:val="00CD33FB"/>
    <w:rsid w:val="00CD34F4"/>
    <w:rsid w:val="00CD3522"/>
    <w:rsid w:val="00CD361C"/>
    <w:rsid w:val="00CD373E"/>
    <w:rsid w:val="00CD3750"/>
    <w:rsid w:val="00CD3903"/>
    <w:rsid w:val="00CD396B"/>
    <w:rsid w:val="00CD3A1F"/>
    <w:rsid w:val="00CD3A25"/>
    <w:rsid w:val="00CD3AB0"/>
    <w:rsid w:val="00CD3BD7"/>
    <w:rsid w:val="00CD3D3F"/>
    <w:rsid w:val="00CD3D6E"/>
    <w:rsid w:val="00CD3D89"/>
    <w:rsid w:val="00CD4010"/>
    <w:rsid w:val="00CD409E"/>
    <w:rsid w:val="00CD41E9"/>
    <w:rsid w:val="00CD421E"/>
    <w:rsid w:val="00CD4284"/>
    <w:rsid w:val="00CD42AE"/>
    <w:rsid w:val="00CD432E"/>
    <w:rsid w:val="00CD4371"/>
    <w:rsid w:val="00CD43CB"/>
    <w:rsid w:val="00CD43E9"/>
    <w:rsid w:val="00CD43FD"/>
    <w:rsid w:val="00CD456F"/>
    <w:rsid w:val="00CD4587"/>
    <w:rsid w:val="00CD45C3"/>
    <w:rsid w:val="00CD4802"/>
    <w:rsid w:val="00CD48D2"/>
    <w:rsid w:val="00CD48EA"/>
    <w:rsid w:val="00CD48ED"/>
    <w:rsid w:val="00CD4915"/>
    <w:rsid w:val="00CD4E47"/>
    <w:rsid w:val="00CD4E87"/>
    <w:rsid w:val="00CD4EFA"/>
    <w:rsid w:val="00CD4F84"/>
    <w:rsid w:val="00CD517A"/>
    <w:rsid w:val="00CD51D1"/>
    <w:rsid w:val="00CD530D"/>
    <w:rsid w:val="00CD5535"/>
    <w:rsid w:val="00CD55C2"/>
    <w:rsid w:val="00CD564B"/>
    <w:rsid w:val="00CD56C2"/>
    <w:rsid w:val="00CD56EA"/>
    <w:rsid w:val="00CD5B6D"/>
    <w:rsid w:val="00CD5D13"/>
    <w:rsid w:val="00CD5D4A"/>
    <w:rsid w:val="00CD5E27"/>
    <w:rsid w:val="00CD5E86"/>
    <w:rsid w:val="00CD5FDD"/>
    <w:rsid w:val="00CD6080"/>
    <w:rsid w:val="00CD6112"/>
    <w:rsid w:val="00CD617E"/>
    <w:rsid w:val="00CD6189"/>
    <w:rsid w:val="00CD638C"/>
    <w:rsid w:val="00CD65EE"/>
    <w:rsid w:val="00CD6720"/>
    <w:rsid w:val="00CD687D"/>
    <w:rsid w:val="00CD68D0"/>
    <w:rsid w:val="00CD68DE"/>
    <w:rsid w:val="00CD6A71"/>
    <w:rsid w:val="00CD6A9F"/>
    <w:rsid w:val="00CD6B90"/>
    <w:rsid w:val="00CD6E22"/>
    <w:rsid w:val="00CD6EB1"/>
    <w:rsid w:val="00CD6EF5"/>
    <w:rsid w:val="00CD6FB7"/>
    <w:rsid w:val="00CD6FF6"/>
    <w:rsid w:val="00CD713F"/>
    <w:rsid w:val="00CD716A"/>
    <w:rsid w:val="00CD7286"/>
    <w:rsid w:val="00CD74BD"/>
    <w:rsid w:val="00CD7538"/>
    <w:rsid w:val="00CD7593"/>
    <w:rsid w:val="00CD7868"/>
    <w:rsid w:val="00CD788B"/>
    <w:rsid w:val="00CD7AD2"/>
    <w:rsid w:val="00CD7C1E"/>
    <w:rsid w:val="00CD7D11"/>
    <w:rsid w:val="00CD7E12"/>
    <w:rsid w:val="00CD7E7A"/>
    <w:rsid w:val="00CD7ECF"/>
    <w:rsid w:val="00CD7F20"/>
    <w:rsid w:val="00CDEFFF"/>
    <w:rsid w:val="00CE0148"/>
    <w:rsid w:val="00CE015E"/>
    <w:rsid w:val="00CE01DF"/>
    <w:rsid w:val="00CE025C"/>
    <w:rsid w:val="00CE037A"/>
    <w:rsid w:val="00CE0416"/>
    <w:rsid w:val="00CE049C"/>
    <w:rsid w:val="00CE05E0"/>
    <w:rsid w:val="00CE060C"/>
    <w:rsid w:val="00CE06FB"/>
    <w:rsid w:val="00CE07E9"/>
    <w:rsid w:val="00CE07EA"/>
    <w:rsid w:val="00CE0909"/>
    <w:rsid w:val="00CE0920"/>
    <w:rsid w:val="00CE0AF4"/>
    <w:rsid w:val="00CE0B26"/>
    <w:rsid w:val="00CE0C5E"/>
    <w:rsid w:val="00CE0D66"/>
    <w:rsid w:val="00CE0DF3"/>
    <w:rsid w:val="00CE0F1E"/>
    <w:rsid w:val="00CE0FF4"/>
    <w:rsid w:val="00CE100D"/>
    <w:rsid w:val="00CE119B"/>
    <w:rsid w:val="00CE12A1"/>
    <w:rsid w:val="00CE1405"/>
    <w:rsid w:val="00CE147C"/>
    <w:rsid w:val="00CE150D"/>
    <w:rsid w:val="00CE15B9"/>
    <w:rsid w:val="00CE161F"/>
    <w:rsid w:val="00CE16BB"/>
    <w:rsid w:val="00CE18EC"/>
    <w:rsid w:val="00CE1968"/>
    <w:rsid w:val="00CE199E"/>
    <w:rsid w:val="00CE19D6"/>
    <w:rsid w:val="00CE19E1"/>
    <w:rsid w:val="00CE1BD4"/>
    <w:rsid w:val="00CE1D10"/>
    <w:rsid w:val="00CE1F72"/>
    <w:rsid w:val="00CE1FAC"/>
    <w:rsid w:val="00CE20B7"/>
    <w:rsid w:val="00CE218B"/>
    <w:rsid w:val="00CE2227"/>
    <w:rsid w:val="00CE2399"/>
    <w:rsid w:val="00CE24AF"/>
    <w:rsid w:val="00CE26AF"/>
    <w:rsid w:val="00CE272F"/>
    <w:rsid w:val="00CE27E4"/>
    <w:rsid w:val="00CE285C"/>
    <w:rsid w:val="00CE2901"/>
    <w:rsid w:val="00CE2966"/>
    <w:rsid w:val="00CE2BDE"/>
    <w:rsid w:val="00CE2D41"/>
    <w:rsid w:val="00CE2D53"/>
    <w:rsid w:val="00CE2E26"/>
    <w:rsid w:val="00CE2E36"/>
    <w:rsid w:val="00CE2EB8"/>
    <w:rsid w:val="00CE2F65"/>
    <w:rsid w:val="00CE302B"/>
    <w:rsid w:val="00CE30A8"/>
    <w:rsid w:val="00CE319E"/>
    <w:rsid w:val="00CE32C0"/>
    <w:rsid w:val="00CE3343"/>
    <w:rsid w:val="00CE33DE"/>
    <w:rsid w:val="00CE3407"/>
    <w:rsid w:val="00CE3714"/>
    <w:rsid w:val="00CE3746"/>
    <w:rsid w:val="00CE38F8"/>
    <w:rsid w:val="00CE395C"/>
    <w:rsid w:val="00CE3AF1"/>
    <w:rsid w:val="00CE3BE6"/>
    <w:rsid w:val="00CE3C25"/>
    <w:rsid w:val="00CE3C85"/>
    <w:rsid w:val="00CE3D51"/>
    <w:rsid w:val="00CE3EA9"/>
    <w:rsid w:val="00CE3FBA"/>
    <w:rsid w:val="00CE4007"/>
    <w:rsid w:val="00CE4029"/>
    <w:rsid w:val="00CE40AC"/>
    <w:rsid w:val="00CE414C"/>
    <w:rsid w:val="00CE4274"/>
    <w:rsid w:val="00CE4328"/>
    <w:rsid w:val="00CE45A7"/>
    <w:rsid w:val="00CE4655"/>
    <w:rsid w:val="00CE4717"/>
    <w:rsid w:val="00CE47BC"/>
    <w:rsid w:val="00CE48E5"/>
    <w:rsid w:val="00CE4A88"/>
    <w:rsid w:val="00CE4C48"/>
    <w:rsid w:val="00CE4C61"/>
    <w:rsid w:val="00CE4CF9"/>
    <w:rsid w:val="00CE4E39"/>
    <w:rsid w:val="00CE4EB4"/>
    <w:rsid w:val="00CE5083"/>
    <w:rsid w:val="00CE537B"/>
    <w:rsid w:val="00CE53E9"/>
    <w:rsid w:val="00CE5407"/>
    <w:rsid w:val="00CE560B"/>
    <w:rsid w:val="00CE5795"/>
    <w:rsid w:val="00CE57BF"/>
    <w:rsid w:val="00CE58E0"/>
    <w:rsid w:val="00CE5A10"/>
    <w:rsid w:val="00CE5A86"/>
    <w:rsid w:val="00CE5AD2"/>
    <w:rsid w:val="00CE5AE4"/>
    <w:rsid w:val="00CE5C2A"/>
    <w:rsid w:val="00CE5C8A"/>
    <w:rsid w:val="00CE5D90"/>
    <w:rsid w:val="00CE5ED2"/>
    <w:rsid w:val="00CE5F41"/>
    <w:rsid w:val="00CE61C6"/>
    <w:rsid w:val="00CE622E"/>
    <w:rsid w:val="00CE6251"/>
    <w:rsid w:val="00CE6274"/>
    <w:rsid w:val="00CE62C4"/>
    <w:rsid w:val="00CE6325"/>
    <w:rsid w:val="00CE6426"/>
    <w:rsid w:val="00CE64B1"/>
    <w:rsid w:val="00CE6588"/>
    <w:rsid w:val="00CE6732"/>
    <w:rsid w:val="00CE67F0"/>
    <w:rsid w:val="00CE6848"/>
    <w:rsid w:val="00CE689F"/>
    <w:rsid w:val="00CE68F0"/>
    <w:rsid w:val="00CE6920"/>
    <w:rsid w:val="00CE6928"/>
    <w:rsid w:val="00CE692A"/>
    <w:rsid w:val="00CE6A2A"/>
    <w:rsid w:val="00CE6A9F"/>
    <w:rsid w:val="00CE6AB4"/>
    <w:rsid w:val="00CE6B22"/>
    <w:rsid w:val="00CE6BB7"/>
    <w:rsid w:val="00CE6C66"/>
    <w:rsid w:val="00CE6CC5"/>
    <w:rsid w:val="00CE6CDE"/>
    <w:rsid w:val="00CE6D4E"/>
    <w:rsid w:val="00CE6F48"/>
    <w:rsid w:val="00CE7034"/>
    <w:rsid w:val="00CE70B9"/>
    <w:rsid w:val="00CE712E"/>
    <w:rsid w:val="00CE71A9"/>
    <w:rsid w:val="00CE71D3"/>
    <w:rsid w:val="00CE72E9"/>
    <w:rsid w:val="00CE747B"/>
    <w:rsid w:val="00CE7639"/>
    <w:rsid w:val="00CE7653"/>
    <w:rsid w:val="00CE76E3"/>
    <w:rsid w:val="00CE776B"/>
    <w:rsid w:val="00CE7802"/>
    <w:rsid w:val="00CE7B2E"/>
    <w:rsid w:val="00CE7B41"/>
    <w:rsid w:val="00CE7B4B"/>
    <w:rsid w:val="00CE7D03"/>
    <w:rsid w:val="00CF016B"/>
    <w:rsid w:val="00CF02D6"/>
    <w:rsid w:val="00CF033A"/>
    <w:rsid w:val="00CF0340"/>
    <w:rsid w:val="00CF044D"/>
    <w:rsid w:val="00CF04E3"/>
    <w:rsid w:val="00CF0505"/>
    <w:rsid w:val="00CF0509"/>
    <w:rsid w:val="00CF0534"/>
    <w:rsid w:val="00CF0624"/>
    <w:rsid w:val="00CF065B"/>
    <w:rsid w:val="00CF0700"/>
    <w:rsid w:val="00CF09D3"/>
    <w:rsid w:val="00CF0C05"/>
    <w:rsid w:val="00CF0C23"/>
    <w:rsid w:val="00CF0C93"/>
    <w:rsid w:val="00CF0CBF"/>
    <w:rsid w:val="00CF0D2D"/>
    <w:rsid w:val="00CF0E7F"/>
    <w:rsid w:val="00CF106E"/>
    <w:rsid w:val="00CF108E"/>
    <w:rsid w:val="00CF11AB"/>
    <w:rsid w:val="00CF146F"/>
    <w:rsid w:val="00CF14F6"/>
    <w:rsid w:val="00CF1586"/>
    <w:rsid w:val="00CF1621"/>
    <w:rsid w:val="00CF162A"/>
    <w:rsid w:val="00CF1677"/>
    <w:rsid w:val="00CF16E5"/>
    <w:rsid w:val="00CF17A9"/>
    <w:rsid w:val="00CF1810"/>
    <w:rsid w:val="00CF1B2C"/>
    <w:rsid w:val="00CF1B47"/>
    <w:rsid w:val="00CF1BD5"/>
    <w:rsid w:val="00CF1BE4"/>
    <w:rsid w:val="00CF1BED"/>
    <w:rsid w:val="00CF1C15"/>
    <w:rsid w:val="00CF1D10"/>
    <w:rsid w:val="00CF1D56"/>
    <w:rsid w:val="00CF1E40"/>
    <w:rsid w:val="00CF1E52"/>
    <w:rsid w:val="00CF1FC7"/>
    <w:rsid w:val="00CF208D"/>
    <w:rsid w:val="00CF21A3"/>
    <w:rsid w:val="00CF21B6"/>
    <w:rsid w:val="00CF234F"/>
    <w:rsid w:val="00CF247F"/>
    <w:rsid w:val="00CF276C"/>
    <w:rsid w:val="00CF2882"/>
    <w:rsid w:val="00CF2950"/>
    <w:rsid w:val="00CF29E9"/>
    <w:rsid w:val="00CF2A79"/>
    <w:rsid w:val="00CF2C0C"/>
    <w:rsid w:val="00CF2D19"/>
    <w:rsid w:val="00CF2D59"/>
    <w:rsid w:val="00CF2D6D"/>
    <w:rsid w:val="00CF2D81"/>
    <w:rsid w:val="00CF2E11"/>
    <w:rsid w:val="00CF2F30"/>
    <w:rsid w:val="00CF2F86"/>
    <w:rsid w:val="00CF305F"/>
    <w:rsid w:val="00CF31BE"/>
    <w:rsid w:val="00CF3293"/>
    <w:rsid w:val="00CF32F3"/>
    <w:rsid w:val="00CF3331"/>
    <w:rsid w:val="00CF341F"/>
    <w:rsid w:val="00CF349F"/>
    <w:rsid w:val="00CF34F1"/>
    <w:rsid w:val="00CF354F"/>
    <w:rsid w:val="00CF355E"/>
    <w:rsid w:val="00CF36EF"/>
    <w:rsid w:val="00CF3971"/>
    <w:rsid w:val="00CF3A40"/>
    <w:rsid w:val="00CF3B5A"/>
    <w:rsid w:val="00CF3CEF"/>
    <w:rsid w:val="00CF3E2B"/>
    <w:rsid w:val="00CF3E90"/>
    <w:rsid w:val="00CF3ECB"/>
    <w:rsid w:val="00CF3FCB"/>
    <w:rsid w:val="00CF3FD3"/>
    <w:rsid w:val="00CF4008"/>
    <w:rsid w:val="00CF40CC"/>
    <w:rsid w:val="00CF41DD"/>
    <w:rsid w:val="00CF428F"/>
    <w:rsid w:val="00CF443A"/>
    <w:rsid w:val="00CF444E"/>
    <w:rsid w:val="00CF4489"/>
    <w:rsid w:val="00CF4511"/>
    <w:rsid w:val="00CF4526"/>
    <w:rsid w:val="00CF471E"/>
    <w:rsid w:val="00CF48A5"/>
    <w:rsid w:val="00CF4A05"/>
    <w:rsid w:val="00CF4B5D"/>
    <w:rsid w:val="00CF4B79"/>
    <w:rsid w:val="00CF4DC4"/>
    <w:rsid w:val="00CF4EF3"/>
    <w:rsid w:val="00CF5126"/>
    <w:rsid w:val="00CF512F"/>
    <w:rsid w:val="00CF531D"/>
    <w:rsid w:val="00CF5547"/>
    <w:rsid w:val="00CF5601"/>
    <w:rsid w:val="00CF5675"/>
    <w:rsid w:val="00CF5724"/>
    <w:rsid w:val="00CF572F"/>
    <w:rsid w:val="00CF575D"/>
    <w:rsid w:val="00CF587C"/>
    <w:rsid w:val="00CF5940"/>
    <w:rsid w:val="00CF596F"/>
    <w:rsid w:val="00CF5C4F"/>
    <w:rsid w:val="00CF5D9A"/>
    <w:rsid w:val="00CF5E5E"/>
    <w:rsid w:val="00CF5E87"/>
    <w:rsid w:val="00CF5EA8"/>
    <w:rsid w:val="00CF63E5"/>
    <w:rsid w:val="00CF6503"/>
    <w:rsid w:val="00CF66EA"/>
    <w:rsid w:val="00CF674F"/>
    <w:rsid w:val="00CF67CD"/>
    <w:rsid w:val="00CF68BE"/>
    <w:rsid w:val="00CF69AA"/>
    <w:rsid w:val="00CF6C41"/>
    <w:rsid w:val="00CF6D1F"/>
    <w:rsid w:val="00CF6D43"/>
    <w:rsid w:val="00CF6D4F"/>
    <w:rsid w:val="00CF6DE0"/>
    <w:rsid w:val="00CF7006"/>
    <w:rsid w:val="00CF7356"/>
    <w:rsid w:val="00CF75DB"/>
    <w:rsid w:val="00CF763D"/>
    <w:rsid w:val="00CF7644"/>
    <w:rsid w:val="00CF7697"/>
    <w:rsid w:val="00CF76A7"/>
    <w:rsid w:val="00CF76DE"/>
    <w:rsid w:val="00CF793A"/>
    <w:rsid w:val="00CF7992"/>
    <w:rsid w:val="00CF79B9"/>
    <w:rsid w:val="00CF7A0D"/>
    <w:rsid w:val="00CF7A37"/>
    <w:rsid w:val="00CF7AF9"/>
    <w:rsid w:val="00CF7B78"/>
    <w:rsid w:val="00CF7BC3"/>
    <w:rsid w:val="00CF7CC2"/>
    <w:rsid w:val="00CF7D0B"/>
    <w:rsid w:val="00CF7E46"/>
    <w:rsid w:val="00CF7E5E"/>
    <w:rsid w:val="00CF7EF5"/>
    <w:rsid w:val="00CF7F07"/>
    <w:rsid w:val="00CF7F89"/>
    <w:rsid w:val="00CF7FD0"/>
    <w:rsid w:val="00CFCD6D"/>
    <w:rsid w:val="00D00192"/>
    <w:rsid w:val="00D005B0"/>
    <w:rsid w:val="00D00679"/>
    <w:rsid w:val="00D00681"/>
    <w:rsid w:val="00D006E9"/>
    <w:rsid w:val="00D006FB"/>
    <w:rsid w:val="00D00732"/>
    <w:rsid w:val="00D00798"/>
    <w:rsid w:val="00D007FC"/>
    <w:rsid w:val="00D0088C"/>
    <w:rsid w:val="00D00907"/>
    <w:rsid w:val="00D00939"/>
    <w:rsid w:val="00D0097C"/>
    <w:rsid w:val="00D009CA"/>
    <w:rsid w:val="00D009F9"/>
    <w:rsid w:val="00D00BA2"/>
    <w:rsid w:val="00D00CA4"/>
    <w:rsid w:val="00D00CCD"/>
    <w:rsid w:val="00D00CE0"/>
    <w:rsid w:val="00D00DC2"/>
    <w:rsid w:val="00D00DCD"/>
    <w:rsid w:val="00D00F63"/>
    <w:rsid w:val="00D00FDE"/>
    <w:rsid w:val="00D01085"/>
    <w:rsid w:val="00D0139A"/>
    <w:rsid w:val="00D01560"/>
    <w:rsid w:val="00D01696"/>
    <w:rsid w:val="00D016E9"/>
    <w:rsid w:val="00D01702"/>
    <w:rsid w:val="00D017FA"/>
    <w:rsid w:val="00D0192F"/>
    <w:rsid w:val="00D01A1F"/>
    <w:rsid w:val="00D01AED"/>
    <w:rsid w:val="00D01BCE"/>
    <w:rsid w:val="00D01BE9"/>
    <w:rsid w:val="00D01D21"/>
    <w:rsid w:val="00D01D27"/>
    <w:rsid w:val="00D01E67"/>
    <w:rsid w:val="00D01F17"/>
    <w:rsid w:val="00D01F91"/>
    <w:rsid w:val="00D01FB9"/>
    <w:rsid w:val="00D021D9"/>
    <w:rsid w:val="00D021DF"/>
    <w:rsid w:val="00D02225"/>
    <w:rsid w:val="00D02263"/>
    <w:rsid w:val="00D023F7"/>
    <w:rsid w:val="00D024ED"/>
    <w:rsid w:val="00D02571"/>
    <w:rsid w:val="00D0279D"/>
    <w:rsid w:val="00D02823"/>
    <w:rsid w:val="00D02838"/>
    <w:rsid w:val="00D0294E"/>
    <w:rsid w:val="00D029D0"/>
    <w:rsid w:val="00D029DF"/>
    <w:rsid w:val="00D029F9"/>
    <w:rsid w:val="00D02A06"/>
    <w:rsid w:val="00D02A11"/>
    <w:rsid w:val="00D02A2A"/>
    <w:rsid w:val="00D0300B"/>
    <w:rsid w:val="00D0328B"/>
    <w:rsid w:val="00D03358"/>
    <w:rsid w:val="00D036A1"/>
    <w:rsid w:val="00D03701"/>
    <w:rsid w:val="00D03706"/>
    <w:rsid w:val="00D03795"/>
    <w:rsid w:val="00D03810"/>
    <w:rsid w:val="00D03886"/>
    <w:rsid w:val="00D03A8E"/>
    <w:rsid w:val="00D03AD5"/>
    <w:rsid w:val="00D03B20"/>
    <w:rsid w:val="00D03B97"/>
    <w:rsid w:val="00D03BB2"/>
    <w:rsid w:val="00D03BC1"/>
    <w:rsid w:val="00D03BF6"/>
    <w:rsid w:val="00D03C34"/>
    <w:rsid w:val="00D03C95"/>
    <w:rsid w:val="00D03D41"/>
    <w:rsid w:val="00D03E38"/>
    <w:rsid w:val="00D03EE3"/>
    <w:rsid w:val="00D04052"/>
    <w:rsid w:val="00D0409A"/>
    <w:rsid w:val="00D040A9"/>
    <w:rsid w:val="00D04370"/>
    <w:rsid w:val="00D0442D"/>
    <w:rsid w:val="00D045B1"/>
    <w:rsid w:val="00D046D6"/>
    <w:rsid w:val="00D046EF"/>
    <w:rsid w:val="00D047E0"/>
    <w:rsid w:val="00D0491D"/>
    <w:rsid w:val="00D04921"/>
    <w:rsid w:val="00D04C47"/>
    <w:rsid w:val="00D04D90"/>
    <w:rsid w:val="00D04DCC"/>
    <w:rsid w:val="00D04EAF"/>
    <w:rsid w:val="00D04EF7"/>
    <w:rsid w:val="00D04F42"/>
    <w:rsid w:val="00D04FE0"/>
    <w:rsid w:val="00D04FF0"/>
    <w:rsid w:val="00D050BC"/>
    <w:rsid w:val="00D051A3"/>
    <w:rsid w:val="00D05218"/>
    <w:rsid w:val="00D05344"/>
    <w:rsid w:val="00D05365"/>
    <w:rsid w:val="00D05390"/>
    <w:rsid w:val="00D05394"/>
    <w:rsid w:val="00D053B9"/>
    <w:rsid w:val="00D0541F"/>
    <w:rsid w:val="00D054C0"/>
    <w:rsid w:val="00D055EA"/>
    <w:rsid w:val="00D05691"/>
    <w:rsid w:val="00D0572F"/>
    <w:rsid w:val="00D057A3"/>
    <w:rsid w:val="00D057EA"/>
    <w:rsid w:val="00D05818"/>
    <w:rsid w:val="00D0590A"/>
    <w:rsid w:val="00D05A8E"/>
    <w:rsid w:val="00D05B36"/>
    <w:rsid w:val="00D05B4E"/>
    <w:rsid w:val="00D05B51"/>
    <w:rsid w:val="00D05BBA"/>
    <w:rsid w:val="00D05D94"/>
    <w:rsid w:val="00D05E13"/>
    <w:rsid w:val="00D05F33"/>
    <w:rsid w:val="00D05FAE"/>
    <w:rsid w:val="00D061D7"/>
    <w:rsid w:val="00D06253"/>
    <w:rsid w:val="00D062A3"/>
    <w:rsid w:val="00D062C2"/>
    <w:rsid w:val="00D06507"/>
    <w:rsid w:val="00D067D3"/>
    <w:rsid w:val="00D06862"/>
    <w:rsid w:val="00D068EE"/>
    <w:rsid w:val="00D0691F"/>
    <w:rsid w:val="00D069E1"/>
    <w:rsid w:val="00D06A23"/>
    <w:rsid w:val="00D06AAA"/>
    <w:rsid w:val="00D06AE8"/>
    <w:rsid w:val="00D06C2B"/>
    <w:rsid w:val="00D06F73"/>
    <w:rsid w:val="00D06F9B"/>
    <w:rsid w:val="00D07032"/>
    <w:rsid w:val="00D07057"/>
    <w:rsid w:val="00D070C6"/>
    <w:rsid w:val="00D0711F"/>
    <w:rsid w:val="00D07120"/>
    <w:rsid w:val="00D071A3"/>
    <w:rsid w:val="00D07304"/>
    <w:rsid w:val="00D07501"/>
    <w:rsid w:val="00D0771E"/>
    <w:rsid w:val="00D077D4"/>
    <w:rsid w:val="00D0790A"/>
    <w:rsid w:val="00D0795F"/>
    <w:rsid w:val="00D079F0"/>
    <w:rsid w:val="00D079FA"/>
    <w:rsid w:val="00D07AB9"/>
    <w:rsid w:val="00D07B6F"/>
    <w:rsid w:val="00D07BA7"/>
    <w:rsid w:val="00D07BE6"/>
    <w:rsid w:val="00D07C6A"/>
    <w:rsid w:val="00D07CEB"/>
    <w:rsid w:val="00D07D2C"/>
    <w:rsid w:val="00D07DD9"/>
    <w:rsid w:val="00D07EE9"/>
    <w:rsid w:val="00D07FCE"/>
    <w:rsid w:val="00D10022"/>
    <w:rsid w:val="00D100A7"/>
    <w:rsid w:val="00D100C5"/>
    <w:rsid w:val="00D1012D"/>
    <w:rsid w:val="00D1014E"/>
    <w:rsid w:val="00D1017D"/>
    <w:rsid w:val="00D1020B"/>
    <w:rsid w:val="00D1022B"/>
    <w:rsid w:val="00D10301"/>
    <w:rsid w:val="00D106DE"/>
    <w:rsid w:val="00D10774"/>
    <w:rsid w:val="00D10824"/>
    <w:rsid w:val="00D10833"/>
    <w:rsid w:val="00D10925"/>
    <w:rsid w:val="00D10948"/>
    <w:rsid w:val="00D10A88"/>
    <w:rsid w:val="00D10B36"/>
    <w:rsid w:val="00D10B6F"/>
    <w:rsid w:val="00D10BE6"/>
    <w:rsid w:val="00D10CDD"/>
    <w:rsid w:val="00D10DF0"/>
    <w:rsid w:val="00D10EB9"/>
    <w:rsid w:val="00D10EE4"/>
    <w:rsid w:val="00D10FAA"/>
    <w:rsid w:val="00D10FB9"/>
    <w:rsid w:val="00D11083"/>
    <w:rsid w:val="00D110E1"/>
    <w:rsid w:val="00D110F7"/>
    <w:rsid w:val="00D1112F"/>
    <w:rsid w:val="00D11134"/>
    <w:rsid w:val="00D11137"/>
    <w:rsid w:val="00D1150C"/>
    <w:rsid w:val="00D11510"/>
    <w:rsid w:val="00D1159E"/>
    <w:rsid w:val="00D11679"/>
    <w:rsid w:val="00D1174C"/>
    <w:rsid w:val="00D11825"/>
    <w:rsid w:val="00D11921"/>
    <w:rsid w:val="00D119E3"/>
    <w:rsid w:val="00D11DA4"/>
    <w:rsid w:val="00D11E1D"/>
    <w:rsid w:val="00D12435"/>
    <w:rsid w:val="00D12589"/>
    <w:rsid w:val="00D126F1"/>
    <w:rsid w:val="00D12720"/>
    <w:rsid w:val="00D12785"/>
    <w:rsid w:val="00D127DF"/>
    <w:rsid w:val="00D128B2"/>
    <w:rsid w:val="00D12960"/>
    <w:rsid w:val="00D12B33"/>
    <w:rsid w:val="00D12B38"/>
    <w:rsid w:val="00D12BAA"/>
    <w:rsid w:val="00D12BCA"/>
    <w:rsid w:val="00D12BD2"/>
    <w:rsid w:val="00D12C05"/>
    <w:rsid w:val="00D12C2F"/>
    <w:rsid w:val="00D12F26"/>
    <w:rsid w:val="00D131F6"/>
    <w:rsid w:val="00D1326E"/>
    <w:rsid w:val="00D13476"/>
    <w:rsid w:val="00D134D4"/>
    <w:rsid w:val="00D13515"/>
    <w:rsid w:val="00D1355D"/>
    <w:rsid w:val="00D1367F"/>
    <w:rsid w:val="00D13682"/>
    <w:rsid w:val="00D136CA"/>
    <w:rsid w:val="00D137DB"/>
    <w:rsid w:val="00D1383D"/>
    <w:rsid w:val="00D1387F"/>
    <w:rsid w:val="00D1389C"/>
    <w:rsid w:val="00D13906"/>
    <w:rsid w:val="00D139C8"/>
    <w:rsid w:val="00D13A60"/>
    <w:rsid w:val="00D13B23"/>
    <w:rsid w:val="00D13BD5"/>
    <w:rsid w:val="00D13BEC"/>
    <w:rsid w:val="00D13BF5"/>
    <w:rsid w:val="00D13CA7"/>
    <w:rsid w:val="00D13FA5"/>
    <w:rsid w:val="00D1417C"/>
    <w:rsid w:val="00D14239"/>
    <w:rsid w:val="00D1435F"/>
    <w:rsid w:val="00D14391"/>
    <w:rsid w:val="00D143DE"/>
    <w:rsid w:val="00D143E1"/>
    <w:rsid w:val="00D144D4"/>
    <w:rsid w:val="00D147E0"/>
    <w:rsid w:val="00D14BF1"/>
    <w:rsid w:val="00D14C0F"/>
    <w:rsid w:val="00D14D08"/>
    <w:rsid w:val="00D14E82"/>
    <w:rsid w:val="00D14EBA"/>
    <w:rsid w:val="00D14F81"/>
    <w:rsid w:val="00D15190"/>
    <w:rsid w:val="00D1519D"/>
    <w:rsid w:val="00D1522C"/>
    <w:rsid w:val="00D1551E"/>
    <w:rsid w:val="00D15550"/>
    <w:rsid w:val="00D15699"/>
    <w:rsid w:val="00D1574E"/>
    <w:rsid w:val="00D157D6"/>
    <w:rsid w:val="00D1585C"/>
    <w:rsid w:val="00D15AD1"/>
    <w:rsid w:val="00D15B87"/>
    <w:rsid w:val="00D15D31"/>
    <w:rsid w:val="00D15DA7"/>
    <w:rsid w:val="00D15E74"/>
    <w:rsid w:val="00D160A9"/>
    <w:rsid w:val="00D1614F"/>
    <w:rsid w:val="00D16218"/>
    <w:rsid w:val="00D162C7"/>
    <w:rsid w:val="00D16406"/>
    <w:rsid w:val="00D166A2"/>
    <w:rsid w:val="00D16840"/>
    <w:rsid w:val="00D1697D"/>
    <w:rsid w:val="00D16A10"/>
    <w:rsid w:val="00D16B1F"/>
    <w:rsid w:val="00D16C15"/>
    <w:rsid w:val="00D16CB6"/>
    <w:rsid w:val="00D16CBE"/>
    <w:rsid w:val="00D16DE4"/>
    <w:rsid w:val="00D16EDF"/>
    <w:rsid w:val="00D1700A"/>
    <w:rsid w:val="00D17077"/>
    <w:rsid w:val="00D1708D"/>
    <w:rsid w:val="00D170F8"/>
    <w:rsid w:val="00D1714B"/>
    <w:rsid w:val="00D171AD"/>
    <w:rsid w:val="00D173C5"/>
    <w:rsid w:val="00D1741C"/>
    <w:rsid w:val="00D17587"/>
    <w:rsid w:val="00D1765B"/>
    <w:rsid w:val="00D17750"/>
    <w:rsid w:val="00D17764"/>
    <w:rsid w:val="00D1777F"/>
    <w:rsid w:val="00D17927"/>
    <w:rsid w:val="00D17A2F"/>
    <w:rsid w:val="00D17CC2"/>
    <w:rsid w:val="00D17CE8"/>
    <w:rsid w:val="00D17CEE"/>
    <w:rsid w:val="00D17F6B"/>
    <w:rsid w:val="00D200C1"/>
    <w:rsid w:val="00D20155"/>
    <w:rsid w:val="00D202FF"/>
    <w:rsid w:val="00D203C0"/>
    <w:rsid w:val="00D20401"/>
    <w:rsid w:val="00D205B6"/>
    <w:rsid w:val="00D2069E"/>
    <w:rsid w:val="00D20791"/>
    <w:rsid w:val="00D207E1"/>
    <w:rsid w:val="00D208CE"/>
    <w:rsid w:val="00D20A2E"/>
    <w:rsid w:val="00D20A48"/>
    <w:rsid w:val="00D20BD3"/>
    <w:rsid w:val="00D20BE0"/>
    <w:rsid w:val="00D20CCB"/>
    <w:rsid w:val="00D20CED"/>
    <w:rsid w:val="00D20EC5"/>
    <w:rsid w:val="00D20EC7"/>
    <w:rsid w:val="00D20F76"/>
    <w:rsid w:val="00D21097"/>
    <w:rsid w:val="00D212F3"/>
    <w:rsid w:val="00D2139F"/>
    <w:rsid w:val="00D215E8"/>
    <w:rsid w:val="00D21705"/>
    <w:rsid w:val="00D21846"/>
    <w:rsid w:val="00D21917"/>
    <w:rsid w:val="00D2197C"/>
    <w:rsid w:val="00D219B7"/>
    <w:rsid w:val="00D219D7"/>
    <w:rsid w:val="00D21A20"/>
    <w:rsid w:val="00D21B04"/>
    <w:rsid w:val="00D21B8C"/>
    <w:rsid w:val="00D21BB0"/>
    <w:rsid w:val="00D21C1C"/>
    <w:rsid w:val="00D21F73"/>
    <w:rsid w:val="00D22015"/>
    <w:rsid w:val="00D220F5"/>
    <w:rsid w:val="00D22122"/>
    <w:rsid w:val="00D2218A"/>
    <w:rsid w:val="00D22286"/>
    <w:rsid w:val="00D222BA"/>
    <w:rsid w:val="00D22340"/>
    <w:rsid w:val="00D22488"/>
    <w:rsid w:val="00D22766"/>
    <w:rsid w:val="00D22772"/>
    <w:rsid w:val="00D227DB"/>
    <w:rsid w:val="00D22AE0"/>
    <w:rsid w:val="00D22B58"/>
    <w:rsid w:val="00D22BF2"/>
    <w:rsid w:val="00D22E54"/>
    <w:rsid w:val="00D22EF0"/>
    <w:rsid w:val="00D22F5C"/>
    <w:rsid w:val="00D22F66"/>
    <w:rsid w:val="00D2318E"/>
    <w:rsid w:val="00D231F8"/>
    <w:rsid w:val="00D23344"/>
    <w:rsid w:val="00D2334A"/>
    <w:rsid w:val="00D233B0"/>
    <w:rsid w:val="00D233EC"/>
    <w:rsid w:val="00D234BF"/>
    <w:rsid w:val="00D235DA"/>
    <w:rsid w:val="00D236B7"/>
    <w:rsid w:val="00D2372B"/>
    <w:rsid w:val="00D23762"/>
    <w:rsid w:val="00D237B0"/>
    <w:rsid w:val="00D23954"/>
    <w:rsid w:val="00D23AD9"/>
    <w:rsid w:val="00D23B4A"/>
    <w:rsid w:val="00D23B9D"/>
    <w:rsid w:val="00D23FEA"/>
    <w:rsid w:val="00D24095"/>
    <w:rsid w:val="00D240CF"/>
    <w:rsid w:val="00D241C9"/>
    <w:rsid w:val="00D2422B"/>
    <w:rsid w:val="00D24245"/>
    <w:rsid w:val="00D2425E"/>
    <w:rsid w:val="00D24316"/>
    <w:rsid w:val="00D2437C"/>
    <w:rsid w:val="00D243D4"/>
    <w:rsid w:val="00D243EB"/>
    <w:rsid w:val="00D245B8"/>
    <w:rsid w:val="00D245D4"/>
    <w:rsid w:val="00D246BB"/>
    <w:rsid w:val="00D2474D"/>
    <w:rsid w:val="00D247F3"/>
    <w:rsid w:val="00D248EE"/>
    <w:rsid w:val="00D24977"/>
    <w:rsid w:val="00D249AF"/>
    <w:rsid w:val="00D24AD0"/>
    <w:rsid w:val="00D24C30"/>
    <w:rsid w:val="00D24D7A"/>
    <w:rsid w:val="00D24FAF"/>
    <w:rsid w:val="00D250D1"/>
    <w:rsid w:val="00D250F9"/>
    <w:rsid w:val="00D2512F"/>
    <w:rsid w:val="00D2529B"/>
    <w:rsid w:val="00D252D4"/>
    <w:rsid w:val="00D25366"/>
    <w:rsid w:val="00D253A5"/>
    <w:rsid w:val="00D25415"/>
    <w:rsid w:val="00D2546B"/>
    <w:rsid w:val="00D255F5"/>
    <w:rsid w:val="00D25628"/>
    <w:rsid w:val="00D256F1"/>
    <w:rsid w:val="00D25777"/>
    <w:rsid w:val="00D257AA"/>
    <w:rsid w:val="00D258E9"/>
    <w:rsid w:val="00D25B56"/>
    <w:rsid w:val="00D25D69"/>
    <w:rsid w:val="00D25E8C"/>
    <w:rsid w:val="00D26167"/>
    <w:rsid w:val="00D261B3"/>
    <w:rsid w:val="00D261B4"/>
    <w:rsid w:val="00D264F7"/>
    <w:rsid w:val="00D265CB"/>
    <w:rsid w:val="00D26619"/>
    <w:rsid w:val="00D266E4"/>
    <w:rsid w:val="00D2671C"/>
    <w:rsid w:val="00D26817"/>
    <w:rsid w:val="00D26881"/>
    <w:rsid w:val="00D26888"/>
    <w:rsid w:val="00D26935"/>
    <w:rsid w:val="00D269FB"/>
    <w:rsid w:val="00D26ACA"/>
    <w:rsid w:val="00D26C0B"/>
    <w:rsid w:val="00D26DAB"/>
    <w:rsid w:val="00D26DE9"/>
    <w:rsid w:val="00D26E7D"/>
    <w:rsid w:val="00D26E83"/>
    <w:rsid w:val="00D26EF6"/>
    <w:rsid w:val="00D26F57"/>
    <w:rsid w:val="00D26FD4"/>
    <w:rsid w:val="00D26FF6"/>
    <w:rsid w:val="00D270AC"/>
    <w:rsid w:val="00D27211"/>
    <w:rsid w:val="00D272EC"/>
    <w:rsid w:val="00D2738E"/>
    <w:rsid w:val="00D27464"/>
    <w:rsid w:val="00D274D8"/>
    <w:rsid w:val="00D2754E"/>
    <w:rsid w:val="00D2785A"/>
    <w:rsid w:val="00D27868"/>
    <w:rsid w:val="00D278C3"/>
    <w:rsid w:val="00D2796D"/>
    <w:rsid w:val="00D279A4"/>
    <w:rsid w:val="00D27A24"/>
    <w:rsid w:val="00D27A7A"/>
    <w:rsid w:val="00D27ADB"/>
    <w:rsid w:val="00D27B73"/>
    <w:rsid w:val="00D27C19"/>
    <w:rsid w:val="00D27D33"/>
    <w:rsid w:val="00D27D85"/>
    <w:rsid w:val="00D27E4F"/>
    <w:rsid w:val="00D27ED0"/>
    <w:rsid w:val="00D27F08"/>
    <w:rsid w:val="00D27FE8"/>
    <w:rsid w:val="00D30157"/>
    <w:rsid w:val="00D301AB"/>
    <w:rsid w:val="00D301D6"/>
    <w:rsid w:val="00D302F0"/>
    <w:rsid w:val="00D30348"/>
    <w:rsid w:val="00D30355"/>
    <w:rsid w:val="00D3040F"/>
    <w:rsid w:val="00D3041C"/>
    <w:rsid w:val="00D304AF"/>
    <w:rsid w:val="00D305A9"/>
    <w:rsid w:val="00D306F7"/>
    <w:rsid w:val="00D30747"/>
    <w:rsid w:val="00D307BE"/>
    <w:rsid w:val="00D30898"/>
    <w:rsid w:val="00D309C8"/>
    <w:rsid w:val="00D309E7"/>
    <w:rsid w:val="00D30B73"/>
    <w:rsid w:val="00D30C34"/>
    <w:rsid w:val="00D30D6A"/>
    <w:rsid w:val="00D30DC4"/>
    <w:rsid w:val="00D30DD8"/>
    <w:rsid w:val="00D30DE7"/>
    <w:rsid w:val="00D30E34"/>
    <w:rsid w:val="00D30EB1"/>
    <w:rsid w:val="00D30F71"/>
    <w:rsid w:val="00D310DA"/>
    <w:rsid w:val="00D31288"/>
    <w:rsid w:val="00D3130F"/>
    <w:rsid w:val="00D315E4"/>
    <w:rsid w:val="00D315F1"/>
    <w:rsid w:val="00D31644"/>
    <w:rsid w:val="00D31712"/>
    <w:rsid w:val="00D31859"/>
    <w:rsid w:val="00D318C4"/>
    <w:rsid w:val="00D318EB"/>
    <w:rsid w:val="00D319AC"/>
    <w:rsid w:val="00D319B3"/>
    <w:rsid w:val="00D31AC1"/>
    <w:rsid w:val="00D31BE3"/>
    <w:rsid w:val="00D31BE5"/>
    <w:rsid w:val="00D31D31"/>
    <w:rsid w:val="00D31D4E"/>
    <w:rsid w:val="00D31DA6"/>
    <w:rsid w:val="00D31F80"/>
    <w:rsid w:val="00D31FFD"/>
    <w:rsid w:val="00D32008"/>
    <w:rsid w:val="00D32154"/>
    <w:rsid w:val="00D32194"/>
    <w:rsid w:val="00D32229"/>
    <w:rsid w:val="00D32256"/>
    <w:rsid w:val="00D322BE"/>
    <w:rsid w:val="00D32591"/>
    <w:rsid w:val="00D325CA"/>
    <w:rsid w:val="00D32769"/>
    <w:rsid w:val="00D32917"/>
    <w:rsid w:val="00D3291E"/>
    <w:rsid w:val="00D3298C"/>
    <w:rsid w:val="00D32A71"/>
    <w:rsid w:val="00D32AB3"/>
    <w:rsid w:val="00D32BC7"/>
    <w:rsid w:val="00D32E4A"/>
    <w:rsid w:val="00D330FE"/>
    <w:rsid w:val="00D3319B"/>
    <w:rsid w:val="00D331C8"/>
    <w:rsid w:val="00D331D7"/>
    <w:rsid w:val="00D332CA"/>
    <w:rsid w:val="00D332EA"/>
    <w:rsid w:val="00D333A2"/>
    <w:rsid w:val="00D3344C"/>
    <w:rsid w:val="00D3344F"/>
    <w:rsid w:val="00D336E3"/>
    <w:rsid w:val="00D33742"/>
    <w:rsid w:val="00D337D1"/>
    <w:rsid w:val="00D3380F"/>
    <w:rsid w:val="00D33857"/>
    <w:rsid w:val="00D3388D"/>
    <w:rsid w:val="00D338A6"/>
    <w:rsid w:val="00D33A58"/>
    <w:rsid w:val="00D33ADD"/>
    <w:rsid w:val="00D33B8B"/>
    <w:rsid w:val="00D33C54"/>
    <w:rsid w:val="00D33CF0"/>
    <w:rsid w:val="00D3409B"/>
    <w:rsid w:val="00D340B4"/>
    <w:rsid w:val="00D34113"/>
    <w:rsid w:val="00D3416B"/>
    <w:rsid w:val="00D34179"/>
    <w:rsid w:val="00D341CA"/>
    <w:rsid w:val="00D341F6"/>
    <w:rsid w:val="00D3428B"/>
    <w:rsid w:val="00D3447A"/>
    <w:rsid w:val="00D34505"/>
    <w:rsid w:val="00D3459C"/>
    <w:rsid w:val="00D34670"/>
    <w:rsid w:val="00D3482A"/>
    <w:rsid w:val="00D348F4"/>
    <w:rsid w:val="00D34BC9"/>
    <w:rsid w:val="00D34D6D"/>
    <w:rsid w:val="00D34E66"/>
    <w:rsid w:val="00D34F7A"/>
    <w:rsid w:val="00D34FFF"/>
    <w:rsid w:val="00D3505E"/>
    <w:rsid w:val="00D3517F"/>
    <w:rsid w:val="00D351F6"/>
    <w:rsid w:val="00D35263"/>
    <w:rsid w:val="00D352CB"/>
    <w:rsid w:val="00D3534D"/>
    <w:rsid w:val="00D35474"/>
    <w:rsid w:val="00D3561A"/>
    <w:rsid w:val="00D35623"/>
    <w:rsid w:val="00D35641"/>
    <w:rsid w:val="00D35698"/>
    <w:rsid w:val="00D35819"/>
    <w:rsid w:val="00D358FE"/>
    <w:rsid w:val="00D35936"/>
    <w:rsid w:val="00D35C77"/>
    <w:rsid w:val="00D35CDB"/>
    <w:rsid w:val="00D35D0B"/>
    <w:rsid w:val="00D35D92"/>
    <w:rsid w:val="00D35FA7"/>
    <w:rsid w:val="00D36002"/>
    <w:rsid w:val="00D36045"/>
    <w:rsid w:val="00D36196"/>
    <w:rsid w:val="00D362C8"/>
    <w:rsid w:val="00D363AB"/>
    <w:rsid w:val="00D36418"/>
    <w:rsid w:val="00D3652D"/>
    <w:rsid w:val="00D3655D"/>
    <w:rsid w:val="00D36593"/>
    <w:rsid w:val="00D365E0"/>
    <w:rsid w:val="00D3670A"/>
    <w:rsid w:val="00D36750"/>
    <w:rsid w:val="00D367F2"/>
    <w:rsid w:val="00D368B6"/>
    <w:rsid w:val="00D36910"/>
    <w:rsid w:val="00D36986"/>
    <w:rsid w:val="00D36AB1"/>
    <w:rsid w:val="00D36B36"/>
    <w:rsid w:val="00D36CFF"/>
    <w:rsid w:val="00D36ED0"/>
    <w:rsid w:val="00D36EE4"/>
    <w:rsid w:val="00D37272"/>
    <w:rsid w:val="00D3735C"/>
    <w:rsid w:val="00D37843"/>
    <w:rsid w:val="00D378B0"/>
    <w:rsid w:val="00D37964"/>
    <w:rsid w:val="00D37CEC"/>
    <w:rsid w:val="00D37D05"/>
    <w:rsid w:val="00D37DCC"/>
    <w:rsid w:val="00D37E2D"/>
    <w:rsid w:val="00D37EAE"/>
    <w:rsid w:val="00D37FA9"/>
    <w:rsid w:val="00D37FD9"/>
    <w:rsid w:val="00D3F97B"/>
    <w:rsid w:val="00D4005C"/>
    <w:rsid w:val="00D40069"/>
    <w:rsid w:val="00D40075"/>
    <w:rsid w:val="00D4018B"/>
    <w:rsid w:val="00D40270"/>
    <w:rsid w:val="00D4034F"/>
    <w:rsid w:val="00D40635"/>
    <w:rsid w:val="00D4066F"/>
    <w:rsid w:val="00D40790"/>
    <w:rsid w:val="00D40932"/>
    <w:rsid w:val="00D40A6E"/>
    <w:rsid w:val="00D40BC5"/>
    <w:rsid w:val="00D40BD7"/>
    <w:rsid w:val="00D40C1F"/>
    <w:rsid w:val="00D40CFD"/>
    <w:rsid w:val="00D40D20"/>
    <w:rsid w:val="00D40E10"/>
    <w:rsid w:val="00D40EBA"/>
    <w:rsid w:val="00D40EC3"/>
    <w:rsid w:val="00D40F21"/>
    <w:rsid w:val="00D41006"/>
    <w:rsid w:val="00D410D4"/>
    <w:rsid w:val="00D411E3"/>
    <w:rsid w:val="00D4128E"/>
    <w:rsid w:val="00D412C6"/>
    <w:rsid w:val="00D4132F"/>
    <w:rsid w:val="00D41689"/>
    <w:rsid w:val="00D4175D"/>
    <w:rsid w:val="00D418C4"/>
    <w:rsid w:val="00D41A36"/>
    <w:rsid w:val="00D41BC7"/>
    <w:rsid w:val="00D41C8C"/>
    <w:rsid w:val="00D4207A"/>
    <w:rsid w:val="00D420FB"/>
    <w:rsid w:val="00D421B6"/>
    <w:rsid w:val="00D4228F"/>
    <w:rsid w:val="00D42528"/>
    <w:rsid w:val="00D425E5"/>
    <w:rsid w:val="00D42688"/>
    <w:rsid w:val="00D427BE"/>
    <w:rsid w:val="00D42874"/>
    <w:rsid w:val="00D42882"/>
    <w:rsid w:val="00D428B3"/>
    <w:rsid w:val="00D42952"/>
    <w:rsid w:val="00D42980"/>
    <w:rsid w:val="00D42BE8"/>
    <w:rsid w:val="00D42D82"/>
    <w:rsid w:val="00D42D93"/>
    <w:rsid w:val="00D42E54"/>
    <w:rsid w:val="00D42FD0"/>
    <w:rsid w:val="00D42FDB"/>
    <w:rsid w:val="00D43188"/>
    <w:rsid w:val="00D4327B"/>
    <w:rsid w:val="00D432B8"/>
    <w:rsid w:val="00D4337B"/>
    <w:rsid w:val="00D43415"/>
    <w:rsid w:val="00D43572"/>
    <w:rsid w:val="00D43605"/>
    <w:rsid w:val="00D43B81"/>
    <w:rsid w:val="00D43CE4"/>
    <w:rsid w:val="00D43DEC"/>
    <w:rsid w:val="00D43E27"/>
    <w:rsid w:val="00D43E4C"/>
    <w:rsid w:val="00D43E52"/>
    <w:rsid w:val="00D43E89"/>
    <w:rsid w:val="00D43F96"/>
    <w:rsid w:val="00D43FE1"/>
    <w:rsid w:val="00D440E9"/>
    <w:rsid w:val="00D44110"/>
    <w:rsid w:val="00D441B3"/>
    <w:rsid w:val="00D44299"/>
    <w:rsid w:val="00D4431E"/>
    <w:rsid w:val="00D443A9"/>
    <w:rsid w:val="00D44537"/>
    <w:rsid w:val="00D44553"/>
    <w:rsid w:val="00D44640"/>
    <w:rsid w:val="00D446C4"/>
    <w:rsid w:val="00D44731"/>
    <w:rsid w:val="00D44797"/>
    <w:rsid w:val="00D44912"/>
    <w:rsid w:val="00D44A6D"/>
    <w:rsid w:val="00D44CB7"/>
    <w:rsid w:val="00D44D50"/>
    <w:rsid w:val="00D451D5"/>
    <w:rsid w:val="00D4521D"/>
    <w:rsid w:val="00D45276"/>
    <w:rsid w:val="00D4534B"/>
    <w:rsid w:val="00D45441"/>
    <w:rsid w:val="00D455F4"/>
    <w:rsid w:val="00D45795"/>
    <w:rsid w:val="00D457B6"/>
    <w:rsid w:val="00D4599C"/>
    <w:rsid w:val="00D459E8"/>
    <w:rsid w:val="00D45B06"/>
    <w:rsid w:val="00D45C0A"/>
    <w:rsid w:val="00D45CB7"/>
    <w:rsid w:val="00D46071"/>
    <w:rsid w:val="00D4613E"/>
    <w:rsid w:val="00D461DD"/>
    <w:rsid w:val="00D462F6"/>
    <w:rsid w:val="00D4643D"/>
    <w:rsid w:val="00D46452"/>
    <w:rsid w:val="00D464C9"/>
    <w:rsid w:val="00D464EE"/>
    <w:rsid w:val="00D46550"/>
    <w:rsid w:val="00D4667B"/>
    <w:rsid w:val="00D466BB"/>
    <w:rsid w:val="00D467AE"/>
    <w:rsid w:val="00D4698D"/>
    <w:rsid w:val="00D46A73"/>
    <w:rsid w:val="00D46A80"/>
    <w:rsid w:val="00D46B13"/>
    <w:rsid w:val="00D46C67"/>
    <w:rsid w:val="00D46C73"/>
    <w:rsid w:val="00D46C7F"/>
    <w:rsid w:val="00D46D71"/>
    <w:rsid w:val="00D46D78"/>
    <w:rsid w:val="00D46DFD"/>
    <w:rsid w:val="00D46ED5"/>
    <w:rsid w:val="00D46EF7"/>
    <w:rsid w:val="00D46FE0"/>
    <w:rsid w:val="00D47061"/>
    <w:rsid w:val="00D47172"/>
    <w:rsid w:val="00D47197"/>
    <w:rsid w:val="00D47691"/>
    <w:rsid w:val="00D476FB"/>
    <w:rsid w:val="00D477F7"/>
    <w:rsid w:val="00D479F9"/>
    <w:rsid w:val="00D47B54"/>
    <w:rsid w:val="00D47B58"/>
    <w:rsid w:val="00D47BBF"/>
    <w:rsid w:val="00D47C15"/>
    <w:rsid w:val="00D47C3B"/>
    <w:rsid w:val="00D47C66"/>
    <w:rsid w:val="00D47D6E"/>
    <w:rsid w:val="00D47D7A"/>
    <w:rsid w:val="00D47DF3"/>
    <w:rsid w:val="00D47ECD"/>
    <w:rsid w:val="00D4E6C1"/>
    <w:rsid w:val="00D5010B"/>
    <w:rsid w:val="00D5013B"/>
    <w:rsid w:val="00D50316"/>
    <w:rsid w:val="00D50462"/>
    <w:rsid w:val="00D50643"/>
    <w:rsid w:val="00D5065A"/>
    <w:rsid w:val="00D5076C"/>
    <w:rsid w:val="00D507B5"/>
    <w:rsid w:val="00D50806"/>
    <w:rsid w:val="00D5081A"/>
    <w:rsid w:val="00D508F5"/>
    <w:rsid w:val="00D50926"/>
    <w:rsid w:val="00D509D4"/>
    <w:rsid w:val="00D50BAB"/>
    <w:rsid w:val="00D50BB9"/>
    <w:rsid w:val="00D50BD4"/>
    <w:rsid w:val="00D50C61"/>
    <w:rsid w:val="00D50C8B"/>
    <w:rsid w:val="00D50C96"/>
    <w:rsid w:val="00D50D48"/>
    <w:rsid w:val="00D50D58"/>
    <w:rsid w:val="00D50DD3"/>
    <w:rsid w:val="00D50E59"/>
    <w:rsid w:val="00D50EB6"/>
    <w:rsid w:val="00D50FAA"/>
    <w:rsid w:val="00D5120A"/>
    <w:rsid w:val="00D51214"/>
    <w:rsid w:val="00D5145A"/>
    <w:rsid w:val="00D515D5"/>
    <w:rsid w:val="00D51869"/>
    <w:rsid w:val="00D5190B"/>
    <w:rsid w:val="00D51A45"/>
    <w:rsid w:val="00D51ADD"/>
    <w:rsid w:val="00D51BEC"/>
    <w:rsid w:val="00D51C18"/>
    <w:rsid w:val="00D51C1B"/>
    <w:rsid w:val="00D51C4C"/>
    <w:rsid w:val="00D51C57"/>
    <w:rsid w:val="00D51C63"/>
    <w:rsid w:val="00D51CD3"/>
    <w:rsid w:val="00D51D16"/>
    <w:rsid w:val="00D51E6F"/>
    <w:rsid w:val="00D51FB3"/>
    <w:rsid w:val="00D52089"/>
    <w:rsid w:val="00D5233B"/>
    <w:rsid w:val="00D5235A"/>
    <w:rsid w:val="00D52453"/>
    <w:rsid w:val="00D5249B"/>
    <w:rsid w:val="00D52771"/>
    <w:rsid w:val="00D5277B"/>
    <w:rsid w:val="00D527C6"/>
    <w:rsid w:val="00D52923"/>
    <w:rsid w:val="00D52984"/>
    <w:rsid w:val="00D529B3"/>
    <w:rsid w:val="00D529C5"/>
    <w:rsid w:val="00D52A5D"/>
    <w:rsid w:val="00D52AA4"/>
    <w:rsid w:val="00D52AC7"/>
    <w:rsid w:val="00D52B64"/>
    <w:rsid w:val="00D52BDE"/>
    <w:rsid w:val="00D52D7B"/>
    <w:rsid w:val="00D52DFE"/>
    <w:rsid w:val="00D52EB0"/>
    <w:rsid w:val="00D52EC1"/>
    <w:rsid w:val="00D52F16"/>
    <w:rsid w:val="00D5302D"/>
    <w:rsid w:val="00D5308C"/>
    <w:rsid w:val="00D53253"/>
    <w:rsid w:val="00D53392"/>
    <w:rsid w:val="00D5343B"/>
    <w:rsid w:val="00D5352C"/>
    <w:rsid w:val="00D53687"/>
    <w:rsid w:val="00D5368D"/>
    <w:rsid w:val="00D5372D"/>
    <w:rsid w:val="00D539B6"/>
    <w:rsid w:val="00D539BF"/>
    <w:rsid w:val="00D53B38"/>
    <w:rsid w:val="00D53B4C"/>
    <w:rsid w:val="00D53D1B"/>
    <w:rsid w:val="00D53D63"/>
    <w:rsid w:val="00D540C9"/>
    <w:rsid w:val="00D5410D"/>
    <w:rsid w:val="00D54123"/>
    <w:rsid w:val="00D541B2"/>
    <w:rsid w:val="00D5424E"/>
    <w:rsid w:val="00D54368"/>
    <w:rsid w:val="00D544B5"/>
    <w:rsid w:val="00D544C1"/>
    <w:rsid w:val="00D54832"/>
    <w:rsid w:val="00D54912"/>
    <w:rsid w:val="00D54970"/>
    <w:rsid w:val="00D5498E"/>
    <w:rsid w:val="00D549E5"/>
    <w:rsid w:val="00D54A96"/>
    <w:rsid w:val="00D54B84"/>
    <w:rsid w:val="00D54BD1"/>
    <w:rsid w:val="00D54CDB"/>
    <w:rsid w:val="00D54CF1"/>
    <w:rsid w:val="00D54D68"/>
    <w:rsid w:val="00D54F18"/>
    <w:rsid w:val="00D55044"/>
    <w:rsid w:val="00D55049"/>
    <w:rsid w:val="00D5516E"/>
    <w:rsid w:val="00D55276"/>
    <w:rsid w:val="00D55327"/>
    <w:rsid w:val="00D554AE"/>
    <w:rsid w:val="00D55534"/>
    <w:rsid w:val="00D55541"/>
    <w:rsid w:val="00D556FC"/>
    <w:rsid w:val="00D55701"/>
    <w:rsid w:val="00D55901"/>
    <w:rsid w:val="00D559DB"/>
    <w:rsid w:val="00D55AD4"/>
    <w:rsid w:val="00D55AEC"/>
    <w:rsid w:val="00D55B60"/>
    <w:rsid w:val="00D55C02"/>
    <w:rsid w:val="00D55C51"/>
    <w:rsid w:val="00D55C64"/>
    <w:rsid w:val="00D55D41"/>
    <w:rsid w:val="00D55DE7"/>
    <w:rsid w:val="00D55FDA"/>
    <w:rsid w:val="00D56163"/>
    <w:rsid w:val="00D56188"/>
    <w:rsid w:val="00D562FD"/>
    <w:rsid w:val="00D56331"/>
    <w:rsid w:val="00D56693"/>
    <w:rsid w:val="00D5669E"/>
    <w:rsid w:val="00D56720"/>
    <w:rsid w:val="00D5675F"/>
    <w:rsid w:val="00D5685E"/>
    <w:rsid w:val="00D56893"/>
    <w:rsid w:val="00D568E0"/>
    <w:rsid w:val="00D56986"/>
    <w:rsid w:val="00D56A26"/>
    <w:rsid w:val="00D56A75"/>
    <w:rsid w:val="00D56AFC"/>
    <w:rsid w:val="00D56D1D"/>
    <w:rsid w:val="00D56EF0"/>
    <w:rsid w:val="00D56F44"/>
    <w:rsid w:val="00D56F4B"/>
    <w:rsid w:val="00D56F58"/>
    <w:rsid w:val="00D56F69"/>
    <w:rsid w:val="00D56F90"/>
    <w:rsid w:val="00D5702F"/>
    <w:rsid w:val="00D57074"/>
    <w:rsid w:val="00D570EF"/>
    <w:rsid w:val="00D571C4"/>
    <w:rsid w:val="00D573B1"/>
    <w:rsid w:val="00D573C7"/>
    <w:rsid w:val="00D5744C"/>
    <w:rsid w:val="00D57618"/>
    <w:rsid w:val="00D577F2"/>
    <w:rsid w:val="00D57859"/>
    <w:rsid w:val="00D57EC3"/>
    <w:rsid w:val="00D57F5C"/>
    <w:rsid w:val="00D57F9E"/>
    <w:rsid w:val="00D57FFC"/>
    <w:rsid w:val="00D60159"/>
    <w:rsid w:val="00D602D2"/>
    <w:rsid w:val="00D603DB"/>
    <w:rsid w:val="00D604EC"/>
    <w:rsid w:val="00D6053E"/>
    <w:rsid w:val="00D60548"/>
    <w:rsid w:val="00D6057B"/>
    <w:rsid w:val="00D6062A"/>
    <w:rsid w:val="00D60672"/>
    <w:rsid w:val="00D6089F"/>
    <w:rsid w:val="00D60966"/>
    <w:rsid w:val="00D60A75"/>
    <w:rsid w:val="00D60A82"/>
    <w:rsid w:val="00D60B3A"/>
    <w:rsid w:val="00D60D36"/>
    <w:rsid w:val="00D60EEB"/>
    <w:rsid w:val="00D60F3B"/>
    <w:rsid w:val="00D61045"/>
    <w:rsid w:val="00D610CE"/>
    <w:rsid w:val="00D610EC"/>
    <w:rsid w:val="00D6116C"/>
    <w:rsid w:val="00D61183"/>
    <w:rsid w:val="00D611A7"/>
    <w:rsid w:val="00D611B3"/>
    <w:rsid w:val="00D61298"/>
    <w:rsid w:val="00D615A2"/>
    <w:rsid w:val="00D619CD"/>
    <w:rsid w:val="00D61EBB"/>
    <w:rsid w:val="00D61F1E"/>
    <w:rsid w:val="00D61F2A"/>
    <w:rsid w:val="00D62040"/>
    <w:rsid w:val="00D620A3"/>
    <w:rsid w:val="00D62152"/>
    <w:rsid w:val="00D6222F"/>
    <w:rsid w:val="00D62277"/>
    <w:rsid w:val="00D62497"/>
    <w:rsid w:val="00D625CE"/>
    <w:rsid w:val="00D627C1"/>
    <w:rsid w:val="00D62817"/>
    <w:rsid w:val="00D62857"/>
    <w:rsid w:val="00D628E7"/>
    <w:rsid w:val="00D629CA"/>
    <w:rsid w:val="00D62B83"/>
    <w:rsid w:val="00D62C85"/>
    <w:rsid w:val="00D62CC3"/>
    <w:rsid w:val="00D62D1E"/>
    <w:rsid w:val="00D62DD9"/>
    <w:rsid w:val="00D62E79"/>
    <w:rsid w:val="00D62F9E"/>
    <w:rsid w:val="00D63002"/>
    <w:rsid w:val="00D631BE"/>
    <w:rsid w:val="00D633DE"/>
    <w:rsid w:val="00D6344F"/>
    <w:rsid w:val="00D63475"/>
    <w:rsid w:val="00D634A9"/>
    <w:rsid w:val="00D63750"/>
    <w:rsid w:val="00D63784"/>
    <w:rsid w:val="00D6382A"/>
    <w:rsid w:val="00D638B7"/>
    <w:rsid w:val="00D638E3"/>
    <w:rsid w:val="00D6390F"/>
    <w:rsid w:val="00D63925"/>
    <w:rsid w:val="00D63996"/>
    <w:rsid w:val="00D639CB"/>
    <w:rsid w:val="00D63A57"/>
    <w:rsid w:val="00D63C91"/>
    <w:rsid w:val="00D63D21"/>
    <w:rsid w:val="00D63D24"/>
    <w:rsid w:val="00D63D74"/>
    <w:rsid w:val="00D63DB0"/>
    <w:rsid w:val="00D63E0A"/>
    <w:rsid w:val="00D63E5D"/>
    <w:rsid w:val="00D63EC1"/>
    <w:rsid w:val="00D63F78"/>
    <w:rsid w:val="00D63FD3"/>
    <w:rsid w:val="00D64309"/>
    <w:rsid w:val="00D6432C"/>
    <w:rsid w:val="00D6448E"/>
    <w:rsid w:val="00D6453F"/>
    <w:rsid w:val="00D6465B"/>
    <w:rsid w:val="00D6465E"/>
    <w:rsid w:val="00D64690"/>
    <w:rsid w:val="00D646EF"/>
    <w:rsid w:val="00D6479A"/>
    <w:rsid w:val="00D647D2"/>
    <w:rsid w:val="00D6482C"/>
    <w:rsid w:val="00D648A2"/>
    <w:rsid w:val="00D64909"/>
    <w:rsid w:val="00D64BDF"/>
    <w:rsid w:val="00D64C0D"/>
    <w:rsid w:val="00D64D55"/>
    <w:rsid w:val="00D64D66"/>
    <w:rsid w:val="00D64DA4"/>
    <w:rsid w:val="00D65378"/>
    <w:rsid w:val="00D65390"/>
    <w:rsid w:val="00D65465"/>
    <w:rsid w:val="00D6575F"/>
    <w:rsid w:val="00D65893"/>
    <w:rsid w:val="00D659BF"/>
    <w:rsid w:val="00D65A2B"/>
    <w:rsid w:val="00D65B16"/>
    <w:rsid w:val="00D65C3F"/>
    <w:rsid w:val="00D65DE8"/>
    <w:rsid w:val="00D65F14"/>
    <w:rsid w:val="00D65FF8"/>
    <w:rsid w:val="00D66072"/>
    <w:rsid w:val="00D66376"/>
    <w:rsid w:val="00D663CF"/>
    <w:rsid w:val="00D663E6"/>
    <w:rsid w:val="00D6646B"/>
    <w:rsid w:val="00D664B8"/>
    <w:rsid w:val="00D66514"/>
    <w:rsid w:val="00D6664E"/>
    <w:rsid w:val="00D6666C"/>
    <w:rsid w:val="00D666A2"/>
    <w:rsid w:val="00D66758"/>
    <w:rsid w:val="00D66899"/>
    <w:rsid w:val="00D6690A"/>
    <w:rsid w:val="00D66937"/>
    <w:rsid w:val="00D669B0"/>
    <w:rsid w:val="00D66A3E"/>
    <w:rsid w:val="00D66A8A"/>
    <w:rsid w:val="00D66B02"/>
    <w:rsid w:val="00D66B6D"/>
    <w:rsid w:val="00D66B6E"/>
    <w:rsid w:val="00D66B7F"/>
    <w:rsid w:val="00D66C1B"/>
    <w:rsid w:val="00D66C71"/>
    <w:rsid w:val="00D66CA5"/>
    <w:rsid w:val="00D66D3C"/>
    <w:rsid w:val="00D66D71"/>
    <w:rsid w:val="00D66DAF"/>
    <w:rsid w:val="00D66E22"/>
    <w:rsid w:val="00D66E5F"/>
    <w:rsid w:val="00D66FAC"/>
    <w:rsid w:val="00D67038"/>
    <w:rsid w:val="00D670B2"/>
    <w:rsid w:val="00D67143"/>
    <w:rsid w:val="00D671B9"/>
    <w:rsid w:val="00D6747C"/>
    <w:rsid w:val="00D6760A"/>
    <w:rsid w:val="00D67624"/>
    <w:rsid w:val="00D6774B"/>
    <w:rsid w:val="00D6779D"/>
    <w:rsid w:val="00D67A39"/>
    <w:rsid w:val="00D67DE5"/>
    <w:rsid w:val="00D67EA2"/>
    <w:rsid w:val="00D67F67"/>
    <w:rsid w:val="00D67F99"/>
    <w:rsid w:val="00D67FB2"/>
    <w:rsid w:val="00D70130"/>
    <w:rsid w:val="00D701F7"/>
    <w:rsid w:val="00D7028A"/>
    <w:rsid w:val="00D70415"/>
    <w:rsid w:val="00D70422"/>
    <w:rsid w:val="00D7049C"/>
    <w:rsid w:val="00D704C6"/>
    <w:rsid w:val="00D7057B"/>
    <w:rsid w:val="00D70600"/>
    <w:rsid w:val="00D7060C"/>
    <w:rsid w:val="00D70697"/>
    <w:rsid w:val="00D707AD"/>
    <w:rsid w:val="00D707E2"/>
    <w:rsid w:val="00D70859"/>
    <w:rsid w:val="00D709F9"/>
    <w:rsid w:val="00D70C42"/>
    <w:rsid w:val="00D70E2B"/>
    <w:rsid w:val="00D70EDC"/>
    <w:rsid w:val="00D70EF5"/>
    <w:rsid w:val="00D710A6"/>
    <w:rsid w:val="00D711EF"/>
    <w:rsid w:val="00D712F8"/>
    <w:rsid w:val="00D71375"/>
    <w:rsid w:val="00D71553"/>
    <w:rsid w:val="00D71567"/>
    <w:rsid w:val="00D715F7"/>
    <w:rsid w:val="00D7170C"/>
    <w:rsid w:val="00D71827"/>
    <w:rsid w:val="00D71A8E"/>
    <w:rsid w:val="00D71B53"/>
    <w:rsid w:val="00D71B5F"/>
    <w:rsid w:val="00D71BC3"/>
    <w:rsid w:val="00D71BE9"/>
    <w:rsid w:val="00D71BEE"/>
    <w:rsid w:val="00D71C0D"/>
    <w:rsid w:val="00D71E0B"/>
    <w:rsid w:val="00D71E6F"/>
    <w:rsid w:val="00D71EC9"/>
    <w:rsid w:val="00D71EE5"/>
    <w:rsid w:val="00D721EF"/>
    <w:rsid w:val="00D72406"/>
    <w:rsid w:val="00D72513"/>
    <w:rsid w:val="00D7257B"/>
    <w:rsid w:val="00D725A4"/>
    <w:rsid w:val="00D725E2"/>
    <w:rsid w:val="00D7263E"/>
    <w:rsid w:val="00D728AD"/>
    <w:rsid w:val="00D729C2"/>
    <w:rsid w:val="00D72A1D"/>
    <w:rsid w:val="00D72B99"/>
    <w:rsid w:val="00D72E1A"/>
    <w:rsid w:val="00D7303B"/>
    <w:rsid w:val="00D730D9"/>
    <w:rsid w:val="00D73154"/>
    <w:rsid w:val="00D73179"/>
    <w:rsid w:val="00D73255"/>
    <w:rsid w:val="00D732BC"/>
    <w:rsid w:val="00D733B2"/>
    <w:rsid w:val="00D73487"/>
    <w:rsid w:val="00D73638"/>
    <w:rsid w:val="00D73657"/>
    <w:rsid w:val="00D73714"/>
    <w:rsid w:val="00D73795"/>
    <w:rsid w:val="00D73815"/>
    <w:rsid w:val="00D73984"/>
    <w:rsid w:val="00D73A95"/>
    <w:rsid w:val="00D73AF1"/>
    <w:rsid w:val="00D73B68"/>
    <w:rsid w:val="00D73DB3"/>
    <w:rsid w:val="00D73E07"/>
    <w:rsid w:val="00D7410A"/>
    <w:rsid w:val="00D74178"/>
    <w:rsid w:val="00D7419E"/>
    <w:rsid w:val="00D74281"/>
    <w:rsid w:val="00D74470"/>
    <w:rsid w:val="00D74578"/>
    <w:rsid w:val="00D747BC"/>
    <w:rsid w:val="00D7485E"/>
    <w:rsid w:val="00D74891"/>
    <w:rsid w:val="00D74E91"/>
    <w:rsid w:val="00D74F27"/>
    <w:rsid w:val="00D7538F"/>
    <w:rsid w:val="00D7566C"/>
    <w:rsid w:val="00D757F4"/>
    <w:rsid w:val="00D75820"/>
    <w:rsid w:val="00D75958"/>
    <w:rsid w:val="00D75979"/>
    <w:rsid w:val="00D75BAD"/>
    <w:rsid w:val="00D75E32"/>
    <w:rsid w:val="00D7607E"/>
    <w:rsid w:val="00D760AD"/>
    <w:rsid w:val="00D76358"/>
    <w:rsid w:val="00D76375"/>
    <w:rsid w:val="00D763CF"/>
    <w:rsid w:val="00D76508"/>
    <w:rsid w:val="00D7661E"/>
    <w:rsid w:val="00D766C7"/>
    <w:rsid w:val="00D766F8"/>
    <w:rsid w:val="00D76886"/>
    <w:rsid w:val="00D76ED7"/>
    <w:rsid w:val="00D7707E"/>
    <w:rsid w:val="00D77119"/>
    <w:rsid w:val="00D773C1"/>
    <w:rsid w:val="00D773C2"/>
    <w:rsid w:val="00D775B0"/>
    <w:rsid w:val="00D77650"/>
    <w:rsid w:val="00D77662"/>
    <w:rsid w:val="00D776D3"/>
    <w:rsid w:val="00D77857"/>
    <w:rsid w:val="00D7788A"/>
    <w:rsid w:val="00D77A81"/>
    <w:rsid w:val="00D77BA2"/>
    <w:rsid w:val="00D77CC2"/>
    <w:rsid w:val="00D77D10"/>
    <w:rsid w:val="00D77D15"/>
    <w:rsid w:val="00D80023"/>
    <w:rsid w:val="00D800BB"/>
    <w:rsid w:val="00D80147"/>
    <w:rsid w:val="00D8036D"/>
    <w:rsid w:val="00D80505"/>
    <w:rsid w:val="00D80558"/>
    <w:rsid w:val="00D80675"/>
    <w:rsid w:val="00D80B3B"/>
    <w:rsid w:val="00D80B9C"/>
    <w:rsid w:val="00D80D73"/>
    <w:rsid w:val="00D80DA9"/>
    <w:rsid w:val="00D80DF4"/>
    <w:rsid w:val="00D80E17"/>
    <w:rsid w:val="00D80FA1"/>
    <w:rsid w:val="00D8101B"/>
    <w:rsid w:val="00D810E8"/>
    <w:rsid w:val="00D8116F"/>
    <w:rsid w:val="00D8123E"/>
    <w:rsid w:val="00D814CA"/>
    <w:rsid w:val="00D818EC"/>
    <w:rsid w:val="00D819B3"/>
    <w:rsid w:val="00D819C9"/>
    <w:rsid w:val="00D81B53"/>
    <w:rsid w:val="00D81C77"/>
    <w:rsid w:val="00D81CE7"/>
    <w:rsid w:val="00D81D26"/>
    <w:rsid w:val="00D81DA6"/>
    <w:rsid w:val="00D81E5E"/>
    <w:rsid w:val="00D81F0F"/>
    <w:rsid w:val="00D82168"/>
    <w:rsid w:val="00D82195"/>
    <w:rsid w:val="00D82342"/>
    <w:rsid w:val="00D823A9"/>
    <w:rsid w:val="00D823E8"/>
    <w:rsid w:val="00D82587"/>
    <w:rsid w:val="00D8259D"/>
    <w:rsid w:val="00D8262F"/>
    <w:rsid w:val="00D82973"/>
    <w:rsid w:val="00D82BC4"/>
    <w:rsid w:val="00D82C73"/>
    <w:rsid w:val="00D82CD2"/>
    <w:rsid w:val="00D82F69"/>
    <w:rsid w:val="00D82F9D"/>
    <w:rsid w:val="00D83006"/>
    <w:rsid w:val="00D8315C"/>
    <w:rsid w:val="00D8329B"/>
    <w:rsid w:val="00D832FE"/>
    <w:rsid w:val="00D833F5"/>
    <w:rsid w:val="00D8344E"/>
    <w:rsid w:val="00D834AB"/>
    <w:rsid w:val="00D8362F"/>
    <w:rsid w:val="00D8367E"/>
    <w:rsid w:val="00D83886"/>
    <w:rsid w:val="00D83985"/>
    <w:rsid w:val="00D839E7"/>
    <w:rsid w:val="00D83BA7"/>
    <w:rsid w:val="00D83C66"/>
    <w:rsid w:val="00D83C6F"/>
    <w:rsid w:val="00D83CD3"/>
    <w:rsid w:val="00D83DC5"/>
    <w:rsid w:val="00D8412A"/>
    <w:rsid w:val="00D84182"/>
    <w:rsid w:val="00D841B8"/>
    <w:rsid w:val="00D8427E"/>
    <w:rsid w:val="00D84340"/>
    <w:rsid w:val="00D8436B"/>
    <w:rsid w:val="00D8449A"/>
    <w:rsid w:val="00D8452F"/>
    <w:rsid w:val="00D84530"/>
    <w:rsid w:val="00D84547"/>
    <w:rsid w:val="00D845F4"/>
    <w:rsid w:val="00D849B0"/>
    <w:rsid w:val="00D849EF"/>
    <w:rsid w:val="00D84A5C"/>
    <w:rsid w:val="00D84B41"/>
    <w:rsid w:val="00D84D03"/>
    <w:rsid w:val="00D851BC"/>
    <w:rsid w:val="00D85200"/>
    <w:rsid w:val="00D8532B"/>
    <w:rsid w:val="00D8551E"/>
    <w:rsid w:val="00D8583F"/>
    <w:rsid w:val="00D8594F"/>
    <w:rsid w:val="00D85A88"/>
    <w:rsid w:val="00D85AE0"/>
    <w:rsid w:val="00D85CB5"/>
    <w:rsid w:val="00D85D8A"/>
    <w:rsid w:val="00D85F45"/>
    <w:rsid w:val="00D8617C"/>
    <w:rsid w:val="00D861D6"/>
    <w:rsid w:val="00D8627F"/>
    <w:rsid w:val="00D8628C"/>
    <w:rsid w:val="00D8635A"/>
    <w:rsid w:val="00D8636C"/>
    <w:rsid w:val="00D8636D"/>
    <w:rsid w:val="00D86461"/>
    <w:rsid w:val="00D8659A"/>
    <w:rsid w:val="00D865BD"/>
    <w:rsid w:val="00D866A8"/>
    <w:rsid w:val="00D866EC"/>
    <w:rsid w:val="00D86811"/>
    <w:rsid w:val="00D86846"/>
    <w:rsid w:val="00D86A35"/>
    <w:rsid w:val="00D86A3F"/>
    <w:rsid w:val="00D86BA2"/>
    <w:rsid w:val="00D86C12"/>
    <w:rsid w:val="00D86C1F"/>
    <w:rsid w:val="00D86E5B"/>
    <w:rsid w:val="00D86EBF"/>
    <w:rsid w:val="00D86EFE"/>
    <w:rsid w:val="00D86F19"/>
    <w:rsid w:val="00D86F52"/>
    <w:rsid w:val="00D86FE2"/>
    <w:rsid w:val="00D87196"/>
    <w:rsid w:val="00D8729C"/>
    <w:rsid w:val="00D872E7"/>
    <w:rsid w:val="00D87324"/>
    <w:rsid w:val="00D87462"/>
    <w:rsid w:val="00D874A0"/>
    <w:rsid w:val="00D874BD"/>
    <w:rsid w:val="00D875A1"/>
    <w:rsid w:val="00D875EC"/>
    <w:rsid w:val="00D87623"/>
    <w:rsid w:val="00D8781E"/>
    <w:rsid w:val="00D87A50"/>
    <w:rsid w:val="00D87A5C"/>
    <w:rsid w:val="00D87B55"/>
    <w:rsid w:val="00D87C0F"/>
    <w:rsid w:val="00D87C56"/>
    <w:rsid w:val="00D87E14"/>
    <w:rsid w:val="00D87E52"/>
    <w:rsid w:val="00D87EBF"/>
    <w:rsid w:val="00D87F86"/>
    <w:rsid w:val="00D87FB2"/>
    <w:rsid w:val="00D90083"/>
    <w:rsid w:val="00D900F6"/>
    <w:rsid w:val="00D90141"/>
    <w:rsid w:val="00D90171"/>
    <w:rsid w:val="00D901C2"/>
    <w:rsid w:val="00D903FA"/>
    <w:rsid w:val="00D90526"/>
    <w:rsid w:val="00D905BC"/>
    <w:rsid w:val="00D905DC"/>
    <w:rsid w:val="00D90958"/>
    <w:rsid w:val="00D90B5C"/>
    <w:rsid w:val="00D90BA3"/>
    <w:rsid w:val="00D90CC4"/>
    <w:rsid w:val="00D90DEF"/>
    <w:rsid w:val="00D90E2C"/>
    <w:rsid w:val="00D90F88"/>
    <w:rsid w:val="00D91035"/>
    <w:rsid w:val="00D91091"/>
    <w:rsid w:val="00D91152"/>
    <w:rsid w:val="00D91207"/>
    <w:rsid w:val="00D9127D"/>
    <w:rsid w:val="00D912D8"/>
    <w:rsid w:val="00D913BD"/>
    <w:rsid w:val="00D913F7"/>
    <w:rsid w:val="00D91402"/>
    <w:rsid w:val="00D914AB"/>
    <w:rsid w:val="00D914EE"/>
    <w:rsid w:val="00D9155B"/>
    <w:rsid w:val="00D915D9"/>
    <w:rsid w:val="00D915DA"/>
    <w:rsid w:val="00D916BE"/>
    <w:rsid w:val="00D91A18"/>
    <w:rsid w:val="00D91AE7"/>
    <w:rsid w:val="00D91B14"/>
    <w:rsid w:val="00D91D47"/>
    <w:rsid w:val="00D91D5E"/>
    <w:rsid w:val="00D91D9B"/>
    <w:rsid w:val="00D91DE2"/>
    <w:rsid w:val="00D91E0D"/>
    <w:rsid w:val="00D91E41"/>
    <w:rsid w:val="00D91EF6"/>
    <w:rsid w:val="00D92000"/>
    <w:rsid w:val="00D92024"/>
    <w:rsid w:val="00D9205F"/>
    <w:rsid w:val="00D9209D"/>
    <w:rsid w:val="00D921A5"/>
    <w:rsid w:val="00D921EB"/>
    <w:rsid w:val="00D9223A"/>
    <w:rsid w:val="00D9232B"/>
    <w:rsid w:val="00D92353"/>
    <w:rsid w:val="00D9250D"/>
    <w:rsid w:val="00D926A2"/>
    <w:rsid w:val="00D92850"/>
    <w:rsid w:val="00D9286B"/>
    <w:rsid w:val="00D92A14"/>
    <w:rsid w:val="00D92A98"/>
    <w:rsid w:val="00D92AD1"/>
    <w:rsid w:val="00D92B13"/>
    <w:rsid w:val="00D92D02"/>
    <w:rsid w:val="00D92D32"/>
    <w:rsid w:val="00D92E2D"/>
    <w:rsid w:val="00D92F92"/>
    <w:rsid w:val="00D92FD9"/>
    <w:rsid w:val="00D930CA"/>
    <w:rsid w:val="00D93250"/>
    <w:rsid w:val="00D9329D"/>
    <w:rsid w:val="00D93388"/>
    <w:rsid w:val="00D9345F"/>
    <w:rsid w:val="00D935ED"/>
    <w:rsid w:val="00D93676"/>
    <w:rsid w:val="00D93868"/>
    <w:rsid w:val="00D939FC"/>
    <w:rsid w:val="00D93D67"/>
    <w:rsid w:val="00D93DA9"/>
    <w:rsid w:val="00D93F1B"/>
    <w:rsid w:val="00D93F7D"/>
    <w:rsid w:val="00D944B2"/>
    <w:rsid w:val="00D94565"/>
    <w:rsid w:val="00D945DA"/>
    <w:rsid w:val="00D947C2"/>
    <w:rsid w:val="00D947F8"/>
    <w:rsid w:val="00D9484A"/>
    <w:rsid w:val="00D948B9"/>
    <w:rsid w:val="00D94AD0"/>
    <w:rsid w:val="00D94D31"/>
    <w:rsid w:val="00D94D4D"/>
    <w:rsid w:val="00D94D79"/>
    <w:rsid w:val="00D94DD6"/>
    <w:rsid w:val="00D94F6E"/>
    <w:rsid w:val="00D9522B"/>
    <w:rsid w:val="00D952E6"/>
    <w:rsid w:val="00D952EC"/>
    <w:rsid w:val="00D952FD"/>
    <w:rsid w:val="00D9559E"/>
    <w:rsid w:val="00D955F1"/>
    <w:rsid w:val="00D95676"/>
    <w:rsid w:val="00D95793"/>
    <w:rsid w:val="00D957CA"/>
    <w:rsid w:val="00D957D4"/>
    <w:rsid w:val="00D95A70"/>
    <w:rsid w:val="00D95E0A"/>
    <w:rsid w:val="00D95E29"/>
    <w:rsid w:val="00D95E4A"/>
    <w:rsid w:val="00D9603A"/>
    <w:rsid w:val="00D961A8"/>
    <w:rsid w:val="00D96200"/>
    <w:rsid w:val="00D963A1"/>
    <w:rsid w:val="00D964BF"/>
    <w:rsid w:val="00D965AF"/>
    <w:rsid w:val="00D9667A"/>
    <w:rsid w:val="00D966A2"/>
    <w:rsid w:val="00D967E0"/>
    <w:rsid w:val="00D96833"/>
    <w:rsid w:val="00D96841"/>
    <w:rsid w:val="00D9688C"/>
    <w:rsid w:val="00D96954"/>
    <w:rsid w:val="00D96960"/>
    <w:rsid w:val="00D969AD"/>
    <w:rsid w:val="00D96BA2"/>
    <w:rsid w:val="00D96C4E"/>
    <w:rsid w:val="00D96CA7"/>
    <w:rsid w:val="00D96EE2"/>
    <w:rsid w:val="00D96F41"/>
    <w:rsid w:val="00D97098"/>
    <w:rsid w:val="00D970B9"/>
    <w:rsid w:val="00D970BB"/>
    <w:rsid w:val="00D97149"/>
    <w:rsid w:val="00D972F4"/>
    <w:rsid w:val="00D9744C"/>
    <w:rsid w:val="00D9755C"/>
    <w:rsid w:val="00D97651"/>
    <w:rsid w:val="00D9773F"/>
    <w:rsid w:val="00D9775E"/>
    <w:rsid w:val="00D97A32"/>
    <w:rsid w:val="00D97A77"/>
    <w:rsid w:val="00D97A89"/>
    <w:rsid w:val="00D97B38"/>
    <w:rsid w:val="00D97B6F"/>
    <w:rsid w:val="00D97C60"/>
    <w:rsid w:val="00D97C63"/>
    <w:rsid w:val="00D97D91"/>
    <w:rsid w:val="00D97E01"/>
    <w:rsid w:val="00D97F26"/>
    <w:rsid w:val="00DA01C5"/>
    <w:rsid w:val="00DA01F1"/>
    <w:rsid w:val="00DA03C9"/>
    <w:rsid w:val="00DA09C4"/>
    <w:rsid w:val="00DA09E4"/>
    <w:rsid w:val="00DA0BD2"/>
    <w:rsid w:val="00DA0CA5"/>
    <w:rsid w:val="00DA0D06"/>
    <w:rsid w:val="00DA0D5D"/>
    <w:rsid w:val="00DA0F90"/>
    <w:rsid w:val="00DA10C2"/>
    <w:rsid w:val="00DA1147"/>
    <w:rsid w:val="00DA1222"/>
    <w:rsid w:val="00DA1231"/>
    <w:rsid w:val="00DA1392"/>
    <w:rsid w:val="00DA1478"/>
    <w:rsid w:val="00DA14F2"/>
    <w:rsid w:val="00DA1890"/>
    <w:rsid w:val="00DA1960"/>
    <w:rsid w:val="00DA19D7"/>
    <w:rsid w:val="00DA1A88"/>
    <w:rsid w:val="00DA1B43"/>
    <w:rsid w:val="00DA1CD2"/>
    <w:rsid w:val="00DA1D20"/>
    <w:rsid w:val="00DA1D7A"/>
    <w:rsid w:val="00DA1E4D"/>
    <w:rsid w:val="00DA1F1B"/>
    <w:rsid w:val="00DA1F61"/>
    <w:rsid w:val="00DA2207"/>
    <w:rsid w:val="00DA2232"/>
    <w:rsid w:val="00DA2298"/>
    <w:rsid w:val="00DA23B3"/>
    <w:rsid w:val="00DA23B6"/>
    <w:rsid w:val="00DA23DD"/>
    <w:rsid w:val="00DA24A9"/>
    <w:rsid w:val="00DA26B3"/>
    <w:rsid w:val="00DA270E"/>
    <w:rsid w:val="00DA284D"/>
    <w:rsid w:val="00DA2864"/>
    <w:rsid w:val="00DA2913"/>
    <w:rsid w:val="00DA2ACE"/>
    <w:rsid w:val="00DA2C43"/>
    <w:rsid w:val="00DA2CF5"/>
    <w:rsid w:val="00DA2D56"/>
    <w:rsid w:val="00DA2FC2"/>
    <w:rsid w:val="00DA2FD7"/>
    <w:rsid w:val="00DA3291"/>
    <w:rsid w:val="00DA32B5"/>
    <w:rsid w:val="00DA32BD"/>
    <w:rsid w:val="00DA351D"/>
    <w:rsid w:val="00DA35D5"/>
    <w:rsid w:val="00DA381E"/>
    <w:rsid w:val="00DA381F"/>
    <w:rsid w:val="00DA38AC"/>
    <w:rsid w:val="00DA38F8"/>
    <w:rsid w:val="00DA39DF"/>
    <w:rsid w:val="00DA3A03"/>
    <w:rsid w:val="00DA3AFF"/>
    <w:rsid w:val="00DA3B12"/>
    <w:rsid w:val="00DA3B98"/>
    <w:rsid w:val="00DA3BF6"/>
    <w:rsid w:val="00DA3C29"/>
    <w:rsid w:val="00DA3D33"/>
    <w:rsid w:val="00DA3D9E"/>
    <w:rsid w:val="00DA3DA5"/>
    <w:rsid w:val="00DA3FBA"/>
    <w:rsid w:val="00DA3FEC"/>
    <w:rsid w:val="00DA4144"/>
    <w:rsid w:val="00DA42ED"/>
    <w:rsid w:val="00DA45CF"/>
    <w:rsid w:val="00DA4869"/>
    <w:rsid w:val="00DA48D0"/>
    <w:rsid w:val="00DA4B48"/>
    <w:rsid w:val="00DA4BF4"/>
    <w:rsid w:val="00DA4DDE"/>
    <w:rsid w:val="00DA4E05"/>
    <w:rsid w:val="00DA4FB9"/>
    <w:rsid w:val="00DA5185"/>
    <w:rsid w:val="00DA523A"/>
    <w:rsid w:val="00DA5268"/>
    <w:rsid w:val="00DA529B"/>
    <w:rsid w:val="00DA52A5"/>
    <w:rsid w:val="00DA534B"/>
    <w:rsid w:val="00DA5441"/>
    <w:rsid w:val="00DA54E6"/>
    <w:rsid w:val="00DA55E5"/>
    <w:rsid w:val="00DA5766"/>
    <w:rsid w:val="00DA584F"/>
    <w:rsid w:val="00DA5B2B"/>
    <w:rsid w:val="00DA5C0B"/>
    <w:rsid w:val="00DA5C85"/>
    <w:rsid w:val="00DA5D84"/>
    <w:rsid w:val="00DA5EC8"/>
    <w:rsid w:val="00DA5F7A"/>
    <w:rsid w:val="00DA5FC2"/>
    <w:rsid w:val="00DA6090"/>
    <w:rsid w:val="00DA611E"/>
    <w:rsid w:val="00DA61D1"/>
    <w:rsid w:val="00DA62C6"/>
    <w:rsid w:val="00DA62FA"/>
    <w:rsid w:val="00DA636C"/>
    <w:rsid w:val="00DA641E"/>
    <w:rsid w:val="00DA64E8"/>
    <w:rsid w:val="00DA6792"/>
    <w:rsid w:val="00DA67A2"/>
    <w:rsid w:val="00DA6928"/>
    <w:rsid w:val="00DA6947"/>
    <w:rsid w:val="00DA6ADB"/>
    <w:rsid w:val="00DA6BAD"/>
    <w:rsid w:val="00DA6C09"/>
    <w:rsid w:val="00DA6C22"/>
    <w:rsid w:val="00DA6C75"/>
    <w:rsid w:val="00DA6D60"/>
    <w:rsid w:val="00DA6E46"/>
    <w:rsid w:val="00DA6F1A"/>
    <w:rsid w:val="00DA6FBA"/>
    <w:rsid w:val="00DA700B"/>
    <w:rsid w:val="00DA71D5"/>
    <w:rsid w:val="00DA71F5"/>
    <w:rsid w:val="00DA7420"/>
    <w:rsid w:val="00DA744B"/>
    <w:rsid w:val="00DA7474"/>
    <w:rsid w:val="00DA7476"/>
    <w:rsid w:val="00DA7481"/>
    <w:rsid w:val="00DA7620"/>
    <w:rsid w:val="00DA7777"/>
    <w:rsid w:val="00DA78D4"/>
    <w:rsid w:val="00DA796C"/>
    <w:rsid w:val="00DA7980"/>
    <w:rsid w:val="00DA7A69"/>
    <w:rsid w:val="00DA7C14"/>
    <w:rsid w:val="00DA7D50"/>
    <w:rsid w:val="00DA7DC6"/>
    <w:rsid w:val="00DA7E7C"/>
    <w:rsid w:val="00DA7EE5"/>
    <w:rsid w:val="00DA7F46"/>
    <w:rsid w:val="00DA7F81"/>
    <w:rsid w:val="00DA7FB6"/>
    <w:rsid w:val="00DA7FC9"/>
    <w:rsid w:val="00DB011D"/>
    <w:rsid w:val="00DB018A"/>
    <w:rsid w:val="00DB04B3"/>
    <w:rsid w:val="00DB04D0"/>
    <w:rsid w:val="00DB0535"/>
    <w:rsid w:val="00DB05D3"/>
    <w:rsid w:val="00DB05F8"/>
    <w:rsid w:val="00DB079C"/>
    <w:rsid w:val="00DB0915"/>
    <w:rsid w:val="00DB0997"/>
    <w:rsid w:val="00DB0B04"/>
    <w:rsid w:val="00DB0B4C"/>
    <w:rsid w:val="00DB0BEE"/>
    <w:rsid w:val="00DB0C9C"/>
    <w:rsid w:val="00DB0DFB"/>
    <w:rsid w:val="00DB0E06"/>
    <w:rsid w:val="00DB0E27"/>
    <w:rsid w:val="00DB0E61"/>
    <w:rsid w:val="00DB0E63"/>
    <w:rsid w:val="00DB0F89"/>
    <w:rsid w:val="00DB0FC6"/>
    <w:rsid w:val="00DB0FEB"/>
    <w:rsid w:val="00DB101C"/>
    <w:rsid w:val="00DB1194"/>
    <w:rsid w:val="00DB11ED"/>
    <w:rsid w:val="00DB12B2"/>
    <w:rsid w:val="00DB12CC"/>
    <w:rsid w:val="00DB13A4"/>
    <w:rsid w:val="00DB13CD"/>
    <w:rsid w:val="00DB13D8"/>
    <w:rsid w:val="00DB1475"/>
    <w:rsid w:val="00DB1598"/>
    <w:rsid w:val="00DB15D7"/>
    <w:rsid w:val="00DB1828"/>
    <w:rsid w:val="00DB190B"/>
    <w:rsid w:val="00DB1999"/>
    <w:rsid w:val="00DB19F9"/>
    <w:rsid w:val="00DB1AC6"/>
    <w:rsid w:val="00DB1C56"/>
    <w:rsid w:val="00DB1E40"/>
    <w:rsid w:val="00DB1FBF"/>
    <w:rsid w:val="00DB2024"/>
    <w:rsid w:val="00DB2172"/>
    <w:rsid w:val="00DB2282"/>
    <w:rsid w:val="00DB25A5"/>
    <w:rsid w:val="00DB2612"/>
    <w:rsid w:val="00DB262F"/>
    <w:rsid w:val="00DB268C"/>
    <w:rsid w:val="00DB27A6"/>
    <w:rsid w:val="00DB280C"/>
    <w:rsid w:val="00DB2849"/>
    <w:rsid w:val="00DB29E0"/>
    <w:rsid w:val="00DB2A7E"/>
    <w:rsid w:val="00DB2AC6"/>
    <w:rsid w:val="00DB2D17"/>
    <w:rsid w:val="00DB2D6F"/>
    <w:rsid w:val="00DB2F89"/>
    <w:rsid w:val="00DB304E"/>
    <w:rsid w:val="00DB30D1"/>
    <w:rsid w:val="00DB315E"/>
    <w:rsid w:val="00DB3189"/>
    <w:rsid w:val="00DB323E"/>
    <w:rsid w:val="00DB326C"/>
    <w:rsid w:val="00DB34FF"/>
    <w:rsid w:val="00DB3521"/>
    <w:rsid w:val="00DB3590"/>
    <w:rsid w:val="00DB372B"/>
    <w:rsid w:val="00DB37CC"/>
    <w:rsid w:val="00DB3829"/>
    <w:rsid w:val="00DB38C2"/>
    <w:rsid w:val="00DB38CB"/>
    <w:rsid w:val="00DB394E"/>
    <w:rsid w:val="00DB39D7"/>
    <w:rsid w:val="00DB39DE"/>
    <w:rsid w:val="00DB3DDE"/>
    <w:rsid w:val="00DB3EA3"/>
    <w:rsid w:val="00DB3F2B"/>
    <w:rsid w:val="00DB3F42"/>
    <w:rsid w:val="00DB3FC5"/>
    <w:rsid w:val="00DB400A"/>
    <w:rsid w:val="00DB4054"/>
    <w:rsid w:val="00DB410C"/>
    <w:rsid w:val="00DB41D6"/>
    <w:rsid w:val="00DB41F0"/>
    <w:rsid w:val="00DB4345"/>
    <w:rsid w:val="00DB434A"/>
    <w:rsid w:val="00DB444B"/>
    <w:rsid w:val="00DB446A"/>
    <w:rsid w:val="00DB44DA"/>
    <w:rsid w:val="00DB4642"/>
    <w:rsid w:val="00DB484C"/>
    <w:rsid w:val="00DB4854"/>
    <w:rsid w:val="00DB49D5"/>
    <w:rsid w:val="00DB4B13"/>
    <w:rsid w:val="00DB4BBA"/>
    <w:rsid w:val="00DB4BD9"/>
    <w:rsid w:val="00DB4D0D"/>
    <w:rsid w:val="00DB4E4E"/>
    <w:rsid w:val="00DB4E64"/>
    <w:rsid w:val="00DB5102"/>
    <w:rsid w:val="00DB5281"/>
    <w:rsid w:val="00DB52FA"/>
    <w:rsid w:val="00DB5380"/>
    <w:rsid w:val="00DB53CB"/>
    <w:rsid w:val="00DB545E"/>
    <w:rsid w:val="00DB5554"/>
    <w:rsid w:val="00DB57C1"/>
    <w:rsid w:val="00DB586C"/>
    <w:rsid w:val="00DB59D0"/>
    <w:rsid w:val="00DB5ABD"/>
    <w:rsid w:val="00DB5AD6"/>
    <w:rsid w:val="00DB5B93"/>
    <w:rsid w:val="00DB5C98"/>
    <w:rsid w:val="00DB5D3D"/>
    <w:rsid w:val="00DB5E45"/>
    <w:rsid w:val="00DB5F5A"/>
    <w:rsid w:val="00DB5F8C"/>
    <w:rsid w:val="00DB5FB2"/>
    <w:rsid w:val="00DB5FDB"/>
    <w:rsid w:val="00DB6067"/>
    <w:rsid w:val="00DB61DD"/>
    <w:rsid w:val="00DB64BA"/>
    <w:rsid w:val="00DB64E6"/>
    <w:rsid w:val="00DB6566"/>
    <w:rsid w:val="00DB65B8"/>
    <w:rsid w:val="00DB664C"/>
    <w:rsid w:val="00DB6699"/>
    <w:rsid w:val="00DB66BE"/>
    <w:rsid w:val="00DB6702"/>
    <w:rsid w:val="00DB6752"/>
    <w:rsid w:val="00DB678A"/>
    <w:rsid w:val="00DB68AF"/>
    <w:rsid w:val="00DB6AFF"/>
    <w:rsid w:val="00DB6B53"/>
    <w:rsid w:val="00DB6B8C"/>
    <w:rsid w:val="00DB6B9C"/>
    <w:rsid w:val="00DB6BB8"/>
    <w:rsid w:val="00DB6D9D"/>
    <w:rsid w:val="00DB6DED"/>
    <w:rsid w:val="00DB6E97"/>
    <w:rsid w:val="00DB6EDA"/>
    <w:rsid w:val="00DB6F05"/>
    <w:rsid w:val="00DB70DB"/>
    <w:rsid w:val="00DB73A7"/>
    <w:rsid w:val="00DB7545"/>
    <w:rsid w:val="00DB7632"/>
    <w:rsid w:val="00DB7892"/>
    <w:rsid w:val="00DB79A4"/>
    <w:rsid w:val="00DB7CCA"/>
    <w:rsid w:val="00DB7D05"/>
    <w:rsid w:val="00DB7D76"/>
    <w:rsid w:val="00DC0230"/>
    <w:rsid w:val="00DC03E5"/>
    <w:rsid w:val="00DC044A"/>
    <w:rsid w:val="00DC0470"/>
    <w:rsid w:val="00DC0579"/>
    <w:rsid w:val="00DC0673"/>
    <w:rsid w:val="00DC0687"/>
    <w:rsid w:val="00DC069F"/>
    <w:rsid w:val="00DC07DA"/>
    <w:rsid w:val="00DC07F8"/>
    <w:rsid w:val="00DC0A47"/>
    <w:rsid w:val="00DC0C1C"/>
    <w:rsid w:val="00DC0C53"/>
    <w:rsid w:val="00DC0CF0"/>
    <w:rsid w:val="00DC0D08"/>
    <w:rsid w:val="00DC0D26"/>
    <w:rsid w:val="00DC0DBF"/>
    <w:rsid w:val="00DC0EAE"/>
    <w:rsid w:val="00DC0ECE"/>
    <w:rsid w:val="00DC0F7E"/>
    <w:rsid w:val="00DC103B"/>
    <w:rsid w:val="00DC1073"/>
    <w:rsid w:val="00DC11B6"/>
    <w:rsid w:val="00DC1253"/>
    <w:rsid w:val="00DC1300"/>
    <w:rsid w:val="00DC154F"/>
    <w:rsid w:val="00DC1591"/>
    <w:rsid w:val="00DC1609"/>
    <w:rsid w:val="00DC1781"/>
    <w:rsid w:val="00DC185D"/>
    <w:rsid w:val="00DC1860"/>
    <w:rsid w:val="00DC18F2"/>
    <w:rsid w:val="00DC19D1"/>
    <w:rsid w:val="00DC1A1B"/>
    <w:rsid w:val="00DC1A43"/>
    <w:rsid w:val="00DC1A65"/>
    <w:rsid w:val="00DC1B96"/>
    <w:rsid w:val="00DC1D26"/>
    <w:rsid w:val="00DC206C"/>
    <w:rsid w:val="00DC207D"/>
    <w:rsid w:val="00DC2128"/>
    <w:rsid w:val="00DC24A0"/>
    <w:rsid w:val="00DC2517"/>
    <w:rsid w:val="00DC2960"/>
    <w:rsid w:val="00DC2A55"/>
    <w:rsid w:val="00DC2AE1"/>
    <w:rsid w:val="00DC2AF8"/>
    <w:rsid w:val="00DC2C18"/>
    <w:rsid w:val="00DC2DE8"/>
    <w:rsid w:val="00DC2EB9"/>
    <w:rsid w:val="00DC2F87"/>
    <w:rsid w:val="00DC2FC2"/>
    <w:rsid w:val="00DC3062"/>
    <w:rsid w:val="00DC3135"/>
    <w:rsid w:val="00DC3144"/>
    <w:rsid w:val="00DC32FB"/>
    <w:rsid w:val="00DC331E"/>
    <w:rsid w:val="00DC3360"/>
    <w:rsid w:val="00DC33A9"/>
    <w:rsid w:val="00DC33F5"/>
    <w:rsid w:val="00DC3AD4"/>
    <w:rsid w:val="00DC3BD9"/>
    <w:rsid w:val="00DC3C1D"/>
    <w:rsid w:val="00DC3C5F"/>
    <w:rsid w:val="00DC3C6A"/>
    <w:rsid w:val="00DC3CE5"/>
    <w:rsid w:val="00DC3D1C"/>
    <w:rsid w:val="00DC3F6B"/>
    <w:rsid w:val="00DC4060"/>
    <w:rsid w:val="00DC4089"/>
    <w:rsid w:val="00DC40B1"/>
    <w:rsid w:val="00DC4110"/>
    <w:rsid w:val="00DC416E"/>
    <w:rsid w:val="00DC4259"/>
    <w:rsid w:val="00DC4370"/>
    <w:rsid w:val="00DC43BE"/>
    <w:rsid w:val="00DC44B2"/>
    <w:rsid w:val="00DC44CD"/>
    <w:rsid w:val="00DC4512"/>
    <w:rsid w:val="00DC45B4"/>
    <w:rsid w:val="00DC4603"/>
    <w:rsid w:val="00DC4655"/>
    <w:rsid w:val="00DC467B"/>
    <w:rsid w:val="00DC478D"/>
    <w:rsid w:val="00DC48EA"/>
    <w:rsid w:val="00DC4931"/>
    <w:rsid w:val="00DC49C9"/>
    <w:rsid w:val="00DC49DF"/>
    <w:rsid w:val="00DC4B7E"/>
    <w:rsid w:val="00DC4BA5"/>
    <w:rsid w:val="00DC4C39"/>
    <w:rsid w:val="00DC4CFC"/>
    <w:rsid w:val="00DC4D72"/>
    <w:rsid w:val="00DC4E79"/>
    <w:rsid w:val="00DC4EFE"/>
    <w:rsid w:val="00DC4F10"/>
    <w:rsid w:val="00DC4F64"/>
    <w:rsid w:val="00DC4FA5"/>
    <w:rsid w:val="00DC506A"/>
    <w:rsid w:val="00DC5089"/>
    <w:rsid w:val="00DC50BA"/>
    <w:rsid w:val="00DC50C9"/>
    <w:rsid w:val="00DC5159"/>
    <w:rsid w:val="00DC516B"/>
    <w:rsid w:val="00DC5346"/>
    <w:rsid w:val="00DC53ED"/>
    <w:rsid w:val="00DC5467"/>
    <w:rsid w:val="00DC5701"/>
    <w:rsid w:val="00DC5ACE"/>
    <w:rsid w:val="00DC5B04"/>
    <w:rsid w:val="00DC5B61"/>
    <w:rsid w:val="00DC5CB5"/>
    <w:rsid w:val="00DC5CE4"/>
    <w:rsid w:val="00DC5DAC"/>
    <w:rsid w:val="00DC5E81"/>
    <w:rsid w:val="00DC607D"/>
    <w:rsid w:val="00DC60E5"/>
    <w:rsid w:val="00DC61BC"/>
    <w:rsid w:val="00DC61E5"/>
    <w:rsid w:val="00DC62D8"/>
    <w:rsid w:val="00DC6357"/>
    <w:rsid w:val="00DC65AF"/>
    <w:rsid w:val="00DC65C3"/>
    <w:rsid w:val="00DC6695"/>
    <w:rsid w:val="00DC67B6"/>
    <w:rsid w:val="00DC68E7"/>
    <w:rsid w:val="00DC6931"/>
    <w:rsid w:val="00DC6A6B"/>
    <w:rsid w:val="00DC6B28"/>
    <w:rsid w:val="00DC6B95"/>
    <w:rsid w:val="00DC6C04"/>
    <w:rsid w:val="00DC6CDB"/>
    <w:rsid w:val="00DC6DAE"/>
    <w:rsid w:val="00DC6F0A"/>
    <w:rsid w:val="00DC6F69"/>
    <w:rsid w:val="00DC6FEF"/>
    <w:rsid w:val="00DC7040"/>
    <w:rsid w:val="00DC7110"/>
    <w:rsid w:val="00DC7162"/>
    <w:rsid w:val="00DC746E"/>
    <w:rsid w:val="00DC7652"/>
    <w:rsid w:val="00DC773A"/>
    <w:rsid w:val="00DC77D4"/>
    <w:rsid w:val="00DC77E2"/>
    <w:rsid w:val="00DC77F7"/>
    <w:rsid w:val="00DC796F"/>
    <w:rsid w:val="00DC7A80"/>
    <w:rsid w:val="00DC7D10"/>
    <w:rsid w:val="00DC7DD0"/>
    <w:rsid w:val="00DC7DF2"/>
    <w:rsid w:val="00DC7E39"/>
    <w:rsid w:val="00DC7E4B"/>
    <w:rsid w:val="00DC7F29"/>
    <w:rsid w:val="00DC7FFE"/>
    <w:rsid w:val="00DD0051"/>
    <w:rsid w:val="00DD0062"/>
    <w:rsid w:val="00DD00F1"/>
    <w:rsid w:val="00DD01A2"/>
    <w:rsid w:val="00DD01EC"/>
    <w:rsid w:val="00DD03CF"/>
    <w:rsid w:val="00DD0487"/>
    <w:rsid w:val="00DD04E8"/>
    <w:rsid w:val="00DD0504"/>
    <w:rsid w:val="00DD0546"/>
    <w:rsid w:val="00DD0559"/>
    <w:rsid w:val="00DD068C"/>
    <w:rsid w:val="00DD0995"/>
    <w:rsid w:val="00DD09D2"/>
    <w:rsid w:val="00DD0B36"/>
    <w:rsid w:val="00DD0C39"/>
    <w:rsid w:val="00DD0C59"/>
    <w:rsid w:val="00DD0CA5"/>
    <w:rsid w:val="00DD0D62"/>
    <w:rsid w:val="00DD0E75"/>
    <w:rsid w:val="00DD1073"/>
    <w:rsid w:val="00DD1098"/>
    <w:rsid w:val="00DD10B9"/>
    <w:rsid w:val="00DD116A"/>
    <w:rsid w:val="00DD12B5"/>
    <w:rsid w:val="00DD13E1"/>
    <w:rsid w:val="00DD13F9"/>
    <w:rsid w:val="00DD15DD"/>
    <w:rsid w:val="00DD19A0"/>
    <w:rsid w:val="00DD19C1"/>
    <w:rsid w:val="00DD1A4B"/>
    <w:rsid w:val="00DD1B2F"/>
    <w:rsid w:val="00DD1C13"/>
    <w:rsid w:val="00DD1E7A"/>
    <w:rsid w:val="00DD1FA2"/>
    <w:rsid w:val="00DD204C"/>
    <w:rsid w:val="00DD2059"/>
    <w:rsid w:val="00DD211A"/>
    <w:rsid w:val="00DD2288"/>
    <w:rsid w:val="00DD2340"/>
    <w:rsid w:val="00DD23EF"/>
    <w:rsid w:val="00DD24F1"/>
    <w:rsid w:val="00DD26B3"/>
    <w:rsid w:val="00DD27B9"/>
    <w:rsid w:val="00DD2A0E"/>
    <w:rsid w:val="00DD2A5C"/>
    <w:rsid w:val="00DD2B70"/>
    <w:rsid w:val="00DD2CB0"/>
    <w:rsid w:val="00DD2D02"/>
    <w:rsid w:val="00DD2D26"/>
    <w:rsid w:val="00DD2E16"/>
    <w:rsid w:val="00DD2F24"/>
    <w:rsid w:val="00DD2F90"/>
    <w:rsid w:val="00DD3075"/>
    <w:rsid w:val="00DD3233"/>
    <w:rsid w:val="00DD3393"/>
    <w:rsid w:val="00DD33B6"/>
    <w:rsid w:val="00DD3512"/>
    <w:rsid w:val="00DD3598"/>
    <w:rsid w:val="00DD359D"/>
    <w:rsid w:val="00DD36DA"/>
    <w:rsid w:val="00DD370F"/>
    <w:rsid w:val="00DD37CD"/>
    <w:rsid w:val="00DD3B07"/>
    <w:rsid w:val="00DD3B0F"/>
    <w:rsid w:val="00DD3B21"/>
    <w:rsid w:val="00DD3BF6"/>
    <w:rsid w:val="00DD3D47"/>
    <w:rsid w:val="00DD3D79"/>
    <w:rsid w:val="00DD3DA9"/>
    <w:rsid w:val="00DD3F09"/>
    <w:rsid w:val="00DD426A"/>
    <w:rsid w:val="00DD43A2"/>
    <w:rsid w:val="00DD444F"/>
    <w:rsid w:val="00DD44F9"/>
    <w:rsid w:val="00DD4661"/>
    <w:rsid w:val="00DD46C0"/>
    <w:rsid w:val="00DD47B9"/>
    <w:rsid w:val="00DD47FE"/>
    <w:rsid w:val="00DD484B"/>
    <w:rsid w:val="00DD4854"/>
    <w:rsid w:val="00DD492A"/>
    <w:rsid w:val="00DD4934"/>
    <w:rsid w:val="00DD4B27"/>
    <w:rsid w:val="00DD4BA9"/>
    <w:rsid w:val="00DD4BD5"/>
    <w:rsid w:val="00DD4C0C"/>
    <w:rsid w:val="00DD4EC1"/>
    <w:rsid w:val="00DD5157"/>
    <w:rsid w:val="00DD52EC"/>
    <w:rsid w:val="00DD53FC"/>
    <w:rsid w:val="00DD5478"/>
    <w:rsid w:val="00DD54BC"/>
    <w:rsid w:val="00DD54C3"/>
    <w:rsid w:val="00DD55D8"/>
    <w:rsid w:val="00DD585D"/>
    <w:rsid w:val="00DD5902"/>
    <w:rsid w:val="00DD5B2C"/>
    <w:rsid w:val="00DD5B54"/>
    <w:rsid w:val="00DD5C9D"/>
    <w:rsid w:val="00DD5EB0"/>
    <w:rsid w:val="00DD5F2D"/>
    <w:rsid w:val="00DD60D7"/>
    <w:rsid w:val="00DD643C"/>
    <w:rsid w:val="00DD64AC"/>
    <w:rsid w:val="00DD6646"/>
    <w:rsid w:val="00DD6779"/>
    <w:rsid w:val="00DD67E6"/>
    <w:rsid w:val="00DD681D"/>
    <w:rsid w:val="00DD6831"/>
    <w:rsid w:val="00DD6842"/>
    <w:rsid w:val="00DD6883"/>
    <w:rsid w:val="00DD6918"/>
    <w:rsid w:val="00DD6A94"/>
    <w:rsid w:val="00DD6AF2"/>
    <w:rsid w:val="00DD6F6D"/>
    <w:rsid w:val="00DD6FB8"/>
    <w:rsid w:val="00DD703C"/>
    <w:rsid w:val="00DD71A8"/>
    <w:rsid w:val="00DD71E1"/>
    <w:rsid w:val="00DD725D"/>
    <w:rsid w:val="00DD7293"/>
    <w:rsid w:val="00DD7360"/>
    <w:rsid w:val="00DD73E1"/>
    <w:rsid w:val="00DD73F4"/>
    <w:rsid w:val="00DD73F5"/>
    <w:rsid w:val="00DD764F"/>
    <w:rsid w:val="00DD787D"/>
    <w:rsid w:val="00DD792C"/>
    <w:rsid w:val="00DD792F"/>
    <w:rsid w:val="00DD799D"/>
    <w:rsid w:val="00DD7AE0"/>
    <w:rsid w:val="00DD7B11"/>
    <w:rsid w:val="00DD7B55"/>
    <w:rsid w:val="00DD7DEB"/>
    <w:rsid w:val="00DD7E4C"/>
    <w:rsid w:val="00DE02A5"/>
    <w:rsid w:val="00DE0352"/>
    <w:rsid w:val="00DE03CB"/>
    <w:rsid w:val="00DE03CC"/>
    <w:rsid w:val="00DE06A1"/>
    <w:rsid w:val="00DE06E9"/>
    <w:rsid w:val="00DE0888"/>
    <w:rsid w:val="00DE0A30"/>
    <w:rsid w:val="00DE0AB1"/>
    <w:rsid w:val="00DE0B6B"/>
    <w:rsid w:val="00DE0BDE"/>
    <w:rsid w:val="00DE0BFA"/>
    <w:rsid w:val="00DE0E4D"/>
    <w:rsid w:val="00DE0F7F"/>
    <w:rsid w:val="00DE0F9F"/>
    <w:rsid w:val="00DE0FC4"/>
    <w:rsid w:val="00DE105D"/>
    <w:rsid w:val="00DE106F"/>
    <w:rsid w:val="00DE1107"/>
    <w:rsid w:val="00DE1133"/>
    <w:rsid w:val="00DE1142"/>
    <w:rsid w:val="00DE1148"/>
    <w:rsid w:val="00DE11E3"/>
    <w:rsid w:val="00DE1333"/>
    <w:rsid w:val="00DE1362"/>
    <w:rsid w:val="00DE143C"/>
    <w:rsid w:val="00DE16D6"/>
    <w:rsid w:val="00DE1934"/>
    <w:rsid w:val="00DE1978"/>
    <w:rsid w:val="00DE1A60"/>
    <w:rsid w:val="00DE1B51"/>
    <w:rsid w:val="00DE207B"/>
    <w:rsid w:val="00DE2161"/>
    <w:rsid w:val="00DE2162"/>
    <w:rsid w:val="00DE2376"/>
    <w:rsid w:val="00DE2694"/>
    <w:rsid w:val="00DE271A"/>
    <w:rsid w:val="00DE2948"/>
    <w:rsid w:val="00DE2A45"/>
    <w:rsid w:val="00DE2C0A"/>
    <w:rsid w:val="00DE2C1B"/>
    <w:rsid w:val="00DE2C63"/>
    <w:rsid w:val="00DE2D6D"/>
    <w:rsid w:val="00DE2E22"/>
    <w:rsid w:val="00DE2F66"/>
    <w:rsid w:val="00DE2FA5"/>
    <w:rsid w:val="00DE2FAE"/>
    <w:rsid w:val="00DE30B9"/>
    <w:rsid w:val="00DE315E"/>
    <w:rsid w:val="00DE31A3"/>
    <w:rsid w:val="00DE327D"/>
    <w:rsid w:val="00DE356E"/>
    <w:rsid w:val="00DE3682"/>
    <w:rsid w:val="00DE3719"/>
    <w:rsid w:val="00DE37F3"/>
    <w:rsid w:val="00DE3CB9"/>
    <w:rsid w:val="00DE3EBF"/>
    <w:rsid w:val="00DE3EF7"/>
    <w:rsid w:val="00DE3FED"/>
    <w:rsid w:val="00DE409E"/>
    <w:rsid w:val="00DE413A"/>
    <w:rsid w:val="00DE429D"/>
    <w:rsid w:val="00DE42A8"/>
    <w:rsid w:val="00DE4391"/>
    <w:rsid w:val="00DE43E2"/>
    <w:rsid w:val="00DE44BB"/>
    <w:rsid w:val="00DE452F"/>
    <w:rsid w:val="00DE458D"/>
    <w:rsid w:val="00DE45C7"/>
    <w:rsid w:val="00DE45EC"/>
    <w:rsid w:val="00DE4624"/>
    <w:rsid w:val="00DE4687"/>
    <w:rsid w:val="00DE48A3"/>
    <w:rsid w:val="00DE49F5"/>
    <w:rsid w:val="00DE4C3F"/>
    <w:rsid w:val="00DE4D63"/>
    <w:rsid w:val="00DE4DA4"/>
    <w:rsid w:val="00DE4DF6"/>
    <w:rsid w:val="00DE4F4E"/>
    <w:rsid w:val="00DE4F59"/>
    <w:rsid w:val="00DE4F83"/>
    <w:rsid w:val="00DE507C"/>
    <w:rsid w:val="00DE509D"/>
    <w:rsid w:val="00DE51DF"/>
    <w:rsid w:val="00DE527F"/>
    <w:rsid w:val="00DE52D3"/>
    <w:rsid w:val="00DE53FB"/>
    <w:rsid w:val="00DE547C"/>
    <w:rsid w:val="00DE5521"/>
    <w:rsid w:val="00DE55CC"/>
    <w:rsid w:val="00DE567D"/>
    <w:rsid w:val="00DE56A4"/>
    <w:rsid w:val="00DE5769"/>
    <w:rsid w:val="00DE57CE"/>
    <w:rsid w:val="00DE58C0"/>
    <w:rsid w:val="00DE5ABB"/>
    <w:rsid w:val="00DE5AD6"/>
    <w:rsid w:val="00DE5AD9"/>
    <w:rsid w:val="00DE5AF7"/>
    <w:rsid w:val="00DE5AFE"/>
    <w:rsid w:val="00DE5DE1"/>
    <w:rsid w:val="00DE5DF1"/>
    <w:rsid w:val="00DE602D"/>
    <w:rsid w:val="00DE635C"/>
    <w:rsid w:val="00DE6571"/>
    <w:rsid w:val="00DE65E5"/>
    <w:rsid w:val="00DE666B"/>
    <w:rsid w:val="00DE675C"/>
    <w:rsid w:val="00DE6A10"/>
    <w:rsid w:val="00DE6AAD"/>
    <w:rsid w:val="00DE6B21"/>
    <w:rsid w:val="00DE6B6D"/>
    <w:rsid w:val="00DE6C11"/>
    <w:rsid w:val="00DE6C3C"/>
    <w:rsid w:val="00DE6C5C"/>
    <w:rsid w:val="00DE6CE1"/>
    <w:rsid w:val="00DE6D5D"/>
    <w:rsid w:val="00DE6E47"/>
    <w:rsid w:val="00DE6FB1"/>
    <w:rsid w:val="00DE6FD7"/>
    <w:rsid w:val="00DE7053"/>
    <w:rsid w:val="00DE717C"/>
    <w:rsid w:val="00DE737F"/>
    <w:rsid w:val="00DE7389"/>
    <w:rsid w:val="00DE747E"/>
    <w:rsid w:val="00DE7519"/>
    <w:rsid w:val="00DE7582"/>
    <w:rsid w:val="00DE769F"/>
    <w:rsid w:val="00DE76A1"/>
    <w:rsid w:val="00DE78CF"/>
    <w:rsid w:val="00DE7A6C"/>
    <w:rsid w:val="00DE7B0B"/>
    <w:rsid w:val="00DE7B70"/>
    <w:rsid w:val="00DE7C43"/>
    <w:rsid w:val="00DE7C5D"/>
    <w:rsid w:val="00DE7CE0"/>
    <w:rsid w:val="00DE7DCF"/>
    <w:rsid w:val="00DE7E19"/>
    <w:rsid w:val="00DE7E1D"/>
    <w:rsid w:val="00DF028F"/>
    <w:rsid w:val="00DF046E"/>
    <w:rsid w:val="00DF04E0"/>
    <w:rsid w:val="00DF04EA"/>
    <w:rsid w:val="00DF04F2"/>
    <w:rsid w:val="00DF066B"/>
    <w:rsid w:val="00DF07D8"/>
    <w:rsid w:val="00DF080A"/>
    <w:rsid w:val="00DF092B"/>
    <w:rsid w:val="00DF0B6A"/>
    <w:rsid w:val="00DF0B8B"/>
    <w:rsid w:val="00DF0B99"/>
    <w:rsid w:val="00DF0C64"/>
    <w:rsid w:val="00DF0D21"/>
    <w:rsid w:val="00DF0F19"/>
    <w:rsid w:val="00DF12C0"/>
    <w:rsid w:val="00DF12DB"/>
    <w:rsid w:val="00DF1338"/>
    <w:rsid w:val="00DF13E1"/>
    <w:rsid w:val="00DF1476"/>
    <w:rsid w:val="00DF1577"/>
    <w:rsid w:val="00DF158E"/>
    <w:rsid w:val="00DF15E0"/>
    <w:rsid w:val="00DF161F"/>
    <w:rsid w:val="00DF1641"/>
    <w:rsid w:val="00DF1721"/>
    <w:rsid w:val="00DF1794"/>
    <w:rsid w:val="00DF19B4"/>
    <w:rsid w:val="00DF19BB"/>
    <w:rsid w:val="00DF1E96"/>
    <w:rsid w:val="00DF1ED2"/>
    <w:rsid w:val="00DF206F"/>
    <w:rsid w:val="00DF2192"/>
    <w:rsid w:val="00DF2282"/>
    <w:rsid w:val="00DF2375"/>
    <w:rsid w:val="00DF23BE"/>
    <w:rsid w:val="00DF263F"/>
    <w:rsid w:val="00DF2669"/>
    <w:rsid w:val="00DF266E"/>
    <w:rsid w:val="00DF272D"/>
    <w:rsid w:val="00DF28E1"/>
    <w:rsid w:val="00DF2AD2"/>
    <w:rsid w:val="00DF2B51"/>
    <w:rsid w:val="00DF2C05"/>
    <w:rsid w:val="00DF2C20"/>
    <w:rsid w:val="00DF2D07"/>
    <w:rsid w:val="00DF2D1D"/>
    <w:rsid w:val="00DF2D27"/>
    <w:rsid w:val="00DF2E4B"/>
    <w:rsid w:val="00DF2FE6"/>
    <w:rsid w:val="00DF301E"/>
    <w:rsid w:val="00DF30E1"/>
    <w:rsid w:val="00DF3154"/>
    <w:rsid w:val="00DF31BF"/>
    <w:rsid w:val="00DF31C0"/>
    <w:rsid w:val="00DF31E2"/>
    <w:rsid w:val="00DF3373"/>
    <w:rsid w:val="00DF3438"/>
    <w:rsid w:val="00DF3527"/>
    <w:rsid w:val="00DF35D6"/>
    <w:rsid w:val="00DF3721"/>
    <w:rsid w:val="00DF3748"/>
    <w:rsid w:val="00DF3A26"/>
    <w:rsid w:val="00DF3C55"/>
    <w:rsid w:val="00DF3D45"/>
    <w:rsid w:val="00DF3DF4"/>
    <w:rsid w:val="00DF3E01"/>
    <w:rsid w:val="00DF4316"/>
    <w:rsid w:val="00DF4550"/>
    <w:rsid w:val="00DF4557"/>
    <w:rsid w:val="00DF45C9"/>
    <w:rsid w:val="00DF46CE"/>
    <w:rsid w:val="00DF4720"/>
    <w:rsid w:val="00DF4903"/>
    <w:rsid w:val="00DF4910"/>
    <w:rsid w:val="00DF498E"/>
    <w:rsid w:val="00DF4A89"/>
    <w:rsid w:val="00DF4B3C"/>
    <w:rsid w:val="00DF4B51"/>
    <w:rsid w:val="00DF4B83"/>
    <w:rsid w:val="00DF4C3D"/>
    <w:rsid w:val="00DF4C56"/>
    <w:rsid w:val="00DF4CA0"/>
    <w:rsid w:val="00DF4D0C"/>
    <w:rsid w:val="00DF4ECA"/>
    <w:rsid w:val="00DF5000"/>
    <w:rsid w:val="00DF5036"/>
    <w:rsid w:val="00DF50C0"/>
    <w:rsid w:val="00DF5143"/>
    <w:rsid w:val="00DF520C"/>
    <w:rsid w:val="00DF5261"/>
    <w:rsid w:val="00DF52D5"/>
    <w:rsid w:val="00DF53AA"/>
    <w:rsid w:val="00DF5475"/>
    <w:rsid w:val="00DF56DD"/>
    <w:rsid w:val="00DF56EB"/>
    <w:rsid w:val="00DF5841"/>
    <w:rsid w:val="00DF586E"/>
    <w:rsid w:val="00DF588B"/>
    <w:rsid w:val="00DF5ADE"/>
    <w:rsid w:val="00DF5AE6"/>
    <w:rsid w:val="00DF5CAB"/>
    <w:rsid w:val="00DF5D73"/>
    <w:rsid w:val="00DF6106"/>
    <w:rsid w:val="00DF6165"/>
    <w:rsid w:val="00DF6188"/>
    <w:rsid w:val="00DF62AC"/>
    <w:rsid w:val="00DF6317"/>
    <w:rsid w:val="00DF63B7"/>
    <w:rsid w:val="00DF6426"/>
    <w:rsid w:val="00DF6670"/>
    <w:rsid w:val="00DF676F"/>
    <w:rsid w:val="00DF67DA"/>
    <w:rsid w:val="00DF67EE"/>
    <w:rsid w:val="00DF68A7"/>
    <w:rsid w:val="00DF6948"/>
    <w:rsid w:val="00DF6A10"/>
    <w:rsid w:val="00DF6A78"/>
    <w:rsid w:val="00DF6AEF"/>
    <w:rsid w:val="00DF6B38"/>
    <w:rsid w:val="00DF6B48"/>
    <w:rsid w:val="00DF6C72"/>
    <w:rsid w:val="00DF6D02"/>
    <w:rsid w:val="00DF6D41"/>
    <w:rsid w:val="00DF6D65"/>
    <w:rsid w:val="00DF6D78"/>
    <w:rsid w:val="00DF6D7C"/>
    <w:rsid w:val="00DF6E18"/>
    <w:rsid w:val="00DF6E41"/>
    <w:rsid w:val="00DF7127"/>
    <w:rsid w:val="00DF7179"/>
    <w:rsid w:val="00DF72E4"/>
    <w:rsid w:val="00DF7328"/>
    <w:rsid w:val="00DF73ED"/>
    <w:rsid w:val="00DF75AF"/>
    <w:rsid w:val="00DF75D9"/>
    <w:rsid w:val="00DF7671"/>
    <w:rsid w:val="00DF7695"/>
    <w:rsid w:val="00DF7821"/>
    <w:rsid w:val="00DF7850"/>
    <w:rsid w:val="00DF787E"/>
    <w:rsid w:val="00DF78F0"/>
    <w:rsid w:val="00DF7930"/>
    <w:rsid w:val="00DF7A5F"/>
    <w:rsid w:val="00DF7AA4"/>
    <w:rsid w:val="00DF7C16"/>
    <w:rsid w:val="00DF7C25"/>
    <w:rsid w:val="00DF7C28"/>
    <w:rsid w:val="00DF7C40"/>
    <w:rsid w:val="00DF7E51"/>
    <w:rsid w:val="00DF7ECE"/>
    <w:rsid w:val="00DF7F81"/>
    <w:rsid w:val="00E0004E"/>
    <w:rsid w:val="00E0014D"/>
    <w:rsid w:val="00E001F7"/>
    <w:rsid w:val="00E00398"/>
    <w:rsid w:val="00E0050C"/>
    <w:rsid w:val="00E005E1"/>
    <w:rsid w:val="00E0072C"/>
    <w:rsid w:val="00E00749"/>
    <w:rsid w:val="00E00906"/>
    <w:rsid w:val="00E0097B"/>
    <w:rsid w:val="00E009B7"/>
    <w:rsid w:val="00E00A73"/>
    <w:rsid w:val="00E00B01"/>
    <w:rsid w:val="00E00B38"/>
    <w:rsid w:val="00E00B4E"/>
    <w:rsid w:val="00E00DC1"/>
    <w:rsid w:val="00E00DE4"/>
    <w:rsid w:val="00E00E8B"/>
    <w:rsid w:val="00E00EDF"/>
    <w:rsid w:val="00E010DE"/>
    <w:rsid w:val="00E010E5"/>
    <w:rsid w:val="00E011F0"/>
    <w:rsid w:val="00E012F6"/>
    <w:rsid w:val="00E0139D"/>
    <w:rsid w:val="00E0139E"/>
    <w:rsid w:val="00E01450"/>
    <w:rsid w:val="00E014B0"/>
    <w:rsid w:val="00E014D8"/>
    <w:rsid w:val="00E014DE"/>
    <w:rsid w:val="00E01576"/>
    <w:rsid w:val="00E0159F"/>
    <w:rsid w:val="00E01686"/>
    <w:rsid w:val="00E016CA"/>
    <w:rsid w:val="00E0199D"/>
    <w:rsid w:val="00E019D0"/>
    <w:rsid w:val="00E019E9"/>
    <w:rsid w:val="00E01B1D"/>
    <w:rsid w:val="00E01D6A"/>
    <w:rsid w:val="00E01FAE"/>
    <w:rsid w:val="00E02261"/>
    <w:rsid w:val="00E023FC"/>
    <w:rsid w:val="00E02442"/>
    <w:rsid w:val="00E024BD"/>
    <w:rsid w:val="00E025EC"/>
    <w:rsid w:val="00E026A8"/>
    <w:rsid w:val="00E02723"/>
    <w:rsid w:val="00E02771"/>
    <w:rsid w:val="00E02886"/>
    <w:rsid w:val="00E02889"/>
    <w:rsid w:val="00E028AF"/>
    <w:rsid w:val="00E0294D"/>
    <w:rsid w:val="00E02AAA"/>
    <w:rsid w:val="00E02B89"/>
    <w:rsid w:val="00E02C55"/>
    <w:rsid w:val="00E02C65"/>
    <w:rsid w:val="00E02D34"/>
    <w:rsid w:val="00E02D64"/>
    <w:rsid w:val="00E02F35"/>
    <w:rsid w:val="00E02F7D"/>
    <w:rsid w:val="00E03091"/>
    <w:rsid w:val="00E030D8"/>
    <w:rsid w:val="00E03193"/>
    <w:rsid w:val="00E03470"/>
    <w:rsid w:val="00E03476"/>
    <w:rsid w:val="00E0350D"/>
    <w:rsid w:val="00E035E3"/>
    <w:rsid w:val="00E0361F"/>
    <w:rsid w:val="00E03738"/>
    <w:rsid w:val="00E03774"/>
    <w:rsid w:val="00E037A7"/>
    <w:rsid w:val="00E0389F"/>
    <w:rsid w:val="00E039BB"/>
    <w:rsid w:val="00E03AA2"/>
    <w:rsid w:val="00E03B66"/>
    <w:rsid w:val="00E03C49"/>
    <w:rsid w:val="00E03C5D"/>
    <w:rsid w:val="00E03C60"/>
    <w:rsid w:val="00E03D17"/>
    <w:rsid w:val="00E03FEF"/>
    <w:rsid w:val="00E040DE"/>
    <w:rsid w:val="00E0416E"/>
    <w:rsid w:val="00E041AC"/>
    <w:rsid w:val="00E042AD"/>
    <w:rsid w:val="00E043ED"/>
    <w:rsid w:val="00E04499"/>
    <w:rsid w:val="00E044D3"/>
    <w:rsid w:val="00E0450B"/>
    <w:rsid w:val="00E045D1"/>
    <w:rsid w:val="00E046CC"/>
    <w:rsid w:val="00E04744"/>
    <w:rsid w:val="00E04780"/>
    <w:rsid w:val="00E048ED"/>
    <w:rsid w:val="00E04A11"/>
    <w:rsid w:val="00E04AB5"/>
    <w:rsid w:val="00E04BE3"/>
    <w:rsid w:val="00E04F63"/>
    <w:rsid w:val="00E04F67"/>
    <w:rsid w:val="00E0503C"/>
    <w:rsid w:val="00E05050"/>
    <w:rsid w:val="00E0510B"/>
    <w:rsid w:val="00E052F2"/>
    <w:rsid w:val="00E0531D"/>
    <w:rsid w:val="00E05326"/>
    <w:rsid w:val="00E05465"/>
    <w:rsid w:val="00E054F9"/>
    <w:rsid w:val="00E05654"/>
    <w:rsid w:val="00E05708"/>
    <w:rsid w:val="00E0570D"/>
    <w:rsid w:val="00E05718"/>
    <w:rsid w:val="00E0576C"/>
    <w:rsid w:val="00E05865"/>
    <w:rsid w:val="00E0591B"/>
    <w:rsid w:val="00E05B60"/>
    <w:rsid w:val="00E05D70"/>
    <w:rsid w:val="00E05DF8"/>
    <w:rsid w:val="00E060B8"/>
    <w:rsid w:val="00E062E6"/>
    <w:rsid w:val="00E063F9"/>
    <w:rsid w:val="00E063FB"/>
    <w:rsid w:val="00E0675E"/>
    <w:rsid w:val="00E068E7"/>
    <w:rsid w:val="00E0690B"/>
    <w:rsid w:val="00E06A27"/>
    <w:rsid w:val="00E06C51"/>
    <w:rsid w:val="00E06C80"/>
    <w:rsid w:val="00E06CEC"/>
    <w:rsid w:val="00E07024"/>
    <w:rsid w:val="00E07092"/>
    <w:rsid w:val="00E0711B"/>
    <w:rsid w:val="00E072A4"/>
    <w:rsid w:val="00E073E6"/>
    <w:rsid w:val="00E07439"/>
    <w:rsid w:val="00E0766A"/>
    <w:rsid w:val="00E076A7"/>
    <w:rsid w:val="00E077C7"/>
    <w:rsid w:val="00E077EF"/>
    <w:rsid w:val="00E078AB"/>
    <w:rsid w:val="00E07B3A"/>
    <w:rsid w:val="00E07B47"/>
    <w:rsid w:val="00E07B54"/>
    <w:rsid w:val="00E07BE4"/>
    <w:rsid w:val="00E07C11"/>
    <w:rsid w:val="00E07E94"/>
    <w:rsid w:val="00E07EBF"/>
    <w:rsid w:val="00E07ED4"/>
    <w:rsid w:val="00E07F65"/>
    <w:rsid w:val="00E07F81"/>
    <w:rsid w:val="00E07FCF"/>
    <w:rsid w:val="00E0C10E"/>
    <w:rsid w:val="00E100A4"/>
    <w:rsid w:val="00E100C8"/>
    <w:rsid w:val="00E1011B"/>
    <w:rsid w:val="00E10143"/>
    <w:rsid w:val="00E101FF"/>
    <w:rsid w:val="00E1023F"/>
    <w:rsid w:val="00E10241"/>
    <w:rsid w:val="00E10308"/>
    <w:rsid w:val="00E104B0"/>
    <w:rsid w:val="00E10612"/>
    <w:rsid w:val="00E10637"/>
    <w:rsid w:val="00E106F4"/>
    <w:rsid w:val="00E106FD"/>
    <w:rsid w:val="00E10786"/>
    <w:rsid w:val="00E107A4"/>
    <w:rsid w:val="00E107CA"/>
    <w:rsid w:val="00E109D2"/>
    <w:rsid w:val="00E11020"/>
    <w:rsid w:val="00E11025"/>
    <w:rsid w:val="00E110D0"/>
    <w:rsid w:val="00E11133"/>
    <w:rsid w:val="00E1130E"/>
    <w:rsid w:val="00E1132F"/>
    <w:rsid w:val="00E11403"/>
    <w:rsid w:val="00E11501"/>
    <w:rsid w:val="00E1153B"/>
    <w:rsid w:val="00E1158E"/>
    <w:rsid w:val="00E11784"/>
    <w:rsid w:val="00E11859"/>
    <w:rsid w:val="00E1187A"/>
    <w:rsid w:val="00E1187E"/>
    <w:rsid w:val="00E11A6B"/>
    <w:rsid w:val="00E11B14"/>
    <w:rsid w:val="00E11BDF"/>
    <w:rsid w:val="00E11C52"/>
    <w:rsid w:val="00E11D59"/>
    <w:rsid w:val="00E11DFC"/>
    <w:rsid w:val="00E11E79"/>
    <w:rsid w:val="00E11F0D"/>
    <w:rsid w:val="00E1200A"/>
    <w:rsid w:val="00E12191"/>
    <w:rsid w:val="00E123D1"/>
    <w:rsid w:val="00E124C1"/>
    <w:rsid w:val="00E125C0"/>
    <w:rsid w:val="00E125CA"/>
    <w:rsid w:val="00E125DF"/>
    <w:rsid w:val="00E126B6"/>
    <w:rsid w:val="00E126C5"/>
    <w:rsid w:val="00E1277E"/>
    <w:rsid w:val="00E127C3"/>
    <w:rsid w:val="00E12808"/>
    <w:rsid w:val="00E128B1"/>
    <w:rsid w:val="00E12AA2"/>
    <w:rsid w:val="00E12AB0"/>
    <w:rsid w:val="00E12B45"/>
    <w:rsid w:val="00E12BFE"/>
    <w:rsid w:val="00E12C36"/>
    <w:rsid w:val="00E12D47"/>
    <w:rsid w:val="00E12DD4"/>
    <w:rsid w:val="00E13042"/>
    <w:rsid w:val="00E1305D"/>
    <w:rsid w:val="00E130A2"/>
    <w:rsid w:val="00E13104"/>
    <w:rsid w:val="00E1315C"/>
    <w:rsid w:val="00E131B5"/>
    <w:rsid w:val="00E13250"/>
    <w:rsid w:val="00E13441"/>
    <w:rsid w:val="00E13485"/>
    <w:rsid w:val="00E1352B"/>
    <w:rsid w:val="00E1363D"/>
    <w:rsid w:val="00E13665"/>
    <w:rsid w:val="00E1373C"/>
    <w:rsid w:val="00E138B0"/>
    <w:rsid w:val="00E139C3"/>
    <w:rsid w:val="00E139CE"/>
    <w:rsid w:val="00E13B11"/>
    <w:rsid w:val="00E13CB4"/>
    <w:rsid w:val="00E13CF9"/>
    <w:rsid w:val="00E13E00"/>
    <w:rsid w:val="00E13F60"/>
    <w:rsid w:val="00E13F9E"/>
    <w:rsid w:val="00E14149"/>
    <w:rsid w:val="00E14171"/>
    <w:rsid w:val="00E14193"/>
    <w:rsid w:val="00E14209"/>
    <w:rsid w:val="00E14254"/>
    <w:rsid w:val="00E14280"/>
    <w:rsid w:val="00E14338"/>
    <w:rsid w:val="00E1453F"/>
    <w:rsid w:val="00E1476B"/>
    <w:rsid w:val="00E14794"/>
    <w:rsid w:val="00E147BF"/>
    <w:rsid w:val="00E14D84"/>
    <w:rsid w:val="00E14D9C"/>
    <w:rsid w:val="00E14DA3"/>
    <w:rsid w:val="00E14EAE"/>
    <w:rsid w:val="00E151E6"/>
    <w:rsid w:val="00E15242"/>
    <w:rsid w:val="00E153D2"/>
    <w:rsid w:val="00E1553F"/>
    <w:rsid w:val="00E15673"/>
    <w:rsid w:val="00E15706"/>
    <w:rsid w:val="00E158E4"/>
    <w:rsid w:val="00E159A1"/>
    <w:rsid w:val="00E159C8"/>
    <w:rsid w:val="00E15A45"/>
    <w:rsid w:val="00E15B16"/>
    <w:rsid w:val="00E15BF0"/>
    <w:rsid w:val="00E15CEC"/>
    <w:rsid w:val="00E15D96"/>
    <w:rsid w:val="00E15DE8"/>
    <w:rsid w:val="00E15F9B"/>
    <w:rsid w:val="00E1605C"/>
    <w:rsid w:val="00E16241"/>
    <w:rsid w:val="00E1624F"/>
    <w:rsid w:val="00E16251"/>
    <w:rsid w:val="00E162CA"/>
    <w:rsid w:val="00E162DB"/>
    <w:rsid w:val="00E1646E"/>
    <w:rsid w:val="00E16493"/>
    <w:rsid w:val="00E164D9"/>
    <w:rsid w:val="00E1657C"/>
    <w:rsid w:val="00E1669E"/>
    <w:rsid w:val="00E16704"/>
    <w:rsid w:val="00E16732"/>
    <w:rsid w:val="00E16759"/>
    <w:rsid w:val="00E16832"/>
    <w:rsid w:val="00E16859"/>
    <w:rsid w:val="00E16976"/>
    <w:rsid w:val="00E169FB"/>
    <w:rsid w:val="00E16DAB"/>
    <w:rsid w:val="00E16E0F"/>
    <w:rsid w:val="00E16F1B"/>
    <w:rsid w:val="00E16F95"/>
    <w:rsid w:val="00E17062"/>
    <w:rsid w:val="00E170A8"/>
    <w:rsid w:val="00E1716A"/>
    <w:rsid w:val="00E171FB"/>
    <w:rsid w:val="00E172DB"/>
    <w:rsid w:val="00E173C5"/>
    <w:rsid w:val="00E173D3"/>
    <w:rsid w:val="00E174BF"/>
    <w:rsid w:val="00E1773D"/>
    <w:rsid w:val="00E17823"/>
    <w:rsid w:val="00E1796F"/>
    <w:rsid w:val="00E17C8A"/>
    <w:rsid w:val="00E17D4E"/>
    <w:rsid w:val="00E17D84"/>
    <w:rsid w:val="00E2012F"/>
    <w:rsid w:val="00E2014F"/>
    <w:rsid w:val="00E20161"/>
    <w:rsid w:val="00E20217"/>
    <w:rsid w:val="00E202D7"/>
    <w:rsid w:val="00E204E3"/>
    <w:rsid w:val="00E20795"/>
    <w:rsid w:val="00E2084F"/>
    <w:rsid w:val="00E2093E"/>
    <w:rsid w:val="00E209AA"/>
    <w:rsid w:val="00E20C73"/>
    <w:rsid w:val="00E20D7E"/>
    <w:rsid w:val="00E20D94"/>
    <w:rsid w:val="00E20E2F"/>
    <w:rsid w:val="00E20E4E"/>
    <w:rsid w:val="00E20EE8"/>
    <w:rsid w:val="00E20F77"/>
    <w:rsid w:val="00E21035"/>
    <w:rsid w:val="00E21083"/>
    <w:rsid w:val="00E210B2"/>
    <w:rsid w:val="00E21131"/>
    <w:rsid w:val="00E212E6"/>
    <w:rsid w:val="00E21555"/>
    <w:rsid w:val="00E21598"/>
    <w:rsid w:val="00E215EC"/>
    <w:rsid w:val="00E216C9"/>
    <w:rsid w:val="00E218D7"/>
    <w:rsid w:val="00E21915"/>
    <w:rsid w:val="00E2192B"/>
    <w:rsid w:val="00E21E50"/>
    <w:rsid w:val="00E21EDC"/>
    <w:rsid w:val="00E220B6"/>
    <w:rsid w:val="00E22104"/>
    <w:rsid w:val="00E22347"/>
    <w:rsid w:val="00E223CD"/>
    <w:rsid w:val="00E2246F"/>
    <w:rsid w:val="00E2253B"/>
    <w:rsid w:val="00E225E5"/>
    <w:rsid w:val="00E226B3"/>
    <w:rsid w:val="00E22788"/>
    <w:rsid w:val="00E2278F"/>
    <w:rsid w:val="00E227D6"/>
    <w:rsid w:val="00E227DA"/>
    <w:rsid w:val="00E2287E"/>
    <w:rsid w:val="00E228D1"/>
    <w:rsid w:val="00E22BDF"/>
    <w:rsid w:val="00E2312E"/>
    <w:rsid w:val="00E231BC"/>
    <w:rsid w:val="00E233A3"/>
    <w:rsid w:val="00E234C6"/>
    <w:rsid w:val="00E235B8"/>
    <w:rsid w:val="00E2366E"/>
    <w:rsid w:val="00E236AF"/>
    <w:rsid w:val="00E23746"/>
    <w:rsid w:val="00E237CE"/>
    <w:rsid w:val="00E23849"/>
    <w:rsid w:val="00E2394D"/>
    <w:rsid w:val="00E23C01"/>
    <w:rsid w:val="00E23C27"/>
    <w:rsid w:val="00E23C84"/>
    <w:rsid w:val="00E23E56"/>
    <w:rsid w:val="00E23E5D"/>
    <w:rsid w:val="00E23EA9"/>
    <w:rsid w:val="00E23F38"/>
    <w:rsid w:val="00E23FAD"/>
    <w:rsid w:val="00E240CD"/>
    <w:rsid w:val="00E2416E"/>
    <w:rsid w:val="00E241DA"/>
    <w:rsid w:val="00E24257"/>
    <w:rsid w:val="00E24356"/>
    <w:rsid w:val="00E2441B"/>
    <w:rsid w:val="00E24819"/>
    <w:rsid w:val="00E24949"/>
    <w:rsid w:val="00E24AB8"/>
    <w:rsid w:val="00E24B2D"/>
    <w:rsid w:val="00E24C2A"/>
    <w:rsid w:val="00E24CBE"/>
    <w:rsid w:val="00E24CF8"/>
    <w:rsid w:val="00E24D82"/>
    <w:rsid w:val="00E24F1C"/>
    <w:rsid w:val="00E24FA8"/>
    <w:rsid w:val="00E2500D"/>
    <w:rsid w:val="00E25016"/>
    <w:rsid w:val="00E2501B"/>
    <w:rsid w:val="00E25061"/>
    <w:rsid w:val="00E2516D"/>
    <w:rsid w:val="00E251E5"/>
    <w:rsid w:val="00E253E7"/>
    <w:rsid w:val="00E255B9"/>
    <w:rsid w:val="00E2569A"/>
    <w:rsid w:val="00E2570D"/>
    <w:rsid w:val="00E2595B"/>
    <w:rsid w:val="00E259E9"/>
    <w:rsid w:val="00E25A0D"/>
    <w:rsid w:val="00E25A86"/>
    <w:rsid w:val="00E25B10"/>
    <w:rsid w:val="00E25EB6"/>
    <w:rsid w:val="00E25EF9"/>
    <w:rsid w:val="00E25F76"/>
    <w:rsid w:val="00E26036"/>
    <w:rsid w:val="00E26061"/>
    <w:rsid w:val="00E26483"/>
    <w:rsid w:val="00E26511"/>
    <w:rsid w:val="00E2658F"/>
    <w:rsid w:val="00E26743"/>
    <w:rsid w:val="00E2675A"/>
    <w:rsid w:val="00E2679E"/>
    <w:rsid w:val="00E268A1"/>
    <w:rsid w:val="00E26AE8"/>
    <w:rsid w:val="00E26CA9"/>
    <w:rsid w:val="00E26EBF"/>
    <w:rsid w:val="00E26F60"/>
    <w:rsid w:val="00E26F93"/>
    <w:rsid w:val="00E26FD2"/>
    <w:rsid w:val="00E27068"/>
    <w:rsid w:val="00E27083"/>
    <w:rsid w:val="00E271AB"/>
    <w:rsid w:val="00E27246"/>
    <w:rsid w:val="00E273E4"/>
    <w:rsid w:val="00E27471"/>
    <w:rsid w:val="00E27593"/>
    <w:rsid w:val="00E27622"/>
    <w:rsid w:val="00E2762A"/>
    <w:rsid w:val="00E2789B"/>
    <w:rsid w:val="00E278A4"/>
    <w:rsid w:val="00E27A22"/>
    <w:rsid w:val="00E27ABE"/>
    <w:rsid w:val="00E27AC6"/>
    <w:rsid w:val="00E27B02"/>
    <w:rsid w:val="00E27B13"/>
    <w:rsid w:val="00E27B96"/>
    <w:rsid w:val="00E27C1B"/>
    <w:rsid w:val="00E27EEC"/>
    <w:rsid w:val="00E301E0"/>
    <w:rsid w:val="00E3049A"/>
    <w:rsid w:val="00E304E2"/>
    <w:rsid w:val="00E307FA"/>
    <w:rsid w:val="00E30802"/>
    <w:rsid w:val="00E30828"/>
    <w:rsid w:val="00E3083C"/>
    <w:rsid w:val="00E308D0"/>
    <w:rsid w:val="00E3093D"/>
    <w:rsid w:val="00E309CF"/>
    <w:rsid w:val="00E309F3"/>
    <w:rsid w:val="00E30A46"/>
    <w:rsid w:val="00E30A97"/>
    <w:rsid w:val="00E30B10"/>
    <w:rsid w:val="00E30B7A"/>
    <w:rsid w:val="00E30CE4"/>
    <w:rsid w:val="00E30F45"/>
    <w:rsid w:val="00E310B1"/>
    <w:rsid w:val="00E3113C"/>
    <w:rsid w:val="00E31148"/>
    <w:rsid w:val="00E3125A"/>
    <w:rsid w:val="00E31269"/>
    <w:rsid w:val="00E3129C"/>
    <w:rsid w:val="00E312C2"/>
    <w:rsid w:val="00E312F1"/>
    <w:rsid w:val="00E313B8"/>
    <w:rsid w:val="00E313DF"/>
    <w:rsid w:val="00E31426"/>
    <w:rsid w:val="00E31441"/>
    <w:rsid w:val="00E31444"/>
    <w:rsid w:val="00E3154A"/>
    <w:rsid w:val="00E315D6"/>
    <w:rsid w:val="00E316C1"/>
    <w:rsid w:val="00E316CD"/>
    <w:rsid w:val="00E3181A"/>
    <w:rsid w:val="00E31847"/>
    <w:rsid w:val="00E3185F"/>
    <w:rsid w:val="00E31874"/>
    <w:rsid w:val="00E31B01"/>
    <w:rsid w:val="00E31B44"/>
    <w:rsid w:val="00E31B55"/>
    <w:rsid w:val="00E31DA8"/>
    <w:rsid w:val="00E31E07"/>
    <w:rsid w:val="00E31F8A"/>
    <w:rsid w:val="00E31FE1"/>
    <w:rsid w:val="00E3201F"/>
    <w:rsid w:val="00E320D4"/>
    <w:rsid w:val="00E32138"/>
    <w:rsid w:val="00E3213B"/>
    <w:rsid w:val="00E32370"/>
    <w:rsid w:val="00E3245C"/>
    <w:rsid w:val="00E326EE"/>
    <w:rsid w:val="00E326F9"/>
    <w:rsid w:val="00E328D1"/>
    <w:rsid w:val="00E32ABE"/>
    <w:rsid w:val="00E32BEB"/>
    <w:rsid w:val="00E32C56"/>
    <w:rsid w:val="00E32C8B"/>
    <w:rsid w:val="00E32C96"/>
    <w:rsid w:val="00E32CFB"/>
    <w:rsid w:val="00E32D22"/>
    <w:rsid w:val="00E32F57"/>
    <w:rsid w:val="00E32F62"/>
    <w:rsid w:val="00E333DA"/>
    <w:rsid w:val="00E33509"/>
    <w:rsid w:val="00E33545"/>
    <w:rsid w:val="00E33567"/>
    <w:rsid w:val="00E336EB"/>
    <w:rsid w:val="00E3371E"/>
    <w:rsid w:val="00E33860"/>
    <w:rsid w:val="00E33898"/>
    <w:rsid w:val="00E33953"/>
    <w:rsid w:val="00E33A65"/>
    <w:rsid w:val="00E33A9C"/>
    <w:rsid w:val="00E33AAB"/>
    <w:rsid w:val="00E33B2B"/>
    <w:rsid w:val="00E33BB9"/>
    <w:rsid w:val="00E33FB7"/>
    <w:rsid w:val="00E34221"/>
    <w:rsid w:val="00E34230"/>
    <w:rsid w:val="00E342C7"/>
    <w:rsid w:val="00E34335"/>
    <w:rsid w:val="00E34413"/>
    <w:rsid w:val="00E3442C"/>
    <w:rsid w:val="00E344FD"/>
    <w:rsid w:val="00E345C5"/>
    <w:rsid w:val="00E34640"/>
    <w:rsid w:val="00E346DE"/>
    <w:rsid w:val="00E34723"/>
    <w:rsid w:val="00E34793"/>
    <w:rsid w:val="00E347DB"/>
    <w:rsid w:val="00E3484A"/>
    <w:rsid w:val="00E34890"/>
    <w:rsid w:val="00E34ABE"/>
    <w:rsid w:val="00E34AC2"/>
    <w:rsid w:val="00E34BAD"/>
    <w:rsid w:val="00E34DA9"/>
    <w:rsid w:val="00E34DF9"/>
    <w:rsid w:val="00E34E5A"/>
    <w:rsid w:val="00E35060"/>
    <w:rsid w:val="00E35169"/>
    <w:rsid w:val="00E35174"/>
    <w:rsid w:val="00E35237"/>
    <w:rsid w:val="00E3537E"/>
    <w:rsid w:val="00E3542D"/>
    <w:rsid w:val="00E35708"/>
    <w:rsid w:val="00E3571F"/>
    <w:rsid w:val="00E35743"/>
    <w:rsid w:val="00E35790"/>
    <w:rsid w:val="00E35B77"/>
    <w:rsid w:val="00E35D59"/>
    <w:rsid w:val="00E35E80"/>
    <w:rsid w:val="00E35EC1"/>
    <w:rsid w:val="00E35F24"/>
    <w:rsid w:val="00E35F4C"/>
    <w:rsid w:val="00E35F6C"/>
    <w:rsid w:val="00E35FAB"/>
    <w:rsid w:val="00E3624C"/>
    <w:rsid w:val="00E362C0"/>
    <w:rsid w:val="00E36309"/>
    <w:rsid w:val="00E3633C"/>
    <w:rsid w:val="00E36343"/>
    <w:rsid w:val="00E36451"/>
    <w:rsid w:val="00E3677C"/>
    <w:rsid w:val="00E367BA"/>
    <w:rsid w:val="00E3680C"/>
    <w:rsid w:val="00E369D6"/>
    <w:rsid w:val="00E369EF"/>
    <w:rsid w:val="00E36D0A"/>
    <w:rsid w:val="00E36F0D"/>
    <w:rsid w:val="00E370AD"/>
    <w:rsid w:val="00E3716D"/>
    <w:rsid w:val="00E373CF"/>
    <w:rsid w:val="00E3749B"/>
    <w:rsid w:val="00E3749F"/>
    <w:rsid w:val="00E37626"/>
    <w:rsid w:val="00E3781F"/>
    <w:rsid w:val="00E37933"/>
    <w:rsid w:val="00E379EF"/>
    <w:rsid w:val="00E37CB9"/>
    <w:rsid w:val="00E37D2E"/>
    <w:rsid w:val="00E37EAD"/>
    <w:rsid w:val="00E4008C"/>
    <w:rsid w:val="00E400DA"/>
    <w:rsid w:val="00E4012F"/>
    <w:rsid w:val="00E4026B"/>
    <w:rsid w:val="00E4032D"/>
    <w:rsid w:val="00E4051B"/>
    <w:rsid w:val="00E40552"/>
    <w:rsid w:val="00E405B2"/>
    <w:rsid w:val="00E4068E"/>
    <w:rsid w:val="00E4076E"/>
    <w:rsid w:val="00E40906"/>
    <w:rsid w:val="00E40973"/>
    <w:rsid w:val="00E40A0B"/>
    <w:rsid w:val="00E40A35"/>
    <w:rsid w:val="00E40A63"/>
    <w:rsid w:val="00E40A83"/>
    <w:rsid w:val="00E40C25"/>
    <w:rsid w:val="00E40C45"/>
    <w:rsid w:val="00E40E0E"/>
    <w:rsid w:val="00E4102C"/>
    <w:rsid w:val="00E411E9"/>
    <w:rsid w:val="00E41202"/>
    <w:rsid w:val="00E41250"/>
    <w:rsid w:val="00E4128C"/>
    <w:rsid w:val="00E41552"/>
    <w:rsid w:val="00E41959"/>
    <w:rsid w:val="00E419A3"/>
    <w:rsid w:val="00E41AB3"/>
    <w:rsid w:val="00E41B1A"/>
    <w:rsid w:val="00E41B8F"/>
    <w:rsid w:val="00E41DC9"/>
    <w:rsid w:val="00E41E1D"/>
    <w:rsid w:val="00E41ED1"/>
    <w:rsid w:val="00E41ED5"/>
    <w:rsid w:val="00E41F3A"/>
    <w:rsid w:val="00E41F4C"/>
    <w:rsid w:val="00E42235"/>
    <w:rsid w:val="00E4232F"/>
    <w:rsid w:val="00E42345"/>
    <w:rsid w:val="00E423FF"/>
    <w:rsid w:val="00E42414"/>
    <w:rsid w:val="00E4258B"/>
    <w:rsid w:val="00E42637"/>
    <w:rsid w:val="00E42755"/>
    <w:rsid w:val="00E42A23"/>
    <w:rsid w:val="00E42A81"/>
    <w:rsid w:val="00E432FD"/>
    <w:rsid w:val="00E43362"/>
    <w:rsid w:val="00E433D1"/>
    <w:rsid w:val="00E43418"/>
    <w:rsid w:val="00E4357D"/>
    <w:rsid w:val="00E435FF"/>
    <w:rsid w:val="00E4361D"/>
    <w:rsid w:val="00E43709"/>
    <w:rsid w:val="00E43A33"/>
    <w:rsid w:val="00E43B0D"/>
    <w:rsid w:val="00E43B7D"/>
    <w:rsid w:val="00E43C53"/>
    <w:rsid w:val="00E43D42"/>
    <w:rsid w:val="00E43DBE"/>
    <w:rsid w:val="00E43DCB"/>
    <w:rsid w:val="00E43FC3"/>
    <w:rsid w:val="00E44074"/>
    <w:rsid w:val="00E4416A"/>
    <w:rsid w:val="00E441BC"/>
    <w:rsid w:val="00E4425B"/>
    <w:rsid w:val="00E44287"/>
    <w:rsid w:val="00E44360"/>
    <w:rsid w:val="00E443EB"/>
    <w:rsid w:val="00E444DE"/>
    <w:rsid w:val="00E445A8"/>
    <w:rsid w:val="00E44650"/>
    <w:rsid w:val="00E446C3"/>
    <w:rsid w:val="00E44915"/>
    <w:rsid w:val="00E44A67"/>
    <w:rsid w:val="00E44A91"/>
    <w:rsid w:val="00E44B14"/>
    <w:rsid w:val="00E44B55"/>
    <w:rsid w:val="00E44C7D"/>
    <w:rsid w:val="00E44E2F"/>
    <w:rsid w:val="00E44E52"/>
    <w:rsid w:val="00E44EC2"/>
    <w:rsid w:val="00E44EC4"/>
    <w:rsid w:val="00E44ECE"/>
    <w:rsid w:val="00E450B5"/>
    <w:rsid w:val="00E450CE"/>
    <w:rsid w:val="00E45174"/>
    <w:rsid w:val="00E451D9"/>
    <w:rsid w:val="00E452CE"/>
    <w:rsid w:val="00E452D9"/>
    <w:rsid w:val="00E45302"/>
    <w:rsid w:val="00E4546A"/>
    <w:rsid w:val="00E4557E"/>
    <w:rsid w:val="00E455BC"/>
    <w:rsid w:val="00E456AF"/>
    <w:rsid w:val="00E456C2"/>
    <w:rsid w:val="00E45768"/>
    <w:rsid w:val="00E4577D"/>
    <w:rsid w:val="00E45836"/>
    <w:rsid w:val="00E45863"/>
    <w:rsid w:val="00E45B25"/>
    <w:rsid w:val="00E45B76"/>
    <w:rsid w:val="00E45B8E"/>
    <w:rsid w:val="00E45C17"/>
    <w:rsid w:val="00E45DCC"/>
    <w:rsid w:val="00E45E63"/>
    <w:rsid w:val="00E45FDB"/>
    <w:rsid w:val="00E46012"/>
    <w:rsid w:val="00E4624C"/>
    <w:rsid w:val="00E4635D"/>
    <w:rsid w:val="00E463AD"/>
    <w:rsid w:val="00E464D7"/>
    <w:rsid w:val="00E46531"/>
    <w:rsid w:val="00E46639"/>
    <w:rsid w:val="00E4668F"/>
    <w:rsid w:val="00E466A5"/>
    <w:rsid w:val="00E466D0"/>
    <w:rsid w:val="00E46709"/>
    <w:rsid w:val="00E46931"/>
    <w:rsid w:val="00E469D3"/>
    <w:rsid w:val="00E46A5B"/>
    <w:rsid w:val="00E46AB2"/>
    <w:rsid w:val="00E47102"/>
    <w:rsid w:val="00E47147"/>
    <w:rsid w:val="00E471D3"/>
    <w:rsid w:val="00E4723E"/>
    <w:rsid w:val="00E4725F"/>
    <w:rsid w:val="00E4728F"/>
    <w:rsid w:val="00E47519"/>
    <w:rsid w:val="00E4795A"/>
    <w:rsid w:val="00E4795B"/>
    <w:rsid w:val="00E47A6C"/>
    <w:rsid w:val="00E47B24"/>
    <w:rsid w:val="00E47B6B"/>
    <w:rsid w:val="00E47FB9"/>
    <w:rsid w:val="00E500C8"/>
    <w:rsid w:val="00E50127"/>
    <w:rsid w:val="00E5012A"/>
    <w:rsid w:val="00E5024D"/>
    <w:rsid w:val="00E5037C"/>
    <w:rsid w:val="00E503A4"/>
    <w:rsid w:val="00E504D9"/>
    <w:rsid w:val="00E50514"/>
    <w:rsid w:val="00E505B2"/>
    <w:rsid w:val="00E5066A"/>
    <w:rsid w:val="00E506B6"/>
    <w:rsid w:val="00E50733"/>
    <w:rsid w:val="00E509C4"/>
    <w:rsid w:val="00E50DE2"/>
    <w:rsid w:val="00E50ED2"/>
    <w:rsid w:val="00E50ED6"/>
    <w:rsid w:val="00E50F8A"/>
    <w:rsid w:val="00E510FE"/>
    <w:rsid w:val="00E5116A"/>
    <w:rsid w:val="00E51215"/>
    <w:rsid w:val="00E51274"/>
    <w:rsid w:val="00E51561"/>
    <w:rsid w:val="00E5158C"/>
    <w:rsid w:val="00E5169B"/>
    <w:rsid w:val="00E516BA"/>
    <w:rsid w:val="00E51700"/>
    <w:rsid w:val="00E51B59"/>
    <w:rsid w:val="00E51BC2"/>
    <w:rsid w:val="00E51C91"/>
    <w:rsid w:val="00E52022"/>
    <w:rsid w:val="00E52137"/>
    <w:rsid w:val="00E52178"/>
    <w:rsid w:val="00E521B9"/>
    <w:rsid w:val="00E522FE"/>
    <w:rsid w:val="00E5244C"/>
    <w:rsid w:val="00E525D1"/>
    <w:rsid w:val="00E525E4"/>
    <w:rsid w:val="00E525E7"/>
    <w:rsid w:val="00E5260D"/>
    <w:rsid w:val="00E5278E"/>
    <w:rsid w:val="00E527AA"/>
    <w:rsid w:val="00E52A20"/>
    <w:rsid w:val="00E52A78"/>
    <w:rsid w:val="00E52B0F"/>
    <w:rsid w:val="00E52C24"/>
    <w:rsid w:val="00E52F57"/>
    <w:rsid w:val="00E52F84"/>
    <w:rsid w:val="00E52F95"/>
    <w:rsid w:val="00E530EC"/>
    <w:rsid w:val="00E5312C"/>
    <w:rsid w:val="00E5319E"/>
    <w:rsid w:val="00E533FB"/>
    <w:rsid w:val="00E534A0"/>
    <w:rsid w:val="00E534C9"/>
    <w:rsid w:val="00E53576"/>
    <w:rsid w:val="00E53623"/>
    <w:rsid w:val="00E5389F"/>
    <w:rsid w:val="00E538E3"/>
    <w:rsid w:val="00E53B2D"/>
    <w:rsid w:val="00E53BA1"/>
    <w:rsid w:val="00E53BC1"/>
    <w:rsid w:val="00E53BF2"/>
    <w:rsid w:val="00E53DC7"/>
    <w:rsid w:val="00E53DDA"/>
    <w:rsid w:val="00E53ECA"/>
    <w:rsid w:val="00E53EF8"/>
    <w:rsid w:val="00E53FDA"/>
    <w:rsid w:val="00E5407E"/>
    <w:rsid w:val="00E540A8"/>
    <w:rsid w:val="00E54180"/>
    <w:rsid w:val="00E54230"/>
    <w:rsid w:val="00E54403"/>
    <w:rsid w:val="00E544F0"/>
    <w:rsid w:val="00E545ED"/>
    <w:rsid w:val="00E54715"/>
    <w:rsid w:val="00E5475B"/>
    <w:rsid w:val="00E547AF"/>
    <w:rsid w:val="00E547C6"/>
    <w:rsid w:val="00E547D6"/>
    <w:rsid w:val="00E54851"/>
    <w:rsid w:val="00E5489C"/>
    <w:rsid w:val="00E54AFB"/>
    <w:rsid w:val="00E54B68"/>
    <w:rsid w:val="00E54D2B"/>
    <w:rsid w:val="00E54DE9"/>
    <w:rsid w:val="00E54E3E"/>
    <w:rsid w:val="00E550F8"/>
    <w:rsid w:val="00E55120"/>
    <w:rsid w:val="00E551BE"/>
    <w:rsid w:val="00E55273"/>
    <w:rsid w:val="00E55313"/>
    <w:rsid w:val="00E55339"/>
    <w:rsid w:val="00E55347"/>
    <w:rsid w:val="00E554D0"/>
    <w:rsid w:val="00E55573"/>
    <w:rsid w:val="00E556AE"/>
    <w:rsid w:val="00E55839"/>
    <w:rsid w:val="00E558EB"/>
    <w:rsid w:val="00E5599E"/>
    <w:rsid w:val="00E55A65"/>
    <w:rsid w:val="00E55B37"/>
    <w:rsid w:val="00E55B60"/>
    <w:rsid w:val="00E55BAB"/>
    <w:rsid w:val="00E55C05"/>
    <w:rsid w:val="00E55C24"/>
    <w:rsid w:val="00E55CA7"/>
    <w:rsid w:val="00E55D0C"/>
    <w:rsid w:val="00E55E17"/>
    <w:rsid w:val="00E55FDC"/>
    <w:rsid w:val="00E56006"/>
    <w:rsid w:val="00E56304"/>
    <w:rsid w:val="00E56330"/>
    <w:rsid w:val="00E563DF"/>
    <w:rsid w:val="00E564A9"/>
    <w:rsid w:val="00E564B0"/>
    <w:rsid w:val="00E564D8"/>
    <w:rsid w:val="00E5653C"/>
    <w:rsid w:val="00E567ED"/>
    <w:rsid w:val="00E5682B"/>
    <w:rsid w:val="00E56968"/>
    <w:rsid w:val="00E569A0"/>
    <w:rsid w:val="00E56AD7"/>
    <w:rsid w:val="00E56C3F"/>
    <w:rsid w:val="00E56EDC"/>
    <w:rsid w:val="00E56F40"/>
    <w:rsid w:val="00E56F9F"/>
    <w:rsid w:val="00E56FE2"/>
    <w:rsid w:val="00E57011"/>
    <w:rsid w:val="00E570E3"/>
    <w:rsid w:val="00E571E3"/>
    <w:rsid w:val="00E57214"/>
    <w:rsid w:val="00E572A8"/>
    <w:rsid w:val="00E572E4"/>
    <w:rsid w:val="00E574C0"/>
    <w:rsid w:val="00E57552"/>
    <w:rsid w:val="00E57587"/>
    <w:rsid w:val="00E575FD"/>
    <w:rsid w:val="00E576B1"/>
    <w:rsid w:val="00E57720"/>
    <w:rsid w:val="00E5775E"/>
    <w:rsid w:val="00E5780B"/>
    <w:rsid w:val="00E57813"/>
    <w:rsid w:val="00E57926"/>
    <w:rsid w:val="00E579BA"/>
    <w:rsid w:val="00E57ABE"/>
    <w:rsid w:val="00E57B34"/>
    <w:rsid w:val="00E57B45"/>
    <w:rsid w:val="00E57B5C"/>
    <w:rsid w:val="00E57CBF"/>
    <w:rsid w:val="00E57CFE"/>
    <w:rsid w:val="00E57D98"/>
    <w:rsid w:val="00E57E1C"/>
    <w:rsid w:val="00E57E73"/>
    <w:rsid w:val="00E57FA3"/>
    <w:rsid w:val="00E57FE6"/>
    <w:rsid w:val="00E60016"/>
    <w:rsid w:val="00E60082"/>
    <w:rsid w:val="00E601C2"/>
    <w:rsid w:val="00E601FF"/>
    <w:rsid w:val="00E60231"/>
    <w:rsid w:val="00E602B9"/>
    <w:rsid w:val="00E60478"/>
    <w:rsid w:val="00E604E9"/>
    <w:rsid w:val="00E60527"/>
    <w:rsid w:val="00E60529"/>
    <w:rsid w:val="00E605BE"/>
    <w:rsid w:val="00E60669"/>
    <w:rsid w:val="00E606B4"/>
    <w:rsid w:val="00E60736"/>
    <w:rsid w:val="00E607D4"/>
    <w:rsid w:val="00E608BB"/>
    <w:rsid w:val="00E608D6"/>
    <w:rsid w:val="00E60955"/>
    <w:rsid w:val="00E60A7D"/>
    <w:rsid w:val="00E60B36"/>
    <w:rsid w:val="00E61095"/>
    <w:rsid w:val="00E610F3"/>
    <w:rsid w:val="00E61429"/>
    <w:rsid w:val="00E61469"/>
    <w:rsid w:val="00E614F7"/>
    <w:rsid w:val="00E6168E"/>
    <w:rsid w:val="00E61851"/>
    <w:rsid w:val="00E6197B"/>
    <w:rsid w:val="00E61993"/>
    <w:rsid w:val="00E61B17"/>
    <w:rsid w:val="00E61CEB"/>
    <w:rsid w:val="00E61D2D"/>
    <w:rsid w:val="00E61D51"/>
    <w:rsid w:val="00E61DF8"/>
    <w:rsid w:val="00E61E13"/>
    <w:rsid w:val="00E61FC4"/>
    <w:rsid w:val="00E622C7"/>
    <w:rsid w:val="00E622E0"/>
    <w:rsid w:val="00E62355"/>
    <w:rsid w:val="00E62708"/>
    <w:rsid w:val="00E6278B"/>
    <w:rsid w:val="00E628F5"/>
    <w:rsid w:val="00E62942"/>
    <w:rsid w:val="00E629C5"/>
    <w:rsid w:val="00E629D4"/>
    <w:rsid w:val="00E629DE"/>
    <w:rsid w:val="00E62CE2"/>
    <w:rsid w:val="00E62D4F"/>
    <w:rsid w:val="00E62F0F"/>
    <w:rsid w:val="00E62F42"/>
    <w:rsid w:val="00E62FCE"/>
    <w:rsid w:val="00E630C1"/>
    <w:rsid w:val="00E63218"/>
    <w:rsid w:val="00E6323D"/>
    <w:rsid w:val="00E632FA"/>
    <w:rsid w:val="00E634A8"/>
    <w:rsid w:val="00E63808"/>
    <w:rsid w:val="00E6380C"/>
    <w:rsid w:val="00E63812"/>
    <w:rsid w:val="00E638E3"/>
    <w:rsid w:val="00E639E2"/>
    <w:rsid w:val="00E63B47"/>
    <w:rsid w:val="00E63C2B"/>
    <w:rsid w:val="00E63DC0"/>
    <w:rsid w:val="00E63E6E"/>
    <w:rsid w:val="00E63E8F"/>
    <w:rsid w:val="00E63E99"/>
    <w:rsid w:val="00E63EA9"/>
    <w:rsid w:val="00E63F26"/>
    <w:rsid w:val="00E63FED"/>
    <w:rsid w:val="00E63FF3"/>
    <w:rsid w:val="00E640DB"/>
    <w:rsid w:val="00E6424F"/>
    <w:rsid w:val="00E64257"/>
    <w:rsid w:val="00E64301"/>
    <w:rsid w:val="00E643B8"/>
    <w:rsid w:val="00E64407"/>
    <w:rsid w:val="00E64612"/>
    <w:rsid w:val="00E64668"/>
    <w:rsid w:val="00E648D9"/>
    <w:rsid w:val="00E649E3"/>
    <w:rsid w:val="00E64A4B"/>
    <w:rsid w:val="00E64B87"/>
    <w:rsid w:val="00E64BA7"/>
    <w:rsid w:val="00E64F0D"/>
    <w:rsid w:val="00E65069"/>
    <w:rsid w:val="00E650C9"/>
    <w:rsid w:val="00E650DD"/>
    <w:rsid w:val="00E6530A"/>
    <w:rsid w:val="00E6554F"/>
    <w:rsid w:val="00E65624"/>
    <w:rsid w:val="00E657B4"/>
    <w:rsid w:val="00E6591E"/>
    <w:rsid w:val="00E65933"/>
    <w:rsid w:val="00E659DE"/>
    <w:rsid w:val="00E65B68"/>
    <w:rsid w:val="00E65B98"/>
    <w:rsid w:val="00E65CA0"/>
    <w:rsid w:val="00E65CD2"/>
    <w:rsid w:val="00E65CE8"/>
    <w:rsid w:val="00E65D62"/>
    <w:rsid w:val="00E65D6B"/>
    <w:rsid w:val="00E65DF7"/>
    <w:rsid w:val="00E65F43"/>
    <w:rsid w:val="00E65F6A"/>
    <w:rsid w:val="00E65FB6"/>
    <w:rsid w:val="00E65FED"/>
    <w:rsid w:val="00E65FEE"/>
    <w:rsid w:val="00E6601E"/>
    <w:rsid w:val="00E660FB"/>
    <w:rsid w:val="00E66280"/>
    <w:rsid w:val="00E662C8"/>
    <w:rsid w:val="00E6640A"/>
    <w:rsid w:val="00E6641A"/>
    <w:rsid w:val="00E66569"/>
    <w:rsid w:val="00E665E9"/>
    <w:rsid w:val="00E66726"/>
    <w:rsid w:val="00E6686D"/>
    <w:rsid w:val="00E66990"/>
    <w:rsid w:val="00E66B0E"/>
    <w:rsid w:val="00E66B8D"/>
    <w:rsid w:val="00E66BDD"/>
    <w:rsid w:val="00E66D60"/>
    <w:rsid w:val="00E66D88"/>
    <w:rsid w:val="00E66DDD"/>
    <w:rsid w:val="00E66DF8"/>
    <w:rsid w:val="00E66E5F"/>
    <w:rsid w:val="00E66F2A"/>
    <w:rsid w:val="00E66FE1"/>
    <w:rsid w:val="00E6705C"/>
    <w:rsid w:val="00E67064"/>
    <w:rsid w:val="00E67088"/>
    <w:rsid w:val="00E670D4"/>
    <w:rsid w:val="00E6717C"/>
    <w:rsid w:val="00E6720C"/>
    <w:rsid w:val="00E673D5"/>
    <w:rsid w:val="00E6740B"/>
    <w:rsid w:val="00E6743D"/>
    <w:rsid w:val="00E674D9"/>
    <w:rsid w:val="00E674E7"/>
    <w:rsid w:val="00E6750F"/>
    <w:rsid w:val="00E675DA"/>
    <w:rsid w:val="00E67765"/>
    <w:rsid w:val="00E677D2"/>
    <w:rsid w:val="00E677F0"/>
    <w:rsid w:val="00E6780A"/>
    <w:rsid w:val="00E6781D"/>
    <w:rsid w:val="00E67845"/>
    <w:rsid w:val="00E67A33"/>
    <w:rsid w:val="00E67AB8"/>
    <w:rsid w:val="00E67AF4"/>
    <w:rsid w:val="00E67B19"/>
    <w:rsid w:val="00E67BF2"/>
    <w:rsid w:val="00E67BFA"/>
    <w:rsid w:val="00E67C87"/>
    <w:rsid w:val="00E67D1F"/>
    <w:rsid w:val="00E67D44"/>
    <w:rsid w:val="00E67D9D"/>
    <w:rsid w:val="00E67EA0"/>
    <w:rsid w:val="00E67F16"/>
    <w:rsid w:val="00E6BD59"/>
    <w:rsid w:val="00E7013A"/>
    <w:rsid w:val="00E7015D"/>
    <w:rsid w:val="00E70377"/>
    <w:rsid w:val="00E7037E"/>
    <w:rsid w:val="00E703D6"/>
    <w:rsid w:val="00E7050D"/>
    <w:rsid w:val="00E70586"/>
    <w:rsid w:val="00E70737"/>
    <w:rsid w:val="00E708AE"/>
    <w:rsid w:val="00E70997"/>
    <w:rsid w:val="00E70A87"/>
    <w:rsid w:val="00E70AD6"/>
    <w:rsid w:val="00E70D43"/>
    <w:rsid w:val="00E70E34"/>
    <w:rsid w:val="00E70EE1"/>
    <w:rsid w:val="00E70F08"/>
    <w:rsid w:val="00E70F6E"/>
    <w:rsid w:val="00E70FF1"/>
    <w:rsid w:val="00E710DC"/>
    <w:rsid w:val="00E711AE"/>
    <w:rsid w:val="00E711BF"/>
    <w:rsid w:val="00E71246"/>
    <w:rsid w:val="00E71265"/>
    <w:rsid w:val="00E712F4"/>
    <w:rsid w:val="00E71375"/>
    <w:rsid w:val="00E713A9"/>
    <w:rsid w:val="00E7157D"/>
    <w:rsid w:val="00E71820"/>
    <w:rsid w:val="00E718DF"/>
    <w:rsid w:val="00E719AE"/>
    <w:rsid w:val="00E719CD"/>
    <w:rsid w:val="00E71A61"/>
    <w:rsid w:val="00E71ACF"/>
    <w:rsid w:val="00E71BF4"/>
    <w:rsid w:val="00E71C39"/>
    <w:rsid w:val="00E71C98"/>
    <w:rsid w:val="00E71D82"/>
    <w:rsid w:val="00E71E07"/>
    <w:rsid w:val="00E71E13"/>
    <w:rsid w:val="00E71F46"/>
    <w:rsid w:val="00E71FDE"/>
    <w:rsid w:val="00E720CE"/>
    <w:rsid w:val="00E720D5"/>
    <w:rsid w:val="00E721C9"/>
    <w:rsid w:val="00E721E3"/>
    <w:rsid w:val="00E721FB"/>
    <w:rsid w:val="00E7240C"/>
    <w:rsid w:val="00E72441"/>
    <w:rsid w:val="00E72466"/>
    <w:rsid w:val="00E725F8"/>
    <w:rsid w:val="00E72715"/>
    <w:rsid w:val="00E7272E"/>
    <w:rsid w:val="00E72738"/>
    <w:rsid w:val="00E7287E"/>
    <w:rsid w:val="00E728C9"/>
    <w:rsid w:val="00E7298F"/>
    <w:rsid w:val="00E729BF"/>
    <w:rsid w:val="00E72AAA"/>
    <w:rsid w:val="00E72AE5"/>
    <w:rsid w:val="00E72B48"/>
    <w:rsid w:val="00E72B83"/>
    <w:rsid w:val="00E72BCC"/>
    <w:rsid w:val="00E72C91"/>
    <w:rsid w:val="00E72CDE"/>
    <w:rsid w:val="00E72ECA"/>
    <w:rsid w:val="00E7304F"/>
    <w:rsid w:val="00E73248"/>
    <w:rsid w:val="00E73259"/>
    <w:rsid w:val="00E73304"/>
    <w:rsid w:val="00E7350C"/>
    <w:rsid w:val="00E73555"/>
    <w:rsid w:val="00E73665"/>
    <w:rsid w:val="00E73716"/>
    <w:rsid w:val="00E73752"/>
    <w:rsid w:val="00E7380C"/>
    <w:rsid w:val="00E73832"/>
    <w:rsid w:val="00E73834"/>
    <w:rsid w:val="00E7383A"/>
    <w:rsid w:val="00E7385D"/>
    <w:rsid w:val="00E738FF"/>
    <w:rsid w:val="00E73AFC"/>
    <w:rsid w:val="00E73AFF"/>
    <w:rsid w:val="00E73B62"/>
    <w:rsid w:val="00E73C10"/>
    <w:rsid w:val="00E73C23"/>
    <w:rsid w:val="00E73C3C"/>
    <w:rsid w:val="00E73D1A"/>
    <w:rsid w:val="00E73E1D"/>
    <w:rsid w:val="00E73F75"/>
    <w:rsid w:val="00E73FB0"/>
    <w:rsid w:val="00E7402A"/>
    <w:rsid w:val="00E74118"/>
    <w:rsid w:val="00E74122"/>
    <w:rsid w:val="00E743AA"/>
    <w:rsid w:val="00E745C7"/>
    <w:rsid w:val="00E745D6"/>
    <w:rsid w:val="00E745F3"/>
    <w:rsid w:val="00E74627"/>
    <w:rsid w:val="00E7465D"/>
    <w:rsid w:val="00E746E7"/>
    <w:rsid w:val="00E749A6"/>
    <w:rsid w:val="00E749CB"/>
    <w:rsid w:val="00E74AA6"/>
    <w:rsid w:val="00E74AE7"/>
    <w:rsid w:val="00E74B45"/>
    <w:rsid w:val="00E74CC8"/>
    <w:rsid w:val="00E74D0F"/>
    <w:rsid w:val="00E74FDF"/>
    <w:rsid w:val="00E74FE1"/>
    <w:rsid w:val="00E753ED"/>
    <w:rsid w:val="00E755C1"/>
    <w:rsid w:val="00E75787"/>
    <w:rsid w:val="00E75857"/>
    <w:rsid w:val="00E75871"/>
    <w:rsid w:val="00E758AE"/>
    <w:rsid w:val="00E75AA8"/>
    <w:rsid w:val="00E75BFF"/>
    <w:rsid w:val="00E75C2A"/>
    <w:rsid w:val="00E75DF8"/>
    <w:rsid w:val="00E75EB3"/>
    <w:rsid w:val="00E75EF4"/>
    <w:rsid w:val="00E7609B"/>
    <w:rsid w:val="00E761FF"/>
    <w:rsid w:val="00E76222"/>
    <w:rsid w:val="00E762F4"/>
    <w:rsid w:val="00E76694"/>
    <w:rsid w:val="00E767B1"/>
    <w:rsid w:val="00E768B1"/>
    <w:rsid w:val="00E768F7"/>
    <w:rsid w:val="00E76A01"/>
    <w:rsid w:val="00E76B30"/>
    <w:rsid w:val="00E76B9E"/>
    <w:rsid w:val="00E76C3C"/>
    <w:rsid w:val="00E76D4B"/>
    <w:rsid w:val="00E76DB0"/>
    <w:rsid w:val="00E76EC4"/>
    <w:rsid w:val="00E76EF5"/>
    <w:rsid w:val="00E7704F"/>
    <w:rsid w:val="00E770B2"/>
    <w:rsid w:val="00E77129"/>
    <w:rsid w:val="00E771D2"/>
    <w:rsid w:val="00E772AF"/>
    <w:rsid w:val="00E772EA"/>
    <w:rsid w:val="00E7774C"/>
    <w:rsid w:val="00E778B9"/>
    <w:rsid w:val="00E7790D"/>
    <w:rsid w:val="00E77C18"/>
    <w:rsid w:val="00E77D0D"/>
    <w:rsid w:val="00E77DA9"/>
    <w:rsid w:val="00E77DDF"/>
    <w:rsid w:val="00E77F40"/>
    <w:rsid w:val="00E77FCB"/>
    <w:rsid w:val="00E80089"/>
    <w:rsid w:val="00E801E9"/>
    <w:rsid w:val="00E80285"/>
    <w:rsid w:val="00E802E3"/>
    <w:rsid w:val="00E80342"/>
    <w:rsid w:val="00E804A7"/>
    <w:rsid w:val="00E804EB"/>
    <w:rsid w:val="00E806D3"/>
    <w:rsid w:val="00E80883"/>
    <w:rsid w:val="00E80A4D"/>
    <w:rsid w:val="00E80B40"/>
    <w:rsid w:val="00E80B64"/>
    <w:rsid w:val="00E80BD7"/>
    <w:rsid w:val="00E80CAB"/>
    <w:rsid w:val="00E80CDF"/>
    <w:rsid w:val="00E80D98"/>
    <w:rsid w:val="00E80FA2"/>
    <w:rsid w:val="00E80FF5"/>
    <w:rsid w:val="00E810B7"/>
    <w:rsid w:val="00E81165"/>
    <w:rsid w:val="00E812B9"/>
    <w:rsid w:val="00E81329"/>
    <w:rsid w:val="00E813C6"/>
    <w:rsid w:val="00E814A1"/>
    <w:rsid w:val="00E81510"/>
    <w:rsid w:val="00E81533"/>
    <w:rsid w:val="00E8156F"/>
    <w:rsid w:val="00E815B7"/>
    <w:rsid w:val="00E816E6"/>
    <w:rsid w:val="00E8180A"/>
    <w:rsid w:val="00E818BA"/>
    <w:rsid w:val="00E818F9"/>
    <w:rsid w:val="00E81A3E"/>
    <w:rsid w:val="00E81B75"/>
    <w:rsid w:val="00E81CF7"/>
    <w:rsid w:val="00E81F12"/>
    <w:rsid w:val="00E81F14"/>
    <w:rsid w:val="00E81F1F"/>
    <w:rsid w:val="00E81F4B"/>
    <w:rsid w:val="00E81F60"/>
    <w:rsid w:val="00E81F80"/>
    <w:rsid w:val="00E81FE6"/>
    <w:rsid w:val="00E82021"/>
    <w:rsid w:val="00E8203F"/>
    <w:rsid w:val="00E8206F"/>
    <w:rsid w:val="00E82254"/>
    <w:rsid w:val="00E8244A"/>
    <w:rsid w:val="00E824AC"/>
    <w:rsid w:val="00E82667"/>
    <w:rsid w:val="00E826A9"/>
    <w:rsid w:val="00E826EE"/>
    <w:rsid w:val="00E829CF"/>
    <w:rsid w:val="00E82A32"/>
    <w:rsid w:val="00E82A86"/>
    <w:rsid w:val="00E82AF1"/>
    <w:rsid w:val="00E82C5A"/>
    <w:rsid w:val="00E82C5E"/>
    <w:rsid w:val="00E82D22"/>
    <w:rsid w:val="00E82D71"/>
    <w:rsid w:val="00E82E4E"/>
    <w:rsid w:val="00E82EBC"/>
    <w:rsid w:val="00E82F4A"/>
    <w:rsid w:val="00E83104"/>
    <w:rsid w:val="00E831FE"/>
    <w:rsid w:val="00E8322E"/>
    <w:rsid w:val="00E8327E"/>
    <w:rsid w:val="00E8331F"/>
    <w:rsid w:val="00E83550"/>
    <w:rsid w:val="00E83676"/>
    <w:rsid w:val="00E836C5"/>
    <w:rsid w:val="00E83743"/>
    <w:rsid w:val="00E838BB"/>
    <w:rsid w:val="00E83921"/>
    <w:rsid w:val="00E8394C"/>
    <w:rsid w:val="00E83BB4"/>
    <w:rsid w:val="00E83C3F"/>
    <w:rsid w:val="00E841DE"/>
    <w:rsid w:val="00E842F5"/>
    <w:rsid w:val="00E8440C"/>
    <w:rsid w:val="00E844C9"/>
    <w:rsid w:val="00E844E4"/>
    <w:rsid w:val="00E84536"/>
    <w:rsid w:val="00E845AF"/>
    <w:rsid w:val="00E84619"/>
    <w:rsid w:val="00E848D3"/>
    <w:rsid w:val="00E8495C"/>
    <w:rsid w:val="00E849A6"/>
    <w:rsid w:val="00E84BE4"/>
    <w:rsid w:val="00E84C87"/>
    <w:rsid w:val="00E84CD0"/>
    <w:rsid w:val="00E84E0D"/>
    <w:rsid w:val="00E85050"/>
    <w:rsid w:val="00E85096"/>
    <w:rsid w:val="00E850C4"/>
    <w:rsid w:val="00E850E8"/>
    <w:rsid w:val="00E857D3"/>
    <w:rsid w:val="00E8589D"/>
    <w:rsid w:val="00E858DA"/>
    <w:rsid w:val="00E858F3"/>
    <w:rsid w:val="00E85937"/>
    <w:rsid w:val="00E85974"/>
    <w:rsid w:val="00E85A21"/>
    <w:rsid w:val="00E85AAB"/>
    <w:rsid w:val="00E85C38"/>
    <w:rsid w:val="00E85FA4"/>
    <w:rsid w:val="00E85FE4"/>
    <w:rsid w:val="00E86133"/>
    <w:rsid w:val="00E8620F"/>
    <w:rsid w:val="00E86264"/>
    <w:rsid w:val="00E8630E"/>
    <w:rsid w:val="00E86568"/>
    <w:rsid w:val="00E8662F"/>
    <w:rsid w:val="00E866A9"/>
    <w:rsid w:val="00E867CD"/>
    <w:rsid w:val="00E86944"/>
    <w:rsid w:val="00E86CA7"/>
    <w:rsid w:val="00E86D5F"/>
    <w:rsid w:val="00E86DD1"/>
    <w:rsid w:val="00E86FD6"/>
    <w:rsid w:val="00E8712E"/>
    <w:rsid w:val="00E87200"/>
    <w:rsid w:val="00E87336"/>
    <w:rsid w:val="00E873A0"/>
    <w:rsid w:val="00E874D6"/>
    <w:rsid w:val="00E87591"/>
    <w:rsid w:val="00E87598"/>
    <w:rsid w:val="00E8773F"/>
    <w:rsid w:val="00E877B3"/>
    <w:rsid w:val="00E878B9"/>
    <w:rsid w:val="00E87BA4"/>
    <w:rsid w:val="00E87CBA"/>
    <w:rsid w:val="00E87D4F"/>
    <w:rsid w:val="00E87DCD"/>
    <w:rsid w:val="00E87ECC"/>
    <w:rsid w:val="00E90085"/>
    <w:rsid w:val="00E900A0"/>
    <w:rsid w:val="00E900B4"/>
    <w:rsid w:val="00E90150"/>
    <w:rsid w:val="00E9021A"/>
    <w:rsid w:val="00E902F8"/>
    <w:rsid w:val="00E902FB"/>
    <w:rsid w:val="00E90302"/>
    <w:rsid w:val="00E90531"/>
    <w:rsid w:val="00E905A1"/>
    <w:rsid w:val="00E90609"/>
    <w:rsid w:val="00E90665"/>
    <w:rsid w:val="00E9066A"/>
    <w:rsid w:val="00E908A9"/>
    <w:rsid w:val="00E908F7"/>
    <w:rsid w:val="00E908FA"/>
    <w:rsid w:val="00E909AC"/>
    <w:rsid w:val="00E90C9C"/>
    <w:rsid w:val="00E90D1F"/>
    <w:rsid w:val="00E90D97"/>
    <w:rsid w:val="00E90F1A"/>
    <w:rsid w:val="00E90F7D"/>
    <w:rsid w:val="00E9105E"/>
    <w:rsid w:val="00E9108B"/>
    <w:rsid w:val="00E91093"/>
    <w:rsid w:val="00E91148"/>
    <w:rsid w:val="00E91184"/>
    <w:rsid w:val="00E911B6"/>
    <w:rsid w:val="00E9123D"/>
    <w:rsid w:val="00E91350"/>
    <w:rsid w:val="00E91366"/>
    <w:rsid w:val="00E91428"/>
    <w:rsid w:val="00E915E2"/>
    <w:rsid w:val="00E916C0"/>
    <w:rsid w:val="00E91746"/>
    <w:rsid w:val="00E9181A"/>
    <w:rsid w:val="00E91842"/>
    <w:rsid w:val="00E9187E"/>
    <w:rsid w:val="00E91A16"/>
    <w:rsid w:val="00E91B7F"/>
    <w:rsid w:val="00E91BA5"/>
    <w:rsid w:val="00E91BCF"/>
    <w:rsid w:val="00E91C04"/>
    <w:rsid w:val="00E91C14"/>
    <w:rsid w:val="00E91D49"/>
    <w:rsid w:val="00E91DBE"/>
    <w:rsid w:val="00E91F81"/>
    <w:rsid w:val="00E91FBA"/>
    <w:rsid w:val="00E92065"/>
    <w:rsid w:val="00E9226F"/>
    <w:rsid w:val="00E9238A"/>
    <w:rsid w:val="00E924D2"/>
    <w:rsid w:val="00E9251F"/>
    <w:rsid w:val="00E92573"/>
    <w:rsid w:val="00E9260F"/>
    <w:rsid w:val="00E9288B"/>
    <w:rsid w:val="00E92932"/>
    <w:rsid w:val="00E92A27"/>
    <w:rsid w:val="00E92A70"/>
    <w:rsid w:val="00E92C0B"/>
    <w:rsid w:val="00E92C95"/>
    <w:rsid w:val="00E92E30"/>
    <w:rsid w:val="00E92E98"/>
    <w:rsid w:val="00E92F1B"/>
    <w:rsid w:val="00E92F24"/>
    <w:rsid w:val="00E92F97"/>
    <w:rsid w:val="00E9308F"/>
    <w:rsid w:val="00E930EB"/>
    <w:rsid w:val="00E93173"/>
    <w:rsid w:val="00E932DB"/>
    <w:rsid w:val="00E93526"/>
    <w:rsid w:val="00E93721"/>
    <w:rsid w:val="00E938B9"/>
    <w:rsid w:val="00E938BB"/>
    <w:rsid w:val="00E9393B"/>
    <w:rsid w:val="00E93977"/>
    <w:rsid w:val="00E939EF"/>
    <w:rsid w:val="00E939F0"/>
    <w:rsid w:val="00E93A3D"/>
    <w:rsid w:val="00E93B48"/>
    <w:rsid w:val="00E93BDF"/>
    <w:rsid w:val="00E93C78"/>
    <w:rsid w:val="00E93CC5"/>
    <w:rsid w:val="00E93DE4"/>
    <w:rsid w:val="00E93EA1"/>
    <w:rsid w:val="00E93F8B"/>
    <w:rsid w:val="00E93FE9"/>
    <w:rsid w:val="00E94082"/>
    <w:rsid w:val="00E940A8"/>
    <w:rsid w:val="00E9413D"/>
    <w:rsid w:val="00E9432D"/>
    <w:rsid w:val="00E945E6"/>
    <w:rsid w:val="00E9464A"/>
    <w:rsid w:val="00E94727"/>
    <w:rsid w:val="00E949B6"/>
    <w:rsid w:val="00E94A36"/>
    <w:rsid w:val="00E94C0D"/>
    <w:rsid w:val="00E94CDB"/>
    <w:rsid w:val="00E94E5A"/>
    <w:rsid w:val="00E94E69"/>
    <w:rsid w:val="00E94EB2"/>
    <w:rsid w:val="00E950DD"/>
    <w:rsid w:val="00E95217"/>
    <w:rsid w:val="00E9547A"/>
    <w:rsid w:val="00E954A1"/>
    <w:rsid w:val="00E9567A"/>
    <w:rsid w:val="00E9568B"/>
    <w:rsid w:val="00E957C8"/>
    <w:rsid w:val="00E95A27"/>
    <w:rsid w:val="00E95AD7"/>
    <w:rsid w:val="00E95C66"/>
    <w:rsid w:val="00E95D3D"/>
    <w:rsid w:val="00E95D4D"/>
    <w:rsid w:val="00E95E04"/>
    <w:rsid w:val="00E95E98"/>
    <w:rsid w:val="00E95EC6"/>
    <w:rsid w:val="00E95EF3"/>
    <w:rsid w:val="00E9613A"/>
    <w:rsid w:val="00E9614D"/>
    <w:rsid w:val="00E9639B"/>
    <w:rsid w:val="00E963F8"/>
    <w:rsid w:val="00E9660C"/>
    <w:rsid w:val="00E96732"/>
    <w:rsid w:val="00E967DD"/>
    <w:rsid w:val="00E9697A"/>
    <w:rsid w:val="00E96A25"/>
    <w:rsid w:val="00E96A9C"/>
    <w:rsid w:val="00E96CFE"/>
    <w:rsid w:val="00E96DFB"/>
    <w:rsid w:val="00E96E13"/>
    <w:rsid w:val="00E96ED9"/>
    <w:rsid w:val="00E9709E"/>
    <w:rsid w:val="00E970F3"/>
    <w:rsid w:val="00E97162"/>
    <w:rsid w:val="00E97185"/>
    <w:rsid w:val="00E972E9"/>
    <w:rsid w:val="00E97368"/>
    <w:rsid w:val="00E9740A"/>
    <w:rsid w:val="00E97446"/>
    <w:rsid w:val="00E974D5"/>
    <w:rsid w:val="00E9757A"/>
    <w:rsid w:val="00E97695"/>
    <w:rsid w:val="00E977B6"/>
    <w:rsid w:val="00E9783A"/>
    <w:rsid w:val="00E979CF"/>
    <w:rsid w:val="00E97A95"/>
    <w:rsid w:val="00E97B3B"/>
    <w:rsid w:val="00E97C41"/>
    <w:rsid w:val="00E97CB2"/>
    <w:rsid w:val="00E97CB7"/>
    <w:rsid w:val="00E97E59"/>
    <w:rsid w:val="00E97FC5"/>
    <w:rsid w:val="00EA0038"/>
    <w:rsid w:val="00EA00C7"/>
    <w:rsid w:val="00EA00E8"/>
    <w:rsid w:val="00EA00F0"/>
    <w:rsid w:val="00EA013A"/>
    <w:rsid w:val="00EA01F8"/>
    <w:rsid w:val="00EA0211"/>
    <w:rsid w:val="00EA02C2"/>
    <w:rsid w:val="00EA03CD"/>
    <w:rsid w:val="00EA03F6"/>
    <w:rsid w:val="00EA0554"/>
    <w:rsid w:val="00EA056A"/>
    <w:rsid w:val="00EA05CF"/>
    <w:rsid w:val="00EA0716"/>
    <w:rsid w:val="00EA07D5"/>
    <w:rsid w:val="00EA087D"/>
    <w:rsid w:val="00EA0A99"/>
    <w:rsid w:val="00EA0B46"/>
    <w:rsid w:val="00EA0BB6"/>
    <w:rsid w:val="00EA0C8A"/>
    <w:rsid w:val="00EA0D22"/>
    <w:rsid w:val="00EA0D52"/>
    <w:rsid w:val="00EA0D54"/>
    <w:rsid w:val="00EA0DFC"/>
    <w:rsid w:val="00EA0FC3"/>
    <w:rsid w:val="00EA0FD3"/>
    <w:rsid w:val="00EA109A"/>
    <w:rsid w:val="00EA1183"/>
    <w:rsid w:val="00EA1230"/>
    <w:rsid w:val="00EA12B8"/>
    <w:rsid w:val="00EA1412"/>
    <w:rsid w:val="00EA1519"/>
    <w:rsid w:val="00EA1622"/>
    <w:rsid w:val="00EA178D"/>
    <w:rsid w:val="00EA1832"/>
    <w:rsid w:val="00EA185B"/>
    <w:rsid w:val="00EA1871"/>
    <w:rsid w:val="00EA1A1F"/>
    <w:rsid w:val="00EA1A6E"/>
    <w:rsid w:val="00EA1A90"/>
    <w:rsid w:val="00EA1BC4"/>
    <w:rsid w:val="00EA1C45"/>
    <w:rsid w:val="00EA1EFE"/>
    <w:rsid w:val="00EA211C"/>
    <w:rsid w:val="00EA22F3"/>
    <w:rsid w:val="00EA23D2"/>
    <w:rsid w:val="00EA24C2"/>
    <w:rsid w:val="00EA2593"/>
    <w:rsid w:val="00EA2604"/>
    <w:rsid w:val="00EA293B"/>
    <w:rsid w:val="00EA2A3C"/>
    <w:rsid w:val="00EA2A7D"/>
    <w:rsid w:val="00EA2A92"/>
    <w:rsid w:val="00EA2B21"/>
    <w:rsid w:val="00EA2D29"/>
    <w:rsid w:val="00EA2E47"/>
    <w:rsid w:val="00EA2EA8"/>
    <w:rsid w:val="00EA2F91"/>
    <w:rsid w:val="00EA3007"/>
    <w:rsid w:val="00EA30D3"/>
    <w:rsid w:val="00EA3125"/>
    <w:rsid w:val="00EA316F"/>
    <w:rsid w:val="00EA321E"/>
    <w:rsid w:val="00EA33B8"/>
    <w:rsid w:val="00EA35F9"/>
    <w:rsid w:val="00EA38F8"/>
    <w:rsid w:val="00EA3A01"/>
    <w:rsid w:val="00EA3B43"/>
    <w:rsid w:val="00EA3BF6"/>
    <w:rsid w:val="00EA3CA0"/>
    <w:rsid w:val="00EA3CED"/>
    <w:rsid w:val="00EA3D20"/>
    <w:rsid w:val="00EA3D23"/>
    <w:rsid w:val="00EA3D4B"/>
    <w:rsid w:val="00EA3DBD"/>
    <w:rsid w:val="00EA3F1C"/>
    <w:rsid w:val="00EA3F38"/>
    <w:rsid w:val="00EA3F9D"/>
    <w:rsid w:val="00EA4077"/>
    <w:rsid w:val="00EA41A9"/>
    <w:rsid w:val="00EA42C2"/>
    <w:rsid w:val="00EA430F"/>
    <w:rsid w:val="00EA4436"/>
    <w:rsid w:val="00EA44BB"/>
    <w:rsid w:val="00EA46DB"/>
    <w:rsid w:val="00EA4703"/>
    <w:rsid w:val="00EA486C"/>
    <w:rsid w:val="00EA48AC"/>
    <w:rsid w:val="00EA4A03"/>
    <w:rsid w:val="00EA4A43"/>
    <w:rsid w:val="00EA4A55"/>
    <w:rsid w:val="00EA4A83"/>
    <w:rsid w:val="00EA4A9F"/>
    <w:rsid w:val="00EA4B10"/>
    <w:rsid w:val="00EA4B35"/>
    <w:rsid w:val="00EA4C0E"/>
    <w:rsid w:val="00EA4FA6"/>
    <w:rsid w:val="00EA50C5"/>
    <w:rsid w:val="00EA510B"/>
    <w:rsid w:val="00EA52B0"/>
    <w:rsid w:val="00EA52B4"/>
    <w:rsid w:val="00EA53B9"/>
    <w:rsid w:val="00EA5483"/>
    <w:rsid w:val="00EA550F"/>
    <w:rsid w:val="00EA55AE"/>
    <w:rsid w:val="00EA5608"/>
    <w:rsid w:val="00EA5777"/>
    <w:rsid w:val="00EA58CF"/>
    <w:rsid w:val="00EA592C"/>
    <w:rsid w:val="00EA5A12"/>
    <w:rsid w:val="00EA5A5F"/>
    <w:rsid w:val="00EA5B3D"/>
    <w:rsid w:val="00EA5C53"/>
    <w:rsid w:val="00EA5C9B"/>
    <w:rsid w:val="00EA5D1C"/>
    <w:rsid w:val="00EA5D9D"/>
    <w:rsid w:val="00EA6087"/>
    <w:rsid w:val="00EA6118"/>
    <w:rsid w:val="00EA617E"/>
    <w:rsid w:val="00EA6249"/>
    <w:rsid w:val="00EA6260"/>
    <w:rsid w:val="00EA6263"/>
    <w:rsid w:val="00EA64CA"/>
    <w:rsid w:val="00EA652C"/>
    <w:rsid w:val="00EA65D6"/>
    <w:rsid w:val="00EA662A"/>
    <w:rsid w:val="00EA6682"/>
    <w:rsid w:val="00EA67F1"/>
    <w:rsid w:val="00EA68C0"/>
    <w:rsid w:val="00EA6961"/>
    <w:rsid w:val="00EA6B11"/>
    <w:rsid w:val="00EA6D18"/>
    <w:rsid w:val="00EA6E2E"/>
    <w:rsid w:val="00EA6E35"/>
    <w:rsid w:val="00EA6E9F"/>
    <w:rsid w:val="00EA6ECF"/>
    <w:rsid w:val="00EA70BB"/>
    <w:rsid w:val="00EA70D9"/>
    <w:rsid w:val="00EA7194"/>
    <w:rsid w:val="00EA71B8"/>
    <w:rsid w:val="00EA71D3"/>
    <w:rsid w:val="00EA742F"/>
    <w:rsid w:val="00EA757B"/>
    <w:rsid w:val="00EA7720"/>
    <w:rsid w:val="00EA7869"/>
    <w:rsid w:val="00EA78CA"/>
    <w:rsid w:val="00EA79E9"/>
    <w:rsid w:val="00EA7A2A"/>
    <w:rsid w:val="00EA7B21"/>
    <w:rsid w:val="00EA7B25"/>
    <w:rsid w:val="00EA7B61"/>
    <w:rsid w:val="00EA7BB6"/>
    <w:rsid w:val="00EA7BC0"/>
    <w:rsid w:val="00EA7C23"/>
    <w:rsid w:val="00EA7DB6"/>
    <w:rsid w:val="00EA7DFD"/>
    <w:rsid w:val="00EA7EE0"/>
    <w:rsid w:val="00EA7F46"/>
    <w:rsid w:val="00EA7FB2"/>
    <w:rsid w:val="00EB0180"/>
    <w:rsid w:val="00EB035D"/>
    <w:rsid w:val="00EB038E"/>
    <w:rsid w:val="00EB03CE"/>
    <w:rsid w:val="00EB0482"/>
    <w:rsid w:val="00EB04C5"/>
    <w:rsid w:val="00EB067D"/>
    <w:rsid w:val="00EB0763"/>
    <w:rsid w:val="00EB0765"/>
    <w:rsid w:val="00EB0873"/>
    <w:rsid w:val="00EB0B93"/>
    <w:rsid w:val="00EB0BA2"/>
    <w:rsid w:val="00EB0DA6"/>
    <w:rsid w:val="00EB0E50"/>
    <w:rsid w:val="00EB0F18"/>
    <w:rsid w:val="00EB100C"/>
    <w:rsid w:val="00EB1066"/>
    <w:rsid w:val="00EB118A"/>
    <w:rsid w:val="00EB14DC"/>
    <w:rsid w:val="00EB1702"/>
    <w:rsid w:val="00EB17CD"/>
    <w:rsid w:val="00EB1836"/>
    <w:rsid w:val="00EB18B3"/>
    <w:rsid w:val="00EB1918"/>
    <w:rsid w:val="00EB1920"/>
    <w:rsid w:val="00EB192E"/>
    <w:rsid w:val="00EB194F"/>
    <w:rsid w:val="00EB1950"/>
    <w:rsid w:val="00EB197B"/>
    <w:rsid w:val="00EB1AA8"/>
    <w:rsid w:val="00EB1AC5"/>
    <w:rsid w:val="00EB1AD9"/>
    <w:rsid w:val="00EB1B56"/>
    <w:rsid w:val="00EB1BA7"/>
    <w:rsid w:val="00EB1C69"/>
    <w:rsid w:val="00EB1CD3"/>
    <w:rsid w:val="00EB1D85"/>
    <w:rsid w:val="00EB1DE6"/>
    <w:rsid w:val="00EB1E3A"/>
    <w:rsid w:val="00EB1ECF"/>
    <w:rsid w:val="00EB1FFB"/>
    <w:rsid w:val="00EB2078"/>
    <w:rsid w:val="00EB2162"/>
    <w:rsid w:val="00EB21F7"/>
    <w:rsid w:val="00EB2319"/>
    <w:rsid w:val="00EB2326"/>
    <w:rsid w:val="00EB24BB"/>
    <w:rsid w:val="00EB24C3"/>
    <w:rsid w:val="00EB24C8"/>
    <w:rsid w:val="00EB2767"/>
    <w:rsid w:val="00EB2784"/>
    <w:rsid w:val="00EB27A8"/>
    <w:rsid w:val="00EB2991"/>
    <w:rsid w:val="00EB2A0C"/>
    <w:rsid w:val="00EB2CF3"/>
    <w:rsid w:val="00EB2D05"/>
    <w:rsid w:val="00EB2D97"/>
    <w:rsid w:val="00EB2DD8"/>
    <w:rsid w:val="00EB2E61"/>
    <w:rsid w:val="00EB302F"/>
    <w:rsid w:val="00EB304E"/>
    <w:rsid w:val="00EB30D4"/>
    <w:rsid w:val="00EB311A"/>
    <w:rsid w:val="00EB3204"/>
    <w:rsid w:val="00EB3276"/>
    <w:rsid w:val="00EB3462"/>
    <w:rsid w:val="00EB3467"/>
    <w:rsid w:val="00EB360D"/>
    <w:rsid w:val="00EB376D"/>
    <w:rsid w:val="00EB3861"/>
    <w:rsid w:val="00EB3A56"/>
    <w:rsid w:val="00EB3B3C"/>
    <w:rsid w:val="00EB3B63"/>
    <w:rsid w:val="00EB3BA6"/>
    <w:rsid w:val="00EB3D45"/>
    <w:rsid w:val="00EB3DA2"/>
    <w:rsid w:val="00EB3DDD"/>
    <w:rsid w:val="00EB3E82"/>
    <w:rsid w:val="00EB407A"/>
    <w:rsid w:val="00EB42C1"/>
    <w:rsid w:val="00EB42E1"/>
    <w:rsid w:val="00EB433D"/>
    <w:rsid w:val="00EB4396"/>
    <w:rsid w:val="00EB45BE"/>
    <w:rsid w:val="00EB488F"/>
    <w:rsid w:val="00EB4943"/>
    <w:rsid w:val="00EB4A38"/>
    <w:rsid w:val="00EB4A64"/>
    <w:rsid w:val="00EB4A7B"/>
    <w:rsid w:val="00EB4ACE"/>
    <w:rsid w:val="00EB4CBD"/>
    <w:rsid w:val="00EB4E02"/>
    <w:rsid w:val="00EB4E68"/>
    <w:rsid w:val="00EB5080"/>
    <w:rsid w:val="00EB51AE"/>
    <w:rsid w:val="00EB5262"/>
    <w:rsid w:val="00EB52E8"/>
    <w:rsid w:val="00EB52EA"/>
    <w:rsid w:val="00EB537B"/>
    <w:rsid w:val="00EB53D6"/>
    <w:rsid w:val="00EB53EF"/>
    <w:rsid w:val="00EB555F"/>
    <w:rsid w:val="00EB5691"/>
    <w:rsid w:val="00EB57FB"/>
    <w:rsid w:val="00EB589E"/>
    <w:rsid w:val="00EB58D1"/>
    <w:rsid w:val="00EB5A01"/>
    <w:rsid w:val="00EB5ABA"/>
    <w:rsid w:val="00EB5B79"/>
    <w:rsid w:val="00EB5C6B"/>
    <w:rsid w:val="00EB5D12"/>
    <w:rsid w:val="00EB5E0A"/>
    <w:rsid w:val="00EB5E2A"/>
    <w:rsid w:val="00EB5E66"/>
    <w:rsid w:val="00EB604D"/>
    <w:rsid w:val="00EB60DD"/>
    <w:rsid w:val="00EB610F"/>
    <w:rsid w:val="00EB6165"/>
    <w:rsid w:val="00EB61B8"/>
    <w:rsid w:val="00EB61DB"/>
    <w:rsid w:val="00EB63A9"/>
    <w:rsid w:val="00EB65B4"/>
    <w:rsid w:val="00EB6640"/>
    <w:rsid w:val="00EB6685"/>
    <w:rsid w:val="00EB66BA"/>
    <w:rsid w:val="00EB66D8"/>
    <w:rsid w:val="00EB66E9"/>
    <w:rsid w:val="00EB66F8"/>
    <w:rsid w:val="00EB6733"/>
    <w:rsid w:val="00EB6736"/>
    <w:rsid w:val="00EB679B"/>
    <w:rsid w:val="00EB6863"/>
    <w:rsid w:val="00EB68CC"/>
    <w:rsid w:val="00EB6930"/>
    <w:rsid w:val="00EB6BBD"/>
    <w:rsid w:val="00EB6BE8"/>
    <w:rsid w:val="00EB6D27"/>
    <w:rsid w:val="00EB6E43"/>
    <w:rsid w:val="00EB6EFA"/>
    <w:rsid w:val="00EB6F02"/>
    <w:rsid w:val="00EB6F2C"/>
    <w:rsid w:val="00EB6F95"/>
    <w:rsid w:val="00EB6FC4"/>
    <w:rsid w:val="00EB717B"/>
    <w:rsid w:val="00EB71F5"/>
    <w:rsid w:val="00EB7266"/>
    <w:rsid w:val="00EB726E"/>
    <w:rsid w:val="00EB7804"/>
    <w:rsid w:val="00EB7A09"/>
    <w:rsid w:val="00EB7B4D"/>
    <w:rsid w:val="00EB7C3D"/>
    <w:rsid w:val="00EB7C45"/>
    <w:rsid w:val="00EB7D07"/>
    <w:rsid w:val="00EB7D63"/>
    <w:rsid w:val="00EB7DAB"/>
    <w:rsid w:val="00EB7EF2"/>
    <w:rsid w:val="00EC00E7"/>
    <w:rsid w:val="00EC04A3"/>
    <w:rsid w:val="00EC04B4"/>
    <w:rsid w:val="00EC0561"/>
    <w:rsid w:val="00EC05B4"/>
    <w:rsid w:val="00EC05BC"/>
    <w:rsid w:val="00EC0698"/>
    <w:rsid w:val="00EC0837"/>
    <w:rsid w:val="00EC086A"/>
    <w:rsid w:val="00EC0A71"/>
    <w:rsid w:val="00EC0A9D"/>
    <w:rsid w:val="00EC0D3B"/>
    <w:rsid w:val="00EC0D81"/>
    <w:rsid w:val="00EC0E51"/>
    <w:rsid w:val="00EC0F8E"/>
    <w:rsid w:val="00EC122F"/>
    <w:rsid w:val="00EC1241"/>
    <w:rsid w:val="00EC12A1"/>
    <w:rsid w:val="00EC12E1"/>
    <w:rsid w:val="00EC14E2"/>
    <w:rsid w:val="00EC1519"/>
    <w:rsid w:val="00EC1754"/>
    <w:rsid w:val="00EC19C3"/>
    <w:rsid w:val="00EC1A87"/>
    <w:rsid w:val="00EC1AA6"/>
    <w:rsid w:val="00EC1AF1"/>
    <w:rsid w:val="00EC1B54"/>
    <w:rsid w:val="00EC1C2C"/>
    <w:rsid w:val="00EC1C41"/>
    <w:rsid w:val="00EC1EA4"/>
    <w:rsid w:val="00EC20FA"/>
    <w:rsid w:val="00EC22FE"/>
    <w:rsid w:val="00EC239F"/>
    <w:rsid w:val="00EC23B3"/>
    <w:rsid w:val="00EC2459"/>
    <w:rsid w:val="00EC290C"/>
    <w:rsid w:val="00EC2A31"/>
    <w:rsid w:val="00EC2C37"/>
    <w:rsid w:val="00EC2CD1"/>
    <w:rsid w:val="00EC2D64"/>
    <w:rsid w:val="00EC2EE0"/>
    <w:rsid w:val="00EC2FDE"/>
    <w:rsid w:val="00EC3113"/>
    <w:rsid w:val="00EC3186"/>
    <w:rsid w:val="00EC325F"/>
    <w:rsid w:val="00EC3307"/>
    <w:rsid w:val="00EC33A8"/>
    <w:rsid w:val="00EC3518"/>
    <w:rsid w:val="00EC36E8"/>
    <w:rsid w:val="00EC3778"/>
    <w:rsid w:val="00EC37DF"/>
    <w:rsid w:val="00EC37FE"/>
    <w:rsid w:val="00EC382B"/>
    <w:rsid w:val="00EC3941"/>
    <w:rsid w:val="00EC3CA4"/>
    <w:rsid w:val="00EC3CAA"/>
    <w:rsid w:val="00EC418E"/>
    <w:rsid w:val="00EC421D"/>
    <w:rsid w:val="00EC458E"/>
    <w:rsid w:val="00EC4615"/>
    <w:rsid w:val="00EC4632"/>
    <w:rsid w:val="00EC46FC"/>
    <w:rsid w:val="00EC474F"/>
    <w:rsid w:val="00EC4762"/>
    <w:rsid w:val="00EC47C9"/>
    <w:rsid w:val="00EC4994"/>
    <w:rsid w:val="00EC49FB"/>
    <w:rsid w:val="00EC4A8B"/>
    <w:rsid w:val="00EC4B07"/>
    <w:rsid w:val="00EC4C28"/>
    <w:rsid w:val="00EC4D43"/>
    <w:rsid w:val="00EC4EEA"/>
    <w:rsid w:val="00EC4F4F"/>
    <w:rsid w:val="00EC4FC3"/>
    <w:rsid w:val="00EC4FF8"/>
    <w:rsid w:val="00EC50BE"/>
    <w:rsid w:val="00EC5268"/>
    <w:rsid w:val="00EC52E1"/>
    <w:rsid w:val="00EC52E6"/>
    <w:rsid w:val="00EC52FB"/>
    <w:rsid w:val="00EC5373"/>
    <w:rsid w:val="00EC53B2"/>
    <w:rsid w:val="00EC541F"/>
    <w:rsid w:val="00EC549B"/>
    <w:rsid w:val="00EC54D4"/>
    <w:rsid w:val="00EC55CD"/>
    <w:rsid w:val="00EC5656"/>
    <w:rsid w:val="00EC569A"/>
    <w:rsid w:val="00EC5728"/>
    <w:rsid w:val="00EC57F8"/>
    <w:rsid w:val="00EC58BF"/>
    <w:rsid w:val="00EC5958"/>
    <w:rsid w:val="00EC5976"/>
    <w:rsid w:val="00EC5A05"/>
    <w:rsid w:val="00EC5A5C"/>
    <w:rsid w:val="00EC5ADB"/>
    <w:rsid w:val="00EC5B46"/>
    <w:rsid w:val="00EC5BCA"/>
    <w:rsid w:val="00EC5BE1"/>
    <w:rsid w:val="00EC5C51"/>
    <w:rsid w:val="00EC5CFF"/>
    <w:rsid w:val="00EC5D86"/>
    <w:rsid w:val="00EC5DA7"/>
    <w:rsid w:val="00EC5E19"/>
    <w:rsid w:val="00EC5F90"/>
    <w:rsid w:val="00EC6022"/>
    <w:rsid w:val="00EC6036"/>
    <w:rsid w:val="00EC6094"/>
    <w:rsid w:val="00EC61E2"/>
    <w:rsid w:val="00EC6231"/>
    <w:rsid w:val="00EC63B2"/>
    <w:rsid w:val="00EC6418"/>
    <w:rsid w:val="00EC6428"/>
    <w:rsid w:val="00EC6435"/>
    <w:rsid w:val="00EC6489"/>
    <w:rsid w:val="00EC649C"/>
    <w:rsid w:val="00EC6768"/>
    <w:rsid w:val="00EC677B"/>
    <w:rsid w:val="00EC69F6"/>
    <w:rsid w:val="00EC6BD1"/>
    <w:rsid w:val="00EC6CD3"/>
    <w:rsid w:val="00EC6D1F"/>
    <w:rsid w:val="00EC6E1E"/>
    <w:rsid w:val="00EC6F51"/>
    <w:rsid w:val="00EC7178"/>
    <w:rsid w:val="00EC7181"/>
    <w:rsid w:val="00EC71F3"/>
    <w:rsid w:val="00EC73E2"/>
    <w:rsid w:val="00EC74D4"/>
    <w:rsid w:val="00EC74F2"/>
    <w:rsid w:val="00EC7676"/>
    <w:rsid w:val="00EC7712"/>
    <w:rsid w:val="00EC7722"/>
    <w:rsid w:val="00EC776F"/>
    <w:rsid w:val="00EC779D"/>
    <w:rsid w:val="00EC789D"/>
    <w:rsid w:val="00EC7AB4"/>
    <w:rsid w:val="00EC7B6C"/>
    <w:rsid w:val="00EC7D04"/>
    <w:rsid w:val="00EC7D0B"/>
    <w:rsid w:val="00EC7D7B"/>
    <w:rsid w:val="00EC7E17"/>
    <w:rsid w:val="00ED0247"/>
    <w:rsid w:val="00ED0491"/>
    <w:rsid w:val="00ED049B"/>
    <w:rsid w:val="00ED05BC"/>
    <w:rsid w:val="00ED062B"/>
    <w:rsid w:val="00ED0636"/>
    <w:rsid w:val="00ED0684"/>
    <w:rsid w:val="00ED0760"/>
    <w:rsid w:val="00ED076A"/>
    <w:rsid w:val="00ED087F"/>
    <w:rsid w:val="00ED08A0"/>
    <w:rsid w:val="00ED0928"/>
    <w:rsid w:val="00ED0AD1"/>
    <w:rsid w:val="00ED0ADC"/>
    <w:rsid w:val="00ED0AED"/>
    <w:rsid w:val="00ED0C63"/>
    <w:rsid w:val="00ED0CA9"/>
    <w:rsid w:val="00ED0CAF"/>
    <w:rsid w:val="00ED0E2E"/>
    <w:rsid w:val="00ED0E4F"/>
    <w:rsid w:val="00ED1060"/>
    <w:rsid w:val="00ED1118"/>
    <w:rsid w:val="00ED11E3"/>
    <w:rsid w:val="00ED128F"/>
    <w:rsid w:val="00ED134D"/>
    <w:rsid w:val="00ED1350"/>
    <w:rsid w:val="00ED13E8"/>
    <w:rsid w:val="00ED1559"/>
    <w:rsid w:val="00ED1571"/>
    <w:rsid w:val="00ED15D6"/>
    <w:rsid w:val="00ED15DE"/>
    <w:rsid w:val="00ED16C2"/>
    <w:rsid w:val="00ED1814"/>
    <w:rsid w:val="00ED1A3E"/>
    <w:rsid w:val="00ED1D8F"/>
    <w:rsid w:val="00ED1EC1"/>
    <w:rsid w:val="00ED1F01"/>
    <w:rsid w:val="00ED210E"/>
    <w:rsid w:val="00ED213E"/>
    <w:rsid w:val="00ED2207"/>
    <w:rsid w:val="00ED23CC"/>
    <w:rsid w:val="00ED23EB"/>
    <w:rsid w:val="00ED2438"/>
    <w:rsid w:val="00ED24D5"/>
    <w:rsid w:val="00ED2570"/>
    <w:rsid w:val="00ED2601"/>
    <w:rsid w:val="00ED287C"/>
    <w:rsid w:val="00ED2994"/>
    <w:rsid w:val="00ED2BFF"/>
    <w:rsid w:val="00ED2CD0"/>
    <w:rsid w:val="00ED2F40"/>
    <w:rsid w:val="00ED3079"/>
    <w:rsid w:val="00ED3081"/>
    <w:rsid w:val="00ED30DE"/>
    <w:rsid w:val="00ED3108"/>
    <w:rsid w:val="00ED3255"/>
    <w:rsid w:val="00ED3299"/>
    <w:rsid w:val="00ED3414"/>
    <w:rsid w:val="00ED343C"/>
    <w:rsid w:val="00ED345F"/>
    <w:rsid w:val="00ED35E8"/>
    <w:rsid w:val="00ED37B4"/>
    <w:rsid w:val="00ED37CF"/>
    <w:rsid w:val="00ED38F0"/>
    <w:rsid w:val="00ED3914"/>
    <w:rsid w:val="00ED3A7C"/>
    <w:rsid w:val="00ED3A97"/>
    <w:rsid w:val="00ED3B3D"/>
    <w:rsid w:val="00ED3B4E"/>
    <w:rsid w:val="00ED3BCA"/>
    <w:rsid w:val="00ED3C9C"/>
    <w:rsid w:val="00ED3D50"/>
    <w:rsid w:val="00ED3DC0"/>
    <w:rsid w:val="00ED3E98"/>
    <w:rsid w:val="00ED3F75"/>
    <w:rsid w:val="00ED405A"/>
    <w:rsid w:val="00ED42D5"/>
    <w:rsid w:val="00ED42F6"/>
    <w:rsid w:val="00ED4502"/>
    <w:rsid w:val="00ED4512"/>
    <w:rsid w:val="00ED459C"/>
    <w:rsid w:val="00ED45D9"/>
    <w:rsid w:val="00ED461D"/>
    <w:rsid w:val="00ED46D5"/>
    <w:rsid w:val="00ED470E"/>
    <w:rsid w:val="00ED4BE7"/>
    <w:rsid w:val="00ED4C95"/>
    <w:rsid w:val="00ED4CEA"/>
    <w:rsid w:val="00ED4D81"/>
    <w:rsid w:val="00ED4DD8"/>
    <w:rsid w:val="00ED4E00"/>
    <w:rsid w:val="00ED4E28"/>
    <w:rsid w:val="00ED5098"/>
    <w:rsid w:val="00ED5206"/>
    <w:rsid w:val="00ED5297"/>
    <w:rsid w:val="00ED52F6"/>
    <w:rsid w:val="00ED53CE"/>
    <w:rsid w:val="00ED5405"/>
    <w:rsid w:val="00ED559E"/>
    <w:rsid w:val="00ED56EA"/>
    <w:rsid w:val="00ED594B"/>
    <w:rsid w:val="00ED5950"/>
    <w:rsid w:val="00ED5951"/>
    <w:rsid w:val="00ED59CC"/>
    <w:rsid w:val="00ED5B78"/>
    <w:rsid w:val="00ED5C47"/>
    <w:rsid w:val="00ED5D00"/>
    <w:rsid w:val="00ED5D5B"/>
    <w:rsid w:val="00ED6108"/>
    <w:rsid w:val="00ED6216"/>
    <w:rsid w:val="00ED629B"/>
    <w:rsid w:val="00ED641C"/>
    <w:rsid w:val="00ED64BC"/>
    <w:rsid w:val="00ED64E6"/>
    <w:rsid w:val="00ED65EC"/>
    <w:rsid w:val="00ED66A9"/>
    <w:rsid w:val="00ED6707"/>
    <w:rsid w:val="00ED683C"/>
    <w:rsid w:val="00ED6847"/>
    <w:rsid w:val="00ED69F9"/>
    <w:rsid w:val="00ED6BE7"/>
    <w:rsid w:val="00ED6F2C"/>
    <w:rsid w:val="00ED6FCF"/>
    <w:rsid w:val="00ED7101"/>
    <w:rsid w:val="00ED7227"/>
    <w:rsid w:val="00ED7275"/>
    <w:rsid w:val="00ED7283"/>
    <w:rsid w:val="00ED72C8"/>
    <w:rsid w:val="00ED738F"/>
    <w:rsid w:val="00ED74DA"/>
    <w:rsid w:val="00ED75B6"/>
    <w:rsid w:val="00ED76FA"/>
    <w:rsid w:val="00ED7708"/>
    <w:rsid w:val="00ED7779"/>
    <w:rsid w:val="00ED7797"/>
    <w:rsid w:val="00ED7A23"/>
    <w:rsid w:val="00ED7A65"/>
    <w:rsid w:val="00ED7B6D"/>
    <w:rsid w:val="00ED7BB9"/>
    <w:rsid w:val="00ED7DD1"/>
    <w:rsid w:val="00ED7E50"/>
    <w:rsid w:val="00ED7ED5"/>
    <w:rsid w:val="00ED7FB5"/>
    <w:rsid w:val="00EE007C"/>
    <w:rsid w:val="00EE009B"/>
    <w:rsid w:val="00EE016D"/>
    <w:rsid w:val="00EE0228"/>
    <w:rsid w:val="00EE034D"/>
    <w:rsid w:val="00EE03E9"/>
    <w:rsid w:val="00EE0435"/>
    <w:rsid w:val="00EE0438"/>
    <w:rsid w:val="00EE044F"/>
    <w:rsid w:val="00EE0494"/>
    <w:rsid w:val="00EE050F"/>
    <w:rsid w:val="00EE0571"/>
    <w:rsid w:val="00EE0597"/>
    <w:rsid w:val="00EE05AC"/>
    <w:rsid w:val="00EE072C"/>
    <w:rsid w:val="00EE081E"/>
    <w:rsid w:val="00EE091F"/>
    <w:rsid w:val="00EE0957"/>
    <w:rsid w:val="00EE09C5"/>
    <w:rsid w:val="00EE0A15"/>
    <w:rsid w:val="00EE0B0D"/>
    <w:rsid w:val="00EE0B41"/>
    <w:rsid w:val="00EE0B4E"/>
    <w:rsid w:val="00EE0C0E"/>
    <w:rsid w:val="00EE0CE8"/>
    <w:rsid w:val="00EE0D86"/>
    <w:rsid w:val="00EE0EAF"/>
    <w:rsid w:val="00EE0F15"/>
    <w:rsid w:val="00EE10B6"/>
    <w:rsid w:val="00EE110F"/>
    <w:rsid w:val="00EE113C"/>
    <w:rsid w:val="00EE132E"/>
    <w:rsid w:val="00EE1346"/>
    <w:rsid w:val="00EE14B4"/>
    <w:rsid w:val="00EE1527"/>
    <w:rsid w:val="00EE16FC"/>
    <w:rsid w:val="00EE1738"/>
    <w:rsid w:val="00EE1777"/>
    <w:rsid w:val="00EE19B5"/>
    <w:rsid w:val="00EE1A55"/>
    <w:rsid w:val="00EE1A71"/>
    <w:rsid w:val="00EE1B8A"/>
    <w:rsid w:val="00EE1CAA"/>
    <w:rsid w:val="00EE1CCF"/>
    <w:rsid w:val="00EE1D9F"/>
    <w:rsid w:val="00EE1F4E"/>
    <w:rsid w:val="00EE2007"/>
    <w:rsid w:val="00EE202F"/>
    <w:rsid w:val="00EE20BA"/>
    <w:rsid w:val="00EE20DC"/>
    <w:rsid w:val="00EE2108"/>
    <w:rsid w:val="00EE22C4"/>
    <w:rsid w:val="00EE233F"/>
    <w:rsid w:val="00EE2357"/>
    <w:rsid w:val="00EE24DE"/>
    <w:rsid w:val="00EE25FE"/>
    <w:rsid w:val="00EE26F8"/>
    <w:rsid w:val="00EE2808"/>
    <w:rsid w:val="00EE2AC7"/>
    <w:rsid w:val="00EE2AE4"/>
    <w:rsid w:val="00EE2C58"/>
    <w:rsid w:val="00EE2D31"/>
    <w:rsid w:val="00EE2D45"/>
    <w:rsid w:val="00EE2D99"/>
    <w:rsid w:val="00EE2ECA"/>
    <w:rsid w:val="00EE3001"/>
    <w:rsid w:val="00EE30F2"/>
    <w:rsid w:val="00EE3124"/>
    <w:rsid w:val="00EE332F"/>
    <w:rsid w:val="00EE339B"/>
    <w:rsid w:val="00EE33D6"/>
    <w:rsid w:val="00EE33F9"/>
    <w:rsid w:val="00EE358C"/>
    <w:rsid w:val="00EE35B4"/>
    <w:rsid w:val="00EE3698"/>
    <w:rsid w:val="00EE375A"/>
    <w:rsid w:val="00EE3766"/>
    <w:rsid w:val="00EE3939"/>
    <w:rsid w:val="00EE3963"/>
    <w:rsid w:val="00EE3DBC"/>
    <w:rsid w:val="00EE3FC3"/>
    <w:rsid w:val="00EE4030"/>
    <w:rsid w:val="00EE4090"/>
    <w:rsid w:val="00EE41B9"/>
    <w:rsid w:val="00EE41D5"/>
    <w:rsid w:val="00EE42F5"/>
    <w:rsid w:val="00EE42F9"/>
    <w:rsid w:val="00EE4351"/>
    <w:rsid w:val="00EE45B5"/>
    <w:rsid w:val="00EE4712"/>
    <w:rsid w:val="00EE471F"/>
    <w:rsid w:val="00EE4738"/>
    <w:rsid w:val="00EE47E7"/>
    <w:rsid w:val="00EE48FF"/>
    <w:rsid w:val="00EE4929"/>
    <w:rsid w:val="00EE494D"/>
    <w:rsid w:val="00EE4A47"/>
    <w:rsid w:val="00EE4CBA"/>
    <w:rsid w:val="00EE4D10"/>
    <w:rsid w:val="00EE4D3A"/>
    <w:rsid w:val="00EE4F1D"/>
    <w:rsid w:val="00EE5111"/>
    <w:rsid w:val="00EE52D9"/>
    <w:rsid w:val="00EE555C"/>
    <w:rsid w:val="00EE5594"/>
    <w:rsid w:val="00EE55DF"/>
    <w:rsid w:val="00EE5797"/>
    <w:rsid w:val="00EE5B1D"/>
    <w:rsid w:val="00EE5C05"/>
    <w:rsid w:val="00EE5C2B"/>
    <w:rsid w:val="00EE5CAD"/>
    <w:rsid w:val="00EE5CF6"/>
    <w:rsid w:val="00EE5D37"/>
    <w:rsid w:val="00EE5D59"/>
    <w:rsid w:val="00EE60AE"/>
    <w:rsid w:val="00EE63A3"/>
    <w:rsid w:val="00EE658A"/>
    <w:rsid w:val="00EE65C8"/>
    <w:rsid w:val="00EE670F"/>
    <w:rsid w:val="00EE6721"/>
    <w:rsid w:val="00EE672A"/>
    <w:rsid w:val="00EE675F"/>
    <w:rsid w:val="00EE67FB"/>
    <w:rsid w:val="00EE681C"/>
    <w:rsid w:val="00EE697C"/>
    <w:rsid w:val="00EE6B2D"/>
    <w:rsid w:val="00EE6C26"/>
    <w:rsid w:val="00EE6C48"/>
    <w:rsid w:val="00EE6CCB"/>
    <w:rsid w:val="00EE6F56"/>
    <w:rsid w:val="00EE6F9B"/>
    <w:rsid w:val="00EE7046"/>
    <w:rsid w:val="00EE7075"/>
    <w:rsid w:val="00EE70FF"/>
    <w:rsid w:val="00EE71D6"/>
    <w:rsid w:val="00EE730B"/>
    <w:rsid w:val="00EE7599"/>
    <w:rsid w:val="00EE7760"/>
    <w:rsid w:val="00EE785B"/>
    <w:rsid w:val="00EE78EE"/>
    <w:rsid w:val="00EE794E"/>
    <w:rsid w:val="00EE795C"/>
    <w:rsid w:val="00EE7974"/>
    <w:rsid w:val="00EE79D9"/>
    <w:rsid w:val="00EE79F8"/>
    <w:rsid w:val="00EE7A4D"/>
    <w:rsid w:val="00EE7AEB"/>
    <w:rsid w:val="00EE7B34"/>
    <w:rsid w:val="00EE7C01"/>
    <w:rsid w:val="00EE7D5C"/>
    <w:rsid w:val="00EE7D7F"/>
    <w:rsid w:val="00EE7DF1"/>
    <w:rsid w:val="00EF0199"/>
    <w:rsid w:val="00EF01AD"/>
    <w:rsid w:val="00EF0284"/>
    <w:rsid w:val="00EF0435"/>
    <w:rsid w:val="00EF0442"/>
    <w:rsid w:val="00EF0513"/>
    <w:rsid w:val="00EF0653"/>
    <w:rsid w:val="00EF089D"/>
    <w:rsid w:val="00EF0935"/>
    <w:rsid w:val="00EF093F"/>
    <w:rsid w:val="00EF0943"/>
    <w:rsid w:val="00EF0A3E"/>
    <w:rsid w:val="00EF0A58"/>
    <w:rsid w:val="00EF0B16"/>
    <w:rsid w:val="00EF0C1B"/>
    <w:rsid w:val="00EF0D80"/>
    <w:rsid w:val="00EF0DF3"/>
    <w:rsid w:val="00EF0E07"/>
    <w:rsid w:val="00EF0E09"/>
    <w:rsid w:val="00EF0E8C"/>
    <w:rsid w:val="00EF0EBF"/>
    <w:rsid w:val="00EF0EFC"/>
    <w:rsid w:val="00EF0F5B"/>
    <w:rsid w:val="00EF1023"/>
    <w:rsid w:val="00EF11CF"/>
    <w:rsid w:val="00EF122D"/>
    <w:rsid w:val="00EF12CE"/>
    <w:rsid w:val="00EF133B"/>
    <w:rsid w:val="00EF1428"/>
    <w:rsid w:val="00EF151F"/>
    <w:rsid w:val="00EF1522"/>
    <w:rsid w:val="00EF178D"/>
    <w:rsid w:val="00EF17DA"/>
    <w:rsid w:val="00EF187A"/>
    <w:rsid w:val="00EF1995"/>
    <w:rsid w:val="00EF1A28"/>
    <w:rsid w:val="00EF1BEC"/>
    <w:rsid w:val="00EF1D11"/>
    <w:rsid w:val="00EF1D2A"/>
    <w:rsid w:val="00EF1DD1"/>
    <w:rsid w:val="00EF1E3D"/>
    <w:rsid w:val="00EF1E84"/>
    <w:rsid w:val="00EF1F71"/>
    <w:rsid w:val="00EF202F"/>
    <w:rsid w:val="00EF2047"/>
    <w:rsid w:val="00EF2110"/>
    <w:rsid w:val="00EF2122"/>
    <w:rsid w:val="00EF238F"/>
    <w:rsid w:val="00EF23B3"/>
    <w:rsid w:val="00EF2557"/>
    <w:rsid w:val="00EF2559"/>
    <w:rsid w:val="00EF2621"/>
    <w:rsid w:val="00EF276D"/>
    <w:rsid w:val="00EF280E"/>
    <w:rsid w:val="00EF2A91"/>
    <w:rsid w:val="00EF2A9F"/>
    <w:rsid w:val="00EF2AD3"/>
    <w:rsid w:val="00EF2BDB"/>
    <w:rsid w:val="00EF2C31"/>
    <w:rsid w:val="00EF2D67"/>
    <w:rsid w:val="00EF2D70"/>
    <w:rsid w:val="00EF2D80"/>
    <w:rsid w:val="00EF2F01"/>
    <w:rsid w:val="00EF2F96"/>
    <w:rsid w:val="00EF3100"/>
    <w:rsid w:val="00EF313D"/>
    <w:rsid w:val="00EF31E8"/>
    <w:rsid w:val="00EF3233"/>
    <w:rsid w:val="00EF3457"/>
    <w:rsid w:val="00EF3620"/>
    <w:rsid w:val="00EF3839"/>
    <w:rsid w:val="00EF38EB"/>
    <w:rsid w:val="00EF390F"/>
    <w:rsid w:val="00EF39CA"/>
    <w:rsid w:val="00EF3A44"/>
    <w:rsid w:val="00EF3B73"/>
    <w:rsid w:val="00EF3F27"/>
    <w:rsid w:val="00EF3F4E"/>
    <w:rsid w:val="00EF3FC4"/>
    <w:rsid w:val="00EF4024"/>
    <w:rsid w:val="00EF4196"/>
    <w:rsid w:val="00EF4242"/>
    <w:rsid w:val="00EF42B0"/>
    <w:rsid w:val="00EF4307"/>
    <w:rsid w:val="00EF4451"/>
    <w:rsid w:val="00EF4471"/>
    <w:rsid w:val="00EF45CB"/>
    <w:rsid w:val="00EF45EF"/>
    <w:rsid w:val="00EF471D"/>
    <w:rsid w:val="00EF4961"/>
    <w:rsid w:val="00EF4BC6"/>
    <w:rsid w:val="00EF4CED"/>
    <w:rsid w:val="00EF4D6C"/>
    <w:rsid w:val="00EF4DD1"/>
    <w:rsid w:val="00EF4DD7"/>
    <w:rsid w:val="00EF4F31"/>
    <w:rsid w:val="00EF4F64"/>
    <w:rsid w:val="00EF5098"/>
    <w:rsid w:val="00EF5234"/>
    <w:rsid w:val="00EF5236"/>
    <w:rsid w:val="00EF52D3"/>
    <w:rsid w:val="00EF5600"/>
    <w:rsid w:val="00EF5646"/>
    <w:rsid w:val="00EF5713"/>
    <w:rsid w:val="00EF5774"/>
    <w:rsid w:val="00EF58DA"/>
    <w:rsid w:val="00EF5A78"/>
    <w:rsid w:val="00EF5B4C"/>
    <w:rsid w:val="00EF5C1D"/>
    <w:rsid w:val="00EF5CF6"/>
    <w:rsid w:val="00EF5D19"/>
    <w:rsid w:val="00EF5D1B"/>
    <w:rsid w:val="00EF5D73"/>
    <w:rsid w:val="00EF5DA4"/>
    <w:rsid w:val="00EF5F18"/>
    <w:rsid w:val="00EF5FD4"/>
    <w:rsid w:val="00EF6067"/>
    <w:rsid w:val="00EF61CA"/>
    <w:rsid w:val="00EF61D5"/>
    <w:rsid w:val="00EF62FE"/>
    <w:rsid w:val="00EF6303"/>
    <w:rsid w:val="00EF6337"/>
    <w:rsid w:val="00EF6576"/>
    <w:rsid w:val="00EF6580"/>
    <w:rsid w:val="00EF65B1"/>
    <w:rsid w:val="00EF6666"/>
    <w:rsid w:val="00EF6821"/>
    <w:rsid w:val="00EF69A5"/>
    <w:rsid w:val="00EF69C6"/>
    <w:rsid w:val="00EF6A7F"/>
    <w:rsid w:val="00EF6A86"/>
    <w:rsid w:val="00EF6ADF"/>
    <w:rsid w:val="00EF6C2B"/>
    <w:rsid w:val="00EF6C77"/>
    <w:rsid w:val="00EF6EA2"/>
    <w:rsid w:val="00EF6F3A"/>
    <w:rsid w:val="00EF6F3C"/>
    <w:rsid w:val="00EF71FF"/>
    <w:rsid w:val="00EF72CD"/>
    <w:rsid w:val="00EF7420"/>
    <w:rsid w:val="00EF7554"/>
    <w:rsid w:val="00EF7630"/>
    <w:rsid w:val="00EF7770"/>
    <w:rsid w:val="00EF78A8"/>
    <w:rsid w:val="00EF792B"/>
    <w:rsid w:val="00EF7A22"/>
    <w:rsid w:val="00EF7A47"/>
    <w:rsid w:val="00EF7A53"/>
    <w:rsid w:val="00EF7C9C"/>
    <w:rsid w:val="00EF7D2C"/>
    <w:rsid w:val="00EF7D83"/>
    <w:rsid w:val="00EF7DB4"/>
    <w:rsid w:val="00EF7F50"/>
    <w:rsid w:val="00EF7FC5"/>
    <w:rsid w:val="00F00035"/>
    <w:rsid w:val="00F001AE"/>
    <w:rsid w:val="00F00203"/>
    <w:rsid w:val="00F003D5"/>
    <w:rsid w:val="00F00508"/>
    <w:rsid w:val="00F005F0"/>
    <w:rsid w:val="00F00798"/>
    <w:rsid w:val="00F00920"/>
    <w:rsid w:val="00F0095C"/>
    <w:rsid w:val="00F00A23"/>
    <w:rsid w:val="00F00A81"/>
    <w:rsid w:val="00F00BE2"/>
    <w:rsid w:val="00F00D2F"/>
    <w:rsid w:val="00F00D70"/>
    <w:rsid w:val="00F00DD7"/>
    <w:rsid w:val="00F00E2C"/>
    <w:rsid w:val="00F00EC7"/>
    <w:rsid w:val="00F00F93"/>
    <w:rsid w:val="00F00FBA"/>
    <w:rsid w:val="00F011CC"/>
    <w:rsid w:val="00F011F4"/>
    <w:rsid w:val="00F01245"/>
    <w:rsid w:val="00F0126E"/>
    <w:rsid w:val="00F013F8"/>
    <w:rsid w:val="00F014C5"/>
    <w:rsid w:val="00F017BA"/>
    <w:rsid w:val="00F01863"/>
    <w:rsid w:val="00F01896"/>
    <w:rsid w:val="00F01978"/>
    <w:rsid w:val="00F01A75"/>
    <w:rsid w:val="00F01D07"/>
    <w:rsid w:val="00F01DBF"/>
    <w:rsid w:val="00F01DD8"/>
    <w:rsid w:val="00F01E19"/>
    <w:rsid w:val="00F01EE1"/>
    <w:rsid w:val="00F02020"/>
    <w:rsid w:val="00F02045"/>
    <w:rsid w:val="00F020AD"/>
    <w:rsid w:val="00F02193"/>
    <w:rsid w:val="00F02195"/>
    <w:rsid w:val="00F021F0"/>
    <w:rsid w:val="00F021F1"/>
    <w:rsid w:val="00F02247"/>
    <w:rsid w:val="00F02261"/>
    <w:rsid w:val="00F023DC"/>
    <w:rsid w:val="00F0253A"/>
    <w:rsid w:val="00F02584"/>
    <w:rsid w:val="00F02661"/>
    <w:rsid w:val="00F02752"/>
    <w:rsid w:val="00F02889"/>
    <w:rsid w:val="00F028A2"/>
    <w:rsid w:val="00F02901"/>
    <w:rsid w:val="00F02AF6"/>
    <w:rsid w:val="00F02D20"/>
    <w:rsid w:val="00F02DEA"/>
    <w:rsid w:val="00F02F11"/>
    <w:rsid w:val="00F02F5A"/>
    <w:rsid w:val="00F02F86"/>
    <w:rsid w:val="00F03041"/>
    <w:rsid w:val="00F03043"/>
    <w:rsid w:val="00F0316C"/>
    <w:rsid w:val="00F03224"/>
    <w:rsid w:val="00F032E0"/>
    <w:rsid w:val="00F035B6"/>
    <w:rsid w:val="00F0366E"/>
    <w:rsid w:val="00F0382F"/>
    <w:rsid w:val="00F03925"/>
    <w:rsid w:val="00F039E9"/>
    <w:rsid w:val="00F03B38"/>
    <w:rsid w:val="00F03C5A"/>
    <w:rsid w:val="00F03CB2"/>
    <w:rsid w:val="00F03DEC"/>
    <w:rsid w:val="00F03FA0"/>
    <w:rsid w:val="00F04228"/>
    <w:rsid w:val="00F0425C"/>
    <w:rsid w:val="00F0425F"/>
    <w:rsid w:val="00F04270"/>
    <w:rsid w:val="00F04377"/>
    <w:rsid w:val="00F043FE"/>
    <w:rsid w:val="00F04520"/>
    <w:rsid w:val="00F04559"/>
    <w:rsid w:val="00F04681"/>
    <w:rsid w:val="00F048D8"/>
    <w:rsid w:val="00F04B86"/>
    <w:rsid w:val="00F04E4F"/>
    <w:rsid w:val="00F04FBB"/>
    <w:rsid w:val="00F04FE9"/>
    <w:rsid w:val="00F04FF5"/>
    <w:rsid w:val="00F0506E"/>
    <w:rsid w:val="00F050DA"/>
    <w:rsid w:val="00F05116"/>
    <w:rsid w:val="00F054ED"/>
    <w:rsid w:val="00F0556D"/>
    <w:rsid w:val="00F05580"/>
    <w:rsid w:val="00F0559F"/>
    <w:rsid w:val="00F055C3"/>
    <w:rsid w:val="00F05655"/>
    <w:rsid w:val="00F056F3"/>
    <w:rsid w:val="00F058A0"/>
    <w:rsid w:val="00F058E3"/>
    <w:rsid w:val="00F058E4"/>
    <w:rsid w:val="00F058ED"/>
    <w:rsid w:val="00F0599C"/>
    <w:rsid w:val="00F059B6"/>
    <w:rsid w:val="00F05A3B"/>
    <w:rsid w:val="00F05A7C"/>
    <w:rsid w:val="00F05BD9"/>
    <w:rsid w:val="00F05D1C"/>
    <w:rsid w:val="00F05D41"/>
    <w:rsid w:val="00F05EA5"/>
    <w:rsid w:val="00F05ECE"/>
    <w:rsid w:val="00F05F06"/>
    <w:rsid w:val="00F05F6D"/>
    <w:rsid w:val="00F05FF3"/>
    <w:rsid w:val="00F060BC"/>
    <w:rsid w:val="00F06343"/>
    <w:rsid w:val="00F06388"/>
    <w:rsid w:val="00F0639C"/>
    <w:rsid w:val="00F06482"/>
    <w:rsid w:val="00F06490"/>
    <w:rsid w:val="00F064B8"/>
    <w:rsid w:val="00F06572"/>
    <w:rsid w:val="00F065CD"/>
    <w:rsid w:val="00F065DB"/>
    <w:rsid w:val="00F0663C"/>
    <w:rsid w:val="00F0691F"/>
    <w:rsid w:val="00F069D2"/>
    <w:rsid w:val="00F069DC"/>
    <w:rsid w:val="00F06C01"/>
    <w:rsid w:val="00F06C0E"/>
    <w:rsid w:val="00F06F79"/>
    <w:rsid w:val="00F07165"/>
    <w:rsid w:val="00F072FA"/>
    <w:rsid w:val="00F07332"/>
    <w:rsid w:val="00F07333"/>
    <w:rsid w:val="00F0746C"/>
    <w:rsid w:val="00F07530"/>
    <w:rsid w:val="00F07649"/>
    <w:rsid w:val="00F07682"/>
    <w:rsid w:val="00F0777F"/>
    <w:rsid w:val="00F077FE"/>
    <w:rsid w:val="00F07883"/>
    <w:rsid w:val="00F0793A"/>
    <w:rsid w:val="00F079C7"/>
    <w:rsid w:val="00F07CC0"/>
    <w:rsid w:val="00F07F48"/>
    <w:rsid w:val="00F10018"/>
    <w:rsid w:val="00F1011A"/>
    <w:rsid w:val="00F104D4"/>
    <w:rsid w:val="00F10591"/>
    <w:rsid w:val="00F107EB"/>
    <w:rsid w:val="00F109BA"/>
    <w:rsid w:val="00F10BD4"/>
    <w:rsid w:val="00F10C9A"/>
    <w:rsid w:val="00F10CFB"/>
    <w:rsid w:val="00F10CFC"/>
    <w:rsid w:val="00F10D08"/>
    <w:rsid w:val="00F10DFE"/>
    <w:rsid w:val="00F10E48"/>
    <w:rsid w:val="00F10E95"/>
    <w:rsid w:val="00F10E97"/>
    <w:rsid w:val="00F10F6F"/>
    <w:rsid w:val="00F10F84"/>
    <w:rsid w:val="00F10FAD"/>
    <w:rsid w:val="00F110BB"/>
    <w:rsid w:val="00F11201"/>
    <w:rsid w:val="00F113FD"/>
    <w:rsid w:val="00F1151E"/>
    <w:rsid w:val="00F115BB"/>
    <w:rsid w:val="00F116A7"/>
    <w:rsid w:val="00F116B0"/>
    <w:rsid w:val="00F1179A"/>
    <w:rsid w:val="00F11901"/>
    <w:rsid w:val="00F11994"/>
    <w:rsid w:val="00F119EA"/>
    <w:rsid w:val="00F11AB6"/>
    <w:rsid w:val="00F11BB1"/>
    <w:rsid w:val="00F11BEB"/>
    <w:rsid w:val="00F11BF4"/>
    <w:rsid w:val="00F11C7A"/>
    <w:rsid w:val="00F11D8C"/>
    <w:rsid w:val="00F11DA5"/>
    <w:rsid w:val="00F11F3A"/>
    <w:rsid w:val="00F11FA6"/>
    <w:rsid w:val="00F11FBB"/>
    <w:rsid w:val="00F123D0"/>
    <w:rsid w:val="00F123FE"/>
    <w:rsid w:val="00F124E3"/>
    <w:rsid w:val="00F12705"/>
    <w:rsid w:val="00F127A8"/>
    <w:rsid w:val="00F1285D"/>
    <w:rsid w:val="00F128B5"/>
    <w:rsid w:val="00F1291D"/>
    <w:rsid w:val="00F12948"/>
    <w:rsid w:val="00F12A22"/>
    <w:rsid w:val="00F12BF0"/>
    <w:rsid w:val="00F12C7B"/>
    <w:rsid w:val="00F12C9F"/>
    <w:rsid w:val="00F12D69"/>
    <w:rsid w:val="00F12D6A"/>
    <w:rsid w:val="00F12E7C"/>
    <w:rsid w:val="00F12EB5"/>
    <w:rsid w:val="00F12F51"/>
    <w:rsid w:val="00F130B9"/>
    <w:rsid w:val="00F13146"/>
    <w:rsid w:val="00F1316C"/>
    <w:rsid w:val="00F13260"/>
    <w:rsid w:val="00F13280"/>
    <w:rsid w:val="00F132E1"/>
    <w:rsid w:val="00F13319"/>
    <w:rsid w:val="00F13343"/>
    <w:rsid w:val="00F13354"/>
    <w:rsid w:val="00F135C0"/>
    <w:rsid w:val="00F1363C"/>
    <w:rsid w:val="00F13831"/>
    <w:rsid w:val="00F1397F"/>
    <w:rsid w:val="00F13980"/>
    <w:rsid w:val="00F13A33"/>
    <w:rsid w:val="00F13AF9"/>
    <w:rsid w:val="00F13B1B"/>
    <w:rsid w:val="00F13B8C"/>
    <w:rsid w:val="00F13B97"/>
    <w:rsid w:val="00F13BEC"/>
    <w:rsid w:val="00F13C4F"/>
    <w:rsid w:val="00F13CBB"/>
    <w:rsid w:val="00F13DE7"/>
    <w:rsid w:val="00F13F38"/>
    <w:rsid w:val="00F13F9D"/>
    <w:rsid w:val="00F14085"/>
    <w:rsid w:val="00F140E5"/>
    <w:rsid w:val="00F14235"/>
    <w:rsid w:val="00F144D3"/>
    <w:rsid w:val="00F14538"/>
    <w:rsid w:val="00F1458D"/>
    <w:rsid w:val="00F145E2"/>
    <w:rsid w:val="00F146F5"/>
    <w:rsid w:val="00F14752"/>
    <w:rsid w:val="00F14AD9"/>
    <w:rsid w:val="00F14B68"/>
    <w:rsid w:val="00F14BBA"/>
    <w:rsid w:val="00F14D18"/>
    <w:rsid w:val="00F14DCA"/>
    <w:rsid w:val="00F14E52"/>
    <w:rsid w:val="00F14F93"/>
    <w:rsid w:val="00F14FE4"/>
    <w:rsid w:val="00F1504B"/>
    <w:rsid w:val="00F1508C"/>
    <w:rsid w:val="00F15177"/>
    <w:rsid w:val="00F151CE"/>
    <w:rsid w:val="00F15204"/>
    <w:rsid w:val="00F15306"/>
    <w:rsid w:val="00F1549D"/>
    <w:rsid w:val="00F154B9"/>
    <w:rsid w:val="00F15508"/>
    <w:rsid w:val="00F155B2"/>
    <w:rsid w:val="00F155D6"/>
    <w:rsid w:val="00F15795"/>
    <w:rsid w:val="00F159D0"/>
    <w:rsid w:val="00F15A6B"/>
    <w:rsid w:val="00F15A7C"/>
    <w:rsid w:val="00F15B5C"/>
    <w:rsid w:val="00F15C5D"/>
    <w:rsid w:val="00F15C92"/>
    <w:rsid w:val="00F16209"/>
    <w:rsid w:val="00F162A4"/>
    <w:rsid w:val="00F16315"/>
    <w:rsid w:val="00F1640D"/>
    <w:rsid w:val="00F16442"/>
    <w:rsid w:val="00F165EF"/>
    <w:rsid w:val="00F16A4E"/>
    <w:rsid w:val="00F16B9E"/>
    <w:rsid w:val="00F16DCB"/>
    <w:rsid w:val="00F16DE8"/>
    <w:rsid w:val="00F16EDE"/>
    <w:rsid w:val="00F16F56"/>
    <w:rsid w:val="00F16FD5"/>
    <w:rsid w:val="00F1703F"/>
    <w:rsid w:val="00F1710C"/>
    <w:rsid w:val="00F1738C"/>
    <w:rsid w:val="00F173F5"/>
    <w:rsid w:val="00F17459"/>
    <w:rsid w:val="00F17825"/>
    <w:rsid w:val="00F17893"/>
    <w:rsid w:val="00F17B29"/>
    <w:rsid w:val="00F17C66"/>
    <w:rsid w:val="00F17C80"/>
    <w:rsid w:val="00F17DB9"/>
    <w:rsid w:val="00F17E91"/>
    <w:rsid w:val="00F17F3B"/>
    <w:rsid w:val="00F17F99"/>
    <w:rsid w:val="00F200C8"/>
    <w:rsid w:val="00F2018B"/>
    <w:rsid w:val="00F2019A"/>
    <w:rsid w:val="00F201B5"/>
    <w:rsid w:val="00F20218"/>
    <w:rsid w:val="00F20293"/>
    <w:rsid w:val="00F202A9"/>
    <w:rsid w:val="00F2031A"/>
    <w:rsid w:val="00F20431"/>
    <w:rsid w:val="00F20577"/>
    <w:rsid w:val="00F2060B"/>
    <w:rsid w:val="00F2071E"/>
    <w:rsid w:val="00F20893"/>
    <w:rsid w:val="00F20957"/>
    <w:rsid w:val="00F20B2B"/>
    <w:rsid w:val="00F20C88"/>
    <w:rsid w:val="00F20D9A"/>
    <w:rsid w:val="00F20E4B"/>
    <w:rsid w:val="00F210D9"/>
    <w:rsid w:val="00F211E3"/>
    <w:rsid w:val="00F21303"/>
    <w:rsid w:val="00F214AC"/>
    <w:rsid w:val="00F21627"/>
    <w:rsid w:val="00F216B9"/>
    <w:rsid w:val="00F216F7"/>
    <w:rsid w:val="00F217AF"/>
    <w:rsid w:val="00F2192D"/>
    <w:rsid w:val="00F219A4"/>
    <w:rsid w:val="00F21A5C"/>
    <w:rsid w:val="00F21AB2"/>
    <w:rsid w:val="00F21AD0"/>
    <w:rsid w:val="00F21DF4"/>
    <w:rsid w:val="00F21E61"/>
    <w:rsid w:val="00F21F0C"/>
    <w:rsid w:val="00F21F31"/>
    <w:rsid w:val="00F21F6D"/>
    <w:rsid w:val="00F21F8D"/>
    <w:rsid w:val="00F2201D"/>
    <w:rsid w:val="00F220B7"/>
    <w:rsid w:val="00F22192"/>
    <w:rsid w:val="00F22200"/>
    <w:rsid w:val="00F22332"/>
    <w:rsid w:val="00F22346"/>
    <w:rsid w:val="00F224DD"/>
    <w:rsid w:val="00F22573"/>
    <w:rsid w:val="00F2268B"/>
    <w:rsid w:val="00F2275A"/>
    <w:rsid w:val="00F22881"/>
    <w:rsid w:val="00F229B3"/>
    <w:rsid w:val="00F22A66"/>
    <w:rsid w:val="00F22ADE"/>
    <w:rsid w:val="00F22B4A"/>
    <w:rsid w:val="00F22B6D"/>
    <w:rsid w:val="00F22C85"/>
    <w:rsid w:val="00F22D9B"/>
    <w:rsid w:val="00F22E4F"/>
    <w:rsid w:val="00F22FB2"/>
    <w:rsid w:val="00F230A3"/>
    <w:rsid w:val="00F2311E"/>
    <w:rsid w:val="00F23157"/>
    <w:rsid w:val="00F23357"/>
    <w:rsid w:val="00F233A4"/>
    <w:rsid w:val="00F2360D"/>
    <w:rsid w:val="00F2373D"/>
    <w:rsid w:val="00F237D1"/>
    <w:rsid w:val="00F237F2"/>
    <w:rsid w:val="00F23838"/>
    <w:rsid w:val="00F238F4"/>
    <w:rsid w:val="00F23996"/>
    <w:rsid w:val="00F239A9"/>
    <w:rsid w:val="00F239EF"/>
    <w:rsid w:val="00F23ABF"/>
    <w:rsid w:val="00F23B7B"/>
    <w:rsid w:val="00F23BAC"/>
    <w:rsid w:val="00F23C67"/>
    <w:rsid w:val="00F23C8B"/>
    <w:rsid w:val="00F23D23"/>
    <w:rsid w:val="00F23D46"/>
    <w:rsid w:val="00F23D9B"/>
    <w:rsid w:val="00F23E55"/>
    <w:rsid w:val="00F2401F"/>
    <w:rsid w:val="00F2412A"/>
    <w:rsid w:val="00F24640"/>
    <w:rsid w:val="00F249D8"/>
    <w:rsid w:val="00F24A5F"/>
    <w:rsid w:val="00F24B73"/>
    <w:rsid w:val="00F24B87"/>
    <w:rsid w:val="00F24D4C"/>
    <w:rsid w:val="00F24E07"/>
    <w:rsid w:val="00F24EA2"/>
    <w:rsid w:val="00F24F9C"/>
    <w:rsid w:val="00F250BD"/>
    <w:rsid w:val="00F25124"/>
    <w:rsid w:val="00F251B9"/>
    <w:rsid w:val="00F251EB"/>
    <w:rsid w:val="00F252EA"/>
    <w:rsid w:val="00F25372"/>
    <w:rsid w:val="00F25406"/>
    <w:rsid w:val="00F25427"/>
    <w:rsid w:val="00F254C1"/>
    <w:rsid w:val="00F254ED"/>
    <w:rsid w:val="00F256EB"/>
    <w:rsid w:val="00F2574D"/>
    <w:rsid w:val="00F25750"/>
    <w:rsid w:val="00F2576D"/>
    <w:rsid w:val="00F258DF"/>
    <w:rsid w:val="00F258E9"/>
    <w:rsid w:val="00F258F6"/>
    <w:rsid w:val="00F25A2C"/>
    <w:rsid w:val="00F25AC2"/>
    <w:rsid w:val="00F25AE6"/>
    <w:rsid w:val="00F25B1D"/>
    <w:rsid w:val="00F25B71"/>
    <w:rsid w:val="00F25D3A"/>
    <w:rsid w:val="00F25E43"/>
    <w:rsid w:val="00F25E82"/>
    <w:rsid w:val="00F25EFF"/>
    <w:rsid w:val="00F25FF7"/>
    <w:rsid w:val="00F2604B"/>
    <w:rsid w:val="00F260F8"/>
    <w:rsid w:val="00F2629A"/>
    <w:rsid w:val="00F26614"/>
    <w:rsid w:val="00F26629"/>
    <w:rsid w:val="00F26642"/>
    <w:rsid w:val="00F26787"/>
    <w:rsid w:val="00F26847"/>
    <w:rsid w:val="00F2696F"/>
    <w:rsid w:val="00F269F9"/>
    <w:rsid w:val="00F26A2A"/>
    <w:rsid w:val="00F26A9A"/>
    <w:rsid w:val="00F26C34"/>
    <w:rsid w:val="00F26CBB"/>
    <w:rsid w:val="00F26D8C"/>
    <w:rsid w:val="00F26DAE"/>
    <w:rsid w:val="00F26FE8"/>
    <w:rsid w:val="00F2701D"/>
    <w:rsid w:val="00F2718E"/>
    <w:rsid w:val="00F273DD"/>
    <w:rsid w:val="00F2742B"/>
    <w:rsid w:val="00F275C0"/>
    <w:rsid w:val="00F276F6"/>
    <w:rsid w:val="00F27723"/>
    <w:rsid w:val="00F2784F"/>
    <w:rsid w:val="00F278AC"/>
    <w:rsid w:val="00F2798E"/>
    <w:rsid w:val="00F27AA3"/>
    <w:rsid w:val="00F27B8F"/>
    <w:rsid w:val="00F27BDD"/>
    <w:rsid w:val="00F27BEE"/>
    <w:rsid w:val="00F27BFF"/>
    <w:rsid w:val="00F27D7B"/>
    <w:rsid w:val="00F27E1D"/>
    <w:rsid w:val="00F27E7A"/>
    <w:rsid w:val="00F27F33"/>
    <w:rsid w:val="00F3015B"/>
    <w:rsid w:val="00F303B7"/>
    <w:rsid w:val="00F304D5"/>
    <w:rsid w:val="00F304FF"/>
    <w:rsid w:val="00F3057F"/>
    <w:rsid w:val="00F305F6"/>
    <w:rsid w:val="00F306EA"/>
    <w:rsid w:val="00F308C0"/>
    <w:rsid w:val="00F3094F"/>
    <w:rsid w:val="00F309FB"/>
    <w:rsid w:val="00F30A09"/>
    <w:rsid w:val="00F30A72"/>
    <w:rsid w:val="00F30AED"/>
    <w:rsid w:val="00F30C32"/>
    <w:rsid w:val="00F30C6C"/>
    <w:rsid w:val="00F30CA7"/>
    <w:rsid w:val="00F30CF5"/>
    <w:rsid w:val="00F30DEC"/>
    <w:rsid w:val="00F30F3D"/>
    <w:rsid w:val="00F30F7B"/>
    <w:rsid w:val="00F31136"/>
    <w:rsid w:val="00F312C0"/>
    <w:rsid w:val="00F313AC"/>
    <w:rsid w:val="00F3155A"/>
    <w:rsid w:val="00F31595"/>
    <w:rsid w:val="00F31675"/>
    <w:rsid w:val="00F318A9"/>
    <w:rsid w:val="00F318CD"/>
    <w:rsid w:val="00F31943"/>
    <w:rsid w:val="00F319F3"/>
    <w:rsid w:val="00F31A01"/>
    <w:rsid w:val="00F31D5A"/>
    <w:rsid w:val="00F31EE6"/>
    <w:rsid w:val="00F31F04"/>
    <w:rsid w:val="00F31F8C"/>
    <w:rsid w:val="00F320DD"/>
    <w:rsid w:val="00F3219F"/>
    <w:rsid w:val="00F321DB"/>
    <w:rsid w:val="00F32203"/>
    <w:rsid w:val="00F32283"/>
    <w:rsid w:val="00F322C9"/>
    <w:rsid w:val="00F323EF"/>
    <w:rsid w:val="00F32667"/>
    <w:rsid w:val="00F326A1"/>
    <w:rsid w:val="00F32770"/>
    <w:rsid w:val="00F327B6"/>
    <w:rsid w:val="00F328FC"/>
    <w:rsid w:val="00F32970"/>
    <w:rsid w:val="00F32985"/>
    <w:rsid w:val="00F329C0"/>
    <w:rsid w:val="00F32A35"/>
    <w:rsid w:val="00F32A8F"/>
    <w:rsid w:val="00F32AC1"/>
    <w:rsid w:val="00F32BC0"/>
    <w:rsid w:val="00F32C53"/>
    <w:rsid w:val="00F32C7A"/>
    <w:rsid w:val="00F32D6F"/>
    <w:rsid w:val="00F32D99"/>
    <w:rsid w:val="00F32E1F"/>
    <w:rsid w:val="00F32F3B"/>
    <w:rsid w:val="00F3304A"/>
    <w:rsid w:val="00F33081"/>
    <w:rsid w:val="00F33121"/>
    <w:rsid w:val="00F3313A"/>
    <w:rsid w:val="00F3357B"/>
    <w:rsid w:val="00F33926"/>
    <w:rsid w:val="00F3392A"/>
    <w:rsid w:val="00F33956"/>
    <w:rsid w:val="00F33996"/>
    <w:rsid w:val="00F33A31"/>
    <w:rsid w:val="00F33A9B"/>
    <w:rsid w:val="00F33B70"/>
    <w:rsid w:val="00F33BD0"/>
    <w:rsid w:val="00F33C5B"/>
    <w:rsid w:val="00F33C77"/>
    <w:rsid w:val="00F33C82"/>
    <w:rsid w:val="00F33CCF"/>
    <w:rsid w:val="00F33D34"/>
    <w:rsid w:val="00F33DA3"/>
    <w:rsid w:val="00F34064"/>
    <w:rsid w:val="00F3408D"/>
    <w:rsid w:val="00F3408E"/>
    <w:rsid w:val="00F34157"/>
    <w:rsid w:val="00F34189"/>
    <w:rsid w:val="00F341C9"/>
    <w:rsid w:val="00F3425B"/>
    <w:rsid w:val="00F342F2"/>
    <w:rsid w:val="00F343A8"/>
    <w:rsid w:val="00F343D0"/>
    <w:rsid w:val="00F34426"/>
    <w:rsid w:val="00F3447B"/>
    <w:rsid w:val="00F345C8"/>
    <w:rsid w:val="00F3461F"/>
    <w:rsid w:val="00F3469C"/>
    <w:rsid w:val="00F3478F"/>
    <w:rsid w:val="00F3485F"/>
    <w:rsid w:val="00F34894"/>
    <w:rsid w:val="00F349ED"/>
    <w:rsid w:val="00F34A08"/>
    <w:rsid w:val="00F34AB4"/>
    <w:rsid w:val="00F34AF2"/>
    <w:rsid w:val="00F34CE5"/>
    <w:rsid w:val="00F34CEB"/>
    <w:rsid w:val="00F34DCF"/>
    <w:rsid w:val="00F34DFB"/>
    <w:rsid w:val="00F34E85"/>
    <w:rsid w:val="00F34F30"/>
    <w:rsid w:val="00F34F9E"/>
    <w:rsid w:val="00F350F2"/>
    <w:rsid w:val="00F3525D"/>
    <w:rsid w:val="00F35289"/>
    <w:rsid w:val="00F354AE"/>
    <w:rsid w:val="00F35663"/>
    <w:rsid w:val="00F356BC"/>
    <w:rsid w:val="00F3573D"/>
    <w:rsid w:val="00F35930"/>
    <w:rsid w:val="00F359C3"/>
    <w:rsid w:val="00F35A6C"/>
    <w:rsid w:val="00F35A95"/>
    <w:rsid w:val="00F35AE6"/>
    <w:rsid w:val="00F35BCB"/>
    <w:rsid w:val="00F35C02"/>
    <w:rsid w:val="00F35CE6"/>
    <w:rsid w:val="00F35EE5"/>
    <w:rsid w:val="00F362D5"/>
    <w:rsid w:val="00F362DC"/>
    <w:rsid w:val="00F3632E"/>
    <w:rsid w:val="00F36380"/>
    <w:rsid w:val="00F36452"/>
    <w:rsid w:val="00F364F6"/>
    <w:rsid w:val="00F36561"/>
    <w:rsid w:val="00F365BD"/>
    <w:rsid w:val="00F365EA"/>
    <w:rsid w:val="00F366A5"/>
    <w:rsid w:val="00F36775"/>
    <w:rsid w:val="00F36A97"/>
    <w:rsid w:val="00F36BD7"/>
    <w:rsid w:val="00F36C51"/>
    <w:rsid w:val="00F36FCD"/>
    <w:rsid w:val="00F37024"/>
    <w:rsid w:val="00F37075"/>
    <w:rsid w:val="00F370E9"/>
    <w:rsid w:val="00F371A1"/>
    <w:rsid w:val="00F37249"/>
    <w:rsid w:val="00F37343"/>
    <w:rsid w:val="00F37493"/>
    <w:rsid w:val="00F375E5"/>
    <w:rsid w:val="00F37656"/>
    <w:rsid w:val="00F37749"/>
    <w:rsid w:val="00F37825"/>
    <w:rsid w:val="00F378B8"/>
    <w:rsid w:val="00F378DD"/>
    <w:rsid w:val="00F379C7"/>
    <w:rsid w:val="00F37B2B"/>
    <w:rsid w:val="00F37BEA"/>
    <w:rsid w:val="00F37E14"/>
    <w:rsid w:val="00F37E1F"/>
    <w:rsid w:val="00F37EE9"/>
    <w:rsid w:val="00F37F3C"/>
    <w:rsid w:val="00F37FD0"/>
    <w:rsid w:val="00F40019"/>
    <w:rsid w:val="00F4005C"/>
    <w:rsid w:val="00F40295"/>
    <w:rsid w:val="00F402C0"/>
    <w:rsid w:val="00F4037D"/>
    <w:rsid w:val="00F4068E"/>
    <w:rsid w:val="00F40767"/>
    <w:rsid w:val="00F40827"/>
    <w:rsid w:val="00F409CC"/>
    <w:rsid w:val="00F40B0D"/>
    <w:rsid w:val="00F40B6B"/>
    <w:rsid w:val="00F40BBB"/>
    <w:rsid w:val="00F40C39"/>
    <w:rsid w:val="00F40CCF"/>
    <w:rsid w:val="00F40E73"/>
    <w:rsid w:val="00F40E86"/>
    <w:rsid w:val="00F40EA0"/>
    <w:rsid w:val="00F40F1A"/>
    <w:rsid w:val="00F40F92"/>
    <w:rsid w:val="00F40FB5"/>
    <w:rsid w:val="00F4109C"/>
    <w:rsid w:val="00F41216"/>
    <w:rsid w:val="00F41222"/>
    <w:rsid w:val="00F4142C"/>
    <w:rsid w:val="00F4144E"/>
    <w:rsid w:val="00F41561"/>
    <w:rsid w:val="00F41565"/>
    <w:rsid w:val="00F415B8"/>
    <w:rsid w:val="00F415D5"/>
    <w:rsid w:val="00F41877"/>
    <w:rsid w:val="00F41923"/>
    <w:rsid w:val="00F4196F"/>
    <w:rsid w:val="00F41AF4"/>
    <w:rsid w:val="00F41AFB"/>
    <w:rsid w:val="00F41B7E"/>
    <w:rsid w:val="00F41CF7"/>
    <w:rsid w:val="00F41D05"/>
    <w:rsid w:val="00F41EE3"/>
    <w:rsid w:val="00F41EFF"/>
    <w:rsid w:val="00F42038"/>
    <w:rsid w:val="00F420AF"/>
    <w:rsid w:val="00F420F5"/>
    <w:rsid w:val="00F4213E"/>
    <w:rsid w:val="00F42197"/>
    <w:rsid w:val="00F42279"/>
    <w:rsid w:val="00F42305"/>
    <w:rsid w:val="00F4241A"/>
    <w:rsid w:val="00F42493"/>
    <w:rsid w:val="00F42621"/>
    <w:rsid w:val="00F42646"/>
    <w:rsid w:val="00F42824"/>
    <w:rsid w:val="00F42860"/>
    <w:rsid w:val="00F428F3"/>
    <w:rsid w:val="00F42A09"/>
    <w:rsid w:val="00F42BE9"/>
    <w:rsid w:val="00F42D3A"/>
    <w:rsid w:val="00F42DD8"/>
    <w:rsid w:val="00F42E76"/>
    <w:rsid w:val="00F42FF8"/>
    <w:rsid w:val="00F43055"/>
    <w:rsid w:val="00F43071"/>
    <w:rsid w:val="00F43077"/>
    <w:rsid w:val="00F4316E"/>
    <w:rsid w:val="00F43221"/>
    <w:rsid w:val="00F43251"/>
    <w:rsid w:val="00F432EB"/>
    <w:rsid w:val="00F436BD"/>
    <w:rsid w:val="00F43884"/>
    <w:rsid w:val="00F4389F"/>
    <w:rsid w:val="00F438C3"/>
    <w:rsid w:val="00F438EC"/>
    <w:rsid w:val="00F4394E"/>
    <w:rsid w:val="00F4395D"/>
    <w:rsid w:val="00F43982"/>
    <w:rsid w:val="00F439DB"/>
    <w:rsid w:val="00F43A13"/>
    <w:rsid w:val="00F43A5B"/>
    <w:rsid w:val="00F43A9F"/>
    <w:rsid w:val="00F43B16"/>
    <w:rsid w:val="00F43CA5"/>
    <w:rsid w:val="00F43E5F"/>
    <w:rsid w:val="00F43ED2"/>
    <w:rsid w:val="00F43F1E"/>
    <w:rsid w:val="00F43F65"/>
    <w:rsid w:val="00F43FE5"/>
    <w:rsid w:val="00F43FE7"/>
    <w:rsid w:val="00F44034"/>
    <w:rsid w:val="00F44118"/>
    <w:rsid w:val="00F441C5"/>
    <w:rsid w:val="00F441EF"/>
    <w:rsid w:val="00F442D7"/>
    <w:rsid w:val="00F4433A"/>
    <w:rsid w:val="00F44488"/>
    <w:rsid w:val="00F4450D"/>
    <w:rsid w:val="00F44587"/>
    <w:rsid w:val="00F4467B"/>
    <w:rsid w:val="00F44687"/>
    <w:rsid w:val="00F44906"/>
    <w:rsid w:val="00F4499E"/>
    <w:rsid w:val="00F449CF"/>
    <w:rsid w:val="00F44A10"/>
    <w:rsid w:val="00F44A1C"/>
    <w:rsid w:val="00F44B6E"/>
    <w:rsid w:val="00F44BF8"/>
    <w:rsid w:val="00F44CBD"/>
    <w:rsid w:val="00F44E4F"/>
    <w:rsid w:val="00F44F33"/>
    <w:rsid w:val="00F4511D"/>
    <w:rsid w:val="00F45258"/>
    <w:rsid w:val="00F452C2"/>
    <w:rsid w:val="00F4539E"/>
    <w:rsid w:val="00F453EF"/>
    <w:rsid w:val="00F454AF"/>
    <w:rsid w:val="00F454F7"/>
    <w:rsid w:val="00F4581B"/>
    <w:rsid w:val="00F459AF"/>
    <w:rsid w:val="00F45A2D"/>
    <w:rsid w:val="00F45AA4"/>
    <w:rsid w:val="00F45B67"/>
    <w:rsid w:val="00F45C0F"/>
    <w:rsid w:val="00F45D48"/>
    <w:rsid w:val="00F45D82"/>
    <w:rsid w:val="00F45D9E"/>
    <w:rsid w:val="00F45DBC"/>
    <w:rsid w:val="00F45EE1"/>
    <w:rsid w:val="00F45F73"/>
    <w:rsid w:val="00F45FFD"/>
    <w:rsid w:val="00F46001"/>
    <w:rsid w:val="00F46108"/>
    <w:rsid w:val="00F4614C"/>
    <w:rsid w:val="00F4621E"/>
    <w:rsid w:val="00F46268"/>
    <w:rsid w:val="00F46478"/>
    <w:rsid w:val="00F46492"/>
    <w:rsid w:val="00F465DE"/>
    <w:rsid w:val="00F46683"/>
    <w:rsid w:val="00F46727"/>
    <w:rsid w:val="00F46797"/>
    <w:rsid w:val="00F46CB7"/>
    <w:rsid w:val="00F46DD2"/>
    <w:rsid w:val="00F46E61"/>
    <w:rsid w:val="00F46E8B"/>
    <w:rsid w:val="00F46FAA"/>
    <w:rsid w:val="00F47056"/>
    <w:rsid w:val="00F476D3"/>
    <w:rsid w:val="00F47721"/>
    <w:rsid w:val="00F47868"/>
    <w:rsid w:val="00F47AB1"/>
    <w:rsid w:val="00F47CE5"/>
    <w:rsid w:val="00F47E3E"/>
    <w:rsid w:val="00F47FA0"/>
    <w:rsid w:val="00F47FB2"/>
    <w:rsid w:val="00F47FBF"/>
    <w:rsid w:val="00F47FC2"/>
    <w:rsid w:val="00F5007F"/>
    <w:rsid w:val="00F50103"/>
    <w:rsid w:val="00F50186"/>
    <w:rsid w:val="00F50399"/>
    <w:rsid w:val="00F50406"/>
    <w:rsid w:val="00F5052E"/>
    <w:rsid w:val="00F50673"/>
    <w:rsid w:val="00F50727"/>
    <w:rsid w:val="00F507BE"/>
    <w:rsid w:val="00F507D0"/>
    <w:rsid w:val="00F50964"/>
    <w:rsid w:val="00F509B7"/>
    <w:rsid w:val="00F509CA"/>
    <w:rsid w:val="00F50C75"/>
    <w:rsid w:val="00F50C86"/>
    <w:rsid w:val="00F50CE4"/>
    <w:rsid w:val="00F50D8B"/>
    <w:rsid w:val="00F50F2E"/>
    <w:rsid w:val="00F50F38"/>
    <w:rsid w:val="00F51020"/>
    <w:rsid w:val="00F510C3"/>
    <w:rsid w:val="00F511B8"/>
    <w:rsid w:val="00F511EB"/>
    <w:rsid w:val="00F5135F"/>
    <w:rsid w:val="00F513CC"/>
    <w:rsid w:val="00F51435"/>
    <w:rsid w:val="00F514D7"/>
    <w:rsid w:val="00F515D0"/>
    <w:rsid w:val="00F51AA2"/>
    <w:rsid w:val="00F51B74"/>
    <w:rsid w:val="00F51BD6"/>
    <w:rsid w:val="00F51BF7"/>
    <w:rsid w:val="00F51C65"/>
    <w:rsid w:val="00F5202C"/>
    <w:rsid w:val="00F522BC"/>
    <w:rsid w:val="00F52400"/>
    <w:rsid w:val="00F52536"/>
    <w:rsid w:val="00F52593"/>
    <w:rsid w:val="00F52625"/>
    <w:rsid w:val="00F5270B"/>
    <w:rsid w:val="00F52770"/>
    <w:rsid w:val="00F528F5"/>
    <w:rsid w:val="00F52934"/>
    <w:rsid w:val="00F52991"/>
    <w:rsid w:val="00F52C7B"/>
    <w:rsid w:val="00F52C8E"/>
    <w:rsid w:val="00F52E3E"/>
    <w:rsid w:val="00F52E96"/>
    <w:rsid w:val="00F52EC0"/>
    <w:rsid w:val="00F53017"/>
    <w:rsid w:val="00F53023"/>
    <w:rsid w:val="00F53065"/>
    <w:rsid w:val="00F530D9"/>
    <w:rsid w:val="00F53165"/>
    <w:rsid w:val="00F53209"/>
    <w:rsid w:val="00F5340A"/>
    <w:rsid w:val="00F534C2"/>
    <w:rsid w:val="00F534F9"/>
    <w:rsid w:val="00F53545"/>
    <w:rsid w:val="00F5359A"/>
    <w:rsid w:val="00F535AF"/>
    <w:rsid w:val="00F53652"/>
    <w:rsid w:val="00F53804"/>
    <w:rsid w:val="00F53863"/>
    <w:rsid w:val="00F53912"/>
    <w:rsid w:val="00F53C31"/>
    <w:rsid w:val="00F53DF9"/>
    <w:rsid w:val="00F53E2D"/>
    <w:rsid w:val="00F53FCD"/>
    <w:rsid w:val="00F54126"/>
    <w:rsid w:val="00F54132"/>
    <w:rsid w:val="00F5431E"/>
    <w:rsid w:val="00F54384"/>
    <w:rsid w:val="00F5449A"/>
    <w:rsid w:val="00F547E7"/>
    <w:rsid w:val="00F5484C"/>
    <w:rsid w:val="00F54861"/>
    <w:rsid w:val="00F54936"/>
    <w:rsid w:val="00F54989"/>
    <w:rsid w:val="00F54A29"/>
    <w:rsid w:val="00F54AA0"/>
    <w:rsid w:val="00F54AAD"/>
    <w:rsid w:val="00F54B46"/>
    <w:rsid w:val="00F54BD7"/>
    <w:rsid w:val="00F54C91"/>
    <w:rsid w:val="00F55038"/>
    <w:rsid w:val="00F550A8"/>
    <w:rsid w:val="00F5543C"/>
    <w:rsid w:val="00F5564D"/>
    <w:rsid w:val="00F556DD"/>
    <w:rsid w:val="00F5579F"/>
    <w:rsid w:val="00F557D7"/>
    <w:rsid w:val="00F55886"/>
    <w:rsid w:val="00F55901"/>
    <w:rsid w:val="00F55955"/>
    <w:rsid w:val="00F55976"/>
    <w:rsid w:val="00F55AB9"/>
    <w:rsid w:val="00F55BF1"/>
    <w:rsid w:val="00F55D03"/>
    <w:rsid w:val="00F55D13"/>
    <w:rsid w:val="00F55D30"/>
    <w:rsid w:val="00F55D8D"/>
    <w:rsid w:val="00F55D91"/>
    <w:rsid w:val="00F55ED4"/>
    <w:rsid w:val="00F5605C"/>
    <w:rsid w:val="00F561C1"/>
    <w:rsid w:val="00F56244"/>
    <w:rsid w:val="00F562F8"/>
    <w:rsid w:val="00F56480"/>
    <w:rsid w:val="00F5668E"/>
    <w:rsid w:val="00F5673A"/>
    <w:rsid w:val="00F567B4"/>
    <w:rsid w:val="00F567F7"/>
    <w:rsid w:val="00F56845"/>
    <w:rsid w:val="00F5696C"/>
    <w:rsid w:val="00F569AC"/>
    <w:rsid w:val="00F569BD"/>
    <w:rsid w:val="00F56A75"/>
    <w:rsid w:val="00F56B7C"/>
    <w:rsid w:val="00F56C63"/>
    <w:rsid w:val="00F56DF8"/>
    <w:rsid w:val="00F56E3A"/>
    <w:rsid w:val="00F57028"/>
    <w:rsid w:val="00F57177"/>
    <w:rsid w:val="00F57189"/>
    <w:rsid w:val="00F5719A"/>
    <w:rsid w:val="00F571A9"/>
    <w:rsid w:val="00F5723E"/>
    <w:rsid w:val="00F572A9"/>
    <w:rsid w:val="00F572AC"/>
    <w:rsid w:val="00F57395"/>
    <w:rsid w:val="00F57496"/>
    <w:rsid w:val="00F57498"/>
    <w:rsid w:val="00F575ED"/>
    <w:rsid w:val="00F575F6"/>
    <w:rsid w:val="00F57835"/>
    <w:rsid w:val="00F578AC"/>
    <w:rsid w:val="00F579BC"/>
    <w:rsid w:val="00F57AEB"/>
    <w:rsid w:val="00F57B1C"/>
    <w:rsid w:val="00F57B32"/>
    <w:rsid w:val="00F57B87"/>
    <w:rsid w:val="00F57CA6"/>
    <w:rsid w:val="00F57CC2"/>
    <w:rsid w:val="00F60131"/>
    <w:rsid w:val="00F60175"/>
    <w:rsid w:val="00F6023C"/>
    <w:rsid w:val="00F603C4"/>
    <w:rsid w:val="00F60477"/>
    <w:rsid w:val="00F60668"/>
    <w:rsid w:val="00F60701"/>
    <w:rsid w:val="00F6083F"/>
    <w:rsid w:val="00F60A6A"/>
    <w:rsid w:val="00F60B10"/>
    <w:rsid w:val="00F60C16"/>
    <w:rsid w:val="00F60CC9"/>
    <w:rsid w:val="00F60D34"/>
    <w:rsid w:val="00F60E31"/>
    <w:rsid w:val="00F60E38"/>
    <w:rsid w:val="00F61035"/>
    <w:rsid w:val="00F610F5"/>
    <w:rsid w:val="00F61142"/>
    <w:rsid w:val="00F61233"/>
    <w:rsid w:val="00F61318"/>
    <w:rsid w:val="00F61367"/>
    <w:rsid w:val="00F613FA"/>
    <w:rsid w:val="00F61472"/>
    <w:rsid w:val="00F6150F"/>
    <w:rsid w:val="00F61604"/>
    <w:rsid w:val="00F61739"/>
    <w:rsid w:val="00F6198A"/>
    <w:rsid w:val="00F619E6"/>
    <w:rsid w:val="00F61A5B"/>
    <w:rsid w:val="00F61B17"/>
    <w:rsid w:val="00F61B63"/>
    <w:rsid w:val="00F61C3A"/>
    <w:rsid w:val="00F61D2D"/>
    <w:rsid w:val="00F61D8C"/>
    <w:rsid w:val="00F61DBB"/>
    <w:rsid w:val="00F6204C"/>
    <w:rsid w:val="00F62166"/>
    <w:rsid w:val="00F621C5"/>
    <w:rsid w:val="00F623AF"/>
    <w:rsid w:val="00F62434"/>
    <w:rsid w:val="00F62456"/>
    <w:rsid w:val="00F62522"/>
    <w:rsid w:val="00F626AA"/>
    <w:rsid w:val="00F626E8"/>
    <w:rsid w:val="00F62713"/>
    <w:rsid w:val="00F6279F"/>
    <w:rsid w:val="00F62935"/>
    <w:rsid w:val="00F62B30"/>
    <w:rsid w:val="00F62B90"/>
    <w:rsid w:val="00F62C23"/>
    <w:rsid w:val="00F62D0C"/>
    <w:rsid w:val="00F62D94"/>
    <w:rsid w:val="00F62E3A"/>
    <w:rsid w:val="00F62E69"/>
    <w:rsid w:val="00F62EC0"/>
    <w:rsid w:val="00F62F0E"/>
    <w:rsid w:val="00F62FA7"/>
    <w:rsid w:val="00F6302B"/>
    <w:rsid w:val="00F63037"/>
    <w:rsid w:val="00F6313D"/>
    <w:rsid w:val="00F631AB"/>
    <w:rsid w:val="00F633BF"/>
    <w:rsid w:val="00F633D0"/>
    <w:rsid w:val="00F63434"/>
    <w:rsid w:val="00F6344E"/>
    <w:rsid w:val="00F63473"/>
    <w:rsid w:val="00F634E4"/>
    <w:rsid w:val="00F63532"/>
    <w:rsid w:val="00F636D3"/>
    <w:rsid w:val="00F6378E"/>
    <w:rsid w:val="00F6389B"/>
    <w:rsid w:val="00F639E1"/>
    <w:rsid w:val="00F63B93"/>
    <w:rsid w:val="00F63C06"/>
    <w:rsid w:val="00F63C68"/>
    <w:rsid w:val="00F63CAF"/>
    <w:rsid w:val="00F63CB2"/>
    <w:rsid w:val="00F63D92"/>
    <w:rsid w:val="00F63DC0"/>
    <w:rsid w:val="00F63DC6"/>
    <w:rsid w:val="00F63E34"/>
    <w:rsid w:val="00F63E67"/>
    <w:rsid w:val="00F63F0B"/>
    <w:rsid w:val="00F6401A"/>
    <w:rsid w:val="00F6403D"/>
    <w:rsid w:val="00F64092"/>
    <w:rsid w:val="00F641F5"/>
    <w:rsid w:val="00F6423C"/>
    <w:rsid w:val="00F64432"/>
    <w:rsid w:val="00F6446D"/>
    <w:rsid w:val="00F64539"/>
    <w:rsid w:val="00F645DB"/>
    <w:rsid w:val="00F6476C"/>
    <w:rsid w:val="00F647F3"/>
    <w:rsid w:val="00F6486A"/>
    <w:rsid w:val="00F64892"/>
    <w:rsid w:val="00F64946"/>
    <w:rsid w:val="00F6497B"/>
    <w:rsid w:val="00F64B80"/>
    <w:rsid w:val="00F64BE5"/>
    <w:rsid w:val="00F64BFB"/>
    <w:rsid w:val="00F64C2B"/>
    <w:rsid w:val="00F64E86"/>
    <w:rsid w:val="00F64F30"/>
    <w:rsid w:val="00F64F4B"/>
    <w:rsid w:val="00F64FC8"/>
    <w:rsid w:val="00F651DC"/>
    <w:rsid w:val="00F652CD"/>
    <w:rsid w:val="00F653AC"/>
    <w:rsid w:val="00F6554B"/>
    <w:rsid w:val="00F65596"/>
    <w:rsid w:val="00F655E0"/>
    <w:rsid w:val="00F65649"/>
    <w:rsid w:val="00F6565E"/>
    <w:rsid w:val="00F656AD"/>
    <w:rsid w:val="00F6576A"/>
    <w:rsid w:val="00F6584B"/>
    <w:rsid w:val="00F65861"/>
    <w:rsid w:val="00F65878"/>
    <w:rsid w:val="00F658AF"/>
    <w:rsid w:val="00F658E2"/>
    <w:rsid w:val="00F65956"/>
    <w:rsid w:val="00F6595E"/>
    <w:rsid w:val="00F65AD8"/>
    <w:rsid w:val="00F65CE0"/>
    <w:rsid w:val="00F65E68"/>
    <w:rsid w:val="00F65FE9"/>
    <w:rsid w:val="00F6613A"/>
    <w:rsid w:val="00F661DA"/>
    <w:rsid w:val="00F6631B"/>
    <w:rsid w:val="00F66339"/>
    <w:rsid w:val="00F66397"/>
    <w:rsid w:val="00F664AF"/>
    <w:rsid w:val="00F66533"/>
    <w:rsid w:val="00F66641"/>
    <w:rsid w:val="00F6670D"/>
    <w:rsid w:val="00F66955"/>
    <w:rsid w:val="00F669B4"/>
    <w:rsid w:val="00F669C3"/>
    <w:rsid w:val="00F66BD9"/>
    <w:rsid w:val="00F66CF5"/>
    <w:rsid w:val="00F66F27"/>
    <w:rsid w:val="00F6705C"/>
    <w:rsid w:val="00F67072"/>
    <w:rsid w:val="00F672EE"/>
    <w:rsid w:val="00F67318"/>
    <w:rsid w:val="00F67332"/>
    <w:rsid w:val="00F67342"/>
    <w:rsid w:val="00F674F1"/>
    <w:rsid w:val="00F674FC"/>
    <w:rsid w:val="00F6786A"/>
    <w:rsid w:val="00F6787D"/>
    <w:rsid w:val="00F678CC"/>
    <w:rsid w:val="00F67999"/>
    <w:rsid w:val="00F679AA"/>
    <w:rsid w:val="00F679AB"/>
    <w:rsid w:val="00F67A5B"/>
    <w:rsid w:val="00F67AF3"/>
    <w:rsid w:val="00F67AFF"/>
    <w:rsid w:val="00F67B65"/>
    <w:rsid w:val="00F67BEA"/>
    <w:rsid w:val="00F67E6A"/>
    <w:rsid w:val="00F67F4E"/>
    <w:rsid w:val="00F7019E"/>
    <w:rsid w:val="00F702F5"/>
    <w:rsid w:val="00F70484"/>
    <w:rsid w:val="00F70510"/>
    <w:rsid w:val="00F705AA"/>
    <w:rsid w:val="00F7061F"/>
    <w:rsid w:val="00F70632"/>
    <w:rsid w:val="00F706B4"/>
    <w:rsid w:val="00F70704"/>
    <w:rsid w:val="00F70723"/>
    <w:rsid w:val="00F70843"/>
    <w:rsid w:val="00F70A14"/>
    <w:rsid w:val="00F70B13"/>
    <w:rsid w:val="00F70BC5"/>
    <w:rsid w:val="00F70CEC"/>
    <w:rsid w:val="00F70DBA"/>
    <w:rsid w:val="00F70DFD"/>
    <w:rsid w:val="00F70E0F"/>
    <w:rsid w:val="00F70EF1"/>
    <w:rsid w:val="00F71130"/>
    <w:rsid w:val="00F7116F"/>
    <w:rsid w:val="00F711D7"/>
    <w:rsid w:val="00F713C4"/>
    <w:rsid w:val="00F716C0"/>
    <w:rsid w:val="00F7176E"/>
    <w:rsid w:val="00F71A21"/>
    <w:rsid w:val="00F71A56"/>
    <w:rsid w:val="00F71BEE"/>
    <w:rsid w:val="00F71C3A"/>
    <w:rsid w:val="00F71E40"/>
    <w:rsid w:val="00F71FF9"/>
    <w:rsid w:val="00F7208C"/>
    <w:rsid w:val="00F72297"/>
    <w:rsid w:val="00F7229A"/>
    <w:rsid w:val="00F722BF"/>
    <w:rsid w:val="00F72560"/>
    <w:rsid w:val="00F725DB"/>
    <w:rsid w:val="00F7275F"/>
    <w:rsid w:val="00F72954"/>
    <w:rsid w:val="00F7296C"/>
    <w:rsid w:val="00F7296D"/>
    <w:rsid w:val="00F72A1A"/>
    <w:rsid w:val="00F72EE0"/>
    <w:rsid w:val="00F72FFC"/>
    <w:rsid w:val="00F73212"/>
    <w:rsid w:val="00F7323C"/>
    <w:rsid w:val="00F732E1"/>
    <w:rsid w:val="00F73420"/>
    <w:rsid w:val="00F735B9"/>
    <w:rsid w:val="00F735ED"/>
    <w:rsid w:val="00F73698"/>
    <w:rsid w:val="00F736A7"/>
    <w:rsid w:val="00F73959"/>
    <w:rsid w:val="00F739EE"/>
    <w:rsid w:val="00F73AFA"/>
    <w:rsid w:val="00F73D75"/>
    <w:rsid w:val="00F73E69"/>
    <w:rsid w:val="00F73FF8"/>
    <w:rsid w:val="00F740D4"/>
    <w:rsid w:val="00F74151"/>
    <w:rsid w:val="00F74168"/>
    <w:rsid w:val="00F74282"/>
    <w:rsid w:val="00F74449"/>
    <w:rsid w:val="00F74516"/>
    <w:rsid w:val="00F745A9"/>
    <w:rsid w:val="00F745F4"/>
    <w:rsid w:val="00F74605"/>
    <w:rsid w:val="00F74691"/>
    <w:rsid w:val="00F7477A"/>
    <w:rsid w:val="00F74886"/>
    <w:rsid w:val="00F748F6"/>
    <w:rsid w:val="00F74B6C"/>
    <w:rsid w:val="00F74BB2"/>
    <w:rsid w:val="00F74C20"/>
    <w:rsid w:val="00F74DB7"/>
    <w:rsid w:val="00F74DD7"/>
    <w:rsid w:val="00F74E81"/>
    <w:rsid w:val="00F74E88"/>
    <w:rsid w:val="00F74F93"/>
    <w:rsid w:val="00F75139"/>
    <w:rsid w:val="00F75231"/>
    <w:rsid w:val="00F75435"/>
    <w:rsid w:val="00F754A5"/>
    <w:rsid w:val="00F7556F"/>
    <w:rsid w:val="00F75665"/>
    <w:rsid w:val="00F757D3"/>
    <w:rsid w:val="00F757E6"/>
    <w:rsid w:val="00F75815"/>
    <w:rsid w:val="00F759D5"/>
    <w:rsid w:val="00F759D6"/>
    <w:rsid w:val="00F75BAA"/>
    <w:rsid w:val="00F75CE7"/>
    <w:rsid w:val="00F75F27"/>
    <w:rsid w:val="00F75F31"/>
    <w:rsid w:val="00F75FC9"/>
    <w:rsid w:val="00F760DB"/>
    <w:rsid w:val="00F7614F"/>
    <w:rsid w:val="00F762BB"/>
    <w:rsid w:val="00F76383"/>
    <w:rsid w:val="00F763F7"/>
    <w:rsid w:val="00F765FC"/>
    <w:rsid w:val="00F7665F"/>
    <w:rsid w:val="00F766A6"/>
    <w:rsid w:val="00F767A6"/>
    <w:rsid w:val="00F767B7"/>
    <w:rsid w:val="00F7691A"/>
    <w:rsid w:val="00F76A67"/>
    <w:rsid w:val="00F76BAF"/>
    <w:rsid w:val="00F76C21"/>
    <w:rsid w:val="00F76C39"/>
    <w:rsid w:val="00F76D02"/>
    <w:rsid w:val="00F76DB1"/>
    <w:rsid w:val="00F76E24"/>
    <w:rsid w:val="00F76ED8"/>
    <w:rsid w:val="00F7730B"/>
    <w:rsid w:val="00F77370"/>
    <w:rsid w:val="00F774CE"/>
    <w:rsid w:val="00F77545"/>
    <w:rsid w:val="00F775CB"/>
    <w:rsid w:val="00F77677"/>
    <w:rsid w:val="00F7773C"/>
    <w:rsid w:val="00F7785B"/>
    <w:rsid w:val="00F778F9"/>
    <w:rsid w:val="00F77984"/>
    <w:rsid w:val="00F77B81"/>
    <w:rsid w:val="00F77B8B"/>
    <w:rsid w:val="00F77CC4"/>
    <w:rsid w:val="00F77DDA"/>
    <w:rsid w:val="00F77E3B"/>
    <w:rsid w:val="00F77E41"/>
    <w:rsid w:val="00F77E60"/>
    <w:rsid w:val="00F801D2"/>
    <w:rsid w:val="00F801DE"/>
    <w:rsid w:val="00F801EA"/>
    <w:rsid w:val="00F80236"/>
    <w:rsid w:val="00F8025E"/>
    <w:rsid w:val="00F80393"/>
    <w:rsid w:val="00F803B2"/>
    <w:rsid w:val="00F804A9"/>
    <w:rsid w:val="00F80529"/>
    <w:rsid w:val="00F8058F"/>
    <w:rsid w:val="00F8060B"/>
    <w:rsid w:val="00F80647"/>
    <w:rsid w:val="00F806E0"/>
    <w:rsid w:val="00F80726"/>
    <w:rsid w:val="00F80740"/>
    <w:rsid w:val="00F807F5"/>
    <w:rsid w:val="00F808E8"/>
    <w:rsid w:val="00F8092E"/>
    <w:rsid w:val="00F809E9"/>
    <w:rsid w:val="00F80A0A"/>
    <w:rsid w:val="00F80A76"/>
    <w:rsid w:val="00F80AB8"/>
    <w:rsid w:val="00F80B5A"/>
    <w:rsid w:val="00F80C05"/>
    <w:rsid w:val="00F80C08"/>
    <w:rsid w:val="00F80CC3"/>
    <w:rsid w:val="00F80F10"/>
    <w:rsid w:val="00F80F46"/>
    <w:rsid w:val="00F81032"/>
    <w:rsid w:val="00F810E5"/>
    <w:rsid w:val="00F812B5"/>
    <w:rsid w:val="00F812CF"/>
    <w:rsid w:val="00F81324"/>
    <w:rsid w:val="00F813AA"/>
    <w:rsid w:val="00F816D7"/>
    <w:rsid w:val="00F817DC"/>
    <w:rsid w:val="00F81976"/>
    <w:rsid w:val="00F819C9"/>
    <w:rsid w:val="00F81A16"/>
    <w:rsid w:val="00F81A89"/>
    <w:rsid w:val="00F81AD0"/>
    <w:rsid w:val="00F81B63"/>
    <w:rsid w:val="00F81BBD"/>
    <w:rsid w:val="00F81D91"/>
    <w:rsid w:val="00F81DBC"/>
    <w:rsid w:val="00F81E62"/>
    <w:rsid w:val="00F81FDD"/>
    <w:rsid w:val="00F81FF5"/>
    <w:rsid w:val="00F8206E"/>
    <w:rsid w:val="00F82275"/>
    <w:rsid w:val="00F823CF"/>
    <w:rsid w:val="00F8250A"/>
    <w:rsid w:val="00F82559"/>
    <w:rsid w:val="00F82776"/>
    <w:rsid w:val="00F828D8"/>
    <w:rsid w:val="00F828F0"/>
    <w:rsid w:val="00F829EC"/>
    <w:rsid w:val="00F82A53"/>
    <w:rsid w:val="00F82A71"/>
    <w:rsid w:val="00F82B79"/>
    <w:rsid w:val="00F82C25"/>
    <w:rsid w:val="00F82C3F"/>
    <w:rsid w:val="00F82CE9"/>
    <w:rsid w:val="00F831BD"/>
    <w:rsid w:val="00F833A5"/>
    <w:rsid w:val="00F833B8"/>
    <w:rsid w:val="00F83480"/>
    <w:rsid w:val="00F83500"/>
    <w:rsid w:val="00F83523"/>
    <w:rsid w:val="00F83534"/>
    <w:rsid w:val="00F83555"/>
    <w:rsid w:val="00F83776"/>
    <w:rsid w:val="00F8387D"/>
    <w:rsid w:val="00F838F4"/>
    <w:rsid w:val="00F83A68"/>
    <w:rsid w:val="00F83AC9"/>
    <w:rsid w:val="00F83C07"/>
    <w:rsid w:val="00F83CB3"/>
    <w:rsid w:val="00F83CD2"/>
    <w:rsid w:val="00F83D44"/>
    <w:rsid w:val="00F83E05"/>
    <w:rsid w:val="00F83EAC"/>
    <w:rsid w:val="00F83F39"/>
    <w:rsid w:val="00F84091"/>
    <w:rsid w:val="00F84154"/>
    <w:rsid w:val="00F84182"/>
    <w:rsid w:val="00F8433E"/>
    <w:rsid w:val="00F84354"/>
    <w:rsid w:val="00F845FC"/>
    <w:rsid w:val="00F84605"/>
    <w:rsid w:val="00F8460D"/>
    <w:rsid w:val="00F84747"/>
    <w:rsid w:val="00F84866"/>
    <w:rsid w:val="00F848D0"/>
    <w:rsid w:val="00F84BB4"/>
    <w:rsid w:val="00F84CD2"/>
    <w:rsid w:val="00F84D7D"/>
    <w:rsid w:val="00F84D8B"/>
    <w:rsid w:val="00F84DBC"/>
    <w:rsid w:val="00F84DF1"/>
    <w:rsid w:val="00F84E26"/>
    <w:rsid w:val="00F84F84"/>
    <w:rsid w:val="00F84FE7"/>
    <w:rsid w:val="00F85052"/>
    <w:rsid w:val="00F85186"/>
    <w:rsid w:val="00F8518F"/>
    <w:rsid w:val="00F85387"/>
    <w:rsid w:val="00F85389"/>
    <w:rsid w:val="00F8548A"/>
    <w:rsid w:val="00F85562"/>
    <w:rsid w:val="00F856E2"/>
    <w:rsid w:val="00F857D0"/>
    <w:rsid w:val="00F8598C"/>
    <w:rsid w:val="00F85A19"/>
    <w:rsid w:val="00F85A3C"/>
    <w:rsid w:val="00F85A53"/>
    <w:rsid w:val="00F85CB8"/>
    <w:rsid w:val="00F85CDA"/>
    <w:rsid w:val="00F85DB2"/>
    <w:rsid w:val="00F85E4B"/>
    <w:rsid w:val="00F85E4F"/>
    <w:rsid w:val="00F85E5C"/>
    <w:rsid w:val="00F85EB8"/>
    <w:rsid w:val="00F85F24"/>
    <w:rsid w:val="00F8607D"/>
    <w:rsid w:val="00F8618E"/>
    <w:rsid w:val="00F862A6"/>
    <w:rsid w:val="00F862C3"/>
    <w:rsid w:val="00F863E0"/>
    <w:rsid w:val="00F867AF"/>
    <w:rsid w:val="00F867EB"/>
    <w:rsid w:val="00F869B7"/>
    <w:rsid w:val="00F86E3A"/>
    <w:rsid w:val="00F86F28"/>
    <w:rsid w:val="00F86F4E"/>
    <w:rsid w:val="00F86F77"/>
    <w:rsid w:val="00F87058"/>
    <w:rsid w:val="00F8732D"/>
    <w:rsid w:val="00F8740C"/>
    <w:rsid w:val="00F87793"/>
    <w:rsid w:val="00F877EB"/>
    <w:rsid w:val="00F87892"/>
    <w:rsid w:val="00F87928"/>
    <w:rsid w:val="00F87AB4"/>
    <w:rsid w:val="00F87AD6"/>
    <w:rsid w:val="00F87C36"/>
    <w:rsid w:val="00F87C43"/>
    <w:rsid w:val="00F87C6A"/>
    <w:rsid w:val="00F87C90"/>
    <w:rsid w:val="00F87DAA"/>
    <w:rsid w:val="00F87E33"/>
    <w:rsid w:val="00F87ECB"/>
    <w:rsid w:val="00F90000"/>
    <w:rsid w:val="00F9000D"/>
    <w:rsid w:val="00F9006E"/>
    <w:rsid w:val="00F900A0"/>
    <w:rsid w:val="00F900AE"/>
    <w:rsid w:val="00F9020F"/>
    <w:rsid w:val="00F9052E"/>
    <w:rsid w:val="00F90630"/>
    <w:rsid w:val="00F90687"/>
    <w:rsid w:val="00F906DA"/>
    <w:rsid w:val="00F9091D"/>
    <w:rsid w:val="00F90936"/>
    <w:rsid w:val="00F909A4"/>
    <w:rsid w:val="00F90A74"/>
    <w:rsid w:val="00F90BCC"/>
    <w:rsid w:val="00F90C30"/>
    <w:rsid w:val="00F90C52"/>
    <w:rsid w:val="00F90CA6"/>
    <w:rsid w:val="00F90E19"/>
    <w:rsid w:val="00F90FB9"/>
    <w:rsid w:val="00F910A2"/>
    <w:rsid w:val="00F9110B"/>
    <w:rsid w:val="00F912D2"/>
    <w:rsid w:val="00F9132C"/>
    <w:rsid w:val="00F91376"/>
    <w:rsid w:val="00F913BC"/>
    <w:rsid w:val="00F914CF"/>
    <w:rsid w:val="00F915E3"/>
    <w:rsid w:val="00F9175C"/>
    <w:rsid w:val="00F91795"/>
    <w:rsid w:val="00F91833"/>
    <w:rsid w:val="00F918A4"/>
    <w:rsid w:val="00F918B0"/>
    <w:rsid w:val="00F918E1"/>
    <w:rsid w:val="00F918EB"/>
    <w:rsid w:val="00F91B1F"/>
    <w:rsid w:val="00F91B40"/>
    <w:rsid w:val="00F91B4F"/>
    <w:rsid w:val="00F91BE1"/>
    <w:rsid w:val="00F91BE8"/>
    <w:rsid w:val="00F91D1B"/>
    <w:rsid w:val="00F91E50"/>
    <w:rsid w:val="00F91EF2"/>
    <w:rsid w:val="00F92096"/>
    <w:rsid w:val="00F920C4"/>
    <w:rsid w:val="00F92198"/>
    <w:rsid w:val="00F922C3"/>
    <w:rsid w:val="00F9236B"/>
    <w:rsid w:val="00F923E8"/>
    <w:rsid w:val="00F9251E"/>
    <w:rsid w:val="00F925A9"/>
    <w:rsid w:val="00F925CD"/>
    <w:rsid w:val="00F92614"/>
    <w:rsid w:val="00F9262B"/>
    <w:rsid w:val="00F92687"/>
    <w:rsid w:val="00F926B8"/>
    <w:rsid w:val="00F926D9"/>
    <w:rsid w:val="00F92840"/>
    <w:rsid w:val="00F92A64"/>
    <w:rsid w:val="00F92A7F"/>
    <w:rsid w:val="00F92AE5"/>
    <w:rsid w:val="00F92B8A"/>
    <w:rsid w:val="00F92BCD"/>
    <w:rsid w:val="00F92BF5"/>
    <w:rsid w:val="00F92BFD"/>
    <w:rsid w:val="00F92C3A"/>
    <w:rsid w:val="00F92C94"/>
    <w:rsid w:val="00F92D78"/>
    <w:rsid w:val="00F92E01"/>
    <w:rsid w:val="00F92E06"/>
    <w:rsid w:val="00F92E77"/>
    <w:rsid w:val="00F92E7B"/>
    <w:rsid w:val="00F92FC0"/>
    <w:rsid w:val="00F93091"/>
    <w:rsid w:val="00F9317F"/>
    <w:rsid w:val="00F9334B"/>
    <w:rsid w:val="00F9334F"/>
    <w:rsid w:val="00F933EF"/>
    <w:rsid w:val="00F934F4"/>
    <w:rsid w:val="00F935B2"/>
    <w:rsid w:val="00F9361C"/>
    <w:rsid w:val="00F9367F"/>
    <w:rsid w:val="00F93718"/>
    <w:rsid w:val="00F9379F"/>
    <w:rsid w:val="00F93856"/>
    <w:rsid w:val="00F93980"/>
    <w:rsid w:val="00F939F8"/>
    <w:rsid w:val="00F93AFF"/>
    <w:rsid w:val="00F93B5E"/>
    <w:rsid w:val="00F93B8D"/>
    <w:rsid w:val="00F93D5D"/>
    <w:rsid w:val="00F93D8E"/>
    <w:rsid w:val="00F93DD7"/>
    <w:rsid w:val="00F93EAE"/>
    <w:rsid w:val="00F93FD4"/>
    <w:rsid w:val="00F94092"/>
    <w:rsid w:val="00F9410D"/>
    <w:rsid w:val="00F94185"/>
    <w:rsid w:val="00F94202"/>
    <w:rsid w:val="00F942BE"/>
    <w:rsid w:val="00F9433E"/>
    <w:rsid w:val="00F943E1"/>
    <w:rsid w:val="00F9442D"/>
    <w:rsid w:val="00F944D9"/>
    <w:rsid w:val="00F94566"/>
    <w:rsid w:val="00F9465E"/>
    <w:rsid w:val="00F946B7"/>
    <w:rsid w:val="00F947E3"/>
    <w:rsid w:val="00F94821"/>
    <w:rsid w:val="00F949D0"/>
    <w:rsid w:val="00F94A83"/>
    <w:rsid w:val="00F94D12"/>
    <w:rsid w:val="00F94D26"/>
    <w:rsid w:val="00F94ED1"/>
    <w:rsid w:val="00F94EF5"/>
    <w:rsid w:val="00F950F8"/>
    <w:rsid w:val="00F95111"/>
    <w:rsid w:val="00F9517A"/>
    <w:rsid w:val="00F9519A"/>
    <w:rsid w:val="00F951C8"/>
    <w:rsid w:val="00F95280"/>
    <w:rsid w:val="00F9555B"/>
    <w:rsid w:val="00F955EF"/>
    <w:rsid w:val="00F95681"/>
    <w:rsid w:val="00F95861"/>
    <w:rsid w:val="00F95A11"/>
    <w:rsid w:val="00F95A13"/>
    <w:rsid w:val="00F95A82"/>
    <w:rsid w:val="00F95C23"/>
    <w:rsid w:val="00F95C60"/>
    <w:rsid w:val="00F95E55"/>
    <w:rsid w:val="00F95F2F"/>
    <w:rsid w:val="00F960D0"/>
    <w:rsid w:val="00F9615B"/>
    <w:rsid w:val="00F96219"/>
    <w:rsid w:val="00F96237"/>
    <w:rsid w:val="00F96251"/>
    <w:rsid w:val="00F9638C"/>
    <w:rsid w:val="00F96455"/>
    <w:rsid w:val="00F9661C"/>
    <w:rsid w:val="00F96635"/>
    <w:rsid w:val="00F966AA"/>
    <w:rsid w:val="00F96734"/>
    <w:rsid w:val="00F967F7"/>
    <w:rsid w:val="00F9682E"/>
    <w:rsid w:val="00F96912"/>
    <w:rsid w:val="00F96ABC"/>
    <w:rsid w:val="00F96BCF"/>
    <w:rsid w:val="00F96E34"/>
    <w:rsid w:val="00F96FA8"/>
    <w:rsid w:val="00F97161"/>
    <w:rsid w:val="00F972F3"/>
    <w:rsid w:val="00F97326"/>
    <w:rsid w:val="00F97338"/>
    <w:rsid w:val="00F97509"/>
    <w:rsid w:val="00F977F4"/>
    <w:rsid w:val="00F97821"/>
    <w:rsid w:val="00F979B7"/>
    <w:rsid w:val="00F97ACA"/>
    <w:rsid w:val="00F97B0C"/>
    <w:rsid w:val="00F97C15"/>
    <w:rsid w:val="00F97CFE"/>
    <w:rsid w:val="00F97EA4"/>
    <w:rsid w:val="00F97F67"/>
    <w:rsid w:val="00F97FF1"/>
    <w:rsid w:val="00FA0144"/>
    <w:rsid w:val="00FA01B5"/>
    <w:rsid w:val="00FA0503"/>
    <w:rsid w:val="00FA05F8"/>
    <w:rsid w:val="00FA067A"/>
    <w:rsid w:val="00FA0778"/>
    <w:rsid w:val="00FA07EC"/>
    <w:rsid w:val="00FA08E6"/>
    <w:rsid w:val="00FA08FB"/>
    <w:rsid w:val="00FA09BD"/>
    <w:rsid w:val="00FA0D84"/>
    <w:rsid w:val="00FA0DBB"/>
    <w:rsid w:val="00FA0E2B"/>
    <w:rsid w:val="00FA0E41"/>
    <w:rsid w:val="00FA0E74"/>
    <w:rsid w:val="00FA11D5"/>
    <w:rsid w:val="00FA138C"/>
    <w:rsid w:val="00FA13B3"/>
    <w:rsid w:val="00FA14BE"/>
    <w:rsid w:val="00FA14CC"/>
    <w:rsid w:val="00FA15B4"/>
    <w:rsid w:val="00FA1725"/>
    <w:rsid w:val="00FA17DA"/>
    <w:rsid w:val="00FA181C"/>
    <w:rsid w:val="00FA18AB"/>
    <w:rsid w:val="00FA19D6"/>
    <w:rsid w:val="00FA1AE0"/>
    <w:rsid w:val="00FA1C18"/>
    <w:rsid w:val="00FA1EAA"/>
    <w:rsid w:val="00FA1F4A"/>
    <w:rsid w:val="00FA1F6E"/>
    <w:rsid w:val="00FA1F98"/>
    <w:rsid w:val="00FA218A"/>
    <w:rsid w:val="00FA21B0"/>
    <w:rsid w:val="00FA22F4"/>
    <w:rsid w:val="00FA24D9"/>
    <w:rsid w:val="00FA24EF"/>
    <w:rsid w:val="00FA2532"/>
    <w:rsid w:val="00FA2784"/>
    <w:rsid w:val="00FA278C"/>
    <w:rsid w:val="00FA28C7"/>
    <w:rsid w:val="00FA28C8"/>
    <w:rsid w:val="00FA2AAA"/>
    <w:rsid w:val="00FA2BB6"/>
    <w:rsid w:val="00FA2BEA"/>
    <w:rsid w:val="00FA2C7D"/>
    <w:rsid w:val="00FA2CBA"/>
    <w:rsid w:val="00FA2CE7"/>
    <w:rsid w:val="00FA2F55"/>
    <w:rsid w:val="00FA3023"/>
    <w:rsid w:val="00FA30B8"/>
    <w:rsid w:val="00FA314E"/>
    <w:rsid w:val="00FA353F"/>
    <w:rsid w:val="00FA3598"/>
    <w:rsid w:val="00FA35F2"/>
    <w:rsid w:val="00FA39A1"/>
    <w:rsid w:val="00FA3B8D"/>
    <w:rsid w:val="00FA3BD9"/>
    <w:rsid w:val="00FA3C2B"/>
    <w:rsid w:val="00FA3C3A"/>
    <w:rsid w:val="00FA3C84"/>
    <w:rsid w:val="00FA3D86"/>
    <w:rsid w:val="00FA3EBD"/>
    <w:rsid w:val="00FA3F45"/>
    <w:rsid w:val="00FA3FAE"/>
    <w:rsid w:val="00FA4017"/>
    <w:rsid w:val="00FA4080"/>
    <w:rsid w:val="00FA410A"/>
    <w:rsid w:val="00FA41D4"/>
    <w:rsid w:val="00FA4390"/>
    <w:rsid w:val="00FA4499"/>
    <w:rsid w:val="00FA450D"/>
    <w:rsid w:val="00FA46AF"/>
    <w:rsid w:val="00FA46CC"/>
    <w:rsid w:val="00FA472F"/>
    <w:rsid w:val="00FA49B2"/>
    <w:rsid w:val="00FA49BD"/>
    <w:rsid w:val="00FA4B94"/>
    <w:rsid w:val="00FA4BE8"/>
    <w:rsid w:val="00FA4C6D"/>
    <w:rsid w:val="00FA4CB3"/>
    <w:rsid w:val="00FA4D15"/>
    <w:rsid w:val="00FA4DAF"/>
    <w:rsid w:val="00FA5108"/>
    <w:rsid w:val="00FA517F"/>
    <w:rsid w:val="00FA522F"/>
    <w:rsid w:val="00FA52FF"/>
    <w:rsid w:val="00FA5331"/>
    <w:rsid w:val="00FA53A0"/>
    <w:rsid w:val="00FA561B"/>
    <w:rsid w:val="00FA574E"/>
    <w:rsid w:val="00FA5AB2"/>
    <w:rsid w:val="00FA5B1A"/>
    <w:rsid w:val="00FA5B53"/>
    <w:rsid w:val="00FA5B97"/>
    <w:rsid w:val="00FA5C33"/>
    <w:rsid w:val="00FA5CB5"/>
    <w:rsid w:val="00FA5D28"/>
    <w:rsid w:val="00FA5DAD"/>
    <w:rsid w:val="00FA5E31"/>
    <w:rsid w:val="00FA5EA3"/>
    <w:rsid w:val="00FA5EBA"/>
    <w:rsid w:val="00FA5F36"/>
    <w:rsid w:val="00FA5F3E"/>
    <w:rsid w:val="00FA6059"/>
    <w:rsid w:val="00FA61DD"/>
    <w:rsid w:val="00FA623A"/>
    <w:rsid w:val="00FA62C2"/>
    <w:rsid w:val="00FA6452"/>
    <w:rsid w:val="00FA6525"/>
    <w:rsid w:val="00FA657D"/>
    <w:rsid w:val="00FA6581"/>
    <w:rsid w:val="00FA65F6"/>
    <w:rsid w:val="00FA6923"/>
    <w:rsid w:val="00FA6945"/>
    <w:rsid w:val="00FA694C"/>
    <w:rsid w:val="00FA6A64"/>
    <w:rsid w:val="00FA6AD2"/>
    <w:rsid w:val="00FA6CA3"/>
    <w:rsid w:val="00FA6D0D"/>
    <w:rsid w:val="00FA6D8F"/>
    <w:rsid w:val="00FA6EDB"/>
    <w:rsid w:val="00FA708A"/>
    <w:rsid w:val="00FA70C8"/>
    <w:rsid w:val="00FA723F"/>
    <w:rsid w:val="00FA727D"/>
    <w:rsid w:val="00FA7310"/>
    <w:rsid w:val="00FA7464"/>
    <w:rsid w:val="00FA7472"/>
    <w:rsid w:val="00FA7584"/>
    <w:rsid w:val="00FA76C8"/>
    <w:rsid w:val="00FA76EC"/>
    <w:rsid w:val="00FA7714"/>
    <w:rsid w:val="00FA77EB"/>
    <w:rsid w:val="00FA7834"/>
    <w:rsid w:val="00FA7A4B"/>
    <w:rsid w:val="00FA7A76"/>
    <w:rsid w:val="00FA7B93"/>
    <w:rsid w:val="00FA7CC1"/>
    <w:rsid w:val="00FA7CCC"/>
    <w:rsid w:val="00FA7D6D"/>
    <w:rsid w:val="00FA7EE2"/>
    <w:rsid w:val="00FB0036"/>
    <w:rsid w:val="00FB0147"/>
    <w:rsid w:val="00FB0187"/>
    <w:rsid w:val="00FB034D"/>
    <w:rsid w:val="00FB0455"/>
    <w:rsid w:val="00FB04CA"/>
    <w:rsid w:val="00FB0505"/>
    <w:rsid w:val="00FB0531"/>
    <w:rsid w:val="00FB0580"/>
    <w:rsid w:val="00FB05AA"/>
    <w:rsid w:val="00FB061C"/>
    <w:rsid w:val="00FB0639"/>
    <w:rsid w:val="00FB0646"/>
    <w:rsid w:val="00FB071B"/>
    <w:rsid w:val="00FB072D"/>
    <w:rsid w:val="00FB07A2"/>
    <w:rsid w:val="00FB07AA"/>
    <w:rsid w:val="00FB07FF"/>
    <w:rsid w:val="00FB098F"/>
    <w:rsid w:val="00FB0A81"/>
    <w:rsid w:val="00FB0B49"/>
    <w:rsid w:val="00FB0C03"/>
    <w:rsid w:val="00FB0C38"/>
    <w:rsid w:val="00FB0C3D"/>
    <w:rsid w:val="00FB0D2E"/>
    <w:rsid w:val="00FB0F08"/>
    <w:rsid w:val="00FB10D6"/>
    <w:rsid w:val="00FB1128"/>
    <w:rsid w:val="00FB128B"/>
    <w:rsid w:val="00FB1326"/>
    <w:rsid w:val="00FB13E4"/>
    <w:rsid w:val="00FB145D"/>
    <w:rsid w:val="00FB14A0"/>
    <w:rsid w:val="00FB1530"/>
    <w:rsid w:val="00FB169F"/>
    <w:rsid w:val="00FB1811"/>
    <w:rsid w:val="00FB1845"/>
    <w:rsid w:val="00FB18A2"/>
    <w:rsid w:val="00FB18D2"/>
    <w:rsid w:val="00FB19A8"/>
    <w:rsid w:val="00FB19C6"/>
    <w:rsid w:val="00FB1BED"/>
    <w:rsid w:val="00FB1C78"/>
    <w:rsid w:val="00FB1E16"/>
    <w:rsid w:val="00FB1E81"/>
    <w:rsid w:val="00FB2089"/>
    <w:rsid w:val="00FB21E8"/>
    <w:rsid w:val="00FB2791"/>
    <w:rsid w:val="00FB2852"/>
    <w:rsid w:val="00FB29DC"/>
    <w:rsid w:val="00FB2A1A"/>
    <w:rsid w:val="00FB2AB2"/>
    <w:rsid w:val="00FB2C6E"/>
    <w:rsid w:val="00FB2D8B"/>
    <w:rsid w:val="00FB2E57"/>
    <w:rsid w:val="00FB2E5C"/>
    <w:rsid w:val="00FB2E90"/>
    <w:rsid w:val="00FB2FDE"/>
    <w:rsid w:val="00FB30B4"/>
    <w:rsid w:val="00FB30FC"/>
    <w:rsid w:val="00FB31E2"/>
    <w:rsid w:val="00FB33FD"/>
    <w:rsid w:val="00FB340E"/>
    <w:rsid w:val="00FB3476"/>
    <w:rsid w:val="00FB34CB"/>
    <w:rsid w:val="00FB3616"/>
    <w:rsid w:val="00FB362E"/>
    <w:rsid w:val="00FB36CD"/>
    <w:rsid w:val="00FB3716"/>
    <w:rsid w:val="00FB3872"/>
    <w:rsid w:val="00FB38E0"/>
    <w:rsid w:val="00FB398B"/>
    <w:rsid w:val="00FB39BA"/>
    <w:rsid w:val="00FB3B40"/>
    <w:rsid w:val="00FB3CF2"/>
    <w:rsid w:val="00FB3D0A"/>
    <w:rsid w:val="00FB3DEE"/>
    <w:rsid w:val="00FB3E7D"/>
    <w:rsid w:val="00FB4070"/>
    <w:rsid w:val="00FB40AF"/>
    <w:rsid w:val="00FB432F"/>
    <w:rsid w:val="00FB43AA"/>
    <w:rsid w:val="00FB43F0"/>
    <w:rsid w:val="00FB44AF"/>
    <w:rsid w:val="00FB4598"/>
    <w:rsid w:val="00FB461A"/>
    <w:rsid w:val="00FB46B8"/>
    <w:rsid w:val="00FB46C8"/>
    <w:rsid w:val="00FB47E8"/>
    <w:rsid w:val="00FB48AB"/>
    <w:rsid w:val="00FB4949"/>
    <w:rsid w:val="00FB4AEA"/>
    <w:rsid w:val="00FB4B86"/>
    <w:rsid w:val="00FB4C41"/>
    <w:rsid w:val="00FB4F31"/>
    <w:rsid w:val="00FB4FB0"/>
    <w:rsid w:val="00FB5031"/>
    <w:rsid w:val="00FB512B"/>
    <w:rsid w:val="00FB51C4"/>
    <w:rsid w:val="00FB51E6"/>
    <w:rsid w:val="00FB521A"/>
    <w:rsid w:val="00FB5289"/>
    <w:rsid w:val="00FB5332"/>
    <w:rsid w:val="00FB53BC"/>
    <w:rsid w:val="00FB5412"/>
    <w:rsid w:val="00FB5624"/>
    <w:rsid w:val="00FB56C5"/>
    <w:rsid w:val="00FB5867"/>
    <w:rsid w:val="00FB5954"/>
    <w:rsid w:val="00FB5A38"/>
    <w:rsid w:val="00FB5B27"/>
    <w:rsid w:val="00FB5B5F"/>
    <w:rsid w:val="00FB5CEB"/>
    <w:rsid w:val="00FB5D07"/>
    <w:rsid w:val="00FB5DCC"/>
    <w:rsid w:val="00FB5E6E"/>
    <w:rsid w:val="00FB5F0B"/>
    <w:rsid w:val="00FB5F16"/>
    <w:rsid w:val="00FB5F74"/>
    <w:rsid w:val="00FB5FEE"/>
    <w:rsid w:val="00FB6085"/>
    <w:rsid w:val="00FB6160"/>
    <w:rsid w:val="00FB61F6"/>
    <w:rsid w:val="00FB63B3"/>
    <w:rsid w:val="00FB6536"/>
    <w:rsid w:val="00FB6589"/>
    <w:rsid w:val="00FB658A"/>
    <w:rsid w:val="00FB65F5"/>
    <w:rsid w:val="00FB66E2"/>
    <w:rsid w:val="00FB67D4"/>
    <w:rsid w:val="00FB67F0"/>
    <w:rsid w:val="00FB6807"/>
    <w:rsid w:val="00FB6A04"/>
    <w:rsid w:val="00FB6CEA"/>
    <w:rsid w:val="00FB6D1A"/>
    <w:rsid w:val="00FB6D67"/>
    <w:rsid w:val="00FB712C"/>
    <w:rsid w:val="00FB72C0"/>
    <w:rsid w:val="00FB73A3"/>
    <w:rsid w:val="00FB7581"/>
    <w:rsid w:val="00FB7826"/>
    <w:rsid w:val="00FB7A2B"/>
    <w:rsid w:val="00FB7AD7"/>
    <w:rsid w:val="00FB7B45"/>
    <w:rsid w:val="00FB7CCE"/>
    <w:rsid w:val="00FB7D30"/>
    <w:rsid w:val="00FB7DC3"/>
    <w:rsid w:val="00FB7EC0"/>
    <w:rsid w:val="00FB7F5B"/>
    <w:rsid w:val="00FB7FAD"/>
    <w:rsid w:val="00FC00CD"/>
    <w:rsid w:val="00FC00D5"/>
    <w:rsid w:val="00FC01BB"/>
    <w:rsid w:val="00FC0258"/>
    <w:rsid w:val="00FC028F"/>
    <w:rsid w:val="00FC0336"/>
    <w:rsid w:val="00FC04D4"/>
    <w:rsid w:val="00FC06DA"/>
    <w:rsid w:val="00FC074B"/>
    <w:rsid w:val="00FC079E"/>
    <w:rsid w:val="00FC096D"/>
    <w:rsid w:val="00FC09EA"/>
    <w:rsid w:val="00FC0A38"/>
    <w:rsid w:val="00FC0BA3"/>
    <w:rsid w:val="00FC0CC8"/>
    <w:rsid w:val="00FC0F78"/>
    <w:rsid w:val="00FC0FA5"/>
    <w:rsid w:val="00FC1006"/>
    <w:rsid w:val="00FC101C"/>
    <w:rsid w:val="00FC110C"/>
    <w:rsid w:val="00FC1166"/>
    <w:rsid w:val="00FC11FC"/>
    <w:rsid w:val="00FC1447"/>
    <w:rsid w:val="00FC1633"/>
    <w:rsid w:val="00FC168D"/>
    <w:rsid w:val="00FC16D3"/>
    <w:rsid w:val="00FC17F3"/>
    <w:rsid w:val="00FC1811"/>
    <w:rsid w:val="00FC1937"/>
    <w:rsid w:val="00FC19AD"/>
    <w:rsid w:val="00FC1A43"/>
    <w:rsid w:val="00FC1AA8"/>
    <w:rsid w:val="00FC1B0C"/>
    <w:rsid w:val="00FC1BF9"/>
    <w:rsid w:val="00FC1DB0"/>
    <w:rsid w:val="00FC1E22"/>
    <w:rsid w:val="00FC1EC8"/>
    <w:rsid w:val="00FC1F86"/>
    <w:rsid w:val="00FC1F87"/>
    <w:rsid w:val="00FC2004"/>
    <w:rsid w:val="00FC2021"/>
    <w:rsid w:val="00FC20D2"/>
    <w:rsid w:val="00FC20FF"/>
    <w:rsid w:val="00FC2144"/>
    <w:rsid w:val="00FC2305"/>
    <w:rsid w:val="00FC23D8"/>
    <w:rsid w:val="00FC23EC"/>
    <w:rsid w:val="00FC280B"/>
    <w:rsid w:val="00FC2924"/>
    <w:rsid w:val="00FC2A91"/>
    <w:rsid w:val="00FC2AC4"/>
    <w:rsid w:val="00FC2B51"/>
    <w:rsid w:val="00FC2DD1"/>
    <w:rsid w:val="00FC2EBF"/>
    <w:rsid w:val="00FC2EF1"/>
    <w:rsid w:val="00FC2EF8"/>
    <w:rsid w:val="00FC30C0"/>
    <w:rsid w:val="00FC327F"/>
    <w:rsid w:val="00FC32E6"/>
    <w:rsid w:val="00FC33BF"/>
    <w:rsid w:val="00FC3598"/>
    <w:rsid w:val="00FC372B"/>
    <w:rsid w:val="00FC38ED"/>
    <w:rsid w:val="00FC3941"/>
    <w:rsid w:val="00FC3ACD"/>
    <w:rsid w:val="00FC3C2E"/>
    <w:rsid w:val="00FC3C72"/>
    <w:rsid w:val="00FC3CC8"/>
    <w:rsid w:val="00FC3E05"/>
    <w:rsid w:val="00FC3EB0"/>
    <w:rsid w:val="00FC3EB3"/>
    <w:rsid w:val="00FC3EC2"/>
    <w:rsid w:val="00FC3ECD"/>
    <w:rsid w:val="00FC3F47"/>
    <w:rsid w:val="00FC402A"/>
    <w:rsid w:val="00FC40B5"/>
    <w:rsid w:val="00FC41CD"/>
    <w:rsid w:val="00FC425E"/>
    <w:rsid w:val="00FC447B"/>
    <w:rsid w:val="00FC45DF"/>
    <w:rsid w:val="00FC4618"/>
    <w:rsid w:val="00FC461A"/>
    <w:rsid w:val="00FC461D"/>
    <w:rsid w:val="00FC48CA"/>
    <w:rsid w:val="00FC4A47"/>
    <w:rsid w:val="00FC4B38"/>
    <w:rsid w:val="00FC4B6D"/>
    <w:rsid w:val="00FC4C68"/>
    <w:rsid w:val="00FC4D56"/>
    <w:rsid w:val="00FC4DBE"/>
    <w:rsid w:val="00FC4E7A"/>
    <w:rsid w:val="00FC502E"/>
    <w:rsid w:val="00FC5056"/>
    <w:rsid w:val="00FC51C3"/>
    <w:rsid w:val="00FC51F9"/>
    <w:rsid w:val="00FC5266"/>
    <w:rsid w:val="00FC527A"/>
    <w:rsid w:val="00FC531D"/>
    <w:rsid w:val="00FC5365"/>
    <w:rsid w:val="00FC540A"/>
    <w:rsid w:val="00FC5547"/>
    <w:rsid w:val="00FC5627"/>
    <w:rsid w:val="00FC5642"/>
    <w:rsid w:val="00FC565C"/>
    <w:rsid w:val="00FC5717"/>
    <w:rsid w:val="00FC5A1E"/>
    <w:rsid w:val="00FC5B5F"/>
    <w:rsid w:val="00FC5BCB"/>
    <w:rsid w:val="00FC5C52"/>
    <w:rsid w:val="00FC5C70"/>
    <w:rsid w:val="00FC5CE9"/>
    <w:rsid w:val="00FC5D57"/>
    <w:rsid w:val="00FC5F24"/>
    <w:rsid w:val="00FC5FB6"/>
    <w:rsid w:val="00FC6043"/>
    <w:rsid w:val="00FC6071"/>
    <w:rsid w:val="00FC6088"/>
    <w:rsid w:val="00FC60D9"/>
    <w:rsid w:val="00FC612A"/>
    <w:rsid w:val="00FC6139"/>
    <w:rsid w:val="00FC61D6"/>
    <w:rsid w:val="00FC6224"/>
    <w:rsid w:val="00FC624C"/>
    <w:rsid w:val="00FC62CB"/>
    <w:rsid w:val="00FC6483"/>
    <w:rsid w:val="00FC6516"/>
    <w:rsid w:val="00FC6522"/>
    <w:rsid w:val="00FC65DE"/>
    <w:rsid w:val="00FC6687"/>
    <w:rsid w:val="00FC6747"/>
    <w:rsid w:val="00FC6B3E"/>
    <w:rsid w:val="00FC6C70"/>
    <w:rsid w:val="00FC6ECA"/>
    <w:rsid w:val="00FC6F53"/>
    <w:rsid w:val="00FC6F94"/>
    <w:rsid w:val="00FC6FEC"/>
    <w:rsid w:val="00FC7183"/>
    <w:rsid w:val="00FC71BB"/>
    <w:rsid w:val="00FC72DA"/>
    <w:rsid w:val="00FC732B"/>
    <w:rsid w:val="00FC7374"/>
    <w:rsid w:val="00FC7384"/>
    <w:rsid w:val="00FC7423"/>
    <w:rsid w:val="00FC744A"/>
    <w:rsid w:val="00FC751C"/>
    <w:rsid w:val="00FC7634"/>
    <w:rsid w:val="00FC764F"/>
    <w:rsid w:val="00FC79A6"/>
    <w:rsid w:val="00FC79F3"/>
    <w:rsid w:val="00FC7AD9"/>
    <w:rsid w:val="00FC7AE3"/>
    <w:rsid w:val="00FC7C92"/>
    <w:rsid w:val="00FC7DBA"/>
    <w:rsid w:val="00FC7EC5"/>
    <w:rsid w:val="00FD0240"/>
    <w:rsid w:val="00FD027E"/>
    <w:rsid w:val="00FD0425"/>
    <w:rsid w:val="00FD05EF"/>
    <w:rsid w:val="00FD076C"/>
    <w:rsid w:val="00FD07B2"/>
    <w:rsid w:val="00FD07D0"/>
    <w:rsid w:val="00FD07F4"/>
    <w:rsid w:val="00FD0875"/>
    <w:rsid w:val="00FD0C24"/>
    <w:rsid w:val="00FD0C8F"/>
    <w:rsid w:val="00FD0C99"/>
    <w:rsid w:val="00FD0CA0"/>
    <w:rsid w:val="00FD0D09"/>
    <w:rsid w:val="00FD0E1A"/>
    <w:rsid w:val="00FD0E2A"/>
    <w:rsid w:val="00FD104E"/>
    <w:rsid w:val="00FD10EA"/>
    <w:rsid w:val="00FD10FD"/>
    <w:rsid w:val="00FD133D"/>
    <w:rsid w:val="00FD1526"/>
    <w:rsid w:val="00FD1593"/>
    <w:rsid w:val="00FD15F2"/>
    <w:rsid w:val="00FD16D9"/>
    <w:rsid w:val="00FD17B4"/>
    <w:rsid w:val="00FD19B4"/>
    <w:rsid w:val="00FD1B00"/>
    <w:rsid w:val="00FD1B48"/>
    <w:rsid w:val="00FD1CB9"/>
    <w:rsid w:val="00FD1D91"/>
    <w:rsid w:val="00FD1DFD"/>
    <w:rsid w:val="00FD1E0A"/>
    <w:rsid w:val="00FD1E0B"/>
    <w:rsid w:val="00FD1F89"/>
    <w:rsid w:val="00FD203E"/>
    <w:rsid w:val="00FD2054"/>
    <w:rsid w:val="00FD21D3"/>
    <w:rsid w:val="00FD2283"/>
    <w:rsid w:val="00FD23A8"/>
    <w:rsid w:val="00FD2626"/>
    <w:rsid w:val="00FD271A"/>
    <w:rsid w:val="00FD2723"/>
    <w:rsid w:val="00FD2727"/>
    <w:rsid w:val="00FD27F5"/>
    <w:rsid w:val="00FD287A"/>
    <w:rsid w:val="00FD2919"/>
    <w:rsid w:val="00FD2946"/>
    <w:rsid w:val="00FD2A86"/>
    <w:rsid w:val="00FD2BDC"/>
    <w:rsid w:val="00FD2D64"/>
    <w:rsid w:val="00FD2DC9"/>
    <w:rsid w:val="00FD2E42"/>
    <w:rsid w:val="00FD2EBF"/>
    <w:rsid w:val="00FD2F98"/>
    <w:rsid w:val="00FD2FB0"/>
    <w:rsid w:val="00FD2FEC"/>
    <w:rsid w:val="00FD307E"/>
    <w:rsid w:val="00FD309C"/>
    <w:rsid w:val="00FD30AD"/>
    <w:rsid w:val="00FD319F"/>
    <w:rsid w:val="00FD320B"/>
    <w:rsid w:val="00FD320D"/>
    <w:rsid w:val="00FD3356"/>
    <w:rsid w:val="00FD347A"/>
    <w:rsid w:val="00FD3483"/>
    <w:rsid w:val="00FD34EA"/>
    <w:rsid w:val="00FD360C"/>
    <w:rsid w:val="00FD3637"/>
    <w:rsid w:val="00FD3779"/>
    <w:rsid w:val="00FD37AA"/>
    <w:rsid w:val="00FD385D"/>
    <w:rsid w:val="00FD38C7"/>
    <w:rsid w:val="00FD38E1"/>
    <w:rsid w:val="00FD3AA4"/>
    <w:rsid w:val="00FD3C08"/>
    <w:rsid w:val="00FD3CC8"/>
    <w:rsid w:val="00FD3CD5"/>
    <w:rsid w:val="00FD3D75"/>
    <w:rsid w:val="00FD3E8D"/>
    <w:rsid w:val="00FD4030"/>
    <w:rsid w:val="00FD40F3"/>
    <w:rsid w:val="00FD41D3"/>
    <w:rsid w:val="00FD4386"/>
    <w:rsid w:val="00FD4423"/>
    <w:rsid w:val="00FD446F"/>
    <w:rsid w:val="00FD44BE"/>
    <w:rsid w:val="00FD4522"/>
    <w:rsid w:val="00FD453B"/>
    <w:rsid w:val="00FD461C"/>
    <w:rsid w:val="00FD4781"/>
    <w:rsid w:val="00FD485A"/>
    <w:rsid w:val="00FD4876"/>
    <w:rsid w:val="00FD4A3B"/>
    <w:rsid w:val="00FD4BE9"/>
    <w:rsid w:val="00FD4C3A"/>
    <w:rsid w:val="00FD4CD5"/>
    <w:rsid w:val="00FD4DAD"/>
    <w:rsid w:val="00FD4EBD"/>
    <w:rsid w:val="00FD4F94"/>
    <w:rsid w:val="00FD4FB6"/>
    <w:rsid w:val="00FD4FEE"/>
    <w:rsid w:val="00FD511A"/>
    <w:rsid w:val="00FD51F7"/>
    <w:rsid w:val="00FD5230"/>
    <w:rsid w:val="00FD5498"/>
    <w:rsid w:val="00FD581E"/>
    <w:rsid w:val="00FD5847"/>
    <w:rsid w:val="00FD58AC"/>
    <w:rsid w:val="00FD5A41"/>
    <w:rsid w:val="00FD5AB4"/>
    <w:rsid w:val="00FD5AD1"/>
    <w:rsid w:val="00FD5CEF"/>
    <w:rsid w:val="00FD5D40"/>
    <w:rsid w:val="00FD5E18"/>
    <w:rsid w:val="00FD5EA0"/>
    <w:rsid w:val="00FD5F60"/>
    <w:rsid w:val="00FD61B4"/>
    <w:rsid w:val="00FD6284"/>
    <w:rsid w:val="00FD637F"/>
    <w:rsid w:val="00FD6462"/>
    <w:rsid w:val="00FD6479"/>
    <w:rsid w:val="00FD6480"/>
    <w:rsid w:val="00FD655F"/>
    <w:rsid w:val="00FD65DA"/>
    <w:rsid w:val="00FD6745"/>
    <w:rsid w:val="00FD675F"/>
    <w:rsid w:val="00FD68AB"/>
    <w:rsid w:val="00FD68CB"/>
    <w:rsid w:val="00FD68D1"/>
    <w:rsid w:val="00FD6AA0"/>
    <w:rsid w:val="00FD6B6F"/>
    <w:rsid w:val="00FD6C0C"/>
    <w:rsid w:val="00FD6D30"/>
    <w:rsid w:val="00FD6DB1"/>
    <w:rsid w:val="00FD6DD2"/>
    <w:rsid w:val="00FD6F17"/>
    <w:rsid w:val="00FD70B0"/>
    <w:rsid w:val="00FD7229"/>
    <w:rsid w:val="00FD723C"/>
    <w:rsid w:val="00FD73D4"/>
    <w:rsid w:val="00FD7412"/>
    <w:rsid w:val="00FD75B6"/>
    <w:rsid w:val="00FD75E1"/>
    <w:rsid w:val="00FD7628"/>
    <w:rsid w:val="00FD7784"/>
    <w:rsid w:val="00FD7817"/>
    <w:rsid w:val="00FD78BD"/>
    <w:rsid w:val="00FD78D7"/>
    <w:rsid w:val="00FD7AB8"/>
    <w:rsid w:val="00FD7B17"/>
    <w:rsid w:val="00FD7C24"/>
    <w:rsid w:val="00FD7C38"/>
    <w:rsid w:val="00FD7E41"/>
    <w:rsid w:val="00FE0031"/>
    <w:rsid w:val="00FE01DA"/>
    <w:rsid w:val="00FE02B8"/>
    <w:rsid w:val="00FE03B1"/>
    <w:rsid w:val="00FE0415"/>
    <w:rsid w:val="00FE0488"/>
    <w:rsid w:val="00FE0984"/>
    <w:rsid w:val="00FE09D4"/>
    <w:rsid w:val="00FE0A8F"/>
    <w:rsid w:val="00FE0AD1"/>
    <w:rsid w:val="00FE0B43"/>
    <w:rsid w:val="00FE0C36"/>
    <w:rsid w:val="00FE0C87"/>
    <w:rsid w:val="00FE0D1E"/>
    <w:rsid w:val="00FE0D55"/>
    <w:rsid w:val="00FE10B4"/>
    <w:rsid w:val="00FE10FB"/>
    <w:rsid w:val="00FE12AF"/>
    <w:rsid w:val="00FE1343"/>
    <w:rsid w:val="00FE1458"/>
    <w:rsid w:val="00FE15C8"/>
    <w:rsid w:val="00FE1620"/>
    <w:rsid w:val="00FE1684"/>
    <w:rsid w:val="00FE1698"/>
    <w:rsid w:val="00FE16E7"/>
    <w:rsid w:val="00FE170C"/>
    <w:rsid w:val="00FE174B"/>
    <w:rsid w:val="00FE1796"/>
    <w:rsid w:val="00FE19AC"/>
    <w:rsid w:val="00FE19BC"/>
    <w:rsid w:val="00FE1ABF"/>
    <w:rsid w:val="00FE1AE9"/>
    <w:rsid w:val="00FE1B0D"/>
    <w:rsid w:val="00FE1BCC"/>
    <w:rsid w:val="00FE1F69"/>
    <w:rsid w:val="00FE1F70"/>
    <w:rsid w:val="00FE2003"/>
    <w:rsid w:val="00FE214C"/>
    <w:rsid w:val="00FE229D"/>
    <w:rsid w:val="00FE2363"/>
    <w:rsid w:val="00FE2381"/>
    <w:rsid w:val="00FE2453"/>
    <w:rsid w:val="00FE25A4"/>
    <w:rsid w:val="00FE2725"/>
    <w:rsid w:val="00FE2732"/>
    <w:rsid w:val="00FE2781"/>
    <w:rsid w:val="00FE2799"/>
    <w:rsid w:val="00FE2894"/>
    <w:rsid w:val="00FE295B"/>
    <w:rsid w:val="00FE29FB"/>
    <w:rsid w:val="00FE2A70"/>
    <w:rsid w:val="00FE2B62"/>
    <w:rsid w:val="00FE2D87"/>
    <w:rsid w:val="00FE2F01"/>
    <w:rsid w:val="00FE2F46"/>
    <w:rsid w:val="00FE2F78"/>
    <w:rsid w:val="00FE301D"/>
    <w:rsid w:val="00FE30A6"/>
    <w:rsid w:val="00FE30FC"/>
    <w:rsid w:val="00FE30FF"/>
    <w:rsid w:val="00FE324B"/>
    <w:rsid w:val="00FE327B"/>
    <w:rsid w:val="00FE32B7"/>
    <w:rsid w:val="00FE3351"/>
    <w:rsid w:val="00FE34AB"/>
    <w:rsid w:val="00FE3609"/>
    <w:rsid w:val="00FE3749"/>
    <w:rsid w:val="00FE376D"/>
    <w:rsid w:val="00FE3920"/>
    <w:rsid w:val="00FE39AC"/>
    <w:rsid w:val="00FE3A94"/>
    <w:rsid w:val="00FE3B08"/>
    <w:rsid w:val="00FE3B1E"/>
    <w:rsid w:val="00FE3BEF"/>
    <w:rsid w:val="00FE3E95"/>
    <w:rsid w:val="00FE3F97"/>
    <w:rsid w:val="00FE40A6"/>
    <w:rsid w:val="00FE40B8"/>
    <w:rsid w:val="00FE4132"/>
    <w:rsid w:val="00FE4290"/>
    <w:rsid w:val="00FE44DE"/>
    <w:rsid w:val="00FE461C"/>
    <w:rsid w:val="00FE4657"/>
    <w:rsid w:val="00FE466D"/>
    <w:rsid w:val="00FE4729"/>
    <w:rsid w:val="00FE480A"/>
    <w:rsid w:val="00FE4810"/>
    <w:rsid w:val="00FE48A5"/>
    <w:rsid w:val="00FE48C9"/>
    <w:rsid w:val="00FE48F1"/>
    <w:rsid w:val="00FE4A1D"/>
    <w:rsid w:val="00FE4C1C"/>
    <w:rsid w:val="00FE4D56"/>
    <w:rsid w:val="00FE4DDC"/>
    <w:rsid w:val="00FE4F0F"/>
    <w:rsid w:val="00FE4F91"/>
    <w:rsid w:val="00FE50DF"/>
    <w:rsid w:val="00FE5158"/>
    <w:rsid w:val="00FE5182"/>
    <w:rsid w:val="00FE5225"/>
    <w:rsid w:val="00FE52CF"/>
    <w:rsid w:val="00FE52DE"/>
    <w:rsid w:val="00FE5313"/>
    <w:rsid w:val="00FE566C"/>
    <w:rsid w:val="00FE57C0"/>
    <w:rsid w:val="00FE5C09"/>
    <w:rsid w:val="00FE5C24"/>
    <w:rsid w:val="00FE5C65"/>
    <w:rsid w:val="00FE5C96"/>
    <w:rsid w:val="00FE5E1A"/>
    <w:rsid w:val="00FE5F61"/>
    <w:rsid w:val="00FE5F86"/>
    <w:rsid w:val="00FE5FAB"/>
    <w:rsid w:val="00FE60E2"/>
    <w:rsid w:val="00FE6310"/>
    <w:rsid w:val="00FE632C"/>
    <w:rsid w:val="00FE66B6"/>
    <w:rsid w:val="00FE685A"/>
    <w:rsid w:val="00FE68A6"/>
    <w:rsid w:val="00FE68C2"/>
    <w:rsid w:val="00FE6AA3"/>
    <w:rsid w:val="00FE6AD1"/>
    <w:rsid w:val="00FE6BF3"/>
    <w:rsid w:val="00FE6C8F"/>
    <w:rsid w:val="00FE6E0A"/>
    <w:rsid w:val="00FE6E43"/>
    <w:rsid w:val="00FE718C"/>
    <w:rsid w:val="00FE7288"/>
    <w:rsid w:val="00FE73CF"/>
    <w:rsid w:val="00FE73DD"/>
    <w:rsid w:val="00FE746F"/>
    <w:rsid w:val="00FE74D8"/>
    <w:rsid w:val="00FE779D"/>
    <w:rsid w:val="00FE7812"/>
    <w:rsid w:val="00FE785C"/>
    <w:rsid w:val="00FE785D"/>
    <w:rsid w:val="00FE78FC"/>
    <w:rsid w:val="00FE791A"/>
    <w:rsid w:val="00FE79BC"/>
    <w:rsid w:val="00FE7A12"/>
    <w:rsid w:val="00FE7C00"/>
    <w:rsid w:val="00FE7D45"/>
    <w:rsid w:val="00FE7D6B"/>
    <w:rsid w:val="00FEC15C"/>
    <w:rsid w:val="00FF0135"/>
    <w:rsid w:val="00FF02D3"/>
    <w:rsid w:val="00FF060A"/>
    <w:rsid w:val="00FF07E9"/>
    <w:rsid w:val="00FF07F6"/>
    <w:rsid w:val="00FF0923"/>
    <w:rsid w:val="00FF0A04"/>
    <w:rsid w:val="00FF0B60"/>
    <w:rsid w:val="00FF0B6E"/>
    <w:rsid w:val="00FF0B74"/>
    <w:rsid w:val="00FF0BB8"/>
    <w:rsid w:val="00FF0BD7"/>
    <w:rsid w:val="00FF0C4C"/>
    <w:rsid w:val="00FF0CE5"/>
    <w:rsid w:val="00FF0D0E"/>
    <w:rsid w:val="00FF0D26"/>
    <w:rsid w:val="00FF0D3D"/>
    <w:rsid w:val="00FF0E89"/>
    <w:rsid w:val="00FF0F77"/>
    <w:rsid w:val="00FF101D"/>
    <w:rsid w:val="00FF102D"/>
    <w:rsid w:val="00FF1136"/>
    <w:rsid w:val="00FF1268"/>
    <w:rsid w:val="00FF12ED"/>
    <w:rsid w:val="00FF1354"/>
    <w:rsid w:val="00FF1368"/>
    <w:rsid w:val="00FF1432"/>
    <w:rsid w:val="00FF146A"/>
    <w:rsid w:val="00FF155C"/>
    <w:rsid w:val="00FF15C6"/>
    <w:rsid w:val="00FF1626"/>
    <w:rsid w:val="00FF1696"/>
    <w:rsid w:val="00FF1732"/>
    <w:rsid w:val="00FF19DC"/>
    <w:rsid w:val="00FF1A15"/>
    <w:rsid w:val="00FF1A4E"/>
    <w:rsid w:val="00FF1A82"/>
    <w:rsid w:val="00FF1AE1"/>
    <w:rsid w:val="00FF1B42"/>
    <w:rsid w:val="00FF1B70"/>
    <w:rsid w:val="00FF1B71"/>
    <w:rsid w:val="00FF1D1A"/>
    <w:rsid w:val="00FF1E2B"/>
    <w:rsid w:val="00FF1E72"/>
    <w:rsid w:val="00FF1F18"/>
    <w:rsid w:val="00FF20CC"/>
    <w:rsid w:val="00FF20EE"/>
    <w:rsid w:val="00FF22B1"/>
    <w:rsid w:val="00FF239C"/>
    <w:rsid w:val="00FF2443"/>
    <w:rsid w:val="00FF2471"/>
    <w:rsid w:val="00FF250E"/>
    <w:rsid w:val="00FF256D"/>
    <w:rsid w:val="00FF261D"/>
    <w:rsid w:val="00FF2899"/>
    <w:rsid w:val="00FF2930"/>
    <w:rsid w:val="00FF2A44"/>
    <w:rsid w:val="00FF2A8F"/>
    <w:rsid w:val="00FF2BA5"/>
    <w:rsid w:val="00FF2C8A"/>
    <w:rsid w:val="00FF2DF2"/>
    <w:rsid w:val="00FF2E85"/>
    <w:rsid w:val="00FF2F3E"/>
    <w:rsid w:val="00FF2FA3"/>
    <w:rsid w:val="00FF30EB"/>
    <w:rsid w:val="00FF30F1"/>
    <w:rsid w:val="00FF31F4"/>
    <w:rsid w:val="00FF3232"/>
    <w:rsid w:val="00FF3279"/>
    <w:rsid w:val="00FF32D7"/>
    <w:rsid w:val="00FF336D"/>
    <w:rsid w:val="00FF3382"/>
    <w:rsid w:val="00FF34A7"/>
    <w:rsid w:val="00FF34EE"/>
    <w:rsid w:val="00FF35AC"/>
    <w:rsid w:val="00FF361F"/>
    <w:rsid w:val="00FF3632"/>
    <w:rsid w:val="00FF36A4"/>
    <w:rsid w:val="00FF3BEC"/>
    <w:rsid w:val="00FF3CB1"/>
    <w:rsid w:val="00FF3DEC"/>
    <w:rsid w:val="00FF3FF8"/>
    <w:rsid w:val="00FF4069"/>
    <w:rsid w:val="00FF4093"/>
    <w:rsid w:val="00FF4120"/>
    <w:rsid w:val="00FF4196"/>
    <w:rsid w:val="00FF422D"/>
    <w:rsid w:val="00FF42D4"/>
    <w:rsid w:val="00FF436E"/>
    <w:rsid w:val="00FF43F3"/>
    <w:rsid w:val="00FF466F"/>
    <w:rsid w:val="00FF46F2"/>
    <w:rsid w:val="00FF4754"/>
    <w:rsid w:val="00FF475D"/>
    <w:rsid w:val="00FF47A8"/>
    <w:rsid w:val="00FF47CA"/>
    <w:rsid w:val="00FF47DF"/>
    <w:rsid w:val="00FF4932"/>
    <w:rsid w:val="00FF4998"/>
    <w:rsid w:val="00FF4B18"/>
    <w:rsid w:val="00FF4C28"/>
    <w:rsid w:val="00FF4C39"/>
    <w:rsid w:val="00FF4CCD"/>
    <w:rsid w:val="00FF4CFF"/>
    <w:rsid w:val="00FF4D1B"/>
    <w:rsid w:val="00FF4D24"/>
    <w:rsid w:val="00FF4DA6"/>
    <w:rsid w:val="00FF4EA4"/>
    <w:rsid w:val="00FF4F12"/>
    <w:rsid w:val="00FF501B"/>
    <w:rsid w:val="00FF506E"/>
    <w:rsid w:val="00FF5206"/>
    <w:rsid w:val="00FF5379"/>
    <w:rsid w:val="00FF5505"/>
    <w:rsid w:val="00FF5526"/>
    <w:rsid w:val="00FF56BC"/>
    <w:rsid w:val="00FF580A"/>
    <w:rsid w:val="00FF5820"/>
    <w:rsid w:val="00FF58E4"/>
    <w:rsid w:val="00FF599A"/>
    <w:rsid w:val="00FF5A57"/>
    <w:rsid w:val="00FF5AAE"/>
    <w:rsid w:val="00FF5BD1"/>
    <w:rsid w:val="00FF5C7E"/>
    <w:rsid w:val="00FF5D9E"/>
    <w:rsid w:val="00FF5DC2"/>
    <w:rsid w:val="00FF5F69"/>
    <w:rsid w:val="00FF5F8D"/>
    <w:rsid w:val="00FF60E6"/>
    <w:rsid w:val="00FF613D"/>
    <w:rsid w:val="00FF61A2"/>
    <w:rsid w:val="00FF6527"/>
    <w:rsid w:val="00FF664E"/>
    <w:rsid w:val="00FF68BE"/>
    <w:rsid w:val="00FF69C3"/>
    <w:rsid w:val="00FF6A39"/>
    <w:rsid w:val="00FF6B21"/>
    <w:rsid w:val="00FF6CAC"/>
    <w:rsid w:val="00FF6D6C"/>
    <w:rsid w:val="00FF6DF8"/>
    <w:rsid w:val="00FF6F04"/>
    <w:rsid w:val="00FF6FDB"/>
    <w:rsid w:val="00FF7049"/>
    <w:rsid w:val="00FF7139"/>
    <w:rsid w:val="00FF71B5"/>
    <w:rsid w:val="00FF72DB"/>
    <w:rsid w:val="00FF73A1"/>
    <w:rsid w:val="00FF73D9"/>
    <w:rsid w:val="00FF7422"/>
    <w:rsid w:val="00FF74FE"/>
    <w:rsid w:val="00FF7558"/>
    <w:rsid w:val="00FF7680"/>
    <w:rsid w:val="00FF76B7"/>
    <w:rsid w:val="00FF7768"/>
    <w:rsid w:val="00FF77A4"/>
    <w:rsid w:val="00FF77F1"/>
    <w:rsid w:val="00FF7887"/>
    <w:rsid w:val="00FF7940"/>
    <w:rsid w:val="00FF7989"/>
    <w:rsid w:val="00FF79D8"/>
    <w:rsid w:val="00FF7A83"/>
    <w:rsid w:val="00FF7B18"/>
    <w:rsid w:val="00FF7DB8"/>
    <w:rsid w:val="00FF7E61"/>
    <w:rsid w:val="00FF7E72"/>
    <w:rsid w:val="00FF7F98"/>
    <w:rsid w:val="00FF7FAD"/>
    <w:rsid w:val="00FF7FEA"/>
    <w:rsid w:val="01048F5D"/>
    <w:rsid w:val="010DC5C9"/>
    <w:rsid w:val="0116A699"/>
    <w:rsid w:val="011DE558"/>
    <w:rsid w:val="0125A2BA"/>
    <w:rsid w:val="0126029C"/>
    <w:rsid w:val="0130897A"/>
    <w:rsid w:val="0131E590"/>
    <w:rsid w:val="013A3818"/>
    <w:rsid w:val="0145CA5E"/>
    <w:rsid w:val="0148EE9D"/>
    <w:rsid w:val="01597739"/>
    <w:rsid w:val="0168357D"/>
    <w:rsid w:val="016E0065"/>
    <w:rsid w:val="01705FC2"/>
    <w:rsid w:val="01715B6C"/>
    <w:rsid w:val="0171D825"/>
    <w:rsid w:val="017780FF"/>
    <w:rsid w:val="01835E39"/>
    <w:rsid w:val="018C4066"/>
    <w:rsid w:val="018E6B3B"/>
    <w:rsid w:val="0199B5B5"/>
    <w:rsid w:val="019BA4F3"/>
    <w:rsid w:val="019E1B44"/>
    <w:rsid w:val="01B484E7"/>
    <w:rsid w:val="01B95BE3"/>
    <w:rsid w:val="01BF222B"/>
    <w:rsid w:val="01C86DF9"/>
    <w:rsid w:val="01CABC3A"/>
    <w:rsid w:val="01CCCA5C"/>
    <w:rsid w:val="01D315DD"/>
    <w:rsid w:val="01D4D211"/>
    <w:rsid w:val="01D7D13A"/>
    <w:rsid w:val="01D8E99E"/>
    <w:rsid w:val="01D9053F"/>
    <w:rsid w:val="01DB8D7F"/>
    <w:rsid w:val="01E4C65F"/>
    <w:rsid w:val="01E56BD9"/>
    <w:rsid w:val="01EB8AA4"/>
    <w:rsid w:val="01EBDFF1"/>
    <w:rsid w:val="01F0A97D"/>
    <w:rsid w:val="01F9979F"/>
    <w:rsid w:val="021D87A9"/>
    <w:rsid w:val="0227436A"/>
    <w:rsid w:val="022ECB53"/>
    <w:rsid w:val="022F2CDE"/>
    <w:rsid w:val="022FEBFB"/>
    <w:rsid w:val="02374315"/>
    <w:rsid w:val="023EE16A"/>
    <w:rsid w:val="02455BF5"/>
    <w:rsid w:val="0247A6DF"/>
    <w:rsid w:val="024CF539"/>
    <w:rsid w:val="024E79B1"/>
    <w:rsid w:val="026AB0B9"/>
    <w:rsid w:val="02841DA4"/>
    <w:rsid w:val="0286834C"/>
    <w:rsid w:val="0292717A"/>
    <w:rsid w:val="029CA4BD"/>
    <w:rsid w:val="02A44359"/>
    <w:rsid w:val="02A5FADC"/>
    <w:rsid w:val="02A9AD86"/>
    <w:rsid w:val="02AADB8F"/>
    <w:rsid w:val="02ACB3D7"/>
    <w:rsid w:val="02B258AF"/>
    <w:rsid w:val="02B5EF60"/>
    <w:rsid w:val="02C3C856"/>
    <w:rsid w:val="02C8B23B"/>
    <w:rsid w:val="02CCB823"/>
    <w:rsid w:val="02DB18EA"/>
    <w:rsid w:val="02DC6977"/>
    <w:rsid w:val="02DD11DA"/>
    <w:rsid w:val="02E01945"/>
    <w:rsid w:val="02E81CDA"/>
    <w:rsid w:val="02E85526"/>
    <w:rsid w:val="02E95A2E"/>
    <w:rsid w:val="02F6614E"/>
    <w:rsid w:val="02FB7BB1"/>
    <w:rsid w:val="02FDAC33"/>
    <w:rsid w:val="03001E36"/>
    <w:rsid w:val="03015B19"/>
    <w:rsid w:val="03142532"/>
    <w:rsid w:val="031645FF"/>
    <w:rsid w:val="0316EBBB"/>
    <w:rsid w:val="031737DE"/>
    <w:rsid w:val="0337E0C4"/>
    <w:rsid w:val="0339BEA8"/>
    <w:rsid w:val="034007E9"/>
    <w:rsid w:val="0342E603"/>
    <w:rsid w:val="0343434B"/>
    <w:rsid w:val="034903AC"/>
    <w:rsid w:val="034905DD"/>
    <w:rsid w:val="034BCF49"/>
    <w:rsid w:val="0355DBCE"/>
    <w:rsid w:val="03629331"/>
    <w:rsid w:val="036A0036"/>
    <w:rsid w:val="036E564F"/>
    <w:rsid w:val="03839420"/>
    <w:rsid w:val="0383AA62"/>
    <w:rsid w:val="0383E9D8"/>
    <w:rsid w:val="0384B970"/>
    <w:rsid w:val="0386D1CE"/>
    <w:rsid w:val="038F7292"/>
    <w:rsid w:val="03909454"/>
    <w:rsid w:val="03967FFA"/>
    <w:rsid w:val="039DDEDA"/>
    <w:rsid w:val="03A5E2BA"/>
    <w:rsid w:val="03A63408"/>
    <w:rsid w:val="03AE6FE9"/>
    <w:rsid w:val="03B8B503"/>
    <w:rsid w:val="03B8EBA8"/>
    <w:rsid w:val="03BB006F"/>
    <w:rsid w:val="03C149AD"/>
    <w:rsid w:val="03CB97E2"/>
    <w:rsid w:val="03D98D6D"/>
    <w:rsid w:val="03E84AB1"/>
    <w:rsid w:val="03ED62FD"/>
    <w:rsid w:val="03F44D22"/>
    <w:rsid w:val="03F84D30"/>
    <w:rsid w:val="03F96296"/>
    <w:rsid w:val="03FD1057"/>
    <w:rsid w:val="03FDA7CD"/>
    <w:rsid w:val="0407FC64"/>
    <w:rsid w:val="042BE1A8"/>
    <w:rsid w:val="042DE32F"/>
    <w:rsid w:val="043B57CA"/>
    <w:rsid w:val="043F4543"/>
    <w:rsid w:val="04474423"/>
    <w:rsid w:val="045CF165"/>
    <w:rsid w:val="045FD37D"/>
    <w:rsid w:val="0461952D"/>
    <w:rsid w:val="0466D142"/>
    <w:rsid w:val="0481DBDA"/>
    <w:rsid w:val="04869F54"/>
    <w:rsid w:val="0487D8B5"/>
    <w:rsid w:val="04895ED0"/>
    <w:rsid w:val="048B9175"/>
    <w:rsid w:val="048EA23E"/>
    <w:rsid w:val="0490AE52"/>
    <w:rsid w:val="049574DD"/>
    <w:rsid w:val="049B2173"/>
    <w:rsid w:val="049C6101"/>
    <w:rsid w:val="049FFC13"/>
    <w:rsid w:val="04A0AB2A"/>
    <w:rsid w:val="04A0DE5F"/>
    <w:rsid w:val="04A10880"/>
    <w:rsid w:val="04AABF7A"/>
    <w:rsid w:val="04AF3E73"/>
    <w:rsid w:val="04CBF91F"/>
    <w:rsid w:val="04D05794"/>
    <w:rsid w:val="04D2365F"/>
    <w:rsid w:val="04D3CEC9"/>
    <w:rsid w:val="04E313DD"/>
    <w:rsid w:val="04EB1559"/>
    <w:rsid w:val="04EF0D1C"/>
    <w:rsid w:val="04F9F504"/>
    <w:rsid w:val="04FDA347"/>
    <w:rsid w:val="05111024"/>
    <w:rsid w:val="0514A328"/>
    <w:rsid w:val="0518B49E"/>
    <w:rsid w:val="05232FB2"/>
    <w:rsid w:val="05270642"/>
    <w:rsid w:val="052D80B1"/>
    <w:rsid w:val="0530793B"/>
    <w:rsid w:val="05323460"/>
    <w:rsid w:val="0535141F"/>
    <w:rsid w:val="054DD687"/>
    <w:rsid w:val="0552F366"/>
    <w:rsid w:val="055660B5"/>
    <w:rsid w:val="0564D834"/>
    <w:rsid w:val="056579BB"/>
    <w:rsid w:val="056BE857"/>
    <w:rsid w:val="056DA7F2"/>
    <w:rsid w:val="057D4A58"/>
    <w:rsid w:val="0588CD22"/>
    <w:rsid w:val="05897DB6"/>
    <w:rsid w:val="058A4360"/>
    <w:rsid w:val="0592A215"/>
    <w:rsid w:val="0593ECD4"/>
    <w:rsid w:val="05954173"/>
    <w:rsid w:val="0599572B"/>
    <w:rsid w:val="059D1809"/>
    <w:rsid w:val="059F913B"/>
    <w:rsid w:val="05A12327"/>
    <w:rsid w:val="05AC5F26"/>
    <w:rsid w:val="05B04C74"/>
    <w:rsid w:val="05B42BE7"/>
    <w:rsid w:val="05B65496"/>
    <w:rsid w:val="05B82CB8"/>
    <w:rsid w:val="05B92D16"/>
    <w:rsid w:val="05BAE59F"/>
    <w:rsid w:val="05BD06D6"/>
    <w:rsid w:val="05C4171C"/>
    <w:rsid w:val="05C95F4F"/>
    <w:rsid w:val="05CA5981"/>
    <w:rsid w:val="05CF2183"/>
    <w:rsid w:val="05D23600"/>
    <w:rsid w:val="05D6FA5B"/>
    <w:rsid w:val="05E52E9A"/>
    <w:rsid w:val="05E57E24"/>
    <w:rsid w:val="05EC6701"/>
    <w:rsid w:val="05F18510"/>
    <w:rsid w:val="05F3AA9A"/>
    <w:rsid w:val="05FB6896"/>
    <w:rsid w:val="060087D9"/>
    <w:rsid w:val="0602D87C"/>
    <w:rsid w:val="06064095"/>
    <w:rsid w:val="0608D97A"/>
    <w:rsid w:val="060F4CB7"/>
    <w:rsid w:val="06133826"/>
    <w:rsid w:val="061627AE"/>
    <w:rsid w:val="0620F433"/>
    <w:rsid w:val="062263EC"/>
    <w:rsid w:val="062877DC"/>
    <w:rsid w:val="062AEE8F"/>
    <w:rsid w:val="0639E08E"/>
    <w:rsid w:val="063A2AF0"/>
    <w:rsid w:val="063A6A2F"/>
    <w:rsid w:val="0646D0B0"/>
    <w:rsid w:val="064A8067"/>
    <w:rsid w:val="064C0075"/>
    <w:rsid w:val="064ED1BC"/>
    <w:rsid w:val="064FEFAC"/>
    <w:rsid w:val="06580228"/>
    <w:rsid w:val="065E7A23"/>
    <w:rsid w:val="065F1D4E"/>
    <w:rsid w:val="06613BDB"/>
    <w:rsid w:val="06679019"/>
    <w:rsid w:val="066A7AB5"/>
    <w:rsid w:val="06705115"/>
    <w:rsid w:val="0673914E"/>
    <w:rsid w:val="06779EB7"/>
    <w:rsid w:val="067A5067"/>
    <w:rsid w:val="067AC6A1"/>
    <w:rsid w:val="0684156B"/>
    <w:rsid w:val="06940C57"/>
    <w:rsid w:val="06953BE6"/>
    <w:rsid w:val="0698FDFE"/>
    <w:rsid w:val="06A50023"/>
    <w:rsid w:val="06A624A3"/>
    <w:rsid w:val="06A875FB"/>
    <w:rsid w:val="06A8C2A4"/>
    <w:rsid w:val="06ADF0BE"/>
    <w:rsid w:val="06B5F848"/>
    <w:rsid w:val="06B738F5"/>
    <w:rsid w:val="06BB46DF"/>
    <w:rsid w:val="06BFD401"/>
    <w:rsid w:val="06C51CAF"/>
    <w:rsid w:val="06C82034"/>
    <w:rsid w:val="06C82C4C"/>
    <w:rsid w:val="06D2E4AD"/>
    <w:rsid w:val="06D9D788"/>
    <w:rsid w:val="06DA10F6"/>
    <w:rsid w:val="06E0D6E6"/>
    <w:rsid w:val="06F4E47B"/>
    <w:rsid w:val="06F8D5AA"/>
    <w:rsid w:val="07049494"/>
    <w:rsid w:val="0706B9CA"/>
    <w:rsid w:val="070B72BC"/>
    <w:rsid w:val="070D5A55"/>
    <w:rsid w:val="070ED322"/>
    <w:rsid w:val="071FB3C4"/>
    <w:rsid w:val="0725016B"/>
    <w:rsid w:val="072CFC41"/>
    <w:rsid w:val="073090C0"/>
    <w:rsid w:val="0731FA18"/>
    <w:rsid w:val="073872B2"/>
    <w:rsid w:val="073DFBDF"/>
    <w:rsid w:val="07445333"/>
    <w:rsid w:val="0746DED3"/>
    <w:rsid w:val="07473A06"/>
    <w:rsid w:val="074D9D4A"/>
    <w:rsid w:val="07550760"/>
    <w:rsid w:val="0757E633"/>
    <w:rsid w:val="075B5E62"/>
    <w:rsid w:val="075C9C17"/>
    <w:rsid w:val="075CD805"/>
    <w:rsid w:val="076A244A"/>
    <w:rsid w:val="076EA4C1"/>
    <w:rsid w:val="0776CD97"/>
    <w:rsid w:val="077871DD"/>
    <w:rsid w:val="0780575C"/>
    <w:rsid w:val="07814965"/>
    <w:rsid w:val="0789B65D"/>
    <w:rsid w:val="078E05CA"/>
    <w:rsid w:val="0794F13D"/>
    <w:rsid w:val="079791E1"/>
    <w:rsid w:val="07AE93A8"/>
    <w:rsid w:val="07B123D6"/>
    <w:rsid w:val="07B3EB65"/>
    <w:rsid w:val="07B5C8BE"/>
    <w:rsid w:val="07B70639"/>
    <w:rsid w:val="07BC2E6E"/>
    <w:rsid w:val="07BE776F"/>
    <w:rsid w:val="07BF35E4"/>
    <w:rsid w:val="07BF7FD2"/>
    <w:rsid w:val="07D246B5"/>
    <w:rsid w:val="07D74EB0"/>
    <w:rsid w:val="07E08D8C"/>
    <w:rsid w:val="07E6DE20"/>
    <w:rsid w:val="07E97E9D"/>
    <w:rsid w:val="07F3CB43"/>
    <w:rsid w:val="07FB0AA4"/>
    <w:rsid w:val="08003693"/>
    <w:rsid w:val="08092D88"/>
    <w:rsid w:val="080B0D15"/>
    <w:rsid w:val="080CFA73"/>
    <w:rsid w:val="080ED5C0"/>
    <w:rsid w:val="08106472"/>
    <w:rsid w:val="08112DD1"/>
    <w:rsid w:val="0815DB6F"/>
    <w:rsid w:val="0815E82D"/>
    <w:rsid w:val="08172A65"/>
    <w:rsid w:val="081F99B5"/>
    <w:rsid w:val="08293866"/>
    <w:rsid w:val="0836B365"/>
    <w:rsid w:val="083F6D5A"/>
    <w:rsid w:val="08496DD1"/>
    <w:rsid w:val="084ADF02"/>
    <w:rsid w:val="084BCDBB"/>
    <w:rsid w:val="0850ED23"/>
    <w:rsid w:val="08569381"/>
    <w:rsid w:val="0857C3A8"/>
    <w:rsid w:val="08582648"/>
    <w:rsid w:val="086558B1"/>
    <w:rsid w:val="08762B32"/>
    <w:rsid w:val="0877CF9D"/>
    <w:rsid w:val="08847FEA"/>
    <w:rsid w:val="08894101"/>
    <w:rsid w:val="088E40B8"/>
    <w:rsid w:val="089F82DF"/>
    <w:rsid w:val="08AAF6E8"/>
    <w:rsid w:val="08ABB830"/>
    <w:rsid w:val="08AEB7C1"/>
    <w:rsid w:val="08AF5C00"/>
    <w:rsid w:val="08B6F2EB"/>
    <w:rsid w:val="08BB2FF9"/>
    <w:rsid w:val="08BC77B9"/>
    <w:rsid w:val="08C59BA9"/>
    <w:rsid w:val="08D7133E"/>
    <w:rsid w:val="08EF6CC7"/>
    <w:rsid w:val="08F74E9B"/>
    <w:rsid w:val="08F7E876"/>
    <w:rsid w:val="08FD37C1"/>
    <w:rsid w:val="09018C16"/>
    <w:rsid w:val="0902A368"/>
    <w:rsid w:val="090A0939"/>
    <w:rsid w:val="090B4F5E"/>
    <w:rsid w:val="090F0078"/>
    <w:rsid w:val="091E62AD"/>
    <w:rsid w:val="0925C5A1"/>
    <w:rsid w:val="09287D37"/>
    <w:rsid w:val="092F82E8"/>
    <w:rsid w:val="0930117F"/>
    <w:rsid w:val="094197D2"/>
    <w:rsid w:val="0941ECD9"/>
    <w:rsid w:val="0944717F"/>
    <w:rsid w:val="095136F5"/>
    <w:rsid w:val="09586CA9"/>
    <w:rsid w:val="095EAEFC"/>
    <w:rsid w:val="0962FCB4"/>
    <w:rsid w:val="0977B93C"/>
    <w:rsid w:val="097991B6"/>
    <w:rsid w:val="097D755E"/>
    <w:rsid w:val="0984070D"/>
    <w:rsid w:val="098693C0"/>
    <w:rsid w:val="09889182"/>
    <w:rsid w:val="098E5BD5"/>
    <w:rsid w:val="098F3F21"/>
    <w:rsid w:val="099BEFA0"/>
    <w:rsid w:val="099DDCF7"/>
    <w:rsid w:val="09A95EDA"/>
    <w:rsid w:val="09B6CB6F"/>
    <w:rsid w:val="09C2AFBF"/>
    <w:rsid w:val="09C32FBA"/>
    <w:rsid w:val="09CD168C"/>
    <w:rsid w:val="09D027D4"/>
    <w:rsid w:val="09E0CE3D"/>
    <w:rsid w:val="09E82889"/>
    <w:rsid w:val="09EBD8D2"/>
    <w:rsid w:val="09F35B15"/>
    <w:rsid w:val="09F7A3E6"/>
    <w:rsid w:val="09FA272D"/>
    <w:rsid w:val="09FC3B58"/>
    <w:rsid w:val="09FEC88C"/>
    <w:rsid w:val="09FFB149"/>
    <w:rsid w:val="0A10F401"/>
    <w:rsid w:val="0A1964F1"/>
    <w:rsid w:val="0A2695E4"/>
    <w:rsid w:val="0A338275"/>
    <w:rsid w:val="0A3EF87D"/>
    <w:rsid w:val="0A3F0581"/>
    <w:rsid w:val="0A4D461B"/>
    <w:rsid w:val="0A4F9786"/>
    <w:rsid w:val="0A57092F"/>
    <w:rsid w:val="0A646F69"/>
    <w:rsid w:val="0A6FAF72"/>
    <w:rsid w:val="0A758B25"/>
    <w:rsid w:val="0A7BCE49"/>
    <w:rsid w:val="0A7D54B8"/>
    <w:rsid w:val="0A826D70"/>
    <w:rsid w:val="0A8E0BDC"/>
    <w:rsid w:val="0A9376BC"/>
    <w:rsid w:val="0A965794"/>
    <w:rsid w:val="0A98DA47"/>
    <w:rsid w:val="0A9CE5F7"/>
    <w:rsid w:val="0A9DF61A"/>
    <w:rsid w:val="0A9F7033"/>
    <w:rsid w:val="0AA0A340"/>
    <w:rsid w:val="0AA53ED6"/>
    <w:rsid w:val="0AA67E83"/>
    <w:rsid w:val="0AB3DBD5"/>
    <w:rsid w:val="0AB57776"/>
    <w:rsid w:val="0AB7005A"/>
    <w:rsid w:val="0AB9C067"/>
    <w:rsid w:val="0ABAAB78"/>
    <w:rsid w:val="0ABF8A5F"/>
    <w:rsid w:val="0AD4C3A5"/>
    <w:rsid w:val="0AD61003"/>
    <w:rsid w:val="0AD7B093"/>
    <w:rsid w:val="0ADA79E2"/>
    <w:rsid w:val="0AE43509"/>
    <w:rsid w:val="0AEA1F14"/>
    <w:rsid w:val="0AEA3FC1"/>
    <w:rsid w:val="0AF03A36"/>
    <w:rsid w:val="0AF27E5C"/>
    <w:rsid w:val="0AF82E1B"/>
    <w:rsid w:val="0AFF8AC1"/>
    <w:rsid w:val="0B101F2A"/>
    <w:rsid w:val="0B19F08C"/>
    <w:rsid w:val="0B1B3D53"/>
    <w:rsid w:val="0B1BF388"/>
    <w:rsid w:val="0B26E371"/>
    <w:rsid w:val="0B29A619"/>
    <w:rsid w:val="0B2CF784"/>
    <w:rsid w:val="0B2E84E7"/>
    <w:rsid w:val="0B366EB3"/>
    <w:rsid w:val="0B4072A1"/>
    <w:rsid w:val="0B47678D"/>
    <w:rsid w:val="0B5A06EE"/>
    <w:rsid w:val="0B6811D6"/>
    <w:rsid w:val="0B79AA25"/>
    <w:rsid w:val="0B7AC182"/>
    <w:rsid w:val="0B7ADB22"/>
    <w:rsid w:val="0B7FC04B"/>
    <w:rsid w:val="0B831711"/>
    <w:rsid w:val="0B85DC36"/>
    <w:rsid w:val="0B869BB9"/>
    <w:rsid w:val="0B869FE2"/>
    <w:rsid w:val="0B8B4F31"/>
    <w:rsid w:val="0B8B610A"/>
    <w:rsid w:val="0B8DBA0E"/>
    <w:rsid w:val="0B94174D"/>
    <w:rsid w:val="0B952CD3"/>
    <w:rsid w:val="0B9B7E2E"/>
    <w:rsid w:val="0B9D075C"/>
    <w:rsid w:val="0BA3971C"/>
    <w:rsid w:val="0BA62CFF"/>
    <w:rsid w:val="0BA671A3"/>
    <w:rsid w:val="0BA96895"/>
    <w:rsid w:val="0BAD1B1D"/>
    <w:rsid w:val="0BADEE21"/>
    <w:rsid w:val="0BAEFB85"/>
    <w:rsid w:val="0BB2D111"/>
    <w:rsid w:val="0BB672BC"/>
    <w:rsid w:val="0BB73992"/>
    <w:rsid w:val="0BBC81B4"/>
    <w:rsid w:val="0BC389D6"/>
    <w:rsid w:val="0BCCFF3F"/>
    <w:rsid w:val="0BD5169A"/>
    <w:rsid w:val="0BD8F285"/>
    <w:rsid w:val="0BDD55DC"/>
    <w:rsid w:val="0BDE1415"/>
    <w:rsid w:val="0BDF06DB"/>
    <w:rsid w:val="0BDFDCEC"/>
    <w:rsid w:val="0BE30191"/>
    <w:rsid w:val="0BE8E9BF"/>
    <w:rsid w:val="0BF5B0AE"/>
    <w:rsid w:val="0BF77BA0"/>
    <w:rsid w:val="0BFAE451"/>
    <w:rsid w:val="0BFEC592"/>
    <w:rsid w:val="0C001E3A"/>
    <w:rsid w:val="0C021698"/>
    <w:rsid w:val="0C059DBF"/>
    <w:rsid w:val="0C076EE0"/>
    <w:rsid w:val="0C0B8860"/>
    <w:rsid w:val="0C1BE600"/>
    <w:rsid w:val="0C21DBE5"/>
    <w:rsid w:val="0C281DED"/>
    <w:rsid w:val="0C2A65E2"/>
    <w:rsid w:val="0C2B468C"/>
    <w:rsid w:val="0C2E6E4C"/>
    <w:rsid w:val="0C31FE5C"/>
    <w:rsid w:val="0C32002D"/>
    <w:rsid w:val="0C3CD897"/>
    <w:rsid w:val="0C3DA09F"/>
    <w:rsid w:val="0C4665C8"/>
    <w:rsid w:val="0C51831C"/>
    <w:rsid w:val="0C52A950"/>
    <w:rsid w:val="0C55D472"/>
    <w:rsid w:val="0C560D54"/>
    <w:rsid w:val="0C5A2974"/>
    <w:rsid w:val="0C5A8FC3"/>
    <w:rsid w:val="0C624982"/>
    <w:rsid w:val="0C69E6CA"/>
    <w:rsid w:val="0C7B483E"/>
    <w:rsid w:val="0C857A21"/>
    <w:rsid w:val="0C86CE8F"/>
    <w:rsid w:val="0C88DF94"/>
    <w:rsid w:val="0C8C6D63"/>
    <w:rsid w:val="0C8DDDF2"/>
    <w:rsid w:val="0C8F2BD6"/>
    <w:rsid w:val="0C980F28"/>
    <w:rsid w:val="0C9B1F44"/>
    <w:rsid w:val="0C9EFF85"/>
    <w:rsid w:val="0C9F3800"/>
    <w:rsid w:val="0CB06F0F"/>
    <w:rsid w:val="0CB082BE"/>
    <w:rsid w:val="0CB7F2F4"/>
    <w:rsid w:val="0CBB6105"/>
    <w:rsid w:val="0CC58D7B"/>
    <w:rsid w:val="0CC96AFE"/>
    <w:rsid w:val="0CCB75A2"/>
    <w:rsid w:val="0CE13909"/>
    <w:rsid w:val="0CE5CD35"/>
    <w:rsid w:val="0CF21EC0"/>
    <w:rsid w:val="0CF2A82B"/>
    <w:rsid w:val="0CF61955"/>
    <w:rsid w:val="0D0B9F04"/>
    <w:rsid w:val="0D11FE36"/>
    <w:rsid w:val="0D19829A"/>
    <w:rsid w:val="0D344220"/>
    <w:rsid w:val="0D49A078"/>
    <w:rsid w:val="0D4DFB41"/>
    <w:rsid w:val="0D4E021A"/>
    <w:rsid w:val="0D52C624"/>
    <w:rsid w:val="0D53C5CC"/>
    <w:rsid w:val="0D55CF72"/>
    <w:rsid w:val="0D596A3B"/>
    <w:rsid w:val="0D5B508E"/>
    <w:rsid w:val="0D6010BA"/>
    <w:rsid w:val="0D605CB5"/>
    <w:rsid w:val="0D640BEC"/>
    <w:rsid w:val="0D6C89A3"/>
    <w:rsid w:val="0D84AAD7"/>
    <w:rsid w:val="0D8DE191"/>
    <w:rsid w:val="0D9497D8"/>
    <w:rsid w:val="0D9674AB"/>
    <w:rsid w:val="0DA00222"/>
    <w:rsid w:val="0DA1C295"/>
    <w:rsid w:val="0DB2DA31"/>
    <w:rsid w:val="0DB4FADB"/>
    <w:rsid w:val="0DB9A76D"/>
    <w:rsid w:val="0DCA09E1"/>
    <w:rsid w:val="0DCAEEEF"/>
    <w:rsid w:val="0DE306AF"/>
    <w:rsid w:val="0DE9E252"/>
    <w:rsid w:val="0DEA8CC2"/>
    <w:rsid w:val="0DED9EEF"/>
    <w:rsid w:val="0DF95B76"/>
    <w:rsid w:val="0E06E4F0"/>
    <w:rsid w:val="0E088EBC"/>
    <w:rsid w:val="0E0AD685"/>
    <w:rsid w:val="0E1D5243"/>
    <w:rsid w:val="0E1EEAC0"/>
    <w:rsid w:val="0E225A72"/>
    <w:rsid w:val="0E2B52B6"/>
    <w:rsid w:val="0E3520B6"/>
    <w:rsid w:val="0E3762A0"/>
    <w:rsid w:val="0E417883"/>
    <w:rsid w:val="0E475B07"/>
    <w:rsid w:val="0E4FDA17"/>
    <w:rsid w:val="0E59253B"/>
    <w:rsid w:val="0E60A368"/>
    <w:rsid w:val="0E6E2F4F"/>
    <w:rsid w:val="0E713B11"/>
    <w:rsid w:val="0E71547B"/>
    <w:rsid w:val="0E79A3FD"/>
    <w:rsid w:val="0E7C15E8"/>
    <w:rsid w:val="0E7F4088"/>
    <w:rsid w:val="0E888776"/>
    <w:rsid w:val="0E8DFF84"/>
    <w:rsid w:val="0E9F756E"/>
    <w:rsid w:val="0E9FF1F7"/>
    <w:rsid w:val="0EA54841"/>
    <w:rsid w:val="0EA9933B"/>
    <w:rsid w:val="0EBE57AF"/>
    <w:rsid w:val="0ECAFB27"/>
    <w:rsid w:val="0ED2BE2A"/>
    <w:rsid w:val="0ED910D9"/>
    <w:rsid w:val="0EDF251B"/>
    <w:rsid w:val="0EDFAEB5"/>
    <w:rsid w:val="0EE9AD71"/>
    <w:rsid w:val="0EF58DA0"/>
    <w:rsid w:val="0EF5BAC6"/>
    <w:rsid w:val="0EFA73B1"/>
    <w:rsid w:val="0F02D99D"/>
    <w:rsid w:val="0F0313D8"/>
    <w:rsid w:val="0F047E1F"/>
    <w:rsid w:val="0F054DA2"/>
    <w:rsid w:val="0F10BED0"/>
    <w:rsid w:val="0F22DD9F"/>
    <w:rsid w:val="0F28F80F"/>
    <w:rsid w:val="0F2C8E99"/>
    <w:rsid w:val="0F2EFB30"/>
    <w:rsid w:val="0F30682C"/>
    <w:rsid w:val="0F30EC4A"/>
    <w:rsid w:val="0F394B22"/>
    <w:rsid w:val="0F3CFB24"/>
    <w:rsid w:val="0F40DF51"/>
    <w:rsid w:val="0F43A02C"/>
    <w:rsid w:val="0F526902"/>
    <w:rsid w:val="0F5F5892"/>
    <w:rsid w:val="0F6349CF"/>
    <w:rsid w:val="0F652325"/>
    <w:rsid w:val="0F66C71D"/>
    <w:rsid w:val="0F6E3824"/>
    <w:rsid w:val="0F751242"/>
    <w:rsid w:val="0F7E1C8B"/>
    <w:rsid w:val="0F81979C"/>
    <w:rsid w:val="0F866043"/>
    <w:rsid w:val="0F90E251"/>
    <w:rsid w:val="0F9AC8CF"/>
    <w:rsid w:val="0F9B2143"/>
    <w:rsid w:val="0F9B4A47"/>
    <w:rsid w:val="0F9B64BD"/>
    <w:rsid w:val="0FA02E6E"/>
    <w:rsid w:val="0FA755A9"/>
    <w:rsid w:val="0FA9C71B"/>
    <w:rsid w:val="0FAFB02F"/>
    <w:rsid w:val="0FB34899"/>
    <w:rsid w:val="0FC543A8"/>
    <w:rsid w:val="0FC6EF2B"/>
    <w:rsid w:val="0FC851EA"/>
    <w:rsid w:val="0FD34DD4"/>
    <w:rsid w:val="0FD4E286"/>
    <w:rsid w:val="0FD70835"/>
    <w:rsid w:val="0FD95E87"/>
    <w:rsid w:val="0FDB1E8E"/>
    <w:rsid w:val="0FDB871B"/>
    <w:rsid w:val="0FDBBBD5"/>
    <w:rsid w:val="0FDEF748"/>
    <w:rsid w:val="0FDFCEC7"/>
    <w:rsid w:val="0FE2AC66"/>
    <w:rsid w:val="0FEA5B98"/>
    <w:rsid w:val="0FEDC934"/>
    <w:rsid w:val="0FF58DD0"/>
    <w:rsid w:val="0FFA17C2"/>
    <w:rsid w:val="0FFE3A4C"/>
    <w:rsid w:val="1005F31A"/>
    <w:rsid w:val="1009B1C3"/>
    <w:rsid w:val="100E63B7"/>
    <w:rsid w:val="100E66DD"/>
    <w:rsid w:val="101557C3"/>
    <w:rsid w:val="101DBF64"/>
    <w:rsid w:val="102AFDBF"/>
    <w:rsid w:val="102B4CBC"/>
    <w:rsid w:val="10304574"/>
    <w:rsid w:val="1039A986"/>
    <w:rsid w:val="104776E6"/>
    <w:rsid w:val="1052C028"/>
    <w:rsid w:val="1054FFD1"/>
    <w:rsid w:val="10567566"/>
    <w:rsid w:val="10584488"/>
    <w:rsid w:val="10647D1D"/>
    <w:rsid w:val="10652EBE"/>
    <w:rsid w:val="10711A9C"/>
    <w:rsid w:val="1075B194"/>
    <w:rsid w:val="1077DA1F"/>
    <w:rsid w:val="1077E309"/>
    <w:rsid w:val="1078A6ED"/>
    <w:rsid w:val="107BC719"/>
    <w:rsid w:val="107C5210"/>
    <w:rsid w:val="107F6A09"/>
    <w:rsid w:val="10855CD9"/>
    <w:rsid w:val="108CAD6C"/>
    <w:rsid w:val="108CF493"/>
    <w:rsid w:val="108EF2AA"/>
    <w:rsid w:val="1095B6F5"/>
    <w:rsid w:val="109959A6"/>
    <w:rsid w:val="1099C30A"/>
    <w:rsid w:val="10A16487"/>
    <w:rsid w:val="10A2971B"/>
    <w:rsid w:val="10AD086A"/>
    <w:rsid w:val="10B8CB28"/>
    <w:rsid w:val="10BEA238"/>
    <w:rsid w:val="10C2B830"/>
    <w:rsid w:val="10C520EA"/>
    <w:rsid w:val="10CA8AA6"/>
    <w:rsid w:val="10D50B9F"/>
    <w:rsid w:val="10D9B15D"/>
    <w:rsid w:val="10DE06BD"/>
    <w:rsid w:val="10E2E085"/>
    <w:rsid w:val="10ED6750"/>
    <w:rsid w:val="10EEF2AA"/>
    <w:rsid w:val="10F2EC71"/>
    <w:rsid w:val="11048B63"/>
    <w:rsid w:val="1107400D"/>
    <w:rsid w:val="1112A893"/>
    <w:rsid w:val="11188A12"/>
    <w:rsid w:val="112035F6"/>
    <w:rsid w:val="1129962F"/>
    <w:rsid w:val="11383A67"/>
    <w:rsid w:val="113DEF8A"/>
    <w:rsid w:val="114A728D"/>
    <w:rsid w:val="114B3868"/>
    <w:rsid w:val="114F125D"/>
    <w:rsid w:val="11542BD8"/>
    <w:rsid w:val="116F5754"/>
    <w:rsid w:val="1176A6C7"/>
    <w:rsid w:val="117975C5"/>
    <w:rsid w:val="117F32D6"/>
    <w:rsid w:val="11869CBC"/>
    <w:rsid w:val="1190208F"/>
    <w:rsid w:val="1190456B"/>
    <w:rsid w:val="1195AE60"/>
    <w:rsid w:val="1196FC92"/>
    <w:rsid w:val="11A0B446"/>
    <w:rsid w:val="11A1DB3C"/>
    <w:rsid w:val="11A43037"/>
    <w:rsid w:val="11A4419B"/>
    <w:rsid w:val="11AAF150"/>
    <w:rsid w:val="11AB3608"/>
    <w:rsid w:val="11AEAA5C"/>
    <w:rsid w:val="11B4CF25"/>
    <w:rsid w:val="11BF1E80"/>
    <w:rsid w:val="11C006FC"/>
    <w:rsid w:val="11C94F55"/>
    <w:rsid w:val="11CE548B"/>
    <w:rsid w:val="11CFA936"/>
    <w:rsid w:val="11D00DEA"/>
    <w:rsid w:val="11D31216"/>
    <w:rsid w:val="11D3A834"/>
    <w:rsid w:val="11DB9D40"/>
    <w:rsid w:val="11DECA9A"/>
    <w:rsid w:val="11E4762D"/>
    <w:rsid w:val="11F29C02"/>
    <w:rsid w:val="11FCAD09"/>
    <w:rsid w:val="1201DD63"/>
    <w:rsid w:val="1202A367"/>
    <w:rsid w:val="12098C17"/>
    <w:rsid w:val="121105AE"/>
    <w:rsid w:val="1229C342"/>
    <w:rsid w:val="122DAE68"/>
    <w:rsid w:val="122DB8D0"/>
    <w:rsid w:val="1230A294"/>
    <w:rsid w:val="1234A3A3"/>
    <w:rsid w:val="123B8E07"/>
    <w:rsid w:val="123F54A3"/>
    <w:rsid w:val="124E3A8A"/>
    <w:rsid w:val="1253C91C"/>
    <w:rsid w:val="125414FC"/>
    <w:rsid w:val="12564DF9"/>
    <w:rsid w:val="125E3AE6"/>
    <w:rsid w:val="125E8B6E"/>
    <w:rsid w:val="126A9FCA"/>
    <w:rsid w:val="126EED6F"/>
    <w:rsid w:val="1278C455"/>
    <w:rsid w:val="1282EF56"/>
    <w:rsid w:val="129095F5"/>
    <w:rsid w:val="12991094"/>
    <w:rsid w:val="129B9A06"/>
    <w:rsid w:val="12AC190C"/>
    <w:rsid w:val="12B19F49"/>
    <w:rsid w:val="12B8845F"/>
    <w:rsid w:val="12BBCE93"/>
    <w:rsid w:val="12BF4216"/>
    <w:rsid w:val="12C3D7EF"/>
    <w:rsid w:val="12C67854"/>
    <w:rsid w:val="12D07BB0"/>
    <w:rsid w:val="12D6232E"/>
    <w:rsid w:val="12E56B2B"/>
    <w:rsid w:val="12E86B0E"/>
    <w:rsid w:val="12EDED34"/>
    <w:rsid w:val="12F22225"/>
    <w:rsid w:val="12F295ED"/>
    <w:rsid w:val="12F8C1A5"/>
    <w:rsid w:val="13041CCD"/>
    <w:rsid w:val="1309993B"/>
    <w:rsid w:val="131C01E5"/>
    <w:rsid w:val="131CAF7A"/>
    <w:rsid w:val="132570D7"/>
    <w:rsid w:val="13266255"/>
    <w:rsid w:val="1329716C"/>
    <w:rsid w:val="1333D7F1"/>
    <w:rsid w:val="1336DBD8"/>
    <w:rsid w:val="1343D855"/>
    <w:rsid w:val="1347AA14"/>
    <w:rsid w:val="134BE57E"/>
    <w:rsid w:val="134E6AD4"/>
    <w:rsid w:val="1357B920"/>
    <w:rsid w:val="136086E9"/>
    <w:rsid w:val="136CCC21"/>
    <w:rsid w:val="1374E0CA"/>
    <w:rsid w:val="137C0D32"/>
    <w:rsid w:val="137E2ECE"/>
    <w:rsid w:val="137F55FF"/>
    <w:rsid w:val="138BC22A"/>
    <w:rsid w:val="138FFD47"/>
    <w:rsid w:val="13A0E2C2"/>
    <w:rsid w:val="13A36E9F"/>
    <w:rsid w:val="13A63D03"/>
    <w:rsid w:val="13A86003"/>
    <w:rsid w:val="13ABE8C6"/>
    <w:rsid w:val="13AF787D"/>
    <w:rsid w:val="13B0FBD4"/>
    <w:rsid w:val="13B24C91"/>
    <w:rsid w:val="13B37C5D"/>
    <w:rsid w:val="13B486FE"/>
    <w:rsid w:val="13BC7433"/>
    <w:rsid w:val="13BD09CB"/>
    <w:rsid w:val="13C01A81"/>
    <w:rsid w:val="13C7A6B0"/>
    <w:rsid w:val="13C7EE33"/>
    <w:rsid w:val="13C9320F"/>
    <w:rsid w:val="13C9348A"/>
    <w:rsid w:val="13CEF085"/>
    <w:rsid w:val="13CEFD57"/>
    <w:rsid w:val="13E62596"/>
    <w:rsid w:val="13EAA87C"/>
    <w:rsid w:val="13EB747B"/>
    <w:rsid w:val="13EC04B4"/>
    <w:rsid w:val="13EE9FCD"/>
    <w:rsid w:val="13F39260"/>
    <w:rsid w:val="140F211E"/>
    <w:rsid w:val="1425EA12"/>
    <w:rsid w:val="1435510E"/>
    <w:rsid w:val="14400C0A"/>
    <w:rsid w:val="144AB69B"/>
    <w:rsid w:val="145030CF"/>
    <w:rsid w:val="145C7FED"/>
    <w:rsid w:val="145FCC4F"/>
    <w:rsid w:val="1466AA68"/>
    <w:rsid w:val="146BF636"/>
    <w:rsid w:val="14748DB5"/>
    <w:rsid w:val="14768478"/>
    <w:rsid w:val="1477F6E7"/>
    <w:rsid w:val="147F7038"/>
    <w:rsid w:val="148E10DC"/>
    <w:rsid w:val="14906041"/>
    <w:rsid w:val="14981A2C"/>
    <w:rsid w:val="14981E30"/>
    <w:rsid w:val="1499EA5A"/>
    <w:rsid w:val="14A177FA"/>
    <w:rsid w:val="14A3E988"/>
    <w:rsid w:val="14A52C8F"/>
    <w:rsid w:val="14A6973F"/>
    <w:rsid w:val="14A85C40"/>
    <w:rsid w:val="14A86DC1"/>
    <w:rsid w:val="14A90E76"/>
    <w:rsid w:val="14AAE267"/>
    <w:rsid w:val="14AF2D3B"/>
    <w:rsid w:val="14BE45BD"/>
    <w:rsid w:val="14C27D95"/>
    <w:rsid w:val="14C34000"/>
    <w:rsid w:val="14C7D190"/>
    <w:rsid w:val="14CC03E1"/>
    <w:rsid w:val="14E42977"/>
    <w:rsid w:val="14E4D5B3"/>
    <w:rsid w:val="14E8BFD2"/>
    <w:rsid w:val="14ED2FA5"/>
    <w:rsid w:val="14F035C6"/>
    <w:rsid w:val="14F83004"/>
    <w:rsid w:val="14F98EC6"/>
    <w:rsid w:val="1504AB69"/>
    <w:rsid w:val="150997A1"/>
    <w:rsid w:val="15158DAD"/>
    <w:rsid w:val="15161E3A"/>
    <w:rsid w:val="1517A5B1"/>
    <w:rsid w:val="151A787A"/>
    <w:rsid w:val="15274F22"/>
    <w:rsid w:val="15341868"/>
    <w:rsid w:val="153D2501"/>
    <w:rsid w:val="15528B30"/>
    <w:rsid w:val="1555B30C"/>
    <w:rsid w:val="155B371C"/>
    <w:rsid w:val="155D90F9"/>
    <w:rsid w:val="156C5506"/>
    <w:rsid w:val="156DBDF4"/>
    <w:rsid w:val="157B1BB0"/>
    <w:rsid w:val="1587CDA0"/>
    <w:rsid w:val="1589AE0A"/>
    <w:rsid w:val="158DBA60"/>
    <w:rsid w:val="1598BF05"/>
    <w:rsid w:val="159A867D"/>
    <w:rsid w:val="15A00EE2"/>
    <w:rsid w:val="15A226BA"/>
    <w:rsid w:val="15B0C37C"/>
    <w:rsid w:val="15B51CE2"/>
    <w:rsid w:val="15C15B6F"/>
    <w:rsid w:val="15C3D908"/>
    <w:rsid w:val="15C704FB"/>
    <w:rsid w:val="15CA0426"/>
    <w:rsid w:val="15CDB268"/>
    <w:rsid w:val="15CF110C"/>
    <w:rsid w:val="15D271B1"/>
    <w:rsid w:val="15D6872B"/>
    <w:rsid w:val="15E8E11F"/>
    <w:rsid w:val="15F3C51A"/>
    <w:rsid w:val="15F84FA2"/>
    <w:rsid w:val="15FFAFED"/>
    <w:rsid w:val="16163043"/>
    <w:rsid w:val="161E3C08"/>
    <w:rsid w:val="1629F476"/>
    <w:rsid w:val="162CADFA"/>
    <w:rsid w:val="162F9949"/>
    <w:rsid w:val="16387DA9"/>
    <w:rsid w:val="1644E44C"/>
    <w:rsid w:val="164CC518"/>
    <w:rsid w:val="1651BC1F"/>
    <w:rsid w:val="1652F47F"/>
    <w:rsid w:val="1655B8EF"/>
    <w:rsid w:val="16561D61"/>
    <w:rsid w:val="165638E2"/>
    <w:rsid w:val="165C1A4E"/>
    <w:rsid w:val="165F2EAF"/>
    <w:rsid w:val="16634933"/>
    <w:rsid w:val="16659273"/>
    <w:rsid w:val="1667445E"/>
    <w:rsid w:val="166C3DAF"/>
    <w:rsid w:val="166DB328"/>
    <w:rsid w:val="1673AC12"/>
    <w:rsid w:val="16756B45"/>
    <w:rsid w:val="1675EC9D"/>
    <w:rsid w:val="167A3CFD"/>
    <w:rsid w:val="167E59F0"/>
    <w:rsid w:val="1682F61B"/>
    <w:rsid w:val="168A85C6"/>
    <w:rsid w:val="168F6E65"/>
    <w:rsid w:val="16948405"/>
    <w:rsid w:val="169A11B1"/>
    <w:rsid w:val="169C580C"/>
    <w:rsid w:val="169DF8E0"/>
    <w:rsid w:val="16A1526C"/>
    <w:rsid w:val="16A3DEDF"/>
    <w:rsid w:val="16A66ECE"/>
    <w:rsid w:val="16B08A3A"/>
    <w:rsid w:val="16C7D705"/>
    <w:rsid w:val="16CE2BD2"/>
    <w:rsid w:val="16CFA7E6"/>
    <w:rsid w:val="16D571D8"/>
    <w:rsid w:val="16DA608E"/>
    <w:rsid w:val="16DF4BC3"/>
    <w:rsid w:val="16E27FF1"/>
    <w:rsid w:val="16F34442"/>
    <w:rsid w:val="16F8C560"/>
    <w:rsid w:val="16FD49E4"/>
    <w:rsid w:val="16FE0D6C"/>
    <w:rsid w:val="16FE28B0"/>
    <w:rsid w:val="16FE5E46"/>
    <w:rsid w:val="16FF69D3"/>
    <w:rsid w:val="17003A94"/>
    <w:rsid w:val="17003DB2"/>
    <w:rsid w:val="1705F927"/>
    <w:rsid w:val="170A7C98"/>
    <w:rsid w:val="1719658E"/>
    <w:rsid w:val="171E0F7F"/>
    <w:rsid w:val="17277D71"/>
    <w:rsid w:val="172E6AFC"/>
    <w:rsid w:val="172ED825"/>
    <w:rsid w:val="172F05F2"/>
    <w:rsid w:val="17344852"/>
    <w:rsid w:val="1734E95E"/>
    <w:rsid w:val="1740A8D3"/>
    <w:rsid w:val="17412E44"/>
    <w:rsid w:val="1753E8DC"/>
    <w:rsid w:val="175A2328"/>
    <w:rsid w:val="1766D582"/>
    <w:rsid w:val="17731158"/>
    <w:rsid w:val="177C3DD5"/>
    <w:rsid w:val="177F6FDC"/>
    <w:rsid w:val="177FA7B8"/>
    <w:rsid w:val="17825D1B"/>
    <w:rsid w:val="17841F23"/>
    <w:rsid w:val="178617ED"/>
    <w:rsid w:val="1789CB7C"/>
    <w:rsid w:val="178E7720"/>
    <w:rsid w:val="178EC32B"/>
    <w:rsid w:val="17934795"/>
    <w:rsid w:val="1797CB8C"/>
    <w:rsid w:val="179FD73D"/>
    <w:rsid w:val="17A4992A"/>
    <w:rsid w:val="17B34523"/>
    <w:rsid w:val="17B45B51"/>
    <w:rsid w:val="17B8F7E1"/>
    <w:rsid w:val="17BD45CA"/>
    <w:rsid w:val="17BFE2DB"/>
    <w:rsid w:val="17CC9B49"/>
    <w:rsid w:val="17CD2A1F"/>
    <w:rsid w:val="17CF49DB"/>
    <w:rsid w:val="17DBC0E9"/>
    <w:rsid w:val="17EDAE9C"/>
    <w:rsid w:val="17EDDF25"/>
    <w:rsid w:val="17F2270C"/>
    <w:rsid w:val="180260B7"/>
    <w:rsid w:val="18047167"/>
    <w:rsid w:val="180A1B52"/>
    <w:rsid w:val="180C368E"/>
    <w:rsid w:val="1813928D"/>
    <w:rsid w:val="1816DA14"/>
    <w:rsid w:val="181E8D2D"/>
    <w:rsid w:val="181F22E4"/>
    <w:rsid w:val="181F5721"/>
    <w:rsid w:val="1825F416"/>
    <w:rsid w:val="1836BFFF"/>
    <w:rsid w:val="183F33EC"/>
    <w:rsid w:val="1842C5BD"/>
    <w:rsid w:val="18439B97"/>
    <w:rsid w:val="184B50FB"/>
    <w:rsid w:val="18515E93"/>
    <w:rsid w:val="1854E61D"/>
    <w:rsid w:val="185DF2E7"/>
    <w:rsid w:val="186B2D18"/>
    <w:rsid w:val="186FD4F6"/>
    <w:rsid w:val="187337CA"/>
    <w:rsid w:val="187D6169"/>
    <w:rsid w:val="18804B71"/>
    <w:rsid w:val="1886E660"/>
    <w:rsid w:val="188A6E3D"/>
    <w:rsid w:val="1899E149"/>
    <w:rsid w:val="189CEB10"/>
    <w:rsid w:val="189F6683"/>
    <w:rsid w:val="189F9568"/>
    <w:rsid w:val="18A7F2A0"/>
    <w:rsid w:val="18A94C7C"/>
    <w:rsid w:val="18AB7F6B"/>
    <w:rsid w:val="18B457FE"/>
    <w:rsid w:val="18C415BF"/>
    <w:rsid w:val="18C44960"/>
    <w:rsid w:val="18C646A4"/>
    <w:rsid w:val="18C9246C"/>
    <w:rsid w:val="18CE3E28"/>
    <w:rsid w:val="18D2E168"/>
    <w:rsid w:val="18D3B725"/>
    <w:rsid w:val="18DAE663"/>
    <w:rsid w:val="18DE1A68"/>
    <w:rsid w:val="18E0F114"/>
    <w:rsid w:val="18E5B29B"/>
    <w:rsid w:val="18E5E00C"/>
    <w:rsid w:val="18E67AE9"/>
    <w:rsid w:val="18E751FF"/>
    <w:rsid w:val="18E93BA8"/>
    <w:rsid w:val="18EA0E06"/>
    <w:rsid w:val="18EF2603"/>
    <w:rsid w:val="18EF891A"/>
    <w:rsid w:val="18F19BD2"/>
    <w:rsid w:val="1908E649"/>
    <w:rsid w:val="19179F79"/>
    <w:rsid w:val="193ECA8F"/>
    <w:rsid w:val="193FB6A4"/>
    <w:rsid w:val="19460973"/>
    <w:rsid w:val="1949B09E"/>
    <w:rsid w:val="194FD099"/>
    <w:rsid w:val="195446B1"/>
    <w:rsid w:val="19562445"/>
    <w:rsid w:val="1956D5DA"/>
    <w:rsid w:val="1959F222"/>
    <w:rsid w:val="195CD060"/>
    <w:rsid w:val="19634959"/>
    <w:rsid w:val="1968CF42"/>
    <w:rsid w:val="19694887"/>
    <w:rsid w:val="196B7866"/>
    <w:rsid w:val="197837D3"/>
    <w:rsid w:val="198435BE"/>
    <w:rsid w:val="19937551"/>
    <w:rsid w:val="1996E659"/>
    <w:rsid w:val="1996FBF1"/>
    <w:rsid w:val="199ADDE5"/>
    <w:rsid w:val="199E34CF"/>
    <w:rsid w:val="199E6CF5"/>
    <w:rsid w:val="19A17DCD"/>
    <w:rsid w:val="19A65483"/>
    <w:rsid w:val="19A7F909"/>
    <w:rsid w:val="19B4BC45"/>
    <w:rsid w:val="19B6C1FA"/>
    <w:rsid w:val="19BAC6F9"/>
    <w:rsid w:val="19BBBD1A"/>
    <w:rsid w:val="19C19B84"/>
    <w:rsid w:val="19C38785"/>
    <w:rsid w:val="19C425E2"/>
    <w:rsid w:val="19CE6C04"/>
    <w:rsid w:val="19CF41A9"/>
    <w:rsid w:val="19D0D21F"/>
    <w:rsid w:val="19D18AD4"/>
    <w:rsid w:val="19D9BBDB"/>
    <w:rsid w:val="19DD4B01"/>
    <w:rsid w:val="19E20B6C"/>
    <w:rsid w:val="19E63D09"/>
    <w:rsid w:val="19E79BD3"/>
    <w:rsid w:val="19E84EF7"/>
    <w:rsid w:val="19E8AF1D"/>
    <w:rsid w:val="19ED9674"/>
    <w:rsid w:val="19F91B1E"/>
    <w:rsid w:val="19FE3ED2"/>
    <w:rsid w:val="19FE4B39"/>
    <w:rsid w:val="1A011B9D"/>
    <w:rsid w:val="1A063D5A"/>
    <w:rsid w:val="1A093ED7"/>
    <w:rsid w:val="1A0F2B8A"/>
    <w:rsid w:val="1A10D817"/>
    <w:rsid w:val="1A13F348"/>
    <w:rsid w:val="1A1A4B83"/>
    <w:rsid w:val="1A23FC6A"/>
    <w:rsid w:val="1A256FAA"/>
    <w:rsid w:val="1A2CF73B"/>
    <w:rsid w:val="1A30FB63"/>
    <w:rsid w:val="1A368030"/>
    <w:rsid w:val="1A43753E"/>
    <w:rsid w:val="1A480E88"/>
    <w:rsid w:val="1A4C12F3"/>
    <w:rsid w:val="1A4D2A84"/>
    <w:rsid w:val="1A5CA9E8"/>
    <w:rsid w:val="1A685F16"/>
    <w:rsid w:val="1A6AAAAC"/>
    <w:rsid w:val="1A6AFA8B"/>
    <w:rsid w:val="1A73CF93"/>
    <w:rsid w:val="1A741D3E"/>
    <w:rsid w:val="1A766DA3"/>
    <w:rsid w:val="1A77E4DB"/>
    <w:rsid w:val="1A87E7C1"/>
    <w:rsid w:val="1A8DFA6A"/>
    <w:rsid w:val="1A9584AB"/>
    <w:rsid w:val="1A961C56"/>
    <w:rsid w:val="1A979781"/>
    <w:rsid w:val="1A995ED6"/>
    <w:rsid w:val="1A9BD115"/>
    <w:rsid w:val="1AA900F5"/>
    <w:rsid w:val="1AAA4417"/>
    <w:rsid w:val="1AB11A17"/>
    <w:rsid w:val="1AB4166B"/>
    <w:rsid w:val="1AC00C1F"/>
    <w:rsid w:val="1AC131CB"/>
    <w:rsid w:val="1AC9F324"/>
    <w:rsid w:val="1ACA177E"/>
    <w:rsid w:val="1ACF932B"/>
    <w:rsid w:val="1AE07AFC"/>
    <w:rsid w:val="1AE5A4E6"/>
    <w:rsid w:val="1AE83C0F"/>
    <w:rsid w:val="1AF4D5DB"/>
    <w:rsid w:val="1AF7515B"/>
    <w:rsid w:val="1AFA5A68"/>
    <w:rsid w:val="1B052126"/>
    <w:rsid w:val="1B060CE0"/>
    <w:rsid w:val="1B095F5B"/>
    <w:rsid w:val="1B0D7406"/>
    <w:rsid w:val="1B1095F1"/>
    <w:rsid w:val="1B185197"/>
    <w:rsid w:val="1B1A8ACE"/>
    <w:rsid w:val="1B2FF804"/>
    <w:rsid w:val="1B3393E4"/>
    <w:rsid w:val="1B3780B2"/>
    <w:rsid w:val="1B391C16"/>
    <w:rsid w:val="1B3B0EF4"/>
    <w:rsid w:val="1B3DBE96"/>
    <w:rsid w:val="1B500809"/>
    <w:rsid w:val="1B503CE0"/>
    <w:rsid w:val="1B5A77B4"/>
    <w:rsid w:val="1B5C5D22"/>
    <w:rsid w:val="1B6A93DF"/>
    <w:rsid w:val="1B6C441A"/>
    <w:rsid w:val="1B757338"/>
    <w:rsid w:val="1B78BE24"/>
    <w:rsid w:val="1B7BABC8"/>
    <w:rsid w:val="1B7E6056"/>
    <w:rsid w:val="1B838B0F"/>
    <w:rsid w:val="1B842457"/>
    <w:rsid w:val="1B85B5CC"/>
    <w:rsid w:val="1B88388B"/>
    <w:rsid w:val="1B8CF8B9"/>
    <w:rsid w:val="1B8D6960"/>
    <w:rsid w:val="1B95184D"/>
    <w:rsid w:val="1B964664"/>
    <w:rsid w:val="1B9E6E3D"/>
    <w:rsid w:val="1BA1FBED"/>
    <w:rsid w:val="1BA40C80"/>
    <w:rsid w:val="1BA8A998"/>
    <w:rsid w:val="1BAD2891"/>
    <w:rsid w:val="1BB39E22"/>
    <w:rsid w:val="1BB62DFE"/>
    <w:rsid w:val="1BBF49B4"/>
    <w:rsid w:val="1BC91C94"/>
    <w:rsid w:val="1BCFFE52"/>
    <w:rsid w:val="1BD6CB73"/>
    <w:rsid w:val="1BD6DEE2"/>
    <w:rsid w:val="1BDB9BDA"/>
    <w:rsid w:val="1BDDEACA"/>
    <w:rsid w:val="1BDEB8B1"/>
    <w:rsid w:val="1BE19874"/>
    <w:rsid w:val="1BE1EF87"/>
    <w:rsid w:val="1BE5E141"/>
    <w:rsid w:val="1BEAF0FF"/>
    <w:rsid w:val="1C059D11"/>
    <w:rsid w:val="1C0D58F3"/>
    <w:rsid w:val="1C0FF8AF"/>
    <w:rsid w:val="1C18DBFD"/>
    <w:rsid w:val="1C1D40AC"/>
    <w:rsid w:val="1C1DA9B8"/>
    <w:rsid w:val="1C1E3A67"/>
    <w:rsid w:val="1C232381"/>
    <w:rsid w:val="1C2923AE"/>
    <w:rsid w:val="1C295F1B"/>
    <w:rsid w:val="1C2AE1CD"/>
    <w:rsid w:val="1C2BF364"/>
    <w:rsid w:val="1C369401"/>
    <w:rsid w:val="1C47B3FF"/>
    <w:rsid w:val="1C49DE57"/>
    <w:rsid w:val="1C4AAF36"/>
    <w:rsid w:val="1C4CAF17"/>
    <w:rsid w:val="1C567D24"/>
    <w:rsid w:val="1C569569"/>
    <w:rsid w:val="1C58D46B"/>
    <w:rsid w:val="1C59F556"/>
    <w:rsid w:val="1C5A099B"/>
    <w:rsid w:val="1C60FC43"/>
    <w:rsid w:val="1C610604"/>
    <w:rsid w:val="1C6E6152"/>
    <w:rsid w:val="1C6EFFBB"/>
    <w:rsid w:val="1C6FED9F"/>
    <w:rsid w:val="1C7487ED"/>
    <w:rsid w:val="1C7D3B51"/>
    <w:rsid w:val="1C824DAB"/>
    <w:rsid w:val="1C865834"/>
    <w:rsid w:val="1C9C1DDC"/>
    <w:rsid w:val="1CA0F38B"/>
    <w:rsid w:val="1CAE6CFE"/>
    <w:rsid w:val="1CB61705"/>
    <w:rsid w:val="1CB7E983"/>
    <w:rsid w:val="1CBBAFE5"/>
    <w:rsid w:val="1CBEBA49"/>
    <w:rsid w:val="1CC0895E"/>
    <w:rsid w:val="1CD4046F"/>
    <w:rsid w:val="1CD4C977"/>
    <w:rsid w:val="1CDED4BB"/>
    <w:rsid w:val="1CF7136F"/>
    <w:rsid w:val="1CF92780"/>
    <w:rsid w:val="1CFB58C8"/>
    <w:rsid w:val="1CFE3774"/>
    <w:rsid w:val="1D086358"/>
    <w:rsid w:val="1D0AE2CA"/>
    <w:rsid w:val="1D0B59D5"/>
    <w:rsid w:val="1D0CF1D4"/>
    <w:rsid w:val="1D0EC24E"/>
    <w:rsid w:val="1D1165AE"/>
    <w:rsid w:val="1D178FCA"/>
    <w:rsid w:val="1D1DC9F3"/>
    <w:rsid w:val="1D21BE58"/>
    <w:rsid w:val="1D27891C"/>
    <w:rsid w:val="1D2878B1"/>
    <w:rsid w:val="1D2FEF71"/>
    <w:rsid w:val="1D300E7F"/>
    <w:rsid w:val="1D302650"/>
    <w:rsid w:val="1D38A040"/>
    <w:rsid w:val="1D4809B8"/>
    <w:rsid w:val="1D4C080E"/>
    <w:rsid w:val="1D5575CD"/>
    <w:rsid w:val="1D5C0E5D"/>
    <w:rsid w:val="1D5D0741"/>
    <w:rsid w:val="1D607FC4"/>
    <w:rsid w:val="1D64B137"/>
    <w:rsid w:val="1D6B7B58"/>
    <w:rsid w:val="1D73FA68"/>
    <w:rsid w:val="1D7E787A"/>
    <w:rsid w:val="1D8696CF"/>
    <w:rsid w:val="1D87FEDE"/>
    <w:rsid w:val="1D9017B3"/>
    <w:rsid w:val="1D971A88"/>
    <w:rsid w:val="1D9B80C1"/>
    <w:rsid w:val="1D9E8722"/>
    <w:rsid w:val="1DA90E3B"/>
    <w:rsid w:val="1DA9F3EE"/>
    <w:rsid w:val="1DAE9FBA"/>
    <w:rsid w:val="1DB38BE1"/>
    <w:rsid w:val="1DB7501D"/>
    <w:rsid w:val="1DBDAA0A"/>
    <w:rsid w:val="1DD5603E"/>
    <w:rsid w:val="1DDCBBE9"/>
    <w:rsid w:val="1DE01A78"/>
    <w:rsid w:val="1DE181E8"/>
    <w:rsid w:val="1DED5134"/>
    <w:rsid w:val="1E060C26"/>
    <w:rsid w:val="1E126AC0"/>
    <w:rsid w:val="1E1AB828"/>
    <w:rsid w:val="1E20AFC2"/>
    <w:rsid w:val="1E2268D2"/>
    <w:rsid w:val="1E30D2BE"/>
    <w:rsid w:val="1E3EFA4C"/>
    <w:rsid w:val="1E44FE78"/>
    <w:rsid w:val="1E46AA11"/>
    <w:rsid w:val="1E491B6F"/>
    <w:rsid w:val="1E4D353C"/>
    <w:rsid w:val="1E4DF3DE"/>
    <w:rsid w:val="1E53AF2E"/>
    <w:rsid w:val="1E575824"/>
    <w:rsid w:val="1E5785FA"/>
    <w:rsid w:val="1E586E71"/>
    <w:rsid w:val="1E5B111D"/>
    <w:rsid w:val="1E5C005F"/>
    <w:rsid w:val="1E6CE9F4"/>
    <w:rsid w:val="1E7E8523"/>
    <w:rsid w:val="1E84A2A0"/>
    <w:rsid w:val="1E860E8A"/>
    <w:rsid w:val="1E8CA875"/>
    <w:rsid w:val="1E94E409"/>
    <w:rsid w:val="1EA4FA70"/>
    <w:rsid w:val="1EB4F662"/>
    <w:rsid w:val="1EB67904"/>
    <w:rsid w:val="1EB9A9A6"/>
    <w:rsid w:val="1EBDAFA9"/>
    <w:rsid w:val="1EBE0950"/>
    <w:rsid w:val="1EC2B6AA"/>
    <w:rsid w:val="1EC2F15D"/>
    <w:rsid w:val="1EC702E0"/>
    <w:rsid w:val="1ED38AD0"/>
    <w:rsid w:val="1ED634DB"/>
    <w:rsid w:val="1EDAF8B4"/>
    <w:rsid w:val="1EDB94C0"/>
    <w:rsid w:val="1EE30787"/>
    <w:rsid w:val="1EE6CF86"/>
    <w:rsid w:val="1EE8D244"/>
    <w:rsid w:val="1EFC20CC"/>
    <w:rsid w:val="1F01C764"/>
    <w:rsid w:val="1F06EAE1"/>
    <w:rsid w:val="1F081A8E"/>
    <w:rsid w:val="1F111370"/>
    <w:rsid w:val="1F20B84C"/>
    <w:rsid w:val="1F242171"/>
    <w:rsid w:val="1F30B7D1"/>
    <w:rsid w:val="1F321C78"/>
    <w:rsid w:val="1F3E8A29"/>
    <w:rsid w:val="1F48C241"/>
    <w:rsid w:val="1F49C7CC"/>
    <w:rsid w:val="1F4FFE4A"/>
    <w:rsid w:val="1F582E88"/>
    <w:rsid w:val="1F6FEE2B"/>
    <w:rsid w:val="1F738A4C"/>
    <w:rsid w:val="1F878644"/>
    <w:rsid w:val="1F8A6767"/>
    <w:rsid w:val="1F8A8195"/>
    <w:rsid w:val="1F8F22BF"/>
    <w:rsid w:val="1F90C746"/>
    <w:rsid w:val="1F90CB11"/>
    <w:rsid w:val="1F91BC0E"/>
    <w:rsid w:val="1F977008"/>
    <w:rsid w:val="1FA41C14"/>
    <w:rsid w:val="1FA46422"/>
    <w:rsid w:val="1FA69472"/>
    <w:rsid w:val="1FA81ECF"/>
    <w:rsid w:val="1FB71169"/>
    <w:rsid w:val="1FC1F6F3"/>
    <w:rsid w:val="1FC7903D"/>
    <w:rsid w:val="1FD90103"/>
    <w:rsid w:val="1FDA9A19"/>
    <w:rsid w:val="1FE08AA8"/>
    <w:rsid w:val="1FE86474"/>
    <w:rsid w:val="1FF183AC"/>
    <w:rsid w:val="1FF639A8"/>
    <w:rsid w:val="1FF63EFC"/>
    <w:rsid w:val="1FF6B83A"/>
    <w:rsid w:val="1FFE3D20"/>
    <w:rsid w:val="1FFEB004"/>
    <w:rsid w:val="2009829E"/>
    <w:rsid w:val="200B7C99"/>
    <w:rsid w:val="200C8993"/>
    <w:rsid w:val="20112423"/>
    <w:rsid w:val="2026E9FA"/>
    <w:rsid w:val="202A63B9"/>
    <w:rsid w:val="20308FA0"/>
    <w:rsid w:val="203409B0"/>
    <w:rsid w:val="203817EA"/>
    <w:rsid w:val="204DEF26"/>
    <w:rsid w:val="204F7E70"/>
    <w:rsid w:val="20530D75"/>
    <w:rsid w:val="2058B8A7"/>
    <w:rsid w:val="205BFA80"/>
    <w:rsid w:val="206191B9"/>
    <w:rsid w:val="20668433"/>
    <w:rsid w:val="2082A974"/>
    <w:rsid w:val="2089AF72"/>
    <w:rsid w:val="208C2EA6"/>
    <w:rsid w:val="208D5C0D"/>
    <w:rsid w:val="2094C0AB"/>
    <w:rsid w:val="2098A602"/>
    <w:rsid w:val="2099593C"/>
    <w:rsid w:val="209C0DA0"/>
    <w:rsid w:val="20A09B98"/>
    <w:rsid w:val="20B68D8C"/>
    <w:rsid w:val="20BE72EC"/>
    <w:rsid w:val="20C00B5E"/>
    <w:rsid w:val="20C7BB09"/>
    <w:rsid w:val="20CD2D47"/>
    <w:rsid w:val="20CD504E"/>
    <w:rsid w:val="20D5BF4D"/>
    <w:rsid w:val="20E57EB9"/>
    <w:rsid w:val="20EF324D"/>
    <w:rsid w:val="20F209D0"/>
    <w:rsid w:val="20F6ADDB"/>
    <w:rsid w:val="20FE0962"/>
    <w:rsid w:val="20FF1B03"/>
    <w:rsid w:val="21008370"/>
    <w:rsid w:val="21020B1F"/>
    <w:rsid w:val="210F01D5"/>
    <w:rsid w:val="21133A84"/>
    <w:rsid w:val="2113D3B7"/>
    <w:rsid w:val="211A375B"/>
    <w:rsid w:val="211FC2FB"/>
    <w:rsid w:val="2122AAA8"/>
    <w:rsid w:val="2124A01A"/>
    <w:rsid w:val="212B63C1"/>
    <w:rsid w:val="2131EDD5"/>
    <w:rsid w:val="2159B815"/>
    <w:rsid w:val="215E3F38"/>
    <w:rsid w:val="215FAFF4"/>
    <w:rsid w:val="2160E42D"/>
    <w:rsid w:val="2163720D"/>
    <w:rsid w:val="216F8736"/>
    <w:rsid w:val="217444E9"/>
    <w:rsid w:val="2174FCE3"/>
    <w:rsid w:val="21779EF1"/>
    <w:rsid w:val="21804F86"/>
    <w:rsid w:val="2181BE3C"/>
    <w:rsid w:val="219001CE"/>
    <w:rsid w:val="21A4EF49"/>
    <w:rsid w:val="21AD8490"/>
    <w:rsid w:val="21B025AC"/>
    <w:rsid w:val="21B96A87"/>
    <w:rsid w:val="21BE09CC"/>
    <w:rsid w:val="21C0C032"/>
    <w:rsid w:val="21CA8980"/>
    <w:rsid w:val="21CB1BA4"/>
    <w:rsid w:val="21D0AECB"/>
    <w:rsid w:val="21D4C6A5"/>
    <w:rsid w:val="21DE1069"/>
    <w:rsid w:val="21E0BD37"/>
    <w:rsid w:val="21E38FE1"/>
    <w:rsid w:val="21F235E4"/>
    <w:rsid w:val="21F61A06"/>
    <w:rsid w:val="2219DDB9"/>
    <w:rsid w:val="221EC853"/>
    <w:rsid w:val="2220F9AE"/>
    <w:rsid w:val="2225781F"/>
    <w:rsid w:val="2225DA7F"/>
    <w:rsid w:val="22272CBE"/>
    <w:rsid w:val="222AA146"/>
    <w:rsid w:val="222E8619"/>
    <w:rsid w:val="2232E1BB"/>
    <w:rsid w:val="2233C802"/>
    <w:rsid w:val="223FF099"/>
    <w:rsid w:val="224593DB"/>
    <w:rsid w:val="224E7D9D"/>
    <w:rsid w:val="2253B262"/>
    <w:rsid w:val="2254CEB9"/>
    <w:rsid w:val="2260CDFF"/>
    <w:rsid w:val="2264F85C"/>
    <w:rsid w:val="226F0887"/>
    <w:rsid w:val="22727D83"/>
    <w:rsid w:val="227CB320"/>
    <w:rsid w:val="227CD03A"/>
    <w:rsid w:val="228C4266"/>
    <w:rsid w:val="22915033"/>
    <w:rsid w:val="2291A9D9"/>
    <w:rsid w:val="229CB8CF"/>
    <w:rsid w:val="229D1D01"/>
    <w:rsid w:val="229DD419"/>
    <w:rsid w:val="229E2316"/>
    <w:rsid w:val="22A6871D"/>
    <w:rsid w:val="22A84E5A"/>
    <w:rsid w:val="22A9398C"/>
    <w:rsid w:val="22AAE712"/>
    <w:rsid w:val="22B0996B"/>
    <w:rsid w:val="22B81CF4"/>
    <w:rsid w:val="22BAB44B"/>
    <w:rsid w:val="22BC3682"/>
    <w:rsid w:val="22D1544A"/>
    <w:rsid w:val="22D6763E"/>
    <w:rsid w:val="22D959B4"/>
    <w:rsid w:val="22D9C209"/>
    <w:rsid w:val="22E8FA46"/>
    <w:rsid w:val="22F28D81"/>
    <w:rsid w:val="22F8D6C5"/>
    <w:rsid w:val="22FBF8D0"/>
    <w:rsid w:val="23013D42"/>
    <w:rsid w:val="23015610"/>
    <w:rsid w:val="2301B4EA"/>
    <w:rsid w:val="2313BE45"/>
    <w:rsid w:val="2314799E"/>
    <w:rsid w:val="231BD66B"/>
    <w:rsid w:val="231BDCD3"/>
    <w:rsid w:val="231E4E08"/>
    <w:rsid w:val="23201231"/>
    <w:rsid w:val="23246C2E"/>
    <w:rsid w:val="232FD684"/>
    <w:rsid w:val="2337DB8D"/>
    <w:rsid w:val="23389B02"/>
    <w:rsid w:val="23425900"/>
    <w:rsid w:val="234FC9FC"/>
    <w:rsid w:val="23544D09"/>
    <w:rsid w:val="235617D5"/>
    <w:rsid w:val="2359F487"/>
    <w:rsid w:val="2359FB9C"/>
    <w:rsid w:val="235AC014"/>
    <w:rsid w:val="236312DB"/>
    <w:rsid w:val="23648B60"/>
    <w:rsid w:val="236A9EF5"/>
    <w:rsid w:val="237028CB"/>
    <w:rsid w:val="2373E446"/>
    <w:rsid w:val="2380211C"/>
    <w:rsid w:val="239A71FB"/>
    <w:rsid w:val="239FBB4E"/>
    <w:rsid w:val="23A269F1"/>
    <w:rsid w:val="23A2799F"/>
    <w:rsid w:val="23A69349"/>
    <w:rsid w:val="23AAC48B"/>
    <w:rsid w:val="23B06F44"/>
    <w:rsid w:val="23B702A4"/>
    <w:rsid w:val="23C30C54"/>
    <w:rsid w:val="23C30DEB"/>
    <w:rsid w:val="23C5340A"/>
    <w:rsid w:val="23C73C02"/>
    <w:rsid w:val="23D2838E"/>
    <w:rsid w:val="23ED7903"/>
    <w:rsid w:val="23F010C4"/>
    <w:rsid w:val="23F2359D"/>
    <w:rsid w:val="23F80F17"/>
    <w:rsid w:val="23F8A359"/>
    <w:rsid w:val="23F8DE9D"/>
    <w:rsid w:val="240379A1"/>
    <w:rsid w:val="24153934"/>
    <w:rsid w:val="241BEA5B"/>
    <w:rsid w:val="24206EC5"/>
    <w:rsid w:val="24216302"/>
    <w:rsid w:val="24249651"/>
    <w:rsid w:val="2424D0EB"/>
    <w:rsid w:val="242778A0"/>
    <w:rsid w:val="242D70A7"/>
    <w:rsid w:val="24352F26"/>
    <w:rsid w:val="243DE1E4"/>
    <w:rsid w:val="243E997D"/>
    <w:rsid w:val="243F547E"/>
    <w:rsid w:val="2440F7F4"/>
    <w:rsid w:val="24471BAE"/>
    <w:rsid w:val="2454470E"/>
    <w:rsid w:val="2455A1B0"/>
    <w:rsid w:val="2455A9D4"/>
    <w:rsid w:val="24581F34"/>
    <w:rsid w:val="24597267"/>
    <w:rsid w:val="245FE28B"/>
    <w:rsid w:val="24687584"/>
    <w:rsid w:val="246BE2B2"/>
    <w:rsid w:val="2481751A"/>
    <w:rsid w:val="2482BA35"/>
    <w:rsid w:val="248B9AC5"/>
    <w:rsid w:val="248EE708"/>
    <w:rsid w:val="24994475"/>
    <w:rsid w:val="249ADC69"/>
    <w:rsid w:val="249D6F35"/>
    <w:rsid w:val="24A11E52"/>
    <w:rsid w:val="24ADC130"/>
    <w:rsid w:val="24AF5FD1"/>
    <w:rsid w:val="24B0D829"/>
    <w:rsid w:val="24C1B752"/>
    <w:rsid w:val="24C1FF98"/>
    <w:rsid w:val="24C2E2B7"/>
    <w:rsid w:val="24C6B177"/>
    <w:rsid w:val="24CBC52D"/>
    <w:rsid w:val="24E66F50"/>
    <w:rsid w:val="24ED8C9E"/>
    <w:rsid w:val="24F199FE"/>
    <w:rsid w:val="24F774FF"/>
    <w:rsid w:val="24FBC032"/>
    <w:rsid w:val="24FD3A95"/>
    <w:rsid w:val="24FD50D5"/>
    <w:rsid w:val="25041754"/>
    <w:rsid w:val="250542C7"/>
    <w:rsid w:val="25060E76"/>
    <w:rsid w:val="2511575A"/>
    <w:rsid w:val="25199327"/>
    <w:rsid w:val="25298745"/>
    <w:rsid w:val="252B80D2"/>
    <w:rsid w:val="2538DCE9"/>
    <w:rsid w:val="25497F16"/>
    <w:rsid w:val="254CD079"/>
    <w:rsid w:val="25578D3E"/>
    <w:rsid w:val="25590CE9"/>
    <w:rsid w:val="2563D95F"/>
    <w:rsid w:val="256D645C"/>
    <w:rsid w:val="257122FF"/>
    <w:rsid w:val="2573840A"/>
    <w:rsid w:val="25784AEF"/>
    <w:rsid w:val="257DE7DD"/>
    <w:rsid w:val="2582D80E"/>
    <w:rsid w:val="25841E6A"/>
    <w:rsid w:val="2585FA10"/>
    <w:rsid w:val="2589EC67"/>
    <w:rsid w:val="258A1E87"/>
    <w:rsid w:val="258FE7BC"/>
    <w:rsid w:val="2595B433"/>
    <w:rsid w:val="259832B3"/>
    <w:rsid w:val="25A13CC6"/>
    <w:rsid w:val="25A52E19"/>
    <w:rsid w:val="25AA1AE4"/>
    <w:rsid w:val="25ABCDC5"/>
    <w:rsid w:val="25ADB0EB"/>
    <w:rsid w:val="25B97D56"/>
    <w:rsid w:val="25BBAAB2"/>
    <w:rsid w:val="25C3853E"/>
    <w:rsid w:val="25E2AA2C"/>
    <w:rsid w:val="25E395B1"/>
    <w:rsid w:val="25E66D1A"/>
    <w:rsid w:val="25EB131C"/>
    <w:rsid w:val="25EDBAF5"/>
    <w:rsid w:val="25EF302B"/>
    <w:rsid w:val="25F40AA2"/>
    <w:rsid w:val="25FE72E9"/>
    <w:rsid w:val="25FF2177"/>
    <w:rsid w:val="26053AA9"/>
    <w:rsid w:val="2606EE0E"/>
    <w:rsid w:val="260765F4"/>
    <w:rsid w:val="260CD518"/>
    <w:rsid w:val="261B360C"/>
    <w:rsid w:val="261B8A44"/>
    <w:rsid w:val="261E192F"/>
    <w:rsid w:val="261F1286"/>
    <w:rsid w:val="2622ECE3"/>
    <w:rsid w:val="2626BC4F"/>
    <w:rsid w:val="262D72F4"/>
    <w:rsid w:val="26318992"/>
    <w:rsid w:val="2631E9E6"/>
    <w:rsid w:val="2636FAE2"/>
    <w:rsid w:val="263CF76A"/>
    <w:rsid w:val="2641BF6A"/>
    <w:rsid w:val="2644351D"/>
    <w:rsid w:val="265B5855"/>
    <w:rsid w:val="2666457E"/>
    <w:rsid w:val="266D90E0"/>
    <w:rsid w:val="266F4238"/>
    <w:rsid w:val="2678FA04"/>
    <w:rsid w:val="267A5491"/>
    <w:rsid w:val="26835D09"/>
    <w:rsid w:val="2683921F"/>
    <w:rsid w:val="2684C81C"/>
    <w:rsid w:val="26852DAB"/>
    <w:rsid w:val="2686E6EA"/>
    <w:rsid w:val="2687D4D2"/>
    <w:rsid w:val="2689B561"/>
    <w:rsid w:val="268B7C5C"/>
    <w:rsid w:val="2696F512"/>
    <w:rsid w:val="269DA4C7"/>
    <w:rsid w:val="26A300A7"/>
    <w:rsid w:val="26A52DF2"/>
    <w:rsid w:val="26A7F68E"/>
    <w:rsid w:val="26AF9BC8"/>
    <w:rsid w:val="26B1066D"/>
    <w:rsid w:val="26B16799"/>
    <w:rsid w:val="26B5019C"/>
    <w:rsid w:val="26B9D291"/>
    <w:rsid w:val="26BF75E6"/>
    <w:rsid w:val="26C03CA5"/>
    <w:rsid w:val="26C60CFA"/>
    <w:rsid w:val="26CC9F88"/>
    <w:rsid w:val="26D0DD5A"/>
    <w:rsid w:val="26E00915"/>
    <w:rsid w:val="26E4B741"/>
    <w:rsid w:val="26E8D874"/>
    <w:rsid w:val="26EFDF66"/>
    <w:rsid w:val="26F0E16A"/>
    <w:rsid w:val="26F0E6E2"/>
    <w:rsid w:val="26F29478"/>
    <w:rsid w:val="26F85D3D"/>
    <w:rsid w:val="26F9E76B"/>
    <w:rsid w:val="27077A4E"/>
    <w:rsid w:val="270C1C7E"/>
    <w:rsid w:val="271547C5"/>
    <w:rsid w:val="271A4F30"/>
    <w:rsid w:val="271B150E"/>
    <w:rsid w:val="271B94E5"/>
    <w:rsid w:val="271DA3F3"/>
    <w:rsid w:val="2720CE17"/>
    <w:rsid w:val="272CA83A"/>
    <w:rsid w:val="272E2255"/>
    <w:rsid w:val="272FCDC4"/>
    <w:rsid w:val="27379B79"/>
    <w:rsid w:val="273A16A3"/>
    <w:rsid w:val="2741A4E8"/>
    <w:rsid w:val="274B7B81"/>
    <w:rsid w:val="274D0A61"/>
    <w:rsid w:val="274E6B03"/>
    <w:rsid w:val="2754B44C"/>
    <w:rsid w:val="27583A11"/>
    <w:rsid w:val="275FBF91"/>
    <w:rsid w:val="2762F557"/>
    <w:rsid w:val="276C0D73"/>
    <w:rsid w:val="276CE7E0"/>
    <w:rsid w:val="2773D8EA"/>
    <w:rsid w:val="2775A9A6"/>
    <w:rsid w:val="27844458"/>
    <w:rsid w:val="27867CDE"/>
    <w:rsid w:val="27892909"/>
    <w:rsid w:val="279A1557"/>
    <w:rsid w:val="27A7CC13"/>
    <w:rsid w:val="27A8E07F"/>
    <w:rsid w:val="27AB0616"/>
    <w:rsid w:val="27B16A29"/>
    <w:rsid w:val="27B43ECF"/>
    <w:rsid w:val="27BA3574"/>
    <w:rsid w:val="27BAEC69"/>
    <w:rsid w:val="27C334D0"/>
    <w:rsid w:val="27C5AE0B"/>
    <w:rsid w:val="27D571B3"/>
    <w:rsid w:val="27DC72DB"/>
    <w:rsid w:val="27E40A8A"/>
    <w:rsid w:val="27F1DD09"/>
    <w:rsid w:val="27F7651B"/>
    <w:rsid w:val="27FBA789"/>
    <w:rsid w:val="27FC754D"/>
    <w:rsid w:val="2807BA90"/>
    <w:rsid w:val="280B016C"/>
    <w:rsid w:val="280BCAA1"/>
    <w:rsid w:val="280DFB65"/>
    <w:rsid w:val="28135982"/>
    <w:rsid w:val="2813F89D"/>
    <w:rsid w:val="2818FC32"/>
    <w:rsid w:val="282089F5"/>
    <w:rsid w:val="28261B30"/>
    <w:rsid w:val="2828DC11"/>
    <w:rsid w:val="282C7982"/>
    <w:rsid w:val="282D903A"/>
    <w:rsid w:val="283A2DEF"/>
    <w:rsid w:val="283FA91D"/>
    <w:rsid w:val="2842876A"/>
    <w:rsid w:val="28449A99"/>
    <w:rsid w:val="284988D5"/>
    <w:rsid w:val="285064CE"/>
    <w:rsid w:val="28553209"/>
    <w:rsid w:val="2856DA35"/>
    <w:rsid w:val="286252EF"/>
    <w:rsid w:val="28696D26"/>
    <w:rsid w:val="2871A2B7"/>
    <w:rsid w:val="287882A4"/>
    <w:rsid w:val="2878EE3B"/>
    <w:rsid w:val="28808283"/>
    <w:rsid w:val="2887EC8D"/>
    <w:rsid w:val="288ADE15"/>
    <w:rsid w:val="2891F22E"/>
    <w:rsid w:val="289457BF"/>
    <w:rsid w:val="28A346DB"/>
    <w:rsid w:val="28A37E37"/>
    <w:rsid w:val="28B5FB17"/>
    <w:rsid w:val="28C1A5A5"/>
    <w:rsid w:val="28C60885"/>
    <w:rsid w:val="28CC01E5"/>
    <w:rsid w:val="28DBB048"/>
    <w:rsid w:val="28E8313E"/>
    <w:rsid w:val="28E8D435"/>
    <w:rsid w:val="28E970B8"/>
    <w:rsid w:val="28F2D306"/>
    <w:rsid w:val="28F946B8"/>
    <w:rsid w:val="28FCF4D0"/>
    <w:rsid w:val="2905F157"/>
    <w:rsid w:val="290759CA"/>
    <w:rsid w:val="2909F8C6"/>
    <w:rsid w:val="290BE973"/>
    <w:rsid w:val="291865DB"/>
    <w:rsid w:val="291FEDF4"/>
    <w:rsid w:val="29234791"/>
    <w:rsid w:val="292C7B0F"/>
    <w:rsid w:val="292E4E00"/>
    <w:rsid w:val="29373DA3"/>
    <w:rsid w:val="2939708E"/>
    <w:rsid w:val="293DAAF5"/>
    <w:rsid w:val="2943031E"/>
    <w:rsid w:val="2949A705"/>
    <w:rsid w:val="294C951D"/>
    <w:rsid w:val="294D6033"/>
    <w:rsid w:val="2962471A"/>
    <w:rsid w:val="296BD769"/>
    <w:rsid w:val="297BEA11"/>
    <w:rsid w:val="2981A932"/>
    <w:rsid w:val="2992D9CB"/>
    <w:rsid w:val="29A9C280"/>
    <w:rsid w:val="29ACF79A"/>
    <w:rsid w:val="29B09B0B"/>
    <w:rsid w:val="29B6A710"/>
    <w:rsid w:val="29BB7355"/>
    <w:rsid w:val="29C10370"/>
    <w:rsid w:val="29C437C4"/>
    <w:rsid w:val="29CAEA28"/>
    <w:rsid w:val="29CFAE9E"/>
    <w:rsid w:val="29D7EDF5"/>
    <w:rsid w:val="29DF4516"/>
    <w:rsid w:val="29E3BDA5"/>
    <w:rsid w:val="29EA6F9D"/>
    <w:rsid w:val="29ECA181"/>
    <w:rsid w:val="29EEFA07"/>
    <w:rsid w:val="29EF7875"/>
    <w:rsid w:val="29F6193B"/>
    <w:rsid w:val="29F6336A"/>
    <w:rsid w:val="29F7A35E"/>
    <w:rsid w:val="29F9BD65"/>
    <w:rsid w:val="29FB8794"/>
    <w:rsid w:val="29FC5515"/>
    <w:rsid w:val="29FC5B32"/>
    <w:rsid w:val="2A014965"/>
    <w:rsid w:val="2A01C85F"/>
    <w:rsid w:val="2A1A518E"/>
    <w:rsid w:val="2A2BB207"/>
    <w:rsid w:val="2A2C306A"/>
    <w:rsid w:val="2A2CD004"/>
    <w:rsid w:val="2A312C6E"/>
    <w:rsid w:val="2A34C234"/>
    <w:rsid w:val="2A38031F"/>
    <w:rsid w:val="2A41328C"/>
    <w:rsid w:val="2A4361D8"/>
    <w:rsid w:val="2A4AC303"/>
    <w:rsid w:val="2A4AD2B2"/>
    <w:rsid w:val="2A60B47D"/>
    <w:rsid w:val="2A61ECEB"/>
    <w:rsid w:val="2A65EA45"/>
    <w:rsid w:val="2A6816D3"/>
    <w:rsid w:val="2A775837"/>
    <w:rsid w:val="2A7BA011"/>
    <w:rsid w:val="2A91A968"/>
    <w:rsid w:val="2A91BDEB"/>
    <w:rsid w:val="2A99E75C"/>
    <w:rsid w:val="2AA6905C"/>
    <w:rsid w:val="2AAC75BA"/>
    <w:rsid w:val="2AAD4C12"/>
    <w:rsid w:val="2AC4E0C5"/>
    <w:rsid w:val="2AC51CDC"/>
    <w:rsid w:val="2AC9DBE7"/>
    <w:rsid w:val="2AD72AF3"/>
    <w:rsid w:val="2AF0EBF4"/>
    <w:rsid w:val="2AF55A9E"/>
    <w:rsid w:val="2AF766D1"/>
    <w:rsid w:val="2AFA93A8"/>
    <w:rsid w:val="2AFEDE79"/>
    <w:rsid w:val="2B002569"/>
    <w:rsid w:val="2B003FA1"/>
    <w:rsid w:val="2B083DA8"/>
    <w:rsid w:val="2B086B56"/>
    <w:rsid w:val="2B090153"/>
    <w:rsid w:val="2B0B56DA"/>
    <w:rsid w:val="2B10CF34"/>
    <w:rsid w:val="2B1152E2"/>
    <w:rsid w:val="2B18BDA2"/>
    <w:rsid w:val="2B22E953"/>
    <w:rsid w:val="2B260517"/>
    <w:rsid w:val="2B2BF8A1"/>
    <w:rsid w:val="2B39CB23"/>
    <w:rsid w:val="2B50282F"/>
    <w:rsid w:val="2B543908"/>
    <w:rsid w:val="2B55DBA6"/>
    <w:rsid w:val="2B63979B"/>
    <w:rsid w:val="2B657B96"/>
    <w:rsid w:val="2B7F95B6"/>
    <w:rsid w:val="2B987B5A"/>
    <w:rsid w:val="2B9C80DF"/>
    <w:rsid w:val="2B9DDB4F"/>
    <w:rsid w:val="2BA3E030"/>
    <w:rsid w:val="2BAB2629"/>
    <w:rsid w:val="2BB11699"/>
    <w:rsid w:val="2BB588B2"/>
    <w:rsid w:val="2BB7F8DF"/>
    <w:rsid w:val="2BC80917"/>
    <w:rsid w:val="2BD842C4"/>
    <w:rsid w:val="2BD9D9BD"/>
    <w:rsid w:val="2BE2EB42"/>
    <w:rsid w:val="2BE65B99"/>
    <w:rsid w:val="2BEE0012"/>
    <w:rsid w:val="2BF696FD"/>
    <w:rsid w:val="2BF69AF7"/>
    <w:rsid w:val="2BF80F24"/>
    <w:rsid w:val="2C0AA567"/>
    <w:rsid w:val="2C1BDCCC"/>
    <w:rsid w:val="2C1EFCFB"/>
    <w:rsid w:val="2C3B0428"/>
    <w:rsid w:val="2C3F3953"/>
    <w:rsid w:val="2C4CE46C"/>
    <w:rsid w:val="2C4CEDCB"/>
    <w:rsid w:val="2C561377"/>
    <w:rsid w:val="2C5959F9"/>
    <w:rsid w:val="2C5D2218"/>
    <w:rsid w:val="2C5F9B6F"/>
    <w:rsid w:val="2C62B682"/>
    <w:rsid w:val="2C632959"/>
    <w:rsid w:val="2C63AF42"/>
    <w:rsid w:val="2C66F985"/>
    <w:rsid w:val="2C6DAB60"/>
    <w:rsid w:val="2C743E75"/>
    <w:rsid w:val="2C75B741"/>
    <w:rsid w:val="2C770EAF"/>
    <w:rsid w:val="2C801F00"/>
    <w:rsid w:val="2C8C7410"/>
    <w:rsid w:val="2C8CF0AC"/>
    <w:rsid w:val="2C909BEA"/>
    <w:rsid w:val="2C936FB0"/>
    <w:rsid w:val="2C93771F"/>
    <w:rsid w:val="2C99399A"/>
    <w:rsid w:val="2C9E05C1"/>
    <w:rsid w:val="2CA0AD2B"/>
    <w:rsid w:val="2CA38C8E"/>
    <w:rsid w:val="2CA39BD6"/>
    <w:rsid w:val="2CA3ED21"/>
    <w:rsid w:val="2CA65866"/>
    <w:rsid w:val="2CA73576"/>
    <w:rsid w:val="2CAA46C1"/>
    <w:rsid w:val="2CAE8B1F"/>
    <w:rsid w:val="2CC04C8E"/>
    <w:rsid w:val="2CC81AF5"/>
    <w:rsid w:val="2CCAFB19"/>
    <w:rsid w:val="2CDAF0BF"/>
    <w:rsid w:val="2CDF75E4"/>
    <w:rsid w:val="2CE79082"/>
    <w:rsid w:val="2CEAAB07"/>
    <w:rsid w:val="2CEB4A6C"/>
    <w:rsid w:val="2CEC821D"/>
    <w:rsid w:val="2CF2ACD1"/>
    <w:rsid w:val="2D0B817D"/>
    <w:rsid w:val="2D12E83E"/>
    <w:rsid w:val="2D133B46"/>
    <w:rsid w:val="2D1A1C41"/>
    <w:rsid w:val="2D1F6944"/>
    <w:rsid w:val="2D201C66"/>
    <w:rsid w:val="2D221330"/>
    <w:rsid w:val="2D2CCAE8"/>
    <w:rsid w:val="2D2D58FD"/>
    <w:rsid w:val="2D336085"/>
    <w:rsid w:val="2D33B604"/>
    <w:rsid w:val="2D3ED638"/>
    <w:rsid w:val="2D4163D0"/>
    <w:rsid w:val="2D4FFE66"/>
    <w:rsid w:val="2D551641"/>
    <w:rsid w:val="2D55719B"/>
    <w:rsid w:val="2D58A612"/>
    <w:rsid w:val="2D593A76"/>
    <w:rsid w:val="2D594E1B"/>
    <w:rsid w:val="2D5D0315"/>
    <w:rsid w:val="2D5F9546"/>
    <w:rsid w:val="2D635A40"/>
    <w:rsid w:val="2D686036"/>
    <w:rsid w:val="2D6ACD7A"/>
    <w:rsid w:val="2D6C4252"/>
    <w:rsid w:val="2D6CAD3C"/>
    <w:rsid w:val="2D6E74B6"/>
    <w:rsid w:val="2D786BFC"/>
    <w:rsid w:val="2D7A24D8"/>
    <w:rsid w:val="2D82E91A"/>
    <w:rsid w:val="2D8436EF"/>
    <w:rsid w:val="2D860F38"/>
    <w:rsid w:val="2D868F8F"/>
    <w:rsid w:val="2D926D37"/>
    <w:rsid w:val="2D93C63B"/>
    <w:rsid w:val="2D9AD875"/>
    <w:rsid w:val="2D9CA090"/>
    <w:rsid w:val="2DA0F8DD"/>
    <w:rsid w:val="2DA4FDE6"/>
    <w:rsid w:val="2DA9B7E7"/>
    <w:rsid w:val="2DB36172"/>
    <w:rsid w:val="2DC1D0FA"/>
    <w:rsid w:val="2DC4508A"/>
    <w:rsid w:val="2DD00AA9"/>
    <w:rsid w:val="2DD0EADF"/>
    <w:rsid w:val="2DD3F8C9"/>
    <w:rsid w:val="2DDB5AC9"/>
    <w:rsid w:val="2DE08EA3"/>
    <w:rsid w:val="2DE0CA1A"/>
    <w:rsid w:val="2DEAF42B"/>
    <w:rsid w:val="2DF3564E"/>
    <w:rsid w:val="2DF78539"/>
    <w:rsid w:val="2E039D90"/>
    <w:rsid w:val="2E055CF9"/>
    <w:rsid w:val="2E09427A"/>
    <w:rsid w:val="2E0A09E4"/>
    <w:rsid w:val="2E0A8352"/>
    <w:rsid w:val="2E178FF7"/>
    <w:rsid w:val="2E18FCB6"/>
    <w:rsid w:val="2E1D650E"/>
    <w:rsid w:val="2E28A758"/>
    <w:rsid w:val="2E32C5AE"/>
    <w:rsid w:val="2E36ED6F"/>
    <w:rsid w:val="2E3B7754"/>
    <w:rsid w:val="2E4634D0"/>
    <w:rsid w:val="2E4C3235"/>
    <w:rsid w:val="2E512687"/>
    <w:rsid w:val="2E5470E0"/>
    <w:rsid w:val="2E5B74EA"/>
    <w:rsid w:val="2E5D7626"/>
    <w:rsid w:val="2E5FD013"/>
    <w:rsid w:val="2E60CBE1"/>
    <w:rsid w:val="2E66014C"/>
    <w:rsid w:val="2E674007"/>
    <w:rsid w:val="2E687CFB"/>
    <w:rsid w:val="2E725024"/>
    <w:rsid w:val="2E77995B"/>
    <w:rsid w:val="2E81E8A7"/>
    <w:rsid w:val="2E87B6C5"/>
    <w:rsid w:val="2E8EEE9E"/>
    <w:rsid w:val="2E919E7A"/>
    <w:rsid w:val="2E99B169"/>
    <w:rsid w:val="2E9E7174"/>
    <w:rsid w:val="2EA5D96F"/>
    <w:rsid w:val="2EABB432"/>
    <w:rsid w:val="2EB11E95"/>
    <w:rsid w:val="2EB64CB8"/>
    <w:rsid w:val="2EBB89B9"/>
    <w:rsid w:val="2EC5F087"/>
    <w:rsid w:val="2EDF0F4E"/>
    <w:rsid w:val="2EE13EF7"/>
    <w:rsid w:val="2EE81C63"/>
    <w:rsid w:val="2EF56393"/>
    <w:rsid w:val="2F0B7A72"/>
    <w:rsid w:val="2F0BEDB1"/>
    <w:rsid w:val="2F0D2703"/>
    <w:rsid w:val="2F0DA7E0"/>
    <w:rsid w:val="2F1EBEC7"/>
    <w:rsid w:val="2F2014BA"/>
    <w:rsid w:val="2F26A6A2"/>
    <w:rsid w:val="2F2AFCFE"/>
    <w:rsid w:val="2F351790"/>
    <w:rsid w:val="2F3734BD"/>
    <w:rsid w:val="2F3E41B4"/>
    <w:rsid w:val="2F4257CE"/>
    <w:rsid w:val="2F462C41"/>
    <w:rsid w:val="2F496357"/>
    <w:rsid w:val="2F4C8BB6"/>
    <w:rsid w:val="2F4CC538"/>
    <w:rsid w:val="2F55E6F3"/>
    <w:rsid w:val="2F5A7870"/>
    <w:rsid w:val="2F61E1AB"/>
    <w:rsid w:val="2F6411D7"/>
    <w:rsid w:val="2F65AC33"/>
    <w:rsid w:val="2F6B198D"/>
    <w:rsid w:val="2F700BAB"/>
    <w:rsid w:val="2F74797A"/>
    <w:rsid w:val="2F768509"/>
    <w:rsid w:val="2F7C42A4"/>
    <w:rsid w:val="2F7F907C"/>
    <w:rsid w:val="2F80DBA6"/>
    <w:rsid w:val="2F8D5AAD"/>
    <w:rsid w:val="2F8D6ABB"/>
    <w:rsid w:val="2F90B559"/>
    <w:rsid w:val="2F962118"/>
    <w:rsid w:val="2F970DB7"/>
    <w:rsid w:val="2F9A4689"/>
    <w:rsid w:val="2F9FEE4E"/>
    <w:rsid w:val="2FB5446E"/>
    <w:rsid w:val="2FB941BE"/>
    <w:rsid w:val="2FBD0052"/>
    <w:rsid w:val="2FBD29F7"/>
    <w:rsid w:val="2FBD6420"/>
    <w:rsid w:val="2FBDE679"/>
    <w:rsid w:val="2FC38DEB"/>
    <w:rsid w:val="2FC70BAD"/>
    <w:rsid w:val="2FCDE2DF"/>
    <w:rsid w:val="2FE337A4"/>
    <w:rsid w:val="2FE97B6D"/>
    <w:rsid w:val="2FEE9407"/>
    <w:rsid w:val="2FF6AC1B"/>
    <w:rsid w:val="2FF72F18"/>
    <w:rsid w:val="2FFB759E"/>
    <w:rsid w:val="2FFC4183"/>
    <w:rsid w:val="300438F0"/>
    <w:rsid w:val="30105579"/>
    <w:rsid w:val="3014CF72"/>
    <w:rsid w:val="301B6417"/>
    <w:rsid w:val="301B7EEF"/>
    <w:rsid w:val="301C9B56"/>
    <w:rsid w:val="301D5333"/>
    <w:rsid w:val="301EBAE2"/>
    <w:rsid w:val="3020F378"/>
    <w:rsid w:val="3022088E"/>
    <w:rsid w:val="3023D02C"/>
    <w:rsid w:val="3025831E"/>
    <w:rsid w:val="30265D95"/>
    <w:rsid w:val="3029F27C"/>
    <w:rsid w:val="302B75CE"/>
    <w:rsid w:val="3032FA80"/>
    <w:rsid w:val="30467B41"/>
    <w:rsid w:val="3049D111"/>
    <w:rsid w:val="304C842D"/>
    <w:rsid w:val="304FD000"/>
    <w:rsid w:val="3053BB9A"/>
    <w:rsid w:val="305E9989"/>
    <w:rsid w:val="3064B7D4"/>
    <w:rsid w:val="3067F8C6"/>
    <w:rsid w:val="30695557"/>
    <w:rsid w:val="306A057A"/>
    <w:rsid w:val="3073B246"/>
    <w:rsid w:val="3078641D"/>
    <w:rsid w:val="3082E537"/>
    <w:rsid w:val="308F9FCA"/>
    <w:rsid w:val="309BC8E4"/>
    <w:rsid w:val="30A45A5F"/>
    <w:rsid w:val="30A7946C"/>
    <w:rsid w:val="30A7C6C7"/>
    <w:rsid w:val="30ABB672"/>
    <w:rsid w:val="30B7FAE6"/>
    <w:rsid w:val="30C2A621"/>
    <w:rsid w:val="30C30044"/>
    <w:rsid w:val="30C4E8AA"/>
    <w:rsid w:val="30C65C08"/>
    <w:rsid w:val="30D0C82F"/>
    <w:rsid w:val="30D2A23A"/>
    <w:rsid w:val="30D94472"/>
    <w:rsid w:val="30D9E312"/>
    <w:rsid w:val="30DAC69B"/>
    <w:rsid w:val="30E522F6"/>
    <w:rsid w:val="30EFB785"/>
    <w:rsid w:val="30F36D45"/>
    <w:rsid w:val="30F9D994"/>
    <w:rsid w:val="31011D67"/>
    <w:rsid w:val="31025C3D"/>
    <w:rsid w:val="3105EF66"/>
    <w:rsid w:val="3107D195"/>
    <w:rsid w:val="310A1E94"/>
    <w:rsid w:val="310B2668"/>
    <w:rsid w:val="31152FF4"/>
    <w:rsid w:val="3116E526"/>
    <w:rsid w:val="311A5A1D"/>
    <w:rsid w:val="311CA70C"/>
    <w:rsid w:val="3120E75F"/>
    <w:rsid w:val="31227772"/>
    <w:rsid w:val="312A918A"/>
    <w:rsid w:val="3134DFA6"/>
    <w:rsid w:val="3135514E"/>
    <w:rsid w:val="31355FF0"/>
    <w:rsid w:val="3135787B"/>
    <w:rsid w:val="31382CAA"/>
    <w:rsid w:val="313B921D"/>
    <w:rsid w:val="31595903"/>
    <w:rsid w:val="315AF3C0"/>
    <w:rsid w:val="315AF4E5"/>
    <w:rsid w:val="31623B4B"/>
    <w:rsid w:val="3165D0C3"/>
    <w:rsid w:val="31690C0B"/>
    <w:rsid w:val="31691DF2"/>
    <w:rsid w:val="31698374"/>
    <w:rsid w:val="317060A7"/>
    <w:rsid w:val="317F2F5D"/>
    <w:rsid w:val="317F592E"/>
    <w:rsid w:val="318075E9"/>
    <w:rsid w:val="318B4DF8"/>
    <w:rsid w:val="318B5104"/>
    <w:rsid w:val="318C699A"/>
    <w:rsid w:val="318ED1C1"/>
    <w:rsid w:val="3195EB4D"/>
    <w:rsid w:val="319B6C75"/>
    <w:rsid w:val="319BB3CB"/>
    <w:rsid w:val="319E85F2"/>
    <w:rsid w:val="31A025C3"/>
    <w:rsid w:val="31A220EE"/>
    <w:rsid w:val="31ABD125"/>
    <w:rsid w:val="31B15F30"/>
    <w:rsid w:val="31C1E0E1"/>
    <w:rsid w:val="31C69B56"/>
    <w:rsid w:val="31C7C41B"/>
    <w:rsid w:val="31CBACB5"/>
    <w:rsid w:val="31D7CF57"/>
    <w:rsid w:val="31DAFC74"/>
    <w:rsid w:val="31E0C01B"/>
    <w:rsid w:val="31E64698"/>
    <w:rsid w:val="31ECAE56"/>
    <w:rsid w:val="31F1F2EE"/>
    <w:rsid w:val="31F56358"/>
    <w:rsid w:val="32039D76"/>
    <w:rsid w:val="320D81BE"/>
    <w:rsid w:val="320E814E"/>
    <w:rsid w:val="321C929E"/>
    <w:rsid w:val="321DE9CB"/>
    <w:rsid w:val="3224516C"/>
    <w:rsid w:val="322C2520"/>
    <w:rsid w:val="322E2401"/>
    <w:rsid w:val="322F2439"/>
    <w:rsid w:val="323851EC"/>
    <w:rsid w:val="3252AA4A"/>
    <w:rsid w:val="325DB989"/>
    <w:rsid w:val="32648FBE"/>
    <w:rsid w:val="326BBF61"/>
    <w:rsid w:val="327A480B"/>
    <w:rsid w:val="328C0A57"/>
    <w:rsid w:val="328CBE23"/>
    <w:rsid w:val="3293C6BF"/>
    <w:rsid w:val="329766AA"/>
    <w:rsid w:val="32979538"/>
    <w:rsid w:val="32981B6E"/>
    <w:rsid w:val="32A52E4C"/>
    <w:rsid w:val="32AD2F03"/>
    <w:rsid w:val="32B1FB99"/>
    <w:rsid w:val="32B3EB17"/>
    <w:rsid w:val="32B61208"/>
    <w:rsid w:val="32BEA78F"/>
    <w:rsid w:val="32BEED78"/>
    <w:rsid w:val="32D4711F"/>
    <w:rsid w:val="32D8EDDC"/>
    <w:rsid w:val="32DC8327"/>
    <w:rsid w:val="32EC56C9"/>
    <w:rsid w:val="32F2F56E"/>
    <w:rsid w:val="32F75D12"/>
    <w:rsid w:val="33028146"/>
    <w:rsid w:val="3302D98A"/>
    <w:rsid w:val="330B992A"/>
    <w:rsid w:val="330C6110"/>
    <w:rsid w:val="33144D70"/>
    <w:rsid w:val="3319E0C8"/>
    <w:rsid w:val="332DF3D5"/>
    <w:rsid w:val="3334E404"/>
    <w:rsid w:val="333B9852"/>
    <w:rsid w:val="334159F6"/>
    <w:rsid w:val="3343973C"/>
    <w:rsid w:val="3355AE0D"/>
    <w:rsid w:val="335AC1EB"/>
    <w:rsid w:val="33617E1E"/>
    <w:rsid w:val="336567C7"/>
    <w:rsid w:val="337958C8"/>
    <w:rsid w:val="337A05A9"/>
    <w:rsid w:val="33803FDF"/>
    <w:rsid w:val="3383E493"/>
    <w:rsid w:val="33876A9B"/>
    <w:rsid w:val="33885CF7"/>
    <w:rsid w:val="338966E0"/>
    <w:rsid w:val="33917E16"/>
    <w:rsid w:val="33A11D49"/>
    <w:rsid w:val="33B2646C"/>
    <w:rsid w:val="33B6AA4B"/>
    <w:rsid w:val="33BA4A6B"/>
    <w:rsid w:val="33C51AED"/>
    <w:rsid w:val="33CA286A"/>
    <w:rsid w:val="33D1A986"/>
    <w:rsid w:val="33D50F53"/>
    <w:rsid w:val="33E91F67"/>
    <w:rsid w:val="33E98D8E"/>
    <w:rsid w:val="33EB2012"/>
    <w:rsid w:val="33EE7B62"/>
    <w:rsid w:val="33F25C60"/>
    <w:rsid w:val="33F59015"/>
    <w:rsid w:val="33F696DB"/>
    <w:rsid w:val="33F6F504"/>
    <w:rsid w:val="33F74E82"/>
    <w:rsid w:val="33FAA76B"/>
    <w:rsid w:val="3405A986"/>
    <w:rsid w:val="340F0C72"/>
    <w:rsid w:val="3410250F"/>
    <w:rsid w:val="34148924"/>
    <w:rsid w:val="3419C53F"/>
    <w:rsid w:val="34279084"/>
    <w:rsid w:val="3435BA24"/>
    <w:rsid w:val="343F84FB"/>
    <w:rsid w:val="3450B1E4"/>
    <w:rsid w:val="34517FB5"/>
    <w:rsid w:val="34567526"/>
    <w:rsid w:val="34581A17"/>
    <w:rsid w:val="34593CF7"/>
    <w:rsid w:val="345B09BD"/>
    <w:rsid w:val="345D7235"/>
    <w:rsid w:val="34655116"/>
    <w:rsid w:val="34676267"/>
    <w:rsid w:val="346870EC"/>
    <w:rsid w:val="34771DDE"/>
    <w:rsid w:val="3492ACCC"/>
    <w:rsid w:val="34A01D2E"/>
    <w:rsid w:val="34A69CDC"/>
    <w:rsid w:val="34ABF9F2"/>
    <w:rsid w:val="34B17ADF"/>
    <w:rsid w:val="34B7236B"/>
    <w:rsid w:val="34BB67E8"/>
    <w:rsid w:val="34BF8F4A"/>
    <w:rsid w:val="34BF9ACB"/>
    <w:rsid w:val="34C7F8CB"/>
    <w:rsid w:val="34CB6D00"/>
    <w:rsid w:val="34CCBE8C"/>
    <w:rsid w:val="34CE184E"/>
    <w:rsid w:val="34CE8017"/>
    <w:rsid w:val="34D039D5"/>
    <w:rsid w:val="34D6B7B9"/>
    <w:rsid w:val="34D7F258"/>
    <w:rsid w:val="34DCAD2F"/>
    <w:rsid w:val="34E938E0"/>
    <w:rsid w:val="34ED8389"/>
    <w:rsid w:val="34FA1037"/>
    <w:rsid w:val="34FB1A89"/>
    <w:rsid w:val="3501982D"/>
    <w:rsid w:val="3516F139"/>
    <w:rsid w:val="3519C1AD"/>
    <w:rsid w:val="35384558"/>
    <w:rsid w:val="3543DE51"/>
    <w:rsid w:val="3549DE9F"/>
    <w:rsid w:val="354B0E85"/>
    <w:rsid w:val="355B33AB"/>
    <w:rsid w:val="355DB716"/>
    <w:rsid w:val="355F8182"/>
    <w:rsid w:val="3565B057"/>
    <w:rsid w:val="35678384"/>
    <w:rsid w:val="3572A07A"/>
    <w:rsid w:val="35762C1E"/>
    <w:rsid w:val="357D4168"/>
    <w:rsid w:val="358F8E41"/>
    <w:rsid w:val="358FB170"/>
    <w:rsid w:val="359CB1FA"/>
    <w:rsid w:val="35A479C4"/>
    <w:rsid w:val="35A6E44D"/>
    <w:rsid w:val="35AF78C8"/>
    <w:rsid w:val="35BC2500"/>
    <w:rsid w:val="35BE3D83"/>
    <w:rsid w:val="35CC395A"/>
    <w:rsid w:val="35CE177B"/>
    <w:rsid w:val="35DB8642"/>
    <w:rsid w:val="35E39D50"/>
    <w:rsid w:val="35E670B4"/>
    <w:rsid w:val="35E74119"/>
    <w:rsid w:val="35E9427F"/>
    <w:rsid w:val="35EB5578"/>
    <w:rsid w:val="35EFA000"/>
    <w:rsid w:val="35F85016"/>
    <w:rsid w:val="3602B402"/>
    <w:rsid w:val="3604CBEA"/>
    <w:rsid w:val="360700D2"/>
    <w:rsid w:val="360AAFF7"/>
    <w:rsid w:val="360AFC67"/>
    <w:rsid w:val="360CC918"/>
    <w:rsid w:val="3619AA1C"/>
    <w:rsid w:val="361B9B65"/>
    <w:rsid w:val="3620358F"/>
    <w:rsid w:val="36208D50"/>
    <w:rsid w:val="362483C2"/>
    <w:rsid w:val="362E182C"/>
    <w:rsid w:val="363115B0"/>
    <w:rsid w:val="363286E9"/>
    <w:rsid w:val="3644CAB6"/>
    <w:rsid w:val="364D083F"/>
    <w:rsid w:val="3651DC90"/>
    <w:rsid w:val="36545BB1"/>
    <w:rsid w:val="36631083"/>
    <w:rsid w:val="3665DDF9"/>
    <w:rsid w:val="366845D7"/>
    <w:rsid w:val="366E3893"/>
    <w:rsid w:val="367825D1"/>
    <w:rsid w:val="36798C99"/>
    <w:rsid w:val="367D2E80"/>
    <w:rsid w:val="36804EEB"/>
    <w:rsid w:val="368213E0"/>
    <w:rsid w:val="36899FA5"/>
    <w:rsid w:val="368C0279"/>
    <w:rsid w:val="369353F9"/>
    <w:rsid w:val="369778C5"/>
    <w:rsid w:val="369FDD74"/>
    <w:rsid w:val="36A34822"/>
    <w:rsid w:val="36A7CEE4"/>
    <w:rsid w:val="36AB122E"/>
    <w:rsid w:val="36B56E71"/>
    <w:rsid w:val="36B7B853"/>
    <w:rsid w:val="36C39418"/>
    <w:rsid w:val="36C40B32"/>
    <w:rsid w:val="36C4541B"/>
    <w:rsid w:val="36C60E20"/>
    <w:rsid w:val="36C77402"/>
    <w:rsid w:val="36CF0AA8"/>
    <w:rsid w:val="36D59FA3"/>
    <w:rsid w:val="36D951C5"/>
    <w:rsid w:val="36DED7C0"/>
    <w:rsid w:val="36EC0B6B"/>
    <w:rsid w:val="36EC8B8D"/>
    <w:rsid w:val="36F36F17"/>
    <w:rsid w:val="36F53E67"/>
    <w:rsid w:val="3703C885"/>
    <w:rsid w:val="370DB17B"/>
    <w:rsid w:val="370E96FB"/>
    <w:rsid w:val="3715D0F8"/>
    <w:rsid w:val="371621B8"/>
    <w:rsid w:val="3716274A"/>
    <w:rsid w:val="3717D177"/>
    <w:rsid w:val="371841C1"/>
    <w:rsid w:val="371903F0"/>
    <w:rsid w:val="372420AF"/>
    <w:rsid w:val="372446DA"/>
    <w:rsid w:val="3735EDA7"/>
    <w:rsid w:val="3737F755"/>
    <w:rsid w:val="37384F62"/>
    <w:rsid w:val="373E82CD"/>
    <w:rsid w:val="3743D2EA"/>
    <w:rsid w:val="37588C11"/>
    <w:rsid w:val="375ABDD3"/>
    <w:rsid w:val="375DB3F1"/>
    <w:rsid w:val="375F70C7"/>
    <w:rsid w:val="37614C91"/>
    <w:rsid w:val="376A2F95"/>
    <w:rsid w:val="376DE382"/>
    <w:rsid w:val="376FDFC7"/>
    <w:rsid w:val="37728CEB"/>
    <w:rsid w:val="37803170"/>
    <w:rsid w:val="3781263C"/>
    <w:rsid w:val="378201C4"/>
    <w:rsid w:val="378E3283"/>
    <w:rsid w:val="378F2A3F"/>
    <w:rsid w:val="379704BA"/>
    <w:rsid w:val="379737D3"/>
    <w:rsid w:val="379EE20B"/>
    <w:rsid w:val="37A329AB"/>
    <w:rsid w:val="37A4A316"/>
    <w:rsid w:val="37AE656B"/>
    <w:rsid w:val="37AE79BE"/>
    <w:rsid w:val="37B64C89"/>
    <w:rsid w:val="37B716AA"/>
    <w:rsid w:val="37C3F9A7"/>
    <w:rsid w:val="37D54BA5"/>
    <w:rsid w:val="37D84672"/>
    <w:rsid w:val="37DA7DD2"/>
    <w:rsid w:val="37DB9D8C"/>
    <w:rsid w:val="37DDA1A9"/>
    <w:rsid w:val="37E14D86"/>
    <w:rsid w:val="37EF99B4"/>
    <w:rsid w:val="37F47B71"/>
    <w:rsid w:val="37F6D73B"/>
    <w:rsid w:val="380CA237"/>
    <w:rsid w:val="3810B69D"/>
    <w:rsid w:val="3811D9D6"/>
    <w:rsid w:val="3818C3E6"/>
    <w:rsid w:val="3819C43F"/>
    <w:rsid w:val="3819DE4C"/>
    <w:rsid w:val="381B7D21"/>
    <w:rsid w:val="382366A5"/>
    <w:rsid w:val="382624E7"/>
    <w:rsid w:val="382D1DD1"/>
    <w:rsid w:val="3835AAD5"/>
    <w:rsid w:val="38386D6C"/>
    <w:rsid w:val="383DEDED"/>
    <w:rsid w:val="3844E790"/>
    <w:rsid w:val="384C2EFD"/>
    <w:rsid w:val="38509FCF"/>
    <w:rsid w:val="38641E56"/>
    <w:rsid w:val="386A1A55"/>
    <w:rsid w:val="386D3DEA"/>
    <w:rsid w:val="387B3142"/>
    <w:rsid w:val="387B95E2"/>
    <w:rsid w:val="387E8288"/>
    <w:rsid w:val="38861B4C"/>
    <w:rsid w:val="38885A88"/>
    <w:rsid w:val="3890DA9F"/>
    <w:rsid w:val="38966F50"/>
    <w:rsid w:val="38967370"/>
    <w:rsid w:val="389EDFD7"/>
    <w:rsid w:val="38AE757A"/>
    <w:rsid w:val="38AEA1C7"/>
    <w:rsid w:val="38AEA656"/>
    <w:rsid w:val="38AFADC5"/>
    <w:rsid w:val="38BA061F"/>
    <w:rsid w:val="38BA4526"/>
    <w:rsid w:val="38BA8C09"/>
    <w:rsid w:val="38BB724B"/>
    <w:rsid w:val="38BD8609"/>
    <w:rsid w:val="38C25BDA"/>
    <w:rsid w:val="38CB1B1F"/>
    <w:rsid w:val="38CD4A93"/>
    <w:rsid w:val="38D4A2CD"/>
    <w:rsid w:val="38DE0689"/>
    <w:rsid w:val="38E0136D"/>
    <w:rsid w:val="38E6ABB9"/>
    <w:rsid w:val="38E90BD4"/>
    <w:rsid w:val="38ED0FDC"/>
    <w:rsid w:val="38EEF0CB"/>
    <w:rsid w:val="38EF1D6E"/>
    <w:rsid w:val="38F0252D"/>
    <w:rsid w:val="38F2D25E"/>
    <w:rsid w:val="38F780D3"/>
    <w:rsid w:val="3900A3D9"/>
    <w:rsid w:val="3906843E"/>
    <w:rsid w:val="39086FDE"/>
    <w:rsid w:val="390E0CF0"/>
    <w:rsid w:val="3913408C"/>
    <w:rsid w:val="3919BA19"/>
    <w:rsid w:val="3920668E"/>
    <w:rsid w:val="39243AE7"/>
    <w:rsid w:val="3924C546"/>
    <w:rsid w:val="392CC9C5"/>
    <w:rsid w:val="39351987"/>
    <w:rsid w:val="39352E37"/>
    <w:rsid w:val="394AD6D5"/>
    <w:rsid w:val="394F767F"/>
    <w:rsid w:val="39538BE8"/>
    <w:rsid w:val="395D7E79"/>
    <w:rsid w:val="395DAFCE"/>
    <w:rsid w:val="39606C86"/>
    <w:rsid w:val="3966B79F"/>
    <w:rsid w:val="396CC46F"/>
    <w:rsid w:val="396D25F2"/>
    <w:rsid w:val="3978AF20"/>
    <w:rsid w:val="3978B404"/>
    <w:rsid w:val="397BC052"/>
    <w:rsid w:val="397C4364"/>
    <w:rsid w:val="397D50AC"/>
    <w:rsid w:val="397D72F2"/>
    <w:rsid w:val="397DC51F"/>
    <w:rsid w:val="39871797"/>
    <w:rsid w:val="398E6D93"/>
    <w:rsid w:val="399245C6"/>
    <w:rsid w:val="3997DC98"/>
    <w:rsid w:val="399AC902"/>
    <w:rsid w:val="39A4233E"/>
    <w:rsid w:val="39A56F41"/>
    <w:rsid w:val="39B6215E"/>
    <w:rsid w:val="39BA28A8"/>
    <w:rsid w:val="39D3DBD9"/>
    <w:rsid w:val="39DAF19D"/>
    <w:rsid w:val="39DBCCA7"/>
    <w:rsid w:val="39E06C78"/>
    <w:rsid w:val="39E49DC8"/>
    <w:rsid w:val="39E65A3D"/>
    <w:rsid w:val="39F41A5C"/>
    <w:rsid w:val="39F48AE6"/>
    <w:rsid w:val="39F6C563"/>
    <w:rsid w:val="39FEF587"/>
    <w:rsid w:val="3A032B5B"/>
    <w:rsid w:val="3A08A572"/>
    <w:rsid w:val="3A099C8A"/>
    <w:rsid w:val="3A108991"/>
    <w:rsid w:val="3A2B0DF5"/>
    <w:rsid w:val="3A2CE173"/>
    <w:rsid w:val="3A376D26"/>
    <w:rsid w:val="3A3EB591"/>
    <w:rsid w:val="3A3F9373"/>
    <w:rsid w:val="3A4283C2"/>
    <w:rsid w:val="3A47548E"/>
    <w:rsid w:val="3A4CCA94"/>
    <w:rsid w:val="3A566014"/>
    <w:rsid w:val="3A56C44E"/>
    <w:rsid w:val="3A5B6A44"/>
    <w:rsid w:val="3A5C6D21"/>
    <w:rsid w:val="3A725C58"/>
    <w:rsid w:val="3A7C2FD2"/>
    <w:rsid w:val="3A819BB2"/>
    <w:rsid w:val="3A844BE8"/>
    <w:rsid w:val="3A85689C"/>
    <w:rsid w:val="3A9E5662"/>
    <w:rsid w:val="3AA26F17"/>
    <w:rsid w:val="3AADEC80"/>
    <w:rsid w:val="3AB4BF6D"/>
    <w:rsid w:val="3AB6BBBF"/>
    <w:rsid w:val="3ABBCE97"/>
    <w:rsid w:val="3ABD070B"/>
    <w:rsid w:val="3ABEDD26"/>
    <w:rsid w:val="3AC49AF5"/>
    <w:rsid w:val="3AC73BE9"/>
    <w:rsid w:val="3AC9B8AD"/>
    <w:rsid w:val="3AD18D32"/>
    <w:rsid w:val="3AD1E259"/>
    <w:rsid w:val="3AD620E0"/>
    <w:rsid w:val="3AD8F3B9"/>
    <w:rsid w:val="3AE32A7F"/>
    <w:rsid w:val="3AEBE670"/>
    <w:rsid w:val="3AF36F2B"/>
    <w:rsid w:val="3AFA29DE"/>
    <w:rsid w:val="3AFA42F7"/>
    <w:rsid w:val="3AFAEE13"/>
    <w:rsid w:val="3AFD0F75"/>
    <w:rsid w:val="3AFD3BB9"/>
    <w:rsid w:val="3B016C89"/>
    <w:rsid w:val="3B093DB6"/>
    <w:rsid w:val="3B0A6E46"/>
    <w:rsid w:val="3B0FC116"/>
    <w:rsid w:val="3B1292F1"/>
    <w:rsid w:val="3B14D24C"/>
    <w:rsid w:val="3B155241"/>
    <w:rsid w:val="3B1AC261"/>
    <w:rsid w:val="3B1BF579"/>
    <w:rsid w:val="3B20351B"/>
    <w:rsid w:val="3B269047"/>
    <w:rsid w:val="3B2D2888"/>
    <w:rsid w:val="3B33FDAE"/>
    <w:rsid w:val="3B3E46F3"/>
    <w:rsid w:val="3B413E93"/>
    <w:rsid w:val="3B55650E"/>
    <w:rsid w:val="3B57936D"/>
    <w:rsid w:val="3B586611"/>
    <w:rsid w:val="3B5A080C"/>
    <w:rsid w:val="3B5A8203"/>
    <w:rsid w:val="3B60AF3E"/>
    <w:rsid w:val="3B768ABD"/>
    <w:rsid w:val="3B844F4C"/>
    <w:rsid w:val="3B879D55"/>
    <w:rsid w:val="3B8D3642"/>
    <w:rsid w:val="3B8FA520"/>
    <w:rsid w:val="3B900522"/>
    <w:rsid w:val="3B9C005E"/>
    <w:rsid w:val="3BAD5B94"/>
    <w:rsid w:val="3BB68019"/>
    <w:rsid w:val="3BB6973B"/>
    <w:rsid w:val="3BBA6F7B"/>
    <w:rsid w:val="3BBD4530"/>
    <w:rsid w:val="3BC4943D"/>
    <w:rsid w:val="3BC5A3F2"/>
    <w:rsid w:val="3BD033F1"/>
    <w:rsid w:val="3BD39347"/>
    <w:rsid w:val="3BDE5C5F"/>
    <w:rsid w:val="3BDF36FA"/>
    <w:rsid w:val="3BE2A872"/>
    <w:rsid w:val="3BE6A1F3"/>
    <w:rsid w:val="3BE89032"/>
    <w:rsid w:val="3BE91D36"/>
    <w:rsid w:val="3BF01963"/>
    <w:rsid w:val="3BF3AE6E"/>
    <w:rsid w:val="3BF96138"/>
    <w:rsid w:val="3BFDDFBF"/>
    <w:rsid w:val="3C027B2B"/>
    <w:rsid w:val="3C0F95E3"/>
    <w:rsid w:val="3C10A5BB"/>
    <w:rsid w:val="3C1318B0"/>
    <w:rsid w:val="3C161942"/>
    <w:rsid w:val="3C1E7202"/>
    <w:rsid w:val="3C1FD9A8"/>
    <w:rsid w:val="3C2D03C7"/>
    <w:rsid w:val="3C2EFAED"/>
    <w:rsid w:val="3C300327"/>
    <w:rsid w:val="3C315D81"/>
    <w:rsid w:val="3C378DC4"/>
    <w:rsid w:val="3C3BFE1C"/>
    <w:rsid w:val="3C3D0526"/>
    <w:rsid w:val="3C4497AA"/>
    <w:rsid w:val="3C4867F7"/>
    <w:rsid w:val="3C4C79DF"/>
    <w:rsid w:val="3C5751C5"/>
    <w:rsid w:val="3C5DE487"/>
    <w:rsid w:val="3C64995B"/>
    <w:rsid w:val="3C6C9B90"/>
    <w:rsid w:val="3C72606E"/>
    <w:rsid w:val="3C73ECBA"/>
    <w:rsid w:val="3C7B1F12"/>
    <w:rsid w:val="3C7E0B8E"/>
    <w:rsid w:val="3C8232AB"/>
    <w:rsid w:val="3C85D6A1"/>
    <w:rsid w:val="3C89BAD1"/>
    <w:rsid w:val="3C956DC7"/>
    <w:rsid w:val="3C9ABE86"/>
    <w:rsid w:val="3CA86114"/>
    <w:rsid w:val="3CA89DAF"/>
    <w:rsid w:val="3CAAE070"/>
    <w:rsid w:val="3CADFDD1"/>
    <w:rsid w:val="3CBC0571"/>
    <w:rsid w:val="3CC21AFF"/>
    <w:rsid w:val="3CC678B6"/>
    <w:rsid w:val="3CC9F81C"/>
    <w:rsid w:val="3CD2CC9D"/>
    <w:rsid w:val="3CE9F4F8"/>
    <w:rsid w:val="3CF3C2C2"/>
    <w:rsid w:val="3CF3F899"/>
    <w:rsid w:val="3D0726A9"/>
    <w:rsid w:val="3D15922F"/>
    <w:rsid w:val="3D15C523"/>
    <w:rsid w:val="3D177769"/>
    <w:rsid w:val="3D241305"/>
    <w:rsid w:val="3D266BFA"/>
    <w:rsid w:val="3D302E0B"/>
    <w:rsid w:val="3D35825E"/>
    <w:rsid w:val="3D3AFBEF"/>
    <w:rsid w:val="3D430328"/>
    <w:rsid w:val="3D4319E2"/>
    <w:rsid w:val="3D4AD0AF"/>
    <w:rsid w:val="3D542CEA"/>
    <w:rsid w:val="3D60A99B"/>
    <w:rsid w:val="3D66E4A5"/>
    <w:rsid w:val="3D6D83FB"/>
    <w:rsid w:val="3D7454BB"/>
    <w:rsid w:val="3D75F04F"/>
    <w:rsid w:val="3D7AED94"/>
    <w:rsid w:val="3D88533C"/>
    <w:rsid w:val="3D890044"/>
    <w:rsid w:val="3D8DBE68"/>
    <w:rsid w:val="3D8FE161"/>
    <w:rsid w:val="3D9CAF41"/>
    <w:rsid w:val="3DA2127A"/>
    <w:rsid w:val="3DA2CB5F"/>
    <w:rsid w:val="3DAB03DF"/>
    <w:rsid w:val="3DAC8EDC"/>
    <w:rsid w:val="3DAC9CE9"/>
    <w:rsid w:val="3DB0154C"/>
    <w:rsid w:val="3DB3EF1E"/>
    <w:rsid w:val="3DC4A81A"/>
    <w:rsid w:val="3DCBBD34"/>
    <w:rsid w:val="3DD3E2F0"/>
    <w:rsid w:val="3DD97708"/>
    <w:rsid w:val="3DE14E22"/>
    <w:rsid w:val="3DE794B6"/>
    <w:rsid w:val="3DF7ED94"/>
    <w:rsid w:val="3E01AE1E"/>
    <w:rsid w:val="3E0382F5"/>
    <w:rsid w:val="3E043328"/>
    <w:rsid w:val="3E1ADF33"/>
    <w:rsid w:val="3E1AEADD"/>
    <w:rsid w:val="3E1EEFDA"/>
    <w:rsid w:val="3E22CAC4"/>
    <w:rsid w:val="3E28528E"/>
    <w:rsid w:val="3E38BBEA"/>
    <w:rsid w:val="3E3B6E1B"/>
    <w:rsid w:val="3E4088DE"/>
    <w:rsid w:val="3E4D41B3"/>
    <w:rsid w:val="3E5158DD"/>
    <w:rsid w:val="3E56616E"/>
    <w:rsid w:val="3E59D29E"/>
    <w:rsid w:val="3E5FEFC0"/>
    <w:rsid w:val="3E6397C9"/>
    <w:rsid w:val="3E6D2780"/>
    <w:rsid w:val="3E755C64"/>
    <w:rsid w:val="3E7D3E74"/>
    <w:rsid w:val="3E81FDAA"/>
    <w:rsid w:val="3E84E717"/>
    <w:rsid w:val="3E906E9D"/>
    <w:rsid w:val="3E92819A"/>
    <w:rsid w:val="3E931F6E"/>
    <w:rsid w:val="3E9B2048"/>
    <w:rsid w:val="3E9E91C6"/>
    <w:rsid w:val="3EA41A4D"/>
    <w:rsid w:val="3EA5B25E"/>
    <w:rsid w:val="3EA9E078"/>
    <w:rsid w:val="3EAD3F82"/>
    <w:rsid w:val="3EB0D68C"/>
    <w:rsid w:val="3EB6C89D"/>
    <w:rsid w:val="3EB90144"/>
    <w:rsid w:val="3EC7BF79"/>
    <w:rsid w:val="3ED74EAB"/>
    <w:rsid w:val="3EDC58A0"/>
    <w:rsid w:val="3EE302C1"/>
    <w:rsid w:val="3EE32BB8"/>
    <w:rsid w:val="3EFC399E"/>
    <w:rsid w:val="3EFC7E57"/>
    <w:rsid w:val="3F0A0337"/>
    <w:rsid w:val="3F0C032E"/>
    <w:rsid w:val="3F0F2CEB"/>
    <w:rsid w:val="3F0FC643"/>
    <w:rsid w:val="3F118E4E"/>
    <w:rsid w:val="3F1294DE"/>
    <w:rsid w:val="3F21F0C7"/>
    <w:rsid w:val="3F2398DB"/>
    <w:rsid w:val="3F28D8BF"/>
    <w:rsid w:val="3F33E1A4"/>
    <w:rsid w:val="3F44319C"/>
    <w:rsid w:val="3F44E8EC"/>
    <w:rsid w:val="3F474914"/>
    <w:rsid w:val="3F4A9207"/>
    <w:rsid w:val="3F533C9E"/>
    <w:rsid w:val="3F599D0F"/>
    <w:rsid w:val="3F6060A4"/>
    <w:rsid w:val="3F6342B7"/>
    <w:rsid w:val="3F669DDB"/>
    <w:rsid w:val="3F81B9EA"/>
    <w:rsid w:val="3F8BD8ED"/>
    <w:rsid w:val="3F9130B3"/>
    <w:rsid w:val="3F9807D7"/>
    <w:rsid w:val="3F9D0DEC"/>
    <w:rsid w:val="3FB47416"/>
    <w:rsid w:val="3FB7AB01"/>
    <w:rsid w:val="3FB8BB82"/>
    <w:rsid w:val="3FB8DF5E"/>
    <w:rsid w:val="3FB925AA"/>
    <w:rsid w:val="3FD3EB1D"/>
    <w:rsid w:val="3FD61DCA"/>
    <w:rsid w:val="3FDAE651"/>
    <w:rsid w:val="3FDD6D45"/>
    <w:rsid w:val="3FE8F590"/>
    <w:rsid w:val="3FFA31F0"/>
    <w:rsid w:val="3FFDD49D"/>
    <w:rsid w:val="400707B9"/>
    <w:rsid w:val="40103C58"/>
    <w:rsid w:val="40189C9C"/>
    <w:rsid w:val="401BB7B2"/>
    <w:rsid w:val="40224C75"/>
    <w:rsid w:val="40238F60"/>
    <w:rsid w:val="40275F65"/>
    <w:rsid w:val="4029D9E4"/>
    <w:rsid w:val="402A1AAA"/>
    <w:rsid w:val="402EDFA2"/>
    <w:rsid w:val="402F4887"/>
    <w:rsid w:val="4032144E"/>
    <w:rsid w:val="4032ED45"/>
    <w:rsid w:val="4033FFC0"/>
    <w:rsid w:val="4041644D"/>
    <w:rsid w:val="40466227"/>
    <w:rsid w:val="4046A470"/>
    <w:rsid w:val="40489167"/>
    <w:rsid w:val="404A4731"/>
    <w:rsid w:val="4052CB7A"/>
    <w:rsid w:val="40578603"/>
    <w:rsid w:val="40579D61"/>
    <w:rsid w:val="405EE9A3"/>
    <w:rsid w:val="4061A3F5"/>
    <w:rsid w:val="40640D3D"/>
    <w:rsid w:val="4064C308"/>
    <w:rsid w:val="4065633B"/>
    <w:rsid w:val="407C0B7F"/>
    <w:rsid w:val="4083F484"/>
    <w:rsid w:val="40910E9D"/>
    <w:rsid w:val="4093CAF1"/>
    <w:rsid w:val="4094FC35"/>
    <w:rsid w:val="40956238"/>
    <w:rsid w:val="4096F137"/>
    <w:rsid w:val="409D608C"/>
    <w:rsid w:val="40A7B24A"/>
    <w:rsid w:val="40AA2D2C"/>
    <w:rsid w:val="40BAB59F"/>
    <w:rsid w:val="40BAE4ED"/>
    <w:rsid w:val="40BC3AA6"/>
    <w:rsid w:val="40BCF298"/>
    <w:rsid w:val="40BE33EF"/>
    <w:rsid w:val="40BE610D"/>
    <w:rsid w:val="40BF9111"/>
    <w:rsid w:val="40C1C174"/>
    <w:rsid w:val="40D2F99B"/>
    <w:rsid w:val="40D77A38"/>
    <w:rsid w:val="40E8E1C6"/>
    <w:rsid w:val="40ED9F22"/>
    <w:rsid w:val="40EDE690"/>
    <w:rsid w:val="40EF74EE"/>
    <w:rsid w:val="40F26D1C"/>
    <w:rsid w:val="40F7BB40"/>
    <w:rsid w:val="40FEF6D7"/>
    <w:rsid w:val="41086DB7"/>
    <w:rsid w:val="411E3012"/>
    <w:rsid w:val="412C0420"/>
    <w:rsid w:val="41359B27"/>
    <w:rsid w:val="413EEF45"/>
    <w:rsid w:val="41505FF2"/>
    <w:rsid w:val="41532B0E"/>
    <w:rsid w:val="4154FDC7"/>
    <w:rsid w:val="415619D8"/>
    <w:rsid w:val="41582E24"/>
    <w:rsid w:val="416323EC"/>
    <w:rsid w:val="4172B925"/>
    <w:rsid w:val="41731F17"/>
    <w:rsid w:val="41795373"/>
    <w:rsid w:val="417CF56B"/>
    <w:rsid w:val="418DABB8"/>
    <w:rsid w:val="41963624"/>
    <w:rsid w:val="4197517A"/>
    <w:rsid w:val="41A121FC"/>
    <w:rsid w:val="41AC692F"/>
    <w:rsid w:val="41AED4BD"/>
    <w:rsid w:val="41B548C5"/>
    <w:rsid w:val="41B7D192"/>
    <w:rsid w:val="41C33DEA"/>
    <w:rsid w:val="41C44E71"/>
    <w:rsid w:val="41C6CE64"/>
    <w:rsid w:val="41CAAA7F"/>
    <w:rsid w:val="41CE7648"/>
    <w:rsid w:val="41CFE90D"/>
    <w:rsid w:val="41D86B49"/>
    <w:rsid w:val="41E1EAF1"/>
    <w:rsid w:val="41F20F7A"/>
    <w:rsid w:val="41F2BDF3"/>
    <w:rsid w:val="41F4C417"/>
    <w:rsid w:val="41F58190"/>
    <w:rsid w:val="41F7A054"/>
    <w:rsid w:val="41FB7334"/>
    <w:rsid w:val="421378AA"/>
    <w:rsid w:val="421766E8"/>
    <w:rsid w:val="422428E5"/>
    <w:rsid w:val="4247C154"/>
    <w:rsid w:val="42494CA4"/>
    <w:rsid w:val="424F4313"/>
    <w:rsid w:val="4256045E"/>
    <w:rsid w:val="4262766F"/>
    <w:rsid w:val="42724651"/>
    <w:rsid w:val="4285244B"/>
    <w:rsid w:val="4288F58C"/>
    <w:rsid w:val="428C6EF8"/>
    <w:rsid w:val="428E7CF3"/>
    <w:rsid w:val="4292AC4C"/>
    <w:rsid w:val="429533F4"/>
    <w:rsid w:val="4297890C"/>
    <w:rsid w:val="429AF3EB"/>
    <w:rsid w:val="42A01EB3"/>
    <w:rsid w:val="42A421A1"/>
    <w:rsid w:val="42AE115E"/>
    <w:rsid w:val="42AF49C9"/>
    <w:rsid w:val="42B32351"/>
    <w:rsid w:val="42C15CEB"/>
    <w:rsid w:val="42C2C365"/>
    <w:rsid w:val="42C66E79"/>
    <w:rsid w:val="42C94C7D"/>
    <w:rsid w:val="42CF1B86"/>
    <w:rsid w:val="42DC2D7F"/>
    <w:rsid w:val="42E1007B"/>
    <w:rsid w:val="42E1C883"/>
    <w:rsid w:val="42EB6FC7"/>
    <w:rsid w:val="42EC7D7C"/>
    <w:rsid w:val="42F7E2E4"/>
    <w:rsid w:val="43090EBA"/>
    <w:rsid w:val="430D4BAA"/>
    <w:rsid w:val="431576C7"/>
    <w:rsid w:val="43191408"/>
    <w:rsid w:val="431BCD1A"/>
    <w:rsid w:val="432A692E"/>
    <w:rsid w:val="432F46AE"/>
    <w:rsid w:val="433017AC"/>
    <w:rsid w:val="433323F3"/>
    <w:rsid w:val="4334E89D"/>
    <w:rsid w:val="433CB679"/>
    <w:rsid w:val="43465F70"/>
    <w:rsid w:val="4357F34C"/>
    <w:rsid w:val="4367285B"/>
    <w:rsid w:val="436A3C0E"/>
    <w:rsid w:val="436C8763"/>
    <w:rsid w:val="436FD7B9"/>
    <w:rsid w:val="4376CD6D"/>
    <w:rsid w:val="4378E0E1"/>
    <w:rsid w:val="43797BDC"/>
    <w:rsid w:val="437A22CA"/>
    <w:rsid w:val="4382DE00"/>
    <w:rsid w:val="4388CFD3"/>
    <w:rsid w:val="43896E71"/>
    <w:rsid w:val="438C7452"/>
    <w:rsid w:val="438D9322"/>
    <w:rsid w:val="438F2C65"/>
    <w:rsid w:val="438F9911"/>
    <w:rsid w:val="43908300"/>
    <w:rsid w:val="4398398F"/>
    <w:rsid w:val="43A5DA81"/>
    <w:rsid w:val="43A7FA9F"/>
    <w:rsid w:val="43A8DCDF"/>
    <w:rsid w:val="43AC95A9"/>
    <w:rsid w:val="43B4E9B2"/>
    <w:rsid w:val="43BBAEEB"/>
    <w:rsid w:val="43BD9E2B"/>
    <w:rsid w:val="43BDBF36"/>
    <w:rsid w:val="43C2F8A1"/>
    <w:rsid w:val="43D084A7"/>
    <w:rsid w:val="43D2E211"/>
    <w:rsid w:val="43DA742C"/>
    <w:rsid w:val="43DC8079"/>
    <w:rsid w:val="43E5AB90"/>
    <w:rsid w:val="43ED5763"/>
    <w:rsid w:val="43F07C00"/>
    <w:rsid w:val="440121C6"/>
    <w:rsid w:val="4401EA68"/>
    <w:rsid w:val="440EB369"/>
    <w:rsid w:val="441C58E6"/>
    <w:rsid w:val="441CB9F5"/>
    <w:rsid w:val="442D6E05"/>
    <w:rsid w:val="44343F07"/>
    <w:rsid w:val="4437B450"/>
    <w:rsid w:val="443A0E6C"/>
    <w:rsid w:val="443B1054"/>
    <w:rsid w:val="443DD6D2"/>
    <w:rsid w:val="44540995"/>
    <w:rsid w:val="44611307"/>
    <w:rsid w:val="4472F451"/>
    <w:rsid w:val="44771A99"/>
    <w:rsid w:val="448F22C1"/>
    <w:rsid w:val="4498C811"/>
    <w:rsid w:val="449BD14F"/>
    <w:rsid w:val="449CFB90"/>
    <w:rsid w:val="449E97FE"/>
    <w:rsid w:val="44A3125B"/>
    <w:rsid w:val="44A3ABF3"/>
    <w:rsid w:val="44A5ACA8"/>
    <w:rsid w:val="44A76C96"/>
    <w:rsid w:val="44B1F1AD"/>
    <w:rsid w:val="44B90BA6"/>
    <w:rsid w:val="44BBFD73"/>
    <w:rsid w:val="44BD7589"/>
    <w:rsid w:val="44C5C198"/>
    <w:rsid w:val="44C6E447"/>
    <w:rsid w:val="44CACDED"/>
    <w:rsid w:val="44D0D2A4"/>
    <w:rsid w:val="44D22EFE"/>
    <w:rsid w:val="44D56D1B"/>
    <w:rsid w:val="44DBF212"/>
    <w:rsid w:val="44DFE71B"/>
    <w:rsid w:val="44E1E03D"/>
    <w:rsid w:val="44F5ECDB"/>
    <w:rsid w:val="44FB7F35"/>
    <w:rsid w:val="44FFCF28"/>
    <w:rsid w:val="450298E7"/>
    <w:rsid w:val="4504DE29"/>
    <w:rsid w:val="450BEC89"/>
    <w:rsid w:val="45114163"/>
    <w:rsid w:val="45155D58"/>
    <w:rsid w:val="4518C0D4"/>
    <w:rsid w:val="451C29C6"/>
    <w:rsid w:val="451D755A"/>
    <w:rsid w:val="451E5B52"/>
    <w:rsid w:val="451EC76B"/>
    <w:rsid w:val="45214690"/>
    <w:rsid w:val="4529CBBD"/>
    <w:rsid w:val="452BA6F9"/>
    <w:rsid w:val="452FD399"/>
    <w:rsid w:val="453101AC"/>
    <w:rsid w:val="45338810"/>
    <w:rsid w:val="4537CB61"/>
    <w:rsid w:val="4548B247"/>
    <w:rsid w:val="45490B18"/>
    <w:rsid w:val="454CB697"/>
    <w:rsid w:val="45501F65"/>
    <w:rsid w:val="45508C9B"/>
    <w:rsid w:val="45542C02"/>
    <w:rsid w:val="45590444"/>
    <w:rsid w:val="455DA4D0"/>
    <w:rsid w:val="456A6100"/>
    <w:rsid w:val="456F0298"/>
    <w:rsid w:val="45721FD7"/>
    <w:rsid w:val="457D6932"/>
    <w:rsid w:val="4582F657"/>
    <w:rsid w:val="4586A113"/>
    <w:rsid w:val="458812F8"/>
    <w:rsid w:val="45897C45"/>
    <w:rsid w:val="458AF679"/>
    <w:rsid w:val="45911E6F"/>
    <w:rsid w:val="45987C7A"/>
    <w:rsid w:val="45A3302D"/>
    <w:rsid w:val="45A6BFE0"/>
    <w:rsid w:val="45A9321C"/>
    <w:rsid w:val="45ABB915"/>
    <w:rsid w:val="45B12E92"/>
    <w:rsid w:val="45B2406A"/>
    <w:rsid w:val="45B84625"/>
    <w:rsid w:val="45C1F82A"/>
    <w:rsid w:val="45C51FB5"/>
    <w:rsid w:val="45C94E0B"/>
    <w:rsid w:val="45CB59C3"/>
    <w:rsid w:val="45D08830"/>
    <w:rsid w:val="45DE15A6"/>
    <w:rsid w:val="45E96850"/>
    <w:rsid w:val="45EEFF23"/>
    <w:rsid w:val="45F1AB47"/>
    <w:rsid w:val="45F413AA"/>
    <w:rsid w:val="45F70D21"/>
    <w:rsid w:val="45FCAC5A"/>
    <w:rsid w:val="45FDC147"/>
    <w:rsid w:val="46013720"/>
    <w:rsid w:val="460A7FBA"/>
    <w:rsid w:val="460C0823"/>
    <w:rsid w:val="460C503D"/>
    <w:rsid w:val="460CDC64"/>
    <w:rsid w:val="460D6C67"/>
    <w:rsid w:val="460E17AB"/>
    <w:rsid w:val="4611B69B"/>
    <w:rsid w:val="46139CD5"/>
    <w:rsid w:val="4618197C"/>
    <w:rsid w:val="461B3CEA"/>
    <w:rsid w:val="461CF1CF"/>
    <w:rsid w:val="4621B778"/>
    <w:rsid w:val="462304EF"/>
    <w:rsid w:val="4626F2A6"/>
    <w:rsid w:val="4628DEFC"/>
    <w:rsid w:val="462C1543"/>
    <w:rsid w:val="462EDDD0"/>
    <w:rsid w:val="462F7B25"/>
    <w:rsid w:val="46307499"/>
    <w:rsid w:val="4633976F"/>
    <w:rsid w:val="4633FB4D"/>
    <w:rsid w:val="46347E6B"/>
    <w:rsid w:val="46361164"/>
    <w:rsid w:val="463D71A8"/>
    <w:rsid w:val="463EF545"/>
    <w:rsid w:val="46424506"/>
    <w:rsid w:val="464E8170"/>
    <w:rsid w:val="464FCBFD"/>
    <w:rsid w:val="464FF5B1"/>
    <w:rsid w:val="4657437A"/>
    <w:rsid w:val="4663315E"/>
    <w:rsid w:val="466F6C38"/>
    <w:rsid w:val="4671CE24"/>
    <w:rsid w:val="467C53B7"/>
    <w:rsid w:val="46817536"/>
    <w:rsid w:val="46824AAB"/>
    <w:rsid w:val="4683A364"/>
    <w:rsid w:val="468A682E"/>
    <w:rsid w:val="469D7113"/>
    <w:rsid w:val="46A087BB"/>
    <w:rsid w:val="46A1DB1E"/>
    <w:rsid w:val="46AD3FA3"/>
    <w:rsid w:val="46B419E3"/>
    <w:rsid w:val="46B49B68"/>
    <w:rsid w:val="46B55DD3"/>
    <w:rsid w:val="46B9965F"/>
    <w:rsid w:val="46BD1937"/>
    <w:rsid w:val="46C074A5"/>
    <w:rsid w:val="46CE2089"/>
    <w:rsid w:val="46D8208E"/>
    <w:rsid w:val="46D84BA4"/>
    <w:rsid w:val="46D9BA62"/>
    <w:rsid w:val="46DA3914"/>
    <w:rsid w:val="46DB1832"/>
    <w:rsid w:val="46DCEC8C"/>
    <w:rsid w:val="46DE89E3"/>
    <w:rsid w:val="46EABDB6"/>
    <w:rsid w:val="46EE4BE1"/>
    <w:rsid w:val="46EF4A87"/>
    <w:rsid w:val="46F5672C"/>
    <w:rsid w:val="46FD981E"/>
    <w:rsid w:val="46FFEEE2"/>
    <w:rsid w:val="4708894B"/>
    <w:rsid w:val="470C2A6E"/>
    <w:rsid w:val="470EB31C"/>
    <w:rsid w:val="4714BCD5"/>
    <w:rsid w:val="471DD80B"/>
    <w:rsid w:val="47279089"/>
    <w:rsid w:val="47368E46"/>
    <w:rsid w:val="473B6E91"/>
    <w:rsid w:val="47450888"/>
    <w:rsid w:val="474732AC"/>
    <w:rsid w:val="474930F6"/>
    <w:rsid w:val="474F16CA"/>
    <w:rsid w:val="475190D9"/>
    <w:rsid w:val="47576C6A"/>
    <w:rsid w:val="475E71A5"/>
    <w:rsid w:val="4761C7B1"/>
    <w:rsid w:val="4762C923"/>
    <w:rsid w:val="4768166A"/>
    <w:rsid w:val="476E03F8"/>
    <w:rsid w:val="47707730"/>
    <w:rsid w:val="4771775E"/>
    <w:rsid w:val="47722801"/>
    <w:rsid w:val="4772E626"/>
    <w:rsid w:val="47781B33"/>
    <w:rsid w:val="4783E7E8"/>
    <w:rsid w:val="478874CC"/>
    <w:rsid w:val="478F0607"/>
    <w:rsid w:val="478F1F24"/>
    <w:rsid w:val="4793E6A9"/>
    <w:rsid w:val="4798C8F2"/>
    <w:rsid w:val="4798CE03"/>
    <w:rsid w:val="479DB4DA"/>
    <w:rsid w:val="479FAE0F"/>
    <w:rsid w:val="47A89C04"/>
    <w:rsid w:val="47AAD511"/>
    <w:rsid w:val="47ABA1BD"/>
    <w:rsid w:val="47B6A1E9"/>
    <w:rsid w:val="47B75BBD"/>
    <w:rsid w:val="47B78D67"/>
    <w:rsid w:val="47BA2C30"/>
    <w:rsid w:val="47BCD302"/>
    <w:rsid w:val="47BF9D44"/>
    <w:rsid w:val="47BFC81F"/>
    <w:rsid w:val="47C384AF"/>
    <w:rsid w:val="47C7803D"/>
    <w:rsid w:val="47CDF6BB"/>
    <w:rsid w:val="47D24E3F"/>
    <w:rsid w:val="47D635DE"/>
    <w:rsid w:val="47DA19F7"/>
    <w:rsid w:val="47E04B8D"/>
    <w:rsid w:val="47EBC95F"/>
    <w:rsid w:val="47EE1A96"/>
    <w:rsid w:val="47FA0E33"/>
    <w:rsid w:val="480A42F7"/>
    <w:rsid w:val="480F5904"/>
    <w:rsid w:val="481663ED"/>
    <w:rsid w:val="4817DF79"/>
    <w:rsid w:val="48181C28"/>
    <w:rsid w:val="482E19C6"/>
    <w:rsid w:val="482E56CE"/>
    <w:rsid w:val="482FC929"/>
    <w:rsid w:val="4830FEED"/>
    <w:rsid w:val="4831409E"/>
    <w:rsid w:val="48395657"/>
    <w:rsid w:val="48399C7A"/>
    <w:rsid w:val="4846DD20"/>
    <w:rsid w:val="4851CCDD"/>
    <w:rsid w:val="485C0B1C"/>
    <w:rsid w:val="48689DB5"/>
    <w:rsid w:val="48714C7A"/>
    <w:rsid w:val="488A8086"/>
    <w:rsid w:val="488C1453"/>
    <w:rsid w:val="488FEDE5"/>
    <w:rsid w:val="48929F37"/>
    <w:rsid w:val="489479A8"/>
    <w:rsid w:val="489D0EB1"/>
    <w:rsid w:val="489D2BC6"/>
    <w:rsid w:val="48A76A1A"/>
    <w:rsid w:val="48B36F61"/>
    <w:rsid w:val="48B38AB4"/>
    <w:rsid w:val="48BCFA95"/>
    <w:rsid w:val="48BDD526"/>
    <w:rsid w:val="48D0F04F"/>
    <w:rsid w:val="48D17525"/>
    <w:rsid w:val="48DD4720"/>
    <w:rsid w:val="48E154D5"/>
    <w:rsid w:val="48ED3CF4"/>
    <w:rsid w:val="48F77928"/>
    <w:rsid w:val="4904D75C"/>
    <w:rsid w:val="490EA45C"/>
    <w:rsid w:val="4915D43B"/>
    <w:rsid w:val="491E74BE"/>
    <w:rsid w:val="491ED667"/>
    <w:rsid w:val="49207FB7"/>
    <w:rsid w:val="4920C971"/>
    <w:rsid w:val="49212D49"/>
    <w:rsid w:val="4926BB0A"/>
    <w:rsid w:val="4929031F"/>
    <w:rsid w:val="492917C2"/>
    <w:rsid w:val="492E955D"/>
    <w:rsid w:val="4931CB81"/>
    <w:rsid w:val="49343DEB"/>
    <w:rsid w:val="4934B9B4"/>
    <w:rsid w:val="493BFF99"/>
    <w:rsid w:val="493CFEAE"/>
    <w:rsid w:val="493D5423"/>
    <w:rsid w:val="493DA688"/>
    <w:rsid w:val="49441D6E"/>
    <w:rsid w:val="494AECD4"/>
    <w:rsid w:val="4955F70F"/>
    <w:rsid w:val="49567308"/>
    <w:rsid w:val="495941F7"/>
    <w:rsid w:val="49627CC2"/>
    <w:rsid w:val="4965EA93"/>
    <w:rsid w:val="4969E32E"/>
    <w:rsid w:val="496B316C"/>
    <w:rsid w:val="4977B44F"/>
    <w:rsid w:val="497B414B"/>
    <w:rsid w:val="4980688B"/>
    <w:rsid w:val="4983E719"/>
    <w:rsid w:val="499BB112"/>
    <w:rsid w:val="499CDDEC"/>
    <w:rsid w:val="49A4A8E0"/>
    <w:rsid w:val="49AB1AE0"/>
    <w:rsid w:val="49AFF993"/>
    <w:rsid w:val="49AFFF7E"/>
    <w:rsid w:val="49B0346E"/>
    <w:rsid w:val="49B5B397"/>
    <w:rsid w:val="49BBFFFE"/>
    <w:rsid w:val="49BC1E0B"/>
    <w:rsid w:val="49BD63E1"/>
    <w:rsid w:val="49C57303"/>
    <w:rsid w:val="49CE0634"/>
    <w:rsid w:val="49D85346"/>
    <w:rsid w:val="49DFC842"/>
    <w:rsid w:val="49E77786"/>
    <w:rsid w:val="49E7AA75"/>
    <w:rsid w:val="49F01E96"/>
    <w:rsid w:val="49F2A1C2"/>
    <w:rsid w:val="49FC2D75"/>
    <w:rsid w:val="4A0129FA"/>
    <w:rsid w:val="4A016340"/>
    <w:rsid w:val="4A03D2F8"/>
    <w:rsid w:val="4A1523B3"/>
    <w:rsid w:val="4A178B8F"/>
    <w:rsid w:val="4A1A7DB5"/>
    <w:rsid w:val="4A201C07"/>
    <w:rsid w:val="4A2514CB"/>
    <w:rsid w:val="4A281F77"/>
    <w:rsid w:val="4A2AE7B3"/>
    <w:rsid w:val="4A326E90"/>
    <w:rsid w:val="4A33837A"/>
    <w:rsid w:val="4A34478A"/>
    <w:rsid w:val="4A372F67"/>
    <w:rsid w:val="4A409E02"/>
    <w:rsid w:val="4A4DE6F6"/>
    <w:rsid w:val="4A50687B"/>
    <w:rsid w:val="4A51351D"/>
    <w:rsid w:val="4A577C89"/>
    <w:rsid w:val="4A57D8B7"/>
    <w:rsid w:val="4A59D63C"/>
    <w:rsid w:val="4A5CF6F9"/>
    <w:rsid w:val="4A5E9B07"/>
    <w:rsid w:val="4A5EF783"/>
    <w:rsid w:val="4A7398CF"/>
    <w:rsid w:val="4A7B46D2"/>
    <w:rsid w:val="4A7D5DBE"/>
    <w:rsid w:val="4A7DAB84"/>
    <w:rsid w:val="4A7FA015"/>
    <w:rsid w:val="4A852C34"/>
    <w:rsid w:val="4A86363E"/>
    <w:rsid w:val="4A95D22A"/>
    <w:rsid w:val="4A982BE5"/>
    <w:rsid w:val="4A9D561F"/>
    <w:rsid w:val="4A9FC2EB"/>
    <w:rsid w:val="4AB5B2FF"/>
    <w:rsid w:val="4ACD1597"/>
    <w:rsid w:val="4ACDE71C"/>
    <w:rsid w:val="4AD829EC"/>
    <w:rsid w:val="4AD8908B"/>
    <w:rsid w:val="4AD9EA8A"/>
    <w:rsid w:val="4AE74E93"/>
    <w:rsid w:val="4AED7CAE"/>
    <w:rsid w:val="4AF7A9D7"/>
    <w:rsid w:val="4B0177EF"/>
    <w:rsid w:val="4B059742"/>
    <w:rsid w:val="4B07DDE1"/>
    <w:rsid w:val="4B0C3842"/>
    <w:rsid w:val="4B16152E"/>
    <w:rsid w:val="4B1770CF"/>
    <w:rsid w:val="4B1906B5"/>
    <w:rsid w:val="4B202B7C"/>
    <w:rsid w:val="4B27B039"/>
    <w:rsid w:val="4B29D129"/>
    <w:rsid w:val="4B2D7410"/>
    <w:rsid w:val="4B2E60BA"/>
    <w:rsid w:val="4B361747"/>
    <w:rsid w:val="4B393F08"/>
    <w:rsid w:val="4B39F578"/>
    <w:rsid w:val="4B50ED17"/>
    <w:rsid w:val="4B522AA5"/>
    <w:rsid w:val="4B575DF9"/>
    <w:rsid w:val="4B64C27C"/>
    <w:rsid w:val="4B67725E"/>
    <w:rsid w:val="4B6D31B6"/>
    <w:rsid w:val="4B6EA1F4"/>
    <w:rsid w:val="4B7757BA"/>
    <w:rsid w:val="4B841A37"/>
    <w:rsid w:val="4B85A5F3"/>
    <w:rsid w:val="4B8AA447"/>
    <w:rsid w:val="4B8DF64D"/>
    <w:rsid w:val="4B8FE6BE"/>
    <w:rsid w:val="4B928CD5"/>
    <w:rsid w:val="4B961EDB"/>
    <w:rsid w:val="4B96FB03"/>
    <w:rsid w:val="4B989E18"/>
    <w:rsid w:val="4B98F729"/>
    <w:rsid w:val="4B9BAFFE"/>
    <w:rsid w:val="4BA2FE7C"/>
    <w:rsid w:val="4BB50C71"/>
    <w:rsid w:val="4BBBF928"/>
    <w:rsid w:val="4BBE0158"/>
    <w:rsid w:val="4BC7E1F6"/>
    <w:rsid w:val="4BC9FBA1"/>
    <w:rsid w:val="4BCE6D3C"/>
    <w:rsid w:val="4BD25EB7"/>
    <w:rsid w:val="4BD29B98"/>
    <w:rsid w:val="4BD74BFA"/>
    <w:rsid w:val="4BD96304"/>
    <w:rsid w:val="4BD97474"/>
    <w:rsid w:val="4BE2D1CB"/>
    <w:rsid w:val="4BE60C65"/>
    <w:rsid w:val="4BE69983"/>
    <w:rsid w:val="4BF66D4F"/>
    <w:rsid w:val="4C065EB5"/>
    <w:rsid w:val="4C10D55E"/>
    <w:rsid w:val="4C23FC77"/>
    <w:rsid w:val="4C285DF6"/>
    <w:rsid w:val="4C345058"/>
    <w:rsid w:val="4C35043F"/>
    <w:rsid w:val="4C419C65"/>
    <w:rsid w:val="4C4EB2CE"/>
    <w:rsid w:val="4C533DB7"/>
    <w:rsid w:val="4C5876B7"/>
    <w:rsid w:val="4C58A097"/>
    <w:rsid w:val="4C5BD48A"/>
    <w:rsid w:val="4C652264"/>
    <w:rsid w:val="4C66A7C3"/>
    <w:rsid w:val="4C6B2FB3"/>
    <w:rsid w:val="4C6DF264"/>
    <w:rsid w:val="4C736B31"/>
    <w:rsid w:val="4C74CEBE"/>
    <w:rsid w:val="4C7649FD"/>
    <w:rsid w:val="4C8030A6"/>
    <w:rsid w:val="4C80F100"/>
    <w:rsid w:val="4C83ACB9"/>
    <w:rsid w:val="4C84830F"/>
    <w:rsid w:val="4C8721E0"/>
    <w:rsid w:val="4C8B4154"/>
    <w:rsid w:val="4C8DEF08"/>
    <w:rsid w:val="4C92B44B"/>
    <w:rsid w:val="4C9857E1"/>
    <w:rsid w:val="4C9E41BD"/>
    <w:rsid w:val="4C9F0BEE"/>
    <w:rsid w:val="4CAAE6F4"/>
    <w:rsid w:val="4CAC6265"/>
    <w:rsid w:val="4CAEEABE"/>
    <w:rsid w:val="4CC263A7"/>
    <w:rsid w:val="4CC799A1"/>
    <w:rsid w:val="4CC8D1F9"/>
    <w:rsid w:val="4CCB8F95"/>
    <w:rsid w:val="4CD3F3E7"/>
    <w:rsid w:val="4CD983B1"/>
    <w:rsid w:val="4CDE6420"/>
    <w:rsid w:val="4CE0B8B7"/>
    <w:rsid w:val="4CE5DF20"/>
    <w:rsid w:val="4CEF059D"/>
    <w:rsid w:val="4CEF4927"/>
    <w:rsid w:val="4CF31B74"/>
    <w:rsid w:val="4CF5768E"/>
    <w:rsid w:val="4CF8F3B4"/>
    <w:rsid w:val="4D010485"/>
    <w:rsid w:val="4D01D16A"/>
    <w:rsid w:val="4D04E626"/>
    <w:rsid w:val="4D059BA8"/>
    <w:rsid w:val="4D0921EF"/>
    <w:rsid w:val="4D0E74DA"/>
    <w:rsid w:val="4D0FB3C9"/>
    <w:rsid w:val="4D169350"/>
    <w:rsid w:val="4D1BB7C3"/>
    <w:rsid w:val="4D2AFA4D"/>
    <w:rsid w:val="4D34ACC6"/>
    <w:rsid w:val="4D38BCCB"/>
    <w:rsid w:val="4D393694"/>
    <w:rsid w:val="4D3C6055"/>
    <w:rsid w:val="4D3E200E"/>
    <w:rsid w:val="4D423369"/>
    <w:rsid w:val="4D4DFA13"/>
    <w:rsid w:val="4D4E89A0"/>
    <w:rsid w:val="4D5FB2BB"/>
    <w:rsid w:val="4D671833"/>
    <w:rsid w:val="4D6B0FE9"/>
    <w:rsid w:val="4D6E698D"/>
    <w:rsid w:val="4D71193A"/>
    <w:rsid w:val="4D77D40E"/>
    <w:rsid w:val="4D7AAB35"/>
    <w:rsid w:val="4D7C8394"/>
    <w:rsid w:val="4D7CE57D"/>
    <w:rsid w:val="4D7FCFCB"/>
    <w:rsid w:val="4D809FBC"/>
    <w:rsid w:val="4D8295E1"/>
    <w:rsid w:val="4D8B89A9"/>
    <w:rsid w:val="4D8DA5BA"/>
    <w:rsid w:val="4D90DC24"/>
    <w:rsid w:val="4D95479E"/>
    <w:rsid w:val="4D9D4615"/>
    <w:rsid w:val="4DA3585D"/>
    <w:rsid w:val="4DA796A6"/>
    <w:rsid w:val="4DAF8CC4"/>
    <w:rsid w:val="4DB008B4"/>
    <w:rsid w:val="4DB27729"/>
    <w:rsid w:val="4DB9729D"/>
    <w:rsid w:val="4DBAFAAA"/>
    <w:rsid w:val="4DBC3C66"/>
    <w:rsid w:val="4DBE57AC"/>
    <w:rsid w:val="4DC79EC7"/>
    <w:rsid w:val="4DC9910C"/>
    <w:rsid w:val="4DD28F14"/>
    <w:rsid w:val="4DDED574"/>
    <w:rsid w:val="4DE17E68"/>
    <w:rsid w:val="4DEA88C7"/>
    <w:rsid w:val="4DEB2C09"/>
    <w:rsid w:val="4DF18327"/>
    <w:rsid w:val="4DF30142"/>
    <w:rsid w:val="4DFF3AFA"/>
    <w:rsid w:val="4E14E24C"/>
    <w:rsid w:val="4E18601F"/>
    <w:rsid w:val="4E1D46DB"/>
    <w:rsid w:val="4E1E84AA"/>
    <w:rsid w:val="4E231CB5"/>
    <w:rsid w:val="4E25FFB0"/>
    <w:rsid w:val="4E329A6E"/>
    <w:rsid w:val="4E3BF385"/>
    <w:rsid w:val="4E40A52E"/>
    <w:rsid w:val="4E4B34D5"/>
    <w:rsid w:val="4E4D86A3"/>
    <w:rsid w:val="4E50228A"/>
    <w:rsid w:val="4E50C037"/>
    <w:rsid w:val="4E579326"/>
    <w:rsid w:val="4E733999"/>
    <w:rsid w:val="4E7EE231"/>
    <w:rsid w:val="4E876994"/>
    <w:rsid w:val="4E954A24"/>
    <w:rsid w:val="4E9DDD65"/>
    <w:rsid w:val="4E9DFA3B"/>
    <w:rsid w:val="4E9F6104"/>
    <w:rsid w:val="4EA14CA7"/>
    <w:rsid w:val="4EA14F5C"/>
    <w:rsid w:val="4EA34B39"/>
    <w:rsid w:val="4EA7F6DD"/>
    <w:rsid w:val="4EC40EA7"/>
    <w:rsid w:val="4EC63B46"/>
    <w:rsid w:val="4EC75E13"/>
    <w:rsid w:val="4ECF86F1"/>
    <w:rsid w:val="4EDAAA93"/>
    <w:rsid w:val="4EDC2524"/>
    <w:rsid w:val="4EE5BC65"/>
    <w:rsid w:val="4EF43114"/>
    <w:rsid w:val="4EF602DE"/>
    <w:rsid w:val="4EFAFA91"/>
    <w:rsid w:val="4F06414C"/>
    <w:rsid w:val="4F0BB9D7"/>
    <w:rsid w:val="4F0EDB95"/>
    <w:rsid w:val="4F12F732"/>
    <w:rsid w:val="4F13C1F4"/>
    <w:rsid w:val="4F1440FD"/>
    <w:rsid w:val="4F178A1E"/>
    <w:rsid w:val="4F1AA426"/>
    <w:rsid w:val="4F1F6D99"/>
    <w:rsid w:val="4F23CB6F"/>
    <w:rsid w:val="4F28C72C"/>
    <w:rsid w:val="4F310BA3"/>
    <w:rsid w:val="4F3ED11E"/>
    <w:rsid w:val="4F4374BF"/>
    <w:rsid w:val="4F451CBC"/>
    <w:rsid w:val="4F581DD4"/>
    <w:rsid w:val="4F5C7253"/>
    <w:rsid w:val="4F5E26C8"/>
    <w:rsid w:val="4F5FD811"/>
    <w:rsid w:val="4F61E722"/>
    <w:rsid w:val="4F6DDB5B"/>
    <w:rsid w:val="4F6FC7AE"/>
    <w:rsid w:val="4F709F9A"/>
    <w:rsid w:val="4F71372D"/>
    <w:rsid w:val="4F7A320D"/>
    <w:rsid w:val="4F7D0038"/>
    <w:rsid w:val="4F7E9577"/>
    <w:rsid w:val="4F826181"/>
    <w:rsid w:val="4F829E5C"/>
    <w:rsid w:val="4F8ABAE9"/>
    <w:rsid w:val="4F8DBF08"/>
    <w:rsid w:val="4F91A2E3"/>
    <w:rsid w:val="4F947360"/>
    <w:rsid w:val="4F9875D5"/>
    <w:rsid w:val="4F996ECD"/>
    <w:rsid w:val="4F9B5EBC"/>
    <w:rsid w:val="4F9F21FD"/>
    <w:rsid w:val="4FA3883F"/>
    <w:rsid w:val="4FAA0369"/>
    <w:rsid w:val="4FABAB53"/>
    <w:rsid w:val="4FAD7DB1"/>
    <w:rsid w:val="4FB30452"/>
    <w:rsid w:val="4FBAC93F"/>
    <w:rsid w:val="4FBB6249"/>
    <w:rsid w:val="4FBFE907"/>
    <w:rsid w:val="4FC0E236"/>
    <w:rsid w:val="4FCCB7CD"/>
    <w:rsid w:val="4FD63223"/>
    <w:rsid w:val="4FDB8945"/>
    <w:rsid w:val="4FDB9F4F"/>
    <w:rsid w:val="4FDBA972"/>
    <w:rsid w:val="4FE7EB53"/>
    <w:rsid w:val="4FEF084D"/>
    <w:rsid w:val="4FEFD854"/>
    <w:rsid w:val="4FF6A30F"/>
    <w:rsid w:val="4FF7EB89"/>
    <w:rsid w:val="4FF982BA"/>
    <w:rsid w:val="4FF9A632"/>
    <w:rsid w:val="4FFE3014"/>
    <w:rsid w:val="4FFE465D"/>
    <w:rsid w:val="4FFF2806"/>
    <w:rsid w:val="50014ED9"/>
    <w:rsid w:val="500B19AD"/>
    <w:rsid w:val="500D9F2E"/>
    <w:rsid w:val="50124B7B"/>
    <w:rsid w:val="50177AF7"/>
    <w:rsid w:val="5021F434"/>
    <w:rsid w:val="502CC307"/>
    <w:rsid w:val="502F29E1"/>
    <w:rsid w:val="5032D682"/>
    <w:rsid w:val="5038F5BE"/>
    <w:rsid w:val="503D1BFE"/>
    <w:rsid w:val="503E0786"/>
    <w:rsid w:val="50499733"/>
    <w:rsid w:val="504B4E8F"/>
    <w:rsid w:val="5052CE38"/>
    <w:rsid w:val="505437A3"/>
    <w:rsid w:val="505932AD"/>
    <w:rsid w:val="505B677B"/>
    <w:rsid w:val="505D0E63"/>
    <w:rsid w:val="50627C88"/>
    <w:rsid w:val="50648201"/>
    <w:rsid w:val="50729DC9"/>
    <w:rsid w:val="507DB9C9"/>
    <w:rsid w:val="507EDC4E"/>
    <w:rsid w:val="508137E0"/>
    <w:rsid w:val="508283D7"/>
    <w:rsid w:val="5083908D"/>
    <w:rsid w:val="50891E7A"/>
    <w:rsid w:val="508F82FC"/>
    <w:rsid w:val="50B302E2"/>
    <w:rsid w:val="50B64F05"/>
    <w:rsid w:val="50B8AD2E"/>
    <w:rsid w:val="50BB05DE"/>
    <w:rsid w:val="50BFF1AB"/>
    <w:rsid w:val="50C37FF4"/>
    <w:rsid w:val="50C55EA0"/>
    <w:rsid w:val="50C56E07"/>
    <w:rsid w:val="50C721A3"/>
    <w:rsid w:val="50DD3EDE"/>
    <w:rsid w:val="50E15E38"/>
    <w:rsid w:val="50E38EBC"/>
    <w:rsid w:val="50E4D43B"/>
    <w:rsid w:val="50E9F988"/>
    <w:rsid w:val="50F8AED1"/>
    <w:rsid w:val="50F9672F"/>
    <w:rsid w:val="50FEA48C"/>
    <w:rsid w:val="50FEC257"/>
    <w:rsid w:val="5101D003"/>
    <w:rsid w:val="5106C38B"/>
    <w:rsid w:val="510AA308"/>
    <w:rsid w:val="5120878D"/>
    <w:rsid w:val="5131A9D3"/>
    <w:rsid w:val="51394F1F"/>
    <w:rsid w:val="513D4980"/>
    <w:rsid w:val="5148BFAC"/>
    <w:rsid w:val="514E4838"/>
    <w:rsid w:val="514EE95A"/>
    <w:rsid w:val="5150406D"/>
    <w:rsid w:val="51572AEC"/>
    <w:rsid w:val="5157DAD8"/>
    <w:rsid w:val="51584AE8"/>
    <w:rsid w:val="515DFFC3"/>
    <w:rsid w:val="51669D44"/>
    <w:rsid w:val="5169B43F"/>
    <w:rsid w:val="516C93CA"/>
    <w:rsid w:val="516CA5C1"/>
    <w:rsid w:val="51761106"/>
    <w:rsid w:val="518798C2"/>
    <w:rsid w:val="5188CD21"/>
    <w:rsid w:val="51893CD9"/>
    <w:rsid w:val="519986A5"/>
    <w:rsid w:val="519DEED6"/>
    <w:rsid w:val="51A1339B"/>
    <w:rsid w:val="51A301E1"/>
    <w:rsid w:val="51A9757E"/>
    <w:rsid w:val="51ADD1D7"/>
    <w:rsid w:val="51B3BDF3"/>
    <w:rsid w:val="51B647F3"/>
    <w:rsid w:val="51B7583E"/>
    <w:rsid w:val="51BA2A3C"/>
    <w:rsid w:val="51C41662"/>
    <w:rsid w:val="51C4C56F"/>
    <w:rsid w:val="51CB8C89"/>
    <w:rsid w:val="51CC7D28"/>
    <w:rsid w:val="51CE9C66"/>
    <w:rsid w:val="51D015C2"/>
    <w:rsid w:val="51D14E05"/>
    <w:rsid w:val="51D22038"/>
    <w:rsid w:val="51D37C40"/>
    <w:rsid w:val="51D81E23"/>
    <w:rsid w:val="51E3B1DB"/>
    <w:rsid w:val="5207AA91"/>
    <w:rsid w:val="5210A923"/>
    <w:rsid w:val="52259AE4"/>
    <w:rsid w:val="5225B66C"/>
    <w:rsid w:val="5231740D"/>
    <w:rsid w:val="523B0713"/>
    <w:rsid w:val="52423CCE"/>
    <w:rsid w:val="5246C5CE"/>
    <w:rsid w:val="524C5EDB"/>
    <w:rsid w:val="52530E2F"/>
    <w:rsid w:val="525434C7"/>
    <w:rsid w:val="525C709D"/>
    <w:rsid w:val="526052FE"/>
    <w:rsid w:val="526680F0"/>
    <w:rsid w:val="526BEEAD"/>
    <w:rsid w:val="526C033C"/>
    <w:rsid w:val="526DCD25"/>
    <w:rsid w:val="52717744"/>
    <w:rsid w:val="5272A84D"/>
    <w:rsid w:val="527467DA"/>
    <w:rsid w:val="5275BB28"/>
    <w:rsid w:val="5278EC4F"/>
    <w:rsid w:val="5286C4FB"/>
    <w:rsid w:val="528AA86F"/>
    <w:rsid w:val="528ABCEF"/>
    <w:rsid w:val="528C3164"/>
    <w:rsid w:val="52939BFA"/>
    <w:rsid w:val="52A1CA76"/>
    <w:rsid w:val="52B08D98"/>
    <w:rsid w:val="52B0D82E"/>
    <w:rsid w:val="52B4EF17"/>
    <w:rsid w:val="52B54AB3"/>
    <w:rsid w:val="52B93D64"/>
    <w:rsid w:val="52BDB5D3"/>
    <w:rsid w:val="52BF8630"/>
    <w:rsid w:val="52C97B1A"/>
    <w:rsid w:val="52CD2810"/>
    <w:rsid w:val="52DF23E0"/>
    <w:rsid w:val="52E247C7"/>
    <w:rsid w:val="52E5060F"/>
    <w:rsid w:val="52F06C18"/>
    <w:rsid w:val="52F0D748"/>
    <w:rsid w:val="52FC2278"/>
    <w:rsid w:val="52FE43AA"/>
    <w:rsid w:val="52FECD9A"/>
    <w:rsid w:val="5307B955"/>
    <w:rsid w:val="5308BF4D"/>
    <w:rsid w:val="53094E85"/>
    <w:rsid w:val="531FF209"/>
    <w:rsid w:val="5322D15C"/>
    <w:rsid w:val="532D07CD"/>
    <w:rsid w:val="532FC476"/>
    <w:rsid w:val="533065CB"/>
    <w:rsid w:val="53389D24"/>
    <w:rsid w:val="534F014F"/>
    <w:rsid w:val="534F382A"/>
    <w:rsid w:val="5355634F"/>
    <w:rsid w:val="5357227F"/>
    <w:rsid w:val="5357CF7F"/>
    <w:rsid w:val="535C5CA4"/>
    <w:rsid w:val="536A9637"/>
    <w:rsid w:val="53710F7F"/>
    <w:rsid w:val="537174E7"/>
    <w:rsid w:val="537CE211"/>
    <w:rsid w:val="53873555"/>
    <w:rsid w:val="538F0FE8"/>
    <w:rsid w:val="53909182"/>
    <w:rsid w:val="53945FDB"/>
    <w:rsid w:val="5397BDE8"/>
    <w:rsid w:val="53A871FE"/>
    <w:rsid w:val="53AB6648"/>
    <w:rsid w:val="53AF97C5"/>
    <w:rsid w:val="53BEAA79"/>
    <w:rsid w:val="53C259A5"/>
    <w:rsid w:val="53C94CAB"/>
    <w:rsid w:val="53CDE5D2"/>
    <w:rsid w:val="53CE295B"/>
    <w:rsid w:val="53CE64E3"/>
    <w:rsid w:val="53CF1395"/>
    <w:rsid w:val="53D0C361"/>
    <w:rsid w:val="53D3CC0F"/>
    <w:rsid w:val="53D61F9E"/>
    <w:rsid w:val="53DA9598"/>
    <w:rsid w:val="53DB4598"/>
    <w:rsid w:val="53DDAB68"/>
    <w:rsid w:val="53E038F5"/>
    <w:rsid w:val="53E4B347"/>
    <w:rsid w:val="53F4CF96"/>
    <w:rsid w:val="53FC60B5"/>
    <w:rsid w:val="540309FE"/>
    <w:rsid w:val="5407FBFD"/>
    <w:rsid w:val="5409303D"/>
    <w:rsid w:val="540E1BF1"/>
    <w:rsid w:val="541C17C0"/>
    <w:rsid w:val="5421173D"/>
    <w:rsid w:val="54252566"/>
    <w:rsid w:val="54296A25"/>
    <w:rsid w:val="542D8052"/>
    <w:rsid w:val="54312AC8"/>
    <w:rsid w:val="543EC2E2"/>
    <w:rsid w:val="544662A3"/>
    <w:rsid w:val="544792EE"/>
    <w:rsid w:val="5448CD1B"/>
    <w:rsid w:val="544966AF"/>
    <w:rsid w:val="545C2801"/>
    <w:rsid w:val="545E81A4"/>
    <w:rsid w:val="546C9CC0"/>
    <w:rsid w:val="54700B5B"/>
    <w:rsid w:val="547B3EBB"/>
    <w:rsid w:val="547C67C3"/>
    <w:rsid w:val="5490839D"/>
    <w:rsid w:val="54926E72"/>
    <w:rsid w:val="54945E03"/>
    <w:rsid w:val="54964819"/>
    <w:rsid w:val="549BDE9F"/>
    <w:rsid w:val="549FDE22"/>
    <w:rsid w:val="54A1E65A"/>
    <w:rsid w:val="54A4EAD2"/>
    <w:rsid w:val="54A91E6F"/>
    <w:rsid w:val="54B1F9B5"/>
    <w:rsid w:val="54B29886"/>
    <w:rsid w:val="54B487A1"/>
    <w:rsid w:val="54B65329"/>
    <w:rsid w:val="54BA44A9"/>
    <w:rsid w:val="54BC2254"/>
    <w:rsid w:val="54BCDAA2"/>
    <w:rsid w:val="54BD6FC4"/>
    <w:rsid w:val="54D3345F"/>
    <w:rsid w:val="54D33D25"/>
    <w:rsid w:val="54D7A3D5"/>
    <w:rsid w:val="54E0CD6B"/>
    <w:rsid w:val="54EC8EB5"/>
    <w:rsid w:val="54F2E767"/>
    <w:rsid w:val="54F4FC9A"/>
    <w:rsid w:val="54F9532D"/>
    <w:rsid w:val="54FD7723"/>
    <w:rsid w:val="54FDAB1E"/>
    <w:rsid w:val="54FE1599"/>
    <w:rsid w:val="550111FB"/>
    <w:rsid w:val="5501787D"/>
    <w:rsid w:val="5505C5AD"/>
    <w:rsid w:val="5506F055"/>
    <w:rsid w:val="5506F988"/>
    <w:rsid w:val="550C88BA"/>
    <w:rsid w:val="550CB25C"/>
    <w:rsid w:val="550E2C72"/>
    <w:rsid w:val="55188DB0"/>
    <w:rsid w:val="551974C3"/>
    <w:rsid w:val="5519D326"/>
    <w:rsid w:val="551A3644"/>
    <w:rsid w:val="55250AD1"/>
    <w:rsid w:val="55290BA2"/>
    <w:rsid w:val="552D7FF6"/>
    <w:rsid w:val="553DB36E"/>
    <w:rsid w:val="5548058F"/>
    <w:rsid w:val="554BD470"/>
    <w:rsid w:val="554EA0A9"/>
    <w:rsid w:val="55503FC6"/>
    <w:rsid w:val="555365DA"/>
    <w:rsid w:val="55546524"/>
    <w:rsid w:val="5558D392"/>
    <w:rsid w:val="556F71A0"/>
    <w:rsid w:val="5575A87A"/>
    <w:rsid w:val="5578D5A9"/>
    <w:rsid w:val="55844B48"/>
    <w:rsid w:val="558E262A"/>
    <w:rsid w:val="5594718E"/>
    <w:rsid w:val="5599A93B"/>
    <w:rsid w:val="559BA55D"/>
    <w:rsid w:val="559C9265"/>
    <w:rsid w:val="55A1C644"/>
    <w:rsid w:val="55A67D4E"/>
    <w:rsid w:val="55A83D6B"/>
    <w:rsid w:val="55BB2D4B"/>
    <w:rsid w:val="55BB8D75"/>
    <w:rsid w:val="55BD8A74"/>
    <w:rsid w:val="55BF8149"/>
    <w:rsid w:val="55C07573"/>
    <w:rsid w:val="55C8FAFD"/>
    <w:rsid w:val="55CD4C7E"/>
    <w:rsid w:val="55DB9FAA"/>
    <w:rsid w:val="55E29E35"/>
    <w:rsid w:val="55E3FF01"/>
    <w:rsid w:val="55E9464A"/>
    <w:rsid w:val="55E98BC8"/>
    <w:rsid w:val="55F029BA"/>
    <w:rsid w:val="55F37178"/>
    <w:rsid w:val="55F6F9F3"/>
    <w:rsid w:val="55FEA681"/>
    <w:rsid w:val="56000EA5"/>
    <w:rsid w:val="5604C522"/>
    <w:rsid w:val="560C3C60"/>
    <w:rsid w:val="56110CF9"/>
    <w:rsid w:val="5611E423"/>
    <w:rsid w:val="5614046C"/>
    <w:rsid w:val="56246304"/>
    <w:rsid w:val="56304976"/>
    <w:rsid w:val="56361122"/>
    <w:rsid w:val="5638F1FA"/>
    <w:rsid w:val="563BE4CC"/>
    <w:rsid w:val="56447981"/>
    <w:rsid w:val="564B0B53"/>
    <w:rsid w:val="5654F761"/>
    <w:rsid w:val="565DFF36"/>
    <w:rsid w:val="5660508E"/>
    <w:rsid w:val="566257BE"/>
    <w:rsid w:val="566910D2"/>
    <w:rsid w:val="566BB666"/>
    <w:rsid w:val="566C7140"/>
    <w:rsid w:val="566C814E"/>
    <w:rsid w:val="56721890"/>
    <w:rsid w:val="567743EF"/>
    <w:rsid w:val="56785BAF"/>
    <w:rsid w:val="567DEECC"/>
    <w:rsid w:val="567EF295"/>
    <w:rsid w:val="56890E49"/>
    <w:rsid w:val="5689CDD5"/>
    <w:rsid w:val="568B794F"/>
    <w:rsid w:val="5694512A"/>
    <w:rsid w:val="5699AF74"/>
    <w:rsid w:val="56A2BF44"/>
    <w:rsid w:val="56A907C2"/>
    <w:rsid w:val="56AE254E"/>
    <w:rsid w:val="56B3EC39"/>
    <w:rsid w:val="56B5A9B5"/>
    <w:rsid w:val="56BB6716"/>
    <w:rsid w:val="56CB081B"/>
    <w:rsid w:val="56CD05AE"/>
    <w:rsid w:val="56CF44E6"/>
    <w:rsid w:val="56DCB88E"/>
    <w:rsid w:val="56E0D013"/>
    <w:rsid w:val="56EAA678"/>
    <w:rsid w:val="56EB9A7F"/>
    <w:rsid w:val="56ED6DCD"/>
    <w:rsid w:val="56F17A48"/>
    <w:rsid w:val="56F191CD"/>
    <w:rsid w:val="56F3E8F4"/>
    <w:rsid w:val="57075B96"/>
    <w:rsid w:val="57088673"/>
    <w:rsid w:val="570CF98E"/>
    <w:rsid w:val="570D1959"/>
    <w:rsid w:val="57122109"/>
    <w:rsid w:val="5717F41F"/>
    <w:rsid w:val="571ECBAA"/>
    <w:rsid w:val="572355F5"/>
    <w:rsid w:val="572A2C1B"/>
    <w:rsid w:val="572AD73C"/>
    <w:rsid w:val="573BE50D"/>
    <w:rsid w:val="5740C370"/>
    <w:rsid w:val="5741EEB1"/>
    <w:rsid w:val="57582099"/>
    <w:rsid w:val="575C803C"/>
    <w:rsid w:val="5762E697"/>
    <w:rsid w:val="5764754D"/>
    <w:rsid w:val="576D65B3"/>
    <w:rsid w:val="577D5FE9"/>
    <w:rsid w:val="578539C1"/>
    <w:rsid w:val="578A5FC6"/>
    <w:rsid w:val="578F5666"/>
    <w:rsid w:val="579B8C2D"/>
    <w:rsid w:val="57AC1DCF"/>
    <w:rsid w:val="57B22E55"/>
    <w:rsid w:val="57B42D49"/>
    <w:rsid w:val="57B434C1"/>
    <w:rsid w:val="57B80D62"/>
    <w:rsid w:val="57BECC80"/>
    <w:rsid w:val="57C13ADA"/>
    <w:rsid w:val="57C41661"/>
    <w:rsid w:val="57C6B96F"/>
    <w:rsid w:val="57C77549"/>
    <w:rsid w:val="57CCFE0D"/>
    <w:rsid w:val="57D3DF39"/>
    <w:rsid w:val="57DC71D6"/>
    <w:rsid w:val="57DD2156"/>
    <w:rsid w:val="57E1D088"/>
    <w:rsid w:val="57E5DEF7"/>
    <w:rsid w:val="57E67AA6"/>
    <w:rsid w:val="57E6C7E0"/>
    <w:rsid w:val="57E8E979"/>
    <w:rsid w:val="57EAB3E4"/>
    <w:rsid w:val="57EEFA57"/>
    <w:rsid w:val="57F9EF35"/>
    <w:rsid w:val="57FFC943"/>
    <w:rsid w:val="58007A79"/>
    <w:rsid w:val="5800CBE8"/>
    <w:rsid w:val="580A9275"/>
    <w:rsid w:val="5818422D"/>
    <w:rsid w:val="5818BA21"/>
    <w:rsid w:val="581E256F"/>
    <w:rsid w:val="581EAC4A"/>
    <w:rsid w:val="581FEBF3"/>
    <w:rsid w:val="5820A5E8"/>
    <w:rsid w:val="5821A7D0"/>
    <w:rsid w:val="5821C97F"/>
    <w:rsid w:val="58233711"/>
    <w:rsid w:val="5823EEBE"/>
    <w:rsid w:val="5826FD41"/>
    <w:rsid w:val="582C2F9D"/>
    <w:rsid w:val="58303F4D"/>
    <w:rsid w:val="583C15E2"/>
    <w:rsid w:val="583D3DCD"/>
    <w:rsid w:val="584509E3"/>
    <w:rsid w:val="58452D1A"/>
    <w:rsid w:val="5850CA96"/>
    <w:rsid w:val="5854F3BD"/>
    <w:rsid w:val="5861DBAB"/>
    <w:rsid w:val="5867EAD4"/>
    <w:rsid w:val="5877E2E5"/>
    <w:rsid w:val="587CFA33"/>
    <w:rsid w:val="5880B6E4"/>
    <w:rsid w:val="5887CCA7"/>
    <w:rsid w:val="588F94FF"/>
    <w:rsid w:val="5895ED86"/>
    <w:rsid w:val="5895FF5A"/>
    <w:rsid w:val="589F47ED"/>
    <w:rsid w:val="58A0EEAC"/>
    <w:rsid w:val="58A4094A"/>
    <w:rsid w:val="58A753BC"/>
    <w:rsid w:val="58ABF007"/>
    <w:rsid w:val="58AEF2B1"/>
    <w:rsid w:val="58AF333C"/>
    <w:rsid w:val="58BFA0C6"/>
    <w:rsid w:val="58CD3C18"/>
    <w:rsid w:val="58CEDE77"/>
    <w:rsid w:val="58CFDA61"/>
    <w:rsid w:val="58D2CC68"/>
    <w:rsid w:val="58D99D5C"/>
    <w:rsid w:val="58DF2ED8"/>
    <w:rsid w:val="58E763CA"/>
    <w:rsid w:val="58FB88B1"/>
    <w:rsid w:val="58FE8731"/>
    <w:rsid w:val="58FEDEF4"/>
    <w:rsid w:val="59056AF6"/>
    <w:rsid w:val="590674BF"/>
    <w:rsid w:val="590F7469"/>
    <w:rsid w:val="591613B8"/>
    <w:rsid w:val="591B2375"/>
    <w:rsid w:val="591D3CE5"/>
    <w:rsid w:val="59225964"/>
    <w:rsid w:val="592CBB5D"/>
    <w:rsid w:val="593F4A09"/>
    <w:rsid w:val="59432FA6"/>
    <w:rsid w:val="59433658"/>
    <w:rsid w:val="594B9E46"/>
    <w:rsid w:val="594F43FB"/>
    <w:rsid w:val="59558F87"/>
    <w:rsid w:val="595952C8"/>
    <w:rsid w:val="5959D9F7"/>
    <w:rsid w:val="595AA8AF"/>
    <w:rsid w:val="595BD820"/>
    <w:rsid w:val="595CB895"/>
    <w:rsid w:val="595E28C4"/>
    <w:rsid w:val="59662268"/>
    <w:rsid w:val="596B14E4"/>
    <w:rsid w:val="59724245"/>
    <w:rsid w:val="59732EFE"/>
    <w:rsid w:val="5973E98F"/>
    <w:rsid w:val="59771BC3"/>
    <w:rsid w:val="597D6936"/>
    <w:rsid w:val="598130C5"/>
    <w:rsid w:val="598D0167"/>
    <w:rsid w:val="598F38E2"/>
    <w:rsid w:val="599B81EC"/>
    <w:rsid w:val="59A48525"/>
    <w:rsid w:val="59AD2EC1"/>
    <w:rsid w:val="59B7BAF9"/>
    <w:rsid w:val="59BB6AA9"/>
    <w:rsid w:val="59C59369"/>
    <w:rsid w:val="59CB5765"/>
    <w:rsid w:val="59CDB6BF"/>
    <w:rsid w:val="59CF627A"/>
    <w:rsid w:val="59D11505"/>
    <w:rsid w:val="59D41AB8"/>
    <w:rsid w:val="59DAB140"/>
    <w:rsid w:val="59DF9777"/>
    <w:rsid w:val="59E106F8"/>
    <w:rsid w:val="59F444E7"/>
    <w:rsid w:val="59F51F90"/>
    <w:rsid w:val="5A00A022"/>
    <w:rsid w:val="5A1293B1"/>
    <w:rsid w:val="5A14650C"/>
    <w:rsid w:val="5A15FB77"/>
    <w:rsid w:val="5A160F03"/>
    <w:rsid w:val="5A17C844"/>
    <w:rsid w:val="5A2C0CDF"/>
    <w:rsid w:val="5A2F2DE1"/>
    <w:rsid w:val="5A3EB272"/>
    <w:rsid w:val="5A41ADF7"/>
    <w:rsid w:val="5A4FAC08"/>
    <w:rsid w:val="5A54E73A"/>
    <w:rsid w:val="5A584625"/>
    <w:rsid w:val="5A5CFF5C"/>
    <w:rsid w:val="5A6065F2"/>
    <w:rsid w:val="5A60731A"/>
    <w:rsid w:val="5A6B307A"/>
    <w:rsid w:val="5A6C6764"/>
    <w:rsid w:val="5A6EC406"/>
    <w:rsid w:val="5A7ACFAC"/>
    <w:rsid w:val="5A861306"/>
    <w:rsid w:val="5A9063EF"/>
    <w:rsid w:val="5A9A5EC1"/>
    <w:rsid w:val="5AA91D9B"/>
    <w:rsid w:val="5AB61C54"/>
    <w:rsid w:val="5AB66D60"/>
    <w:rsid w:val="5ABF6A6C"/>
    <w:rsid w:val="5ABFBCCA"/>
    <w:rsid w:val="5AC2AD37"/>
    <w:rsid w:val="5AD44F23"/>
    <w:rsid w:val="5AD83995"/>
    <w:rsid w:val="5AE028FE"/>
    <w:rsid w:val="5AE16D34"/>
    <w:rsid w:val="5AE37ABC"/>
    <w:rsid w:val="5AFC1DA4"/>
    <w:rsid w:val="5AFF0DB1"/>
    <w:rsid w:val="5B0329D4"/>
    <w:rsid w:val="5B040017"/>
    <w:rsid w:val="5B04C05E"/>
    <w:rsid w:val="5B07C1CC"/>
    <w:rsid w:val="5B0A574C"/>
    <w:rsid w:val="5B0B8D65"/>
    <w:rsid w:val="5B0E530B"/>
    <w:rsid w:val="5B121358"/>
    <w:rsid w:val="5B179993"/>
    <w:rsid w:val="5B19A73D"/>
    <w:rsid w:val="5B1AFF8B"/>
    <w:rsid w:val="5B1BF0A1"/>
    <w:rsid w:val="5B1E2EBE"/>
    <w:rsid w:val="5B2458A2"/>
    <w:rsid w:val="5B2AC62A"/>
    <w:rsid w:val="5B2CFF49"/>
    <w:rsid w:val="5B361FB0"/>
    <w:rsid w:val="5B36A792"/>
    <w:rsid w:val="5B411A3D"/>
    <w:rsid w:val="5B519588"/>
    <w:rsid w:val="5B55089D"/>
    <w:rsid w:val="5B584D36"/>
    <w:rsid w:val="5B5FEC9C"/>
    <w:rsid w:val="5B6FB3F1"/>
    <w:rsid w:val="5B706CD9"/>
    <w:rsid w:val="5B72391F"/>
    <w:rsid w:val="5B739475"/>
    <w:rsid w:val="5B7AF6A1"/>
    <w:rsid w:val="5B879007"/>
    <w:rsid w:val="5B8805BE"/>
    <w:rsid w:val="5B8BDB27"/>
    <w:rsid w:val="5B8FE3FC"/>
    <w:rsid w:val="5B91F83F"/>
    <w:rsid w:val="5B9211BA"/>
    <w:rsid w:val="5B946108"/>
    <w:rsid w:val="5B9F79EA"/>
    <w:rsid w:val="5BA6768C"/>
    <w:rsid w:val="5BA95316"/>
    <w:rsid w:val="5BAC8643"/>
    <w:rsid w:val="5BADCC35"/>
    <w:rsid w:val="5BAFB8E2"/>
    <w:rsid w:val="5BB8AA4B"/>
    <w:rsid w:val="5BCDCAB4"/>
    <w:rsid w:val="5BCDE622"/>
    <w:rsid w:val="5BCE4483"/>
    <w:rsid w:val="5BD574E4"/>
    <w:rsid w:val="5BEA414D"/>
    <w:rsid w:val="5BEB8AAA"/>
    <w:rsid w:val="5BED2A05"/>
    <w:rsid w:val="5BFD5584"/>
    <w:rsid w:val="5C05F5D7"/>
    <w:rsid w:val="5C08DE2D"/>
    <w:rsid w:val="5C08F139"/>
    <w:rsid w:val="5C18EFBF"/>
    <w:rsid w:val="5C1B1F3A"/>
    <w:rsid w:val="5C26F344"/>
    <w:rsid w:val="5C2D8FD3"/>
    <w:rsid w:val="5C2D9102"/>
    <w:rsid w:val="5C2DB841"/>
    <w:rsid w:val="5C331739"/>
    <w:rsid w:val="5C38EE04"/>
    <w:rsid w:val="5C39C1DE"/>
    <w:rsid w:val="5C3FC6AF"/>
    <w:rsid w:val="5C4EAB6E"/>
    <w:rsid w:val="5C4F7768"/>
    <w:rsid w:val="5C51A638"/>
    <w:rsid w:val="5C53D90F"/>
    <w:rsid w:val="5C60CAC2"/>
    <w:rsid w:val="5C65B97F"/>
    <w:rsid w:val="5C7223C3"/>
    <w:rsid w:val="5C7985B2"/>
    <w:rsid w:val="5C7A8E99"/>
    <w:rsid w:val="5C8AA498"/>
    <w:rsid w:val="5C9B2193"/>
    <w:rsid w:val="5CA0E6CD"/>
    <w:rsid w:val="5CA3F36E"/>
    <w:rsid w:val="5CA7FA60"/>
    <w:rsid w:val="5CAC16F5"/>
    <w:rsid w:val="5CB636B2"/>
    <w:rsid w:val="5CB78590"/>
    <w:rsid w:val="5CC2F2BF"/>
    <w:rsid w:val="5CC3E241"/>
    <w:rsid w:val="5CC5D5C0"/>
    <w:rsid w:val="5CC62F55"/>
    <w:rsid w:val="5CD5FC3E"/>
    <w:rsid w:val="5CD90597"/>
    <w:rsid w:val="5CDB158C"/>
    <w:rsid w:val="5CE47432"/>
    <w:rsid w:val="5CE5F1F9"/>
    <w:rsid w:val="5CE9B0CB"/>
    <w:rsid w:val="5CEDD3BF"/>
    <w:rsid w:val="5CF24702"/>
    <w:rsid w:val="5CFC50B7"/>
    <w:rsid w:val="5CFF4E79"/>
    <w:rsid w:val="5D0F5CFC"/>
    <w:rsid w:val="5D11254C"/>
    <w:rsid w:val="5D142FED"/>
    <w:rsid w:val="5D1D82B2"/>
    <w:rsid w:val="5D247941"/>
    <w:rsid w:val="5D2EF620"/>
    <w:rsid w:val="5D304023"/>
    <w:rsid w:val="5D315F54"/>
    <w:rsid w:val="5D38A615"/>
    <w:rsid w:val="5D43A90F"/>
    <w:rsid w:val="5D43BD24"/>
    <w:rsid w:val="5D465ABE"/>
    <w:rsid w:val="5D4B26B0"/>
    <w:rsid w:val="5D51EA81"/>
    <w:rsid w:val="5D586CB8"/>
    <w:rsid w:val="5D5B916B"/>
    <w:rsid w:val="5D5E0C7C"/>
    <w:rsid w:val="5D6959F5"/>
    <w:rsid w:val="5D6A5BA1"/>
    <w:rsid w:val="5D6E6B3F"/>
    <w:rsid w:val="5D74C223"/>
    <w:rsid w:val="5D86D311"/>
    <w:rsid w:val="5D87D61F"/>
    <w:rsid w:val="5D8A484E"/>
    <w:rsid w:val="5D9EC22D"/>
    <w:rsid w:val="5DA0C838"/>
    <w:rsid w:val="5DA8145C"/>
    <w:rsid w:val="5DA8C276"/>
    <w:rsid w:val="5DB293BB"/>
    <w:rsid w:val="5DB4D3F2"/>
    <w:rsid w:val="5DB77BD5"/>
    <w:rsid w:val="5DBAF087"/>
    <w:rsid w:val="5DC2424E"/>
    <w:rsid w:val="5DC34F9D"/>
    <w:rsid w:val="5DD0371C"/>
    <w:rsid w:val="5DD2CE1D"/>
    <w:rsid w:val="5DD33B57"/>
    <w:rsid w:val="5DD72A06"/>
    <w:rsid w:val="5DE0979C"/>
    <w:rsid w:val="5DE2E303"/>
    <w:rsid w:val="5DE494C6"/>
    <w:rsid w:val="5DE84078"/>
    <w:rsid w:val="5DE95E4B"/>
    <w:rsid w:val="5DEC5E61"/>
    <w:rsid w:val="5DEC9BB7"/>
    <w:rsid w:val="5DEE7B83"/>
    <w:rsid w:val="5DEFC1A6"/>
    <w:rsid w:val="5DF9C49C"/>
    <w:rsid w:val="5DFA77ED"/>
    <w:rsid w:val="5DFC4A47"/>
    <w:rsid w:val="5E02A7D1"/>
    <w:rsid w:val="5E05C2FC"/>
    <w:rsid w:val="5E080994"/>
    <w:rsid w:val="5E0A25F4"/>
    <w:rsid w:val="5E0E80AD"/>
    <w:rsid w:val="5E10DAE7"/>
    <w:rsid w:val="5E259878"/>
    <w:rsid w:val="5E2A325D"/>
    <w:rsid w:val="5E2B4BB5"/>
    <w:rsid w:val="5E2C1DE2"/>
    <w:rsid w:val="5E2EFD98"/>
    <w:rsid w:val="5E342E98"/>
    <w:rsid w:val="5E3E5C23"/>
    <w:rsid w:val="5E3F443D"/>
    <w:rsid w:val="5E439D04"/>
    <w:rsid w:val="5E519259"/>
    <w:rsid w:val="5E527752"/>
    <w:rsid w:val="5E570E0A"/>
    <w:rsid w:val="5E5CA868"/>
    <w:rsid w:val="5E65030C"/>
    <w:rsid w:val="5E6BB49E"/>
    <w:rsid w:val="5E725629"/>
    <w:rsid w:val="5E77FBAC"/>
    <w:rsid w:val="5E79DF61"/>
    <w:rsid w:val="5E7BDF0C"/>
    <w:rsid w:val="5E86395A"/>
    <w:rsid w:val="5E953551"/>
    <w:rsid w:val="5E970B4D"/>
    <w:rsid w:val="5E988ADD"/>
    <w:rsid w:val="5E9AFDE7"/>
    <w:rsid w:val="5EA95D3D"/>
    <w:rsid w:val="5EB0007F"/>
    <w:rsid w:val="5EB05713"/>
    <w:rsid w:val="5EB4F4B3"/>
    <w:rsid w:val="5EC7300E"/>
    <w:rsid w:val="5EC86498"/>
    <w:rsid w:val="5ECE305F"/>
    <w:rsid w:val="5ED7EF91"/>
    <w:rsid w:val="5EDA773D"/>
    <w:rsid w:val="5EDAB08B"/>
    <w:rsid w:val="5EE367C3"/>
    <w:rsid w:val="5EE9ACCA"/>
    <w:rsid w:val="5EEA09C0"/>
    <w:rsid w:val="5EEEDF67"/>
    <w:rsid w:val="5EFE6CE4"/>
    <w:rsid w:val="5F01D179"/>
    <w:rsid w:val="5F05DEC5"/>
    <w:rsid w:val="5F0F5085"/>
    <w:rsid w:val="5F101579"/>
    <w:rsid w:val="5F120C9D"/>
    <w:rsid w:val="5F174664"/>
    <w:rsid w:val="5F1749CF"/>
    <w:rsid w:val="5F1EB628"/>
    <w:rsid w:val="5F288101"/>
    <w:rsid w:val="5F2CE332"/>
    <w:rsid w:val="5F35BDD4"/>
    <w:rsid w:val="5F4B9D88"/>
    <w:rsid w:val="5F5BECAF"/>
    <w:rsid w:val="5F5CD3E3"/>
    <w:rsid w:val="5F615B03"/>
    <w:rsid w:val="5F6C7925"/>
    <w:rsid w:val="5F7D8720"/>
    <w:rsid w:val="5F8B3E41"/>
    <w:rsid w:val="5F954F74"/>
    <w:rsid w:val="5FA3E2C1"/>
    <w:rsid w:val="5FA55BD9"/>
    <w:rsid w:val="5FA67C44"/>
    <w:rsid w:val="5FA73A1B"/>
    <w:rsid w:val="5FAC972A"/>
    <w:rsid w:val="5FADE35A"/>
    <w:rsid w:val="5FB091A0"/>
    <w:rsid w:val="5FB0C058"/>
    <w:rsid w:val="5FB555E6"/>
    <w:rsid w:val="5FB8489F"/>
    <w:rsid w:val="5FBA5A60"/>
    <w:rsid w:val="5FBF7AA9"/>
    <w:rsid w:val="5FC30C0E"/>
    <w:rsid w:val="5FD10830"/>
    <w:rsid w:val="5FD12813"/>
    <w:rsid w:val="5FD215C4"/>
    <w:rsid w:val="5FD61BAC"/>
    <w:rsid w:val="5FDA4FAE"/>
    <w:rsid w:val="5FE149DA"/>
    <w:rsid w:val="5FE31CF9"/>
    <w:rsid w:val="5FE7C9D8"/>
    <w:rsid w:val="5FE96E27"/>
    <w:rsid w:val="5FED2C17"/>
    <w:rsid w:val="5FEF7411"/>
    <w:rsid w:val="60057670"/>
    <w:rsid w:val="60090994"/>
    <w:rsid w:val="60101D40"/>
    <w:rsid w:val="601021BB"/>
    <w:rsid w:val="601053B5"/>
    <w:rsid w:val="6012AC6B"/>
    <w:rsid w:val="601345ED"/>
    <w:rsid w:val="6019CEFF"/>
    <w:rsid w:val="6024D113"/>
    <w:rsid w:val="60305F1A"/>
    <w:rsid w:val="60340BC8"/>
    <w:rsid w:val="6037BDD6"/>
    <w:rsid w:val="6038C202"/>
    <w:rsid w:val="6039FADE"/>
    <w:rsid w:val="603ABDA5"/>
    <w:rsid w:val="60590E8F"/>
    <w:rsid w:val="6077F2A7"/>
    <w:rsid w:val="6081E8D3"/>
    <w:rsid w:val="608AC177"/>
    <w:rsid w:val="6096FBEB"/>
    <w:rsid w:val="6097F780"/>
    <w:rsid w:val="60A22707"/>
    <w:rsid w:val="60B06DE0"/>
    <w:rsid w:val="60B12CB5"/>
    <w:rsid w:val="60BE115E"/>
    <w:rsid w:val="60BEF6E7"/>
    <w:rsid w:val="60C73D19"/>
    <w:rsid w:val="60D0A46B"/>
    <w:rsid w:val="60DD0D89"/>
    <w:rsid w:val="60DDFD35"/>
    <w:rsid w:val="60E23480"/>
    <w:rsid w:val="60EE55D9"/>
    <w:rsid w:val="60EEEDD7"/>
    <w:rsid w:val="60F0DE65"/>
    <w:rsid w:val="60F28D7C"/>
    <w:rsid w:val="60F3BA05"/>
    <w:rsid w:val="60FD1879"/>
    <w:rsid w:val="61052C20"/>
    <w:rsid w:val="61066B09"/>
    <w:rsid w:val="610A4A79"/>
    <w:rsid w:val="6118728C"/>
    <w:rsid w:val="611B4905"/>
    <w:rsid w:val="611CBACE"/>
    <w:rsid w:val="611E985B"/>
    <w:rsid w:val="6121C75E"/>
    <w:rsid w:val="612C9491"/>
    <w:rsid w:val="613135B9"/>
    <w:rsid w:val="613560C3"/>
    <w:rsid w:val="613ADD61"/>
    <w:rsid w:val="613B9B33"/>
    <w:rsid w:val="613E828C"/>
    <w:rsid w:val="6146621D"/>
    <w:rsid w:val="614FB860"/>
    <w:rsid w:val="615DF719"/>
    <w:rsid w:val="61612D92"/>
    <w:rsid w:val="61632681"/>
    <w:rsid w:val="61663467"/>
    <w:rsid w:val="61676B1F"/>
    <w:rsid w:val="6171F337"/>
    <w:rsid w:val="61886FFF"/>
    <w:rsid w:val="61919383"/>
    <w:rsid w:val="6194761C"/>
    <w:rsid w:val="61AAF39E"/>
    <w:rsid w:val="61B31FFB"/>
    <w:rsid w:val="61B5FA6B"/>
    <w:rsid w:val="61B72EAD"/>
    <w:rsid w:val="61B9AF3F"/>
    <w:rsid w:val="61BCF51C"/>
    <w:rsid w:val="61C27A80"/>
    <w:rsid w:val="61C5B794"/>
    <w:rsid w:val="61CA1837"/>
    <w:rsid w:val="61CAC871"/>
    <w:rsid w:val="61D03190"/>
    <w:rsid w:val="61DAD3CF"/>
    <w:rsid w:val="61E1F28A"/>
    <w:rsid w:val="61E603F1"/>
    <w:rsid w:val="61E60E0E"/>
    <w:rsid w:val="61E71B1E"/>
    <w:rsid w:val="61EA79E6"/>
    <w:rsid w:val="61EFB768"/>
    <w:rsid w:val="620040D4"/>
    <w:rsid w:val="62080A7E"/>
    <w:rsid w:val="620E271A"/>
    <w:rsid w:val="621B313C"/>
    <w:rsid w:val="621F292A"/>
    <w:rsid w:val="6225D4A1"/>
    <w:rsid w:val="6227FDD4"/>
    <w:rsid w:val="622ACE32"/>
    <w:rsid w:val="622B73F1"/>
    <w:rsid w:val="622D3504"/>
    <w:rsid w:val="6231AAB0"/>
    <w:rsid w:val="623F7CED"/>
    <w:rsid w:val="624300D4"/>
    <w:rsid w:val="624F4087"/>
    <w:rsid w:val="625236B1"/>
    <w:rsid w:val="62577D43"/>
    <w:rsid w:val="625A90B6"/>
    <w:rsid w:val="6260468B"/>
    <w:rsid w:val="62640EA0"/>
    <w:rsid w:val="627082A6"/>
    <w:rsid w:val="6277C807"/>
    <w:rsid w:val="62879E6D"/>
    <w:rsid w:val="6293AF90"/>
    <w:rsid w:val="62984FB2"/>
    <w:rsid w:val="62987D77"/>
    <w:rsid w:val="629C194F"/>
    <w:rsid w:val="62A2B3D5"/>
    <w:rsid w:val="62A3AA08"/>
    <w:rsid w:val="62A74510"/>
    <w:rsid w:val="62A746D2"/>
    <w:rsid w:val="62ACA663"/>
    <w:rsid w:val="62B34D3D"/>
    <w:rsid w:val="62B4EFB4"/>
    <w:rsid w:val="62BC1A21"/>
    <w:rsid w:val="62C1AD25"/>
    <w:rsid w:val="62C1DD2E"/>
    <w:rsid w:val="62C3C623"/>
    <w:rsid w:val="62CBA599"/>
    <w:rsid w:val="62D0B714"/>
    <w:rsid w:val="62D4D0FE"/>
    <w:rsid w:val="62D57697"/>
    <w:rsid w:val="62E37C87"/>
    <w:rsid w:val="62E3F355"/>
    <w:rsid w:val="62E90E5A"/>
    <w:rsid w:val="62EA1166"/>
    <w:rsid w:val="62F330F0"/>
    <w:rsid w:val="62F3B49C"/>
    <w:rsid w:val="62F62D95"/>
    <w:rsid w:val="63059211"/>
    <w:rsid w:val="63085C7E"/>
    <w:rsid w:val="6319871E"/>
    <w:rsid w:val="631CB2A5"/>
    <w:rsid w:val="631F2D13"/>
    <w:rsid w:val="6322BCBF"/>
    <w:rsid w:val="63248229"/>
    <w:rsid w:val="6333A269"/>
    <w:rsid w:val="633C19B5"/>
    <w:rsid w:val="633F7A1B"/>
    <w:rsid w:val="63413A5F"/>
    <w:rsid w:val="634A318E"/>
    <w:rsid w:val="634EC3F5"/>
    <w:rsid w:val="6358B414"/>
    <w:rsid w:val="635B025F"/>
    <w:rsid w:val="63655D08"/>
    <w:rsid w:val="636B3250"/>
    <w:rsid w:val="6370BFFC"/>
    <w:rsid w:val="6375F27B"/>
    <w:rsid w:val="6379CFF8"/>
    <w:rsid w:val="63871D68"/>
    <w:rsid w:val="638DBDAC"/>
    <w:rsid w:val="63938C21"/>
    <w:rsid w:val="639ED022"/>
    <w:rsid w:val="63A739CB"/>
    <w:rsid w:val="63A74711"/>
    <w:rsid w:val="63A901E6"/>
    <w:rsid w:val="63B3AA2F"/>
    <w:rsid w:val="63BB7D4D"/>
    <w:rsid w:val="63C5D11C"/>
    <w:rsid w:val="63D26624"/>
    <w:rsid w:val="63E9812E"/>
    <w:rsid w:val="63F8F21A"/>
    <w:rsid w:val="63FD2564"/>
    <w:rsid w:val="63FE6669"/>
    <w:rsid w:val="6429B0C9"/>
    <w:rsid w:val="642DB011"/>
    <w:rsid w:val="64386E1D"/>
    <w:rsid w:val="643AD6DC"/>
    <w:rsid w:val="643D9589"/>
    <w:rsid w:val="643DBCC9"/>
    <w:rsid w:val="645B19B5"/>
    <w:rsid w:val="645C7C70"/>
    <w:rsid w:val="64625082"/>
    <w:rsid w:val="6467FE81"/>
    <w:rsid w:val="646F87DE"/>
    <w:rsid w:val="6470DD30"/>
    <w:rsid w:val="647A5968"/>
    <w:rsid w:val="6481273F"/>
    <w:rsid w:val="64853F2C"/>
    <w:rsid w:val="6489D681"/>
    <w:rsid w:val="648C0B6E"/>
    <w:rsid w:val="649C137E"/>
    <w:rsid w:val="649EB9D2"/>
    <w:rsid w:val="64A4CD75"/>
    <w:rsid w:val="64AFAEA6"/>
    <w:rsid w:val="64B25745"/>
    <w:rsid w:val="64B33503"/>
    <w:rsid w:val="64B6BCD0"/>
    <w:rsid w:val="64BA079F"/>
    <w:rsid w:val="64C64301"/>
    <w:rsid w:val="64C9A558"/>
    <w:rsid w:val="64C9CC32"/>
    <w:rsid w:val="64D5FA1C"/>
    <w:rsid w:val="64D8F3A8"/>
    <w:rsid w:val="64DA014A"/>
    <w:rsid w:val="64DC314A"/>
    <w:rsid w:val="64DC82EB"/>
    <w:rsid w:val="64DD8BED"/>
    <w:rsid w:val="64DEB87F"/>
    <w:rsid w:val="64EAB023"/>
    <w:rsid w:val="64EDAB17"/>
    <w:rsid w:val="64EF1D1C"/>
    <w:rsid w:val="64EF8112"/>
    <w:rsid w:val="64F72E20"/>
    <w:rsid w:val="64FAB7A8"/>
    <w:rsid w:val="64FADC05"/>
    <w:rsid w:val="64FB30C3"/>
    <w:rsid w:val="64FB3A56"/>
    <w:rsid w:val="650259E0"/>
    <w:rsid w:val="6507587E"/>
    <w:rsid w:val="650D9E8A"/>
    <w:rsid w:val="651C6C6D"/>
    <w:rsid w:val="6522290A"/>
    <w:rsid w:val="6522A20C"/>
    <w:rsid w:val="6524DA9A"/>
    <w:rsid w:val="653283F5"/>
    <w:rsid w:val="6534CECE"/>
    <w:rsid w:val="65382256"/>
    <w:rsid w:val="653F13F8"/>
    <w:rsid w:val="654C0DB2"/>
    <w:rsid w:val="6565E3E0"/>
    <w:rsid w:val="6568E243"/>
    <w:rsid w:val="6575FB73"/>
    <w:rsid w:val="6577066A"/>
    <w:rsid w:val="657AE90F"/>
    <w:rsid w:val="657D3C24"/>
    <w:rsid w:val="6580D38E"/>
    <w:rsid w:val="65818A33"/>
    <w:rsid w:val="6583447C"/>
    <w:rsid w:val="65879497"/>
    <w:rsid w:val="658F679F"/>
    <w:rsid w:val="6594B0D5"/>
    <w:rsid w:val="659894AD"/>
    <w:rsid w:val="65A16A94"/>
    <w:rsid w:val="65A5AF7E"/>
    <w:rsid w:val="65AC3927"/>
    <w:rsid w:val="65AEB4E3"/>
    <w:rsid w:val="65B19624"/>
    <w:rsid w:val="65B37FD8"/>
    <w:rsid w:val="65B7C9B8"/>
    <w:rsid w:val="65B88DBE"/>
    <w:rsid w:val="65BCBDFE"/>
    <w:rsid w:val="65C33FC9"/>
    <w:rsid w:val="65CDFED2"/>
    <w:rsid w:val="65D7D30C"/>
    <w:rsid w:val="65E7F3C5"/>
    <w:rsid w:val="65E9A56F"/>
    <w:rsid w:val="65EC3A73"/>
    <w:rsid w:val="65F8D237"/>
    <w:rsid w:val="66062F82"/>
    <w:rsid w:val="66141D84"/>
    <w:rsid w:val="661E8E32"/>
    <w:rsid w:val="6621F6EF"/>
    <w:rsid w:val="662793BF"/>
    <w:rsid w:val="6628522D"/>
    <w:rsid w:val="662EC641"/>
    <w:rsid w:val="663651A9"/>
    <w:rsid w:val="66366867"/>
    <w:rsid w:val="66458E58"/>
    <w:rsid w:val="6650F7B1"/>
    <w:rsid w:val="665187DB"/>
    <w:rsid w:val="66529FF3"/>
    <w:rsid w:val="665588EB"/>
    <w:rsid w:val="665B9920"/>
    <w:rsid w:val="666290A7"/>
    <w:rsid w:val="66646A1B"/>
    <w:rsid w:val="666C5ADE"/>
    <w:rsid w:val="667BA597"/>
    <w:rsid w:val="667C7DA8"/>
    <w:rsid w:val="66823AE9"/>
    <w:rsid w:val="668785C8"/>
    <w:rsid w:val="668D0926"/>
    <w:rsid w:val="669608D3"/>
    <w:rsid w:val="66A2ACC2"/>
    <w:rsid w:val="66B03712"/>
    <w:rsid w:val="66B70EB9"/>
    <w:rsid w:val="66BA8255"/>
    <w:rsid w:val="66C60C8A"/>
    <w:rsid w:val="66CAFABD"/>
    <w:rsid w:val="66CBD427"/>
    <w:rsid w:val="66D3C7CE"/>
    <w:rsid w:val="66D814EB"/>
    <w:rsid w:val="66DBF1C4"/>
    <w:rsid w:val="66E7BD8C"/>
    <w:rsid w:val="66E9B12B"/>
    <w:rsid w:val="66EA5F8A"/>
    <w:rsid w:val="66EB6EF6"/>
    <w:rsid w:val="66F88CB7"/>
    <w:rsid w:val="67183C2C"/>
    <w:rsid w:val="671A6383"/>
    <w:rsid w:val="671B3673"/>
    <w:rsid w:val="6720AB77"/>
    <w:rsid w:val="67218175"/>
    <w:rsid w:val="67269207"/>
    <w:rsid w:val="6729F7AA"/>
    <w:rsid w:val="67380F15"/>
    <w:rsid w:val="674585E0"/>
    <w:rsid w:val="674E599C"/>
    <w:rsid w:val="67527CC5"/>
    <w:rsid w:val="67528338"/>
    <w:rsid w:val="67652EC7"/>
    <w:rsid w:val="67696D88"/>
    <w:rsid w:val="6769FF6D"/>
    <w:rsid w:val="676B23D2"/>
    <w:rsid w:val="67720DA9"/>
    <w:rsid w:val="6773E80A"/>
    <w:rsid w:val="67747637"/>
    <w:rsid w:val="6777A0B6"/>
    <w:rsid w:val="67812945"/>
    <w:rsid w:val="67859D6F"/>
    <w:rsid w:val="678FB2C1"/>
    <w:rsid w:val="67944D2E"/>
    <w:rsid w:val="679E5A16"/>
    <w:rsid w:val="67A54F46"/>
    <w:rsid w:val="67AFE6F0"/>
    <w:rsid w:val="67B40FCB"/>
    <w:rsid w:val="67B6ED03"/>
    <w:rsid w:val="67B99F01"/>
    <w:rsid w:val="67C0E873"/>
    <w:rsid w:val="67C38661"/>
    <w:rsid w:val="67C74EB9"/>
    <w:rsid w:val="67CBBB22"/>
    <w:rsid w:val="67D28F41"/>
    <w:rsid w:val="67E029B9"/>
    <w:rsid w:val="67E02FC8"/>
    <w:rsid w:val="67E9B530"/>
    <w:rsid w:val="67EF959C"/>
    <w:rsid w:val="67F6B7E3"/>
    <w:rsid w:val="67F6E937"/>
    <w:rsid w:val="67FAE025"/>
    <w:rsid w:val="67FCA5C1"/>
    <w:rsid w:val="67FF10D9"/>
    <w:rsid w:val="6800A480"/>
    <w:rsid w:val="680CFB6E"/>
    <w:rsid w:val="680E2BB7"/>
    <w:rsid w:val="68238BEA"/>
    <w:rsid w:val="682496D2"/>
    <w:rsid w:val="682D736C"/>
    <w:rsid w:val="68394D8E"/>
    <w:rsid w:val="68415B78"/>
    <w:rsid w:val="68494846"/>
    <w:rsid w:val="684AFC65"/>
    <w:rsid w:val="6852FF87"/>
    <w:rsid w:val="685CFAA5"/>
    <w:rsid w:val="686CE0F1"/>
    <w:rsid w:val="686E53DE"/>
    <w:rsid w:val="686F51CC"/>
    <w:rsid w:val="68793EC7"/>
    <w:rsid w:val="68795E6B"/>
    <w:rsid w:val="687B2D0B"/>
    <w:rsid w:val="6884AA36"/>
    <w:rsid w:val="688FF726"/>
    <w:rsid w:val="68909634"/>
    <w:rsid w:val="68A1433D"/>
    <w:rsid w:val="68B0B0AE"/>
    <w:rsid w:val="68BA7A7B"/>
    <w:rsid w:val="68CB98EC"/>
    <w:rsid w:val="68D2EE19"/>
    <w:rsid w:val="68D62E90"/>
    <w:rsid w:val="68E35345"/>
    <w:rsid w:val="68F26214"/>
    <w:rsid w:val="6909BEAC"/>
    <w:rsid w:val="691D9287"/>
    <w:rsid w:val="69228766"/>
    <w:rsid w:val="693203DE"/>
    <w:rsid w:val="6938F298"/>
    <w:rsid w:val="693F045C"/>
    <w:rsid w:val="694E6643"/>
    <w:rsid w:val="695116C8"/>
    <w:rsid w:val="69528B84"/>
    <w:rsid w:val="69537AB0"/>
    <w:rsid w:val="695511DB"/>
    <w:rsid w:val="695D502B"/>
    <w:rsid w:val="695D548C"/>
    <w:rsid w:val="69626528"/>
    <w:rsid w:val="6962ADCC"/>
    <w:rsid w:val="6968E995"/>
    <w:rsid w:val="696A92D0"/>
    <w:rsid w:val="6972EFAA"/>
    <w:rsid w:val="6978A845"/>
    <w:rsid w:val="6979DF21"/>
    <w:rsid w:val="697E9991"/>
    <w:rsid w:val="6986AA39"/>
    <w:rsid w:val="69887CAF"/>
    <w:rsid w:val="698C7357"/>
    <w:rsid w:val="698CB3A5"/>
    <w:rsid w:val="699AFABB"/>
    <w:rsid w:val="699E7B1B"/>
    <w:rsid w:val="69AEF16F"/>
    <w:rsid w:val="69AF2EB4"/>
    <w:rsid w:val="69AF981F"/>
    <w:rsid w:val="69AF9CA1"/>
    <w:rsid w:val="69B30302"/>
    <w:rsid w:val="69B90DC9"/>
    <w:rsid w:val="69B94C6F"/>
    <w:rsid w:val="69B9A1F2"/>
    <w:rsid w:val="69CD69AE"/>
    <w:rsid w:val="69CF687B"/>
    <w:rsid w:val="69D4A1EF"/>
    <w:rsid w:val="69E43D31"/>
    <w:rsid w:val="69E6941E"/>
    <w:rsid w:val="69E6EB2F"/>
    <w:rsid w:val="69E78703"/>
    <w:rsid w:val="69E8409C"/>
    <w:rsid w:val="69EAB8DA"/>
    <w:rsid w:val="69EAC551"/>
    <w:rsid w:val="69F03414"/>
    <w:rsid w:val="69FF35C4"/>
    <w:rsid w:val="6A0DE4D3"/>
    <w:rsid w:val="6A0FAD80"/>
    <w:rsid w:val="6A103168"/>
    <w:rsid w:val="6A14D2A4"/>
    <w:rsid w:val="6A1B0622"/>
    <w:rsid w:val="6A1B6B5F"/>
    <w:rsid w:val="6A28C4AC"/>
    <w:rsid w:val="6A2F3A80"/>
    <w:rsid w:val="6A30B5F8"/>
    <w:rsid w:val="6A323959"/>
    <w:rsid w:val="6A3581AB"/>
    <w:rsid w:val="6A45D500"/>
    <w:rsid w:val="6A4E10A3"/>
    <w:rsid w:val="6A546C65"/>
    <w:rsid w:val="6A57683C"/>
    <w:rsid w:val="6A5786B3"/>
    <w:rsid w:val="6A586A6B"/>
    <w:rsid w:val="6A5E9C5D"/>
    <w:rsid w:val="6A62423F"/>
    <w:rsid w:val="6A6F8A40"/>
    <w:rsid w:val="6A73A5FB"/>
    <w:rsid w:val="6A73A721"/>
    <w:rsid w:val="6A7461ED"/>
    <w:rsid w:val="6A74B473"/>
    <w:rsid w:val="6A7879E9"/>
    <w:rsid w:val="6A7E5708"/>
    <w:rsid w:val="6A812C41"/>
    <w:rsid w:val="6A8203CE"/>
    <w:rsid w:val="6A8807F0"/>
    <w:rsid w:val="6A8F47BE"/>
    <w:rsid w:val="6A9B8EC9"/>
    <w:rsid w:val="6A9D1D4F"/>
    <w:rsid w:val="6AA9CC88"/>
    <w:rsid w:val="6AA9D45D"/>
    <w:rsid w:val="6AAB5064"/>
    <w:rsid w:val="6AB289BE"/>
    <w:rsid w:val="6AB31EA2"/>
    <w:rsid w:val="6AB58EBA"/>
    <w:rsid w:val="6AB7E4DF"/>
    <w:rsid w:val="6AC47C10"/>
    <w:rsid w:val="6AC6D4ED"/>
    <w:rsid w:val="6AD0CA88"/>
    <w:rsid w:val="6AD41D9C"/>
    <w:rsid w:val="6AE29962"/>
    <w:rsid w:val="6AE408E1"/>
    <w:rsid w:val="6AEA34B0"/>
    <w:rsid w:val="6AEF0498"/>
    <w:rsid w:val="6AF467A8"/>
    <w:rsid w:val="6AF8C666"/>
    <w:rsid w:val="6AFAF5BC"/>
    <w:rsid w:val="6AFE602A"/>
    <w:rsid w:val="6B002563"/>
    <w:rsid w:val="6B04D5D0"/>
    <w:rsid w:val="6B06DDBC"/>
    <w:rsid w:val="6B107F81"/>
    <w:rsid w:val="6B18F488"/>
    <w:rsid w:val="6B199804"/>
    <w:rsid w:val="6B1D7A48"/>
    <w:rsid w:val="6B2DABD0"/>
    <w:rsid w:val="6B2FB0C1"/>
    <w:rsid w:val="6B30B955"/>
    <w:rsid w:val="6B392E81"/>
    <w:rsid w:val="6B3AFEBE"/>
    <w:rsid w:val="6B3D6CBC"/>
    <w:rsid w:val="6B3DDC3B"/>
    <w:rsid w:val="6B4018E9"/>
    <w:rsid w:val="6B41C35B"/>
    <w:rsid w:val="6B49927B"/>
    <w:rsid w:val="6B4B1540"/>
    <w:rsid w:val="6B4BB0F7"/>
    <w:rsid w:val="6B536878"/>
    <w:rsid w:val="6B551A2D"/>
    <w:rsid w:val="6B61AC12"/>
    <w:rsid w:val="6B66799F"/>
    <w:rsid w:val="6B6C36E5"/>
    <w:rsid w:val="6B6C4F2F"/>
    <w:rsid w:val="6B72B096"/>
    <w:rsid w:val="6B79C776"/>
    <w:rsid w:val="6B7C1C1B"/>
    <w:rsid w:val="6B829B87"/>
    <w:rsid w:val="6B8E3C01"/>
    <w:rsid w:val="6B8EBB91"/>
    <w:rsid w:val="6B90F99B"/>
    <w:rsid w:val="6B94FA50"/>
    <w:rsid w:val="6B971584"/>
    <w:rsid w:val="6BA0293B"/>
    <w:rsid w:val="6BA23047"/>
    <w:rsid w:val="6BA23938"/>
    <w:rsid w:val="6BA4CC0E"/>
    <w:rsid w:val="6BA9A3E1"/>
    <w:rsid w:val="6BAD555A"/>
    <w:rsid w:val="6BADE9DD"/>
    <w:rsid w:val="6BBA3500"/>
    <w:rsid w:val="6BBFC221"/>
    <w:rsid w:val="6BD0BE17"/>
    <w:rsid w:val="6BE40A80"/>
    <w:rsid w:val="6BE53663"/>
    <w:rsid w:val="6BEB02F9"/>
    <w:rsid w:val="6BEB17AA"/>
    <w:rsid w:val="6BF14BFF"/>
    <w:rsid w:val="6BF54EFE"/>
    <w:rsid w:val="6C06C2E5"/>
    <w:rsid w:val="6C1A7A75"/>
    <w:rsid w:val="6C1F6583"/>
    <w:rsid w:val="6C299F74"/>
    <w:rsid w:val="6C307F96"/>
    <w:rsid w:val="6C34D584"/>
    <w:rsid w:val="6C476181"/>
    <w:rsid w:val="6C4D2015"/>
    <w:rsid w:val="6C59FD54"/>
    <w:rsid w:val="6C5B1C2F"/>
    <w:rsid w:val="6C66EAD7"/>
    <w:rsid w:val="6C6D5673"/>
    <w:rsid w:val="6C6E35D4"/>
    <w:rsid w:val="6C7D8CFB"/>
    <w:rsid w:val="6C813C60"/>
    <w:rsid w:val="6C8B1E86"/>
    <w:rsid w:val="6C8D392F"/>
    <w:rsid w:val="6C904184"/>
    <w:rsid w:val="6C913349"/>
    <w:rsid w:val="6CA9B788"/>
    <w:rsid w:val="6CAE5F48"/>
    <w:rsid w:val="6CBB7B18"/>
    <w:rsid w:val="6CBF8E7C"/>
    <w:rsid w:val="6CC5BD25"/>
    <w:rsid w:val="6CCFBE80"/>
    <w:rsid w:val="6CD78A3E"/>
    <w:rsid w:val="6CD9AEAD"/>
    <w:rsid w:val="6CE94723"/>
    <w:rsid w:val="6CE9C9AB"/>
    <w:rsid w:val="6CEB39B4"/>
    <w:rsid w:val="6CEBF890"/>
    <w:rsid w:val="6CF23188"/>
    <w:rsid w:val="6CFA2CB7"/>
    <w:rsid w:val="6CFECC4F"/>
    <w:rsid w:val="6D012E18"/>
    <w:rsid w:val="6D117768"/>
    <w:rsid w:val="6D159108"/>
    <w:rsid w:val="6D15B9B2"/>
    <w:rsid w:val="6D17BB7D"/>
    <w:rsid w:val="6D17BBD9"/>
    <w:rsid w:val="6D1A4F00"/>
    <w:rsid w:val="6D1E48DD"/>
    <w:rsid w:val="6D1F9C7E"/>
    <w:rsid w:val="6D211C52"/>
    <w:rsid w:val="6D274A34"/>
    <w:rsid w:val="6D27AF62"/>
    <w:rsid w:val="6D2CC846"/>
    <w:rsid w:val="6D31C66B"/>
    <w:rsid w:val="6D356C16"/>
    <w:rsid w:val="6D3AB58E"/>
    <w:rsid w:val="6D3FB853"/>
    <w:rsid w:val="6D4EA03C"/>
    <w:rsid w:val="6D5945AF"/>
    <w:rsid w:val="6D5B9B84"/>
    <w:rsid w:val="6D5CEE59"/>
    <w:rsid w:val="6D5E1FD7"/>
    <w:rsid w:val="6D5FC968"/>
    <w:rsid w:val="6D66EA77"/>
    <w:rsid w:val="6D6D2AFD"/>
    <w:rsid w:val="6D6ED2E1"/>
    <w:rsid w:val="6D745F94"/>
    <w:rsid w:val="6D79C78D"/>
    <w:rsid w:val="6D7C2576"/>
    <w:rsid w:val="6D82579B"/>
    <w:rsid w:val="6D849D5F"/>
    <w:rsid w:val="6D87B309"/>
    <w:rsid w:val="6D8930CF"/>
    <w:rsid w:val="6D95914C"/>
    <w:rsid w:val="6DA309A0"/>
    <w:rsid w:val="6DA41BC8"/>
    <w:rsid w:val="6DAA420A"/>
    <w:rsid w:val="6DAFDC68"/>
    <w:rsid w:val="6DB94722"/>
    <w:rsid w:val="6DBC786A"/>
    <w:rsid w:val="6DC00D9E"/>
    <w:rsid w:val="6DC44945"/>
    <w:rsid w:val="6DC6C998"/>
    <w:rsid w:val="6DC88DB8"/>
    <w:rsid w:val="6DCE36E0"/>
    <w:rsid w:val="6DCE60D0"/>
    <w:rsid w:val="6DD1D79B"/>
    <w:rsid w:val="6DD46BD9"/>
    <w:rsid w:val="6DE7B7C9"/>
    <w:rsid w:val="6DEEF229"/>
    <w:rsid w:val="6DF71148"/>
    <w:rsid w:val="6DFF376D"/>
    <w:rsid w:val="6E044357"/>
    <w:rsid w:val="6E0A3997"/>
    <w:rsid w:val="6E0B0796"/>
    <w:rsid w:val="6E0D5B2B"/>
    <w:rsid w:val="6E1CE720"/>
    <w:rsid w:val="6E1D9F27"/>
    <w:rsid w:val="6E1E1199"/>
    <w:rsid w:val="6E42F47C"/>
    <w:rsid w:val="6E5209AD"/>
    <w:rsid w:val="6E574396"/>
    <w:rsid w:val="6E6382F8"/>
    <w:rsid w:val="6E74ECC8"/>
    <w:rsid w:val="6E78CCB8"/>
    <w:rsid w:val="6E8AF64E"/>
    <w:rsid w:val="6E8D04E6"/>
    <w:rsid w:val="6E90E58C"/>
    <w:rsid w:val="6E95613B"/>
    <w:rsid w:val="6E9C57D2"/>
    <w:rsid w:val="6EA21FCC"/>
    <w:rsid w:val="6EA2F39D"/>
    <w:rsid w:val="6EB308A5"/>
    <w:rsid w:val="6EB32465"/>
    <w:rsid w:val="6EB39788"/>
    <w:rsid w:val="6EB93CCD"/>
    <w:rsid w:val="6EC00187"/>
    <w:rsid w:val="6ECE4DA8"/>
    <w:rsid w:val="6ECE6F4E"/>
    <w:rsid w:val="6ED395C5"/>
    <w:rsid w:val="6ED8C0B2"/>
    <w:rsid w:val="6EEB43A0"/>
    <w:rsid w:val="6EEE5022"/>
    <w:rsid w:val="6EEE6188"/>
    <w:rsid w:val="6EF00ED0"/>
    <w:rsid w:val="6EF9110F"/>
    <w:rsid w:val="6EFC0A42"/>
    <w:rsid w:val="6EFC1F7F"/>
    <w:rsid w:val="6EFC6089"/>
    <w:rsid w:val="6F02B03E"/>
    <w:rsid w:val="6F0D36A3"/>
    <w:rsid w:val="6F12A3DB"/>
    <w:rsid w:val="6F15B831"/>
    <w:rsid w:val="6F1C0A07"/>
    <w:rsid w:val="6F1FDD51"/>
    <w:rsid w:val="6F2032BF"/>
    <w:rsid w:val="6F229A1F"/>
    <w:rsid w:val="6F2622E3"/>
    <w:rsid w:val="6F2AE518"/>
    <w:rsid w:val="6F2D1379"/>
    <w:rsid w:val="6F321DED"/>
    <w:rsid w:val="6F3CD013"/>
    <w:rsid w:val="6F443C6E"/>
    <w:rsid w:val="6F50F779"/>
    <w:rsid w:val="6F72F042"/>
    <w:rsid w:val="6F73F138"/>
    <w:rsid w:val="6F7C83DC"/>
    <w:rsid w:val="6F805BDC"/>
    <w:rsid w:val="6F8CB9DB"/>
    <w:rsid w:val="6F902991"/>
    <w:rsid w:val="6F920625"/>
    <w:rsid w:val="6FA38B12"/>
    <w:rsid w:val="6FC159C0"/>
    <w:rsid w:val="6FD0ADE1"/>
    <w:rsid w:val="6FD48A95"/>
    <w:rsid w:val="6FDB8928"/>
    <w:rsid w:val="6FE03619"/>
    <w:rsid w:val="6FE3D928"/>
    <w:rsid w:val="6FE5F900"/>
    <w:rsid w:val="6FECF4A4"/>
    <w:rsid w:val="6FED1061"/>
    <w:rsid w:val="6FEF2888"/>
    <w:rsid w:val="6FF5CC3D"/>
    <w:rsid w:val="6FF70302"/>
    <w:rsid w:val="6FFEE110"/>
    <w:rsid w:val="70135FFB"/>
    <w:rsid w:val="701AB95B"/>
    <w:rsid w:val="701F7CC8"/>
    <w:rsid w:val="70256524"/>
    <w:rsid w:val="7027FA5A"/>
    <w:rsid w:val="703132A7"/>
    <w:rsid w:val="703DAE60"/>
    <w:rsid w:val="704D4203"/>
    <w:rsid w:val="704F7DC4"/>
    <w:rsid w:val="70545A17"/>
    <w:rsid w:val="7059CF8E"/>
    <w:rsid w:val="705AD05B"/>
    <w:rsid w:val="705CF63F"/>
    <w:rsid w:val="706107BB"/>
    <w:rsid w:val="7066C567"/>
    <w:rsid w:val="706B15D8"/>
    <w:rsid w:val="706C2A71"/>
    <w:rsid w:val="706D9795"/>
    <w:rsid w:val="706DAC15"/>
    <w:rsid w:val="706FAF6A"/>
    <w:rsid w:val="70716A78"/>
    <w:rsid w:val="7073C891"/>
    <w:rsid w:val="70826D39"/>
    <w:rsid w:val="70853A89"/>
    <w:rsid w:val="70890355"/>
    <w:rsid w:val="708C74D7"/>
    <w:rsid w:val="708EAB6F"/>
    <w:rsid w:val="70955138"/>
    <w:rsid w:val="70A4FC0E"/>
    <w:rsid w:val="70C097FA"/>
    <w:rsid w:val="70D27B53"/>
    <w:rsid w:val="70D50E86"/>
    <w:rsid w:val="70D72E05"/>
    <w:rsid w:val="70DA081E"/>
    <w:rsid w:val="70DCA608"/>
    <w:rsid w:val="70DF09F5"/>
    <w:rsid w:val="70E4EA93"/>
    <w:rsid w:val="70ECB784"/>
    <w:rsid w:val="70EEEFFC"/>
    <w:rsid w:val="70F14805"/>
    <w:rsid w:val="71031BAA"/>
    <w:rsid w:val="7107A3CA"/>
    <w:rsid w:val="711191B7"/>
    <w:rsid w:val="7113B4DB"/>
    <w:rsid w:val="711AFB67"/>
    <w:rsid w:val="712294BB"/>
    <w:rsid w:val="71241FCC"/>
    <w:rsid w:val="7125F527"/>
    <w:rsid w:val="712A73B3"/>
    <w:rsid w:val="713D83B2"/>
    <w:rsid w:val="71429876"/>
    <w:rsid w:val="714640D6"/>
    <w:rsid w:val="714CC63B"/>
    <w:rsid w:val="7151463A"/>
    <w:rsid w:val="715B2F17"/>
    <w:rsid w:val="71666FD0"/>
    <w:rsid w:val="717C8D15"/>
    <w:rsid w:val="717CED7B"/>
    <w:rsid w:val="717DE4CA"/>
    <w:rsid w:val="717E853C"/>
    <w:rsid w:val="717F6EA8"/>
    <w:rsid w:val="7187239F"/>
    <w:rsid w:val="71892EEA"/>
    <w:rsid w:val="718E5270"/>
    <w:rsid w:val="719124F6"/>
    <w:rsid w:val="71946200"/>
    <w:rsid w:val="7197F81E"/>
    <w:rsid w:val="71A169A5"/>
    <w:rsid w:val="71A86952"/>
    <w:rsid w:val="71B11BD3"/>
    <w:rsid w:val="71BA0076"/>
    <w:rsid w:val="71BA0CB6"/>
    <w:rsid w:val="71BFB6D5"/>
    <w:rsid w:val="71CEAC16"/>
    <w:rsid w:val="71D1645F"/>
    <w:rsid w:val="71D44BD8"/>
    <w:rsid w:val="71D502F3"/>
    <w:rsid w:val="71D600D6"/>
    <w:rsid w:val="71DAA29C"/>
    <w:rsid w:val="71E29496"/>
    <w:rsid w:val="71F51560"/>
    <w:rsid w:val="71F833AE"/>
    <w:rsid w:val="7203D83D"/>
    <w:rsid w:val="720B2CFA"/>
    <w:rsid w:val="720D880C"/>
    <w:rsid w:val="72108A06"/>
    <w:rsid w:val="7211DE0C"/>
    <w:rsid w:val="7211E34E"/>
    <w:rsid w:val="7214B142"/>
    <w:rsid w:val="7219EE7E"/>
    <w:rsid w:val="721F4017"/>
    <w:rsid w:val="722A18CB"/>
    <w:rsid w:val="722AA48E"/>
    <w:rsid w:val="722FEB7F"/>
    <w:rsid w:val="72320884"/>
    <w:rsid w:val="7233B6D7"/>
    <w:rsid w:val="723A1663"/>
    <w:rsid w:val="7245C9F3"/>
    <w:rsid w:val="725112A6"/>
    <w:rsid w:val="725A0CB2"/>
    <w:rsid w:val="725B2648"/>
    <w:rsid w:val="725B2DA1"/>
    <w:rsid w:val="725C0E57"/>
    <w:rsid w:val="727780F4"/>
    <w:rsid w:val="727A14EC"/>
    <w:rsid w:val="728450C3"/>
    <w:rsid w:val="7292B5C5"/>
    <w:rsid w:val="729A400A"/>
    <w:rsid w:val="729D29D7"/>
    <w:rsid w:val="729FBE90"/>
    <w:rsid w:val="72AA2B34"/>
    <w:rsid w:val="72B8DE1F"/>
    <w:rsid w:val="72BC9807"/>
    <w:rsid w:val="72BDD434"/>
    <w:rsid w:val="72C99D51"/>
    <w:rsid w:val="72CD1094"/>
    <w:rsid w:val="72E16706"/>
    <w:rsid w:val="72E60E69"/>
    <w:rsid w:val="72E966AC"/>
    <w:rsid w:val="72EEFE35"/>
    <w:rsid w:val="72F2068F"/>
    <w:rsid w:val="72F5C492"/>
    <w:rsid w:val="72F62FFF"/>
    <w:rsid w:val="72FEAF95"/>
    <w:rsid w:val="73023C27"/>
    <w:rsid w:val="7304D034"/>
    <w:rsid w:val="730966DD"/>
    <w:rsid w:val="730C0D0C"/>
    <w:rsid w:val="73135269"/>
    <w:rsid w:val="731918E1"/>
    <w:rsid w:val="73193344"/>
    <w:rsid w:val="732B49DD"/>
    <w:rsid w:val="732EA186"/>
    <w:rsid w:val="733223C5"/>
    <w:rsid w:val="7333B929"/>
    <w:rsid w:val="7339147B"/>
    <w:rsid w:val="733C1EAD"/>
    <w:rsid w:val="735A8D38"/>
    <w:rsid w:val="73637052"/>
    <w:rsid w:val="73794D39"/>
    <w:rsid w:val="737BD60B"/>
    <w:rsid w:val="737C7FA4"/>
    <w:rsid w:val="73807E89"/>
    <w:rsid w:val="738A9CE0"/>
    <w:rsid w:val="73930FE6"/>
    <w:rsid w:val="73969250"/>
    <w:rsid w:val="7398B754"/>
    <w:rsid w:val="739A0600"/>
    <w:rsid w:val="73A1513A"/>
    <w:rsid w:val="73A2901F"/>
    <w:rsid w:val="73AAD64F"/>
    <w:rsid w:val="73B025B2"/>
    <w:rsid w:val="73B18427"/>
    <w:rsid w:val="73B28A7F"/>
    <w:rsid w:val="73B33EC1"/>
    <w:rsid w:val="73B6C117"/>
    <w:rsid w:val="73B90174"/>
    <w:rsid w:val="73BF674C"/>
    <w:rsid w:val="73C6BF68"/>
    <w:rsid w:val="73CBD70B"/>
    <w:rsid w:val="73CC0AE8"/>
    <w:rsid w:val="73CD11CB"/>
    <w:rsid w:val="73D44DFC"/>
    <w:rsid w:val="73DFBC06"/>
    <w:rsid w:val="73E1A399"/>
    <w:rsid w:val="740819A1"/>
    <w:rsid w:val="7412E442"/>
    <w:rsid w:val="741E9616"/>
    <w:rsid w:val="742E344A"/>
    <w:rsid w:val="742FE6DD"/>
    <w:rsid w:val="74364D53"/>
    <w:rsid w:val="743C5A67"/>
    <w:rsid w:val="743CD0EB"/>
    <w:rsid w:val="743FC840"/>
    <w:rsid w:val="744366EB"/>
    <w:rsid w:val="74513E20"/>
    <w:rsid w:val="745B4140"/>
    <w:rsid w:val="7460D2B4"/>
    <w:rsid w:val="746C3B3E"/>
    <w:rsid w:val="747778EC"/>
    <w:rsid w:val="7479FD11"/>
    <w:rsid w:val="7486EBBC"/>
    <w:rsid w:val="7488AD6B"/>
    <w:rsid w:val="74913D25"/>
    <w:rsid w:val="749D0290"/>
    <w:rsid w:val="749D949E"/>
    <w:rsid w:val="74A69333"/>
    <w:rsid w:val="74AC210B"/>
    <w:rsid w:val="74ADF77B"/>
    <w:rsid w:val="74AE65BF"/>
    <w:rsid w:val="74AF24FC"/>
    <w:rsid w:val="74AFDDCC"/>
    <w:rsid w:val="74B789D6"/>
    <w:rsid w:val="74C371CE"/>
    <w:rsid w:val="74C515DC"/>
    <w:rsid w:val="74C5483C"/>
    <w:rsid w:val="74C6C37D"/>
    <w:rsid w:val="74C907B9"/>
    <w:rsid w:val="74CD3F9C"/>
    <w:rsid w:val="74D7A932"/>
    <w:rsid w:val="74E454F3"/>
    <w:rsid w:val="74F06099"/>
    <w:rsid w:val="74FCBDF5"/>
    <w:rsid w:val="75060BE1"/>
    <w:rsid w:val="750D3C43"/>
    <w:rsid w:val="7511071B"/>
    <w:rsid w:val="75118E46"/>
    <w:rsid w:val="7514F283"/>
    <w:rsid w:val="75154D60"/>
    <w:rsid w:val="75237611"/>
    <w:rsid w:val="75237BF1"/>
    <w:rsid w:val="7523EFFF"/>
    <w:rsid w:val="75272B3A"/>
    <w:rsid w:val="75288E21"/>
    <w:rsid w:val="753B1202"/>
    <w:rsid w:val="753C0B84"/>
    <w:rsid w:val="753E78E5"/>
    <w:rsid w:val="7547F161"/>
    <w:rsid w:val="75499992"/>
    <w:rsid w:val="75500259"/>
    <w:rsid w:val="7550E9E1"/>
    <w:rsid w:val="755CDB8F"/>
    <w:rsid w:val="755F62DE"/>
    <w:rsid w:val="7560A819"/>
    <w:rsid w:val="756B65DD"/>
    <w:rsid w:val="756E19AA"/>
    <w:rsid w:val="757610EB"/>
    <w:rsid w:val="7577C652"/>
    <w:rsid w:val="7578924B"/>
    <w:rsid w:val="757E463C"/>
    <w:rsid w:val="757EB031"/>
    <w:rsid w:val="7589A0A7"/>
    <w:rsid w:val="758AAA48"/>
    <w:rsid w:val="7596A3C8"/>
    <w:rsid w:val="75AB57C8"/>
    <w:rsid w:val="75C644A0"/>
    <w:rsid w:val="75C661FE"/>
    <w:rsid w:val="75C76D0C"/>
    <w:rsid w:val="75D02AAE"/>
    <w:rsid w:val="75D4BF44"/>
    <w:rsid w:val="75D69723"/>
    <w:rsid w:val="75DD3820"/>
    <w:rsid w:val="75E00042"/>
    <w:rsid w:val="75E177AF"/>
    <w:rsid w:val="75E3ED10"/>
    <w:rsid w:val="75E7290C"/>
    <w:rsid w:val="75FA3462"/>
    <w:rsid w:val="76111866"/>
    <w:rsid w:val="76169909"/>
    <w:rsid w:val="761AA6E1"/>
    <w:rsid w:val="7623F7B0"/>
    <w:rsid w:val="76400FB5"/>
    <w:rsid w:val="76475827"/>
    <w:rsid w:val="764EBF58"/>
    <w:rsid w:val="76565C34"/>
    <w:rsid w:val="76624571"/>
    <w:rsid w:val="7663ADB9"/>
    <w:rsid w:val="7663F4AD"/>
    <w:rsid w:val="766D3D59"/>
    <w:rsid w:val="766D4573"/>
    <w:rsid w:val="766DBA53"/>
    <w:rsid w:val="76713D2A"/>
    <w:rsid w:val="76748E63"/>
    <w:rsid w:val="76803FC6"/>
    <w:rsid w:val="768ACF35"/>
    <w:rsid w:val="7692355D"/>
    <w:rsid w:val="76947081"/>
    <w:rsid w:val="76A8BD06"/>
    <w:rsid w:val="76B0E306"/>
    <w:rsid w:val="76B4BE33"/>
    <w:rsid w:val="76B873A4"/>
    <w:rsid w:val="76B88ED9"/>
    <w:rsid w:val="76BF52EC"/>
    <w:rsid w:val="76C4F783"/>
    <w:rsid w:val="76C8CE21"/>
    <w:rsid w:val="76CEB6D7"/>
    <w:rsid w:val="76CF7AB0"/>
    <w:rsid w:val="76D03037"/>
    <w:rsid w:val="76D6FB45"/>
    <w:rsid w:val="76EA1151"/>
    <w:rsid w:val="76F0EF9F"/>
    <w:rsid w:val="76F5FF47"/>
    <w:rsid w:val="7710401B"/>
    <w:rsid w:val="7713C6C8"/>
    <w:rsid w:val="772DE7CC"/>
    <w:rsid w:val="7731A2F7"/>
    <w:rsid w:val="7733585D"/>
    <w:rsid w:val="7735B46E"/>
    <w:rsid w:val="7736EE72"/>
    <w:rsid w:val="774097EC"/>
    <w:rsid w:val="774A4324"/>
    <w:rsid w:val="774B55E6"/>
    <w:rsid w:val="77525F34"/>
    <w:rsid w:val="7754EDF8"/>
    <w:rsid w:val="7757D2B1"/>
    <w:rsid w:val="776344BB"/>
    <w:rsid w:val="7765D6F3"/>
    <w:rsid w:val="77684C3F"/>
    <w:rsid w:val="776FBB9C"/>
    <w:rsid w:val="777D058A"/>
    <w:rsid w:val="7781B8F7"/>
    <w:rsid w:val="7791EAA9"/>
    <w:rsid w:val="7793F421"/>
    <w:rsid w:val="77B12A7F"/>
    <w:rsid w:val="77C31AF8"/>
    <w:rsid w:val="77CA9254"/>
    <w:rsid w:val="77CA9CAF"/>
    <w:rsid w:val="77D100C0"/>
    <w:rsid w:val="77E6015E"/>
    <w:rsid w:val="77F92C9B"/>
    <w:rsid w:val="77FCA3F1"/>
    <w:rsid w:val="78006DD2"/>
    <w:rsid w:val="7804D052"/>
    <w:rsid w:val="7806EFA4"/>
    <w:rsid w:val="7810089D"/>
    <w:rsid w:val="7812A235"/>
    <w:rsid w:val="78158994"/>
    <w:rsid w:val="781837CA"/>
    <w:rsid w:val="781F14D8"/>
    <w:rsid w:val="78214DDC"/>
    <w:rsid w:val="78217A00"/>
    <w:rsid w:val="782279B6"/>
    <w:rsid w:val="78292E80"/>
    <w:rsid w:val="782C0841"/>
    <w:rsid w:val="7834DA5F"/>
    <w:rsid w:val="7836C906"/>
    <w:rsid w:val="78386D9B"/>
    <w:rsid w:val="7846519F"/>
    <w:rsid w:val="784824D6"/>
    <w:rsid w:val="7849628D"/>
    <w:rsid w:val="784B3157"/>
    <w:rsid w:val="784CFA89"/>
    <w:rsid w:val="784EF001"/>
    <w:rsid w:val="78513A88"/>
    <w:rsid w:val="78549F83"/>
    <w:rsid w:val="785B594E"/>
    <w:rsid w:val="78635779"/>
    <w:rsid w:val="78643B92"/>
    <w:rsid w:val="786BD79F"/>
    <w:rsid w:val="786F03AD"/>
    <w:rsid w:val="787BDBED"/>
    <w:rsid w:val="78931E15"/>
    <w:rsid w:val="789400C9"/>
    <w:rsid w:val="789721AF"/>
    <w:rsid w:val="78993C19"/>
    <w:rsid w:val="789A8AE9"/>
    <w:rsid w:val="789D75FA"/>
    <w:rsid w:val="789FEDCD"/>
    <w:rsid w:val="78A03A7C"/>
    <w:rsid w:val="78A210EB"/>
    <w:rsid w:val="78A2A5D6"/>
    <w:rsid w:val="78ABBB27"/>
    <w:rsid w:val="78B0EA94"/>
    <w:rsid w:val="78B39160"/>
    <w:rsid w:val="78B77EE6"/>
    <w:rsid w:val="78B83C6F"/>
    <w:rsid w:val="78BA8D3F"/>
    <w:rsid w:val="78BC09A3"/>
    <w:rsid w:val="78BC1776"/>
    <w:rsid w:val="78C35C69"/>
    <w:rsid w:val="78C4357B"/>
    <w:rsid w:val="78C76A71"/>
    <w:rsid w:val="78CCC45A"/>
    <w:rsid w:val="78CE4E42"/>
    <w:rsid w:val="78DB0A14"/>
    <w:rsid w:val="78DC0604"/>
    <w:rsid w:val="78E3D296"/>
    <w:rsid w:val="78EF808C"/>
    <w:rsid w:val="78FE14DA"/>
    <w:rsid w:val="790B8C4C"/>
    <w:rsid w:val="790E3A6B"/>
    <w:rsid w:val="790FC38E"/>
    <w:rsid w:val="79198DAC"/>
    <w:rsid w:val="791CF928"/>
    <w:rsid w:val="791E8956"/>
    <w:rsid w:val="79202589"/>
    <w:rsid w:val="79263744"/>
    <w:rsid w:val="792F9855"/>
    <w:rsid w:val="793292D9"/>
    <w:rsid w:val="7934E887"/>
    <w:rsid w:val="793E730C"/>
    <w:rsid w:val="793E8434"/>
    <w:rsid w:val="7942353C"/>
    <w:rsid w:val="79471229"/>
    <w:rsid w:val="794BA707"/>
    <w:rsid w:val="794F2438"/>
    <w:rsid w:val="79548684"/>
    <w:rsid w:val="795DEE01"/>
    <w:rsid w:val="795E2F34"/>
    <w:rsid w:val="7965AB95"/>
    <w:rsid w:val="79736004"/>
    <w:rsid w:val="7978C944"/>
    <w:rsid w:val="797A9FAB"/>
    <w:rsid w:val="79836326"/>
    <w:rsid w:val="798AC86B"/>
    <w:rsid w:val="798C78C2"/>
    <w:rsid w:val="798F2682"/>
    <w:rsid w:val="799189EC"/>
    <w:rsid w:val="799C52CA"/>
    <w:rsid w:val="79A13B77"/>
    <w:rsid w:val="79A18A8B"/>
    <w:rsid w:val="79A3018F"/>
    <w:rsid w:val="79A39B04"/>
    <w:rsid w:val="79AA19CD"/>
    <w:rsid w:val="79B36DBE"/>
    <w:rsid w:val="79B73573"/>
    <w:rsid w:val="79BDF048"/>
    <w:rsid w:val="79BDF1B4"/>
    <w:rsid w:val="79BFEBE1"/>
    <w:rsid w:val="79C67CB7"/>
    <w:rsid w:val="79CA711F"/>
    <w:rsid w:val="79DB67B8"/>
    <w:rsid w:val="79DC77CA"/>
    <w:rsid w:val="79E06500"/>
    <w:rsid w:val="79E774AD"/>
    <w:rsid w:val="79E93109"/>
    <w:rsid w:val="79EF1A23"/>
    <w:rsid w:val="79F1BCEA"/>
    <w:rsid w:val="7A038B32"/>
    <w:rsid w:val="7A0395E8"/>
    <w:rsid w:val="7A058381"/>
    <w:rsid w:val="7A0BD5C4"/>
    <w:rsid w:val="7A16F8F9"/>
    <w:rsid w:val="7A26EB28"/>
    <w:rsid w:val="7A29FE0C"/>
    <w:rsid w:val="7A2BB6FB"/>
    <w:rsid w:val="7A2C374B"/>
    <w:rsid w:val="7A32F3D3"/>
    <w:rsid w:val="7A3DA1D7"/>
    <w:rsid w:val="7A42C194"/>
    <w:rsid w:val="7A44CBBB"/>
    <w:rsid w:val="7A4B7B31"/>
    <w:rsid w:val="7A4C99B0"/>
    <w:rsid w:val="7A537FDB"/>
    <w:rsid w:val="7A5568AD"/>
    <w:rsid w:val="7A5E23E3"/>
    <w:rsid w:val="7A5E33CB"/>
    <w:rsid w:val="7A6010A2"/>
    <w:rsid w:val="7A68A29F"/>
    <w:rsid w:val="7A6A8784"/>
    <w:rsid w:val="7A713296"/>
    <w:rsid w:val="7A75A740"/>
    <w:rsid w:val="7A8660F8"/>
    <w:rsid w:val="7A889070"/>
    <w:rsid w:val="7A89FFE0"/>
    <w:rsid w:val="7A931903"/>
    <w:rsid w:val="7A9D49FF"/>
    <w:rsid w:val="7AA08029"/>
    <w:rsid w:val="7AA41F30"/>
    <w:rsid w:val="7AA421E3"/>
    <w:rsid w:val="7AA4BDF4"/>
    <w:rsid w:val="7AA977EC"/>
    <w:rsid w:val="7AAAC190"/>
    <w:rsid w:val="7AAB0385"/>
    <w:rsid w:val="7AAFE889"/>
    <w:rsid w:val="7AB12B81"/>
    <w:rsid w:val="7AB2156C"/>
    <w:rsid w:val="7ABA46DC"/>
    <w:rsid w:val="7ABDDF7D"/>
    <w:rsid w:val="7AC45961"/>
    <w:rsid w:val="7ACC2F84"/>
    <w:rsid w:val="7ACE92A5"/>
    <w:rsid w:val="7AD296FE"/>
    <w:rsid w:val="7AD5D9F9"/>
    <w:rsid w:val="7ADA2553"/>
    <w:rsid w:val="7ADD2866"/>
    <w:rsid w:val="7ADE0338"/>
    <w:rsid w:val="7AEFCDA2"/>
    <w:rsid w:val="7AEFE52F"/>
    <w:rsid w:val="7B107DC4"/>
    <w:rsid w:val="7B1203CC"/>
    <w:rsid w:val="7B13C280"/>
    <w:rsid w:val="7B1E1810"/>
    <w:rsid w:val="7B241097"/>
    <w:rsid w:val="7B2D4C25"/>
    <w:rsid w:val="7B2DED81"/>
    <w:rsid w:val="7B32DDDF"/>
    <w:rsid w:val="7B3525FB"/>
    <w:rsid w:val="7B44E330"/>
    <w:rsid w:val="7B47783A"/>
    <w:rsid w:val="7B481760"/>
    <w:rsid w:val="7B4B6BEA"/>
    <w:rsid w:val="7B4C2F27"/>
    <w:rsid w:val="7B51630D"/>
    <w:rsid w:val="7B5952EA"/>
    <w:rsid w:val="7B5BCFD9"/>
    <w:rsid w:val="7B5D04F6"/>
    <w:rsid w:val="7B5D56BB"/>
    <w:rsid w:val="7B5FD863"/>
    <w:rsid w:val="7B5FFB9F"/>
    <w:rsid w:val="7B660073"/>
    <w:rsid w:val="7B6AACC0"/>
    <w:rsid w:val="7B71ADF3"/>
    <w:rsid w:val="7B75D905"/>
    <w:rsid w:val="7B77BBD3"/>
    <w:rsid w:val="7B7810A6"/>
    <w:rsid w:val="7B7A10AB"/>
    <w:rsid w:val="7B891610"/>
    <w:rsid w:val="7B8CF09F"/>
    <w:rsid w:val="7B924FD0"/>
    <w:rsid w:val="7B95EF76"/>
    <w:rsid w:val="7B99DBCF"/>
    <w:rsid w:val="7B9A1957"/>
    <w:rsid w:val="7B9E9CAD"/>
    <w:rsid w:val="7B9F835C"/>
    <w:rsid w:val="7BAC330C"/>
    <w:rsid w:val="7BC3B103"/>
    <w:rsid w:val="7BC83023"/>
    <w:rsid w:val="7BD6AEDC"/>
    <w:rsid w:val="7BDB1B3D"/>
    <w:rsid w:val="7BDB8D36"/>
    <w:rsid w:val="7BDEEDEA"/>
    <w:rsid w:val="7BEE8201"/>
    <w:rsid w:val="7BF16D02"/>
    <w:rsid w:val="7BFC550A"/>
    <w:rsid w:val="7C02332D"/>
    <w:rsid w:val="7C03A115"/>
    <w:rsid w:val="7C0FA1C9"/>
    <w:rsid w:val="7C1040C4"/>
    <w:rsid w:val="7C10EF1C"/>
    <w:rsid w:val="7C138BEB"/>
    <w:rsid w:val="7C16406B"/>
    <w:rsid w:val="7C166B9F"/>
    <w:rsid w:val="7C16DCCC"/>
    <w:rsid w:val="7C1BCA5A"/>
    <w:rsid w:val="7C1DA440"/>
    <w:rsid w:val="7C220553"/>
    <w:rsid w:val="7C2BF84D"/>
    <w:rsid w:val="7C41C25C"/>
    <w:rsid w:val="7C43058C"/>
    <w:rsid w:val="7C4989D5"/>
    <w:rsid w:val="7C4E0A86"/>
    <w:rsid w:val="7C5A1999"/>
    <w:rsid w:val="7C5C97DE"/>
    <w:rsid w:val="7C66DA5C"/>
    <w:rsid w:val="7C6B29F0"/>
    <w:rsid w:val="7C72295E"/>
    <w:rsid w:val="7C7559C5"/>
    <w:rsid w:val="7C77B837"/>
    <w:rsid w:val="7C79B0A4"/>
    <w:rsid w:val="7C7DA03A"/>
    <w:rsid w:val="7C82475D"/>
    <w:rsid w:val="7C83374D"/>
    <w:rsid w:val="7C88F71D"/>
    <w:rsid w:val="7C8E7331"/>
    <w:rsid w:val="7C91BC53"/>
    <w:rsid w:val="7C91ECDE"/>
    <w:rsid w:val="7C9B5E4E"/>
    <w:rsid w:val="7C9DB3E2"/>
    <w:rsid w:val="7CA39D25"/>
    <w:rsid w:val="7CA4CF27"/>
    <w:rsid w:val="7CAB6878"/>
    <w:rsid w:val="7CAD3FF3"/>
    <w:rsid w:val="7CB2954E"/>
    <w:rsid w:val="7CB5B8BE"/>
    <w:rsid w:val="7CBABA73"/>
    <w:rsid w:val="7CBF7EA3"/>
    <w:rsid w:val="7CC40EE2"/>
    <w:rsid w:val="7CCC985C"/>
    <w:rsid w:val="7CD7E980"/>
    <w:rsid w:val="7CE410DB"/>
    <w:rsid w:val="7CE7A97A"/>
    <w:rsid w:val="7CE9EDA1"/>
    <w:rsid w:val="7CF2FEBA"/>
    <w:rsid w:val="7CF3BFFA"/>
    <w:rsid w:val="7D02BB52"/>
    <w:rsid w:val="7D1025EF"/>
    <w:rsid w:val="7D14F283"/>
    <w:rsid w:val="7D16B1FF"/>
    <w:rsid w:val="7D1A9825"/>
    <w:rsid w:val="7D1E4E94"/>
    <w:rsid w:val="7D1E55FF"/>
    <w:rsid w:val="7D2567B0"/>
    <w:rsid w:val="7D2A7ECC"/>
    <w:rsid w:val="7D2E8B3A"/>
    <w:rsid w:val="7D30661C"/>
    <w:rsid w:val="7D30FC26"/>
    <w:rsid w:val="7D3D3F41"/>
    <w:rsid w:val="7D3EA5D6"/>
    <w:rsid w:val="7D4B7503"/>
    <w:rsid w:val="7D5063B7"/>
    <w:rsid w:val="7D5CFB45"/>
    <w:rsid w:val="7D613FB0"/>
    <w:rsid w:val="7D63C619"/>
    <w:rsid w:val="7D647C6A"/>
    <w:rsid w:val="7D873B45"/>
    <w:rsid w:val="7D8D7724"/>
    <w:rsid w:val="7D902F16"/>
    <w:rsid w:val="7D987AB0"/>
    <w:rsid w:val="7D9EBB89"/>
    <w:rsid w:val="7D9F0183"/>
    <w:rsid w:val="7DA9AA38"/>
    <w:rsid w:val="7DB0C7B8"/>
    <w:rsid w:val="7DBC3880"/>
    <w:rsid w:val="7DC0CF3E"/>
    <w:rsid w:val="7DC2BF0D"/>
    <w:rsid w:val="7DC57AD9"/>
    <w:rsid w:val="7DC79EA3"/>
    <w:rsid w:val="7DCBA08D"/>
    <w:rsid w:val="7DE14EB2"/>
    <w:rsid w:val="7DE3523B"/>
    <w:rsid w:val="7DE5E182"/>
    <w:rsid w:val="7DF8F344"/>
    <w:rsid w:val="7E12921C"/>
    <w:rsid w:val="7E1334A2"/>
    <w:rsid w:val="7E1BB677"/>
    <w:rsid w:val="7E37BA8F"/>
    <w:rsid w:val="7E4C1930"/>
    <w:rsid w:val="7E524D70"/>
    <w:rsid w:val="7E5A3120"/>
    <w:rsid w:val="7E61CF55"/>
    <w:rsid w:val="7E645F48"/>
    <w:rsid w:val="7E661052"/>
    <w:rsid w:val="7E6AD1F1"/>
    <w:rsid w:val="7E711E54"/>
    <w:rsid w:val="7E734E21"/>
    <w:rsid w:val="7E82EB05"/>
    <w:rsid w:val="7E845E83"/>
    <w:rsid w:val="7EA3C4DB"/>
    <w:rsid w:val="7EAF0DC0"/>
    <w:rsid w:val="7EB34144"/>
    <w:rsid w:val="7EB93740"/>
    <w:rsid w:val="7EBD8013"/>
    <w:rsid w:val="7EC620E8"/>
    <w:rsid w:val="7ED5F4B7"/>
    <w:rsid w:val="7EDA9DB7"/>
    <w:rsid w:val="7EDE8816"/>
    <w:rsid w:val="7EE3D0CF"/>
    <w:rsid w:val="7EE66D6D"/>
    <w:rsid w:val="7EE75C25"/>
    <w:rsid w:val="7EEE0E41"/>
    <w:rsid w:val="7EEF1020"/>
    <w:rsid w:val="7EF4C5A0"/>
    <w:rsid w:val="7EF4FC1B"/>
    <w:rsid w:val="7EF5AC9E"/>
    <w:rsid w:val="7EF5AE2C"/>
    <w:rsid w:val="7EF700EC"/>
    <w:rsid w:val="7EFACC14"/>
    <w:rsid w:val="7EFB2F25"/>
    <w:rsid w:val="7EFF5710"/>
    <w:rsid w:val="7F18E536"/>
    <w:rsid w:val="7F19DDBA"/>
    <w:rsid w:val="7F1BCA57"/>
    <w:rsid w:val="7F23B918"/>
    <w:rsid w:val="7F34ACC5"/>
    <w:rsid w:val="7F3C0D65"/>
    <w:rsid w:val="7F42129F"/>
    <w:rsid w:val="7F4234ED"/>
    <w:rsid w:val="7F5176A7"/>
    <w:rsid w:val="7F5B59F2"/>
    <w:rsid w:val="7F60FD93"/>
    <w:rsid w:val="7F6FC4E3"/>
    <w:rsid w:val="7F86081C"/>
    <w:rsid w:val="7F87DECC"/>
    <w:rsid w:val="7F8C81CC"/>
    <w:rsid w:val="7F8E4014"/>
    <w:rsid w:val="7F90D328"/>
    <w:rsid w:val="7F958411"/>
    <w:rsid w:val="7F9BF39E"/>
    <w:rsid w:val="7FADF6B5"/>
    <w:rsid w:val="7FB9A220"/>
    <w:rsid w:val="7FB9C863"/>
    <w:rsid w:val="7FC3EF57"/>
    <w:rsid w:val="7FC6A7ED"/>
    <w:rsid w:val="7FD03251"/>
    <w:rsid w:val="7FD04433"/>
    <w:rsid w:val="7FDC72E3"/>
    <w:rsid w:val="7FE28B45"/>
    <w:rsid w:val="7FE38776"/>
    <w:rsid w:val="7FE68E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F1D374"/>
  <w15:chartTrackingRefBased/>
  <w15:docId w15:val="{711E4593-05D4-4F57-895B-1DD63B68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6B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575"/>
    <w:rPr>
      <w:color w:val="0000FF"/>
      <w:u w:val="single"/>
    </w:rPr>
  </w:style>
  <w:style w:type="character" w:styleId="FollowedHyperlink">
    <w:name w:val="FollowedHyperlink"/>
    <w:basedOn w:val="DefaultParagraphFont"/>
    <w:uiPriority w:val="99"/>
    <w:semiHidden/>
    <w:unhideWhenUsed/>
    <w:rsid w:val="00FA5CB5"/>
    <w:rPr>
      <w:color w:val="954F72" w:themeColor="followedHyperlink"/>
      <w:u w:val="single"/>
    </w:rPr>
  </w:style>
  <w:style w:type="paragraph" w:styleId="ListParagraph">
    <w:name w:val="List Paragraph"/>
    <w:basedOn w:val="Normal"/>
    <w:link w:val="ListParagraphChar"/>
    <w:qFormat/>
    <w:rsid w:val="00613B80"/>
    <w:pPr>
      <w:ind w:left="720"/>
      <w:contextualSpacing/>
    </w:pPr>
  </w:style>
  <w:style w:type="character" w:customStyle="1" w:styleId="UnresolvedMention">
    <w:name w:val="Unresolved Mention"/>
    <w:basedOn w:val="DefaultParagraphFont"/>
    <w:uiPriority w:val="99"/>
    <w:semiHidden/>
    <w:unhideWhenUsed/>
    <w:rsid w:val="008949B8"/>
    <w:rPr>
      <w:color w:val="605E5C"/>
      <w:shd w:val="clear" w:color="auto" w:fill="E1DFDD"/>
    </w:rPr>
  </w:style>
  <w:style w:type="character" w:styleId="CommentReference">
    <w:name w:val="annotation reference"/>
    <w:basedOn w:val="DefaultParagraphFont"/>
    <w:uiPriority w:val="99"/>
    <w:semiHidden/>
    <w:unhideWhenUsed/>
    <w:rsid w:val="00FB2A1A"/>
    <w:rPr>
      <w:sz w:val="16"/>
      <w:szCs w:val="16"/>
    </w:rPr>
  </w:style>
  <w:style w:type="paragraph" w:styleId="CommentText">
    <w:name w:val="annotation text"/>
    <w:basedOn w:val="Normal"/>
    <w:link w:val="CommentTextChar"/>
    <w:uiPriority w:val="99"/>
    <w:unhideWhenUsed/>
    <w:rsid w:val="00FB2A1A"/>
    <w:pPr>
      <w:spacing w:line="240" w:lineRule="auto"/>
    </w:pPr>
    <w:rPr>
      <w:sz w:val="20"/>
      <w:szCs w:val="20"/>
    </w:rPr>
  </w:style>
  <w:style w:type="character" w:customStyle="1" w:styleId="CommentTextChar">
    <w:name w:val="Comment Text Char"/>
    <w:basedOn w:val="DefaultParagraphFont"/>
    <w:link w:val="CommentText"/>
    <w:uiPriority w:val="99"/>
    <w:rsid w:val="00FB2A1A"/>
    <w:rPr>
      <w:sz w:val="20"/>
      <w:szCs w:val="20"/>
    </w:rPr>
  </w:style>
  <w:style w:type="paragraph" w:styleId="CommentSubject">
    <w:name w:val="annotation subject"/>
    <w:basedOn w:val="CommentText"/>
    <w:next w:val="CommentText"/>
    <w:link w:val="CommentSubjectChar"/>
    <w:uiPriority w:val="99"/>
    <w:semiHidden/>
    <w:unhideWhenUsed/>
    <w:rsid w:val="00FB2A1A"/>
    <w:rPr>
      <w:b/>
      <w:bCs/>
    </w:rPr>
  </w:style>
  <w:style w:type="character" w:customStyle="1" w:styleId="CommentSubjectChar">
    <w:name w:val="Comment Subject Char"/>
    <w:basedOn w:val="CommentTextChar"/>
    <w:link w:val="CommentSubject"/>
    <w:uiPriority w:val="99"/>
    <w:semiHidden/>
    <w:rsid w:val="00FB2A1A"/>
    <w:rPr>
      <w:b/>
      <w:bCs/>
      <w:sz w:val="20"/>
      <w:szCs w:val="20"/>
    </w:rPr>
  </w:style>
  <w:style w:type="paragraph" w:customStyle="1" w:styleId="CMR-text">
    <w:name w:val="CMR - text"/>
    <w:basedOn w:val="Normal"/>
    <w:link w:val="CMR-textChar"/>
    <w:qFormat/>
    <w:rsid w:val="00CE747B"/>
    <w:pPr>
      <w:spacing w:before="240" w:after="240" w:line="276" w:lineRule="auto"/>
      <w:jc w:val="both"/>
    </w:pPr>
    <w:rPr>
      <w:rFonts w:ascii="Times New Roman" w:hAnsi="Times New Roman"/>
      <w:kern w:val="0"/>
      <w14:ligatures w14:val="none"/>
    </w:rPr>
  </w:style>
  <w:style w:type="character" w:customStyle="1" w:styleId="CMR-textChar">
    <w:name w:val="CMR - text Char"/>
    <w:basedOn w:val="DefaultParagraphFont"/>
    <w:link w:val="CMR-text"/>
    <w:rsid w:val="00CE747B"/>
    <w:rPr>
      <w:rFonts w:ascii="Times New Roman" w:hAnsi="Times New Roman"/>
      <w:kern w:val="0"/>
      <w14:ligatures w14:val="non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4_G, BVI fnr"/>
    <w:basedOn w:val="DefaultParagraphFont"/>
    <w:link w:val="FootnotesymbolCarZchn"/>
    <w:unhideWhenUsed/>
    <w:qFormat/>
    <w:rsid w:val="00187D4D"/>
    <w:rPr>
      <w:vertAlign w:val="superscript"/>
    </w:rPr>
  </w:style>
  <w:style w:type="character" w:customStyle="1" w:styleId="FootnoteTextChar">
    <w:name w:val="Footnote Text Char"/>
    <w:aliases w:val="Footnote main Char,Fußnotentextf Char,RSK-FT Char,RSK-FT1 Char,RSK-FT2 Char,5_G Char,Footnote text Char,Testo nota a piè di pagina_Rientro Char,stile 1 Char,Footnote1 Char,Footnote2 Char,Footnote3 Char,Footnote4 Char,Footnote5 Char"/>
    <w:basedOn w:val="DefaultParagraphFont"/>
    <w:link w:val="FootnoteText"/>
    <w:uiPriority w:val="99"/>
    <w:rsid w:val="00187D4D"/>
    <w:rPr>
      <w:sz w:val="20"/>
      <w:szCs w:val="20"/>
    </w:rPr>
  </w:style>
  <w:style w:type="paragraph" w:styleId="FootnoteText">
    <w:name w:val="footnote text"/>
    <w:aliases w:val="Footnote main,Fußnotentextf,RSK-FT,RSK-FT1,RSK-FT2,5_G,Footnote text,Testo nota a piè di pagina_Rientro,stile 1,Footnote1,Footnote2,Footnote3,Footnote4,Footnote5,Footnote6,Footnote7,Footnote8,Footnote9,Footnote10,Footnote11,Footnote21,Char"/>
    <w:basedOn w:val="Normal"/>
    <w:link w:val="FootnoteTextChar"/>
    <w:uiPriority w:val="99"/>
    <w:unhideWhenUsed/>
    <w:qFormat/>
    <w:rsid w:val="00187D4D"/>
    <w:pPr>
      <w:spacing w:after="0" w:line="240" w:lineRule="auto"/>
    </w:pPr>
    <w:rPr>
      <w:sz w:val="20"/>
      <w:szCs w:val="20"/>
    </w:rPr>
  </w:style>
  <w:style w:type="character" w:customStyle="1" w:styleId="FootnoteTextChar1">
    <w:name w:val="Footnote Text Char1"/>
    <w:basedOn w:val="DefaultParagraphFont"/>
    <w:uiPriority w:val="99"/>
    <w:semiHidden/>
    <w:rsid w:val="00187D4D"/>
    <w:rPr>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187D4D"/>
    <w:pPr>
      <w:spacing w:line="240" w:lineRule="exact"/>
      <w:jc w:val="both"/>
    </w:pPr>
    <w:rPr>
      <w:vertAlign w:val="superscript"/>
    </w:rPr>
  </w:style>
  <w:style w:type="paragraph" w:customStyle="1" w:styleId="CMR-footnote">
    <w:name w:val="CMR - footnote"/>
    <w:basedOn w:val="FootnoteText"/>
    <w:link w:val="CMR-footnoteChar"/>
    <w:qFormat/>
    <w:rsid w:val="00917BE8"/>
    <w:pPr>
      <w:keepLines/>
      <w:spacing w:before="120" w:after="120"/>
      <w:jc w:val="both"/>
    </w:pPr>
    <w:rPr>
      <w:rFonts w:ascii="Times New Roman" w:hAnsi="Times New Roman"/>
      <w:sz w:val="18"/>
    </w:rPr>
  </w:style>
  <w:style w:type="character" w:customStyle="1" w:styleId="CMR-footnoteChar">
    <w:name w:val="CMR - footnote Char"/>
    <w:basedOn w:val="FootnoteTextChar"/>
    <w:link w:val="CMR-footnote"/>
    <w:rsid w:val="00917BE8"/>
    <w:rPr>
      <w:rFonts w:ascii="Times New Roman" w:hAnsi="Times New Roman"/>
      <w:sz w:val="18"/>
      <w:szCs w:val="20"/>
    </w:rPr>
  </w:style>
  <w:style w:type="paragraph" w:styleId="Caption">
    <w:name w:val="caption"/>
    <w:basedOn w:val="Normal"/>
    <w:next w:val="Normal"/>
    <w:uiPriority w:val="35"/>
    <w:unhideWhenUsed/>
    <w:qFormat/>
    <w:rsid w:val="00187D4D"/>
    <w:pPr>
      <w:spacing w:before="120" w:after="120" w:line="256" w:lineRule="auto"/>
      <w:jc w:val="both"/>
    </w:pPr>
    <w:rPr>
      <w:rFonts w:ascii="Times New Roman" w:eastAsia="Calibri" w:hAnsi="Times New Roman" w:cs="Times New Roman"/>
      <w:bCs/>
      <w:i/>
      <w:kern w:val="0"/>
      <w:szCs w:val="20"/>
      <w14:ligatures w14:val="none"/>
    </w:rPr>
  </w:style>
  <w:style w:type="character" w:customStyle="1" w:styleId="Footnote1">
    <w:name w:val="Footnote|1_"/>
    <w:basedOn w:val="DefaultParagraphFont"/>
    <w:link w:val="Footnote10"/>
    <w:rsid w:val="00187D4D"/>
    <w:rPr>
      <w:sz w:val="20"/>
      <w:szCs w:val="20"/>
    </w:rPr>
  </w:style>
  <w:style w:type="character" w:customStyle="1" w:styleId="Bodytext1">
    <w:name w:val="Body text|1_"/>
    <w:basedOn w:val="DefaultParagraphFont"/>
    <w:link w:val="Bodytext10"/>
    <w:rsid w:val="00187D4D"/>
  </w:style>
  <w:style w:type="paragraph" w:customStyle="1" w:styleId="Footnote10">
    <w:name w:val="Footnote|1"/>
    <w:basedOn w:val="Normal"/>
    <w:link w:val="Footnote1"/>
    <w:rsid w:val="00187D4D"/>
    <w:pPr>
      <w:widowControl w:val="0"/>
      <w:spacing w:after="0" w:line="240" w:lineRule="auto"/>
    </w:pPr>
    <w:rPr>
      <w:sz w:val="20"/>
      <w:szCs w:val="20"/>
    </w:rPr>
  </w:style>
  <w:style w:type="paragraph" w:customStyle="1" w:styleId="Bodytext10">
    <w:name w:val="Body text|1"/>
    <w:basedOn w:val="Normal"/>
    <w:link w:val="Bodytext1"/>
    <w:rsid w:val="00187D4D"/>
    <w:pPr>
      <w:widowControl w:val="0"/>
      <w:spacing w:after="240"/>
    </w:pPr>
  </w:style>
  <w:style w:type="character" w:customStyle="1" w:styleId="Other1">
    <w:name w:val="Other|1_"/>
    <w:basedOn w:val="DefaultParagraphFont"/>
    <w:link w:val="Other10"/>
    <w:rsid w:val="00187D4D"/>
  </w:style>
  <w:style w:type="paragraph" w:customStyle="1" w:styleId="Other10">
    <w:name w:val="Other|1"/>
    <w:basedOn w:val="Normal"/>
    <w:link w:val="Other1"/>
    <w:rsid w:val="00187D4D"/>
    <w:pPr>
      <w:widowControl w:val="0"/>
      <w:spacing w:after="240"/>
    </w:pPr>
  </w:style>
  <w:style w:type="paragraph" w:customStyle="1" w:styleId="CMR-tables">
    <w:name w:val="CMR - tables"/>
    <w:basedOn w:val="CMR-text"/>
    <w:link w:val="CMR-tablesChar"/>
    <w:qFormat/>
    <w:rsid w:val="00491DC0"/>
    <w:pPr>
      <w:spacing w:before="120" w:after="120" w:line="240" w:lineRule="auto"/>
      <w:jc w:val="left"/>
    </w:pPr>
    <w:rPr>
      <w:bCs/>
      <w:sz w:val="20"/>
    </w:rPr>
  </w:style>
  <w:style w:type="character" w:customStyle="1" w:styleId="CMR-tablesChar">
    <w:name w:val="CMR - tables Char"/>
    <w:basedOn w:val="CMR-textChar"/>
    <w:link w:val="CMR-tables"/>
    <w:rsid w:val="00491DC0"/>
    <w:rPr>
      <w:rFonts w:ascii="Times New Roman" w:hAnsi="Times New Roman"/>
      <w:bCs/>
      <w:kern w:val="0"/>
      <w:sz w:val="20"/>
      <w14:ligatures w14:val="none"/>
    </w:rPr>
  </w:style>
  <w:style w:type="table" w:styleId="TableGridLight">
    <w:name w:val="Grid Table Light"/>
    <w:basedOn w:val="TableNormal"/>
    <w:uiPriority w:val="40"/>
    <w:rsid w:val="00187D4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6D90"/>
    <w:pPr>
      <w:spacing w:after="0" w:line="240" w:lineRule="auto"/>
    </w:pPr>
  </w:style>
  <w:style w:type="paragraph" w:styleId="Header">
    <w:name w:val="header"/>
    <w:basedOn w:val="Normal"/>
    <w:link w:val="HeaderChar"/>
    <w:uiPriority w:val="99"/>
    <w:unhideWhenUsed/>
    <w:rsid w:val="00F42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0AF"/>
  </w:style>
  <w:style w:type="paragraph" w:styleId="Footer">
    <w:name w:val="footer"/>
    <w:basedOn w:val="Normal"/>
    <w:link w:val="FooterChar"/>
    <w:uiPriority w:val="99"/>
    <w:unhideWhenUsed/>
    <w:rsid w:val="00F42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0AF"/>
  </w:style>
  <w:style w:type="table" w:styleId="TableGrid">
    <w:name w:val="Table Grid"/>
    <w:basedOn w:val="TableNormal"/>
    <w:uiPriority w:val="59"/>
    <w:rsid w:val="00FB4123"/>
    <w:pPr>
      <w:numPr>
        <w:numId w:val="6"/>
      </w:numPr>
      <w:spacing w:after="0" w:line="240" w:lineRule="auto"/>
      <w:ind w:left="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R-Heading">
    <w:name w:val="CMR - Heading"/>
    <w:basedOn w:val="CMR-text"/>
    <w:link w:val="CMR-HeadingChar"/>
    <w:qFormat/>
    <w:rsid w:val="00EC4FC3"/>
    <w:pPr>
      <w:numPr>
        <w:numId w:val="51"/>
      </w:numPr>
      <w:outlineLvl w:val="0"/>
    </w:pPr>
    <w:rPr>
      <w:b/>
      <w:bCs/>
      <w:sz w:val="24"/>
      <w:szCs w:val="28"/>
    </w:rPr>
  </w:style>
  <w:style w:type="character" w:customStyle="1" w:styleId="ListParagraphChar">
    <w:name w:val="List Paragraph Char"/>
    <w:basedOn w:val="DefaultParagraphFont"/>
    <w:link w:val="ListParagraph"/>
    <w:uiPriority w:val="34"/>
    <w:rsid w:val="00BB445B"/>
  </w:style>
  <w:style w:type="character" w:customStyle="1" w:styleId="CMR-HeadingChar">
    <w:name w:val="CMR - Heading Char"/>
    <w:basedOn w:val="ListParagraphChar"/>
    <w:link w:val="CMR-Heading"/>
    <w:rsid w:val="00EC4FC3"/>
    <w:rPr>
      <w:rFonts w:ascii="Times New Roman" w:hAnsi="Times New Roman"/>
      <w:b/>
      <w:bCs/>
      <w:kern w:val="0"/>
      <w:sz w:val="24"/>
      <w:szCs w:val="28"/>
      <w14:ligatures w14:val="none"/>
    </w:rPr>
  </w:style>
  <w:style w:type="paragraph" w:customStyle="1" w:styleId="paragraph">
    <w:name w:val="paragraph"/>
    <w:basedOn w:val="Normal"/>
    <w:rsid w:val="00FA2C7D"/>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FA2C7D"/>
  </w:style>
  <w:style w:type="character" w:customStyle="1" w:styleId="eop">
    <w:name w:val="eop"/>
    <w:basedOn w:val="DefaultParagraphFont"/>
    <w:rsid w:val="00FA2C7D"/>
  </w:style>
  <w:style w:type="character" w:customStyle="1" w:styleId="scxw137601718">
    <w:name w:val="scxw137601718"/>
    <w:basedOn w:val="DefaultParagraphFont"/>
    <w:rsid w:val="00FA2C7D"/>
  </w:style>
  <w:style w:type="character" w:customStyle="1" w:styleId="superscript">
    <w:name w:val="superscript"/>
    <w:basedOn w:val="DefaultParagraphFont"/>
    <w:rsid w:val="00FA2C7D"/>
  </w:style>
  <w:style w:type="paragraph" w:customStyle="1" w:styleId="CMR2023-footnote">
    <w:name w:val="CMR 2023 - footnote"/>
    <w:basedOn w:val="FootnoteText"/>
    <w:link w:val="CMR2023-footnoteChar"/>
    <w:rsid w:val="00491954"/>
    <w:pPr>
      <w:keepLines/>
      <w:spacing w:after="120"/>
    </w:pPr>
    <w:rPr>
      <w:rFonts w:ascii="Times New Roman" w:hAnsi="Times New Roman"/>
      <w:kern w:val="0"/>
      <w14:ligatures w14:val="none"/>
    </w:rPr>
  </w:style>
  <w:style w:type="paragraph" w:customStyle="1" w:styleId="Bodytext-tables">
    <w:name w:val="Body text - tables"/>
    <w:basedOn w:val="BodyText"/>
    <w:link w:val="Bodytext-tablesChar"/>
    <w:qFormat/>
    <w:rsid w:val="006F078C"/>
    <w:pPr>
      <w:widowControl w:val="0"/>
      <w:autoSpaceDE w:val="0"/>
      <w:autoSpaceDN w:val="0"/>
      <w:spacing w:before="60" w:after="60"/>
      <w:jc w:val="both"/>
    </w:pPr>
    <w:rPr>
      <w:rFonts w:ascii="Times New Roman" w:eastAsia="Times New Roman" w:hAnsi="Times New Roman" w:cs="Times New Roman"/>
      <w:kern w:val="0"/>
      <w:sz w:val="24"/>
      <w:szCs w:val="24"/>
      <w14:ligatures w14:val="none"/>
    </w:rPr>
  </w:style>
  <w:style w:type="character" w:customStyle="1" w:styleId="Bodytext-tablesChar">
    <w:name w:val="Body text - tables Char"/>
    <w:basedOn w:val="BodyTextChar"/>
    <w:link w:val="Bodytext-tables"/>
    <w:rsid w:val="006F078C"/>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iPriority w:val="99"/>
    <w:semiHidden/>
    <w:unhideWhenUsed/>
    <w:rsid w:val="006F078C"/>
    <w:pPr>
      <w:spacing w:after="120"/>
    </w:pPr>
  </w:style>
  <w:style w:type="character" w:customStyle="1" w:styleId="BodyTextChar">
    <w:name w:val="Body Text Char"/>
    <w:basedOn w:val="DefaultParagraphFont"/>
    <w:link w:val="BodyText"/>
    <w:uiPriority w:val="99"/>
    <w:semiHidden/>
    <w:rsid w:val="006F078C"/>
  </w:style>
  <w:style w:type="character" w:customStyle="1" w:styleId="Mention">
    <w:name w:val="Mention"/>
    <w:basedOn w:val="DefaultParagraphFont"/>
    <w:uiPriority w:val="99"/>
    <w:unhideWhenUsed/>
    <w:rsid w:val="00363C2C"/>
    <w:rPr>
      <w:color w:val="2B579A"/>
      <w:shd w:val="clear" w:color="auto" w:fill="E1DFDD"/>
    </w:rPr>
  </w:style>
  <w:style w:type="paragraph" w:customStyle="1" w:styleId="CMR-Subheading">
    <w:name w:val="CMR - Subheading"/>
    <w:basedOn w:val="CMR-Heading"/>
    <w:link w:val="CMR-SubheadingChar"/>
    <w:qFormat/>
    <w:rsid w:val="00A131E8"/>
    <w:pPr>
      <w:numPr>
        <w:ilvl w:val="1"/>
      </w:numPr>
      <w:outlineLvl w:val="1"/>
    </w:pPr>
    <w:rPr>
      <w:bCs w:val="0"/>
    </w:rPr>
  </w:style>
  <w:style w:type="character" w:customStyle="1" w:styleId="CMR-SubheadingChar">
    <w:name w:val="CMR - Subheading Char"/>
    <w:basedOn w:val="CMR-HeadingChar"/>
    <w:link w:val="CMR-Subheading"/>
    <w:rsid w:val="002C03CF"/>
    <w:rPr>
      <w:rFonts w:ascii="Times New Roman" w:hAnsi="Times New Roman"/>
      <w:b/>
      <w:bCs w:val="0"/>
      <w:kern w:val="0"/>
      <w:sz w:val="24"/>
      <w:szCs w:val="28"/>
      <w14:ligatures w14:val="none"/>
    </w:rPr>
  </w:style>
  <w:style w:type="character" w:customStyle="1" w:styleId="CMR2023-footnoteChar">
    <w:name w:val="CMR 2023 - footnote Char"/>
    <w:basedOn w:val="FootnoteTextChar"/>
    <w:link w:val="CMR2023-footnote"/>
    <w:rsid w:val="00491954"/>
    <w:rPr>
      <w:rFonts w:ascii="Times New Roman" w:hAnsi="Times New Roman"/>
      <w:kern w:val="0"/>
      <w:sz w:val="20"/>
      <w:szCs w:val="20"/>
      <w14:ligatures w14:val="none"/>
    </w:rPr>
  </w:style>
  <w:style w:type="paragraph" w:styleId="NormalWeb">
    <w:name w:val="Normal (Web)"/>
    <w:basedOn w:val="Normal"/>
    <w:uiPriority w:val="99"/>
    <w:semiHidden/>
    <w:unhideWhenUsed/>
    <w:rsid w:val="00ED2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83C03"/>
    <w:rPr>
      <w:i/>
      <w:iCs/>
    </w:rPr>
  </w:style>
  <w:style w:type="character" w:customStyle="1" w:styleId="Marker">
    <w:name w:val="Marker"/>
    <w:basedOn w:val="DefaultParagraphFont"/>
    <w:rsid w:val="0062235E"/>
    <w:rPr>
      <w:color w:val="0000FF"/>
      <w:shd w:val="clear" w:color="auto" w:fill="auto"/>
    </w:rPr>
  </w:style>
  <w:style w:type="paragraph" w:customStyle="1" w:styleId="Pagedecouverture">
    <w:name w:val="Page de couverture"/>
    <w:basedOn w:val="Normal"/>
    <w:next w:val="Normal"/>
    <w:link w:val="PagedecouvertureChar"/>
    <w:rsid w:val="0012655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12655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126559"/>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126559"/>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12655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126559"/>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12655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126559"/>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12655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126559"/>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12655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126559"/>
    <w:rPr>
      <w:rFonts w:ascii="Times New Roman" w:hAnsi="Times New Roman" w:cs="Times New Roman"/>
      <w:kern w:val="0"/>
      <w:sz w:val="28"/>
      <w14:ligatures w14:val="none"/>
    </w:rPr>
  </w:style>
  <w:style w:type="character" w:customStyle="1" w:styleId="Heading1Char">
    <w:name w:val="Heading 1 Char"/>
    <w:basedOn w:val="DefaultParagraphFont"/>
    <w:link w:val="Heading1"/>
    <w:uiPriority w:val="9"/>
    <w:rsid w:val="00406B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6BDB"/>
    <w:pPr>
      <w:outlineLvl w:val="9"/>
    </w:pPr>
    <w:rPr>
      <w:kern w:val="0"/>
      <w14:ligatures w14:val="none"/>
    </w:rPr>
  </w:style>
  <w:style w:type="paragraph" w:styleId="TOC1">
    <w:name w:val="toc 1"/>
    <w:basedOn w:val="Normal"/>
    <w:next w:val="Normal"/>
    <w:autoRedefine/>
    <w:uiPriority w:val="39"/>
    <w:unhideWhenUsed/>
    <w:rsid w:val="00406BDB"/>
    <w:pPr>
      <w:spacing w:after="100"/>
    </w:pPr>
  </w:style>
  <w:style w:type="paragraph" w:styleId="TOC2">
    <w:name w:val="toc 2"/>
    <w:basedOn w:val="Normal"/>
    <w:next w:val="Normal"/>
    <w:autoRedefine/>
    <w:uiPriority w:val="39"/>
    <w:unhideWhenUsed/>
    <w:rsid w:val="00B27AEF"/>
    <w:pPr>
      <w:spacing w:after="100"/>
      <w:ind w:left="220"/>
    </w:pPr>
    <w:rPr>
      <w:rFonts w:eastAsiaTheme="minorEastAsia" w:cs="Times New Roman"/>
      <w:kern w:val="0"/>
      <w14:ligatures w14:val="none"/>
    </w:rPr>
  </w:style>
  <w:style w:type="paragraph" w:styleId="TOC3">
    <w:name w:val="toc 3"/>
    <w:basedOn w:val="Normal"/>
    <w:next w:val="Normal"/>
    <w:autoRedefine/>
    <w:uiPriority w:val="39"/>
    <w:unhideWhenUsed/>
    <w:rsid w:val="00B27AEF"/>
    <w:pPr>
      <w:spacing w:after="100"/>
      <w:ind w:left="440"/>
    </w:pPr>
    <w:rPr>
      <w:rFonts w:eastAsiaTheme="minorEastAsia" w:cs="Times New Roman"/>
      <w:kern w:val="0"/>
      <w14:ligatures w14:val="none"/>
    </w:rPr>
  </w:style>
  <w:style w:type="table" w:styleId="PlainTable5">
    <w:name w:val="Plain Table 5"/>
    <w:basedOn w:val="TableNormal"/>
    <w:uiPriority w:val="45"/>
    <w:rsid w:val="00C3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next w:val="Normal"/>
    <w:link w:val="TitleChar"/>
    <w:uiPriority w:val="10"/>
    <w:qFormat/>
    <w:rsid w:val="00E1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D2"/>
    <w:rPr>
      <w:rFonts w:asciiTheme="majorHAnsi" w:eastAsiaTheme="majorEastAsia" w:hAnsiTheme="majorHAnsi" w:cstheme="majorBidi"/>
      <w:spacing w:val="-10"/>
      <w:kern w:val="28"/>
      <w:sz w:val="56"/>
      <w:szCs w:val="56"/>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2A2563"/>
    <w:pPr>
      <w:spacing w:before="120" w:line="240" w:lineRule="exact"/>
    </w:pPr>
    <w:rPr>
      <w:vertAlign w:val="superscript"/>
    </w:rPr>
  </w:style>
  <w:style w:type="character" w:customStyle="1" w:styleId="cf01">
    <w:name w:val="cf01"/>
    <w:basedOn w:val="DefaultParagraphFont"/>
    <w:rsid w:val="003B405D"/>
    <w:rPr>
      <w:rFonts w:ascii="Segoe UI" w:hAnsi="Segoe UI" w:cs="Segoe UI" w:hint="default"/>
      <w:sz w:val="18"/>
      <w:szCs w:val="18"/>
    </w:rPr>
  </w:style>
  <w:style w:type="paragraph" w:customStyle="1" w:styleId="CMR-SubHead2">
    <w:name w:val="CMR - SubHead2"/>
    <w:basedOn w:val="CMR-Subheading"/>
    <w:link w:val="CMR-SubHead2Char"/>
    <w:qFormat/>
    <w:rsid w:val="00650354"/>
    <w:pPr>
      <w:numPr>
        <w:ilvl w:val="2"/>
      </w:numPr>
      <w:outlineLvl w:val="2"/>
    </w:pPr>
  </w:style>
  <w:style w:type="character" w:customStyle="1" w:styleId="CMR-SubHead2Char">
    <w:name w:val="CMR - SubHead2 Char"/>
    <w:basedOn w:val="CMR-SubheadingChar"/>
    <w:link w:val="CMR-SubHead2"/>
    <w:rsid w:val="0051590D"/>
    <w:rPr>
      <w:rFonts w:ascii="Times New Roman" w:hAnsi="Times New Roman"/>
      <w:b/>
      <w:bCs w:val="0"/>
      <w:kern w:val="0"/>
      <w:sz w:val="24"/>
      <w:szCs w:val="28"/>
      <w:lang w:val="lt-LT"/>
      <w14:ligatures w14:val="none"/>
    </w:rPr>
  </w:style>
  <w:style w:type="paragraph" w:styleId="EndnoteText">
    <w:name w:val="endnote text"/>
    <w:basedOn w:val="Normal"/>
    <w:link w:val="EndnoteTextChar"/>
    <w:uiPriority w:val="99"/>
    <w:semiHidden/>
    <w:unhideWhenUsed/>
    <w:rsid w:val="00E318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1847"/>
    <w:rPr>
      <w:sz w:val="20"/>
      <w:szCs w:val="20"/>
    </w:rPr>
  </w:style>
  <w:style w:type="character" w:styleId="EndnoteReference">
    <w:name w:val="endnote reference"/>
    <w:basedOn w:val="DefaultParagraphFont"/>
    <w:uiPriority w:val="99"/>
    <w:semiHidden/>
    <w:unhideWhenUsed/>
    <w:rsid w:val="00E31847"/>
    <w:rPr>
      <w:vertAlign w:val="superscript"/>
    </w:rPr>
  </w:style>
  <w:style w:type="paragraph" w:customStyle="1" w:styleId="Languesfaisantfoi">
    <w:name w:val="Langues faisant foi"/>
    <w:basedOn w:val="Normal"/>
    <w:next w:val="Normal"/>
    <w:rsid w:val="00231AB4"/>
    <w:pPr>
      <w:spacing w:before="360" w:after="240" w:line="240" w:lineRule="auto"/>
      <w:jc w:val="center"/>
    </w:pPr>
    <w:rPr>
      <w:rFonts w:ascii="Times New Roman" w:hAnsi="Times New Roman" w:cs="Times New Roman"/>
      <w:kern w:val="0"/>
      <w:sz w:val="24"/>
      <w14:ligatures w14:val="none"/>
    </w:rPr>
  </w:style>
  <w:style w:type="paragraph" w:customStyle="1" w:styleId="LanguesfaisantfoiPagedecouverture">
    <w:name w:val="Langues faisant foi (Page de couverture)"/>
    <w:basedOn w:val="Normal"/>
    <w:next w:val="Normal"/>
    <w:rsid w:val="00231AB4"/>
    <w:pPr>
      <w:spacing w:before="360" w:after="240" w:line="240" w:lineRule="auto"/>
      <w:jc w:val="center"/>
    </w:pPr>
    <w:rPr>
      <w:rFonts w:ascii="Times New Roman" w:hAnsi="Times New Roman" w:cs="Times New Roman"/>
      <w:kern w:val="0"/>
      <w:sz w:val="24"/>
      <w14:ligatures w14:val="none"/>
    </w:rPr>
  </w:style>
  <w:style w:type="paragraph" w:customStyle="1" w:styleId="IntrtEEE">
    <w:name w:val="Intérêt EEE"/>
    <w:basedOn w:val="Languesfaisantfoi"/>
    <w:next w:val="Normal"/>
    <w:rsid w:val="00231AB4"/>
    <w:pPr>
      <w:spacing w:after="0"/>
    </w:pPr>
  </w:style>
  <w:style w:type="paragraph" w:customStyle="1" w:styleId="IntrtEEEPagedecouverture">
    <w:name w:val="Intérêt EEE (Page de couverture)"/>
    <w:basedOn w:val="IntrtEEE"/>
    <w:next w:val="Normal"/>
    <w:rsid w:val="0023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1829">
      <w:bodyDiv w:val="1"/>
      <w:marLeft w:val="0"/>
      <w:marRight w:val="0"/>
      <w:marTop w:val="0"/>
      <w:marBottom w:val="0"/>
      <w:divBdr>
        <w:top w:val="none" w:sz="0" w:space="0" w:color="auto"/>
        <w:left w:val="none" w:sz="0" w:space="0" w:color="auto"/>
        <w:bottom w:val="none" w:sz="0" w:space="0" w:color="auto"/>
        <w:right w:val="none" w:sz="0" w:space="0" w:color="auto"/>
      </w:divBdr>
      <w:divsChild>
        <w:div w:id="736783134">
          <w:marLeft w:val="0"/>
          <w:marRight w:val="0"/>
          <w:marTop w:val="0"/>
          <w:marBottom w:val="0"/>
          <w:divBdr>
            <w:top w:val="none" w:sz="0" w:space="0" w:color="auto"/>
            <w:left w:val="none" w:sz="0" w:space="0" w:color="auto"/>
            <w:bottom w:val="none" w:sz="0" w:space="0" w:color="auto"/>
            <w:right w:val="none" w:sz="0" w:space="0" w:color="auto"/>
          </w:divBdr>
        </w:div>
        <w:div w:id="1669404031">
          <w:marLeft w:val="0"/>
          <w:marRight w:val="0"/>
          <w:marTop w:val="0"/>
          <w:marBottom w:val="0"/>
          <w:divBdr>
            <w:top w:val="none" w:sz="0" w:space="0" w:color="auto"/>
            <w:left w:val="none" w:sz="0" w:space="0" w:color="auto"/>
            <w:bottom w:val="none" w:sz="0" w:space="0" w:color="auto"/>
            <w:right w:val="none" w:sz="0" w:space="0" w:color="auto"/>
          </w:divBdr>
        </w:div>
      </w:divsChild>
    </w:div>
    <w:div w:id="115415389">
      <w:bodyDiv w:val="1"/>
      <w:marLeft w:val="0"/>
      <w:marRight w:val="0"/>
      <w:marTop w:val="0"/>
      <w:marBottom w:val="0"/>
      <w:divBdr>
        <w:top w:val="none" w:sz="0" w:space="0" w:color="auto"/>
        <w:left w:val="none" w:sz="0" w:space="0" w:color="auto"/>
        <w:bottom w:val="none" w:sz="0" w:space="0" w:color="auto"/>
        <w:right w:val="none" w:sz="0" w:space="0" w:color="auto"/>
      </w:divBdr>
    </w:div>
    <w:div w:id="274676492">
      <w:bodyDiv w:val="1"/>
      <w:marLeft w:val="0"/>
      <w:marRight w:val="0"/>
      <w:marTop w:val="0"/>
      <w:marBottom w:val="0"/>
      <w:divBdr>
        <w:top w:val="none" w:sz="0" w:space="0" w:color="auto"/>
        <w:left w:val="none" w:sz="0" w:space="0" w:color="auto"/>
        <w:bottom w:val="none" w:sz="0" w:space="0" w:color="auto"/>
        <w:right w:val="none" w:sz="0" w:space="0" w:color="auto"/>
      </w:divBdr>
      <w:divsChild>
        <w:div w:id="417797469">
          <w:marLeft w:val="0"/>
          <w:marRight w:val="0"/>
          <w:marTop w:val="0"/>
          <w:marBottom w:val="0"/>
          <w:divBdr>
            <w:top w:val="none" w:sz="0" w:space="0" w:color="auto"/>
            <w:left w:val="none" w:sz="0" w:space="0" w:color="auto"/>
            <w:bottom w:val="none" w:sz="0" w:space="0" w:color="auto"/>
            <w:right w:val="none" w:sz="0" w:space="0" w:color="auto"/>
          </w:divBdr>
        </w:div>
        <w:div w:id="515776413">
          <w:marLeft w:val="0"/>
          <w:marRight w:val="0"/>
          <w:marTop w:val="0"/>
          <w:marBottom w:val="0"/>
          <w:divBdr>
            <w:top w:val="none" w:sz="0" w:space="0" w:color="auto"/>
            <w:left w:val="none" w:sz="0" w:space="0" w:color="auto"/>
            <w:bottom w:val="none" w:sz="0" w:space="0" w:color="auto"/>
            <w:right w:val="none" w:sz="0" w:space="0" w:color="auto"/>
          </w:divBdr>
        </w:div>
        <w:div w:id="1103458579">
          <w:marLeft w:val="0"/>
          <w:marRight w:val="0"/>
          <w:marTop w:val="0"/>
          <w:marBottom w:val="0"/>
          <w:divBdr>
            <w:top w:val="none" w:sz="0" w:space="0" w:color="auto"/>
            <w:left w:val="none" w:sz="0" w:space="0" w:color="auto"/>
            <w:bottom w:val="none" w:sz="0" w:space="0" w:color="auto"/>
            <w:right w:val="none" w:sz="0" w:space="0" w:color="auto"/>
          </w:divBdr>
        </w:div>
        <w:div w:id="1323509186">
          <w:marLeft w:val="0"/>
          <w:marRight w:val="0"/>
          <w:marTop w:val="0"/>
          <w:marBottom w:val="0"/>
          <w:divBdr>
            <w:top w:val="none" w:sz="0" w:space="0" w:color="auto"/>
            <w:left w:val="none" w:sz="0" w:space="0" w:color="auto"/>
            <w:bottom w:val="none" w:sz="0" w:space="0" w:color="auto"/>
            <w:right w:val="none" w:sz="0" w:space="0" w:color="auto"/>
          </w:divBdr>
        </w:div>
        <w:div w:id="1348560958">
          <w:marLeft w:val="0"/>
          <w:marRight w:val="0"/>
          <w:marTop w:val="0"/>
          <w:marBottom w:val="0"/>
          <w:divBdr>
            <w:top w:val="none" w:sz="0" w:space="0" w:color="auto"/>
            <w:left w:val="none" w:sz="0" w:space="0" w:color="auto"/>
            <w:bottom w:val="none" w:sz="0" w:space="0" w:color="auto"/>
            <w:right w:val="none" w:sz="0" w:space="0" w:color="auto"/>
          </w:divBdr>
        </w:div>
      </w:divsChild>
    </w:div>
    <w:div w:id="283193345">
      <w:bodyDiv w:val="1"/>
      <w:marLeft w:val="0"/>
      <w:marRight w:val="0"/>
      <w:marTop w:val="0"/>
      <w:marBottom w:val="0"/>
      <w:divBdr>
        <w:top w:val="none" w:sz="0" w:space="0" w:color="auto"/>
        <w:left w:val="none" w:sz="0" w:space="0" w:color="auto"/>
        <w:bottom w:val="none" w:sz="0" w:space="0" w:color="auto"/>
        <w:right w:val="none" w:sz="0" w:space="0" w:color="auto"/>
      </w:divBdr>
    </w:div>
    <w:div w:id="371003773">
      <w:bodyDiv w:val="1"/>
      <w:marLeft w:val="0"/>
      <w:marRight w:val="0"/>
      <w:marTop w:val="0"/>
      <w:marBottom w:val="0"/>
      <w:divBdr>
        <w:top w:val="none" w:sz="0" w:space="0" w:color="auto"/>
        <w:left w:val="none" w:sz="0" w:space="0" w:color="auto"/>
        <w:bottom w:val="none" w:sz="0" w:space="0" w:color="auto"/>
        <w:right w:val="none" w:sz="0" w:space="0" w:color="auto"/>
      </w:divBdr>
    </w:div>
    <w:div w:id="398360013">
      <w:bodyDiv w:val="1"/>
      <w:marLeft w:val="0"/>
      <w:marRight w:val="0"/>
      <w:marTop w:val="0"/>
      <w:marBottom w:val="0"/>
      <w:divBdr>
        <w:top w:val="none" w:sz="0" w:space="0" w:color="auto"/>
        <w:left w:val="none" w:sz="0" w:space="0" w:color="auto"/>
        <w:bottom w:val="none" w:sz="0" w:space="0" w:color="auto"/>
        <w:right w:val="none" w:sz="0" w:space="0" w:color="auto"/>
      </w:divBdr>
    </w:div>
    <w:div w:id="399055945">
      <w:bodyDiv w:val="1"/>
      <w:marLeft w:val="0"/>
      <w:marRight w:val="0"/>
      <w:marTop w:val="0"/>
      <w:marBottom w:val="0"/>
      <w:divBdr>
        <w:top w:val="none" w:sz="0" w:space="0" w:color="auto"/>
        <w:left w:val="none" w:sz="0" w:space="0" w:color="auto"/>
        <w:bottom w:val="none" w:sz="0" w:space="0" w:color="auto"/>
        <w:right w:val="none" w:sz="0" w:space="0" w:color="auto"/>
      </w:divBdr>
    </w:div>
    <w:div w:id="510484525">
      <w:bodyDiv w:val="1"/>
      <w:marLeft w:val="0"/>
      <w:marRight w:val="0"/>
      <w:marTop w:val="0"/>
      <w:marBottom w:val="0"/>
      <w:divBdr>
        <w:top w:val="none" w:sz="0" w:space="0" w:color="auto"/>
        <w:left w:val="none" w:sz="0" w:space="0" w:color="auto"/>
        <w:bottom w:val="none" w:sz="0" w:space="0" w:color="auto"/>
        <w:right w:val="none" w:sz="0" w:space="0" w:color="auto"/>
      </w:divBdr>
      <w:divsChild>
        <w:div w:id="98377421">
          <w:marLeft w:val="0"/>
          <w:marRight w:val="0"/>
          <w:marTop w:val="0"/>
          <w:marBottom w:val="0"/>
          <w:divBdr>
            <w:top w:val="none" w:sz="0" w:space="0" w:color="auto"/>
            <w:left w:val="none" w:sz="0" w:space="0" w:color="auto"/>
            <w:bottom w:val="none" w:sz="0" w:space="0" w:color="auto"/>
            <w:right w:val="none" w:sz="0" w:space="0" w:color="auto"/>
          </w:divBdr>
        </w:div>
        <w:div w:id="499008999">
          <w:marLeft w:val="0"/>
          <w:marRight w:val="0"/>
          <w:marTop w:val="0"/>
          <w:marBottom w:val="0"/>
          <w:divBdr>
            <w:top w:val="none" w:sz="0" w:space="0" w:color="auto"/>
            <w:left w:val="none" w:sz="0" w:space="0" w:color="auto"/>
            <w:bottom w:val="none" w:sz="0" w:space="0" w:color="auto"/>
            <w:right w:val="none" w:sz="0" w:space="0" w:color="auto"/>
          </w:divBdr>
        </w:div>
        <w:div w:id="705183939">
          <w:marLeft w:val="0"/>
          <w:marRight w:val="0"/>
          <w:marTop w:val="0"/>
          <w:marBottom w:val="0"/>
          <w:divBdr>
            <w:top w:val="none" w:sz="0" w:space="0" w:color="auto"/>
            <w:left w:val="none" w:sz="0" w:space="0" w:color="auto"/>
            <w:bottom w:val="none" w:sz="0" w:space="0" w:color="auto"/>
            <w:right w:val="none" w:sz="0" w:space="0" w:color="auto"/>
          </w:divBdr>
        </w:div>
        <w:div w:id="798574968">
          <w:marLeft w:val="0"/>
          <w:marRight w:val="0"/>
          <w:marTop w:val="0"/>
          <w:marBottom w:val="0"/>
          <w:divBdr>
            <w:top w:val="none" w:sz="0" w:space="0" w:color="auto"/>
            <w:left w:val="none" w:sz="0" w:space="0" w:color="auto"/>
            <w:bottom w:val="none" w:sz="0" w:space="0" w:color="auto"/>
            <w:right w:val="none" w:sz="0" w:space="0" w:color="auto"/>
          </w:divBdr>
        </w:div>
        <w:div w:id="1508978879">
          <w:marLeft w:val="0"/>
          <w:marRight w:val="0"/>
          <w:marTop w:val="0"/>
          <w:marBottom w:val="0"/>
          <w:divBdr>
            <w:top w:val="none" w:sz="0" w:space="0" w:color="auto"/>
            <w:left w:val="none" w:sz="0" w:space="0" w:color="auto"/>
            <w:bottom w:val="none" w:sz="0" w:space="0" w:color="auto"/>
            <w:right w:val="none" w:sz="0" w:space="0" w:color="auto"/>
          </w:divBdr>
        </w:div>
      </w:divsChild>
    </w:div>
    <w:div w:id="530263460">
      <w:bodyDiv w:val="1"/>
      <w:marLeft w:val="0"/>
      <w:marRight w:val="0"/>
      <w:marTop w:val="0"/>
      <w:marBottom w:val="0"/>
      <w:divBdr>
        <w:top w:val="none" w:sz="0" w:space="0" w:color="auto"/>
        <w:left w:val="none" w:sz="0" w:space="0" w:color="auto"/>
        <w:bottom w:val="none" w:sz="0" w:space="0" w:color="auto"/>
        <w:right w:val="none" w:sz="0" w:space="0" w:color="auto"/>
      </w:divBdr>
    </w:div>
    <w:div w:id="554854085">
      <w:bodyDiv w:val="1"/>
      <w:marLeft w:val="0"/>
      <w:marRight w:val="0"/>
      <w:marTop w:val="0"/>
      <w:marBottom w:val="0"/>
      <w:divBdr>
        <w:top w:val="none" w:sz="0" w:space="0" w:color="auto"/>
        <w:left w:val="none" w:sz="0" w:space="0" w:color="auto"/>
        <w:bottom w:val="none" w:sz="0" w:space="0" w:color="auto"/>
        <w:right w:val="none" w:sz="0" w:space="0" w:color="auto"/>
      </w:divBdr>
    </w:div>
    <w:div w:id="581257060">
      <w:bodyDiv w:val="1"/>
      <w:marLeft w:val="0"/>
      <w:marRight w:val="0"/>
      <w:marTop w:val="0"/>
      <w:marBottom w:val="0"/>
      <w:divBdr>
        <w:top w:val="none" w:sz="0" w:space="0" w:color="auto"/>
        <w:left w:val="none" w:sz="0" w:space="0" w:color="auto"/>
        <w:bottom w:val="none" w:sz="0" w:space="0" w:color="auto"/>
        <w:right w:val="none" w:sz="0" w:space="0" w:color="auto"/>
      </w:divBdr>
    </w:div>
    <w:div w:id="605771508">
      <w:bodyDiv w:val="1"/>
      <w:marLeft w:val="0"/>
      <w:marRight w:val="0"/>
      <w:marTop w:val="0"/>
      <w:marBottom w:val="0"/>
      <w:divBdr>
        <w:top w:val="none" w:sz="0" w:space="0" w:color="auto"/>
        <w:left w:val="none" w:sz="0" w:space="0" w:color="auto"/>
        <w:bottom w:val="none" w:sz="0" w:space="0" w:color="auto"/>
        <w:right w:val="none" w:sz="0" w:space="0" w:color="auto"/>
      </w:divBdr>
    </w:div>
    <w:div w:id="645401886">
      <w:bodyDiv w:val="1"/>
      <w:marLeft w:val="0"/>
      <w:marRight w:val="0"/>
      <w:marTop w:val="0"/>
      <w:marBottom w:val="0"/>
      <w:divBdr>
        <w:top w:val="none" w:sz="0" w:space="0" w:color="auto"/>
        <w:left w:val="none" w:sz="0" w:space="0" w:color="auto"/>
        <w:bottom w:val="none" w:sz="0" w:space="0" w:color="auto"/>
        <w:right w:val="none" w:sz="0" w:space="0" w:color="auto"/>
      </w:divBdr>
    </w:div>
    <w:div w:id="653797067">
      <w:bodyDiv w:val="1"/>
      <w:marLeft w:val="0"/>
      <w:marRight w:val="0"/>
      <w:marTop w:val="0"/>
      <w:marBottom w:val="0"/>
      <w:divBdr>
        <w:top w:val="none" w:sz="0" w:space="0" w:color="auto"/>
        <w:left w:val="none" w:sz="0" w:space="0" w:color="auto"/>
        <w:bottom w:val="none" w:sz="0" w:space="0" w:color="auto"/>
        <w:right w:val="none" w:sz="0" w:space="0" w:color="auto"/>
      </w:divBdr>
    </w:div>
    <w:div w:id="727919996">
      <w:bodyDiv w:val="1"/>
      <w:marLeft w:val="0"/>
      <w:marRight w:val="0"/>
      <w:marTop w:val="0"/>
      <w:marBottom w:val="0"/>
      <w:divBdr>
        <w:top w:val="none" w:sz="0" w:space="0" w:color="auto"/>
        <w:left w:val="none" w:sz="0" w:space="0" w:color="auto"/>
        <w:bottom w:val="none" w:sz="0" w:space="0" w:color="auto"/>
        <w:right w:val="none" w:sz="0" w:space="0" w:color="auto"/>
      </w:divBdr>
    </w:div>
    <w:div w:id="748842238">
      <w:bodyDiv w:val="1"/>
      <w:marLeft w:val="0"/>
      <w:marRight w:val="0"/>
      <w:marTop w:val="0"/>
      <w:marBottom w:val="0"/>
      <w:divBdr>
        <w:top w:val="none" w:sz="0" w:space="0" w:color="auto"/>
        <w:left w:val="none" w:sz="0" w:space="0" w:color="auto"/>
        <w:bottom w:val="none" w:sz="0" w:space="0" w:color="auto"/>
        <w:right w:val="none" w:sz="0" w:space="0" w:color="auto"/>
      </w:divBdr>
      <w:divsChild>
        <w:div w:id="78017491">
          <w:marLeft w:val="0"/>
          <w:marRight w:val="0"/>
          <w:marTop w:val="0"/>
          <w:marBottom w:val="0"/>
          <w:divBdr>
            <w:top w:val="none" w:sz="0" w:space="0" w:color="auto"/>
            <w:left w:val="none" w:sz="0" w:space="0" w:color="auto"/>
            <w:bottom w:val="none" w:sz="0" w:space="0" w:color="auto"/>
            <w:right w:val="none" w:sz="0" w:space="0" w:color="auto"/>
          </w:divBdr>
        </w:div>
        <w:div w:id="163402252">
          <w:marLeft w:val="0"/>
          <w:marRight w:val="0"/>
          <w:marTop w:val="0"/>
          <w:marBottom w:val="0"/>
          <w:divBdr>
            <w:top w:val="none" w:sz="0" w:space="0" w:color="auto"/>
            <w:left w:val="none" w:sz="0" w:space="0" w:color="auto"/>
            <w:bottom w:val="none" w:sz="0" w:space="0" w:color="auto"/>
            <w:right w:val="none" w:sz="0" w:space="0" w:color="auto"/>
          </w:divBdr>
        </w:div>
        <w:div w:id="543559319">
          <w:marLeft w:val="0"/>
          <w:marRight w:val="0"/>
          <w:marTop w:val="0"/>
          <w:marBottom w:val="0"/>
          <w:divBdr>
            <w:top w:val="none" w:sz="0" w:space="0" w:color="auto"/>
            <w:left w:val="none" w:sz="0" w:space="0" w:color="auto"/>
            <w:bottom w:val="none" w:sz="0" w:space="0" w:color="auto"/>
            <w:right w:val="none" w:sz="0" w:space="0" w:color="auto"/>
          </w:divBdr>
        </w:div>
        <w:div w:id="837113167">
          <w:marLeft w:val="0"/>
          <w:marRight w:val="0"/>
          <w:marTop w:val="0"/>
          <w:marBottom w:val="0"/>
          <w:divBdr>
            <w:top w:val="none" w:sz="0" w:space="0" w:color="auto"/>
            <w:left w:val="none" w:sz="0" w:space="0" w:color="auto"/>
            <w:bottom w:val="none" w:sz="0" w:space="0" w:color="auto"/>
            <w:right w:val="none" w:sz="0" w:space="0" w:color="auto"/>
          </w:divBdr>
        </w:div>
        <w:div w:id="1231767023">
          <w:marLeft w:val="0"/>
          <w:marRight w:val="0"/>
          <w:marTop w:val="0"/>
          <w:marBottom w:val="0"/>
          <w:divBdr>
            <w:top w:val="none" w:sz="0" w:space="0" w:color="auto"/>
            <w:left w:val="none" w:sz="0" w:space="0" w:color="auto"/>
            <w:bottom w:val="none" w:sz="0" w:space="0" w:color="auto"/>
            <w:right w:val="none" w:sz="0" w:space="0" w:color="auto"/>
          </w:divBdr>
        </w:div>
        <w:div w:id="1815097325">
          <w:marLeft w:val="0"/>
          <w:marRight w:val="0"/>
          <w:marTop w:val="0"/>
          <w:marBottom w:val="0"/>
          <w:divBdr>
            <w:top w:val="none" w:sz="0" w:space="0" w:color="auto"/>
            <w:left w:val="none" w:sz="0" w:space="0" w:color="auto"/>
            <w:bottom w:val="none" w:sz="0" w:space="0" w:color="auto"/>
            <w:right w:val="none" w:sz="0" w:space="0" w:color="auto"/>
          </w:divBdr>
        </w:div>
        <w:div w:id="2018726127">
          <w:marLeft w:val="0"/>
          <w:marRight w:val="0"/>
          <w:marTop w:val="0"/>
          <w:marBottom w:val="0"/>
          <w:divBdr>
            <w:top w:val="none" w:sz="0" w:space="0" w:color="auto"/>
            <w:left w:val="none" w:sz="0" w:space="0" w:color="auto"/>
            <w:bottom w:val="none" w:sz="0" w:space="0" w:color="auto"/>
            <w:right w:val="none" w:sz="0" w:space="0" w:color="auto"/>
          </w:divBdr>
          <w:divsChild>
            <w:div w:id="1886671077">
              <w:marLeft w:val="-75"/>
              <w:marRight w:val="0"/>
              <w:marTop w:val="30"/>
              <w:marBottom w:val="30"/>
              <w:divBdr>
                <w:top w:val="none" w:sz="0" w:space="0" w:color="auto"/>
                <w:left w:val="none" w:sz="0" w:space="0" w:color="auto"/>
                <w:bottom w:val="none" w:sz="0" w:space="0" w:color="auto"/>
                <w:right w:val="none" w:sz="0" w:space="0" w:color="auto"/>
              </w:divBdr>
              <w:divsChild>
                <w:div w:id="41638978">
                  <w:marLeft w:val="0"/>
                  <w:marRight w:val="0"/>
                  <w:marTop w:val="0"/>
                  <w:marBottom w:val="0"/>
                  <w:divBdr>
                    <w:top w:val="none" w:sz="0" w:space="0" w:color="auto"/>
                    <w:left w:val="none" w:sz="0" w:space="0" w:color="auto"/>
                    <w:bottom w:val="none" w:sz="0" w:space="0" w:color="auto"/>
                    <w:right w:val="none" w:sz="0" w:space="0" w:color="auto"/>
                  </w:divBdr>
                  <w:divsChild>
                    <w:div w:id="58942845">
                      <w:marLeft w:val="0"/>
                      <w:marRight w:val="0"/>
                      <w:marTop w:val="0"/>
                      <w:marBottom w:val="0"/>
                      <w:divBdr>
                        <w:top w:val="none" w:sz="0" w:space="0" w:color="auto"/>
                        <w:left w:val="none" w:sz="0" w:space="0" w:color="auto"/>
                        <w:bottom w:val="none" w:sz="0" w:space="0" w:color="auto"/>
                        <w:right w:val="none" w:sz="0" w:space="0" w:color="auto"/>
                      </w:divBdr>
                    </w:div>
                  </w:divsChild>
                </w:div>
                <w:div w:id="42826865">
                  <w:marLeft w:val="0"/>
                  <w:marRight w:val="0"/>
                  <w:marTop w:val="0"/>
                  <w:marBottom w:val="0"/>
                  <w:divBdr>
                    <w:top w:val="none" w:sz="0" w:space="0" w:color="auto"/>
                    <w:left w:val="none" w:sz="0" w:space="0" w:color="auto"/>
                    <w:bottom w:val="none" w:sz="0" w:space="0" w:color="auto"/>
                    <w:right w:val="none" w:sz="0" w:space="0" w:color="auto"/>
                  </w:divBdr>
                  <w:divsChild>
                    <w:div w:id="531920360">
                      <w:marLeft w:val="0"/>
                      <w:marRight w:val="0"/>
                      <w:marTop w:val="0"/>
                      <w:marBottom w:val="0"/>
                      <w:divBdr>
                        <w:top w:val="none" w:sz="0" w:space="0" w:color="auto"/>
                        <w:left w:val="none" w:sz="0" w:space="0" w:color="auto"/>
                        <w:bottom w:val="none" w:sz="0" w:space="0" w:color="auto"/>
                        <w:right w:val="none" w:sz="0" w:space="0" w:color="auto"/>
                      </w:divBdr>
                    </w:div>
                  </w:divsChild>
                </w:div>
                <w:div w:id="79721314">
                  <w:marLeft w:val="0"/>
                  <w:marRight w:val="0"/>
                  <w:marTop w:val="0"/>
                  <w:marBottom w:val="0"/>
                  <w:divBdr>
                    <w:top w:val="none" w:sz="0" w:space="0" w:color="auto"/>
                    <w:left w:val="none" w:sz="0" w:space="0" w:color="auto"/>
                    <w:bottom w:val="none" w:sz="0" w:space="0" w:color="auto"/>
                    <w:right w:val="none" w:sz="0" w:space="0" w:color="auto"/>
                  </w:divBdr>
                  <w:divsChild>
                    <w:div w:id="1864397105">
                      <w:marLeft w:val="0"/>
                      <w:marRight w:val="0"/>
                      <w:marTop w:val="0"/>
                      <w:marBottom w:val="0"/>
                      <w:divBdr>
                        <w:top w:val="none" w:sz="0" w:space="0" w:color="auto"/>
                        <w:left w:val="none" w:sz="0" w:space="0" w:color="auto"/>
                        <w:bottom w:val="none" w:sz="0" w:space="0" w:color="auto"/>
                        <w:right w:val="none" w:sz="0" w:space="0" w:color="auto"/>
                      </w:divBdr>
                    </w:div>
                  </w:divsChild>
                </w:div>
                <w:div w:id="84697061">
                  <w:marLeft w:val="0"/>
                  <w:marRight w:val="0"/>
                  <w:marTop w:val="0"/>
                  <w:marBottom w:val="0"/>
                  <w:divBdr>
                    <w:top w:val="none" w:sz="0" w:space="0" w:color="auto"/>
                    <w:left w:val="none" w:sz="0" w:space="0" w:color="auto"/>
                    <w:bottom w:val="none" w:sz="0" w:space="0" w:color="auto"/>
                    <w:right w:val="none" w:sz="0" w:space="0" w:color="auto"/>
                  </w:divBdr>
                  <w:divsChild>
                    <w:div w:id="614949274">
                      <w:marLeft w:val="0"/>
                      <w:marRight w:val="0"/>
                      <w:marTop w:val="0"/>
                      <w:marBottom w:val="0"/>
                      <w:divBdr>
                        <w:top w:val="none" w:sz="0" w:space="0" w:color="auto"/>
                        <w:left w:val="none" w:sz="0" w:space="0" w:color="auto"/>
                        <w:bottom w:val="none" w:sz="0" w:space="0" w:color="auto"/>
                        <w:right w:val="none" w:sz="0" w:space="0" w:color="auto"/>
                      </w:divBdr>
                    </w:div>
                  </w:divsChild>
                </w:div>
                <w:div w:id="111560257">
                  <w:marLeft w:val="0"/>
                  <w:marRight w:val="0"/>
                  <w:marTop w:val="0"/>
                  <w:marBottom w:val="0"/>
                  <w:divBdr>
                    <w:top w:val="none" w:sz="0" w:space="0" w:color="auto"/>
                    <w:left w:val="none" w:sz="0" w:space="0" w:color="auto"/>
                    <w:bottom w:val="none" w:sz="0" w:space="0" w:color="auto"/>
                    <w:right w:val="none" w:sz="0" w:space="0" w:color="auto"/>
                  </w:divBdr>
                  <w:divsChild>
                    <w:div w:id="514803670">
                      <w:marLeft w:val="0"/>
                      <w:marRight w:val="0"/>
                      <w:marTop w:val="0"/>
                      <w:marBottom w:val="0"/>
                      <w:divBdr>
                        <w:top w:val="none" w:sz="0" w:space="0" w:color="auto"/>
                        <w:left w:val="none" w:sz="0" w:space="0" w:color="auto"/>
                        <w:bottom w:val="none" w:sz="0" w:space="0" w:color="auto"/>
                        <w:right w:val="none" w:sz="0" w:space="0" w:color="auto"/>
                      </w:divBdr>
                    </w:div>
                  </w:divsChild>
                </w:div>
                <w:div w:id="118306166">
                  <w:marLeft w:val="0"/>
                  <w:marRight w:val="0"/>
                  <w:marTop w:val="0"/>
                  <w:marBottom w:val="0"/>
                  <w:divBdr>
                    <w:top w:val="none" w:sz="0" w:space="0" w:color="auto"/>
                    <w:left w:val="none" w:sz="0" w:space="0" w:color="auto"/>
                    <w:bottom w:val="none" w:sz="0" w:space="0" w:color="auto"/>
                    <w:right w:val="none" w:sz="0" w:space="0" w:color="auto"/>
                  </w:divBdr>
                  <w:divsChild>
                    <w:div w:id="1454715771">
                      <w:marLeft w:val="0"/>
                      <w:marRight w:val="0"/>
                      <w:marTop w:val="0"/>
                      <w:marBottom w:val="0"/>
                      <w:divBdr>
                        <w:top w:val="none" w:sz="0" w:space="0" w:color="auto"/>
                        <w:left w:val="none" w:sz="0" w:space="0" w:color="auto"/>
                        <w:bottom w:val="none" w:sz="0" w:space="0" w:color="auto"/>
                        <w:right w:val="none" w:sz="0" w:space="0" w:color="auto"/>
                      </w:divBdr>
                    </w:div>
                  </w:divsChild>
                </w:div>
                <w:div w:id="122044330">
                  <w:marLeft w:val="0"/>
                  <w:marRight w:val="0"/>
                  <w:marTop w:val="0"/>
                  <w:marBottom w:val="0"/>
                  <w:divBdr>
                    <w:top w:val="none" w:sz="0" w:space="0" w:color="auto"/>
                    <w:left w:val="none" w:sz="0" w:space="0" w:color="auto"/>
                    <w:bottom w:val="none" w:sz="0" w:space="0" w:color="auto"/>
                    <w:right w:val="none" w:sz="0" w:space="0" w:color="auto"/>
                  </w:divBdr>
                  <w:divsChild>
                    <w:div w:id="1358002031">
                      <w:marLeft w:val="0"/>
                      <w:marRight w:val="0"/>
                      <w:marTop w:val="0"/>
                      <w:marBottom w:val="0"/>
                      <w:divBdr>
                        <w:top w:val="none" w:sz="0" w:space="0" w:color="auto"/>
                        <w:left w:val="none" w:sz="0" w:space="0" w:color="auto"/>
                        <w:bottom w:val="none" w:sz="0" w:space="0" w:color="auto"/>
                        <w:right w:val="none" w:sz="0" w:space="0" w:color="auto"/>
                      </w:divBdr>
                    </w:div>
                  </w:divsChild>
                </w:div>
                <w:div w:id="146825791">
                  <w:marLeft w:val="0"/>
                  <w:marRight w:val="0"/>
                  <w:marTop w:val="0"/>
                  <w:marBottom w:val="0"/>
                  <w:divBdr>
                    <w:top w:val="none" w:sz="0" w:space="0" w:color="auto"/>
                    <w:left w:val="none" w:sz="0" w:space="0" w:color="auto"/>
                    <w:bottom w:val="none" w:sz="0" w:space="0" w:color="auto"/>
                    <w:right w:val="none" w:sz="0" w:space="0" w:color="auto"/>
                  </w:divBdr>
                  <w:divsChild>
                    <w:div w:id="318651330">
                      <w:marLeft w:val="0"/>
                      <w:marRight w:val="0"/>
                      <w:marTop w:val="0"/>
                      <w:marBottom w:val="0"/>
                      <w:divBdr>
                        <w:top w:val="none" w:sz="0" w:space="0" w:color="auto"/>
                        <w:left w:val="none" w:sz="0" w:space="0" w:color="auto"/>
                        <w:bottom w:val="none" w:sz="0" w:space="0" w:color="auto"/>
                        <w:right w:val="none" w:sz="0" w:space="0" w:color="auto"/>
                      </w:divBdr>
                    </w:div>
                  </w:divsChild>
                </w:div>
                <w:div w:id="178474927">
                  <w:marLeft w:val="0"/>
                  <w:marRight w:val="0"/>
                  <w:marTop w:val="0"/>
                  <w:marBottom w:val="0"/>
                  <w:divBdr>
                    <w:top w:val="none" w:sz="0" w:space="0" w:color="auto"/>
                    <w:left w:val="none" w:sz="0" w:space="0" w:color="auto"/>
                    <w:bottom w:val="none" w:sz="0" w:space="0" w:color="auto"/>
                    <w:right w:val="none" w:sz="0" w:space="0" w:color="auto"/>
                  </w:divBdr>
                  <w:divsChild>
                    <w:div w:id="1619483144">
                      <w:marLeft w:val="0"/>
                      <w:marRight w:val="0"/>
                      <w:marTop w:val="0"/>
                      <w:marBottom w:val="0"/>
                      <w:divBdr>
                        <w:top w:val="none" w:sz="0" w:space="0" w:color="auto"/>
                        <w:left w:val="none" w:sz="0" w:space="0" w:color="auto"/>
                        <w:bottom w:val="none" w:sz="0" w:space="0" w:color="auto"/>
                        <w:right w:val="none" w:sz="0" w:space="0" w:color="auto"/>
                      </w:divBdr>
                    </w:div>
                  </w:divsChild>
                </w:div>
                <w:div w:id="227959234">
                  <w:marLeft w:val="0"/>
                  <w:marRight w:val="0"/>
                  <w:marTop w:val="0"/>
                  <w:marBottom w:val="0"/>
                  <w:divBdr>
                    <w:top w:val="none" w:sz="0" w:space="0" w:color="auto"/>
                    <w:left w:val="none" w:sz="0" w:space="0" w:color="auto"/>
                    <w:bottom w:val="none" w:sz="0" w:space="0" w:color="auto"/>
                    <w:right w:val="none" w:sz="0" w:space="0" w:color="auto"/>
                  </w:divBdr>
                  <w:divsChild>
                    <w:div w:id="298147743">
                      <w:marLeft w:val="0"/>
                      <w:marRight w:val="0"/>
                      <w:marTop w:val="0"/>
                      <w:marBottom w:val="0"/>
                      <w:divBdr>
                        <w:top w:val="none" w:sz="0" w:space="0" w:color="auto"/>
                        <w:left w:val="none" w:sz="0" w:space="0" w:color="auto"/>
                        <w:bottom w:val="none" w:sz="0" w:space="0" w:color="auto"/>
                        <w:right w:val="none" w:sz="0" w:space="0" w:color="auto"/>
                      </w:divBdr>
                    </w:div>
                  </w:divsChild>
                </w:div>
                <w:div w:id="243272233">
                  <w:marLeft w:val="0"/>
                  <w:marRight w:val="0"/>
                  <w:marTop w:val="0"/>
                  <w:marBottom w:val="0"/>
                  <w:divBdr>
                    <w:top w:val="none" w:sz="0" w:space="0" w:color="auto"/>
                    <w:left w:val="none" w:sz="0" w:space="0" w:color="auto"/>
                    <w:bottom w:val="none" w:sz="0" w:space="0" w:color="auto"/>
                    <w:right w:val="none" w:sz="0" w:space="0" w:color="auto"/>
                  </w:divBdr>
                  <w:divsChild>
                    <w:div w:id="1481573693">
                      <w:marLeft w:val="0"/>
                      <w:marRight w:val="0"/>
                      <w:marTop w:val="0"/>
                      <w:marBottom w:val="0"/>
                      <w:divBdr>
                        <w:top w:val="none" w:sz="0" w:space="0" w:color="auto"/>
                        <w:left w:val="none" w:sz="0" w:space="0" w:color="auto"/>
                        <w:bottom w:val="none" w:sz="0" w:space="0" w:color="auto"/>
                        <w:right w:val="none" w:sz="0" w:space="0" w:color="auto"/>
                      </w:divBdr>
                    </w:div>
                  </w:divsChild>
                </w:div>
                <w:div w:id="249126795">
                  <w:marLeft w:val="0"/>
                  <w:marRight w:val="0"/>
                  <w:marTop w:val="0"/>
                  <w:marBottom w:val="0"/>
                  <w:divBdr>
                    <w:top w:val="none" w:sz="0" w:space="0" w:color="auto"/>
                    <w:left w:val="none" w:sz="0" w:space="0" w:color="auto"/>
                    <w:bottom w:val="none" w:sz="0" w:space="0" w:color="auto"/>
                    <w:right w:val="none" w:sz="0" w:space="0" w:color="auto"/>
                  </w:divBdr>
                  <w:divsChild>
                    <w:div w:id="753819598">
                      <w:marLeft w:val="0"/>
                      <w:marRight w:val="0"/>
                      <w:marTop w:val="0"/>
                      <w:marBottom w:val="0"/>
                      <w:divBdr>
                        <w:top w:val="none" w:sz="0" w:space="0" w:color="auto"/>
                        <w:left w:val="none" w:sz="0" w:space="0" w:color="auto"/>
                        <w:bottom w:val="none" w:sz="0" w:space="0" w:color="auto"/>
                        <w:right w:val="none" w:sz="0" w:space="0" w:color="auto"/>
                      </w:divBdr>
                    </w:div>
                  </w:divsChild>
                </w:div>
                <w:div w:id="272249885">
                  <w:marLeft w:val="0"/>
                  <w:marRight w:val="0"/>
                  <w:marTop w:val="0"/>
                  <w:marBottom w:val="0"/>
                  <w:divBdr>
                    <w:top w:val="none" w:sz="0" w:space="0" w:color="auto"/>
                    <w:left w:val="none" w:sz="0" w:space="0" w:color="auto"/>
                    <w:bottom w:val="none" w:sz="0" w:space="0" w:color="auto"/>
                    <w:right w:val="none" w:sz="0" w:space="0" w:color="auto"/>
                  </w:divBdr>
                  <w:divsChild>
                    <w:div w:id="465199551">
                      <w:marLeft w:val="0"/>
                      <w:marRight w:val="0"/>
                      <w:marTop w:val="0"/>
                      <w:marBottom w:val="0"/>
                      <w:divBdr>
                        <w:top w:val="none" w:sz="0" w:space="0" w:color="auto"/>
                        <w:left w:val="none" w:sz="0" w:space="0" w:color="auto"/>
                        <w:bottom w:val="none" w:sz="0" w:space="0" w:color="auto"/>
                        <w:right w:val="none" w:sz="0" w:space="0" w:color="auto"/>
                      </w:divBdr>
                    </w:div>
                  </w:divsChild>
                </w:div>
                <w:div w:id="280113322">
                  <w:marLeft w:val="0"/>
                  <w:marRight w:val="0"/>
                  <w:marTop w:val="0"/>
                  <w:marBottom w:val="0"/>
                  <w:divBdr>
                    <w:top w:val="none" w:sz="0" w:space="0" w:color="auto"/>
                    <w:left w:val="none" w:sz="0" w:space="0" w:color="auto"/>
                    <w:bottom w:val="none" w:sz="0" w:space="0" w:color="auto"/>
                    <w:right w:val="none" w:sz="0" w:space="0" w:color="auto"/>
                  </w:divBdr>
                  <w:divsChild>
                    <w:div w:id="1682513135">
                      <w:marLeft w:val="0"/>
                      <w:marRight w:val="0"/>
                      <w:marTop w:val="0"/>
                      <w:marBottom w:val="0"/>
                      <w:divBdr>
                        <w:top w:val="none" w:sz="0" w:space="0" w:color="auto"/>
                        <w:left w:val="none" w:sz="0" w:space="0" w:color="auto"/>
                        <w:bottom w:val="none" w:sz="0" w:space="0" w:color="auto"/>
                        <w:right w:val="none" w:sz="0" w:space="0" w:color="auto"/>
                      </w:divBdr>
                    </w:div>
                  </w:divsChild>
                </w:div>
                <w:div w:id="382146540">
                  <w:marLeft w:val="0"/>
                  <w:marRight w:val="0"/>
                  <w:marTop w:val="0"/>
                  <w:marBottom w:val="0"/>
                  <w:divBdr>
                    <w:top w:val="none" w:sz="0" w:space="0" w:color="auto"/>
                    <w:left w:val="none" w:sz="0" w:space="0" w:color="auto"/>
                    <w:bottom w:val="none" w:sz="0" w:space="0" w:color="auto"/>
                    <w:right w:val="none" w:sz="0" w:space="0" w:color="auto"/>
                  </w:divBdr>
                  <w:divsChild>
                    <w:div w:id="1558010753">
                      <w:marLeft w:val="0"/>
                      <w:marRight w:val="0"/>
                      <w:marTop w:val="0"/>
                      <w:marBottom w:val="0"/>
                      <w:divBdr>
                        <w:top w:val="none" w:sz="0" w:space="0" w:color="auto"/>
                        <w:left w:val="none" w:sz="0" w:space="0" w:color="auto"/>
                        <w:bottom w:val="none" w:sz="0" w:space="0" w:color="auto"/>
                        <w:right w:val="none" w:sz="0" w:space="0" w:color="auto"/>
                      </w:divBdr>
                    </w:div>
                  </w:divsChild>
                </w:div>
                <w:div w:id="411124519">
                  <w:marLeft w:val="0"/>
                  <w:marRight w:val="0"/>
                  <w:marTop w:val="0"/>
                  <w:marBottom w:val="0"/>
                  <w:divBdr>
                    <w:top w:val="none" w:sz="0" w:space="0" w:color="auto"/>
                    <w:left w:val="none" w:sz="0" w:space="0" w:color="auto"/>
                    <w:bottom w:val="none" w:sz="0" w:space="0" w:color="auto"/>
                    <w:right w:val="none" w:sz="0" w:space="0" w:color="auto"/>
                  </w:divBdr>
                  <w:divsChild>
                    <w:div w:id="939070419">
                      <w:marLeft w:val="0"/>
                      <w:marRight w:val="0"/>
                      <w:marTop w:val="0"/>
                      <w:marBottom w:val="0"/>
                      <w:divBdr>
                        <w:top w:val="none" w:sz="0" w:space="0" w:color="auto"/>
                        <w:left w:val="none" w:sz="0" w:space="0" w:color="auto"/>
                        <w:bottom w:val="none" w:sz="0" w:space="0" w:color="auto"/>
                        <w:right w:val="none" w:sz="0" w:space="0" w:color="auto"/>
                      </w:divBdr>
                    </w:div>
                  </w:divsChild>
                </w:div>
                <w:div w:id="430974616">
                  <w:marLeft w:val="0"/>
                  <w:marRight w:val="0"/>
                  <w:marTop w:val="0"/>
                  <w:marBottom w:val="0"/>
                  <w:divBdr>
                    <w:top w:val="none" w:sz="0" w:space="0" w:color="auto"/>
                    <w:left w:val="none" w:sz="0" w:space="0" w:color="auto"/>
                    <w:bottom w:val="none" w:sz="0" w:space="0" w:color="auto"/>
                    <w:right w:val="none" w:sz="0" w:space="0" w:color="auto"/>
                  </w:divBdr>
                  <w:divsChild>
                    <w:div w:id="353655348">
                      <w:marLeft w:val="0"/>
                      <w:marRight w:val="0"/>
                      <w:marTop w:val="0"/>
                      <w:marBottom w:val="0"/>
                      <w:divBdr>
                        <w:top w:val="none" w:sz="0" w:space="0" w:color="auto"/>
                        <w:left w:val="none" w:sz="0" w:space="0" w:color="auto"/>
                        <w:bottom w:val="none" w:sz="0" w:space="0" w:color="auto"/>
                        <w:right w:val="none" w:sz="0" w:space="0" w:color="auto"/>
                      </w:divBdr>
                    </w:div>
                  </w:divsChild>
                </w:div>
                <w:div w:id="470365357">
                  <w:marLeft w:val="0"/>
                  <w:marRight w:val="0"/>
                  <w:marTop w:val="0"/>
                  <w:marBottom w:val="0"/>
                  <w:divBdr>
                    <w:top w:val="none" w:sz="0" w:space="0" w:color="auto"/>
                    <w:left w:val="none" w:sz="0" w:space="0" w:color="auto"/>
                    <w:bottom w:val="none" w:sz="0" w:space="0" w:color="auto"/>
                    <w:right w:val="none" w:sz="0" w:space="0" w:color="auto"/>
                  </w:divBdr>
                  <w:divsChild>
                    <w:div w:id="1988313984">
                      <w:marLeft w:val="0"/>
                      <w:marRight w:val="0"/>
                      <w:marTop w:val="0"/>
                      <w:marBottom w:val="0"/>
                      <w:divBdr>
                        <w:top w:val="none" w:sz="0" w:space="0" w:color="auto"/>
                        <w:left w:val="none" w:sz="0" w:space="0" w:color="auto"/>
                        <w:bottom w:val="none" w:sz="0" w:space="0" w:color="auto"/>
                        <w:right w:val="none" w:sz="0" w:space="0" w:color="auto"/>
                      </w:divBdr>
                    </w:div>
                  </w:divsChild>
                </w:div>
                <w:div w:id="470903078">
                  <w:marLeft w:val="0"/>
                  <w:marRight w:val="0"/>
                  <w:marTop w:val="0"/>
                  <w:marBottom w:val="0"/>
                  <w:divBdr>
                    <w:top w:val="none" w:sz="0" w:space="0" w:color="auto"/>
                    <w:left w:val="none" w:sz="0" w:space="0" w:color="auto"/>
                    <w:bottom w:val="none" w:sz="0" w:space="0" w:color="auto"/>
                    <w:right w:val="none" w:sz="0" w:space="0" w:color="auto"/>
                  </w:divBdr>
                  <w:divsChild>
                    <w:div w:id="256603038">
                      <w:marLeft w:val="0"/>
                      <w:marRight w:val="0"/>
                      <w:marTop w:val="0"/>
                      <w:marBottom w:val="0"/>
                      <w:divBdr>
                        <w:top w:val="none" w:sz="0" w:space="0" w:color="auto"/>
                        <w:left w:val="none" w:sz="0" w:space="0" w:color="auto"/>
                        <w:bottom w:val="none" w:sz="0" w:space="0" w:color="auto"/>
                        <w:right w:val="none" w:sz="0" w:space="0" w:color="auto"/>
                      </w:divBdr>
                    </w:div>
                  </w:divsChild>
                </w:div>
                <w:div w:id="571936533">
                  <w:marLeft w:val="0"/>
                  <w:marRight w:val="0"/>
                  <w:marTop w:val="0"/>
                  <w:marBottom w:val="0"/>
                  <w:divBdr>
                    <w:top w:val="none" w:sz="0" w:space="0" w:color="auto"/>
                    <w:left w:val="none" w:sz="0" w:space="0" w:color="auto"/>
                    <w:bottom w:val="none" w:sz="0" w:space="0" w:color="auto"/>
                    <w:right w:val="none" w:sz="0" w:space="0" w:color="auto"/>
                  </w:divBdr>
                  <w:divsChild>
                    <w:div w:id="536309635">
                      <w:marLeft w:val="0"/>
                      <w:marRight w:val="0"/>
                      <w:marTop w:val="0"/>
                      <w:marBottom w:val="0"/>
                      <w:divBdr>
                        <w:top w:val="none" w:sz="0" w:space="0" w:color="auto"/>
                        <w:left w:val="none" w:sz="0" w:space="0" w:color="auto"/>
                        <w:bottom w:val="none" w:sz="0" w:space="0" w:color="auto"/>
                        <w:right w:val="none" w:sz="0" w:space="0" w:color="auto"/>
                      </w:divBdr>
                    </w:div>
                  </w:divsChild>
                </w:div>
                <w:div w:id="590161181">
                  <w:marLeft w:val="0"/>
                  <w:marRight w:val="0"/>
                  <w:marTop w:val="0"/>
                  <w:marBottom w:val="0"/>
                  <w:divBdr>
                    <w:top w:val="none" w:sz="0" w:space="0" w:color="auto"/>
                    <w:left w:val="none" w:sz="0" w:space="0" w:color="auto"/>
                    <w:bottom w:val="none" w:sz="0" w:space="0" w:color="auto"/>
                    <w:right w:val="none" w:sz="0" w:space="0" w:color="auto"/>
                  </w:divBdr>
                  <w:divsChild>
                    <w:div w:id="2081948326">
                      <w:marLeft w:val="0"/>
                      <w:marRight w:val="0"/>
                      <w:marTop w:val="0"/>
                      <w:marBottom w:val="0"/>
                      <w:divBdr>
                        <w:top w:val="none" w:sz="0" w:space="0" w:color="auto"/>
                        <w:left w:val="none" w:sz="0" w:space="0" w:color="auto"/>
                        <w:bottom w:val="none" w:sz="0" w:space="0" w:color="auto"/>
                        <w:right w:val="none" w:sz="0" w:space="0" w:color="auto"/>
                      </w:divBdr>
                    </w:div>
                  </w:divsChild>
                </w:div>
                <w:div w:id="617833525">
                  <w:marLeft w:val="0"/>
                  <w:marRight w:val="0"/>
                  <w:marTop w:val="0"/>
                  <w:marBottom w:val="0"/>
                  <w:divBdr>
                    <w:top w:val="none" w:sz="0" w:space="0" w:color="auto"/>
                    <w:left w:val="none" w:sz="0" w:space="0" w:color="auto"/>
                    <w:bottom w:val="none" w:sz="0" w:space="0" w:color="auto"/>
                    <w:right w:val="none" w:sz="0" w:space="0" w:color="auto"/>
                  </w:divBdr>
                  <w:divsChild>
                    <w:div w:id="589850852">
                      <w:marLeft w:val="0"/>
                      <w:marRight w:val="0"/>
                      <w:marTop w:val="0"/>
                      <w:marBottom w:val="0"/>
                      <w:divBdr>
                        <w:top w:val="none" w:sz="0" w:space="0" w:color="auto"/>
                        <w:left w:val="none" w:sz="0" w:space="0" w:color="auto"/>
                        <w:bottom w:val="none" w:sz="0" w:space="0" w:color="auto"/>
                        <w:right w:val="none" w:sz="0" w:space="0" w:color="auto"/>
                      </w:divBdr>
                    </w:div>
                  </w:divsChild>
                </w:div>
                <w:div w:id="632835360">
                  <w:marLeft w:val="0"/>
                  <w:marRight w:val="0"/>
                  <w:marTop w:val="0"/>
                  <w:marBottom w:val="0"/>
                  <w:divBdr>
                    <w:top w:val="none" w:sz="0" w:space="0" w:color="auto"/>
                    <w:left w:val="none" w:sz="0" w:space="0" w:color="auto"/>
                    <w:bottom w:val="none" w:sz="0" w:space="0" w:color="auto"/>
                    <w:right w:val="none" w:sz="0" w:space="0" w:color="auto"/>
                  </w:divBdr>
                  <w:divsChild>
                    <w:div w:id="659818594">
                      <w:marLeft w:val="0"/>
                      <w:marRight w:val="0"/>
                      <w:marTop w:val="0"/>
                      <w:marBottom w:val="0"/>
                      <w:divBdr>
                        <w:top w:val="none" w:sz="0" w:space="0" w:color="auto"/>
                        <w:left w:val="none" w:sz="0" w:space="0" w:color="auto"/>
                        <w:bottom w:val="none" w:sz="0" w:space="0" w:color="auto"/>
                        <w:right w:val="none" w:sz="0" w:space="0" w:color="auto"/>
                      </w:divBdr>
                    </w:div>
                  </w:divsChild>
                </w:div>
                <w:div w:id="640310653">
                  <w:marLeft w:val="0"/>
                  <w:marRight w:val="0"/>
                  <w:marTop w:val="0"/>
                  <w:marBottom w:val="0"/>
                  <w:divBdr>
                    <w:top w:val="none" w:sz="0" w:space="0" w:color="auto"/>
                    <w:left w:val="none" w:sz="0" w:space="0" w:color="auto"/>
                    <w:bottom w:val="none" w:sz="0" w:space="0" w:color="auto"/>
                    <w:right w:val="none" w:sz="0" w:space="0" w:color="auto"/>
                  </w:divBdr>
                  <w:divsChild>
                    <w:div w:id="261257829">
                      <w:marLeft w:val="0"/>
                      <w:marRight w:val="0"/>
                      <w:marTop w:val="0"/>
                      <w:marBottom w:val="0"/>
                      <w:divBdr>
                        <w:top w:val="none" w:sz="0" w:space="0" w:color="auto"/>
                        <w:left w:val="none" w:sz="0" w:space="0" w:color="auto"/>
                        <w:bottom w:val="none" w:sz="0" w:space="0" w:color="auto"/>
                        <w:right w:val="none" w:sz="0" w:space="0" w:color="auto"/>
                      </w:divBdr>
                    </w:div>
                  </w:divsChild>
                </w:div>
                <w:div w:id="641079438">
                  <w:marLeft w:val="0"/>
                  <w:marRight w:val="0"/>
                  <w:marTop w:val="0"/>
                  <w:marBottom w:val="0"/>
                  <w:divBdr>
                    <w:top w:val="none" w:sz="0" w:space="0" w:color="auto"/>
                    <w:left w:val="none" w:sz="0" w:space="0" w:color="auto"/>
                    <w:bottom w:val="none" w:sz="0" w:space="0" w:color="auto"/>
                    <w:right w:val="none" w:sz="0" w:space="0" w:color="auto"/>
                  </w:divBdr>
                  <w:divsChild>
                    <w:div w:id="1124538938">
                      <w:marLeft w:val="0"/>
                      <w:marRight w:val="0"/>
                      <w:marTop w:val="0"/>
                      <w:marBottom w:val="0"/>
                      <w:divBdr>
                        <w:top w:val="none" w:sz="0" w:space="0" w:color="auto"/>
                        <w:left w:val="none" w:sz="0" w:space="0" w:color="auto"/>
                        <w:bottom w:val="none" w:sz="0" w:space="0" w:color="auto"/>
                        <w:right w:val="none" w:sz="0" w:space="0" w:color="auto"/>
                      </w:divBdr>
                    </w:div>
                  </w:divsChild>
                </w:div>
                <w:div w:id="661616587">
                  <w:marLeft w:val="0"/>
                  <w:marRight w:val="0"/>
                  <w:marTop w:val="0"/>
                  <w:marBottom w:val="0"/>
                  <w:divBdr>
                    <w:top w:val="none" w:sz="0" w:space="0" w:color="auto"/>
                    <w:left w:val="none" w:sz="0" w:space="0" w:color="auto"/>
                    <w:bottom w:val="none" w:sz="0" w:space="0" w:color="auto"/>
                    <w:right w:val="none" w:sz="0" w:space="0" w:color="auto"/>
                  </w:divBdr>
                  <w:divsChild>
                    <w:div w:id="1705640174">
                      <w:marLeft w:val="0"/>
                      <w:marRight w:val="0"/>
                      <w:marTop w:val="0"/>
                      <w:marBottom w:val="0"/>
                      <w:divBdr>
                        <w:top w:val="none" w:sz="0" w:space="0" w:color="auto"/>
                        <w:left w:val="none" w:sz="0" w:space="0" w:color="auto"/>
                        <w:bottom w:val="none" w:sz="0" w:space="0" w:color="auto"/>
                        <w:right w:val="none" w:sz="0" w:space="0" w:color="auto"/>
                      </w:divBdr>
                    </w:div>
                  </w:divsChild>
                </w:div>
                <w:div w:id="680666378">
                  <w:marLeft w:val="0"/>
                  <w:marRight w:val="0"/>
                  <w:marTop w:val="0"/>
                  <w:marBottom w:val="0"/>
                  <w:divBdr>
                    <w:top w:val="none" w:sz="0" w:space="0" w:color="auto"/>
                    <w:left w:val="none" w:sz="0" w:space="0" w:color="auto"/>
                    <w:bottom w:val="none" w:sz="0" w:space="0" w:color="auto"/>
                    <w:right w:val="none" w:sz="0" w:space="0" w:color="auto"/>
                  </w:divBdr>
                  <w:divsChild>
                    <w:div w:id="1641307037">
                      <w:marLeft w:val="0"/>
                      <w:marRight w:val="0"/>
                      <w:marTop w:val="0"/>
                      <w:marBottom w:val="0"/>
                      <w:divBdr>
                        <w:top w:val="none" w:sz="0" w:space="0" w:color="auto"/>
                        <w:left w:val="none" w:sz="0" w:space="0" w:color="auto"/>
                        <w:bottom w:val="none" w:sz="0" w:space="0" w:color="auto"/>
                        <w:right w:val="none" w:sz="0" w:space="0" w:color="auto"/>
                      </w:divBdr>
                    </w:div>
                  </w:divsChild>
                </w:div>
                <w:div w:id="695155239">
                  <w:marLeft w:val="0"/>
                  <w:marRight w:val="0"/>
                  <w:marTop w:val="0"/>
                  <w:marBottom w:val="0"/>
                  <w:divBdr>
                    <w:top w:val="none" w:sz="0" w:space="0" w:color="auto"/>
                    <w:left w:val="none" w:sz="0" w:space="0" w:color="auto"/>
                    <w:bottom w:val="none" w:sz="0" w:space="0" w:color="auto"/>
                    <w:right w:val="none" w:sz="0" w:space="0" w:color="auto"/>
                  </w:divBdr>
                  <w:divsChild>
                    <w:div w:id="929704170">
                      <w:marLeft w:val="0"/>
                      <w:marRight w:val="0"/>
                      <w:marTop w:val="0"/>
                      <w:marBottom w:val="0"/>
                      <w:divBdr>
                        <w:top w:val="none" w:sz="0" w:space="0" w:color="auto"/>
                        <w:left w:val="none" w:sz="0" w:space="0" w:color="auto"/>
                        <w:bottom w:val="none" w:sz="0" w:space="0" w:color="auto"/>
                        <w:right w:val="none" w:sz="0" w:space="0" w:color="auto"/>
                      </w:divBdr>
                    </w:div>
                  </w:divsChild>
                </w:div>
                <w:div w:id="708804592">
                  <w:marLeft w:val="0"/>
                  <w:marRight w:val="0"/>
                  <w:marTop w:val="0"/>
                  <w:marBottom w:val="0"/>
                  <w:divBdr>
                    <w:top w:val="none" w:sz="0" w:space="0" w:color="auto"/>
                    <w:left w:val="none" w:sz="0" w:space="0" w:color="auto"/>
                    <w:bottom w:val="none" w:sz="0" w:space="0" w:color="auto"/>
                    <w:right w:val="none" w:sz="0" w:space="0" w:color="auto"/>
                  </w:divBdr>
                  <w:divsChild>
                    <w:div w:id="1617718140">
                      <w:marLeft w:val="0"/>
                      <w:marRight w:val="0"/>
                      <w:marTop w:val="0"/>
                      <w:marBottom w:val="0"/>
                      <w:divBdr>
                        <w:top w:val="none" w:sz="0" w:space="0" w:color="auto"/>
                        <w:left w:val="none" w:sz="0" w:space="0" w:color="auto"/>
                        <w:bottom w:val="none" w:sz="0" w:space="0" w:color="auto"/>
                        <w:right w:val="none" w:sz="0" w:space="0" w:color="auto"/>
                      </w:divBdr>
                    </w:div>
                  </w:divsChild>
                </w:div>
                <w:div w:id="831674871">
                  <w:marLeft w:val="0"/>
                  <w:marRight w:val="0"/>
                  <w:marTop w:val="0"/>
                  <w:marBottom w:val="0"/>
                  <w:divBdr>
                    <w:top w:val="none" w:sz="0" w:space="0" w:color="auto"/>
                    <w:left w:val="none" w:sz="0" w:space="0" w:color="auto"/>
                    <w:bottom w:val="none" w:sz="0" w:space="0" w:color="auto"/>
                    <w:right w:val="none" w:sz="0" w:space="0" w:color="auto"/>
                  </w:divBdr>
                  <w:divsChild>
                    <w:div w:id="748692287">
                      <w:marLeft w:val="0"/>
                      <w:marRight w:val="0"/>
                      <w:marTop w:val="0"/>
                      <w:marBottom w:val="0"/>
                      <w:divBdr>
                        <w:top w:val="none" w:sz="0" w:space="0" w:color="auto"/>
                        <w:left w:val="none" w:sz="0" w:space="0" w:color="auto"/>
                        <w:bottom w:val="none" w:sz="0" w:space="0" w:color="auto"/>
                        <w:right w:val="none" w:sz="0" w:space="0" w:color="auto"/>
                      </w:divBdr>
                    </w:div>
                  </w:divsChild>
                </w:div>
                <w:div w:id="891311523">
                  <w:marLeft w:val="0"/>
                  <w:marRight w:val="0"/>
                  <w:marTop w:val="0"/>
                  <w:marBottom w:val="0"/>
                  <w:divBdr>
                    <w:top w:val="none" w:sz="0" w:space="0" w:color="auto"/>
                    <w:left w:val="none" w:sz="0" w:space="0" w:color="auto"/>
                    <w:bottom w:val="none" w:sz="0" w:space="0" w:color="auto"/>
                    <w:right w:val="none" w:sz="0" w:space="0" w:color="auto"/>
                  </w:divBdr>
                  <w:divsChild>
                    <w:div w:id="675232617">
                      <w:marLeft w:val="0"/>
                      <w:marRight w:val="0"/>
                      <w:marTop w:val="0"/>
                      <w:marBottom w:val="0"/>
                      <w:divBdr>
                        <w:top w:val="none" w:sz="0" w:space="0" w:color="auto"/>
                        <w:left w:val="none" w:sz="0" w:space="0" w:color="auto"/>
                        <w:bottom w:val="none" w:sz="0" w:space="0" w:color="auto"/>
                        <w:right w:val="none" w:sz="0" w:space="0" w:color="auto"/>
                      </w:divBdr>
                    </w:div>
                  </w:divsChild>
                </w:div>
                <w:div w:id="940643880">
                  <w:marLeft w:val="0"/>
                  <w:marRight w:val="0"/>
                  <w:marTop w:val="0"/>
                  <w:marBottom w:val="0"/>
                  <w:divBdr>
                    <w:top w:val="none" w:sz="0" w:space="0" w:color="auto"/>
                    <w:left w:val="none" w:sz="0" w:space="0" w:color="auto"/>
                    <w:bottom w:val="none" w:sz="0" w:space="0" w:color="auto"/>
                    <w:right w:val="none" w:sz="0" w:space="0" w:color="auto"/>
                  </w:divBdr>
                  <w:divsChild>
                    <w:div w:id="494608968">
                      <w:marLeft w:val="0"/>
                      <w:marRight w:val="0"/>
                      <w:marTop w:val="0"/>
                      <w:marBottom w:val="0"/>
                      <w:divBdr>
                        <w:top w:val="none" w:sz="0" w:space="0" w:color="auto"/>
                        <w:left w:val="none" w:sz="0" w:space="0" w:color="auto"/>
                        <w:bottom w:val="none" w:sz="0" w:space="0" w:color="auto"/>
                        <w:right w:val="none" w:sz="0" w:space="0" w:color="auto"/>
                      </w:divBdr>
                    </w:div>
                  </w:divsChild>
                </w:div>
                <w:div w:id="946888593">
                  <w:marLeft w:val="0"/>
                  <w:marRight w:val="0"/>
                  <w:marTop w:val="0"/>
                  <w:marBottom w:val="0"/>
                  <w:divBdr>
                    <w:top w:val="none" w:sz="0" w:space="0" w:color="auto"/>
                    <w:left w:val="none" w:sz="0" w:space="0" w:color="auto"/>
                    <w:bottom w:val="none" w:sz="0" w:space="0" w:color="auto"/>
                    <w:right w:val="none" w:sz="0" w:space="0" w:color="auto"/>
                  </w:divBdr>
                  <w:divsChild>
                    <w:div w:id="745415360">
                      <w:marLeft w:val="0"/>
                      <w:marRight w:val="0"/>
                      <w:marTop w:val="0"/>
                      <w:marBottom w:val="0"/>
                      <w:divBdr>
                        <w:top w:val="none" w:sz="0" w:space="0" w:color="auto"/>
                        <w:left w:val="none" w:sz="0" w:space="0" w:color="auto"/>
                        <w:bottom w:val="none" w:sz="0" w:space="0" w:color="auto"/>
                        <w:right w:val="none" w:sz="0" w:space="0" w:color="auto"/>
                      </w:divBdr>
                    </w:div>
                  </w:divsChild>
                </w:div>
                <w:div w:id="973484588">
                  <w:marLeft w:val="0"/>
                  <w:marRight w:val="0"/>
                  <w:marTop w:val="0"/>
                  <w:marBottom w:val="0"/>
                  <w:divBdr>
                    <w:top w:val="none" w:sz="0" w:space="0" w:color="auto"/>
                    <w:left w:val="none" w:sz="0" w:space="0" w:color="auto"/>
                    <w:bottom w:val="none" w:sz="0" w:space="0" w:color="auto"/>
                    <w:right w:val="none" w:sz="0" w:space="0" w:color="auto"/>
                  </w:divBdr>
                  <w:divsChild>
                    <w:div w:id="960649921">
                      <w:marLeft w:val="0"/>
                      <w:marRight w:val="0"/>
                      <w:marTop w:val="0"/>
                      <w:marBottom w:val="0"/>
                      <w:divBdr>
                        <w:top w:val="none" w:sz="0" w:space="0" w:color="auto"/>
                        <w:left w:val="none" w:sz="0" w:space="0" w:color="auto"/>
                        <w:bottom w:val="none" w:sz="0" w:space="0" w:color="auto"/>
                        <w:right w:val="none" w:sz="0" w:space="0" w:color="auto"/>
                      </w:divBdr>
                    </w:div>
                  </w:divsChild>
                </w:div>
                <w:div w:id="975373240">
                  <w:marLeft w:val="0"/>
                  <w:marRight w:val="0"/>
                  <w:marTop w:val="0"/>
                  <w:marBottom w:val="0"/>
                  <w:divBdr>
                    <w:top w:val="none" w:sz="0" w:space="0" w:color="auto"/>
                    <w:left w:val="none" w:sz="0" w:space="0" w:color="auto"/>
                    <w:bottom w:val="none" w:sz="0" w:space="0" w:color="auto"/>
                    <w:right w:val="none" w:sz="0" w:space="0" w:color="auto"/>
                  </w:divBdr>
                  <w:divsChild>
                    <w:div w:id="1978102433">
                      <w:marLeft w:val="0"/>
                      <w:marRight w:val="0"/>
                      <w:marTop w:val="0"/>
                      <w:marBottom w:val="0"/>
                      <w:divBdr>
                        <w:top w:val="none" w:sz="0" w:space="0" w:color="auto"/>
                        <w:left w:val="none" w:sz="0" w:space="0" w:color="auto"/>
                        <w:bottom w:val="none" w:sz="0" w:space="0" w:color="auto"/>
                        <w:right w:val="none" w:sz="0" w:space="0" w:color="auto"/>
                      </w:divBdr>
                    </w:div>
                  </w:divsChild>
                </w:div>
                <w:div w:id="979385020">
                  <w:marLeft w:val="0"/>
                  <w:marRight w:val="0"/>
                  <w:marTop w:val="0"/>
                  <w:marBottom w:val="0"/>
                  <w:divBdr>
                    <w:top w:val="none" w:sz="0" w:space="0" w:color="auto"/>
                    <w:left w:val="none" w:sz="0" w:space="0" w:color="auto"/>
                    <w:bottom w:val="none" w:sz="0" w:space="0" w:color="auto"/>
                    <w:right w:val="none" w:sz="0" w:space="0" w:color="auto"/>
                  </w:divBdr>
                  <w:divsChild>
                    <w:div w:id="730469766">
                      <w:marLeft w:val="0"/>
                      <w:marRight w:val="0"/>
                      <w:marTop w:val="0"/>
                      <w:marBottom w:val="0"/>
                      <w:divBdr>
                        <w:top w:val="none" w:sz="0" w:space="0" w:color="auto"/>
                        <w:left w:val="none" w:sz="0" w:space="0" w:color="auto"/>
                        <w:bottom w:val="none" w:sz="0" w:space="0" w:color="auto"/>
                        <w:right w:val="none" w:sz="0" w:space="0" w:color="auto"/>
                      </w:divBdr>
                    </w:div>
                  </w:divsChild>
                </w:div>
                <w:div w:id="1067417522">
                  <w:marLeft w:val="0"/>
                  <w:marRight w:val="0"/>
                  <w:marTop w:val="0"/>
                  <w:marBottom w:val="0"/>
                  <w:divBdr>
                    <w:top w:val="none" w:sz="0" w:space="0" w:color="auto"/>
                    <w:left w:val="none" w:sz="0" w:space="0" w:color="auto"/>
                    <w:bottom w:val="none" w:sz="0" w:space="0" w:color="auto"/>
                    <w:right w:val="none" w:sz="0" w:space="0" w:color="auto"/>
                  </w:divBdr>
                  <w:divsChild>
                    <w:div w:id="2136672422">
                      <w:marLeft w:val="0"/>
                      <w:marRight w:val="0"/>
                      <w:marTop w:val="0"/>
                      <w:marBottom w:val="0"/>
                      <w:divBdr>
                        <w:top w:val="none" w:sz="0" w:space="0" w:color="auto"/>
                        <w:left w:val="none" w:sz="0" w:space="0" w:color="auto"/>
                        <w:bottom w:val="none" w:sz="0" w:space="0" w:color="auto"/>
                        <w:right w:val="none" w:sz="0" w:space="0" w:color="auto"/>
                      </w:divBdr>
                    </w:div>
                  </w:divsChild>
                </w:div>
                <w:div w:id="1136726271">
                  <w:marLeft w:val="0"/>
                  <w:marRight w:val="0"/>
                  <w:marTop w:val="0"/>
                  <w:marBottom w:val="0"/>
                  <w:divBdr>
                    <w:top w:val="none" w:sz="0" w:space="0" w:color="auto"/>
                    <w:left w:val="none" w:sz="0" w:space="0" w:color="auto"/>
                    <w:bottom w:val="none" w:sz="0" w:space="0" w:color="auto"/>
                    <w:right w:val="none" w:sz="0" w:space="0" w:color="auto"/>
                  </w:divBdr>
                  <w:divsChild>
                    <w:div w:id="1173838439">
                      <w:marLeft w:val="0"/>
                      <w:marRight w:val="0"/>
                      <w:marTop w:val="0"/>
                      <w:marBottom w:val="0"/>
                      <w:divBdr>
                        <w:top w:val="none" w:sz="0" w:space="0" w:color="auto"/>
                        <w:left w:val="none" w:sz="0" w:space="0" w:color="auto"/>
                        <w:bottom w:val="none" w:sz="0" w:space="0" w:color="auto"/>
                        <w:right w:val="none" w:sz="0" w:space="0" w:color="auto"/>
                      </w:divBdr>
                    </w:div>
                  </w:divsChild>
                </w:div>
                <w:div w:id="1170171879">
                  <w:marLeft w:val="0"/>
                  <w:marRight w:val="0"/>
                  <w:marTop w:val="0"/>
                  <w:marBottom w:val="0"/>
                  <w:divBdr>
                    <w:top w:val="none" w:sz="0" w:space="0" w:color="auto"/>
                    <w:left w:val="none" w:sz="0" w:space="0" w:color="auto"/>
                    <w:bottom w:val="none" w:sz="0" w:space="0" w:color="auto"/>
                    <w:right w:val="none" w:sz="0" w:space="0" w:color="auto"/>
                  </w:divBdr>
                  <w:divsChild>
                    <w:div w:id="2071462667">
                      <w:marLeft w:val="0"/>
                      <w:marRight w:val="0"/>
                      <w:marTop w:val="0"/>
                      <w:marBottom w:val="0"/>
                      <w:divBdr>
                        <w:top w:val="none" w:sz="0" w:space="0" w:color="auto"/>
                        <w:left w:val="none" w:sz="0" w:space="0" w:color="auto"/>
                        <w:bottom w:val="none" w:sz="0" w:space="0" w:color="auto"/>
                        <w:right w:val="none" w:sz="0" w:space="0" w:color="auto"/>
                      </w:divBdr>
                    </w:div>
                  </w:divsChild>
                </w:div>
                <w:div w:id="1188368983">
                  <w:marLeft w:val="0"/>
                  <w:marRight w:val="0"/>
                  <w:marTop w:val="0"/>
                  <w:marBottom w:val="0"/>
                  <w:divBdr>
                    <w:top w:val="none" w:sz="0" w:space="0" w:color="auto"/>
                    <w:left w:val="none" w:sz="0" w:space="0" w:color="auto"/>
                    <w:bottom w:val="none" w:sz="0" w:space="0" w:color="auto"/>
                    <w:right w:val="none" w:sz="0" w:space="0" w:color="auto"/>
                  </w:divBdr>
                  <w:divsChild>
                    <w:div w:id="50540783">
                      <w:marLeft w:val="0"/>
                      <w:marRight w:val="0"/>
                      <w:marTop w:val="0"/>
                      <w:marBottom w:val="0"/>
                      <w:divBdr>
                        <w:top w:val="none" w:sz="0" w:space="0" w:color="auto"/>
                        <w:left w:val="none" w:sz="0" w:space="0" w:color="auto"/>
                        <w:bottom w:val="none" w:sz="0" w:space="0" w:color="auto"/>
                        <w:right w:val="none" w:sz="0" w:space="0" w:color="auto"/>
                      </w:divBdr>
                    </w:div>
                  </w:divsChild>
                </w:div>
                <w:div w:id="1190339256">
                  <w:marLeft w:val="0"/>
                  <w:marRight w:val="0"/>
                  <w:marTop w:val="0"/>
                  <w:marBottom w:val="0"/>
                  <w:divBdr>
                    <w:top w:val="none" w:sz="0" w:space="0" w:color="auto"/>
                    <w:left w:val="none" w:sz="0" w:space="0" w:color="auto"/>
                    <w:bottom w:val="none" w:sz="0" w:space="0" w:color="auto"/>
                    <w:right w:val="none" w:sz="0" w:space="0" w:color="auto"/>
                  </w:divBdr>
                  <w:divsChild>
                    <w:div w:id="1267930048">
                      <w:marLeft w:val="0"/>
                      <w:marRight w:val="0"/>
                      <w:marTop w:val="0"/>
                      <w:marBottom w:val="0"/>
                      <w:divBdr>
                        <w:top w:val="none" w:sz="0" w:space="0" w:color="auto"/>
                        <w:left w:val="none" w:sz="0" w:space="0" w:color="auto"/>
                        <w:bottom w:val="none" w:sz="0" w:space="0" w:color="auto"/>
                        <w:right w:val="none" w:sz="0" w:space="0" w:color="auto"/>
                      </w:divBdr>
                    </w:div>
                  </w:divsChild>
                </w:div>
                <w:div w:id="1216432040">
                  <w:marLeft w:val="0"/>
                  <w:marRight w:val="0"/>
                  <w:marTop w:val="0"/>
                  <w:marBottom w:val="0"/>
                  <w:divBdr>
                    <w:top w:val="none" w:sz="0" w:space="0" w:color="auto"/>
                    <w:left w:val="none" w:sz="0" w:space="0" w:color="auto"/>
                    <w:bottom w:val="none" w:sz="0" w:space="0" w:color="auto"/>
                    <w:right w:val="none" w:sz="0" w:space="0" w:color="auto"/>
                  </w:divBdr>
                  <w:divsChild>
                    <w:div w:id="1113789483">
                      <w:marLeft w:val="0"/>
                      <w:marRight w:val="0"/>
                      <w:marTop w:val="0"/>
                      <w:marBottom w:val="0"/>
                      <w:divBdr>
                        <w:top w:val="none" w:sz="0" w:space="0" w:color="auto"/>
                        <w:left w:val="none" w:sz="0" w:space="0" w:color="auto"/>
                        <w:bottom w:val="none" w:sz="0" w:space="0" w:color="auto"/>
                        <w:right w:val="none" w:sz="0" w:space="0" w:color="auto"/>
                      </w:divBdr>
                    </w:div>
                  </w:divsChild>
                </w:div>
                <w:div w:id="1236741658">
                  <w:marLeft w:val="0"/>
                  <w:marRight w:val="0"/>
                  <w:marTop w:val="0"/>
                  <w:marBottom w:val="0"/>
                  <w:divBdr>
                    <w:top w:val="none" w:sz="0" w:space="0" w:color="auto"/>
                    <w:left w:val="none" w:sz="0" w:space="0" w:color="auto"/>
                    <w:bottom w:val="none" w:sz="0" w:space="0" w:color="auto"/>
                    <w:right w:val="none" w:sz="0" w:space="0" w:color="auto"/>
                  </w:divBdr>
                  <w:divsChild>
                    <w:div w:id="992679696">
                      <w:marLeft w:val="0"/>
                      <w:marRight w:val="0"/>
                      <w:marTop w:val="0"/>
                      <w:marBottom w:val="0"/>
                      <w:divBdr>
                        <w:top w:val="none" w:sz="0" w:space="0" w:color="auto"/>
                        <w:left w:val="none" w:sz="0" w:space="0" w:color="auto"/>
                        <w:bottom w:val="none" w:sz="0" w:space="0" w:color="auto"/>
                        <w:right w:val="none" w:sz="0" w:space="0" w:color="auto"/>
                      </w:divBdr>
                    </w:div>
                  </w:divsChild>
                </w:div>
                <w:div w:id="1242131730">
                  <w:marLeft w:val="0"/>
                  <w:marRight w:val="0"/>
                  <w:marTop w:val="0"/>
                  <w:marBottom w:val="0"/>
                  <w:divBdr>
                    <w:top w:val="none" w:sz="0" w:space="0" w:color="auto"/>
                    <w:left w:val="none" w:sz="0" w:space="0" w:color="auto"/>
                    <w:bottom w:val="none" w:sz="0" w:space="0" w:color="auto"/>
                    <w:right w:val="none" w:sz="0" w:space="0" w:color="auto"/>
                  </w:divBdr>
                  <w:divsChild>
                    <w:div w:id="1784030769">
                      <w:marLeft w:val="0"/>
                      <w:marRight w:val="0"/>
                      <w:marTop w:val="0"/>
                      <w:marBottom w:val="0"/>
                      <w:divBdr>
                        <w:top w:val="none" w:sz="0" w:space="0" w:color="auto"/>
                        <w:left w:val="none" w:sz="0" w:space="0" w:color="auto"/>
                        <w:bottom w:val="none" w:sz="0" w:space="0" w:color="auto"/>
                        <w:right w:val="none" w:sz="0" w:space="0" w:color="auto"/>
                      </w:divBdr>
                    </w:div>
                  </w:divsChild>
                </w:div>
                <w:div w:id="1246182569">
                  <w:marLeft w:val="0"/>
                  <w:marRight w:val="0"/>
                  <w:marTop w:val="0"/>
                  <w:marBottom w:val="0"/>
                  <w:divBdr>
                    <w:top w:val="none" w:sz="0" w:space="0" w:color="auto"/>
                    <w:left w:val="none" w:sz="0" w:space="0" w:color="auto"/>
                    <w:bottom w:val="none" w:sz="0" w:space="0" w:color="auto"/>
                    <w:right w:val="none" w:sz="0" w:space="0" w:color="auto"/>
                  </w:divBdr>
                  <w:divsChild>
                    <w:div w:id="2040859707">
                      <w:marLeft w:val="0"/>
                      <w:marRight w:val="0"/>
                      <w:marTop w:val="0"/>
                      <w:marBottom w:val="0"/>
                      <w:divBdr>
                        <w:top w:val="none" w:sz="0" w:space="0" w:color="auto"/>
                        <w:left w:val="none" w:sz="0" w:space="0" w:color="auto"/>
                        <w:bottom w:val="none" w:sz="0" w:space="0" w:color="auto"/>
                        <w:right w:val="none" w:sz="0" w:space="0" w:color="auto"/>
                      </w:divBdr>
                    </w:div>
                  </w:divsChild>
                </w:div>
                <w:div w:id="1277057014">
                  <w:marLeft w:val="0"/>
                  <w:marRight w:val="0"/>
                  <w:marTop w:val="0"/>
                  <w:marBottom w:val="0"/>
                  <w:divBdr>
                    <w:top w:val="none" w:sz="0" w:space="0" w:color="auto"/>
                    <w:left w:val="none" w:sz="0" w:space="0" w:color="auto"/>
                    <w:bottom w:val="none" w:sz="0" w:space="0" w:color="auto"/>
                    <w:right w:val="none" w:sz="0" w:space="0" w:color="auto"/>
                  </w:divBdr>
                  <w:divsChild>
                    <w:div w:id="1789546096">
                      <w:marLeft w:val="0"/>
                      <w:marRight w:val="0"/>
                      <w:marTop w:val="0"/>
                      <w:marBottom w:val="0"/>
                      <w:divBdr>
                        <w:top w:val="none" w:sz="0" w:space="0" w:color="auto"/>
                        <w:left w:val="none" w:sz="0" w:space="0" w:color="auto"/>
                        <w:bottom w:val="none" w:sz="0" w:space="0" w:color="auto"/>
                        <w:right w:val="none" w:sz="0" w:space="0" w:color="auto"/>
                      </w:divBdr>
                    </w:div>
                  </w:divsChild>
                </w:div>
                <w:div w:id="1281693121">
                  <w:marLeft w:val="0"/>
                  <w:marRight w:val="0"/>
                  <w:marTop w:val="0"/>
                  <w:marBottom w:val="0"/>
                  <w:divBdr>
                    <w:top w:val="none" w:sz="0" w:space="0" w:color="auto"/>
                    <w:left w:val="none" w:sz="0" w:space="0" w:color="auto"/>
                    <w:bottom w:val="none" w:sz="0" w:space="0" w:color="auto"/>
                    <w:right w:val="none" w:sz="0" w:space="0" w:color="auto"/>
                  </w:divBdr>
                  <w:divsChild>
                    <w:div w:id="1165707564">
                      <w:marLeft w:val="0"/>
                      <w:marRight w:val="0"/>
                      <w:marTop w:val="0"/>
                      <w:marBottom w:val="0"/>
                      <w:divBdr>
                        <w:top w:val="none" w:sz="0" w:space="0" w:color="auto"/>
                        <w:left w:val="none" w:sz="0" w:space="0" w:color="auto"/>
                        <w:bottom w:val="none" w:sz="0" w:space="0" w:color="auto"/>
                        <w:right w:val="none" w:sz="0" w:space="0" w:color="auto"/>
                      </w:divBdr>
                    </w:div>
                  </w:divsChild>
                </w:div>
                <w:div w:id="1293176814">
                  <w:marLeft w:val="0"/>
                  <w:marRight w:val="0"/>
                  <w:marTop w:val="0"/>
                  <w:marBottom w:val="0"/>
                  <w:divBdr>
                    <w:top w:val="none" w:sz="0" w:space="0" w:color="auto"/>
                    <w:left w:val="none" w:sz="0" w:space="0" w:color="auto"/>
                    <w:bottom w:val="none" w:sz="0" w:space="0" w:color="auto"/>
                    <w:right w:val="none" w:sz="0" w:space="0" w:color="auto"/>
                  </w:divBdr>
                  <w:divsChild>
                    <w:div w:id="363872666">
                      <w:marLeft w:val="0"/>
                      <w:marRight w:val="0"/>
                      <w:marTop w:val="0"/>
                      <w:marBottom w:val="0"/>
                      <w:divBdr>
                        <w:top w:val="none" w:sz="0" w:space="0" w:color="auto"/>
                        <w:left w:val="none" w:sz="0" w:space="0" w:color="auto"/>
                        <w:bottom w:val="none" w:sz="0" w:space="0" w:color="auto"/>
                        <w:right w:val="none" w:sz="0" w:space="0" w:color="auto"/>
                      </w:divBdr>
                    </w:div>
                  </w:divsChild>
                </w:div>
                <w:div w:id="1300768260">
                  <w:marLeft w:val="0"/>
                  <w:marRight w:val="0"/>
                  <w:marTop w:val="0"/>
                  <w:marBottom w:val="0"/>
                  <w:divBdr>
                    <w:top w:val="none" w:sz="0" w:space="0" w:color="auto"/>
                    <w:left w:val="none" w:sz="0" w:space="0" w:color="auto"/>
                    <w:bottom w:val="none" w:sz="0" w:space="0" w:color="auto"/>
                    <w:right w:val="none" w:sz="0" w:space="0" w:color="auto"/>
                  </w:divBdr>
                  <w:divsChild>
                    <w:div w:id="1774544698">
                      <w:marLeft w:val="0"/>
                      <w:marRight w:val="0"/>
                      <w:marTop w:val="0"/>
                      <w:marBottom w:val="0"/>
                      <w:divBdr>
                        <w:top w:val="none" w:sz="0" w:space="0" w:color="auto"/>
                        <w:left w:val="none" w:sz="0" w:space="0" w:color="auto"/>
                        <w:bottom w:val="none" w:sz="0" w:space="0" w:color="auto"/>
                        <w:right w:val="none" w:sz="0" w:space="0" w:color="auto"/>
                      </w:divBdr>
                    </w:div>
                  </w:divsChild>
                </w:div>
                <w:div w:id="1311641330">
                  <w:marLeft w:val="0"/>
                  <w:marRight w:val="0"/>
                  <w:marTop w:val="0"/>
                  <w:marBottom w:val="0"/>
                  <w:divBdr>
                    <w:top w:val="none" w:sz="0" w:space="0" w:color="auto"/>
                    <w:left w:val="none" w:sz="0" w:space="0" w:color="auto"/>
                    <w:bottom w:val="none" w:sz="0" w:space="0" w:color="auto"/>
                    <w:right w:val="none" w:sz="0" w:space="0" w:color="auto"/>
                  </w:divBdr>
                  <w:divsChild>
                    <w:div w:id="1342007776">
                      <w:marLeft w:val="0"/>
                      <w:marRight w:val="0"/>
                      <w:marTop w:val="0"/>
                      <w:marBottom w:val="0"/>
                      <w:divBdr>
                        <w:top w:val="none" w:sz="0" w:space="0" w:color="auto"/>
                        <w:left w:val="none" w:sz="0" w:space="0" w:color="auto"/>
                        <w:bottom w:val="none" w:sz="0" w:space="0" w:color="auto"/>
                        <w:right w:val="none" w:sz="0" w:space="0" w:color="auto"/>
                      </w:divBdr>
                    </w:div>
                  </w:divsChild>
                </w:div>
                <w:div w:id="1316836679">
                  <w:marLeft w:val="0"/>
                  <w:marRight w:val="0"/>
                  <w:marTop w:val="0"/>
                  <w:marBottom w:val="0"/>
                  <w:divBdr>
                    <w:top w:val="none" w:sz="0" w:space="0" w:color="auto"/>
                    <w:left w:val="none" w:sz="0" w:space="0" w:color="auto"/>
                    <w:bottom w:val="none" w:sz="0" w:space="0" w:color="auto"/>
                    <w:right w:val="none" w:sz="0" w:space="0" w:color="auto"/>
                  </w:divBdr>
                  <w:divsChild>
                    <w:div w:id="1479108807">
                      <w:marLeft w:val="0"/>
                      <w:marRight w:val="0"/>
                      <w:marTop w:val="0"/>
                      <w:marBottom w:val="0"/>
                      <w:divBdr>
                        <w:top w:val="none" w:sz="0" w:space="0" w:color="auto"/>
                        <w:left w:val="none" w:sz="0" w:space="0" w:color="auto"/>
                        <w:bottom w:val="none" w:sz="0" w:space="0" w:color="auto"/>
                        <w:right w:val="none" w:sz="0" w:space="0" w:color="auto"/>
                      </w:divBdr>
                    </w:div>
                  </w:divsChild>
                </w:div>
                <w:div w:id="1321351546">
                  <w:marLeft w:val="0"/>
                  <w:marRight w:val="0"/>
                  <w:marTop w:val="0"/>
                  <w:marBottom w:val="0"/>
                  <w:divBdr>
                    <w:top w:val="none" w:sz="0" w:space="0" w:color="auto"/>
                    <w:left w:val="none" w:sz="0" w:space="0" w:color="auto"/>
                    <w:bottom w:val="none" w:sz="0" w:space="0" w:color="auto"/>
                    <w:right w:val="none" w:sz="0" w:space="0" w:color="auto"/>
                  </w:divBdr>
                  <w:divsChild>
                    <w:div w:id="440610918">
                      <w:marLeft w:val="0"/>
                      <w:marRight w:val="0"/>
                      <w:marTop w:val="0"/>
                      <w:marBottom w:val="0"/>
                      <w:divBdr>
                        <w:top w:val="none" w:sz="0" w:space="0" w:color="auto"/>
                        <w:left w:val="none" w:sz="0" w:space="0" w:color="auto"/>
                        <w:bottom w:val="none" w:sz="0" w:space="0" w:color="auto"/>
                        <w:right w:val="none" w:sz="0" w:space="0" w:color="auto"/>
                      </w:divBdr>
                    </w:div>
                  </w:divsChild>
                </w:div>
                <w:div w:id="1333989478">
                  <w:marLeft w:val="0"/>
                  <w:marRight w:val="0"/>
                  <w:marTop w:val="0"/>
                  <w:marBottom w:val="0"/>
                  <w:divBdr>
                    <w:top w:val="none" w:sz="0" w:space="0" w:color="auto"/>
                    <w:left w:val="none" w:sz="0" w:space="0" w:color="auto"/>
                    <w:bottom w:val="none" w:sz="0" w:space="0" w:color="auto"/>
                    <w:right w:val="none" w:sz="0" w:space="0" w:color="auto"/>
                  </w:divBdr>
                  <w:divsChild>
                    <w:div w:id="1554854274">
                      <w:marLeft w:val="0"/>
                      <w:marRight w:val="0"/>
                      <w:marTop w:val="0"/>
                      <w:marBottom w:val="0"/>
                      <w:divBdr>
                        <w:top w:val="none" w:sz="0" w:space="0" w:color="auto"/>
                        <w:left w:val="none" w:sz="0" w:space="0" w:color="auto"/>
                        <w:bottom w:val="none" w:sz="0" w:space="0" w:color="auto"/>
                        <w:right w:val="none" w:sz="0" w:space="0" w:color="auto"/>
                      </w:divBdr>
                    </w:div>
                  </w:divsChild>
                </w:div>
                <w:div w:id="1351371210">
                  <w:marLeft w:val="0"/>
                  <w:marRight w:val="0"/>
                  <w:marTop w:val="0"/>
                  <w:marBottom w:val="0"/>
                  <w:divBdr>
                    <w:top w:val="none" w:sz="0" w:space="0" w:color="auto"/>
                    <w:left w:val="none" w:sz="0" w:space="0" w:color="auto"/>
                    <w:bottom w:val="none" w:sz="0" w:space="0" w:color="auto"/>
                    <w:right w:val="none" w:sz="0" w:space="0" w:color="auto"/>
                  </w:divBdr>
                  <w:divsChild>
                    <w:div w:id="906572322">
                      <w:marLeft w:val="0"/>
                      <w:marRight w:val="0"/>
                      <w:marTop w:val="0"/>
                      <w:marBottom w:val="0"/>
                      <w:divBdr>
                        <w:top w:val="none" w:sz="0" w:space="0" w:color="auto"/>
                        <w:left w:val="none" w:sz="0" w:space="0" w:color="auto"/>
                        <w:bottom w:val="none" w:sz="0" w:space="0" w:color="auto"/>
                        <w:right w:val="none" w:sz="0" w:space="0" w:color="auto"/>
                      </w:divBdr>
                    </w:div>
                  </w:divsChild>
                </w:div>
                <w:div w:id="1380477105">
                  <w:marLeft w:val="0"/>
                  <w:marRight w:val="0"/>
                  <w:marTop w:val="0"/>
                  <w:marBottom w:val="0"/>
                  <w:divBdr>
                    <w:top w:val="none" w:sz="0" w:space="0" w:color="auto"/>
                    <w:left w:val="none" w:sz="0" w:space="0" w:color="auto"/>
                    <w:bottom w:val="none" w:sz="0" w:space="0" w:color="auto"/>
                    <w:right w:val="none" w:sz="0" w:space="0" w:color="auto"/>
                  </w:divBdr>
                  <w:divsChild>
                    <w:div w:id="541020571">
                      <w:marLeft w:val="0"/>
                      <w:marRight w:val="0"/>
                      <w:marTop w:val="0"/>
                      <w:marBottom w:val="0"/>
                      <w:divBdr>
                        <w:top w:val="none" w:sz="0" w:space="0" w:color="auto"/>
                        <w:left w:val="none" w:sz="0" w:space="0" w:color="auto"/>
                        <w:bottom w:val="none" w:sz="0" w:space="0" w:color="auto"/>
                        <w:right w:val="none" w:sz="0" w:space="0" w:color="auto"/>
                      </w:divBdr>
                    </w:div>
                  </w:divsChild>
                </w:div>
                <w:div w:id="1447264087">
                  <w:marLeft w:val="0"/>
                  <w:marRight w:val="0"/>
                  <w:marTop w:val="0"/>
                  <w:marBottom w:val="0"/>
                  <w:divBdr>
                    <w:top w:val="none" w:sz="0" w:space="0" w:color="auto"/>
                    <w:left w:val="none" w:sz="0" w:space="0" w:color="auto"/>
                    <w:bottom w:val="none" w:sz="0" w:space="0" w:color="auto"/>
                    <w:right w:val="none" w:sz="0" w:space="0" w:color="auto"/>
                  </w:divBdr>
                  <w:divsChild>
                    <w:div w:id="2078244478">
                      <w:marLeft w:val="0"/>
                      <w:marRight w:val="0"/>
                      <w:marTop w:val="0"/>
                      <w:marBottom w:val="0"/>
                      <w:divBdr>
                        <w:top w:val="none" w:sz="0" w:space="0" w:color="auto"/>
                        <w:left w:val="none" w:sz="0" w:space="0" w:color="auto"/>
                        <w:bottom w:val="none" w:sz="0" w:space="0" w:color="auto"/>
                        <w:right w:val="none" w:sz="0" w:space="0" w:color="auto"/>
                      </w:divBdr>
                    </w:div>
                  </w:divsChild>
                </w:div>
                <w:div w:id="1454398919">
                  <w:marLeft w:val="0"/>
                  <w:marRight w:val="0"/>
                  <w:marTop w:val="0"/>
                  <w:marBottom w:val="0"/>
                  <w:divBdr>
                    <w:top w:val="none" w:sz="0" w:space="0" w:color="auto"/>
                    <w:left w:val="none" w:sz="0" w:space="0" w:color="auto"/>
                    <w:bottom w:val="none" w:sz="0" w:space="0" w:color="auto"/>
                    <w:right w:val="none" w:sz="0" w:space="0" w:color="auto"/>
                  </w:divBdr>
                  <w:divsChild>
                    <w:div w:id="1857117159">
                      <w:marLeft w:val="0"/>
                      <w:marRight w:val="0"/>
                      <w:marTop w:val="0"/>
                      <w:marBottom w:val="0"/>
                      <w:divBdr>
                        <w:top w:val="none" w:sz="0" w:space="0" w:color="auto"/>
                        <w:left w:val="none" w:sz="0" w:space="0" w:color="auto"/>
                        <w:bottom w:val="none" w:sz="0" w:space="0" w:color="auto"/>
                        <w:right w:val="none" w:sz="0" w:space="0" w:color="auto"/>
                      </w:divBdr>
                    </w:div>
                  </w:divsChild>
                </w:div>
                <w:div w:id="1500344570">
                  <w:marLeft w:val="0"/>
                  <w:marRight w:val="0"/>
                  <w:marTop w:val="0"/>
                  <w:marBottom w:val="0"/>
                  <w:divBdr>
                    <w:top w:val="none" w:sz="0" w:space="0" w:color="auto"/>
                    <w:left w:val="none" w:sz="0" w:space="0" w:color="auto"/>
                    <w:bottom w:val="none" w:sz="0" w:space="0" w:color="auto"/>
                    <w:right w:val="none" w:sz="0" w:space="0" w:color="auto"/>
                  </w:divBdr>
                  <w:divsChild>
                    <w:div w:id="683357654">
                      <w:marLeft w:val="0"/>
                      <w:marRight w:val="0"/>
                      <w:marTop w:val="0"/>
                      <w:marBottom w:val="0"/>
                      <w:divBdr>
                        <w:top w:val="none" w:sz="0" w:space="0" w:color="auto"/>
                        <w:left w:val="none" w:sz="0" w:space="0" w:color="auto"/>
                        <w:bottom w:val="none" w:sz="0" w:space="0" w:color="auto"/>
                        <w:right w:val="none" w:sz="0" w:space="0" w:color="auto"/>
                      </w:divBdr>
                    </w:div>
                  </w:divsChild>
                </w:div>
                <w:div w:id="1511991803">
                  <w:marLeft w:val="0"/>
                  <w:marRight w:val="0"/>
                  <w:marTop w:val="0"/>
                  <w:marBottom w:val="0"/>
                  <w:divBdr>
                    <w:top w:val="none" w:sz="0" w:space="0" w:color="auto"/>
                    <w:left w:val="none" w:sz="0" w:space="0" w:color="auto"/>
                    <w:bottom w:val="none" w:sz="0" w:space="0" w:color="auto"/>
                    <w:right w:val="none" w:sz="0" w:space="0" w:color="auto"/>
                  </w:divBdr>
                  <w:divsChild>
                    <w:div w:id="804276788">
                      <w:marLeft w:val="0"/>
                      <w:marRight w:val="0"/>
                      <w:marTop w:val="0"/>
                      <w:marBottom w:val="0"/>
                      <w:divBdr>
                        <w:top w:val="none" w:sz="0" w:space="0" w:color="auto"/>
                        <w:left w:val="none" w:sz="0" w:space="0" w:color="auto"/>
                        <w:bottom w:val="none" w:sz="0" w:space="0" w:color="auto"/>
                        <w:right w:val="none" w:sz="0" w:space="0" w:color="auto"/>
                      </w:divBdr>
                    </w:div>
                  </w:divsChild>
                </w:div>
                <w:div w:id="1529025294">
                  <w:marLeft w:val="0"/>
                  <w:marRight w:val="0"/>
                  <w:marTop w:val="0"/>
                  <w:marBottom w:val="0"/>
                  <w:divBdr>
                    <w:top w:val="none" w:sz="0" w:space="0" w:color="auto"/>
                    <w:left w:val="none" w:sz="0" w:space="0" w:color="auto"/>
                    <w:bottom w:val="none" w:sz="0" w:space="0" w:color="auto"/>
                    <w:right w:val="none" w:sz="0" w:space="0" w:color="auto"/>
                  </w:divBdr>
                  <w:divsChild>
                    <w:div w:id="2005353726">
                      <w:marLeft w:val="0"/>
                      <w:marRight w:val="0"/>
                      <w:marTop w:val="0"/>
                      <w:marBottom w:val="0"/>
                      <w:divBdr>
                        <w:top w:val="none" w:sz="0" w:space="0" w:color="auto"/>
                        <w:left w:val="none" w:sz="0" w:space="0" w:color="auto"/>
                        <w:bottom w:val="none" w:sz="0" w:space="0" w:color="auto"/>
                        <w:right w:val="none" w:sz="0" w:space="0" w:color="auto"/>
                      </w:divBdr>
                    </w:div>
                  </w:divsChild>
                </w:div>
                <w:div w:id="1537541983">
                  <w:marLeft w:val="0"/>
                  <w:marRight w:val="0"/>
                  <w:marTop w:val="0"/>
                  <w:marBottom w:val="0"/>
                  <w:divBdr>
                    <w:top w:val="none" w:sz="0" w:space="0" w:color="auto"/>
                    <w:left w:val="none" w:sz="0" w:space="0" w:color="auto"/>
                    <w:bottom w:val="none" w:sz="0" w:space="0" w:color="auto"/>
                    <w:right w:val="none" w:sz="0" w:space="0" w:color="auto"/>
                  </w:divBdr>
                  <w:divsChild>
                    <w:div w:id="1421758438">
                      <w:marLeft w:val="0"/>
                      <w:marRight w:val="0"/>
                      <w:marTop w:val="0"/>
                      <w:marBottom w:val="0"/>
                      <w:divBdr>
                        <w:top w:val="none" w:sz="0" w:space="0" w:color="auto"/>
                        <w:left w:val="none" w:sz="0" w:space="0" w:color="auto"/>
                        <w:bottom w:val="none" w:sz="0" w:space="0" w:color="auto"/>
                        <w:right w:val="none" w:sz="0" w:space="0" w:color="auto"/>
                      </w:divBdr>
                    </w:div>
                  </w:divsChild>
                </w:div>
                <w:div w:id="1558391972">
                  <w:marLeft w:val="0"/>
                  <w:marRight w:val="0"/>
                  <w:marTop w:val="0"/>
                  <w:marBottom w:val="0"/>
                  <w:divBdr>
                    <w:top w:val="none" w:sz="0" w:space="0" w:color="auto"/>
                    <w:left w:val="none" w:sz="0" w:space="0" w:color="auto"/>
                    <w:bottom w:val="none" w:sz="0" w:space="0" w:color="auto"/>
                    <w:right w:val="none" w:sz="0" w:space="0" w:color="auto"/>
                  </w:divBdr>
                  <w:divsChild>
                    <w:div w:id="224724668">
                      <w:marLeft w:val="0"/>
                      <w:marRight w:val="0"/>
                      <w:marTop w:val="0"/>
                      <w:marBottom w:val="0"/>
                      <w:divBdr>
                        <w:top w:val="none" w:sz="0" w:space="0" w:color="auto"/>
                        <w:left w:val="none" w:sz="0" w:space="0" w:color="auto"/>
                        <w:bottom w:val="none" w:sz="0" w:space="0" w:color="auto"/>
                        <w:right w:val="none" w:sz="0" w:space="0" w:color="auto"/>
                      </w:divBdr>
                    </w:div>
                  </w:divsChild>
                </w:div>
                <w:div w:id="1564874454">
                  <w:marLeft w:val="0"/>
                  <w:marRight w:val="0"/>
                  <w:marTop w:val="0"/>
                  <w:marBottom w:val="0"/>
                  <w:divBdr>
                    <w:top w:val="none" w:sz="0" w:space="0" w:color="auto"/>
                    <w:left w:val="none" w:sz="0" w:space="0" w:color="auto"/>
                    <w:bottom w:val="none" w:sz="0" w:space="0" w:color="auto"/>
                    <w:right w:val="none" w:sz="0" w:space="0" w:color="auto"/>
                  </w:divBdr>
                  <w:divsChild>
                    <w:div w:id="134225904">
                      <w:marLeft w:val="0"/>
                      <w:marRight w:val="0"/>
                      <w:marTop w:val="0"/>
                      <w:marBottom w:val="0"/>
                      <w:divBdr>
                        <w:top w:val="none" w:sz="0" w:space="0" w:color="auto"/>
                        <w:left w:val="none" w:sz="0" w:space="0" w:color="auto"/>
                        <w:bottom w:val="none" w:sz="0" w:space="0" w:color="auto"/>
                        <w:right w:val="none" w:sz="0" w:space="0" w:color="auto"/>
                      </w:divBdr>
                    </w:div>
                  </w:divsChild>
                </w:div>
                <w:div w:id="1595822000">
                  <w:marLeft w:val="0"/>
                  <w:marRight w:val="0"/>
                  <w:marTop w:val="0"/>
                  <w:marBottom w:val="0"/>
                  <w:divBdr>
                    <w:top w:val="none" w:sz="0" w:space="0" w:color="auto"/>
                    <w:left w:val="none" w:sz="0" w:space="0" w:color="auto"/>
                    <w:bottom w:val="none" w:sz="0" w:space="0" w:color="auto"/>
                    <w:right w:val="none" w:sz="0" w:space="0" w:color="auto"/>
                  </w:divBdr>
                  <w:divsChild>
                    <w:div w:id="147938680">
                      <w:marLeft w:val="0"/>
                      <w:marRight w:val="0"/>
                      <w:marTop w:val="0"/>
                      <w:marBottom w:val="0"/>
                      <w:divBdr>
                        <w:top w:val="none" w:sz="0" w:space="0" w:color="auto"/>
                        <w:left w:val="none" w:sz="0" w:space="0" w:color="auto"/>
                        <w:bottom w:val="none" w:sz="0" w:space="0" w:color="auto"/>
                        <w:right w:val="none" w:sz="0" w:space="0" w:color="auto"/>
                      </w:divBdr>
                    </w:div>
                  </w:divsChild>
                </w:div>
                <w:div w:id="1599828885">
                  <w:marLeft w:val="0"/>
                  <w:marRight w:val="0"/>
                  <w:marTop w:val="0"/>
                  <w:marBottom w:val="0"/>
                  <w:divBdr>
                    <w:top w:val="none" w:sz="0" w:space="0" w:color="auto"/>
                    <w:left w:val="none" w:sz="0" w:space="0" w:color="auto"/>
                    <w:bottom w:val="none" w:sz="0" w:space="0" w:color="auto"/>
                    <w:right w:val="none" w:sz="0" w:space="0" w:color="auto"/>
                  </w:divBdr>
                  <w:divsChild>
                    <w:div w:id="824980359">
                      <w:marLeft w:val="0"/>
                      <w:marRight w:val="0"/>
                      <w:marTop w:val="0"/>
                      <w:marBottom w:val="0"/>
                      <w:divBdr>
                        <w:top w:val="none" w:sz="0" w:space="0" w:color="auto"/>
                        <w:left w:val="none" w:sz="0" w:space="0" w:color="auto"/>
                        <w:bottom w:val="none" w:sz="0" w:space="0" w:color="auto"/>
                        <w:right w:val="none" w:sz="0" w:space="0" w:color="auto"/>
                      </w:divBdr>
                    </w:div>
                  </w:divsChild>
                </w:div>
                <w:div w:id="1613827596">
                  <w:marLeft w:val="0"/>
                  <w:marRight w:val="0"/>
                  <w:marTop w:val="0"/>
                  <w:marBottom w:val="0"/>
                  <w:divBdr>
                    <w:top w:val="none" w:sz="0" w:space="0" w:color="auto"/>
                    <w:left w:val="none" w:sz="0" w:space="0" w:color="auto"/>
                    <w:bottom w:val="none" w:sz="0" w:space="0" w:color="auto"/>
                    <w:right w:val="none" w:sz="0" w:space="0" w:color="auto"/>
                  </w:divBdr>
                  <w:divsChild>
                    <w:div w:id="218713042">
                      <w:marLeft w:val="0"/>
                      <w:marRight w:val="0"/>
                      <w:marTop w:val="0"/>
                      <w:marBottom w:val="0"/>
                      <w:divBdr>
                        <w:top w:val="none" w:sz="0" w:space="0" w:color="auto"/>
                        <w:left w:val="none" w:sz="0" w:space="0" w:color="auto"/>
                        <w:bottom w:val="none" w:sz="0" w:space="0" w:color="auto"/>
                        <w:right w:val="none" w:sz="0" w:space="0" w:color="auto"/>
                      </w:divBdr>
                    </w:div>
                  </w:divsChild>
                </w:div>
                <w:div w:id="1626157284">
                  <w:marLeft w:val="0"/>
                  <w:marRight w:val="0"/>
                  <w:marTop w:val="0"/>
                  <w:marBottom w:val="0"/>
                  <w:divBdr>
                    <w:top w:val="none" w:sz="0" w:space="0" w:color="auto"/>
                    <w:left w:val="none" w:sz="0" w:space="0" w:color="auto"/>
                    <w:bottom w:val="none" w:sz="0" w:space="0" w:color="auto"/>
                    <w:right w:val="none" w:sz="0" w:space="0" w:color="auto"/>
                  </w:divBdr>
                  <w:divsChild>
                    <w:div w:id="1487281407">
                      <w:marLeft w:val="0"/>
                      <w:marRight w:val="0"/>
                      <w:marTop w:val="0"/>
                      <w:marBottom w:val="0"/>
                      <w:divBdr>
                        <w:top w:val="none" w:sz="0" w:space="0" w:color="auto"/>
                        <w:left w:val="none" w:sz="0" w:space="0" w:color="auto"/>
                        <w:bottom w:val="none" w:sz="0" w:space="0" w:color="auto"/>
                        <w:right w:val="none" w:sz="0" w:space="0" w:color="auto"/>
                      </w:divBdr>
                    </w:div>
                  </w:divsChild>
                </w:div>
                <w:div w:id="1656497179">
                  <w:marLeft w:val="0"/>
                  <w:marRight w:val="0"/>
                  <w:marTop w:val="0"/>
                  <w:marBottom w:val="0"/>
                  <w:divBdr>
                    <w:top w:val="none" w:sz="0" w:space="0" w:color="auto"/>
                    <w:left w:val="none" w:sz="0" w:space="0" w:color="auto"/>
                    <w:bottom w:val="none" w:sz="0" w:space="0" w:color="auto"/>
                    <w:right w:val="none" w:sz="0" w:space="0" w:color="auto"/>
                  </w:divBdr>
                  <w:divsChild>
                    <w:div w:id="1375429635">
                      <w:marLeft w:val="0"/>
                      <w:marRight w:val="0"/>
                      <w:marTop w:val="0"/>
                      <w:marBottom w:val="0"/>
                      <w:divBdr>
                        <w:top w:val="none" w:sz="0" w:space="0" w:color="auto"/>
                        <w:left w:val="none" w:sz="0" w:space="0" w:color="auto"/>
                        <w:bottom w:val="none" w:sz="0" w:space="0" w:color="auto"/>
                        <w:right w:val="none" w:sz="0" w:space="0" w:color="auto"/>
                      </w:divBdr>
                    </w:div>
                  </w:divsChild>
                </w:div>
                <w:div w:id="1686593290">
                  <w:marLeft w:val="0"/>
                  <w:marRight w:val="0"/>
                  <w:marTop w:val="0"/>
                  <w:marBottom w:val="0"/>
                  <w:divBdr>
                    <w:top w:val="none" w:sz="0" w:space="0" w:color="auto"/>
                    <w:left w:val="none" w:sz="0" w:space="0" w:color="auto"/>
                    <w:bottom w:val="none" w:sz="0" w:space="0" w:color="auto"/>
                    <w:right w:val="none" w:sz="0" w:space="0" w:color="auto"/>
                  </w:divBdr>
                  <w:divsChild>
                    <w:div w:id="471410513">
                      <w:marLeft w:val="0"/>
                      <w:marRight w:val="0"/>
                      <w:marTop w:val="0"/>
                      <w:marBottom w:val="0"/>
                      <w:divBdr>
                        <w:top w:val="none" w:sz="0" w:space="0" w:color="auto"/>
                        <w:left w:val="none" w:sz="0" w:space="0" w:color="auto"/>
                        <w:bottom w:val="none" w:sz="0" w:space="0" w:color="auto"/>
                        <w:right w:val="none" w:sz="0" w:space="0" w:color="auto"/>
                      </w:divBdr>
                    </w:div>
                  </w:divsChild>
                </w:div>
                <w:div w:id="1688829514">
                  <w:marLeft w:val="0"/>
                  <w:marRight w:val="0"/>
                  <w:marTop w:val="0"/>
                  <w:marBottom w:val="0"/>
                  <w:divBdr>
                    <w:top w:val="none" w:sz="0" w:space="0" w:color="auto"/>
                    <w:left w:val="none" w:sz="0" w:space="0" w:color="auto"/>
                    <w:bottom w:val="none" w:sz="0" w:space="0" w:color="auto"/>
                    <w:right w:val="none" w:sz="0" w:space="0" w:color="auto"/>
                  </w:divBdr>
                  <w:divsChild>
                    <w:div w:id="1880849416">
                      <w:marLeft w:val="0"/>
                      <w:marRight w:val="0"/>
                      <w:marTop w:val="0"/>
                      <w:marBottom w:val="0"/>
                      <w:divBdr>
                        <w:top w:val="none" w:sz="0" w:space="0" w:color="auto"/>
                        <w:left w:val="none" w:sz="0" w:space="0" w:color="auto"/>
                        <w:bottom w:val="none" w:sz="0" w:space="0" w:color="auto"/>
                        <w:right w:val="none" w:sz="0" w:space="0" w:color="auto"/>
                      </w:divBdr>
                    </w:div>
                  </w:divsChild>
                </w:div>
                <w:div w:id="1692025663">
                  <w:marLeft w:val="0"/>
                  <w:marRight w:val="0"/>
                  <w:marTop w:val="0"/>
                  <w:marBottom w:val="0"/>
                  <w:divBdr>
                    <w:top w:val="none" w:sz="0" w:space="0" w:color="auto"/>
                    <w:left w:val="none" w:sz="0" w:space="0" w:color="auto"/>
                    <w:bottom w:val="none" w:sz="0" w:space="0" w:color="auto"/>
                    <w:right w:val="none" w:sz="0" w:space="0" w:color="auto"/>
                  </w:divBdr>
                  <w:divsChild>
                    <w:div w:id="770515913">
                      <w:marLeft w:val="0"/>
                      <w:marRight w:val="0"/>
                      <w:marTop w:val="0"/>
                      <w:marBottom w:val="0"/>
                      <w:divBdr>
                        <w:top w:val="none" w:sz="0" w:space="0" w:color="auto"/>
                        <w:left w:val="none" w:sz="0" w:space="0" w:color="auto"/>
                        <w:bottom w:val="none" w:sz="0" w:space="0" w:color="auto"/>
                        <w:right w:val="none" w:sz="0" w:space="0" w:color="auto"/>
                      </w:divBdr>
                    </w:div>
                  </w:divsChild>
                </w:div>
                <w:div w:id="1723022958">
                  <w:marLeft w:val="0"/>
                  <w:marRight w:val="0"/>
                  <w:marTop w:val="0"/>
                  <w:marBottom w:val="0"/>
                  <w:divBdr>
                    <w:top w:val="none" w:sz="0" w:space="0" w:color="auto"/>
                    <w:left w:val="none" w:sz="0" w:space="0" w:color="auto"/>
                    <w:bottom w:val="none" w:sz="0" w:space="0" w:color="auto"/>
                    <w:right w:val="none" w:sz="0" w:space="0" w:color="auto"/>
                  </w:divBdr>
                  <w:divsChild>
                    <w:div w:id="906112356">
                      <w:marLeft w:val="0"/>
                      <w:marRight w:val="0"/>
                      <w:marTop w:val="0"/>
                      <w:marBottom w:val="0"/>
                      <w:divBdr>
                        <w:top w:val="none" w:sz="0" w:space="0" w:color="auto"/>
                        <w:left w:val="none" w:sz="0" w:space="0" w:color="auto"/>
                        <w:bottom w:val="none" w:sz="0" w:space="0" w:color="auto"/>
                        <w:right w:val="none" w:sz="0" w:space="0" w:color="auto"/>
                      </w:divBdr>
                    </w:div>
                  </w:divsChild>
                </w:div>
                <w:div w:id="1747997061">
                  <w:marLeft w:val="0"/>
                  <w:marRight w:val="0"/>
                  <w:marTop w:val="0"/>
                  <w:marBottom w:val="0"/>
                  <w:divBdr>
                    <w:top w:val="none" w:sz="0" w:space="0" w:color="auto"/>
                    <w:left w:val="none" w:sz="0" w:space="0" w:color="auto"/>
                    <w:bottom w:val="none" w:sz="0" w:space="0" w:color="auto"/>
                    <w:right w:val="none" w:sz="0" w:space="0" w:color="auto"/>
                  </w:divBdr>
                  <w:divsChild>
                    <w:div w:id="1781679775">
                      <w:marLeft w:val="0"/>
                      <w:marRight w:val="0"/>
                      <w:marTop w:val="0"/>
                      <w:marBottom w:val="0"/>
                      <w:divBdr>
                        <w:top w:val="none" w:sz="0" w:space="0" w:color="auto"/>
                        <w:left w:val="none" w:sz="0" w:space="0" w:color="auto"/>
                        <w:bottom w:val="none" w:sz="0" w:space="0" w:color="auto"/>
                        <w:right w:val="none" w:sz="0" w:space="0" w:color="auto"/>
                      </w:divBdr>
                    </w:div>
                  </w:divsChild>
                </w:div>
                <w:div w:id="1759787058">
                  <w:marLeft w:val="0"/>
                  <w:marRight w:val="0"/>
                  <w:marTop w:val="0"/>
                  <w:marBottom w:val="0"/>
                  <w:divBdr>
                    <w:top w:val="none" w:sz="0" w:space="0" w:color="auto"/>
                    <w:left w:val="none" w:sz="0" w:space="0" w:color="auto"/>
                    <w:bottom w:val="none" w:sz="0" w:space="0" w:color="auto"/>
                    <w:right w:val="none" w:sz="0" w:space="0" w:color="auto"/>
                  </w:divBdr>
                  <w:divsChild>
                    <w:div w:id="1002586159">
                      <w:marLeft w:val="0"/>
                      <w:marRight w:val="0"/>
                      <w:marTop w:val="0"/>
                      <w:marBottom w:val="0"/>
                      <w:divBdr>
                        <w:top w:val="none" w:sz="0" w:space="0" w:color="auto"/>
                        <w:left w:val="none" w:sz="0" w:space="0" w:color="auto"/>
                        <w:bottom w:val="none" w:sz="0" w:space="0" w:color="auto"/>
                        <w:right w:val="none" w:sz="0" w:space="0" w:color="auto"/>
                      </w:divBdr>
                    </w:div>
                  </w:divsChild>
                </w:div>
                <w:div w:id="1864395776">
                  <w:marLeft w:val="0"/>
                  <w:marRight w:val="0"/>
                  <w:marTop w:val="0"/>
                  <w:marBottom w:val="0"/>
                  <w:divBdr>
                    <w:top w:val="none" w:sz="0" w:space="0" w:color="auto"/>
                    <w:left w:val="none" w:sz="0" w:space="0" w:color="auto"/>
                    <w:bottom w:val="none" w:sz="0" w:space="0" w:color="auto"/>
                    <w:right w:val="none" w:sz="0" w:space="0" w:color="auto"/>
                  </w:divBdr>
                  <w:divsChild>
                    <w:div w:id="1656369929">
                      <w:marLeft w:val="0"/>
                      <w:marRight w:val="0"/>
                      <w:marTop w:val="0"/>
                      <w:marBottom w:val="0"/>
                      <w:divBdr>
                        <w:top w:val="none" w:sz="0" w:space="0" w:color="auto"/>
                        <w:left w:val="none" w:sz="0" w:space="0" w:color="auto"/>
                        <w:bottom w:val="none" w:sz="0" w:space="0" w:color="auto"/>
                        <w:right w:val="none" w:sz="0" w:space="0" w:color="auto"/>
                      </w:divBdr>
                    </w:div>
                  </w:divsChild>
                </w:div>
                <w:div w:id="1932933667">
                  <w:marLeft w:val="0"/>
                  <w:marRight w:val="0"/>
                  <w:marTop w:val="0"/>
                  <w:marBottom w:val="0"/>
                  <w:divBdr>
                    <w:top w:val="none" w:sz="0" w:space="0" w:color="auto"/>
                    <w:left w:val="none" w:sz="0" w:space="0" w:color="auto"/>
                    <w:bottom w:val="none" w:sz="0" w:space="0" w:color="auto"/>
                    <w:right w:val="none" w:sz="0" w:space="0" w:color="auto"/>
                  </w:divBdr>
                  <w:divsChild>
                    <w:div w:id="903025752">
                      <w:marLeft w:val="0"/>
                      <w:marRight w:val="0"/>
                      <w:marTop w:val="0"/>
                      <w:marBottom w:val="0"/>
                      <w:divBdr>
                        <w:top w:val="none" w:sz="0" w:space="0" w:color="auto"/>
                        <w:left w:val="none" w:sz="0" w:space="0" w:color="auto"/>
                        <w:bottom w:val="none" w:sz="0" w:space="0" w:color="auto"/>
                        <w:right w:val="none" w:sz="0" w:space="0" w:color="auto"/>
                      </w:divBdr>
                    </w:div>
                  </w:divsChild>
                </w:div>
                <w:div w:id="1943145096">
                  <w:marLeft w:val="0"/>
                  <w:marRight w:val="0"/>
                  <w:marTop w:val="0"/>
                  <w:marBottom w:val="0"/>
                  <w:divBdr>
                    <w:top w:val="none" w:sz="0" w:space="0" w:color="auto"/>
                    <w:left w:val="none" w:sz="0" w:space="0" w:color="auto"/>
                    <w:bottom w:val="none" w:sz="0" w:space="0" w:color="auto"/>
                    <w:right w:val="none" w:sz="0" w:space="0" w:color="auto"/>
                  </w:divBdr>
                  <w:divsChild>
                    <w:div w:id="1061905888">
                      <w:marLeft w:val="0"/>
                      <w:marRight w:val="0"/>
                      <w:marTop w:val="0"/>
                      <w:marBottom w:val="0"/>
                      <w:divBdr>
                        <w:top w:val="none" w:sz="0" w:space="0" w:color="auto"/>
                        <w:left w:val="none" w:sz="0" w:space="0" w:color="auto"/>
                        <w:bottom w:val="none" w:sz="0" w:space="0" w:color="auto"/>
                        <w:right w:val="none" w:sz="0" w:space="0" w:color="auto"/>
                      </w:divBdr>
                    </w:div>
                  </w:divsChild>
                </w:div>
                <w:div w:id="2002198294">
                  <w:marLeft w:val="0"/>
                  <w:marRight w:val="0"/>
                  <w:marTop w:val="0"/>
                  <w:marBottom w:val="0"/>
                  <w:divBdr>
                    <w:top w:val="none" w:sz="0" w:space="0" w:color="auto"/>
                    <w:left w:val="none" w:sz="0" w:space="0" w:color="auto"/>
                    <w:bottom w:val="none" w:sz="0" w:space="0" w:color="auto"/>
                    <w:right w:val="none" w:sz="0" w:space="0" w:color="auto"/>
                  </w:divBdr>
                  <w:divsChild>
                    <w:div w:id="1530796090">
                      <w:marLeft w:val="0"/>
                      <w:marRight w:val="0"/>
                      <w:marTop w:val="0"/>
                      <w:marBottom w:val="0"/>
                      <w:divBdr>
                        <w:top w:val="none" w:sz="0" w:space="0" w:color="auto"/>
                        <w:left w:val="none" w:sz="0" w:space="0" w:color="auto"/>
                        <w:bottom w:val="none" w:sz="0" w:space="0" w:color="auto"/>
                        <w:right w:val="none" w:sz="0" w:space="0" w:color="auto"/>
                      </w:divBdr>
                    </w:div>
                  </w:divsChild>
                </w:div>
                <w:div w:id="2035425284">
                  <w:marLeft w:val="0"/>
                  <w:marRight w:val="0"/>
                  <w:marTop w:val="0"/>
                  <w:marBottom w:val="0"/>
                  <w:divBdr>
                    <w:top w:val="none" w:sz="0" w:space="0" w:color="auto"/>
                    <w:left w:val="none" w:sz="0" w:space="0" w:color="auto"/>
                    <w:bottom w:val="none" w:sz="0" w:space="0" w:color="auto"/>
                    <w:right w:val="none" w:sz="0" w:space="0" w:color="auto"/>
                  </w:divBdr>
                  <w:divsChild>
                    <w:div w:id="1894385948">
                      <w:marLeft w:val="0"/>
                      <w:marRight w:val="0"/>
                      <w:marTop w:val="0"/>
                      <w:marBottom w:val="0"/>
                      <w:divBdr>
                        <w:top w:val="none" w:sz="0" w:space="0" w:color="auto"/>
                        <w:left w:val="none" w:sz="0" w:space="0" w:color="auto"/>
                        <w:bottom w:val="none" w:sz="0" w:space="0" w:color="auto"/>
                        <w:right w:val="none" w:sz="0" w:space="0" w:color="auto"/>
                      </w:divBdr>
                    </w:div>
                  </w:divsChild>
                </w:div>
                <w:div w:id="2108381003">
                  <w:marLeft w:val="0"/>
                  <w:marRight w:val="0"/>
                  <w:marTop w:val="0"/>
                  <w:marBottom w:val="0"/>
                  <w:divBdr>
                    <w:top w:val="none" w:sz="0" w:space="0" w:color="auto"/>
                    <w:left w:val="none" w:sz="0" w:space="0" w:color="auto"/>
                    <w:bottom w:val="none" w:sz="0" w:space="0" w:color="auto"/>
                    <w:right w:val="none" w:sz="0" w:space="0" w:color="auto"/>
                  </w:divBdr>
                  <w:divsChild>
                    <w:div w:id="1993832032">
                      <w:marLeft w:val="0"/>
                      <w:marRight w:val="0"/>
                      <w:marTop w:val="0"/>
                      <w:marBottom w:val="0"/>
                      <w:divBdr>
                        <w:top w:val="none" w:sz="0" w:space="0" w:color="auto"/>
                        <w:left w:val="none" w:sz="0" w:space="0" w:color="auto"/>
                        <w:bottom w:val="none" w:sz="0" w:space="0" w:color="auto"/>
                        <w:right w:val="none" w:sz="0" w:space="0" w:color="auto"/>
                      </w:divBdr>
                    </w:div>
                  </w:divsChild>
                </w:div>
                <w:div w:id="2123064182">
                  <w:marLeft w:val="0"/>
                  <w:marRight w:val="0"/>
                  <w:marTop w:val="0"/>
                  <w:marBottom w:val="0"/>
                  <w:divBdr>
                    <w:top w:val="none" w:sz="0" w:space="0" w:color="auto"/>
                    <w:left w:val="none" w:sz="0" w:space="0" w:color="auto"/>
                    <w:bottom w:val="none" w:sz="0" w:space="0" w:color="auto"/>
                    <w:right w:val="none" w:sz="0" w:space="0" w:color="auto"/>
                  </w:divBdr>
                  <w:divsChild>
                    <w:div w:id="87778364">
                      <w:marLeft w:val="0"/>
                      <w:marRight w:val="0"/>
                      <w:marTop w:val="0"/>
                      <w:marBottom w:val="0"/>
                      <w:divBdr>
                        <w:top w:val="none" w:sz="0" w:space="0" w:color="auto"/>
                        <w:left w:val="none" w:sz="0" w:space="0" w:color="auto"/>
                        <w:bottom w:val="none" w:sz="0" w:space="0" w:color="auto"/>
                        <w:right w:val="none" w:sz="0" w:space="0" w:color="auto"/>
                      </w:divBdr>
                    </w:div>
                  </w:divsChild>
                </w:div>
                <w:div w:id="2126656399">
                  <w:marLeft w:val="0"/>
                  <w:marRight w:val="0"/>
                  <w:marTop w:val="0"/>
                  <w:marBottom w:val="0"/>
                  <w:divBdr>
                    <w:top w:val="none" w:sz="0" w:space="0" w:color="auto"/>
                    <w:left w:val="none" w:sz="0" w:space="0" w:color="auto"/>
                    <w:bottom w:val="none" w:sz="0" w:space="0" w:color="auto"/>
                    <w:right w:val="none" w:sz="0" w:space="0" w:color="auto"/>
                  </w:divBdr>
                  <w:divsChild>
                    <w:div w:id="928537086">
                      <w:marLeft w:val="0"/>
                      <w:marRight w:val="0"/>
                      <w:marTop w:val="0"/>
                      <w:marBottom w:val="0"/>
                      <w:divBdr>
                        <w:top w:val="none" w:sz="0" w:space="0" w:color="auto"/>
                        <w:left w:val="none" w:sz="0" w:space="0" w:color="auto"/>
                        <w:bottom w:val="none" w:sz="0" w:space="0" w:color="auto"/>
                        <w:right w:val="none" w:sz="0" w:space="0" w:color="auto"/>
                      </w:divBdr>
                    </w:div>
                  </w:divsChild>
                </w:div>
                <w:div w:id="2138527164">
                  <w:marLeft w:val="0"/>
                  <w:marRight w:val="0"/>
                  <w:marTop w:val="0"/>
                  <w:marBottom w:val="0"/>
                  <w:divBdr>
                    <w:top w:val="none" w:sz="0" w:space="0" w:color="auto"/>
                    <w:left w:val="none" w:sz="0" w:space="0" w:color="auto"/>
                    <w:bottom w:val="none" w:sz="0" w:space="0" w:color="auto"/>
                    <w:right w:val="none" w:sz="0" w:space="0" w:color="auto"/>
                  </w:divBdr>
                  <w:divsChild>
                    <w:div w:id="19597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0196">
      <w:bodyDiv w:val="1"/>
      <w:marLeft w:val="0"/>
      <w:marRight w:val="0"/>
      <w:marTop w:val="0"/>
      <w:marBottom w:val="0"/>
      <w:divBdr>
        <w:top w:val="none" w:sz="0" w:space="0" w:color="auto"/>
        <w:left w:val="none" w:sz="0" w:space="0" w:color="auto"/>
        <w:bottom w:val="none" w:sz="0" w:space="0" w:color="auto"/>
        <w:right w:val="none" w:sz="0" w:space="0" w:color="auto"/>
      </w:divBdr>
      <w:divsChild>
        <w:div w:id="1536313892">
          <w:marLeft w:val="0"/>
          <w:marRight w:val="0"/>
          <w:marTop w:val="0"/>
          <w:marBottom w:val="0"/>
          <w:divBdr>
            <w:top w:val="none" w:sz="0" w:space="0" w:color="auto"/>
            <w:left w:val="none" w:sz="0" w:space="0" w:color="auto"/>
            <w:bottom w:val="none" w:sz="0" w:space="0" w:color="auto"/>
            <w:right w:val="none" w:sz="0" w:space="0" w:color="auto"/>
          </w:divBdr>
        </w:div>
        <w:div w:id="1761414099">
          <w:marLeft w:val="0"/>
          <w:marRight w:val="0"/>
          <w:marTop w:val="0"/>
          <w:marBottom w:val="0"/>
          <w:divBdr>
            <w:top w:val="none" w:sz="0" w:space="0" w:color="auto"/>
            <w:left w:val="none" w:sz="0" w:space="0" w:color="auto"/>
            <w:bottom w:val="none" w:sz="0" w:space="0" w:color="auto"/>
            <w:right w:val="none" w:sz="0" w:space="0" w:color="auto"/>
          </w:divBdr>
        </w:div>
      </w:divsChild>
    </w:div>
    <w:div w:id="751584539">
      <w:bodyDiv w:val="1"/>
      <w:marLeft w:val="0"/>
      <w:marRight w:val="0"/>
      <w:marTop w:val="0"/>
      <w:marBottom w:val="0"/>
      <w:divBdr>
        <w:top w:val="none" w:sz="0" w:space="0" w:color="auto"/>
        <w:left w:val="none" w:sz="0" w:space="0" w:color="auto"/>
        <w:bottom w:val="none" w:sz="0" w:space="0" w:color="auto"/>
        <w:right w:val="none" w:sz="0" w:space="0" w:color="auto"/>
      </w:divBdr>
    </w:div>
    <w:div w:id="810249104">
      <w:bodyDiv w:val="1"/>
      <w:marLeft w:val="0"/>
      <w:marRight w:val="0"/>
      <w:marTop w:val="0"/>
      <w:marBottom w:val="0"/>
      <w:divBdr>
        <w:top w:val="none" w:sz="0" w:space="0" w:color="auto"/>
        <w:left w:val="none" w:sz="0" w:space="0" w:color="auto"/>
        <w:bottom w:val="none" w:sz="0" w:space="0" w:color="auto"/>
        <w:right w:val="none" w:sz="0" w:space="0" w:color="auto"/>
      </w:divBdr>
      <w:divsChild>
        <w:div w:id="103693576">
          <w:marLeft w:val="0"/>
          <w:marRight w:val="0"/>
          <w:marTop w:val="0"/>
          <w:marBottom w:val="0"/>
          <w:divBdr>
            <w:top w:val="none" w:sz="0" w:space="0" w:color="auto"/>
            <w:left w:val="none" w:sz="0" w:space="0" w:color="auto"/>
            <w:bottom w:val="none" w:sz="0" w:space="0" w:color="auto"/>
            <w:right w:val="none" w:sz="0" w:space="0" w:color="auto"/>
          </w:divBdr>
        </w:div>
        <w:div w:id="1490636917">
          <w:marLeft w:val="0"/>
          <w:marRight w:val="0"/>
          <w:marTop w:val="0"/>
          <w:marBottom w:val="0"/>
          <w:divBdr>
            <w:top w:val="none" w:sz="0" w:space="0" w:color="auto"/>
            <w:left w:val="none" w:sz="0" w:space="0" w:color="auto"/>
            <w:bottom w:val="none" w:sz="0" w:space="0" w:color="auto"/>
            <w:right w:val="none" w:sz="0" w:space="0" w:color="auto"/>
          </w:divBdr>
          <w:divsChild>
            <w:div w:id="901017827">
              <w:marLeft w:val="0"/>
              <w:marRight w:val="0"/>
              <w:marTop w:val="30"/>
              <w:marBottom w:val="30"/>
              <w:divBdr>
                <w:top w:val="none" w:sz="0" w:space="0" w:color="auto"/>
                <w:left w:val="none" w:sz="0" w:space="0" w:color="auto"/>
                <w:bottom w:val="none" w:sz="0" w:space="0" w:color="auto"/>
                <w:right w:val="none" w:sz="0" w:space="0" w:color="auto"/>
              </w:divBdr>
              <w:divsChild>
                <w:div w:id="36323328">
                  <w:marLeft w:val="0"/>
                  <w:marRight w:val="0"/>
                  <w:marTop w:val="0"/>
                  <w:marBottom w:val="0"/>
                  <w:divBdr>
                    <w:top w:val="none" w:sz="0" w:space="0" w:color="auto"/>
                    <w:left w:val="none" w:sz="0" w:space="0" w:color="auto"/>
                    <w:bottom w:val="none" w:sz="0" w:space="0" w:color="auto"/>
                    <w:right w:val="none" w:sz="0" w:space="0" w:color="auto"/>
                  </w:divBdr>
                  <w:divsChild>
                    <w:div w:id="1022972710">
                      <w:marLeft w:val="0"/>
                      <w:marRight w:val="0"/>
                      <w:marTop w:val="0"/>
                      <w:marBottom w:val="0"/>
                      <w:divBdr>
                        <w:top w:val="none" w:sz="0" w:space="0" w:color="auto"/>
                        <w:left w:val="none" w:sz="0" w:space="0" w:color="auto"/>
                        <w:bottom w:val="none" w:sz="0" w:space="0" w:color="auto"/>
                        <w:right w:val="none" w:sz="0" w:space="0" w:color="auto"/>
                      </w:divBdr>
                    </w:div>
                  </w:divsChild>
                </w:div>
                <w:div w:id="37315122">
                  <w:marLeft w:val="0"/>
                  <w:marRight w:val="0"/>
                  <w:marTop w:val="0"/>
                  <w:marBottom w:val="0"/>
                  <w:divBdr>
                    <w:top w:val="none" w:sz="0" w:space="0" w:color="auto"/>
                    <w:left w:val="none" w:sz="0" w:space="0" w:color="auto"/>
                    <w:bottom w:val="none" w:sz="0" w:space="0" w:color="auto"/>
                    <w:right w:val="none" w:sz="0" w:space="0" w:color="auto"/>
                  </w:divBdr>
                  <w:divsChild>
                    <w:div w:id="1880045842">
                      <w:marLeft w:val="0"/>
                      <w:marRight w:val="0"/>
                      <w:marTop w:val="0"/>
                      <w:marBottom w:val="0"/>
                      <w:divBdr>
                        <w:top w:val="none" w:sz="0" w:space="0" w:color="auto"/>
                        <w:left w:val="none" w:sz="0" w:space="0" w:color="auto"/>
                        <w:bottom w:val="none" w:sz="0" w:space="0" w:color="auto"/>
                        <w:right w:val="none" w:sz="0" w:space="0" w:color="auto"/>
                      </w:divBdr>
                    </w:div>
                  </w:divsChild>
                </w:div>
                <w:div w:id="47267700">
                  <w:marLeft w:val="0"/>
                  <w:marRight w:val="0"/>
                  <w:marTop w:val="0"/>
                  <w:marBottom w:val="0"/>
                  <w:divBdr>
                    <w:top w:val="none" w:sz="0" w:space="0" w:color="auto"/>
                    <w:left w:val="none" w:sz="0" w:space="0" w:color="auto"/>
                    <w:bottom w:val="none" w:sz="0" w:space="0" w:color="auto"/>
                    <w:right w:val="none" w:sz="0" w:space="0" w:color="auto"/>
                  </w:divBdr>
                  <w:divsChild>
                    <w:div w:id="1851946729">
                      <w:marLeft w:val="0"/>
                      <w:marRight w:val="0"/>
                      <w:marTop w:val="0"/>
                      <w:marBottom w:val="0"/>
                      <w:divBdr>
                        <w:top w:val="none" w:sz="0" w:space="0" w:color="auto"/>
                        <w:left w:val="none" w:sz="0" w:space="0" w:color="auto"/>
                        <w:bottom w:val="none" w:sz="0" w:space="0" w:color="auto"/>
                        <w:right w:val="none" w:sz="0" w:space="0" w:color="auto"/>
                      </w:divBdr>
                    </w:div>
                  </w:divsChild>
                </w:div>
                <w:div w:id="59644138">
                  <w:marLeft w:val="0"/>
                  <w:marRight w:val="0"/>
                  <w:marTop w:val="0"/>
                  <w:marBottom w:val="0"/>
                  <w:divBdr>
                    <w:top w:val="none" w:sz="0" w:space="0" w:color="auto"/>
                    <w:left w:val="none" w:sz="0" w:space="0" w:color="auto"/>
                    <w:bottom w:val="none" w:sz="0" w:space="0" w:color="auto"/>
                    <w:right w:val="none" w:sz="0" w:space="0" w:color="auto"/>
                  </w:divBdr>
                  <w:divsChild>
                    <w:div w:id="1152327939">
                      <w:marLeft w:val="0"/>
                      <w:marRight w:val="0"/>
                      <w:marTop w:val="0"/>
                      <w:marBottom w:val="0"/>
                      <w:divBdr>
                        <w:top w:val="none" w:sz="0" w:space="0" w:color="auto"/>
                        <w:left w:val="none" w:sz="0" w:space="0" w:color="auto"/>
                        <w:bottom w:val="none" w:sz="0" w:space="0" w:color="auto"/>
                        <w:right w:val="none" w:sz="0" w:space="0" w:color="auto"/>
                      </w:divBdr>
                    </w:div>
                  </w:divsChild>
                </w:div>
                <w:div w:id="62223157">
                  <w:marLeft w:val="0"/>
                  <w:marRight w:val="0"/>
                  <w:marTop w:val="0"/>
                  <w:marBottom w:val="0"/>
                  <w:divBdr>
                    <w:top w:val="none" w:sz="0" w:space="0" w:color="auto"/>
                    <w:left w:val="none" w:sz="0" w:space="0" w:color="auto"/>
                    <w:bottom w:val="none" w:sz="0" w:space="0" w:color="auto"/>
                    <w:right w:val="none" w:sz="0" w:space="0" w:color="auto"/>
                  </w:divBdr>
                  <w:divsChild>
                    <w:div w:id="1367833705">
                      <w:marLeft w:val="0"/>
                      <w:marRight w:val="0"/>
                      <w:marTop w:val="0"/>
                      <w:marBottom w:val="0"/>
                      <w:divBdr>
                        <w:top w:val="none" w:sz="0" w:space="0" w:color="auto"/>
                        <w:left w:val="none" w:sz="0" w:space="0" w:color="auto"/>
                        <w:bottom w:val="none" w:sz="0" w:space="0" w:color="auto"/>
                        <w:right w:val="none" w:sz="0" w:space="0" w:color="auto"/>
                      </w:divBdr>
                    </w:div>
                  </w:divsChild>
                </w:div>
                <w:div w:id="109785718">
                  <w:marLeft w:val="0"/>
                  <w:marRight w:val="0"/>
                  <w:marTop w:val="0"/>
                  <w:marBottom w:val="0"/>
                  <w:divBdr>
                    <w:top w:val="none" w:sz="0" w:space="0" w:color="auto"/>
                    <w:left w:val="none" w:sz="0" w:space="0" w:color="auto"/>
                    <w:bottom w:val="none" w:sz="0" w:space="0" w:color="auto"/>
                    <w:right w:val="none" w:sz="0" w:space="0" w:color="auto"/>
                  </w:divBdr>
                  <w:divsChild>
                    <w:div w:id="2002001919">
                      <w:marLeft w:val="0"/>
                      <w:marRight w:val="0"/>
                      <w:marTop w:val="0"/>
                      <w:marBottom w:val="0"/>
                      <w:divBdr>
                        <w:top w:val="none" w:sz="0" w:space="0" w:color="auto"/>
                        <w:left w:val="none" w:sz="0" w:space="0" w:color="auto"/>
                        <w:bottom w:val="none" w:sz="0" w:space="0" w:color="auto"/>
                        <w:right w:val="none" w:sz="0" w:space="0" w:color="auto"/>
                      </w:divBdr>
                    </w:div>
                  </w:divsChild>
                </w:div>
                <w:div w:id="123085582">
                  <w:marLeft w:val="0"/>
                  <w:marRight w:val="0"/>
                  <w:marTop w:val="0"/>
                  <w:marBottom w:val="0"/>
                  <w:divBdr>
                    <w:top w:val="none" w:sz="0" w:space="0" w:color="auto"/>
                    <w:left w:val="none" w:sz="0" w:space="0" w:color="auto"/>
                    <w:bottom w:val="none" w:sz="0" w:space="0" w:color="auto"/>
                    <w:right w:val="none" w:sz="0" w:space="0" w:color="auto"/>
                  </w:divBdr>
                  <w:divsChild>
                    <w:div w:id="1784492249">
                      <w:marLeft w:val="0"/>
                      <w:marRight w:val="0"/>
                      <w:marTop w:val="0"/>
                      <w:marBottom w:val="0"/>
                      <w:divBdr>
                        <w:top w:val="none" w:sz="0" w:space="0" w:color="auto"/>
                        <w:left w:val="none" w:sz="0" w:space="0" w:color="auto"/>
                        <w:bottom w:val="none" w:sz="0" w:space="0" w:color="auto"/>
                        <w:right w:val="none" w:sz="0" w:space="0" w:color="auto"/>
                      </w:divBdr>
                    </w:div>
                  </w:divsChild>
                </w:div>
                <w:div w:id="195434311">
                  <w:marLeft w:val="0"/>
                  <w:marRight w:val="0"/>
                  <w:marTop w:val="0"/>
                  <w:marBottom w:val="0"/>
                  <w:divBdr>
                    <w:top w:val="none" w:sz="0" w:space="0" w:color="auto"/>
                    <w:left w:val="none" w:sz="0" w:space="0" w:color="auto"/>
                    <w:bottom w:val="none" w:sz="0" w:space="0" w:color="auto"/>
                    <w:right w:val="none" w:sz="0" w:space="0" w:color="auto"/>
                  </w:divBdr>
                  <w:divsChild>
                    <w:div w:id="517431510">
                      <w:marLeft w:val="0"/>
                      <w:marRight w:val="0"/>
                      <w:marTop w:val="0"/>
                      <w:marBottom w:val="0"/>
                      <w:divBdr>
                        <w:top w:val="none" w:sz="0" w:space="0" w:color="auto"/>
                        <w:left w:val="none" w:sz="0" w:space="0" w:color="auto"/>
                        <w:bottom w:val="none" w:sz="0" w:space="0" w:color="auto"/>
                        <w:right w:val="none" w:sz="0" w:space="0" w:color="auto"/>
                      </w:divBdr>
                    </w:div>
                  </w:divsChild>
                </w:div>
                <w:div w:id="196627034">
                  <w:marLeft w:val="0"/>
                  <w:marRight w:val="0"/>
                  <w:marTop w:val="0"/>
                  <w:marBottom w:val="0"/>
                  <w:divBdr>
                    <w:top w:val="none" w:sz="0" w:space="0" w:color="auto"/>
                    <w:left w:val="none" w:sz="0" w:space="0" w:color="auto"/>
                    <w:bottom w:val="none" w:sz="0" w:space="0" w:color="auto"/>
                    <w:right w:val="none" w:sz="0" w:space="0" w:color="auto"/>
                  </w:divBdr>
                  <w:divsChild>
                    <w:div w:id="832991634">
                      <w:marLeft w:val="0"/>
                      <w:marRight w:val="0"/>
                      <w:marTop w:val="0"/>
                      <w:marBottom w:val="0"/>
                      <w:divBdr>
                        <w:top w:val="none" w:sz="0" w:space="0" w:color="auto"/>
                        <w:left w:val="none" w:sz="0" w:space="0" w:color="auto"/>
                        <w:bottom w:val="none" w:sz="0" w:space="0" w:color="auto"/>
                        <w:right w:val="none" w:sz="0" w:space="0" w:color="auto"/>
                      </w:divBdr>
                    </w:div>
                  </w:divsChild>
                </w:div>
                <w:div w:id="219828835">
                  <w:marLeft w:val="0"/>
                  <w:marRight w:val="0"/>
                  <w:marTop w:val="0"/>
                  <w:marBottom w:val="0"/>
                  <w:divBdr>
                    <w:top w:val="none" w:sz="0" w:space="0" w:color="auto"/>
                    <w:left w:val="none" w:sz="0" w:space="0" w:color="auto"/>
                    <w:bottom w:val="none" w:sz="0" w:space="0" w:color="auto"/>
                    <w:right w:val="none" w:sz="0" w:space="0" w:color="auto"/>
                  </w:divBdr>
                  <w:divsChild>
                    <w:div w:id="1401634137">
                      <w:marLeft w:val="0"/>
                      <w:marRight w:val="0"/>
                      <w:marTop w:val="0"/>
                      <w:marBottom w:val="0"/>
                      <w:divBdr>
                        <w:top w:val="none" w:sz="0" w:space="0" w:color="auto"/>
                        <w:left w:val="none" w:sz="0" w:space="0" w:color="auto"/>
                        <w:bottom w:val="none" w:sz="0" w:space="0" w:color="auto"/>
                        <w:right w:val="none" w:sz="0" w:space="0" w:color="auto"/>
                      </w:divBdr>
                    </w:div>
                  </w:divsChild>
                </w:div>
                <w:div w:id="226188322">
                  <w:marLeft w:val="0"/>
                  <w:marRight w:val="0"/>
                  <w:marTop w:val="0"/>
                  <w:marBottom w:val="0"/>
                  <w:divBdr>
                    <w:top w:val="none" w:sz="0" w:space="0" w:color="auto"/>
                    <w:left w:val="none" w:sz="0" w:space="0" w:color="auto"/>
                    <w:bottom w:val="none" w:sz="0" w:space="0" w:color="auto"/>
                    <w:right w:val="none" w:sz="0" w:space="0" w:color="auto"/>
                  </w:divBdr>
                  <w:divsChild>
                    <w:div w:id="1154182756">
                      <w:marLeft w:val="0"/>
                      <w:marRight w:val="0"/>
                      <w:marTop w:val="0"/>
                      <w:marBottom w:val="0"/>
                      <w:divBdr>
                        <w:top w:val="none" w:sz="0" w:space="0" w:color="auto"/>
                        <w:left w:val="none" w:sz="0" w:space="0" w:color="auto"/>
                        <w:bottom w:val="none" w:sz="0" w:space="0" w:color="auto"/>
                        <w:right w:val="none" w:sz="0" w:space="0" w:color="auto"/>
                      </w:divBdr>
                    </w:div>
                  </w:divsChild>
                </w:div>
                <w:div w:id="228540131">
                  <w:marLeft w:val="0"/>
                  <w:marRight w:val="0"/>
                  <w:marTop w:val="0"/>
                  <w:marBottom w:val="0"/>
                  <w:divBdr>
                    <w:top w:val="none" w:sz="0" w:space="0" w:color="auto"/>
                    <w:left w:val="none" w:sz="0" w:space="0" w:color="auto"/>
                    <w:bottom w:val="none" w:sz="0" w:space="0" w:color="auto"/>
                    <w:right w:val="none" w:sz="0" w:space="0" w:color="auto"/>
                  </w:divBdr>
                  <w:divsChild>
                    <w:div w:id="2027560629">
                      <w:marLeft w:val="0"/>
                      <w:marRight w:val="0"/>
                      <w:marTop w:val="0"/>
                      <w:marBottom w:val="0"/>
                      <w:divBdr>
                        <w:top w:val="none" w:sz="0" w:space="0" w:color="auto"/>
                        <w:left w:val="none" w:sz="0" w:space="0" w:color="auto"/>
                        <w:bottom w:val="none" w:sz="0" w:space="0" w:color="auto"/>
                        <w:right w:val="none" w:sz="0" w:space="0" w:color="auto"/>
                      </w:divBdr>
                    </w:div>
                  </w:divsChild>
                </w:div>
                <w:div w:id="243339160">
                  <w:marLeft w:val="0"/>
                  <w:marRight w:val="0"/>
                  <w:marTop w:val="0"/>
                  <w:marBottom w:val="0"/>
                  <w:divBdr>
                    <w:top w:val="none" w:sz="0" w:space="0" w:color="auto"/>
                    <w:left w:val="none" w:sz="0" w:space="0" w:color="auto"/>
                    <w:bottom w:val="none" w:sz="0" w:space="0" w:color="auto"/>
                    <w:right w:val="none" w:sz="0" w:space="0" w:color="auto"/>
                  </w:divBdr>
                  <w:divsChild>
                    <w:div w:id="58944913">
                      <w:marLeft w:val="0"/>
                      <w:marRight w:val="0"/>
                      <w:marTop w:val="0"/>
                      <w:marBottom w:val="0"/>
                      <w:divBdr>
                        <w:top w:val="none" w:sz="0" w:space="0" w:color="auto"/>
                        <w:left w:val="none" w:sz="0" w:space="0" w:color="auto"/>
                        <w:bottom w:val="none" w:sz="0" w:space="0" w:color="auto"/>
                        <w:right w:val="none" w:sz="0" w:space="0" w:color="auto"/>
                      </w:divBdr>
                    </w:div>
                  </w:divsChild>
                </w:div>
                <w:div w:id="256641097">
                  <w:marLeft w:val="0"/>
                  <w:marRight w:val="0"/>
                  <w:marTop w:val="0"/>
                  <w:marBottom w:val="0"/>
                  <w:divBdr>
                    <w:top w:val="none" w:sz="0" w:space="0" w:color="auto"/>
                    <w:left w:val="none" w:sz="0" w:space="0" w:color="auto"/>
                    <w:bottom w:val="none" w:sz="0" w:space="0" w:color="auto"/>
                    <w:right w:val="none" w:sz="0" w:space="0" w:color="auto"/>
                  </w:divBdr>
                  <w:divsChild>
                    <w:div w:id="1645811987">
                      <w:marLeft w:val="0"/>
                      <w:marRight w:val="0"/>
                      <w:marTop w:val="0"/>
                      <w:marBottom w:val="0"/>
                      <w:divBdr>
                        <w:top w:val="none" w:sz="0" w:space="0" w:color="auto"/>
                        <w:left w:val="none" w:sz="0" w:space="0" w:color="auto"/>
                        <w:bottom w:val="none" w:sz="0" w:space="0" w:color="auto"/>
                        <w:right w:val="none" w:sz="0" w:space="0" w:color="auto"/>
                      </w:divBdr>
                    </w:div>
                  </w:divsChild>
                </w:div>
                <w:div w:id="277569314">
                  <w:marLeft w:val="0"/>
                  <w:marRight w:val="0"/>
                  <w:marTop w:val="0"/>
                  <w:marBottom w:val="0"/>
                  <w:divBdr>
                    <w:top w:val="none" w:sz="0" w:space="0" w:color="auto"/>
                    <w:left w:val="none" w:sz="0" w:space="0" w:color="auto"/>
                    <w:bottom w:val="none" w:sz="0" w:space="0" w:color="auto"/>
                    <w:right w:val="none" w:sz="0" w:space="0" w:color="auto"/>
                  </w:divBdr>
                  <w:divsChild>
                    <w:div w:id="1655185577">
                      <w:marLeft w:val="0"/>
                      <w:marRight w:val="0"/>
                      <w:marTop w:val="0"/>
                      <w:marBottom w:val="0"/>
                      <w:divBdr>
                        <w:top w:val="none" w:sz="0" w:space="0" w:color="auto"/>
                        <w:left w:val="none" w:sz="0" w:space="0" w:color="auto"/>
                        <w:bottom w:val="none" w:sz="0" w:space="0" w:color="auto"/>
                        <w:right w:val="none" w:sz="0" w:space="0" w:color="auto"/>
                      </w:divBdr>
                    </w:div>
                  </w:divsChild>
                </w:div>
                <w:div w:id="281306434">
                  <w:marLeft w:val="0"/>
                  <w:marRight w:val="0"/>
                  <w:marTop w:val="0"/>
                  <w:marBottom w:val="0"/>
                  <w:divBdr>
                    <w:top w:val="none" w:sz="0" w:space="0" w:color="auto"/>
                    <w:left w:val="none" w:sz="0" w:space="0" w:color="auto"/>
                    <w:bottom w:val="none" w:sz="0" w:space="0" w:color="auto"/>
                    <w:right w:val="none" w:sz="0" w:space="0" w:color="auto"/>
                  </w:divBdr>
                  <w:divsChild>
                    <w:div w:id="1948460685">
                      <w:marLeft w:val="0"/>
                      <w:marRight w:val="0"/>
                      <w:marTop w:val="0"/>
                      <w:marBottom w:val="0"/>
                      <w:divBdr>
                        <w:top w:val="none" w:sz="0" w:space="0" w:color="auto"/>
                        <w:left w:val="none" w:sz="0" w:space="0" w:color="auto"/>
                        <w:bottom w:val="none" w:sz="0" w:space="0" w:color="auto"/>
                        <w:right w:val="none" w:sz="0" w:space="0" w:color="auto"/>
                      </w:divBdr>
                    </w:div>
                  </w:divsChild>
                </w:div>
                <w:div w:id="296373508">
                  <w:marLeft w:val="0"/>
                  <w:marRight w:val="0"/>
                  <w:marTop w:val="0"/>
                  <w:marBottom w:val="0"/>
                  <w:divBdr>
                    <w:top w:val="none" w:sz="0" w:space="0" w:color="auto"/>
                    <w:left w:val="none" w:sz="0" w:space="0" w:color="auto"/>
                    <w:bottom w:val="none" w:sz="0" w:space="0" w:color="auto"/>
                    <w:right w:val="none" w:sz="0" w:space="0" w:color="auto"/>
                  </w:divBdr>
                  <w:divsChild>
                    <w:div w:id="1426413951">
                      <w:marLeft w:val="0"/>
                      <w:marRight w:val="0"/>
                      <w:marTop w:val="0"/>
                      <w:marBottom w:val="0"/>
                      <w:divBdr>
                        <w:top w:val="none" w:sz="0" w:space="0" w:color="auto"/>
                        <w:left w:val="none" w:sz="0" w:space="0" w:color="auto"/>
                        <w:bottom w:val="none" w:sz="0" w:space="0" w:color="auto"/>
                        <w:right w:val="none" w:sz="0" w:space="0" w:color="auto"/>
                      </w:divBdr>
                    </w:div>
                  </w:divsChild>
                </w:div>
                <w:div w:id="312300671">
                  <w:marLeft w:val="0"/>
                  <w:marRight w:val="0"/>
                  <w:marTop w:val="0"/>
                  <w:marBottom w:val="0"/>
                  <w:divBdr>
                    <w:top w:val="none" w:sz="0" w:space="0" w:color="auto"/>
                    <w:left w:val="none" w:sz="0" w:space="0" w:color="auto"/>
                    <w:bottom w:val="none" w:sz="0" w:space="0" w:color="auto"/>
                    <w:right w:val="none" w:sz="0" w:space="0" w:color="auto"/>
                  </w:divBdr>
                  <w:divsChild>
                    <w:div w:id="1592473020">
                      <w:marLeft w:val="0"/>
                      <w:marRight w:val="0"/>
                      <w:marTop w:val="0"/>
                      <w:marBottom w:val="0"/>
                      <w:divBdr>
                        <w:top w:val="none" w:sz="0" w:space="0" w:color="auto"/>
                        <w:left w:val="none" w:sz="0" w:space="0" w:color="auto"/>
                        <w:bottom w:val="none" w:sz="0" w:space="0" w:color="auto"/>
                        <w:right w:val="none" w:sz="0" w:space="0" w:color="auto"/>
                      </w:divBdr>
                    </w:div>
                  </w:divsChild>
                </w:div>
                <w:div w:id="312368088">
                  <w:marLeft w:val="0"/>
                  <w:marRight w:val="0"/>
                  <w:marTop w:val="0"/>
                  <w:marBottom w:val="0"/>
                  <w:divBdr>
                    <w:top w:val="none" w:sz="0" w:space="0" w:color="auto"/>
                    <w:left w:val="none" w:sz="0" w:space="0" w:color="auto"/>
                    <w:bottom w:val="none" w:sz="0" w:space="0" w:color="auto"/>
                    <w:right w:val="none" w:sz="0" w:space="0" w:color="auto"/>
                  </w:divBdr>
                  <w:divsChild>
                    <w:div w:id="1183014425">
                      <w:marLeft w:val="0"/>
                      <w:marRight w:val="0"/>
                      <w:marTop w:val="0"/>
                      <w:marBottom w:val="0"/>
                      <w:divBdr>
                        <w:top w:val="none" w:sz="0" w:space="0" w:color="auto"/>
                        <w:left w:val="none" w:sz="0" w:space="0" w:color="auto"/>
                        <w:bottom w:val="none" w:sz="0" w:space="0" w:color="auto"/>
                        <w:right w:val="none" w:sz="0" w:space="0" w:color="auto"/>
                      </w:divBdr>
                    </w:div>
                  </w:divsChild>
                </w:div>
                <w:div w:id="323356355">
                  <w:marLeft w:val="0"/>
                  <w:marRight w:val="0"/>
                  <w:marTop w:val="0"/>
                  <w:marBottom w:val="0"/>
                  <w:divBdr>
                    <w:top w:val="none" w:sz="0" w:space="0" w:color="auto"/>
                    <w:left w:val="none" w:sz="0" w:space="0" w:color="auto"/>
                    <w:bottom w:val="none" w:sz="0" w:space="0" w:color="auto"/>
                    <w:right w:val="none" w:sz="0" w:space="0" w:color="auto"/>
                  </w:divBdr>
                  <w:divsChild>
                    <w:div w:id="553198188">
                      <w:marLeft w:val="0"/>
                      <w:marRight w:val="0"/>
                      <w:marTop w:val="0"/>
                      <w:marBottom w:val="0"/>
                      <w:divBdr>
                        <w:top w:val="none" w:sz="0" w:space="0" w:color="auto"/>
                        <w:left w:val="none" w:sz="0" w:space="0" w:color="auto"/>
                        <w:bottom w:val="none" w:sz="0" w:space="0" w:color="auto"/>
                        <w:right w:val="none" w:sz="0" w:space="0" w:color="auto"/>
                      </w:divBdr>
                    </w:div>
                  </w:divsChild>
                </w:div>
                <w:div w:id="326369577">
                  <w:marLeft w:val="0"/>
                  <w:marRight w:val="0"/>
                  <w:marTop w:val="0"/>
                  <w:marBottom w:val="0"/>
                  <w:divBdr>
                    <w:top w:val="none" w:sz="0" w:space="0" w:color="auto"/>
                    <w:left w:val="none" w:sz="0" w:space="0" w:color="auto"/>
                    <w:bottom w:val="none" w:sz="0" w:space="0" w:color="auto"/>
                    <w:right w:val="none" w:sz="0" w:space="0" w:color="auto"/>
                  </w:divBdr>
                  <w:divsChild>
                    <w:div w:id="49547058">
                      <w:marLeft w:val="0"/>
                      <w:marRight w:val="0"/>
                      <w:marTop w:val="0"/>
                      <w:marBottom w:val="0"/>
                      <w:divBdr>
                        <w:top w:val="none" w:sz="0" w:space="0" w:color="auto"/>
                        <w:left w:val="none" w:sz="0" w:space="0" w:color="auto"/>
                        <w:bottom w:val="none" w:sz="0" w:space="0" w:color="auto"/>
                        <w:right w:val="none" w:sz="0" w:space="0" w:color="auto"/>
                      </w:divBdr>
                    </w:div>
                  </w:divsChild>
                </w:div>
                <w:div w:id="410855385">
                  <w:marLeft w:val="0"/>
                  <w:marRight w:val="0"/>
                  <w:marTop w:val="0"/>
                  <w:marBottom w:val="0"/>
                  <w:divBdr>
                    <w:top w:val="none" w:sz="0" w:space="0" w:color="auto"/>
                    <w:left w:val="none" w:sz="0" w:space="0" w:color="auto"/>
                    <w:bottom w:val="none" w:sz="0" w:space="0" w:color="auto"/>
                    <w:right w:val="none" w:sz="0" w:space="0" w:color="auto"/>
                  </w:divBdr>
                  <w:divsChild>
                    <w:div w:id="809787106">
                      <w:marLeft w:val="0"/>
                      <w:marRight w:val="0"/>
                      <w:marTop w:val="0"/>
                      <w:marBottom w:val="0"/>
                      <w:divBdr>
                        <w:top w:val="none" w:sz="0" w:space="0" w:color="auto"/>
                        <w:left w:val="none" w:sz="0" w:space="0" w:color="auto"/>
                        <w:bottom w:val="none" w:sz="0" w:space="0" w:color="auto"/>
                        <w:right w:val="none" w:sz="0" w:space="0" w:color="auto"/>
                      </w:divBdr>
                    </w:div>
                  </w:divsChild>
                </w:div>
                <w:div w:id="457072606">
                  <w:marLeft w:val="0"/>
                  <w:marRight w:val="0"/>
                  <w:marTop w:val="0"/>
                  <w:marBottom w:val="0"/>
                  <w:divBdr>
                    <w:top w:val="none" w:sz="0" w:space="0" w:color="auto"/>
                    <w:left w:val="none" w:sz="0" w:space="0" w:color="auto"/>
                    <w:bottom w:val="none" w:sz="0" w:space="0" w:color="auto"/>
                    <w:right w:val="none" w:sz="0" w:space="0" w:color="auto"/>
                  </w:divBdr>
                  <w:divsChild>
                    <w:div w:id="1730424542">
                      <w:marLeft w:val="0"/>
                      <w:marRight w:val="0"/>
                      <w:marTop w:val="0"/>
                      <w:marBottom w:val="0"/>
                      <w:divBdr>
                        <w:top w:val="none" w:sz="0" w:space="0" w:color="auto"/>
                        <w:left w:val="none" w:sz="0" w:space="0" w:color="auto"/>
                        <w:bottom w:val="none" w:sz="0" w:space="0" w:color="auto"/>
                        <w:right w:val="none" w:sz="0" w:space="0" w:color="auto"/>
                      </w:divBdr>
                    </w:div>
                  </w:divsChild>
                </w:div>
                <w:div w:id="468474874">
                  <w:marLeft w:val="0"/>
                  <w:marRight w:val="0"/>
                  <w:marTop w:val="0"/>
                  <w:marBottom w:val="0"/>
                  <w:divBdr>
                    <w:top w:val="none" w:sz="0" w:space="0" w:color="auto"/>
                    <w:left w:val="none" w:sz="0" w:space="0" w:color="auto"/>
                    <w:bottom w:val="none" w:sz="0" w:space="0" w:color="auto"/>
                    <w:right w:val="none" w:sz="0" w:space="0" w:color="auto"/>
                  </w:divBdr>
                  <w:divsChild>
                    <w:div w:id="668361665">
                      <w:marLeft w:val="0"/>
                      <w:marRight w:val="0"/>
                      <w:marTop w:val="0"/>
                      <w:marBottom w:val="0"/>
                      <w:divBdr>
                        <w:top w:val="none" w:sz="0" w:space="0" w:color="auto"/>
                        <w:left w:val="none" w:sz="0" w:space="0" w:color="auto"/>
                        <w:bottom w:val="none" w:sz="0" w:space="0" w:color="auto"/>
                        <w:right w:val="none" w:sz="0" w:space="0" w:color="auto"/>
                      </w:divBdr>
                    </w:div>
                  </w:divsChild>
                </w:div>
                <w:div w:id="490413981">
                  <w:marLeft w:val="0"/>
                  <w:marRight w:val="0"/>
                  <w:marTop w:val="0"/>
                  <w:marBottom w:val="0"/>
                  <w:divBdr>
                    <w:top w:val="none" w:sz="0" w:space="0" w:color="auto"/>
                    <w:left w:val="none" w:sz="0" w:space="0" w:color="auto"/>
                    <w:bottom w:val="none" w:sz="0" w:space="0" w:color="auto"/>
                    <w:right w:val="none" w:sz="0" w:space="0" w:color="auto"/>
                  </w:divBdr>
                  <w:divsChild>
                    <w:div w:id="682241401">
                      <w:marLeft w:val="0"/>
                      <w:marRight w:val="0"/>
                      <w:marTop w:val="0"/>
                      <w:marBottom w:val="0"/>
                      <w:divBdr>
                        <w:top w:val="none" w:sz="0" w:space="0" w:color="auto"/>
                        <w:left w:val="none" w:sz="0" w:space="0" w:color="auto"/>
                        <w:bottom w:val="none" w:sz="0" w:space="0" w:color="auto"/>
                        <w:right w:val="none" w:sz="0" w:space="0" w:color="auto"/>
                      </w:divBdr>
                    </w:div>
                  </w:divsChild>
                </w:div>
                <w:div w:id="515731675">
                  <w:marLeft w:val="0"/>
                  <w:marRight w:val="0"/>
                  <w:marTop w:val="0"/>
                  <w:marBottom w:val="0"/>
                  <w:divBdr>
                    <w:top w:val="none" w:sz="0" w:space="0" w:color="auto"/>
                    <w:left w:val="none" w:sz="0" w:space="0" w:color="auto"/>
                    <w:bottom w:val="none" w:sz="0" w:space="0" w:color="auto"/>
                    <w:right w:val="none" w:sz="0" w:space="0" w:color="auto"/>
                  </w:divBdr>
                  <w:divsChild>
                    <w:div w:id="1856766416">
                      <w:marLeft w:val="0"/>
                      <w:marRight w:val="0"/>
                      <w:marTop w:val="0"/>
                      <w:marBottom w:val="0"/>
                      <w:divBdr>
                        <w:top w:val="none" w:sz="0" w:space="0" w:color="auto"/>
                        <w:left w:val="none" w:sz="0" w:space="0" w:color="auto"/>
                        <w:bottom w:val="none" w:sz="0" w:space="0" w:color="auto"/>
                        <w:right w:val="none" w:sz="0" w:space="0" w:color="auto"/>
                      </w:divBdr>
                    </w:div>
                  </w:divsChild>
                </w:div>
                <w:div w:id="539056591">
                  <w:marLeft w:val="0"/>
                  <w:marRight w:val="0"/>
                  <w:marTop w:val="0"/>
                  <w:marBottom w:val="0"/>
                  <w:divBdr>
                    <w:top w:val="none" w:sz="0" w:space="0" w:color="auto"/>
                    <w:left w:val="none" w:sz="0" w:space="0" w:color="auto"/>
                    <w:bottom w:val="none" w:sz="0" w:space="0" w:color="auto"/>
                    <w:right w:val="none" w:sz="0" w:space="0" w:color="auto"/>
                  </w:divBdr>
                  <w:divsChild>
                    <w:div w:id="1132016568">
                      <w:marLeft w:val="0"/>
                      <w:marRight w:val="0"/>
                      <w:marTop w:val="0"/>
                      <w:marBottom w:val="0"/>
                      <w:divBdr>
                        <w:top w:val="none" w:sz="0" w:space="0" w:color="auto"/>
                        <w:left w:val="none" w:sz="0" w:space="0" w:color="auto"/>
                        <w:bottom w:val="none" w:sz="0" w:space="0" w:color="auto"/>
                        <w:right w:val="none" w:sz="0" w:space="0" w:color="auto"/>
                      </w:divBdr>
                    </w:div>
                  </w:divsChild>
                </w:div>
                <w:div w:id="541483014">
                  <w:marLeft w:val="0"/>
                  <w:marRight w:val="0"/>
                  <w:marTop w:val="0"/>
                  <w:marBottom w:val="0"/>
                  <w:divBdr>
                    <w:top w:val="none" w:sz="0" w:space="0" w:color="auto"/>
                    <w:left w:val="none" w:sz="0" w:space="0" w:color="auto"/>
                    <w:bottom w:val="none" w:sz="0" w:space="0" w:color="auto"/>
                    <w:right w:val="none" w:sz="0" w:space="0" w:color="auto"/>
                  </w:divBdr>
                  <w:divsChild>
                    <w:div w:id="1410075129">
                      <w:marLeft w:val="0"/>
                      <w:marRight w:val="0"/>
                      <w:marTop w:val="0"/>
                      <w:marBottom w:val="0"/>
                      <w:divBdr>
                        <w:top w:val="none" w:sz="0" w:space="0" w:color="auto"/>
                        <w:left w:val="none" w:sz="0" w:space="0" w:color="auto"/>
                        <w:bottom w:val="none" w:sz="0" w:space="0" w:color="auto"/>
                        <w:right w:val="none" w:sz="0" w:space="0" w:color="auto"/>
                      </w:divBdr>
                    </w:div>
                  </w:divsChild>
                </w:div>
                <w:div w:id="545681825">
                  <w:marLeft w:val="0"/>
                  <w:marRight w:val="0"/>
                  <w:marTop w:val="0"/>
                  <w:marBottom w:val="0"/>
                  <w:divBdr>
                    <w:top w:val="none" w:sz="0" w:space="0" w:color="auto"/>
                    <w:left w:val="none" w:sz="0" w:space="0" w:color="auto"/>
                    <w:bottom w:val="none" w:sz="0" w:space="0" w:color="auto"/>
                    <w:right w:val="none" w:sz="0" w:space="0" w:color="auto"/>
                  </w:divBdr>
                  <w:divsChild>
                    <w:div w:id="2138639959">
                      <w:marLeft w:val="0"/>
                      <w:marRight w:val="0"/>
                      <w:marTop w:val="0"/>
                      <w:marBottom w:val="0"/>
                      <w:divBdr>
                        <w:top w:val="none" w:sz="0" w:space="0" w:color="auto"/>
                        <w:left w:val="none" w:sz="0" w:space="0" w:color="auto"/>
                        <w:bottom w:val="none" w:sz="0" w:space="0" w:color="auto"/>
                        <w:right w:val="none" w:sz="0" w:space="0" w:color="auto"/>
                      </w:divBdr>
                    </w:div>
                  </w:divsChild>
                </w:div>
                <w:div w:id="584219907">
                  <w:marLeft w:val="0"/>
                  <w:marRight w:val="0"/>
                  <w:marTop w:val="0"/>
                  <w:marBottom w:val="0"/>
                  <w:divBdr>
                    <w:top w:val="none" w:sz="0" w:space="0" w:color="auto"/>
                    <w:left w:val="none" w:sz="0" w:space="0" w:color="auto"/>
                    <w:bottom w:val="none" w:sz="0" w:space="0" w:color="auto"/>
                    <w:right w:val="none" w:sz="0" w:space="0" w:color="auto"/>
                  </w:divBdr>
                  <w:divsChild>
                    <w:div w:id="1064259343">
                      <w:marLeft w:val="0"/>
                      <w:marRight w:val="0"/>
                      <w:marTop w:val="0"/>
                      <w:marBottom w:val="0"/>
                      <w:divBdr>
                        <w:top w:val="none" w:sz="0" w:space="0" w:color="auto"/>
                        <w:left w:val="none" w:sz="0" w:space="0" w:color="auto"/>
                        <w:bottom w:val="none" w:sz="0" w:space="0" w:color="auto"/>
                        <w:right w:val="none" w:sz="0" w:space="0" w:color="auto"/>
                      </w:divBdr>
                    </w:div>
                  </w:divsChild>
                </w:div>
                <w:div w:id="682320002">
                  <w:marLeft w:val="0"/>
                  <w:marRight w:val="0"/>
                  <w:marTop w:val="0"/>
                  <w:marBottom w:val="0"/>
                  <w:divBdr>
                    <w:top w:val="none" w:sz="0" w:space="0" w:color="auto"/>
                    <w:left w:val="none" w:sz="0" w:space="0" w:color="auto"/>
                    <w:bottom w:val="none" w:sz="0" w:space="0" w:color="auto"/>
                    <w:right w:val="none" w:sz="0" w:space="0" w:color="auto"/>
                  </w:divBdr>
                  <w:divsChild>
                    <w:div w:id="857155207">
                      <w:marLeft w:val="0"/>
                      <w:marRight w:val="0"/>
                      <w:marTop w:val="0"/>
                      <w:marBottom w:val="0"/>
                      <w:divBdr>
                        <w:top w:val="none" w:sz="0" w:space="0" w:color="auto"/>
                        <w:left w:val="none" w:sz="0" w:space="0" w:color="auto"/>
                        <w:bottom w:val="none" w:sz="0" w:space="0" w:color="auto"/>
                        <w:right w:val="none" w:sz="0" w:space="0" w:color="auto"/>
                      </w:divBdr>
                    </w:div>
                  </w:divsChild>
                </w:div>
                <w:div w:id="697438395">
                  <w:marLeft w:val="0"/>
                  <w:marRight w:val="0"/>
                  <w:marTop w:val="0"/>
                  <w:marBottom w:val="0"/>
                  <w:divBdr>
                    <w:top w:val="none" w:sz="0" w:space="0" w:color="auto"/>
                    <w:left w:val="none" w:sz="0" w:space="0" w:color="auto"/>
                    <w:bottom w:val="none" w:sz="0" w:space="0" w:color="auto"/>
                    <w:right w:val="none" w:sz="0" w:space="0" w:color="auto"/>
                  </w:divBdr>
                  <w:divsChild>
                    <w:div w:id="1676490590">
                      <w:marLeft w:val="0"/>
                      <w:marRight w:val="0"/>
                      <w:marTop w:val="0"/>
                      <w:marBottom w:val="0"/>
                      <w:divBdr>
                        <w:top w:val="none" w:sz="0" w:space="0" w:color="auto"/>
                        <w:left w:val="none" w:sz="0" w:space="0" w:color="auto"/>
                        <w:bottom w:val="none" w:sz="0" w:space="0" w:color="auto"/>
                        <w:right w:val="none" w:sz="0" w:space="0" w:color="auto"/>
                      </w:divBdr>
                    </w:div>
                  </w:divsChild>
                </w:div>
                <w:div w:id="747076134">
                  <w:marLeft w:val="0"/>
                  <w:marRight w:val="0"/>
                  <w:marTop w:val="0"/>
                  <w:marBottom w:val="0"/>
                  <w:divBdr>
                    <w:top w:val="none" w:sz="0" w:space="0" w:color="auto"/>
                    <w:left w:val="none" w:sz="0" w:space="0" w:color="auto"/>
                    <w:bottom w:val="none" w:sz="0" w:space="0" w:color="auto"/>
                    <w:right w:val="none" w:sz="0" w:space="0" w:color="auto"/>
                  </w:divBdr>
                  <w:divsChild>
                    <w:div w:id="1214657701">
                      <w:marLeft w:val="0"/>
                      <w:marRight w:val="0"/>
                      <w:marTop w:val="0"/>
                      <w:marBottom w:val="0"/>
                      <w:divBdr>
                        <w:top w:val="none" w:sz="0" w:space="0" w:color="auto"/>
                        <w:left w:val="none" w:sz="0" w:space="0" w:color="auto"/>
                        <w:bottom w:val="none" w:sz="0" w:space="0" w:color="auto"/>
                        <w:right w:val="none" w:sz="0" w:space="0" w:color="auto"/>
                      </w:divBdr>
                    </w:div>
                  </w:divsChild>
                </w:div>
                <w:div w:id="751708392">
                  <w:marLeft w:val="0"/>
                  <w:marRight w:val="0"/>
                  <w:marTop w:val="0"/>
                  <w:marBottom w:val="0"/>
                  <w:divBdr>
                    <w:top w:val="none" w:sz="0" w:space="0" w:color="auto"/>
                    <w:left w:val="none" w:sz="0" w:space="0" w:color="auto"/>
                    <w:bottom w:val="none" w:sz="0" w:space="0" w:color="auto"/>
                    <w:right w:val="none" w:sz="0" w:space="0" w:color="auto"/>
                  </w:divBdr>
                  <w:divsChild>
                    <w:div w:id="1788507742">
                      <w:marLeft w:val="0"/>
                      <w:marRight w:val="0"/>
                      <w:marTop w:val="0"/>
                      <w:marBottom w:val="0"/>
                      <w:divBdr>
                        <w:top w:val="none" w:sz="0" w:space="0" w:color="auto"/>
                        <w:left w:val="none" w:sz="0" w:space="0" w:color="auto"/>
                        <w:bottom w:val="none" w:sz="0" w:space="0" w:color="auto"/>
                        <w:right w:val="none" w:sz="0" w:space="0" w:color="auto"/>
                      </w:divBdr>
                    </w:div>
                  </w:divsChild>
                </w:div>
                <w:div w:id="754594750">
                  <w:marLeft w:val="0"/>
                  <w:marRight w:val="0"/>
                  <w:marTop w:val="0"/>
                  <w:marBottom w:val="0"/>
                  <w:divBdr>
                    <w:top w:val="none" w:sz="0" w:space="0" w:color="auto"/>
                    <w:left w:val="none" w:sz="0" w:space="0" w:color="auto"/>
                    <w:bottom w:val="none" w:sz="0" w:space="0" w:color="auto"/>
                    <w:right w:val="none" w:sz="0" w:space="0" w:color="auto"/>
                  </w:divBdr>
                  <w:divsChild>
                    <w:div w:id="1491948050">
                      <w:marLeft w:val="0"/>
                      <w:marRight w:val="0"/>
                      <w:marTop w:val="0"/>
                      <w:marBottom w:val="0"/>
                      <w:divBdr>
                        <w:top w:val="none" w:sz="0" w:space="0" w:color="auto"/>
                        <w:left w:val="none" w:sz="0" w:space="0" w:color="auto"/>
                        <w:bottom w:val="none" w:sz="0" w:space="0" w:color="auto"/>
                        <w:right w:val="none" w:sz="0" w:space="0" w:color="auto"/>
                      </w:divBdr>
                    </w:div>
                  </w:divsChild>
                </w:div>
                <w:div w:id="778991029">
                  <w:marLeft w:val="0"/>
                  <w:marRight w:val="0"/>
                  <w:marTop w:val="0"/>
                  <w:marBottom w:val="0"/>
                  <w:divBdr>
                    <w:top w:val="none" w:sz="0" w:space="0" w:color="auto"/>
                    <w:left w:val="none" w:sz="0" w:space="0" w:color="auto"/>
                    <w:bottom w:val="none" w:sz="0" w:space="0" w:color="auto"/>
                    <w:right w:val="none" w:sz="0" w:space="0" w:color="auto"/>
                  </w:divBdr>
                  <w:divsChild>
                    <w:div w:id="125205414">
                      <w:marLeft w:val="0"/>
                      <w:marRight w:val="0"/>
                      <w:marTop w:val="0"/>
                      <w:marBottom w:val="0"/>
                      <w:divBdr>
                        <w:top w:val="none" w:sz="0" w:space="0" w:color="auto"/>
                        <w:left w:val="none" w:sz="0" w:space="0" w:color="auto"/>
                        <w:bottom w:val="none" w:sz="0" w:space="0" w:color="auto"/>
                        <w:right w:val="none" w:sz="0" w:space="0" w:color="auto"/>
                      </w:divBdr>
                    </w:div>
                  </w:divsChild>
                </w:div>
                <w:div w:id="832141177">
                  <w:marLeft w:val="0"/>
                  <w:marRight w:val="0"/>
                  <w:marTop w:val="0"/>
                  <w:marBottom w:val="0"/>
                  <w:divBdr>
                    <w:top w:val="none" w:sz="0" w:space="0" w:color="auto"/>
                    <w:left w:val="none" w:sz="0" w:space="0" w:color="auto"/>
                    <w:bottom w:val="none" w:sz="0" w:space="0" w:color="auto"/>
                    <w:right w:val="none" w:sz="0" w:space="0" w:color="auto"/>
                  </w:divBdr>
                  <w:divsChild>
                    <w:div w:id="1040667378">
                      <w:marLeft w:val="0"/>
                      <w:marRight w:val="0"/>
                      <w:marTop w:val="0"/>
                      <w:marBottom w:val="0"/>
                      <w:divBdr>
                        <w:top w:val="none" w:sz="0" w:space="0" w:color="auto"/>
                        <w:left w:val="none" w:sz="0" w:space="0" w:color="auto"/>
                        <w:bottom w:val="none" w:sz="0" w:space="0" w:color="auto"/>
                        <w:right w:val="none" w:sz="0" w:space="0" w:color="auto"/>
                      </w:divBdr>
                    </w:div>
                  </w:divsChild>
                </w:div>
                <w:div w:id="855653429">
                  <w:marLeft w:val="0"/>
                  <w:marRight w:val="0"/>
                  <w:marTop w:val="0"/>
                  <w:marBottom w:val="0"/>
                  <w:divBdr>
                    <w:top w:val="none" w:sz="0" w:space="0" w:color="auto"/>
                    <w:left w:val="none" w:sz="0" w:space="0" w:color="auto"/>
                    <w:bottom w:val="none" w:sz="0" w:space="0" w:color="auto"/>
                    <w:right w:val="none" w:sz="0" w:space="0" w:color="auto"/>
                  </w:divBdr>
                  <w:divsChild>
                    <w:div w:id="2031372471">
                      <w:marLeft w:val="0"/>
                      <w:marRight w:val="0"/>
                      <w:marTop w:val="0"/>
                      <w:marBottom w:val="0"/>
                      <w:divBdr>
                        <w:top w:val="none" w:sz="0" w:space="0" w:color="auto"/>
                        <w:left w:val="none" w:sz="0" w:space="0" w:color="auto"/>
                        <w:bottom w:val="none" w:sz="0" w:space="0" w:color="auto"/>
                        <w:right w:val="none" w:sz="0" w:space="0" w:color="auto"/>
                      </w:divBdr>
                    </w:div>
                  </w:divsChild>
                </w:div>
                <w:div w:id="859927529">
                  <w:marLeft w:val="0"/>
                  <w:marRight w:val="0"/>
                  <w:marTop w:val="0"/>
                  <w:marBottom w:val="0"/>
                  <w:divBdr>
                    <w:top w:val="none" w:sz="0" w:space="0" w:color="auto"/>
                    <w:left w:val="none" w:sz="0" w:space="0" w:color="auto"/>
                    <w:bottom w:val="none" w:sz="0" w:space="0" w:color="auto"/>
                    <w:right w:val="none" w:sz="0" w:space="0" w:color="auto"/>
                  </w:divBdr>
                  <w:divsChild>
                    <w:div w:id="2072381095">
                      <w:marLeft w:val="0"/>
                      <w:marRight w:val="0"/>
                      <w:marTop w:val="0"/>
                      <w:marBottom w:val="0"/>
                      <w:divBdr>
                        <w:top w:val="none" w:sz="0" w:space="0" w:color="auto"/>
                        <w:left w:val="none" w:sz="0" w:space="0" w:color="auto"/>
                        <w:bottom w:val="none" w:sz="0" w:space="0" w:color="auto"/>
                        <w:right w:val="none" w:sz="0" w:space="0" w:color="auto"/>
                      </w:divBdr>
                    </w:div>
                  </w:divsChild>
                </w:div>
                <w:div w:id="872153178">
                  <w:marLeft w:val="0"/>
                  <w:marRight w:val="0"/>
                  <w:marTop w:val="0"/>
                  <w:marBottom w:val="0"/>
                  <w:divBdr>
                    <w:top w:val="none" w:sz="0" w:space="0" w:color="auto"/>
                    <w:left w:val="none" w:sz="0" w:space="0" w:color="auto"/>
                    <w:bottom w:val="none" w:sz="0" w:space="0" w:color="auto"/>
                    <w:right w:val="none" w:sz="0" w:space="0" w:color="auto"/>
                  </w:divBdr>
                  <w:divsChild>
                    <w:div w:id="1843622564">
                      <w:marLeft w:val="0"/>
                      <w:marRight w:val="0"/>
                      <w:marTop w:val="0"/>
                      <w:marBottom w:val="0"/>
                      <w:divBdr>
                        <w:top w:val="none" w:sz="0" w:space="0" w:color="auto"/>
                        <w:left w:val="none" w:sz="0" w:space="0" w:color="auto"/>
                        <w:bottom w:val="none" w:sz="0" w:space="0" w:color="auto"/>
                        <w:right w:val="none" w:sz="0" w:space="0" w:color="auto"/>
                      </w:divBdr>
                    </w:div>
                  </w:divsChild>
                </w:div>
                <w:div w:id="874003650">
                  <w:marLeft w:val="0"/>
                  <w:marRight w:val="0"/>
                  <w:marTop w:val="0"/>
                  <w:marBottom w:val="0"/>
                  <w:divBdr>
                    <w:top w:val="none" w:sz="0" w:space="0" w:color="auto"/>
                    <w:left w:val="none" w:sz="0" w:space="0" w:color="auto"/>
                    <w:bottom w:val="none" w:sz="0" w:space="0" w:color="auto"/>
                    <w:right w:val="none" w:sz="0" w:space="0" w:color="auto"/>
                  </w:divBdr>
                  <w:divsChild>
                    <w:div w:id="1369598514">
                      <w:marLeft w:val="0"/>
                      <w:marRight w:val="0"/>
                      <w:marTop w:val="0"/>
                      <w:marBottom w:val="0"/>
                      <w:divBdr>
                        <w:top w:val="none" w:sz="0" w:space="0" w:color="auto"/>
                        <w:left w:val="none" w:sz="0" w:space="0" w:color="auto"/>
                        <w:bottom w:val="none" w:sz="0" w:space="0" w:color="auto"/>
                        <w:right w:val="none" w:sz="0" w:space="0" w:color="auto"/>
                      </w:divBdr>
                    </w:div>
                  </w:divsChild>
                </w:div>
                <w:div w:id="882205506">
                  <w:marLeft w:val="0"/>
                  <w:marRight w:val="0"/>
                  <w:marTop w:val="0"/>
                  <w:marBottom w:val="0"/>
                  <w:divBdr>
                    <w:top w:val="none" w:sz="0" w:space="0" w:color="auto"/>
                    <w:left w:val="none" w:sz="0" w:space="0" w:color="auto"/>
                    <w:bottom w:val="none" w:sz="0" w:space="0" w:color="auto"/>
                    <w:right w:val="none" w:sz="0" w:space="0" w:color="auto"/>
                  </w:divBdr>
                  <w:divsChild>
                    <w:div w:id="1296714895">
                      <w:marLeft w:val="0"/>
                      <w:marRight w:val="0"/>
                      <w:marTop w:val="0"/>
                      <w:marBottom w:val="0"/>
                      <w:divBdr>
                        <w:top w:val="none" w:sz="0" w:space="0" w:color="auto"/>
                        <w:left w:val="none" w:sz="0" w:space="0" w:color="auto"/>
                        <w:bottom w:val="none" w:sz="0" w:space="0" w:color="auto"/>
                        <w:right w:val="none" w:sz="0" w:space="0" w:color="auto"/>
                      </w:divBdr>
                    </w:div>
                  </w:divsChild>
                </w:div>
                <w:div w:id="901908962">
                  <w:marLeft w:val="0"/>
                  <w:marRight w:val="0"/>
                  <w:marTop w:val="0"/>
                  <w:marBottom w:val="0"/>
                  <w:divBdr>
                    <w:top w:val="none" w:sz="0" w:space="0" w:color="auto"/>
                    <w:left w:val="none" w:sz="0" w:space="0" w:color="auto"/>
                    <w:bottom w:val="none" w:sz="0" w:space="0" w:color="auto"/>
                    <w:right w:val="none" w:sz="0" w:space="0" w:color="auto"/>
                  </w:divBdr>
                  <w:divsChild>
                    <w:div w:id="916667931">
                      <w:marLeft w:val="0"/>
                      <w:marRight w:val="0"/>
                      <w:marTop w:val="0"/>
                      <w:marBottom w:val="0"/>
                      <w:divBdr>
                        <w:top w:val="none" w:sz="0" w:space="0" w:color="auto"/>
                        <w:left w:val="none" w:sz="0" w:space="0" w:color="auto"/>
                        <w:bottom w:val="none" w:sz="0" w:space="0" w:color="auto"/>
                        <w:right w:val="none" w:sz="0" w:space="0" w:color="auto"/>
                      </w:divBdr>
                    </w:div>
                  </w:divsChild>
                </w:div>
                <w:div w:id="932586257">
                  <w:marLeft w:val="0"/>
                  <w:marRight w:val="0"/>
                  <w:marTop w:val="0"/>
                  <w:marBottom w:val="0"/>
                  <w:divBdr>
                    <w:top w:val="none" w:sz="0" w:space="0" w:color="auto"/>
                    <w:left w:val="none" w:sz="0" w:space="0" w:color="auto"/>
                    <w:bottom w:val="none" w:sz="0" w:space="0" w:color="auto"/>
                    <w:right w:val="none" w:sz="0" w:space="0" w:color="auto"/>
                  </w:divBdr>
                  <w:divsChild>
                    <w:div w:id="1912036026">
                      <w:marLeft w:val="0"/>
                      <w:marRight w:val="0"/>
                      <w:marTop w:val="0"/>
                      <w:marBottom w:val="0"/>
                      <w:divBdr>
                        <w:top w:val="none" w:sz="0" w:space="0" w:color="auto"/>
                        <w:left w:val="none" w:sz="0" w:space="0" w:color="auto"/>
                        <w:bottom w:val="none" w:sz="0" w:space="0" w:color="auto"/>
                        <w:right w:val="none" w:sz="0" w:space="0" w:color="auto"/>
                      </w:divBdr>
                    </w:div>
                  </w:divsChild>
                </w:div>
                <w:div w:id="945387470">
                  <w:marLeft w:val="0"/>
                  <w:marRight w:val="0"/>
                  <w:marTop w:val="0"/>
                  <w:marBottom w:val="0"/>
                  <w:divBdr>
                    <w:top w:val="none" w:sz="0" w:space="0" w:color="auto"/>
                    <w:left w:val="none" w:sz="0" w:space="0" w:color="auto"/>
                    <w:bottom w:val="none" w:sz="0" w:space="0" w:color="auto"/>
                    <w:right w:val="none" w:sz="0" w:space="0" w:color="auto"/>
                  </w:divBdr>
                  <w:divsChild>
                    <w:div w:id="1512451764">
                      <w:marLeft w:val="0"/>
                      <w:marRight w:val="0"/>
                      <w:marTop w:val="0"/>
                      <w:marBottom w:val="0"/>
                      <w:divBdr>
                        <w:top w:val="none" w:sz="0" w:space="0" w:color="auto"/>
                        <w:left w:val="none" w:sz="0" w:space="0" w:color="auto"/>
                        <w:bottom w:val="none" w:sz="0" w:space="0" w:color="auto"/>
                        <w:right w:val="none" w:sz="0" w:space="0" w:color="auto"/>
                      </w:divBdr>
                    </w:div>
                  </w:divsChild>
                </w:div>
                <w:div w:id="972251272">
                  <w:marLeft w:val="0"/>
                  <w:marRight w:val="0"/>
                  <w:marTop w:val="0"/>
                  <w:marBottom w:val="0"/>
                  <w:divBdr>
                    <w:top w:val="none" w:sz="0" w:space="0" w:color="auto"/>
                    <w:left w:val="none" w:sz="0" w:space="0" w:color="auto"/>
                    <w:bottom w:val="none" w:sz="0" w:space="0" w:color="auto"/>
                    <w:right w:val="none" w:sz="0" w:space="0" w:color="auto"/>
                  </w:divBdr>
                  <w:divsChild>
                    <w:div w:id="1185632843">
                      <w:marLeft w:val="0"/>
                      <w:marRight w:val="0"/>
                      <w:marTop w:val="0"/>
                      <w:marBottom w:val="0"/>
                      <w:divBdr>
                        <w:top w:val="none" w:sz="0" w:space="0" w:color="auto"/>
                        <w:left w:val="none" w:sz="0" w:space="0" w:color="auto"/>
                        <w:bottom w:val="none" w:sz="0" w:space="0" w:color="auto"/>
                        <w:right w:val="none" w:sz="0" w:space="0" w:color="auto"/>
                      </w:divBdr>
                    </w:div>
                  </w:divsChild>
                </w:div>
                <w:div w:id="989212760">
                  <w:marLeft w:val="0"/>
                  <w:marRight w:val="0"/>
                  <w:marTop w:val="0"/>
                  <w:marBottom w:val="0"/>
                  <w:divBdr>
                    <w:top w:val="none" w:sz="0" w:space="0" w:color="auto"/>
                    <w:left w:val="none" w:sz="0" w:space="0" w:color="auto"/>
                    <w:bottom w:val="none" w:sz="0" w:space="0" w:color="auto"/>
                    <w:right w:val="none" w:sz="0" w:space="0" w:color="auto"/>
                  </w:divBdr>
                  <w:divsChild>
                    <w:div w:id="735201126">
                      <w:marLeft w:val="0"/>
                      <w:marRight w:val="0"/>
                      <w:marTop w:val="0"/>
                      <w:marBottom w:val="0"/>
                      <w:divBdr>
                        <w:top w:val="none" w:sz="0" w:space="0" w:color="auto"/>
                        <w:left w:val="none" w:sz="0" w:space="0" w:color="auto"/>
                        <w:bottom w:val="none" w:sz="0" w:space="0" w:color="auto"/>
                        <w:right w:val="none" w:sz="0" w:space="0" w:color="auto"/>
                      </w:divBdr>
                    </w:div>
                  </w:divsChild>
                </w:div>
                <w:div w:id="1031802989">
                  <w:marLeft w:val="0"/>
                  <w:marRight w:val="0"/>
                  <w:marTop w:val="0"/>
                  <w:marBottom w:val="0"/>
                  <w:divBdr>
                    <w:top w:val="none" w:sz="0" w:space="0" w:color="auto"/>
                    <w:left w:val="none" w:sz="0" w:space="0" w:color="auto"/>
                    <w:bottom w:val="none" w:sz="0" w:space="0" w:color="auto"/>
                    <w:right w:val="none" w:sz="0" w:space="0" w:color="auto"/>
                  </w:divBdr>
                  <w:divsChild>
                    <w:div w:id="734429158">
                      <w:marLeft w:val="0"/>
                      <w:marRight w:val="0"/>
                      <w:marTop w:val="0"/>
                      <w:marBottom w:val="0"/>
                      <w:divBdr>
                        <w:top w:val="none" w:sz="0" w:space="0" w:color="auto"/>
                        <w:left w:val="none" w:sz="0" w:space="0" w:color="auto"/>
                        <w:bottom w:val="none" w:sz="0" w:space="0" w:color="auto"/>
                        <w:right w:val="none" w:sz="0" w:space="0" w:color="auto"/>
                      </w:divBdr>
                    </w:div>
                  </w:divsChild>
                </w:div>
                <w:div w:id="1035498257">
                  <w:marLeft w:val="0"/>
                  <w:marRight w:val="0"/>
                  <w:marTop w:val="0"/>
                  <w:marBottom w:val="0"/>
                  <w:divBdr>
                    <w:top w:val="none" w:sz="0" w:space="0" w:color="auto"/>
                    <w:left w:val="none" w:sz="0" w:space="0" w:color="auto"/>
                    <w:bottom w:val="none" w:sz="0" w:space="0" w:color="auto"/>
                    <w:right w:val="none" w:sz="0" w:space="0" w:color="auto"/>
                  </w:divBdr>
                  <w:divsChild>
                    <w:div w:id="1736052819">
                      <w:marLeft w:val="0"/>
                      <w:marRight w:val="0"/>
                      <w:marTop w:val="0"/>
                      <w:marBottom w:val="0"/>
                      <w:divBdr>
                        <w:top w:val="none" w:sz="0" w:space="0" w:color="auto"/>
                        <w:left w:val="none" w:sz="0" w:space="0" w:color="auto"/>
                        <w:bottom w:val="none" w:sz="0" w:space="0" w:color="auto"/>
                        <w:right w:val="none" w:sz="0" w:space="0" w:color="auto"/>
                      </w:divBdr>
                    </w:div>
                  </w:divsChild>
                </w:div>
                <w:div w:id="1087458039">
                  <w:marLeft w:val="0"/>
                  <w:marRight w:val="0"/>
                  <w:marTop w:val="0"/>
                  <w:marBottom w:val="0"/>
                  <w:divBdr>
                    <w:top w:val="none" w:sz="0" w:space="0" w:color="auto"/>
                    <w:left w:val="none" w:sz="0" w:space="0" w:color="auto"/>
                    <w:bottom w:val="none" w:sz="0" w:space="0" w:color="auto"/>
                    <w:right w:val="none" w:sz="0" w:space="0" w:color="auto"/>
                  </w:divBdr>
                  <w:divsChild>
                    <w:div w:id="55474943">
                      <w:marLeft w:val="0"/>
                      <w:marRight w:val="0"/>
                      <w:marTop w:val="0"/>
                      <w:marBottom w:val="0"/>
                      <w:divBdr>
                        <w:top w:val="none" w:sz="0" w:space="0" w:color="auto"/>
                        <w:left w:val="none" w:sz="0" w:space="0" w:color="auto"/>
                        <w:bottom w:val="none" w:sz="0" w:space="0" w:color="auto"/>
                        <w:right w:val="none" w:sz="0" w:space="0" w:color="auto"/>
                      </w:divBdr>
                    </w:div>
                  </w:divsChild>
                </w:div>
                <w:div w:id="1134520905">
                  <w:marLeft w:val="0"/>
                  <w:marRight w:val="0"/>
                  <w:marTop w:val="0"/>
                  <w:marBottom w:val="0"/>
                  <w:divBdr>
                    <w:top w:val="none" w:sz="0" w:space="0" w:color="auto"/>
                    <w:left w:val="none" w:sz="0" w:space="0" w:color="auto"/>
                    <w:bottom w:val="none" w:sz="0" w:space="0" w:color="auto"/>
                    <w:right w:val="none" w:sz="0" w:space="0" w:color="auto"/>
                  </w:divBdr>
                  <w:divsChild>
                    <w:div w:id="1615135259">
                      <w:marLeft w:val="0"/>
                      <w:marRight w:val="0"/>
                      <w:marTop w:val="0"/>
                      <w:marBottom w:val="0"/>
                      <w:divBdr>
                        <w:top w:val="none" w:sz="0" w:space="0" w:color="auto"/>
                        <w:left w:val="none" w:sz="0" w:space="0" w:color="auto"/>
                        <w:bottom w:val="none" w:sz="0" w:space="0" w:color="auto"/>
                        <w:right w:val="none" w:sz="0" w:space="0" w:color="auto"/>
                      </w:divBdr>
                    </w:div>
                  </w:divsChild>
                </w:div>
                <w:div w:id="1152332883">
                  <w:marLeft w:val="0"/>
                  <w:marRight w:val="0"/>
                  <w:marTop w:val="0"/>
                  <w:marBottom w:val="0"/>
                  <w:divBdr>
                    <w:top w:val="none" w:sz="0" w:space="0" w:color="auto"/>
                    <w:left w:val="none" w:sz="0" w:space="0" w:color="auto"/>
                    <w:bottom w:val="none" w:sz="0" w:space="0" w:color="auto"/>
                    <w:right w:val="none" w:sz="0" w:space="0" w:color="auto"/>
                  </w:divBdr>
                  <w:divsChild>
                    <w:div w:id="542639133">
                      <w:marLeft w:val="0"/>
                      <w:marRight w:val="0"/>
                      <w:marTop w:val="0"/>
                      <w:marBottom w:val="0"/>
                      <w:divBdr>
                        <w:top w:val="none" w:sz="0" w:space="0" w:color="auto"/>
                        <w:left w:val="none" w:sz="0" w:space="0" w:color="auto"/>
                        <w:bottom w:val="none" w:sz="0" w:space="0" w:color="auto"/>
                        <w:right w:val="none" w:sz="0" w:space="0" w:color="auto"/>
                      </w:divBdr>
                    </w:div>
                  </w:divsChild>
                </w:div>
                <w:div w:id="1162047157">
                  <w:marLeft w:val="0"/>
                  <w:marRight w:val="0"/>
                  <w:marTop w:val="0"/>
                  <w:marBottom w:val="0"/>
                  <w:divBdr>
                    <w:top w:val="none" w:sz="0" w:space="0" w:color="auto"/>
                    <w:left w:val="none" w:sz="0" w:space="0" w:color="auto"/>
                    <w:bottom w:val="none" w:sz="0" w:space="0" w:color="auto"/>
                    <w:right w:val="none" w:sz="0" w:space="0" w:color="auto"/>
                  </w:divBdr>
                  <w:divsChild>
                    <w:div w:id="1201552660">
                      <w:marLeft w:val="0"/>
                      <w:marRight w:val="0"/>
                      <w:marTop w:val="0"/>
                      <w:marBottom w:val="0"/>
                      <w:divBdr>
                        <w:top w:val="none" w:sz="0" w:space="0" w:color="auto"/>
                        <w:left w:val="none" w:sz="0" w:space="0" w:color="auto"/>
                        <w:bottom w:val="none" w:sz="0" w:space="0" w:color="auto"/>
                        <w:right w:val="none" w:sz="0" w:space="0" w:color="auto"/>
                      </w:divBdr>
                    </w:div>
                  </w:divsChild>
                </w:div>
                <w:div w:id="1175530132">
                  <w:marLeft w:val="0"/>
                  <w:marRight w:val="0"/>
                  <w:marTop w:val="0"/>
                  <w:marBottom w:val="0"/>
                  <w:divBdr>
                    <w:top w:val="none" w:sz="0" w:space="0" w:color="auto"/>
                    <w:left w:val="none" w:sz="0" w:space="0" w:color="auto"/>
                    <w:bottom w:val="none" w:sz="0" w:space="0" w:color="auto"/>
                    <w:right w:val="none" w:sz="0" w:space="0" w:color="auto"/>
                  </w:divBdr>
                  <w:divsChild>
                    <w:div w:id="308629301">
                      <w:marLeft w:val="0"/>
                      <w:marRight w:val="0"/>
                      <w:marTop w:val="0"/>
                      <w:marBottom w:val="0"/>
                      <w:divBdr>
                        <w:top w:val="none" w:sz="0" w:space="0" w:color="auto"/>
                        <w:left w:val="none" w:sz="0" w:space="0" w:color="auto"/>
                        <w:bottom w:val="none" w:sz="0" w:space="0" w:color="auto"/>
                        <w:right w:val="none" w:sz="0" w:space="0" w:color="auto"/>
                      </w:divBdr>
                    </w:div>
                  </w:divsChild>
                </w:div>
                <w:div w:id="1205144388">
                  <w:marLeft w:val="0"/>
                  <w:marRight w:val="0"/>
                  <w:marTop w:val="0"/>
                  <w:marBottom w:val="0"/>
                  <w:divBdr>
                    <w:top w:val="none" w:sz="0" w:space="0" w:color="auto"/>
                    <w:left w:val="none" w:sz="0" w:space="0" w:color="auto"/>
                    <w:bottom w:val="none" w:sz="0" w:space="0" w:color="auto"/>
                    <w:right w:val="none" w:sz="0" w:space="0" w:color="auto"/>
                  </w:divBdr>
                  <w:divsChild>
                    <w:div w:id="1852336524">
                      <w:marLeft w:val="0"/>
                      <w:marRight w:val="0"/>
                      <w:marTop w:val="0"/>
                      <w:marBottom w:val="0"/>
                      <w:divBdr>
                        <w:top w:val="none" w:sz="0" w:space="0" w:color="auto"/>
                        <w:left w:val="none" w:sz="0" w:space="0" w:color="auto"/>
                        <w:bottom w:val="none" w:sz="0" w:space="0" w:color="auto"/>
                        <w:right w:val="none" w:sz="0" w:space="0" w:color="auto"/>
                      </w:divBdr>
                    </w:div>
                  </w:divsChild>
                </w:div>
                <w:div w:id="1217428875">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
                  </w:divsChild>
                </w:div>
                <w:div w:id="1236015054">
                  <w:marLeft w:val="0"/>
                  <w:marRight w:val="0"/>
                  <w:marTop w:val="0"/>
                  <w:marBottom w:val="0"/>
                  <w:divBdr>
                    <w:top w:val="none" w:sz="0" w:space="0" w:color="auto"/>
                    <w:left w:val="none" w:sz="0" w:space="0" w:color="auto"/>
                    <w:bottom w:val="none" w:sz="0" w:space="0" w:color="auto"/>
                    <w:right w:val="none" w:sz="0" w:space="0" w:color="auto"/>
                  </w:divBdr>
                  <w:divsChild>
                    <w:div w:id="672995795">
                      <w:marLeft w:val="0"/>
                      <w:marRight w:val="0"/>
                      <w:marTop w:val="0"/>
                      <w:marBottom w:val="0"/>
                      <w:divBdr>
                        <w:top w:val="none" w:sz="0" w:space="0" w:color="auto"/>
                        <w:left w:val="none" w:sz="0" w:space="0" w:color="auto"/>
                        <w:bottom w:val="none" w:sz="0" w:space="0" w:color="auto"/>
                        <w:right w:val="none" w:sz="0" w:space="0" w:color="auto"/>
                      </w:divBdr>
                    </w:div>
                  </w:divsChild>
                </w:div>
                <w:div w:id="1251351805">
                  <w:marLeft w:val="0"/>
                  <w:marRight w:val="0"/>
                  <w:marTop w:val="0"/>
                  <w:marBottom w:val="0"/>
                  <w:divBdr>
                    <w:top w:val="none" w:sz="0" w:space="0" w:color="auto"/>
                    <w:left w:val="none" w:sz="0" w:space="0" w:color="auto"/>
                    <w:bottom w:val="none" w:sz="0" w:space="0" w:color="auto"/>
                    <w:right w:val="none" w:sz="0" w:space="0" w:color="auto"/>
                  </w:divBdr>
                  <w:divsChild>
                    <w:div w:id="1825734430">
                      <w:marLeft w:val="0"/>
                      <w:marRight w:val="0"/>
                      <w:marTop w:val="0"/>
                      <w:marBottom w:val="0"/>
                      <w:divBdr>
                        <w:top w:val="none" w:sz="0" w:space="0" w:color="auto"/>
                        <w:left w:val="none" w:sz="0" w:space="0" w:color="auto"/>
                        <w:bottom w:val="none" w:sz="0" w:space="0" w:color="auto"/>
                        <w:right w:val="none" w:sz="0" w:space="0" w:color="auto"/>
                      </w:divBdr>
                    </w:div>
                  </w:divsChild>
                </w:div>
                <w:div w:id="1290479026">
                  <w:marLeft w:val="0"/>
                  <w:marRight w:val="0"/>
                  <w:marTop w:val="0"/>
                  <w:marBottom w:val="0"/>
                  <w:divBdr>
                    <w:top w:val="none" w:sz="0" w:space="0" w:color="auto"/>
                    <w:left w:val="none" w:sz="0" w:space="0" w:color="auto"/>
                    <w:bottom w:val="none" w:sz="0" w:space="0" w:color="auto"/>
                    <w:right w:val="none" w:sz="0" w:space="0" w:color="auto"/>
                  </w:divBdr>
                  <w:divsChild>
                    <w:div w:id="951470978">
                      <w:marLeft w:val="0"/>
                      <w:marRight w:val="0"/>
                      <w:marTop w:val="0"/>
                      <w:marBottom w:val="0"/>
                      <w:divBdr>
                        <w:top w:val="none" w:sz="0" w:space="0" w:color="auto"/>
                        <w:left w:val="none" w:sz="0" w:space="0" w:color="auto"/>
                        <w:bottom w:val="none" w:sz="0" w:space="0" w:color="auto"/>
                        <w:right w:val="none" w:sz="0" w:space="0" w:color="auto"/>
                      </w:divBdr>
                    </w:div>
                  </w:divsChild>
                </w:div>
                <w:div w:id="1358627653">
                  <w:marLeft w:val="0"/>
                  <w:marRight w:val="0"/>
                  <w:marTop w:val="0"/>
                  <w:marBottom w:val="0"/>
                  <w:divBdr>
                    <w:top w:val="none" w:sz="0" w:space="0" w:color="auto"/>
                    <w:left w:val="none" w:sz="0" w:space="0" w:color="auto"/>
                    <w:bottom w:val="none" w:sz="0" w:space="0" w:color="auto"/>
                    <w:right w:val="none" w:sz="0" w:space="0" w:color="auto"/>
                  </w:divBdr>
                  <w:divsChild>
                    <w:div w:id="740521504">
                      <w:marLeft w:val="0"/>
                      <w:marRight w:val="0"/>
                      <w:marTop w:val="0"/>
                      <w:marBottom w:val="0"/>
                      <w:divBdr>
                        <w:top w:val="none" w:sz="0" w:space="0" w:color="auto"/>
                        <w:left w:val="none" w:sz="0" w:space="0" w:color="auto"/>
                        <w:bottom w:val="none" w:sz="0" w:space="0" w:color="auto"/>
                        <w:right w:val="none" w:sz="0" w:space="0" w:color="auto"/>
                      </w:divBdr>
                    </w:div>
                  </w:divsChild>
                </w:div>
                <w:div w:id="1359626056">
                  <w:marLeft w:val="0"/>
                  <w:marRight w:val="0"/>
                  <w:marTop w:val="0"/>
                  <w:marBottom w:val="0"/>
                  <w:divBdr>
                    <w:top w:val="none" w:sz="0" w:space="0" w:color="auto"/>
                    <w:left w:val="none" w:sz="0" w:space="0" w:color="auto"/>
                    <w:bottom w:val="none" w:sz="0" w:space="0" w:color="auto"/>
                    <w:right w:val="none" w:sz="0" w:space="0" w:color="auto"/>
                  </w:divBdr>
                  <w:divsChild>
                    <w:div w:id="323093840">
                      <w:marLeft w:val="0"/>
                      <w:marRight w:val="0"/>
                      <w:marTop w:val="0"/>
                      <w:marBottom w:val="0"/>
                      <w:divBdr>
                        <w:top w:val="none" w:sz="0" w:space="0" w:color="auto"/>
                        <w:left w:val="none" w:sz="0" w:space="0" w:color="auto"/>
                        <w:bottom w:val="none" w:sz="0" w:space="0" w:color="auto"/>
                        <w:right w:val="none" w:sz="0" w:space="0" w:color="auto"/>
                      </w:divBdr>
                    </w:div>
                  </w:divsChild>
                </w:div>
                <w:div w:id="1421950190">
                  <w:marLeft w:val="0"/>
                  <w:marRight w:val="0"/>
                  <w:marTop w:val="0"/>
                  <w:marBottom w:val="0"/>
                  <w:divBdr>
                    <w:top w:val="none" w:sz="0" w:space="0" w:color="auto"/>
                    <w:left w:val="none" w:sz="0" w:space="0" w:color="auto"/>
                    <w:bottom w:val="none" w:sz="0" w:space="0" w:color="auto"/>
                    <w:right w:val="none" w:sz="0" w:space="0" w:color="auto"/>
                  </w:divBdr>
                  <w:divsChild>
                    <w:div w:id="589316059">
                      <w:marLeft w:val="0"/>
                      <w:marRight w:val="0"/>
                      <w:marTop w:val="0"/>
                      <w:marBottom w:val="0"/>
                      <w:divBdr>
                        <w:top w:val="none" w:sz="0" w:space="0" w:color="auto"/>
                        <w:left w:val="none" w:sz="0" w:space="0" w:color="auto"/>
                        <w:bottom w:val="none" w:sz="0" w:space="0" w:color="auto"/>
                        <w:right w:val="none" w:sz="0" w:space="0" w:color="auto"/>
                      </w:divBdr>
                    </w:div>
                  </w:divsChild>
                </w:div>
                <w:div w:id="1437484899">
                  <w:marLeft w:val="0"/>
                  <w:marRight w:val="0"/>
                  <w:marTop w:val="0"/>
                  <w:marBottom w:val="0"/>
                  <w:divBdr>
                    <w:top w:val="none" w:sz="0" w:space="0" w:color="auto"/>
                    <w:left w:val="none" w:sz="0" w:space="0" w:color="auto"/>
                    <w:bottom w:val="none" w:sz="0" w:space="0" w:color="auto"/>
                    <w:right w:val="none" w:sz="0" w:space="0" w:color="auto"/>
                  </w:divBdr>
                  <w:divsChild>
                    <w:div w:id="1882790589">
                      <w:marLeft w:val="0"/>
                      <w:marRight w:val="0"/>
                      <w:marTop w:val="0"/>
                      <w:marBottom w:val="0"/>
                      <w:divBdr>
                        <w:top w:val="none" w:sz="0" w:space="0" w:color="auto"/>
                        <w:left w:val="none" w:sz="0" w:space="0" w:color="auto"/>
                        <w:bottom w:val="none" w:sz="0" w:space="0" w:color="auto"/>
                        <w:right w:val="none" w:sz="0" w:space="0" w:color="auto"/>
                      </w:divBdr>
                    </w:div>
                  </w:divsChild>
                </w:div>
                <w:div w:id="1505898984">
                  <w:marLeft w:val="0"/>
                  <w:marRight w:val="0"/>
                  <w:marTop w:val="0"/>
                  <w:marBottom w:val="0"/>
                  <w:divBdr>
                    <w:top w:val="none" w:sz="0" w:space="0" w:color="auto"/>
                    <w:left w:val="none" w:sz="0" w:space="0" w:color="auto"/>
                    <w:bottom w:val="none" w:sz="0" w:space="0" w:color="auto"/>
                    <w:right w:val="none" w:sz="0" w:space="0" w:color="auto"/>
                  </w:divBdr>
                  <w:divsChild>
                    <w:div w:id="38358364">
                      <w:marLeft w:val="0"/>
                      <w:marRight w:val="0"/>
                      <w:marTop w:val="0"/>
                      <w:marBottom w:val="0"/>
                      <w:divBdr>
                        <w:top w:val="none" w:sz="0" w:space="0" w:color="auto"/>
                        <w:left w:val="none" w:sz="0" w:space="0" w:color="auto"/>
                        <w:bottom w:val="none" w:sz="0" w:space="0" w:color="auto"/>
                        <w:right w:val="none" w:sz="0" w:space="0" w:color="auto"/>
                      </w:divBdr>
                    </w:div>
                  </w:divsChild>
                </w:div>
                <w:div w:id="1548759040">
                  <w:marLeft w:val="0"/>
                  <w:marRight w:val="0"/>
                  <w:marTop w:val="0"/>
                  <w:marBottom w:val="0"/>
                  <w:divBdr>
                    <w:top w:val="none" w:sz="0" w:space="0" w:color="auto"/>
                    <w:left w:val="none" w:sz="0" w:space="0" w:color="auto"/>
                    <w:bottom w:val="none" w:sz="0" w:space="0" w:color="auto"/>
                    <w:right w:val="none" w:sz="0" w:space="0" w:color="auto"/>
                  </w:divBdr>
                  <w:divsChild>
                    <w:div w:id="117309519">
                      <w:marLeft w:val="0"/>
                      <w:marRight w:val="0"/>
                      <w:marTop w:val="0"/>
                      <w:marBottom w:val="0"/>
                      <w:divBdr>
                        <w:top w:val="none" w:sz="0" w:space="0" w:color="auto"/>
                        <w:left w:val="none" w:sz="0" w:space="0" w:color="auto"/>
                        <w:bottom w:val="none" w:sz="0" w:space="0" w:color="auto"/>
                        <w:right w:val="none" w:sz="0" w:space="0" w:color="auto"/>
                      </w:divBdr>
                    </w:div>
                  </w:divsChild>
                </w:div>
                <w:div w:id="1619751045">
                  <w:marLeft w:val="0"/>
                  <w:marRight w:val="0"/>
                  <w:marTop w:val="0"/>
                  <w:marBottom w:val="0"/>
                  <w:divBdr>
                    <w:top w:val="none" w:sz="0" w:space="0" w:color="auto"/>
                    <w:left w:val="none" w:sz="0" w:space="0" w:color="auto"/>
                    <w:bottom w:val="none" w:sz="0" w:space="0" w:color="auto"/>
                    <w:right w:val="none" w:sz="0" w:space="0" w:color="auto"/>
                  </w:divBdr>
                  <w:divsChild>
                    <w:div w:id="807749316">
                      <w:marLeft w:val="0"/>
                      <w:marRight w:val="0"/>
                      <w:marTop w:val="0"/>
                      <w:marBottom w:val="0"/>
                      <w:divBdr>
                        <w:top w:val="none" w:sz="0" w:space="0" w:color="auto"/>
                        <w:left w:val="none" w:sz="0" w:space="0" w:color="auto"/>
                        <w:bottom w:val="none" w:sz="0" w:space="0" w:color="auto"/>
                        <w:right w:val="none" w:sz="0" w:space="0" w:color="auto"/>
                      </w:divBdr>
                    </w:div>
                  </w:divsChild>
                </w:div>
                <w:div w:id="1632243738">
                  <w:marLeft w:val="0"/>
                  <w:marRight w:val="0"/>
                  <w:marTop w:val="0"/>
                  <w:marBottom w:val="0"/>
                  <w:divBdr>
                    <w:top w:val="none" w:sz="0" w:space="0" w:color="auto"/>
                    <w:left w:val="none" w:sz="0" w:space="0" w:color="auto"/>
                    <w:bottom w:val="none" w:sz="0" w:space="0" w:color="auto"/>
                    <w:right w:val="none" w:sz="0" w:space="0" w:color="auto"/>
                  </w:divBdr>
                  <w:divsChild>
                    <w:div w:id="1000081287">
                      <w:marLeft w:val="0"/>
                      <w:marRight w:val="0"/>
                      <w:marTop w:val="0"/>
                      <w:marBottom w:val="0"/>
                      <w:divBdr>
                        <w:top w:val="none" w:sz="0" w:space="0" w:color="auto"/>
                        <w:left w:val="none" w:sz="0" w:space="0" w:color="auto"/>
                        <w:bottom w:val="none" w:sz="0" w:space="0" w:color="auto"/>
                        <w:right w:val="none" w:sz="0" w:space="0" w:color="auto"/>
                      </w:divBdr>
                    </w:div>
                  </w:divsChild>
                </w:div>
                <w:div w:id="1644239429">
                  <w:marLeft w:val="0"/>
                  <w:marRight w:val="0"/>
                  <w:marTop w:val="0"/>
                  <w:marBottom w:val="0"/>
                  <w:divBdr>
                    <w:top w:val="none" w:sz="0" w:space="0" w:color="auto"/>
                    <w:left w:val="none" w:sz="0" w:space="0" w:color="auto"/>
                    <w:bottom w:val="none" w:sz="0" w:space="0" w:color="auto"/>
                    <w:right w:val="none" w:sz="0" w:space="0" w:color="auto"/>
                  </w:divBdr>
                  <w:divsChild>
                    <w:div w:id="257834064">
                      <w:marLeft w:val="0"/>
                      <w:marRight w:val="0"/>
                      <w:marTop w:val="0"/>
                      <w:marBottom w:val="0"/>
                      <w:divBdr>
                        <w:top w:val="none" w:sz="0" w:space="0" w:color="auto"/>
                        <w:left w:val="none" w:sz="0" w:space="0" w:color="auto"/>
                        <w:bottom w:val="none" w:sz="0" w:space="0" w:color="auto"/>
                        <w:right w:val="none" w:sz="0" w:space="0" w:color="auto"/>
                      </w:divBdr>
                    </w:div>
                  </w:divsChild>
                </w:div>
                <w:div w:id="1674605128">
                  <w:marLeft w:val="0"/>
                  <w:marRight w:val="0"/>
                  <w:marTop w:val="0"/>
                  <w:marBottom w:val="0"/>
                  <w:divBdr>
                    <w:top w:val="none" w:sz="0" w:space="0" w:color="auto"/>
                    <w:left w:val="none" w:sz="0" w:space="0" w:color="auto"/>
                    <w:bottom w:val="none" w:sz="0" w:space="0" w:color="auto"/>
                    <w:right w:val="none" w:sz="0" w:space="0" w:color="auto"/>
                  </w:divBdr>
                  <w:divsChild>
                    <w:div w:id="1412041925">
                      <w:marLeft w:val="0"/>
                      <w:marRight w:val="0"/>
                      <w:marTop w:val="0"/>
                      <w:marBottom w:val="0"/>
                      <w:divBdr>
                        <w:top w:val="none" w:sz="0" w:space="0" w:color="auto"/>
                        <w:left w:val="none" w:sz="0" w:space="0" w:color="auto"/>
                        <w:bottom w:val="none" w:sz="0" w:space="0" w:color="auto"/>
                        <w:right w:val="none" w:sz="0" w:space="0" w:color="auto"/>
                      </w:divBdr>
                    </w:div>
                  </w:divsChild>
                </w:div>
                <w:div w:id="1676836521">
                  <w:marLeft w:val="0"/>
                  <w:marRight w:val="0"/>
                  <w:marTop w:val="0"/>
                  <w:marBottom w:val="0"/>
                  <w:divBdr>
                    <w:top w:val="none" w:sz="0" w:space="0" w:color="auto"/>
                    <w:left w:val="none" w:sz="0" w:space="0" w:color="auto"/>
                    <w:bottom w:val="none" w:sz="0" w:space="0" w:color="auto"/>
                    <w:right w:val="none" w:sz="0" w:space="0" w:color="auto"/>
                  </w:divBdr>
                  <w:divsChild>
                    <w:div w:id="1360856013">
                      <w:marLeft w:val="0"/>
                      <w:marRight w:val="0"/>
                      <w:marTop w:val="0"/>
                      <w:marBottom w:val="0"/>
                      <w:divBdr>
                        <w:top w:val="none" w:sz="0" w:space="0" w:color="auto"/>
                        <w:left w:val="none" w:sz="0" w:space="0" w:color="auto"/>
                        <w:bottom w:val="none" w:sz="0" w:space="0" w:color="auto"/>
                        <w:right w:val="none" w:sz="0" w:space="0" w:color="auto"/>
                      </w:divBdr>
                    </w:div>
                  </w:divsChild>
                </w:div>
                <w:div w:id="1702395297">
                  <w:marLeft w:val="0"/>
                  <w:marRight w:val="0"/>
                  <w:marTop w:val="0"/>
                  <w:marBottom w:val="0"/>
                  <w:divBdr>
                    <w:top w:val="none" w:sz="0" w:space="0" w:color="auto"/>
                    <w:left w:val="none" w:sz="0" w:space="0" w:color="auto"/>
                    <w:bottom w:val="none" w:sz="0" w:space="0" w:color="auto"/>
                    <w:right w:val="none" w:sz="0" w:space="0" w:color="auto"/>
                  </w:divBdr>
                  <w:divsChild>
                    <w:div w:id="285935152">
                      <w:marLeft w:val="0"/>
                      <w:marRight w:val="0"/>
                      <w:marTop w:val="0"/>
                      <w:marBottom w:val="0"/>
                      <w:divBdr>
                        <w:top w:val="none" w:sz="0" w:space="0" w:color="auto"/>
                        <w:left w:val="none" w:sz="0" w:space="0" w:color="auto"/>
                        <w:bottom w:val="none" w:sz="0" w:space="0" w:color="auto"/>
                        <w:right w:val="none" w:sz="0" w:space="0" w:color="auto"/>
                      </w:divBdr>
                    </w:div>
                  </w:divsChild>
                </w:div>
                <w:div w:id="1703944496">
                  <w:marLeft w:val="0"/>
                  <w:marRight w:val="0"/>
                  <w:marTop w:val="0"/>
                  <w:marBottom w:val="0"/>
                  <w:divBdr>
                    <w:top w:val="none" w:sz="0" w:space="0" w:color="auto"/>
                    <w:left w:val="none" w:sz="0" w:space="0" w:color="auto"/>
                    <w:bottom w:val="none" w:sz="0" w:space="0" w:color="auto"/>
                    <w:right w:val="none" w:sz="0" w:space="0" w:color="auto"/>
                  </w:divBdr>
                  <w:divsChild>
                    <w:div w:id="1693994589">
                      <w:marLeft w:val="0"/>
                      <w:marRight w:val="0"/>
                      <w:marTop w:val="0"/>
                      <w:marBottom w:val="0"/>
                      <w:divBdr>
                        <w:top w:val="none" w:sz="0" w:space="0" w:color="auto"/>
                        <w:left w:val="none" w:sz="0" w:space="0" w:color="auto"/>
                        <w:bottom w:val="none" w:sz="0" w:space="0" w:color="auto"/>
                        <w:right w:val="none" w:sz="0" w:space="0" w:color="auto"/>
                      </w:divBdr>
                    </w:div>
                  </w:divsChild>
                </w:div>
                <w:div w:id="1726877612">
                  <w:marLeft w:val="0"/>
                  <w:marRight w:val="0"/>
                  <w:marTop w:val="0"/>
                  <w:marBottom w:val="0"/>
                  <w:divBdr>
                    <w:top w:val="none" w:sz="0" w:space="0" w:color="auto"/>
                    <w:left w:val="none" w:sz="0" w:space="0" w:color="auto"/>
                    <w:bottom w:val="none" w:sz="0" w:space="0" w:color="auto"/>
                    <w:right w:val="none" w:sz="0" w:space="0" w:color="auto"/>
                  </w:divBdr>
                  <w:divsChild>
                    <w:div w:id="1308171972">
                      <w:marLeft w:val="0"/>
                      <w:marRight w:val="0"/>
                      <w:marTop w:val="0"/>
                      <w:marBottom w:val="0"/>
                      <w:divBdr>
                        <w:top w:val="none" w:sz="0" w:space="0" w:color="auto"/>
                        <w:left w:val="none" w:sz="0" w:space="0" w:color="auto"/>
                        <w:bottom w:val="none" w:sz="0" w:space="0" w:color="auto"/>
                        <w:right w:val="none" w:sz="0" w:space="0" w:color="auto"/>
                      </w:divBdr>
                    </w:div>
                  </w:divsChild>
                </w:div>
                <w:div w:id="1795175656">
                  <w:marLeft w:val="0"/>
                  <w:marRight w:val="0"/>
                  <w:marTop w:val="0"/>
                  <w:marBottom w:val="0"/>
                  <w:divBdr>
                    <w:top w:val="none" w:sz="0" w:space="0" w:color="auto"/>
                    <w:left w:val="none" w:sz="0" w:space="0" w:color="auto"/>
                    <w:bottom w:val="none" w:sz="0" w:space="0" w:color="auto"/>
                    <w:right w:val="none" w:sz="0" w:space="0" w:color="auto"/>
                  </w:divBdr>
                  <w:divsChild>
                    <w:div w:id="1162114409">
                      <w:marLeft w:val="0"/>
                      <w:marRight w:val="0"/>
                      <w:marTop w:val="0"/>
                      <w:marBottom w:val="0"/>
                      <w:divBdr>
                        <w:top w:val="none" w:sz="0" w:space="0" w:color="auto"/>
                        <w:left w:val="none" w:sz="0" w:space="0" w:color="auto"/>
                        <w:bottom w:val="none" w:sz="0" w:space="0" w:color="auto"/>
                        <w:right w:val="none" w:sz="0" w:space="0" w:color="auto"/>
                      </w:divBdr>
                    </w:div>
                  </w:divsChild>
                </w:div>
                <w:div w:id="1803229625">
                  <w:marLeft w:val="0"/>
                  <w:marRight w:val="0"/>
                  <w:marTop w:val="0"/>
                  <w:marBottom w:val="0"/>
                  <w:divBdr>
                    <w:top w:val="none" w:sz="0" w:space="0" w:color="auto"/>
                    <w:left w:val="none" w:sz="0" w:space="0" w:color="auto"/>
                    <w:bottom w:val="none" w:sz="0" w:space="0" w:color="auto"/>
                    <w:right w:val="none" w:sz="0" w:space="0" w:color="auto"/>
                  </w:divBdr>
                  <w:divsChild>
                    <w:div w:id="428241190">
                      <w:marLeft w:val="0"/>
                      <w:marRight w:val="0"/>
                      <w:marTop w:val="0"/>
                      <w:marBottom w:val="0"/>
                      <w:divBdr>
                        <w:top w:val="none" w:sz="0" w:space="0" w:color="auto"/>
                        <w:left w:val="none" w:sz="0" w:space="0" w:color="auto"/>
                        <w:bottom w:val="none" w:sz="0" w:space="0" w:color="auto"/>
                        <w:right w:val="none" w:sz="0" w:space="0" w:color="auto"/>
                      </w:divBdr>
                    </w:div>
                  </w:divsChild>
                </w:div>
                <w:div w:id="1811896473">
                  <w:marLeft w:val="0"/>
                  <w:marRight w:val="0"/>
                  <w:marTop w:val="0"/>
                  <w:marBottom w:val="0"/>
                  <w:divBdr>
                    <w:top w:val="none" w:sz="0" w:space="0" w:color="auto"/>
                    <w:left w:val="none" w:sz="0" w:space="0" w:color="auto"/>
                    <w:bottom w:val="none" w:sz="0" w:space="0" w:color="auto"/>
                    <w:right w:val="none" w:sz="0" w:space="0" w:color="auto"/>
                  </w:divBdr>
                  <w:divsChild>
                    <w:div w:id="176893277">
                      <w:marLeft w:val="0"/>
                      <w:marRight w:val="0"/>
                      <w:marTop w:val="0"/>
                      <w:marBottom w:val="0"/>
                      <w:divBdr>
                        <w:top w:val="none" w:sz="0" w:space="0" w:color="auto"/>
                        <w:left w:val="none" w:sz="0" w:space="0" w:color="auto"/>
                        <w:bottom w:val="none" w:sz="0" w:space="0" w:color="auto"/>
                        <w:right w:val="none" w:sz="0" w:space="0" w:color="auto"/>
                      </w:divBdr>
                    </w:div>
                  </w:divsChild>
                </w:div>
                <w:div w:id="1819227277">
                  <w:marLeft w:val="0"/>
                  <w:marRight w:val="0"/>
                  <w:marTop w:val="0"/>
                  <w:marBottom w:val="0"/>
                  <w:divBdr>
                    <w:top w:val="none" w:sz="0" w:space="0" w:color="auto"/>
                    <w:left w:val="none" w:sz="0" w:space="0" w:color="auto"/>
                    <w:bottom w:val="none" w:sz="0" w:space="0" w:color="auto"/>
                    <w:right w:val="none" w:sz="0" w:space="0" w:color="auto"/>
                  </w:divBdr>
                  <w:divsChild>
                    <w:div w:id="1643804336">
                      <w:marLeft w:val="0"/>
                      <w:marRight w:val="0"/>
                      <w:marTop w:val="0"/>
                      <w:marBottom w:val="0"/>
                      <w:divBdr>
                        <w:top w:val="none" w:sz="0" w:space="0" w:color="auto"/>
                        <w:left w:val="none" w:sz="0" w:space="0" w:color="auto"/>
                        <w:bottom w:val="none" w:sz="0" w:space="0" w:color="auto"/>
                        <w:right w:val="none" w:sz="0" w:space="0" w:color="auto"/>
                      </w:divBdr>
                    </w:div>
                  </w:divsChild>
                </w:div>
                <w:div w:id="1873766527">
                  <w:marLeft w:val="0"/>
                  <w:marRight w:val="0"/>
                  <w:marTop w:val="0"/>
                  <w:marBottom w:val="0"/>
                  <w:divBdr>
                    <w:top w:val="none" w:sz="0" w:space="0" w:color="auto"/>
                    <w:left w:val="none" w:sz="0" w:space="0" w:color="auto"/>
                    <w:bottom w:val="none" w:sz="0" w:space="0" w:color="auto"/>
                    <w:right w:val="none" w:sz="0" w:space="0" w:color="auto"/>
                  </w:divBdr>
                  <w:divsChild>
                    <w:div w:id="506754626">
                      <w:marLeft w:val="0"/>
                      <w:marRight w:val="0"/>
                      <w:marTop w:val="0"/>
                      <w:marBottom w:val="0"/>
                      <w:divBdr>
                        <w:top w:val="none" w:sz="0" w:space="0" w:color="auto"/>
                        <w:left w:val="none" w:sz="0" w:space="0" w:color="auto"/>
                        <w:bottom w:val="none" w:sz="0" w:space="0" w:color="auto"/>
                        <w:right w:val="none" w:sz="0" w:space="0" w:color="auto"/>
                      </w:divBdr>
                    </w:div>
                  </w:divsChild>
                </w:div>
                <w:div w:id="1894385797">
                  <w:marLeft w:val="0"/>
                  <w:marRight w:val="0"/>
                  <w:marTop w:val="0"/>
                  <w:marBottom w:val="0"/>
                  <w:divBdr>
                    <w:top w:val="none" w:sz="0" w:space="0" w:color="auto"/>
                    <w:left w:val="none" w:sz="0" w:space="0" w:color="auto"/>
                    <w:bottom w:val="none" w:sz="0" w:space="0" w:color="auto"/>
                    <w:right w:val="none" w:sz="0" w:space="0" w:color="auto"/>
                  </w:divBdr>
                  <w:divsChild>
                    <w:div w:id="872838465">
                      <w:marLeft w:val="0"/>
                      <w:marRight w:val="0"/>
                      <w:marTop w:val="0"/>
                      <w:marBottom w:val="0"/>
                      <w:divBdr>
                        <w:top w:val="none" w:sz="0" w:space="0" w:color="auto"/>
                        <w:left w:val="none" w:sz="0" w:space="0" w:color="auto"/>
                        <w:bottom w:val="none" w:sz="0" w:space="0" w:color="auto"/>
                        <w:right w:val="none" w:sz="0" w:space="0" w:color="auto"/>
                      </w:divBdr>
                    </w:div>
                  </w:divsChild>
                </w:div>
                <w:div w:id="1919711777">
                  <w:marLeft w:val="0"/>
                  <w:marRight w:val="0"/>
                  <w:marTop w:val="0"/>
                  <w:marBottom w:val="0"/>
                  <w:divBdr>
                    <w:top w:val="none" w:sz="0" w:space="0" w:color="auto"/>
                    <w:left w:val="none" w:sz="0" w:space="0" w:color="auto"/>
                    <w:bottom w:val="none" w:sz="0" w:space="0" w:color="auto"/>
                    <w:right w:val="none" w:sz="0" w:space="0" w:color="auto"/>
                  </w:divBdr>
                  <w:divsChild>
                    <w:div w:id="1625235207">
                      <w:marLeft w:val="0"/>
                      <w:marRight w:val="0"/>
                      <w:marTop w:val="0"/>
                      <w:marBottom w:val="0"/>
                      <w:divBdr>
                        <w:top w:val="none" w:sz="0" w:space="0" w:color="auto"/>
                        <w:left w:val="none" w:sz="0" w:space="0" w:color="auto"/>
                        <w:bottom w:val="none" w:sz="0" w:space="0" w:color="auto"/>
                        <w:right w:val="none" w:sz="0" w:space="0" w:color="auto"/>
                      </w:divBdr>
                    </w:div>
                  </w:divsChild>
                </w:div>
                <w:div w:id="1989245599">
                  <w:marLeft w:val="0"/>
                  <w:marRight w:val="0"/>
                  <w:marTop w:val="0"/>
                  <w:marBottom w:val="0"/>
                  <w:divBdr>
                    <w:top w:val="none" w:sz="0" w:space="0" w:color="auto"/>
                    <w:left w:val="none" w:sz="0" w:space="0" w:color="auto"/>
                    <w:bottom w:val="none" w:sz="0" w:space="0" w:color="auto"/>
                    <w:right w:val="none" w:sz="0" w:space="0" w:color="auto"/>
                  </w:divBdr>
                  <w:divsChild>
                    <w:div w:id="403798004">
                      <w:marLeft w:val="0"/>
                      <w:marRight w:val="0"/>
                      <w:marTop w:val="0"/>
                      <w:marBottom w:val="0"/>
                      <w:divBdr>
                        <w:top w:val="none" w:sz="0" w:space="0" w:color="auto"/>
                        <w:left w:val="none" w:sz="0" w:space="0" w:color="auto"/>
                        <w:bottom w:val="none" w:sz="0" w:space="0" w:color="auto"/>
                        <w:right w:val="none" w:sz="0" w:space="0" w:color="auto"/>
                      </w:divBdr>
                    </w:div>
                  </w:divsChild>
                </w:div>
                <w:div w:id="1990162161">
                  <w:marLeft w:val="0"/>
                  <w:marRight w:val="0"/>
                  <w:marTop w:val="0"/>
                  <w:marBottom w:val="0"/>
                  <w:divBdr>
                    <w:top w:val="none" w:sz="0" w:space="0" w:color="auto"/>
                    <w:left w:val="none" w:sz="0" w:space="0" w:color="auto"/>
                    <w:bottom w:val="none" w:sz="0" w:space="0" w:color="auto"/>
                    <w:right w:val="none" w:sz="0" w:space="0" w:color="auto"/>
                  </w:divBdr>
                  <w:divsChild>
                    <w:div w:id="1612781633">
                      <w:marLeft w:val="0"/>
                      <w:marRight w:val="0"/>
                      <w:marTop w:val="0"/>
                      <w:marBottom w:val="0"/>
                      <w:divBdr>
                        <w:top w:val="none" w:sz="0" w:space="0" w:color="auto"/>
                        <w:left w:val="none" w:sz="0" w:space="0" w:color="auto"/>
                        <w:bottom w:val="none" w:sz="0" w:space="0" w:color="auto"/>
                        <w:right w:val="none" w:sz="0" w:space="0" w:color="auto"/>
                      </w:divBdr>
                    </w:div>
                  </w:divsChild>
                </w:div>
                <w:div w:id="2125150900">
                  <w:marLeft w:val="0"/>
                  <w:marRight w:val="0"/>
                  <w:marTop w:val="0"/>
                  <w:marBottom w:val="0"/>
                  <w:divBdr>
                    <w:top w:val="none" w:sz="0" w:space="0" w:color="auto"/>
                    <w:left w:val="none" w:sz="0" w:space="0" w:color="auto"/>
                    <w:bottom w:val="none" w:sz="0" w:space="0" w:color="auto"/>
                    <w:right w:val="none" w:sz="0" w:space="0" w:color="auto"/>
                  </w:divBdr>
                  <w:divsChild>
                    <w:div w:id="110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82240">
      <w:bodyDiv w:val="1"/>
      <w:marLeft w:val="0"/>
      <w:marRight w:val="0"/>
      <w:marTop w:val="0"/>
      <w:marBottom w:val="0"/>
      <w:divBdr>
        <w:top w:val="none" w:sz="0" w:space="0" w:color="auto"/>
        <w:left w:val="none" w:sz="0" w:space="0" w:color="auto"/>
        <w:bottom w:val="none" w:sz="0" w:space="0" w:color="auto"/>
        <w:right w:val="none" w:sz="0" w:space="0" w:color="auto"/>
      </w:divBdr>
      <w:divsChild>
        <w:div w:id="353112706">
          <w:marLeft w:val="0"/>
          <w:marRight w:val="0"/>
          <w:marTop w:val="0"/>
          <w:marBottom w:val="0"/>
          <w:divBdr>
            <w:top w:val="none" w:sz="0" w:space="0" w:color="auto"/>
            <w:left w:val="none" w:sz="0" w:space="0" w:color="auto"/>
            <w:bottom w:val="none" w:sz="0" w:space="0" w:color="auto"/>
            <w:right w:val="none" w:sz="0" w:space="0" w:color="auto"/>
          </w:divBdr>
        </w:div>
        <w:div w:id="1540389658">
          <w:marLeft w:val="0"/>
          <w:marRight w:val="0"/>
          <w:marTop w:val="0"/>
          <w:marBottom w:val="0"/>
          <w:divBdr>
            <w:top w:val="none" w:sz="0" w:space="0" w:color="auto"/>
            <w:left w:val="none" w:sz="0" w:space="0" w:color="auto"/>
            <w:bottom w:val="none" w:sz="0" w:space="0" w:color="auto"/>
            <w:right w:val="none" w:sz="0" w:space="0" w:color="auto"/>
          </w:divBdr>
        </w:div>
        <w:div w:id="1925340154">
          <w:marLeft w:val="0"/>
          <w:marRight w:val="0"/>
          <w:marTop w:val="0"/>
          <w:marBottom w:val="0"/>
          <w:divBdr>
            <w:top w:val="none" w:sz="0" w:space="0" w:color="auto"/>
            <w:left w:val="none" w:sz="0" w:space="0" w:color="auto"/>
            <w:bottom w:val="none" w:sz="0" w:space="0" w:color="auto"/>
            <w:right w:val="none" w:sz="0" w:space="0" w:color="auto"/>
          </w:divBdr>
        </w:div>
        <w:div w:id="2053143152">
          <w:marLeft w:val="0"/>
          <w:marRight w:val="0"/>
          <w:marTop w:val="0"/>
          <w:marBottom w:val="0"/>
          <w:divBdr>
            <w:top w:val="none" w:sz="0" w:space="0" w:color="auto"/>
            <w:left w:val="none" w:sz="0" w:space="0" w:color="auto"/>
            <w:bottom w:val="none" w:sz="0" w:space="0" w:color="auto"/>
            <w:right w:val="none" w:sz="0" w:space="0" w:color="auto"/>
          </w:divBdr>
        </w:div>
      </w:divsChild>
    </w:div>
    <w:div w:id="980963063">
      <w:bodyDiv w:val="1"/>
      <w:marLeft w:val="0"/>
      <w:marRight w:val="0"/>
      <w:marTop w:val="0"/>
      <w:marBottom w:val="0"/>
      <w:divBdr>
        <w:top w:val="none" w:sz="0" w:space="0" w:color="auto"/>
        <w:left w:val="none" w:sz="0" w:space="0" w:color="auto"/>
        <w:bottom w:val="none" w:sz="0" w:space="0" w:color="auto"/>
        <w:right w:val="none" w:sz="0" w:space="0" w:color="auto"/>
      </w:divBdr>
    </w:div>
    <w:div w:id="984166022">
      <w:bodyDiv w:val="1"/>
      <w:marLeft w:val="0"/>
      <w:marRight w:val="0"/>
      <w:marTop w:val="0"/>
      <w:marBottom w:val="0"/>
      <w:divBdr>
        <w:top w:val="none" w:sz="0" w:space="0" w:color="auto"/>
        <w:left w:val="none" w:sz="0" w:space="0" w:color="auto"/>
        <w:bottom w:val="none" w:sz="0" w:space="0" w:color="auto"/>
        <w:right w:val="none" w:sz="0" w:space="0" w:color="auto"/>
      </w:divBdr>
    </w:div>
    <w:div w:id="1029572044">
      <w:bodyDiv w:val="1"/>
      <w:marLeft w:val="0"/>
      <w:marRight w:val="0"/>
      <w:marTop w:val="0"/>
      <w:marBottom w:val="0"/>
      <w:divBdr>
        <w:top w:val="none" w:sz="0" w:space="0" w:color="auto"/>
        <w:left w:val="none" w:sz="0" w:space="0" w:color="auto"/>
        <w:bottom w:val="none" w:sz="0" w:space="0" w:color="auto"/>
        <w:right w:val="none" w:sz="0" w:space="0" w:color="auto"/>
      </w:divBdr>
      <w:divsChild>
        <w:div w:id="9374531">
          <w:marLeft w:val="0"/>
          <w:marRight w:val="0"/>
          <w:marTop w:val="0"/>
          <w:marBottom w:val="0"/>
          <w:divBdr>
            <w:top w:val="none" w:sz="0" w:space="0" w:color="auto"/>
            <w:left w:val="none" w:sz="0" w:space="0" w:color="auto"/>
            <w:bottom w:val="none" w:sz="0" w:space="0" w:color="auto"/>
            <w:right w:val="none" w:sz="0" w:space="0" w:color="auto"/>
          </w:divBdr>
        </w:div>
        <w:div w:id="658920993">
          <w:marLeft w:val="0"/>
          <w:marRight w:val="0"/>
          <w:marTop w:val="0"/>
          <w:marBottom w:val="0"/>
          <w:divBdr>
            <w:top w:val="none" w:sz="0" w:space="0" w:color="auto"/>
            <w:left w:val="none" w:sz="0" w:space="0" w:color="auto"/>
            <w:bottom w:val="none" w:sz="0" w:space="0" w:color="auto"/>
            <w:right w:val="none" w:sz="0" w:space="0" w:color="auto"/>
          </w:divBdr>
        </w:div>
        <w:div w:id="963539037">
          <w:marLeft w:val="0"/>
          <w:marRight w:val="0"/>
          <w:marTop w:val="0"/>
          <w:marBottom w:val="0"/>
          <w:divBdr>
            <w:top w:val="none" w:sz="0" w:space="0" w:color="auto"/>
            <w:left w:val="none" w:sz="0" w:space="0" w:color="auto"/>
            <w:bottom w:val="none" w:sz="0" w:space="0" w:color="auto"/>
            <w:right w:val="none" w:sz="0" w:space="0" w:color="auto"/>
          </w:divBdr>
        </w:div>
        <w:div w:id="1769766461">
          <w:marLeft w:val="0"/>
          <w:marRight w:val="0"/>
          <w:marTop w:val="0"/>
          <w:marBottom w:val="0"/>
          <w:divBdr>
            <w:top w:val="none" w:sz="0" w:space="0" w:color="auto"/>
            <w:left w:val="none" w:sz="0" w:space="0" w:color="auto"/>
            <w:bottom w:val="none" w:sz="0" w:space="0" w:color="auto"/>
            <w:right w:val="none" w:sz="0" w:space="0" w:color="auto"/>
          </w:divBdr>
        </w:div>
      </w:divsChild>
    </w:div>
    <w:div w:id="1197767125">
      <w:bodyDiv w:val="1"/>
      <w:marLeft w:val="0"/>
      <w:marRight w:val="0"/>
      <w:marTop w:val="0"/>
      <w:marBottom w:val="0"/>
      <w:divBdr>
        <w:top w:val="none" w:sz="0" w:space="0" w:color="auto"/>
        <w:left w:val="none" w:sz="0" w:space="0" w:color="auto"/>
        <w:bottom w:val="none" w:sz="0" w:space="0" w:color="auto"/>
        <w:right w:val="none" w:sz="0" w:space="0" w:color="auto"/>
      </w:divBdr>
    </w:div>
    <w:div w:id="1268388351">
      <w:bodyDiv w:val="1"/>
      <w:marLeft w:val="0"/>
      <w:marRight w:val="0"/>
      <w:marTop w:val="0"/>
      <w:marBottom w:val="0"/>
      <w:divBdr>
        <w:top w:val="none" w:sz="0" w:space="0" w:color="auto"/>
        <w:left w:val="none" w:sz="0" w:space="0" w:color="auto"/>
        <w:bottom w:val="none" w:sz="0" w:space="0" w:color="auto"/>
        <w:right w:val="none" w:sz="0" w:space="0" w:color="auto"/>
      </w:divBdr>
    </w:div>
    <w:div w:id="1334870003">
      <w:bodyDiv w:val="1"/>
      <w:marLeft w:val="0"/>
      <w:marRight w:val="0"/>
      <w:marTop w:val="0"/>
      <w:marBottom w:val="0"/>
      <w:divBdr>
        <w:top w:val="none" w:sz="0" w:space="0" w:color="auto"/>
        <w:left w:val="none" w:sz="0" w:space="0" w:color="auto"/>
        <w:bottom w:val="none" w:sz="0" w:space="0" w:color="auto"/>
        <w:right w:val="none" w:sz="0" w:space="0" w:color="auto"/>
      </w:divBdr>
    </w:div>
    <w:div w:id="1390759706">
      <w:bodyDiv w:val="1"/>
      <w:marLeft w:val="0"/>
      <w:marRight w:val="0"/>
      <w:marTop w:val="0"/>
      <w:marBottom w:val="0"/>
      <w:divBdr>
        <w:top w:val="none" w:sz="0" w:space="0" w:color="auto"/>
        <w:left w:val="none" w:sz="0" w:space="0" w:color="auto"/>
        <w:bottom w:val="none" w:sz="0" w:space="0" w:color="auto"/>
        <w:right w:val="none" w:sz="0" w:space="0" w:color="auto"/>
      </w:divBdr>
    </w:div>
    <w:div w:id="1407266412">
      <w:bodyDiv w:val="1"/>
      <w:marLeft w:val="0"/>
      <w:marRight w:val="0"/>
      <w:marTop w:val="0"/>
      <w:marBottom w:val="0"/>
      <w:divBdr>
        <w:top w:val="none" w:sz="0" w:space="0" w:color="auto"/>
        <w:left w:val="none" w:sz="0" w:space="0" w:color="auto"/>
        <w:bottom w:val="none" w:sz="0" w:space="0" w:color="auto"/>
        <w:right w:val="none" w:sz="0" w:space="0" w:color="auto"/>
      </w:divBdr>
      <w:divsChild>
        <w:div w:id="1568414067">
          <w:marLeft w:val="0"/>
          <w:marRight w:val="0"/>
          <w:marTop w:val="0"/>
          <w:marBottom w:val="0"/>
          <w:divBdr>
            <w:top w:val="none" w:sz="0" w:space="0" w:color="auto"/>
            <w:left w:val="none" w:sz="0" w:space="0" w:color="auto"/>
            <w:bottom w:val="none" w:sz="0" w:space="0" w:color="auto"/>
            <w:right w:val="none" w:sz="0" w:space="0" w:color="auto"/>
          </w:divBdr>
        </w:div>
      </w:divsChild>
    </w:div>
    <w:div w:id="1841968205">
      <w:bodyDiv w:val="1"/>
      <w:marLeft w:val="0"/>
      <w:marRight w:val="0"/>
      <w:marTop w:val="0"/>
      <w:marBottom w:val="0"/>
      <w:divBdr>
        <w:top w:val="none" w:sz="0" w:space="0" w:color="auto"/>
        <w:left w:val="none" w:sz="0" w:space="0" w:color="auto"/>
        <w:bottom w:val="none" w:sz="0" w:space="0" w:color="auto"/>
        <w:right w:val="none" w:sz="0" w:space="0" w:color="auto"/>
      </w:divBdr>
    </w:div>
    <w:div w:id="1842890284">
      <w:bodyDiv w:val="1"/>
      <w:marLeft w:val="0"/>
      <w:marRight w:val="0"/>
      <w:marTop w:val="0"/>
      <w:marBottom w:val="0"/>
      <w:divBdr>
        <w:top w:val="none" w:sz="0" w:space="0" w:color="auto"/>
        <w:left w:val="none" w:sz="0" w:space="0" w:color="auto"/>
        <w:bottom w:val="none" w:sz="0" w:space="0" w:color="auto"/>
        <w:right w:val="none" w:sz="0" w:space="0" w:color="auto"/>
      </w:divBdr>
    </w:div>
    <w:div w:id="1900096050">
      <w:bodyDiv w:val="1"/>
      <w:marLeft w:val="0"/>
      <w:marRight w:val="0"/>
      <w:marTop w:val="0"/>
      <w:marBottom w:val="0"/>
      <w:divBdr>
        <w:top w:val="none" w:sz="0" w:space="0" w:color="auto"/>
        <w:left w:val="none" w:sz="0" w:space="0" w:color="auto"/>
        <w:bottom w:val="none" w:sz="0" w:space="0" w:color="auto"/>
        <w:right w:val="none" w:sz="0" w:space="0" w:color="auto"/>
      </w:divBdr>
    </w:div>
    <w:div w:id="1909994584">
      <w:bodyDiv w:val="1"/>
      <w:marLeft w:val="0"/>
      <w:marRight w:val="0"/>
      <w:marTop w:val="0"/>
      <w:marBottom w:val="0"/>
      <w:divBdr>
        <w:top w:val="none" w:sz="0" w:space="0" w:color="auto"/>
        <w:left w:val="none" w:sz="0" w:space="0" w:color="auto"/>
        <w:bottom w:val="none" w:sz="0" w:space="0" w:color="auto"/>
        <w:right w:val="none" w:sz="0" w:space="0" w:color="auto"/>
      </w:divBdr>
    </w:div>
    <w:div w:id="19915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0.xml"/><Relationship Id="rId21" Type="http://schemas.openxmlformats.org/officeDocument/2006/relationships/footer" Target="footer5.xml"/><Relationship Id="rId34" Type="http://schemas.openxmlformats.org/officeDocument/2006/relationships/chart" Target="charts/chart4.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chart" Target="charts/chart3.xml"/><Relationship Id="rId38" Type="http://schemas.openxmlformats.org/officeDocument/2006/relationships/hyperlink" Target="https://euc-word-edit.officeapps.live.com/we/wordeditorframe.aspx?ui=en-US&amp;rs=en-IE&amp;wopisrc=https%3A%2F%2Feceuropaeu.sharepoint.com%2Fteams%2FGRP-PRO-DG-CLIMA-Unit-B1%2F_vti_bin%2Fwopi.ashx%2Ffiles%2Facc4252787a84dbdab8548746684a965&amp;wdenableroaming=1&amp;mscc=1&amp;hid=8C06B9A1-6023-0000-00D3-045EC802F0CC.0&amp;uih=sharepointcom&amp;wdlcid=en-US&amp;jsapi=1&amp;jsapiver=v2&amp;corrid=3bc90275-cdf3-3b1b-1a72-07f85bc349f0&amp;usid=3bc90275-cdf3-3b1b-1a72-07f85bc349f0&amp;newsession=1&amp;sftc=1&amp;uihit=docaspx&amp;muv=1&amp;ats=PairwiseBroker&amp;cac=1&amp;sams=1&amp;mtf=1&amp;sfp=1&amp;sdp=1&amp;hch=1&amp;hwfh=1&amp;dchat=1&amp;sc=%7B%22pmo%22%3A%22https%3A%2F%2Feceuropaeu.sharepoint.com%22%2C%22pmshare%22%3Atrue%7D&amp;ctp=LeastProtected&amp;rct=Normal&amp;wdorigin=ItemsView&amp;wdhostclicktime=1754464512569&amp;afdflight=82&amp;csiro=1&amp;instantedit=1&amp;wopicomplete=1&amp;wdredirectionreason=Unified_SingleFlush" TargetMode="External"/><Relationship Id="rId46" Type="http://schemas.openxmlformats.org/officeDocument/2006/relationships/header" Target="header14.xml"/><Relationship Id="rId59"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0.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xml"/><Relationship Id="rId32" Type="http://schemas.openxmlformats.org/officeDocument/2006/relationships/chart" Target="charts/chart2.xml"/><Relationship Id="rId37" Type="http://schemas.openxmlformats.org/officeDocument/2006/relationships/image" Target="media/image5.emf"/><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oter" Target="footer16.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4.emf"/><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3.emf"/><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eli/reg/2023/435/oj" TargetMode="External"/><Relationship Id="rId18" Type="http://schemas.openxmlformats.org/officeDocument/2006/relationships/hyperlink" Target="https://eur-lex.europa.eu/eli/reg_impl/2021/447" TargetMode="External"/><Relationship Id="rId26" Type="http://schemas.openxmlformats.org/officeDocument/2006/relationships/hyperlink" Target="https://eur-lex.europa.eu/legal-content/LT/TXT/?uri=celex%3A32014L0065" TargetMode="External"/><Relationship Id="rId39" Type="http://schemas.openxmlformats.org/officeDocument/2006/relationships/hyperlink" Target="https://eur-lex.europa.eu/legal-content/LT/TXT/?uri=CELEX%3A02014L0065-20240328" TargetMode="External"/><Relationship Id="rId21" Type="http://schemas.openxmlformats.org/officeDocument/2006/relationships/hyperlink" Target="https://ec.europa.eu/commission/presscorner/detail/lt/ip_25_1563" TargetMode="External"/><Relationship Id="rId34" Type="http://schemas.openxmlformats.org/officeDocument/2006/relationships/hyperlink" Target="https://www.esma.europa.eu/document/market-report-eu-carbon-markets-2025" TargetMode="External"/><Relationship Id="rId42" Type="http://schemas.openxmlformats.org/officeDocument/2006/relationships/hyperlink" Target="https://eur-lex.europa.eu/legal-content/LT/TXT/?uri=CELEX%3A02014R0600-20240328" TargetMode="External"/><Relationship Id="rId47" Type="http://schemas.openxmlformats.org/officeDocument/2006/relationships/hyperlink" Target="https://ec.europa.eu/eurostat/databrowser/view/nrg_cb_pem__custom_17401908/default/table?lang=en" TargetMode="External"/><Relationship Id="rId50" Type="http://schemas.openxmlformats.org/officeDocument/2006/relationships/hyperlink" Target="https://reportnet.europa.eu/public/dataflow/1527" TargetMode="External"/><Relationship Id="rId55" Type="http://schemas.openxmlformats.org/officeDocument/2006/relationships/hyperlink" Target="https://www.eib.org/en/products/mandates-partnerships/innovation-fund/index.htm" TargetMode="External"/><Relationship Id="rId63" Type="http://schemas.openxmlformats.org/officeDocument/2006/relationships/hyperlink" Target="https://eur-lex.europa.eu/legal-content/LT/TXT/?uri=CELEX%3A32023L0958" TargetMode="External"/><Relationship Id="rId68" Type="http://schemas.openxmlformats.org/officeDocument/2006/relationships/hyperlink" Target="https://eur-lex.europa.eu/legal-content/LT/TXT/?uri=celex%3A32023D0136" TargetMode="External"/><Relationship Id="rId76" Type="http://schemas.openxmlformats.org/officeDocument/2006/relationships/hyperlink" Target="https://eur-lex.europa.eu/eli/C/2025/2934/oj" TargetMode="External"/><Relationship Id="rId84" Type="http://schemas.openxmlformats.org/officeDocument/2006/relationships/hyperlink" Target="http://data.europa.eu/eli/reg_impl/2025/1192/oj" TargetMode="External"/><Relationship Id="rId89" Type="http://schemas.openxmlformats.org/officeDocument/2006/relationships/hyperlink" Target="https://eur-lex.europa.eu/legal-content/LT/TXT/?uri=OJ%3AJOL_2023_231_R_0001&amp;qid=1695186598766" TargetMode="External"/><Relationship Id="rId7" Type="http://schemas.openxmlformats.org/officeDocument/2006/relationships/hyperlink" Target="https://employment-social-affairs.ec.europa.eu/document/7f23666f-5556-455a-b0f5-4c150994ce10_en?prefLang=lt" TargetMode="External"/><Relationship Id="rId71" Type="http://schemas.openxmlformats.org/officeDocument/2006/relationships/hyperlink" Target="https://eur-lex.europa.eu/legal-content/LT/TXT/?uri=CELEX%3A32024R1879&amp;qid=1722504757152" TargetMode="External"/><Relationship Id="rId92" Type="http://schemas.openxmlformats.org/officeDocument/2006/relationships/hyperlink" Target="https://eur-lex.europa.eu/legal-content/LT/TXT/?uri=CELEX%3A52025SC0140&amp;qid=1749139215310" TargetMode="External"/><Relationship Id="rId2" Type="http://schemas.openxmlformats.org/officeDocument/2006/relationships/hyperlink" Target="https://commission.europa.eu/business-economy-euro/economic-recovery/recovery-and-resilience-facility_lt" TargetMode="External"/><Relationship Id="rId16" Type="http://schemas.openxmlformats.org/officeDocument/2006/relationships/hyperlink" Target="https://climate.ec.europa.eu/news-other-reads/news/notification-germany-voluntary-cancellation-plants-closed-2022-2024-05-02_en?prefLang=lt" TargetMode="External"/><Relationship Id="rId29" Type="http://schemas.openxmlformats.org/officeDocument/2006/relationships/hyperlink" Target="https://eur-lex.europa.eu/legal-content/LT/TXT/?uri=CELEX%3A32014R0596" TargetMode="External"/><Relationship Id="rId11" Type="http://schemas.openxmlformats.org/officeDocument/2006/relationships/hyperlink" Target="https://eur-lex.europa.eu/eli/reg_del/2023/2830/oj" TargetMode="External"/><Relationship Id="rId24" Type="http://schemas.openxmlformats.org/officeDocument/2006/relationships/hyperlink" Target="https://eur-lex.europa.eu/legal-content/LT/TXT/?uri=CELEX%3A52025XC03180&amp;qid=1753262885801" TargetMode="External"/><Relationship Id="rId32" Type="http://schemas.openxmlformats.org/officeDocument/2006/relationships/hyperlink" Target="https://www.esma.europa.eu/document/market-report-eu-carbon-markets-2024" TargetMode="External"/><Relationship Id="rId37" Type="http://schemas.openxmlformats.org/officeDocument/2006/relationships/hyperlink" Target="https://eur-lex.europa.eu/legal-content/LT/TXT/?uri=OJ:L_202400790" TargetMode="External"/><Relationship Id="rId40" Type="http://schemas.openxmlformats.org/officeDocument/2006/relationships/hyperlink" Target="https://eur-lex.europa.eu/legal-content/LT/TXT/?uri=OJ:L_202400791" TargetMode="External"/><Relationship Id="rId45" Type="http://schemas.openxmlformats.org/officeDocument/2006/relationships/hyperlink" Target="https://finance.ec.europa.eu/regulation-and-supervision/consultations-0/targeted-consultation-review-functioning-commodity-derivatives-markets-and-certain-aspects-relating_en?prefLang=lt" TargetMode="External"/><Relationship Id="rId53" Type="http://schemas.openxmlformats.org/officeDocument/2006/relationships/hyperlink" Target="https://op.europa.eu/lt/publication-detail/-/publication/2b19a4df-5e0a-11f0-a9d0-01aa75ed71a1" TargetMode="External"/><Relationship Id="rId58" Type="http://schemas.openxmlformats.org/officeDocument/2006/relationships/hyperlink" Target="https://climate.ec.europa.eu/document/download/dd3c417c-fc64-4e25-82c0-49af24383334_en?filename=c_2024_4190_en.pdf" TargetMode="External"/><Relationship Id="rId66" Type="http://schemas.openxmlformats.org/officeDocument/2006/relationships/hyperlink" Target="https://www.icao.int/environmental-protection/CORSIA/Pages/CCR.aspx" TargetMode="External"/><Relationship Id="rId74" Type="http://schemas.openxmlformats.org/officeDocument/2006/relationships/hyperlink" Target="https://eur-lex.europa.eu/eli/reg_del/2025/723/oj/lit" TargetMode="External"/><Relationship Id="rId79" Type="http://schemas.openxmlformats.org/officeDocument/2006/relationships/hyperlink" Target="http://data.europa.eu/eli/C/2025/5004/oj" TargetMode="External"/><Relationship Id="rId87" Type="http://schemas.openxmlformats.org/officeDocument/2006/relationships/hyperlink" Target="https://climate.ec.europa.eu/eu-action/carbon-markets/ets2-buildings-road-transport-and-additional-sectors_en?prefLang=lt" TargetMode="External"/><Relationship Id="rId5" Type="http://schemas.openxmlformats.org/officeDocument/2006/relationships/hyperlink" Target="https://eur-lex.europa.eu/legal-content/LT/TXT/?uri=CELEX:32018R0842" TargetMode="External"/><Relationship Id="rId61" Type="http://schemas.openxmlformats.org/officeDocument/2006/relationships/hyperlink" Target="https://eur-lex.europa.eu/eli/dec/2013/377(1)/oj/lit" TargetMode="External"/><Relationship Id="rId82" Type="http://schemas.openxmlformats.org/officeDocument/2006/relationships/hyperlink" Target="https://eur-lex.europa.eu/legal-content/LT/TXT/?uri=CELEX:02018R2067-20250622" TargetMode="External"/><Relationship Id="rId90" Type="http://schemas.openxmlformats.org/officeDocument/2006/relationships/hyperlink" Target="https://eur-lex.europa.eu/legal-content/LT/TXT/?uri=OJ%3AJOL_2023_231_R_0001&amp;qid=1695186598766" TargetMode="External"/><Relationship Id="rId95" Type="http://schemas.openxmlformats.org/officeDocument/2006/relationships/hyperlink" Target="https://climate.ec.europa.eu/eu-action/climate-strategies-targets/progress-climate-action/eu-climate-action-progress-report-2025_en?prefLang=lt" TargetMode="External"/><Relationship Id="rId19" Type="http://schemas.openxmlformats.org/officeDocument/2006/relationships/hyperlink" Target="https://eur-lex.europa.eu/legal-content/LT/TXT/?uri=CELEX:32019R1842" TargetMode="External"/><Relationship Id="rId14" Type="http://schemas.openxmlformats.org/officeDocument/2006/relationships/hyperlink" Target="https://www.eex.com/en/market-data/market-data-hub/environmentals/eu-ets-auctions" TargetMode="External"/><Relationship Id="rId22" Type="http://schemas.openxmlformats.org/officeDocument/2006/relationships/hyperlink" Target="https://eur-lex.europa.eu/legal-content/LT/TXT/?uri=CELEX%3A52025DC0378" TargetMode="External"/><Relationship Id="rId27" Type="http://schemas.openxmlformats.org/officeDocument/2006/relationships/hyperlink" Target="https://eur-lex.europa.eu/legal-content/LT/TXT/?uri=CELEX%3A02014L0065-20240328" TargetMode="External"/><Relationship Id="rId30" Type="http://schemas.openxmlformats.org/officeDocument/2006/relationships/hyperlink" Target="https://eur-lex.europa.eu/legal-content/LT/TXT/?uri=CELEX%3A02014R0596-20240109" TargetMode="External"/><Relationship Id="rId35" Type="http://schemas.openxmlformats.org/officeDocument/2006/relationships/hyperlink" Target="https://eur-lex.europa.eu/legal-content/LT/TXT/?uri=CELEX:32019R1122" TargetMode="External"/><Relationship Id="rId43" Type="http://schemas.openxmlformats.org/officeDocument/2006/relationships/hyperlink" Target="https://eur-lex.europa.eu/eli/reg/2012/648/oj/lit" TargetMode="External"/><Relationship Id="rId48" Type="http://schemas.openxmlformats.org/officeDocument/2006/relationships/hyperlink" Target="https://ec.europa.eu/eurostat/web/products-euro-indicators/w/4-13022025-ap" TargetMode="External"/><Relationship Id="rId56" Type="http://schemas.openxmlformats.org/officeDocument/2006/relationships/hyperlink" Target="https://eur-lex.europa.eu/eli/reg/2024/795/oj" TargetMode="External"/><Relationship Id="rId64" Type="http://schemas.openxmlformats.org/officeDocument/2006/relationships/hyperlink" Target="https://www.bafu.admin.ch/bafu/en/home/topics/climate/info-specialists/reduction-measures/ets/aviation.html" TargetMode="External"/><Relationship Id="rId69" Type="http://schemas.openxmlformats.org/officeDocument/2006/relationships/hyperlink" Target="http://data.europa.eu/eli/reg_impl/2025/1500/oj" TargetMode="External"/><Relationship Id="rId77" Type="http://schemas.openxmlformats.org/officeDocument/2006/relationships/hyperlink" Target="http://data.europa.eu/eli/C/2025/2934/oj" TargetMode="External"/><Relationship Id="rId8" Type="http://schemas.openxmlformats.org/officeDocument/2006/relationships/hyperlink" Target="https://eur-lex.europa.eu/legal-content/LT/TXT/?uri=CELEX:32023D1575" TargetMode="External"/><Relationship Id="rId51" Type="http://schemas.openxmlformats.org/officeDocument/2006/relationships/hyperlink" Target="https://ec.europa.eu/info/law/better-regulation/have-your-say/initiatives/14801-Technical-updates-of-the-Emissions-Trading-Scheme-ETS-State-aid-guidelines_lt" TargetMode="External"/><Relationship Id="rId72" Type="http://schemas.openxmlformats.org/officeDocument/2006/relationships/hyperlink" Target="http://data.europa.eu/eli/reg_impl/2024/1879/oj" TargetMode="External"/><Relationship Id="rId80" Type="http://schemas.openxmlformats.org/officeDocument/2006/relationships/hyperlink" Target="https://eur-lex.europa.eu/legal-content/LT/TXT/?uri=CELEX:32015R0757" TargetMode="External"/><Relationship Id="rId85" Type="http://schemas.openxmlformats.org/officeDocument/2006/relationships/hyperlink" Target="https://climate.ec.europa.eu/eu-action/carbon-markets/eu-emissions-trading-system-eu-ets/monitoring-reporting-and-verification_en?prefLang=lt" TargetMode="External"/><Relationship Id="rId93" Type="http://schemas.openxmlformats.org/officeDocument/2006/relationships/hyperlink" Target="https://commission.europa.eu/publications/commission-assessment-final-updated-national-energy-and-climate-plan-estonia_en?prefLang=lt" TargetMode="External"/><Relationship Id="rId3" Type="http://schemas.openxmlformats.org/officeDocument/2006/relationships/hyperlink" Target="https://commission.europa.eu/topics/energy/repowereu_lt" TargetMode="External"/><Relationship Id="rId12" Type="http://schemas.openxmlformats.org/officeDocument/2006/relationships/hyperlink" Target="http://data.europa.eu/eli/reg_del/2023/2830/oj" TargetMode="External"/><Relationship Id="rId17" Type="http://schemas.openxmlformats.org/officeDocument/2006/relationships/hyperlink" Target="https://climate.ec.europa.eu/news-other-reads/news/notification-germany-voluntary-cancellation-allowances-eu-ets-plants-closed-2023-2025-05-05_en?prefLang=lt" TargetMode="External"/><Relationship Id="rId25" Type="http://schemas.openxmlformats.org/officeDocument/2006/relationships/hyperlink" Target="https://eur-lex.europa.eu/legal-content/LT/TXT/?uri=celex%3A32014L0065" TargetMode="External"/><Relationship Id="rId33" Type="http://schemas.openxmlformats.org/officeDocument/2006/relationships/hyperlink" Target="https://www.esma.europa.eu/sites/default/files/2024-10/ESMA50-43599798-10379_Carbon_markets_report_2024.pdf" TargetMode="External"/><Relationship Id="rId38" Type="http://schemas.openxmlformats.org/officeDocument/2006/relationships/hyperlink" Target="http://data.europa.eu/eli/dir/2024/790/oj" TargetMode="External"/><Relationship Id="rId46" Type="http://schemas.openxmlformats.org/officeDocument/2006/relationships/hyperlink" Target="https://eur-lex.europa.eu/legal-content/LT/TXT/?uri=CELEX%3A52025DC0079&amp;qid=1741780110418" TargetMode="External"/><Relationship Id="rId59" Type="http://schemas.openxmlformats.org/officeDocument/2006/relationships/hyperlink" Target="https://eur-lex.europa.eu/legal-content/LT/TXT/?uri=OJ%3AJOC_2022_195_R_0002" TargetMode="External"/><Relationship Id="rId67" Type="http://schemas.openxmlformats.org/officeDocument/2006/relationships/hyperlink" Target="https://eur-lex.europa.eu/legal-content/LT/TXT/?uri=celex%3A32023L0958" TargetMode="External"/><Relationship Id="rId20" Type="http://schemas.openxmlformats.org/officeDocument/2006/relationships/hyperlink" Target="https://eur-lex.europa.eu/eli/reg/2023/956/oj/lit" TargetMode="External"/><Relationship Id="rId41" Type="http://schemas.openxmlformats.org/officeDocument/2006/relationships/hyperlink" Target="http://data.europa.eu/eli/reg/2024/791/oj" TargetMode="External"/><Relationship Id="rId54" Type="http://schemas.openxmlformats.org/officeDocument/2006/relationships/hyperlink" Target="https://dashboard.tech.ec.europa.eu/qs_digit_dashboard_mt/public/sense/app/6e4815c8-1f4c-4664-b9ca-8454f77d758d/sheet/bac47ac8-b5c7-4cd1-87ad-9f8d6d238eae/state/analysis" TargetMode="External"/><Relationship Id="rId62" Type="http://schemas.openxmlformats.org/officeDocument/2006/relationships/hyperlink" Target="https://eur-lex.europa.eu/legal-content/LT/TXT/?uri=CELEX%3A32013D0377" TargetMode="External"/><Relationship Id="rId70" Type="http://schemas.openxmlformats.org/officeDocument/2006/relationships/hyperlink" Target="http://data.europa.eu/eli/reg_impl/2025/1500/oj" TargetMode="External"/><Relationship Id="rId75" Type="http://schemas.openxmlformats.org/officeDocument/2006/relationships/hyperlink" Target="http://data.europa.eu/eli/reg_del/2025/723/oj" TargetMode="External"/><Relationship Id="rId83" Type="http://schemas.openxmlformats.org/officeDocument/2006/relationships/hyperlink" Target="https://eur-lex.europa.eu/eli/reg_impl/2025/1192/oj/lit" TargetMode="External"/><Relationship Id="rId88" Type="http://schemas.openxmlformats.org/officeDocument/2006/relationships/hyperlink" Target="https://climate.ec.europa.eu/eu-action/carbon-markets/ets2-buildings-road-transport-and-additional-sectors_en?prefLang=lt" TargetMode="External"/><Relationship Id="rId91" Type="http://schemas.openxmlformats.org/officeDocument/2006/relationships/hyperlink" Target="https://eur-lex.europa.eu/legal-content/LT/TXT/?uri=CELEX%3A52025DC0274&amp;qid=1749138488640" TargetMode="External"/><Relationship Id="rId96" Type="http://schemas.openxmlformats.org/officeDocument/2006/relationships/hyperlink" Target="https://eur-lex.europa.eu/legal-content/LT/TXT/?uri=CELEX%3A22017A1207%2801%29" TargetMode="External"/><Relationship Id="rId1" Type="http://schemas.openxmlformats.org/officeDocument/2006/relationships/hyperlink" Target="https://www.eea.europa.eu/data-and-maps/dashboards/emissions-trading-viewer-1" TargetMode="External"/><Relationship Id="rId6" Type="http://schemas.openxmlformats.org/officeDocument/2006/relationships/hyperlink" Target="https://climate.ec.europa.eu/news-other-reads/news/new-study-provides-toolbox-early-decarbonisation-ets2-sectors-2025-09-09_en?prefLang=lt" TargetMode="External"/><Relationship Id="rId15" Type="http://schemas.openxmlformats.org/officeDocument/2006/relationships/hyperlink" Target="https://climate.ec.europa.eu/eu-action/carbon-markets/eu-emissions-trading-system-eu-ets/auctioning-allowances_en?prefLang=lt" TargetMode="External"/><Relationship Id="rId23" Type="http://schemas.openxmlformats.org/officeDocument/2006/relationships/hyperlink" Target="https://climate.ec.europa.eu/news-other-reads/news/market-stability-reserve-under-eu-emissions-trading-system-reduce-auction-volume-276-million-2025-05-28_en?prefLang=lt" TargetMode="External"/><Relationship Id="rId28" Type="http://schemas.openxmlformats.org/officeDocument/2006/relationships/hyperlink" Target="https://www.esma.europa.eu/sites/default/files/mar.pdf" TargetMode="External"/><Relationship Id="rId36" Type="http://schemas.openxmlformats.org/officeDocument/2006/relationships/hyperlink" Target="https://eur-lex.europa.eu/legal-content/LT/TXT/?uri=CELEX%3A02019R1122-20231230" TargetMode="External"/><Relationship Id="rId49" Type="http://schemas.openxmlformats.org/officeDocument/2006/relationships/hyperlink" Target="https://eur-lex.europa.eu/legal-content/LT/TXT/?toc=OJ:L:2018:328:TOC&amp;uri=uriserv:OJ.L_.2018.328.01.0001.01.LIT" TargetMode="External"/><Relationship Id="rId57" Type="http://schemas.openxmlformats.org/officeDocument/2006/relationships/hyperlink" Target="http://data.europa.eu/eli/reg/2024/795/oj" TargetMode="External"/><Relationship Id="rId10" Type="http://schemas.openxmlformats.org/officeDocument/2006/relationships/hyperlink" Target="http://data.europa.eu/eli/dec/2024/1797/oj" TargetMode="External"/><Relationship Id="rId31" Type="http://schemas.openxmlformats.org/officeDocument/2006/relationships/hyperlink" Target="https://www.esma.europa.eu/sites/default/files/2024-10/ESMA50-43599798-10379_Carbon_markets_report_2024.pdf" TargetMode="External"/><Relationship Id="rId44" Type="http://schemas.openxmlformats.org/officeDocument/2006/relationships/hyperlink" Target="https://eur-lex.europa.eu/legal-content/LT/TXT/?uri=CELEX%3A02012R0648-20250117" TargetMode="External"/><Relationship Id="rId52" Type="http://schemas.openxmlformats.org/officeDocument/2006/relationships/hyperlink" Target="https://www.dehst.de/SharedDocs/downloads/DE/spk/Auswertungsbericht_2023.html" TargetMode="External"/><Relationship Id="rId60" Type="http://schemas.openxmlformats.org/officeDocument/2006/relationships/hyperlink" Target="https://climate.ec.europa.eu/news-other-reads/news/executive-vice-president-sefcovic-signs-agreement-between-greece-european-investment-bank-and-2024-11-21_en?prefLang=lt" TargetMode="External"/><Relationship Id="rId65" Type="http://schemas.openxmlformats.org/officeDocument/2006/relationships/hyperlink" Target="https://www.icao.int/sites/default/files/environmental-protection/CORSIA/Documents/Background%20Information/International-RTK-rankings_2018_SIDS_LDC_LLDC.pdf" TargetMode="External"/><Relationship Id="rId73" Type="http://schemas.openxmlformats.org/officeDocument/2006/relationships/hyperlink" Target="https://climate.ec.europa.eu/news-other-reads/news/publication-2023-emissions-data-aerodrome-pairs-2025-06-19_en?prefLang=lt" TargetMode="External"/><Relationship Id="rId78" Type="http://schemas.openxmlformats.org/officeDocument/2006/relationships/hyperlink" Target="https://eur-lex.europa.eu/eli/C/2025/5004/oj/lit" TargetMode="External"/><Relationship Id="rId81" Type="http://schemas.openxmlformats.org/officeDocument/2006/relationships/hyperlink" Target="https://eur-lex.europa.eu/legal-content/LT/TXT/?toc=OJ:L:2018:334:TOC&amp;uri=uriserv:OJ.L_.2018.334.01.0094.01.LIT" TargetMode="External"/><Relationship Id="rId86" Type="http://schemas.openxmlformats.org/officeDocument/2006/relationships/hyperlink" Target="https://climate.ec.europa.eu/document/download/49772f68-3432-40c6-800c-7915b610e825_en?filename=policy_ets_ets2_gd_accreditation_verification_en.pdf" TargetMode="External"/><Relationship Id="rId94" Type="http://schemas.openxmlformats.org/officeDocument/2006/relationships/hyperlink" Target="https://commission.europa.eu/publications/commission-assessment-final-updated-national-energy-and-climate-plan-slovakia_en?prefLang=lt" TargetMode="External"/><Relationship Id="rId4" Type="http://schemas.openxmlformats.org/officeDocument/2006/relationships/hyperlink" Target="https://eur-lex.europa.eu/legal-content/LT/TXT/?uri=celex%3A32003L0087" TargetMode="External"/><Relationship Id="rId9" Type="http://schemas.openxmlformats.org/officeDocument/2006/relationships/hyperlink" Target="https://eur-lex.europa.eu/eli/dec/2024/1797/oj/li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86007217847769E-2"/>
          <c:y val="5.5527468903054607E-2"/>
          <c:w val="0.94105817755516186"/>
          <c:h val="0.85524542765487643"/>
        </c:manualLayout>
      </c:layout>
      <c:barChart>
        <c:barDir val="col"/>
        <c:grouping val="stacked"/>
        <c:varyColors val="0"/>
        <c:ser>
          <c:idx val="1"/>
          <c:order val="1"/>
          <c:tx>
            <c:strRef>
              <c:f>'[CMR 2025 - Figure 1 (use sheet Figure 1 for CMR).xlsx]Figure 1 - source data'!$C$5</c:f>
              <c:strCache>
                <c:ptCount val="1"/>
                <c:pt idx="0">
                  <c:v>cap</c:v>
                </c:pt>
              </c:strCache>
            </c:strRef>
          </c:tx>
          <c:spPr>
            <a:solidFill>
              <a:schemeClr val="accent2"/>
            </a:solidFill>
            <a:ln>
              <a:noFill/>
            </a:ln>
            <a:effectLst/>
          </c:spPr>
          <c:invertIfNegative val="0"/>
          <c:dPt>
            <c:idx val="0"/>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F10E-4F71-BF14-E3F3CB9B2779}"/>
              </c:ext>
            </c:extLst>
          </c:dPt>
          <c:dPt>
            <c:idx val="1"/>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F10E-4F71-BF14-E3F3CB9B2779}"/>
              </c:ext>
            </c:extLst>
          </c:dPt>
          <c:dPt>
            <c:idx val="2"/>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F10E-4F71-BF14-E3F3CB9B2779}"/>
              </c:ext>
            </c:extLst>
          </c:dPt>
          <c:dPt>
            <c:idx val="3"/>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F10E-4F71-BF14-E3F3CB9B2779}"/>
              </c:ext>
            </c:extLst>
          </c:dPt>
          <c:dPt>
            <c:idx val="4"/>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F10E-4F71-BF14-E3F3CB9B2779}"/>
              </c:ext>
            </c:extLst>
          </c:dPt>
          <c:dPt>
            <c:idx val="5"/>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B-F10E-4F71-BF14-E3F3CB9B2779}"/>
              </c:ext>
            </c:extLst>
          </c:dPt>
          <c:dPt>
            <c:idx val="6"/>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D-F10E-4F71-BF14-E3F3CB9B2779}"/>
              </c:ext>
            </c:extLst>
          </c:dPt>
          <c:dPt>
            <c:idx val="7"/>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F-F10E-4F71-BF14-E3F3CB9B2779}"/>
              </c:ext>
            </c:extLst>
          </c:dPt>
          <c:dPt>
            <c:idx val="8"/>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1-F10E-4F71-BF14-E3F3CB9B2779}"/>
              </c:ext>
            </c:extLst>
          </c:dPt>
          <c:dPt>
            <c:idx val="9"/>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3-F10E-4F71-BF14-E3F3CB9B2779}"/>
              </c:ext>
            </c:extLst>
          </c:dPt>
          <c:dPt>
            <c:idx val="10"/>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5-F10E-4F71-BF14-E3F3CB9B2779}"/>
              </c:ext>
            </c:extLst>
          </c:dPt>
          <c:dPt>
            <c:idx val="11"/>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7-F10E-4F71-BF14-E3F3CB9B2779}"/>
              </c:ext>
            </c:extLst>
          </c:dPt>
          <c:dPt>
            <c:idx val="12"/>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9-F10E-4F71-BF14-E3F3CB9B2779}"/>
              </c:ext>
            </c:extLst>
          </c:dPt>
          <c:dPt>
            <c:idx val="13"/>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B-F10E-4F71-BF14-E3F3CB9B2779}"/>
              </c:ext>
            </c:extLst>
          </c:dPt>
          <c:dPt>
            <c:idx val="14"/>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D-F10E-4F71-BF14-E3F3CB9B2779}"/>
              </c:ext>
            </c:extLst>
          </c:dPt>
          <c:dPt>
            <c:idx val="15"/>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F-F10E-4F71-BF14-E3F3CB9B2779}"/>
              </c:ext>
            </c:extLst>
          </c:dPt>
          <c:dPt>
            <c:idx val="16"/>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1-F10E-4F71-BF14-E3F3CB9B2779}"/>
              </c:ext>
            </c:extLst>
          </c:dPt>
          <c:dPt>
            <c:idx val="17"/>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3-F10E-4F71-BF14-E3F3CB9B2779}"/>
              </c:ext>
            </c:extLst>
          </c:dPt>
          <c:dPt>
            <c:idx val="18"/>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5-F10E-4F71-BF14-E3F3CB9B2779}"/>
              </c:ext>
            </c:extLst>
          </c:dPt>
          <c:dPt>
            <c:idx val="19"/>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7-F10E-4F71-BF14-E3F3CB9B2779}"/>
              </c:ext>
            </c:extLst>
          </c:dPt>
          <c:dPt>
            <c:idx val="20"/>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9-F10E-4F71-BF14-E3F3CB9B2779}"/>
              </c:ext>
            </c:extLst>
          </c:dPt>
          <c:dPt>
            <c:idx val="21"/>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B-F10E-4F71-BF14-E3F3CB9B2779}"/>
              </c:ext>
            </c:extLst>
          </c:dPt>
          <c:dPt>
            <c:idx val="22"/>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D-F10E-4F71-BF14-E3F3CB9B2779}"/>
              </c:ext>
            </c:extLst>
          </c:dPt>
          <c:dPt>
            <c:idx val="23"/>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F-F10E-4F71-BF14-E3F3CB9B2779}"/>
              </c:ext>
            </c:extLst>
          </c:dPt>
          <c:dPt>
            <c:idx val="24"/>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1-F10E-4F71-BF14-E3F3CB9B2779}"/>
              </c:ext>
            </c:extLst>
          </c:dPt>
          <c:dPt>
            <c:idx val="25"/>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3-F10E-4F71-BF14-E3F3CB9B2779}"/>
              </c:ext>
            </c:extLst>
          </c:dPt>
          <c:cat>
            <c:numRef>
              <c:f>'[CMR 2025 - Figure 1 (use sheet Figure 1 for CMR).xlsx]Figure 1 - source data'!$A$6:$A$31</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'[CMR 2025 - Figure 1 (use sheet Figure 1 for CMR).xlsx]Figure 1 - source data'!$H$6:$H$31</c:f>
              <c:numCache>
                <c:formatCode>_-* #,##0_-;\-* #,##0_-;_-* "-"??_-;_-@_-</c:formatCode>
                <c:ptCount val="26"/>
                <c:pt idx="0">
                  <c:v>2115</c:v>
                </c:pt>
                <c:pt idx="1">
                  <c:v>2137</c:v>
                </c:pt>
                <c:pt idx="2">
                  <c:v>2273</c:v>
                </c:pt>
                <c:pt idx="3">
                  <c:v>2278</c:v>
                </c:pt>
                <c:pt idx="4">
                  <c:v>2238</c:v>
                </c:pt>
                <c:pt idx="5">
                  <c:v>2199</c:v>
                </c:pt>
                <c:pt idx="6">
                  <c:v>2161</c:v>
                </c:pt>
                <c:pt idx="7">
                  <c:v>2123</c:v>
                </c:pt>
                <c:pt idx="8">
                  <c:v>2084</c:v>
                </c:pt>
                <c:pt idx="9">
                  <c:v>1646</c:v>
                </c:pt>
                <c:pt idx="10">
                  <c:v>1708</c:v>
                </c:pt>
                <c:pt idx="11">
                  <c:v>1770</c:v>
                </c:pt>
                <c:pt idx="12">
                  <c:v>1931</c:v>
                </c:pt>
                <c:pt idx="13">
                  <c:v>1893</c:v>
                </c:pt>
                <c:pt idx="14">
                  <c:v>1457.875278</c:v>
                </c:pt>
                <c:pt idx="15">
                  <c:v>1440.3747346666667</c:v>
                </c:pt>
                <c:pt idx="16">
                  <c:v>1240.5891939200001</c:v>
                </c:pt>
                <c:pt idx="17">
                  <c:v>1160.4592771733332</c:v>
                </c:pt>
                <c:pt idx="18">
                  <c:v>1163.3421516266667</c:v>
                </c:pt>
                <c:pt idx="19">
                  <c:v>1040.9658252232887</c:v>
                </c:pt>
                <c:pt idx="20">
                  <c:v>957.62199993991078</c:v>
                </c:pt>
                <c:pt idx="21">
                  <c:v>932.71915496531165</c:v>
                </c:pt>
                <c:pt idx="22">
                  <c:v>1032.1267654924161</c:v>
                </c:pt>
                <c:pt idx="23">
                  <c:v>946.31041564418206</c:v>
                </c:pt>
                <c:pt idx="24">
                  <c:v>860.4940657959479</c:v>
                </c:pt>
                <c:pt idx="25">
                  <c:v>773.67771594771375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4-F10E-4F71-BF14-E3F3CB9B2779}"/>
            </c:ext>
          </c:extLst>
        </c:ser>
        <c:ser>
          <c:idx val="2"/>
          <c:order val="2"/>
          <c:spPr>
            <a:solidFill>
              <a:schemeClr val="accent6">
                <a:lumMod val="40000"/>
                <a:lumOff val="60000"/>
              </a:schemeClr>
            </a:solidFill>
            <a:ln>
              <a:noFill/>
            </a:ln>
            <a:effectLst/>
          </c:spPr>
          <c:invertIfNegative val="0"/>
          <c:dPt>
            <c:idx val="16"/>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6-F10E-4F71-BF14-E3F3CB9B2779}"/>
              </c:ext>
            </c:extLst>
          </c:dPt>
          <c:dPt>
            <c:idx val="17"/>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8-F10E-4F71-BF14-E3F3CB9B2779}"/>
              </c:ext>
            </c:extLst>
          </c:dPt>
          <c:dPt>
            <c:idx val="18"/>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A-F10E-4F71-BF14-E3F3CB9B2779}"/>
              </c:ext>
            </c:extLst>
          </c:dPt>
          <c:dPt>
            <c:idx val="19"/>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C-F10E-4F71-BF14-E3F3CB9B2779}"/>
              </c:ext>
            </c:extLst>
          </c:dPt>
          <c:dPt>
            <c:idx val="20"/>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E-F10E-4F71-BF14-E3F3CB9B2779}"/>
              </c:ext>
            </c:extLst>
          </c:dPt>
          <c:dPt>
            <c:idx val="21"/>
            <c:invertIfNegative val="0"/>
            <c:bubble3D val="0"/>
            <c:spPr>
              <a:solidFill>
                <a:schemeClr val="accent5">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0-F10E-4F71-BF14-E3F3CB9B2779}"/>
              </c:ext>
            </c:extLst>
          </c:dPt>
          <c:val>
            <c:numRef>
              <c:f>'[CMR 2025 - Figure 1 (use sheet Figure 1 for CMR).xlsx]Figure 1 - source data'!$F$6:$F$31</c:f>
              <c:numCache>
                <c:formatCode>_-* #,##0_-;\-* #,##0_-;_-* "-"??_-;_-@_-</c:formatCode>
                <c:ptCount val="26"/>
                <c:pt idx="0">
                  <c:v>0</c:v>
                </c:pt>
                <c:pt idx="1">
                  <c:v>0</c:v>
                </c:pt>
                <c:pt idx="2">
                  <c:v>0</c:v>
                </c:pt>
                <c:pt idx="3">
                  <c:v>0</c:v>
                </c:pt>
                <c:pt idx="4">
                  <c:v>0</c:v>
                </c:pt>
                <c:pt idx="5">
                  <c:v>0</c:v>
                </c:pt>
                <c:pt idx="6">
                  <c:v>0</c:v>
                </c:pt>
                <c:pt idx="7">
                  <c:v>0</c:v>
                </c:pt>
                <c:pt idx="8">
                  <c:v>0</c:v>
                </c:pt>
                <c:pt idx="9">
                  <c:v>400</c:v>
                </c:pt>
                <c:pt idx="10">
                  <c:v>300</c:v>
                </c:pt>
                <c:pt idx="11">
                  <c:v>200</c:v>
                </c:pt>
                <c:pt idx="12">
                  <c:v>0</c:v>
                </c:pt>
                <c:pt idx="13">
                  <c:v>0</c:v>
                </c:pt>
                <c:pt idx="14">
                  <c:v>397.12472200000002</c:v>
                </c:pt>
                <c:pt idx="15">
                  <c:v>375.62526533333329</c:v>
                </c:pt>
                <c:pt idx="16">
                  <c:v>331.41080607999999</c:v>
                </c:pt>
                <c:pt idx="17">
                  <c:v>368.54072282666664</c:v>
                </c:pt>
                <c:pt idx="18">
                  <c:v>322.65784837333331</c:v>
                </c:pt>
                <c:pt idx="19">
                  <c:v>270.50608088000001</c:v>
                </c:pt>
                <c:pt idx="20">
                  <c:v>269.72181226666663</c:v>
                </c:pt>
                <c:pt idx="21">
                  <c:v>183.68793333333332</c:v>
                </c:pt>
                <c:pt idx="22" formatCode="General">
                  <c:v>0</c:v>
                </c:pt>
                <c:pt idx="23" formatCode="General">
                  <c:v>0</c:v>
                </c:pt>
                <c:pt idx="24" formatCode="General">
                  <c:v>0</c:v>
                </c:pt>
                <c:pt idx="25" formatCode="General">
                  <c:v>0</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1-F10E-4F71-BF14-E3F3CB9B2779}"/>
            </c:ext>
          </c:extLst>
        </c:ser>
        <c:ser>
          <c:idx val="3"/>
          <c:order val="3"/>
          <c:tx>
            <c:strRef>
              <c:f>'[CMR 2025 - Figure 1 (use sheet Figure 1 for CMR).xlsx]Figure 1 - source data'!$G$5</c:f>
              <c:strCache>
                <c:ptCount val="1"/>
                <c:pt idx="0">
                  <c:v>Maritime scope extension</c:v>
                </c:pt>
              </c:strCache>
            </c:strRef>
          </c:tx>
          <c:spPr>
            <a:solidFill>
              <a:schemeClr val="accent1">
                <a:lumMod val="75000"/>
              </a:schemeClr>
            </a:solidFill>
            <a:ln>
              <a:noFill/>
            </a:ln>
            <a:effectLst/>
          </c:spPr>
          <c:invertIfNegative val="0"/>
          <c:val>
            <c:numRef>
              <c:f>'[CMR 2025 - Figure 1 (use sheet Figure 1 for CMR).xlsx]Figure 1 - source data'!$G$6:$G$31</c:f>
              <c:numCache>
                <c:formatCode>General</c:formatCode>
                <c:ptCount val="26"/>
                <c:pt idx="19" formatCode="_-* #,##0_-;\-* #,##0_-;_-* &quot;-&quot;??_-;_-@_-">
                  <c:v>74.528093896711326</c:v>
                </c:pt>
                <c:pt idx="20" formatCode="_-* #,##0_-;\-* #,##0_-;_-* &quot;-&quot;??_-;_-@_-">
                  <c:v>70.656187793422646</c:v>
                </c:pt>
                <c:pt idx="21" formatCode="_-* #,##0_-;\-* #,##0_-;_-* &quot;-&quot;??_-;_-@_-">
                  <c:v>68.592911701355021</c:v>
                </c:pt>
                <c:pt idx="22" formatCode="_-* #,##0_-;\-* #,##0_-;_-* &quot;-&quot;??_-;_-@_-">
                  <c:v>67.873234507583845</c:v>
                </c:pt>
                <c:pt idx="23" formatCode="_-* #,##0_-;\-* #,##0_-;_-* &quot;-&quot;??_-;_-@_-">
                  <c:v>63.689584355817978</c:v>
                </c:pt>
                <c:pt idx="24" formatCode="_-* #,##0_-;\-* #,##0_-;_-* &quot;-&quot;??_-;_-@_-">
                  <c:v>59.505934204052124</c:v>
                </c:pt>
                <c:pt idx="25" formatCode="_-* #,##0_-;\-* #,##0_-;_-* &quot;-&quot;??_-;_-@_-">
                  <c:v>55.322284052286271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2-F10E-4F71-BF14-E3F3CB9B2779}"/>
            </c:ext>
          </c:extLst>
        </c:ser>
        <c:dLbls>
          <c:showLegendKey val="0"/>
          <c:showVal val="0"/>
          <c:showCatName val="0"/>
          <c:showSerName val="0"/>
          <c:showPercent val="0"/>
          <c:showBubbleSize val="0"/>
        </c:dLbls>
        <c:gapWidth val="150"/>
        <c:overlap val="100"/>
        <c:axId val="678107456"/>
        <c:axId val="678106144"/>
      </c:barChart>
      <c:lineChart>
        <c:grouping val="standard"/>
        <c:varyColors val="0"/>
        <c:ser>
          <c:idx val="0"/>
          <c:order val="0"/>
          <c:tx>
            <c:strRef>
              <c:f>'[CMR 2025 - Figure 1 (use sheet Figure 1 for CMR).xlsx]Figure 1 - source data'!$B$5</c:f>
              <c:strCache>
                <c:ptCount val="1"/>
                <c:pt idx="0">
                  <c:v>emissions</c:v>
                </c:pt>
              </c:strCache>
            </c:strRef>
          </c:tx>
          <c:spPr>
            <a:ln w="28575" cap="rnd">
              <a:solidFill>
                <a:schemeClr val="accent1"/>
              </a:solidFill>
              <a:prstDash val="sysDash"/>
              <a:round/>
            </a:ln>
            <a:effectLst/>
          </c:spPr>
          <c:marker>
            <c:symbol val="none"/>
          </c:marker>
          <c:cat>
            <c:numRef>
              <c:f>'[CMR 2025 - Figure 1 (use sheet Figure 1 for CMR).xlsx]Figure 1 - source data'!$A$6:$A$31</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'[CMR 2025 - Figure 1 (use sheet Figure 1 for CMR).xlsx]Figure 1 - source data'!$B$6:$B$31</c:f>
              <c:numCache>
                <c:formatCode>_-* #,##0_-;\-* #,##0_-;_-* "-"??_-;_-@_-</c:formatCode>
                <c:ptCount val="26"/>
                <c:pt idx="0">
                  <c:v>2369</c:v>
                </c:pt>
                <c:pt idx="1">
                  <c:v>2375</c:v>
                </c:pt>
                <c:pt idx="2">
                  <c:v>2399</c:v>
                </c:pt>
                <c:pt idx="3">
                  <c:v>2259</c:v>
                </c:pt>
                <c:pt idx="4">
                  <c:v>2002</c:v>
                </c:pt>
                <c:pt idx="5">
                  <c:v>2052</c:v>
                </c:pt>
                <c:pt idx="6">
                  <c:v>2011</c:v>
                </c:pt>
                <c:pt idx="7">
                  <c:v>1970</c:v>
                </c:pt>
                <c:pt idx="8" formatCode="_-* #,##0.0_-;\-* #,##0.0_-;_-* &quot;-&quot;??_-;_-@_-">
                  <c:v>1908.133628</c:v>
                </c:pt>
                <c:pt idx="9" formatCode="_-* #,##0.0_-;\-* #,##0.0_-;_-* &quot;-&quot;??_-;_-@_-">
                  <c:v>1813.7988190000001</c:v>
                </c:pt>
                <c:pt idx="10" formatCode="_-* #,##0.0_-;\-* #,##0.0_-;_-* &quot;-&quot;??_-;_-@_-">
                  <c:v>1803.106315</c:v>
                </c:pt>
                <c:pt idx="11" formatCode="_-* #,##0.0_-;\-* #,##0.0_-;_-* &quot;-&quot;??_-;_-@_-">
                  <c:v>1750.56259</c:v>
                </c:pt>
                <c:pt idx="12" formatCode="_-* #,##0.0_-;\-* #,##0.0_-;_-* &quot;-&quot;??_-;_-@_-">
                  <c:v>1754.7305630000001</c:v>
                </c:pt>
                <c:pt idx="13" formatCode="_-* #,##0.0_-;\-* #,##0.0_-;_-* &quot;-&quot;??_-;_-@_-">
                  <c:v>1683.108099</c:v>
                </c:pt>
                <c:pt idx="14" formatCode="_-* #,##0.0_-;\-* #,##0.0_-;_-* &quot;-&quot;??_-;_-@_-">
                  <c:v>1530.23083</c:v>
                </c:pt>
                <c:pt idx="15" formatCode="_-* #,##0.0_-;\-* #,##0.0_-;_-* &quot;-&quot;??_-;_-@_-">
                  <c:v>1355.1419530000001</c:v>
                </c:pt>
                <c:pt idx="16" formatCode="_-* #,##0.0_-;\-* #,##0.0_-;_-* &quot;-&quot;??_-;_-@_-">
                  <c:v>1335.4604609999999</c:v>
                </c:pt>
                <c:pt idx="17" formatCode="_-* #,##0.0_-;\-* #,##0.0_-;_-* &quot;-&quot;??_-;_-@_-">
                  <c:v>1312.575855</c:v>
                </c:pt>
                <c:pt idx="18" formatCode="_-* #,##0.0_-;\-* #,##0.0_-;_-* &quot;-&quot;??_-;_-@_-">
                  <c:v>1096.845969</c:v>
                </c:pt>
                <c:pt idx="19" formatCode="_-* #,##0.0_-;\-* #,##0.0_-;_-* &quot;-&quot;??_-;_-@_-">
                  <c:v>1091.8</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3-F10E-4F71-BF14-E3F3CB9B2779}"/>
            </c:ext>
          </c:extLst>
        </c:ser>
        <c:dLbls>
          <c:showLegendKey val="0"/>
          <c:showVal val="0"/>
          <c:showCatName val="0"/>
          <c:showSerName val="0"/>
          <c:showPercent val="0"/>
          <c:showBubbleSize val="0"/>
        </c:dLbls>
        <c:marker val="1"/>
        <c:smooth val="0"/>
        <c:axId val="678107456"/>
        <c:axId val="678106144"/>
      </c:lineChart>
      <c:catAx>
        <c:axId val="67810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106144"/>
        <c:crosses val="autoZero"/>
        <c:auto val="1"/>
        <c:lblAlgn val="ctr"/>
        <c:lblOffset val="100"/>
        <c:noMultiLvlLbl val="0"/>
      </c:catAx>
      <c:valAx>
        <c:axId val="678106144"/>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dirty="0">
                    <a:latin typeface="Times New Roman" panose="02020603050405020304" pitchFamily="18" charset="0"/>
                    <a:cs typeface="Times New Roman" panose="02020603050405020304" pitchFamily="18" charset="0"/>
                  </a:rPr>
                  <a:t>Riba</a:t>
                </a:r>
                <a:r>
                  <a:rPr lang="lt-LT" baseline="0" dirty="0">
                    <a:latin typeface="Times New Roman" panose="02020603050405020304" pitchFamily="18" charset="0"/>
                    <a:cs typeface="Times New Roman" panose="02020603050405020304" pitchFamily="18" charset="0"/>
                  </a:rPr>
                  <a:t> ir patikrintas išm. terš. kiekis</a:t>
                </a:r>
                <a:r>
                  <a:rPr lang="en-IE" baseline="0" dirty="0">
                    <a:latin typeface="Times New Roman" panose="02020603050405020304" pitchFamily="18" charset="0"/>
                    <a:cs typeface="Times New Roman" panose="02020603050405020304" pitchFamily="18" charset="0"/>
                  </a:rPr>
                  <a:t> (</a:t>
                </a:r>
                <a:r>
                  <a:rPr lang="lt-LT" baseline="0" dirty="0">
                    <a:latin typeface="Times New Roman" panose="02020603050405020304" pitchFamily="18" charset="0"/>
                    <a:cs typeface="Times New Roman" panose="02020603050405020304" pitchFamily="18" charset="0"/>
                  </a:rPr>
                  <a:t>mlrd.</a:t>
                </a:r>
                <a:r>
                  <a:rPr lang="en-IE" baseline="0" dirty="0">
                    <a:latin typeface="Times New Roman" panose="02020603050405020304" pitchFamily="18" charset="0"/>
                    <a:cs typeface="Times New Roman" panose="02020603050405020304" pitchFamily="18" charset="0"/>
                  </a:rPr>
                  <a:t> t CO2e)</a:t>
                </a:r>
                <a:endParaRPr lang="en-IE" dirty="0">
                  <a:latin typeface="Times New Roman" panose="02020603050405020304" pitchFamily="18" charset="0"/>
                  <a:cs typeface="Times New Roman" panose="02020603050405020304" pitchFamily="18" charset="0"/>
                </a:endParaRPr>
              </a:p>
            </c:rich>
          </c:tx>
          <c:layout>
            <c:manualLayout>
              <c:xMode val="edge"/>
              <c:yMode val="edge"/>
              <c:x val="0"/>
              <c:y val="1.839055954366570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107456"/>
        <c:crosses val="autoZero"/>
        <c:crossBetween val="between"/>
        <c:dispUnits>
          <c:builtInUnit val="thousan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7271027580445E-2"/>
          <c:y val="7.4038364969368289E-2"/>
          <c:w val="0.88463497409411695"/>
          <c:h val="0.78910417155975421"/>
        </c:manualLayout>
      </c:layout>
      <c:lineChart>
        <c:grouping val="standard"/>
        <c:varyColors val="0"/>
        <c:ser>
          <c:idx val="0"/>
          <c:order val="0"/>
          <c:tx>
            <c:strRef>
              <c:f>'https://eceuropaeu.sharepoint.com/teams/GRP-PRO-DG-CLIMA-Unit-B1/B1_Shared Documents/02 - ETS 1 and ETS 2 Issues/203 - Carbon Market Report/CMR 2025/2_CMR 2025_Data/CMR 2025 - source files for DGT/[Auction clearing prices 2013-2024.xlsx]Auction price 2024-2025'!$B$1</c:f>
              <c:strCache>
                <c:ptCount val="1"/>
                <c:pt idx="0">
                  <c:v>Auction Price €/tCO2</c:v>
                </c:pt>
              </c:strCache>
            </c:strRef>
          </c:tx>
          <c:spPr>
            <a:ln w="12700" cap="rnd">
              <a:solidFill>
                <a:schemeClr val="accent5">
                  <a:lumMod val="50000"/>
                </a:schemeClr>
              </a:solidFill>
              <a:round/>
            </a:ln>
            <a:effectLst/>
          </c:spPr>
          <c:marker>
            <c:symbol val="none"/>
          </c:marker>
          <c:cat>
            <c:numRef>
              <c:f>'https://eceuropaeu.sharepoint.com/teams/GRP-PRO-DG-CLIMA-Unit-B1/B1_Shared Documents/02 - ETS 1 and ETS 2 Issues/203 - Carbon Market Report/CMR 2025/2_CMR 2025_Data/CMR 2025 - source files for DGT/[Auction clearing prices 2013-2024.xlsx]Auction price 2024-2025'!$A$2:$A$327</c:f>
              <c:numCache>
                <c:formatCode>General</c:formatCode>
                <c:ptCount val="326"/>
                <c:pt idx="0">
                  <c:v>45306</c:v>
                </c:pt>
                <c:pt idx="1">
                  <c:v>45307</c:v>
                </c:pt>
                <c:pt idx="2">
                  <c:v>45308</c:v>
                </c:pt>
                <c:pt idx="3">
                  <c:v>45309</c:v>
                </c:pt>
                <c:pt idx="4">
                  <c:v>45310</c:v>
                </c:pt>
                <c:pt idx="5">
                  <c:v>45313</c:v>
                </c:pt>
                <c:pt idx="6">
                  <c:v>45314</c:v>
                </c:pt>
                <c:pt idx="7">
                  <c:v>45315</c:v>
                </c:pt>
                <c:pt idx="8">
                  <c:v>45316</c:v>
                </c:pt>
                <c:pt idx="9">
                  <c:v>45317</c:v>
                </c:pt>
                <c:pt idx="10">
                  <c:v>45320</c:v>
                </c:pt>
                <c:pt idx="11">
                  <c:v>45321</c:v>
                </c:pt>
                <c:pt idx="12">
                  <c:v>45322</c:v>
                </c:pt>
                <c:pt idx="13">
                  <c:v>45323</c:v>
                </c:pt>
                <c:pt idx="14">
                  <c:v>45324</c:v>
                </c:pt>
                <c:pt idx="15">
                  <c:v>45327</c:v>
                </c:pt>
                <c:pt idx="16">
                  <c:v>45328</c:v>
                </c:pt>
                <c:pt idx="17">
                  <c:v>45330</c:v>
                </c:pt>
                <c:pt idx="18">
                  <c:v>45331</c:v>
                </c:pt>
                <c:pt idx="19">
                  <c:v>45334</c:v>
                </c:pt>
                <c:pt idx="20">
                  <c:v>45335</c:v>
                </c:pt>
                <c:pt idx="21">
                  <c:v>45336</c:v>
                </c:pt>
                <c:pt idx="22">
                  <c:v>45337</c:v>
                </c:pt>
                <c:pt idx="23">
                  <c:v>45338</c:v>
                </c:pt>
                <c:pt idx="24">
                  <c:v>45341</c:v>
                </c:pt>
                <c:pt idx="25">
                  <c:v>45342</c:v>
                </c:pt>
                <c:pt idx="26">
                  <c:v>45344</c:v>
                </c:pt>
                <c:pt idx="27">
                  <c:v>45345</c:v>
                </c:pt>
                <c:pt idx="28">
                  <c:v>45348</c:v>
                </c:pt>
                <c:pt idx="29">
                  <c:v>45349</c:v>
                </c:pt>
                <c:pt idx="30">
                  <c:v>45350</c:v>
                </c:pt>
                <c:pt idx="31">
                  <c:v>45351</c:v>
                </c:pt>
                <c:pt idx="32">
                  <c:v>45352</c:v>
                </c:pt>
                <c:pt idx="33">
                  <c:v>45355</c:v>
                </c:pt>
                <c:pt idx="34">
                  <c:v>45356</c:v>
                </c:pt>
                <c:pt idx="35">
                  <c:v>45358</c:v>
                </c:pt>
                <c:pt idx="36">
                  <c:v>45359</c:v>
                </c:pt>
                <c:pt idx="37">
                  <c:v>45362</c:v>
                </c:pt>
                <c:pt idx="38">
                  <c:v>45363</c:v>
                </c:pt>
                <c:pt idx="39">
                  <c:v>45364</c:v>
                </c:pt>
                <c:pt idx="40">
                  <c:v>45365</c:v>
                </c:pt>
                <c:pt idx="41">
                  <c:v>45366</c:v>
                </c:pt>
                <c:pt idx="42">
                  <c:v>45369</c:v>
                </c:pt>
                <c:pt idx="43">
                  <c:v>45370</c:v>
                </c:pt>
                <c:pt idx="44">
                  <c:v>45371</c:v>
                </c:pt>
                <c:pt idx="45">
                  <c:v>45372</c:v>
                </c:pt>
                <c:pt idx="46">
                  <c:v>45373</c:v>
                </c:pt>
                <c:pt idx="47">
                  <c:v>45376</c:v>
                </c:pt>
                <c:pt idx="48">
                  <c:v>45377</c:v>
                </c:pt>
                <c:pt idx="49">
                  <c:v>45378</c:v>
                </c:pt>
                <c:pt idx="50">
                  <c:v>45379</c:v>
                </c:pt>
                <c:pt idx="51">
                  <c:v>45384</c:v>
                </c:pt>
                <c:pt idx="52">
                  <c:v>45386</c:v>
                </c:pt>
                <c:pt idx="53">
                  <c:v>45387</c:v>
                </c:pt>
                <c:pt idx="54">
                  <c:v>45390</c:v>
                </c:pt>
                <c:pt idx="55">
                  <c:v>45391</c:v>
                </c:pt>
                <c:pt idx="56">
                  <c:v>45392</c:v>
                </c:pt>
                <c:pt idx="57">
                  <c:v>45393</c:v>
                </c:pt>
                <c:pt idx="58">
                  <c:v>45394</c:v>
                </c:pt>
                <c:pt idx="59">
                  <c:v>45397</c:v>
                </c:pt>
                <c:pt idx="60">
                  <c:v>45398</c:v>
                </c:pt>
                <c:pt idx="61">
                  <c:v>45400</c:v>
                </c:pt>
                <c:pt idx="62">
                  <c:v>45401</c:v>
                </c:pt>
                <c:pt idx="63">
                  <c:v>45404</c:v>
                </c:pt>
                <c:pt idx="64">
                  <c:v>45405</c:v>
                </c:pt>
                <c:pt idx="65">
                  <c:v>45406</c:v>
                </c:pt>
                <c:pt idx="66">
                  <c:v>45407</c:v>
                </c:pt>
                <c:pt idx="67">
                  <c:v>45408</c:v>
                </c:pt>
                <c:pt idx="68">
                  <c:v>45411</c:v>
                </c:pt>
                <c:pt idx="69">
                  <c:v>45412</c:v>
                </c:pt>
                <c:pt idx="70">
                  <c:v>45414</c:v>
                </c:pt>
                <c:pt idx="71">
                  <c:v>45415</c:v>
                </c:pt>
                <c:pt idx="72">
                  <c:v>45418</c:v>
                </c:pt>
                <c:pt idx="73">
                  <c:v>45419</c:v>
                </c:pt>
                <c:pt idx="74">
                  <c:v>45420</c:v>
                </c:pt>
                <c:pt idx="75">
                  <c:v>45425</c:v>
                </c:pt>
                <c:pt idx="76">
                  <c:v>45426</c:v>
                </c:pt>
                <c:pt idx="77">
                  <c:v>45427</c:v>
                </c:pt>
                <c:pt idx="78">
                  <c:v>45428</c:v>
                </c:pt>
                <c:pt idx="79">
                  <c:v>45429</c:v>
                </c:pt>
                <c:pt idx="80">
                  <c:v>45432</c:v>
                </c:pt>
                <c:pt idx="81">
                  <c:v>45433</c:v>
                </c:pt>
                <c:pt idx="82">
                  <c:v>45434</c:v>
                </c:pt>
                <c:pt idx="83">
                  <c:v>45435</c:v>
                </c:pt>
                <c:pt idx="84">
                  <c:v>45436</c:v>
                </c:pt>
                <c:pt idx="85">
                  <c:v>45440</c:v>
                </c:pt>
                <c:pt idx="86">
                  <c:v>45442</c:v>
                </c:pt>
                <c:pt idx="87">
                  <c:v>45443</c:v>
                </c:pt>
                <c:pt idx="88">
                  <c:v>45446</c:v>
                </c:pt>
                <c:pt idx="89">
                  <c:v>45447</c:v>
                </c:pt>
                <c:pt idx="90">
                  <c:v>45448</c:v>
                </c:pt>
                <c:pt idx="91">
                  <c:v>45449</c:v>
                </c:pt>
                <c:pt idx="92">
                  <c:v>45450</c:v>
                </c:pt>
                <c:pt idx="93">
                  <c:v>45453</c:v>
                </c:pt>
                <c:pt idx="94">
                  <c:v>45454</c:v>
                </c:pt>
                <c:pt idx="95">
                  <c:v>45456</c:v>
                </c:pt>
                <c:pt idx="96">
                  <c:v>45457</c:v>
                </c:pt>
                <c:pt idx="97">
                  <c:v>45460</c:v>
                </c:pt>
                <c:pt idx="98">
                  <c:v>45461</c:v>
                </c:pt>
                <c:pt idx="99">
                  <c:v>45462</c:v>
                </c:pt>
                <c:pt idx="100">
                  <c:v>45463</c:v>
                </c:pt>
                <c:pt idx="101">
                  <c:v>45464</c:v>
                </c:pt>
                <c:pt idx="102">
                  <c:v>45467</c:v>
                </c:pt>
                <c:pt idx="103">
                  <c:v>45468</c:v>
                </c:pt>
                <c:pt idx="104">
                  <c:v>45470</c:v>
                </c:pt>
                <c:pt idx="105">
                  <c:v>45471</c:v>
                </c:pt>
                <c:pt idx="106">
                  <c:v>45474</c:v>
                </c:pt>
                <c:pt idx="107">
                  <c:v>45475</c:v>
                </c:pt>
                <c:pt idx="108">
                  <c:v>45476</c:v>
                </c:pt>
                <c:pt idx="109">
                  <c:v>45477</c:v>
                </c:pt>
                <c:pt idx="110">
                  <c:v>45478</c:v>
                </c:pt>
                <c:pt idx="111">
                  <c:v>45481</c:v>
                </c:pt>
                <c:pt idx="112">
                  <c:v>45482</c:v>
                </c:pt>
                <c:pt idx="113">
                  <c:v>45483</c:v>
                </c:pt>
                <c:pt idx="114">
                  <c:v>45484</c:v>
                </c:pt>
                <c:pt idx="115">
                  <c:v>45485</c:v>
                </c:pt>
                <c:pt idx="116">
                  <c:v>45488</c:v>
                </c:pt>
                <c:pt idx="117">
                  <c:v>45489</c:v>
                </c:pt>
                <c:pt idx="118">
                  <c:v>45490</c:v>
                </c:pt>
                <c:pt idx="119">
                  <c:v>45491</c:v>
                </c:pt>
                <c:pt idx="120">
                  <c:v>45492</c:v>
                </c:pt>
                <c:pt idx="121">
                  <c:v>45495</c:v>
                </c:pt>
                <c:pt idx="122">
                  <c:v>45496</c:v>
                </c:pt>
                <c:pt idx="123">
                  <c:v>45498</c:v>
                </c:pt>
                <c:pt idx="124">
                  <c:v>45499</c:v>
                </c:pt>
                <c:pt idx="125">
                  <c:v>45502</c:v>
                </c:pt>
                <c:pt idx="126">
                  <c:v>45503</c:v>
                </c:pt>
                <c:pt idx="127">
                  <c:v>45504</c:v>
                </c:pt>
                <c:pt idx="128">
                  <c:v>45505</c:v>
                </c:pt>
                <c:pt idx="129">
                  <c:v>45506</c:v>
                </c:pt>
                <c:pt idx="130">
                  <c:v>45509</c:v>
                </c:pt>
                <c:pt idx="131">
                  <c:v>45510</c:v>
                </c:pt>
                <c:pt idx="132">
                  <c:v>45512</c:v>
                </c:pt>
                <c:pt idx="133">
                  <c:v>45513</c:v>
                </c:pt>
                <c:pt idx="134">
                  <c:v>45516</c:v>
                </c:pt>
                <c:pt idx="135">
                  <c:v>45517</c:v>
                </c:pt>
                <c:pt idx="136">
                  <c:v>45518</c:v>
                </c:pt>
                <c:pt idx="137">
                  <c:v>45519</c:v>
                </c:pt>
                <c:pt idx="138">
                  <c:v>45520</c:v>
                </c:pt>
                <c:pt idx="139">
                  <c:v>45523</c:v>
                </c:pt>
                <c:pt idx="140">
                  <c:v>45524</c:v>
                </c:pt>
                <c:pt idx="141">
                  <c:v>45526</c:v>
                </c:pt>
                <c:pt idx="142">
                  <c:v>45527</c:v>
                </c:pt>
                <c:pt idx="143">
                  <c:v>45530</c:v>
                </c:pt>
                <c:pt idx="144">
                  <c:v>45531</c:v>
                </c:pt>
                <c:pt idx="145">
                  <c:v>45532</c:v>
                </c:pt>
                <c:pt idx="146">
                  <c:v>45533</c:v>
                </c:pt>
                <c:pt idx="147">
                  <c:v>45534</c:v>
                </c:pt>
                <c:pt idx="148">
                  <c:v>45537</c:v>
                </c:pt>
                <c:pt idx="149">
                  <c:v>45538</c:v>
                </c:pt>
                <c:pt idx="150">
                  <c:v>45540</c:v>
                </c:pt>
                <c:pt idx="151">
                  <c:v>45541</c:v>
                </c:pt>
                <c:pt idx="152">
                  <c:v>45544</c:v>
                </c:pt>
                <c:pt idx="153">
                  <c:v>45545</c:v>
                </c:pt>
                <c:pt idx="154">
                  <c:v>45546</c:v>
                </c:pt>
                <c:pt idx="155">
                  <c:v>45547</c:v>
                </c:pt>
                <c:pt idx="156">
                  <c:v>45548</c:v>
                </c:pt>
                <c:pt idx="157">
                  <c:v>45551</c:v>
                </c:pt>
                <c:pt idx="158">
                  <c:v>45552</c:v>
                </c:pt>
                <c:pt idx="159">
                  <c:v>45553</c:v>
                </c:pt>
                <c:pt idx="160">
                  <c:v>45554</c:v>
                </c:pt>
                <c:pt idx="161">
                  <c:v>45555</c:v>
                </c:pt>
                <c:pt idx="162">
                  <c:v>45558</c:v>
                </c:pt>
                <c:pt idx="163">
                  <c:v>45559</c:v>
                </c:pt>
                <c:pt idx="164">
                  <c:v>45560</c:v>
                </c:pt>
                <c:pt idx="165">
                  <c:v>45561</c:v>
                </c:pt>
                <c:pt idx="166">
                  <c:v>45562</c:v>
                </c:pt>
                <c:pt idx="167">
                  <c:v>45565</c:v>
                </c:pt>
                <c:pt idx="168">
                  <c:v>45566</c:v>
                </c:pt>
                <c:pt idx="169">
                  <c:v>45567</c:v>
                </c:pt>
                <c:pt idx="170">
                  <c:v>45568</c:v>
                </c:pt>
                <c:pt idx="171">
                  <c:v>45569</c:v>
                </c:pt>
                <c:pt idx="172">
                  <c:v>45572</c:v>
                </c:pt>
                <c:pt idx="173">
                  <c:v>45573</c:v>
                </c:pt>
                <c:pt idx="174">
                  <c:v>45574</c:v>
                </c:pt>
                <c:pt idx="175">
                  <c:v>45575</c:v>
                </c:pt>
                <c:pt idx="176">
                  <c:v>45576</c:v>
                </c:pt>
                <c:pt idx="177">
                  <c:v>45579</c:v>
                </c:pt>
                <c:pt idx="178">
                  <c:v>45580</c:v>
                </c:pt>
                <c:pt idx="179">
                  <c:v>45581</c:v>
                </c:pt>
                <c:pt idx="180">
                  <c:v>45582</c:v>
                </c:pt>
                <c:pt idx="181">
                  <c:v>45583</c:v>
                </c:pt>
                <c:pt idx="182">
                  <c:v>45586</c:v>
                </c:pt>
                <c:pt idx="183">
                  <c:v>45587</c:v>
                </c:pt>
                <c:pt idx="184">
                  <c:v>45588</c:v>
                </c:pt>
                <c:pt idx="185">
                  <c:v>45589</c:v>
                </c:pt>
                <c:pt idx="186">
                  <c:v>45590</c:v>
                </c:pt>
                <c:pt idx="187">
                  <c:v>45593</c:v>
                </c:pt>
                <c:pt idx="188">
                  <c:v>45594</c:v>
                </c:pt>
                <c:pt idx="189">
                  <c:v>45596</c:v>
                </c:pt>
                <c:pt idx="190">
                  <c:v>45597</c:v>
                </c:pt>
                <c:pt idx="191">
                  <c:v>45600</c:v>
                </c:pt>
                <c:pt idx="192">
                  <c:v>45601</c:v>
                </c:pt>
                <c:pt idx="193">
                  <c:v>45602</c:v>
                </c:pt>
                <c:pt idx="194">
                  <c:v>45603</c:v>
                </c:pt>
                <c:pt idx="195">
                  <c:v>45604</c:v>
                </c:pt>
                <c:pt idx="196">
                  <c:v>45607</c:v>
                </c:pt>
                <c:pt idx="197">
                  <c:v>45608</c:v>
                </c:pt>
                <c:pt idx="198">
                  <c:v>45609</c:v>
                </c:pt>
                <c:pt idx="199">
                  <c:v>45610</c:v>
                </c:pt>
                <c:pt idx="200">
                  <c:v>45611</c:v>
                </c:pt>
                <c:pt idx="201">
                  <c:v>45614</c:v>
                </c:pt>
                <c:pt idx="202">
                  <c:v>45615</c:v>
                </c:pt>
                <c:pt idx="203">
                  <c:v>45616</c:v>
                </c:pt>
                <c:pt idx="204">
                  <c:v>45617</c:v>
                </c:pt>
                <c:pt idx="205">
                  <c:v>45618</c:v>
                </c:pt>
                <c:pt idx="206">
                  <c:v>45621</c:v>
                </c:pt>
                <c:pt idx="207">
                  <c:v>45622</c:v>
                </c:pt>
                <c:pt idx="208">
                  <c:v>45624</c:v>
                </c:pt>
                <c:pt idx="209">
                  <c:v>45625</c:v>
                </c:pt>
                <c:pt idx="210">
                  <c:v>45628</c:v>
                </c:pt>
                <c:pt idx="211">
                  <c:v>45629</c:v>
                </c:pt>
                <c:pt idx="212">
                  <c:v>45630</c:v>
                </c:pt>
                <c:pt idx="213">
                  <c:v>45631</c:v>
                </c:pt>
                <c:pt idx="214">
                  <c:v>45632</c:v>
                </c:pt>
                <c:pt idx="215">
                  <c:v>45635</c:v>
                </c:pt>
                <c:pt idx="216">
                  <c:v>45636</c:v>
                </c:pt>
                <c:pt idx="217">
                  <c:v>45637</c:v>
                </c:pt>
                <c:pt idx="218">
                  <c:v>45638</c:v>
                </c:pt>
                <c:pt idx="219">
                  <c:v>45639</c:v>
                </c:pt>
                <c:pt idx="220">
                  <c:v>45642</c:v>
                </c:pt>
                <c:pt idx="221">
                  <c:v>45664</c:v>
                </c:pt>
                <c:pt idx="222">
                  <c:v>45665</c:v>
                </c:pt>
                <c:pt idx="223">
                  <c:v>45666</c:v>
                </c:pt>
                <c:pt idx="224">
                  <c:v>45667</c:v>
                </c:pt>
                <c:pt idx="225">
                  <c:v>45670</c:v>
                </c:pt>
                <c:pt idx="226">
                  <c:v>45671</c:v>
                </c:pt>
                <c:pt idx="227">
                  <c:v>45673</c:v>
                </c:pt>
                <c:pt idx="228">
                  <c:v>45674</c:v>
                </c:pt>
                <c:pt idx="229">
                  <c:v>45677</c:v>
                </c:pt>
                <c:pt idx="230">
                  <c:v>45678</c:v>
                </c:pt>
                <c:pt idx="231">
                  <c:v>45679</c:v>
                </c:pt>
                <c:pt idx="232">
                  <c:v>45680</c:v>
                </c:pt>
                <c:pt idx="233">
                  <c:v>45681</c:v>
                </c:pt>
                <c:pt idx="234">
                  <c:v>45684</c:v>
                </c:pt>
                <c:pt idx="235">
                  <c:v>45685</c:v>
                </c:pt>
                <c:pt idx="236">
                  <c:v>45687</c:v>
                </c:pt>
                <c:pt idx="237">
                  <c:v>45688</c:v>
                </c:pt>
                <c:pt idx="238">
                  <c:v>45691</c:v>
                </c:pt>
                <c:pt idx="239">
                  <c:v>45692</c:v>
                </c:pt>
                <c:pt idx="240">
                  <c:v>45693</c:v>
                </c:pt>
                <c:pt idx="241">
                  <c:v>45694</c:v>
                </c:pt>
                <c:pt idx="242">
                  <c:v>45695</c:v>
                </c:pt>
                <c:pt idx="243">
                  <c:v>45698</c:v>
                </c:pt>
                <c:pt idx="244">
                  <c:v>45699</c:v>
                </c:pt>
                <c:pt idx="245">
                  <c:v>45701</c:v>
                </c:pt>
                <c:pt idx="246">
                  <c:v>45702</c:v>
                </c:pt>
                <c:pt idx="247">
                  <c:v>45705</c:v>
                </c:pt>
                <c:pt idx="248">
                  <c:v>45706</c:v>
                </c:pt>
                <c:pt idx="249">
                  <c:v>45707</c:v>
                </c:pt>
                <c:pt idx="250">
                  <c:v>45708</c:v>
                </c:pt>
                <c:pt idx="251">
                  <c:v>45709</c:v>
                </c:pt>
                <c:pt idx="252">
                  <c:v>45712</c:v>
                </c:pt>
                <c:pt idx="253">
                  <c:v>45713</c:v>
                </c:pt>
                <c:pt idx="254">
                  <c:v>45715</c:v>
                </c:pt>
                <c:pt idx="255">
                  <c:v>45716</c:v>
                </c:pt>
                <c:pt idx="256">
                  <c:v>45719</c:v>
                </c:pt>
                <c:pt idx="257">
                  <c:v>45720</c:v>
                </c:pt>
                <c:pt idx="258">
                  <c:v>45721</c:v>
                </c:pt>
                <c:pt idx="259">
                  <c:v>45722</c:v>
                </c:pt>
                <c:pt idx="260">
                  <c:v>45723</c:v>
                </c:pt>
                <c:pt idx="261">
                  <c:v>45726</c:v>
                </c:pt>
                <c:pt idx="262">
                  <c:v>45727</c:v>
                </c:pt>
                <c:pt idx="263">
                  <c:v>45729</c:v>
                </c:pt>
                <c:pt idx="264">
                  <c:v>45730</c:v>
                </c:pt>
                <c:pt idx="265">
                  <c:v>45733</c:v>
                </c:pt>
                <c:pt idx="266">
                  <c:v>45734</c:v>
                </c:pt>
                <c:pt idx="267">
                  <c:v>45735</c:v>
                </c:pt>
                <c:pt idx="268">
                  <c:v>45736</c:v>
                </c:pt>
                <c:pt idx="269">
                  <c:v>45737</c:v>
                </c:pt>
                <c:pt idx="270">
                  <c:v>45740</c:v>
                </c:pt>
                <c:pt idx="271">
                  <c:v>45741</c:v>
                </c:pt>
                <c:pt idx="272">
                  <c:v>45743</c:v>
                </c:pt>
                <c:pt idx="273">
                  <c:v>45744</c:v>
                </c:pt>
                <c:pt idx="274">
                  <c:v>45747</c:v>
                </c:pt>
                <c:pt idx="275">
                  <c:v>45748</c:v>
                </c:pt>
                <c:pt idx="276">
                  <c:v>45749</c:v>
                </c:pt>
                <c:pt idx="277">
                  <c:v>45750</c:v>
                </c:pt>
                <c:pt idx="278">
                  <c:v>45751</c:v>
                </c:pt>
                <c:pt idx="279">
                  <c:v>45754</c:v>
                </c:pt>
                <c:pt idx="280">
                  <c:v>45755</c:v>
                </c:pt>
                <c:pt idx="281">
                  <c:v>45757</c:v>
                </c:pt>
                <c:pt idx="282">
                  <c:v>45758</c:v>
                </c:pt>
                <c:pt idx="283">
                  <c:v>45761</c:v>
                </c:pt>
                <c:pt idx="284">
                  <c:v>45762</c:v>
                </c:pt>
                <c:pt idx="285">
                  <c:v>45763</c:v>
                </c:pt>
                <c:pt idx="286">
                  <c:v>45764</c:v>
                </c:pt>
                <c:pt idx="287">
                  <c:v>45769</c:v>
                </c:pt>
                <c:pt idx="288">
                  <c:v>45771</c:v>
                </c:pt>
                <c:pt idx="289">
                  <c:v>45772</c:v>
                </c:pt>
                <c:pt idx="290">
                  <c:v>45775</c:v>
                </c:pt>
                <c:pt idx="291">
                  <c:v>45776</c:v>
                </c:pt>
                <c:pt idx="292">
                  <c:v>45777</c:v>
                </c:pt>
                <c:pt idx="293">
                  <c:v>45782</c:v>
                </c:pt>
                <c:pt idx="294">
                  <c:v>45783</c:v>
                </c:pt>
                <c:pt idx="295">
                  <c:v>45785</c:v>
                </c:pt>
                <c:pt idx="296">
                  <c:v>45786</c:v>
                </c:pt>
                <c:pt idx="297">
                  <c:v>45789</c:v>
                </c:pt>
                <c:pt idx="298">
                  <c:v>45790</c:v>
                </c:pt>
                <c:pt idx="299">
                  <c:v>45791</c:v>
                </c:pt>
                <c:pt idx="300">
                  <c:v>45792</c:v>
                </c:pt>
                <c:pt idx="301">
                  <c:v>45793</c:v>
                </c:pt>
                <c:pt idx="302">
                  <c:v>45796</c:v>
                </c:pt>
                <c:pt idx="303">
                  <c:v>45797</c:v>
                </c:pt>
                <c:pt idx="304">
                  <c:v>45799</c:v>
                </c:pt>
                <c:pt idx="305">
                  <c:v>45800</c:v>
                </c:pt>
                <c:pt idx="306">
                  <c:v>45804</c:v>
                </c:pt>
                <c:pt idx="307">
                  <c:v>45805</c:v>
                </c:pt>
                <c:pt idx="308">
                  <c:v>45810</c:v>
                </c:pt>
                <c:pt idx="309">
                  <c:v>45811</c:v>
                </c:pt>
                <c:pt idx="310">
                  <c:v>45813</c:v>
                </c:pt>
                <c:pt idx="311">
                  <c:v>45814</c:v>
                </c:pt>
                <c:pt idx="312">
                  <c:v>45818</c:v>
                </c:pt>
                <c:pt idx="313">
                  <c:v>45819</c:v>
                </c:pt>
                <c:pt idx="314">
                  <c:v>45820</c:v>
                </c:pt>
                <c:pt idx="315">
                  <c:v>45821</c:v>
                </c:pt>
                <c:pt idx="316">
                  <c:v>45824</c:v>
                </c:pt>
                <c:pt idx="317">
                  <c:v>45825</c:v>
                </c:pt>
                <c:pt idx="318">
                  <c:v>45827</c:v>
                </c:pt>
                <c:pt idx="319">
                  <c:v>45828</c:v>
                </c:pt>
                <c:pt idx="320">
                  <c:v>45831</c:v>
                </c:pt>
                <c:pt idx="321">
                  <c:v>45832</c:v>
                </c:pt>
                <c:pt idx="322">
                  <c:v>45833</c:v>
                </c:pt>
                <c:pt idx="323">
                  <c:v>45834</c:v>
                </c:pt>
                <c:pt idx="324">
                  <c:v>45835</c:v>
                </c:pt>
                <c:pt idx="325">
                  <c:v>45838</c:v>
                </c:pt>
              </c:numCache>
            </c:numRef>
          </c:cat>
          <c:val>
            <c:numRef>
              <c:f>'https://eceuropaeu.sharepoint.com/teams/GRP-PRO-DG-CLIMA-Unit-B1/B1_Shared Documents/02 - ETS 1 and ETS 2 Issues/203 - Carbon Market Report/CMR 2025/2_CMR 2025_Data/CMR 2025 - source files for DGT/[Auction clearing prices 2013-2024.xlsx]Auction price 2024-2025'!$B$2:$B$327</c:f>
              <c:numCache>
                <c:formatCode>General</c:formatCode>
                <c:ptCount val="326"/>
                <c:pt idx="0">
                  <c:v>63.5</c:v>
                </c:pt>
                <c:pt idx="1">
                  <c:v>63.2</c:v>
                </c:pt>
                <c:pt idx="2">
                  <c:v>62.96</c:v>
                </c:pt>
                <c:pt idx="3">
                  <c:v>61.28</c:v>
                </c:pt>
                <c:pt idx="4">
                  <c:v>61.93</c:v>
                </c:pt>
                <c:pt idx="5">
                  <c:v>59.74</c:v>
                </c:pt>
                <c:pt idx="6">
                  <c:v>60.55</c:v>
                </c:pt>
                <c:pt idx="7">
                  <c:v>62</c:v>
                </c:pt>
                <c:pt idx="8">
                  <c:v>61.95</c:v>
                </c:pt>
                <c:pt idx="9">
                  <c:v>61.95</c:v>
                </c:pt>
                <c:pt idx="10">
                  <c:v>60.81</c:v>
                </c:pt>
                <c:pt idx="11">
                  <c:v>59.82</c:v>
                </c:pt>
                <c:pt idx="12">
                  <c:v>62.27</c:v>
                </c:pt>
                <c:pt idx="13">
                  <c:v>61.09</c:v>
                </c:pt>
                <c:pt idx="14">
                  <c:v>60.92</c:v>
                </c:pt>
                <c:pt idx="15">
                  <c:v>60.68</c:v>
                </c:pt>
                <c:pt idx="16">
                  <c:v>60.25</c:v>
                </c:pt>
                <c:pt idx="17">
                  <c:v>59.85</c:v>
                </c:pt>
                <c:pt idx="18">
                  <c:v>57.24</c:v>
                </c:pt>
                <c:pt idx="19">
                  <c:v>55.84</c:v>
                </c:pt>
                <c:pt idx="20">
                  <c:v>54.24</c:v>
                </c:pt>
                <c:pt idx="21">
                  <c:v>54.07</c:v>
                </c:pt>
                <c:pt idx="22">
                  <c:v>54.87</c:v>
                </c:pt>
                <c:pt idx="23">
                  <c:v>55.12</c:v>
                </c:pt>
                <c:pt idx="24">
                  <c:v>53</c:v>
                </c:pt>
                <c:pt idx="25">
                  <c:v>51.8</c:v>
                </c:pt>
                <c:pt idx="26">
                  <c:v>51.55</c:v>
                </c:pt>
                <c:pt idx="27">
                  <c:v>49.5</c:v>
                </c:pt>
                <c:pt idx="28">
                  <c:v>50.65</c:v>
                </c:pt>
                <c:pt idx="29">
                  <c:v>51.12</c:v>
                </c:pt>
                <c:pt idx="30">
                  <c:v>54.94</c:v>
                </c:pt>
                <c:pt idx="31">
                  <c:v>54.9</c:v>
                </c:pt>
                <c:pt idx="32">
                  <c:v>53.6</c:v>
                </c:pt>
                <c:pt idx="33">
                  <c:v>51.76</c:v>
                </c:pt>
                <c:pt idx="34">
                  <c:v>59.14</c:v>
                </c:pt>
                <c:pt idx="35">
                  <c:v>56.94</c:v>
                </c:pt>
                <c:pt idx="36">
                  <c:v>57.1</c:v>
                </c:pt>
                <c:pt idx="37">
                  <c:v>54.43</c:v>
                </c:pt>
                <c:pt idx="38">
                  <c:v>54.21</c:v>
                </c:pt>
                <c:pt idx="39">
                  <c:v>54.92</c:v>
                </c:pt>
                <c:pt idx="40">
                  <c:v>54.25</c:v>
                </c:pt>
                <c:pt idx="41">
                  <c:v>57.75</c:v>
                </c:pt>
                <c:pt idx="42">
                  <c:v>59.42</c:v>
                </c:pt>
                <c:pt idx="43">
                  <c:v>59</c:v>
                </c:pt>
                <c:pt idx="44">
                  <c:v>57.9</c:v>
                </c:pt>
                <c:pt idx="45">
                  <c:v>58</c:v>
                </c:pt>
                <c:pt idx="46">
                  <c:v>57.93</c:v>
                </c:pt>
                <c:pt idx="47">
                  <c:v>62.09</c:v>
                </c:pt>
                <c:pt idx="48">
                  <c:v>63.25</c:v>
                </c:pt>
                <c:pt idx="49">
                  <c:v>60.56</c:v>
                </c:pt>
                <c:pt idx="50">
                  <c:v>59.86</c:v>
                </c:pt>
                <c:pt idx="51">
                  <c:v>57.07</c:v>
                </c:pt>
                <c:pt idx="52">
                  <c:v>56.37</c:v>
                </c:pt>
                <c:pt idx="53">
                  <c:v>57.17</c:v>
                </c:pt>
                <c:pt idx="54">
                  <c:v>58.41</c:v>
                </c:pt>
                <c:pt idx="55">
                  <c:v>61.3</c:v>
                </c:pt>
                <c:pt idx="56">
                  <c:v>63</c:v>
                </c:pt>
                <c:pt idx="57">
                  <c:v>63.42</c:v>
                </c:pt>
                <c:pt idx="58">
                  <c:v>68.010000000000005</c:v>
                </c:pt>
                <c:pt idx="59">
                  <c:v>68.17</c:v>
                </c:pt>
                <c:pt idx="60">
                  <c:v>70.61</c:v>
                </c:pt>
                <c:pt idx="61">
                  <c:v>67.150000000000006</c:v>
                </c:pt>
                <c:pt idx="62">
                  <c:v>67.77</c:v>
                </c:pt>
                <c:pt idx="63">
                  <c:v>65.099999999999994</c:v>
                </c:pt>
                <c:pt idx="64">
                  <c:v>64.28</c:v>
                </c:pt>
                <c:pt idx="65">
                  <c:v>65.349999999999994</c:v>
                </c:pt>
                <c:pt idx="66">
                  <c:v>65.08</c:v>
                </c:pt>
                <c:pt idx="67">
                  <c:v>65.66</c:v>
                </c:pt>
                <c:pt idx="68">
                  <c:v>63.52</c:v>
                </c:pt>
                <c:pt idx="69">
                  <c:v>65.260000000000005</c:v>
                </c:pt>
                <c:pt idx="70">
                  <c:v>68.099999999999994</c:v>
                </c:pt>
                <c:pt idx="71">
                  <c:v>71.180000000000007</c:v>
                </c:pt>
                <c:pt idx="72">
                  <c:v>70.3</c:v>
                </c:pt>
                <c:pt idx="73">
                  <c:v>69.16</c:v>
                </c:pt>
                <c:pt idx="74">
                  <c:v>68.989999999999995</c:v>
                </c:pt>
                <c:pt idx="75">
                  <c:v>68.48</c:v>
                </c:pt>
                <c:pt idx="76">
                  <c:v>67.67</c:v>
                </c:pt>
                <c:pt idx="77">
                  <c:v>69.349999999999994</c:v>
                </c:pt>
                <c:pt idx="78">
                  <c:v>68.260000000000005</c:v>
                </c:pt>
                <c:pt idx="79">
                  <c:v>69.459999999999994</c:v>
                </c:pt>
                <c:pt idx="80">
                  <c:v>71.239999999999995</c:v>
                </c:pt>
                <c:pt idx="81">
                  <c:v>71.8</c:v>
                </c:pt>
                <c:pt idx="82">
                  <c:v>74.31</c:v>
                </c:pt>
                <c:pt idx="83">
                  <c:v>74.900000000000006</c:v>
                </c:pt>
                <c:pt idx="84">
                  <c:v>72.8</c:v>
                </c:pt>
                <c:pt idx="85">
                  <c:v>72.900000000000006</c:v>
                </c:pt>
                <c:pt idx="86">
                  <c:v>72</c:v>
                </c:pt>
                <c:pt idx="87">
                  <c:v>74.489999999999995</c:v>
                </c:pt>
                <c:pt idx="88">
                  <c:v>75.349999999999994</c:v>
                </c:pt>
                <c:pt idx="89">
                  <c:v>71.5</c:v>
                </c:pt>
                <c:pt idx="90">
                  <c:v>70.3</c:v>
                </c:pt>
                <c:pt idx="91">
                  <c:v>71</c:v>
                </c:pt>
                <c:pt idx="92">
                  <c:v>69.900000000000006</c:v>
                </c:pt>
                <c:pt idx="93">
                  <c:v>67.819999999999993</c:v>
                </c:pt>
                <c:pt idx="94">
                  <c:v>70.31</c:v>
                </c:pt>
                <c:pt idx="95">
                  <c:v>69.77</c:v>
                </c:pt>
                <c:pt idx="96">
                  <c:v>68.41</c:v>
                </c:pt>
                <c:pt idx="97">
                  <c:v>66.66</c:v>
                </c:pt>
                <c:pt idx="98">
                  <c:v>66.97</c:v>
                </c:pt>
                <c:pt idx="99">
                  <c:v>67.75</c:v>
                </c:pt>
                <c:pt idx="100">
                  <c:v>68.61</c:v>
                </c:pt>
                <c:pt idx="101">
                  <c:v>67.36</c:v>
                </c:pt>
                <c:pt idx="102">
                  <c:v>66.06</c:v>
                </c:pt>
                <c:pt idx="103">
                  <c:v>65.94</c:v>
                </c:pt>
                <c:pt idx="104">
                  <c:v>66.17</c:v>
                </c:pt>
                <c:pt idx="105">
                  <c:v>65.010000000000005</c:v>
                </c:pt>
                <c:pt idx="106">
                  <c:v>67.83</c:v>
                </c:pt>
                <c:pt idx="107">
                  <c:v>66.709999999999994</c:v>
                </c:pt>
                <c:pt idx="108">
                  <c:v>68.84</c:v>
                </c:pt>
                <c:pt idx="109">
                  <c:v>68.709999999999994</c:v>
                </c:pt>
                <c:pt idx="110">
                  <c:v>68.680000000000007</c:v>
                </c:pt>
                <c:pt idx="111">
                  <c:v>70</c:v>
                </c:pt>
                <c:pt idx="112">
                  <c:v>66.87</c:v>
                </c:pt>
                <c:pt idx="113">
                  <c:v>67.42</c:v>
                </c:pt>
                <c:pt idx="114">
                  <c:v>66.72</c:v>
                </c:pt>
                <c:pt idx="115">
                  <c:v>67.06</c:v>
                </c:pt>
                <c:pt idx="116">
                  <c:v>66.63</c:v>
                </c:pt>
                <c:pt idx="117">
                  <c:v>66.16</c:v>
                </c:pt>
                <c:pt idx="118">
                  <c:v>66.66</c:v>
                </c:pt>
                <c:pt idx="119">
                  <c:v>64.959999999999994</c:v>
                </c:pt>
                <c:pt idx="120">
                  <c:v>64.73</c:v>
                </c:pt>
                <c:pt idx="121">
                  <c:v>64.37</c:v>
                </c:pt>
                <c:pt idx="122">
                  <c:v>63.67</c:v>
                </c:pt>
                <c:pt idx="123">
                  <c:v>66.709999999999994</c:v>
                </c:pt>
                <c:pt idx="124">
                  <c:v>66.33</c:v>
                </c:pt>
                <c:pt idx="125">
                  <c:v>67.17</c:v>
                </c:pt>
                <c:pt idx="126">
                  <c:v>66.55</c:v>
                </c:pt>
                <c:pt idx="127">
                  <c:v>67.849999999999994</c:v>
                </c:pt>
                <c:pt idx="128">
                  <c:v>68.069999999999993</c:v>
                </c:pt>
                <c:pt idx="129">
                  <c:v>69.760000000000005</c:v>
                </c:pt>
                <c:pt idx="130">
                  <c:v>67.02</c:v>
                </c:pt>
                <c:pt idx="131">
                  <c:v>68.650000000000006</c:v>
                </c:pt>
                <c:pt idx="132">
                  <c:v>68.900000000000006</c:v>
                </c:pt>
                <c:pt idx="133">
                  <c:v>70.459999999999994</c:v>
                </c:pt>
                <c:pt idx="134">
                  <c:v>71.150000000000006</c:v>
                </c:pt>
                <c:pt idx="135">
                  <c:v>70.819999999999993</c:v>
                </c:pt>
                <c:pt idx="136">
                  <c:v>70.59</c:v>
                </c:pt>
                <c:pt idx="137">
                  <c:v>69.849999999999994</c:v>
                </c:pt>
                <c:pt idx="138">
                  <c:v>71</c:v>
                </c:pt>
                <c:pt idx="139">
                  <c:v>71.5</c:v>
                </c:pt>
                <c:pt idx="140">
                  <c:v>72.400000000000006</c:v>
                </c:pt>
                <c:pt idx="141">
                  <c:v>71.02</c:v>
                </c:pt>
                <c:pt idx="142">
                  <c:v>70.73</c:v>
                </c:pt>
                <c:pt idx="143">
                  <c:v>69.28</c:v>
                </c:pt>
                <c:pt idx="144">
                  <c:v>70.17</c:v>
                </c:pt>
                <c:pt idx="145">
                  <c:v>70.39</c:v>
                </c:pt>
                <c:pt idx="146">
                  <c:v>69.5</c:v>
                </c:pt>
                <c:pt idx="147">
                  <c:v>70.069999999999993</c:v>
                </c:pt>
                <c:pt idx="148">
                  <c:v>69.3</c:v>
                </c:pt>
                <c:pt idx="149">
                  <c:v>68.56</c:v>
                </c:pt>
                <c:pt idx="150">
                  <c:v>65.989999999999995</c:v>
                </c:pt>
                <c:pt idx="151">
                  <c:v>67</c:v>
                </c:pt>
                <c:pt idx="152">
                  <c:v>65.75</c:v>
                </c:pt>
                <c:pt idx="153">
                  <c:v>65.83</c:v>
                </c:pt>
                <c:pt idx="154">
                  <c:v>64.75</c:v>
                </c:pt>
                <c:pt idx="155">
                  <c:v>65.099999999999994</c:v>
                </c:pt>
                <c:pt idx="156">
                  <c:v>64.89</c:v>
                </c:pt>
                <c:pt idx="157">
                  <c:v>64.94</c:v>
                </c:pt>
                <c:pt idx="158">
                  <c:v>62.71</c:v>
                </c:pt>
                <c:pt idx="159">
                  <c:v>62.8</c:v>
                </c:pt>
                <c:pt idx="160">
                  <c:v>63.56</c:v>
                </c:pt>
                <c:pt idx="161">
                  <c:v>63.18</c:v>
                </c:pt>
                <c:pt idx="162">
                  <c:v>64</c:v>
                </c:pt>
                <c:pt idx="163">
                  <c:v>63.91</c:v>
                </c:pt>
                <c:pt idx="164">
                  <c:v>63.55</c:v>
                </c:pt>
                <c:pt idx="165">
                  <c:v>63.88</c:v>
                </c:pt>
                <c:pt idx="166">
                  <c:v>65.45</c:v>
                </c:pt>
                <c:pt idx="167">
                  <c:v>65.69</c:v>
                </c:pt>
                <c:pt idx="168">
                  <c:v>63.19</c:v>
                </c:pt>
                <c:pt idx="169">
                  <c:v>62.89</c:v>
                </c:pt>
                <c:pt idx="170">
                  <c:v>62.02</c:v>
                </c:pt>
                <c:pt idx="171">
                  <c:v>61.03</c:v>
                </c:pt>
                <c:pt idx="172">
                  <c:v>60.15</c:v>
                </c:pt>
                <c:pt idx="173">
                  <c:v>59.85</c:v>
                </c:pt>
                <c:pt idx="174">
                  <c:v>61.18</c:v>
                </c:pt>
                <c:pt idx="175">
                  <c:v>63.3</c:v>
                </c:pt>
                <c:pt idx="176">
                  <c:v>63.71</c:v>
                </c:pt>
                <c:pt idx="177">
                  <c:v>65</c:v>
                </c:pt>
                <c:pt idx="178">
                  <c:v>64.08</c:v>
                </c:pt>
                <c:pt idx="179">
                  <c:v>64.14</c:v>
                </c:pt>
                <c:pt idx="180">
                  <c:v>63.1</c:v>
                </c:pt>
                <c:pt idx="181">
                  <c:v>61.9</c:v>
                </c:pt>
                <c:pt idx="182">
                  <c:v>62.3</c:v>
                </c:pt>
                <c:pt idx="183">
                  <c:v>61.22</c:v>
                </c:pt>
                <c:pt idx="184">
                  <c:v>63.75</c:v>
                </c:pt>
                <c:pt idx="185">
                  <c:v>64.599999999999994</c:v>
                </c:pt>
                <c:pt idx="186">
                  <c:v>66.319999999999993</c:v>
                </c:pt>
                <c:pt idx="187">
                  <c:v>64.38</c:v>
                </c:pt>
                <c:pt idx="188">
                  <c:v>66.42</c:v>
                </c:pt>
                <c:pt idx="189">
                  <c:v>64.78</c:v>
                </c:pt>
                <c:pt idx="190">
                  <c:v>64.459999999999994</c:v>
                </c:pt>
                <c:pt idx="191">
                  <c:v>64.680000000000007</c:v>
                </c:pt>
                <c:pt idx="192">
                  <c:v>65.06</c:v>
                </c:pt>
                <c:pt idx="193">
                  <c:v>62.94</c:v>
                </c:pt>
                <c:pt idx="194">
                  <c:v>65.349999999999994</c:v>
                </c:pt>
                <c:pt idx="195">
                  <c:v>66.2</c:v>
                </c:pt>
                <c:pt idx="196">
                  <c:v>67.599999999999994</c:v>
                </c:pt>
                <c:pt idx="197">
                  <c:v>65.92</c:v>
                </c:pt>
                <c:pt idx="198">
                  <c:v>65.86</c:v>
                </c:pt>
                <c:pt idx="199">
                  <c:v>67.150000000000006</c:v>
                </c:pt>
                <c:pt idx="200">
                  <c:v>66.78</c:v>
                </c:pt>
                <c:pt idx="201">
                  <c:v>67.7</c:v>
                </c:pt>
                <c:pt idx="202">
                  <c:v>69.05</c:v>
                </c:pt>
                <c:pt idx="203">
                  <c:v>68.02</c:v>
                </c:pt>
                <c:pt idx="204">
                  <c:v>68.790000000000006</c:v>
                </c:pt>
                <c:pt idx="205">
                  <c:v>69.709999999999994</c:v>
                </c:pt>
                <c:pt idx="206">
                  <c:v>69.319999999999993</c:v>
                </c:pt>
                <c:pt idx="207">
                  <c:v>69.37</c:v>
                </c:pt>
                <c:pt idx="208">
                  <c:v>67.91</c:v>
                </c:pt>
                <c:pt idx="209">
                  <c:v>67.3</c:v>
                </c:pt>
                <c:pt idx="210">
                  <c:v>69.400000000000006</c:v>
                </c:pt>
                <c:pt idx="211">
                  <c:v>68.12</c:v>
                </c:pt>
                <c:pt idx="212">
                  <c:v>67.42</c:v>
                </c:pt>
                <c:pt idx="213">
                  <c:v>67.62</c:v>
                </c:pt>
                <c:pt idx="214">
                  <c:v>67.25</c:v>
                </c:pt>
                <c:pt idx="215">
                  <c:v>67.7</c:v>
                </c:pt>
                <c:pt idx="216">
                  <c:v>67</c:v>
                </c:pt>
                <c:pt idx="217">
                  <c:v>69.17</c:v>
                </c:pt>
                <c:pt idx="218">
                  <c:v>67.95</c:v>
                </c:pt>
                <c:pt idx="219">
                  <c:v>66.069999999999993</c:v>
                </c:pt>
                <c:pt idx="220">
                  <c:v>63.64</c:v>
                </c:pt>
                <c:pt idx="221">
                  <c:v>71.02</c:v>
                </c:pt>
                <c:pt idx="222">
                  <c:v>71.5</c:v>
                </c:pt>
                <c:pt idx="223">
                  <c:v>70.010000000000005</c:v>
                </c:pt>
                <c:pt idx="224">
                  <c:v>70.63</c:v>
                </c:pt>
                <c:pt idx="225">
                  <c:v>74.400000000000006</c:v>
                </c:pt>
                <c:pt idx="226">
                  <c:v>74.45</c:v>
                </c:pt>
                <c:pt idx="227">
                  <c:v>75.7</c:v>
                </c:pt>
                <c:pt idx="228">
                  <c:v>77.3</c:v>
                </c:pt>
                <c:pt idx="229">
                  <c:v>76.400000000000006</c:v>
                </c:pt>
                <c:pt idx="230">
                  <c:v>77.3</c:v>
                </c:pt>
                <c:pt idx="231">
                  <c:v>76.709999999999994</c:v>
                </c:pt>
                <c:pt idx="232">
                  <c:v>79.06</c:v>
                </c:pt>
                <c:pt idx="233">
                  <c:v>78.430000000000007</c:v>
                </c:pt>
                <c:pt idx="234">
                  <c:v>77.7</c:v>
                </c:pt>
                <c:pt idx="235">
                  <c:v>77.06</c:v>
                </c:pt>
                <c:pt idx="236">
                  <c:v>81.569999999999993</c:v>
                </c:pt>
                <c:pt idx="237">
                  <c:v>81.11</c:v>
                </c:pt>
                <c:pt idx="238">
                  <c:v>80.39</c:v>
                </c:pt>
                <c:pt idx="239">
                  <c:v>79.06</c:v>
                </c:pt>
                <c:pt idx="240">
                  <c:v>77.87</c:v>
                </c:pt>
                <c:pt idx="241">
                  <c:v>79.75</c:v>
                </c:pt>
                <c:pt idx="242">
                  <c:v>80.709999999999994</c:v>
                </c:pt>
                <c:pt idx="243">
                  <c:v>81.27</c:v>
                </c:pt>
                <c:pt idx="244">
                  <c:v>80.08</c:v>
                </c:pt>
                <c:pt idx="245">
                  <c:v>76.77</c:v>
                </c:pt>
                <c:pt idx="246">
                  <c:v>75.84</c:v>
                </c:pt>
                <c:pt idx="247">
                  <c:v>77.02</c:v>
                </c:pt>
                <c:pt idx="248">
                  <c:v>74.53</c:v>
                </c:pt>
                <c:pt idx="249">
                  <c:v>72.900000000000006</c:v>
                </c:pt>
                <c:pt idx="250">
                  <c:v>71.209999999999994</c:v>
                </c:pt>
                <c:pt idx="251">
                  <c:v>73.010000000000005</c:v>
                </c:pt>
                <c:pt idx="252">
                  <c:v>70.8</c:v>
                </c:pt>
                <c:pt idx="253">
                  <c:v>71.150000000000006</c:v>
                </c:pt>
                <c:pt idx="254">
                  <c:v>69.959999999999994</c:v>
                </c:pt>
                <c:pt idx="255">
                  <c:v>70.650000000000006</c:v>
                </c:pt>
                <c:pt idx="256">
                  <c:v>70.31</c:v>
                </c:pt>
                <c:pt idx="257">
                  <c:v>68.099999999999994</c:v>
                </c:pt>
                <c:pt idx="258">
                  <c:v>67.989999999999995</c:v>
                </c:pt>
                <c:pt idx="259">
                  <c:v>66.58</c:v>
                </c:pt>
                <c:pt idx="260">
                  <c:v>67.77</c:v>
                </c:pt>
                <c:pt idx="261">
                  <c:v>68.180000000000007</c:v>
                </c:pt>
                <c:pt idx="262">
                  <c:v>67.02</c:v>
                </c:pt>
                <c:pt idx="263">
                  <c:v>68.2</c:v>
                </c:pt>
                <c:pt idx="264">
                  <c:v>68.650000000000006</c:v>
                </c:pt>
                <c:pt idx="265">
                  <c:v>68.53</c:v>
                </c:pt>
                <c:pt idx="266">
                  <c:v>68.66</c:v>
                </c:pt>
                <c:pt idx="267">
                  <c:v>71.349999999999994</c:v>
                </c:pt>
                <c:pt idx="268">
                  <c:v>71.540000000000006</c:v>
                </c:pt>
                <c:pt idx="269">
                  <c:v>71.56</c:v>
                </c:pt>
                <c:pt idx="270">
                  <c:v>69.849999999999994</c:v>
                </c:pt>
                <c:pt idx="271">
                  <c:v>69.61</c:v>
                </c:pt>
                <c:pt idx="272">
                  <c:v>68.41</c:v>
                </c:pt>
                <c:pt idx="273">
                  <c:v>67.36</c:v>
                </c:pt>
                <c:pt idx="274">
                  <c:v>66.8</c:v>
                </c:pt>
                <c:pt idx="275">
                  <c:v>66.709999999999994</c:v>
                </c:pt>
                <c:pt idx="276">
                  <c:v>68.62</c:v>
                </c:pt>
                <c:pt idx="277">
                  <c:v>65.75</c:v>
                </c:pt>
                <c:pt idx="278">
                  <c:v>63.8</c:v>
                </c:pt>
                <c:pt idx="279">
                  <c:v>59.76</c:v>
                </c:pt>
                <c:pt idx="280">
                  <c:v>60.35</c:v>
                </c:pt>
                <c:pt idx="281">
                  <c:v>62.08</c:v>
                </c:pt>
                <c:pt idx="282">
                  <c:v>61.01</c:v>
                </c:pt>
                <c:pt idx="283">
                  <c:v>64.599999999999994</c:v>
                </c:pt>
                <c:pt idx="284">
                  <c:v>66.209999999999994</c:v>
                </c:pt>
                <c:pt idx="285">
                  <c:v>65.98</c:v>
                </c:pt>
                <c:pt idx="286">
                  <c:v>65.06</c:v>
                </c:pt>
                <c:pt idx="287">
                  <c:v>63.3</c:v>
                </c:pt>
                <c:pt idx="288">
                  <c:v>63.93</c:v>
                </c:pt>
                <c:pt idx="289">
                  <c:v>65.89</c:v>
                </c:pt>
                <c:pt idx="290">
                  <c:v>64.2</c:v>
                </c:pt>
                <c:pt idx="291">
                  <c:v>63.55</c:v>
                </c:pt>
                <c:pt idx="292">
                  <c:v>65.05</c:v>
                </c:pt>
                <c:pt idx="293">
                  <c:v>66.64</c:v>
                </c:pt>
                <c:pt idx="294">
                  <c:v>67.88</c:v>
                </c:pt>
                <c:pt idx="295">
                  <c:v>70.3</c:v>
                </c:pt>
                <c:pt idx="296">
                  <c:v>70.2</c:v>
                </c:pt>
                <c:pt idx="297">
                  <c:v>71.010000000000005</c:v>
                </c:pt>
                <c:pt idx="298">
                  <c:v>71.69</c:v>
                </c:pt>
                <c:pt idx="299">
                  <c:v>71.849999999999994</c:v>
                </c:pt>
                <c:pt idx="300">
                  <c:v>70.11</c:v>
                </c:pt>
                <c:pt idx="301">
                  <c:v>72.94</c:v>
                </c:pt>
                <c:pt idx="302">
                  <c:v>69.44</c:v>
                </c:pt>
                <c:pt idx="303">
                  <c:v>70.69</c:v>
                </c:pt>
                <c:pt idx="304">
                  <c:v>71.84</c:v>
                </c:pt>
                <c:pt idx="305">
                  <c:v>71.11</c:v>
                </c:pt>
                <c:pt idx="306">
                  <c:v>71.510000000000005</c:v>
                </c:pt>
                <c:pt idx="307">
                  <c:v>70.540000000000006</c:v>
                </c:pt>
                <c:pt idx="308">
                  <c:v>70.58</c:v>
                </c:pt>
                <c:pt idx="309">
                  <c:v>70.61</c:v>
                </c:pt>
                <c:pt idx="310">
                  <c:v>72.540000000000006</c:v>
                </c:pt>
                <c:pt idx="311">
                  <c:v>72.3</c:v>
                </c:pt>
                <c:pt idx="312">
                  <c:v>72.16</c:v>
                </c:pt>
                <c:pt idx="313">
                  <c:v>73.5</c:v>
                </c:pt>
                <c:pt idx="314">
                  <c:v>72.709999999999994</c:v>
                </c:pt>
                <c:pt idx="315">
                  <c:v>75.36</c:v>
                </c:pt>
                <c:pt idx="316">
                  <c:v>74.510000000000005</c:v>
                </c:pt>
                <c:pt idx="317">
                  <c:v>74.05</c:v>
                </c:pt>
                <c:pt idx="318">
                  <c:v>73.48</c:v>
                </c:pt>
                <c:pt idx="319">
                  <c:v>71.97</c:v>
                </c:pt>
                <c:pt idx="320">
                  <c:v>72</c:v>
                </c:pt>
                <c:pt idx="321">
                  <c:v>72.91</c:v>
                </c:pt>
                <c:pt idx="322">
                  <c:v>71.72</c:v>
                </c:pt>
                <c:pt idx="323">
                  <c:v>69.459999999999994</c:v>
                </c:pt>
                <c:pt idx="324">
                  <c:v>69.400000000000006</c:v>
                </c:pt>
                <c:pt idx="325">
                  <c:v>68.95</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FE3-4EA6-BFEE-129578BDAC1E}"/>
            </c:ext>
          </c:extLst>
        </c:ser>
        <c:dLbls>
          <c:showLegendKey val="0"/>
          <c:showVal val="0"/>
          <c:showCatName val="0"/>
          <c:showSerName val="0"/>
          <c:showPercent val="0"/>
          <c:showBubbleSize val="0"/>
        </c:dLbls>
        <c:smooth val="0"/>
        <c:axId val="1335318591"/>
        <c:axId val="1335321087"/>
      </c:lineChart>
      <c:catAx>
        <c:axId val="1335318591"/>
        <c:scaling>
          <c:orientation val="minMax"/>
          <c:min val="-13"/>
        </c:scaling>
        <c:delete val="0"/>
        <c:axPos val="b"/>
        <c:numFmt formatCode="d/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321087"/>
        <c:crosses val="autoZero"/>
        <c:auto val="1"/>
        <c:lblAlgn val="ctr"/>
        <c:lblOffset val="100"/>
        <c:tickLblSkip val="20"/>
        <c:noMultiLvlLbl val="0"/>
      </c:catAx>
      <c:valAx>
        <c:axId val="1335321087"/>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E" sz="1000" b="0">
                    <a:latin typeface="Times New Roman" panose="02020603050405020304" pitchFamily="18" charset="0"/>
                    <a:cs typeface="Times New Roman" panose="02020603050405020304" pitchFamily="18" charset="0"/>
                  </a:rPr>
                  <a:t>Au</a:t>
                </a:r>
                <a:r>
                  <a:rPr lang="lt-LT" sz="1000" b="0">
                    <a:latin typeface="Times New Roman" panose="02020603050405020304" pitchFamily="18" charset="0"/>
                    <a:cs typeface="Times New Roman" panose="02020603050405020304" pitchFamily="18" charset="0"/>
                  </a:rPr>
                  <a:t>kciono</a:t>
                </a:r>
                <a:r>
                  <a:rPr lang="lt-LT" sz="1000" b="0" baseline="0">
                    <a:latin typeface="Times New Roman" panose="02020603050405020304" pitchFamily="18" charset="0"/>
                    <a:cs typeface="Times New Roman" panose="02020603050405020304" pitchFamily="18" charset="0"/>
                  </a:rPr>
                  <a:t> kaina</a:t>
                </a:r>
                <a:r>
                  <a:rPr lang="en-IE" sz="1000" b="0">
                    <a:latin typeface="Times New Roman" panose="02020603050405020304" pitchFamily="18" charset="0"/>
                    <a:cs typeface="Times New Roman" panose="02020603050405020304" pitchFamily="18" charset="0"/>
                  </a:rPr>
                  <a:t> (EUR/t</a:t>
                </a:r>
                <a:r>
                  <a:rPr lang="en-IE" sz="1000" b="0" baseline="0">
                    <a:latin typeface="Times New Roman" panose="02020603050405020304" pitchFamily="18" charset="0"/>
                    <a:cs typeface="Times New Roman" panose="02020603050405020304" pitchFamily="18" charset="0"/>
                  </a:rPr>
                  <a:t> CO2)</a:t>
                </a:r>
                <a:endParaRPr lang="en-IE" sz="1000" b="0">
                  <a:latin typeface="Times New Roman" panose="02020603050405020304" pitchFamily="18" charset="0"/>
                  <a:cs typeface="Times New Roman" panose="02020603050405020304" pitchFamily="18" charset="0"/>
                </a:endParaRPr>
              </a:p>
            </c:rich>
          </c:tx>
          <c:layout>
            <c:manualLayout>
              <c:xMode val="edge"/>
              <c:yMode val="edge"/>
              <c:x val="2.2788758983234784E-2"/>
              <c:y val="0.1711034286628393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318591"/>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'[CMR 2025 - Figure 3 surplus.xlsx]surplus chart'!$A$2</c:f>
              <c:strCache>
                <c:ptCount val="1"/>
                <c:pt idx="0">
                  <c:v>Surplus</c:v>
                </c:pt>
              </c:strCache>
            </c:strRef>
          </c:tx>
          <c:spPr>
            <a:solidFill>
              <a:schemeClr val="accent5">
                <a:lumMod val="50000"/>
              </a:schemeClr>
            </a:solidFill>
            <a:ln>
              <a:solidFill>
                <a:schemeClr val="accent5">
                  <a:lumMod val="50000"/>
                </a:schemeClr>
              </a:solidFill>
            </a:ln>
            <a:effectLst/>
          </c:spPr>
          <c:invertIfNegative val="0"/>
          <c:dLbls>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'[CMR 2025 - Figure 3 surplus.xlsx]surplus chart'!$B$1:$M$1</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'[CMR 2025 - Figure 3 surplus.xlsx]surplus chart'!$B$2:$M$2</c:f>
              <c:numCache>
                <c:formatCode>#,##0</c:formatCode>
                <c:ptCount val="12"/>
                <c:pt idx="0">
                  <c:v>2084787900</c:v>
                </c:pt>
                <c:pt idx="1">
                  <c:v>2093383593</c:v>
                </c:pt>
                <c:pt idx="2">
                  <c:v>1818041895</c:v>
                </c:pt>
                <c:pt idx="3">
                  <c:v>1684569981</c:v>
                </c:pt>
                <c:pt idx="4">
                  <c:v>1654574598</c:v>
                </c:pt>
                <c:pt idx="5">
                  <c:v>1654909824</c:v>
                </c:pt>
                <c:pt idx="6">
                  <c:v>1385496166</c:v>
                </c:pt>
                <c:pt idx="7">
                  <c:v>1578772426</c:v>
                </c:pt>
                <c:pt idx="8">
                  <c:v>1449214182</c:v>
                </c:pt>
                <c:pt idx="9">
                  <c:v>1134794738</c:v>
                </c:pt>
                <c:pt idx="10">
                  <c:v>1111736535</c:v>
                </c:pt>
                <c:pt idx="11">
                  <c:v>1148049585</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17D1-4BEA-83D7-BB6F544F6AEC}"/>
            </c:ext>
          </c:extLst>
        </c:ser>
        <c:dLbls>
          <c:showLegendKey val="0"/>
          <c:showVal val="0"/>
          <c:showCatName val="0"/>
          <c:showSerName val="0"/>
          <c:showPercent val="0"/>
          <c:showBubbleSize val="0"/>
        </c:dLbls>
        <c:gapWidth val="219"/>
        <c:overlap val="-27"/>
        <c:axId val="402840344"/>
        <c:axId val="402841656"/>
      </c:barChart>
      <c:catAx>
        <c:axId val="40284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841656"/>
        <c:crosses val="autoZero"/>
        <c:auto val="1"/>
        <c:lblAlgn val="ctr"/>
        <c:lblOffset val="100"/>
        <c:noMultiLvlLbl val="0"/>
      </c:catAx>
      <c:valAx>
        <c:axId val="402841656"/>
        <c:scaling>
          <c:orientation val="minMax"/>
        </c:scaling>
        <c:delete val="0"/>
        <c:axPos val="l"/>
        <c:majorGridlines>
          <c:spPr>
            <a:ln w="9525" cap="flat" cmpd="sng" algn="ctr">
              <a:solidFill>
                <a:schemeClr val="bg1">
                  <a:lumMod val="9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840344"/>
        <c:crosses val="autoZero"/>
        <c:crossBetween val="between"/>
        <c:dispUnits>
          <c:builtInUnit val="billions"/>
          <c:dispUnitsLbl>
            <c:layout>
              <c:manualLayout>
                <c:xMode val="edge"/>
                <c:yMode val="edge"/>
                <c:x val="1.2620751099024967E-2"/>
                <c:y val="0.33687043807155204"/>
              </c:manualLayout>
            </c:layout>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E" sz="1100">
                      <a:latin typeface="Times New Roman" panose="02020603050405020304" pitchFamily="18" charset="0"/>
                      <a:cs typeface="Times New Roman" panose="02020603050405020304" pitchFamily="18" charset="0"/>
                    </a:rPr>
                    <a:t>A</a:t>
                  </a:r>
                  <a:r>
                    <a:rPr lang="lt-LT" sz="1100">
                      <a:latin typeface="Times New Roman" panose="02020603050405020304" pitchFamily="18" charset="0"/>
                      <a:cs typeface="Times New Roman" panose="02020603050405020304" pitchFamily="18" charset="0"/>
                    </a:rPr>
                    <a:t>TL</a:t>
                  </a:r>
                  <a:r>
                    <a:rPr lang="lt-LT" sz="1100" baseline="0">
                      <a:latin typeface="Times New Roman" panose="02020603050405020304" pitchFamily="18" charset="0"/>
                      <a:cs typeface="Times New Roman" panose="02020603050405020304" pitchFamily="18" charset="0"/>
                    </a:rPr>
                    <a:t> </a:t>
                  </a:r>
                  <a:r>
                    <a:rPr lang="en-IE" sz="1100" baseline="0">
                      <a:latin typeface="Times New Roman" panose="02020603050405020304" pitchFamily="18" charset="0"/>
                      <a:cs typeface="Times New Roman" panose="02020603050405020304" pitchFamily="18" charset="0"/>
                    </a:rPr>
                    <a:t>[</a:t>
                  </a:r>
                  <a:r>
                    <a:rPr lang="lt-LT" sz="1100" baseline="0">
                      <a:latin typeface="Times New Roman" panose="02020603050405020304" pitchFamily="18" charset="0"/>
                      <a:cs typeface="Times New Roman" panose="02020603050405020304" pitchFamily="18" charset="0"/>
                    </a:rPr>
                    <a:t>mlrd.</a:t>
                  </a:r>
                  <a:r>
                    <a:rPr lang="en-IE" sz="1100">
                      <a:latin typeface="Times New Roman" panose="02020603050405020304" pitchFamily="18" charset="0"/>
                      <a:cs typeface="Times New Roman" panose="02020603050405020304" pitchFamily="18" charset="0"/>
                    </a:rPr>
                    <a:t>]</a:t>
                  </a:r>
                </a:p>
              </c:rich>
            </c:tx>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50000"/>
              </a:schemeClr>
            </a:solidFill>
            <a:ln>
              <a:solidFill>
                <a:schemeClr val="tx2">
                  <a:lumMod val="50000"/>
                </a:schemeClr>
              </a:solidFill>
            </a:ln>
            <a:effectLst/>
          </c:spPr>
          <c:invertIfNegative val="0"/>
          <c:dLbls>
            <c:dLbl>
              <c:idx val="0"/>
              <c:tx>
                <c:rich>
                  <a:bodyPr/>
                  <a:lstStyle/>
                  <a:p>
                    <a:fld id="{0CF6F334-918F-41AE-B7B5-69AE3E155129}" type="CELLRANGE">
                      <a:rPr lang="en-US"/>
                      <a:pPr/>
                      <a:t>[CELLRANGE]</a:t>
                    </a:fld>
                    <a:endParaRPr lang="en-GB"/>
                  </a:p>
                </c:rich>
              </c:tx>
              <c:dLblPos val="inBase"/>
              <c:showLegendKey val="0"/>
              <c:showVal val="0"/>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dlblFieldTable/>
                  <c15:showDataLabelsRange val="1"/>
                </c:ext>
                <c:ext xmlns:c16="http://schemas.microsoft.com/office/drawing/2014/chart" uri="{C3380CC4-5D6E-409C-BE32-E72D297353CC}">
                  <c16:uniqueId val="{00000000-A71B-45C1-88C7-343A0768D832}"/>
                </c:ext>
              </c:extLst>
            </c:dLbl>
            <c:dLbl>
              <c:idx val="1"/>
              <c:tx>
                <c:rich>
                  <a:bodyPr/>
                  <a:lstStyle/>
                  <a:p>
                    <a:fld id="{BCE8DCE0-BDE4-40A3-9AB9-E36932F35864}"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71B-45C1-88C7-343A0768D832}"/>
                </c:ext>
              </c:extLst>
            </c:dLbl>
            <c:dLbl>
              <c:idx val="2"/>
              <c:tx>
                <c:rich>
                  <a:bodyPr/>
                  <a:lstStyle/>
                  <a:p>
                    <a:fld id="{652F8A66-E7E8-4DD4-9AC3-04AC708AE0DF}"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1B-45C1-88C7-343A0768D832}"/>
                </c:ext>
              </c:extLst>
            </c:dLbl>
            <c:dLbl>
              <c:idx val="3"/>
              <c:tx>
                <c:rich>
                  <a:bodyPr/>
                  <a:lstStyle/>
                  <a:p>
                    <a:fld id="{D5DBF19D-AA0C-4384-BECE-CC16905C8E96}"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1B-45C1-88C7-343A0768D832}"/>
                </c:ext>
              </c:extLst>
            </c:dLbl>
            <c:dLbl>
              <c:idx val="4"/>
              <c:tx>
                <c:rich>
                  <a:bodyPr/>
                  <a:lstStyle/>
                  <a:p>
                    <a:fld id="{6CC5E6BD-D7C6-4247-9507-831FFB326454}"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1B-45C1-88C7-343A0768D832}"/>
                </c:ext>
              </c:extLst>
            </c:dLbl>
            <c:dLbl>
              <c:idx val="5"/>
              <c:tx>
                <c:rich>
                  <a:bodyPr/>
                  <a:lstStyle/>
                  <a:p>
                    <a:fld id="{A6DE9987-AAC6-4F45-A7A1-B78E1D833FA5}"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1B-45C1-88C7-343A0768D832}"/>
                </c:ext>
              </c:extLst>
            </c:dLbl>
            <c:dLbl>
              <c:idx val="6"/>
              <c:tx>
                <c:rich>
                  <a:bodyPr/>
                  <a:lstStyle/>
                  <a:p>
                    <a:fld id="{281B1AD0-115B-4E92-A52E-1E13F82876DF}"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1B-45C1-88C7-343A0768D832}"/>
                </c:ext>
              </c:extLst>
            </c:dLbl>
            <c:dLbl>
              <c:idx val="7"/>
              <c:tx>
                <c:rich>
                  <a:bodyPr/>
                  <a:lstStyle/>
                  <a:p>
                    <a:fld id="{76F7807C-F378-4AE0-9DD8-DAB5F8E0CE3A}"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1B-45C1-88C7-343A0768D832}"/>
                </c:ext>
              </c:extLst>
            </c:dLbl>
            <c:dLbl>
              <c:idx val="8"/>
              <c:tx>
                <c:rich>
                  <a:bodyPr/>
                  <a:lstStyle/>
                  <a:p>
                    <a:fld id="{FF82FD6B-6AC9-44B6-A6D3-12C066B80C0A}"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1B-45C1-88C7-343A0768D832}"/>
                </c:ext>
              </c:extLst>
            </c:dLbl>
            <c:dLbl>
              <c:idx val="9"/>
              <c:tx>
                <c:rich>
                  <a:bodyPr/>
                  <a:lstStyle/>
                  <a:p>
                    <a:fld id="{812898C7-69D1-465C-8BFD-7A760F166CE1}"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1B-45C1-88C7-343A0768D832}"/>
                </c:ext>
              </c:extLst>
            </c:dLbl>
            <c:dLbl>
              <c:idx val="10"/>
              <c:tx>
                <c:rich>
                  <a:bodyPr/>
                  <a:lstStyle/>
                  <a:p>
                    <a:fld id="{1312605B-4AFA-43DC-B993-837BA827EEBE}"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1B-45C1-88C7-343A0768D832}"/>
                </c:ext>
              </c:extLst>
            </c:dLbl>
            <c:dLbl>
              <c:idx val="11"/>
              <c:tx>
                <c:rich>
                  <a:bodyPr/>
                  <a:lstStyle/>
                  <a:p>
                    <a:fld id="{6DD7F944-799F-48B5-A723-E55E9A428491}"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1B-45C1-88C7-343A0768D83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inBase"/>
            <c:showLegendKey val="0"/>
            <c:showVal val="0"/>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'[CMR 2025 - Figure 4 and 5.xlsx]Figure 4 and 5 for CMR'!$L$62:$W$62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'[CMR 2025 - Figure 4 and 5.xlsx]Figure 4 and 5 for CMR'!$L$75:$W$75</c:f>
              <c:numCache>
                <c:formatCode>General</c:formatCode>
                <c:ptCount val="12"/>
                <c:pt idx="0">
                  <c:v>1465.1596217420004</c:v>
                </c:pt>
                <c:pt idx="1">
                  <c:v>1369.9604189701281</c:v>
                </c:pt>
                <c:pt idx="2">
                  <c:v>1390.3820860482974</c:v>
                </c:pt>
                <c:pt idx="3">
                  <c:v>1362.449932452326</c:v>
                </c:pt>
                <c:pt idx="4">
                  <c:v>1374.2935107444453</c:v>
                </c:pt>
                <c:pt idx="5">
                  <c:v>1315.2279745237258</c:v>
                </c:pt>
                <c:pt idx="6">
                  <c:v>1164.1997691959959</c:v>
                </c:pt>
                <c:pt idx="7">
                  <c:v>1033.4146584767084</c:v>
                </c:pt>
                <c:pt idx="8">
                  <c:v>1106.2056100978305</c:v>
                </c:pt>
                <c:pt idx="9">
                  <c:v>1096.2533764025329</c:v>
                </c:pt>
                <c:pt idx="10">
                  <c:v>902.06136432406913</c:v>
                </c:pt>
                <c:pt idx="11">
                  <c:v>852.13688500242768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02D57815-91ED-43cb-92C2-25804820EDAC}">
              <c15:datalabelsRange>
                <c15:f>'[CMR 2025 - Figure 4 and 5.xlsx]Figure 4 and 5 for CMR'!$L$77:$W$77</c15:f>
                <c15:dlblRangeCache>
                  <c:ptCount val="12"/>
                  <c:pt idx="0">
                    <c:v>87%</c:v>
                  </c:pt>
                  <c:pt idx="1">
                    <c:v>85%</c:v>
                  </c:pt>
                  <c:pt idx="2">
                    <c:v>85%</c:v>
                  </c:pt>
                  <c:pt idx="3">
                    <c:v>85%</c:v>
                  </c:pt>
                  <c:pt idx="4">
                    <c:v>85%</c:v>
                  </c:pt>
                  <c:pt idx="5">
                    <c:v>84%</c:v>
                  </c:pt>
                  <c:pt idx="6">
                    <c:v>82%</c:v>
                  </c:pt>
                  <c:pt idx="7">
                    <c:v>82%</c:v>
                  </c:pt>
                  <c:pt idx="8">
                    <c:v>83%</c:v>
                  </c:pt>
                  <c:pt idx="9">
                    <c:v>83%</c:v>
                  </c:pt>
                  <c:pt idx="10">
                    <c:v>82%</c:v>
                  </c:pt>
                  <c:pt idx="11">
                    <c:v>82%</c:v>
                  </c:pt>
                </c15:dlblRangeCache>
              </c15:datalabelsRange>
            </c:ext>
            <c:ext xmlns:c16="http://schemas.microsoft.com/office/drawing/2014/chart" uri="{C3380CC4-5D6E-409C-BE32-E72D297353CC}">
              <c16:uniqueId val="{0000000C-A71B-45C1-88C7-343A0768D832}"/>
            </c:ext>
          </c:extLst>
        </c:ser>
        <c:dLbls>
          <c:showLegendKey val="0"/>
          <c:showVal val="0"/>
          <c:showCatName val="0"/>
          <c:showSerName val="0"/>
          <c:showPercent val="0"/>
          <c:showBubbleSize val="0"/>
        </c:dLbls>
        <c:gapWidth val="40"/>
        <c:axId val="1698695632"/>
        <c:axId val="1733699280"/>
      </c:barChart>
      <c:catAx>
        <c:axId val="169869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3699280"/>
        <c:crosses val="autoZero"/>
        <c:auto val="1"/>
        <c:lblAlgn val="ctr"/>
        <c:lblOffset val="100"/>
        <c:noMultiLvlLbl val="0"/>
      </c:catAx>
      <c:valAx>
        <c:axId val="1733699280"/>
        <c:scaling>
          <c:orientation val="minMax"/>
        </c:scaling>
        <c:delete val="0"/>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8695632"/>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00" b="0" i="0" u="none" strike="noStrike" baseline="0">
                      <a:effectLst/>
                      <a:latin typeface="Times New Roman" panose="02020603050405020304" pitchFamily="18" charset="0"/>
                      <a:cs typeface="Times New Roman" panose="02020603050405020304" pitchFamily="18" charset="0"/>
                    </a:rPr>
                    <a:t>ŠESD </a:t>
                  </a:r>
                  <a:r>
                    <a:rPr lang="fr-FR" sz="1000" b="0" i="0" u="none" strike="noStrike" baseline="0">
                      <a:effectLst/>
                    </a:rPr>
                    <a:t>(Gt CO</a:t>
                  </a:r>
                  <a:r>
                    <a:rPr lang="fr-FR" sz="1000" b="0" i="0" u="none" strike="noStrike" baseline="-25000">
                      <a:effectLst/>
                    </a:rPr>
                    <a:t>2</a:t>
                  </a:r>
                  <a:r>
                    <a:rPr lang="lt-LT" sz="1000" b="0" i="0" u="none" strike="noStrike" baseline="0">
                      <a:effectLst/>
                    </a:rPr>
                    <a:t>e)</a:t>
                  </a:r>
                  <a:endParaRPr lang="en-US">
                    <a:latin typeface="Times New Roman" panose="02020603050405020304" pitchFamily="18" charset="0"/>
                    <a:cs typeface="Times New Roman" panose="02020603050405020304" pitchFamily="18" charset="0"/>
                  </a:endParaRP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70C0621B-6072-448D-8136-B4916A485EB4}">
    <t:Anchor>
      <t:Comment id="1471632134"/>
    </t:Anchor>
    <t:History>
      <t:Event time="2025-08-29T09:47:36.189Z" id="{22FAAED5-FA82-4FB6-B833-92FC47DD94C8}">
        <t:Attribution userId="S::Miles.PERRY@ec.europa.eu::0076d01d-dfbb-4af7-9a59-25c762b425ca" userName="PERRY Miles (CLIMA)" userProvider="AD"/>
        <t:Anchor>
          <t:Comment id="1471632134"/>
        </t:Anchor>
        <t:Create/>
      </t:Event>
      <t:Event time="2025-08-29T09:47:36.189Z" id="{E19E0770-31D3-4512-9F2C-C02B9934329B}">
        <t:Attribution userId="S::Miles.PERRY@ec.europa.eu::0076d01d-dfbb-4af7-9a59-25c762b425ca" userName="PERRY Miles (CLIMA)" userProvider="AD"/>
        <t:Anchor>
          <t:Comment id="1471632134"/>
        </t:Anchor>
        <t:Assign userId="S::Miles.PERRY@ec.europa.eu::0076d01d-dfbb-4af7-9a59-25c762b425ca" userName="PERRY Miles (CLIMA)" userProvider="AD"/>
      </t:Event>
      <t:Event time="2025-08-29T09:47:36.189Z" id="{D0EDD46E-FDDA-4254-B2A6-76C6D1844262}">
        <t:Attribution userId="S::Miles.PERRY@ec.europa.eu::0076d01d-dfbb-4af7-9a59-25c762b425ca" userName="PERRY Miles (CLIMA)" userProvider="AD"/>
        <t:Anchor>
          <t:Comment id="1471632134"/>
        </t:Anchor>
        <t:SetTitle title="@PERRY Miles (CLIMA) @ZIEMANN Julia (CLIMA) Need to create an additional level of Heading for these level 3 sections (not only in maritime)."/>
      </t:Event>
      <t:Event time="2025-08-31T22:54:58.902Z" id="{9C05BB93-418D-499B-87EA-141562211D97}">
        <t:Attribution userId="S::Miles.PERRY@ec.europa.eu::0076d01d-dfbb-4af7-9a59-25c762b425ca" userName="PERRY Miles (CLIMA)" userProvider="A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4a234-126e-4e9d-9424-56879817f6db" xsi:nil="true"/>
    <Time xmlns="e454a234-126e-4e9d-9424-56879817f6db" xsi:nil="true"/>
    <TaxCatchAll xmlns="e1a78ac4-7176-4dde-ad25-36245d50a152" xsi:nil="true"/>
    <Person xmlns="e454a234-126e-4e9d-9424-56879817f6db">
      <UserInfo>
        <DisplayName/>
        <AccountId xsi:nil="true"/>
        <AccountType/>
      </UserInfo>
    </Person>
    <Topic xmlns="e454a234-126e-4e9d-9424-56879817f6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9234BE3910874EAD93E4EEEE4C73D0" ma:contentTypeVersion="23" ma:contentTypeDescription="Create a new document." ma:contentTypeScope="" ma:versionID="0b07422cb120a4fcd6063ca8d97317d5">
  <xsd:schema xmlns:xsd="http://www.w3.org/2001/XMLSchema" xmlns:xs="http://www.w3.org/2001/XMLSchema" xmlns:p="http://schemas.microsoft.com/office/2006/metadata/properties" xmlns:ns2="e454a234-126e-4e9d-9424-56879817f6db" xmlns:ns3="e1a78ac4-7176-4dde-ad25-36245d50a152" targetNamespace="http://schemas.microsoft.com/office/2006/metadata/properties" ma:root="true" ma:fieldsID="c8b7c09b12f681c4c1ce221b06d1d2b4" ns2:_="" ns3:_="">
    <xsd:import namespace="e454a234-126e-4e9d-9424-56879817f6db"/>
    <xsd:import namespace="e1a78ac4-7176-4dde-ad25-36245d50a152"/>
    <xsd:element name="properties">
      <xsd:complexType>
        <xsd:sequence>
          <xsd:element name="documentManagement">
            <xsd:complexType>
              <xsd:all>
                <xsd:element ref="ns2:lcf76f155ced4ddcb4097134ff3c332f" minOccurs="0"/>
                <xsd:element ref="ns3:TaxCatchAll" minOccurs="0"/>
                <xsd:element ref="ns2:Person" minOccurs="0"/>
                <xsd:element ref="ns2:Time"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a234-126e-4e9d-9424-56879817f6db"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element name="Person" ma:index="1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me" ma:index="11" nillable="true" ma:displayName="Time" ma:format="DateOnly" ma:internalName="Time">
      <xsd:simpleType>
        <xsd:restriction base="dms:DateTime"/>
      </xsd:simpleType>
    </xsd:element>
    <xsd:element name="Topic" ma:index="12" nillable="true" ma:displayName="Topic" ma:format="Dropdown" ma:internalName="Topi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8ac4-7176-4dde-ad25-36245d50a1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d0b7d13-719b-4003-a7dc-61b8783e7929}" ma:internalName="TaxCatchAll" ma:showField="CatchAllData" ma:web="e1a78ac4-7176-4dde-ad25-36245d50a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41FF-26A6-41EE-A66C-B45811ED62D1}">
  <ds:schemaRefs>
    <ds:schemaRef ds:uri="http://schemas.microsoft.com/sharepoint/v3/contenttype/forms"/>
  </ds:schemaRefs>
</ds:datastoreItem>
</file>

<file path=customXml/itemProps2.xml><?xml version="1.0" encoding="utf-8"?>
<ds:datastoreItem xmlns:ds="http://schemas.openxmlformats.org/officeDocument/2006/customXml" ds:itemID="{A2A7E9D1-9F24-4EB1-9A0F-F7BB9471994E}">
  <ds:schemaRefs>
    <ds:schemaRef ds:uri="http://schemas.microsoft.com/office/2006/metadata/properties"/>
    <ds:schemaRef ds:uri="http://schemas.microsoft.com/office/infopath/2007/PartnerControls"/>
    <ds:schemaRef ds:uri="e454a234-126e-4e9d-9424-56879817f6db"/>
    <ds:schemaRef ds:uri="e1a78ac4-7176-4dde-ad25-36245d50a152"/>
  </ds:schemaRefs>
</ds:datastoreItem>
</file>

<file path=customXml/itemProps3.xml><?xml version="1.0" encoding="utf-8"?>
<ds:datastoreItem xmlns:ds="http://schemas.openxmlformats.org/officeDocument/2006/customXml" ds:itemID="{FBBF3F36-5DEB-435A-8336-7521544F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a234-126e-4e9d-9424-56879817f6db"/>
    <ds:schemaRef ds:uri="e1a78ac4-7176-4dde-ad25-36245d50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9D4AC-B50F-40BE-B467-4536DAE2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20355</Words>
  <Characters>116028</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136111</CharactersWithSpaces>
  <SharedDoc>false</SharedDoc>
  <HLinks>
    <vt:vector size="786" baseType="variant">
      <vt:variant>
        <vt:i4>8192067</vt:i4>
      </vt:variant>
      <vt:variant>
        <vt:i4>273</vt:i4>
      </vt:variant>
      <vt:variant>
        <vt:i4>0</vt:i4>
      </vt:variant>
      <vt:variant>
        <vt:i4>5</vt:i4>
      </vt:variant>
      <vt:variant>
        <vt:lpwstr>https://euc-word-edit.officeapps.live.com/we/wordeditorframe.aspx?ui=en-US&amp;rs=en-IE&amp;wopisrc=https%3A%2F%2Feceuropaeu.sharepoint.com%2Fteams%2FGRP-PRO-DG-CLIMA-Unit-B1%2F_vti_bin%2Fwopi.ashx%2Ffiles%2Facc4252787a84dbdab8548746684a965&amp;wdenableroaming=1&amp;mscc=1&amp;hid=8C06B9A1-6023-0000-00D3-045EC802F0CC.0&amp;uih=sharepointcom&amp;wdlcid=en-US&amp;jsapi=1&amp;jsapiver=v2&amp;corrid=3bc90275-cdf3-3b1b-1a72-07f85bc349f0&amp;usid=3bc90275-cdf3-3b1b-1a72-07f85bc349f0&amp;newsession=1&amp;sftc=1&amp;uihit=docaspx&amp;muv=1&amp;ats=PairwiseBroker&amp;cac=1&amp;sams=1&amp;mtf=1&amp;sfp=1&amp;sdp=1&amp;hch=1&amp;hwfh=1&amp;dchat=1&amp;sc=%7B%22pmo%22%3A%22https%3A%2F%2Feceuropaeu.sharepoint.com%22%2C%22pmshare%22%3Atrue%7D&amp;ctp=LeastProtected&amp;rct=Normal&amp;wdorigin=ItemsView&amp;wdhostclicktime=1754464512569&amp;afdflight=82&amp;csiro=1&amp;instantedit=1&amp;wopicomplete=1&amp;wdredirectionreason=Unified_SingleFlush</vt:lpwstr>
      </vt:variant>
      <vt:variant>
        <vt:lpwstr>_ftn3</vt:lpwstr>
      </vt:variant>
      <vt:variant>
        <vt:i4>1441854</vt:i4>
      </vt:variant>
      <vt:variant>
        <vt:i4>242</vt:i4>
      </vt:variant>
      <vt:variant>
        <vt:i4>0</vt:i4>
      </vt:variant>
      <vt:variant>
        <vt:i4>5</vt:i4>
      </vt:variant>
      <vt:variant>
        <vt:lpwstr/>
      </vt:variant>
      <vt:variant>
        <vt:lpwstr>_Toc212387647</vt:lpwstr>
      </vt:variant>
      <vt:variant>
        <vt:i4>1441854</vt:i4>
      </vt:variant>
      <vt:variant>
        <vt:i4>236</vt:i4>
      </vt:variant>
      <vt:variant>
        <vt:i4>0</vt:i4>
      </vt:variant>
      <vt:variant>
        <vt:i4>5</vt:i4>
      </vt:variant>
      <vt:variant>
        <vt:lpwstr/>
      </vt:variant>
      <vt:variant>
        <vt:lpwstr>_Toc212387646</vt:lpwstr>
      </vt:variant>
      <vt:variant>
        <vt:i4>1441854</vt:i4>
      </vt:variant>
      <vt:variant>
        <vt:i4>230</vt:i4>
      </vt:variant>
      <vt:variant>
        <vt:i4>0</vt:i4>
      </vt:variant>
      <vt:variant>
        <vt:i4>5</vt:i4>
      </vt:variant>
      <vt:variant>
        <vt:lpwstr/>
      </vt:variant>
      <vt:variant>
        <vt:lpwstr>_Toc212387645</vt:lpwstr>
      </vt:variant>
      <vt:variant>
        <vt:i4>1441854</vt:i4>
      </vt:variant>
      <vt:variant>
        <vt:i4>224</vt:i4>
      </vt:variant>
      <vt:variant>
        <vt:i4>0</vt:i4>
      </vt:variant>
      <vt:variant>
        <vt:i4>5</vt:i4>
      </vt:variant>
      <vt:variant>
        <vt:lpwstr/>
      </vt:variant>
      <vt:variant>
        <vt:lpwstr>_Toc212387644</vt:lpwstr>
      </vt:variant>
      <vt:variant>
        <vt:i4>1441854</vt:i4>
      </vt:variant>
      <vt:variant>
        <vt:i4>218</vt:i4>
      </vt:variant>
      <vt:variant>
        <vt:i4>0</vt:i4>
      </vt:variant>
      <vt:variant>
        <vt:i4>5</vt:i4>
      </vt:variant>
      <vt:variant>
        <vt:lpwstr/>
      </vt:variant>
      <vt:variant>
        <vt:lpwstr>_Toc212387643</vt:lpwstr>
      </vt:variant>
      <vt:variant>
        <vt:i4>1441854</vt:i4>
      </vt:variant>
      <vt:variant>
        <vt:i4>212</vt:i4>
      </vt:variant>
      <vt:variant>
        <vt:i4>0</vt:i4>
      </vt:variant>
      <vt:variant>
        <vt:i4>5</vt:i4>
      </vt:variant>
      <vt:variant>
        <vt:lpwstr/>
      </vt:variant>
      <vt:variant>
        <vt:lpwstr>_Toc212387642</vt:lpwstr>
      </vt:variant>
      <vt:variant>
        <vt:i4>1441854</vt:i4>
      </vt:variant>
      <vt:variant>
        <vt:i4>206</vt:i4>
      </vt:variant>
      <vt:variant>
        <vt:i4>0</vt:i4>
      </vt:variant>
      <vt:variant>
        <vt:i4>5</vt:i4>
      </vt:variant>
      <vt:variant>
        <vt:lpwstr/>
      </vt:variant>
      <vt:variant>
        <vt:lpwstr>_Toc212387641</vt:lpwstr>
      </vt:variant>
      <vt:variant>
        <vt:i4>1441854</vt:i4>
      </vt:variant>
      <vt:variant>
        <vt:i4>200</vt:i4>
      </vt:variant>
      <vt:variant>
        <vt:i4>0</vt:i4>
      </vt:variant>
      <vt:variant>
        <vt:i4>5</vt:i4>
      </vt:variant>
      <vt:variant>
        <vt:lpwstr/>
      </vt:variant>
      <vt:variant>
        <vt:lpwstr>_Toc212387640</vt:lpwstr>
      </vt:variant>
      <vt:variant>
        <vt:i4>1114174</vt:i4>
      </vt:variant>
      <vt:variant>
        <vt:i4>194</vt:i4>
      </vt:variant>
      <vt:variant>
        <vt:i4>0</vt:i4>
      </vt:variant>
      <vt:variant>
        <vt:i4>5</vt:i4>
      </vt:variant>
      <vt:variant>
        <vt:lpwstr/>
      </vt:variant>
      <vt:variant>
        <vt:lpwstr>_Toc212387639</vt:lpwstr>
      </vt:variant>
      <vt:variant>
        <vt:i4>1114174</vt:i4>
      </vt:variant>
      <vt:variant>
        <vt:i4>188</vt:i4>
      </vt:variant>
      <vt:variant>
        <vt:i4>0</vt:i4>
      </vt:variant>
      <vt:variant>
        <vt:i4>5</vt:i4>
      </vt:variant>
      <vt:variant>
        <vt:lpwstr/>
      </vt:variant>
      <vt:variant>
        <vt:lpwstr>_Toc212387638</vt:lpwstr>
      </vt:variant>
      <vt:variant>
        <vt:i4>1114174</vt:i4>
      </vt:variant>
      <vt:variant>
        <vt:i4>182</vt:i4>
      </vt:variant>
      <vt:variant>
        <vt:i4>0</vt:i4>
      </vt:variant>
      <vt:variant>
        <vt:i4>5</vt:i4>
      </vt:variant>
      <vt:variant>
        <vt:lpwstr/>
      </vt:variant>
      <vt:variant>
        <vt:lpwstr>_Toc212387637</vt:lpwstr>
      </vt:variant>
      <vt:variant>
        <vt:i4>1114174</vt:i4>
      </vt:variant>
      <vt:variant>
        <vt:i4>176</vt:i4>
      </vt:variant>
      <vt:variant>
        <vt:i4>0</vt:i4>
      </vt:variant>
      <vt:variant>
        <vt:i4>5</vt:i4>
      </vt:variant>
      <vt:variant>
        <vt:lpwstr/>
      </vt:variant>
      <vt:variant>
        <vt:lpwstr>_Toc212387636</vt:lpwstr>
      </vt:variant>
      <vt:variant>
        <vt:i4>1114174</vt:i4>
      </vt:variant>
      <vt:variant>
        <vt:i4>170</vt:i4>
      </vt:variant>
      <vt:variant>
        <vt:i4>0</vt:i4>
      </vt:variant>
      <vt:variant>
        <vt:i4>5</vt:i4>
      </vt:variant>
      <vt:variant>
        <vt:lpwstr/>
      </vt:variant>
      <vt:variant>
        <vt:lpwstr>_Toc212387635</vt:lpwstr>
      </vt:variant>
      <vt:variant>
        <vt:i4>1114174</vt:i4>
      </vt:variant>
      <vt:variant>
        <vt:i4>164</vt:i4>
      </vt:variant>
      <vt:variant>
        <vt:i4>0</vt:i4>
      </vt:variant>
      <vt:variant>
        <vt:i4>5</vt:i4>
      </vt:variant>
      <vt:variant>
        <vt:lpwstr/>
      </vt:variant>
      <vt:variant>
        <vt:lpwstr>_Toc212387634</vt:lpwstr>
      </vt:variant>
      <vt:variant>
        <vt:i4>1114174</vt:i4>
      </vt:variant>
      <vt:variant>
        <vt:i4>158</vt:i4>
      </vt:variant>
      <vt:variant>
        <vt:i4>0</vt:i4>
      </vt:variant>
      <vt:variant>
        <vt:i4>5</vt:i4>
      </vt:variant>
      <vt:variant>
        <vt:lpwstr/>
      </vt:variant>
      <vt:variant>
        <vt:lpwstr>_Toc212387633</vt:lpwstr>
      </vt:variant>
      <vt:variant>
        <vt:i4>1114174</vt:i4>
      </vt:variant>
      <vt:variant>
        <vt:i4>152</vt:i4>
      </vt:variant>
      <vt:variant>
        <vt:i4>0</vt:i4>
      </vt:variant>
      <vt:variant>
        <vt:i4>5</vt:i4>
      </vt:variant>
      <vt:variant>
        <vt:lpwstr/>
      </vt:variant>
      <vt:variant>
        <vt:lpwstr>_Toc212387632</vt:lpwstr>
      </vt:variant>
      <vt:variant>
        <vt:i4>1114174</vt:i4>
      </vt:variant>
      <vt:variant>
        <vt:i4>146</vt:i4>
      </vt:variant>
      <vt:variant>
        <vt:i4>0</vt:i4>
      </vt:variant>
      <vt:variant>
        <vt:i4>5</vt:i4>
      </vt:variant>
      <vt:variant>
        <vt:lpwstr/>
      </vt:variant>
      <vt:variant>
        <vt:lpwstr>_Toc212387631</vt:lpwstr>
      </vt:variant>
      <vt:variant>
        <vt:i4>1114174</vt:i4>
      </vt:variant>
      <vt:variant>
        <vt:i4>140</vt:i4>
      </vt:variant>
      <vt:variant>
        <vt:i4>0</vt:i4>
      </vt:variant>
      <vt:variant>
        <vt:i4>5</vt:i4>
      </vt:variant>
      <vt:variant>
        <vt:lpwstr/>
      </vt:variant>
      <vt:variant>
        <vt:lpwstr>_Toc212387630</vt:lpwstr>
      </vt:variant>
      <vt:variant>
        <vt:i4>1048638</vt:i4>
      </vt:variant>
      <vt:variant>
        <vt:i4>134</vt:i4>
      </vt:variant>
      <vt:variant>
        <vt:i4>0</vt:i4>
      </vt:variant>
      <vt:variant>
        <vt:i4>5</vt:i4>
      </vt:variant>
      <vt:variant>
        <vt:lpwstr/>
      </vt:variant>
      <vt:variant>
        <vt:lpwstr>_Toc212387629</vt:lpwstr>
      </vt:variant>
      <vt:variant>
        <vt:i4>1048638</vt:i4>
      </vt:variant>
      <vt:variant>
        <vt:i4>128</vt:i4>
      </vt:variant>
      <vt:variant>
        <vt:i4>0</vt:i4>
      </vt:variant>
      <vt:variant>
        <vt:i4>5</vt:i4>
      </vt:variant>
      <vt:variant>
        <vt:lpwstr/>
      </vt:variant>
      <vt:variant>
        <vt:lpwstr>_Toc212387628</vt:lpwstr>
      </vt:variant>
      <vt:variant>
        <vt:i4>1048638</vt:i4>
      </vt:variant>
      <vt:variant>
        <vt:i4>122</vt:i4>
      </vt:variant>
      <vt:variant>
        <vt:i4>0</vt:i4>
      </vt:variant>
      <vt:variant>
        <vt:i4>5</vt:i4>
      </vt:variant>
      <vt:variant>
        <vt:lpwstr/>
      </vt:variant>
      <vt:variant>
        <vt:lpwstr>_Toc212387627</vt:lpwstr>
      </vt:variant>
      <vt:variant>
        <vt:i4>1048638</vt:i4>
      </vt:variant>
      <vt:variant>
        <vt:i4>116</vt:i4>
      </vt:variant>
      <vt:variant>
        <vt:i4>0</vt:i4>
      </vt:variant>
      <vt:variant>
        <vt:i4>5</vt:i4>
      </vt:variant>
      <vt:variant>
        <vt:lpwstr/>
      </vt:variant>
      <vt:variant>
        <vt:lpwstr>_Toc212387626</vt:lpwstr>
      </vt:variant>
      <vt:variant>
        <vt:i4>1048638</vt:i4>
      </vt:variant>
      <vt:variant>
        <vt:i4>110</vt:i4>
      </vt:variant>
      <vt:variant>
        <vt:i4>0</vt:i4>
      </vt:variant>
      <vt:variant>
        <vt:i4>5</vt:i4>
      </vt:variant>
      <vt:variant>
        <vt:lpwstr/>
      </vt:variant>
      <vt:variant>
        <vt:lpwstr>_Toc212387625</vt:lpwstr>
      </vt:variant>
      <vt:variant>
        <vt:i4>1048638</vt:i4>
      </vt:variant>
      <vt:variant>
        <vt:i4>104</vt:i4>
      </vt:variant>
      <vt:variant>
        <vt:i4>0</vt:i4>
      </vt:variant>
      <vt:variant>
        <vt:i4>5</vt:i4>
      </vt:variant>
      <vt:variant>
        <vt:lpwstr/>
      </vt:variant>
      <vt:variant>
        <vt:lpwstr>_Toc212387624</vt:lpwstr>
      </vt:variant>
      <vt:variant>
        <vt:i4>1048638</vt:i4>
      </vt:variant>
      <vt:variant>
        <vt:i4>98</vt:i4>
      </vt:variant>
      <vt:variant>
        <vt:i4>0</vt:i4>
      </vt:variant>
      <vt:variant>
        <vt:i4>5</vt:i4>
      </vt:variant>
      <vt:variant>
        <vt:lpwstr/>
      </vt:variant>
      <vt:variant>
        <vt:lpwstr>_Toc212387623</vt:lpwstr>
      </vt:variant>
      <vt:variant>
        <vt:i4>1048638</vt:i4>
      </vt:variant>
      <vt:variant>
        <vt:i4>92</vt:i4>
      </vt:variant>
      <vt:variant>
        <vt:i4>0</vt:i4>
      </vt:variant>
      <vt:variant>
        <vt:i4>5</vt:i4>
      </vt:variant>
      <vt:variant>
        <vt:lpwstr/>
      </vt:variant>
      <vt:variant>
        <vt:lpwstr>_Toc212387622</vt:lpwstr>
      </vt:variant>
      <vt:variant>
        <vt:i4>1048638</vt:i4>
      </vt:variant>
      <vt:variant>
        <vt:i4>86</vt:i4>
      </vt:variant>
      <vt:variant>
        <vt:i4>0</vt:i4>
      </vt:variant>
      <vt:variant>
        <vt:i4>5</vt:i4>
      </vt:variant>
      <vt:variant>
        <vt:lpwstr/>
      </vt:variant>
      <vt:variant>
        <vt:lpwstr>_Toc212387621</vt:lpwstr>
      </vt:variant>
      <vt:variant>
        <vt:i4>1048638</vt:i4>
      </vt:variant>
      <vt:variant>
        <vt:i4>80</vt:i4>
      </vt:variant>
      <vt:variant>
        <vt:i4>0</vt:i4>
      </vt:variant>
      <vt:variant>
        <vt:i4>5</vt:i4>
      </vt:variant>
      <vt:variant>
        <vt:lpwstr/>
      </vt:variant>
      <vt:variant>
        <vt:lpwstr>_Toc212387620</vt:lpwstr>
      </vt:variant>
      <vt:variant>
        <vt:i4>1245246</vt:i4>
      </vt:variant>
      <vt:variant>
        <vt:i4>74</vt:i4>
      </vt:variant>
      <vt:variant>
        <vt:i4>0</vt:i4>
      </vt:variant>
      <vt:variant>
        <vt:i4>5</vt:i4>
      </vt:variant>
      <vt:variant>
        <vt:lpwstr/>
      </vt:variant>
      <vt:variant>
        <vt:lpwstr>_Toc212387619</vt:lpwstr>
      </vt:variant>
      <vt:variant>
        <vt:i4>1245246</vt:i4>
      </vt:variant>
      <vt:variant>
        <vt:i4>68</vt:i4>
      </vt:variant>
      <vt:variant>
        <vt:i4>0</vt:i4>
      </vt:variant>
      <vt:variant>
        <vt:i4>5</vt:i4>
      </vt:variant>
      <vt:variant>
        <vt:lpwstr/>
      </vt:variant>
      <vt:variant>
        <vt:lpwstr>_Toc212387618</vt:lpwstr>
      </vt:variant>
      <vt:variant>
        <vt:i4>1245246</vt:i4>
      </vt:variant>
      <vt:variant>
        <vt:i4>62</vt:i4>
      </vt:variant>
      <vt:variant>
        <vt:i4>0</vt:i4>
      </vt:variant>
      <vt:variant>
        <vt:i4>5</vt:i4>
      </vt:variant>
      <vt:variant>
        <vt:lpwstr/>
      </vt:variant>
      <vt:variant>
        <vt:lpwstr>_Toc212387617</vt:lpwstr>
      </vt:variant>
      <vt:variant>
        <vt:i4>1245246</vt:i4>
      </vt:variant>
      <vt:variant>
        <vt:i4>56</vt:i4>
      </vt:variant>
      <vt:variant>
        <vt:i4>0</vt:i4>
      </vt:variant>
      <vt:variant>
        <vt:i4>5</vt:i4>
      </vt:variant>
      <vt:variant>
        <vt:lpwstr/>
      </vt:variant>
      <vt:variant>
        <vt:lpwstr>_Toc212387616</vt:lpwstr>
      </vt:variant>
      <vt:variant>
        <vt:i4>1245246</vt:i4>
      </vt:variant>
      <vt:variant>
        <vt:i4>50</vt:i4>
      </vt:variant>
      <vt:variant>
        <vt:i4>0</vt:i4>
      </vt:variant>
      <vt:variant>
        <vt:i4>5</vt:i4>
      </vt:variant>
      <vt:variant>
        <vt:lpwstr/>
      </vt:variant>
      <vt:variant>
        <vt:lpwstr>_Toc212387615</vt:lpwstr>
      </vt:variant>
      <vt:variant>
        <vt:i4>1245246</vt:i4>
      </vt:variant>
      <vt:variant>
        <vt:i4>44</vt:i4>
      </vt:variant>
      <vt:variant>
        <vt:i4>0</vt:i4>
      </vt:variant>
      <vt:variant>
        <vt:i4>5</vt:i4>
      </vt:variant>
      <vt:variant>
        <vt:lpwstr/>
      </vt:variant>
      <vt:variant>
        <vt:lpwstr>_Toc212387614</vt:lpwstr>
      </vt:variant>
      <vt:variant>
        <vt:i4>1245246</vt:i4>
      </vt:variant>
      <vt:variant>
        <vt:i4>38</vt:i4>
      </vt:variant>
      <vt:variant>
        <vt:i4>0</vt:i4>
      </vt:variant>
      <vt:variant>
        <vt:i4>5</vt:i4>
      </vt:variant>
      <vt:variant>
        <vt:lpwstr/>
      </vt:variant>
      <vt:variant>
        <vt:lpwstr>_Toc212387613</vt:lpwstr>
      </vt:variant>
      <vt:variant>
        <vt:i4>1245246</vt:i4>
      </vt:variant>
      <vt:variant>
        <vt:i4>32</vt:i4>
      </vt:variant>
      <vt:variant>
        <vt:i4>0</vt:i4>
      </vt:variant>
      <vt:variant>
        <vt:i4>5</vt:i4>
      </vt:variant>
      <vt:variant>
        <vt:lpwstr/>
      </vt:variant>
      <vt:variant>
        <vt:lpwstr>_Toc212387612</vt:lpwstr>
      </vt:variant>
      <vt:variant>
        <vt:i4>1245246</vt:i4>
      </vt:variant>
      <vt:variant>
        <vt:i4>26</vt:i4>
      </vt:variant>
      <vt:variant>
        <vt:i4>0</vt:i4>
      </vt:variant>
      <vt:variant>
        <vt:i4>5</vt:i4>
      </vt:variant>
      <vt:variant>
        <vt:lpwstr/>
      </vt:variant>
      <vt:variant>
        <vt:lpwstr>_Toc212387611</vt:lpwstr>
      </vt:variant>
      <vt:variant>
        <vt:i4>1245246</vt:i4>
      </vt:variant>
      <vt:variant>
        <vt:i4>20</vt:i4>
      </vt:variant>
      <vt:variant>
        <vt:i4>0</vt:i4>
      </vt:variant>
      <vt:variant>
        <vt:i4>5</vt:i4>
      </vt:variant>
      <vt:variant>
        <vt:lpwstr/>
      </vt:variant>
      <vt:variant>
        <vt:lpwstr>_Toc212387610</vt:lpwstr>
      </vt:variant>
      <vt:variant>
        <vt:i4>1179710</vt:i4>
      </vt:variant>
      <vt:variant>
        <vt:i4>14</vt:i4>
      </vt:variant>
      <vt:variant>
        <vt:i4>0</vt:i4>
      </vt:variant>
      <vt:variant>
        <vt:i4>5</vt:i4>
      </vt:variant>
      <vt:variant>
        <vt:lpwstr/>
      </vt:variant>
      <vt:variant>
        <vt:lpwstr>_Toc212387609</vt:lpwstr>
      </vt:variant>
      <vt:variant>
        <vt:i4>1179710</vt:i4>
      </vt:variant>
      <vt:variant>
        <vt:i4>8</vt:i4>
      </vt:variant>
      <vt:variant>
        <vt:i4>0</vt:i4>
      </vt:variant>
      <vt:variant>
        <vt:i4>5</vt:i4>
      </vt:variant>
      <vt:variant>
        <vt:lpwstr/>
      </vt:variant>
      <vt:variant>
        <vt:lpwstr>_Toc212387608</vt:lpwstr>
      </vt:variant>
      <vt:variant>
        <vt:i4>1179710</vt:i4>
      </vt:variant>
      <vt:variant>
        <vt:i4>2</vt:i4>
      </vt:variant>
      <vt:variant>
        <vt:i4>0</vt:i4>
      </vt:variant>
      <vt:variant>
        <vt:i4>5</vt:i4>
      </vt:variant>
      <vt:variant>
        <vt:lpwstr/>
      </vt:variant>
      <vt:variant>
        <vt:lpwstr>_Toc212387607</vt:lpwstr>
      </vt:variant>
      <vt:variant>
        <vt:i4>6488171</vt:i4>
      </vt:variant>
      <vt:variant>
        <vt:i4>237</vt:i4>
      </vt:variant>
      <vt:variant>
        <vt:i4>0</vt:i4>
      </vt:variant>
      <vt:variant>
        <vt:i4>5</vt:i4>
      </vt:variant>
      <vt:variant>
        <vt:lpwstr>https://eur-lex.europa.eu/legal-content/EN/TXT/?uri=CELEX%3A22017A1207%2801%29</vt:lpwstr>
      </vt:variant>
      <vt:variant>
        <vt:lpwstr/>
      </vt:variant>
      <vt:variant>
        <vt:i4>5242991</vt:i4>
      </vt:variant>
      <vt:variant>
        <vt:i4>234</vt:i4>
      </vt:variant>
      <vt:variant>
        <vt:i4>0</vt:i4>
      </vt:variant>
      <vt:variant>
        <vt:i4>5</vt:i4>
      </vt:variant>
      <vt:variant>
        <vt:lpwstr>https://commission.europa.eu/publications/commission-assessment-final-updated-national-energy-and-climate-plan-slovakia_en</vt:lpwstr>
      </vt:variant>
      <vt:variant>
        <vt:lpwstr/>
      </vt:variant>
      <vt:variant>
        <vt:i4>917552</vt:i4>
      </vt:variant>
      <vt:variant>
        <vt:i4>231</vt:i4>
      </vt:variant>
      <vt:variant>
        <vt:i4>0</vt:i4>
      </vt:variant>
      <vt:variant>
        <vt:i4>5</vt:i4>
      </vt:variant>
      <vt:variant>
        <vt:lpwstr>https://commission.europa.eu/publications/commission-assessment-final-updated-national-energy-and-climate-plan-estonia_en</vt:lpwstr>
      </vt:variant>
      <vt:variant>
        <vt:lpwstr/>
      </vt:variant>
      <vt:variant>
        <vt:i4>3342425</vt:i4>
      </vt:variant>
      <vt:variant>
        <vt:i4>228</vt:i4>
      </vt:variant>
      <vt:variant>
        <vt:i4>0</vt:i4>
      </vt:variant>
      <vt:variant>
        <vt:i4>5</vt:i4>
      </vt:variant>
      <vt:variant>
        <vt:lpwstr>https://commission.europa.eu/publications/commission-staff-working-document-delivering-unions-2030-energy-and-climate-objectives_en</vt:lpwstr>
      </vt:variant>
      <vt:variant>
        <vt:lpwstr/>
      </vt:variant>
      <vt:variant>
        <vt:i4>917507</vt:i4>
      </vt:variant>
      <vt:variant>
        <vt:i4>225</vt:i4>
      </vt:variant>
      <vt:variant>
        <vt:i4>0</vt:i4>
      </vt:variant>
      <vt:variant>
        <vt:i4>5</vt:i4>
      </vt:variant>
      <vt:variant>
        <vt:lpwstr>https://eur-lex.europa.eu/legal-content/EN/TXT/?uri=CELEX%3A52025DC0274&amp;qid=1749138488640</vt:lpwstr>
      </vt:variant>
      <vt:variant>
        <vt:lpwstr/>
      </vt:variant>
      <vt:variant>
        <vt:i4>5111838</vt:i4>
      </vt:variant>
      <vt:variant>
        <vt:i4>222</vt:i4>
      </vt:variant>
      <vt:variant>
        <vt:i4>0</vt:i4>
      </vt:variant>
      <vt:variant>
        <vt:i4>5</vt:i4>
      </vt:variant>
      <vt:variant>
        <vt:lpwstr>https://eur-lex.europa.eu/legal-content/EN/TXT/?uri=OJ%3AJOL_2023_231_R_0001&amp;qid=1695186598766</vt:lpwstr>
      </vt:variant>
      <vt:variant>
        <vt:lpwstr/>
      </vt:variant>
      <vt:variant>
        <vt:i4>5111838</vt:i4>
      </vt:variant>
      <vt:variant>
        <vt:i4>219</vt:i4>
      </vt:variant>
      <vt:variant>
        <vt:i4>0</vt:i4>
      </vt:variant>
      <vt:variant>
        <vt:i4>5</vt:i4>
      </vt:variant>
      <vt:variant>
        <vt:lpwstr>https://eur-lex.europa.eu/legal-content/EN/TXT/?uri=OJ%3AJOL_2023_231_R_0001&amp;qid=1695186598766</vt:lpwstr>
      </vt:variant>
      <vt:variant>
        <vt:lpwstr/>
      </vt:variant>
      <vt:variant>
        <vt:i4>393250</vt:i4>
      </vt:variant>
      <vt:variant>
        <vt:i4>216</vt:i4>
      </vt:variant>
      <vt:variant>
        <vt:i4>0</vt:i4>
      </vt:variant>
      <vt:variant>
        <vt:i4>5</vt:i4>
      </vt:variant>
      <vt:variant>
        <vt:lpwstr>https://climate.ec.europa.eu/eu-action/eu-emissions-trading-system-eu-ets/ets2-buildings-road-transport-and-additional-sectors_en</vt:lpwstr>
      </vt:variant>
      <vt:variant>
        <vt:lpwstr>documentation</vt:lpwstr>
      </vt:variant>
      <vt:variant>
        <vt:i4>2555929</vt:i4>
      </vt:variant>
      <vt:variant>
        <vt:i4>213</vt:i4>
      </vt:variant>
      <vt:variant>
        <vt:i4>0</vt:i4>
      </vt:variant>
      <vt:variant>
        <vt:i4>5</vt:i4>
      </vt:variant>
      <vt:variant>
        <vt:lpwstr>https://climate.ec.europa.eu/document/download/49772f68-3432-40c6-800c-7915b610e825_en?filename=policy_ets_ets2_gd_accreditation_verification_en.pdf</vt:lpwstr>
      </vt:variant>
      <vt:variant>
        <vt:lpwstr/>
      </vt:variant>
      <vt:variant>
        <vt:i4>3997778</vt:i4>
      </vt:variant>
      <vt:variant>
        <vt:i4>210</vt:i4>
      </vt:variant>
      <vt:variant>
        <vt:i4>0</vt:i4>
      </vt:variant>
      <vt:variant>
        <vt:i4>5</vt:i4>
      </vt:variant>
      <vt:variant>
        <vt:lpwstr>https://climate.ec.europa.eu/eu-action/eu-emissions-trading-system-eu-ets/monitoring-reporting-and-verification-eu-ets-emissions_en</vt:lpwstr>
      </vt:variant>
      <vt:variant>
        <vt:lpwstr>documentation</vt:lpwstr>
      </vt:variant>
      <vt:variant>
        <vt:i4>4784253</vt:i4>
      </vt:variant>
      <vt:variant>
        <vt:i4>207</vt:i4>
      </vt:variant>
      <vt:variant>
        <vt:i4>0</vt:i4>
      </vt:variant>
      <vt:variant>
        <vt:i4>5</vt:i4>
      </vt:variant>
      <vt:variant>
        <vt:lpwstr>https://eur-lex.europa.eu/eli/reg_impl/2025/1192/oj/eng</vt:lpwstr>
      </vt:variant>
      <vt:variant>
        <vt:lpwstr/>
      </vt:variant>
      <vt:variant>
        <vt:i4>1048656</vt:i4>
      </vt:variant>
      <vt:variant>
        <vt:i4>204</vt:i4>
      </vt:variant>
      <vt:variant>
        <vt:i4>0</vt:i4>
      </vt:variant>
      <vt:variant>
        <vt:i4>5</vt:i4>
      </vt:variant>
      <vt:variant>
        <vt:lpwstr>https://eur-lex.europa.eu/legal-content/EN/TXT/?uri=CELEX:02018R2067-20250622</vt:lpwstr>
      </vt:variant>
      <vt:variant>
        <vt:lpwstr/>
      </vt:variant>
      <vt:variant>
        <vt:i4>7798790</vt:i4>
      </vt:variant>
      <vt:variant>
        <vt:i4>201</vt:i4>
      </vt:variant>
      <vt:variant>
        <vt:i4>0</vt:i4>
      </vt:variant>
      <vt:variant>
        <vt:i4>5</vt:i4>
      </vt:variant>
      <vt:variant>
        <vt:lpwstr>https://eur-lex.europa.eu/legal-content/EN/TXT/?toc=OJ:L:2018:334:TOC&amp;uri=uriserv:OJ.L_.2018.334.01.0094.01.ENG</vt:lpwstr>
      </vt:variant>
      <vt:variant>
        <vt:lpwstr/>
      </vt:variant>
      <vt:variant>
        <vt:i4>1376321</vt:i4>
      </vt:variant>
      <vt:variant>
        <vt:i4>198</vt:i4>
      </vt:variant>
      <vt:variant>
        <vt:i4>0</vt:i4>
      </vt:variant>
      <vt:variant>
        <vt:i4>5</vt:i4>
      </vt:variant>
      <vt:variant>
        <vt:lpwstr>https://eur-lex.europa.eu/legal-content/EN/TXT/?uri=CELEX:32015R0757</vt:lpwstr>
      </vt:variant>
      <vt:variant>
        <vt:lpwstr/>
      </vt:variant>
      <vt:variant>
        <vt:i4>1572885</vt:i4>
      </vt:variant>
      <vt:variant>
        <vt:i4>195</vt:i4>
      </vt:variant>
      <vt:variant>
        <vt:i4>0</vt:i4>
      </vt:variant>
      <vt:variant>
        <vt:i4>5</vt:i4>
      </vt:variant>
      <vt:variant>
        <vt:lpwstr>https://eur-lex.europa.eu/eli/C/2025/5004/oj/eng</vt:lpwstr>
      </vt:variant>
      <vt:variant>
        <vt:lpwstr/>
      </vt:variant>
      <vt:variant>
        <vt:i4>1966173</vt:i4>
      </vt:variant>
      <vt:variant>
        <vt:i4>192</vt:i4>
      </vt:variant>
      <vt:variant>
        <vt:i4>0</vt:i4>
      </vt:variant>
      <vt:variant>
        <vt:i4>5</vt:i4>
      </vt:variant>
      <vt:variant>
        <vt:lpwstr>https://eur-lex.europa.eu/eli/C/2025/2934/oj</vt:lpwstr>
      </vt:variant>
      <vt:variant>
        <vt:lpwstr/>
      </vt:variant>
      <vt:variant>
        <vt:i4>3080275</vt:i4>
      </vt:variant>
      <vt:variant>
        <vt:i4>189</vt:i4>
      </vt:variant>
      <vt:variant>
        <vt:i4>0</vt:i4>
      </vt:variant>
      <vt:variant>
        <vt:i4>5</vt:i4>
      </vt:variant>
      <vt:variant>
        <vt:lpwstr>https://eur-lex.europa.eu/eli/reg_del/2025/723/oj/eng</vt:lpwstr>
      </vt:variant>
      <vt:variant>
        <vt:lpwstr/>
      </vt:variant>
      <vt:variant>
        <vt:i4>2293840</vt:i4>
      </vt:variant>
      <vt:variant>
        <vt:i4>186</vt:i4>
      </vt:variant>
      <vt:variant>
        <vt:i4>0</vt:i4>
      </vt:variant>
      <vt:variant>
        <vt:i4>5</vt:i4>
      </vt:variant>
      <vt:variant>
        <vt:lpwstr>https://climate.ec.europa.eu/news-your-voice/news/publication-2023-emissions-data-aerodrome-pairs-2025-06-19_en</vt:lpwstr>
      </vt:variant>
      <vt:variant>
        <vt:lpwstr/>
      </vt:variant>
      <vt:variant>
        <vt:i4>4718594</vt:i4>
      </vt:variant>
      <vt:variant>
        <vt:i4>183</vt:i4>
      </vt:variant>
      <vt:variant>
        <vt:i4>0</vt:i4>
      </vt:variant>
      <vt:variant>
        <vt:i4>5</vt:i4>
      </vt:variant>
      <vt:variant>
        <vt:lpwstr>https://eur-lex.europa.eu/legal-content/EN/TXT/?uri=CELEX%3A32024R1879&amp;qid=1722504757152</vt:lpwstr>
      </vt:variant>
      <vt:variant>
        <vt:lpwstr/>
      </vt:variant>
      <vt:variant>
        <vt:i4>1638449</vt:i4>
      </vt:variant>
      <vt:variant>
        <vt:i4>180</vt:i4>
      </vt:variant>
      <vt:variant>
        <vt:i4>0</vt:i4>
      </vt:variant>
      <vt:variant>
        <vt:i4>5</vt:i4>
      </vt:variant>
      <vt:variant>
        <vt:lpwstr>http://data.europa.eu/eli/reg_impl/2025/1500/oj</vt:lpwstr>
      </vt:variant>
      <vt:variant>
        <vt:lpwstr/>
      </vt:variant>
      <vt:variant>
        <vt:i4>7929970</vt:i4>
      </vt:variant>
      <vt:variant>
        <vt:i4>177</vt:i4>
      </vt:variant>
      <vt:variant>
        <vt:i4>0</vt:i4>
      </vt:variant>
      <vt:variant>
        <vt:i4>5</vt:i4>
      </vt:variant>
      <vt:variant>
        <vt:lpwstr>https://eur-lex.europa.eu/legal-content/EN/TXT/?uri=celex%3A32023D0136</vt:lpwstr>
      </vt:variant>
      <vt:variant>
        <vt:lpwstr/>
      </vt:variant>
      <vt:variant>
        <vt:i4>7798900</vt:i4>
      </vt:variant>
      <vt:variant>
        <vt:i4>174</vt:i4>
      </vt:variant>
      <vt:variant>
        <vt:i4>0</vt:i4>
      </vt:variant>
      <vt:variant>
        <vt:i4>5</vt:i4>
      </vt:variant>
      <vt:variant>
        <vt:lpwstr>https://eur-lex.europa.eu/legal-content/EN/TXT/?uri=celex%3A32023L0958</vt:lpwstr>
      </vt:variant>
      <vt:variant>
        <vt:lpwstr/>
      </vt:variant>
      <vt:variant>
        <vt:i4>8126496</vt:i4>
      </vt:variant>
      <vt:variant>
        <vt:i4>171</vt:i4>
      </vt:variant>
      <vt:variant>
        <vt:i4>0</vt:i4>
      </vt:variant>
      <vt:variant>
        <vt:i4>5</vt:i4>
      </vt:variant>
      <vt:variant>
        <vt:lpwstr>https://www.icao.int/environmental-protection/CORSIA/Pages/CCR.aspx</vt:lpwstr>
      </vt:variant>
      <vt:variant>
        <vt:lpwstr/>
      </vt:variant>
      <vt:variant>
        <vt:i4>589841</vt:i4>
      </vt:variant>
      <vt:variant>
        <vt:i4>168</vt:i4>
      </vt:variant>
      <vt:variant>
        <vt:i4>0</vt:i4>
      </vt:variant>
      <vt:variant>
        <vt:i4>5</vt:i4>
      </vt:variant>
      <vt:variant>
        <vt:lpwstr>https://www.icao.int/sites/default/files/environmental-protection/CORSIA/Documents/Background Information/International-RTK-rankings_2018_SIDS_LDC_LLDC.pdf</vt:lpwstr>
      </vt:variant>
      <vt:variant>
        <vt:lpwstr/>
      </vt:variant>
      <vt:variant>
        <vt:i4>3407969</vt:i4>
      </vt:variant>
      <vt:variant>
        <vt:i4>165</vt:i4>
      </vt:variant>
      <vt:variant>
        <vt:i4>0</vt:i4>
      </vt:variant>
      <vt:variant>
        <vt:i4>5</vt:i4>
      </vt:variant>
      <vt:variant>
        <vt:lpwstr>https://www.bafu.admin.ch/bafu/en/home/topics/climate/info-specialists/reduction-measures/ets/aviation.html</vt:lpwstr>
      </vt:variant>
      <vt:variant>
        <vt:lpwstr>:~:text=From%202024%2C%20flights%20from%20Switzerland,exempt%20from%20the%20Swiss%20ETS.</vt:lpwstr>
      </vt:variant>
      <vt:variant>
        <vt:i4>7798900</vt:i4>
      </vt:variant>
      <vt:variant>
        <vt:i4>162</vt:i4>
      </vt:variant>
      <vt:variant>
        <vt:i4>0</vt:i4>
      </vt:variant>
      <vt:variant>
        <vt:i4>5</vt:i4>
      </vt:variant>
      <vt:variant>
        <vt:lpwstr>https://eur-lex.europa.eu/legal-content/EN/TXT/?uri=CELEX%3A32023L0958</vt:lpwstr>
      </vt:variant>
      <vt:variant>
        <vt:lpwstr/>
      </vt:variant>
      <vt:variant>
        <vt:i4>458821</vt:i4>
      </vt:variant>
      <vt:variant>
        <vt:i4>159</vt:i4>
      </vt:variant>
      <vt:variant>
        <vt:i4>0</vt:i4>
      </vt:variant>
      <vt:variant>
        <vt:i4>5</vt:i4>
      </vt:variant>
      <vt:variant>
        <vt:lpwstr>https://eur-lex.europa.eu/legal-content/EN/TXT/?uri=CELEX:32013D0377</vt:lpwstr>
      </vt:variant>
      <vt:variant>
        <vt:lpwstr/>
      </vt:variant>
      <vt:variant>
        <vt:i4>4915264</vt:i4>
      </vt:variant>
      <vt:variant>
        <vt:i4>156</vt:i4>
      </vt:variant>
      <vt:variant>
        <vt:i4>0</vt:i4>
      </vt:variant>
      <vt:variant>
        <vt:i4>5</vt:i4>
      </vt:variant>
      <vt:variant>
        <vt:lpwstr>https://eur-lex.europa.eu/eli/dec/2013/377(1)/oj/eng</vt:lpwstr>
      </vt:variant>
      <vt:variant>
        <vt:lpwstr/>
      </vt:variant>
      <vt:variant>
        <vt:i4>6160446</vt:i4>
      </vt:variant>
      <vt:variant>
        <vt:i4>153</vt:i4>
      </vt:variant>
      <vt:variant>
        <vt:i4>0</vt:i4>
      </vt:variant>
      <vt:variant>
        <vt:i4>5</vt:i4>
      </vt:variant>
      <vt:variant>
        <vt:lpwstr>https://climate.ec.europa.eu/news-your-voice/news/executive-vice-president-sefcovic-signs-agreement-between-greece-european-investment-bank-and-2024-11-21_en</vt:lpwstr>
      </vt:variant>
      <vt:variant>
        <vt:lpwstr/>
      </vt:variant>
      <vt:variant>
        <vt:i4>6946922</vt:i4>
      </vt:variant>
      <vt:variant>
        <vt:i4>150</vt:i4>
      </vt:variant>
      <vt:variant>
        <vt:i4>0</vt:i4>
      </vt:variant>
      <vt:variant>
        <vt:i4>5</vt:i4>
      </vt:variant>
      <vt:variant>
        <vt:lpwstr>https://eur-lex.europa.eu/legal-content/EN/TXT/?uri=OJ%3AJOC_2022_195_R_0002</vt:lpwstr>
      </vt:variant>
      <vt:variant>
        <vt:lpwstr/>
      </vt:variant>
      <vt:variant>
        <vt:i4>1245204</vt:i4>
      </vt:variant>
      <vt:variant>
        <vt:i4>147</vt:i4>
      </vt:variant>
      <vt:variant>
        <vt:i4>0</vt:i4>
      </vt:variant>
      <vt:variant>
        <vt:i4>5</vt:i4>
      </vt:variant>
      <vt:variant>
        <vt:lpwstr>https://climate.ec.europa.eu/document/download/dd3c417c-fc64-4e25-82c0-49af24383334_en?filename=c_2024_4190_en.pdf</vt:lpwstr>
      </vt:variant>
      <vt:variant>
        <vt:lpwstr/>
      </vt:variant>
      <vt:variant>
        <vt:i4>5439583</vt:i4>
      </vt:variant>
      <vt:variant>
        <vt:i4>144</vt:i4>
      </vt:variant>
      <vt:variant>
        <vt:i4>0</vt:i4>
      </vt:variant>
      <vt:variant>
        <vt:i4>5</vt:i4>
      </vt:variant>
      <vt:variant>
        <vt:lpwstr>https://eur-lex.europa.eu/eli/reg/2024/795/oj</vt:lpwstr>
      </vt:variant>
      <vt:variant>
        <vt:lpwstr/>
      </vt:variant>
      <vt:variant>
        <vt:i4>3604603</vt:i4>
      </vt:variant>
      <vt:variant>
        <vt:i4>141</vt:i4>
      </vt:variant>
      <vt:variant>
        <vt:i4>0</vt:i4>
      </vt:variant>
      <vt:variant>
        <vt:i4>5</vt:i4>
      </vt:variant>
      <vt:variant>
        <vt:lpwstr>https://www.eib.org/en/products/mandates-partnerships/innovation-fund/index.htm</vt:lpwstr>
      </vt:variant>
      <vt:variant>
        <vt:lpwstr/>
      </vt:variant>
      <vt:variant>
        <vt:i4>1835109</vt:i4>
      </vt:variant>
      <vt:variant>
        <vt:i4>138</vt:i4>
      </vt:variant>
      <vt:variant>
        <vt:i4>0</vt:i4>
      </vt:variant>
      <vt:variant>
        <vt:i4>5</vt:i4>
      </vt:variant>
      <vt:variant>
        <vt:lpwstr>https://dashboard.tech.ec.europa.eu/qs_digit_dashboard_mt/public/sense/app/6e4815c8-1f4c-4664-b9ca-8454f77d758d/sheet/bac47ac8-b5c7-4cd1-87ad-9f8d6d238eae/state/analysis</vt:lpwstr>
      </vt:variant>
      <vt:variant>
        <vt:lpwstr/>
      </vt:variant>
      <vt:variant>
        <vt:i4>3997730</vt:i4>
      </vt:variant>
      <vt:variant>
        <vt:i4>135</vt:i4>
      </vt:variant>
      <vt:variant>
        <vt:i4>0</vt:i4>
      </vt:variant>
      <vt:variant>
        <vt:i4>5</vt:i4>
      </vt:variant>
      <vt:variant>
        <vt:lpwstr>https://data.europa.eu/doi/10.2834/6564729</vt:lpwstr>
      </vt:variant>
      <vt:variant>
        <vt:lpwstr/>
      </vt:variant>
      <vt:variant>
        <vt:i4>3211351</vt:i4>
      </vt:variant>
      <vt:variant>
        <vt:i4>132</vt:i4>
      </vt:variant>
      <vt:variant>
        <vt:i4>0</vt:i4>
      </vt:variant>
      <vt:variant>
        <vt:i4>5</vt:i4>
      </vt:variant>
      <vt:variant>
        <vt:lpwstr>https://www.dehst.de/SharedDocs/downloads/DE/spk/Auswertungsbericht_2023.html</vt:lpwstr>
      </vt:variant>
      <vt:variant>
        <vt:lpwstr/>
      </vt:variant>
      <vt:variant>
        <vt:i4>262197</vt:i4>
      </vt:variant>
      <vt:variant>
        <vt:i4>129</vt:i4>
      </vt:variant>
      <vt:variant>
        <vt:i4>0</vt:i4>
      </vt:variant>
      <vt:variant>
        <vt:i4>5</vt:i4>
      </vt:variant>
      <vt:variant>
        <vt:lpwstr>https://ec.europa.eu/info/law/better-regulation/have-your-say/initiatives/14801-Technical-updates-of-the-Emissions-Trading-Scheme-ETS-State-aid-guidelines_en</vt:lpwstr>
      </vt:variant>
      <vt:variant>
        <vt:lpwstr/>
      </vt:variant>
      <vt:variant>
        <vt:i4>5963866</vt:i4>
      </vt:variant>
      <vt:variant>
        <vt:i4>126</vt:i4>
      </vt:variant>
      <vt:variant>
        <vt:i4>0</vt:i4>
      </vt:variant>
      <vt:variant>
        <vt:i4>5</vt:i4>
      </vt:variant>
      <vt:variant>
        <vt:lpwstr>https://reportnet.europa.eu/public/dataflow/1527</vt:lpwstr>
      </vt:variant>
      <vt:variant>
        <vt:lpwstr/>
      </vt:variant>
      <vt:variant>
        <vt:i4>8323074</vt:i4>
      </vt:variant>
      <vt:variant>
        <vt:i4>123</vt:i4>
      </vt:variant>
      <vt:variant>
        <vt:i4>0</vt:i4>
      </vt:variant>
      <vt:variant>
        <vt:i4>5</vt:i4>
      </vt:variant>
      <vt:variant>
        <vt:lpwstr>https://eur-lex.europa.eu/legal-content/EN/TXT/?toc=OJ:L:2018:328:TOC&amp;uri=uriserv:OJ.L_.2018.328.01.0001.01.ENG</vt:lpwstr>
      </vt:variant>
      <vt:variant>
        <vt:lpwstr/>
      </vt:variant>
      <vt:variant>
        <vt:i4>7798844</vt:i4>
      </vt:variant>
      <vt:variant>
        <vt:i4>120</vt:i4>
      </vt:variant>
      <vt:variant>
        <vt:i4>0</vt:i4>
      </vt:variant>
      <vt:variant>
        <vt:i4>5</vt:i4>
      </vt:variant>
      <vt:variant>
        <vt:lpwstr>https://ec.europa.eu/eurostat/web/products-euro-indicators/w/4-13022025-ap</vt:lpwstr>
      </vt:variant>
      <vt:variant>
        <vt:lpwstr/>
      </vt:variant>
      <vt:variant>
        <vt:i4>3997788</vt:i4>
      </vt:variant>
      <vt:variant>
        <vt:i4>117</vt:i4>
      </vt:variant>
      <vt:variant>
        <vt:i4>0</vt:i4>
      </vt:variant>
      <vt:variant>
        <vt:i4>5</vt:i4>
      </vt:variant>
      <vt:variant>
        <vt:lpwstr>https://ec.europa.eu/eurostat/databrowser/view/nrg_cb_pem__custom_17401908/default/table?lang=en</vt:lpwstr>
      </vt:variant>
      <vt:variant>
        <vt:lpwstr/>
      </vt:variant>
      <vt:variant>
        <vt:i4>327689</vt:i4>
      </vt:variant>
      <vt:variant>
        <vt:i4>114</vt:i4>
      </vt:variant>
      <vt:variant>
        <vt:i4>0</vt:i4>
      </vt:variant>
      <vt:variant>
        <vt:i4>5</vt:i4>
      </vt:variant>
      <vt:variant>
        <vt:lpwstr>https://eur-lex.europa.eu/legal-content/EN/TXT/?uri=CELEX%3A52025DC0079&amp;qid=1741780110418</vt:lpwstr>
      </vt:variant>
      <vt:variant>
        <vt:lpwstr/>
      </vt:variant>
      <vt:variant>
        <vt:i4>4849716</vt:i4>
      </vt:variant>
      <vt:variant>
        <vt:i4>111</vt:i4>
      </vt:variant>
      <vt:variant>
        <vt:i4>0</vt:i4>
      </vt:variant>
      <vt:variant>
        <vt:i4>5</vt:i4>
      </vt:variant>
      <vt:variant>
        <vt:lpwstr>https://finance.ec.europa.eu/regulation-and-supervision/consultations-0/targeted-consultation-review-functioning-commodity-derivatives-markets-and-certain-aspects-relating_en</vt:lpwstr>
      </vt:variant>
      <vt:variant>
        <vt:lpwstr/>
      </vt:variant>
      <vt:variant>
        <vt:i4>7274607</vt:i4>
      </vt:variant>
      <vt:variant>
        <vt:i4>108</vt:i4>
      </vt:variant>
      <vt:variant>
        <vt:i4>0</vt:i4>
      </vt:variant>
      <vt:variant>
        <vt:i4>5</vt:i4>
      </vt:variant>
      <vt:variant>
        <vt:lpwstr>https://eur-lex.europa.eu/legal-content/EN/TXT/?uri=CELEX%3A02014R0600-20240328</vt:lpwstr>
      </vt:variant>
      <vt:variant>
        <vt:lpwstr/>
      </vt:variant>
      <vt:variant>
        <vt:i4>7208962</vt:i4>
      </vt:variant>
      <vt:variant>
        <vt:i4>105</vt:i4>
      </vt:variant>
      <vt:variant>
        <vt:i4>0</vt:i4>
      </vt:variant>
      <vt:variant>
        <vt:i4>5</vt:i4>
      </vt:variant>
      <vt:variant>
        <vt:lpwstr>https://eur-lex.europa.eu/legal-content/EN/TXT/?uri=OJ:L_202400791</vt:lpwstr>
      </vt:variant>
      <vt:variant>
        <vt:lpwstr/>
      </vt:variant>
      <vt:variant>
        <vt:i4>7471209</vt:i4>
      </vt:variant>
      <vt:variant>
        <vt:i4>102</vt:i4>
      </vt:variant>
      <vt:variant>
        <vt:i4>0</vt:i4>
      </vt:variant>
      <vt:variant>
        <vt:i4>5</vt:i4>
      </vt:variant>
      <vt:variant>
        <vt:lpwstr>https://eur-lex.europa.eu/legal-content/EN/TXT/?uri=CELEX%3A02014L0065-20240328</vt:lpwstr>
      </vt:variant>
      <vt:variant>
        <vt:lpwstr/>
      </vt:variant>
      <vt:variant>
        <vt:i4>7274498</vt:i4>
      </vt:variant>
      <vt:variant>
        <vt:i4>99</vt:i4>
      </vt:variant>
      <vt:variant>
        <vt:i4>0</vt:i4>
      </vt:variant>
      <vt:variant>
        <vt:i4>5</vt:i4>
      </vt:variant>
      <vt:variant>
        <vt:lpwstr>https://eur-lex.europa.eu/legal-content/EN/TXT/?uri=OJ:L_202400790</vt:lpwstr>
      </vt:variant>
      <vt:variant>
        <vt:lpwstr/>
      </vt:variant>
      <vt:variant>
        <vt:i4>6946919</vt:i4>
      </vt:variant>
      <vt:variant>
        <vt:i4>96</vt:i4>
      </vt:variant>
      <vt:variant>
        <vt:i4>0</vt:i4>
      </vt:variant>
      <vt:variant>
        <vt:i4>5</vt:i4>
      </vt:variant>
      <vt:variant>
        <vt:lpwstr>https://eur-lex.europa.eu/legal-content/EN/TXT/?uri=CELEX%3A02019R1122-20231230</vt:lpwstr>
      </vt:variant>
      <vt:variant>
        <vt:lpwstr/>
      </vt:variant>
      <vt:variant>
        <vt:i4>1441867</vt:i4>
      </vt:variant>
      <vt:variant>
        <vt:i4>93</vt:i4>
      </vt:variant>
      <vt:variant>
        <vt:i4>0</vt:i4>
      </vt:variant>
      <vt:variant>
        <vt:i4>5</vt:i4>
      </vt:variant>
      <vt:variant>
        <vt:lpwstr>https://eur-lex.europa.eu/legal-content/EN/TXT/?uri=CELEX:32019R1122</vt:lpwstr>
      </vt:variant>
      <vt:variant>
        <vt:lpwstr/>
      </vt:variant>
      <vt:variant>
        <vt:i4>7274595</vt:i4>
      </vt:variant>
      <vt:variant>
        <vt:i4>90</vt:i4>
      </vt:variant>
      <vt:variant>
        <vt:i4>0</vt:i4>
      </vt:variant>
      <vt:variant>
        <vt:i4>5</vt:i4>
      </vt:variant>
      <vt:variant>
        <vt:lpwstr>https://www.esma.europa.eu/sites/default/files/2024-10/ESMA50-43599798-10379_Carbon_markets_report_2024.pdf</vt:lpwstr>
      </vt:variant>
      <vt:variant>
        <vt:lpwstr/>
      </vt:variant>
      <vt:variant>
        <vt:i4>2031705</vt:i4>
      </vt:variant>
      <vt:variant>
        <vt:i4>87</vt:i4>
      </vt:variant>
      <vt:variant>
        <vt:i4>0</vt:i4>
      </vt:variant>
      <vt:variant>
        <vt:i4>5</vt:i4>
      </vt:variant>
      <vt:variant>
        <vt:lpwstr>https://www.esma.europa.eu/document/market-report-eu-carbon-markets-2024</vt:lpwstr>
      </vt:variant>
      <vt:variant>
        <vt:lpwstr/>
      </vt:variant>
      <vt:variant>
        <vt:i4>7274595</vt:i4>
      </vt:variant>
      <vt:variant>
        <vt:i4>84</vt:i4>
      </vt:variant>
      <vt:variant>
        <vt:i4>0</vt:i4>
      </vt:variant>
      <vt:variant>
        <vt:i4>5</vt:i4>
      </vt:variant>
      <vt:variant>
        <vt:lpwstr>https://www.esma.europa.eu/sites/default/files/2024-10/ESMA50-43599798-10379_Carbon_markets_report_2024.pdf</vt:lpwstr>
      </vt:variant>
      <vt:variant>
        <vt:lpwstr/>
      </vt:variant>
      <vt:variant>
        <vt:i4>6815844</vt:i4>
      </vt:variant>
      <vt:variant>
        <vt:i4>81</vt:i4>
      </vt:variant>
      <vt:variant>
        <vt:i4>0</vt:i4>
      </vt:variant>
      <vt:variant>
        <vt:i4>5</vt:i4>
      </vt:variant>
      <vt:variant>
        <vt:lpwstr>https://eur-lex.europa.eu/legal-content/EN/TXT/?uri=CELEX%3A02014R0596-20240109</vt:lpwstr>
      </vt:variant>
      <vt:variant>
        <vt:lpwstr/>
      </vt:variant>
      <vt:variant>
        <vt:i4>6815871</vt:i4>
      </vt:variant>
      <vt:variant>
        <vt:i4>78</vt:i4>
      </vt:variant>
      <vt:variant>
        <vt:i4>0</vt:i4>
      </vt:variant>
      <vt:variant>
        <vt:i4>5</vt:i4>
      </vt:variant>
      <vt:variant>
        <vt:lpwstr>https://eur-lex.europa.eu/legal-content/EN/TXT/?uri=CELEX%3A32014R0596</vt:lpwstr>
      </vt:variant>
      <vt:variant>
        <vt:lpwstr/>
      </vt:variant>
      <vt:variant>
        <vt:i4>6357051</vt:i4>
      </vt:variant>
      <vt:variant>
        <vt:i4>75</vt:i4>
      </vt:variant>
      <vt:variant>
        <vt:i4>0</vt:i4>
      </vt:variant>
      <vt:variant>
        <vt:i4>5</vt:i4>
      </vt:variant>
      <vt:variant>
        <vt:lpwstr>https://www.esma.europa.eu/sites/default/files/mar.pdf</vt:lpwstr>
      </vt:variant>
      <vt:variant>
        <vt:lpwstr/>
      </vt:variant>
      <vt:variant>
        <vt:i4>7471209</vt:i4>
      </vt:variant>
      <vt:variant>
        <vt:i4>72</vt:i4>
      </vt:variant>
      <vt:variant>
        <vt:i4>0</vt:i4>
      </vt:variant>
      <vt:variant>
        <vt:i4>5</vt:i4>
      </vt:variant>
      <vt:variant>
        <vt:lpwstr>https://eur-lex.europa.eu/legal-content/EN/TXT/?uri=CELEX%3A02014L0065-20240328</vt:lpwstr>
      </vt:variant>
      <vt:variant>
        <vt:lpwstr/>
      </vt:variant>
      <vt:variant>
        <vt:i4>7340144</vt:i4>
      </vt:variant>
      <vt:variant>
        <vt:i4>69</vt:i4>
      </vt:variant>
      <vt:variant>
        <vt:i4>0</vt:i4>
      </vt:variant>
      <vt:variant>
        <vt:i4>5</vt:i4>
      </vt:variant>
      <vt:variant>
        <vt:lpwstr>https://eur-lex.europa.eu/legal-content/EN/TXT/?uri=celex%3A32014L0065</vt:lpwstr>
      </vt:variant>
      <vt:variant>
        <vt:lpwstr/>
      </vt:variant>
      <vt:variant>
        <vt:i4>7340144</vt:i4>
      </vt:variant>
      <vt:variant>
        <vt:i4>66</vt:i4>
      </vt:variant>
      <vt:variant>
        <vt:i4>0</vt:i4>
      </vt:variant>
      <vt:variant>
        <vt:i4>5</vt:i4>
      </vt:variant>
      <vt:variant>
        <vt:lpwstr>https://eur-lex.europa.eu/legal-content/EN/TXT/?uri=celex%3A32014L0065</vt:lpwstr>
      </vt:variant>
      <vt:variant>
        <vt:lpwstr/>
      </vt:variant>
      <vt:variant>
        <vt:i4>7536740</vt:i4>
      </vt:variant>
      <vt:variant>
        <vt:i4>63</vt:i4>
      </vt:variant>
      <vt:variant>
        <vt:i4>0</vt:i4>
      </vt:variant>
      <vt:variant>
        <vt:i4>5</vt:i4>
      </vt:variant>
      <vt:variant>
        <vt:lpwstr>https://eur-lex.europa.eu/legal-content/EN/TXT/?uri=CELEX%3A52025XC03180&amp;qid=1753262885801</vt:lpwstr>
      </vt:variant>
      <vt:variant>
        <vt:lpwstr/>
      </vt:variant>
      <vt:variant>
        <vt:i4>2359368</vt:i4>
      </vt:variant>
      <vt:variant>
        <vt:i4>60</vt:i4>
      </vt:variant>
      <vt:variant>
        <vt:i4>0</vt:i4>
      </vt:variant>
      <vt:variant>
        <vt:i4>5</vt:i4>
      </vt:variant>
      <vt:variant>
        <vt:lpwstr>https://climate.ec.europa.eu/news-your-voice/news/market-stability-reserve-under-eu-emissions-trading-system-reduce-auction-volume-276-million-2025-05-28_en</vt:lpwstr>
      </vt:variant>
      <vt:variant>
        <vt:lpwstr/>
      </vt:variant>
      <vt:variant>
        <vt:i4>7929889</vt:i4>
      </vt:variant>
      <vt:variant>
        <vt:i4>57</vt:i4>
      </vt:variant>
      <vt:variant>
        <vt:i4>0</vt:i4>
      </vt:variant>
      <vt:variant>
        <vt:i4>5</vt:i4>
      </vt:variant>
      <vt:variant>
        <vt:lpwstr>https://eur-lex.europa.eu/legal-content/EN/TXT/?uri=CELEX%3A52025DC0378</vt:lpwstr>
      </vt:variant>
      <vt:variant>
        <vt:lpwstr/>
      </vt:variant>
      <vt:variant>
        <vt:i4>7929957</vt:i4>
      </vt:variant>
      <vt:variant>
        <vt:i4>54</vt:i4>
      </vt:variant>
      <vt:variant>
        <vt:i4>0</vt:i4>
      </vt:variant>
      <vt:variant>
        <vt:i4>5</vt:i4>
      </vt:variant>
      <vt:variant>
        <vt:lpwstr>https://ec.europa.eu/commission/presscorner/detail/en/ip_25_1563</vt:lpwstr>
      </vt:variant>
      <vt:variant>
        <vt:lpwstr/>
      </vt:variant>
      <vt:variant>
        <vt:i4>1572956</vt:i4>
      </vt:variant>
      <vt:variant>
        <vt:i4>51</vt:i4>
      </vt:variant>
      <vt:variant>
        <vt:i4>0</vt:i4>
      </vt:variant>
      <vt:variant>
        <vt:i4>5</vt:i4>
      </vt:variant>
      <vt:variant>
        <vt:lpwstr>https://eur-lex.europa.eu/eli/reg/2023/956/oj/eng</vt:lpwstr>
      </vt:variant>
      <vt:variant>
        <vt:lpwstr/>
      </vt:variant>
      <vt:variant>
        <vt:i4>2031693</vt:i4>
      </vt:variant>
      <vt:variant>
        <vt:i4>48</vt:i4>
      </vt:variant>
      <vt:variant>
        <vt:i4>0</vt:i4>
      </vt:variant>
      <vt:variant>
        <vt:i4>5</vt:i4>
      </vt:variant>
      <vt:variant>
        <vt:lpwstr>https://eur-lex.europa.eu/legal-content/EN/TXT/?uri=CELEX:32019R1842</vt:lpwstr>
      </vt:variant>
      <vt:variant>
        <vt:lpwstr/>
      </vt:variant>
      <vt:variant>
        <vt:i4>5242981</vt:i4>
      </vt:variant>
      <vt:variant>
        <vt:i4>45</vt:i4>
      </vt:variant>
      <vt:variant>
        <vt:i4>0</vt:i4>
      </vt:variant>
      <vt:variant>
        <vt:i4>5</vt:i4>
      </vt:variant>
      <vt:variant>
        <vt:lpwstr>https://eur-lex.europa.eu/eli/reg_impl/2021/447</vt:lpwstr>
      </vt:variant>
      <vt:variant>
        <vt:lpwstr/>
      </vt:variant>
      <vt:variant>
        <vt:i4>6684676</vt:i4>
      </vt:variant>
      <vt:variant>
        <vt:i4>42</vt:i4>
      </vt:variant>
      <vt:variant>
        <vt:i4>0</vt:i4>
      </vt:variant>
      <vt:variant>
        <vt:i4>5</vt:i4>
      </vt:variant>
      <vt:variant>
        <vt:lpwstr>https://climate.ec.europa.eu/news-your-voice/news/notification-germany-voluntary-cancellation-allowances-eu-ets-plants-closed-2023-2025-05-05_en</vt:lpwstr>
      </vt:variant>
      <vt:variant>
        <vt:lpwstr/>
      </vt:variant>
      <vt:variant>
        <vt:i4>262205</vt:i4>
      </vt:variant>
      <vt:variant>
        <vt:i4>39</vt:i4>
      </vt:variant>
      <vt:variant>
        <vt:i4>0</vt:i4>
      </vt:variant>
      <vt:variant>
        <vt:i4>5</vt:i4>
      </vt:variant>
      <vt:variant>
        <vt:lpwstr>https://climate.ec.europa.eu/news-your-voice/news/notification-germany-voluntary-cancellation-plants-closed-2022-2024-05-02_en</vt:lpwstr>
      </vt:variant>
      <vt:variant>
        <vt:lpwstr/>
      </vt:variant>
      <vt:variant>
        <vt:i4>7733258</vt:i4>
      </vt:variant>
      <vt:variant>
        <vt:i4>36</vt:i4>
      </vt:variant>
      <vt:variant>
        <vt:i4>0</vt:i4>
      </vt:variant>
      <vt:variant>
        <vt:i4>5</vt:i4>
      </vt:variant>
      <vt:variant>
        <vt:lpwstr>https://climate.ec.europa.eu/eu-action/eu-emissions-trading-system-eu-ets/auctioning_en</vt:lpwstr>
      </vt:variant>
      <vt:variant>
        <vt:lpwstr>documentation</vt:lpwstr>
      </vt:variant>
      <vt:variant>
        <vt:i4>1835079</vt:i4>
      </vt:variant>
      <vt:variant>
        <vt:i4>33</vt:i4>
      </vt:variant>
      <vt:variant>
        <vt:i4>0</vt:i4>
      </vt:variant>
      <vt:variant>
        <vt:i4>5</vt:i4>
      </vt:variant>
      <vt:variant>
        <vt:lpwstr>https://www.eex.com/en/market-data/market-data-hub/environmentals/eu-ets-auctions</vt:lpwstr>
      </vt:variant>
      <vt:variant>
        <vt:lpwstr/>
      </vt:variant>
      <vt:variant>
        <vt:i4>5701717</vt:i4>
      </vt:variant>
      <vt:variant>
        <vt:i4>30</vt:i4>
      </vt:variant>
      <vt:variant>
        <vt:i4>0</vt:i4>
      </vt:variant>
      <vt:variant>
        <vt:i4>5</vt:i4>
      </vt:variant>
      <vt:variant>
        <vt:lpwstr>https://eur-lex.europa.eu/eli/reg/2023/435/oj</vt:lpwstr>
      </vt:variant>
      <vt:variant>
        <vt:lpwstr/>
      </vt:variant>
      <vt:variant>
        <vt:i4>4653094</vt:i4>
      </vt:variant>
      <vt:variant>
        <vt:i4>27</vt:i4>
      </vt:variant>
      <vt:variant>
        <vt:i4>0</vt:i4>
      </vt:variant>
      <vt:variant>
        <vt:i4>5</vt:i4>
      </vt:variant>
      <vt:variant>
        <vt:lpwstr>https://eur-lex.europa.eu/eli/reg_del/2023/2830/oj</vt:lpwstr>
      </vt:variant>
      <vt:variant>
        <vt:lpwstr/>
      </vt:variant>
      <vt:variant>
        <vt:i4>7405685</vt:i4>
      </vt:variant>
      <vt:variant>
        <vt:i4>24</vt:i4>
      </vt:variant>
      <vt:variant>
        <vt:i4>0</vt:i4>
      </vt:variant>
      <vt:variant>
        <vt:i4>5</vt:i4>
      </vt:variant>
      <vt:variant>
        <vt:lpwstr>https://eur-lex.europa.eu/eli/dec/2024/1797/oj/eng</vt:lpwstr>
      </vt:variant>
      <vt:variant>
        <vt:lpwstr/>
      </vt:variant>
      <vt:variant>
        <vt:i4>68</vt:i4>
      </vt:variant>
      <vt:variant>
        <vt:i4>21</vt:i4>
      </vt:variant>
      <vt:variant>
        <vt:i4>0</vt:i4>
      </vt:variant>
      <vt:variant>
        <vt:i4>5</vt:i4>
      </vt:variant>
      <vt:variant>
        <vt:lpwstr>https://eur-lex.europa.eu/legal-content/EN/TXT/?uri=CELEX:32023D1575</vt:lpwstr>
      </vt:variant>
      <vt:variant>
        <vt:lpwstr/>
      </vt:variant>
      <vt:variant>
        <vt:i4>3473425</vt:i4>
      </vt:variant>
      <vt:variant>
        <vt:i4>18</vt:i4>
      </vt:variant>
      <vt:variant>
        <vt:i4>0</vt:i4>
      </vt:variant>
      <vt:variant>
        <vt:i4>5</vt:i4>
      </vt:variant>
      <vt:variant>
        <vt:lpwstr>https://employment-social-affairs.ec.europa.eu/document/7f23666f-5556-455a-b0f5-4c150994ce10_en</vt:lpwstr>
      </vt:variant>
      <vt:variant>
        <vt:lpwstr/>
      </vt:variant>
      <vt:variant>
        <vt:i4>917548</vt:i4>
      </vt:variant>
      <vt:variant>
        <vt:i4>15</vt:i4>
      </vt:variant>
      <vt:variant>
        <vt:i4>0</vt:i4>
      </vt:variant>
      <vt:variant>
        <vt:i4>5</vt:i4>
      </vt:variant>
      <vt:variant>
        <vt:lpwstr>https://climate.ec.europa.eu/news-other-reads/news/new-study-provides-toolbox-early-decarbonisation-ets2-sectors-2025-09-09_en</vt:lpwstr>
      </vt:variant>
      <vt:variant>
        <vt:lpwstr/>
      </vt:variant>
      <vt:variant>
        <vt:i4>2031693</vt:i4>
      </vt:variant>
      <vt:variant>
        <vt:i4>12</vt:i4>
      </vt:variant>
      <vt:variant>
        <vt:i4>0</vt:i4>
      </vt:variant>
      <vt:variant>
        <vt:i4>5</vt:i4>
      </vt:variant>
      <vt:variant>
        <vt:lpwstr>https://eur-lex.europa.eu/legal-content/EN/TXT/?uri=CELEX:32018R0842</vt:lpwstr>
      </vt:variant>
      <vt:variant>
        <vt:lpwstr/>
      </vt:variant>
      <vt:variant>
        <vt:i4>7536761</vt:i4>
      </vt:variant>
      <vt:variant>
        <vt:i4>9</vt:i4>
      </vt:variant>
      <vt:variant>
        <vt:i4>0</vt:i4>
      </vt:variant>
      <vt:variant>
        <vt:i4>5</vt:i4>
      </vt:variant>
      <vt:variant>
        <vt:lpwstr>https://eur-lex.europa.eu/legal-content/EN/TXT/?uri=celex%3A32003L0087</vt:lpwstr>
      </vt:variant>
      <vt:variant>
        <vt:lpwstr/>
      </vt:variant>
      <vt:variant>
        <vt:i4>4128787</vt:i4>
      </vt:variant>
      <vt:variant>
        <vt:i4>6</vt:i4>
      </vt:variant>
      <vt:variant>
        <vt:i4>0</vt:i4>
      </vt:variant>
      <vt:variant>
        <vt:i4>5</vt:i4>
      </vt:variant>
      <vt:variant>
        <vt:lpwstr>https://commission.europa.eu/strategy-and-policy/priorities-2019-2024/european-green-deal/repowereu-affordable-secure-and-sustainable-energy-europe_en</vt:lpwstr>
      </vt:variant>
      <vt:variant>
        <vt:lpwstr>how-repowereu-is-funded</vt:lpwstr>
      </vt:variant>
      <vt:variant>
        <vt:i4>2293787</vt:i4>
      </vt:variant>
      <vt:variant>
        <vt:i4>3</vt:i4>
      </vt:variant>
      <vt:variant>
        <vt:i4>0</vt:i4>
      </vt:variant>
      <vt:variant>
        <vt:i4>5</vt:i4>
      </vt:variant>
      <vt:variant>
        <vt:lpwstr>https://commission.europa.eu/business-economy-euro/economic-recovery/recovery-and-resilience-facility_en</vt:lpwstr>
      </vt:variant>
      <vt:variant>
        <vt:lpwstr/>
      </vt:variant>
      <vt:variant>
        <vt:i4>4259910</vt:i4>
      </vt:variant>
      <vt:variant>
        <vt:i4>0</vt:i4>
      </vt:variant>
      <vt:variant>
        <vt:i4>0</vt:i4>
      </vt:variant>
      <vt:variant>
        <vt:i4>5</vt:i4>
      </vt:variant>
      <vt:variant>
        <vt:lpwstr>https://www.eea.europa.eu/data-and-maps/dashboards/emissions-trading-viewer-1</vt:lpwstr>
      </vt:variant>
      <vt:variant>
        <vt:lpwstr/>
      </vt:variant>
      <vt:variant>
        <vt:i4>6553673</vt:i4>
      </vt:variant>
      <vt:variant>
        <vt:i4>24</vt:i4>
      </vt:variant>
      <vt:variant>
        <vt:i4>0</vt:i4>
      </vt:variant>
      <vt:variant>
        <vt:i4>5</vt:i4>
      </vt:variant>
      <vt:variant>
        <vt:lpwstr>mailto:Lorenzo.FAGGIANO@ec.europa.eu</vt:lpwstr>
      </vt:variant>
      <vt:variant>
        <vt:lpwstr/>
      </vt:variant>
      <vt:variant>
        <vt:i4>2555929</vt:i4>
      </vt:variant>
      <vt:variant>
        <vt:i4>21</vt:i4>
      </vt:variant>
      <vt:variant>
        <vt:i4>0</vt:i4>
      </vt:variant>
      <vt:variant>
        <vt:i4>5</vt:i4>
      </vt:variant>
      <vt:variant>
        <vt:lpwstr>https://climate.ec.europa.eu/document/download/49772f68-3432-40c6-800c-7915b610e825_en?filename=policy_ets_ets2_gd_accreditation_verification_en.pdf</vt:lpwstr>
      </vt:variant>
      <vt:variant>
        <vt:lpwstr/>
      </vt:variant>
      <vt:variant>
        <vt:i4>2293819</vt:i4>
      </vt:variant>
      <vt:variant>
        <vt:i4>18</vt:i4>
      </vt:variant>
      <vt:variant>
        <vt:i4>0</vt:i4>
      </vt:variant>
      <vt:variant>
        <vt:i4>5</vt:i4>
      </vt:variant>
      <vt:variant>
        <vt:lpwstr>https://climate.ec.europa.eu/system/files/2023-12/1.2 Kunst - ETS_MRR progress ETS_0.pdf</vt:lpwstr>
      </vt:variant>
      <vt:variant>
        <vt:lpwstr/>
      </vt:variant>
      <vt:variant>
        <vt:i4>1048656</vt:i4>
      </vt:variant>
      <vt:variant>
        <vt:i4>15</vt:i4>
      </vt:variant>
      <vt:variant>
        <vt:i4>0</vt:i4>
      </vt:variant>
      <vt:variant>
        <vt:i4>5</vt:i4>
      </vt:variant>
      <vt:variant>
        <vt:lpwstr>https://eur-lex.europa.eu/legal-content/EN/TXT/?uri=CELEX:02018R2067-20250622</vt:lpwstr>
      </vt:variant>
      <vt:variant>
        <vt:lpwstr/>
      </vt:variant>
      <vt:variant>
        <vt:i4>4194424</vt:i4>
      </vt:variant>
      <vt:variant>
        <vt:i4>12</vt:i4>
      </vt:variant>
      <vt:variant>
        <vt:i4>0</vt:i4>
      </vt:variant>
      <vt:variant>
        <vt:i4>5</vt:i4>
      </vt:variant>
      <vt:variant>
        <vt:lpwstr>mailto:Julia.ZIEMANN@ec.europa.eu</vt:lpwstr>
      </vt:variant>
      <vt:variant>
        <vt:lpwstr/>
      </vt:variant>
      <vt:variant>
        <vt:i4>5308528</vt:i4>
      </vt:variant>
      <vt:variant>
        <vt:i4>9</vt:i4>
      </vt:variant>
      <vt:variant>
        <vt:i4>0</vt:i4>
      </vt:variant>
      <vt:variant>
        <vt:i4>5</vt:i4>
      </vt:variant>
      <vt:variant>
        <vt:lpwstr>mailto:Joana.FONSECA@ec.europa.eu</vt:lpwstr>
      </vt:variant>
      <vt:variant>
        <vt:lpwstr/>
      </vt:variant>
      <vt:variant>
        <vt:i4>5242995</vt:i4>
      </vt:variant>
      <vt:variant>
        <vt:i4>6</vt:i4>
      </vt:variant>
      <vt:variant>
        <vt:i4>0</vt:i4>
      </vt:variant>
      <vt:variant>
        <vt:i4>5</vt:i4>
      </vt:variant>
      <vt:variant>
        <vt:lpwstr>mailto:Ralph.WISCHERMANN@ec.europa.eu</vt:lpwstr>
      </vt:variant>
      <vt:variant>
        <vt:lpwstr/>
      </vt:variant>
      <vt:variant>
        <vt:i4>5308528</vt:i4>
      </vt:variant>
      <vt:variant>
        <vt:i4>3</vt:i4>
      </vt:variant>
      <vt:variant>
        <vt:i4>0</vt:i4>
      </vt:variant>
      <vt:variant>
        <vt:i4>5</vt:i4>
      </vt:variant>
      <vt:variant>
        <vt:lpwstr>mailto:Joana.FONSECA@ec.europa.eu</vt:lpwstr>
      </vt:variant>
      <vt:variant>
        <vt:lpwstr/>
      </vt:variant>
      <vt:variant>
        <vt:i4>5242995</vt:i4>
      </vt:variant>
      <vt:variant>
        <vt:i4>0</vt:i4>
      </vt:variant>
      <vt:variant>
        <vt:i4>0</vt:i4>
      </vt:variant>
      <vt:variant>
        <vt:i4>5</vt:i4>
      </vt:variant>
      <vt:variant>
        <vt:lpwstr>mailto:Ralph.WISCHERMANN@ec.europa.eu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2025-11-24T09:52:00Z</dcterms:created>
  <dcterms:modified xsi:type="dcterms:W3CDTF">2026-01-19T09:16:00Z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0x0101006F9234BE3910874EAD93E4EEEE4C73D0</vt:lpwstr>
  </property>
  <property fmtid="{D5CDD505-2E9C-101B-9397-08002B2CF9AE}" pid="3" name="MediaServiceImageTags">
    <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ast edited using">
    <vt:lpwstr>LW 9.2, Build 20250828</vt:lpwstr>
  </property>
  <property fmtid="{D5CDD505-2E9C-101B-9397-08002B2CF9AE}" pid="8" name="DocStatus">
    <vt:lpwstr>Green</vt:lpwstr>
  </property>
  <property fmtid="{D5CDD505-2E9C-101B-9397-08002B2CF9AE}" pid="9" name="CPTemplateID">
    <vt:lpwstr>CP-006</vt:lpwstr>
  </property>
  <property fmtid="{D5CDD505-2E9C-101B-9397-08002B2CF9AE}" pid="10" name="Created using">
    <vt:lpwstr>LW 9.0, Build 20230317</vt:lpwstr>
  </property>
  <property fmtid="{D5CDD505-2E9C-101B-9397-08002B2CF9AE}" pid="11" name="MSIP_Label_f4cdc456-5864-460f-beda-883d23b78bbb_Enabled">
    <vt:lpwstr>true</vt:lpwstr>
  </property>
  <property fmtid="{D5CDD505-2E9C-101B-9397-08002B2CF9AE}" pid="12" name="MSIP_Label_f4cdc456-5864-460f-beda-883d23b78bbb_SetDate">
    <vt:lpwstr>2025-08-21T16:56:49Z</vt:lpwstr>
  </property>
  <property fmtid="{D5CDD505-2E9C-101B-9397-08002B2CF9AE}" pid="13" name="MSIP_Label_f4cdc456-5864-460f-beda-883d23b78bbb_Method">
    <vt:lpwstr>Privileged</vt:lpwstr>
  </property>
  <property fmtid="{D5CDD505-2E9C-101B-9397-08002B2CF9AE}" pid="14" name="MSIP_Label_f4cdc456-5864-460f-beda-883d23b78bbb_Name">
    <vt:lpwstr>Publicly Available</vt:lpwstr>
  </property>
  <property fmtid="{D5CDD505-2E9C-101B-9397-08002B2CF9AE}" pid="15" name="MSIP_Label_f4cdc456-5864-460f-beda-883d23b78bbb_SiteId">
    <vt:lpwstr>b24c8b06-522c-46fe-9080-70926f8dddb1</vt:lpwstr>
  </property>
  <property fmtid="{D5CDD505-2E9C-101B-9397-08002B2CF9AE}" pid="16" name="MSIP_Label_f4cdc456-5864-460f-beda-883d23b78bbb_ActionId">
    <vt:lpwstr>9dbeb7f7-1576-4795-ba15-da65870513a4</vt:lpwstr>
  </property>
  <property fmtid="{D5CDD505-2E9C-101B-9397-08002B2CF9AE}" pid="17" name="MSIP_Label_f4cdc456-5864-460f-beda-883d23b78bbb_ContentBits">
    <vt:lpwstr>0</vt:lpwstr>
  </property>
  <property fmtid="{D5CDD505-2E9C-101B-9397-08002B2CF9AE}" pid="18" name="MSIP_Label_f4cdc456-5864-460f-beda-883d23b78bbb_Tag">
    <vt:lpwstr>10, 0, 1, 1</vt:lpwstr>
  </property>
  <property fmtid="{D5CDD505-2E9C-101B-9397-08002B2CF9AE}" pid="19" name="EC_Collab_DocumentLanguage">
    <vt:lpwstr>EN</vt:lpwstr>
  </property>
</Properties>
</file>