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BE5E0" w14:textId="29C0310E" w:rsidR="008B6253" w:rsidRPr="00D3648A" w:rsidRDefault="0091187A" w:rsidP="0091187A">
      <w:pPr>
        <w:pStyle w:val="Pagedecouverture"/>
        <w:rPr>
          <w:noProof/>
        </w:rPr>
      </w:pPr>
      <w:bookmarkStart w:id="0" w:name="LW_BM_COVERPAGE"/>
      <w:r>
        <w:rPr>
          <w:noProof/>
        </w:rPr>
        <w:pict w14:anchorId="2AC84E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297A64CE-A63A-40A8-B2BF-8852DCC0CBFB" style="width:455.25pt;height:393pt">
            <v:imagedata r:id="rId11" o:title=""/>
          </v:shape>
        </w:pict>
      </w:r>
    </w:p>
    <w:bookmarkEnd w:id="0"/>
    <w:p w14:paraId="01AEB2FF" w14:textId="77777777" w:rsidR="008B6253" w:rsidRPr="00D3648A" w:rsidRDefault="008B6253" w:rsidP="008B6253">
      <w:pPr>
        <w:rPr>
          <w:noProof/>
        </w:rPr>
        <w:sectPr w:rsidR="008B6253" w:rsidRPr="00D3648A" w:rsidSect="0091187A">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26159457" w14:textId="77777777" w:rsidR="008B6253" w:rsidRPr="00D3648A" w:rsidRDefault="008B6253" w:rsidP="008B6253">
      <w:pPr>
        <w:pStyle w:val="TOCHeading"/>
        <w:rPr>
          <w:rFonts w:eastAsiaTheme="minorHAnsi"/>
          <w:b w:val="0"/>
          <w:noProof/>
          <w:sz w:val="24"/>
          <w:lang w:val="en-IE"/>
        </w:rPr>
      </w:pPr>
      <w:bookmarkStart w:id="1" w:name="_GoBack"/>
      <w:bookmarkEnd w:id="1"/>
    </w:p>
    <w:sdt>
      <w:sdtPr>
        <w:rPr>
          <w:rFonts w:eastAsiaTheme="minorEastAsia"/>
          <w:b w:val="0"/>
          <w:noProof/>
          <w:sz w:val="24"/>
        </w:rPr>
        <w:id w:val="-874687748"/>
        <w:docPartObj>
          <w:docPartGallery w:val="Table of Contents"/>
          <w:docPartUnique/>
        </w:docPartObj>
      </w:sdtPr>
      <w:sdtEndPr>
        <w:rPr>
          <w:sz w:val="22"/>
          <w:szCs w:val="22"/>
        </w:rPr>
      </w:sdtEndPr>
      <w:sdtContent>
        <w:p w14:paraId="24E88DD3" w14:textId="77777777" w:rsidR="008B6253" w:rsidRPr="004E4B5D" w:rsidRDefault="008B6253" w:rsidP="008B6253">
          <w:pPr>
            <w:pStyle w:val="TOCHeading"/>
            <w:rPr>
              <w:noProof/>
              <w:color w:val="034EA2" w:themeColor="accent1"/>
            </w:rPr>
          </w:pPr>
          <w:r>
            <w:rPr>
              <w:noProof/>
              <w:color w:val="034EA2" w:themeColor="accent1"/>
            </w:rPr>
            <w:t>Turinys</w:t>
          </w:r>
        </w:p>
        <w:p w14:paraId="47B35715" w14:textId="46F2DE14" w:rsidR="00F7056F" w:rsidRDefault="008B6253">
          <w:pPr>
            <w:pStyle w:val="TOC1"/>
            <w:rPr>
              <w:rFonts w:asciiTheme="minorHAnsi" w:eastAsiaTheme="minorEastAsia" w:hAnsiTheme="minorHAnsi" w:cstheme="minorBidi"/>
              <w:noProof/>
              <w:kern w:val="2"/>
              <w:sz w:val="24"/>
              <w:lang w:val="en-IE" w:eastAsia="en-IE"/>
              <w14:ligatures w14:val="standardContextual"/>
            </w:rPr>
          </w:pPr>
          <w:r w:rsidRPr="00D3648A">
            <w:rPr>
              <w:noProof/>
            </w:rPr>
            <w:fldChar w:fldCharType="begin"/>
          </w:r>
          <w:r w:rsidRPr="00D3648A">
            <w:rPr>
              <w:noProof/>
            </w:rPr>
            <w:instrText xml:space="preserve"> TOC \o "1-3" \h \z \u </w:instrText>
          </w:r>
          <w:r w:rsidRPr="00D3648A">
            <w:rPr>
              <w:noProof/>
            </w:rPr>
            <w:fldChar w:fldCharType="separate"/>
          </w:r>
          <w:hyperlink w:anchor="_Toc193190091" w:history="1">
            <w:r w:rsidR="00F7056F" w:rsidRPr="008E458B">
              <w:rPr>
                <w:rStyle w:val="Hyperlink"/>
                <w:noProof/>
              </w:rPr>
              <w:t>1.</w:t>
            </w:r>
            <w:r w:rsidR="00F7056F">
              <w:rPr>
                <w:rFonts w:asciiTheme="minorHAnsi" w:eastAsiaTheme="minorEastAsia" w:hAnsiTheme="minorHAnsi" w:cstheme="minorBidi"/>
                <w:noProof/>
                <w:kern w:val="2"/>
                <w:sz w:val="24"/>
                <w:lang w:val="en-IE" w:eastAsia="en-IE"/>
                <w14:ligatures w14:val="standardContextual"/>
              </w:rPr>
              <w:tab/>
            </w:r>
            <w:r w:rsidR="00F7056F" w:rsidRPr="008E458B">
              <w:rPr>
                <w:rStyle w:val="Hyperlink"/>
                <w:noProof/>
              </w:rPr>
              <w:t>Santrauka</w:t>
            </w:r>
            <w:r w:rsidR="00F7056F">
              <w:rPr>
                <w:noProof/>
                <w:webHidden/>
              </w:rPr>
              <w:tab/>
            </w:r>
            <w:r w:rsidR="00F7056F">
              <w:rPr>
                <w:noProof/>
                <w:webHidden/>
              </w:rPr>
              <w:fldChar w:fldCharType="begin"/>
            </w:r>
            <w:r w:rsidR="00F7056F">
              <w:rPr>
                <w:noProof/>
                <w:webHidden/>
              </w:rPr>
              <w:instrText xml:space="preserve"> PAGEREF _Toc193190091 \h </w:instrText>
            </w:r>
            <w:r w:rsidR="00F7056F">
              <w:rPr>
                <w:noProof/>
                <w:webHidden/>
              </w:rPr>
            </w:r>
            <w:r w:rsidR="00F7056F">
              <w:rPr>
                <w:noProof/>
                <w:webHidden/>
              </w:rPr>
              <w:fldChar w:fldCharType="separate"/>
            </w:r>
            <w:r w:rsidR="00F7056F">
              <w:rPr>
                <w:noProof/>
                <w:webHidden/>
              </w:rPr>
              <w:t>3</w:t>
            </w:r>
            <w:r w:rsidR="00F7056F">
              <w:rPr>
                <w:noProof/>
                <w:webHidden/>
              </w:rPr>
              <w:fldChar w:fldCharType="end"/>
            </w:r>
          </w:hyperlink>
        </w:p>
        <w:p w14:paraId="46208B7B" w14:textId="53860949" w:rsidR="00F7056F" w:rsidRDefault="0091187A">
          <w:pPr>
            <w:pStyle w:val="TOC1"/>
            <w:rPr>
              <w:rFonts w:asciiTheme="minorHAnsi" w:eastAsiaTheme="minorEastAsia" w:hAnsiTheme="minorHAnsi" w:cstheme="minorBidi"/>
              <w:noProof/>
              <w:kern w:val="2"/>
              <w:sz w:val="24"/>
              <w:lang w:val="en-IE" w:eastAsia="en-IE"/>
              <w14:ligatures w14:val="standardContextual"/>
            </w:rPr>
          </w:pPr>
          <w:hyperlink w:anchor="_Toc193190092" w:history="1">
            <w:r w:rsidR="00F7056F" w:rsidRPr="008E458B">
              <w:rPr>
                <w:rStyle w:val="Hyperlink"/>
                <w:noProof/>
              </w:rPr>
              <w:t>2.</w:t>
            </w:r>
            <w:r w:rsidR="00F7056F">
              <w:rPr>
                <w:rFonts w:asciiTheme="minorHAnsi" w:eastAsiaTheme="minorEastAsia" w:hAnsiTheme="minorHAnsi" w:cstheme="minorBidi"/>
                <w:noProof/>
                <w:kern w:val="2"/>
                <w:sz w:val="24"/>
                <w:lang w:val="en-IE" w:eastAsia="en-IE"/>
                <w14:ligatures w14:val="standardContextual"/>
              </w:rPr>
              <w:tab/>
            </w:r>
            <w:r w:rsidR="00F7056F" w:rsidRPr="008E458B">
              <w:rPr>
                <w:rStyle w:val="Hyperlink"/>
                <w:noProof/>
              </w:rPr>
              <w:t>Įvadas</w:t>
            </w:r>
            <w:r w:rsidR="00F7056F">
              <w:rPr>
                <w:noProof/>
                <w:webHidden/>
              </w:rPr>
              <w:tab/>
            </w:r>
            <w:r w:rsidR="00F7056F">
              <w:rPr>
                <w:noProof/>
                <w:webHidden/>
              </w:rPr>
              <w:fldChar w:fldCharType="begin"/>
            </w:r>
            <w:r w:rsidR="00F7056F">
              <w:rPr>
                <w:noProof/>
                <w:webHidden/>
              </w:rPr>
              <w:instrText xml:space="preserve"> PAGEREF _Toc193190092 \h </w:instrText>
            </w:r>
            <w:r w:rsidR="00F7056F">
              <w:rPr>
                <w:noProof/>
                <w:webHidden/>
              </w:rPr>
            </w:r>
            <w:r w:rsidR="00F7056F">
              <w:rPr>
                <w:noProof/>
                <w:webHidden/>
              </w:rPr>
              <w:fldChar w:fldCharType="separate"/>
            </w:r>
            <w:r w:rsidR="00F7056F">
              <w:rPr>
                <w:noProof/>
                <w:webHidden/>
              </w:rPr>
              <w:t>4</w:t>
            </w:r>
            <w:r w:rsidR="00F7056F">
              <w:rPr>
                <w:noProof/>
                <w:webHidden/>
              </w:rPr>
              <w:fldChar w:fldCharType="end"/>
            </w:r>
          </w:hyperlink>
        </w:p>
        <w:p w14:paraId="6993D921" w14:textId="22B12B0B" w:rsidR="00F7056F" w:rsidRDefault="0091187A">
          <w:pPr>
            <w:pStyle w:val="TOC1"/>
            <w:rPr>
              <w:rFonts w:asciiTheme="minorHAnsi" w:eastAsiaTheme="minorEastAsia" w:hAnsiTheme="minorHAnsi" w:cstheme="minorBidi"/>
              <w:noProof/>
              <w:kern w:val="2"/>
              <w:sz w:val="24"/>
              <w:lang w:val="en-IE" w:eastAsia="en-IE"/>
              <w14:ligatures w14:val="standardContextual"/>
            </w:rPr>
          </w:pPr>
          <w:hyperlink w:anchor="_Toc193190093" w:history="1">
            <w:r w:rsidR="00F7056F" w:rsidRPr="008E458B">
              <w:rPr>
                <w:rStyle w:val="Hyperlink"/>
                <w:noProof/>
              </w:rPr>
              <w:t>3.</w:t>
            </w:r>
            <w:r w:rsidR="00F7056F">
              <w:rPr>
                <w:rFonts w:asciiTheme="minorHAnsi" w:eastAsiaTheme="minorEastAsia" w:hAnsiTheme="minorHAnsi" w:cstheme="minorBidi"/>
                <w:noProof/>
                <w:kern w:val="2"/>
                <w:sz w:val="24"/>
                <w:lang w:val="en-IE" w:eastAsia="en-IE"/>
                <w14:ligatures w14:val="standardContextual"/>
              </w:rPr>
              <w:tab/>
            </w:r>
            <w:r w:rsidR="00F7056F" w:rsidRPr="008E458B">
              <w:rPr>
                <w:rStyle w:val="Hyperlink"/>
                <w:noProof/>
              </w:rPr>
              <w:t>Skolinimosi operacijų įgyvendinimas 2024</w:t>
            </w:r>
            <w:r w:rsidR="00F7056F" w:rsidRPr="008E458B">
              <w:rPr>
                <w:rStyle w:val="Hyperlink"/>
                <w:rFonts w:ascii="Calibri" w:hAnsi="Calibri" w:cs="Calibri"/>
                <w:noProof/>
              </w:rPr>
              <w:t> </w:t>
            </w:r>
            <w:r w:rsidR="00F7056F" w:rsidRPr="008E458B">
              <w:rPr>
                <w:rStyle w:val="Hyperlink"/>
                <w:noProof/>
              </w:rPr>
              <w:t>m. antr</w:t>
            </w:r>
            <w:r w:rsidR="00F7056F" w:rsidRPr="008E458B">
              <w:rPr>
                <w:rStyle w:val="Hyperlink"/>
                <w:rFonts w:cs="EC Square Sans Pro"/>
                <w:noProof/>
              </w:rPr>
              <w:t>ą</w:t>
            </w:r>
            <w:r w:rsidR="00F7056F" w:rsidRPr="008E458B">
              <w:rPr>
                <w:rStyle w:val="Hyperlink"/>
                <w:noProof/>
              </w:rPr>
              <w:t>j</w:t>
            </w:r>
            <w:r w:rsidR="00F7056F" w:rsidRPr="008E458B">
              <w:rPr>
                <w:rStyle w:val="Hyperlink"/>
                <w:rFonts w:cs="EC Square Sans Pro"/>
                <w:noProof/>
              </w:rPr>
              <w:t>į</w:t>
            </w:r>
            <w:r w:rsidR="00F7056F" w:rsidRPr="008E458B">
              <w:rPr>
                <w:rStyle w:val="Hyperlink"/>
                <w:noProof/>
              </w:rPr>
              <w:t xml:space="preserve"> pusmet</w:t>
            </w:r>
            <w:r w:rsidR="00F7056F" w:rsidRPr="008E458B">
              <w:rPr>
                <w:rStyle w:val="Hyperlink"/>
                <w:rFonts w:cs="EC Square Sans Pro"/>
                <w:noProof/>
              </w:rPr>
              <w:t>į</w:t>
            </w:r>
            <w:r w:rsidR="00F7056F">
              <w:rPr>
                <w:noProof/>
                <w:webHidden/>
              </w:rPr>
              <w:tab/>
            </w:r>
            <w:r w:rsidR="00F7056F">
              <w:rPr>
                <w:noProof/>
                <w:webHidden/>
              </w:rPr>
              <w:fldChar w:fldCharType="begin"/>
            </w:r>
            <w:r w:rsidR="00F7056F">
              <w:rPr>
                <w:noProof/>
                <w:webHidden/>
              </w:rPr>
              <w:instrText xml:space="preserve"> PAGEREF _Toc193190093 \h </w:instrText>
            </w:r>
            <w:r w:rsidR="00F7056F">
              <w:rPr>
                <w:noProof/>
                <w:webHidden/>
              </w:rPr>
            </w:r>
            <w:r w:rsidR="00F7056F">
              <w:rPr>
                <w:noProof/>
                <w:webHidden/>
              </w:rPr>
              <w:fldChar w:fldCharType="separate"/>
            </w:r>
            <w:r w:rsidR="00F7056F">
              <w:rPr>
                <w:noProof/>
                <w:webHidden/>
              </w:rPr>
              <w:t>4</w:t>
            </w:r>
            <w:r w:rsidR="00F7056F">
              <w:rPr>
                <w:noProof/>
                <w:webHidden/>
              </w:rPr>
              <w:fldChar w:fldCharType="end"/>
            </w:r>
          </w:hyperlink>
        </w:p>
        <w:p w14:paraId="20A6D0D0" w14:textId="39618A03" w:rsidR="00F7056F" w:rsidRDefault="0091187A">
          <w:pPr>
            <w:pStyle w:val="TOC1"/>
            <w:rPr>
              <w:rFonts w:asciiTheme="minorHAnsi" w:eastAsiaTheme="minorEastAsia" w:hAnsiTheme="minorHAnsi" w:cstheme="minorBidi"/>
              <w:noProof/>
              <w:kern w:val="2"/>
              <w:sz w:val="24"/>
              <w:lang w:val="en-IE" w:eastAsia="en-IE"/>
              <w14:ligatures w14:val="standardContextual"/>
            </w:rPr>
          </w:pPr>
          <w:hyperlink w:anchor="_Toc193190097" w:history="1">
            <w:r w:rsidR="00F7056F" w:rsidRPr="008E458B">
              <w:rPr>
                <w:rStyle w:val="Hyperlink"/>
                <w:noProof/>
              </w:rPr>
              <w:t>4.</w:t>
            </w:r>
            <w:r w:rsidR="00F7056F">
              <w:rPr>
                <w:rFonts w:asciiTheme="minorHAnsi" w:eastAsiaTheme="minorEastAsia" w:hAnsiTheme="minorHAnsi" w:cstheme="minorBidi"/>
                <w:noProof/>
                <w:kern w:val="2"/>
                <w:sz w:val="24"/>
                <w:lang w:val="en-IE" w:eastAsia="en-IE"/>
                <w14:ligatures w14:val="standardContextual"/>
              </w:rPr>
              <w:tab/>
            </w:r>
            <w:r w:rsidR="00F7056F" w:rsidRPr="008E458B">
              <w:rPr>
                <w:rStyle w:val="Hyperlink"/>
                <w:noProof/>
              </w:rPr>
              <w:t>Finansavimo išlaidos ir likvidumo likučiai</w:t>
            </w:r>
            <w:r w:rsidR="00F7056F">
              <w:rPr>
                <w:noProof/>
                <w:webHidden/>
              </w:rPr>
              <w:tab/>
            </w:r>
            <w:r w:rsidR="00F7056F">
              <w:rPr>
                <w:noProof/>
                <w:webHidden/>
              </w:rPr>
              <w:fldChar w:fldCharType="begin"/>
            </w:r>
            <w:r w:rsidR="00F7056F">
              <w:rPr>
                <w:noProof/>
                <w:webHidden/>
              </w:rPr>
              <w:instrText xml:space="preserve"> PAGEREF _Toc193190097 \h </w:instrText>
            </w:r>
            <w:r w:rsidR="00F7056F">
              <w:rPr>
                <w:noProof/>
                <w:webHidden/>
              </w:rPr>
            </w:r>
            <w:r w:rsidR="00F7056F">
              <w:rPr>
                <w:noProof/>
                <w:webHidden/>
              </w:rPr>
              <w:fldChar w:fldCharType="separate"/>
            </w:r>
            <w:r w:rsidR="00F7056F">
              <w:rPr>
                <w:noProof/>
                <w:webHidden/>
              </w:rPr>
              <w:t>8</w:t>
            </w:r>
            <w:r w:rsidR="00F7056F">
              <w:rPr>
                <w:noProof/>
                <w:webHidden/>
              </w:rPr>
              <w:fldChar w:fldCharType="end"/>
            </w:r>
          </w:hyperlink>
        </w:p>
        <w:p w14:paraId="3E05A254" w14:textId="24B3033C" w:rsidR="00F7056F" w:rsidRDefault="0091187A">
          <w:pPr>
            <w:pStyle w:val="TOC1"/>
            <w:rPr>
              <w:rFonts w:asciiTheme="minorHAnsi" w:eastAsiaTheme="minorEastAsia" w:hAnsiTheme="minorHAnsi" w:cstheme="minorBidi"/>
              <w:noProof/>
              <w:kern w:val="2"/>
              <w:sz w:val="24"/>
              <w:lang w:val="en-IE" w:eastAsia="en-IE"/>
              <w14:ligatures w14:val="standardContextual"/>
            </w:rPr>
          </w:pPr>
          <w:hyperlink w:anchor="_Toc193190100" w:history="1">
            <w:r w:rsidR="00F7056F" w:rsidRPr="008E458B">
              <w:rPr>
                <w:rStyle w:val="Hyperlink"/>
                <w:noProof/>
              </w:rPr>
              <w:t>5.</w:t>
            </w:r>
            <w:r w:rsidR="00F7056F">
              <w:rPr>
                <w:rFonts w:asciiTheme="minorHAnsi" w:eastAsiaTheme="minorEastAsia" w:hAnsiTheme="minorHAnsi" w:cstheme="minorBidi"/>
                <w:noProof/>
                <w:kern w:val="2"/>
                <w:sz w:val="24"/>
                <w:lang w:val="en-IE" w:eastAsia="en-IE"/>
                <w14:ligatures w14:val="standardContextual"/>
              </w:rPr>
              <w:tab/>
            </w:r>
            <w:r w:rsidR="00F7056F" w:rsidRPr="008E458B">
              <w:rPr>
                <w:rStyle w:val="Hyperlink"/>
                <w:noProof/>
              </w:rPr>
              <w:t>Veiksmai, kuriais toliau plėtojama ES obligacijų ekosistema</w:t>
            </w:r>
            <w:r w:rsidR="00F7056F">
              <w:rPr>
                <w:noProof/>
                <w:webHidden/>
              </w:rPr>
              <w:tab/>
            </w:r>
            <w:r w:rsidR="00F7056F">
              <w:rPr>
                <w:noProof/>
                <w:webHidden/>
              </w:rPr>
              <w:fldChar w:fldCharType="begin"/>
            </w:r>
            <w:r w:rsidR="00F7056F">
              <w:rPr>
                <w:noProof/>
                <w:webHidden/>
              </w:rPr>
              <w:instrText xml:space="preserve"> PAGEREF _Toc193190100 \h </w:instrText>
            </w:r>
            <w:r w:rsidR="00F7056F">
              <w:rPr>
                <w:noProof/>
                <w:webHidden/>
              </w:rPr>
            </w:r>
            <w:r w:rsidR="00F7056F">
              <w:rPr>
                <w:noProof/>
                <w:webHidden/>
              </w:rPr>
              <w:fldChar w:fldCharType="separate"/>
            </w:r>
            <w:r w:rsidR="00F7056F">
              <w:rPr>
                <w:noProof/>
                <w:webHidden/>
              </w:rPr>
              <w:t>11</w:t>
            </w:r>
            <w:r w:rsidR="00F7056F">
              <w:rPr>
                <w:noProof/>
                <w:webHidden/>
              </w:rPr>
              <w:fldChar w:fldCharType="end"/>
            </w:r>
          </w:hyperlink>
        </w:p>
        <w:p w14:paraId="79314242" w14:textId="026BACFA" w:rsidR="00F7056F" w:rsidRDefault="0091187A">
          <w:pPr>
            <w:pStyle w:val="TOC1"/>
            <w:rPr>
              <w:rFonts w:asciiTheme="minorHAnsi" w:eastAsiaTheme="minorEastAsia" w:hAnsiTheme="minorHAnsi" w:cstheme="minorBidi"/>
              <w:noProof/>
              <w:kern w:val="2"/>
              <w:sz w:val="24"/>
              <w:lang w:val="en-IE" w:eastAsia="en-IE"/>
              <w14:ligatures w14:val="standardContextual"/>
            </w:rPr>
          </w:pPr>
          <w:hyperlink w:anchor="_Toc193190101" w:history="1">
            <w:r w:rsidR="00F7056F" w:rsidRPr="008E458B">
              <w:rPr>
                <w:rStyle w:val="Hyperlink"/>
                <w:noProof/>
              </w:rPr>
              <w:t>6.</w:t>
            </w:r>
            <w:r w:rsidR="00F7056F">
              <w:rPr>
                <w:rFonts w:asciiTheme="minorHAnsi" w:eastAsiaTheme="minorEastAsia" w:hAnsiTheme="minorHAnsi" w:cstheme="minorBidi"/>
                <w:noProof/>
                <w:kern w:val="2"/>
                <w:sz w:val="24"/>
                <w:lang w:val="en-IE" w:eastAsia="en-IE"/>
                <w14:ligatures w14:val="standardContextual"/>
              </w:rPr>
              <w:tab/>
            </w:r>
            <w:r w:rsidR="00F7056F" w:rsidRPr="008E458B">
              <w:rPr>
                <w:rStyle w:val="Hyperlink"/>
                <w:noProof/>
              </w:rPr>
              <w:t>Kitos 2024 m. antrojo pusmečio tarpinės reikšmės</w:t>
            </w:r>
            <w:r w:rsidR="00F7056F">
              <w:rPr>
                <w:noProof/>
                <w:webHidden/>
              </w:rPr>
              <w:tab/>
            </w:r>
            <w:r w:rsidR="00F7056F">
              <w:rPr>
                <w:noProof/>
                <w:webHidden/>
              </w:rPr>
              <w:fldChar w:fldCharType="begin"/>
            </w:r>
            <w:r w:rsidR="00F7056F">
              <w:rPr>
                <w:noProof/>
                <w:webHidden/>
              </w:rPr>
              <w:instrText xml:space="preserve"> PAGEREF _Toc193190101 \h </w:instrText>
            </w:r>
            <w:r w:rsidR="00F7056F">
              <w:rPr>
                <w:noProof/>
                <w:webHidden/>
              </w:rPr>
            </w:r>
            <w:r w:rsidR="00F7056F">
              <w:rPr>
                <w:noProof/>
                <w:webHidden/>
              </w:rPr>
              <w:fldChar w:fldCharType="separate"/>
            </w:r>
            <w:r w:rsidR="00F7056F">
              <w:rPr>
                <w:noProof/>
                <w:webHidden/>
              </w:rPr>
              <w:t>12</w:t>
            </w:r>
            <w:r w:rsidR="00F7056F">
              <w:rPr>
                <w:noProof/>
                <w:webHidden/>
              </w:rPr>
              <w:fldChar w:fldCharType="end"/>
            </w:r>
          </w:hyperlink>
        </w:p>
        <w:p w14:paraId="1C9D7149" w14:textId="60087DE1" w:rsidR="00F7056F" w:rsidRDefault="0091187A">
          <w:pPr>
            <w:pStyle w:val="TOC1"/>
            <w:rPr>
              <w:rFonts w:asciiTheme="minorHAnsi" w:eastAsiaTheme="minorEastAsia" w:hAnsiTheme="minorHAnsi" w:cstheme="minorBidi"/>
              <w:noProof/>
              <w:kern w:val="2"/>
              <w:sz w:val="24"/>
              <w:lang w:val="en-IE" w:eastAsia="en-IE"/>
              <w14:ligatures w14:val="standardContextual"/>
            </w:rPr>
          </w:pPr>
          <w:hyperlink w:anchor="_Toc193190103" w:history="1">
            <w:r w:rsidR="00F7056F" w:rsidRPr="008E458B">
              <w:rPr>
                <w:rStyle w:val="Hyperlink"/>
                <w:noProof/>
              </w:rPr>
              <w:t>7.</w:t>
            </w:r>
            <w:r w:rsidR="00F7056F">
              <w:rPr>
                <w:rFonts w:asciiTheme="minorHAnsi" w:eastAsiaTheme="minorEastAsia" w:hAnsiTheme="minorHAnsi" w:cstheme="minorBidi"/>
                <w:noProof/>
                <w:kern w:val="2"/>
                <w:sz w:val="24"/>
                <w:lang w:val="en-IE" w:eastAsia="en-IE"/>
                <w14:ligatures w14:val="standardContextual"/>
              </w:rPr>
              <w:tab/>
            </w:r>
            <w:r w:rsidR="00F7056F" w:rsidRPr="008E458B">
              <w:rPr>
                <w:rStyle w:val="Hyperlink"/>
                <w:noProof/>
              </w:rPr>
              <w:t>Emisijų perspektyvos 2025</w:t>
            </w:r>
            <w:r w:rsidR="00F7056F" w:rsidRPr="008E458B">
              <w:rPr>
                <w:rStyle w:val="Hyperlink"/>
                <w:rFonts w:ascii="Calibri" w:hAnsi="Calibri" w:cs="Calibri"/>
                <w:noProof/>
              </w:rPr>
              <w:t> </w:t>
            </w:r>
            <w:r w:rsidR="00F7056F" w:rsidRPr="008E458B">
              <w:rPr>
                <w:rStyle w:val="Hyperlink"/>
                <w:noProof/>
              </w:rPr>
              <w:t>m. pirm</w:t>
            </w:r>
            <w:r w:rsidR="00F7056F" w:rsidRPr="008E458B">
              <w:rPr>
                <w:rStyle w:val="Hyperlink"/>
                <w:rFonts w:cs="EC Square Sans Pro"/>
                <w:noProof/>
              </w:rPr>
              <w:t>ą</w:t>
            </w:r>
            <w:r w:rsidR="00F7056F" w:rsidRPr="008E458B">
              <w:rPr>
                <w:rStyle w:val="Hyperlink"/>
                <w:noProof/>
              </w:rPr>
              <w:t>j</w:t>
            </w:r>
            <w:r w:rsidR="00F7056F" w:rsidRPr="008E458B">
              <w:rPr>
                <w:rStyle w:val="Hyperlink"/>
                <w:rFonts w:cs="EC Square Sans Pro"/>
                <w:noProof/>
              </w:rPr>
              <w:t>į</w:t>
            </w:r>
            <w:r w:rsidR="00F7056F" w:rsidRPr="008E458B">
              <w:rPr>
                <w:rStyle w:val="Hyperlink"/>
                <w:noProof/>
              </w:rPr>
              <w:t xml:space="preserve"> pusmet</w:t>
            </w:r>
            <w:r w:rsidR="00F7056F" w:rsidRPr="008E458B">
              <w:rPr>
                <w:rStyle w:val="Hyperlink"/>
                <w:rFonts w:cs="EC Square Sans Pro"/>
                <w:noProof/>
              </w:rPr>
              <w:t>į</w:t>
            </w:r>
            <w:r w:rsidR="00F7056F">
              <w:rPr>
                <w:noProof/>
                <w:webHidden/>
              </w:rPr>
              <w:tab/>
            </w:r>
            <w:r w:rsidR="00F7056F">
              <w:rPr>
                <w:noProof/>
                <w:webHidden/>
              </w:rPr>
              <w:fldChar w:fldCharType="begin"/>
            </w:r>
            <w:r w:rsidR="00F7056F">
              <w:rPr>
                <w:noProof/>
                <w:webHidden/>
              </w:rPr>
              <w:instrText xml:space="preserve"> PAGEREF _Toc193190103 \h </w:instrText>
            </w:r>
            <w:r w:rsidR="00F7056F">
              <w:rPr>
                <w:noProof/>
                <w:webHidden/>
              </w:rPr>
            </w:r>
            <w:r w:rsidR="00F7056F">
              <w:rPr>
                <w:noProof/>
                <w:webHidden/>
              </w:rPr>
              <w:fldChar w:fldCharType="separate"/>
            </w:r>
            <w:r w:rsidR="00F7056F">
              <w:rPr>
                <w:noProof/>
                <w:webHidden/>
              </w:rPr>
              <w:t>13</w:t>
            </w:r>
            <w:r w:rsidR="00F7056F">
              <w:rPr>
                <w:noProof/>
                <w:webHidden/>
              </w:rPr>
              <w:fldChar w:fldCharType="end"/>
            </w:r>
          </w:hyperlink>
        </w:p>
        <w:p w14:paraId="33097789" w14:textId="5F0FB14B" w:rsidR="008B6253" w:rsidRPr="00D3648A" w:rsidRDefault="008B6253" w:rsidP="008B6253">
          <w:pPr>
            <w:rPr>
              <w:noProof/>
            </w:rPr>
          </w:pPr>
          <w:r w:rsidRPr="00D3648A">
            <w:rPr>
              <w:b/>
              <w:noProof/>
            </w:rPr>
            <w:fldChar w:fldCharType="end"/>
          </w:r>
        </w:p>
      </w:sdtContent>
    </w:sdt>
    <w:p w14:paraId="0D3B81B7" w14:textId="77777777" w:rsidR="008B6253" w:rsidRPr="00D3648A" w:rsidRDefault="008B6253" w:rsidP="008B6253">
      <w:pPr>
        <w:rPr>
          <w:noProof/>
        </w:rPr>
      </w:pPr>
    </w:p>
    <w:p w14:paraId="3EEBF846" w14:textId="77777777" w:rsidR="008B6253" w:rsidRPr="00D3648A" w:rsidRDefault="008B6253" w:rsidP="008B6253">
      <w:pPr>
        <w:rPr>
          <w:noProof/>
          <w:u w:val="single"/>
        </w:rPr>
        <w:sectPr w:rsidR="008B6253" w:rsidRPr="00D3648A" w:rsidSect="008B6253">
          <w:headerReference w:type="even" r:id="rId18"/>
          <w:headerReference w:type="default" r:id="rId19"/>
          <w:footerReference w:type="even" r:id="rId20"/>
          <w:footerReference w:type="default" r:id="rId21"/>
          <w:headerReference w:type="first" r:id="rId22"/>
          <w:footerReference w:type="first" r:id="rId23"/>
          <w:pgSz w:w="11906" w:h="16838"/>
          <w:pgMar w:top="1134" w:right="1417" w:bottom="1134" w:left="1417" w:header="709" w:footer="709" w:gutter="0"/>
          <w:pgNumType w:start="0"/>
          <w:cols w:space="720"/>
          <w:docGrid w:linePitch="360"/>
        </w:sectPr>
      </w:pPr>
    </w:p>
    <w:p w14:paraId="588F7376" w14:textId="20730A21" w:rsidR="003F3D5E" w:rsidRDefault="0091187A" w:rsidP="63F8525A">
      <w:pPr>
        <w:spacing w:line="259" w:lineRule="auto"/>
        <w:jc w:val="center"/>
        <w:rPr>
          <w:rFonts w:cstheme="minorBidi"/>
          <w:b/>
          <w:bCs/>
          <w:noProof/>
          <w:color w:val="44546A" w:themeColor="text2"/>
          <w:sz w:val="28"/>
          <w:szCs w:val="28"/>
        </w:rPr>
      </w:pPr>
      <w:r>
        <w:rPr>
          <w:noProof/>
        </w:rPr>
        <w:pict w14:anchorId="70181A18">
          <v:rect id="Rectangle 26" o:spid="_x0000_s2053" style="position:absolute;left:0;text-align:left;margin-left:0;margin-top:23.35pt;width:451.3pt;height:135.3pt;z-index:-2516587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" fillcolor="#f5f5f5" stroked="f" strokeweight="1pt"/>
        </w:pict>
      </w:r>
      <w:r w:rsidR="000E5618">
        <w:rPr>
          <w:b/>
          <w:noProof/>
          <w:color w:val="44546A" w:themeColor="text2"/>
          <w:sz w:val="28"/>
        </w:rPr>
        <w:t>2024 M. ANTRĄJĮ PUSMETĮ PRITRAUKTOS FINANSAVIMO LĖŠOS</w:t>
      </w:r>
    </w:p>
    <w:p w14:paraId="79CE8971" w14:textId="0608EEA2" w:rsidR="001A2134" w:rsidRPr="00CF5DC4" w:rsidRDefault="00CF5DC4" w:rsidP="00876EF2">
      <w:pPr>
        <w:tabs>
          <w:tab w:val="left" w:pos="7697"/>
        </w:tabs>
        <w:spacing w:after="0" w:line="259" w:lineRule="auto"/>
        <w:jc w:val="left"/>
        <w:rPr>
          <w:rFonts w:asciiTheme="minorHAnsi" w:hAnsiTheme="minorHAnsi" w:cstheme="minorBidi"/>
          <w:noProof/>
          <w:szCs w:val="22"/>
        </w:rPr>
      </w:pPr>
      <w:r>
        <w:rPr>
          <w:rFonts w:asciiTheme="minorHAnsi" w:hAnsiTheme="minorHAnsi"/>
          <w:noProof/>
        </w:rPr>
        <w:t xml:space="preserve"> </w:t>
      </w:r>
      <w:r w:rsidR="00876EF2">
        <w:rPr>
          <w:noProof/>
          <w:lang w:val="en-GB" w:eastAsia="en-GB"/>
        </w:rPr>
        <w:drawing>
          <wp:inline distT="0" distB="0" distL="0" distR="0" wp14:anchorId="483BA930" wp14:editId="516BFABE">
            <wp:extent cx="1670685" cy="1328057"/>
            <wp:effectExtent l="0" t="0" r="0" b="0"/>
            <wp:docPr id="1086543756" name="Chart 1">
              <a:extLst xmlns:a="http://schemas.openxmlformats.org/drawingml/2006/main">
                <a:ext uri="{FF2B5EF4-FFF2-40B4-BE49-F238E27FC236}">
                  <a16:creationId xmlns:a16="http://schemas.microsoft.com/office/drawing/2014/main" id="{91260A18-A041-480B-3022-EE4A9068CA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876EF2">
        <w:rPr>
          <w:noProof/>
          <w:lang w:val="en-GB" w:eastAsia="en-GB"/>
        </w:rPr>
        <w:drawing>
          <wp:inline distT="0" distB="0" distL="0" distR="0" wp14:anchorId="314252DB" wp14:editId="3C5976CF">
            <wp:extent cx="1981200" cy="1267641"/>
            <wp:effectExtent l="0" t="0" r="0" b="0"/>
            <wp:docPr id="1965343427" name="Chart 1">
              <a:extLst xmlns:a="http://schemas.openxmlformats.org/drawingml/2006/main">
                <a:ext uri="{FF2B5EF4-FFF2-40B4-BE49-F238E27FC236}">
                  <a16:creationId xmlns:a16="http://schemas.microsoft.com/office/drawing/2014/main" id="{813519F8-22CF-B86E-8C79-1F015213183B}"/>
                </a:ext>
                <a:ext uri="{147F2762-F138-4A5C-976F-8EAC2B608ADB}">
                  <a16:predDERef xmlns:a16="http://schemas.microsoft.com/office/drawing/2014/main" pred="{32314CB2-F5EE-13C9-630B-0EB17516A0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876EF2">
        <w:rPr>
          <w:rFonts w:asciiTheme="minorHAnsi" w:hAnsiTheme="minorHAnsi"/>
          <w:noProof/>
        </w:rPr>
        <w:tab/>
      </w:r>
    </w:p>
    <w:p w14:paraId="71ED62E9" w14:textId="6DF2DF1F" w:rsidR="00876EF2" w:rsidRDefault="00876EF2" w:rsidP="00E14B07">
      <w:pPr>
        <w:spacing w:before="360" w:after="0"/>
        <w:jc w:val="center"/>
        <w:rPr>
          <w:b/>
          <w:noProof/>
          <w:color w:val="44546A" w:themeColor="text2"/>
          <w:sz w:val="28"/>
        </w:rPr>
      </w:pPr>
    </w:p>
    <w:p w14:paraId="0E09A041" w14:textId="1A00EF2A" w:rsidR="00F97153" w:rsidRPr="00F97153" w:rsidRDefault="0091187A" w:rsidP="00E14B07">
      <w:pPr>
        <w:spacing w:before="360" w:after="0"/>
        <w:jc w:val="center"/>
        <w:rPr>
          <w:b/>
          <w:bCs/>
          <w:noProof/>
          <w:color w:val="44546A" w:themeColor="text2"/>
          <w:sz w:val="28"/>
          <w:szCs w:val="28"/>
        </w:rPr>
      </w:pPr>
      <w:r>
        <w:rPr>
          <w:b/>
          <w:noProof/>
          <w:color w:val="44546A" w:themeColor="text2"/>
          <w:sz w:val="28"/>
        </w:rPr>
        <w:pict w14:anchorId="6E37AB4C">
          <v:rect id="_x0000_s2069" style="position:absolute;left:0;text-align:left;margin-left:0;margin-top:14.85pt;width:469.75pt;height:498.05pt;z-index:-251656704" fillcolor="#f5f5f5" stroked="f"/>
        </w:pict>
      </w:r>
      <w:r w:rsidR="00AF3092">
        <w:rPr>
          <w:b/>
          <w:noProof/>
          <w:color w:val="44546A" w:themeColor="text2"/>
          <w:sz w:val="28"/>
        </w:rPr>
        <w:t>SURINKTŲ LĖŠŲ PANAUDOJIMAS</w:t>
      </w:r>
    </w:p>
    <w:p w14:paraId="6EAAFF33" w14:textId="5F87C63A" w:rsidR="009E132D" w:rsidRDefault="0091187A" w:rsidP="00E06416">
      <w:pPr>
        <w:rPr>
          <w:noProof/>
        </w:rPr>
      </w:pPr>
      <w:r>
        <w:rPr>
          <w:noProof/>
        </w:rPr>
        <w:pict w14:anchorId="3B1A3AE8">
          <v:group id="_x0000_s2087" style="position:absolute;left:0;text-align:left;margin-left:59.15pt;margin-top:9.85pt;width:175pt;height:30.75pt;z-index:251660800" coordorigin="2124,5264" coordsize="3612,64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71" type="#_x0000_t86" style="position:absolute;left:3824;top:3993;width:211;height:3612;rotation:-90" adj="1016" strokecolor="#44546a [3215]" strokeweight="1pt"/>
            <v:shapetype id="_x0000_t202" coordsize="21600,21600" o:spt="202" path="m,l,21600r21600,l21600,xe">
              <v:stroke joinstyle="miter"/>
              <v:path gradientshapeok="t" o:connecttype="rect"/>
            </v:shapetype>
            <v:shape id="_x0000_s2064" type="#_x0000_t202" style="position:absolute;left:2628;top:5264;width:2551;height:640" fillcolor="#f5f5f5" stroked="f">
              <v:textbox style="mso-next-textbox:#_x0000_s2064" inset="0,,0">
                <w:txbxContent>
                  <w:p w14:paraId="454374DB" w14:textId="1348C10C" w:rsidR="00BD7489" w:rsidRPr="00544DEE" w:rsidRDefault="00BD7489" w:rsidP="00BD7489">
                    <w:pPr>
                      <w:jc w:val="center"/>
                      <w:rPr>
                        <w:b/>
                        <w:bCs/>
                        <w:color w:val="44546A" w:themeColor="text2"/>
                        <w:sz w:val="20"/>
                        <w:szCs w:val="20"/>
                      </w:rPr>
                    </w:pPr>
                    <w:r>
                      <w:rPr>
                        <w:b/>
                        <w:color w:val="44546A" w:themeColor="text2"/>
                        <w:sz w:val="20"/>
                      </w:rPr>
                      <w:t>Iš viso „NextGenerationEU“ 72,2 mlrd. EUR</w:t>
                    </w:r>
                  </w:p>
                  <w:p w14:paraId="5F150A92" w14:textId="77777777" w:rsidR="00BD7489" w:rsidRDefault="00BD7489"/>
                </w:txbxContent>
              </v:textbox>
            </v:shape>
          </v:group>
        </w:pict>
      </w:r>
      <w:r>
        <w:rPr>
          <w:noProof/>
        </w:rPr>
        <w:pict w14:anchorId="45E2C28F">
          <v:shape id="Text Box 29" o:spid="_x0000_s2073" type="#_x0000_t202" style="position:absolute;left:0;text-align:left;margin-left:378pt;margin-top:8.55pt;width:72.4pt;height:20.4pt;z-index:251662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" filled="f" stroked="f" strokeweight=".5pt">
            <v:textbox style="mso-next-textbox:#Text Box 29">
              <w:txbxContent>
                <w:p w14:paraId="4C6E9CB0" w14:textId="15CEC246" w:rsidR="0060139C" w:rsidRPr="00F169EB" w:rsidRDefault="0060139C" w:rsidP="0060139C">
                  <w:pPr>
                    <w:jc w:val="center"/>
                    <w:rPr>
                      <w:color w:val="034EA2" w:themeColor="accent1"/>
                      <w:sz w:val="24"/>
                    </w:rPr>
                  </w:pPr>
                  <w:r>
                    <w:rPr>
                      <w:color w:val="034EA2" w:themeColor="accent1"/>
                      <w:sz w:val="24"/>
                    </w:rPr>
                    <w:t>2024 II pusmetis</w:t>
                  </w:r>
                </w:p>
              </w:txbxContent>
            </v:textbox>
          </v:shape>
        </w:pict>
      </w:r>
    </w:p>
    <w:p w14:paraId="02D365E7" w14:textId="4ECDFA24" w:rsidR="00E06416" w:rsidRPr="009E155D" w:rsidRDefault="00F267FE" w:rsidP="00E06416">
      <w:pPr>
        <w:rPr>
          <w:noProof/>
        </w:rPr>
      </w:pPr>
      <w:r w:rsidRPr="00391774">
        <w:rPr>
          <w:noProof/>
          <w:lang w:val="en-GB" w:eastAsia="en-GB"/>
        </w:rPr>
        <w:drawing>
          <wp:anchor distT="0" distB="0" distL="114300" distR="114300" simplePos="0" relativeHeight="251656704" behindDoc="0" locked="0" layoutInCell="1" allowOverlap="1" wp14:anchorId="55DC5E40" wp14:editId="4D41D607">
            <wp:simplePos x="0" y="0"/>
            <wp:positionH relativeFrom="column">
              <wp:posOffset>1703613</wp:posOffset>
            </wp:positionH>
            <wp:positionV relativeFrom="paragraph">
              <wp:posOffset>92529</wp:posOffset>
            </wp:positionV>
            <wp:extent cx="2230285" cy="4239985"/>
            <wp:effectExtent l="0" t="0" r="0" b="0"/>
            <wp:wrapNone/>
            <wp:docPr id="46731582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46499" cy="42708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CBC32F" w14:textId="2EC8E91E" w:rsidR="002B627C" w:rsidRDefault="00F267FE" w:rsidP="00E01CEF">
      <w:pPr>
        <w:jc w:val="left"/>
        <w:rPr>
          <w:noProof/>
        </w:rPr>
      </w:pPr>
      <w:r w:rsidRPr="00CC4F16">
        <w:rPr>
          <w:noProof/>
          <w:lang w:val="en-GB" w:eastAsia="en-GB"/>
        </w:rPr>
        <w:drawing>
          <wp:anchor distT="0" distB="0" distL="114300" distR="114300" simplePos="0" relativeHeight="251650560" behindDoc="0" locked="0" layoutInCell="1" allowOverlap="1" wp14:anchorId="78AE5487" wp14:editId="0A256343">
            <wp:simplePos x="0" y="0"/>
            <wp:positionH relativeFrom="column">
              <wp:posOffset>3603171</wp:posOffset>
            </wp:positionH>
            <wp:positionV relativeFrom="paragraph">
              <wp:posOffset>2547892</wp:posOffset>
            </wp:positionV>
            <wp:extent cx="2313215" cy="802986"/>
            <wp:effectExtent l="0" t="0" r="0" b="0"/>
            <wp:wrapNone/>
            <wp:docPr id="119914437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25147" cy="8071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348B" w:rsidRPr="00C4348B">
        <w:rPr>
          <w:noProof/>
          <w:lang w:val="en-GB" w:eastAsia="en-GB"/>
        </w:rPr>
        <w:drawing>
          <wp:anchor distT="0" distB="0" distL="114300" distR="114300" simplePos="0" relativeHeight="251651584" behindDoc="0" locked="0" layoutInCell="1" allowOverlap="1" wp14:anchorId="3C47B1F4" wp14:editId="575DC200">
            <wp:simplePos x="0" y="0"/>
            <wp:positionH relativeFrom="column">
              <wp:posOffset>1196340</wp:posOffset>
            </wp:positionH>
            <wp:positionV relativeFrom="paragraph">
              <wp:posOffset>869043</wp:posOffset>
            </wp:positionV>
            <wp:extent cx="1251585" cy="952500"/>
            <wp:effectExtent l="0" t="0" r="0" b="0"/>
            <wp:wrapNone/>
            <wp:docPr id="197842800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51585" cy="952500"/>
                    </a:xfrm>
                    <a:prstGeom prst="rect">
                      <a:avLst/>
                    </a:prstGeom>
                    <a:noFill/>
                    <a:ln>
                      <a:noFill/>
                    </a:ln>
                  </pic:spPr>
                </pic:pic>
              </a:graphicData>
            </a:graphic>
          </wp:anchor>
        </w:drawing>
      </w:r>
      <w:r w:rsidR="00C4348B">
        <w:rPr>
          <w:noProof/>
          <w:lang w:val="en-GB" w:eastAsia="en-GB"/>
        </w:rPr>
        <w:drawing>
          <wp:anchor distT="0" distB="0" distL="114300" distR="114300" simplePos="0" relativeHeight="251649536" behindDoc="1" locked="0" layoutInCell="1" allowOverlap="1" wp14:anchorId="3D64741F" wp14:editId="1ED91C74">
            <wp:simplePos x="0" y="0"/>
            <wp:positionH relativeFrom="column">
              <wp:posOffset>2084070</wp:posOffset>
            </wp:positionH>
            <wp:positionV relativeFrom="paragraph">
              <wp:posOffset>38735</wp:posOffset>
            </wp:positionV>
            <wp:extent cx="1681480" cy="3673475"/>
            <wp:effectExtent l="0" t="0" r="0" b="0"/>
            <wp:wrapTight wrapText="bothSides">
              <wp:wrapPolygon edited="0">
                <wp:start x="6607" y="560"/>
                <wp:lineTo x="6607" y="17698"/>
                <wp:lineTo x="9054" y="18706"/>
                <wp:lineTo x="10767" y="18706"/>
                <wp:lineTo x="3426" y="19154"/>
                <wp:lineTo x="2447" y="19266"/>
                <wp:lineTo x="2447" y="20835"/>
                <wp:lineTo x="13704" y="21059"/>
                <wp:lineTo x="19822" y="21059"/>
                <wp:lineTo x="19822" y="19826"/>
                <wp:lineTo x="16151" y="19042"/>
                <wp:lineTo x="12480" y="18706"/>
                <wp:lineTo x="14927" y="17586"/>
                <wp:lineTo x="14683" y="560"/>
                <wp:lineTo x="6607" y="560"/>
              </wp:wrapPolygon>
            </wp:wrapTight>
            <wp:docPr id="1292148584" name="Chart 1">
              <a:extLst xmlns:a="http://schemas.openxmlformats.org/drawingml/2006/main">
                <a:ext uri="{FF2B5EF4-FFF2-40B4-BE49-F238E27FC236}">
                  <a16:creationId xmlns:a16="http://schemas.microsoft.com/office/drawing/2014/main" id="{6F49E35F-E68D-EBA9-6CBE-C52282F275A2}"/>
                </a:ext>
                <a:ext uri="{147F2762-F138-4A5C-976F-8EAC2B608ADB}">
                  <a16:predDERef xmlns:a16="http://schemas.microsoft.com/office/drawing/2014/main" pred="{1A9BA1B8-AA57-5A91-AB30-D8ED1D1EF4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r w:rsidR="00CC4F16">
        <w:rPr>
          <w:noProof/>
          <w:lang w:val="en-GB" w:eastAsia="en-GB"/>
        </w:rPr>
        <w:drawing>
          <wp:inline distT="0" distB="0" distL="0" distR="0" wp14:anchorId="61CF2B8D" wp14:editId="657F9B04">
            <wp:extent cx="1714500" cy="4152900"/>
            <wp:effectExtent l="0" t="0" r="0" b="0"/>
            <wp:docPr id="1702932595" name="Chart 1">
              <a:extLst xmlns:a="http://schemas.openxmlformats.org/drawingml/2006/main">
                <a:ext uri="{FF2B5EF4-FFF2-40B4-BE49-F238E27FC236}">
                  <a16:creationId xmlns:a16="http://schemas.microsoft.com/office/drawing/2014/main" id="{1A9BA1B8-AA57-5A91-AB30-D8ED1D1EF47B}"/>
                </a:ext>
                <a:ext uri="{147F2762-F138-4A5C-976F-8EAC2B608ADB}">
                  <a16:predDERef xmlns:a16="http://schemas.microsoft.com/office/drawing/2014/main" pred="{813519F8-22CF-B86E-8C79-1F01521318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CCA81C2" w14:textId="77777777" w:rsidR="00E01CEF" w:rsidRDefault="00E01CEF" w:rsidP="00E06416">
      <w:pPr>
        <w:rPr>
          <w:noProof/>
        </w:rPr>
      </w:pPr>
    </w:p>
    <w:p w14:paraId="35446BC5" w14:textId="77777777" w:rsidR="00E01CEF" w:rsidRDefault="00E01CEF" w:rsidP="00E06416">
      <w:pPr>
        <w:rPr>
          <w:noProof/>
        </w:rPr>
      </w:pPr>
    </w:p>
    <w:p w14:paraId="7F9BFCE5" w14:textId="77777777" w:rsidR="00C4348B" w:rsidRDefault="00C4348B" w:rsidP="00E06416">
      <w:pPr>
        <w:rPr>
          <w:noProof/>
        </w:rPr>
      </w:pPr>
    </w:p>
    <w:p w14:paraId="5F27E567" w14:textId="77777777" w:rsidR="00C4348B" w:rsidRDefault="00C4348B" w:rsidP="00E06416">
      <w:pPr>
        <w:rPr>
          <w:noProof/>
        </w:rPr>
      </w:pPr>
    </w:p>
    <w:p w14:paraId="2C0A2DFD" w14:textId="77777777" w:rsidR="00C4348B" w:rsidRDefault="00C4348B" w:rsidP="00E06416">
      <w:pPr>
        <w:rPr>
          <w:noProof/>
        </w:rPr>
      </w:pPr>
    </w:p>
    <w:p w14:paraId="006D139D" w14:textId="77777777" w:rsidR="00C4348B" w:rsidRDefault="00C4348B" w:rsidP="00E06416">
      <w:pPr>
        <w:rPr>
          <w:noProof/>
        </w:rPr>
      </w:pPr>
    </w:p>
    <w:p w14:paraId="23FAC418" w14:textId="504CD56D" w:rsidR="00E06416" w:rsidRPr="00E06416" w:rsidRDefault="0091187A" w:rsidP="00E06416">
      <w:pPr>
        <w:rPr>
          <w:noProof/>
        </w:rPr>
      </w:pPr>
      <w:r>
        <w:rPr>
          <w:noProof/>
        </w:rPr>
        <w:pict w14:anchorId="09B90781">
          <v:group id="_x0000_s2088" style="position:absolute;left:0;text-align:left;margin-left:70.35pt;margin-top:15.85pt;width:157.9pt;height:42.4pt;z-index:251661824" coordorigin="2916,10815" coordsize="3612,624">
            <v:shape id="_x0000_s2072" type="#_x0000_t86" style="position:absolute;left:4616;top:9460;width:211;height:3612;rotation:-90" adj="1016" strokecolor="#44546a [3215]" strokeweight="1pt"/>
            <v:rect id="_x0000_s2067" style="position:absolute;left:3454;top:10815;width:2551;height:624" fillcolor="#f5f5f5" stroked="f">
              <v:textbox style="mso-next-textbox:#_x0000_s2067">
                <w:txbxContent>
                  <w:p w14:paraId="759D2301" w14:textId="5FED7DF4" w:rsidR="00A86EB0" w:rsidRPr="00A86EB0" w:rsidRDefault="00A86EB0" w:rsidP="00A86EB0">
                    <w:pPr>
                      <w:spacing w:after="0"/>
                      <w:jc w:val="center"/>
                      <w:rPr>
                        <w:b/>
                        <w:bCs/>
                        <w:color w:val="44546A" w:themeColor="text2"/>
                        <w:sz w:val="20"/>
                        <w:szCs w:val="20"/>
                      </w:rPr>
                    </w:pPr>
                    <w:r>
                      <w:rPr>
                        <w:b/>
                        <w:color w:val="44546A" w:themeColor="text2"/>
                        <w:sz w:val="20"/>
                      </w:rPr>
                      <w:t>Iš viso „NextGenerationEU“ 365,8 mlrd. EUR</w:t>
                    </w:r>
                  </w:p>
                </w:txbxContent>
              </v:textbox>
            </v:rect>
          </v:group>
        </w:pict>
      </w:r>
      <w:r>
        <w:rPr>
          <w:b/>
          <w:noProof/>
          <w:color w:val="44546A" w:themeColor="text2"/>
          <w:sz w:val="28"/>
        </w:rPr>
        <w:pict w14:anchorId="6E37AB4C">
          <v:rect id="_x0000_s2070" style="position:absolute;left:0;text-align:left;margin-left:0;margin-top:15.85pt;width:469.7pt;height:411.85pt;z-index:-251657728" fillcolor="#f5f5f5" stroked="f"/>
        </w:pict>
      </w:r>
      <w:r>
        <w:rPr>
          <w:noProof/>
        </w:rPr>
        <w:pict w14:anchorId="60EE82D1">
          <v:shape id="Text Box 35" o:spid="_x0000_s2074" type="#_x0000_t202" style="position:absolute;left:0;text-align:left;margin-left:266pt;margin-top:19.05pt;width:185.3pt;height:20.4pt;z-index:25166387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" filled="f" stroked="f" strokeweight=".5pt">
            <v:textbox style="mso-next-textbox:#Text Box 35">
              <w:txbxContent>
                <w:p w14:paraId="70C922DE" w14:textId="77777777" w:rsidR="00AB4083" w:rsidRPr="00F169EB" w:rsidRDefault="00AB4083" w:rsidP="00AB4083">
                  <w:pPr>
                    <w:jc w:val="right"/>
                    <w:rPr>
                      <w:color w:val="034EA2" w:themeColor="accent1"/>
                      <w:sz w:val="24"/>
                    </w:rPr>
                  </w:pPr>
                  <w:r>
                    <w:rPr>
                      <w:color w:val="034EA2" w:themeColor="accent1"/>
                      <w:sz w:val="24"/>
                    </w:rPr>
                    <w:t>Nuo programos pradžios</w:t>
                  </w:r>
                </w:p>
              </w:txbxContent>
            </v:textbox>
            <w10:wrap anchorx="margin"/>
          </v:shape>
        </w:pict>
      </w:r>
    </w:p>
    <w:p w14:paraId="611BEB9A" w14:textId="1BD14C4B" w:rsidR="00E06416" w:rsidRDefault="00E06416" w:rsidP="0068501F">
      <w:pPr>
        <w:rPr>
          <w:noProof/>
        </w:rPr>
      </w:pPr>
    </w:p>
    <w:p w14:paraId="6B69888C" w14:textId="5EC7F803" w:rsidR="00C4348B" w:rsidRDefault="00E53575" w:rsidP="0068501F">
      <w:pPr>
        <w:rPr>
          <w:noProof/>
        </w:rPr>
      </w:pPr>
      <w:r>
        <w:rPr>
          <w:noProof/>
          <w:lang w:val="en-GB" w:eastAsia="en-GB"/>
        </w:rPr>
        <w:drawing>
          <wp:anchor distT="0" distB="0" distL="114300" distR="114300" simplePos="0" relativeHeight="251652608" behindDoc="0" locked="0" layoutInCell="1" allowOverlap="1" wp14:anchorId="5B56AB18" wp14:editId="42E870D6">
            <wp:simplePos x="0" y="0"/>
            <wp:positionH relativeFrom="column">
              <wp:posOffset>-81643</wp:posOffset>
            </wp:positionH>
            <wp:positionV relativeFrom="paragraph">
              <wp:posOffset>245564</wp:posOffset>
            </wp:positionV>
            <wp:extent cx="2334260" cy="3684814"/>
            <wp:effectExtent l="0" t="0" r="0" b="0"/>
            <wp:wrapNone/>
            <wp:docPr id="1389649819" name="Chart 1">
              <a:extLst xmlns:a="http://schemas.openxmlformats.org/drawingml/2006/main">
                <a:ext uri="{FF2B5EF4-FFF2-40B4-BE49-F238E27FC236}">
                  <a16:creationId xmlns:a16="http://schemas.microsoft.com/office/drawing/2014/main" id="{F8F136DD-326B-DECE-41E9-D8024FF74C5A}"/>
                </a:ext>
                <a:ext uri="{147F2762-F138-4A5C-976F-8EAC2B608ADB}">
                  <a16:predDERef xmlns:a16="http://schemas.microsoft.com/office/drawing/2014/main" pred="{32EEFDAB-926F-3F04-21C8-E48E34E44C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36AE486D" w14:textId="1489A549" w:rsidR="00C4348B" w:rsidRDefault="00C4348B" w:rsidP="0068501F">
      <w:pPr>
        <w:rPr>
          <w:noProof/>
        </w:rPr>
      </w:pPr>
    </w:p>
    <w:p w14:paraId="19B36C41" w14:textId="39987BE8" w:rsidR="00C4348B" w:rsidRDefault="00E41A0B" w:rsidP="00E53575">
      <w:pPr>
        <w:jc w:val="center"/>
        <w:rPr>
          <w:noProof/>
        </w:rPr>
      </w:pPr>
      <w:r w:rsidRPr="00E53575">
        <w:rPr>
          <w:noProof/>
          <w:lang w:val="en-GB" w:eastAsia="en-GB"/>
        </w:rPr>
        <w:drawing>
          <wp:anchor distT="0" distB="0" distL="114300" distR="114300" simplePos="0" relativeHeight="251655680" behindDoc="0" locked="0" layoutInCell="1" allowOverlap="1" wp14:anchorId="49A8E1A0" wp14:editId="50C91545">
            <wp:simplePos x="0" y="0"/>
            <wp:positionH relativeFrom="column">
              <wp:posOffset>4604657</wp:posOffset>
            </wp:positionH>
            <wp:positionV relativeFrom="paragraph">
              <wp:posOffset>703399</wp:posOffset>
            </wp:positionV>
            <wp:extent cx="1572895" cy="2106657"/>
            <wp:effectExtent l="0" t="0" r="0" b="0"/>
            <wp:wrapNone/>
            <wp:docPr id="169705476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76759" cy="2111832"/>
                    </a:xfrm>
                    <a:prstGeom prst="rect">
                      <a:avLst/>
                    </a:prstGeom>
                    <a:noFill/>
                    <a:ln>
                      <a:noFill/>
                    </a:ln>
                  </pic:spPr>
                </pic:pic>
              </a:graphicData>
            </a:graphic>
            <wp14:sizeRelV relativeFrom="margin">
              <wp14:pctHeight>0</wp14:pctHeight>
            </wp14:sizeRelV>
          </wp:anchor>
        </w:drawing>
      </w:r>
      <w:r w:rsidRPr="00E53575">
        <w:rPr>
          <w:noProof/>
          <w:lang w:val="en-GB" w:eastAsia="en-GB"/>
        </w:rPr>
        <w:drawing>
          <wp:anchor distT="0" distB="0" distL="114300" distR="114300" simplePos="0" relativeHeight="251654656" behindDoc="0" locked="0" layoutInCell="1" allowOverlap="1" wp14:anchorId="21DD7D41" wp14:editId="58FF2F5E">
            <wp:simplePos x="0" y="0"/>
            <wp:positionH relativeFrom="column">
              <wp:posOffset>3602083</wp:posOffset>
            </wp:positionH>
            <wp:positionV relativeFrom="paragraph">
              <wp:posOffset>935808</wp:posOffset>
            </wp:positionV>
            <wp:extent cx="1311910" cy="1872615"/>
            <wp:effectExtent l="0" t="0" r="0" b="0"/>
            <wp:wrapNone/>
            <wp:docPr id="12661282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311910" cy="1872615"/>
                    </a:xfrm>
                    <a:prstGeom prst="rect">
                      <a:avLst/>
                    </a:prstGeom>
                    <a:noFill/>
                    <a:ln>
                      <a:noFill/>
                    </a:ln>
                  </pic:spPr>
                </pic:pic>
              </a:graphicData>
            </a:graphic>
          </wp:anchor>
        </w:drawing>
      </w:r>
      <w:r w:rsidR="00E53575" w:rsidRPr="00E53575">
        <w:rPr>
          <w:noProof/>
          <w:lang w:val="en-GB" w:eastAsia="en-GB"/>
        </w:rPr>
        <w:drawing>
          <wp:anchor distT="0" distB="0" distL="114300" distR="114300" simplePos="0" relativeHeight="251653632" behindDoc="0" locked="0" layoutInCell="1" allowOverlap="1" wp14:anchorId="44D11CE5" wp14:editId="6A3D9EBA">
            <wp:simplePos x="0" y="0"/>
            <wp:positionH relativeFrom="column">
              <wp:posOffset>1528445</wp:posOffset>
            </wp:positionH>
            <wp:positionV relativeFrom="paragraph">
              <wp:posOffset>238216</wp:posOffset>
            </wp:positionV>
            <wp:extent cx="1153795" cy="800100"/>
            <wp:effectExtent l="0" t="0" r="0" b="0"/>
            <wp:wrapNone/>
            <wp:docPr id="104052142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53795" cy="800100"/>
                    </a:xfrm>
                    <a:prstGeom prst="rect">
                      <a:avLst/>
                    </a:prstGeom>
                    <a:noFill/>
                    <a:ln>
                      <a:noFill/>
                    </a:ln>
                  </pic:spPr>
                </pic:pic>
              </a:graphicData>
            </a:graphic>
          </wp:anchor>
        </w:drawing>
      </w:r>
      <w:r w:rsidR="00E53575" w:rsidRPr="00E53575">
        <w:rPr>
          <w:noProof/>
          <w:lang w:val="en-GB" w:eastAsia="en-GB"/>
        </w:rPr>
        <w:drawing>
          <wp:inline distT="0" distB="0" distL="0" distR="0" wp14:anchorId="5E1DA56D" wp14:editId="7D980474">
            <wp:extent cx="2291442" cy="3411855"/>
            <wp:effectExtent l="0" t="0" r="0" b="0"/>
            <wp:docPr id="106248845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16113" cy="3448589"/>
                    </a:xfrm>
                    <a:prstGeom prst="rect">
                      <a:avLst/>
                    </a:prstGeom>
                    <a:noFill/>
                    <a:ln>
                      <a:noFill/>
                    </a:ln>
                  </pic:spPr>
                </pic:pic>
              </a:graphicData>
            </a:graphic>
          </wp:inline>
        </w:drawing>
      </w:r>
    </w:p>
    <w:p w14:paraId="2932A704" w14:textId="170F525C" w:rsidR="00E53575" w:rsidRDefault="00E53575" w:rsidP="0068501F">
      <w:pPr>
        <w:rPr>
          <w:noProof/>
        </w:rPr>
      </w:pPr>
    </w:p>
    <w:p w14:paraId="1AAF4107" w14:textId="77777777" w:rsidR="00E53575" w:rsidRDefault="00E53575" w:rsidP="0068501F">
      <w:pPr>
        <w:rPr>
          <w:noProof/>
        </w:rPr>
      </w:pPr>
    </w:p>
    <w:p w14:paraId="52E64F2A" w14:textId="77777777" w:rsidR="00E53575" w:rsidRDefault="00E53575" w:rsidP="0068501F">
      <w:pPr>
        <w:rPr>
          <w:noProof/>
        </w:rPr>
      </w:pPr>
    </w:p>
    <w:p w14:paraId="58ACE8A0" w14:textId="77777777" w:rsidR="00E53575" w:rsidRDefault="00E53575" w:rsidP="0068501F">
      <w:pPr>
        <w:rPr>
          <w:noProof/>
        </w:rPr>
      </w:pPr>
    </w:p>
    <w:p w14:paraId="4D3F4C4A" w14:textId="77777777" w:rsidR="00E53575" w:rsidRDefault="00E53575" w:rsidP="0068501F">
      <w:pPr>
        <w:rPr>
          <w:noProof/>
        </w:rPr>
      </w:pPr>
    </w:p>
    <w:p w14:paraId="196882EE" w14:textId="77777777" w:rsidR="00E53575" w:rsidRDefault="00E53575" w:rsidP="0068501F">
      <w:pPr>
        <w:rPr>
          <w:noProof/>
        </w:rPr>
      </w:pPr>
    </w:p>
    <w:p w14:paraId="43509B95" w14:textId="77777777" w:rsidR="00E53575" w:rsidRDefault="00E53575" w:rsidP="0068501F">
      <w:pPr>
        <w:rPr>
          <w:noProof/>
        </w:rPr>
      </w:pPr>
    </w:p>
    <w:p w14:paraId="3206C044" w14:textId="77777777" w:rsidR="00E53575" w:rsidRDefault="00E53575" w:rsidP="0068501F">
      <w:pPr>
        <w:rPr>
          <w:noProof/>
        </w:rPr>
      </w:pPr>
    </w:p>
    <w:p w14:paraId="5FA49834" w14:textId="77777777" w:rsidR="00E53575" w:rsidRDefault="00E53575" w:rsidP="0068501F">
      <w:pPr>
        <w:rPr>
          <w:noProof/>
        </w:rPr>
      </w:pPr>
    </w:p>
    <w:p w14:paraId="0839EF2D" w14:textId="77777777" w:rsidR="00E53575" w:rsidRDefault="00E53575" w:rsidP="0068501F">
      <w:pPr>
        <w:rPr>
          <w:noProof/>
        </w:rPr>
      </w:pPr>
    </w:p>
    <w:p w14:paraId="6009234A" w14:textId="77777777" w:rsidR="00E53575" w:rsidRDefault="00E53575" w:rsidP="0068501F">
      <w:pPr>
        <w:rPr>
          <w:noProof/>
        </w:rPr>
      </w:pPr>
    </w:p>
    <w:p w14:paraId="443BED58" w14:textId="77777777" w:rsidR="00E53575" w:rsidRDefault="00E53575" w:rsidP="0068501F">
      <w:pPr>
        <w:rPr>
          <w:noProof/>
        </w:rPr>
      </w:pPr>
    </w:p>
    <w:p w14:paraId="7467B798" w14:textId="77777777" w:rsidR="00E53575" w:rsidRDefault="00E53575" w:rsidP="0068501F">
      <w:pPr>
        <w:rPr>
          <w:noProof/>
        </w:rPr>
      </w:pPr>
    </w:p>
    <w:p w14:paraId="44BD572D" w14:textId="77777777" w:rsidR="00E53575" w:rsidRDefault="00E53575" w:rsidP="0068501F">
      <w:pPr>
        <w:rPr>
          <w:noProof/>
        </w:rPr>
      </w:pPr>
    </w:p>
    <w:p w14:paraId="02480567" w14:textId="77777777" w:rsidR="00E53575" w:rsidRDefault="00E53575" w:rsidP="0068501F">
      <w:pPr>
        <w:rPr>
          <w:noProof/>
        </w:rPr>
      </w:pPr>
    </w:p>
    <w:p w14:paraId="50B3A0C1" w14:textId="77777777" w:rsidR="00E53575" w:rsidRPr="0068501F" w:rsidRDefault="00E53575" w:rsidP="0068501F">
      <w:pPr>
        <w:rPr>
          <w:noProof/>
        </w:rPr>
      </w:pPr>
    </w:p>
    <w:p w14:paraId="48B59401" w14:textId="403CF93E" w:rsidR="00992168" w:rsidRDefault="0091187A" w:rsidP="00992168">
      <w:pPr>
        <w:rPr>
          <w:noProof/>
        </w:rPr>
      </w:pPr>
      <w:r>
        <w:rPr>
          <w:noProof/>
        </w:rPr>
        <w:pict w14:anchorId="274F9848">
          <v:shape id="_x0000_s2089" type="#_x0000_t202" style="position:absolute;left:0;text-align:left;margin-left:286.1pt;margin-top:761.4pt;width:164.3pt;height:18pt;z-index:251664896;mso-position-horizontal-relative:text;mso-position-vertical-relative:page" filled="f" stroked="f">
            <v:textbox style="mso-next-textbox:#_x0000_s2089">
              <w:txbxContent>
                <w:p w14:paraId="2E386E6E" w14:textId="77777777" w:rsidR="00BB07E3" w:rsidRPr="00BB07E3" w:rsidRDefault="00BB07E3" w:rsidP="00BB07E3">
                  <w:pPr>
                    <w:rPr>
                      <w:color w:val="595959" w:themeColor="text1" w:themeTint="A6"/>
                    </w:rPr>
                  </w:pPr>
                  <w:r>
                    <w:rPr>
                      <w:i/>
                      <w:color w:val="595959" w:themeColor="text1" w:themeTint="A6"/>
                      <w:sz w:val="18"/>
                    </w:rPr>
                    <w:t>Visos sumos nurodytos milijardais eurų</w:t>
                  </w:r>
                </w:p>
                <w:p w14:paraId="792E0B4B" w14:textId="77777777" w:rsidR="00BB07E3" w:rsidRPr="00BB07E3" w:rsidRDefault="00BB07E3">
                  <w:pPr>
                    <w:rPr>
                      <w:color w:val="595959" w:themeColor="text1" w:themeTint="A6"/>
                    </w:rPr>
                  </w:pPr>
                </w:p>
              </w:txbxContent>
            </v:textbox>
            <w10:wrap anchory="page"/>
          </v:shape>
        </w:pict>
      </w:r>
    </w:p>
    <w:p w14:paraId="429A8B76" w14:textId="4911845D" w:rsidR="00AA6602" w:rsidRDefault="00A11F51" w:rsidP="00A11F51">
      <w:pPr>
        <w:spacing w:line="259" w:lineRule="auto"/>
        <w:jc w:val="left"/>
        <w:rPr>
          <w:rFonts w:cstheme="minorBidi"/>
          <w:b/>
          <w:bCs/>
          <w:noProof/>
          <w:color w:val="44546A" w:themeColor="text2"/>
          <w:szCs w:val="22"/>
        </w:rPr>
      </w:pPr>
      <w:r>
        <w:rPr>
          <w:b/>
          <w:noProof/>
          <w:color w:val="44546A" w:themeColor="text2"/>
          <w:sz w:val="28"/>
        </w:rPr>
        <w:t xml:space="preserve">NEAPMOKĖTOS ES OBLIGACIJOS </w:t>
      </w:r>
      <w:r>
        <w:rPr>
          <w:b/>
          <w:noProof/>
          <w:color w:val="44546A" w:themeColor="text2"/>
          <w:sz w:val="28"/>
        </w:rPr>
        <w:cr/>
      </w:r>
      <w:r>
        <w:rPr>
          <w:b/>
          <w:noProof/>
          <w:color w:val="44546A" w:themeColor="text2"/>
          <w:sz w:val="28"/>
        </w:rPr>
        <w:br/>
      </w:r>
      <w:r>
        <w:rPr>
          <w:noProof/>
          <w:color w:val="44546A" w:themeColor="text2"/>
        </w:rPr>
        <w:t>2024 m. gruodžio 31 d.</w:t>
      </w:r>
      <w:r>
        <w:rPr>
          <w:b/>
          <w:noProof/>
          <w:color w:val="44546A" w:themeColor="text2"/>
        </w:rPr>
        <w:t xml:space="preserve"> </w:t>
      </w:r>
    </w:p>
    <w:p w14:paraId="18FC3C27" w14:textId="6F0B199C" w:rsidR="00E01E9C" w:rsidRDefault="00876EF2" w:rsidP="00A11F51">
      <w:pPr>
        <w:spacing w:line="259" w:lineRule="auto"/>
        <w:jc w:val="left"/>
        <w:rPr>
          <w:rFonts w:cstheme="minorBidi"/>
          <w:b/>
          <w:bCs/>
          <w:noProof/>
          <w:color w:val="44546A" w:themeColor="text2"/>
          <w:szCs w:val="22"/>
        </w:rPr>
      </w:pPr>
      <w:r>
        <w:rPr>
          <w:noProof/>
          <w:lang w:val="en-GB" w:eastAsia="en-GB"/>
        </w:rPr>
        <w:drawing>
          <wp:inline distT="0" distB="0" distL="0" distR="0" wp14:anchorId="04923E97" wp14:editId="055D802E">
            <wp:extent cx="5742214" cy="1230086"/>
            <wp:effectExtent l="0" t="0" r="0" b="0"/>
            <wp:docPr id="323165377" name="Chart 1">
              <a:extLst xmlns:a="http://schemas.openxmlformats.org/drawingml/2006/main">
                <a:ext uri="{FF2B5EF4-FFF2-40B4-BE49-F238E27FC236}">
                  <a16:creationId xmlns:a16="http://schemas.microsoft.com/office/drawing/2014/main" id="{B204867F-126E-8220-F6EE-040AE5AF9BDC}"/>
                </a:ext>
                <a:ext uri="{147F2762-F138-4A5C-976F-8EAC2B608ADB}">
                  <a16:predDERef xmlns:a16="http://schemas.microsoft.com/office/drawing/2014/main" pred="{B8DC8A98-862A-AB64-2F83-48CA726636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1B97669D" w14:textId="7FA7F2DE" w:rsidR="00C9543F" w:rsidRPr="00DC4A1B" w:rsidRDefault="0091187A" w:rsidP="00A11F51">
      <w:pPr>
        <w:spacing w:line="259" w:lineRule="auto"/>
        <w:jc w:val="left"/>
        <w:rPr>
          <w:rFonts w:asciiTheme="minorHAnsi" w:hAnsiTheme="minorHAnsi" w:cstheme="minorBidi"/>
          <w:noProof/>
          <w:szCs w:val="22"/>
        </w:rPr>
      </w:pPr>
      <w:r>
        <w:rPr>
          <w:rFonts w:asciiTheme="minorHAnsi" w:hAnsiTheme="minorHAnsi"/>
          <w:noProof/>
        </w:rPr>
      </w:r>
      <w:r>
        <w:rPr>
          <w:rFonts w:asciiTheme="minorHAnsi" w:hAnsiTheme="minorHAnsi"/>
          <w:noProof/>
        </w:rPr>
        <w:pict w14:anchorId="6C98F9D9">
          <v:group id="_x0000_s2117" style="width:437.4pt;height:81.55pt;mso-position-horizontal-relative:char;mso-position-vertical-relative:line" coordorigin="1440,4543" coordsize="8748,1142">
            <v:group id="Group 46" o:spid="_x0000_s2104" style="position:absolute;left:1440;top:4555;width:2734;height:672" coordorigin=",74" coordsize="14722,4272">
              <v:shape id="TextBox 25" o:spid="_x0000_s2105" type="#_x0000_t202" style="position:absolute;left:538;top:74;width:14184;height:4272;visibility:visible" filled="f" stroked="f">
                <v:textbox style="mso-next-textbox:#TextBox 25">
                  <w:txbxContent>
                    <w:p w14:paraId="5B1FFE4B" w14:textId="26C551F1" w:rsidR="00C25F02" w:rsidRPr="00C9543F" w:rsidRDefault="00C25F02" w:rsidP="00C25F02">
                      <w:pPr>
                        <w:spacing w:after="40"/>
                        <w:textAlignment w:val="baseline"/>
                        <w:rPr>
                          <w:rFonts w:eastAsia="Arial" w:cs="Arial"/>
                          <w:b/>
                          <w:bCs/>
                          <w:color w:val="034EA2"/>
                          <w:sz w:val="20"/>
                          <w:szCs w:val="20"/>
                        </w:rPr>
                      </w:pPr>
                      <w:r>
                        <w:rPr>
                          <w:b/>
                          <w:color w:val="034EA2"/>
                          <w:sz w:val="20"/>
                        </w:rPr>
                        <w:t>147,8 mlrd. EUR</w:t>
                      </w:r>
                      <w:r>
                        <w:rPr>
                          <w:color w:val="000000" w:themeColor="text1"/>
                          <w:sz w:val="20"/>
                        </w:rPr>
                        <w:t xml:space="preserve"> kompensacinių paskolų</w:t>
                      </w:r>
                      <w:r>
                        <w:rPr>
                          <w:sz w:val="20"/>
                        </w:rPr>
                        <w:t>,</w:t>
                      </w:r>
                    </w:p>
                  </w:txbxContent>
                </v:textbox>
              </v:shape>
              <v:rect id="Rectangle 48" o:spid="_x0000_s2106" style="position:absolute;top:633;width:1080;height:1080;visibility:visible;v-text-anchor:middle" fillcolor="#034ea2" stroked="f" strokeweight="2pt">
                <o:lock v:ext="edit" aspectratio="t"/>
              </v:rect>
            </v:group>
            <v:group id="Group 49" o:spid="_x0000_s2107" style="position:absolute;left:4264;top:4543;width:5924;height:1142" coordorigin="15205" coordsize="31894,7255">
              <v:group id="Group 50" o:spid="_x0000_s2108" style="position:absolute;left:15205;top:2082;width:28506;height:2925" coordorigin="15205,2082" coordsize="28506,2925">
                <v:shape id="TextBox 23" o:spid="_x0000_s2109" type="#_x0000_t202" style="position:absolute;left:16287;top:2082;width:27424;height:2925;visibility:visible" filled="f" stroked="f">
                  <v:textbox style="mso-next-textbox:#TextBox 23">
                    <w:txbxContent>
                      <w:p w14:paraId="756B71C3" w14:textId="349A6A90" w:rsidR="00C25F02" w:rsidRPr="00C9543F" w:rsidRDefault="00C25F02" w:rsidP="00C25F02">
                        <w:pPr>
                          <w:spacing w:after="80"/>
                          <w:rPr>
                            <w:rFonts w:eastAsia="Arial" w:cs="Arial"/>
                            <w:color w:val="000000" w:themeColor="text1"/>
                            <w:sz w:val="20"/>
                            <w:szCs w:val="20"/>
                          </w:rPr>
                        </w:pPr>
                        <w:r>
                          <w:rPr>
                            <w:color w:val="000000" w:themeColor="text1"/>
                            <w:sz w:val="20"/>
                          </w:rPr>
                          <w:t>iš jų 362,2 mlrd. EUR įprastos ES obligacijos</w:t>
                        </w:r>
                      </w:p>
                    </w:txbxContent>
                  </v:textbox>
                </v:shape>
                <v:rect id="Rectangle 52" o:spid="_x0000_s2110" style="position:absolute;left:15205;top:2739;width:1080;height:1080;visibility:visible;v-text-anchor:middle" fillcolor="#70ad47" stroked="f" strokeweight="2pt">
                  <o:lock v:ext="edit" aspectratio="t"/>
                </v:rect>
              </v:group>
              <v:group id="Group 53" o:spid="_x0000_s2111" style="position:absolute;left:15205;top:4330;width:31894;height:2925" coordorigin="15205,4330" coordsize="31894,2925">
                <v:rect id="Rectangle 54" o:spid="_x0000_s2112" style="position:absolute;left:15205;top:4846;width:1080;height:1080;visibility:visible;v-text-anchor:middle" fillcolor="#70ad47" stroked="f" strokeweight="2pt">
                  <v:fill r:id="rId37" o:title="" color2="window" type="pattern"/>
                  <o:lock v:ext="edit" aspectratio="t"/>
                </v:rect>
                <v:shape id="TextBox 22" o:spid="_x0000_s2113" type="#_x0000_t202" style="position:absolute;left:16287;top:4330;width:30812;height:2925;visibility:visible" filled="f" stroked="f">
                  <v:textbox style="mso-next-textbox:#TextBox 22">
                    <w:txbxContent>
                      <w:p w14:paraId="35F842F9" w14:textId="130937D7" w:rsidR="00C25F02" w:rsidRPr="00C9543F" w:rsidRDefault="00C25F02" w:rsidP="00C25F02">
                        <w:pPr>
                          <w:spacing w:after="80"/>
                          <w:textAlignment w:val="baseline"/>
                          <w:rPr>
                            <w:rFonts w:cs="Arial"/>
                            <w:color w:val="000000" w:themeColor="text1"/>
                            <w:sz w:val="20"/>
                            <w:szCs w:val="20"/>
                          </w:rPr>
                        </w:pPr>
                        <w:r>
                          <w:rPr>
                            <w:color w:val="000000" w:themeColor="text1"/>
                            <w:sz w:val="20"/>
                          </w:rPr>
                          <w:t>iš jų 68,2 mlrd. EUR „NextGenerationEU“ žaliosios obligacijos</w:t>
                        </w:r>
                      </w:p>
                    </w:txbxContent>
                  </v:textbox>
                </v:shape>
              </v:group>
              <v:group id="Group 56" o:spid="_x0000_s2114" style="position:absolute;left:15205;width:31059;height:6472" coordorigin="15205" coordsize="31058,6472">
                <v:shape id="TextBox 19" o:spid="_x0000_s2115" type="#_x0000_t202" style="position:absolute;left:16287;width:29976;height:6472;visibility:visible" filled="f" stroked="f">
                  <v:textbox style="mso-next-textbox:#TextBox 19">
                    <w:txbxContent>
                      <w:p w14:paraId="536B96B5" w14:textId="188E310C" w:rsidR="00550433" w:rsidRPr="00550433" w:rsidRDefault="00C25F02" w:rsidP="00C25F02">
                        <w:pPr>
                          <w:spacing w:after="80"/>
                          <w:textAlignment w:val="baseline"/>
                          <w:rPr>
                            <w:color w:val="000000" w:themeColor="text1"/>
                            <w:sz w:val="20"/>
                          </w:rPr>
                        </w:pPr>
                        <w:r>
                          <w:rPr>
                            <w:b/>
                            <w:color w:val="70AD47"/>
                            <w:sz w:val="20"/>
                          </w:rPr>
                          <w:t>430,4 mlrd. EUR</w:t>
                        </w:r>
                        <w:r>
                          <w:rPr>
                            <w:color w:val="000000" w:themeColor="text1"/>
                            <w:sz w:val="20"/>
                          </w:rPr>
                          <w:t xml:space="preserve"> visos obligacijos pagal vieningą finansavimo metodą</w:t>
                        </w:r>
                      </w:p>
                      <w:p w14:paraId="0117D90B" w14:textId="77777777" w:rsidR="00550433" w:rsidRPr="00C25F02" w:rsidRDefault="00550433" w:rsidP="00C25F02">
                        <w:pPr>
                          <w:spacing w:after="80"/>
                          <w:textAlignment w:val="baseline"/>
                          <w:rPr>
                            <w:rFonts w:eastAsia="Arial" w:cs="Arial"/>
                            <w:b/>
                            <w:bCs/>
                            <w:color w:val="70AD47"/>
                            <w:sz w:val="18"/>
                            <w:szCs w:val="18"/>
                          </w:rPr>
                        </w:pPr>
                      </w:p>
                    </w:txbxContent>
                  </v:textbox>
                </v:shape>
                <v:rect id="Rectangle 58" o:spid="_x0000_s2116" style="position:absolute;left:15205;top:635;width:915;height:914;visibility:visible;v-text-anchor:middle" filled="f" strokecolor="#70ad47" strokeweight="1.5pt">
                  <v:path arrowok="t"/>
                  <o:lock v:ext="edit" aspectratio="t"/>
                </v:rect>
              </v:group>
            </v:group>
            <w10:anchorlock/>
          </v:group>
        </w:pict>
      </w:r>
    </w:p>
    <w:p w14:paraId="66038DDE" w14:textId="77777777" w:rsidR="00C9543F" w:rsidRPr="00A11F51" w:rsidRDefault="00C9543F" w:rsidP="00A11F51">
      <w:pPr>
        <w:spacing w:line="259" w:lineRule="auto"/>
        <w:jc w:val="left"/>
        <w:rPr>
          <w:rFonts w:asciiTheme="minorHAnsi" w:hAnsiTheme="minorHAnsi" w:cstheme="minorBidi"/>
          <w:noProof/>
          <w:sz w:val="6"/>
          <w:szCs w:val="6"/>
          <w:lang w:val="en-GB"/>
        </w:rPr>
      </w:pPr>
    </w:p>
    <w:tbl>
      <w:tblPr>
        <w:tblStyle w:val="TableGrid"/>
        <w:tblW w:w="9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5F5F5"/>
        <w:tblCellMar>
          <w:top w:w="113" w:type="dxa"/>
          <w:bottom w:w="113" w:type="dxa"/>
        </w:tblCellMar>
        <w:tblLook w:val="04A0" w:firstRow="1" w:lastRow="0" w:firstColumn="1" w:lastColumn="0" w:noHBand="0" w:noVBand="1"/>
      </w:tblPr>
      <w:tblGrid>
        <w:gridCol w:w="9076"/>
      </w:tblGrid>
      <w:tr w:rsidR="00A11F51" w:rsidRPr="00A11F51" w14:paraId="0FE367EE" w14:textId="77777777" w:rsidTr="0E388B1A">
        <w:trPr>
          <w:trHeight w:val="1943"/>
        </w:trPr>
        <w:tc>
          <w:tcPr>
            <w:tcW w:w="9076" w:type="dxa"/>
            <w:shd w:val="clear" w:color="auto" w:fill="F5F5F5"/>
          </w:tcPr>
          <w:p w14:paraId="31D6E2E9" w14:textId="4A796A5B" w:rsidR="00A11F51" w:rsidRPr="00A11F51" w:rsidRDefault="00A11F51" w:rsidP="00A11F51">
            <w:pPr>
              <w:spacing w:after="120"/>
              <w:jc w:val="left"/>
              <w:rPr>
                <w:rFonts w:cstheme="minorBidi"/>
                <w:b/>
                <w:bCs/>
                <w:noProof/>
                <w:color w:val="034EA2"/>
              </w:rPr>
            </w:pPr>
            <w:r>
              <w:rPr>
                <w:b/>
                <w:noProof/>
                <w:color w:val="034EA2"/>
              </w:rPr>
              <w:t>PAGRINDINIAI FAKTAI apie 2024 m. antrąjį pusmetį</w:t>
            </w:r>
          </w:p>
          <w:p w14:paraId="0A12EF6E" w14:textId="04913DF1" w:rsidR="00A961B6" w:rsidRPr="002148BF" w:rsidRDefault="002F4F1A" w:rsidP="00A11F51">
            <w:pPr>
              <w:numPr>
                <w:ilvl w:val="0"/>
                <w:numId w:val="29"/>
              </w:numPr>
              <w:spacing w:after="60"/>
              <w:ind w:left="340" w:hanging="170"/>
              <w:contextualSpacing/>
              <w:jc w:val="left"/>
              <w:rPr>
                <w:rFonts w:cstheme="minorBidi"/>
                <w:noProof/>
                <w:color w:val="034EA2"/>
              </w:rPr>
            </w:pPr>
            <w:r>
              <w:rPr>
                <w:noProof/>
                <w:color w:val="034EA2"/>
              </w:rPr>
              <w:t>Per keturis sindikuotuosius sandorius ir šešis aukcionus pritraukta 64,3 mlrd. EUR, vidutinis išpirkimo terminas – apie 12 metų. Bendra 2024 m. pritraukto ilgalaikio finansavimo suma siekė 138,1 mlrd. EUR.</w:t>
            </w:r>
          </w:p>
          <w:p w14:paraId="16496AE5" w14:textId="16DF6B83" w:rsidR="001B75AB" w:rsidRPr="004908A7" w:rsidRDefault="00C261E0" w:rsidP="006710FA">
            <w:pPr>
              <w:numPr>
                <w:ilvl w:val="0"/>
                <w:numId w:val="29"/>
              </w:numPr>
              <w:spacing w:after="60"/>
              <w:ind w:left="340" w:hanging="170"/>
              <w:contextualSpacing/>
              <w:jc w:val="left"/>
              <w:rPr>
                <w:rFonts w:cstheme="minorBidi"/>
                <w:noProof/>
              </w:rPr>
            </w:pPr>
            <w:r>
              <w:rPr>
                <w:noProof/>
                <w:color w:val="034EA2"/>
              </w:rPr>
              <w:t xml:space="preserve">Daugiausia lėšų buvo panaudota priemonei „NextGenerationEU“ (72,2 mlrd. EUR), taip pat suteiktos papildomos išmokos pagal Ukrainos priemonę (5,2 mlrd. EUR) ir pagal </w:t>
            </w:r>
            <w:r>
              <w:rPr>
                <w:noProof/>
                <w:color w:val="034EA2" w:themeColor="accent1"/>
              </w:rPr>
              <w:t>makrofinansinės paramos (MFP)</w:t>
            </w:r>
            <w:r>
              <w:rPr>
                <w:noProof/>
                <w:color w:val="034EA2"/>
              </w:rPr>
              <w:t xml:space="preserve"> paskolų programas</w:t>
            </w:r>
            <w:r>
              <w:rPr>
                <w:noProof/>
                <w:color w:val="034EA2" w:themeColor="accent1"/>
              </w:rPr>
              <w:t xml:space="preserve"> Egiptui (1 mlrd. EUR) ir Moldovai (95 mln. EUR).</w:t>
            </w:r>
          </w:p>
          <w:p w14:paraId="3E81AD55" w14:textId="59CFB663" w:rsidR="004908A7" w:rsidRPr="004908A7" w:rsidRDefault="006F7AAA" w:rsidP="004908A7">
            <w:pPr>
              <w:numPr>
                <w:ilvl w:val="0"/>
                <w:numId w:val="29"/>
              </w:numPr>
              <w:spacing w:after="60"/>
              <w:ind w:left="340" w:hanging="170"/>
              <w:contextualSpacing/>
              <w:jc w:val="left"/>
              <w:rPr>
                <w:rFonts w:cstheme="minorBidi"/>
                <w:noProof/>
                <w:color w:val="034EA2"/>
              </w:rPr>
            </w:pPr>
            <w:r>
              <w:rPr>
                <w:noProof/>
                <w:color w:val="034EA2"/>
              </w:rPr>
              <w:t>„NextGenerationEU“ finansavimo išlaidos sudarė 2,97 % (palyginti su 3,19 % 2024 m. pirmąjį pusmetį), o Ukrainos priemonės ir Egipto MFP finansavimo išlaidos – 2,68 %.</w:t>
            </w:r>
          </w:p>
        </w:tc>
      </w:tr>
    </w:tbl>
    <w:p w14:paraId="155CDCD6" w14:textId="77777777" w:rsidR="00252C49" w:rsidRPr="00BB5195" w:rsidRDefault="00252C49">
      <w:pPr>
        <w:spacing w:line="259" w:lineRule="auto"/>
        <w:rPr>
          <w:noProof/>
        </w:rPr>
      </w:pPr>
    </w:p>
    <w:p w14:paraId="34E6C602" w14:textId="10BBF2C3" w:rsidR="00BA3133" w:rsidRDefault="00BA3133">
      <w:pPr>
        <w:spacing w:line="259" w:lineRule="auto"/>
        <w:rPr>
          <w:rFonts w:eastAsiaTheme="majorEastAsia"/>
          <w:b/>
          <w:noProof/>
        </w:rPr>
      </w:pPr>
      <w:r>
        <w:rPr>
          <w:noProof/>
        </w:rPr>
        <w:br w:type="page"/>
      </w:r>
    </w:p>
    <w:p w14:paraId="263DA02E" w14:textId="03E4299B" w:rsidR="00F13D4C" w:rsidRPr="00BE145B" w:rsidRDefault="00F13D4C" w:rsidP="00BE145B">
      <w:pPr>
        <w:pStyle w:val="Heading1"/>
        <w:rPr>
          <w:noProof/>
        </w:rPr>
      </w:pPr>
      <w:bookmarkStart w:id="2" w:name="_Toc193190091"/>
      <w:r>
        <w:rPr>
          <w:noProof/>
        </w:rPr>
        <w:t>Santrauka</w:t>
      </w:r>
      <w:bookmarkEnd w:id="2"/>
    </w:p>
    <w:p w14:paraId="7B2B037A" w14:textId="6A7AED55" w:rsidR="009D32AB" w:rsidRPr="00C764BB" w:rsidRDefault="00ED7D0E" w:rsidP="00ED7D0E">
      <w:pPr>
        <w:rPr>
          <w:iCs/>
          <w:noProof/>
        </w:rPr>
      </w:pPr>
      <w:bookmarkStart w:id="3" w:name="_Hlk187319594"/>
      <w:bookmarkStart w:id="4" w:name="_Hlk156385433"/>
      <w:r>
        <w:rPr>
          <w:noProof/>
        </w:rPr>
        <w:t xml:space="preserve">2024 m. antrąjį pusmetį ES per keturis sindikuotuosius sandorius ir šešis aukcionus pritraukė 64,3 mlrd. EUR ilgalaikio finansavimo lėšų, o tai atitinka 2024 m. birželio mėn. paskelbtame finansavimo plane numatytą tikslą. 8 mlrd. EUR iš tų 64,3 mlrd. EUR ilgalaikio finansavimo lėšų buvo pritraukta per „NextGenerationEU“ (NGEU) žaliąsias obligacijas. Šias pritrauktas lėšas susumavus su 2024 m. pirmąjį pusmetį pritrauktomis 73,8 mlrd. EUR lėšomis bendra 2024 m. pritraukto ilgalaikio finansavimo suma sudarė 138,1 mlrd. EUR – tai didžiausia per vienus metus ES išleistų obligacijų suma. </w:t>
      </w:r>
      <w:r>
        <w:rPr>
          <w:noProof/>
          <w:color w:val="000000" w:themeColor="text1"/>
        </w:rPr>
        <w:t xml:space="preserve">Iki 2024 m. pabaigos ES turėjo 578,2 mlrd. EUR neapmokėtų ES obligacijų (vidutinis likęs išpirkimo terminas buvo apie 12 metų), iš jų 68,2 mlrd. EUR sudarė NGEU žaliosios obligacijos. </w:t>
      </w:r>
    </w:p>
    <w:p w14:paraId="1C0F023F" w14:textId="755B8D35" w:rsidR="00ED7D0E" w:rsidRPr="00D95188" w:rsidRDefault="00527BF7" w:rsidP="00ED7D0E">
      <w:pPr>
        <w:rPr>
          <w:rFonts w:ascii="Arial" w:eastAsia="Times New Roman" w:hAnsi="Arial" w:cs="Arial"/>
          <w:noProof/>
          <w:sz w:val="27"/>
          <w:szCs w:val="27"/>
        </w:rPr>
      </w:pPr>
      <w:r>
        <w:rPr>
          <w:noProof/>
          <w:color w:val="000000" w:themeColor="text1"/>
        </w:rPr>
        <w:t xml:space="preserve">Iš ES obligacijų emisijų pritrauktos lėšos leido Komisijai toliau reaguoti į politikos prioritetus ES viduje ir jos kaimynystėje. Konkrečiai 2024 m. antrąjį pusmetį </w:t>
      </w:r>
      <w:r>
        <w:rPr>
          <w:noProof/>
        </w:rPr>
        <w:t>72,2 mlrd. EUR šių lėšų buvo išmokėta NGEU investicijoms ir reformoms įgyvendinti. Ukraina pagal Ukrainos priemonę gavo 5,2 mlrd. EUR</w:t>
      </w:r>
      <w:bookmarkStart w:id="5" w:name="_Hlk156380977"/>
      <w:r>
        <w:rPr>
          <w:noProof/>
        </w:rPr>
        <w:t>, o dar 1,1 mlrd. EUR pritrauktų lėšų buvo panaudota atitinkamai 1 mlrd. EUR ir 95 mln. EUR makrofinansinei pagalbai (MFP)</w:t>
      </w:r>
      <w:bookmarkEnd w:id="3"/>
      <w:r>
        <w:rPr>
          <w:noProof/>
        </w:rPr>
        <w:t xml:space="preserve"> Egiptui ir Moldovai finansuoti.</w:t>
      </w:r>
    </w:p>
    <w:bookmarkEnd w:id="5"/>
    <w:p w14:paraId="06D5DF1E" w14:textId="5E7AD5DA" w:rsidR="00ED7D0E" w:rsidRPr="00E7253C" w:rsidRDefault="00585EB8" w:rsidP="00ED7D0E">
      <w:pPr>
        <w:rPr>
          <w:noProof/>
        </w:rPr>
      </w:pPr>
      <w:r>
        <w:rPr>
          <w:noProof/>
        </w:rPr>
        <w:t>ES finansavimo išlaidos</w:t>
      </w:r>
      <w:r w:rsidR="00072047" w:rsidRPr="00820BC1">
        <w:rPr>
          <w:rStyle w:val="FootnoteReference"/>
          <w:noProof/>
          <w:lang w:val="en-GB"/>
        </w:rPr>
        <w:footnoteReference w:id="2"/>
      </w:r>
      <w:r>
        <w:rPr>
          <w:noProof/>
        </w:rPr>
        <w:t xml:space="preserve"> toliau mažėjo iki 2,97 %, palyginti su 3,19 % ankstesniu finansavimo laikotarpiu. Bendros ES finansavimo išlaidos sumažėjo dėl palankesnių rinkos sąlygų ir dėl to, kad per pusmetį sumažėjo ES obligacijų pajamingumas, palyginti su pagrindinių Europos vyriausybių obligacijų (EVO) pajamingumu. 10 metų trukmės ES obligacijų ir 50/50 Vokietijos ir Prancūzijos vyriausybės obligacijų krepšelio kredito kainų skirtumas sumažėjo nuo 25 bazinių punktų 2024 m. antrojo pusmečio pradžioje iki 12 bazinių punktų 2024 m. gruodžio mėn. </w:t>
      </w:r>
    </w:p>
    <w:p w14:paraId="5A78647B" w14:textId="59BDEFFD" w:rsidR="0081666A" w:rsidRDefault="00ED7D0E" w:rsidP="00260CFD">
      <w:pPr>
        <w:rPr>
          <w:noProof/>
        </w:rPr>
      </w:pPr>
      <w:r>
        <w:rPr>
          <w:noProof/>
        </w:rPr>
        <w:t>Komisija taip pat ėmėsi papildomų veiksmų ES obligacijų rinkos veikimui ir likvidumui sustiprinti</w:t>
      </w:r>
      <w:r>
        <w:rPr>
          <w:noProof/>
          <w:color w:val="000000" w:themeColor="text1"/>
        </w:rPr>
        <w:t>.</w:t>
      </w:r>
      <w:r>
        <w:rPr>
          <w:noProof/>
        </w:rPr>
        <w:t xml:space="preserve"> 2024 m. spalio mėn. ji pradėjo taikyti ES obligacijų atpirkimo sandorių priemonę kaip pagalbą ES pirminiams makleriams skelbiant ES obligacijų kotiruotes elektroninėse prekybos platformose.</w:t>
      </w:r>
    </w:p>
    <w:p w14:paraId="7430E6D6" w14:textId="519AD4EC" w:rsidR="00113B9E" w:rsidRDefault="00526244" w:rsidP="00526244">
      <w:pPr>
        <w:rPr>
          <w:noProof/>
        </w:rPr>
      </w:pPr>
      <w:r>
        <w:rPr>
          <w:noProof/>
        </w:rPr>
        <w:t>Šie svarbūs ES pokyčiai kartu su ES emisijų konsolidavimu taikant vieningą finansavimo metodą leido rinkos dalyviams imtis nepriklausomų iniciatyvų, kurios galėtų dar labiau sustiprinti ES obligacijų rinkos veikimą. 2024 m. antrąjį pusmetį tokių iniciatyvų pavyzdžiai buvo vienos iš pirmaujančių Europos biržų gruodžio mėn. rinkai pasiūlyta indeksu pagrįstų ateities sandorių dėl ES obligacijų priemonė ir pranešimas, kad ši birža vėl yra suinteresuota 2025 m. pasiūlyti tradicinių (fiziškai sudaromų) ateities sandorių priemonę.</w:t>
      </w:r>
    </w:p>
    <w:p w14:paraId="15FC060E" w14:textId="6D2F1EA6" w:rsidR="00CC0D21" w:rsidRPr="00313B5F" w:rsidRDefault="002D5366" w:rsidP="007930D6">
      <w:pPr>
        <w:rPr>
          <w:noProof/>
        </w:rPr>
      </w:pPr>
      <w:r>
        <w:rPr>
          <w:noProof/>
          <w:color w:val="000000" w:themeColor="text1"/>
        </w:rPr>
        <w:t>Dar vienas reikšmingas 2024 m. antrojo pusmečio akcentas</w:t>
      </w:r>
      <w:r>
        <w:rPr>
          <w:noProof/>
        </w:rPr>
        <w:t xml:space="preserve"> buvo metinės </w:t>
      </w:r>
      <w:hyperlink r:id="rId38">
        <w:r>
          <w:rPr>
            <w:rStyle w:val="Hyperlink"/>
            <w:noProof/>
          </w:rPr>
          <w:t>„NextGenerationEU“ žaliųjų obligacijų paskirstymo ir poveikio ataskaitos</w:t>
        </w:r>
      </w:hyperlink>
      <w:r>
        <w:rPr>
          <w:noProof/>
          <w:color w:val="000000" w:themeColor="text1"/>
        </w:rPr>
        <w:t xml:space="preserve"> 2024 m. redakcijos paskelbimas. Joje</w:t>
      </w:r>
      <w:r>
        <w:rPr>
          <w:noProof/>
        </w:rPr>
        <w:t xml:space="preserve"> pateikiama atnaujinta informacija apie lėšų, gautų išleidus NGEU žaliąsias obligacijas, paskirstymą ir apie numatomą jų faktinį ir tikėtiną poveikį klimatui. Ataskaitoje yra dokumentuota i) padidėjusi NGEU žaliųjų obligacijų emisija (negrąžinta NGEU žaliųjų obligacijų skola sudarė 68,2 mlrd. EUR), ii) su klimatu susijusių išlaidų, finansuojamų NGEU žaliosiomis obligacijomis, vykdymo pažanga ir iii) tinkamų finansuoti NGEU žaliųjų obligacijų išlaidų fondo padidėjimas integravus planą „REPowerEU“ (planą „REPowerEU“ dabar sudaro 264 mlrd. EUR).</w:t>
      </w:r>
    </w:p>
    <w:p w14:paraId="6458497B" w14:textId="35AD3CC2" w:rsidR="001B6374" w:rsidRPr="0076678F" w:rsidRDefault="005C0779" w:rsidP="001B6374">
      <w:pPr>
        <w:rPr>
          <w:noProof/>
        </w:rPr>
      </w:pPr>
      <w:r>
        <w:rPr>
          <w:noProof/>
        </w:rPr>
        <w:t>Galiausiai 2024 m. gruodžio 10 d. Komisija paskelbė 2025 m. pirmojo pusmečio finansavimo planą, pagal kurį nuo sausio mėn. iki birželio mėn. pabaigos planuojama išleisti iki 90 mlrd. EUR obligacijų. 2025 m. numatomas orientacinis ES obligacijų finansavimo lygis – 160 mlrd. EUR. Jau 2025 m. pirmąjį pusmetį bus pradėti trijų tipų obligacijų aukcionai siekiant sudaryti palankesnes sąlygas didesnėms ilgalaikių obligacijų emisijoms. Be to, siekiant papildomai patenkinti ES finansavimo poreikius, ilgalaikis finansavimas bus papildytas trumpalaikės skolos emisijomis, be kita ko, 2025 m. sausio mėn. pradėjus naudoti naują 12 mėnesių ES vekselį.</w:t>
      </w:r>
    </w:p>
    <w:p w14:paraId="6054F437" w14:textId="13C27636" w:rsidR="001401DA" w:rsidRDefault="008B6253" w:rsidP="00BE145B">
      <w:pPr>
        <w:pStyle w:val="Heading1"/>
        <w:rPr>
          <w:noProof/>
        </w:rPr>
      </w:pPr>
      <w:bookmarkStart w:id="6" w:name="_Toc193190092"/>
      <w:bookmarkEnd w:id="4"/>
      <w:r>
        <w:rPr>
          <w:noProof/>
        </w:rPr>
        <w:t>Įvadas</w:t>
      </w:r>
      <w:bookmarkEnd w:id="6"/>
    </w:p>
    <w:p w14:paraId="1AD97532" w14:textId="2DDBDF68" w:rsidR="00F333BA" w:rsidRPr="00877CA0" w:rsidRDefault="00F333BA" w:rsidP="00F333BA">
      <w:pPr>
        <w:rPr>
          <w:noProof/>
        </w:rPr>
      </w:pPr>
      <w:r>
        <w:rPr>
          <w:noProof/>
        </w:rPr>
        <w:t>Jau daugiau kaip 40 metų Komisija skolinasi lėšų Europos Sąjungos vardu. Per pastaruosius penkerius metus ES obligacijų emisijos gerokai padidėjo, nes skolinamasi kapitalo rinkose, kad būtų galima finansuoti dideles programas, pavyzdžiui, SURE</w:t>
      </w:r>
      <w:r w:rsidRPr="001C6C43">
        <w:rPr>
          <w:rStyle w:val="FootnoteReference"/>
          <w:noProof/>
          <w:lang w:val="en-GB"/>
        </w:rPr>
        <w:footnoteReference w:id="3"/>
      </w:r>
      <w:r>
        <w:rPr>
          <w:noProof/>
        </w:rPr>
        <w:t>, „NextGenerationEU“ (NGEU) ir paramą Ukrainai (MFP+ 2023 m., Ukrainos priemonę 2024 m. ir MFP paskolą pagal skolinimo Ukrainai bendradarbiavimo mechanizmą, pradėsiantį veikti 2025 m.). 2024 m. gruodžio 31 d. bendra negrąžinta ES skola buvo šiek tiek didesnė nei 600 mlrd. EUR, iš jų 23,1 mlrd. EUR sudarė ES vekseliai.</w:t>
      </w:r>
    </w:p>
    <w:p w14:paraId="2371BB69" w14:textId="7DFAEB3A" w:rsidR="00F333BA" w:rsidRPr="00820BC1" w:rsidRDefault="00F333BA" w:rsidP="00F333BA">
      <w:pPr>
        <w:rPr>
          <w:noProof/>
        </w:rPr>
      </w:pPr>
      <w:r>
        <w:rPr>
          <w:noProof/>
        </w:rPr>
        <w:t>Šioje pusmečio ataskaitoje</w:t>
      </w:r>
      <w:r w:rsidRPr="00820BC1">
        <w:rPr>
          <w:rStyle w:val="FootnoteReference"/>
          <w:noProof/>
          <w:lang w:val="en-GB"/>
        </w:rPr>
        <w:footnoteReference w:id="4"/>
      </w:r>
      <w:r>
        <w:rPr>
          <w:noProof/>
        </w:rPr>
        <w:t xml:space="preserve"> apžvelgiamas skolinimosi operacijų įgyvendinimas nuo 2024 m. liepos 1 d. iki 2024 m. gruodžio 31 d. Ataskaitoje taip pat pateikiamos ES obligacijų emisijų perspektyvos 2025 m. pirmąjį pusmetį. Joje nevertinama, kaip naudojamos ES obligacijų emisijų pajamos, nenagrinėtos ir žaliosios išlaidos, nes šios temos aptariamos atskirose ataskaitose, rengiamose pagal kiekvienai priemonei skirtus reglamentus</w:t>
      </w:r>
      <w:r w:rsidRPr="00820BC1">
        <w:rPr>
          <w:rStyle w:val="FootnoteReference"/>
          <w:noProof/>
          <w:lang w:val="en-GB"/>
        </w:rPr>
        <w:footnoteReference w:id="5"/>
      </w:r>
      <w:r>
        <w:rPr>
          <w:noProof/>
        </w:rPr>
        <w:t>.</w:t>
      </w:r>
    </w:p>
    <w:p w14:paraId="5D2F601E" w14:textId="7F249F7C" w:rsidR="00F333BA" w:rsidRPr="00820BC1" w:rsidRDefault="00F333BA" w:rsidP="00F333BA">
      <w:pPr>
        <w:rPr>
          <w:noProof/>
        </w:rPr>
      </w:pPr>
      <w:r>
        <w:rPr>
          <w:noProof/>
        </w:rPr>
        <w:t>Atsižvelgiant į 2023 m. birželio mėn. Europos Audito Rūmų rekomendaciją</w:t>
      </w:r>
      <w:r w:rsidRPr="00820BC1">
        <w:rPr>
          <w:rStyle w:val="FootnoteReference"/>
          <w:noProof/>
          <w:lang w:val="en-GB"/>
        </w:rPr>
        <w:footnoteReference w:id="6"/>
      </w:r>
      <w:r>
        <w:rPr>
          <w:noProof/>
        </w:rPr>
        <w:t>, šios ataskaitos priede pateikiami rodikliai, kuriuos galima naudoti stebint, kaip įgyvendinama visa apimanti skolos valdymo strategija, padedanti Komisijai taikyti vieningą finansavimo metodą</w:t>
      </w:r>
      <w:r w:rsidRPr="00820BC1">
        <w:rPr>
          <w:rStyle w:val="FootnoteReference"/>
          <w:noProof/>
          <w:spacing w:val="-6"/>
        </w:rPr>
        <w:footnoteReference w:id="7"/>
      </w:r>
      <w:r>
        <w:rPr>
          <w:noProof/>
        </w:rPr>
        <w:t xml:space="preserve">.  </w:t>
      </w:r>
    </w:p>
    <w:p w14:paraId="4FD8F240" w14:textId="643AFC9B" w:rsidR="008B6253" w:rsidRPr="00BE145B" w:rsidRDefault="00BD5F9F" w:rsidP="00BE145B">
      <w:pPr>
        <w:pStyle w:val="Heading1"/>
        <w:rPr>
          <w:noProof/>
        </w:rPr>
      </w:pPr>
      <w:bookmarkStart w:id="7" w:name="_Ref155883558"/>
      <w:bookmarkStart w:id="8" w:name="_Ref169097162"/>
      <w:bookmarkStart w:id="9" w:name="_Toc193190093"/>
      <w:r>
        <w:rPr>
          <w:noProof/>
        </w:rPr>
        <w:t>Skolinimosi operacijų įgyvendinimas 2024 m. antrąjį pusmetį</w:t>
      </w:r>
      <w:bookmarkEnd w:id="7"/>
      <w:bookmarkEnd w:id="8"/>
      <w:bookmarkEnd w:id="9"/>
    </w:p>
    <w:p w14:paraId="15368E26" w14:textId="655EA9E9" w:rsidR="00A02D98" w:rsidRPr="000123E4" w:rsidRDefault="00A02D98" w:rsidP="00A02D98">
      <w:pPr>
        <w:rPr>
          <w:noProof/>
        </w:rPr>
      </w:pPr>
      <w:bookmarkStart w:id="10" w:name="_Toc169303166"/>
      <w:r>
        <w:rPr>
          <w:noProof/>
        </w:rPr>
        <w:t>2024 m. antrąjį pusmetį Komisija toliau rinko lėšas rinkose taikydama vieningą finansavimo metodą. Visi įsipareigojimai išmokėti lėšas įvykdyti laiku, išleistų obligacijų sumos ir išpirkimo terminai nenukrypo nuo iš anksto nustatytų parametrų, o finansavimo sąlygos atitiko ES dydžio ir palankaus reitingo emitento finansavimo sąlygas. Tolesniuose skirsniuose pateikiami kai kurie pagrindiniai Komisijos skolinimosi ir skolinimo operacijų 2024 m. antrąjį pusmetį komponentai. Išsamesni rodikliai, kurie naudojami Komisijos finansavimo strategijos įgyvendinimo stebėsenai, aptariami šios ataskaitos priede.</w:t>
      </w:r>
    </w:p>
    <w:p w14:paraId="0C7AA257" w14:textId="105F20BE" w:rsidR="005D6F11" w:rsidRPr="000123E4" w:rsidRDefault="003926DF" w:rsidP="002703F1">
      <w:pPr>
        <w:pStyle w:val="Heading2"/>
        <w:rPr>
          <w:noProof/>
        </w:rPr>
      </w:pPr>
      <w:bookmarkStart w:id="11" w:name="_Toc170294782"/>
      <w:bookmarkStart w:id="12" w:name="_Toc187347924"/>
      <w:bookmarkStart w:id="13" w:name="_Toc187701953"/>
      <w:bookmarkStart w:id="14" w:name="_Toc187702008"/>
      <w:bookmarkStart w:id="15" w:name="_Toc190904644"/>
      <w:bookmarkStart w:id="16" w:name="_Toc193190094"/>
      <w:r>
        <w:rPr>
          <w:noProof/>
        </w:rPr>
        <w:t>2024 m. antrojo pusmečio finansavimo operacijų vykdymas</w:t>
      </w:r>
      <w:bookmarkEnd w:id="10"/>
      <w:bookmarkEnd w:id="11"/>
      <w:bookmarkEnd w:id="12"/>
      <w:bookmarkEnd w:id="13"/>
      <w:bookmarkEnd w:id="14"/>
      <w:bookmarkEnd w:id="15"/>
      <w:bookmarkEnd w:id="16"/>
    </w:p>
    <w:p w14:paraId="671F7083" w14:textId="1C54BB1A" w:rsidR="0049203F" w:rsidRPr="005C4C97" w:rsidRDefault="00C95DD4" w:rsidP="0049203F">
      <w:pPr>
        <w:rPr>
          <w:noProof/>
        </w:rPr>
      </w:pPr>
      <w:bookmarkStart w:id="17" w:name="_Hlk138161421"/>
      <w:r>
        <w:rPr>
          <w:noProof/>
        </w:rPr>
        <w:t xml:space="preserve">Komisija nenukrypo nuo 2024 m. liepos 1 d. – gruodžio 31 d. laikotarpiui numatyto finansavimo plano ir iš viso pritraukė 64,3 mlrd. EUR išleisdama ES obligacijas, kurių vidutinis išpirkimo terminas yra maždaug 12 metų (2024 m. pirmąjį pusmetį pritrauktų finansavimo lėšų vidutinis išpirkimo terminas buvo 14 metų). </w:t>
      </w:r>
      <w:r>
        <w:rPr>
          <w:noProof/>
          <w:color w:val="000000" w:themeColor="text1"/>
        </w:rPr>
        <w:t>2024 m. antrąjį pusmetį „NextGenerationEU“ žaliųjų obligacijų emisija sudarė 8 mlrd. EUR, o bendra neapmokėtų žaliųjų obligacijų vertė pasiekė 68,2 mlrd. EUR ir ES tapo 5-ąja didžiausia žaliųjų obligacijų emitente pasaulyje.</w:t>
      </w:r>
    </w:p>
    <w:p w14:paraId="3C2C3758" w14:textId="11EC2F1C" w:rsidR="0049203F" w:rsidRDefault="0049203F" w:rsidP="0049203F">
      <w:pPr>
        <w:rPr>
          <w:noProof/>
        </w:rPr>
      </w:pPr>
      <w:r>
        <w:rPr>
          <w:noProof/>
        </w:rPr>
        <w:t xml:space="preserve">Komisija naudojo keturių sindikuotųjų sandorių (58 % pritrauktos sumos) ir aštuonių aukcionų (42 % pritrauktos sumos) derinį, atitinkantį paskelbtą tikslą. Per šešių mėnesių laikotarpį ES obligacijos buvo išleidžiamos reguliariais intervalais, atsižvelgiant į rinkos likvidumo sąlygas ir užtikrinant nuolatinį dalyvavimą rinkoje. </w:t>
      </w:r>
    </w:p>
    <w:p w14:paraId="5C7794E5" w14:textId="77777777" w:rsidR="00EB47DD" w:rsidRDefault="00EB47DD" w:rsidP="0049203F">
      <w:pPr>
        <w:rPr>
          <w:noProof/>
        </w:rPr>
      </w:pPr>
    </w:p>
    <w:p w14:paraId="5C86CE36" w14:textId="6C2FF610" w:rsidR="00BA3133" w:rsidRPr="009428DB" w:rsidRDefault="00BA3133" w:rsidP="00810A51">
      <w:pPr>
        <w:rPr>
          <w:b/>
          <w:bCs/>
          <w:noProof/>
          <w:color w:val="034EA2" w:themeColor="accent1"/>
        </w:rPr>
      </w:pPr>
      <w:bookmarkStart w:id="18" w:name="_Hlk169095317"/>
      <w:r>
        <w:rPr>
          <w:b/>
          <w:noProof/>
          <w:color w:val="034EA2" w:themeColor="accent1"/>
        </w:rPr>
        <w:t>2 diagrama. Finansavimo lėšos, pritrauktos pagal vieningą finansavimo metodą</w:t>
      </w:r>
    </w:p>
    <w:p w14:paraId="480514B6" w14:textId="4C5FF630" w:rsidR="009428DB" w:rsidRPr="009428DB" w:rsidRDefault="001471A1" w:rsidP="009428DB">
      <w:pPr>
        <w:rPr>
          <w:noProof/>
          <w:color w:val="3B3838" w:themeColor="background2" w:themeShade="40"/>
          <w:sz w:val="18"/>
          <w:szCs w:val="18"/>
        </w:rPr>
      </w:pPr>
      <w:r w:rsidRPr="001471A1">
        <w:rPr>
          <w:noProof/>
          <w:lang w:val="en-GB" w:eastAsia="en-GB"/>
        </w:rPr>
        <w:drawing>
          <wp:inline distT="0" distB="0" distL="0" distR="0" wp14:anchorId="59DF1431" wp14:editId="2D6B0D31">
            <wp:extent cx="5769429" cy="3576614"/>
            <wp:effectExtent l="0" t="0" r="0" b="0"/>
            <wp:docPr id="172524641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842236" cy="3621749"/>
                    </a:xfrm>
                    <a:prstGeom prst="rect">
                      <a:avLst/>
                    </a:prstGeom>
                    <a:noFill/>
                    <a:ln>
                      <a:noFill/>
                    </a:ln>
                  </pic:spPr>
                </pic:pic>
              </a:graphicData>
            </a:graphic>
          </wp:inline>
        </w:drawing>
      </w:r>
      <w:r w:rsidR="009428DB">
        <w:rPr>
          <w:noProof/>
          <w:color w:val="3B3838" w:themeColor="background2" w:themeShade="40"/>
          <w:sz w:val="18"/>
        </w:rPr>
        <w:t>Pirmieji du „NextGenerationEU“ sandoriai įvykdyti 2021 m. birželio mėn. Jie buvo įtraukti į 2021 m. antrojo pusmečio duomenis, nes buvo to paties finansavimo plano dalis kaip ir 2021 m. antrąjį pusmetį įvykdyti sandoriai.</w:t>
      </w:r>
    </w:p>
    <w:bookmarkEnd w:id="18"/>
    <w:p w14:paraId="05F85E31" w14:textId="77777777" w:rsidR="009428DB" w:rsidRPr="005C4C97" w:rsidRDefault="009428DB" w:rsidP="009428DB">
      <w:pPr>
        <w:jc w:val="right"/>
        <w:rPr>
          <w:noProof/>
          <w:color w:val="595959" w:themeColor="text1" w:themeTint="A6"/>
          <w:sz w:val="18"/>
          <w:szCs w:val="18"/>
        </w:rPr>
      </w:pPr>
      <w:r>
        <w:rPr>
          <w:i/>
          <w:noProof/>
          <w:color w:val="595959" w:themeColor="text1" w:themeTint="A6"/>
          <w:sz w:val="18"/>
        </w:rPr>
        <w:t>Visos sumos nurodytos milijardais eurų</w:t>
      </w:r>
    </w:p>
    <w:p w14:paraId="5938BA3D" w14:textId="5F3565CE" w:rsidR="002469E9" w:rsidRPr="00B40F65" w:rsidRDefault="002469E9" w:rsidP="002469E9">
      <w:pPr>
        <w:rPr>
          <w:noProof/>
        </w:rPr>
      </w:pPr>
      <w:bookmarkStart w:id="19" w:name="_Hlk156564741"/>
      <w:bookmarkStart w:id="20" w:name="_Hlk155181535"/>
      <w:bookmarkStart w:id="21" w:name="_Hlk169518262"/>
      <w:bookmarkStart w:id="22" w:name="_Hlk139454398"/>
      <w:r>
        <w:rPr>
          <w:noProof/>
        </w:rPr>
        <w:t xml:space="preserve">Įvykdžius 2024 m. antrojo pusmečio sandorius bendra neapmokėtų ES obligacijų suma pasiekė 578,2 mlrd. EUR, iš jų 430,4 mlrd. EUR buvo išleista pagal 2021 m. birželio mėn. pradėtą taikyti ES vieningą finansavimo strategiją. Iš pastarosios sumos </w:t>
      </w:r>
      <w:bookmarkStart w:id="23" w:name="_Hlk158104850"/>
      <w:bookmarkEnd w:id="19"/>
      <w:r>
        <w:rPr>
          <w:noProof/>
        </w:rPr>
        <w:t>68,2 mlrd. EUR buvo išleista kaip „NextGenerationEU“ žaliosios obligacijos.</w:t>
      </w:r>
      <w:bookmarkEnd w:id="20"/>
      <w:r>
        <w:rPr>
          <w:noProof/>
        </w:rPr>
        <w:t xml:space="preserve"> </w:t>
      </w:r>
    </w:p>
    <w:bookmarkEnd w:id="21"/>
    <w:bookmarkEnd w:id="23"/>
    <w:p w14:paraId="737E3432" w14:textId="5D3202AB" w:rsidR="00542EFD" w:rsidRDefault="002469E9" w:rsidP="005D6F11">
      <w:pPr>
        <w:rPr>
          <w:noProof/>
        </w:rPr>
      </w:pPr>
      <w:r>
        <w:rPr>
          <w:noProof/>
        </w:rPr>
        <w:t>2024 m. antrąjį pusmetį Komisija, kas du mėnesius rengdama aukcionus, taip pat išleido trijų mėnesių ir šešių mėnesių termino ES vekselius, kad patenkintų trumpalaikio finansavimo poreikius. 2024 m. gruodžio mėn. pabaigoje ES skola, kurią sudarė neapmokėti ES vekseliai, siekė 23,1 mlrd. EUR.</w:t>
      </w:r>
      <w:bookmarkEnd w:id="22"/>
    </w:p>
    <w:p w14:paraId="6E7825A0" w14:textId="77777777" w:rsidR="001C6C43" w:rsidRPr="00F7056F" w:rsidRDefault="001C6C43" w:rsidP="005D6F11">
      <w:pPr>
        <w:rPr>
          <w:noProof/>
        </w:rPr>
      </w:pPr>
    </w:p>
    <w:p w14:paraId="1BBD1ABF" w14:textId="66D9714C" w:rsidR="003926DF" w:rsidRPr="000123E4" w:rsidRDefault="003926DF" w:rsidP="005971A7">
      <w:pPr>
        <w:pStyle w:val="Heading2"/>
        <w:rPr>
          <w:noProof/>
        </w:rPr>
      </w:pPr>
      <w:bookmarkStart w:id="24" w:name="_Toc169303167"/>
      <w:bookmarkStart w:id="25" w:name="_Toc170294783"/>
      <w:bookmarkStart w:id="26" w:name="_Toc187347925"/>
      <w:bookmarkStart w:id="27" w:name="_Toc187701954"/>
      <w:bookmarkStart w:id="28" w:name="_Toc187702009"/>
      <w:bookmarkStart w:id="29" w:name="_Toc190904645"/>
      <w:bookmarkStart w:id="30" w:name="_Toc193190095"/>
      <w:bookmarkStart w:id="31" w:name="_Hlk169127536"/>
      <w:bookmarkEnd w:id="17"/>
      <w:r>
        <w:rPr>
          <w:noProof/>
        </w:rPr>
        <w:t>Išmokos</w:t>
      </w:r>
      <w:bookmarkEnd w:id="24"/>
      <w:bookmarkEnd w:id="25"/>
      <w:bookmarkEnd w:id="26"/>
      <w:bookmarkEnd w:id="27"/>
      <w:bookmarkEnd w:id="28"/>
      <w:bookmarkEnd w:id="29"/>
      <w:bookmarkEnd w:id="30"/>
    </w:p>
    <w:p w14:paraId="57EC12A0" w14:textId="643FD7DD" w:rsidR="00083C92" w:rsidRDefault="00DC2305" w:rsidP="009536A9">
      <w:pPr>
        <w:rPr>
          <w:noProof/>
        </w:rPr>
      </w:pPr>
      <w:bookmarkStart w:id="32" w:name="_Hlk187329427"/>
      <w:r>
        <w:rPr>
          <w:noProof/>
        </w:rPr>
        <w:t>Naudodamasi šiais sandoriais Komisija toliau finansavo valstybių narių ekonomikos gaivinimo ir atsparumo didinimo planus laiku (per šešias darbo dienas) išmokėdama surinktas lėšas.</w:t>
      </w:r>
      <w:bookmarkEnd w:id="32"/>
    </w:p>
    <w:p w14:paraId="6FF8005B" w14:textId="651FAA6E" w:rsidR="005C414E" w:rsidRPr="00715042" w:rsidRDefault="002C0915" w:rsidP="005C414E">
      <w:pPr>
        <w:rPr>
          <w:noProof/>
        </w:rPr>
      </w:pPr>
      <w:r>
        <w:rPr>
          <w:noProof/>
        </w:rPr>
        <w:t>Per 2024 m. antrąjį pusmetį visoms politikos sritims Komisija iš viso išmokėjo apie 78,5 mlrd. EUR, kuriuos iš dalies finansavo dar 2024 m. pirmąjį pusmetį pritrauktomis lėšomis. Iš per šį laikotarpį pritrauktų lėšų 72,2 mlrd. EUR buvo išmokėta „NextGenerationEU“ finansuoti. Iš šios sumos 61,7 mlrd. EUR buvo panaudota valstybių narių ekonomikos gaivinimo ir atsparumo didinimo planams pagal Ekonomikos gaivinimo ir atsparumo didinimo priemonę (EGADP) finansuoti. Šią sumą savo ruožtu galima suskirstyti į 37,2 mlrd. EUR dotacijų forma 15-ai valstybių narių ir 24,5 mlrd. EUR paskolų forma 9-ioms valstybėms narėms. Likusi 10,5 mlrd. EUR suma buvo panaudota „NextGenerationEU“ remiamoms ES valdomoms programoms</w:t>
      </w:r>
      <w:r w:rsidR="005C414E" w:rsidRPr="00A1028E">
        <w:rPr>
          <w:noProof/>
          <w:vertAlign w:val="superscript"/>
          <w:lang w:val="en-GB"/>
        </w:rPr>
        <w:footnoteReference w:id="8"/>
      </w:r>
      <w:r>
        <w:rPr>
          <w:noProof/>
        </w:rPr>
        <w:t xml:space="preserve"> finansuoti.</w:t>
      </w:r>
    </w:p>
    <w:p w14:paraId="1832A5BC" w14:textId="56217C6B" w:rsidR="005C414E" w:rsidRPr="00877CA0" w:rsidRDefault="005C414E" w:rsidP="005C414E">
      <w:pPr>
        <w:rPr>
          <w:noProof/>
        </w:rPr>
      </w:pPr>
      <w:r>
        <w:rPr>
          <w:noProof/>
        </w:rPr>
        <w:t>Apskritai nuo 2021 m. vasaros Komisija išmokėjo 375,4 mlrd. EUR priemonei „NextGenerationEU“ paremti. Šią sumą sudaro 197,4 mlrd. EUR dotacijų ir 108,7 mlrd. EUR paskolų valstybėms narėms pagal EGADP ir 69,3 mlrd. EUR ES valdomoms NGEU programoms. Iš visos NGEU skirtos 375,4 mlrd. EUR paramos 365,8 mlrd. EUR buvo finansuota išleidžiant skolą</w:t>
      </w:r>
      <w:r w:rsidRPr="000123E4">
        <w:rPr>
          <w:noProof/>
          <w:vertAlign w:val="superscript"/>
          <w:lang w:val="en-GB"/>
        </w:rPr>
        <w:footnoteReference w:id="9"/>
      </w:r>
      <w:r>
        <w:rPr>
          <w:noProof/>
        </w:rPr>
        <w:t>.</w:t>
      </w:r>
    </w:p>
    <w:p w14:paraId="1FF529FF" w14:textId="4A5B5233" w:rsidR="00542EFD" w:rsidRDefault="005C414E" w:rsidP="00DC2305">
      <w:pPr>
        <w:rPr>
          <w:noProof/>
        </w:rPr>
      </w:pPr>
      <w:r>
        <w:rPr>
          <w:noProof/>
        </w:rPr>
        <w:t xml:space="preserve">Be NGEU išmokų, per 2024 m. antrąjį pusmetį pagal Ukrainos priemonę Komisija išmokėjo Ukrainai 5,2 mlrd. EUR, o 2024 m. pagal Ukrainos priemonę iš viso išmokėta 13,1 mlrd. EUR. 2024 m. antrąjį pusmetį ES obligacijų emisijomis taip pat finansuota 1 mlrd. EUR MFP paskolų Egiptui ir 95 mln. EUR Moldovai. </w:t>
      </w:r>
    </w:p>
    <w:p w14:paraId="6FEE8558" w14:textId="77777777" w:rsidR="003E4BE8" w:rsidRPr="00F7056F" w:rsidRDefault="003E4BE8" w:rsidP="00DC2305">
      <w:pPr>
        <w:rPr>
          <w:noProof/>
        </w:rPr>
      </w:pPr>
    </w:p>
    <w:p w14:paraId="53F3E1A0" w14:textId="3EDC669F" w:rsidR="003926DF" w:rsidRPr="000123E4" w:rsidRDefault="00352DCC" w:rsidP="00A87F59">
      <w:pPr>
        <w:pStyle w:val="Heading2"/>
        <w:rPr>
          <w:noProof/>
        </w:rPr>
      </w:pPr>
      <w:bookmarkStart w:id="33" w:name="_Toc169303168"/>
      <w:bookmarkStart w:id="34" w:name="_Toc170294784"/>
      <w:bookmarkStart w:id="35" w:name="_Toc187347926"/>
      <w:bookmarkStart w:id="36" w:name="_Toc187701955"/>
      <w:bookmarkStart w:id="37" w:name="_Toc187702010"/>
      <w:bookmarkStart w:id="38" w:name="_Toc190904646"/>
      <w:bookmarkStart w:id="39" w:name="_Toc193190096"/>
      <w:bookmarkEnd w:id="31"/>
      <w:r>
        <w:rPr>
          <w:noProof/>
        </w:rPr>
        <w:t>Investuotojų paklausa ir likvidumas antrinėje rinkoje</w:t>
      </w:r>
      <w:bookmarkEnd w:id="33"/>
      <w:bookmarkEnd w:id="34"/>
      <w:bookmarkEnd w:id="35"/>
      <w:bookmarkEnd w:id="36"/>
      <w:bookmarkEnd w:id="37"/>
      <w:bookmarkEnd w:id="38"/>
      <w:bookmarkEnd w:id="39"/>
    </w:p>
    <w:p w14:paraId="15738A70" w14:textId="3DFB2EC6" w:rsidR="00216746" w:rsidRDefault="00556A0B" w:rsidP="00216746">
      <w:pPr>
        <w:rPr>
          <w:noProof/>
        </w:rPr>
      </w:pPr>
      <w:bookmarkStart w:id="40" w:name="_Hlk139454867"/>
      <w:r>
        <w:rPr>
          <w:noProof/>
        </w:rPr>
        <w:t>ES obligacijų emisijos ir toliau sulaukė paklausos iš gerai subalansuotos ir diversifikuotos investuotojų bazės</w:t>
      </w:r>
      <w:r w:rsidR="00216746" w:rsidRPr="000123E4">
        <w:rPr>
          <w:noProof/>
          <w:vertAlign w:val="superscript"/>
          <w:lang w:val="en-GB"/>
        </w:rPr>
        <w:footnoteReference w:id="10"/>
      </w:r>
      <w:r>
        <w:rPr>
          <w:noProof/>
        </w:rPr>
        <w:t>.</w:t>
      </w:r>
    </w:p>
    <w:p w14:paraId="340E80F0" w14:textId="1F6352D4" w:rsidR="00387E02" w:rsidRPr="00F7056F" w:rsidRDefault="00387E02">
      <w:pPr>
        <w:spacing w:line="259" w:lineRule="auto"/>
        <w:jc w:val="left"/>
        <w:rPr>
          <w:b/>
          <w:bCs/>
          <w:noProof/>
          <w:color w:val="034EA2" w:themeColor="accent1"/>
        </w:rPr>
      </w:pPr>
    </w:p>
    <w:p w14:paraId="41A81828" w14:textId="7371C4F1" w:rsidR="00EF6F31" w:rsidRDefault="00EF6F31" w:rsidP="00216746">
      <w:pPr>
        <w:rPr>
          <w:b/>
          <w:bCs/>
          <w:noProof/>
          <w:color w:val="034EA2" w:themeColor="accent1"/>
        </w:rPr>
      </w:pPr>
      <w:r>
        <w:rPr>
          <w:b/>
          <w:noProof/>
          <w:color w:val="034EA2" w:themeColor="accent1"/>
        </w:rPr>
        <w:t>3 diagrama. Investuotojų į 2024 m. antrąjį pusmetį įvykdytus sindikuotuosius sandorius pasiskirstymas</w:t>
      </w:r>
    </w:p>
    <w:p w14:paraId="718C1DF1" w14:textId="08B5D329" w:rsidR="00D52047" w:rsidRPr="00D52047" w:rsidRDefault="002A5C7B" w:rsidP="00D52047">
      <w:pPr>
        <w:spacing w:after="0"/>
        <w:jc w:val="left"/>
        <w:rPr>
          <w:rFonts w:ascii="Times New Roman" w:eastAsia="Times New Roman" w:hAnsi="Times New Roman"/>
          <w:noProof/>
          <w:sz w:val="24"/>
        </w:rPr>
      </w:pPr>
      <w:r w:rsidRPr="002A5C7B">
        <w:rPr>
          <w:noProof/>
          <w:lang w:val="en-GB" w:eastAsia="en-GB"/>
        </w:rPr>
        <w:drawing>
          <wp:inline distT="0" distB="0" distL="0" distR="0" wp14:anchorId="642B38DF" wp14:editId="2200497A">
            <wp:extent cx="5257800" cy="2560257"/>
            <wp:effectExtent l="0" t="0" r="0" b="0"/>
            <wp:docPr id="9715562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257800" cy="2560257"/>
                    </a:xfrm>
                    <a:prstGeom prst="rect">
                      <a:avLst/>
                    </a:prstGeom>
                    <a:noFill/>
                    <a:ln>
                      <a:noFill/>
                    </a:ln>
                  </pic:spPr>
                </pic:pic>
              </a:graphicData>
            </a:graphic>
          </wp:inline>
        </w:drawing>
      </w:r>
    </w:p>
    <w:p w14:paraId="1884B3F8" w14:textId="6F1774E8" w:rsidR="00965EC1" w:rsidRDefault="00965EC1" w:rsidP="00FE2382">
      <w:pPr>
        <w:spacing w:after="0"/>
        <w:jc w:val="left"/>
        <w:rPr>
          <w:noProof/>
        </w:rPr>
      </w:pPr>
    </w:p>
    <w:p w14:paraId="268634B1" w14:textId="4F3FC9D1" w:rsidR="002A5C7B" w:rsidRPr="00FE2382" w:rsidRDefault="002A5C7B" w:rsidP="00FE2382">
      <w:pPr>
        <w:spacing w:after="0"/>
        <w:jc w:val="left"/>
        <w:rPr>
          <w:rFonts w:ascii="Times New Roman" w:eastAsia="Times New Roman" w:hAnsi="Times New Roman"/>
          <w:noProof/>
          <w:sz w:val="24"/>
        </w:rPr>
      </w:pPr>
      <w:r w:rsidRPr="002A5C7B">
        <w:rPr>
          <w:noProof/>
          <w:lang w:val="en-GB" w:eastAsia="en-GB"/>
        </w:rPr>
        <w:drawing>
          <wp:inline distT="0" distB="0" distL="0" distR="0" wp14:anchorId="0053900E" wp14:editId="5F68B6F5">
            <wp:extent cx="5208905" cy="2275205"/>
            <wp:effectExtent l="0" t="0" r="0" b="0"/>
            <wp:docPr id="4525559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208905" cy="2275205"/>
                    </a:xfrm>
                    <a:prstGeom prst="rect">
                      <a:avLst/>
                    </a:prstGeom>
                    <a:noFill/>
                    <a:ln>
                      <a:noFill/>
                    </a:ln>
                  </pic:spPr>
                </pic:pic>
              </a:graphicData>
            </a:graphic>
          </wp:inline>
        </w:drawing>
      </w:r>
    </w:p>
    <w:p w14:paraId="534A4C4D" w14:textId="77777777" w:rsidR="00FE2382" w:rsidRPr="000123E4" w:rsidRDefault="00FE2382" w:rsidP="00216746">
      <w:pPr>
        <w:rPr>
          <w:noProof/>
          <w:lang w:val="en-GB"/>
        </w:rPr>
      </w:pPr>
    </w:p>
    <w:p w14:paraId="5AEE9404" w14:textId="3D909477" w:rsidR="00F81553" w:rsidRPr="00B2444A" w:rsidRDefault="008979B0" w:rsidP="00B2444A">
      <w:pPr>
        <w:rPr>
          <w:noProof/>
        </w:rPr>
      </w:pPr>
      <w:bookmarkStart w:id="42" w:name="_Hlk169094028"/>
      <w:bookmarkEnd w:id="40"/>
      <w:r>
        <w:rPr>
          <w:noProof/>
        </w:rPr>
        <w:t>2024 m. antrąjį pusmetį naujų emisijų priedų</w:t>
      </w:r>
      <w:r w:rsidR="002835C6" w:rsidRPr="00F81553">
        <w:rPr>
          <w:noProof/>
          <w:vertAlign w:val="superscript"/>
          <w:lang w:val="en-GB"/>
        </w:rPr>
        <w:footnoteReference w:id="11"/>
      </w:r>
      <w:bookmarkStart w:id="43" w:name="_Hlk170294116"/>
      <w:bookmarkEnd w:id="42"/>
      <w:r>
        <w:rPr>
          <w:noProof/>
        </w:rPr>
        <w:t>, kurių investuotojai reikalauja kaip nuolaidos, kai ES išleidžia obligacijas per sindikuotuosius sandorius, vidurkis sudarė maždaug 2,1 bazinio punkto. Nors tai viršija atitinkamą rodiklį 2024 m. pirmąjį pusmetį (kai vidutinis naujos emisijos priedas buvo apie 1,2 bazinio punkto), 2024 m. antrąjį pusmetį šis rodiklis atitiko kitų emitentų nuolaidas panašiems sandoriams (vertinant pagal dydį ir išpirkimo terminą), o tai atspindi didesnį kintamumą 2024 m. trečiąjį ketvirtį.</w:t>
      </w:r>
    </w:p>
    <w:bookmarkEnd w:id="43"/>
    <w:p w14:paraId="10C2D56C" w14:textId="5AC148BA" w:rsidR="00733125" w:rsidRDefault="00733125" w:rsidP="00733125">
      <w:pPr>
        <w:rPr>
          <w:noProof/>
        </w:rPr>
      </w:pPr>
      <w:r>
        <w:rPr>
          <w:noProof/>
        </w:rPr>
        <w:t xml:space="preserve">Kartu 2024 m. antrąjį pusmetį ES obligacijų antrinės rinkos likvidumas buvo šiek tiek didesnis nei 2024 m. pirmąjį pusmetį. Nuo 2023 m. lapkričio mėn. galiojanti kotiravimo tvarka (pagal ją ES pirminiai makleriai skatinami skelbti patikimas ES obligacijų kainas pagrindinėse elektroninėse obligacijų prekybos platformose) ir toliau didino ES obligacijų likvidumą. Pradėjus taikyti šią kotiravimo tvarką ES obligacijų prekybos apyvarta pagrindinėje elektroninėje prekybos platformoje kasdien vidutiniškai sudaro daugiau nei 800 mln. EUR, o didžiausia dienos apyvarta viršija 2 mlrd. EUR. </w:t>
      </w:r>
    </w:p>
    <w:p w14:paraId="1D8254DF" w14:textId="4411754C" w:rsidR="00733125" w:rsidRDefault="00733125" w:rsidP="00733125">
      <w:pPr>
        <w:rPr>
          <w:noProof/>
          <w:highlight w:val="yellow"/>
        </w:rPr>
      </w:pPr>
      <w:r>
        <w:rPr>
          <w:noProof/>
        </w:rPr>
        <w:t>Komisija taip pat palaikė ES obligacijų kreivės likvidumą panaudodama esamas ir kurdama naujas linijas, kad būtų patenkinti programų poreikiai ir investuotojų paklausa. Todėl vidutinė vienos ES obligacijos neapmokėta suma 2024 m. pabaigoje sudarė maždaug 14,8 mlrd. EUR ir buvo didesnė nei 2024 m. pirmąjį pusmetį, kai ji siekė 13 mlrd. EUR. 2024 m. antrąjį pusmetį taip pat išleistos naujos penkerių ir septynerių metų linijos.</w:t>
      </w:r>
    </w:p>
    <w:p w14:paraId="7B52885D" w14:textId="77777777" w:rsidR="003E4BE8" w:rsidRDefault="003E4BE8" w:rsidP="00CE068C">
      <w:pPr>
        <w:rPr>
          <w:noProof/>
        </w:rPr>
      </w:pPr>
    </w:p>
    <w:p w14:paraId="076BA1BE" w14:textId="77777777" w:rsidR="001077F9" w:rsidRDefault="001077F9" w:rsidP="00CE068C">
      <w:pPr>
        <w:rPr>
          <w:noProof/>
        </w:rPr>
      </w:pPr>
    </w:p>
    <w:p w14:paraId="7E62E083" w14:textId="77777777" w:rsidR="001077F9" w:rsidRDefault="001077F9" w:rsidP="00CE068C">
      <w:pPr>
        <w:rPr>
          <w:noProof/>
        </w:rPr>
      </w:pPr>
    </w:p>
    <w:p w14:paraId="116C9D75" w14:textId="77777777" w:rsidR="001077F9" w:rsidRDefault="001077F9" w:rsidP="00CE068C">
      <w:pPr>
        <w:rPr>
          <w:noProof/>
        </w:rPr>
      </w:pPr>
    </w:p>
    <w:p w14:paraId="36D21604" w14:textId="77777777" w:rsidR="001077F9" w:rsidRDefault="001077F9" w:rsidP="00CE068C">
      <w:pPr>
        <w:rPr>
          <w:noProof/>
        </w:rPr>
      </w:pPr>
    </w:p>
    <w:p w14:paraId="375BE1DA" w14:textId="77777777" w:rsidR="001077F9" w:rsidRDefault="001077F9" w:rsidP="00CE068C">
      <w:pPr>
        <w:rPr>
          <w:noProof/>
        </w:rPr>
      </w:pPr>
    </w:p>
    <w:p w14:paraId="6E25AEA9" w14:textId="77777777" w:rsidR="001077F9" w:rsidRDefault="001077F9" w:rsidP="00CE068C">
      <w:pPr>
        <w:rPr>
          <w:noProof/>
        </w:rPr>
      </w:pPr>
    </w:p>
    <w:p w14:paraId="7A46A9E6" w14:textId="77777777" w:rsidR="001077F9" w:rsidRPr="0077171F" w:rsidRDefault="001077F9" w:rsidP="00CE068C">
      <w:pPr>
        <w:rPr>
          <w:noProof/>
        </w:rPr>
      </w:pPr>
    </w:p>
    <w:p w14:paraId="03C83E44" w14:textId="1ACAB312" w:rsidR="009A0198" w:rsidRDefault="00EF6F31" w:rsidP="009A0198">
      <w:pPr>
        <w:rPr>
          <w:b/>
          <w:bCs/>
          <w:noProof/>
          <w:color w:val="034EA2" w:themeColor="accent1"/>
        </w:rPr>
      </w:pPr>
      <w:bookmarkStart w:id="44" w:name="_Hlk187333874"/>
      <w:r>
        <w:rPr>
          <w:b/>
          <w:noProof/>
          <w:color w:val="034EA2" w:themeColor="accent1"/>
        </w:rPr>
        <w:t>4 diagrama. ES obligacijų ir Europos vyriausybių obligacijų ketvirčio apyvarta antrinėje rinkoje (% neapmokėtos vertės)</w:t>
      </w:r>
    </w:p>
    <w:p w14:paraId="2D2CAD4A" w14:textId="3651862F" w:rsidR="00F02986" w:rsidRPr="00A87F59" w:rsidRDefault="005C2F6A" w:rsidP="009A0198">
      <w:pPr>
        <w:rPr>
          <w:b/>
          <w:bCs/>
          <w:noProof/>
          <w:color w:val="034EA2" w:themeColor="accent1"/>
        </w:rPr>
      </w:pPr>
      <w:r w:rsidRPr="005C2F6A">
        <w:rPr>
          <w:noProof/>
          <w:lang w:val="en-GB" w:eastAsia="en-GB"/>
        </w:rPr>
        <w:drawing>
          <wp:inline distT="0" distB="0" distL="0" distR="0" wp14:anchorId="38881BB8" wp14:editId="3FC44931">
            <wp:extent cx="5731510" cy="3335020"/>
            <wp:effectExtent l="0" t="0" r="0" b="0"/>
            <wp:docPr id="848086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731510" cy="3335020"/>
                    </a:xfrm>
                    <a:prstGeom prst="rect">
                      <a:avLst/>
                    </a:prstGeom>
                    <a:noFill/>
                    <a:ln>
                      <a:noFill/>
                    </a:ln>
                  </pic:spPr>
                </pic:pic>
              </a:graphicData>
            </a:graphic>
          </wp:inline>
        </w:drawing>
      </w:r>
    </w:p>
    <w:bookmarkEnd w:id="44"/>
    <w:p w14:paraId="66E247E6" w14:textId="0F5B713D" w:rsidR="009A0198" w:rsidRPr="00840773" w:rsidRDefault="009A0198" w:rsidP="009A0198">
      <w:pPr>
        <w:contextualSpacing/>
        <w:rPr>
          <w:noProof/>
          <w:sz w:val="20"/>
          <w:szCs w:val="20"/>
        </w:rPr>
      </w:pPr>
      <w:r>
        <w:rPr>
          <w:i/>
          <w:noProof/>
          <w:sz w:val="20"/>
        </w:rPr>
        <w:t>Šaltinis:</w:t>
      </w:r>
      <w:r>
        <w:rPr>
          <w:noProof/>
          <w:sz w:val="20"/>
        </w:rPr>
        <w:t xml:space="preserve"> Europos Komisija, remiantis Ekonomikos ir finansų komiteto ES valstybės skolos vertybinių popierių rinkų pakomitečio duomenimis. </w:t>
      </w:r>
    </w:p>
    <w:p w14:paraId="3A754BF0" w14:textId="023C5879" w:rsidR="00B60214" w:rsidRDefault="009A0198" w:rsidP="009A0198">
      <w:pPr>
        <w:contextualSpacing/>
        <w:rPr>
          <w:noProof/>
          <w:sz w:val="20"/>
          <w:szCs w:val="20"/>
        </w:rPr>
      </w:pPr>
      <w:r>
        <w:rPr>
          <w:noProof/>
          <w:sz w:val="20"/>
        </w:rPr>
        <w:t>Pastaba. Čia Europos vyriausybės obligacijų (EVO) rinką sudaro obligacijos, kurias išleidžia euro zonos valstybės, Europos finansinio stabilumo fondas ir Europos stabilumo mechanizmas. 2024 m. III ir IV ketvirčio duomenų dar nėra.</w:t>
      </w:r>
    </w:p>
    <w:p w14:paraId="74E89C11" w14:textId="77777777" w:rsidR="00B60214" w:rsidRDefault="00B60214" w:rsidP="009A0198">
      <w:pPr>
        <w:contextualSpacing/>
        <w:rPr>
          <w:noProof/>
          <w:sz w:val="20"/>
          <w:szCs w:val="20"/>
        </w:rPr>
      </w:pPr>
    </w:p>
    <w:p w14:paraId="0260D5D1" w14:textId="1D8DEE60" w:rsidR="00E81087" w:rsidRPr="00A87F59" w:rsidRDefault="00DB3549" w:rsidP="00A87F59">
      <w:pPr>
        <w:pStyle w:val="Heading1"/>
        <w:rPr>
          <w:noProof/>
        </w:rPr>
      </w:pPr>
      <w:bookmarkStart w:id="45" w:name="_Toc193190097"/>
      <w:r>
        <w:rPr>
          <w:noProof/>
        </w:rPr>
        <w:t>Finansavimo išlaidos ir likvidumo likučiai</w:t>
      </w:r>
      <w:bookmarkEnd w:id="45"/>
    </w:p>
    <w:p w14:paraId="6EB8EACA" w14:textId="2859BED3" w:rsidR="001D0900" w:rsidRPr="007B6993" w:rsidRDefault="001D0900" w:rsidP="00A87F59">
      <w:pPr>
        <w:pStyle w:val="Heading2"/>
        <w:rPr>
          <w:noProof/>
        </w:rPr>
      </w:pPr>
      <w:bookmarkStart w:id="46" w:name="_Toc187701957"/>
      <w:bookmarkStart w:id="47" w:name="_Toc187702012"/>
      <w:bookmarkStart w:id="48" w:name="_Toc190904648"/>
      <w:bookmarkStart w:id="49" w:name="_Toc193190098"/>
      <w:r>
        <w:rPr>
          <w:noProof/>
        </w:rPr>
        <w:t>Finansavimo išlaidos</w:t>
      </w:r>
      <w:bookmarkEnd w:id="46"/>
      <w:bookmarkEnd w:id="47"/>
      <w:bookmarkEnd w:id="48"/>
      <w:bookmarkEnd w:id="49"/>
    </w:p>
    <w:p w14:paraId="5D65988D" w14:textId="2BB43FAA" w:rsidR="00943313" w:rsidRDefault="00943313" w:rsidP="00035235">
      <w:pPr>
        <w:rPr>
          <w:noProof/>
        </w:rPr>
      </w:pPr>
      <w:r>
        <w:rPr>
          <w:noProof/>
        </w:rPr>
        <w:t>Pagal diversifikuotos finansavimo strategijos išlaidų paskirstymo metodiką Komisija gali susieti paramos gavėjams (ES biudžetui arba paskolų gavėjams) taikomas finansavimo išlaidas su sąlygomis, buvusiomis rinkoje tuo metu, kai buvo finansuojamos išmokos</w:t>
      </w:r>
      <w:r w:rsidR="009E499F" w:rsidRPr="007653FA">
        <w:rPr>
          <w:noProof/>
          <w:vertAlign w:val="superscript"/>
          <w:lang w:val="en-GB"/>
        </w:rPr>
        <w:footnoteReference w:id="12"/>
      </w:r>
      <w:r>
        <w:rPr>
          <w:noProof/>
        </w:rPr>
        <w:t xml:space="preserve">. Be to, nuo 2024 m. rugsėjo 30 d. pagal šią metodiką skolinimosi išlaidas galima paskirstyti pagal programas. Tai atspindi padidėjusį politikos programų, finansuojamų taikant diversifikuotą finansavimo strategiją pagal vieningą finansavimo metodą, skaičių.  </w:t>
      </w:r>
    </w:p>
    <w:p w14:paraId="101583C3" w14:textId="6AD2041A" w:rsidR="006E1A53" w:rsidRPr="007653FA" w:rsidRDefault="000214CF" w:rsidP="000214CF">
      <w:pPr>
        <w:rPr>
          <w:noProof/>
        </w:rPr>
      </w:pPr>
      <w:r>
        <w:rPr>
          <w:noProof/>
        </w:rPr>
        <w:t>Pagal šią metodiką apskaičiuota, kad 2024 m. liepos–gruodžio mėn. NGEU mokėjimų finansavimo išlaidos (toliau pateiktoje lentelėje – „TC7“) yra 2,97 %, palyginti su 3,19 % ankstesnių 6 mėnesių finansavimo išlaidomis. Išmokų pagal Ukrainos priemonę ir MFP Egipto programą finansavimo išlaidos 2024 m. gruodžio mėn. pabaigoje sudarė 2,68 %. Mažesnės šių politikos priemonių finansavimo išlaidos, palyginti su „NextGenerationEU“, atspindi tai, kad jos gali būti finansuojamos naudojant obligacijas, kurių vidutinis išpirkimo terminas yra trumpesnis nei tų, kuriomis finansuojama NGEU, nes NGEU obligacijų apmokėjimo profilis (o kartu ir vidutinis išpirkimo terminas) turi atitikti nustatytą laikiną vadinamąją nuosavų išteklių ribą.</w:t>
      </w:r>
    </w:p>
    <w:p w14:paraId="2A2B87A2" w14:textId="77777777" w:rsidR="0094369E" w:rsidRPr="00F7056F" w:rsidRDefault="0094369E" w:rsidP="007B6993">
      <w:pPr>
        <w:rPr>
          <w:noProof/>
        </w:rPr>
      </w:pPr>
    </w:p>
    <w:p w14:paraId="769BE625" w14:textId="4080E997" w:rsidR="00EF6F31" w:rsidRDefault="00EF6F31" w:rsidP="007B6993">
      <w:pPr>
        <w:rPr>
          <w:b/>
          <w:bCs/>
          <w:noProof/>
          <w:color w:val="034EA2" w:themeColor="accent1"/>
        </w:rPr>
      </w:pPr>
      <w:r>
        <w:rPr>
          <w:b/>
          <w:noProof/>
          <w:color w:val="034EA2" w:themeColor="accent1"/>
        </w:rPr>
        <w:t>5 diagrama. Finansavimo išlaidos</w:t>
      </w:r>
    </w:p>
    <w:tbl>
      <w:tblPr>
        <w:tblStyle w:val="TableGrid"/>
        <w:tblW w:w="9242" w:type="dxa"/>
        <w:tblBorders>
          <w:top w:val="none" w:sz="0" w:space="0" w:color="auto"/>
          <w:left w:val="none" w:sz="0" w:space="0" w:color="auto"/>
          <w:bottom w:val="none" w:sz="0" w:space="0" w:color="auto"/>
          <w:right w:val="none" w:sz="0" w:space="0" w:color="auto"/>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427"/>
        <w:gridCol w:w="972"/>
        <w:gridCol w:w="972"/>
        <w:gridCol w:w="970"/>
        <w:gridCol w:w="977"/>
        <w:gridCol w:w="978"/>
        <w:gridCol w:w="970"/>
        <w:gridCol w:w="976"/>
      </w:tblGrid>
      <w:tr w:rsidR="0094369E" w:rsidRPr="00B74A66" w14:paraId="34967047" w14:textId="5B58EB9C" w:rsidTr="00515408">
        <w:trPr>
          <w:trHeight w:val="415"/>
        </w:trPr>
        <w:tc>
          <w:tcPr>
            <w:tcW w:w="2145" w:type="dxa"/>
            <w:vMerge w:val="restart"/>
            <w:shd w:val="clear" w:color="auto" w:fill="034EA2" w:themeFill="accent1"/>
            <w:vAlign w:val="center"/>
          </w:tcPr>
          <w:p w14:paraId="4EFAAE64" w14:textId="52D2C32D" w:rsidR="0094369E" w:rsidRDefault="0094369E" w:rsidP="0094369E">
            <w:pPr>
              <w:jc w:val="center"/>
              <w:rPr>
                <w:b/>
                <w:bCs/>
                <w:noProof/>
                <w:color w:val="FFFFFF" w:themeColor="background1"/>
              </w:rPr>
            </w:pPr>
            <w:r>
              <w:rPr>
                <w:b/>
                <w:noProof/>
                <w:color w:val="FFFFFF" w:themeColor="background1"/>
              </w:rPr>
              <w:t>„NextGenenerationEU“</w:t>
            </w:r>
          </w:p>
        </w:tc>
        <w:tc>
          <w:tcPr>
            <w:tcW w:w="1013" w:type="dxa"/>
            <w:shd w:val="clear" w:color="auto" w:fill="034EA2" w:themeFill="accent1"/>
            <w:vAlign w:val="center"/>
            <w:hideMark/>
          </w:tcPr>
          <w:p w14:paraId="5C0F100C" w14:textId="219E3F9A" w:rsidR="0094369E" w:rsidRPr="00B74A66" w:rsidRDefault="0094369E">
            <w:pPr>
              <w:jc w:val="center"/>
              <w:rPr>
                <w:b/>
                <w:bCs/>
                <w:noProof/>
                <w:color w:val="FFFFFF" w:themeColor="background1"/>
              </w:rPr>
            </w:pPr>
            <w:r>
              <w:rPr>
                <w:b/>
                <w:noProof/>
                <w:color w:val="FFFFFF" w:themeColor="background1"/>
              </w:rPr>
              <w:t>TC1</w:t>
            </w:r>
          </w:p>
        </w:tc>
        <w:tc>
          <w:tcPr>
            <w:tcW w:w="1014" w:type="dxa"/>
            <w:shd w:val="clear" w:color="auto" w:fill="034EA2" w:themeFill="accent1"/>
            <w:vAlign w:val="center"/>
            <w:hideMark/>
          </w:tcPr>
          <w:p w14:paraId="48E77872" w14:textId="271C6655" w:rsidR="0094369E" w:rsidRPr="00B74A66" w:rsidRDefault="0094369E">
            <w:pPr>
              <w:jc w:val="center"/>
              <w:rPr>
                <w:b/>
                <w:bCs/>
                <w:noProof/>
                <w:color w:val="FFFFFF" w:themeColor="background1"/>
              </w:rPr>
            </w:pPr>
            <w:r>
              <w:rPr>
                <w:b/>
                <w:noProof/>
                <w:color w:val="FFFFFF" w:themeColor="background1"/>
              </w:rPr>
              <w:t>TC2</w:t>
            </w:r>
          </w:p>
        </w:tc>
        <w:tc>
          <w:tcPr>
            <w:tcW w:w="1014" w:type="dxa"/>
            <w:shd w:val="clear" w:color="auto" w:fill="034EA2" w:themeFill="accent1"/>
            <w:vAlign w:val="center"/>
            <w:hideMark/>
          </w:tcPr>
          <w:p w14:paraId="73049051" w14:textId="34F47E55" w:rsidR="0094369E" w:rsidRPr="00B74A66" w:rsidRDefault="0094369E">
            <w:pPr>
              <w:jc w:val="center"/>
              <w:rPr>
                <w:b/>
                <w:bCs/>
                <w:noProof/>
                <w:color w:val="FFFFFF" w:themeColor="background1"/>
              </w:rPr>
            </w:pPr>
            <w:r>
              <w:rPr>
                <w:b/>
                <w:noProof/>
                <w:color w:val="FFFFFF" w:themeColor="background1"/>
              </w:rPr>
              <w:t>TC3</w:t>
            </w:r>
          </w:p>
        </w:tc>
        <w:tc>
          <w:tcPr>
            <w:tcW w:w="1014" w:type="dxa"/>
            <w:shd w:val="clear" w:color="auto" w:fill="034EA2" w:themeFill="accent1"/>
            <w:vAlign w:val="center"/>
            <w:hideMark/>
          </w:tcPr>
          <w:p w14:paraId="11216AA4" w14:textId="64D1D479" w:rsidR="0094369E" w:rsidRPr="00B74A66" w:rsidRDefault="0094369E">
            <w:pPr>
              <w:jc w:val="center"/>
              <w:rPr>
                <w:b/>
                <w:bCs/>
                <w:noProof/>
                <w:color w:val="FFFFFF" w:themeColor="background1"/>
              </w:rPr>
            </w:pPr>
            <w:r>
              <w:rPr>
                <w:b/>
                <w:noProof/>
                <w:color w:val="FFFFFF" w:themeColor="background1"/>
              </w:rPr>
              <w:t>TC4</w:t>
            </w:r>
          </w:p>
        </w:tc>
        <w:tc>
          <w:tcPr>
            <w:tcW w:w="1014" w:type="dxa"/>
            <w:shd w:val="clear" w:color="auto" w:fill="034EA2" w:themeFill="accent1"/>
            <w:vAlign w:val="center"/>
            <w:hideMark/>
          </w:tcPr>
          <w:p w14:paraId="4A04C8C1" w14:textId="573508D0" w:rsidR="0094369E" w:rsidRPr="00B74A66" w:rsidRDefault="0094369E">
            <w:pPr>
              <w:jc w:val="center"/>
              <w:rPr>
                <w:b/>
                <w:bCs/>
                <w:noProof/>
                <w:color w:val="FFFFFF" w:themeColor="background1"/>
              </w:rPr>
            </w:pPr>
            <w:r>
              <w:rPr>
                <w:b/>
                <w:noProof/>
                <w:color w:val="FFFFFF" w:themeColor="background1"/>
              </w:rPr>
              <w:t>TC5</w:t>
            </w:r>
          </w:p>
        </w:tc>
        <w:tc>
          <w:tcPr>
            <w:tcW w:w="1014" w:type="dxa"/>
            <w:shd w:val="clear" w:color="auto" w:fill="034EA2" w:themeFill="accent1"/>
            <w:vAlign w:val="center"/>
          </w:tcPr>
          <w:p w14:paraId="1B6452C8" w14:textId="35FB1F9C" w:rsidR="0094369E" w:rsidRPr="00B74A66" w:rsidRDefault="0094369E" w:rsidP="00071659">
            <w:pPr>
              <w:jc w:val="center"/>
              <w:rPr>
                <w:b/>
                <w:bCs/>
                <w:noProof/>
                <w:color w:val="FFFFFF" w:themeColor="background1"/>
              </w:rPr>
            </w:pPr>
            <w:r>
              <w:rPr>
                <w:b/>
                <w:noProof/>
                <w:color w:val="FFFFFF" w:themeColor="background1"/>
              </w:rPr>
              <w:t>TC6</w:t>
            </w:r>
          </w:p>
        </w:tc>
        <w:tc>
          <w:tcPr>
            <w:tcW w:w="1014" w:type="dxa"/>
            <w:shd w:val="clear" w:color="auto" w:fill="034EA2" w:themeFill="accent1"/>
            <w:vAlign w:val="center"/>
          </w:tcPr>
          <w:p w14:paraId="7D53A173" w14:textId="5CDEFB5D" w:rsidR="0094369E" w:rsidRDefault="0094369E" w:rsidP="008229A6">
            <w:pPr>
              <w:jc w:val="center"/>
              <w:rPr>
                <w:b/>
                <w:bCs/>
                <w:noProof/>
                <w:color w:val="FFFFFF" w:themeColor="background1"/>
              </w:rPr>
            </w:pPr>
            <w:r>
              <w:rPr>
                <w:b/>
                <w:noProof/>
                <w:color w:val="FFFFFF" w:themeColor="background1"/>
              </w:rPr>
              <w:t>TC7</w:t>
            </w:r>
          </w:p>
        </w:tc>
      </w:tr>
      <w:tr w:rsidR="0094369E" w:rsidRPr="00B74A66" w14:paraId="7F2149EF" w14:textId="0C65BA8E" w:rsidTr="00515408">
        <w:trPr>
          <w:trHeight w:val="415"/>
        </w:trPr>
        <w:tc>
          <w:tcPr>
            <w:tcW w:w="2145" w:type="dxa"/>
            <w:vMerge/>
          </w:tcPr>
          <w:p w14:paraId="7F9E03DF" w14:textId="77777777" w:rsidR="0094369E" w:rsidRPr="00B74A66" w:rsidRDefault="0094369E">
            <w:pPr>
              <w:jc w:val="center"/>
              <w:rPr>
                <w:noProof/>
                <w:color w:val="3B3838" w:themeColor="background2" w:themeShade="40"/>
              </w:rPr>
            </w:pPr>
          </w:p>
        </w:tc>
        <w:tc>
          <w:tcPr>
            <w:tcW w:w="1013" w:type="dxa"/>
            <w:vAlign w:val="center"/>
            <w:hideMark/>
          </w:tcPr>
          <w:p w14:paraId="0A5E174F" w14:textId="02011C0E" w:rsidR="0094369E" w:rsidRPr="00B74A66" w:rsidRDefault="0094369E">
            <w:pPr>
              <w:jc w:val="center"/>
              <w:rPr>
                <w:noProof/>
                <w:color w:val="3B3838" w:themeColor="background2" w:themeShade="40"/>
              </w:rPr>
            </w:pPr>
            <w:r>
              <w:rPr>
                <w:noProof/>
                <w:color w:val="3B3838" w:themeColor="background2" w:themeShade="40"/>
              </w:rPr>
              <w:t>0,15 %</w:t>
            </w:r>
          </w:p>
        </w:tc>
        <w:tc>
          <w:tcPr>
            <w:tcW w:w="1014" w:type="dxa"/>
            <w:vAlign w:val="center"/>
            <w:hideMark/>
          </w:tcPr>
          <w:p w14:paraId="56B0D810" w14:textId="2215903E" w:rsidR="0094369E" w:rsidRPr="00B74A66" w:rsidRDefault="0094369E">
            <w:pPr>
              <w:jc w:val="center"/>
              <w:rPr>
                <w:noProof/>
                <w:color w:val="3B3838" w:themeColor="background2" w:themeShade="40"/>
              </w:rPr>
            </w:pPr>
            <w:r>
              <w:rPr>
                <w:noProof/>
                <w:color w:val="3B3838" w:themeColor="background2" w:themeShade="40"/>
              </w:rPr>
              <w:t>1,38 %</w:t>
            </w:r>
          </w:p>
        </w:tc>
        <w:tc>
          <w:tcPr>
            <w:tcW w:w="1014" w:type="dxa"/>
            <w:vAlign w:val="center"/>
            <w:hideMark/>
          </w:tcPr>
          <w:p w14:paraId="595DB7A6" w14:textId="56F8C545" w:rsidR="0094369E" w:rsidRPr="00B74A66" w:rsidRDefault="0094369E">
            <w:pPr>
              <w:jc w:val="center"/>
              <w:rPr>
                <w:noProof/>
                <w:color w:val="3B3838" w:themeColor="background2" w:themeShade="40"/>
              </w:rPr>
            </w:pPr>
            <w:r>
              <w:rPr>
                <w:noProof/>
                <w:color w:val="3B3838" w:themeColor="background2" w:themeShade="40"/>
              </w:rPr>
              <w:t>2,61 %</w:t>
            </w:r>
          </w:p>
        </w:tc>
        <w:tc>
          <w:tcPr>
            <w:tcW w:w="1014" w:type="dxa"/>
            <w:vAlign w:val="center"/>
            <w:hideMark/>
          </w:tcPr>
          <w:p w14:paraId="7B5B5356" w14:textId="53E11789" w:rsidR="0094369E" w:rsidRPr="00B74A66" w:rsidRDefault="0094369E">
            <w:pPr>
              <w:jc w:val="center"/>
              <w:rPr>
                <w:noProof/>
                <w:color w:val="3B3838" w:themeColor="background2" w:themeShade="40"/>
              </w:rPr>
            </w:pPr>
            <w:r>
              <w:rPr>
                <w:noProof/>
                <w:color w:val="3B3838" w:themeColor="background2" w:themeShade="40"/>
              </w:rPr>
              <w:t>3,27 %</w:t>
            </w:r>
          </w:p>
        </w:tc>
        <w:tc>
          <w:tcPr>
            <w:tcW w:w="1014" w:type="dxa"/>
            <w:vAlign w:val="center"/>
            <w:hideMark/>
          </w:tcPr>
          <w:p w14:paraId="799909FE" w14:textId="0B7940F4" w:rsidR="0094369E" w:rsidRPr="0010771D" w:rsidRDefault="0094369E">
            <w:pPr>
              <w:jc w:val="center"/>
              <w:rPr>
                <w:noProof/>
                <w:color w:val="3B3838" w:themeColor="background2" w:themeShade="40"/>
              </w:rPr>
            </w:pPr>
            <w:r>
              <w:rPr>
                <w:noProof/>
                <w:color w:val="3B3838" w:themeColor="background2" w:themeShade="40"/>
              </w:rPr>
              <w:t>3,63 %</w:t>
            </w:r>
          </w:p>
        </w:tc>
        <w:tc>
          <w:tcPr>
            <w:tcW w:w="1014" w:type="dxa"/>
            <w:vAlign w:val="center"/>
          </w:tcPr>
          <w:p w14:paraId="0F492973" w14:textId="2405E175" w:rsidR="0094369E" w:rsidRPr="0010771D" w:rsidRDefault="0094369E" w:rsidP="00071659">
            <w:pPr>
              <w:jc w:val="center"/>
              <w:rPr>
                <w:noProof/>
                <w:color w:val="3B3838" w:themeColor="background2" w:themeShade="40"/>
              </w:rPr>
            </w:pPr>
            <w:r>
              <w:rPr>
                <w:noProof/>
                <w:color w:val="3B3838" w:themeColor="background2" w:themeShade="40"/>
              </w:rPr>
              <w:t>3,19 %</w:t>
            </w:r>
          </w:p>
        </w:tc>
        <w:tc>
          <w:tcPr>
            <w:tcW w:w="1014" w:type="dxa"/>
            <w:vAlign w:val="center"/>
          </w:tcPr>
          <w:p w14:paraId="35B2A424" w14:textId="40AC4AD0" w:rsidR="0094369E" w:rsidRPr="0010771D" w:rsidRDefault="0004632F" w:rsidP="008229A6">
            <w:pPr>
              <w:jc w:val="center"/>
              <w:rPr>
                <w:noProof/>
                <w:color w:val="3B3838" w:themeColor="background2" w:themeShade="40"/>
              </w:rPr>
            </w:pPr>
            <w:r>
              <w:rPr>
                <w:noProof/>
                <w:color w:val="3B3838" w:themeColor="background2" w:themeShade="40"/>
              </w:rPr>
              <w:t>2,97 %</w:t>
            </w:r>
          </w:p>
        </w:tc>
      </w:tr>
    </w:tbl>
    <w:p w14:paraId="7FF44516" w14:textId="77777777" w:rsidR="00D62573" w:rsidRDefault="00D62573" w:rsidP="007B6993">
      <w:pPr>
        <w:rPr>
          <w:b/>
          <w:bCs/>
          <w:noProof/>
          <w:color w:val="034EA2" w:themeColor="accent1"/>
          <w:lang w:val="en-GB"/>
        </w:rPr>
      </w:pPr>
    </w:p>
    <w:tbl>
      <w:tblPr>
        <w:tblStyle w:val="TableGrid"/>
        <w:tblW w:w="2093" w:type="dxa"/>
        <w:tblBorders>
          <w:top w:val="none" w:sz="0" w:space="0" w:color="auto"/>
          <w:left w:val="none" w:sz="0" w:space="0" w:color="auto"/>
          <w:bottom w:val="none" w:sz="0" w:space="0" w:color="auto"/>
          <w:right w:val="none" w:sz="0" w:space="0" w:color="auto"/>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093"/>
      </w:tblGrid>
      <w:tr w:rsidR="00901B92" w:rsidRPr="00B74A66" w14:paraId="2BCF427E" w14:textId="77777777" w:rsidTr="00901B92">
        <w:trPr>
          <w:trHeight w:val="415"/>
        </w:trPr>
        <w:tc>
          <w:tcPr>
            <w:tcW w:w="2093" w:type="dxa"/>
            <w:shd w:val="clear" w:color="auto" w:fill="034EA2" w:themeFill="accent1"/>
            <w:vAlign w:val="center"/>
          </w:tcPr>
          <w:p w14:paraId="6BBC2473" w14:textId="3994960E" w:rsidR="00901B92" w:rsidRDefault="00901B92" w:rsidP="001E1429">
            <w:pPr>
              <w:jc w:val="center"/>
              <w:rPr>
                <w:b/>
                <w:bCs/>
                <w:noProof/>
                <w:color w:val="FFFFFF" w:themeColor="background1"/>
              </w:rPr>
            </w:pPr>
            <w:r>
              <w:rPr>
                <w:b/>
                <w:noProof/>
                <w:color w:val="FFFFFF" w:themeColor="background1"/>
              </w:rPr>
              <w:t>Ukrainos priemonė</w:t>
            </w:r>
          </w:p>
        </w:tc>
      </w:tr>
      <w:tr w:rsidR="00901B92" w:rsidRPr="00B74A66" w14:paraId="5AAF8A75" w14:textId="77777777" w:rsidTr="00901B92">
        <w:trPr>
          <w:trHeight w:val="415"/>
        </w:trPr>
        <w:tc>
          <w:tcPr>
            <w:tcW w:w="2093" w:type="dxa"/>
            <w:vAlign w:val="center"/>
          </w:tcPr>
          <w:p w14:paraId="43E8F298" w14:textId="5148135F" w:rsidR="00901B92" w:rsidRPr="0010771D" w:rsidRDefault="00016108" w:rsidP="001E1429">
            <w:pPr>
              <w:jc w:val="center"/>
              <w:rPr>
                <w:noProof/>
                <w:color w:val="3B3838" w:themeColor="background2" w:themeShade="40"/>
              </w:rPr>
            </w:pPr>
            <w:r>
              <w:rPr>
                <w:noProof/>
                <w:color w:val="3B3838" w:themeColor="background2" w:themeShade="40"/>
              </w:rPr>
              <w:t>2,68 %</w:t>
            </w:r>
          </w:p>
        </w:tc>
      </w:tr>
    </w:tbl>
    <w:p w14:paraId="353FF887" w14:textId="77777777" w:rsidR="00901B92" w:rsidRDefault="00901B92" w:rsidP="007B6993">
      <w:pPr>
        <w:rPr>
          <w:b/>
          <w:bCs/>
          <w:noProof/>
          <w:color w:val="034EA2" w:themeColor="accent1"/>
          <w:lang w:val="en-GB"/>
        </w:rPr>
      </w:pPr>
    </w:p>
    <w:tbl>
      <w:tblPr>
        <w:tblStyle w:val="TableGrid"/>
        <w:tblW w:w="2093" w:type="dxa"/>
        <w:tblBorders>
          <w:top w:val="none" w:sz="0" w:space="0" w:color="auto"/>
          <w:left w:val="none" w:sz="0" w:space="0" w:color="auto"/>
          <w:bottom w:val="none" w:sz="0" w:space="0" w:color="auto"/>
          <w:right w:val="none" w:sz="0" w:space="0" w:color="auto"/>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093"/>
      </w:tblGrid>
      <w:tr w:rsidR="00901B92" w:rsidRPr="00B74A66" w14:paraId="162C3904" w14:textId="77777777" w:rsidTr="00901B92">
        <w:trPr>
          <w:trHeight w:val="415"/>
        </w:trPr>
        <w:tc>
          <w:tcPr>
            <w:tcW w:w="2093" w:type="dxa"/>
            <w:shd w:val="clear" w:color="auto" w:fill="034EA2" w:themeFill="accent1"/>
            <w:vAlign w:val="center"/>
          </w:tcPr>
          <w:p w14:paraId="564AFF2D" w14:textId="67F6DA39" w:rsidR="00901B92" w:rsidRDefault="00901B92" w:rsidP="001E1429">
            <w:pPr>
              <w:jc w:val="center"/>
              <w:rPr>
                <w:b/>
                <w:bCs/>
                <w:noProof/>
                <w:color w:val="FFFFFF" w:themeColor="background1"/>
              </w:rPr>
            </w:pPr>
            <w:r>
              <w:rPr>
                <w:b/>
                <w:noProof/>
                <w:color w:val="FFFFFF" w:themeColor="background1"/>
              </w:rPr>
              <w:t>Egipto MFP</w:t>
            </w:r>
          </w:p>
        </w:tc>
      </w:tr>
      <w:tr w:rsidR="00901B92" w:rsidRPr="00B74A66" w14:paraId="50C72027" w14:textId="77777777" w:rsidTr="00901B92">
        <w:trPr>
          <w:trHeight w:val="415"/>
        </w:trPr>
        <w:tc>
          <w:tcPr>
            <w:tcW w:w="2093" w:type="dxa"/>
            <w:vAlign w:val="center"/>
          </w:tcPr>
          <w:p w14:paraId="4EDEB4B3" w14:textId="30121D81" w:rsidR="00901B92" w:rsidRPr="0010771D" w:rsidRDefault="00016108" w:rsidP="001E1429">
            <w:pPr>
              <w:jc w:val="center"/>
              <w:rPr>
                <w:noProof/>
                <w:color w:val="3B3838" w:themeColor="background2" w:themeShade="40"/>
              </w:rPr>
            </w:pPr>
            <w:r>
              <w:rPr>
                <w:noProof/>
                <w:color w:val="3B3838" w:themeColor="background2" w:themeShade="40"/>
              </w:rPr>
              <w:t>2,68 %</w:t>
            </w:r>
          </w:p>
        </w:tc>
      </w:tr>
    </w:tbl>
    <w:p w14:paraId="506374B3" w14:textId="77777777" w:rsidR="00266B45" w:rsidRDefault="00266B45" w:rsidP="00266B45">
      <w:pPr>
        <w:rPr>
          <w:noProof/>
        </w:rPr>
      </w:pPr>
    </w:p>
    <w:p w14:paraId="14B36A49" w14:textId="3D46E4DD" w:rsidR="00882B2E" w:rsidRPr="008229A6" w:rsidRDefault="00266B45" w:rsidP="00882B2E">
      <w:pPr>
        <w:rPr>
          <w:noProof/>
        </w:rPr>
      </w:pPr>
      <w:r>
        <w:rPr>
          <w:noProof/>
        </w:rPr>
        <w:t>Tolesnis finansavimo išlaidų mažėjimas 2024 m. antrąjį pusmetį atspindėjo platesnes rinkos sąlygas ir per šešių mėnesių laikotarpį sumažėjusį ES obligacijų pajamingumo ir Europos vyriausybių obligacijų pajamingumo skirtumą. 2024 m. antrąjį pusmetį 10 metų trukmės ES obligacijų palūkanų normos sumažėjo maždaug 33 baziniais punktais – nuo 3,23 % 2024 m. liepos 1 d. iki 2,90 % 2024 m. gruodžio 31 d. Šiuos pokyčius paskatino tai, kad 2024 m. antrąjį pusmetį Europos centrinis bankas sumažino palūkanų normą tris kartus po 25 bazinius punktus. 2024 m. antrąjį pusmetį ES ir daugumos EVO emitentų pajamingumo skirtumai sumažėjo. Pavyzdžiui, 10 metų trukmės ES obligacijų ir 50/50 Vokietijos ir Prancūzijos vyriausybės obligacijų krepšelio kredito kainų skirtumas sumažėjo nuo maždaug 25 bazinių punktų pusmečio pradžioje iki 12 bazinių punktų jo pabaigoje</w:t>
      </w:r>
      <w:bookmarkStart w:id="50" w:name="_Hlk169710857"/>
      <w:r>
        <w:rPr>
          <w:noProof/>
        </w:rPr>
        <w:t xml:space="preserve">. </w:t>
      </w:r>
    </w:p>
    <w:p w14:paraId="004D47C4" w14:textId="77777777" w:rsidR="008229A6" w:rsidRDefault="008229A6" w:rsidP="00D42605">
      <w:pPr>
        <w:rPr>
          <w:noProof/>
        </w:rPr>
      </w:pPr>
    </w:p>
    <w:p w14:paraId="4FDD3DC4" w14:textId="77777777" w:rsidR="00387E02" w:rsidRDefault="00387E02">
      <w:pPr>
        <w:spacing w:line="259" w:lineRule="auto"/>
        <w:jc w:val="left"/>
        <w:rPr>
          <w:b/>
          <w:bCs/>
          <w:noProof/>
          <w:color w:val="034EA2" w:themeColor="accent1"/>
        </w:rPr>
      </w:pPr>
      <w:r>
        <w:rPr>
          <w:noProof/>
        </w:rPr>
        <w:br w:type="page"/>
      </w:r>
    </w:p>
    <w:p w14:paraId="15E82C08" w14:textId="2B7558D2" w:rsidR="008229A6" w:rsidRDefault="008229A6" w:rsidP="008229A6">
      <w:pPr>
        <w:rPr>
          <w:b/>
          <w:bCs/>
          <w:noProof/>
          <w:color w:val="034EA2" w:themeColor="accent1"/>
        </w:rPr>
      </w:pPr>
      <w:r>
        <w:rPr>
          <w:b/>
          <w:noProof/>
          <w:color w:val="034EA2" w:themeColor="accent1"/>
        </w:rPr>
        <w:t>6 diagrama. 10 metų trukmės ES obligacijų pajamingumas</w:t>
      </w:r>
    </w:p>
    <w:p w14:paraId="5CA94D4A" w14:textId="6BD53E57" w:rsidR="008229A6" w:rsidRPr="008229A6" w:rsidRDefault="005B1BB2" w:rsidP="00D42605">
      <w:pPr>
        <w:rPr>
          <w:noProof/>
        </w:rPr>
      </w:pPr>
      <w:r>
        <w:rPr>
          <w:noProof/>
          <w:lang w:val="en-GB" w:eastAsia="en-GB"/>
        </w:rPr>
        <w:drawing>
          <wp:inline distT="0" distB="0" distL="0" distR="0" wp14:anchorId="6EC57DD3" wp14:editId="16146B06">
            <wp:extent cx="5731510" cy="3078480"/>
            <wp:effectExtent l="0" t="0" r="0" b="0"/>
            <wp:docPr id="96984286" name="Chart 1">
              <a:extLst xmlns:a="http://schemas.openxmlformats.org/drawingml/2006/main">
                <a:ext uri="{FF2B5EF4-FFF2-40B4-BE49-F238E27FC236}">
                  <a16:creationId xmlns:a16="http://schemas.microsoft.com/office/drawing/2014/main" id="{A959B213-9179-499A-9000-EC1899CB57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70178AF5" w14:textId="77777777" w:rsidR="008229A6" w:rsidRDefault="008229A6" w:rsidP="00D42605">
      <w:pPr>
        <w:rPr>
          <w:strike/>
          <w:noProof/>
        </w:rPr>
      </w:pPr>
    </w:p>
    <w:p w14:paraId="578660E7" w14:textId="24AC3BA7" w:rsidR="00D73D12" w:rsidRPr="00C853A3" w:rsidRDefault="001D0900" w:rsidP="00A87F59">
      <w:pPr>
        <w:pStyle w:val="Heading2"/>
        <w:rPr>
          <w:noProof/>
        </w:rPr>
      </w:pPr>
      <w:bookmarkStart w:id="51" w:name="_Toc169303171"/>
      <w:bookmarkStart w:id="52" w:name="_Toc170294787"/>
      <w:bookmarkStart w:id="53" w:name="_Toc187347929"/>
      <w:bookmarkStart w:id="54" w:name="_Toc187701958"/>
      <w:bookmarkStart w:id="55" w:name="_Toc187702013"/>
      <w:bookmarkStart w:id="56" w:name="_Toc190904649"/>
      <w:bookmarkStart w:id="57" w:name="_Toc193190099"/>
      <w:bookmarkStart w:id="58" w:name="_Hlk187336294"/>
      <w:bookmarkEnd w:id="50"/>
      <w:r>
        <w:rPr>
          <w:noProof/>
        </w:rPr>
        <w:t>Likvidumo valdymas</w:t>
      </w:r>
      <w:bookmarkEnd w:id="51"/>
      <w:bookmarkEnd w:id="52"/>
      <w:bookmarkEnd w:id="53"/>
      <w:bookmarkEnd w:id="54"/>
      <w:bookmarkEnd w:id="55"/>
      <w:bookmarkEnd w:id="56"/>
      <w:bookmarkEnd w:id="57"/>
    </w:p>
    <w:p w14:paraId="19DD8801" w14:textId="3E2640F6" w:rsidR="00046F24" w:rsidRPr="00E61124" w:rsidRDefault="00046F24" w:rsidP="00046F24">
      <w:pPr>
        <w:rPr>
          <w:noProof/>
        </w:rPr>
      </w:pPr>
      <w:bookmarkStart w:id="59" w:name="_Ref155257759"/>
      <w:r>
        <w:rPr>
          <w:noProof/>
        </w:rPr>
        <w:t>Komisija išlaikė reguliarią ir nuspėjamą poziciją finansų rinkose pagal 2024 m. birželio mėn. paskelbtą finansavimo planą. 2024 m. antrąjį pusmetį vidutinės likvidumo atsargos padidėjo, palyginti su 2024 m. pirmuoju pusmečiu, visų pirma dėl 2024 m. pabaigoje ir 2025 m. pradžioje susikaupusių išmokų. Dėl to antrąjį pusmetį vidutinės pinigų atsargos sudarė 50,7 mlrd. EUR, palyginti su 28,2 mlrd. EUR 2024 m. pirmąjį pusmetį. 2025 m. pradžioje pinigų atsargos sumažėjo iki 33,8 mlrd. EUR, o prieš tai 2024 m. gruodžio mėn. pradžioje jos buvo pasiekusios piką – 76,9 mlrd. EUR (paskui per kitas tris savaites buvo išmokėta beveik 43 mlrd. EUR). Likę metų pabaigos pinigų likučiai bus panaudoti 2025 m. pradžioje, kad būtų patenkinti planuojami išmokų poreikiai.</w:t>
      </w:r>
    </w:p>
    <w:p w14:paraId="661F336D" w14:textId="58005575" w:rsidR="00996115" w:rsidRPr="00102ABC" w:rsidRDefault="00475680" w:rsidP="00440BC5">
      <w:pPr>
        <w:rPr>
          <w:noProof/>
        </w:rPr>
      </w:pPr>
      <w:r>
        <w:rPr>
          <w:noProof/>
        </w:rPr>
        <w:t xml:space="preserve">Šios likvidumo atsargos nevirto su remiamomis programomis susijusiomis išlaidomis. Atvirkščiai, visą 2024 m. antrąjį pusmetį buvo vykdomas aktyvus perteklinių pinigų atsargų likvidumo valdymas siekiant optimizuoti pinigų atsargų grąžą neprisiimant jokios sandorio šalies rizikos. Tokio aktyvaus likvidumo valdymo rezultatas – 2024 m. liepos–gruodžio mėn. iš pinigų atsargų uždirbta 58,1 mln. EUR grynųjų pajamų. Sudėjus su 2024 m. pirmojo pusmečio grynosiomis pajamomis, metinės grynosios pajamos iš likvidumo atsargų metų pabaigoje sudarė 139,9 mln. EUR. Šios pajamos bus proporcingai paskirstytos ES biudžetui ir paskolų gavėjams, pirmiausia valstybėms narėms pagal EGADP paskolų programą. </w:t>
      </w:r>
    </w:p>
    <w:p w14:paraId="795EF447" w14:textId="341E071D" w:rsidR="00DF5658" w:rsidRDefault="001401DA" w:rsidP="00DF5658">
      <w:pPr>
        <w:pStyle w:val="Heading1"/>
        <w:rPr>
          <w:noProof/>
        </w:rPr>
      </w:pPr>
      <w:bookmarkStart w:id="60" w:name="_Toc193190100"/>
      <w:bookmarkStart w:id="61" w:name="_Hlk187423718"/>
      <w:bookmarkEnd w:id="58"/>
      <w:r>
        <w:rPr>
          <w:noProof/>
        </w:rPr>
        <w:t>Veiksmai, kuriais toliau plėtojama ES obligacijų ekosistema</w:t>
      </w:r>
      <w:bookmarkEnd w:id="59"/>
      <w:bookmarkEnd w:id="60"/>
    </w:p>
    <w:p w14:paraId="1AEA051A" w14:textId="2AE87235" w:rsidR="00847A54" w:rsidRDefault="00847A54" w:rsidP="00847A54">
      <w:pPr>
        <w:rPr>
          <w:noProof/>
        </w:rPr>
      </w:pPr>
      <w:r>
        <w:rPr>
          <w:noProof/>
        </w:rPr>
        <w:t>2024 m. spalio mėn. Komisija pradėjo taikyti ES obligacijų atpirkimo sandorių priemonę, pagal kurią pirminiams makleriams ES gali suteikti galimybę laikinai įsigyti konkrečių ES obligacijų. Šia priemone siekiama padėti ES pirminiams makleriams skelbti patikimas ir viešas ES obligacijų kotiruotes, kad investuotojai galėtų aiškiai žinoti, kokiomis sąlygomis jie gali prekiauti ES obligacijomis antrinėje rinkoje, – tai padidintų ES obligacijų rinkos efektyvumą ir likvidumą.</w:t>
      </w:r>
    </w:p>
    <w:p w14:paraId="1ED269A0" w14:textId="640A7C41" w:rsidR="00847A54" w:rsidRDefault="00847A54" w:rsidP="00847A54">
      <w:pPr>
        <w:rPr>
          <w:noProof/>
        </w:rPr>
      </w:pPr>
      <w:r>
        <w:rPr>
          <w:noProof/>
        </w:rPr>
        <w:t>Atpirkimo sandorių priemonės sukūrimas atitinka daugelio didelių emitentų, kurie savo pirminiams makleriams siūlo šią paslaugą, veiksmus ir yra natūralus kitas žingsnis stiprinant ES obligacijų rinkos ekosistemą. Pradėjusi taikyti šią schemą ES įvykdė paskutinį iš 2022 m. gruodžio mėn. prisiimtų įsipareigojimų dėl ES obligacijų rinkos stiprinimo priemonių.</w:t>
      </w:r>
    </w:p>
    <w:p w14:paraId="092AD4ED" w14:textId="61FC9A52" w:rsidR="00847A54" w:rsidRDefault="00847A54" w:rsidP="00847A54">
      <w:pPr>
        <w:rPr>
          <w:noProof/>
        </w:rPr>
      </w:pPr>
      <w:r>
        <w:rPr>
          <w:noProof/>
        </w:rPr>
        <w:t xml:space="preserve">Šie ES obligacijų ekosistemos pokyčiai kartu su finansavimo apimties konsolidavimu taikant vieningą finansavimo metodą (nuo 2023 m. sausio mėn.) taip pat leido rinkos dalyviams imtis nepriklausomų iniciatyvų, kurios galėtų dar labiau sustiprinti ES obligacijų rinkos veikimą. </w:t>
      </w:r>
    </w:p>
    <w:p w14:paraId="0C481F75" w14:textId="5AFC0C1F" w:rsidR="00DF5658" w:rsidRDefault="004C7FC5" w:rsidP="001B0E99">
      <w:pPr>
        <w:rPr>
          <w:noProof/>
        </w:rPr>
      </w:pPr>
      <w:r>
        <w:rPr>
          <w:noProof/>
        </w:rPr>
        <w:t xml:space="preserve">Viena iš šių nepriklausomų iniciatyvų buvo 2024 m. gruodžio mėn. pasiūlyti ES obligacijų indeksu pagrįsti ateities sandoriai. Viena iš pirmaujančių Europos biržų paskelbė, kad vėl yra suinteresuota 2025 m. rinkai pasiūlyti tradicinius (fiziškai sudaromus) ES obligacijų ateities sandorius. Šių ateities sandorių prieinamumas dar labiau sustiprins investicijas į ES obligacijas, nes rinkos dalyviai galės apdrausti atviras ES obligacijų pozicijas ir įvertinti rinkos lūkesčius dėl ES obligacijų kainų. Indeksų teikėjai toliau svarstė, kaip geriausiai klasifikuoti ES obligacijas skirtinguose indeksuose; antrasis indekso valdytojas pranešė, kad pasikonsultavęs su indekso naudotojais jis dar nėra pasirengęs įtraukti ES obligacijų į atitinkamus savo valdomus valstybių obligacijų indeksus, tačiau vėliau padėtį įvertins iš naujo. </w:t>
      </w:r>
    </w:p>
    <w:p w14:paraId="6B3B3AB6" w14:textId="5C4F77D7" w:rsidR="00456072" w:rsidRPr="00A87F59" w:rsidRDefault="00456072" w:rsidP="00A87F59">
      <w:pPr>
        <w:pStyle w:val="Heading1"/>
        <w:rPr>
          <w:noProof/>
        </w:rPr>
      </w:pPr>
      <w:bookmarkStart w:id="62" w:name="_Ref169300367"/>
      <w:bookmarkStart w:id="63" w:name="_Ref169300365"/>
      <w:bookmarkStart w:id="64" w:name="_Toc193190101"/>
      <w:r>
        <w:rPr>
          <w:noProof/>
        </w:rPr>
        <w:t>Kitos 2024 m. antrojo pusmečio tarpinės reikšmės</w:t>
      </w:r>
      <w:bookmarkEnd w:id="62"/>
      <w:bookmarkEnd w:id="63"/>
      <w:bookmarkEnd w:id="64"/>
    </w:p>
    <w:p w14:paraId="5A4859E4" w14:textId="6FACD352" w:rsidR="00456072" w:rsidRPr="00F60F12" w:rsidRDefault="00DF5658" w:rsidP="00A87F59">
      <w:pPr>
        <w:pStyle w:val="Heading2"/>
        <w:rPr>
          <w:noProof/>
        </w:rPr>
      </w:pPr>
      <w:bookmarkStart w:id="65" w:name="_Toc187347932"/>
      <w:bookmarkStart w:id="66" w:name="_Toc187702016"/>
      <w:bookmarkStart w:id="67" w:name="_Toc190904652"/>
      <w:bookmarkStart w:id="68" w:name="_Toc193190102"/>
      <w:r>
        <w:rPr>
          <w:noProof/>
        </w:rPr>
        <w:t>2024 m. NGEU žaliųjų obligacijų paskirstymo ir poveikio ataskaita</w:t>
      </w:r>
      <w:bookmarkEnd w:id="65"/>
      <w:bookmarkEnd w:id="66"/>
      <w:bookmarkEnd w:id="67"/>
      <w:bookmarkEnd w:id="68"/>
    </w:p>
    <w:p w14:paraId="5DBC0FB7" w14:textId="4259CC2F" w:rsidR="001A57FF" w:rsidRPr="00A94EFC" w:rsidRDefault="001A57FF" w:rsidP="001A57FF">
      <w:pPr>
        <w:rPr>
          <w:noProof/>
        </w:rPr>
      </w:pPr>
      <w:bookmarkStart w:id="69" w:name="_Toc187702017"/>
      <w:bookmarkStart w:id="70" w:name="_Toc169303180"/>
      <w:r>
        <w:rPr>
          <w:noProof/>
        </w:rPr>
        <w:t>Praėjus trejiems metams po pirmųjų žaliųjų obligacijų išleidimo 2021 m. spalio mėn., 2024 m. pabaigoje bendra NGEU žaliųjų obligacijų emisija sudarė daugiau kaip 68 mlrd. EUR. Šios obligacijos buvo išleistos remiantis jau praneštomis ir patvirtintomis 53 mlrd. EUR su klimatu susijusiomis išlaidomis ir 264 mlrd. EUR su klimatu susijusiomis išlaidomis, numatytomis valstybių narių planuose, kurie yra finansuojami pagal EGADP.</w:t>
      </w:r>
    </w:p>
    <w:p w14:paraId="12B3C829" w14:textId="58B35ADA" w:rsidR="001A57FF" w:rsidRDefault="001A57FF" w:rsidP="001A57FF">
      <w:pPr>
        <w:rPr>
          <w:noProof/>
        </w:rPr>
      </w:pPr>
      <w:r>
        <w:rPr>
          <w:noProof/>
        </w:rPr>
        <w:t xml:space="preserve">Atsižvelgdama į NGEU žaliųjų obligacijų sistemos ataskaitų teikimo reikalavimus Komisija lapkričio mėn. paskelbė metinės </w:t>
      </w:r>
      <w:hyperlink r:id="rId44" w:history="1">
        <w:r>
          <w:rPr>
            <w:rStyle w:val="Hyperlink"/>
            <w:noProof/>
          </w:rPr>
          <w:t>„NextGenerationEU“ žaliųjų obligacijų paskirstymo ir poveikio ataskaitos</w:t>
        </w:r>
      </w:hyperlink>
      <w:r>
        <w:rPr>
          <w:noProof/>
        </w:rPr>
        <w:t xml:space="preserve"> 2024 m. redakciją. </w:t>
      </w:r>
    </w:p>
    <w:p w14:paraId="161276DB" w14:textId="140E4416" w:rsidR="001A57FF" w:rsidRPr="009704A7" w:rsidRDefault="001A57FF" w:rsidP="001A57FF">
      <w:pPr>
        <w:rPr>
          <w:noProof/>
        </w:rPr>
      </w:pPr>
      <w:r>
        <w:rPr>
          <w:noProof/>
        </w:rPr>
        <w:t xml:space="preserve">Ataskaitoje (remiantis 2024 m. rugpjūčio 1 d. galutine data) nurodoma, kad: </w:t>
      </w:r>
    </w:p>
    <w:p w14:paraId="6D26210C" w14:textId="70E669C0" w:rsidR="00DB4A9B" w:rsidRPr="00C97E32" w:rsidRDefault="001A57FF" w:rsidP="001A57FF">
      <w:pPr>
        <w:pStyle w:val="ListParagraph"/>
        <w:numPr>
          <w:ilvl w:val="0"/>
          <w:numId w:val="37"/>
        </w:numPr>
        <w:rPr>
          <w:rFonts w:ascii="EC Square Sans Pro" w:hAnsi="EC Square Sans Pro"/>
          <w:noProof/>
        </w:rPr>
      </w:pPr>
      <w:r>
        <w:rPr>
          <w:rFonts w:ascii="EC Square Sans Pro" w:hAnsi="EC Square Sans Pro"/>
          <w:noProof/>
        </w:rPr>
        <w:t>tinkamų finansuoti NGEU žaliųjų obligacijų išlaidų fondas 2024 m. padidėjo iki 264,6 mlrd. EUR, tai yra beveik 40 % didesnė suma nei 2023 m. Svarbiausia šio padidėjimo priežastis yra didesnės su prisitaikymu prie klimato kaitos susijusios išlaidos po to, kai buvo peržiūrėti valstybių narių ekonomikos gaivinimo ir atsparumo didinimo planai į juos įtraukiant planą „REPowerEU“;</w:t>
      </w:r>
    </w:p>
    <w:p w14:paraId="6CD2A7E9" w14:textId="53228DB0" w:rsidR="00C97E32" w:rsidRPr="00C97E32" w:rsidRDefault="00555E15" w:rsidP="001A57FF">
      <w:pPr>
        <w:pStyle w:val="ListParagraph"/>
        <w:numPr>
          <w:ilvl w:val="0"/>
          <w:numId w:val="37"/>
        </w:numPr>
        <w:rPr>
          <w:rFonts w:ascii="EC Square Sans Pro" w:hAnsi="EC Square Sans Pro"/>
          <w:noProof/>
        </w:rPr>
      </w:pPr>
      <w:r>
        <w:rPr>
          <w:rFonts w:ascii="EC Square Sans Pro" w:hAnsi="EC Square Sans Pro"/>
          <w:noProof/>
        </w:rPr>
        <w:t xml:space="preserve">NGEU žaliųjų obligacijų fondas ir toliau yra glaudžiai suderintas su ES taksonomija. 63,4 % visų išlaidų, tinkamų finansuoti NGEU žaliosiomis obligacijomis, vertinamos kaip visiškai arba iš esmės suderintos su ES taksonomijos rodikliais (palyginti su 57,5 % 2023 m.); </w:t>
      </w:r>
    </w:p>
    <w:p w14:paraId="58452BB4" w14:textId="585EF85C" w:rsidR="001A57FF" w:rsidRPr="00C97E32" w:rsidRDefault="001A57FF" w:rsidP="001A57FF">
      <w:pPr>
        <w:pStyle w:val="ListParagraph"/>
        <w:numPr>
          <w:ilvl w:val="0"/>
          <w:numId w:val="37"/>
        </w:numPr>
        <w:rPr>
          <w:noProof/>
        </w:rPr>
      </w:pPr>
      <w:r>
        <w:rPr>
          <w:rFonts w:ascii="EC Square Sans Pro" w:hAnsi="EC Square Sans Pro"/>
          <w:noProof/>
        </w:rPr>
        <w:t>tikimasi, kad visiškai įgyvendinus NGEU žaliosiomis obligacijomis finansuojamas investicijas ES išmetamas šiltnamio efektą sukeliančių dujų (ŠESD) kiekis sumažės 55 mln. tonų per metus, o tai sudarys 1,5 % viso ES išmetamo ŠESD kiekio.</w:t>
      </w:r>
      <w:r>
        <w:rPr>
          <w:noProof/>
        </w:rPr>
        <w:t xml:space="preserve"> </w:t>
      </w:r>
    </w:p>
    <w:p w14:paraId="66FAD1BA" w14:textId="19469A09" w:rsidR="00D9063C" w:rsidRDefault="001A57FF" w:rsidP="0026697C">
      <w:pPr>
        <w:rPr>
          <w:noProof/>
        </w:rPr>
      </w:pPr>
      <w:r>
        <w:rPr>
          <w:noProof/>
        </w:rPr>
        <w:t>Žvelgiant į ateitį, NGEU žaliosios obligacijos vis dažniau bus leidžiamos tuo pačiu metu, kai valstybės narės praneša apie finansuoti tinkamas išlaidas ir jas tikrina. Po 2026 m. patvirtintoms išlaidoms Komisija gali išleisti NGEU žaliąsias obligacijas, kad refinansavimo etapu pakeistų įprastas obligacijas, iki kurių išpirkimo liko nedaug laiko. Taip užtikrinama, kad visos finansuoti tinkamos išlaidos būtų visapusiškai patikrintos prieš išleidžiant obligacijas.</w:t>
      </w:r>
      <w:bookmarkEnd w:id="69"/>
    </w:p>
    <w:p w14:paraId="15D20713" w14:textId="2CD23F29" w:rsidR="001401DA" w:rsidRPr="009C1A13" w:rsidRDefault="007D6C82" w:rsidP="009C1A13">
      <w:pPr>
        <w:pStyle w:val="Heading1"/>
        <w:rPr>
          <w:noProof/>
        </w:rPr>
      </w:pPr>
      <w:bookmarkStart w:id="71" w:name="_Toc193190103"/>
      <w:bookmarkStart w:id="72" w:name="_Hlk155276042"/>
      <w:bookmarkStart w:id="73" w:name="_Hlk158303590"/>
      <w:bookmarkStart w:id="74" w:name="_Hlk158382887"/>
      <w:bookmarkEnd w:id="61"/>
      <w:bookmarkEnd w:id="70"/>
      <w:r>
        <w:rPr>
          <w:noProof/>
        </w:rPr>
        <w:t>Emisijų perspektyvos 2025 m. pirmąjį pusmetį</w:t>
      </w:r>
      <w:bookmarkEnd w:id="71"/>
    </w:p>
    <w:bookmarkEnd w:id="72"/>
    <w:bookmarkEnd w:id="73"/>
    <w:bookmarkEnd w:id="74"/>
    <w:p w14:paraId="6C59CE6F" w14:textId="0802000C" w:rsidR="003874C8" w:rsidRPr="00A55ED6" w:rsidRDefault="003874C8" w:rsidP="003874C8">
      <w:pPr>
        <w:rPr>
          <w:noProof/>
        </w:rPr>
      </w:pPr>
      <w:r>
        <w:rPr>
          <w:noProof/>
        </w:rPr>
        <w:t xml:space="preserve">2024 m. gruodžio 10 d. Komisija paskelbė 2025 m. pirmąjį pusmetį ketinanti išleisti iki 90 mlrd. EUR ES obligacijų – tai didžiausias pusmetinis finansavimo tikslas nuo diversifikuotos finansavimo strategijos taikymo pradžios 2021 m. Remdamasi išmokų prognozėmis, 2025 m. išleisdama ES obligacijas ES tikisi pritraukti 160 mlrd. EUR finansavimą. Šie finansavimo poreikiai atspindi platų esamų ir naujų ES politikos programų, finansuojamų iš ES obligacijomis pritrauktų lėšų, spektrą, kuris 2024 m. antrąjį pusmetį buvo išplėstas įtraukiant naują 18,1 mlrd. EUR išskirtinę MFP paskolą Ukrainai pagal G7 susitarimą ir naują paramą šalims kandidatėms pagal Vakarų Balkanų investicijų priemonę ir kaimyninėms šalims (pvz., Egiptui ir Jordanijai). </w:t>
      </w:r>
    </w:p>
    <w:p w14:paraId="4C5176A7" w14:textId="46430963" w:rsidR="003874C8" w:rsidRDefault="003874C8" w:rsidP="003874C8">
      <w:pPr>
        <w:rPr>
          <w:noProof/>
        </w:rPr>
      </w:pPr>
      <w:r>
        <w:rPr>
          <w:noProof/>
        </w:rPr>
        <w:t>ES obligacijomis pritrauktos sumos bus papildomos trumpalaikiu finansavimu pasitelkiant ES vekselius ir kitas trumpalaikio finansavimo priemones. Padidinti ES vekselių apimtį padės trijų tipų vekselių aukcionai ir nauja 12 mėnesių ES vekselių linija – ji bus išleista 2025 m. sausio mėn. ir papildys esamas 3 ir 6 mėnesių linijas.</w:t>
      </w:r>
    </w:p>
    <w:p w14:paraId="43AF04B0" w14:textId="0BBAFACD" w:rsidR="00063474" w:rsidRPr="00D3353D" w:rsidRDefault="0088395D" w:rsidP="00E7763D">
      <w:pPr>
        <w:rPr>
          <w:noProof/>
        </w:rPr>
      </w:pPr>
      <w:r>
        <w:rPr>
          <w:noProof/>
        </w:rPr>
        <w:t>Atsižvelgiant į padidėjusį finansavimo tikslą, taip pat tikimasi, kad 2025 m. pirmąjį pusmetį daugiau obligacijų bus išleista per aukcionus, taip aukcionų dalį išlaikant stabilią. Šį padidėjimą bus lengviau pasiekti 2025 m. pirmąjį pusmetį pradėjus naudoti trijų tipų obligacijų aukcionus. Be to, Komisija siekia nustatyti nekonkurencinius aukcionų asignavimus („žaliojo bato“ pasirinkimas), kad iš karto po aukciono būtų priskirta nedidelė papildoma aukcionu išplatintų obligacijų suma. Ši papildoma galimybė naudojama ir daugelyje vyriausybės obligacijų aukcionų programų, kad jų pirminiai makleriai būtų skatinami remti aukcionus suteikiant jiems galimybę įsigyti papildomų obligacijų palankiomis sąlygomis, jei po aukciono rinkos kaina pakinta jiems palankia linkme. Komisija ketina įgyvendinti nekonkurencinius asignavimus pagal 2025 m. antrojo pusmečio finansavimo planą.</w:t>
      </w:r>
    </w:p>
    <w:p w14:paraId="7DBF6AC6" w14:textId="0ED63147" w:rsidR="003F3424" w:rsidRPr="00F7056F" w:rsidRDefault="003F3424" w:rsidP="00F13D4C">
      <w:pPr>
        <w:rPr>
          <w:noProof/>
        </w:rPr>
        <w:sectPr w:rsidR="003F3424" w:rsidRPr="00F7056F" w:rsidSect="00CA43D7">
          <w:headerReference w:type="even" r:id="rId45"/>
          <w:headerReference w:type="default" r:id="rId46"/>
          <w:footerReference w:type="even" r:id="rId47"/>
          <w:footerReference w:type="default" r:id="rId48"/>
          <w:headerReference w:type="first" r:id="rId49"/>
          <w:footerReference w:type="first" r:id="rId50"/>
          <w:pgSz w:w="11906" w:h="16838" w:code="9"/>
          <w:pgMar w:top="1440" w:right="1440" w:bottom="1440" w:left="1440" w:header="708" w:footer="708" w:gutter="0"/>
          <w:cols w:space="708"/>
          <w:docGrid w:linePitch="360"/>
        </w:sectPr>
      </w:pPr>
    </w:p>
    <w:p w14:paraId="1A69248E" w14:textId="72CEED08" w:rsidR="00D73D12" w:rsidRDefault="00325F9E" w:rsidP="00F9742E">
      <w:pPr>
        <w:rPr>
          <w:b/>
          <w:bCs/>
          <w:noProof/>
          <w:color w:val="034EA2" w:themeColor="accent1"/>
        </w:rPr>
      </w:pPr>
      <w:r>
        <w:rPr>
          <w:b/>
          <w:noProof/>
          <w:color w:val="034EA2" w:themeColor="accent1"/>
        </w:rPr>
        <w:t>Priedas. Įgyvendinimo rodikliai, susiję su priemonių, skirtų Komisijos visa apimančios skolos valdymo strategijos produktyvumo ir veiksmingumo tikslams pasiekti, naudojimu</w:t>
      </w:r>
    </w:p>
    <w:tbl>
      <w:tblPr>
        <w:tblStyle w:val="GridTable4-Accent5"/>
        <w:tblW w:w="0" w:type="auto"/>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CellMar>
          <w:top w:w="28" w:type="dxa"/>
          <w:bottom w:w="28" w:type="dxa"/>
        </w:tblCellMar>
        <w:tblLook w:val="04A0" w:firstRow="1" w:lastRow="0" w:firstColumn="1" w:lastColumn="0" w:noHBand="0" w:noVBand="1"/>
      </w:tblPr>
      <w:tblGrid>
        <w:gridCol w:w="1750"/>
        <w:gridCol w:w="3264"/>
        <w:gridCol w:w="2268"/>
        <w:gridCol w:w="2551"/>
        <w:gridCol w:w="4678"/>
      </w:tblGrid>
      <w:tr w:rsidR="00515675" w:rsidRPr="008562DF" w14:paraId="49380785" w14:textId="77777777" w:rsidTr="04A2D39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4928" w:type="dxa"/>
            <w:gridSpan w:val="2"/>
            <w:shd w:val="clear" w:color="auto" w:fill="034EA2" w:themeFill="accent1"/>
            <w:vAlign w:val="center"/>
          </w:tcPr>
          <w:p w14:paraId="43AA69EA" w14:textId="77777777" w:rsidR="00515675" w:rsidRPr="008562DF" w:rsidRDefault="00515675" w:rsidP="001E1429">
            <w:pPr>
              <w:jc w:val="center"/>
              <w:rPr>
                <w:noProof/>
                <w:sz w:val="18"/>
                <w:szCs w:val="18"/>
              </w:rPr>
            </w:pPr>
            <w:r>
              <w:rPr>
                <w:noProof/>
                <w:sz w:val="18"/>
              </w:rPr>
              <w:t>Priemonės</w:t>
            </w:r>
          </w:p>
        </w:tc>
        <w:tc>
          <w:tcPr>
            <w:tcW w:w="2268" w:type="dxa"/>
            <w:shd w:val="clear" w:color="auto" w:fill="034EA2" w:themeFill="accent1"/>
            <w:vAlign w:val="center"/>
          </w:tcPr>
          <w:p w14:paraId="7BAE177C" w14:textId="77777777" w:rsidR="00515675" w:rsidRPr="008562DF" w:rsidRDefault="00515675" w:rsidP="001E1429">
            <w:pPr>
              <w:ind w:left="113" w:hanging="113"/>
              <w:jc w:val="center"/>
              <w:cnfStyle w:val="100000000000" w:firstRow="1" w:lastRow="0" w:firstColumn="0" w:lastColumn="0" w:oddVBand="0" w:evenVBand="0" w:oddHBand="0" w:evenHBand="0" w:firstRowFirstColumn="0" w:firstRowLastColumn="0" w:lastRowFirstColumn="0" w:lastRowLastColumn="0"/>
              <w:rPr>
                <w:noProof/>
                <w:sz w:val="18"/>
                <w:szCs w:val="18"/>
              </w:rPr>
            </w:pPr>
            <w:r>
              <w:rPr>
                <w:noProof/>
                <w:sz w:val="18"/>
              </w:rPr>
              <w:t>Rodiklis</w:t>
            </w:r>
          </w:p>
        </w:tc>
        <w:tc>
          <w:tcPr>
            <w:tcW w:w="2551" w:type="dxa"/>
            <w:shd w:val="clear" w:color="auto" w:fill="034EA2" w:themeFill="accent1"/>
            <w:vAlign w:val="center"/>
          </w:tcPr>
          <w:p w14:paraId="60C7FC50" w14:textId="77777777" w:rsidR="00515675" w:rsidRPr="008562DF" w:rsidRDefault="00515675" w:rsidP="001E1429">
            <w:pPr>
              <w:jc w:val="center"/>
              <w:cnfStyle w:val="100000000000" w:firstRow="1" w:lastRow="0" w:firstColumn="0" w:lastColumn="0" w:oddVBand="0" w:evenVBand="0" w:oddHBand="0" w:evenHBand="0" w:firstRowFirstColumn="0" w:firstRowLastColumn="0" w:lastRowFirstColumn="0" w:lastRowLastColumn="0"/>
              <w:rPr>
                <w:noProof/>
                <w:sz w:val="18"/>
                <w:szCs w:val="18"/>
              </w:rPr>
            </w:pPr>
            <w:r>
              <w:rPr>
                <w:noProof/>
                <w:sz w:val="18"/>
              </w:rPr>
              <w:t>Vertė 2024 m. antrąjį pusmetį (jei nenurodyta kitaip)</w:t>
            </w:r>
          </w:p>
        </w:tc>
        <w:tc>
          <w:tcPr>
            <w:tcW w:w="4678" w:type="dxa"/>
            <w:shd w:val="clear" w:color="auto" w:fill="034EA2" w:themeFill="accent1"/>
            <w:vAlign w:val="center"/>
          </w:tcPr>
          <w:p w14:paraId="73276419" w14:textId="77777777" w:rsidR="00515675" w:rsidRPr="008562DF" w:rsidRDefault="00515675" w:rsidP="001E1429">
            <w:pPr>
              <w:jc w:val="center"/>
              <w:cnfStyle w:val="100000000000" w:firstRow="1" w:lastRow="0" w:firstColumn="0" w:lastColumn="0" w:oddVBand="0" w:evenVBand="0" w:oddHBand="0" w:evenHBand="0" w:firstRowFirstColumn="0" w:firstRowLastColumn="0" w:lastRowFirstColumn="0" w:lastRowLastColumn="0"/>
              <w:rPr>
                <w:noProof/>
                <w:sz w:val="18"/>
                <w:szCs w:val="18"/>
              </w:rPr>
            </w:pPr>
            <w:r>
              <w:rPr>
                <w:noProof/>
                <w:sz w:val="18"/>
              </w:rPr>
              <w:t>Pastaba dėl vykdymo 2024 m. antrąjį pusmetį</w:t>
            </w:r>
          </w:p>
        </w:tc>
      </w:tr>
      <w:tr w:rsidR="00515675" w:rsidRPr="008562DF" w14:paraId="4B9315AC" w14:textId="77777777" w:rsidTr="04A2D3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4" w:type="dxa"/>
            <w:vMerge w:val="restart"/>
            <w:shd w:val="clear" w:color="auto" w:fill="auto"/>
          </w:tcPr>
          <w:p w14:paraId="05855DA6" w14:textId="77777777" w:rsidR="00515675" w:rsidRPr="008562DF" w:rsidRDefault="00515675" w:rsidP="001E1429">
            <w:pPr>
              <w:jc w:val="left"/>
              <w:rPr>
                <w:noProof/>
                <w:color w:val="034EA2" w:themeColor="accent1"/>
                <w:sz w:val="18"/>
                <w:szCs w:val="18"/>
              </w:rPr>
            </w:pPr>
            <w:r>
              <w:rPr>
                <w:noProof/>
                <w:color w:val="034EA2" w:themeColor="accent1"/>
                <w:sz w:val="18"/>
              </w:rPr>
              <w:t>ES obligacijų programos įgyvendinimas</w:t>
            </w:r>
          </w:p>
          <w:p w14:paraId="68666518" w14:textId="77777777" w:rsidR="00515675" w:rsidRPr="008562DF" w:rsidRDefault="00515675" w:rsidP="001E1429">
            <w:pPr>
              <w:rPr>
                <w:noProof/>
                <w:sz w:val="18"/>
                <w:szCs w:val="18"/>
              </w:rPr>
            </w:pPr>
          </w:p>
        </w:tc>
        <w:tc>
          <w:tcPr>
            <w:tcW w:w="3264" w:type="dxa"/>
            <w:vMerge w:val="restart"/>
            <w:shd w:val="clear" w:color="auto" w:fill="auto"/>
          </w:tcPr>
          <w:p w14:paraId="3B4147F9" w14:textId="77777777" w:rsidR="00515675" w:rsidRPr="008562DF" w:rsidRDefault="00515675" w:rsidP="001E1429">
            <w:pPr>
              <w:pStyle w:val="ListParagraph"/>
              <w:numPr>
                <w:ilvl w:val="0"/>
                <w:numId w:val="27"/>
              </w:numPr>
              <w:spacing w:after="60" w:line="240" w:lineRule="auto"/>
              <w:ind w:left="170" w:hanging="170"/>
              <w:contextualSpacing w:val="0"/>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noProof/>
                <w:color w:val="034EA2" w:themeColor="accent1"/>
                <w:sz w:val="18"/>
                <w:szCs w:val="18"/>
              </w:rPr>
            </w:pPr>
            <w:r>
              <w:rPr>
                <w:rFonts w:ascii="EC Square Sans Pro" w:hAnsi="EC Square Sans Pro"/>
                <w:noProof/>
                <w:color w:val="034EA2" w:themeColor="accent1"/>
                <w:sz w:val="18"/>
              </w:rPr>
              <w:t xml:space="preserve"> Reguliarios emisijos visoje kreivėje</w:t>
            </w:r>
          </w:p>
          <w:p w14:paraId="5272F7C5" w14:textId="77777777" w:rsidR="00515675" w:rsidRPr="008562DF" w:rsidRDefault="00515675" w:rsidP="001E1429">
            <w:pPr>
              <w:jc w:val="left"/>
              <w:cnfStyle w:val="000000100000" w:firstRow="0" w:lastRow="0" w:firstColumn="0" w:lastColumn="0" w:oddVBand="0" w:evenVBand="0" w:oddHBand="1" w:evenHBand="0" w:firstRowFirstColumn="0" w:firstRowLastColumn="0" w:lastRowFirstColumn="0" w:lastRowLastColumn="0"/>
              <w:rPr>
                <w:noProof/>
                <w:sz w:val="18"/>
                <w:szCs w:val="18"/>
              </w:rPr>
            </w:pPr>
            <w:r>
              <w:rPr>
                <w:noProof/>
                <w:sz w:val="18"/>
              </w:rPr>
              <w:t>Reguliarios visų terminų (iki 30 m.) ES obligacijų (ir NGEU žaliųjų obligacijų) emisijos, kuriomis įvairių rūšių investuotojams suteikiama investavimo galimybių, taip siekiant išlaikyti didelį investuotojų susidomėjimą ir lanksčiai nustatyti pavienių sandorių emisijos apimtį ir terminus pagal rinkos sąlygas.</w:t>
            </w:r>
          </w:p>
        </w:tc>
        <w:tc>
          <w:tcPr>
            <w:tcW w:w="2268" w:type="dxa"/>
            <w:shd w:val="clear" w:color="auto" w:fill="auto"/>
          </w:tcPr>
          <w:p w14:paraId="1F981204" w14:textId="77777777" w:rsidR="00515675" w:rsidRPr="008562DF" w:rsidRDefault="00515675" w:rsidP="001E1429">
            <w:pPr>
              <w:pStyle w:val="ListParagraph"/>
              <w:numPr>
                <w:ilvl w:val="0"/>
                <w:numId w:val="20"/>
              </w:numPr>
              <w:spacing w:after="40" w:line="240" w:lineRule="auto"/>
              <w:ind w:left="226" w:hanging="113"/>
              <w:contextualSpacing w:val="0"/>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i/>
                <w:iCs/>
                <w:noProof/>
                <w:sz w:val="18"/>
                <w:szCs w:val="18"/>
              </w:rPr>
            </w:pPr>
            <w:r>
              <w:rPr>
                <w:rFonts w:ascii="EC Square Sans Pro" w:hAnsi="EC Square Sans Pro"/>
                <w:i/>
                <w:noProof/>
                <w:sz w:val="18"/>
              </w:rPr>
              <w:t>Emisijų programos suskirstymas pagal terminą</w:t>
            </w:r>
          </w:p>
        </w:tc>
        <w:tc>
          <w:tcPr>
            <w:tcW w:w="2551" w:type="dxa"/>
            <w:shd w:val="clear" w:color="auto" w:fill="auto"/>
          </w:tcPr>
          <w:p w14:paraId="27F7E7F0" w14:textId="77777777" w:rsidR="00515675" w:rsidRPr="008562DF" w:rsidRDefault="00515675" w:rsidP="001E1429">
            <w:pPr>
              <w:jc w:val="left"/>
              <w:cnfStyle w:val="000000100000" w:firstRow="0" w:lastRow="0" w:firstColumn="0" w:lastColumn="0" w:oddVBand="0" w:evenVBand="0" w:oddHBand="1" w:evenHBand="0" w:firstRowFirstColumn="0" w:firstRowLastColumn="0" w:lastRowFirstColumn="0" w:lastRowLastColumn="0"/>
              <w:rPr>
                <w:noProof/>
                <w:sz w:val="18"/>
                <w:szCs w:val="18"/>
              </w:rPr>
            </w:pPr>
            <w:r>
              <w:rPr>
                <w:noProof/>
                <w:sz w:val="18"/>
              </w:rPr>
              <w:t>1–4 metai: 15 %</w:t>
            </w:r>
          </w:p>
          <w:p w14:paraId="6C89BCC6" w14:textId="77777777" w:rsidR="00515675" w:rsidRPr="008562DF" w:rsidRDefault="00515675" w:rsidP="001E1429">
            <w:pPr>
              <w:jc w:val="left"/>
              <w:cnfStyle w:val="000000100000" w:firstRow="0" w:lastRow="0" w:firstColumn="0" w:lastColumn="0" w:oddVBand="0" w:evenVBand="0" w:oddHBand="1" w:evenHBand="0" w:firstRowFirstColumn="0" w:firstRowLastColumn="0" w:lastRowFirstColumn="0" w:lastRowLastColumn="0"/>
              <w:rPr>
                <w:noProof/>
                <w:sz w:val="18"/>
                <w:szCs w:val="18"/>
              </w:rPr>
            </w:pPr>
            <w:r>
              <w:rPr>
                <w:noProof/>
                <w:sz w:val="18"/>
              </w:rPr>
              <w:t xml:space="preserve">4–8 metai: 37 % </w:t>
            </w:r>
          </w:p>
          <w:p w14:paraId="7B1BE8EB" w14:textId="77777777" w:rsidR="00515675" w:rsidRPr="008562DF" w:rsidRDefault="00515675" w:rsidP="001E1429">
            <w:pPr>
              <w:jc w:val="left"/>
              <w:cnfStyle w:val="000000100000" w:firstRow="0" w:lastRow="0" w:firstColumn="0" w:lastColumn="0" w:oddVBand="0" w:evenVBand="0" w:oddHBand="1" w:evenHBand="0" w:firstRowFirstColumn="0" w:firstRowLastColumn="0" w:lastRowFirstColumn="0" w:lastRowLastColumn="0"/>
              <w:rPr>
                <w:noProof/>
                <w:sz w:val="18"/>
                <w:szCs w:val="18"/>
              </w:rPr>
            </w:pPr>
            <w:r>
              <w:rPr>
                <w:noProof/>
                <w:sz w:val="18"/>
              </w:rPr>
              <w:t>8–12 metai: 10 %</w:t>
            </w:r>
          </w:p>
          <w:p w14:paraId="78C37C46" w14:textId="77777777" w:rsidR="00515675" w:rsidRPr="008562DF" w:rsidRDefault="00515675" w:rsidP="001E1429">
            <w:pPr>
              <w:jc w:val="left"/>
              <w:cnfStyle w:val="000000100000" w:firstRow="0" w:lastRow="0" w:firstColumn="0" w:lastColumn="0" w:oddVBand="0" w:evenVBand="0" w:oddHBand="1" w:evenHBand="0" w:firstRowFirstColumn="0" w:firstRowLastColumn="0" w:lastRowFirstColumn="0" w:lastRowLastColumn="0"/>
              <w:rPr>
                <w:noProof/>
                <w:sz w:val="18"/>
                <w:szCs w:val="18"/>
              </w:rPr>
            </w:pPr>
            <w:r>
              <w:rPr>
                <w:noProof/>
                <w:sz w:val="18"/>
              </w:rPr>
              <w:t>12–17 metai: 12 %</w:t>
            </w:r>
          </w:p>
          <w:p w14:paraId="7E8381D6" w14:textId="77777777" w:rsidR="00515675" w:rsidRPr="008562DF" w:rsidRDefault="00515675" w:rsidP="001E1429">
            <w:pPr>
              <w:jc w:val="left"/>
              <w:cnfStyle w:val="000000100000" w:firstRow="0" w:lastRow="0" w:firstColumn="0" w:lastColumn="0" w:oddVBand="0" w:evenVBand="0" w:oddHBand="1" w:evenHBand="0" w:firstRowFirstColumn="0" w:firstRowLastColumn="0" w:lastRowFirstColumn="0" w:lastRowLastColumn="0"/>
              <w:rPr>
                <w:noProof/>
                <w:sz w:val="18"/>
                <w:szCs w:val="18"/>
              </w:rPr>
            </w:pPr>
            <w:r>
              <w:rPr>
                <w:noProof/>
                <w:sz w:val="18"/>
              </w:rPr>
              <w:t>17–23 metai: 8 %</w:t>
            </w:r>
          </w:p>
          <w:p w14:paraId="1618EB0D" w14:textId="77777777" w:rsidR="00515675" w:rsidRPr="008562DF" w:rsidRDefault="00515675" w:rsidP="001E1429">
            <w:pPr>
              <w:jc w:val="left"/>
              <w:cnfStyle w:val="000000100000" w:firstRow="0" w:lastRow="0" w:firstColumn="0" w:lastColumn="0" w:oddVBand="0" w:evenVBand="0" w:oddHBand="1" w:evenHBand="0" w:firstRowFirstColumn="0" w:firstRowLastColumn="0" w:lastRowFirstColumn="0" w:lastRowLastColumn="0"/>
              <w:rPr>
                <w:noProof/>
                <w:sz w:val="18"/>
                <w:szCs w:val="18"/>
              </w:rPr>
            </w:pPr>
            <w:r>
              <w:rPr>
                <w:noProof/>
                <w:sz w:val="18"/>
              </w:rPr>
              <w:t>23–31 metai: 17 %</w:t>
            </w:r>
          </w:p>
        </w:tc>
        <w:tc>
          <w:tcPr>
            <w:tcW w:w="4678" w:type="dxa"/>
            <w:vMerge w:val="restart"/>
            <w:shd w:val="clear" w:color="auto" w:fill="auto"/>
          </w:tcPr>
          <w:p w14:paraId="54FE1263" w14:textId="232CFE2E" w:rsidR="00515675" w:rsidRPr="00B3107D" w:rsidRDefault="00515675" w:rsidP="001E1429">
            <w:pPr>
              <w:spacing w:after="120"/>
              <w:cnfStyle w:val="000000100000" w:firstRow="0" w:lastRow="0" w:firstColumn="0" w:lastColumn="0" w:oddVBand="0" w:evenVBand="0" w:oddHBand="1" w:evenHBand="0" w:firstRowFirstColumn="0" w:firstRowLastColumn="0" w:lastRowFirstColumn="0" w:lastRowLastColumn="0"/>
              <w:rPr>
                <w:noProof/>
                <w:sz w:val="18"/>
                <w:szCs w:val="18"/>
              </w:rPr>
            </w:pPr>
            <w:r>
              <w:rPr>
                <w:noProof/>
                <w:sz w:val="18"/>
              </w:rPr>
              <w:t>2024 m. antrąjį pusmetį Komisija siekė savo tikslo reguliariai leisdama įvairių išpirkimo terminų obligacijas, kad visuose ES kreivės segmentuose būtų užtikrintas likvidumas. Finansavimo sandoriai apėmė šešių mėnesių laikotarpį, kad būtų užtikrintas reguliarus dalyvavimas rinkoje. Sandorių buvo mažiau nei 2024 m. pirmąjį pusmetį, nes 2024 m. antrojo pusmečio finansavimo tikslas buvo iki 65 mlrd. EUR, t. y. mažesnis nei 2024 m. pirmojo pusmečio 75 mlrd. EUR finansavimo tikslas.</w:t>
            </w:r>
          </w:p>
          <w:p w14:paraId="32143070" w14:textId="55389551" w:rsidR="00515675" w:rsidRPr="008562DF" w:rsidRDefault="00515675" w:rsidP="001E1429">
            <w:pPr>
              <w:spacing w:after="120"/>
              <w:cnfStyle w:val="000000100000" w:firstRow="0" w:lastRow="0" w:firstColumn="0" w:lastColumn="0" w:oddVBand="0" w:evenVBand="0" w:oddHBand="1" w:evenHBand="0" w:firstRowFirstColumn="0" w:firstRowLastColumn="0" w:lastRowFirstColumn="0" w:lastRowLastColumn="0"/>
              <w:rPr>
                <w:noProof/>
                <w:sz w:val="18"/>
                <w:szCs w:val="18"/>
              </w:rPr>
            </w:pPr>
            <w:r>
              <w:rPr>
                <w:noProof/>
                <w:sz w:val="18"/>
              </w:rPr>
              <w:t xml:space="preserve">Žaliųjų obligacijų išleista šiek tiek mažiau nei 2024 m. pirmąjį pusmetį – tai atspindi mažesnį finansavimo tikslą, sukauptas valstybių narių deklaruotas žaliąsias išlaidas ir tinkamą žaliųjų obligacijų emisijų pritaikymą pagal šias išlaidas. </w:t>
            </w:r>
          </w:p>
        </w:tc>
      </w:tr>
      <w:tr w:rsidR="00515675" w:rsidRPr="008562DF" w14:paraId="22CABA41" w14:textId="77777777" w:rsidTr="04A2D39D">
        <w:trPr>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64B35148" w14:textId="77777777" w:rsidR="00515675" w:rsidRPr="008562DF" w:rsidRDefault="00515675" w:rsidP="001E1429">
            <w:pPr>
              <w:jc w:val="left"/>
              <w:rPr>
                <w:noProof/>
                <w:color w:val="034EA2" w:themeColor="accent1"/>
                <w:sz w:val="18"/>
                <w:szCs w:val="18"/>
              </w:rPr>
            </w:pPr>
          </w:p>
        </w:tc>
        <w:tc>
          <w:tcPr>
            <w:tcW w:w="3264" w:type="dxa"/>
            <w:vMerge/>
          </w:tcPr>
          <w:p w14:paraId="4E422347" w14:textId="77777777" w:rsidR="00515675" w:rsidRPr="008562DF" w:rsidRDefault="00515675" w:rsidP="001E1429">
            <w:pPr>
              <w:pStyle w:val="ListParagraph"/>
              <w:numPr>
                <w:ilvl w:val="0"/>
                <w:numId w:val="27"/>
              </w:numPr>
              <w:spacing w:line="240" w:lineRule="auto"/>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noProof/>
                <w:color w:val="034EA2" w:themeColor="accent1"/>
                <w:sz w:val="18"/>
                <w:szCs w:val="18"/>
              </w:rPr>
            </w:pPr>
          </w:p>
        </w:tc>
        <w:tc>
          <w:tcPr>
            <w:tcW w:w="2268" w:type="dxa"/>
            <w:shd w:val="clear" w:color="auto" w:fill="auto"/>
          </w:tcPr>
          <w:p w14:paraId="5A5038C0" w14:textId="77777777" w:rsidR="00515675" w:rsidRPr="008562DF" w:rsidRDefault="00515675" w:rsidP="001E1429">
            <w:pPr>
              <w:pStyle w:val="ListParagraph"/>
              <w:numPr>
                <w:ilvl w:val="0"/>
                <w:numId w:val="20"/>
              </w:numPr>
              <w:spacing w:after="40" w:line="240" w:lineRule="auto"/>
              <w:ind w:left="226" w:hanging="113"/>
              <w:contextualSpacing w:val="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i/>
                <w:iCs/>
                <w:noProof/>
                <w:sz w:val="18"/>
                <w:szCs w:val="18"/>
              </w:rPr>
            </w:pPr>
            <w:r>
              <w:rPr>
                <w:rFonts w:ascii="EC Square Sans Pro" w:hAnsi="EC Square Sans Pro"/>
                <w:i/>
                <w:noProof/>
                <w:sz w:val="18"/>
              </w:rPr>
              <w:t>Emisijų platinimas laiku</w:t>
            </w:r>
          </w:p>
          <w:p w14:paraId="529E1569" w14:textId="77777777" w:rsidR="00515675" w:rsidRPr="008562DF" w:rsidRDefault="00515675" w:rsidP="001E1429">
            <w:pPr>
              <w:spacing w:after="40"/>
              <w:ind w:left="226" w:hanging="113"/>
              <w:jc w:val="left"/>
              <w:cnfStyle w:val="000000000000" w:firstRow="0" w:lastRow="0" w:firstColumn="0" w:lastColumn="0" w:oddVBand="0" w:evenVBand="0" w:oddHBand="0" w:evenHBand="0" w:firstRowFirstColumn="0" w:firstRowLastColumn="0" w:lastRowFirstColumn="0" w:lastRowLastColumn="0"/>
              <w:rPr>
                <w:i/>
                <w:iCs/>
                <w:noProof/>
                <w:sz w:val="18"/>
                <w:szCs w:val="18"/>
              </w:rPr>
            </w:pPr>
          </w:p>
        </w:tc>
        <w:tc>
          <w:tcPr>
            <w:tcW w:w="2551" w:type="dxa"/>
            <w:shd w:val="clear" w:color="auto" w:fill="auto"/>
          </w:tcPr>
          <w:p w14:paraId="15A83A0F" w14:textId="08A00629" w:rsidR="00515675" w:rsidRPr="008562DF" w:rsidRDefault="006D00D3" w:rsidP="001E1429">
            <w:pPr>
              <w:jc w:val="left"/>
              <w:cnfStyle w:val="000000000000" w:firstRow="0" w:lastRow="0" w:firstColumn="0" w:lastColumn="0" w:oddVBand="0" w:evenVBand="0" w:oddHBand="0" w:evenHBand="0" w:firstRowFirstColumn="0" w:firstRowLastColumn="0" w:lastRowFirstColumn="0" w:lastRowLastColumn="0"/>
              <w:rPr>
                <w:noProof/>
                <w:sz w:val="18"/>
                <w:szCs w:val="18"/>
              </w:rPr>
            </w:pPr>
            <w:r>
              <w:rPr>
                <w:noProof/>
                <w:sz w:val="18"/>
              </w:rPr>
              <w:t>Keturi sindikuotieji sandoriai ir šeši obligacijų aukcionai, atitinkamai po vieną ar dvi emisijas per mėnesį.</w:t>
            </w:r>
          </w:p>
        </w:tc>
        <w:tc>
          <w:tcPr>
            <w:tcW w:w="4678" w:type="dxa"/>
            <w:vMerge/>
          </w:tcPr>
          <w:p w14:paraId="71C80DEA" w14:textId="77777777" w:rsidR="00515675" w:rsidRPr="008562DF" w:rsidRDefault="00515675" w:rsidP="001E1429">
            <w:pPr>
              <w:cnfStyle w:val="000000000000" w:firstRow="0" w:lastRow="0" w:firstColumn="0" w:lastColumn="0" w:oddVBand="0" w:evenVBand="0" w:oddHBand="0" w:evenHBand="0" w:firstRowFirstColumn="0" w:firstRowLastColumn="0" w:lastRowFirstColumn="0" w:lastRowLastColumn="0"/>
              <w:rPr>
                <w:noProof/>
                <w:sz w:val="18"/>
                <w:szCs w:val="18"/>
              </w:rPr>
            </w:pPr>
          </w:p>
        </w:tc>
      </w:tr>
      <w:tr w:rsidR="00515675" w:rsidRPr="008562DF" w14:paraId="14834C6F" w14:textId="77777777" w:rsidTr="04A2D3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565806FC" w14:textId="77777777" w:rsidR="00515675" w:rsidRPr="008562DF" w:rsidRDefault="00515675" w:rsidP="001E1429">
            <w:pPr>
              <w:jc w:val="left"/>
              <w:rPr>
                <w:noProof/>
                <w:color w:val="034EA2" w:themeColor="accent1"/>
                <w:sz w:val="18"/>
                <w:szCs w:val="18"/>
              </w:rPr>
            </w:pPr>
          </w:p>
        </w:tc>
        <w:tc>
          <w:tcPr>
            <w:tcW w:w="3264" w:type="dxa"/>
            <w:vMerge/>
          </w:tcPr>
          <w:p w14:paraId="0A10D44E" w14:textId="77777777" w:rsidR="00515675" w:rsidRPr="008562DF" w:rsidRDefault="00515675" w:rsidP="001E1429">
            <w:pPr>
              <w:pStyle w:val="ListParagraph"/>
              <w:numPr>
                <w:ilvl w:val="0"/>
                <w:numId w:val="27"/>
              </w:numPr>
              <w:spacing w:line="240" w:lineRule="auto"/>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noProof/>
                <w:color w:val="034EA2" w:themeColor="accent1"/>
                <w:sz w:val="18"/>
                <w:szCs w:val="18"/>
              </w:rPr>
            </w:pPr>
          </w:p>
        </w:tc>
        <w:tc>
          <w:tcPr>
            <w:tcW w:w="2268" w:type="dxa"/>
            <w:shd w:val="clear" w:color="auto" w:fill="auto"/>
          </w:tcPr>
          <w:p w14:paraId="42AD773F" w14:textId="77777777" w:rsidR="00515675" w:rsidRPr="008562DF" w:rsidRDefault="00515675" w:rsidP="001E1429">
            <w:pPr>
              <w:pStyle w:val="ListParagraph"/>
              <w:numPr>
                <w:ilvl w:val="0"/>
                <w:numId w:val="20"/>
              </w:numPr>
              <w:spacing w:after="40" w:line="240" w:lineRule="auto"/>
              <w:ind w:left="226" w:hanging="113"/>
              <w:contextualSpacing w:val="0"/>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i/>
                <w:iCs/>
                <w:noProof/>
                <w:sz w:val="18"/>
                <w:szCs w:val="18"/>
              </w:rPr>
            </w:pPr>
            <w:r>
              <w:rPr>
                <w:rFonts w:ascii="EC Square Sans Pro" w:hAnsi="EC Square Sans Pro"/>
                <w:i/>
                <w:noProof/>
                <w:sz w:val="18"/>
              </w:rPr>
              <w:t>Žaliosios emisijos</w:t>
            </w:r>
            <w:r w:rsidRPr="04A2D39D">
              <w:rPr>
                <w:rStyle w:val="FootnoteReference"/>
                <w:rFonts w:ascii="EC Square Sans Pro" w:hAnsi="EC Square Sans Pro" w:cs="Times New Roman"/>
                <w:i/>
                <w:iCs/>
                <w:noProof/>
                <w:sz w:val="18"/>
                <w:szCs w:val="18"/>
              </w:rPr>
              <w:footnoteReference w:id="13"/>
            </w:r>
          </w:p>
        </w:tc>
        <w:tc>
          <w:tcPr>
            <w:tcW w:w="2551" w:type="dxa"/>
            <w:shd w:val="clear" w:color="auto" w:fill="auto"/>
          </w:tcPr>
          <w:p w14:paraId="13C48D99" w14:textId="2FBE06BF" w:rsidR="00515675" w:rsidRPr="008562DF" w:rsidRDefault="00515675" w:rsidP="001E1429">
            <w:pPr>
              <w:jc w:val="left"/>
              <w:cnfStyle w:val="000000100000" w:firstRow="0" w:lastRow="0" w:firstColumn="0" w:lastColumn="0" w:oddVBand="0" w:evenVBand="0" w:oddHBand="1" w:evenHBand="0" w:firstRowFirstColumn="0" w:firstRowLastColumn="0" w:lastRowFirstColumn="0" w:lastRowLastColumn="0"/>
              <w:rPr>
                <w:noProof/>
                <w:sz w:val="18"/>
                <w:szCs w:val="18"/>
              </w:rPr>
            </w:pPr>
            <w:r>
              <w:rPr>
                <w:noProof/>
                <w:sz w:val="18"/>
              </w:rPr>
              <w:t>8 mlrd. EUR panaudojant 2043 ir 2050 m. sueisiančio termino ES obligacijų emisijas.</w:t>
            </w:r>
          </w:p>
        </w:tc>
        <w:tc>
          <w:tcPr>
            <w:tcW w:w="4678" w:type="dxa"/>
            <w:vMerge/>
          </w:tcPr>
          <w:p w14:paraId="7678D4A9" w14:textId="77777777" w:rsidR="00515675" w:rsidRPr="008562DF" w:rsidRDefault="00515675" w:rsidP="001E1429">
            <w:pPr>
              <w:cnfStyle w:val="000000100000" w:firstRow="0" w:lastRow="0" w:firstColumn="0" w:lastColumn="0" w:oddVBand="0" w:evenVBand="0" w:oddHBand="1" w:evenHBand="0" w:firstRowFirstColumn="0" w:firstRowLastColumn="0" w:lastRowFirstColumn="0" w:lastRowLastColumn="0"/>
              <w:rPr>
                <w:noProof/>
                <w:sz w:val="18"/>
                <w:szCs w:val="18"/>
              </w:rPr>
            </w:pPr>
          </w:p>
        </w:tc>
      </w:tr>
      <w:tr w:rsidR="00515675" w:rsidRPr="008562DF" w14:paraId="244B4E99" w14:textId="77777777" w:rsidTr="04A2D39D">
        <w:trPr>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0C180DAD" w14:textId="77777777" w:rsidR="00515675" w:rsidRPr="008562DF" w:rsidRDefault="00515675" w:rsidP="001E1429">
            <w:pPr>
              <w:rPr>
                <w:noProof/>
                <w:sz w:val="18"/>
                <w:szCs w:val="18"/>
              </w:rPr>
            </w:pPr>
          </w:p>
        </w:tc>
        <w:tc>
          <w:tcPr>
            <w:tcW w:w="3264" w:type="dxa"/>
            <w:shd w:val="clear" w:color="auto" w:fill="auto"/>
          </w:tcPr>
          <w:p w14:paraId="11D1670A" w14:textId="77777777" w:rsidR="00515675" w:rsidRPr="008562DF" w:rsidRDefault="00515675" w:rsidP="001E1429">
            <w:pPr>
              <w:pStyle w:val="ListParagraph"/>
              <w:numPr>
                <w:ilvl w:val="0"/>
                <w:numId w:val="27"/>
              </w:numPr>
              <w:spacing w:after="60" w:line="240" w:lineRule="auto"/>
              <w:ind w:left="170" w:hanging="17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noProof/>
                <w:color w:val="034EA2" w:themeColor="accent1"/>
                <w:sz w:val="18"/>
                <w:szCs w:val="18"/>
              </w:rPr>
            </w:pPr>
            <w:r>
              <w:rPr>
                <w:rFonts w:ascii="EC Square Sans Pro" w:hAnsi="EC Square Sans Pro"/>
                <w:noProof/>
                <w:color w:val="034EA2" w:themeColor="accent1"/>
                <w:sz w:val="18"/>
              </w:rPr>
              <w:t xml:space="preserve"> Tinkamos aukcionų ir sindikuotųjų sandorių pusiausvyros užtikrinimas</w:t>
            </w:r>
          </w:p>
          <w:p w14:paraId="296A9F29" w14:textId="77777777" w:rsidR="00515675" w:rsidRPr="008562DF" w:rsidRDefault="00515675" w:rsidP="001E1429">
            <w:pPr>
              <w:jc w:val="left"/>
              <w:cnfStyle w:val="000000000000" w:firstRow="0" w:lastRow="0" w:firstColumn="0" w:lastColumn="0" w:oddVBand="0" w:evenVBand="0" w:oddHBand="0" w:evenHBand="0" w:firstRowFirstColumn="0" w:firstRowLastColumn="0" w:lastRowFirstColumn="0" w:lastRowLastColumn="0"/>
              <w:rPr>
                <w:noProof/>
                <w:sz w:val="18"/>
                <w:szCs w:val="18"/>
              </w:rPr>
            </w:pPr>
            <w:r>
              <w:rPr>
                <w:noProof/>
                <w:sz w:val="18"/>
              </w:rPr>
              <w:t>Įvairių finansavimo metodų taikymas užtikrinant tinkamą pusiausvyrą, atsižvelgiant į bendrą emisijos apimtį ir rinkos sąlygas, siekiant valdyti vykdymo riziką, padidinti antrinės rinkos likvidumą ir pagerinti skolinimosi išlaidas.</w:t>
            </w:r>
          </w:p>
        </w:tc>
        <w:tc>
          <w:tcPr>
            <w:tcW w:w="2268" w:type="dxa"/>
            <w:shd w:val="clear" w:color="auto" w:fill="auto"/>
          </w:tcPr>
          <w:p w14:paraId="7A68A808" w14:textId="77777777" w:rsidR="00515675" w:rsidRPr="008562DF" w:rsidRDefault="00515675" w:rsidP="001E1429">
            <w:pPr>
              <w:pStyle w:val="ListParagraph"/>
              <w:numPr>
                <w:ilvl w:val="0"/>
                <w:numId w:val="23"/>
              </w:numPr>
              <w:spacing w:after="40" w:line="240" w:lineRule="auto"/>
              <w:ind w:left="226" w:hanging="113"/>
              <w:contextualSpacing w:val="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i/>
                <w:iCs/>
                <w:noProof/>
                <w:sz w:val="18"/>
                <w:szCs w:val="18"/>
              </w:rPr>
            </w:pPr>
            <w:r>
              <w:rPr>
                <w:rFonts w:ascii="EC Square Sans Pro" w:hAnsi="EC Square Sans Pro"/>
                <w:i/>
                <w:noProof/>
                <w:sz w:val="18"/>
              </w:rPr>
              <w:t xml:space="preserve">Padalijimas tarp aukcionų ir sindikuotųjų sandorių (%) </w:t>
            </w:r>
          </w:p>
        </w:tc>
        <w:tc>
          <w:tcPr>
            <w:tcW w:w="2551" w:type="dxa"/>
            <w:shd w:val="clear" w:color="auto" w:fill="auto"/>
          </w:tcPr>
          <w:p w14:paraId="1C032754" w14:textId="77777777" w:rsidR="00515675" w:rsidRPr="008562DF" w:rsidRDefault="00515675" w:rsidP="001E1429">
            <w:pPr>
              <w:jc w:val="left"/>
              <w:cnfStyle w:val="000000000000" w:firstRow="0" w:lastRow="0" w:firstColumn="0" w:lastColumn="0" w:oddVBand="0" w:evenVBand="0" w:oddHBand="0" w:evenHBand="0" w:firstRowFirstColumn="0" w:firstRowLastColumn="0" w:lastRowFirstColumn="0" w:lastRowLastColumn="0"/>
              <w:rPr>
                <w:noProof/>
                <w:sz w:val="18"/>
                <w:szCs w:val="18"/>
              </w:rPr>
            </w:pPr>
            <w:r>
              <w:rPr>
                <w:noProof/>
                <w:sz w:val="18"/>
              </w:rPr>
              <w:t xml:space="preserve">42 % obligacijų emisijų vykdoma aukciono būdu. </w:t>
            </w:r>
          </w:p>
        </w:tc>
        <w:tc>
          <w:tcPr>
            <w:tcW w:w="4678" w:type="dxa"/>
            <w:shd w:val="clear" w:color="auto" w:fill="auto"/>
          </w:tcPr>
          <w:p w14:paraId="40089510" w14:textId="377A460E" w:rsidR="00515675" w:rsidRPr="008562DF" w:rsidRDefault="00515675" w:rsidP="001E1429">
            <w:pPr>
              <w:cnfStyle w:val="000000000000" w:firstRow="0" w:lastRow="0" w:firstColumn="0" w:lastColumn="0" w:oddVBand="0" w:evenVBand="0" w:oddHBand="0" w:evenHBand="0" w:firstRowFirstColumn="0" w:firstRowLastColumn="0" w:lastRowFirstColumn="0" w:lastRowLastColumn="0"/>
              <w:rPr>
                <w:noProof/>
                <w:sz w:val="18"/>
                <w:szCs w:val="18"/>
              </w:rPr>
            </w:pPr>
            <w:r>
              <w:rPr>
                <w:noProof/>
                <w:sz w:val="18"/>
              </w:rPr>
              <w:t>2024 m. antrąjį pusmetį Komisija 42 % ES obligacijų išleido skelbdama aukcionus, o tai sudaro tokią pat dalį, kaip ir 2024 m. pirmąjį pusmetį.</w:t>
            </w:r>
          </w:p>
        </w:tc>
      </w:tr>
      <w:tr w:rsidR="00515675" w:rsidRPr="008562DF" w14:paraId="0955BDD5" w14:textId="77777777" w:rsidTr="04A2D3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7812F781" w14:textId="77777777" w:rsidR="00515675" w:rsidRPr="008562DF" w:rsidRDefault="00515675" w:rsidP="001E1429">
            <w:pPr>
              <w:rPr>
                <w:noProof/>
                <w:sz w:val="18"/>
                <w:szCs w:val="18"/>
              </w:rPr>
            </w:pPr>
          </w:p>
        </w:tc>
        <w:tc>
          <w:tcPr>
            <w:tcW w:w="3264" w:type="dxa"/>
            <w:vMerge w:val="restart"/>
            <w:shd w:val="clear" w:color="auto" w:fill="auto"/>
          </w:tcPr>
          <w:p w14:paraId="0AAE0B59" w14:textId="77777777" w:rsidR="00515675" w:rsidRPr="008562DF" w:rsidRDefault="00515675" w:rsidP="001E1429">
            <w:pPr>
              <w:pStyle w:val="ListParagraph"/>
              <w:numPr>
                <w:ilvl w:val="0"/>
                <w:numId w:val="27"/>
              </w:numPr>
              <w:spacing w:after="60" w:line="240" w:lineRule="auto"/>
              <w:ind w:left="170" w:hanging="170"/>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noProof/>
                <w:color w:val="034EA2" w:themeColor="accent1"/>
                <w:sz w:val="18"/>
                <w:szCs w:val="18"/>
              </w:rPr>
            </w:pPr>
            <w:r>
              <w:rPr>
                <w:rFonts w:ascii="EC Square Sans Pro" w:hAnsi="EC Square Sans Pro"/>
                <w:noProof/>
                <w:color w:val="034EA2" w:themeColor="accent1"/>
                <w:sz w:val="18"/>
              </w:rPr>
              <w:t xml:space="preserve"> Didelių ir likvidžių lyginamųjų obligacijų nustatymas</w:t>
            </w:r>
          </w:p>
          <w:p w14:paraId="51F615FF" w14:textId="77777777" w:rsidR="00515675" w:rsidRPr="008562DF" w:rsidRDefault="00515675" w:rsidP="001E1429">
            <w:pPr>
              <w:jc w:val="left"/>
              <w:cnfStyle w:val="000000100000" w:firstRow="0" w:lastRow="0" w:firstColumn="0" w:lastColumn="0" w:oddVBand="0" w:evenVBand="0" w:oddHBand="1" w:evenHBand="0" w:firstRowFirstColumn="0" w:firstRowLastColumn="0" w:lastRowFirstColumn="0" w:lastRowLastColumn="0"/>
              <w:rPr>
                <w:noProof/>
                <w:sz w:val="18"/>
                <w:szCs w:val="18"/>
              </w:rPr>
            </w:pPr>
            <w:r>
              <w:rPr>
                <w:noProof/>
                <w:sz w:val="18"/>
              </w:rPr>
              <w:t>Naudojimasis tęstinėmis ES obligacijų emisijomis, kad skirtingų linijų neapmokėta suma pasiektų tokį lygį, kuris atitiktų dideles ir likvidžias lyginamąsias linijas.</w:t>
            </w:r>
          </w:p>
        </w:tc>
        <w:tc>
          <w:tcPr>
            <w:tcW w:w="2268" w:type="dxa"/>
            <w:shd w:val="clear" w:color="auto" w:fill="auto"/>
          </w:tcPr>
          <w:p w14:paraId="68B6A81C" w14:textId="77777777" w:rsidR="00515675" w:rsidRPr="008562DF" w:rsidRDefault="00515675" w:rsidP="001E1429">
            <w:pPr>
              <w:pStyle w:val="ListParagraph"/>
              <w:numPr>
                <w:ilvl w:val="0"/>
                <w:numId w:val="22"/>
              </w:numPr>
              <w:spacing w:after="40" w:line="240" w:lineRule="auto"/>
              <w:ind w:left="226" w:hanging="113"/>
              <w:contextualSpacing w:val="0"/>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i/>
                <w:iCs/>
                <w:noProof/>
                <w:sz w:val="18"/>
                <w:szCs w:val="18"/>
              </w:rPr>
            </w:pPr>
            <w:r>
              <w:rPr>
                <w:rFonts w:ascii="EC Square Sans Pro" w:hAnsi="EC Square Sans Pro"/>
                <w:i/>
                <w:noProof/>
                <w:sz w:val="18"/>
              </w:rPr>
              <w:t>Emisijos išleidžiant naujas obligacijas, palyginti su tęstinės emisijos būdu išleidžiamu kiekiu</w:t>
            </w:r>
          </w:p>
        </w:tc>
        <w:tc>
          <w:tcPr>
            <w:tcW w:w="2551" w:type="dxa"/>
            <w:shd w:val="clear" w:color="auto" w:fill="auto"/>
          </w:tcPr>
          <w:p w14:paraId="425C1728" w14:textId="77777777" w:rsidR="00515675" w:rsidRDefault="00515675" w:rsidP="001E1429">
            <w:pPr>
              <w:pStyle w:val="ListParagraph"/>
              <w:numPr>
                <w:ilvl w:val="0"/>
                <w:numId w:val="15"/>
              </w:numPr>
              <w:spacing w:line="240" w:lineRule="auto"/>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noProof/>
                <w:sz w:val="18"/>
                <w:szCs w:val="18"/>
              </w:rPr>
            </w:pPr>
            <w:r>
              <w:rPr>
                <w:rFonts w:ascii="EC Square Sans Pro" w:hAnsi="EC Square Sans Pro"/>
                <w:noProof/>
                <w:sz w:val="18"/>
              </w:rPr>
              <w:t xml:space="preserve">10 mlrd. EUR vertės naujos obligacijos </w:t>
            </w:r>
          </w:p>
          <w:p w14:paraId="61F14354" w14:textId="77777777" w:rsidR="00515675" w:rsidRPr="000500DD" w:rsidRDefault="00515675" w:rsidP="001E1429">
            <w:pPr>
              <w:pStyle w:val="ListParagraph"/>
              <w:numPr>
                <w:ilvl w:val="0"/>
                <w:numId w:val="15"/>
              </w:numPr>
              <w:spacing w:line="240" w:lineRule="auto"/>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noProof/>
                <w:sz w:val="18"/>
                <w:szCs w:val="18"/>
              </w:rPr>
            </w:pPr>
            <w:r>
              <w:rPr>
                <w:rFonts w:ascii="EC Square Sans Pro" w:hAnsi="EC Square Sans Pro"/>
                <w:noProof/>
                <w:sz w:val="18"/>
              </w:rPr>
              <w:t>54,2 mlrd. EUR vertės tęstinės emisijos obligacijos</w:t>
            </w:r>
          </w:p>
        </w:tc>
        <w:tc>
          <w:tcPr>
            <w:tcW w:w="4678" w:type="dxa"/>
            <w:vMerge w:val="restart"/>
            <w:shd w:val="clear" w:color="auto" w:fill="auto"/>
          </w:tcPr>
          <w:p w14:paraId="7FB0D9A2" w14:textId="77777777" w:rsidR="00515675" w:rsidRPr="00F32988" w:rsidRDefault="00515675" w:rsidP="001E1429">
            <w:pPr>
              <w:cnfStyle w:val="000000100000" w:firstRow="0" w:lastRow="0" w:firstColumn="0" w:lastColumn="0" w:oddVBand="0" w:evenVBand="0" w:oddHBand="1" w:evenHBand="0" w:firstRowFirstColumn="0" w:firstRowLastColumn="0" w:lastRowFirstColumn="0" w:lastRowLastColumn="0"/>
              <w:rPr>
                <w:noProof/>
                <w:spacing w:val="-4"/>
                <w:sz w:val="18"/>
                <w:szCs w:val="18"/>
              </w:rPr>
            </w:pPr>
            <w:r>
              <w:rPr>
                <w:noProof/>
                <w:sz w:val="18"/>
              </w:rPr>
              <w:t>Siekdama palaikyti ES vertybinių popierių likvidumą Komisija pasinaudojo savo sandoriais, kad panaudotų esamas finansavimo linijas – maždaug 84 % finansavimo sumos sutelkta iš tęstinių emisijų.</w:t>
            </w:r>
          </w:p>
          <w:p w14:paraId="3E9A202D" w14:textId="77777777" w:rsidR="00515675" w:rsidRPr="00F32988" w:rsidRDefault="00515675" w:rsidP="001E1429">
            <w:pPr>
              <w:cnfStyle w:val="000000100000" w:firstRow="0" w:lastRow="0" w:firstColumn="0" w:lastColumn="0" w:oddVBand="0" w:evenVBand="0" w:oddHBand="1" w:evenHBand="0" w:firstRowFirstColumn="0" w:firstRowLastColumn="0" w:lastRowFirstColumn="0" w:lastRowLastColumn="0"/>
              <w:rPr>
                <w:noProof/>
                <w:sz w:val="18"/>
                <w:szCs w:val="18"/>
              </w:rPr>
            </w:pPr>
          </w:p>
          <w:p w14:paraId="39D12FCC" w14:textId="29ABCD2C" w:rsidR="00515675" w:rsidRPr="00F32988" w:rsidRDefault="00515675" w:rsidP="001E1429">
            <w:pPr>
              <w:cnfStyle w:val="000000100000" w:firstRow="0" w:lastRow="0" w:firstColumn="0" w:lastColumn="0" w:oddVBand="0" w:evenVBand="0" w:oddHBand="1" w:evenHBand="0" w:firstRowFirstColumn="0" w:firstRowLastColumn="0" w:lastRowFirstColumn="0" w:lastRowLastColumn="0"/>
              <w:rPr>
                <w:noProof/>
                <w:sz w:val="18"/>
                <w:szCs w:val="18"/>
              </w:rPr>
            </w:pPr>
            <w:r>
              <w:rPr>
                <w:noProof/>
                <w:sz w:val="18"/>
              </w:rPr>
              <w:t xml:space="preserve">Buvo sukurtos naujos finansavimo linijos, kad rinkai būtų teikiamos naujos lyginamosios linijos prireikus pagal kreivę ir remiantis ES pirminių maklerių rekomendacijomis. 2024 m. antrąjį pusmetį išleistos naujos penkerių ir septynerių metų obligacijos. </w:t>
            </w:r>
          </w:p>
          <w:p w14:paraId="29236998" w14:textId="77777777" w:rsidR="00515675" w:rsidRPr="00F32988" w:rsidRDefault="00515675" w:rsidP="001E1429">
            <w:pPr>
              <w:cnfStyle w:val="000000100000" w:firstRow="0" w:lastRow="0" w:firstColumn="0" w:lastColumn="0" w:oddVBand="0" w:evenVBand="0" w:oddHBand="1" w:evenHBand="0" w:firstRowFirstColumn="0" w:firstRowLastColumn="0" w:lastRowFirstColumn="0" w:lastRowLastColumn="0"/>
              <w:rPr>
                <w:noProof/>
                <w:sz w:val="18"/>
                <w:szCs w:val="18"/>
              </w:rPr>
            </w:pPr>
          </w:p>
          <w:p w14:paraId="4E96C6CE" w14:textId="6AAE23C7" w:rsidR="00515675" w:rsidRPr="00F32988" w:rsidRDefault="00515675" w:rsidP="001E1429">
            <w:pPr>
              <w:cnfStyle w:val="000000100000" w:firstRow="0" w:lastRow="0" w:firstColumn="0" w:lastColumn="0" w:oddVBand="0" w:evenVBand="0" w:oddHBand="1" w:evenHBand="0" w:firstRowFirstColumn="0" w:firstRowLastColumn="0" w:lastRowFirstColumn="0" w:lastRowLastColumn="0"/>
              <w:rPr>
                <w:noProof/>
                <w:sz w:val="18"/>
                <w:szCs w:val="18"/>
              </w:rPr>
            </w:pPr>
            <w:r>
              <w:rPr>
                <w:noProof/>
                <w:sz w:val="18"/>
              </w:rPr>
              <w:t>Todėl vidutinė vienos obligacijos neapmokėta suma iki 2024 m. gruodžio mėn. pabaigos šiek tiek padidėjo iki maždaug 15 mlrd. EUR ir užtikrino nuolatinį obligacijų likvidumą.</w:t>
            </w:r>
          </w:p>
        </w:tc>
      </w:tr>
      <w:tr w:rsidR="00515675" w:rsidRPr="008562DF" w14:paraId="3089CEDE" w14:textId="77777777" w:rsidTr="04A2D39D">
        <w:trPr>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3960448F" w14:textId="77777777" w:rsidR="00515675" w:rsidRPr="008562DF" w:rsidRDefault="00515675" w:rsidP="001E1429">
            <w:pPr>
              <w:rPr>
                <w:noProof/>
                <w:sz w:val="18"/>
                <w:szCs w:val="18"/>
              </w:rPr>
            </w:pPr>
          </w:p>
        </w:tc>
        <w:tc>
          <w:tcPr>
            <w:tcW w:w="3264" w:type="dxa"/>
            <w:vMerge/>
          </w:tcPr>
          <w:p w14:paraId="3D32F3EC" w14:textId="77777777" w:rsidR="00515675" w:rsidRPr="008562DF" w:rsidRDefault="00515675" w:rsidP="001E1429">
            <w:pPr>
              <w:pStyle w:val="ListParagraph"/>
              <w:numPr>
                <w:ilvl w:val="0"/>
                <w:numId w:val="27"/>
              </w:numPr>
              <w:spacing w:line="240" w:lineRule="auto"/>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noProof/>
                <w:color w:val="034EA2" w:themeColor="accent1"/>
                <w:sz w:val="18"/>
                <w:szCs w:val="18"/>
              </w:rPr>
            </w:pPr>
          </w:p>
        </w:tc>
        <w:tc>
          <w:tcPr>
            <w:tcW w:w="2268" w:type="dxa"/>
            <w:shd w:val="clear" w:color="auto" w:fill="auto"/>
          </w:tcPr>
          <w:p w14:paraId="66C473A2" w14:textId="77777777" w:rsidR="00515675" w:rsidRPr="008562DF" w:rsidRDefault="00515675" w:rsidP="001E1429">
            <w:pPr>
              <w:pStyle w:val="ListParagraph"/>
              <w:numPr>
                <w:ilvl w:val="0"/>
                <w:numId w:val="22"/>
              </w:numPr>
              <w:spacing w:after="40" w:line="240" w:lineRule="auto"/>
              <w:ind w:left="226" w:hanging="113"/>
              <w:contextualSpacing w:val="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i/>
                <w:iCs/>
                <w:noProof/>
                <w:sz w:val="18"/>
                <w:szCs w:val="18"/>
              </w:rPr>
            </w:pPr>
            <w:r>
              <w:rPr>
                <w:rFonts w:ascii="EC Square Sans Pro" w:hAnsi="EC Square Sans Pro"/>
                <w:i/>
                <w:noProof/>
                <w:sz w:val="18"/>
              </w:rPr>
              <w:t>Naujų obligacijų panaudojimo sparta</w:t>
            </w:r>
            <w:r w:rsidRPr="04A2D39D">
              <w:rPr>
                <w:rStyle w:val="FootnoteReference"/>
                <w:rFonts w:ascii="EC Square Sans Pro" w:hAnsi="EC Square Sans Pro" w:cs="Times New Roman"/>
                <w:i/>
                <w:iCs/>
                <w:noProof/>
                <w:sz w:val="18"/>
                <w:szCs w:val="18"/>
              </w:rPr>
              <w:footnoteReference w:id="14"/>
            </w:r>
          </w:p>
        </w:tc>
        <w:tc>
          <w:tcPr>
            <w:tcW w:w="2551" w:type="dxa"/>
            <w:shd w:val="clear" w:color="auto" w:fill="auto"/>
          </w:tcPr>
          <w:p w14:paraId="1994F1F5" w14:textId="77777777" w:rsidR="00515675" w:rsidRPr="008562DF" w:rsidRDefault="00515675" w:rsidP="001E1429">
            <w:pPr>
              <w:cnfStyle w:val="000000000000" w:firstRow="0" w:lastRow="0" w:firstColumn="0" w:lastColumn="0" w:oddVBand="0" w:evenVBand="0" w:oddHBand="0" w:evenHBand="0" w:firstRowFirstColumn="0" w:firstRowLastColumn="0" w:lastRowFirstColumn="0" w:lastRowLastColumn="0"/>
              <w:rPr>
                <w:noProof/>
                <w:sz w:val="18"/>
                <w:szCs w:val="18"/>
              </w:rPr>
            </w:pPr>
            <w:r>
              <w:rPr>
                <w:noProof/>
                <w:sz w:val="18"/>
              </w:rPr>
              <w:t>2 mėn.</w:t>
            </w:r>
          </w:p>
        </w:tc>
        <w:tc>
          <w:tcPr>
            <w:tcW w:w="4678" w:type="dxa"/>
            <w:vMerge/>
          </w:tcPr>
          <w:p w14:paraId="02131142" w14:textId="77777777" w:rsidR="00515675" w:rsidRPr="008562DF" w:rsidRDefault="00515675" w:rsidP="001E1429">
            <w:pPr>
              <w:cnfStyle w:val="000000000000" w:firstRow="0" w:lastRow="0" w:firstColumn="0" w:lastColumn="0" w:oddVBand="0" w:evenVBand="0" w:oddHBand="0" w:evenHBand="0" w:firstRowFirstColumn="0" w:firstRowLastColumn="0" w:lastRowFirstColumn="0" w:lastRowLastColumn="0"/>
              <w:rPr>
                <w:noProof/>
                <w:sz w:val="18"/>
                <w:szCs w:val="18"/>
              </w:rPr>
            </w:pPr>
          </w:p>
        </w:tc>
      </w:tr>
      <w:tr w:rsidR="00515675" w:rsidRPr="008562DF" w14:paraId="20501354" w14:textId="77777777" w:rsidTr="04A2D3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31D1F5D7" w14:textId="77777777" w:rsidR="00515675" w:rsidRPr="008562DF" w:rsidRDefault="00515675" w:rsidP="001E1429">
            <w:pPr>
              <w:rPr>
                <w:noProof/>
                <w:sz w:val="18"/>
                <w:szCs w:val="18"/>
              </w:rPr>
            </w:pPr>
          </w:p>
        </w:tc>
        <w:tc>
          <w:tcPr>
            <w:tcW w:w="3264" w:type="dxa"/>
            <w:vMerge/>
          </w:tcPr>
          <w:p w14:paraId="5ED105C1" w14:textId="77777777" w:rsidR="00515675" w:rsidRPr="008562DF" w:rsidRDefault="00515675" w:rsidP="001E1429">
            <w:pPr>
              <w:pStyle w:val="ListParagraph"/>
              <w:numPr>
                <w:ilvl w:val="0"/>
                <w:numId w:val="27"/>
              </w:numPr>
              <w:spacing w:line="240" w:lineRule="auto"/>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noProof/>
                <w:color w:val="034EA2" w:themeColor="accent1"/>
                <w:sz w:val="18"/>
                <w:szCs w:val="18"/>
              </w:rPr>
            </w:pPr>
          </w:p>
        </w:tc>
        <w:tc>
          <w:tcPr>
            <w:tcW w:w="2268" w:type="dxa"/>
            <w:shd w:val="clear" w:color="auto" w:fill="auto"/>
          </w:tcPr>
          <w:p w14:paraId="13D6B65A" w14:textId="77777777" w:rsidR="00515675" w:rsidRPr="008562DF" w:rsidRDefault="00515675" w:rsidP="001E1429">
            <w:pPr>
              <w:pStyle w:val="ListParagraph"/>
              <w:numPr>
                <w:ilvl w:val="0"/>
                <w:numId w:val="22"/>
              </w:numPr>
              <w:spacing w:after="40" w:line="240" w:lineRule="auto"/>
              <w:ind w:left="226" w:hanging="113"/>
              <w:contextualSpacing w:val="0"/>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i/>
                <w:iCs/>
                <w:noProof/>
                <w:sz w:val="18"/>
                <w:szCs w:val="18"/>
              </w:rPr>
            </w:pPr>
            <w:r>
              <w:rPr>
                <w:rFonts w:ascii="EC Square Sans Pro" w:hAnsi="EC Square Sans Pro"/>
                <w:i/>
                <w:noProof/>
                <w:sz w:val="18"/>
              </w:rPr>
              <w:t>Vidutinis neapmokėtų obligacijų dydis</w:t>
            </w:r>
            <w:r w:rsidRPr="04A2D39D">
              <w:rPr>
                <w:rStyle w:val="FootnoteReference"/>
                <w:rFonts w:ascii="EC Square Sans Pro" w:hAnsi="EC Square Sans Pro" w:cs="Times New Roman"/>
                <w:i/>
                <w:iCs/>
                <w:noProof/>
                <w:sz w:val="18"/>
                <w:szCs w:val="18"/>
              </w:rPr>
              <w:footnoteReference w:id="15"/>
            </w:r>
          </w:p>
        </w:tc>
        <w:tc>
          <w:tcPr>
            <w:tcW w:w="2551" w:type="dxa"/>
            <w:shd w:val="clear" w:color="auto" w:fill="auto"/>
          </w:tcPr>
          <w:p w14:paraId="2F1E4A20" w14:textId="77777777" w:rsidR="00515675" w:rsidRPr="008562DF" w:rsidRDefault="00515675" w:rsidP="001E1429">
            <w:pPr>
              <w:cnfStyle w:val="000000100000" w:firstRow="0" w:lastRow="0" w:firstColumn="0" w:lastColumn="0" w:oddVBand="0" w:evenVBand="0" w:oddHBand="1" w:evenHBand="0" w:firstRowFirstColumn="0" w:firstRowLastColumn="0" w:lastRowFirstColumn="0" w:lastRowLastColumn="0"/>
              <w:rPr>
                <w:noProof/>
                <w:sz w:val="18"/>
                <w:szCs w:val="18"/>
              </w:rPr>
            </w:pPr>
            <w:r>
              <w:rPr>
                <w:noProof/>
                <w:sz w:val="18"/>
              </w:rPr>
              <w:t>Maždaug 15 mlrd.</w:t>
            </w:r>
          </w:p>
        </w:tc>
        <w:tc>
          <w:tcPr>
            <w:tcW w:w="4678" w:type="dxa"/>
            <w:vMerge/>
          </w:tcPr>
          <w:p w14:paraId="380E86A4" w14:textId="77777777" w:rsidR="00515675" w:rsidRPr="008562DF" w:rsidRDefault="00515675" w:rsidP="001E1429">
            <w:pPr>
              <w:cnfStyle w:val="000000100000" w:firstRow="0" w:lastRow="0" w:firstColumn="0" w:lastColumn="0" w:oddVBand="0" w:evenVBand="0" w:oddHBand="1" w:evenHBand="0" w:firstRowFirstColumn="0" w:firstRowLastColumn="0" w:lastRowFirstColumn="0" w:lastRowLastColumn="0"/>
              <w:rPr>
                <w:noProof/>
                <w:sz w:val="18"/>
                <w:szCs w:val="18"/>
              </w:rPr>
            </w:pPr>
          </w:p>
        </w:tc>
      </w:tr>
      <w:tr w:rsidR="00515675" w:rsidRPr="008562DF" w14:paraId="7FC29503" w14:textId="77777777" w:rsidTr="04A2D39D">
        <w:trPr>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3B023783" w14:textId="77777777" w:rsidR="00515675" w:rsidRPr="008562DF" w:rsidRDefault="00515675" w:rsidP="001E1429">
            <w:pPr>
              <w:rPr>
                <w:noProof/>
                <w:sz w:val="18"/>
                <w:szCs w:val="18"/>
              </w:rPr>
            </w:pPr>
          </w:p>
        </w:tc>
        <w:tc>
          <w:tcPr>
            <w:tcW w:w="3264" w:type="dxa"/>
            <w:vMerge/>
          </w:tcPr>
          <w:p w14:paraId="5F1866B1" w14:textId="77777777" w:rsidR="00515675" w:rsidRPr="008562DF" w:rsidRDefault="00515675" w:rsidP="001E1429">
            <w:pPr>
              <w:pStyle w:val="ListParagraph"/>
              <w:numPr>
                <w:ilvl w:val="0"/>
                <w:numId w:val="27"/>
              </w:numPr>
              <w:spacing w:line="240" w:lineRule="auto"/>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noProof/>
                <w:color w:val="034EA2" w:themeColor="accent1"/>
                <w:sz w:val="18"/>
                <w:szCs w:val="18"/>
              </w:rPr>
            </w:pPr>
          </w:p>
        </w:tc>
        <w:tc>
          <w:tcPr>
            <w:tcW w:w="2268" w:type="dxa"/>
            <w:shd w:val="clear" w:color="auto" w:fill="auto"/>
          </w:tcPr>
          <w:p w14:paraId="462886CB" w14:textId="77777777" w:rsidR="00515675" w:rsidRPr="008562DF" w:rsidRDefault="00515675" w:rsidP="001E1429">
            <w:pPr>
              <w:pStyle w:val="ListParagraph"/>
              <w:numPr>
                <w:ilvl w:val="0"/>
                <w:numId w:val="22"/>
              </w:numPr>
              <w:spacing w:after="40" w:line="240" w:lineRule="auto"/>
              <w:ind w:left="226" w:hanging="113"/>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i/>
                <w:iCs/>
                <w:noProof/>
                <w:sz w:val="18"/>
                <w:szCs w:val="18"/>
              </w:rPr>
            </w:pPr>
            <w:r>
              <w:rPr>
                <w:rFonts w:ascii="EC Square Sans Pro" w:hAnsi="EC Square Sans Pro"/>
                <w:i/>
                <w:noProof/>
                <w:sz w:val="18"/>
              </w:rPr>
              <w:t>Apyvarta, palyginti su emisijos apimtimi</w:t>
            </w:r>
          </w:p>
        </w:tc>
        <w:tc>
          <w:tcPr>
            <w:tcW w:w="2551" w:type="dxa"/>
            <w:shd w:val="clear" w:color="auto" w:fill="auto"/>
          </w:tcPr>
          <w:p w14:paraId="1BC7E234" w14:textId="6E835ADE" w:rsidR="00515675" w:rsidRPr="00B14C49" w:rsidRDefault="004A0E52" w:rsidP="001E1429">
            <w:pPr>
              <w:jc w:val="left"/>
              <w:cnfStyle w:val="000000000000" w:firstRow="0" w:lastRow="0" w:firstColumn="0" w:lastColumn="0" w:oddVBand="0" w:evenVBand="0" w:oddHBand="0" w:evenHBand="0" w:firstRowFirstColumn="0" w:firstRowLastColumn="0" w:lastRowFirstColumn="0" w:lastRowLastColumn="0"/>
              <w:rPr>
                <w:noProof/>
                <w:sz w:val="18"/>
                <w:szCs w:val="18"/>
                <w:highlight w:val="yellow"/>
              </w:rPr>
            </w:pPr>
            <w:r>
              <w:rPr>
                <w:noProof/>
                <w:sz w:val="18"/>
              </w:rPr>
              <w:t>Maždaug 155 % 2024 m. II pusmetį, plg. su 139 % 2024 m. I pusmetį</w:t>
            </w:r>
          </w:p>
        </w:tc>
        <w:tc>
          <w:tcPr>
            <w:tcW w:w="4678" w:type="dxa"/>
            <w:vMerge/>
          </w:tcPr>
          <w:p w14:paraId="5E3DB12B" w14:textId="77777777" w:rsidR="00515675" w:rsidRPr="008562DF" w:rsidRDefault="00515675" w:rsidP="001E1429">
            <w:pPr>
              <w:cnfStyle w:val="000000000000" w:firstRow="0" w:lastRow="0" w:firstColumn="0" w:lastColumn="0" w:oddVBand="0" w:evenVBand="0" w:oddHBand="0" w:evenHBand="0" w:firstRowFirstColumn="0" w:firstRowLastColumn="0" w:lastRowFirstColumn="0" w:lastRowLastColumn="0"/>
              <w:rPr>
                <w:noProof/>
                <w:sz w:val="18"/>
                <w:szCs w:val="18"/>
              </w:rPr>
            </w:pPr>
          </w:p>
        </w:tc>
      </w:tr>
      <w:tr w:rsidR="00855155" w:rsidRPr="00965EC1" w14:paraId="614A2488" w14:textId="77777777" w:rsidTr="04A2D3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66DB7E7C" w14:textId="77777777" w:rsidR="00855155" w:rsidRPr="008562DF" w:rsidRDefault="00855155" w:rsidP="00855155">
            <w:pPr>
              <w:rPr>
                <w:noProof/>
                <w:sz w:val="18"/>
                <w:szCs w:val="18"/>
              </w:rPr>
            </w:pPr>
          </w:p>
        </w:tc>
        <w:tc>
          <w:tcPr>
            <w:tcW w:w="3264" w:type="dxa"/>
            <w:vMerge/>
          </w:tcPr>
          <w:p w14:paraId="0D90588E" w14:textId="77777777" w:rsidR="00855155" w:rsidRPr="008562DF" w:rsidRDefault="00855155" w:rsidP="00855155">
            <w:pPr>
              <w:pStyle w:val="ListParagraph"/>
              <w:numPr>
                <w:ilvl w:val="0"/>
                <w:numId w:val="27"/>
              </w:numPr>
              <w:spacing w:line="240" w:lineRule="auto"/>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noProof/>
                <w:color w:val="034EA2" w:themeColor="accent1"/>
                <w:sz w:val="18"/>
                <w:szCs w:val="18"/>
              </w:rPr>
            </w:pPr>
          </w:p>
        </w:tc>
        <w:tc>
          <w:tcPr>
            <w:tcW w:w="2268" w:type="dxa"/>
            <w:shd w:val="clear" w:color="auto" w:fill="auto"/>
          </w:tcPr>
          <w:p w14:paraId="75A1FC93" w14:textId="77777777" w:rsidR="00855155" w:rsidRPr="008562DF" w:rsidRDefault="00855155" w:rsidP="00855155">
            <w:pPr>
              <w:pStyle w:val="ListParagraph"/>
              <w:numPr>
                <w:ilvl w:val="0"/>
                <w:numId w:val="22"/>
              </w:numPr>
              <w:spacing w:after="40" w:line="240" w:lineRule="auto"/>
              <w:ind w:left="226" w:hanging="113"/>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i/>
                <w:iCs/>
                <w:noProof/>
                <w:sz w:val="18"/>
                <w:szCs w:val="18"/>
              </w:rPr>
            </w:pPr>
            <w:r>
              <w:rPr>
                <w:rFonts w:ascii="EC Square Sans Pro" w:hAnsi="EC Square Sans Pro"/>
                <w:i/>
                <w:noProof/>
                <w:sz w:val="18"/>
              </w:rPr>
              <w:t>Absoliučioji apyvarta</w:t>
            </w:r>
          </w:p>
        </w:tc>
        <w:tc>
          <w:tcPr>
            <w:tcW w:w="2551" w:type="dxa"/>
            <w:shd w:val="clear" w:color="auto" w:fill="auto"/>
          </w:tcPr>
          <w:p w14:paraId="62638E0F" w14:textId="58BE0A6C" w:rsidR="00855155" w:rsidRPr="00811C3B" w:rsidRDefault="00855155" w:rsidP="00855155">
            <w:pPr>
              <w:jc w:val="left"/>
              <w:cnfStyle w:val="000000100000" w:firstRow="0" w:lastRow="0" w:firstColumn="0" w:lastColumn="0" w:oddVBand="0" w:evenVBand="0" w:oddHBand="1" w:evenHBand="0" w:firstRowFirstColumn="0" w:firstRowLastColumn="0" w:lastRowFirstColumn="0" w:lastRowLastColumn="0"/>
              <w:rPr>
                <w:noProof/>
                <w:sz w:val="18"/>
                <w:szCs w:val="18"/>
              </w:rPr>
            </w:pPr>
            <w:r>
              <w:rPr>
                <w:noProof/>
                <w:sz w:val="18"/>
              </w:rPr>
              <w:t>894 mlrd. EUR 2024 m. II pusmetį, plg. su 714 mlrd. EUR 2024 m. I pusmetį</w:t>
            </w:r>
          </w:p>
        </w:tc>
        <w:tc>
          <w:tcPr>
            <w:tcW w:w="4678" w:type="dxa"/>
            <w:vMerge/>
          </w:tcPr>
          <w:p w14:paraId="204DBCA1" w14:textId="77777777" w:rsidR="00855155" w:rsidRPr="00811C3B" w:rsidRDefault="00855155" w:rsidP="00855155">
            <w:pPr>
              <w:cnfStyle w:val="000000100000" w:firstRow="0" w:lastRow="0" w:firstColumn="0" w:lastColumn="0" w:oddVBand="0" w:evenVBand="0" w:oddHBand="1" w:evenHBand="0" w:firstRowFirstColumn="0" w:firstRowLastColumn="0" w:lastRowFirstColumn="0" w:lastRowLastColumn="0"/>
              <w:rPr>
                <w:noProof/>
                <w:sz w:val="18"/>
                <w:szCs w:val="18"/>
                <w:lang w:val="de-DE"/>
              </w:rPr>
            </w:pPr>
          </w:p>
        </w:tc>
      </w:tr>
      <w:tr w:rsidR="00855155" w:rsidRPr="008562DF" w14:paraId="6CDFCE19" w14:textId="77777777" w:rsidTr="04A2D39D">
        <w:trPr>
          <w:trHeight w:val="20"/>
        </w:trPr>
        <w:tc>
          <w:tcPr>
            <w:cnfStyle w:val="001000000000" w:firstRow="0" w:lastRow="0" w:firstColumn="1" w:lastColumn="0" w:oddVBand="0" w:evenVBand="0" w:oddHBand="0" w:evenHBand="0" w:firstRowFirstColumn="0" w:firstRowLastColumn="0" w:lastRowFirstColumn="0" w:lastRowLastColumn="0"/>
            <w:tcW w:w="1664" w:type="dxa"/>
            <w:vMerge w:val="restart"/>
            <w:shd w:val="clear" w:color="auto" w:fill="auto"/>
          </w:tcPr>
          <w:p w14:paraId="74687083" w14:textId="77777777" w:rsidR="00855155" w:rsidRPr="00811C3B" w:rsidRDefault="00855155" w:rsidP="00855155">
            <w:pPr>
              <w:rPr>
                <w:noProof/>
                <w:sz w:val="18"/>
                <w:szCs w:val="18"/>
                <w:lang w:val="de-DE"/>
              </w:rPr>
            </w:pPr>
          </w:p>
        </w:tc>
        <w:tc>
          <w:tcPr>
            <w:tcW w:w="3264" w:type="dxa"/>
            <w:vMerge w:val="restart"/>
            <w:shd w:val="clear" w:color="auto" w:fill="auto"/>
          </w:tcPr>
          <w:p w14:paraId="65B13C23" w14:textId="77777777" w:rsidR="00855155" w:rsidRPr="008562DF" w:rsidRDefault="00855155" w:rsidP="00855155">
            <w:pPr>
              <w:pStyle w:val="ListParagraph"/>
              <w:numPr>
                <w:ilvl w:val="0"/>
                <w:numId w:val="28"/>
              </w:numPr>
              <w:spacing w:after="60" w:line="240" w:lineRule="auto"/>
              <w:ind w:left="170" w:hanging="170"/>
              <w:contextualSpacing w:val="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noProof/>
                <w:color w:val="034EA2" w:themeColor="accent1"/>
                <w:sz w:val="18"/>
                <w:szCs w:val="18"/>
              </w:rPr>
            </w:pPr>
            <w:r>
              <w:rPr>
                <w:rFonts w:ascii="EC Square Sans Pro" w:hAnsi="EC Square Sans Pro"/>
                <w:noProof/>
                <w:color w:val="034EA2" w:themeColor="accent1"/>
                <w:sz w:val="18"/>
              </w:rPr>
              <w:t xml:space="preserve"> ES obligacijų emisijų terminų struktūros valdymas tinkamai atsižvelgiant į:</w:t>
            </w:r>
          </w:p>
          <w:p w14:paraId="5B5CEFF1" w14:textId="77777777" w:rsidR="00855155" w:rsidRPr="008562DF" w:rsidRDefault="00855155" w:rsidP="00855155">
            <w:pPr>
              <w:pStyle w:val="ListParagraph"/>
              <w:numPr>
                <w:ilvl w:val="0"/>
                <w:numId w:val="10"/>
              </w:numPr>
              <w:spacing w:after="60" w:line="240" w:lineRule="auto"/>
              <w:ind w:left="340" w:hanging="17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noProof/>
                <w:sz w:val="18"/>
                <w:szCs w:val="18"/>
              </w:rPr>
            </w:pPr>
            <w:r>
              <w:rPr>
                <w:rFonts w:ascii="EC Square Sans Pro" w:hAnsi="EC Square Sans Pro"/>
                <w:noProof/>
                <w:sz w:val="18"/>
              </w:rPr>
              <w:t>ES biudžeto laikiną papildomą manevringumo maržą (su NGEU susijusio skolinimosi atveju) ir nuolatinę manevringumo maržą (MFP+ atveju);</w:t>
            </w:r>
          </w:p>
          <w:p w14:paraId="176DD99A" w14:textId="77777777" w:rsidR="00855155" w:rsidRPr="008562DF" w:rsidRDefault="00855155" w:rsidP="00855155">
            <w:pPr>
              <w:pStyle w:val="ListParagraph"/>
              <w:numPr>
                <w:ilvl w:val="0"/>
                <w:numId w:val="10"/>
              </w:numPr>
              <w:spacing w:after="60" w:line="240" w:lineRule="auto"/>
              <w:ind w:left="340" w:hanging="17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noProof/>
                <w:sz w:val="18"/>
                <w:szCs w:val="18"/>
              </w:rPr>
            </w:pPr>
            <w:r>
              <w:rPr>
                <w:rFonts w:ascii="EC Square Sans Pro" w:hAnsi="EC Square Sans Pro"/>
                <w:noProof/>
                <w:sz w:val="18"/>
              </w:rPr>
              <w:t xml:space="preserve">būsimą išmokų išpirkimą bet kuriais konkrečiais metais; </w:t>
            </w:r>
          </w:p>
          <w:p w14:paraId="6C41B5BF" w14:textId="77777777" w:rsidR="00855155" w:rsidRPr="008562DF" w:rsidRDefault="00855155" w:rsidP="00855155">
            <w:pPr>
              <w:pStyle w:val="ListParagraph"/>
              <w:numPr>
                <w:ilvl w:val="0"/>
                <w:numId w:val="10"/>
              </w:numPr>
              <w:spacing w:after="60" w:line="240" w:lineRule="auto"/>
              <w:ind w:left="340" w:hanging="17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noProof/>
                <w:sz w:val="18"/>
                <w:szCs w:val="18"/>
              </w:rPr>
            </w:pPr>
            <w:r>
              <w:rPr>
                <w:rFonts w:ascii="EC Square Sans Pro" w:hAnsi="EC Square Sans Pro"/>
                <w:noProof/>
                <w:sz w:val="18"/>
              </w:rPr>
              <w:t>stabilius refinansavimo poreikius ateityje;</w:t>
            </w:r>
          </w:p>
          <w:p w14:paraId="2FE64132" w14:textId="77777777" w:rsidR="00855155" w:rsidRPr="008562DF" w:rsidRDefault="00855155" w:rsidP="00855155">
            <w:pPr>
              <w:pStyle w:val="ListParagraph"/>
              <w:numPr>
                <w:ilvl w:val="0"/>
                <w:numId w:val="10"/>
              </w:numPr>
              <w:spacing w:after="60" w:line="240" w:lineRule="auto"/>
              <w:ind w:left="340" w:hanging="17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noProof/>
                <w:sz w:val="18"/>
                <w:szCs w:val="18"/>
              </w:rPr>
            </w:pPr>
            <w:r>
              <w:rPr>
                <w:rFonts w:ascii="EC Square Sans Pro" w:hAnsi="EC Square Sans Pro"/>
                <w:noProof/>
                <w:sz w:val="18"/>
              </w:rPr>
              <w:t>poreikį apsaugoti ES reitingą, kad ilguoju laikotarpiu būtų užtikrintos mažos skolinimosi išlaidos ir didelis pagrindinės investuotojų bazės susidomėjimas.</w:t>
            </w:r>
          </w:p>
        </w:tc>
        <w:tc>
          <w:tcPr>
            <w:tcW w:w="2268" w:type="dxa"/>
            <w:shd w:val="clear" w:color="auto" w:fill="auto"/>
          </w:tcPr>
          <w:p w14:paraId="2F5FE8B7" w14:textId="77777777" w:rsidR="00855155" w:rsidRPr="008562DF" w:rsidRDefault="00855155" w:rsidP="00855155">
            <w:pPr>
              <w:pStyle w:val="ListParagraph"/>
              <w:numPr>
                <w:ilvl w:val="0"/>
                <w:numId w:val="21"/>
              </w:numPr>
              <w:spacing w:after="40" w:line="240" w:lineRule="auto"/>
              <w:ind w:left="226" w:hanging="113"/>
              <w:contextualSpacing w:val="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i/>
                <w:iCs/>
                <w:noProof/>
                <w:sz w:val="18"/>
                <w:szCs w:val="18"/>
              </w:rPr>
            </w:pPr>
            <w:r>
              <w:rPr>
                <w:rFonts w:ascii="EC Square Sans Pro" w:hAnsi="EC Square Sans Pro"/>
                <w:i/>
                <w:noProof/>
                <w:sz w:val="18"/>
              </w:rPr>
              <w:t xml:space="preserve">Vidutinis emisijos terminas </w:t>
            </w:r>
          </w:p>
        </w:tc>
        <w:tc>
          <w:tcPr>
            <w:tcW w:w="2551" w:type="dxa"/>
            <w:shd w:val="clear" w:color="auto" w:fill="auto"/>
          </w:tcPr>
          <w:p w14:paraId="0D6F8E3F" w14:textId="77777777" w:rsidR="00855155" w:rsidRPr="008562DF"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r>
              <w:rPr>
                <w:noProof/>
                <w:sz w:val="18"/>
              </w:rPr>
              <w:t xml:space="preserve">Maždaug 12 metų </w:t>
            </w:r>
          </w:p>
        </w:tc>
        <w:tc>
          <w:tcPr>
            <w:tcW w:w="4678" w:type="dxa"/>
            <w:vMerge w:val="restart"/>
            <w:shd w:val="clear" w:color="auto" w:fill="auto"/>
          </w:tcPr>
          <w:p w14:paraId="0BB0D198" w14:textId="77777777" w:rsidR="00855155" w:rsidRPr="00F32988"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r>
              <w:rPr>
                <w:noProof/>
                <w:sz w:val="18"/>
              </w:rPr>
              <w:t>2024 m. antrąjį pusmetį išleidžiamų obligacijų vidutinis išpirkimo terminas buvo 12 metų. Tai atitiko poreikį paskirstyti išpirkimo profilį laike ir kartu pritraukti investuotojus sandoriams ES pirminėje rinkoje. Vidutinis terminas ir toliau buvo trumpesnis nei 2024 m. metiniame skolinimosi sprendime nustatytas ilgiausias vidutinis 17 metų terminas.</w:t>
            </w:r>
          </w:p>
          <w:p w14:paraId="19656B5E" w14:textId="77777777" w:rsidR="00855155" w:rsidRPr="00F32988"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p>
          <w:p w14:paraId="62D4C2FF" w14:textId="77777777" w:rsidR="00855155" w:rsidRPr="008562DF"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r>
              <w:rPr>
                <w:noProof/>
                <w:sz w:val="18"/>
              </w:rPr>
              <w:t>Vidutinis laikotarpis iki negrąžintos skolos termino pabaigos išliko stabilus (maždaug 12 metų).</w:t>
            </w:r>
          </w:p>
          <w:p w14:paraId="1749A647" w14:textId="77777777" w:rsidR="00855155"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p>
          <w:p w14:paraId="7F7CAC02" w14:textId="265DCB7C" w:rsidR="00855155" w:rsidRPr="008562DF"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r>
              <w:rPr>
                <w:noProof/>
                <w:sz w:val="18"/>
              </w:rPr>
              <w:t>Refinansavimas taip pat išliko stabilus – tai atitinka ankstesnes emisijas ir susijusį išpirkimo profilį.</w:t>
            </w:r>
          </w:p>
        </w:tc>
      </w:tr>
      <w:tr w:rsidR="00855155" w:rsidRPr="008562DF" w14:paraId="5FD08962" w14:textId="77777777" w:rsidTr="04A2D3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60F27B35" w14:textId="77777777" w:rsidR="00855155" w:rsidRPr="008562DF" w:rsidRDefault="00855155" w:rsidP="00855155">
            <w:pPr>
              <w:rPr>
                <w:noProof/>
                <w:sz w:val="18"/>
                <w:szCs w:val="18"/>
              </w:rPr>
            </w:pPr>
          </w:p>
        </w:tc>
        <w:tc>
          <w:tcPr>
            <w:tcW w:w="3264" w:type="dxa"/>
            <w:vMerge/>
          </w:tcPr>
          <w:p w14:paraId="516D9045" w14:textId="77777777" w:rsidR="00855155" w:rsidRPr="008562DF" w:rsidRDefault="00855155" w:rsidP="00855155">
            <w:pPr>
              <w:pStyle w:val="ListParagraph"/>
              <w:numPr>
                <w:ilvl w:val="0"/>
                <w:numId w:val="28"/>
              </w:numPr>
              <w:spacing w:line="240" w:lineRule="auto"/>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noProof/>
                <w:color w:val="034EA2" w:themeColor="accent1"/>
                <w:sz w:val="18"/>
                <w:szCs w:val="18"/>
              </w:rPr>
            </w:pPr>
          </w:p>
        </w:tc>
        <w:tc>
          <w:tcPr>
            <w:tcW w:w="2268" w:type="dxa"/>
            <w:shd w:val="clear" w:color="auto" w:fill="auto"/>
          </w:tcPr>
          <w:p w14:paraId="7344961B" w14:textId="77777777" w:rsidR="00855155" w:rsidRPr="008562DF" w:rsidRDefault="00855155" w:rsidP="00855155">
            <w:pPr>
              <w:pStyle w:val="ListParagraph"/>
              <w:numPr>
                <w:ilvl w:val="0"/>
                <w:numId w:val="21"/>
              </w:numPr>
              <w:spacing w:after="40" w:line="240" w:lineRule="auto"/>
              <w:ind w:left="226" w:hanging="113"/>
              <w:contextualSpacing w:val="0"/>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i/>
                <w:iCs/>
                <w:noProof/>
                <w:sz w:val="18"/>
                <w:szCs w:val="18"/>
              </w:rPr>
            </w:pPr>
            <w:r>
              <w:rPr>
                <w:rFonts w:ascii="EC Square Sans Pro" w:hAnsi="EC Square Sans Pro"/>
                <w:i/>
                <w:noProof/>
                <w:sz w:val="18"/>
              </w:rPr>
              <w:t>Vidutinis laikotarpis iki negrąžintos skolos termino</w:t>
            </w:r>
          </w:p>
        </w:tc>
        <w:tc>
          <w:tcPr>
            <w:tcW w:w="2551" w:type="dxa"/>
            <w:shd w:val="clear" w:color="auto" w:fill="auto"/>
          </w:tcPr>
          <w:p w14:paraId="293F915B" w14:textId="77777777" w:rsidR="00855155" w:rsidRPr="008562DF" w:rsidRDefault="00855155" w:rsidP="00855155">
            <w:pPr>
              <w:cnfStyle w:val="000000100000" w:firstRow="0" w:lastRow="0" w:firstColumn="0" w:lastColumn="0" w:oddVBand="0" w:evenVBand="0" w:oddHBand="1" w:evenHBand="0" w:firstRowFirstColumn="0" w:firstRowLastColumn="0" w:lastRowFirstColumn="0" w:lastRowLastColumn="0"/>
              <w:rPr>
                <w:noProof/>
                <w:sz w:val="18"/>
                <w:szCs w:val="18"/>
              </w:rPr>
            </w:pPr>
            <w:r>
              <w:rPr>
                <w:noProof/>
                <w:sz w:val="18"/>
              </w:rPr>
              <w:t>Maždaug 12 metų</w:t>
            </w:r>
          </w:p>
        </w:tc>
        <w:tc>
          <w:tcPr>
            <w:tcW w:w="4678" w:type="dxa"/>
            <w:vMerge/>
          </w:tcPr>
          <w:p w14:paraId="06B81A2B" w14:textId="77777777" w:rsidR="00855155" w:rsidRPr="008562DF" w:rsidRDefault="00855155" w:rsidP="00855155">
            <w:pPr>
              <w:cnfStyle w:val="000000100000" w:firstRow="0" w:lastRow="0" w:firstColumn="0" w:lastColumn="0" w:oddVBand="0" w:evenVBand="0" w:oddHBand="1" w:evenHBand="0" w:firstRowFirstColumn="0" w:firstRowLastColumn="0" w:lastRowFirstColumn="0" w:lastRowLastColumn="0"/>
              <w:rPr>
                <w:noProof/>
                <w:sz w:val="18"/>
                <w:szCs w:val="18"/>
              </w:rPr>
            </w:pPr>
          </w:p>
        </w:tc>
      </w:tr>
      <w:tr w:rsidR="00855155" w:rsidRPr="008562DF" w14:paraId="6064274F" w14:textId="77777777" w:rsidTr="04A2D39D">
        <w:trPr>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5E33636B" w14:textId="77777777" w:rsidR="00855155" w:rsidRPr="008562DF" w:rsidRDefault="00855155" w:rsidP="00855155">
            <w:pPr>
              <w:rPr>
                <w:noProof/>
                <w:sz w:val="18"/>
                <w:szCs w:val="18"/>
              </w:rPr>
            </w:pPr>
          </w:p>
        </w:tc>
        <w:tc>
          <w:tcPr>
            <w:tcW w:w="3264" w:type="dxa"/>
            <w:vMerge/>
          </w:tcPr>
          <w:p w14:paraId="7479F282" w14:textId="77777777" w:rsidR="00855155" w:rsidRPr="008562DF" w:rsidRDefault="00855155" w:rsidP="00855155">
            <w:pPr>
              <w:pStyle w:val="ListParagraph"/>
              <w:numPr>
                <w:ilvl w:val="0"/>
                <w:numId w:val="28"/>
              </w:numPr>
              <w:spacing w:line="240" w:lineRule="auto"/>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noProof/>
                <w:color w:val="034EA2" w:themeColor="accent1"/>
                <w:sz w:val="18"/>
                <w:szCs w:val="18"/>
              </w:rPr>
            </w:pPr>
          </w:p>
        </w:tc>
        <w:tc>
          <w:tcPr>
            <w:tcW w:w="2268" w:type="dxa"/>
            <w:shd w:val="clear" w:color="auto" w:fill="auto"/>
          </w:tcPr>
          <w:p w14:paraId="055961FC" w14:textId="77777777" w:rsidR="00855155" w:rsidRPr="008562DF" w:rsidRDefault="00855155" w:rsidP="00855155">
            <w:pPr>
              <w:pStyle w:val="ListParagraph"/>
              <w:numPr>
                <w:ilvl w:val="0"/>
                <w:numId w:val="21"/>
              </w:numPr>
              <w:spacing w:after="40" w:line="240" w:lineRule="auto"/>
              <w:ind w:left="226" w:hanging="113"/>
              <w:contextualSpacing w:val="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i/>
                <w:iCs/>
                <w:noProof/>
                <w:sz w:val="18"/>
                <w:szCs w:val="18"/>
              </w:rPr>
            </w:pPr>
            <w:r>
              <w:rPr>
                <w:rFonts w:ascii="EC Square Sans Pro" w:hAnsi="EC Square Sans Pro"/>
                <w:i/>
                <w:noProof/>
                <w:sz w:val="18"/>
              </w:rPr>
              <w:t>Refinansavimas trumpuoju laikotarpiu, t. y. neapmokėtų obligacijų ir vekselių, kurių terminas sueina per ateinančius 12 mėnesių, procentinė dalis</w:t>
            </w:r>
          </w:p>
        </w:tc>
        <w:tc>
          <w:tcPr>
            <w:tcW w:w="2551" w:type="dxa"/>
            <w:shd w:val="clear" w:color="auto" w:fill="auto"/>
          </w:tcPr>
          <w:p w14:paraId="5110C4A8" w14:textId="38BBEB78" w:rsidR="00855155" w:rsidRPr="008562DF"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r>
              <w:rPr>
                <w:noProof/>
                <w:sz w:val="18"/>
              </w:rPr>
              <w:t>Mažiau nei 10 %</w:t>
            </w:r>
          </w:p>
        </w:tc>
        <w:tc>
          <w:tcPr>
            <w:tcW w:w="4678" w:type="dxa"/>
            <w:vMerge/>
          </w:tcPr>
          <w:p w14:paraId="0B553F25" w14:textId="77777777" w:rsidR="00855155" w:rsidRPr="008562DF"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p>
        </w:tc>
      </w:tr>
      <w:tr w:rsidR="00855155" w:rsidRPr="008562DF" w14:paraId="7562A384" w14:textId="77777777" w:rsidTr="04A2D3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7D44FCBA" w14:textId="77777777" w:rsidR="00855155" w:rsidRPr="008562DF" w:rsidRDefault="00855155" w:rsidP="00855155">
            <w:pPr>
              <w:rPr>
                <w:noProof/>
                <w:sz w:val="18"/>
                <w:szCs w:val="18"/>
              </w:rPr>
            </w:pPr>
          </w:p>
        </w:tc>
        <w:tc>
          <w:tcPr>
            <w:tcW w:w="3264" w:type="dxa"/>
            <w:vMerge/>
          </w:tcPr>
          <w:p w14:paraId="5AA07583" w14:textId="77777777" w:rsidR="00855155" w:rsidRPr="008562DF" w:rsidRDefault="00855155" w:rsidP="00855155">
            <w:pPr>
              <w:pStyle w:val="ListParagraph"/>
              <w:numPr>
                <w:ilvl w:val="0"/>
                <w:numId w:val="28"/>
              </w:numPr>
              <w:spacing w:line="240" w:lineRule="auto"/>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noProof/>
                <w:color w:val="034EA2" w:themeColor="accent1"/>
                <w:sz w:val="18"/>
                <w:szCs w:val="18"/>
              </w:rPr>
            </w:pPr>
          </w:p>
        </w:tc>
        <w:tc>
          <w:tcPr>
            <w:tcW w:w="2268" w:type="dxa"/>
            <w:shd w:val="clear" w:color="auto" w:fill="auto"/>
          </w:tcPr>
          <w:p w14:paraId="58C90BDD" w14:textId="77777777" w:rsidR="00855155" w:rsidRPr="00A5711F" w:rsidRDefault="00855155" w:rsidP="00855155">
            <w:pPr>
              <w:pStyle w:val="ListParagraph"/>
              <w:numPr>
                <w:ilvl w:val="0"/>
                <w:numId w:val="21"/>
              </w:numPr>
              <w:spacing w:after="40" w:line="240" w:lineRule="auto"/>
              <w:ind w:left="226" w:hanging="113"/>
              <w:contextualSpacing w:val="0"/>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i/>
                <w:iCs/>
                <w:noProof/>
                <w:spacing w:val="-6"/>
                <w:sz w:val="18"/>
                <w:szCs w:val="18"/>
              </w:rPr>
            </w:pPr>
            <w:r>
              <w:rPr>
                <w:rFonts w:ascii="EC Square Sans Pro" w:hAnsi="EC Square Sans Pro"/>
                <w:i/>
                <w:noProof/>
                <w:sz w:val="18"/>
              </w:rPr>
              <w:t>Refinansavimas vidutiniu laikotarpiu, t. y. neapmokėtų obligacijų ir vekselių, kurių terminas sueina per ateinančius 5 metus, procentinė dalis</w:t>
            </w:r>
          </w:p>
        </w:tc>
        <w:tc>
          <w:tcPr>
            <w:tcW w:w="2551" w:type="dxa"/>
            <w:shd w:val="clear" w:color="auto" w:fill="auto"/>
          </w:tcPr>
          <w:p w14:paraId="33D8FEFE" w14:textId="160C4F46" w:rsidR="00855155" w:rsidRPr="008562DF" w:rsidRDefault="00855155" w:rsidP="00855155">
            <w:pPr>
              <w:cnfStyle w:val="000000100000" w:firstRow="0" w:lastRow="0" w:firstColumn="0" w:lastColumn="0" w:oddVBand="0" w:evenVBand="0" w:oddHBand="1" w:evenHBand="0" w:firstRowFirstColumn="0" w:firstRowLastColumn="0" w:lastRowFirstColumn="0" w:lastRowLastColumn="0"/>
              <w:rPr>
                <w:noProof/>
                <w:sz w:val="18"/>
                <w:szCs w:val="18"/>
              </w:rPr>
            </w:pPr>
            <w:r>
              <w:rPr>
                <w:noProof/>
                <w:sz w:val="18"/>
              </w:rPr>
              <w:t>Mažiau nei 37 %</w:t>
            </w:r>
          </w:p>
        </w:tc>
        <w:tc>
          <w:tcPr>
            <w:tcW w:w="4678" w:type="dxa"/>
            <w:vMerge/>
          </w:tcPr>
          <w:p w14:paraId="26BB2AB8" w14:textId="77777777" w:rsidR="00855155" w:rsidRPr="008562DF" w:rsidRDefault="00855155" w:rsidP="00855155">
            <w:pPr>
              <w:cnfStyle w:val="000000100000" w:firstRow="0" w:lastRow="0" w:firstColumn="0" w:lastColumn="0" w:oddVBand="0" w:evenVBand="0" w:oddHBand="1" w:evenHBand="0" w:firstRowFirstColumn="0" w:firstRowLastColumn="0" w:lastRowFirstColumn="0" w:lastRowLastColumn="0"/>
              <w:rPr>
                <w:noProof/>
                <w:sz w:val="18"/>
                <w:szCs w:val="18"/>
              </w:rPr>
            </w:pPr>
          </w:p>
        </w:tc>
      </w:tr>
      <w:tr w:rsidR="00855155" w:rsidRPr="008562DF" w14:paraId="53FD8A04" w14:textId="77777777" w:rsidTr="04A2D39D">
        <w:trPr>
          <w:trHeight w:val="20"/>
        </w:trPr>
        <w:tc>
          <w:tcPr>
            <w:cnfStyle w:val="001000000000" w:firstRow="0" w:lastRow="0" w:firstColumn="1" w:lastColumn="0" w:oddVBand="0" w:evenVBand="0" w:oddHBand="0" w:evenHBand="0" w:firstRowFirstColumn="0" w:firstRowLastColumn="0" w:lastRowFirstColumn="0" w:lastRowLastColumn="0"/>
            <w:tcW w:w="1664" w:type="dxa"/>
            <w:vMerge w:val="restart"/>
            <w:shd w:val="clear" w:color="auto" w:fill="auto"/>
          </w:tcPr>
          <w:p w14:paraId="6427F484" w14:textId="77777777" w:rsidR="00855155" w:rsidRPr="008562DF" w:rsidRDefault="00855155" w:rsidP="00855155">
            <w:pPr>
              <w:jc w:val="left"/>
              <w:rPr>
                <w:noProof/>
                <w:color w:val="034EA2" w:themeColor="accent1"/>
                <w:sz w:val="18"/>
                <w:szCs w:val="18"/>
              </w:rPr>
            </w:pPr>
            <w:r>
              <w:rPr>
                <w:noProof/>
                <w:color w:val="034EA2" w:themeColor="accent1"/>
                <w:sz w:val="18"/>
              </w:rPr>
              <w:t>ES vekselių programos įgyvendinimas</w:t>
            </w:r>
          </w:p>
          <w:p w14:paraId="6BDC45A4" w14:textId="77777777" w:rsidR="00855155" w:rsidRPr="008562DF" w:rsidRDefault="00855155" w:rsidP="00855155">
            <w:pPr>
              <w:rPr>
                <w:noProof/>
                <w:sz w:val="18"/>
                <w:szCs w:val="18"/>
              </w:rPr>
            </w:pPr>
          </w:p>
        </w:tc>
        <w:tc>
          <w:tcPr>
            <w:tcW w:w="3264" w:type="dxa"/>
            <w:vMerge w:val="restart"/>
            <w:shd w:val="clear" w:color="auto" w:fill="auto"/>
          </w:tcPr>
          <w:p w14:paraId="7C688EAC" w14:textId="77777777" w:rsidR="00855155" w:rsidRPr="002F10CB" w:rsidRDefault="00855155" w:rsidP="00855155">
            <w:pPr>
              <w:jc w:val="left"/>
              <w:cnfStyle w:val="000000000000" w:firstRow="0" w:lastRow="0" w:firstColumn="0" w:lastColumn="0" w:oddVBand="0" w:evenVBand="0" w:oddHBand="0" w:evenHBand="0" w:firstRowFirstColumn="0" w:firstRowLastColumn="0" w:lastRowFirstColumn="0" w:lastRowLastColumn="0"/>
              <w:rPr>
                <w:noProof/>
                <w:sz w:val="18"/>
                <w:szCs w:val="18"/>
              </w:rPr>
            </w:pPr>
            <w:r>
              <w:rPr>
                <w:noProof/>
                <w:sz w:val="18"/>
              </w:rPr>
              <w:t>Reguliarus ES vekselių, kurių terminas – iki 1 metų, išleidimas aukciono būdu, siekiant pritraukti papildomų investuotojų (arba papildomų esamų investuotojų portfelių) ir remti likvidumo valdymą</w:t>
            </w:r>
          </w:p>
        </w:tc>
        <w:tc>
          <w:tcPr>
            <w:tcW w:w="2268" w:type="dxa"/>
            <w:shd w:val="clear" w:color="auto" w:fill="auto"/>
          </w:tcPr>
          <w:p w14:paraId="5236647A" w14:textId="77777777" w:rsidR="00855155" w:rsidRPr="002F10CB" w:rsidRDefault="00855155" w:rsidP="00855155">
            <w:pPr>
              <w:pStyle w:val="ListParagraph"/>
              <w:numPr>
                <w:ilvl w:val="0"/>
                <w:numId w:val="24"/>
              </w:numPr>
              <w:spacing w:after="40" w:line="240" w:lineRule="auto"/>
              <w:ind w:left="226" w:hanging="113"/>
              <w:contextualSpacing w:val="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i/>
                <w:iCs/>
                <w:noProof/>
                <w:sz w:val="18"/>
                <w:szCs w:val="18"/>
              </w:rPr>
            </w:pPr>
            <w:r>
              <w:rPr>
                <w:rFonts w:ascii="EC Square Sans Pro" w:hAnsi="EC Square Sans Pro"/>
                <w:i/>
                <w:noProof/>
                <w:sz w:val="18"/>
              </w:rPr>
              <w:t>Neapmokėtų ES vekselių vertė</w:t>
            </w:r>
          </w:p>
        </w:tc>
        <w:tc>
          <w:tcPr>
            <w:tcW w:w="2551" w:type="dxa"/>
            <w:shd w:val="clear" w:color="auto" w:fill="auto"/>
          </w:tcPr>
          <w:p w14:paraId="0BB9903D" w14:textId="77777777" w:rsidR="00855155" w:rsidRPr="002F10CB"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r>
              <w:rPr>
                <w:noProof/>
                <w:sz w:val="18"/>
              </w:rPr>
              <w:t>20–25 mlrd. EUR</w:t>
            </w:r>
          </w:p>
        </w:tc>
        <w:tc>
          <w:tcPr>
            <w:tcW w:w="4678" w:type="dxa"/>
            <w:vMerge w:val="restart"/>
            <w:shd w:val="clear" w:color="auto" w:fill="auto"/>
          </w:tcPr>
          <w:p w14:paraId="68DF278F" w14:textId="77777777" w:rsidR="00855155" w:rsidRPr="002F10CB"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r>
              <w:rPr>
                <w:noProof/>
                <w:sz w:val="18"/>
              </w:rPr>
              <w:t>Šiuo laikotarpiu negrąžinta skola pagal ES vekselių programą padidėjo nuo maždaug 20 mlrd. EUR iki maždaug 25 mlrd. EUR dėl programos plėtros siekiant užtikrinti papildomą likvidumą, kai jo prireikia.</w:t>
            </w:r>
          </w:p>
        </w:tc>
      </w:tr>
      <w:tr w:rsidR="00855155" w:rsidRPr="008562DF" w14:paraId="72EA0DDA" w14:textId="77777777" w:rsidTr="04A2D3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40A498F7" w14:textId="77777777" w:rsidR="00855155" w:rsidRPr="008562DF" w:rsidRDefault="00855155" w:rsidP="00855155">
            <w:pPr>
              <w:jc w:val="left"/>
              <w:rPr>
                <w:noProof/>
                <w:color w:val="034EA2" w:themeColor="accent1"/>
                <w:sz w:val="18"/>
                <w:szCs w:val="18"/>
              </w:rPr>
            </w:pPr>
          </w:p>
        </w:tc>
        <w:tc>
          <w:tcPr>
            <w:tcW w:w="3264" w:type="dxa"/>
            <w:vMerge/>
          </w:tcPr>
          <w:p w14:paraId="058D0996" w14:textId="77777777" w:rsidR="00855155" w:rsidRPr="008562DF" w:rsidRDefault="00855155" w:rsidP="00855155">
            <w:pPr>
              <w:jc w:val="left"/>
              <w:cnfStyle w:val="000000100000" w:firstRow="0" w:lastRow="0" w:firstColumn="0" w:lastColumn="0" w:oddVBand="0" w:evenVBand="0" w:oddHBand="1" w:evenHBand="0" w:firstRowFirstColumn="0" w:firstRowLastColumn="0" w:lastRowFirstColumn="0" w:lastRowLastColumn="0"/>
              <w:rPr>
                <w:noProof/>
                <w:sz w:val="18"/>
                <w:szCs w:val="18"/>
              </w:rPr>
            </w:pPr>
          </w:p>
        </w:tc>
        <w:tc>
          <w:tcPr>
            <w:tcW w:w="2268" w:type="dxa"/>
            <w:shd w:val="clear" w:color="auto" w:fill="auto"/>
          </w:tcPr>
          <w:p w14:paraId="0EB56868" w14:textId="77777777" w:rsidR="00855155" w:rsidRPr="008562DF" w:rsidRDefault="00855155" w:rsidP="00855155">
            <w:pPr>
              <w:pStyle w:val="ListParagraph"/>
              <w:numPr>
                <w:ilvl w:val="0"/>
                <w:numId w:val="24"/>
              </w:numPr>
              <w:spacing w:after="40" w:line="240" w:lineRule="auto"/>
              <w:ind w:left="226" w:hanging="113"/>
              <w:contextualSpacing w:val="0"/>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i/>
                <w:iCs/>
                <w:noProof/>
                <w:sz w:val="18"/>
                <w:szCs w:val="18"/>
              </w:rPr>
            </w:pPr>
            <w:r>
              <w:rPr>
                <w:rFonts w:ascii="EC Square Sans Pro" w:hAnsi="EC Square Sans Pro"/>
                <w:i/>
                <w:noProof/>
                <w:sz w:val="18"/>
              </w:rPr>
              <w:t>ES vekselių aukcionų skaičius</w:t>
            </w:r>
          </w:p>
        </w:tc>
        <w:tc>
          <w:tcPr>
            <w:tcW w:w="2551" w:type="dxa"/>
            <w:shd w:val="clear" w:color="auto" w:fill="auto"/>
          </w:tcPr>
          <w:p w14:paraId="60731800" w14:textId="77777777" w:rsidR="00855155" w:rsidRPr="008562DF" w:rsidRDefault="00855155" w:rsidP="00855155">
            <w:pPr>
              <w:cnfStyle w:val="000000100000" w:firstRow="0" w:lastRow="0" w:firstColumn="0" w:lastColumn="0" w:oddVBand="0" w:evenVBand="0" w:oddHBand="1" w:evenHBand="0" w:firstRowFirstColumn="0" w:firstRowLastColumn="0" w:lastRowFirstColumn="0" w:lastRowLastColumn="0"/>
              <w:rPr>
                <w:noProof/>
                <w:sz w:val="18"/>
                <w:szCs w:val="18"/>
              </w:rPr>
            </w:pPr>
            <w:r>
              <w:rPr>
                <w:noProof/>
                <w:sz w:val="18"/>
              </w:rPr>
              <w:t>10.</w:t>
            </w:r>
          </w:p>
        </w:tc>
        <w:tc>
          <w:tcPr>
            <w:tcW w:w="4678" w:type="dxa"/>
            <w:vMerge/>
          </w:tcPr>
          <w:p w14:paraId="3A6C9702" w14:textId="77777777" w:rsidR="00855155" w:rsidRPr="008562DF" w:rsidRDefault="00855155" w:rsidP="00855155">
            <w:pPr>
              <w:cnfStyle w:val="000000100000" w:firstRow="0" w:lastRow="0" w:firstColumn="0" w:lastColumn="0" w:oddVBand="0" w:evenVBand="0" w:oddHBand="1" w:evenHBand="0" w:firstRowFirstColumn="0" w:firstRowLastColumn="0" w:lastRowFirstColumn="0" w:lastRowLastColumn="0"/>
              <w:rPr>
                <w:noProof/>
                <w:sz w:val="18"/>
                <w:szCs w:val="18"/>
              </w:rPr>
            </w:pPr>
          </w:p>
        </w:tc>
      </w:tr>
      <w:tr w:rsidR="00855155" w:rsidRPr="008562DF" w14:paraId="25619B42" w14:textId="77777777" w:rsidTr="04A2D39D">
        <w:trPr>
          <w:trHeight w:val="20"/>
        </w:trPr>
        <w:tc>
          <w:tcPr>
            <w:cnfStyle w:val="001000000000" w:firstRow="0" w:lastRow="0" w:firstColumn="1" w:lastColumn="0" w:oddVBand="0" w:evenVBand="0" w:oddHBand="0" w:evenHBand="0" w:firstRowFirstColumn="0" w:firstRowLastColumn="0" w:lastRowFirstColumn="0" w:lastRowLastColumn="0"/>
            <w:tcW w:w="1664" w:type="dxa"/>
            <w:shd w:val="clear" w:color="auto" w:fill="auto"/>
          </w:tcPr>
          <w:p w14:paraId="18225424" w14:textId="77777777" w:rsidR="00855155" w:rsidRPr="008562DF" w:rsidRDefault="00855155" w:rsidP="00855155">
            <w:pPr>
              <w:rPr>
                <w:noProof/>
                <w:sz w:val="18"/>
                <w:szCs w:val="18"/>
              </w:rPr>
            </w:pPr>
            <w:r>
              <w:rPr>
                <w:noProof/>
                <w:color w:val="034EA2" w:themeColor="accent1"/>
                <w:sz w:val="18"/>
              </w:rPr>
              <w:t>Likvidumo valdymas</w:t>
            </w:r>
          </w:p>
        </w:tc>
        <w:tc>
          <w:tcPr>
            <w:tcW w:w="3264" w:type="dxa"/>
            <w:shd w:val="clear" w:color="auto" w:fill="auto"/>
          </w:tcPr>
          <w:p w14:paraId="7802AAF0" w14:textId="78E36A07" w:rsidR="00855155" w:rsidRPr="008562DF" w:rsidRDefault="00855155" w:rsidP="00855155">
            <w:pPr>
              <w:jc w:val="left"/>
              <w:cnfStyle w:val="000000000000" w:firstRow="0" w:lastRow="0" w:firstColumn="0" w:lastColumn="0" w:oddVBand="0" w:evenVBand="0" w:oddHBand="0" w:evenHBand="0" w:firstRowFirstColumn="0" w:firstRowLastColumn="0" w:lastRowFirstColumn="0" w:lastRowLastColumn="0"/>
              <w:rPr>
                <w:noProof/>
                <w:sz w:val="18"/>
                <w:szCs w:val="18"/>
              </w:rPr>
            </w:pPr>
            <w:r>
              <w:rPr>
                <w:noProof/>
                <w:sz w:val="18"/>
              </w:rPr>
              <w:t>Likvidumo fondo valdymas atsižvelgiant į mokėjimo įsipareigojimus, išmokų poreikius ir pinigų atsargų sąnaudas, tinkamai reaguojant į vyraujančias rinkos sąlygas.</w:t>
            </w:r>
          </w:p>
        </w:tc>
        <w:tc>
          <w:tcPr>
            <w:tcW w:w="2268" w:type="dxa"/>
            <w:shd w:val="clear" w:color="auto" w:fill="auto"/>
          </w:tcPr>
          <w:p w14:paraId="1964AC6E" w14:textId="77777777" w:rsidR="00855155" w:rsidRPr="008562DF" w:rsidRDefault="00855155" w:rsidP="00855155">
            <w:pPr>
              <w:pStyle w:val="ListParagraph"/>
              <w:numPr>
                <w:ilvl w:val="0"/>
                <w:numId w:val="25"/>
              </w:numPr>
              <w:spacing w:after="40" w:line="240" w:lineRule="auto"/>
              <w:ind w:left="226" w:hanging="113"/>
              <w:contextualSpacing w:val="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i/>
                <w:iCs/>
                <w:noProof/>
                <w:sz w:val="18"/>
                <w:szCs w:val="18"/>
              </w:rPr>
            </w:pPr>
            <w:r>
              <w:rPr>
                <w:rFonts w:ascii="EC Square Sans Pro" w:hAnsi="EC Square Sans Pro"/>
                <w:i/>
                <w:noProof/>
                <w:sz w:val="18"/>
              </w:rPr>
              <w:t>Neįvykdytų mokėjimų dėl likvidumo trūkumo atvejų skaičius</w:t>
            </w:r>
          </w:p>
        </w:tc>
        <w:tc>
          <w:tcPr>
            <w:tcW w:w="2551" w:type="dxa"/>
            <w:shd w:val="clear" w:color="auto" w:fill="auto"/>
          </w:tcPr>
          <w:p w14:paraId="4637B986" w14:textId="77777777" w:rsidR="00855155" w:rsidRPr="008562DF" w:rsidRDefault="00855155" w:rsidP="00855155">
            <w:pPr>
              <w:jc w:val="left"/>
              <w:cnfStyle w:val="000000000000" w:firstRow="0" w:lastRow="0" w:firstColumn="0" w:lastColumn="0" w:oddVBand="0" w:evenVBand="0" w:oddHBand="0" w:evenHBand="0" w:firstRowFirstColumn="0" w:firstRowLastColumn="0" w:lastRowFirstColumn="0" w:lastRowLastColumn="0"/>
              <w:rPr>
                <w:noProof/>
                <w:sz w:val="18"/>
                <w:szCs w:val="18"/>
              </w:rPr>
            </w:pPr>
            <w:r>
              <w:rPr>
                <w:noProof/>
                <w:sz w:val="18"/>
              </w:rPr>
              <w:t>Nėra</w:t>
            </w:r>
          </w:p>
        </w:tc>
        <w:tc>
          <w:tcPr>
            <w:tcW w:w="4678" w:type="dxa"/>
            <w:shd w:val="clear" w:color="auto" w:fill="auto"/>
          </w:tcPr>
          <w:p w14:paraId="62D5210B" w14:textId="188CFE01" w:rsidR="00855155" w:rsidRPr="008562DF"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r>
              <w:rPr>
                <w:noProof/>
                <w:sz w:val="18"/>
              </w:rPr>
              <w:t>Komisija patenkino visus išmokų poreikius ir 2024 m. antrąjį pusmetį neatsiskaitymo atvejų nebuvo.</w:t>
            </w:r>
          </w:p>
        </w:tc>
      </w:tr>
      <w:tr w:rsidR="00855155" w:rsidRPr="008562DF" w14:paraId="1DDCD7DB" w14:textId="77777777" w:rsidTr="04A2D3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4" w:type="dxa"/>
            <w:shd w:val="clear" w:color="auto" w:fill="auto"/>
          </w:tcPr>
          <w:p w14:paraId="2C8DFAE9" w14:textId="77777777" w:rsidR="00855155" w:rsidRPr="008562DF" w:rsidRDefault="00855155" w:rsidP="00855155">
            <w:pPr>
              <w:jc w:val="left"/>
              <w:rPr>
                <w:noProof/>
                <w:sz w:val="18"/>
                <w:szCs w:val="18"/>
              </w:rPr>
            </w:pPr>
            <w:r>
              <w:rPr>
                <w:noProof/>
                <w:color w:val="034EA2" w:themeColor="accent1"/>
                <w:sz w:val="18"/>
              </w:rPr>
              <w:t>Pirminių maklerių tinklas</w:t>
            </w:r>
          </w:p>
        </w:tc>
        <w:tc>
          <w:tcPr>
            <w:tcW w:w="3264" w:type="dxa"/>
            <w:shd w:val="clear" w:color="auto" w:fill="auto"/>
          </w:tcPr>
          <w:p w14:paraId="5DDF7E81" w14:textId="3BDD073C" w:rsidR="00855155" w:rsidRPr="008562DF" w:rsidRDefault="00855155" w:rsidP="00855155">
            <w:pPr>
              <w:cnfStyle w:val="000000100000" w:firstRow="0" w:lastRow="0" w:firstColumn="0" w:lastColumn="0" w:oddVBand="0" w:evenVBand="0" w:oddHBand="1" w:evenHBand="0" w:firstRowFirstColumn="0" w:firstRowLastColumn="0" w:lastRowFirstColumn="0" w:lastRowLastColumn="0"/>
              <w:rPr>
                <w:noProof/>
                <w:sz w:val="18"/>
                <w:szCs w:val="18"/>
              </w:rPr>
            </w:pPr>
            <w:r>
              <w:rPr>
                <w:noProof/>
                <w:sz w:val="18"/>
              </w:rPr>
              <w:t>Pritraukti įvairių finansų įstaigų, tvirtai įsipareigojančių remti ES emisijas.</w:t>
            </w:r>
          </w:p>
        </w:tc>
        <w:tc>
          <w:tcPr>
            <w:tcW w:w="2268" w:type="dxa"/>
            <w:shd w:val="clear" w:color="auto" w:fill="auto"/>
          </w:tcPr>
          <w:p w14:paraId="62050E1A" w14:textId="7039DD80" w:rsidR="00855155" w:rsidRPr="008562DF" w:rsidRDefault="00855155" w:rsidP="00855155">
            <w:pPr>
              <w:pStyle w:val="ListParagraph"/>
              <w:numPr>
                <w:ilvl w:val="0"/>
                <w:numId w:val="13"/>
              </w:numPr>
              <w:spacing w:after="40" w:line="240" w:lineRule="auto"/>
              <w:ind w:left="226" w:hanging="113"/>
              <w:contextualSpacing w:val="0"/>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i/>
                <w:iCs/>
                <w:noProof/>
                <w:sz w:val="18"/>
                <w:szCs w:val="18"/>
              </w:rPr>
            </w:pPr>
            <w:bookmarkStart w:id="75" w:name="_Hlk187078956"/>
            <w:r>
              <w:rPr>
                <w:rFonts w:ascii="EC Square Sans Pro" w:hAnsi="EC Square Sans Pro"/>
                <w:i/>
                <w:noProof/>
                <w:sz w:val="18"/>
              </w:rPr>
              <w:t>Įstaigų, kurios per pastaruosius šešis mėnesius pasirašė emisijos platinimo įsipareigojimus, skaičius</w:t>
            </w:r>
            <w:bookmarkEnd w:id="75"/>
          </w:p>
        </w:tc>
        <w:tc>
          <w:tcPr>
            <w:tcW w:w="2551" w:type="dxa"/>
            <w:shd w:val="clear" w:color="auto" w:fill="auto"/>
          </w:tcPr>
          <w:p w14:paraId="76FAE338" w14:textId="14B1E47F" w:rsidR="00855155" w:rsidRPr="008562DF" w:rsidRDefault="00855155" w:rsidP="00855155">
            <w:pPr>
              <w:jc w:val="left"/>
              <w:cnfStyle w:val="000000100000" w:firstRow="0" w:lastRow="0" w:firstColumn="0" w:lastColumn="0" w:oddVBand="0" w:evenVBand="0" w:oddHBand="1" w:evenHBand="0" w:firstRowFirstColumn="0" w:firstRowLastColumn="0" w:lastRowFirstColumn="0" w:lastRowLastColumn="0"/>
              <w:rPr>
                <w:noProof/>
                <w:sz w:val="18"/>
                <w:szCs w:val="18"/>
              </w:rPr>
            </w:pPr>
            <w:r>
              <w:rPr>
                <w:noProof/>
                <w:sz w:val="18"/>
              </w:rPr>
              <w:t>15 (palyginti su 19 2024 m. pirmąjį pusmetį)</w:t>
            </w:r>
          </w:p>
        </w:tc>
        <w:tc>
          <w:tcPr>
            <w:tcW w:w="4678" w:type="dxa"/>
            <w:shd w:val="clear" w:color="auto" w:fill="auto"/>
          </w:tcPr>
          <w:p w14:paraId="11EBCB24" w14:textId="60E17C19" w:rsidR="00855155" w:rsidRPr="008562DF" w:rsidRDefault="00855155" w:rsidP="00855155">
            <w:pPr>
              <w:cnfStyle w:val="000000100000" w:firstRow="0" w:lastRow="0" w:firstColumn="0" w:lastColumn="0" w:oddVBand="0" w:evenVBand="0" w:oddHBand="1" w:evenHBand="0" w:firstRowFirstColumn="0" w:firstRowLastColumn="0" w:lastRowFirstColumn="0" w:lastRowLastColumn="0"/>
              <w:rPr>
                <w:bCs/>
                <w:noProof/>
                <w:sz w:val="18"/>
                <w:szCs w:val="18"/>
              </w:rPr>
            </w:pPr>
            <w:r>
              <w:rPr>
                <w:noProof/>
                <w:sz w:val="18"/>
              </w:rPr>
              <w:t>Komisiją ir toliau rėmė ES pirminiai makleriai, o pakaitomis naudoti sindikuotieji sandoriai padėjo Komisijai kuo geriau pasinaudoti visais bankais, atitinkančiais sindikuotojo sandorio šalių reikalavimus.</w:t>
            </w:r>
          </w:p>
        </w:tc>
      </w:tr>
      <w:tr w:rsidR="00855155" w:rsidRPr="008562DF" w14:paraId="0491B753" w14:textId="77777777" w:rsidTr="04A2D39D">
        <w:trPr>
          <w:trHeight w:val="20"/>
        </w:trPr>
        <w:tc>
          <w:tcPr>
            <w:cnfStyle w:val="001000000000" w:firstRow="0" w:lastRow="0" w:firstColumn="1" w:lastColumn="0" w:oddVBand="0" w:evenVBand="0" w:oddHBand="0" w:evenHBand="0" w:firstRowFirstColumn="0" w:firstRowLastColumn="0" w:lastRowFirstColumn="0" w:lastRowLastColumn="0"/>
            <w:tcW w:w="1664" w:type="dxa"/>
            <w:vMerge w:val="restart"/>
            <w:shd w:val="clear" w:color="auto" w:fill="auto"/>
          </w:tcPr>
          <w:p w14:paraId="3C51B3BE" w14:textId="77777777" w:rsidR="00855155" w:rsidRPr="008562DF" w:rsidRDefault="00855155" w:rsidP="00855155">
            <w:pPr>
              <w:jc w:val="left"/>
              <w:rPr>
                <w:noProof/>
                <w:sz w:val="18"/>
                <w:szCs w:val="18"/>
              </w:rPr>
            </w:pPr>
            <w:r>
              <w:rPr>
                <w:noProof/>
                <w:color w:val="034EA2" w:themeColor="accent1"/>
                <w:sz w:val="18"/>
              </w:rPr>
              <w:t xml:space="preserve">Bendravimas su įvairiais rinkos suinteresuotaisiais subjektais ir kitais emitentais </w:t>
            </w:r>
          </w:p>
        </w:tc>
        <w:tc>
          <w:tcPr>
            <w:tcW w:w="3264" w:type="dxa"/>
            <w:vMerge w:val="restart"/>
            <w:shd w:val="clear" w:color="auto" w:fill="auto"/>
          </w:tcPr>
          <w:p w14:paraId="256948EE" w14:textId="2A730EEC" w:rsidR="00855155" w:rsidRPr="008562DF" w:rsidRDefault="00855155" w:rsidP="00855155">
            <w:pPr>
              <w:jc w:val="left"/>
              <w:cnfStyle w:val="000000000000" w:firstRow="0" w:lastRow="0" w:firstColumn="0" w:lastColumn="0" w:oddVBand="0" w:evenVBand="0" w:oddHBand="0" w:evenHBand="0" w:firstRowFirstColumn="0" w:firstRowLastColumn="0" w:lastRowFirstColumn="0" w:lastRowLastColumn="0"/>
              <w:rPr>
                <w:noProof/>
                <w:sz w:val="18"/>
                <w:szCs w:val="18"/>
              </w:rPr>
            </w:pPr>
            <w:r>
              <w:rPr>
                <w:noProof/>
                <w:sz w:val="18"/>
              </w:rPr>
              <w:t>Išlaikyti ir stiprinti investuotojų bazės, rinkos dalyvių ir kitų emitentų pasitikėjimą, kad būtų palaikoma ES skolos paklausa, o ES geriau perprastų rinkos dinamiką ir investuotojų poreikius.</w:t>
            </w:r>
          </w:p>
        </w:tc>
        <w:tc>
          <w:tcPr>
            <w:tcW w:w="2268" w:type="dxa"/>
            <w:shd w:val="clear" w:color="auto" w:fill="auto"/>
          </w:tcPr>
          <w:p w14:paraId="531FA22F" w14:textId="77777777" w:rsidR="00855155" w:rsidRPr="008562DF" w:rsidRDefault="00855155" w:rsidP="00855155">
            <w:pPr>
              <w:pStyle w:val="ListParagraph"/>
              <w:numPr>
                <w:ilvl w:val="0"/>
                <w:numId w:val="26"/>
              </w:numPr>
              <w:spacing w:after="40"/>
              <w:ind w:left="226" w:hanging="113"/>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i/>
                <w:iCs/>
                <w:noProof/>
                <w:sz w:val="18"/>
                <w:szCs w:val="18"/>
              </w:rPr>
            </w:pPr>
            <w:r>
              <w:rPr>
                <w:rFonts w:ascii="EC Square Sans Pro" w:hAnsi="EC Square Sans Pro"/>
                <w:i/>
                <w:noProof/>
                <w:sz w:val="18"/>
              </w:rPr>
              <w:t xml:space="preserve">Nukrypimai nuo iš anksto paskelbtų finansavimo planų paskelbimo terminų </w:t>
            </w:r>
          </w:p>
        </w:tc>
        <w:tc>
          <w:tcPr>
            <w:tcW w:w="2551" w:type="dxa"/>
            <w:shd w:val="clear" w:color="auto" w:fill="auto"/>
          </w:tcPr>
          <w:p w14:paraId="7F9DC91A" w14:textId="77777777" w:rsidR="00855155" w:rsidRPr="008562DF" w:rsidRDefault="00855155" w:rsidP="00855155">
            <w:pPr>
              <w:jc w:val="left"/>
              <w:cnfStyle w:val="000000000000" w:firstRow="0" w:lastRow="0" w:firstColumn="0" w:lastColumn="0" w:oddVBand="0" w:evenVBand="0" w:oddHBand="0" w:evenHBand="0" w:firstRowFirstColumn="0" w:firstRowLastColumn="0" w:lastRowFirstColumn="0" w:lastRowLastColumn="0"/>
              <w:rPr>
                <w:noProof/>
                <w:sz w:val="18"/>
                <w:szCs w:val="18"/>
              </w:rPr>
            </w:pPr>
            <w:r>
              <w:rPr>
                <w:noProof/>
                <w:sz w:val="18"/>
              </w:rPr>
              <w:t>Nėra</w:t>
            </w:r>
          </w:p>
        </w:tc>
        <w:tc>
          <w:tcPr>
            <w:tcW w:w="4678" w:type="dxa"/>
            <w:vMerge w:val="restart"/>
            <w:shd w:val="clear" w:color="auto" w:fill="auto"/>
          </w:tcPr>
          <w:p w14:paraId="6338D717" w14:textId="77777777" w:rsidR="00855155" w:rsidRPr="00F32988" w:rsidRDefault="00855155" w:rsidP="00855155">
            <w:pPr>
              <w:spacing w:after="120"/>
              <w:cnfStyle w:val="000000000000" w:firstRow="0" w:lastRow="0" w:firstColumn="0" w:lastColumn="0" w:oddVBand="0" w:evenVBand="0" w:oddHBand="0" w:evenHBand="0" w:firstRowFirstColumn="0" w:firstRowLastColumn="0" w:lastRowFirstColumn="0" w:lastRowLastColumn="0"/>
              <w:rPr>
                <w:noProof/>
                <w:sz w:val="18"/>
                <w:szCs w:val="18"/>
              </w:rPr>
            </w:pPr>
            <w:r>
              <w:rPr>
                <w:noProof/>
                <w:sz w:val="18"/>
              </w:rPr>
              <w:t xml:space="preserve">Komisija palaikė reguliarius ir nuspėjamus ryšius su rinkomis, laikydamasi ankstesnių skelbimų. </w:t>
            </w:r>
          </w:p>
          <w:p w14:paraId="16A075E2" w14:textId="74F314A6" w:rsidR="00855155" w:rsidRPr="008562DF" w:rsidRDefault="00F71DFB" w:rsidP="00855155">
            <w:pPr>
              <w:spacing w:after="120"/>
              <w:cnfStyle w:val="000000000000" w:firstRow="0" w:lastRow="0" w:firstColumn="0" w:lastColumn="0" w:oddVBand="0" w:evenVBand="0" w:oddHBand="0" w:evenHBand="0" w:firstRowFirstColumn="0" w:firstRowLastColumn="0" w:lastRowFirstColumn="0" w:lastRowLastColumn="0"/>
              <w:rPr>
                <w:noProof/>
                <w:sz w:val="18"/>
                <w:szCs w:val="18"/>
              </w:rPr>
            </w:pPr>
            <w:r>
              <w:rPr>
                <w:noProof/>
                <w:sz w:val="18"/>
              </w:rPr>
              <w:t>Per 2024 m. antrąjį pusmetį obligacijų aukcionuose dėl patrauklių finansavimo sąlygų užtikrinimo buvo paskirstyta 1 mlrd. EUR mažiau.</w:t>
            </w:r>
          </w:p>
          <w:p w14:paraId="24D7217D" w14:textId="1FAC08E4" w:rsidR="00855155" w:rsidRPr="008562DF" w:rsidRDefault="00855155" w:rsidP="00855155">
            <w:pPr>
              <w:spacing w:after="120"/>
              <w:cnfStyle w:val="000000000000" w:firstRow="0" w:lastRow="0" w:firstColumn="0" w:lastColumn="0" w:oddVBand="0" w:evenVBand="0" w:oddHBand="0" w:evenHBand="0" w:firstRowFirstColumn="0" w:firstRowLastColumn="0" w:lastRowFirstColumn="0" w:lastRowLastColumn="0"/>
              <w:rPr>
                <w:noProof/>
                <w:sz w:val="18"/>
                <w:szCs w:val="18"/>
              </w:rPr>
            </w:pPr>
            <w:r>
              <w:rPr>
                <w:noProof/>
                <w:sz w:val="18"/>
              </w:rPr>
              <w:t>Komisija reguliariai skelbė investuotojų statistiką, kuri išliko stabili, o diversifikuota investuotojų bazė ir toliau didėjo.</w:t>
            </w:r>
          </w:p>
          <w:p w14:paraId="6C2C8FB3" w14:textId="77777777" w:rsidR="00855155" w:rsidRPr="008562DF"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p>
        </w:tc>
      </w:tr>
      <w:tr w:rsidR="00855155" w:rsidRPr="008562DF" w14:paraId="62A4F545" w14:textId="77777777" w:rsidTr="04A2D3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653290D7" w14:textId="77777777" w:rsidR="00855155" w:rsidRPr="008562DF" w:rsidRDefault="00855155" w:rsidP="00855155">
            <w:pPr>
              <w:rPr>
                <w:noProof/>
                <w:color w:val="034EA2" w:themeColor="accent1"/>
                <w:sz w:val="18"/>
                <w:szCs w:val="18"/>
              </w:rPr>
            </w:pPr>
          </w:p>
        </w:tc>
        <w:tc>
          <w:tcPr>
            <w:tcW w:w="3264" w:type="dxa"/>
            <w:vMerge/>
          </w:tcPr>
          <w:p w14:paraId="5FEB6FF4" w14:textId="77777777" w:rsidR="00855155" w:rsidRPr="008562DF" w:rsidRDefault="00855155" w:rsidP="00855155">
            <w:pPr>
              <w:jc w:val="left"/>
              <w:cnfStyle w:val="000000100000" w:firstRow="0" w:lastRow="0" w:firstColumn="0" w:lastColumn="0" w:oddVBand="0" w:evenVBand="0" w:oddHBand="1" w:evenHBand="0" w:firstRowFirstColumn="0" w:firstRowLastColumn="0" w:lastRowFirstColumn="0" w:lastRowLastColumn="0"/>
              <w:rPr>
                <w:noProof/>
                <w:sz w:val="18"/>
                <w:szCs w:val="18"/>
              </w:rPr>
            </w:pPr>
          </w:p>
        </w:tc>
        <w:tc>
          <w:tcPr>
            <w:tcW w:w="2268" w:type="dxa"/>
            <w:shd w:val="clear" w:color="auto" w:fill="auto"/>
          </w:tcPr>
          <w:p w14:paraId="6632DA66" w14:textId="77777777" w:rsidR="00855155" w:rsidRPr="008562DF" w:rsidRDefault="00855155" w:rsidP="00855155">
            <w:pPr>
              <w:pStyle w:val="ListParagraph"/>
              <w:numPr>
                <w:ilvl w:val="0"/>
                <w:numId w:val="26"/>
              </w:numPr>
              <w:spacing w:after="40"/>
              <w:ind w:left="226" w:hanging="113"/>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i/>
                <w:iCs/>
                <w:noProof/>
                <w:sz w:val="18"/>
                <w:szCs w:val="18"/>
              </w:rPr>
            </w:pPr>
            <w:r>
              <w:rPr>
                <w:rFonts w:ascii="EC Square Sans Pro" w:hAnsi="EC Square Sans Pro"/>
                <w:i/>
                <w:noProof/>
                <w:sz w:val="18"/>
              </w:rPr>
              <w:t xml:space="preserve">Nukrypimas nuo finansavimo plane paskelbtos apimties </w:t>
            </w:r>
          </w:p>
        </w:tc>
        <w:tc>
          <w:tcPr>
            <w:tcW w:w="2551" w:type="dxa"/>
            <w:shd w:val="clear" w:color="auto" w:fill="auto"/>
          </w:tcPr>
          <w:p w14:paraId="47F1776F" w14:textId="77777777" w:rsidR="00855155" w:rsidRPr="008562DF" w:rsidRDefault="00855155" w:rsidP="00855155">
            <w:pPr>
              <w:jc w:val="left"/>
              <w:cnfStyle w:val="000000100000" w:firstRow="0" w:lastRow="0" w:firstColumn="0" w:lastColumn="0" w:oddVBand="0" w:evenVBand="0" w:oddHBand="1" w:evenHBand="0" w:firstRowFirstColumn="0" w:firstRowLastColumn="0" w:lastRowFirstColumn="0" w:lastRowLastColumn="0"/>
              <w:rPr>
                <w:noProof/>
                <w:sz w:val="18"/>
                <w:szCs w:val="18"/>
              </w:rPr>
            </w:pPr>
            <w:r>
              <w:rPr>
                <w:noProof/>
                <w:sz w:val="18"/>
              </w:rPr>
              <w:t>Mažiau nei 1 mlrd. EUR arba mažiau nei 2 % (palyginti su mažiau nei 2 % 2024 m. pirmąjį pusmetį).</w:t>
            </w:r>
          </w:p>
        </w:tc>
        <w:tc>
          <w:tcPr>
            <w:tcW w:w="4678" w:type="dxa"/>
            <w:vMerge/>
          </w:tcPr>
          <w:p w14:paraId="157FCB3F" w14:textId="77777777" w:rsidR="00855155" w:rsidRPr="008562DF" w:rsidRDefault="00855155" w:rsidP="00855155">
            <w:pPr>
              <w:cnfStyle w:val="000000100000" w:firstRow="0" w:lastRow="0" w:firstColumn="0" w:lastColumn="0" w:oddVBand="0" w:evenVBand="0" w:oddHBand="1" w:evenHBand="0" w:firstRowFirstColumn="0" w:firstRowLastColumn="0" w:lastRowFirstColumn="0" w:lastRowLastColumn="0"/>
              <w:rPr>
                <w:noProof/>
                <w:sz w:val="18"/>
                <w:szCs w:val="18"/>
              </w:rPr>
            </w:pPr>
          </w:p>
        </w:tc>
      </w:tr>
      <w:tr w:rsidR="00855155" w:rsidRPr="008562DF" w14:paraId="6C55C8BE" w14:textId="77777777" w:rsidTr="04A2D39D">
        <w:trPr>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6D62398C" w14:textId="77777777" w:rsidR="00855155" w:rsidRPr="008562DF" w:rsidRDefault="00855155" w:rsidP="00855155">
            <w:pPr>
              <w:rPr>
                <w:noProof/>
                <w:color w:val="034EA2" w:themeColor="accent1"/>
                <w:sz w:val="18"/>
                <w:szCs w:val="18"/>
              </w:rPr>
            </w:pPr>
          </w:p>
        </w:tc>
        <w:tc>
          <w:tcPr>
            <w:tcW w:w="3264" w:type="dxa"/>
            <w:vMerge/>
          </w:tcPr>
          <w:p w14:paraId="6C4695C2" w14:textId="77777777" w:rsidR="00855155" w:rsidRPr="008562DF" w:rsidRDefault="00855155" w:rsidP="00855155">
            <w:pPr>
              <w:jc w:val="left"/>
              <w:cnfStyle w:val="000000000000" w:firstRow="0" w:lastRow="0" w:firstColumn="0" w:lastColumn="0" w:oddVBand="0" w:evenVBand="0" w:oddHBand="0" w:evenHBand="0" w:firstRowFirstColumn="0" w:firstRowLastColumn="0" w:lastRowFirstColumn="0" w:lastRowLastColumn="0"/>
              <w:rPr>
                <w:noProof/>
                <w:sz w:val="18"/>
                <w:szCs w:val="18"/>
              </w:rPr>
            </w:pPr>
          </w:p>
        </w:tc>
        <w:tc>
          <w:tcPr>
            <w:tcW w:w="2268" w:type="dxa"/>
            <w:shd w:val="clear" w:color="auto" w:fill="auto"/>
          </w:tcPr>
          <w:p w14:paraId="6AEC34E0" w14:textId="77777777" w:rsidR="00855155" w:rsidRPr="008562DF" w:rsidRDefault="00855155" w:rsidP="00855155">
            <w:pPr>
              <w:pStyle w:val="ListParagraph"/>
              <w:numPr>
                <w:ilvl w:val="0"/>
                <w:numId w:val="26"/>
              </w:numPr>
              <w:spacing w:after="40"/>
              <w:ind w:left="226" w:hanging="113"/>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i/>
                <w:iCs/>
                <w:noProof/>
                <w:sz w:val="18"/>
                <w:szCs w:val="18"/>
              </w:rPr>
            </w:pPr>
            <w:r>
              <w:rPr>
                <w:rFonts w:ascii="EC Square Sans Pro" w:hAnsi="EC Square Sans Pro"/>
                <w:i/>
                <w:noProof/>
                <w:sz w:val="18"/>
              </w:rPr>
              <w:t>Investuotojų pasiskirstymo statistika</w:t>
            </w:r>
          </w:p>
        </w:tc>
        <w:tc>
          <w:tcPr>
            <w:tcW w:w="2551" w:type="dxa"/>
            <w:shd w:val="clear" w:color="auto" w:fill="auto"/>
          </w:tcPr>
          <w:p w14:paraId="43E73872" w14:textId="77777777" w:rsidR="00855155" w:rsidRPr="00B54EDF" w:rsidRDefault="00855155" w:rsidP="00855155">
            <w:pPr>
              <w:jc w:val="left"/>
              <w:cnfStyle w:val="000000000000" w:firstRow="0" w:lastRow="0" w:firstColumn="0" w:lastColumn="0" w:oddVBand="0" w:evenVBand="0" w:oddHBand="0" w:evenHBand="0" w:firstRowFirstColumn="0" w:firstRowLastColumn="0" w:lastRowFirstColumn="0" w:lastRowLastColumn="0"/>
              <w:rPr>
                <w:noProof/>
                <w:sz w:val="18"/>
                <w:szCs w:val="18"/>
              </w:rPr>
            </w:pPr>
            <w:r>
              <w:rPr>
                <w:noProof/>
                <w:sz w:val="18"/>
              </w:rPr>
              <w:t xml:space="preserve">Pagal rūšį: </w:t>
            </w:r>
          </w:p>
          <w:p w14:paraId="186D47DB" w14:textId="1FA18E5F" w:rsidR="00855155" w:rsidRPr="00B54EDF" w:rsidRDefault="00855155" w:rsidP="00855155">
            <w:pPr>
              <w:jc w:val="left"/>
              <w:cnfStyle w:val="000000000000" w:firstRow="0" w:lastRow="0" w:firstColumn="0" w:lastColumn="0" w:oddVBand="0" w:evenVBand="0" w:oddHBand="0" w:evenHBand="0" w:firstRowFirstColumn="0" w:firstRowLastColumn="0" w:lastRowFirstColumn="0" w:lastRowLastColumn="0"/>
              <w:rPr>
                <w:noProof/>
                <w:sz w:val="18"/>
                <w:szCs w:val="18"/>
              </w:rPr>
            </w:pPr>
            <w:r>
              <w:rPr>
                <w:noProof/>
                <w:sz w:val="18"/>
              </w:rPr>
              <w:t xml:space="preserve">centriniai bankai / viešosios įstaigos – 25,1 %, fondų valdytojai – 22,5 %, bankų iždai – 21,9 %, draudimo ir pensijų fondai – 20,5 %, bankai – 7,3 %, rizikos draudimo fondai – 2,6 % </w:t>
            </w:r>
          </w:p>
          <w:p w14:paraId="04AC14B1" w14:textId="630E0D44" w:rsidR="00855155" w:rsidRPr="008562DF" w:rsidRDefault="00855155" w:rsidP="00855155">
            <w:pPr>
              <w:jc w:val="left"/>
              <w:cnfStyle w:val="000000000000" w:firstRow="0" w:lastRow="0" w:firstColumn="0" w:lastColumn="0" w:oddVBand="0" w:evenVBand="0" w:oddHBand="0" w:evenHBand="0" w:firstRowFirstColumn="0" w:firstRowLastColumn="0" w:lastRowFirstColumn="0" w:lastRowLastColumn="0"/>
              <w:rPr>
                <w:noProof/>
                <w:sz w:val="18"/>
                <w:szCs w:val="18"/>
              </w:rPr>
            </w:pPr>
            <w:r>
              <w:rPr>
                <w:noProof/>
                <w:sz w:val="18"/>
              </w:rPr>
              <w:t>Pagal šalį / regioną: Jungtinė Karalystė – 19,4 %, Šiaurės šalys – 12,4 %, Prancūzija – 11,7 %, Beniliukso šalys – 9,2 %, Italija – 8,8 %, Azija ir Ramiojo vandenyno regionas – 8,2 %, Vokietija – 8,1 %, Pirėnų pusiasalis – 7,9 %, kitos ES šalys – 7,4 %, kitos Europos šalys (ne ES) – 2,6 %, Šiaurės ir Pietų Amerika – 2,2 %, Artimieji Rytai ir Afrika – 2,0 %.</w:t>
            </w:r>
          </w:p>
        </w:tc>
        <w:tc>
          <w:tcPr>
            <w:tcW w:w="4678" w:type="dxa"/>
            <w:vMerge/>
          </w:tcPr>
          <w:p w14:paraId="58A27B01" w14:textId="77777777" w:rsidR="00855155" w:rsidRPr="008562DF"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p>
        </w:tc>
      </w:tr>
    </w:tbl>
    <w:p w14:paraId="07037DC9" w14:textId="77777777" w:rsidR="00515675" w:rsidRPr="003F16EC" w:rsidRDefault="00515675" w:rsidP="00515675">
      <w:pPr>
        <w:rPr>
          <w:b/>
          <w:bCs/>
          <w:noProof/>
          <w:color w:val="034EA2" w:themeColor="accent1"/>
        </w:rPr>
      </w:pPr>
    </w:p>
    <w:sectPr w:rsidR="00515675" w:rsidRPr="003F16EC" w:rsidSect="00A046A3">
      <w:headerReference w:type="even" r:id="rId51"/>
      <w:headerReference w:type="default" r:id="rId52"/>
      <w:footerReference w:type="even" r:id="rId53"/>
      <w:footerReference w:type="default" r:id="rId54"/>
      <w:headerReference w:type="first" r:id="rId55"/>
      <w:footerReference w:type="first" r:id="rId56"/>
      <w:pgSz w:w="16839" w:h="11907" w:orient="landscape"/>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AA1D2" w14:textId="77777777" w:rsidR="0064354F" w:rsidRDefault="0064354F" w:rsidP="008B6253">
      <w:pPr>
        <w:spacing w:after="0"/>
      </w:pPr>
      <w:r>
        <w:separator/>
      </w:r>
    </w:p>
  </w:endnote>
  <w:endnote w:type="continuationSeparator" w:id="0">
    <w:p w14:paraId="47AE044C" w14:textId="77777777" w:rsidR="0064354F" w:rsidRDefault="0064354F" w:rsidP="008B6253">
      <w:pPr>
        <w:spacing w:after="0"/>
      </w:pPr>
      <w:r>
        <w:continuationSeparator/>
      </w:r>
    </w:p>
  </w:endnote>
  <w:endnote w:type="continuationNotice" w:id="1">
    <w:p w14:paraId="4A278816" w14:textId="77777777" w:rsidR="0064354F" w:rsidRDefault="006435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C Square Sans Pro">
    <w:altName w:val="Bahnschrift Light"/>
    <w:charset w:val="00"/>
    <w:family w:val="swiss"/>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unga">
    <w:panose1 w:val="00000400000000000000"/>
    <w:charset w:val="00"/>
    <w:family w:val="swiss"/>
    <w:pitch w:val="variable"/>
    <w:sig w:usb0="004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49657" w14:textId="37CCED6C" w:rsidR="0091187A" w:rsidRPr="0091187A" w:rsidRDefault="0091187A" w:rsidP="0091187A">
    <w:pPr>
      <w:pStyle w:val="FooterCoverPage"/>
      <w:rPr>
        <w:rFonts w:ascii="Arial" w:hAnsi="Arial" w:cs="Arial"/>
        <w:b/>
        <w:sz w:val="48"/>
      </w:rPr>
    </w:pPr>
    <w:r w:rsidRPr="0091187A">
      <w:rPr>
        <w:rFonts w:ascii="Arial" w:hAnsi="Arial" w:cs="Arial"/>
        <w:b/>
        <w:sz w:val="48"/>
      </w:rPr>
      <w:t>LT</w:t>
    </w:r>
    <w:r w:rsidRPr="0091187A">
      <w:rPr>
        <w:rFonts w:ascii="Arial" w:hAnsi="Arial" w:cs="Arial"/>
        <w:b/>
        <w:sz w:val="48"/>
      </w:rPr>
      <w:tab/>
    </w:r>
    <w:r w:rsidRPr="0091187A">
      <w:rPr>
        <w:rFonts w:ascii="Arial" w:hAnsi="Arial" w:cs="Arial"/>
        <w:b/>
        <w:sz w:val="48"/>
      </w:rPr>
      <w:tab/>
    </w:r>
    <w:r w:rsidRPr="0091187A">
      <w:tab/>
    </w:r>
    <w:r w:rsidRPr="0091187A">
      <w:rPr>
        <w:rFonts w:ascii="Arial" w:hAnsi="Arial" w:cs="Arial"/>
        <w:b/>
        <w:sz w:val="48"/>
      </w:rPr>
      <w:t>LT</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2FFC7" w14:textId="77777777" w:rsidR="001C2621" w:rsidRDefault="001C262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C1F71" w14:textId="649A40BC" w:rsidR="001C2621" w:rsidRDefault="001C2621">
    <w:pPr>
      <w:pStyle w:val="Footer"/>
      <w:jc w:val="center"/>
      <w:rPr>
        <w:noProof/>
      </w:rPr>
    </w:pPr>
    <w:r>
      <w:fldChar w:fldCharType="begin"/>
    </w:r>
    <w:r>
      <w:instrText xml:space="preserve"> PAGE   \* MERGEFORMAT </w:instrText>
    </w:r>
    <w:r>
      <w:fldChar w:fldCharType="separate"/>
    </w:r>
    <w:r w:rsidR="004A00F6">
      <w:t>10</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4856E" w14:textId="77777777" w:rsidR="001C2621" w:rsidRDefault="001C26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1D35C" w14:textId="51693E57" w:rsidR="0091187A" w:rsidRPr="0091187A" w:rsidRDefault="0091187A" w:rsidP="0091187A">
    <w:pPr>
      <w:pStyle w:val="FooterCoverPage"/>
      <w:rPr>
        <w:rFonts w:ascii="Arial" w:hAnsi="Arial" w:cs="Arial"/>
        <w:b/>
        <w:sz w:val="48"/>
      </w:rPr>
    </w:pPr>
    <w:r w:rsidRPr="0091187A">
      <w:rPr>
        <w:rFonts w:ascii="Arial" w:hAnsi="Arial" w:cs="Arial"/>
        <w:b/>
        <w:sz w:val="48"/>
      </w:rPr>
      <w:t>LT</w:t>
    </w:r>
    <w:r w:rsidRPr="0091187A">
      <w:rPr>
        <w:rFonts w:ascii="Arial" w:hAnsi="Arial" w:cs="Arial"/>
        <w:b/>
        <w:sz w:val="48"/>
      </w:rPr>
      <w:tab/>
    </w:r>
    <w:r w:rsidRPr="0091187A">
      <w:rPr>
        <w:rFonts w:ascii="Arial" w:hAnsi="Arial" w:cs="Arial"/>
        <w:b/>
        <w:sz w:val="48"/>
      </w:rPr>
      <w:tab/>
    </w:r>
    <w:r w:rsidRPr="0091187A">
      <w:tab/>
    </w:r>
    <w:r w:rsidRPr="0091187A">
      <w:rPr>
        <w:rFonts w:ascii="Arial" w:hAnsi="Arial" w:cs="Arial"/>
        <w:b/>
        <w:sz w:val="48"/>
      </w:rPr>
      <w:t>LT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BE4CE" w14:textId="77777777" w:rsidR="0091187A" w:rsidRPr="0091187A" w:rsidRDefault="0091187A" w:rsidP="0091187A">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073F5" w14:textId="77777777" w:rsidR="001C2621" w:rsidRDefault="001C262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FC523" w14:textId="77777777" w:rsidR="001C2621" w:rsidRPr="007352EE" w:rsidRDefault="001C2621" w:rsidP="00BD68A5">
    <w:pPr>
      <w:pStyle w:val="FooterCoverPage"/>
      <w:rPr>
        <w:rFonts w:ascii="Arial" w:hAnsi="Arial" w:cs="Arial"/>
        <w:b/>
        <w:sz w:val="48"/>
      </w:rPr>
    </w:pPr>
    <w:r>
      <w:rPr>
        <w:rFonts w:ascii="Arial" w:hAnsi="Arial"/>
        <w:b/>
        <w:sz w:val="48"/>
      </w:rPr>
      <w:t>LT</w:t>
    </w:r>
    <w:r>
      <w:rPr>
        <w:rFonts w:ascii="Arial" w:hAnsi="Arial"/>
        <w:b/>
        <w:sz w:val="48"/>
      </w:rPr>
      <w:tab/>
    </w:r>
    <w:r>
      <w:rPr>
        <w:rFonts w:ascii="Arial" w:hAnsi="Arial"/>
        <w:b/>
        <w:sz w:val="48"/>
      </w:rPr>
      <w:tab/>
    </w:r>
    <w:r>
      <w:tab/>
    </w:r>
    <w:r>
      <w:rPr>
        <w:rFonts w:ascii="Arial" w:hAnsi="Arial"/>
        <w:b/>
        <w:sz w:val="48"/>
      </w:rPr>
      <w:t>LT</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E83E4" w14:textId="77777777" w:rsidR="001C2621" w:rsidRDefault="001C262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9B17A" w14:textId="77777777" w:rsidR="001C2621" w:rsidRDefault="001C262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095215"/>
      <w:docPartObj>
        <w:docPartGallery w:val="Page Numbers (Bottom of Page)"/>
        <w:docPartUnique/>
      </w:docPartObj>
    </w:sdtPr>
    <w:sdtEndPr>
      <w:rPr>
        <w:noProof/>
      </w:rPr>
    </w:sdtEndPr>
    <w:sdtContent>
      <w:p w14:paraId="19D1479D" w14:textId="789BA3BE" w:rsidR="001C2621" w:rsidRDefault="001C2621">
        <w:pPr>
          <w:pStyle w:val="Footer"/>
          <w:jc w:val="right"/>
        </w:pPr>
        <w:r>
          <w:fldChar w:fldCharType="begin"/>
        </w:r>
        <w:r>
          <w:instrText xml:space="preserve"> PAGE   \* MERGEFORMAT </w:instrText>
        </w:r>
        <w:r>
          <w:fldChar w:fldCharType="separate"/>
        </w:r>
        <w:r w:rsidR="0091187A">
          <w:rPr>
            <w:noProof/>
          </w:rPr>
          <w:t>9</w:t>
        </w:r>
        <w:r>
          <w:fldChar w:fldCharType="end"/>
        </w:r>
      </w:p>
    </w:sdtContent>
  </w:sdt>
  <w:p w14:paraId="0CB50D4F" w14:textId="77777777" w:rsidR="001C2621" w:rsidRDefault="001C262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D0206" w14:textId="77777777" w:rsidR="001C2621" w:rsidRDefault="001C2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8878E" w14:textId="77777777" w:rsidR="0064354F" w:rsidRDefault="0064354F" w:rsidP="008B6253">
      <w:pPr>
        <w:spacing w:after="0"/>
      </w:pPr>
      <w:r>
        <w:separator/>
      </w:r>
    </w:p>
  </w:footnote>
  <w:footnote w:type="continuationSeparator" w:id="0">
    <w:p w14:paraId="02904CD4" w14:textId="77777777" w:rsidR="0064354F" w:rsidRDefault="0064354F" w:rsidP="008B6253">
      <w:pPr>
        <w:spacing w:after="0"/>
      </w:pPr>
      <w:r>
        <w:continuationSeparator/>
      </w:r>
    </w:p>
  </w:footnote>
  <w:footnote w:type="continuationNotice" w:id="1">
    <w:p w14:paraId="52232718" w14:textId="77777777" w:rsidR="0064354F" w:rsidRDefault="0064354F">
      <w:pPr>
        <w:spacing w:after="0"/>
      </w:pPr>
    </w:p>
  </w:footnote>
  <w:footnote w:id="2">
    <w:p w14:paraId="36A6D2BF" w14:textId="0FDCEEA8" w:rsidR="00072047" w:rsidRPr="000659B4" w:rsidRDefault="00072047" w:rsidP="00072047">
      <w:pPr>
        <w:pStyle w:val="FootnoteText"/>
        <w:ind w:left="0" w:firstLine="0"/>
      </w:pPr>
      <w:r>
        <w:rPr>
          <w:rStyle w:val="FootnoteReference"/>
        </w:rPr>
        <w:footnoteRef/>
      </w:r>
      <w:r>
        <w:t xml:space="preserve"> Pagal išlaidų paskirstymo metodiką, nustatytą Komisijos įgyvendinimo sprendime (ES) 2024/1974.</w:t>
      </w:r>
    </w:p>
  </w:footnote>
  <w:footnote w:id="3">
    <w:p w14:paraId="7D8748D8" w14:textId="77777777" w:rsidR="00F333BA" w:rsidRPr="001A5608" w:rsidRDefault="00F333BA" w:rsidP="00F333BA">
      <w:pPr>
        <w:pStyle w:val="FootnoteText"/>
      </w:pPr>
      <w:r>
        <w:rPr>
          <w:rStyle w:val="FootnoteReference"/>
        </w:rPr>
        <w:footnoteRef/>
      </w:r>
      <w:r>
        <w:rPr>
          <w:rStyle w:val="FootnoteReference"/>
        </w:rPr>
        <w:t xml:space="preserve"> </w:t>
      </w:r>
      <w:r>
        <w:t>Europos laikinos paramos priemonė nedarbo rizikai dėl ekstremaliosios situacijos mažinti (SURE).</w:t>
      </w:r>
    </w:p>
  </w:footnote>
  <w:footnote w:id="4">
    <w:p w14:paraId="4A028087" w14:textId="2CBB7C47" w:rsidR="00F333BA" w:rsidRPr="000659B4" w:rsidRDefault="00F333BA" w:rsidP="00F333BA">
      <w:pPr>
        <w:pStyle w:val="FootnoteText"/>
        <w:ind w:left="0" w:firstLine="0"/>
      </w:pPr>
      <w:r>
        <w:rPr>
          <w:rStyle w:val="FootnoteReference"/>
        </w:rPr>
        <w:footnoteRef/>
      </w:r>
      <w:r>
        <w:t xml:space="preserve"> Parengta pagal Komisijos įgyvendinimo sprendimo C(2023)8010 13 straipsnį, kuriame nustatyta skolinimosi ir skolos valdymo operacijų vieningo finansavimo metodo įgyvendinimo tvarka.</w:t>
      </w:r>
    </w:p>
  </w:footnote>
  <w:footnote w:id="5">
    <w:p w14:paraId="5D0990D6" w14:textId="4A9D86F3" w:rsidR="00F333BA" w:rsidRPr="000659B4" w:rsidRDefault="00F333BA" w:rsidP="00F333BA">
      <w:pPr>
        <w:pStyle w:val="FootnoteText"/>
        <w:ind w:left="0" w:firstLine="0"/>
      </w:pPr>
      <w:r>
        <w:rPr>
          <w:rStyle w:val="FootnoteReference"/>
        </w:rPr>
        <w:footnoteRef/>
      </w:r>
      <w:r>
        <w:t xml:space="preserve"> Žr., pavyzdžiui, metines </w:t>
      </w:r>
      <w:hyperlink r:id="rId1" w:history="1">
        <w:r>
          <w:rPr>
            <w:rStyle w:val="Hyperlink"/>
          </w:rPr>
          <w:t>Ekonomikos gaivinimo ir atsparumo didinimo priemonės</w:t>
        </w:r>
      </w:hyperlink>
      <w:r>
        <w:t xml:space="preserve"> ir </w:t>
      </w:r>
      <w:hyperlink r:id="rId2" w:history="1">
        <w:r>
          <w:rPr>
            <w:rStyle w:val="Hyperlink"/>
          </w:rPr>
          <w:t>makrofinansinės pagalbos</w:t>
        </w:r>
      </w:hyperlink>
      <w:r>
        <w:t xml:space="preserve"> ataskaitas ir </w:t>
      </w:r>
      <w:hyperlink r:id="rId3" w:history="1">
        <w:r>
          <w:rPr>
            <w:rStyle w:val="Hyperlink"/>
          </w:rPr>
          <w:t>Priemonės „NextGenerationEU“ žaliųjų obligacijų paskirstymo ir poveikio ataskaitą</w:t>
        </w:r>
      </w:hyperlink>
      <w:r>
        <w:t xml:space="preserve">.  </w:t>
      </w:r>
    </w:p>
  </w:footnote>
  <w:footnote w:id="6">
    <w:p w14:paraId="53063AC2" w14:textId="77777777" w:rsidR="00F333BA" w:rsidRPr="000659B4" w:rsidRDefault="00F333BA" w:rsidP="00F333BA">
      <w:pPr>
        <w:pStyle w:val="FootnoteText"/>
      </w:pPr>
      <w:r>
        <w:rPr>
          <w:rStyle w:val="FootnoteReference"/>
        </w:rPr>
        <w:footnoteRef/>
      </w:r>
      <w:r>
        <w:t xml:space="preserve"> </w:t>
      </w:r>
      <w:hyperlink r:id="rId4" w:history="1">
        <w:r>
          <w:rPr>
            <w:rStyle w:val="Hyperlink"/>
          </w:rPr>
          <w:t>Specialioji ataskaita 16/2023</w:t>
        </w:r>
      </w:hyperlink>
      <w:hyperlink r:id="rId5" w:history="1">
        <w:r>
          <w:rPr>
            <w:rStyle w:val="Hyperlink"/>
          </w:rPr>
          <w:t xml:space="preserve"> „NGEU skolos valdymas Komisijoje“</w:t>
        </w:r>
      </w:hyperlink>
      <w:r>
        <w:t xml:space="preserve"> ir </w:t>
      </w:r>
      <w:hyperlink r:id="rId6" w:history="1">
        <w:r>
          <w:rPr>
            <w:rStyle w:val="Hyperlink"/>
          </w:rPr>
          <w:t>Komisijos atsakymai</w:t>
        </w:r>
      </w:hyperlink>
      <w:r>
        <w:t>.</w:t>
      </w:r>
    </w:p>
  </w:footnote>
  <w:footnote w:id="7">
    <w:p w14:paraId="3108F639" w14:textId="5E67AEF8" w:rsidR="00F333BA" w:rsidRPr="00B551F9" w:rsidRDefault="00F333BA" w:rsidP="00F333BA">
      <w:pPr>
        <w:pStyle w:val="FootnoteText"/>
        <w:ind w:left="0" w:firstLine="0"/>
      </w:pPr>
      <w:r>
        <w:rPr>
          <w:rStyle w:val="FootnoteReference"/>
        </w:rPr>
        <w:footnoteRef/>
      </w:r>
      <w:r>
        <w:t xml:space="preserve"> Visa apimančios skolos valdymo strategijos aprašymas pateiktas 2023 m. sausio 1 d. – 2023 m. birželio 30 d. ES skolinimosi ir skolinimo operacijų įgyvendinimo pusmečio ataskaitoje, žr. ketvirtąją </w:t>
      </w:r>
      <w:hyperlink r:id="rId7" w:history="1">
        <w:r>
          <w:rPr>
            <w:rStyle w:val="Hyperlink"/>
          </w:rPr>
          <w:t>ES skolinimosi ir skolinimo operacijų vykdymo pusmečio ataskaitą (europa.eu)</w:t>
        </w:r>
      </w:hyperlink>
      <w:r>
        <w:t>.</w:t>
      </w:r>
    </w:p>
  </w:footnote>
  <w:footnote w:id="8">
    <w:p w14:paraId="0D2FD9E0" w14:textId="1193A835" w:rsidR="005C414E" w:rsidRPr="00877CA0" w:rsidRDefault="005C414E" w:rsidP="005C414E">
      <w:pPr>
        <w:pStyle w:val="FootnoteText"/>
        <w:ind w:left="113" w:hanging="113"/>
      </w:pPr>
      <w:r>
        <w:rPr>
          <w:rStyle w:val="FootnoteReference"/>
        </w:rPr>
        <w:footnoteRef/>
      </w:r>
      <w:r>
        <w:t xml:space="preserve"> Tai Europos strateginių technologijų platforma (STEP), programa „Europos horizontas“, „InvestEU“ fondas, iniciatyva „REACT-EU“, Sąjungos civilinės saugos mechanizmas (rezervas „rescEU“), Europos žemės ūkio fondas kaimo plėtrai (EŽŪFKP) ir Teisingos pertvarkos fondas.</w:t>
      </w:r>
    </w:p>
  </w:footnote>
  <w:footnote w:id="9">
    <w:p w14:paraId="7FC61A99" w14:textId="7292D153" w:rsidR="005C414E" w:rsidRPr="00C44E47" w:rsidRDefault="005C414E" w:rsidP="005C414E">
      <w:pPr>
        <w:pStyle w:val="FootnoteText"/>
        <w:ind w:left="113" w:hanging="113"/>
      </w:pPr>
      <w:r>
        <w:rPr>
          <w:rStyle w:val="FootnoteReference"/>
        </w:rPr>
        <w:footnoteRef/>
      </w:r>
      <w:r>
        <w:t xml:space="preserve"> Dar 9,6 mlrd. NGEU išlaidų finansuota iš kitų šaltinių (t. y. apyvartinių taršos leidimų prekybos sistemos (ATLPS) ir prisitaikymo prie „Brexit’o“ rezervo).</w:t>
      </w:r>
    </w:p>
  </w:footnote>
  <w:footnote w:id="10">
    <w:p w14:paraId="0AF853BC" w14:textId="2DC1F04B" w:rsidR="001C2621" w:rsidRPr="00C44E47" w:rsidRDefault="001C2621" w:rsidP="00456D3B">
      <w:pPr>
        <w:pStyle w:val="FootnoteText"/>
        <w:ind w:left="113" w:hanging="113"/>
      </w:pPr>
      <w:r>
        <w:rPr>
          <w:rStyle w:val="FootnoteReference"/>
        </w:rPr>
        <w:footnoteRef/>
      </w:r>
      <w:r>
        <w:t xml:space="preserve"> </w:t>
      </w:r>
      <w:bookmarkStart w:id="41" w:name="_Hlk187333391"/>
      <w:r>
        <w:t>Iki šiol per sindikuotuosius sandorius išleistomis ES obligacijomis iš viso pritraukta daugiau kaip 1 900 įvairių investuotojų iš daugiau kaip 70 skirtingų šalių. Daugiau kaip 65 % investicijų į ES obligacijų sindikuotuosius sandorius atliko ES įsikūrę investuotojai, o beveik 20 % investavo tarptautiniai investuotojai, veikiantys Jungtinėje Karalystėje. Likusią dalį sudarė tarptautiniai investuotojai iš Azijos ar kitų ES nepriklausančių Europos šalių, pavyzdžiui, Norvegijos ir Šveicarijos. Daugiau kaip 65 % išleistų ES obligacijų įsigijo investuotojai, kurie jas įsigyja ir laiko (t. y. fondų valdytojai, draudimo bendrovės, pensijų fondai ir centriniai bankai / viešosios įstaigos). Taip pat yra nemažai investuotojų, kurie pageidauja skirtingų išpirkimo terminų priemonių. Apie 47 % ES obligacijų pirminėse rinkose per sindikuotuosius sandorius yra įsigiję centriniai bankai / viešosios įstaigos ir bankų iždai (kurie paprastai teikia pirmenybę iki 10 metų termino obligacijoms), o daugiau nei 20 % ES obligacijų yra įsigiję pensijų fondai ir draudimo bendrovės (kurie teikia pirmenybę ilgesnio nei 10 metų išpirkimo termino obligacijoms).</w:t>
      </w:r>
      <w:bookmarkEnd w:id="41"/>
    </w:p>
  </w:footnote>
  <w:footnote w:id="11">
    <w:p w14:paraId="24050A48" w14:textId="3C0AF7D2" w:rsidR="001C2621" w:rsidRPr="006839E6" w:rsidRDefault="001C2621" w:rsidP="006839E6">
      <w:pPr>
        <w:pStyle w:val="FootnoteText"/>
        <w:ind w:left="113" w:hanging="113"/>
      </w:pPr>
      <w:r>
        <w:rPr>
          <w:rStyle w:val="FootnoteReference"/>
        </w:rPr>
        <w:footnoteRef/>
      </w:r>
      <w:r>
        <w:t xml:space="preserve"> Šį naujos emisijos priedą emitentas moka siekdamas įtikinti investuotojus pirkti jo obligacijas pirminėje, o ne antrinėje rinkoje. </w:t>
      </w:r>
    </w:p>
  </w:footnote>
  <w:footnote w:id="12">
    <w:p w14:paraId="734BE8F3" w14:textId="1AA043BC" w:rsidR="009E499F" w:rsidRPr="00C83356" w:rsidRDefault="009E499F" w:rsidP="009E499F">
      <w:pPr>
        <w:pStyle w:val="FootnoteText"/>
        <w:ind w:left="113" w:hanging="113"/>
      </w:pPr>
      <w:r>
        <w:rPr>
          <w:rStyle w:val="FootnoteReference"/>
        </w:rPr>
        <w:footnoteRef/>
      </w:r>
      <w:r>
        <w:rPr>
          <w:rStyle w:val="FootnoteReference"/>
        </w:rPr>
        <w:t xml:space="preserve"> </w:t>
      </w:r>
      <w:r>
        <w:t>Kalbant apie „NextGenerationEU“, patirtos palūkanų išlaidos priskiriamos ES biudžetui ir paskolas gaunančioms valstybėms narėms pagal Komisijos įgyvendinimo sprendime (ES) 2021/1095 ir jį pakeitusiuose Komisijos įgyvendinimo sprendime (ES) 2022/9701 ir Komisijos įgyvendinimo sprendime (ES) 2024/1974 nustatytą metodiką. Šioje metodikoje išskiriamos trys skirtingos išlaidų kategorijos: i) finansavimo išlaidos negrąžintinai paramai ir paskolų išmokėjimui finansuoti, apskaičiuotos šešių mėnesių laikotarpiams, ii) likvidumo atsargų ir valdymo išlaidos ir iii) administracinės išlaidos. 2024 m. antrąjį pusmetį įsigaliojus Komisijos įgyvendinimo sprendimui (ES, Euratomas) 2024/1974, tapo įmanomas skirstymas pagal atskiras programas. Siekiant išvengti atgalinio poveikio, programos, kurioms finansavimas suteiktas ir išmokos atliktos prieš pritaikant šią metodiką, (pvz., MFP+ paskolos Ukrainai ir išskirtinis tarpinis finansavimas pagal Ukrainos priemonę) išlieka susietos su NGEU skolinimosi ir skolinimo operacijomis pagal vieningą finansavimo metodą.</w:t>
      </w:r>
    </w:p>
  </w:footnote>
  <w:footnote w:id="13">
    <w:p w14:paraId="32030774" w14:textId="5148F7FD" w:rsidR="00515675" w:rsidRPr="00FA1F7E" w:rsidRDefault="00515675" w:rsidP="00515675">
      <w:pPr>
        <w:pStyle w:val="FootnoteText"/>
        <w:rPr>
          <w:sz w:val="18"/>
          <w:szCs w:val="18"/>
        </w:rPr>
      </w:pPr>
      <w:r>
        <w:rPr>
          <w:rStyle w:val="FootnoteReference"/>
          <w:sz w:val="18"/>
          <w:szCs w:val="18"/>
        </w:rPr>
        <w:footnoteRef/>
      </w:r>
      <w:r>
        <w:rPr>
          <w:sz w:val="18"/>
        </w:rPr>
        <w:t xml:space="preserve"> Papildomos informacijos apie NGEU žaliąsias obligacijas galima rasti NGEU žaliųjų obligacijų rodiklių suvestinėje: </w:t>
      </w:r>
      <w:hyperlink r:id="rId8" w:history="1">
        <w:r>
          <w:rPr>
            <w:rStyle w:val="Hyperlink"/>
            <w:sz w:val="18"/>
          </w:rPr>
          <w:t>rodiklių suvestinė (europa.eu)</w:t>
        </w:r>
      </w:hyperlink>
      <w:r>
        <w:t>.</w:t>
      </w:r>
    </w:p>
  </w:footnote>
  <w:footnote w:id="14">
    <w:p w14:paraId="3941AC4E" w14:textId="27029CD1" w:rsidR="00515675" w:rsidRPr="00FA1F7E" w:rsidRDefault="00515675" w:rsidP="00515675">
      <w:pPr>
        <w:spacing w:after="0"/>
        <w:rPr>
          <w:sz w:val="18"/>
          <w:szCs w:val="18"/>
        </w:rPr>
      </w:pPr>
      <w:r>
        <w:rPr>
          <w:rStyle w:val="FootnoteReference"/>
          <w:sz w:val="18"/>
          <w:szCs w:val="18"/>
        </w:rPr>
        <w:footnoteRef/>
      </w:r>
      <w:r>
        <w:rPr>
          <w:sz w:val="18"/>
        </w:rPr>
        <w:t xml:space="preserve"> Remiantis vidutiniu mėnesių nuo naujos emisijos iki pirmojo tęstinės emisijos panaudojimo skaičiumi, atsižvelgiant į naujas 2024 m. antrąjį pusmetį panaudotas linijas.</w:t>
      </w:r>
    </w:p>
    <w:p w14:paraId="277C0AE6" w14:textId="77777777" w:rsidR="00515675" w:rsidRPr="00391716" w:rsidRDefault="00515675" w:rsidP="00515675">
      <w:pPr>
        <w:pStyle w:val="FootnoteText"/>
        <w:ind w:left="0" w:firstLine="0"/>
        <w:rPr>
          <w:sz w:val="18"/>
          <w:szCs w:val="18"/>
        </w:rPr>
      </w:pPr>
    </w:p>
  </w:footnote>
  <w:footnote w:id="15">
    <w:p w14:paraId="5CBAD5DF" w14:textId="6D9322A9" w:rsidR="00515675" w:rsidRPr="0002172B" w:rsidRDefault="00515675" w:rsidP="00515675">
      <w:pPr>
        <w:pStyle w:val="FootnoteText"/>
      </w:pPr>
      <w:r>
        <w:rPr>
          <w:rStyle w:val="FootnoteReference"/>
          <w:sz w:val="18"/>
          <w:szCs w:val="18"/>
        </w:rPr>
        <w:footnoteRef/>
      </w:r>
      <w:r>
        <w:rPr>
          <w:sz w:val="18"/>
        </w:rPr>
        <w:t xml:space="preserve"> Neapmokėtos obligacijos, palyginti su obligacijų skaičiumi 2024 m. antrojo pusmečio pabaigoje, remiantis pagal diversifikuotą finansavimo strategiją išleistomis obligacijomis.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99BDF" w14:textId="77777777" w:rsidR="0091187A" w:rsidRPr="0091187A" w:rsidRDefault="0091187A" w:rsidP="0091187A">
    <w:pPr>
      <w:pStyle w:val="HeaderCoverPage"/>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F7D7D" w14:textId="77777777" w:rsidR="001C2621" w:rsidRDefault="001C262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E654C" w14:textId="77777777" w:rsidR="001C2621" w:rsidRDefault="001C262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66542" w14:textId="77777777" w:rsidR="001C2621" w:rsidRDefault="001C26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14A85" w14:textId="77777777" w:rsidR="0091187A" w:rsidRPr="0091187A" w:rsidRDefault="0091187A" w:rsidP="0091187A">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2A82C" w14:textId="77777777" w:rsidR="0091187A" w:rsidRPr="0091187A" w:rsidRDefault="0091187A" w:rsidP="0091187A">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C2ED0" w14:textId="77777777" w:rsidR="001C2621" w:rsidRDefault="001C262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83EC3" w14:textId="77777777" w:rsidR="001C2621" w:rsidRDefault="001C262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5F291" w14:textId="77777777" w:rsidR="001C2621" w:rsidRDefault="001C262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06167" w14:textId="77777777" w:rsidR="001C2621" w:rsidRDefault="001C262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ABCEE" w14:textId="77777777" w:rsidR="001C2621" w:rsidRPr="00657B16" w:rsidRDefault="001C2621" w:rsidP="008927F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F9C5B" w14:textId="77777777" w:rsidR="001C2621" w:rsidRDefault="001C26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67285"/>
    <w:multiLevelType w:val="hybridMultilevel"/>
    <w:tmpl w:val="03C04528"/>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161A4A"/>
    <w:multiLevelType w:val="hybridMultilevel"/>
    <w:tmpl w:val="9D847452"/>
    <w:lvl w:ilvl="0" w:tplc="0D9A2F48">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BB670D"/>
    <w:multiLevelType w:val="hybridMultilevel"/>
    <w:tmpl w:val="7C3C86A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FF15449"/>
    <w:multiLevelType w:val="hybridMultilevel"/>
    <w:tmpl w:val="680CEC7A"/>
    <w:lvl w:ilvl="0" w:tplc="4DC4E9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3194ED2"/>
    <w:multiLevelType w:val="hybridMultilevel"/>
    <w:tmpl w:val="2B06D7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55A0B"/>
    <w:multiLevelType w:val="hybridMultilevel"/>
    <w:tmpl w:val="04DCAB7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366335"/>
    <w:multiLevelType w:val="hybridMultilevel"/>
    <w:tmpl w:val="505C6B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A7E7CA7"/>
    <w:multiLevelType w:val="hybridMultilevel"/>
    <w:tmpl w:val="DC8443FA"/>
    <w:lvl w:ilvl="0" w:tplc="36305444">
      <w:start w:val="1"/>
      <w:numFmt w:val="bullet"/>
      <w:lvlText w:val="-"/>
      <w:lvlJc w:val="left"/>
      <w:pPr>
        <w:ind w:left="720" w:hanging="360"/>
      </w:pPr>
      <w:rPr>
        <w:rFonts w:ascii="EC Square Sans Pro" w:eastAsia="Times New Roman" w:hAnsi="EC Square Sans Pro" w:cs="Times New Roman" w:hint="default"/>
        <w:b/>
        <w:bCs/>
        <w:color w:val="70AD47" w:themeColor="accent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0F05598"/>
    <w:multiLevelType w:val="hybridMultilevel"/>
    <w:tmpl w:val="2C30747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D43C7C"/>
    <w:multiLevelType w:val="hybridMultilevel"/>
    <w:tmpl w:val="58C04AA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5614371"/>
    <w:multiLevelType w:val="hybridMultilevel"/>
    <w:tmpl w:val="7C3C86A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AA71202"/>
    <w:multiLevelType w:val="hybridMultilevel"/>
    <w:tmpl w:val="28CCA644"/>
    <w:lvl w:ilvl="0" w:tplc="111E0DF2">
      <w:start w:val="1"/>
      <w:numFmt w:val="bullet"/>
      <w:lvlText w:val=""/>
      <w:lvlJc w:val="left"/>
      <w:pPr>
        <w:ind w:left="720" w:hanging="360"/>
      </w:pPr>
      <w:rPr>
        <w:rFonts w:ascii="Symbol" w:hAnsi="Symbol" w:hint="default"/>
        <w:color w:val="034EA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1084BB5"/>
    <w:multiLevelType w:val="hybridMultilevel"/>
    <w:tmpl w:val="DFC08A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1751D3"/>
    <w:multiLevelType w:val="hybridMultilevel"/>
    <w:tmpl w:val="2CA2CE64"/>
    <w:lvl w:ilvl="0" w:tplc="6ECAA736">
      <w:start w:val="1"/>
      <w:numFmt w:val="lowerRoman"/>
      <w:lvlText w:val="%1."/>
      <w:lvlJc w:val="right"/>
      <w:pPr>
        <w:ind w:left="720" w:hanging="360"/>
      </w:pPr>
      <w:rPr>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E24E98"/>
    <w:multiLevelType w:val="hybridMultilevel"/>
    <w:tmpl w:val="E37CC0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727F54"/>
    <w:multiLevelType w:val="hybridMultilevel"/>
    <w:tmpl w:val="010A5B40"/>
    <w:lvl w:ilvl="0" w:tplc="42947A9C">
      <w:start w:val="1"/>
      <w:numFmt w:val="bullet"/>
      <w:lvlText w:val="•"/>
      <w:lvlJc w:val="left"/>
      <w:pPr>
        <w:tabs>
          <w:tab w:val="num" w:pos="720"/>
        </w:tabs>
        <w:ind w:left="720" w:hanging="360"/>
      </w:pPr>
      <w:rPr>
        <w:rFonts w:ascii="Arial" w:hAnsi="Arial" w:hint="default"/>
      </w:rPr>
    </w:lvl>
    <w:lvl w:ilvl="1" w:tplc="215AC05A" w:tentative="1">
      <w:start w:val="1"/>
      <w:numFmt w:val="bullet"/>
      <w:lvlText w:val="•"/>
      <w:lvlJc w:val="left"/>
      <w:pPr>
        <w:tabs>
          <w:tab w:val="num" w:pos="1440"/>
        </w:tabs>
        <w:ind w:left="1440" w:hanging="360"/>
      </w:pPr>
      <w:rPr>
        <w:rFonts w:ascii="Arial" w:hAnsi="Arial" w:hint="default"/>
      </w:rPr>
    </w:lvl>
    <w:lvl w:ilvl="2" w:tplc="ADD695E0" w:tentative="1">
      <w:start w:val="1"/>
      <w:numFmt w:val="bullet"/>
      <w:lvlText w:val="•"/>
      <w:lvlJc w:val="left"/>
      <w:pPr>
        <w:tabs>
          <w:tab w:val="num" w:pos="2160"/>
        </w:tabs>
        <w:ind w:left="2160" w:hanging="360"/>
      </w:pPr>
      <w:rPr>
        <w:rFonts w:ascii="Arial" w:hAnsi="Arial" w:hint="default"/>
      </w:rPr>
    </w:lvl>
    <w:lvl w:ilvl="3" w:tplc="529CBC18" w:tentative="1">
      <w:start w:val="1"/>
      <w:numFmt w:val="bullet"/>
      <w:lvlText w:val="•"/>
      <w:lvlJc w:val="left"/>
      <w:pPr>
        <w:tabs>
          <w:tab w:val="num" w:pos="2880"/>
        </w:tabs>
        <w:ind w:left="2880" w:hanging="360"/>
      </w:pPr>
      <w:rPr>
        <w:rFonts w:ascii="Arial" w:hAnsi="Arial" w:hint="default"/>
      </w:rPr>
    </w:lvl>
    <w:lvl w:ilvl="4" w:tplc="87264A7C" w:tentative="1">
      <w:start w:val="1"/>
      <w:numFmt w:val="bullet"/>
      <w:lvlText w:val="•"/>
      <w:lvlJc w:val="left"/>
      <w:pPr>
        <w:tabs>
          <w:tab w:val="num" w:pos="3600"/>
        </w:tabs>
        <w:ind w:left="3600" w:hanging="360"/>
      </w:pPr>
      <w:rPr>
        <w:rFonts w:ascii="Arial" w:hAnsi="Arial" w:hint="default"/>
      </w:rPr>
    </w:lvl>
    <w:lvl w:ilvl="5" w:tplc="0C662316" w:tentative="1">
      <w:start w:val="1"/>
      <w:numFmt w:val="bullet"/>
      <w:lvlText w:val="•"/>
      <w:lvlJc w:val="left"/>
      <w:pPr>
        <w:tabs>
          <w:tab w:val="num" w:pos="4320"/>
        </w:tabs>
        <w:ind w:left="4320" w:hanging="360"/>
      </w:pPr>
      <w:rPr>
        <w:rFonts w:ascii="Arial" w:hAnsi="Arial" w:hint="default"/>
      </w:rPr>
    </w:lvl>
    <w:lvl w:ilvl="6" w:tplc="6BB69D36" w:tentative="1">
      <w:start w:val="1"/>
      <w:numFmt w:val="bullet"/>
      <w:lvlText w:val="•"/>
      <w:lvlJc w:val="left"/>
      <w:pPr>
        <w:tabs>
          <w:tab w:val="num" w:pos="5040"/>
        </w:tabs>
        <w:ind w:left="5040" w:hanging="360"/>
      </w:pPr>
      <w:rPr>
        <w:rFonts w:ascii="Arial" w:hAnsi="Arial" w:hint="default"/>
      </w:rPr>
    </w:lvl>
    <w:lvl w:ilvl="7" w:tplc="AF4A540C" w:tentative="1">
      <w:start w:val="1"/>
      <w:numFmt w:val="bullet"/>
      <w:lvlText w:val="•"/>
      <w:lvlJc w:val="left"/>
      <w:pPr>
        <w:tabs>
          <w:tab w:val="num" w:pos="5760"/>
        </w:tabs>
        <w:ind w:left="5760" w:hanging="360"/>
      </w:pPr>
      <w:rPr>
        <w:rFonts w:ascii="Arial" w:hAnsi="Arial" w:hint="default"/>
      </w:rPr>
    </w:lvl>
    <w:lvl w:ilvl="8" w:tplc="CAF8005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A120080"/>
    <w:multiLevelType w:val="hybridMultilevel"/>
    <w:tmpl w:val="9D4E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E473A4"/>
    <w:multiLevelType w:val="hybridMultilevel"/>
    <w:tmpl w:val="6D3E5978"/>
    <w:lvl w:ilvl="0" w:tplc="CDBC193C">
      <w:start w:val="1"/>
      <w:numFmt w:val="bullet"/>
      <w:lvlText w:val=""/>
      <w:lvlJc w:val="left"/>
      <w:pPr>
        <w:ind w:left="360" w:hanging="360"/>
      </w:pPr>
      <w:rPr>
        <w:rFonts w:ascii="Symbol" w:hAnsi="Symbol" w:hint="default"/>
        <w:color w:val="034EA2"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C62327"/>
    <w:multiLevelType w:val="hybridMultilevel"/>
    <w:tmpl w:val="7E726144"/>
    <w:lvl w:ilvl="0" w:tplc="F1D08040">
      <w:start w:val="1"/>
      <w:numFmt w:val="bullet"/>
      <w:lvlText w:val="•"/>
      <w:lvlJc w:val="left"/>
      <w:pPr>
        <w:tabs>
          <w:tab w:val="num" w:pos="720"/>
        </w:tabs>
        <w:ind w:left="720" w:hanging="360"/>
      </w:pPr>
      <w:rPr>
        <w:rFonts w:ascii="Arial" w:hAnsi="Arial" w:hint="default"/>
      </w:rPr>
    </w:lvl>
    <w:lvl w:ilvl="1" w:tplc="925C4DA6" w:tentative="1">
      <w:start w:val="1"/>
      <w:numFmt w:val="bullet"/>
      <w:lvlText w:val="•"/>
      <w:lvlJc w:val="left"/>
      <w:pPr>
        <w:tabs>
          <w:tab w:val="num" w:pos="1440"/>
        </w:tabs>
        <w:ind w:left="1440" w:hanging="360"/>
      </w:pPr>
      <w:rPr>
        <w:rFonts w:ascii="Arial" w:hAnsi="Arial" w:hint="default"/>
      </w:rPr>
    </w:lvl>
    <w:lvl w:ilvl="2" w:tplc="3E7C8AA6" w:tentative="1">
      <w:start w:val="1"/>
      <w:numFmt w:val="bullet"/>
      <w:lvlText w:val="•"/>
      <w:lvlJc w:val="left"/>
      <w:pPr>
        <w:tabs>
          <w:tab w:val="num" w:pos="2160"/>
        </w:tabs>
        <w:ind w:left="2160" w:hanging="360"/>
      </w:pPr>
      <w:rPr>
        <w:rFonts w:ascii="Arial" w:hAnsi="Arial" w:hint="default"/>
      </w:rPr>
    </w:lvl>
    <w:lvl w:ilvl="3" w:tplc="A94A1B4E" w:tentative="1">
      <w:start w:val="1"/>
      <w:numFmt w:val="bullet"/>
      <w:lvlText w:val="•"/>
      <w:lvlJc w:val="left"/>
      <w:pPr>
        <w:tabs>
          <w:tab w:val="num" w:pos="2880"/>
        </w:tabs>
        <w:ind w:left="2880" w:hanging="360"/>
      </w:pPr>
      <w:rPr>
        <w:rFonts w:ascii="Arial" w:hAnsi="Arial" w:hint="default"/>
      </w:rPr>
    </w:lvl>
    <w:lvl w:ilvl="4" w:tplc="08D8C6E0" w:tentative="1">
      <w:start w:val="1"/>
      <w:numFmt w:val="bullet"/>
      <w:lvlText w:val="•"/>
      <w:lvlJc w:val="left"/>
      <w:pPr>
        <w:tabs>
          <w:tab w:val="num" w:pos="3600"/>
        </w:tabs>
        <w:ind w:left="3600" w:hanging="360"/>
      </w:pPr>
      <w:rPr>
        <w:rFonts w:ascii="Arial" w:hAnsi="Arial" w:hint="default"/>
      </w:rPr>
    </w:lvl>
    <w:lvl w:ilvl="5" w:tplc="39109110" w:tentative="1">
      <w:start w:val="1"/>
      <w:numFmt w:val="bullet"/>
      <w:lvlText w:val="•"/>
      <w:lvlJc w:val="left"/>
      <w:pPr>
        <w:tabs>
          <w:tab w:val="num" w:pos="4320"/>
        </w:tabs>
        <w:ind w:left="4320" w:hanging="360"/>
      </w:pPr>
      <w:rPr>
        <w:rFonts w:ascii="Arial" w:hAnsi="Arial" w:hint="default"/>
      </w:rPr>
    </w:lvl>
    <w:lvl w:ilvl="6" w:tplc="BA8032D4" w:tentative="1">
      <w:start w:val="1"/>
      <w:numFmt w:val="bullet"/>
      <w:lvlText w:val="•"/>
      <w:lvlJc w:val="left"/>
      <w:pPr>
        <w:tabs>
          <w:tab w:val="num" w:pos="5040"/>
        </w:tabs>
        <w:ind w:left="5040" w:hanging="360"/>
      </w:pPr>
      <w:rPr>
        <w:rFonts w:ascii="Arial" w:hAnsi="Arial" w:hint="default"/>
      </w:rPr>
    </w:lvl>
    <w:lvl w:ilvl="7" w:tplc="72C2EF70" w:tentative="1">
      <w:start w:val="1"/>
      <w:numFmt w:val="bullet"/>
      <w:lvlText w:val="•"/>
      <w:lvlJc w:val="left"/>
      <w:pPr>
        <w:tabs>
          <w:tab w:val="num" w:pos="5760"/>
        </w:tabs>
        <w:ind w:left="5760" w:hanging="360"/>
      </w:pPr>
      <w:rPr>
        <w:rFonts w:ascii="Arial" w:hAnsi="Arial" w:hint="default"/>
      </w:rPr>
    </w:lvl>
    <w:lvl w:ilvl="8" w:tplc="22848B5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6112BB0"/>
    <w:multiLevelType w:val="hybridMultilevel"/>
    <w:tmpl w:val="E9527C90"/>
    <w:lvl w:ilvl="0" w:tplc="0F465D34">
      <w:start w:val="12"/>
      <w:numFmt w:val="bullet"/>
      <w:lvlText w:val="-"/>
      <w:lvlJc w:val="left"/>
      <w:pPr>
        <w:ind w:left="720" w:hanging="360"/>
      </w:pPr>
      <w:rPr>
        <w:rFonts w:ascii="Verdana" w:eastAsia="Times New Roman" w:hAnsi="Verdana"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0A63F3E"/>
    <w:multiLevelType w:val="hybridMultilevel"/>
    <w:tmpl w:val="15F6BF5C"/>
    <w:lvl w:ilvl="0" w:tplc="FFFFFFFF">
      <w:start w:val="4"/>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1E926F6"/>
    <w:multiLevelType w:val="hybridMultilevel"/>
    <w:tmpl w:val="9282F374"/>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D205736"/>
    <w:multiLevelType w:val="multilevel"/>
    <w:tmpl w:val="FC98DC46"/>
    <w:lvl w:ilvl="0">
      <w:start w:val="1"/>
      <w:numFmt w:val="decimal"/>
      <w:pStyle w:val="Heading1"/>
      <w:lvlText w:val="%1."/>
      <w:lvlJc w:val="left"/>
      <w:pPr>
        <w:ind w:left="502" w:hanging="360"/>
      </w:pPr>
    </w:lvl>
    <w:lvl w:ilvl="1">
      <w:start w:val="2"/>
      <w:numFmt w:val="decimal"/>
      <w:isLgl/>
      <w:lvlText w:val="%1.%2"/>
      <w:lvlJc w:val="left"/>
      <w:pPr>
        <w:ind w:left="720" w:hanging="360"/>
      </w:pPr>
      <w:rPr>
        <w:rFonts w:hint="default"/>
        <w:b/>
      </w:rPr>
    </w:lvl>
    <w:lvl w:ilvl="2">
      <w:start w:val="1"/>
      <w:numFmt w:val="decimalZero"/>
      <w:isLgl/>
      <w:lvlText w:val="%1.%2.%3"/>
      <w:lvlJc w:val="left"/>
      <w:pPr>
        <w:ind w:left="1298" w:hanging="720"/>
      </w:pPr>
      <w:rPr>
        <w:rFonts w:hint="default"/>
        <w:b/>
      </w:rPr>
    </w:lvl>
    <w:lvl w:ilvl="3">
      <w:start w:val="1"/>
      <w:numFmt w:val="decimal"/>
      <w:isLgl/>
      <w:lvlText w:val="%1.%2.%3.%4"/>
      <w:lvlJc w:val="left"/>
      <w:pPr>
        <w:ind w:left="1516" w:hanging="720"/>
      </w:pPr>
      <w:rPr>
        <w:rFonts w:hint="default"/>
        <w:b/>
      </w:rPr>
    </w:lvl>
    <w:lvl w:ilvl="4">
      <w:start w:val="1"/>
      <w:numFmt w:val="decimal"/>
      <w:isLgl/>
      <w:lvlText w:val="%1.%2.%3.%4.%5"/>
      <w:lvlJc w:val="left"/>
      <w:pPr>
        <w:ind w:left="2094" w:hanging="1080"/>
      </w:pPr>
      <w:rPr>
        <w:rFonts w:hint="default"/>
        <w:b/>
      </w:rPr>
    </w:lvl>
    <w:lvl w:ilvl="5">
      <w:start w:val="1"/>
      <w:numFmt w:val="decimal"/>
      <w:isLgl/>
      <w:lvlText w:val="%1.%2.%3.%4.%5.%6"/>
      <w:lvlJc w:val="left"/>
      <w:pPr>
        <w:ind w:left="2312" w:hanging="1080"/>
      </w:pPr>
      <w:rPr>
        <w:rFonts w:hint="default"/>
        <w:b/>
      </w:rPr>
    </w:lvl>
    <w:lvl w:ilvl="6">
      <w:start w:val="1"/>
      <w:numFmt w:val="decimal"/>
      <w:isLgl/>
      <w:lvlText w:val="%1.%2.%3.%4.%5.%6.%7"/>
      <w:lvlJc w:val="left"/>
      <w:pPr>
        <w:ind w:left="2890" w:hanging="1440"/>
      </w:pPr>
      <w:rPr>
        <w:rFonts w:hint="default"/>
        <w:b/>
      </w:rPr>
    </w:lvl>
    <w:lvl w:ilvl="7">
      <w:start w:val="1"/>
      <w:numFmt w:val="decimal"/>
      <w:isLgl/>
      <w:lvlText w:val="%1.%2.%3.%4.%5.%6.%7.%8"/>
      <w:lvlJc w:val="left"/>
      <w:pPr>
        <w:ind w:left="3468" w:hanging="1800"/>
      </w:pPr>
      <w:rPr>
        <w:rFonts w:hint="default"/>
        <w:b/>
      </w:rPr>
    </w:lvl>
    <w:lvl w:ilvl="8">
      <w:start w:val="1"/>
      <w:numFmt w:val="decimal"/>
      <w:isLgl/>
      <w:lvlText w:val="%1.%2.%3.%4.%5.%6.%7.%8.%9"/>
      <w:lvlJc w:val="left"/>
      <w:pPr>
        <w:ind w:left="3686" w:hanging="1800"/>
      </w:pPr>
      <w:rPr>
        <w:rFonts w:hint="default"/>
        <w:b/>
      </w:rPr>
    </w:lvl>
  </w:abstractNum>
  <w:abstractNum w:abstractNumId="24" w15:restartNumberingAfterBreak="0">
    <w:nsid w:val="65926EE4"/>
    <w:multiLevelType w:val="hybridMultilevel"/>
    <w:tmpl w:val="D26402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F32E50"/>
    <w:multiLevelType w:val="hybridMultilevel"/>
    <w:tmpl w:val="D80CFA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25426B"/>
    <w:multiLevelType w:val="hybridMultilevel"/>
    <w:tmpl w:val="04DCAB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92166D"/>
    <w:multiLevelType w:val="hybridMultilevel"/>
    <w:tmpl w:val="135AE8AC"/>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C140E52"/>
    <w:multiLevelType w:val="hybridMultilevel"/>
    <w:tmpl w:val="3188AB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3B829CE"/>
    <w:multiLevelType w:val="hybridMultilevel"/>
    <w:tmpl w:val="0D56E2F8"/>
    <w:lvl w:ilvl="0" w:tplc="D67042A2">
      <w:start w:val="1"/>
      <w:numFmt w:val="bullet"/>
      <w:lvlText w:val="•"/>
      <w:lvlJc w:val="left"/>
      <w:pPr>
        <w:tabs>
          <w:tab w:val="num" w:pos="720"/>
        </w:tabs>
        <w:ind w:left="720" w:hanging="360"/>
      </w:pPr>
      <w:rPr>
        <w:rFonts w:ascii="Arial" w:hAnsi="Arial" w:hint="default"/>
      </w:rPr>
    </w:lvl>
    <w:lvl w:ilvl="1" w:tplc="C5A001CA" w:tentative="1">
      <w:start w:val="1"/>
      <w:numFmt w:val="bullet"/>
      <w:lvlText w:val="•"/>
      <w:lvlJc w:val="left"/>
      <w:pPr>
        <w:tabs>
          <w:tab w:val="num" w:pos="1440"/>
        </w:tabs>
        <w:ind w:left="1440" w:hanging="360"/>
      </w:pPr>
      <w:rPr>
        <w:rFonts w:ascii="Arial" w:hAnsi="Arial" w:hint="default"/>
      </w:rPr>
    </w:lvl>
    <w:lvl w:ilvl="2" w:tplc="0966FE9E" w:tentative="1">
      <w:start w:val="1"/>
      <w:numFmt w:val="bullet"/>
      <w:lvlText w:val="•"/>
      <w:lvlJc w:val="left"/>
      <w:pPr>
        <w:tabs>
          <w:tab w:val="num" w:pos="2160"/>
        </w:tabs>
        <w:ind w:left="2160" w:hanging="360"/>
      </w:pPr>
      <w:rPr>
        <w:rFonts w:ascii="Arial" w:hAnsi="Arial" w:hint="default"/>
      </w:rPr>
    </w:lvl>
    <w:lvl w:ilvl="3" w:tplc="B6BAA56C" w:tentative="1">
      <w:start w:val="1"/>
      <w:numFmt w:val="bullet"/>
      <w:lvlText w:val="•"/>
      <w:lvlJc w:val="left"/>
      <w:pPr>
        <w:tabs>
          <w:tab w:val="num" w:pos="2880"/>
        </w:tabs>
        <w:ind w:left="2880" w:hanging="360"/>
      </w:pPr>
      <w:rPr>
        <w:rFonts w:ascii="Arial" w:hAnsi="Arial" w:hint="default"/>
      </w:rPr>
    </w:lvl>
    <w:lvl w:ilvl="4" w:tplc="AC3E3172" w:tentative="1">
      <w:start w:val="1"/>
      <w:numFmt w:val="bullet"/>
      <w:lvlText w:val="•"/>
      <w:lvlJc w:val="left"/>
      <w:pPr>
        <w:tabs>
          <w:tab w:val="num" w:pos="3600"/>
        </w:tabs>
        <w:ind w:left="3600" w:hanging="360"/>
      </w:pPr>
      <w:rPr>
        <w:rFonts w:ascii="Arial" w:hAnsi="Arial" w:hint="default"/>
      </w:rPr>
    </w:lvl>
    <w:lvl w:ilvl="5" w:tplc="3F4472FC" w:tentative="1">
      <w:start w:val="1"/>
      <w:numFmt w:val="bullet"/>
      <w:lvlText w:val="•"/>
      <w:lvlJc w:val="left"/>
      <w:pPr>
        <w:tabs>
          <w:tab w:val="num" w:pos="4320"/>
        </w:tabs>
        <w:ind w:left="4320" w:hanging="360"/>
      </w:pPr>
      <w:rPr>
        <w:rFonts w:ascii="Arial" w:hAnsi="Arial" w:hint="default"/>
      </w:rPr>
    </w:lvl>
    <w:lvl w:ilvl="6" w:tplc="9392BC8A" w:tentative="1">
      <w:start w:val="1"/>
      <w:numFmt w:val="bullet"/>
      <w:lvlText w:val="•"/>
      <w:lvlJc w:val="left"/>
      <w:pPr>
        <w:tabs>
          <w:tab w:val="num" w:pos="5040"/>
        </w:tabs>
        <w:ind w:left="5040" w:hanging="360"/>
      </w:pPr>
      <w:rPr>
        <w:rFonts w:ascii="Arial" w:hAnsi="Arial" w:hint="default"/>
      </w:rPr>
    </w:lvl>
    <w:lvl w:ilvl="7" w:tplc="A95A6D3A" w:tentative="1">
      <w:start w:val="1"/>
      <w:numFmt w:val="bullet"/>
      <w:lvlText w:val="•"/>
      <w:lvlJc w:val="left"/>
      <w:pPr>
        <w:tabs>
          <w:tab w:val="num" w:pos="5760"/>
        </w:tabs>
        <w:ind w:left="5760" w:hanging="360"/>
      </w:pPr>
      <w:rPr>
        <w:rFonts w:ascii="Arial" w:hAnsi="Arial" w:hint="default"/>
      </w:rPr>
    </w:lvl>
    <w:lvl w:ilvl="8" w:tplc="C9DCB52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CF34744"/>
    <w:multiLevelType w:val="hybridMultilevel"/>
    <w:tmpl w:val="88DCC72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D7B3804"/>
    <w:multiLevelType w:val="hybridMultilevel"/>
    <w:tmpl w:val="9282F37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DB27204"/>
    <w:multiLevelType w:val="hybridMultilevel"/>
    <w:tmpl w:val="15F6BF5C"/>
    <w:lvl w:ilvl="0" w:tplc="04090017">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3"/>
  </w:num>
  <w:num w:numId="2">
    <w:abstractNumId w:val="28"/>
  </w:num>
  <w:num w:numId="3">
    <w:abstractNumId w:val="1"/>
  </w:num>
  <w:num w:numId="4">
    <w:abstractNumId w:val="20"/>
  </w:num>
  <w:num w:numId="5">
    <w:abstractNumId w:val="8"/>
  </w:num>
  <w:num w:numId="6">
    <w:abstractNumId w:val="10"/>
  </w:num>
  <w:num w:numId="7">
    <w:abstractNumId w:val="13"/>
  </w:num>
  <w:num w:numId="8">
    <w:abstractNumId w:val="15"/>
  </w:num>
  <w:num w:numId="9">
    <w:abstractNumId w:val="4"/>
  </w:num>
  <w:num w:numId="10">
    <w:abstractNumId w:val="11"/>
  </w:num>
  <w:num w:numId="11">
    <w:abstractNumId w:val="25"/>
  </w:num>
  <w:num w:numId="12">
    <w:abstractNumId w:val="24"/>
  </w:num>
  <w:num w:numId="13">
    <w:abstractNumId w:val="26"/>
  </w:num>
  <w:num w:numId="14">
    <w:abstractNumId w:val="32"/>
  </w:num>
  <w:num w:numId="15">
    <w:abstractNumId w:val="18"/>
  </w:num>
  <w:num w:numId="16">
    <w:abstractNumId w:val="5"/>
  </w:num>
  <w:num w:numId="17">
    <w:abstractNumId w:val="17"/>
  </w:num>
  <w:num w:numId="18">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2"/>
  </w:num>
  <w:num w:numId="21">
    <w:abstractNumId w:val="9"/>
  </w:num>
  <w:num w:numId="22">
    <w:abstractNumId w:val="30"/>
  </w:num>
  <w:num w:numId="23">
    <w:abstractNumId w:val="31"/>
  </w:num>
  <w:num w:numId="24">
    <w:abstractNumId w:val="0"/>
  </w:num>
  <w:num w:numId="25">
    <w:abstractNumId w:val="14"/>
  </w:num>
  <w:num w:numId="26">
    <w:abstractNumId w:val="27"/>
  </w:num>
  <w:num w:numId="27">
    <w:abstractNumId w:val="2"/>
  </w:num>
  <w:num w:numId="28">
    <w:abstractNumId w:val="21"/>
  </w:num>
  <w:num w:numId="29">
    <w:abstractNumId w:val="7"/>
  </w:num>
  <w:num w:numId="30">
    <w:abstractNumId w:val="3"/>
  </w:num>
  <w:num w:numId="31">
    <w:abstractNumId w:val="12"/>
  </w:num>
  <w:num w:numId="32">
    <w:abstractNumId w:val="12"/>
  </w:num>
  <w:num w:numId="33">
    <w:abstractNumId w:val="12"/>
  </w:num>
  <w:num w:numId="34">
    <w:abstractNumId w:val="29"/>
  </w:num>
  <w:num w:numId="35">
    <w:abstractNumId w:val="19"/>
  </w:num>
  <w:num w:numId="36">
    <w:abstractNumId w:val="16"/>
  </w:num>
  <w:num w:numId="3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characterSpacingControl w:val="doNotCompress"/>
  <w:hdrShapeDefaults>
    <o:shapedefaults v:ext="edit" spidmax="2120"/>
  </w:hdrShapeDefaults>
  <w:footnotePr>
    <w:footnote w:id="-1"/>
    <w:footnote w:id="0"/>
    <w:footnote w:id="1"/>
  </w:footnotePr>
  <w:endnotePr>
    <w:endnote w:id="-1"/>
    <w:endnote w:id="0"/>
    <w:endnote w:id="1"/>
  </w:endnotePr>
  <w:compat>
    <w:compatSetting w:name="compatibilityMode" w:uri="http://schemas.microsoft.com/office/word" w:val="12"/>
  </w:compat>
  <w:docVars>
    <w:docVar w:name="DocStatus" w:val="Green"/>
    <w:docVar w:name="LW_CORRIGENDUM" w:val="&lt;UNUSED&gt;"/>
    <w:docVar w:name="LW_COVERPAGE_EXISTS" w:val="True"/>
    <w:docVar w:name="LW_COVERPAGE_GUID" w:val="297A64CE-A63A-40A8-B2BF-8852DCC0CBFB"/>
    <w:docVar w:name="LW_COVERPAGE_TYPE" w:val="1"/>
    <w:docVar w:name="LW_CROSSREFERENCE" w:val="&lt;UNUSED&gt;"/>
    <w:docVar w:name="LW_DocType" w:val="NORMAL"/>
    <w:docVar w:name="LW_EMISSION" w:val="2025 03 12"/>
    <w:docVar w:name="LW_EMISSION_ISODATE" w:val="2025-03-12"/>
    <w:docVar w:name="LW_EMISSION_LOCATION" w:val="BRX"/>
    <w:docVar w:name="LW_EMISSION_PREFIX" w:val="Briuselis, "/>
    <w:docVar w:name="LW_EMISSION_SUFFIX" w:val=" "/>
    <w:docVar w:name="LW_ID_DOCTYPE_NONLW" w:val="CP-006"/>
    <w:docVar w:name="LW_LANGUE" w:val="LT"/>
    <w:docVar w:name="LW_LEVEL_OF_SENSITIVITY" w:val="Standard treatment"/>
    <w:docVar w:name="LW_NOM.INST" w:val="EUROPOS KOMISIJA"/>
    <w:docVar w:name="LW_NOM.INST_JOINTDOC" w:val="&lt;EMPTY&gt;"/>
    <w:docVar w:name="LW_PART_NBR" w:val="1"/>
    <w:docVar w:name="LW_PART_NBR_TOTAL" w:val="1"/>
    <w:docVar w:name="LW_REF.INST.NEW" w:val="COM"/>
    <w:docVar w:name="LW_REF.INST.NEW_ADOPTED" w:val="final"/>
    <w:docVar w:name="LW_REF.INST.NEW_TEXT" w:val="(2025) 7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kolinimosi, skolos valdymo ir susijusi\u371? skolinimo operacij\u371? \u303?gyvendinimo pusme\u269?io ataskaita pagal Komisijos \u303?gyvendinimo sprendimo C(2023)8010 13 straipsn\u303?_x000d__x000d__x000b__x000d__x000d__x000b__x000d__x000d__x000b_&lt;FMT:Font=Aptos&gt;2024 m. liepos 1 d. \u8211? 2024 m. gruod\u382?io 31 d._x000d__x000d__x000d__x000d_&lt;/FMT&gt;_x000d__x000d__x000d__x000d__x000d__x000b_&lt;FMT:Font=Aptos&gt;_x000d__x000d__x000d__x000d__x000d__x000d__x000d__x000d__x000d__x000d__x000d__x000d__x000d__x000d__x000d__x000d__x000d_&lt;/FMT&gt;_x000d__x000d_&lt;FMT:Font=Aptos&gt;_x000d__x000d__x000d__x000d__x000d__x000d__x000d__x000d__x000d__x000d__x000d__x000d__x000d__x000d__x000d__x000d__x000d__x000d_&lt;/FMT&gt;_x000d__x000d__x000d__x000d__x000d__x000b_&lt;FMT:Font=Aptos&gt;_x000d__x000d__x000d__x000d__x000d__x000d__x000d__x000d__x000d__x000d__x000d__x000d__x000d__x000d__x000d__x000d__x000d_&lt;/FMT&gt;_x000d__x000d__x000d__x000d__x000d__x000b_&lt;FMT:Font=Aptos&gt;_x000d_&lt;/FMT&gt;"/>
    <w:docVar w:name="LW_TYPE.DOC.CP" w:val="KOMISIJOS ATASKAITA EUROPOS PARLAMENTUI IR TARYBAI"/>
    <w:docVar w:name="LwApiVersions" w:val="LW4CoDe 1.24.5.0; LW 9.0, Build 20240221"/>
  </w:docVars>
  <w:rsids>
    <w:rsidRoot w:val="008B6253"/>
    <w:rsid w:val="000006A3"/>
    <w:rsid w:val="000016AC"/>
    <w:rsid w:val="0000198B"/>
    <w:rsid w:val="00001C79"/>
    <w:rsid w:val="00002581"/>
    <w:rsid w:val="000025FB"/>
    <w:rsid w:val="000027C3"/>
    <w:rsid w:val="00003760"/>
    <w:rsid w:val="00003B2C"/>
    <w:rsid w:val="00004513"/>
    <w:rsid w:val="00004853"/>
    <w:rsid w:val="00004EFF"/>
    <w:rsid w:val="00005E65"/>
    <w:rsid w:val="000065CB"/>
    <w:rsid w:val="00006945"/>
    <w:rsid w:val="00007866"/>
    <w:rsid w:val="00007DB0"/>
    <w:rsid w:val="000113D6"/>
    <w:rsid w:val="000123E4"/>
    <w:rsid w:val="00012D54"/>
    <w:rsid w:val="00012F88"/>
    <w:rsid w:val="00013124"/>
    <w:rsid w:val="00013AFC"/>
    <w:rsid w:val="00015055"/>
    <w:rsid w:val="00016108"/>
    <w:rsid w:val="00016BBF"/>
    <w:rsid w:val="0001773F"/>
    <w:rsid w:val="00017BCF"/>
    <w:rsid w:val="00017F73"/>
    <w:rsid w:val="0002126B"/>
    <w:rsid w:val="00021271"/>
    <w:rsid w:val="000214CF"/>
    <w:rsid w:val="00021B91"/>
    <w:rsid w:val="00022392"/>
    <w:rsid w:val="0002402F"/>
    <w:rsid w:val="00024157"/>
    <w:rsid w:val="000248CD"/>
    <w:rsid w:val="00025D1D"/>
    <w:rsid w:val="000264A7"/>
    <w:rsid w:val="00026571"/>
    <w:rsid w:val="000275EB"/>
    <w:rsid w:val="000304D4"/>
    <w:rsid w:val="00030B16"/>
    <w:rsid w:val="00031566"/>
    <w:rsid w:val="000339B4"/>
    <w:rsid w:val="00034162"/>
    <w:rsid w:val="00034C0A"/>
    <w:rsid w:val="00035235"/>
    <w:rsid w:val="00036A07"/>
    <w:rsid w:val="00036DE3"/>
    <w:rsid w:val="00040E1F"/>
    <w:rsid w:val="0004137B"/>
    <w:rsid w:val="0004154A"/>
    <w:rsid w:val="00042B53"/>
    <w:rsid w:val="0004460D"/>
    <w:rsid w:val="00044BC7"/>
    <w:rsid w:val="0004607D"/>
    <w:rsid w:val="00046267"/>
    <w:rsid w:val="0004632F"/>
    <w:rsid w:val="000466B2"/>
    <w:rsid w:val="00046807"/>
    <w:rsid w:val="00046F24"/>
    <w:rsid w:val="000500DD"/>
    <w:rsid w:val="00052C99"/>
    <w:rsid w:val="00052FDD"/>
    <w:rsid w:val="000545EE"/>
    <w:rsid w:val="000558F6"/>
    <w:rsid w:val="000559C6"/>
    <w:rsid w:val="00055E40"/>
    <w:rsid w:val="00056D87"/>
    <w:rsid w:val="00056EE5"/>
    <w:rsid w:val="000571C9"/>
    <w:rsid w:val="00057D8E"/>
    <w:rsid w:val="00060405"/>
    <w:rsid w:val="00060DBA"/>
    <w:rsid w:val="000623CD"/>
    <w:rsid w:val="00063474"/>
    <w:rsid w:val="00063876"/>
    <w:rsid w:val="0006518B"/>
    <w:rsid w:val="0006573D"/>
    <w:rsid w:val="000659B4"/>
    <w:rsid w:val="00065C93"/>
    <w:rsid w:val="0006645C"/>
    <w:rsid w:val="00067AC8"/>
    <w:rsid w:val="0007120F"/>
    <w:rsid w:val="00071659"/>
    <w:rsid w:val="00072047"/>
    <w:rsid w:val="000744F6"/>
    <w:rsid w:val="00074966"/>
    <w:rsid w:val="00075B6A"/>
    <w:rsid w:val="00075F80"/>
    <w:rsid w:val="0007609D"/>
    <w:rsid w:val="000761ED"/>
    <w:rsid w:val="00076F7B"/>
    <w:rsid w:val="000770E1"/>
    <w:rsid w:val="000777AF"/>
    <w:rsid w:val="00077F71"/>
    <w:rsid w:val="000804D7"/>
    <w:rsid w:val="00080B80"/>
    <w:rsid w:val="00081182"/>
    <w:rsid w:val="000811DA"/>
    <w:rsid w:val="00081EB2"/>
    <w:rsid w:val="000830C3"/>
    <w:rsid w:val="000831BF"/>
    <w:rsid w:val="00083C92"/>
    <w:rsid w:val="00084648"/>
    <w:rsid w:val="00085FEE"/>
    <w:rsid w:val="0008748B"/>
    <w:rsid w:val="0009189C"/>
    <w:rsid w:val="0009299B"/>
    <w:rsid w:val="0009414B"/>
    <w:rsid w:val="00094607"/>
    <w:rsid w:val="00094B94"/>
    <w:rsid w:val="00095BFD"/>
    <w:rsid w:val="00095DF7"/>
    <w:rsid w:val="00096802"/>
    <w:rsid w:val="00096D86"/>
    <w:rsid w:val="000973CE"/>
    <w:rsid w:val="00097D72"/>
    <w:rsid w:val="000A0545"/>
    <w:rsid w:val="000A0885"/>
    <w:rsid w:val="000A0AA1"/>
    <w:rsid w:val="000A1136"/>
    <w:rsid w:val="000A6EC7"/>
    <w:rsid w:val="000B0652"/>
    <w:rsid w:val="000B3537"/>
    <w:rsid w:val="000B4EF5"/>
    <w:rsid w:val="000B5255"/>
    <w:rsid w:val="000B6398"/>
    <w:rsid w:val="000C00E3"/>
    <w:rsid w:val="000C09D9"/>
    <w:rsid w:val="000C1517"/>
    <w:rsid w:val="000C168A"/>
    <w:rsid w:val="000C26FE"/>
    <w:rsid w:val="000C3020"/>
    <w:rsid w:val="000C3CD5"/>
    <w:rsid w:val="000C41A5"/>
    <w:rsid w:val="000C5D88"/>
    <w:rsid w:val="000C7051"/>
    <w:rsid w:val="000D008A"/>
    <w:rsid w:val="000D213D"/>
    <w:rsid w:val="000D2596"/>
    <w:rsid w:val="000D2B51"/>
    <w:rsid w:val="000D2FDD"/>
    <w:rsid w:val="000D5BA5"/>
    <w:rsid w:val="000D647C"/>
    <w:rsid w:val="000D7879"/>
    <w:rsid w:val="000D79AE"/>
    <w:rsid w:val="000E2B98"/>
    <w:rsid w:val="000E2CCD"/>
    <w:rsid w:val="000E4BFB"/>
    <w:rsid w:val="000E5618"/>
    <w:rsid w:val="000E5D4B"/>
    <w:rsid w:val="000E5EF5"/>
    <w:rsid w:val="000E6508"/>
    <w:rsid w:val="000E6611"/>
    <w:rsid w:val="000E6912"/>
    <w:rsid w:val="000E6982"/>
    <w:rsid w:val="000F037D"/>
    <w:rsid w:val="000F165A"/>
    <w:rsid w:val="000F1753"/>
    <w:rsid w:val="000F2ACA"/>
    <w:rsid w:val="000F3C9A"/>
    <w:rsid w:val="000F462D"/>
    <w:rsid w:val="000F5D63"/>
    <w:rsid w:val="000F6E3B"/>
    <w:rsid w:val="000F7CB6"/>
    <w:rsid w:val="001004B8"/>
    <w:rsid w:val="001019EB"/>
    <w:rsid w:val="00102155"/>
    <w:rsid w:val="00102ABC"/>
    <w:rsid w:val="00102D9B"/>
    <w:rsid w:val="0010394A"/>
    <w:rsid w:val="00103A63"/>
    <w:rsid w:val="0010410E"/>
    <w:rsid w:val="00104E19"/>
    <w:rsid w:val="0010771D"/>
    <w:rsid w:val="001077F9"/>
    <w:rsid w:val="00110D36"/>
    <w:rsid w:val="00113042"/>
    <w:rsid w:val="0011323F"/>
    <w:rsid w:val="001137FB"/>
    <w:rsid w:val="00113B9E"/>
    <w:rsid w:val="00114207"/>
    <w:rsid w:val="00114B84"/>
    <w:rsid w:val="00117185"/>
    <w:rsid w:val="0012011D"/>
    <w:rsid w:val="00120241"/>
    <w:rsid w:val="001208C2"/>
    <w:rsid w:val="00120B20"/>
    <w:rsid w:val="00121CE9"/>
    <w:rsid w:val="00122DAA"/>
    <w:rsid w:val="00127DB2"/>
    <w:rsid w:val="00127FC7"/>
    <w:rsid w:val="00131111"/>
    <w:rsid w:val="0013129F"/>
    <w:rsid w:val="0013341B"/>
    <w:rsid w:val="001337A8"/>
    <w:rsid w:val="00134308"/>
    <w:rsid w:val="00135190"/>
    <w:rsid w:val="001358C9"/>
    <w:rsid w:val="001359B6"/>
    <w:rsid w:val="00135B3B"/>
    <w:rsid w:val="0013697B"/>
    <w:rsid w:val="00137822"/>
    <w:rsid w:val="00137CF7"/>
    <w:rsid w:val="001401DA"/>
    <w:rsid w:val="00140C8A"/>
    <w:rsid w:val="00141100"/>
    <w:rsid w:val="00142200"/>
    <w:rsid w:val="0014295B"/>
    <w:rsid w:val="00142F64"/>
    <w:rsid w:val="00143006"/>
    <w:rsid w:val="001431B8"/>
    <w:rsid w:val="00143B58"/>
    <w:rsid w:val="00146211"/>
    <w:rsid w:val="00146FCA"/>
    <w:rsid w:val="001471A1"/>
    <w:rsid w:val="0014728B"/>
    <w:rsid w:val="00147839"/>
    <w:rsid w:val="001505D1"/>
    <w:rsid w:val="00150F73"/>
    <w:rsid w:val="0015107E"/>
    <w:rsid w:val="0015130B"/>
    <w:rsid w:val="001524C7"/>
    <w:rsid w:val="00154274"/>
    <w:rsid w:val="00154875"/>
    <w:rsid w:val="00154A51"/>
    <w:rsid w:val="001555A6"/>
    <w:rsid w:val="001574CF"/>
    <w:rsid w:val="0016009E"/>
    <w:rsid w:val="00160344"/>
    <w:rsid w:val="00160A0F"/>
    <w:rsid w:val="00160C1F"/>
    <w:rsid w:val="00161936"/>
    <w:rsid w:val="00162300"/>
    <w:rsid w:val="0016311F"/>
    <w:rsid w:val="00163BF4"/>
    <w:rsid w:val="00164FBD"/>
    <w:rsid w:val="00164FD6"/>
    <w:rsid w:val="0016530F"/>
    <w:rsid w:val="00165420"/>
    <w:rsid w:val="00166CA0"/>
    <w:rsid w:val="001672C7"/>
    <w:rsid w:val="00171240"/>
    <w:rsid w:val="001717F0"/>
    <w:rsid w:val="00171F26"/>
    <w:rsid w:val="00175474"/>
    <w:rsid w:val="00176299"/>
    <w:rsid w:val="001767DC"/>
    <w:rsid w:val="00177222"/>
    <w:rsid w:val="00177D92"/>
    <w:rsid w:val="00180CE3"/>
    <w:rsid w:val="00181102"/>
    <w:rsid w:val="00181A94"/>
    <w:rsid w:val="00181E20"/>
    <w:rsid w:val="0018247B"/>
    <w:rsid w:val="0018389B"/>
    <w:rsid w:val="00183DA5"/>
    <w:rsid w:val="0018490F"/>
    <w:rsid w:val="00185E6B"/>
    <w:rsid w:val="00187563"/>
    <w:rsid w:val="00190160"/>
    <w:rsid w:val="00192332"/>
    <w:rsid w:val="001936B3"/>
    <w:rsid w:val="00194F65"/>
    <w:rsid w:val="00195E47"/>
    <w:rsid w:val="001977FA"/>
    <w:rsid w:val="001A2134"/>
    <w:rsid w:val="001A3541"/>
    <w:rsid w:val="001A445F"/>
    <w:rsid w:val="001A4733"/>
    <w:rsid w:val="001A5022"/>
    <w:rsid w:val="001A5608"/>
    <w:rsid w:val="001A57FF"/>
    <w:rsid w:val="001A59C4"/>
    <w:rsid w:val="001A66D1"/>
    <w:rsid w:val="001A675E"/>
    <w:rsid w:val="001B033B"/>
    <w:rsid w:val="001B0E99"/>
    <w:rsid w:val="001B31F3"/>
    <w:rsid w:val="001B4862"/>
    <w:rsid w:val="001B6374"/>
    <w:rsid w:val="001B6617"/>
    <w:rsid w:val="001B6959"/>
    <w:rsid w:val="001B6FE8"/>
    <w:rsid w:val="001B75AB"/>
    <w:rsid w:val="001B79B9"/>
    <w:rsid w:val="001C0880"/>
    <w:rsid w:val="001C11F1"/>
    <w:rsid w:val="001C1350"/>
    <w:rsid w:val="001C13F0"/>
    <w:rsid w:val="001C2621"/>
    <w:rsid w:val="001C28B3"/>
    <w:rsid w:val="001C33B2"/>
    <w:rsid w:val="001C3C2E"/>
    <w:rsid w:val="001C445C"/>
    <w:rsid w:val="001C542F"/>
    <w:rsid w:val="001C5859"/>
    <w:rsid w:val="001C6C43"/>
    <w:rsid w:val="001D0900"/>
    <w:rsid w:val="001D1371"/>
    <w:rsid w:val="001D15D9"/>
    <w:rsid w:val="001D2A9E"/>
    <w:rsid w:val="001D2AB4"/>
    <w:rsid w:val="001D2E91"/>
    <w:rsid w:val="001D30CA"/>
    <w:rsid w:val="001D446D"/>
    <w:rsid w:val="001D478A"/>
    <w:rsid w:val="001D47EB"/>
    <w:rsid w:val="001D5B74"/>
    <w:rsid w:val="001D69E8"/>
    <w:rsid w:val="001D72F9"/>
    <w:rsid w:val="001E0283"/>
    <w:rsid w:val="001E0480"/>
    <w:rsid w:val="001E1251"/>
    <w:rsid w:val="001E1429"/>
    <w:rsid w:val="001E1475"/>
    <w:rsid w:val="001E2E34"/>
    <w:rsid w:val="001E6FE8"/>
    <w:rsid w:val="001E7B69"/>
    <w:rsid w:val="001E7C4B"/>
    <w:rsid w:val="001F33BD"/>
    <w:rsid w:val="001F36F8"/>
    <w:rsid w:val="001F3746"/>
    <w:rsid w:val="001F43CE"/>
    <w:rsid w:val="001F5B65"/>
    <w:rsid w:val="001F6191"/>
    <w:rsid w:val="001F66FD"/>
    <w:rsid w:val="001F6E5E"/>
    <w:rsid w:val="00202BDB"/>
    <w:rsid w:val="002039FF"/>
    <w:rsid w:val="00203B8E"/>
    <w:rsid w:val="002040AE"/>
    <w:rsid w:val="00204834"/>
    <w:rsid w:val="002055AD"/>
    <w:rsid w:val="00207920"/>
    <w:rsid w:val="002101E7"/>
    <w:rsid w:val="0021075C"/>
    <w:rsid w:val="002107DC"/>
    <w:rsid w:val="00210CCA"/>
    <w:rsid w:val="00211FA8"/>
    <w:rsid w:val="00212A39"/>
    <w:rsid w:val="0021450B"/>
    <w:rsid w:val="002148BF"/>
    <w:rsid w:val="002151F6"/>
    <w:rsid w:val="00216746"/>
    <w:rsid w:val="0021776C"/>
    <w:rsid w:val="00217ED6"/>
    <w:rsid w:val="00221E97"/>
    <w:rsid w:val="00222DEE"/>
    <w:rsid w:val="002255AC"/>
    <w:rsid w:val="0022595F"/>
    <w:rsid w:val="00231768"/>
    <w:rsid w:val="00231D56"/>
    <w:rsid w:val="00232130"/>
    <w:rsid w:val="00232636"/>
    <w:rsid w:val="002334C2"/>
    <w:rsid w:val="002338DB"/>
    <w:rsid w:val="00234ADF"/>
    <w:rsid w:val="00237A80"/>
    <w:rsid w:val="00240156"/>
    <w:rsid w:val="0024146E"/>
    <w:rsid w:val="0024343F"/>
    <w:rsid w:val="00243E6C"/>
    <w:rsid w:val="00243FE5"/>
    <w:rsid w:val="002469E9"/>
    <w:rsid w:val="0024722E"/>
    <w:rsid w:val="00252C49"/>
    <w:rsid w:val="00253A22"/>
    <w:rsid w:val="002547A5"/>
    <w:rsid w:val="00254D4D"/>
    <w:rsid w:val="0026079A"/>
    <w:rsid w:val="00260BF1"/>
    <w:rsid w:val="00260CFD"/>
    <w:rsid w:val="00261126"/>
    <w:rsid w:val="002619C8"/>
    <w:rsid w:val="00261F4B"/>
    <w:rsid w:val="00262915"/>
    <w:rsid w:val="00262A23"/>
    <w:rsid w:val="00262AC8"/>
    <w:rsid w:val="00264614"/>
    <w:rsid w:val="002667A6"/>
    <w:rsid w:val="0026697C"/>
    <w:rsid w:val="00266B45"/>
    <w:rsid w:val="00266C5C"/>
    <w:rsid w:val="00267604"/>
    <w:rsid w:val="002703F1"/>
    <w:rsid w:val="00270C15"/>
    <w:rsid w:val="00274144"/>
    <w:rsid w:val="00275FE6"/>
    <w:rsid w:val="00276737"/>
    <w:rsid w:val="00276FC8"/>
    <w:rsid w:val="00280E09"/>
    <w:rsid w:val="002815FA"/>
    <w:rsid w:val="00282E65"/>
    <w:rsid w:val="002835C6"/>
    <w:rsid w:val="00284F80"/>
    <w:rsid w:val="002855E5"/>
    <w:rsid w:val="002858D3"/>
    <w:rsid w:val="00285D29"/>
    <w:rsid w:val="00286E0A"/>
    <w:rsid w:val="00287A0F"/>
    <w:rsid w:val="002913C3"/>
    <w:rsid w:val="002918A6"/>
    <w:rsid w:val="002936F3"/>
    <w:rsid w:val="00293811"/>
    <w:rsid w:val="00295066"/>
    <w:rsid w:val="002955CD"/>
    <w:rsid w:val="002958AA"/>
    <w:rsid w:val="00296908"/>
    <w:rsid w:val="002A1200"/>
    <w:rsid w:val="002A3273"/>
    <w:rsid w:val="002A3A30"/>
    <w:rsid w:val="002A5C7B"/>
    <w:rsid w:val="002A6325"/>
    <w:rsid w:val="002A67DD"/>
    <w:rsid w:val="002A798E"/>
    <w:rsid w:val="002B0728"/>
    <w:rsid w:val="002B107F"/>
    <w:rsid w:val="002B1A1A"/>
    <w:rsid w:val="002B278C"/>
    <w:rsid w:val="002B2A5F"/>
    <w:rsid w:val="002B3935"/>
    <w:rsid w:val="002B4027"/>
    <w:rsid w:val="002B4117"/>
    <w:rsid w:val="002B535A"/>
    <w:rsid w:val="002B5B25"/>
    <w:rsid w:val="002B627C"/>
    <w:rsid w:val="002B7257"/>
    <w:rsid w:val="002C0014"/>
    <w:rsid w:val="002C0915"/>
    <w:rsid w:val="002C0B94"/>
    <w:rsid w:val="002C0C35"/>
    <w:rsid w:val="002C134A"/>
    <w:rsid w:val="002C1BE5"/>
    <w:rsid w:val="002C29AA"/>
    <w:rsid w:val="002C2D32"/>
    <w:rsid w:val="002C3985"/>
    <w:rsid w:val="002C4890"/>
    <w:rsid w:val="002C59A6"/>
    <w:rsid w:val="002C69E8"/>
    <w:rsid w:val="002C6D51"/>
    <w:rsid w:val="002C6DC8"/>
    <w:rsid w:val="002C7AD0"/>
    <w:rsid w:val="002D1554"/>
    <w:rsid w:val="002D32CA"/>
    <w:rsid w:val="002D5366"/>
    <w:rsid w:val="002D54AC"/>
    <w:rsid w:val="002D71E2"/>
    <w:rsid w:val="002D769E"/>
    <w:rsid w:val="002E086B"/>
    <w:rsid w:val="002E0AC8"/>
    <w:rsid w:val="002E2F3C"/>
    <w:rsid w:val="002E39D3"/>
    <w:rsid w:val="002E4FA7"/>
    <w:rsid w:val="002E56EE"/>
    <w:rsid w:val="002E570D"/>
    <w:rsid w:val="002E757F"/>
    <w:rsid w:val="002F0A60"/>
    <w:rsid w:val="002F10E6"/>
    <w:rsid w:val="002F24D1"/>
    <w:rsid w:val="002F28D6"/>
    <w:rsid w:val="002F4F1A"/>
    <w:rsid w:val="002F58AB"/>
    <w:rsid w:val="002F58B5"/>
    <w:rsid w:val="002F6BF4"/>
    <w:rsid w:val="002F6E61"/>
    <w:rsid w:val="002F7560"/>
    <w:rsid w:val="002F7768"/>
    <w:rsid w:val="002F7DBD"/>
    <w:rsid w:val="0030157E"/>
    <w:rsid w:val="00301A0D"/>
    <w:rsid w:val="00303189"/>
    <w:rsid w:val="0030390C"/>
    <w:rsid w:val="00303954"/>
    <w:rsid w:val="0030418A"/>
    <w:rsid w:val="0030467E"/>
    <w:rsid w:val="0030557B"/>
    <w:rsid w:val="00306786"/>
    <w:rsid w:val="00310433"/>
    <w:rsid w:val="00311FEB"/>
    <w:rsid w:val="00312A3E"/>
    <w:rsid w:val="003130F2"/>
    <w:rsid w:val="00313841"/>
    <w:rsid w:val="00313B5F"/>
    <w:rsid w:val="00313D8B"/>
    <w:rsid w:val="00314041"/>
    <w:rsid w:val="003143DC"/>
    <w:rsid w:val="003160E0"/>
    <w:rsid w:val="00316BEE"/>
    <w:rsid w:val="003173C5"/>
    <w:rsid w:val="00320534"/>
    <w:rsid w:val="0032072E"/>
    <w:rsid w:val="00322997"/>
    <w:rsid w:val="003244E6"/>
    <w:rsid w:val="003247A7"/>
    <w:rsid w:val="003257E5"/>
    <w:rsid w:val="00325F9E"/>
    <w:rsid w:val="00326FD4"/>
    <w:rsid w:val="003277B5"/>
    <w:rsid w:val="00330D09"/>
    <w:rsid w:val="00330EEA"/>
    <w:rsid w:val="00331131"/>
    <w:rsid w:val="00333383"/>
    <w:rsid w:val="00334EED"/>
    <w:rsid w:val="003352BC"/>
    <w:rsid w:val="0033618F"/>
    <w:rsid w:val="00337165"/>
    <w:rsid w:val="003377B6"/>
    <w:rsid w:val="003409E9"/>
    <w:rsid w:val="00340F05"/>
    <w:rsid w:val="00342348"/>
    <w:rsid w:val="00343040"/>
    <w:rsid w:val="003437C9"/>
    <w:rsid w:val="00343D6C"/>
    <w:rsid w:val="003468B4"/>
    <w:rsid w:val="00350522"/>
    <w:rsid w:val="00350B76"/>
    <w:rsid w:val="00350EEC"/>
    <w:rsid w:val="0035219A"/>
    <w:rsid w:val="00352458"/>
    <w:rsid w:val="00352BF1"/>
    <w:rsid w:val="00352DCC"/>
    <w:rsid w:val="00353839"/>
    <w:rsid w:val="003547C7"/>
    <w:rsid w:val="00356700"/>
    <w:rsid w:val="00361B1E"/>
    <w:rsid w:val="00363BC3"/>
    <w:rsid w:val="00364E2A"/>
    <w:rsid w:val="00365323"/>
    <w:rsid w:val="003668D8"/>
    <w:rsid w:val="00366E07"/>
    <w:rsid w:val="00367924"/>
    <w:rsid w:val="00370204"/>
    <w:rsid w:val="00370471"/>
    <w:rsid w:val="003707F5"/>
    <w:rsid w:val="003707FA"/>
    <w:rsid w:val="003722FA"/>
    <w:rsid w:val="00372518"/>
    <w:rsid w:val="0037406F"/>
    <w:rsid w:val="00374646"/>
    <w:rsid w:val="00374A49"/>
    <w:rsid w:val="00375246"/>
    <w:rsid w:val="0037681F"/>
    <w:rsid w:val="00380223"/>
    <w:rsid w:val="00381941"/>
    <w:rsid w:val="003824EB"/>
    <w:rsid w:val="003835FD"/>
    <w:rsid w:val="003843F4"/>
    <w:rsid w:val="00384A09"/>
    <w:rsid w:val="00384CCF"/>
    <w:rsid w:val="003874C8"/>
    <w:rsid w:val="00387E02"/>
    <w:rsid w:val="00391716"/>
    <w:rsid w:val="00391774"/>
    <w:rsid w:val="003925C4"/>
    <w:rsid w:val="003926DF"/>
    <w:rsid w:val="0039294E"/>
    <w:rsid w:val="00394AA7"/>
    <w:rsid w:val="00395373"/>
    <w:rsid w:val="00395DF8"/>
    <w:rsid w:val="00396252"/>
    <w:rsid w:val="00396CA2"/>
    <w:rsid w:val="003974D6"/>
    <w:rsid w:val="003976C1"/>
    <w:rsid w:val="003A2408"/>
    <w:rsid w:val="003A39EA"/>
    <w:rsid w:val="003A42A4"/>
    <w:rsid w:val="003A47A7"/>
    <w:rsid w:val="003A4BBC"/>
    <w:rsid w:val="003A63C0"/>
    <w:rsid w:val="003A6B34"/>
    <w:rsid w:val="003A70A1"/>
    <w:rsid w:val="003A77A2"/>
    <w:rsid w:val="003A7DA8"/>
    <w:rsid w:val="003B0BAD"/>
    <w:rsid w:val="003B1D98"/>
    <w:rsid w:val="003B2793"/>
    <w:rsid w:val="003B52C9"/>
    <w:rsid w:val="003B5F66"/>
    <w:rsid w:val="003B6C79"/>
    <w:rsid w:val="003C0307"/>
    <w:rsid w:val="003C0956"/>
    <w:rsid w:val="003C42DA"/>
    <w:rsid w:val="003C4469"/>
    <w:rsid w:val="003C4943"/>
    <w:rsid w:val="003C524B"/>
    <w:rsid w:val="003C52F3"/>
    <w:rsid w:val="003C657A"/>
    <w:rsid w:val="003D0FED"/>
    <w:rsid w:val="003D31CE"/>
    <w:rsid w:val="003D357F"/>
    <w:rsid w:val="003D5F52"/>
    <w:rsid w:val="003D7150"/>
    <w:rsid w:val="003D7999"/>
    <w:rsid w:val="003D7DB4"/>
    <w:rsid w:val="003D7F22"/>
    <w:rsid w:val="003E1782"/>
    <w:rsid w:val="003E27DC"/>
    <w:rsid w:val="003E2F5B"/>
    <w:rsid w:val="003E3635"/>
    <w:rsid w:val="003E3C67"/>
    <w:rsid w:val="003E3DF4"/>
    <w:rsid w:val="003E4A9D"/>
    <w:rsid w:val="003E4BE8"/>
    <w:rsid w:val="003E4E21"/>
    <w:rsid w:val="003E6F22"/>
    <w:rsid w:val="003F16EC"/>
    <w:rsid w:val="003F19E5"/>
    <w:rsid w:val="003F3424"/>
    <w:rsid w:val="003F3D5E"/>
    <w:rsid w:val="003F3F62"/>
    <w:rsid w:val="003F53BF"/>
    <w:rsid w:val="003F55A3"/>
    <w:rsid w:val="003F6229"/>
    <w:rsid w:val="003F654D"/>
    <w:rsid w:val="003F775B"/>
    <w:rsid w:val="0040010E"/>
    <w:rsid w:val="00402C7D"/>
    <w:rsid w:val="0040365E"/>
    <w:rsid w:val="00403745"/>
    <w:rsid w:val="0040566D"/>
    <w:rsid w:val="00406798"/>
    <w:rsid w:val="00406FC4"/>
    <w:rsid w:val="00407ED3"/>
    <w:rsid w:val="00410705"/>
    <w:rsid w:val="004109ED"/>
    <w:rsid w:val="004110DC"/>
    <w:rsid w:val="00411F86"/>
    <w:rsid w:val="00412E9A"/>
    <w:rsid w:val="00412F6D"/>
    <w:rsid w:val="00417698"/>
    <w:rsid w:val="00420A36"/>
    <w:rsid w:val="00420A92"/>
    <w:rsid w:val="0042179B"/>
    <w:rsid w:val="00422A17"/>
    <w:rsid w:val="00423091"/>
    <w:rsid w:val="00423F17"/>
    <w:rsid w:val="0042440C"/>
    <w:rsid w:val="0042478D"/>
    <w:rsid w:val="00424D8E"/>
    <w:rsid w:val="004258ED"/>
    <w:rsid w:val="00425E4F"/>
    <w:rsid w:val="004261C9"/>
    <w:rsid w:val="00426ED0"/>
    <w:rsid w:val="00427760"/>
    <w:rsid w:val="00430382"/>
    <w:rsid w:val="00432655"/>
    <w:rsid w:val="00432A72"/>
    <w:rsid w:val="00432EF9"/>
    <w:rsid w:val="00434763"/>
    <w:rsid w:val="00434E9A"/>
    <w:rsid w:val="004354A2"/>
    <w:rsid w:val="004366D5"/>
    <w:rsid w:val="0043697C"/>
    <w:rsid w:val="00440BC5"/>
    <w:rsid w:val="00441C73"/>
    <w:rsid w:val="00441CDD"/>
    <w:rsid w:val="00442A22"/>
    <w:rsid w:val="004432DE"/>
    <w:rsid w:val="00443911"/>
    <w:rsid w:val="004446BA"/>
    <w:rsid w:val="00444C81"/>
    <w:rsid w:val="00446140"/>
    <w:rsid w:val="0045252A"/>
    <w:rsid w:val="00452999"/>
    <w:rsid w:val="00452D19"/>
    <w:rsid w:val="00453ADD"/>
    <w:rsid w:val="0045555D"/>
    <w:rsid w:val="00456072"/>
    <w:rsid w:val="00456822"/>
    <w:rsid w:val="00456C7D"/>
    <w:rsid w:val="00456D3B"/>
    <w:rsid w:val="00460382"/>
    <w:rsid w:val="00462A26"/>
    <w:rsid w:val="00462ECF"/>
    <w:rsid w:val="0046302A"/>
    <w:rsid w:val="004650A2"/>
    <w:rsid w:val="00466FA8"/>
    <w:rsid w:val="004675E6"/>
    <w:rsid w:val="00470A50"/>
    <w:rsid w:val="00471184"/>
    <w:rsid w:val="00471D64"/>
    <w:rsid w:val="00472563"/>
    <w:rsid w:val="0047269B"/>
    <w:rsid w:val="004745F2"/>
    <w:rsid w:val="004751DA"/>
    <w:rsid w:val="00475680"/>
    <w:rsid w:val="00475E00"/>
    <w:rsid w:val="00476FFD"/>
    <w:rsid w:val="00477911"/>
    <w:rsid w:val="00477D1E"/>
    <w:rsid w:val="00480A1F"/>
    <w:rsid w:val="00482E48"/>
    <w:rsid w:val="00483303"/>
    <w:rsid w:val="0048379F"/>
    <w:rsid w:val="0048674A"/>
    <w:rsid w:val="0048700A"/>
    <w:rsid w:val="00487DA6"/>
    <w:rsid w:val="004904E7"/>
    <w:rsid w:val="004908A7"/>
    <w:rsid w:val="00491026"/>
    <w:rsid w:val="00491B57"/>
    <w:rsid w:val="0049203F"/>
    <w:rsid w:val="00493041"/>
    <w:rsid w:val="004930B6"/>
    <w:rsid w:val="0049506B"/>
    <w:rsid w:val="00495ADD"/>
    <w:rsid w:val="004977A4"/>
    <w:rsid w:val="0049785D"/>
    <w:rsid w:val="004A00F6"/>
    <w:rsid w:val="004A0271"/>
    <w:rsid w:val="004A0BA9"/>
    <w:rsid w:val="004A0E52"/>
    <w:rsid w:val="004A127E"/>
    <w:rsid w:val="004A2C87"/>
    <w:rsid w:val="004A4C37"/>
    <w:rsid w:val="004A561F"/>
    <w:rsid w:val="004A61C9"/>
    <w:rsid w:val="004A73B2"/>
    <w:rsid w:val="004A7891"/>
    <w:rsid w:val="004B06F0"/>
    <w:rsid w:val="004B07BD"/>
    <w:rsid w:val="004B097C"/>
    <w:rsid w:val="004B11E1"/>
    <w:rsid w:val="004B1671"/>
    <w:rsid w:val="004B29D1"/>
    <w:rsid w:val="004B3199"/>
    <w:rsid w:val="004B58D1"/>
    <w:rsid w:val="004B75BB"/>
    <w:rsid w:val="004B780F"/>
    <w:rsid w:val="004C17DE"/>
    <w:rsid w:val="004C1A08"/>
    <w:rsid w:val="004C23E6"/>
    <w:rsid w:val="004C2DA5"/>
    <w:rsid w:val="004C351A"/>
    <w:rsid w:val="004C49A2"/>
    <w:rsid w:val="004C4BA9"/>
    <w:rsid w:val="004C562D"/>
    <w:rsid w:val="004C5BE8"/>
    <w:rsid w:val="004C68F8"/>
    <w:rsid w:val="004C69CA"/>
    <w:rsid w:val="004C7FC5"/>
    <w:rsid w:val="004D086E"/>
    <w:rsid w:val="004D0899"/>
    <w:rsid w:val="004D0EB0"/>
    <w:rsid w:val="004D1861"/>
    <w:rsid w:val="004D39C2"/>
    <w:rsid w:val="004D4588"/>
    <w:rsid w:val="004D4B99"/>
    <w:rsid w:val="004D59F2"/>
    <w:rsid w:val="004E1833"/>
    <w:rsid w:val="004E1A9B"/>
    <w:rsid w:val="004E287C"/>
    <w:rsid w:val="004E380B"/>
    <w:rsid w:val="004E3F51"/>
    <w:rsid w:val="004E49E1"/>
    <w:rsid w:val="004E4B5D"/>
    <w:rsid w:val="004E5242"/>
    <w:rsid w:val="004E7244"/>
    <w:rsid w:val="004E7BA3"/>
    <w:rsid w:val="004F0A38"/>
    <w:rsid w:val="004F2370"/>
    <w:rsid w:val="004F3029"/>
    <w:rsid w:val="004F4654"/>
    <w:rsid w:val="004F575E"/>
    <w:rsid w:val="004F5D0C"/>
    <w:rsid w:val="004F6168"/>
    <w:rsid w:val="004F72E5"/>
    <w:rsid w:val="004F775B"/>
    <w:rsid w:val="004F7DB0"/>
    <w:rsid w:val="0050054D"/>
    <w:rsid w:val="00500C37"/>
    <w:rsid w:val="00500DC7"/>
    <w:rsid w:val="005018C6"/>
    <w:rsid w:val="00501B59"/>
    <w:rsid w:val="00501CA3"/>
    <w:rsid w:val="005021EA"/>
    <w:rsid w:val="0050453A"/>
    <w:rsid w:val="00504C75"/>
    <w:rsid w:val="005058F7"/>
    <w:rsid w:val="005072AE"/>
    <w:rsid w:val="00510A78"/>
    <w:rsid w:val="00511341"/>
    <w:rsid w:val="00511532"/>
    <w:rsid w:val="00512207"/>
    <w:rsid w:val="00512726"/>
    <w:rsid w:val="00512C51"/>
    <w:rsid w:val="0051310D"/>
    <w:rsid w:val="0051368B"/>
    <w:rsid w:val="0051433A"/>
    <w:rsid w:val="00514EF3"/>
    <w:rsid w:val="00515408"/>
    <w:rsid w:val="00515675"/>
    <w:rsid w:val="00520896"/>
    <w:rsid w:val="00524128"/>
    <w:rsid w:val="0052432C"/>
    <w:rsid w:val="00525A42"/>
    <w:rsid w:val="00525DD6"/>
    <w:rsid w:val="0052611C"/>
    <w:rsid w:val="00526244"/>
    <w:rsid w:val="005265EE"/>
    <w:rsid w:val="00526640"/>
    <w:rsid w:val="005269EF"/>
    <w:rsid w:val="0052705F"/>
    <w:rsid w:val="00527BF7"/>
    <w:rsid w:val="00527BFE"/>
    <w:rsid w:val="00531685"/>
    <w:rsid w:val="00532874"/>
    <w:rsid w:val="00532E05"/>
    <w:rsid w:val="00533E04"/>
    <w:rsid w:val="0053408A"/>
    <w:rsid w:val="005341C2"/>
    <w:rsid w:val="0053490A"/>
    <w:rsid w:val="005371A6"/>
    <w:rsid w:val="00537A70"/>
    <w:rsid w:val="0054119B"/>
    <w:rsid w:val="005428DB"/>
    <w:rsid w:val="00542A6E"/>
    <w:rsid w:val="00542EFD"/>
    <w:rsid w:val="00543FD9"/>
    <w:rsid w:val="00545761"/>
    <w:rsid w:val="00545864"/>
    <w:rsid w:val="00545F6E"/>
    <w:rsid w:val="00546180"/>
    <w:rsid w:val="00547173"/>
    <w:rsid w:val="00547755"/>
    <w:rsid w:val="00547DE9"/>
    <w:rsid w:val="00547E7D"/>
    <w:rsid w:val="00550433"/>
    <w:rsid w:val="00550CD9"/>
    <w:rsid w:val="005515C3"/>
    <w:rsid w:val="00551B89"/>
    <w:rsid w:val="00552430"/>
    <w:rsid w:val="00552F6F"/>
    <w:rsid w:val="00553237"/>
    <w:rsid w:val="005533A7"/>
    <w:rsid w:val="005543D6"/>
    <w:rsid w:val="00554456"/>
    <w:rsid w:val="005547C4"/>
    <w:rsid w:val="0055580C"/>
    <w:rsid w:val="00555E15"/>
    <w:rsid w:val="00556A0B"/>
    <w:rsid w:val="005601D1"/>
    <w:rsid w:val="0056086D"/>
    <w:rsid w:val="00560991"/>
    <w:rsid w:val="00561F48"/>
    <w:rsid w:val="00562772"/>
    <w:rsid w:val="00562CEC"/>
    <w:rsid w:val="005630F9"/>
    <w:rsid w:val="0056358A"/>
    <w:rsid w:val="00563BBD"/>
    <w:rsid w:val="00564724"/>
    <w:rsid w:val="00564896"/>
    <w:rsid w:val="00564D50"/>
    <w:rsid w:val="00565805"/>
    <w:rsid w:val="00566DBD"/>
    <w:rsid w:val="00567602"/>
    <w:rsid w:val="00570D76"/>
    <w:rsid w:val="00570D82"/>
    <w:rsid w:val="00570F8D"/>
    <w:rsid w:val="00571587"/>
    <w:rsid w:val="00571A9E"/>
    <w:rsid w:val="0057337E"/>
    <w:rsid w:val="00574761"/>
    <w:rsid w:val="0057694A"/>
    <w:rsid w:val="00580268"/>
    <w:rsid w:val="00580C86"/>
    <w:rsid w:val="00581289"/>
    <w:rsid w:val="00582DDA"/>
    <w:rsid w:val="00583183"/>
    <w:rsid w:val="005837D1"/>
    <w:rsid w:val="0058487B"/>
    <w:rsid w:val="00585379"/>
    <w:rsid w:val="00585EB8"/>
    <w:rsid w:val="005866B3"/>
    <w:rsid w:val="00587543"/>
    <w:rsid w:val="0059049F"/>
    <w:rsid w:val="005909A6"/>
    <w:rsid w:val="00590CE0"/>
    <w:rsid w:val="00591ED7"/>
    <w:rsid w:val="00592E38"/>
    <w:rsid w:val="00593541"/>
    <w:rsid w:val="005939F1"/>
    <w:rsid w:val="00595034"/>
    <w:rsid w:val="005956F3"/>
    <w:rsid w:val="005971A7"/>
    <w:rsid w:val="00597FCD"/>
    <w:rsid w:val="005A01CF"/>
    <w:rsid w:val="005A055B"/>
    <w:rsid w:val="005A0BF8"/>
    <w:rsid w:val="005A169C"/>
    <w:rsid w:val="005A214F"/>
    <w:rsid w:val="005A2447"/>
    <w:rsid w:val="005A2C6D"/>
    <w:rsid w:val="005A374D"/>
    <w:rsid w:val="005A484A"/>
    <w:rsid w:val="005A4EE1"/>
    <w:rsid w:val="005A522E"/>
    <w:rsid w:val="005A544A"/>
    <w:rsid w:val="005A76CE"/>
    <w:rsid w:val="005B02C7"/>
    <w:rsid w:val="005B0CDE"/>
    <w:rsid w:val="005B1BB2"/>
    <w:rsid w:val="005B1F67"/>
    <w:rsid w:val="005B2E28"/>
    <w:rsid w:val="005B2E50"/>
    <w:rsid w:val="005B2EFB"/>
    <w:rsid w:val="005B4C56"/>
    <w:rsid w:val="005C0779"/>
    <w:rsid w:val="005C0B64"/>
    <w:rsid w:val="005C0CD1"/>
    <w:rsid w:val="005C2F6A"/>
    <w:rsid w:val="005C37A0"/>
    <w:rsid w:val="005C37F5"/>
    <w:rsid w:val="005C3F78"/>
    <w:rsid w:val="005C414E"/>
    <w:rsid w:val="005C41D9"/>
    <w:rsid w:val="005C4C97"/>
    <w:rsid w:val="005C5AB7"/>
    <w:rsid w:val="005C63E3"/>
    <w:rsid w:val="005C6A1E"/>
    <w:rsid w:val="005C70C7"/>
    <w:rsid w:val="005C75F9"/>
    <w:rsid w:val="005D04B7"/>
    <w:rsid w:val="005D297C"/>
    <w:rsid w:val="005D46F7"/>
    <w:rsid w:val="005D515D"/>
    <w:rsid w:val="005D59EF"/>
    <w:rsid w:val="005D5D3C"/>
    <w:rsid w:val="005D6F11"/>
    <w:rsid w:val="005D71B6"/>
    <w:rsid w:val="005E2CD1"/>
    <w:rsid w:val="005E4653"/>
    <w:rsid w:val="005E4AD8"/>
    <w:rsid w:val="005E4E8C"/>
    <w:rsid w:val="005E54EC"/>
    <w:rsid w:val="005E7022"/>
    <w:rsid w:val="005E77E4"/>
    <w:rsid w:val="005F0AA4"/>
    <w:rsid w:val="005F37FD"/>
    <w:rsid w:val="005F4F81"/>
    <w:rsid w:val="005F5F02"/>
    <w:rsid w:val="005F7189"/>
    <w:rsid w:val="005F7A04"/>
    <w:rsid w:val="005F7E9D"/>
    <w:rsid w:val="00600674"/>
    <w:rsid w:val="006008AF"/>
    <w:rsid w:val="00600CB1"/>
    <w:rsid w:val="006012E4"/>
    <w:rsid w:val="0060139C"/>
    <w:rsid w:val="00601905"/>
    <w:rsid w:val="00601A09"/>
    <w:rsid w:val="006063F4"/>
    <w:rsid w:val="006073D6"/>
    <w:rsid w:val="00607408"/>
    <w:rsid w:val="00607C1D"/>
    <w:rsid w:val="006115E1"/>
    <w:rsid w:val="006142DC"/>
    <w:rsid w:val="00614787"/>
    <w:rsid w:val="006148CC"/>
    <w:rsid w:val="00615A56"/>
    <w:rsid w:val="00620EEA"/>
    <w:rsid w:val="00621274"/>
    <w:rsid w:val="0062182B"/>
    <w:rsid w:val="00621889"/>
    <w:rsid w:val="006237D6"/>
    <w:rsid w:val="00625C66"/>
    <w:rsid w:val="006263DE"/>
    <w:rsid w:val="00626AC1"/>
    <w:rsid w:val="00630397"/>
    <w:rsid w:val="00630A1F"/>
    <w:rsid w:val="00632AD6"/>
    <w:rsid w:val="0063369B"/>
    <w:rsid w:val="006336D6"/>
    <w:rsid w:val="006352E7"/>
    <w:rsid w:val="00637D21"/>
    <w:rsid w:val="00640611"/>
    <w:rsid w:val="006409AF"/>
    <w:rsid w:val="00642983"/>
    <w:rsid w:val="006429A5"/>
    <w:rsid w:val="00642A38"/>
    <w:rsid w:val="006430EA"/>
    <w:rsid w:val="0064354F"/>
    <w:rsid w:val="006441EE"/>
    <w:rsid w:val="00645FB5"/>
    <w:rsid w:val="006469DE"/>
    <w:rsid w:val="00647E00"/>
    <w:rsid w:val="00647EE7"/>
    <w:rsid w:val="006502DB"/>
    <w:rsid w:val="006507A6"/>
    <w:rsid w:val="00651ECE"/>
    <w:rsid w:val="0065253B"/>
    <w:rsid w:val="006526C6"/>
    <w:rsid w:val="00652D66"/>
    <w:rsid w:val="00654088"/>
    <w:rsid w:val="00655CA2"/>
    <w:rsid w:val="006565E0"/>
    <w:rsid w:val="006601F5"/>
    <w:rsid w:val="00661018"/>
    <w:rsid w:val="00661D36"/>
    <w:rsid w:val="006638BA"/>
    <w:rsid w:val="00663A40"/>
    <w:rsid w:val="0066452E"/>
    <w:rsid w:val="00665AFE"/>
    <w:rsid w:val="006661B7"/>
    <w:rsid w:val="0066722F"/>
    <w:rsid w:val="00667E38"/>
    <w:rsid w:val="006710FA"/>
    <w:rsid w:val="006728B2"/>
    <w:rsid w:val="006754A8"/>
    <w:rsid w:val="0067556E"/>
    <w:rsid w:val="00676EA2"/>
    <w:rsid w:val="00677192"/>
    <w:rsid w:val="006776C3"/>
    <w:rsid w:val="00680782"/>
    <w:rsid w:val="00680C46"/>
    <w:rsid w:val="00681F32"/>
    <w:rsid w:val="0068361C"/>
    <w:rsid w:val="00683814"/>
    <w:rsid w:val="006839E6"/>
    <w:rsid w:val="0068450A"/>
    <w:rsid w:val="0068501F"/>
    <w:rsid w:val="0068622C"/>
    <w:rsid w:val="00690E88"/>
    <w:rsid w:val="006913DC"/>
    <w:rsid w:val="006914EA"/>
    <w:rsid w:val="00693973"/>
    <w:rsid w:val="00694E2D"/>
    <w:rsid w:val="00695370"/>
    <w:rsid w:val="0069582D"/>
    <w:rsid w:val="0069603F"/>
    <w:rsid w:val="006963ED"/>
    <w:rsid w:val="0069675F"/>
    <w:rsid w:val="006A0214"/>
    <w:rsid w:val="006A07E7"/>
    <w:rsid w:val="006A578A"/>
    <w:rsid w:val="006A72DE"/>
    <w:rsid w:val="006A74F1"/>
    <w:rsid w:val="006B0540"/>
    <w:rsid w:val="006B12D9"/>
    <w:rsid w:val="006B2FB3"/>
    <w:rsid w:val="006B472A"/>
    <w:rsid w:val="006B726B"/>
    <w:rsid w:val="006C015E"/>
    <w:rsid w:val="006C0EC4"/>
    <w:rsid w:val="006C1195"/>
    <w:rsid w:val="006C22A4"/>
    <w:rsid w:val="006C29D5"/>
    <w:rsid w:val="006C5F19"/>
    <w:rsid w:val="006C6378"/>
    <w:rsid w:val="006C6606"/>
    <w:rsid w:val="006C66D8"/>
    <w:rsid w:val="006C67C1"/>
    <w:rsid w:val="006C76F6"/>
    <w:rsid w:val="006D00D3"/>
    <w:rsid w:val="006D00F8"/>
    <w:rsid w:val="006D0545"/>
    <w:rsid w:val="006D139D"/>
    <w:rsid w:val="006D23F1"/>
    <w:rsid w:val="006D3171"/>
    <w:rsid w:val="006D541E"/>
    <w:rsid w:val="006D5A2A"/>
    <w:rsid w:val="006D6314"/>
    <w:rsid w:val="006D6C0E"/>
    <w:rsid w:val="006E10F7"/>
    <w:rsid w:val="006E1A53"/>
    <w:rsid w:val="006E2250"/>
    <w:rsid w:val="006E2644"/>
    <w:rsid w:val="006E2A5C"/>
    <w:rsid w:val="006E3BF2"/>
    <w:rsid w:val="006E6023"/>
    <w:rsid w:val="006E680B"/>
    <w:rsid w:val="006E7742"/>
    <w:rsid w:val="006F11E7"/>
    <w:rsid w:val="006F1EFC"/>
    <w:rsid w:val="006F2571"/>
    <w:rsid w:val="006F3037"/>
    <w:rsid w:val="006F3103"/>
    <w:rsid w:val="006F4E45"/>
    <w:rsid w:val="006F55DB"/>
    <w:rsid w:val="006F5904"/>
    <w:rsid w:val="006F65FE"/>
    <w:rsid w:val="006F6702"/>
    <w:rsid w:val="006F6FD4"/>
    <w:rsid w:val="006F7559"/>
    <w:rsid w:val="006F7AAA"/>
    <w:rsid w:val="0070205F"/>
    <w:rsid w:val="00702571"/>
    <w:rsid w:val="00702AD4"/>
    <w:rsid w:val="00702AE0"/>
    <w:rsid w:val="00702D9F"/>
    <w:rsid w:val="0070358A"/>
    <w:rsid w:val="0070410F"/>
    <w:rsid w:val="007057CC"/>
    <w:rsid w:val="007070F9"/>
    <w:rsid w:val="00707B56"/>
    <w:rsid w:val="00710028"/>
    <w:rsid w:val="0071009D"/>
    <w:rsid w:val="0071167C"/>
    <w:rsid w:val="007118E2"/>
    <w:rsid w:val="00711B9E"/>
    <w:rsid w:val="007120FC"/>
    <w:rsid w:val="00713A80"/>
    <w:rsid w:val="00713B9A"/>
    <w:rsid w:val="00714BD1"/>
    <w:rsid w:val="00715042"/>
    <w:rsid w:val="007164DA"/>
    <w:rsid w:val="0072000B"/>
    <w:rsid w:val="0072040A"/>
    <w:rsid w:val="00720B1A"/>
    <w:rsid w:val="00723236"/>
    <w:rsid w:val="00723A8F"/>
    <w:rsid w:val="00724759"/>
    <w:rsid w:val="007249C2"/>
    <w:rsid w:val="007253FD"/>
    <w:rsid w:val="0073033C"/>
    <w:rsid w:val="00730738"/>
    <w:rsid w:val="00731D10"/>
    <w:rsid w:val="00732337"/>
    <w:rsid w:val="00733125"/>
    <w:rsid w:val="00733174"/>
    <w:rsid w:val="007332A0"/>
    <w:rsid w:val="00733BD7"/>
    <w:rsid w:val="007352C3"/>
    <w:rsid w:val="00735865"/>
    <w:rsid w:val="00735D8C"/>
    <w:rsid w:val="00736030"/>
    <w:rsid w:val="00736D38"/>
    <w:rsid w:val="00737114"/>
    <w:rsid w:val="0074065A"/>
    <w:rsid w:val="007436A5"/>
    <w:rsid w:val="00745105"/>
    <w:rsid w:val="00745414"/>
    <w:rsid w:val="0074596B"/>
    <w:rsid w:val="00745AF5"/>
    <w:rsid w:val="00746CFD"/>
    <w:rsid w:val="00750734"/>
    <w:rsid w:val="0075167C"/>
    <w:rsid w:val="00751AE1"/>
    <w:rsid w:val="00751D64"/>
    <w:rsid w:val="00752CE1"/>
    <w:rsid w:val="0075403C"/>
    <w:rsid w:val="00755B19"/>
    <w:rsid w:val="007560BD"/>
    <w:rsid w:val="00760221"/>
    <w:rsid w:val="00760A2E"/>
    <w:rsid w:val="00761E44"/>
    <w:rsid w:val="00762833"/>
    <w:rsid w:val="00762CEF"/>
    <w:rsid w:val="007633EC"/>
    <w:rsid w:val="00763711"/>
    <w:rsid w:val="00763ACD"/>
    <w:rsid w:val="0076452C"/>
    <w:rsid w:val="007653FA"/>
    <w:rsid w:val="007662F6"/>
    <w:rsid w:val="0076678F"/>
    <w:rsid w:val="00767241"/>
    <w:rsid w:val="00767800"/>
    <w:rsid w:val="00767987"/>
    <w:rsid w:val="0077082E"/>
    <w:rsid w:val="007712C5"/>
    <w:rsid w:val="0077171F"/>
    <w:rsid w:val="00772A8D"/>
    <w:rsid w:val="00772D70"/>
    <w:rsid w:val="00773531"/>
    <w:rsid w:val="00773F0E"/>
    <w:rsid w:val="00774C7F"/>
    <w:rsid w:val="00775B43"/>
    <w:rsid w:val="00775D9C"/>
    <w:rsid w:val="00775EC1"/>
    <w:rsid w:val="00776436"/>
    <w:rsid w:val="007764AF"/>
    <w:rsid w:val="00777D12"/>
    <w:rsid w:val="00780B69"/>
    <w:rsid w:val="00780DE7"/>
    <w:rsid w:val="00781659"/>
    <w:rsid w:val="00782D0A"/>
    <w:rsid w:val="00782EAB"/>
    <w:rsid w:val="00784312"/>
    <w:rsid w:val="0078579B"/>
    <w:rsid w:val="00785CBA"/>
    <w:rsid w:val="00786210"/>
    <w:rsid w:val="00786E34"/>
    <w:rsid w:val="00786F26"/>
    <w:rsid w:val="00787AB4"/>
    <w:rsid w:val="00790A35"/>
    <w:rsid w:val="0079106F"/>
    <w:rsid w:val="007911DD"/>
    <w:rsid w:val="007916CB"/>
    <w:rsid w:val="007917AA"/>
    <w:rsid w:val="00792B58"/>
    <w:rsid w:val="00792D94"/>
    <w:rsid w:val="007930D6"/>
    <w:rsid w:val="007943CC"/>
    <w:rsid w:val="00794B42"/>
    <w:rsid w:val="00795578"/>
    <w:rsid w:val="00795699"/>
    <w:rsid w:val="00796810"/>
    <w:rsid w:val="00796DA8"/>
    <w:rsid w:val="007A0D9A"/>
    <w:rsid w:val="007A197C"/>
    <w:rsid w:val="007A1FE8"/>
    <w:rsid w:val="007A2190"/>
    <w:rsid w:val="007A373F"/>
    <w:rsid w:val="007A660C"/>
    <w:rsid w:val="007A74E8"/>
    <w:rsid w:val="007B0523"/>
    <w:rsid w:val="007B08DA"/>
    <w:rsid w:val="007B2A55"/>
    <w:rsid w:val="007B3621"/>
    <w:rsid w:val="007B3B54"/>
    <w:rsid w:val="007B66F0"/>
    <w:rsid w:val="007B6993"/>
    <w:rsid w:val="007B7F4E"/>
    <w:rsid w:val="007C0D23"/>
    <w:rsid w:val="007C36D5"/>
    <w:rsid w:val="007C4284"/>
    <w:rsid w:val="007C4BA8"/>
    <w:rsid w:val="007C6091"/>
    <w:rsid w:val="007C76AC"/>
    <w:rsid w:val="007C7A34"/>
    <w:rsid w:val="007D00A6"/>
    <w:rsid w:val="007D0CE6"/>
    <w:rsid w:val="007D191B"/>
    <w:rsid w:val="007D3332"/>
    <w:rsid w:val="007D380E"/>
    <w:rsid w:val="007D4E4A"/>
    <w:rsid w:val="007D607F"/>
    <w:rsid w:val="007D6AD6"/>
    <w:rsid w:val="007D6C82"/>
    <w:rsid w:val="007D6E3C"/>
    <w:rsid w:val="007D7C6D"/>
    <w:rsid w:val="007E251D"/>
    <w:rsid w:val="007E4A8A"/>
    <w:rsid w:val="007E5972"/>
    <w:rsid w:val="007E5AB1"/>
    <w:rsid w:val="007E5C6F"/>
    <w:rsid w:val="007E6C81"/>
    <w:rsid w:val="007E77E8"/>
    <w:rsid w:val="007F07C3"/>
    <w:rsid w:val="007F0ECC"/>
    <w:rsid w:val="007F10A6"/>
    <w:rsid w:val="007F2DED"/>
    <w:rsid w:val="007F3F70"/>
    <w:rsid w:val="007F5F6F"/>
    <w:rsid w:val="007F6BD3"/>
    <w:rsid w:val="007F7B35"/>
    <w:rsid w:val="00800146"/>
    <w:rsid w:val="008002D3"/>
    <w:rsid w:val="008004E8"/>
    <w:rsid w:val="00800C56"/>
    <w:rsid w:val="00800EF0"/>
    <w:rsid w:val="00804B18"/>
    <w:rsid w:val="00804D94"/>
    <w:rsid w:val="00804E4F"/>
    <w:rsid w:val="008056EF"/>
    <w:rsid w:val="00805883"/>
    <w:rsid w:val="0080768A"/>
    <w:rsid w:val="00810743"/>
    <w:rsid w:val="00810A51"/>
    <w:rsid w:val="00810A53"/>
    <w:rsid w:val="00810E0F"/>
    <w:rsid w:val="00811C3B"/>
    <w:rsid w:val="00812772"/>
    <w:rsid w:val="008129E9"/>
    <w:rsid w:val="00813C69"/>
    <w:rsid w:val="0081661C"/>
    <w:rsid w:val="0081666A"/>
    <w:rsid w:val="008204F3"/>
    <w:rsid w:val="00820BC1"/>
    <w:rsid w:val="008210AC"/>
    <w:rsid w:val="008211C8"/>
    <w:rsid w:val="00821699"/>
    <w:rsid w:val="00821A0B"/>
    <w:rsid w:val="008229A6"/>
    <w:rsid w:val="00822BCC"/>
    <w:rsid w:val="00822FCC"/>
    <w:rsid w:val="008262CA"/>
    <w:rsid w:val="0082698E"/>
    <w:rsid w:val="00827F4B"/>
    <w:rsid w:val="0083106C"/>
    <w:rsid w:val="00831921"/>
    <w:rsid w:val="0083273D"/>
    <w:rsid w:val="00832D8D"/>
    <w:rsid w:val="00832ED7"/>
    <w:rsid w:val="008349E8"/>
    <w:rsid w:val="00836C79"/>
    <w:rsid w:val="0083737E"/>
    <w:rsid w:val="00837AF0"/>
    <w:rsid w:val="00840773"/>
    <w:rsid w:val="0084414B"/>
    <w:rsid w:val="00844CB3"/>
    <w:rsid w:val="00844DD8"/>
    <w:rsid w:val="0084544F"/>
    <w:rsid w:val="00845ED1"/>
    <w:rsid w:val="00846CB6"/>
    <w:rsid w:val="00847561"/>
    <w:rsid w:val="00847A54"/>
    <w:rsid w:val="0085119E"/>
    <w:rsid w:val="00851DE2"/>
    <w:rsid w:val="00851FBB"/>
    <w:rsid w:val="008532B9"/>
    <w:rsid w:val="008533E8"/>
    <w:rsid w:val="00855155"/>
    <w:rsid w:val="00855953"/>
    <w:rsid w:val="00855CCF"/>
    <w:rsid w:val="008562DF"/>
    <w:rsid w:val="00856D8B"/>
    <w:rsid w:val="008606D0"/>
    <w:rsid w:val="008611B0"/>
    <w:rsid w:val="008619D4"/>
    <w:rsid w:val="00864262"/>
    <w:rsid w:val="00864E2C"/>
    <w:rsid w:val="00865195"/>
    <w:rsid w:val="00865480"/>
    <w:rsid w:val="008718CB"/>
    <w:rsid w:val="00872418"/>
    <w:rsid w:val="00872E1F"/>
    <w:rsid w:val="0087342A"/>
    <w:rsid w:val="00873D64"/>
    <w:rsid w:val="00874092"/>
    <w:rsid w:val="008759B5"/>
    <w:rsid w:val="00876EF2"/>
    <w:rsid w:val="00877B96"/>
    <w:rsid w:val="00877CA0"/>
    <w:rsid w:val="008803BD"/>
    <w:rsid w:val="008805AC"/>
    <w:rsid w:val="00880AA2"/>
    <w:rsid w:val="00881F53"/>
    <w:rsid w:val="0088253F"/>
    <w:rsid w:val="00882B2E"/>
    <w:rsid w:val="0088395D"/>
    <w:rsid w:val="00883EE5"/>
    <w:rsid w:val="00885279"/>
    <w:rsid w:val="008855E7"/>
    <w:rsid w:val="00886DAC"/>
    <w:rsid w:val="0089037E"/>
    <w:rsid w:val="008907E7"/>
    <w:rsid w:val="00890FB6"/>
    <w:rsid w:val="008927F4"/>
    <w:rsid w:val="00893E3B"/>
    <w:rsid w:val="0089415E"/>
    <w:rsid w:val="008943E5"/>
    <w:rsid w:val="008946CA"/>
    <w:rsid w:val="00895D25"/>
    <w:rsid w:val="00896F9A"/>
    <w:rsid w:val="008979B0"/>
    <w:rsid w:val="008A02D6"/>
    <w:rsid w:val="008A0C66"/>
    <w:rsid w:val="008A17A6"/>
    <w:rsid w:val="008A2F85"/>
    <w:rsid w:val="008A3E6A"/>
    <w:rsid w:val="008A4A43"/>
    <w:rsid w:val="008A4D9E"/>
    <w:rsid w:val="008A6A46"/>
    <w:rsid w:val="008A6B5E"/>
    <w:rsid w:val="008A6BA6"/>
    <w:rsid w:val="008A6DA6"/>
    <w:rsid w:val="008A7DDB"/>
    <w:rsid w:val="008B0474"/>
    <w:rsid w:val="008B0587"/>
    <w:rsid w:val="008B0676"/>
    <w:rsid w:val="008B23B9"/>
    <w:rsid w:val="008B287B"/>
    <w:rsid w:val="008B466E"/>
    <w:rsid w:val="008B5224"/>
    <w:rsid w:val="008B5335"/>
    <w:rsid w:val="008B5BDC"/>
    <w:rsid w:val="008B6206"/>
    <w:rsid w:val="008B6253"/>
    <w:rsid w:val="008C0B34"/>
    <w:rsid w:val="008C0F4B"/>
    <w:rsid w:val="008C2215"/>
    <w:rsid w:val="008C383B"/>
    <w:rsid w:val="008C3C0C"/>
    <w:rsid w:val="008C40C7"/>
    <w:rsid w:val="008C4F58"/>
    <w:rsid w:val="008C533A"/>
    <w:rsid w:val="008C60C2"/>
    <w:rsid w:val="008C63E1"/>
    <w:rsid w:val="008C687B"/>
    <w:rsid w:val="008C79A4"/>
    <w:rsid w:val="008D3098"/>
    <w:rsid w:val="008D388C"/>
    <w:rsid w:val="008D4780"/>
    <w:rsid w:val="008D4B79"/>
    <w:rsid w:val="008D4CA4"/>
    <w:rsid w:val="008D536D"/>
    <w:rsid w:val="008D788C"/>
    <w:rsid w:val="008D7E8A"/>
    <w:rsid w:val="008E0BCE"/>
    <w:rsid w:val="008E17D3"/>
    <w:rsid w:val="008E1C79"/>
    <w:rsid w:val="008E1D15"/>
    <w:rsid w:val="008E2651"/>
    <w:rsid w:val="008E43C3"/>
    <w:rsid w:val="008E4F81"/>
    <w:rsid w:val="008E562E"/>
    <w:rsid w:val="008E5B42"/>
    <w:rsid w:val="008E6065"/>
    <w:rsid w:val="008F079D"/>
    <w:rsid w:val="008F12BB"/>
    <w:rsid w:val="008F23DD"/>
    <w:rsid w:val="008F2F2E"/>
    <w:rsid w:val="008F3C04"/>
    <w:rsid w:val="008F7517"/>
    <w:rsid w:val="00900DE2"/>
    <w:rsid w:val="009019C0"/>
    <w:rsid w:val="00901B92"/>
    <w:rsid w:val="00901F98"/>
    <w:rsid w:val="00902938"/>
    <w:rsid w:val="00902AFF"/>
    <w:rsid w:val="0090305E"/>
    <w:rsid w:val="00903DF1"/>
    <w:rsid w:val="00906359"/>
    <w:rsid w:val="00910BA2"/>
    <w:rsid w:val="00910C6C"/>
    <w:rsid w:val="00910E8F"/>
    <w:rsid w:val="00911008"/>
    <w:rsid w:val="0091187A"/>
    <w:rsid w:val="0091353C"/>
    <w:rsid w:val="009139D9"/>
    <w:rsid w:val="00913EC8"/>
    <w:rsid w:val="00915315"/>
    <w:rsid w:val="0091594F"/>
    <w:rsid w:val="00915CBF"/>
    <w:rsid w:val="009166BC"/>
    <w:rsid w:val="009175A9"/>
    <w:rsid w:val="00920161"/>
    <w:rsid w:val="00920B4C"/>
    <w:rsid w:val="00921221"/>
    <w:rsid w:val="009216BF"/>
    <w:rsid w:val="00921C31"/>
    <w:rsid w:val="00921D3F"/>
    <w:rsid w:val="00922D50"/>
    <w:rsid w:val="00923220"/>
    <w:rsid w:val="009236B2"/>
    <w:rsid w:val="00924D26"/>
    <w:rsid w:val="009266EF"/>
    <w:rsid w:val="0092689E"/>
    <w:rsid w:val="00927020"/>
    <w:rsid w:val="0092755B"/>
    <w:rsid w:val="00930594"/>
    <w:rsid w:val="00931193"/>
    <w:rsid w:val="00931685"/>
    <w:rsid w:val="00931877"/>
    <w:rsid w:val="00931C51"/>
    <w:rsid w:val="009331D5"/>
    <w:rsid w:val="00933578"/>
    <w:rsid w:val="00933FF5"/>
    <w:rsid w:val="00934248"/>
    <w:rsid w:val="0093486C"/>
    <w:rsid w:val="009363AD"/>
    <w:rsid w:val="009363CC"/>
    <w:rsid w:val="00936D60"/>
    <w:rsid w:val="00937123"/>
    <w:rsid w:val="0094078E"/>
    <w:rsid w:val="009413B6"/>
    <w:rsid w:val="0094151F"/>
    <w:rsid w:val="00941A51"/>
    <w:rsid w:val="0094267A"/>
    <w:rsid w:val="009428DB"/>
    <w:rsid w:val="0094290B"/>
    <w:rsid w:val="00943313"/>
    <w:rsid w:val="0094369E"/>
    <w:rsid w:val="009438D2"/>
    <w:rsid w:val="00945A9D"/>
    <w:rsid w:val="00945D79"/>
    <w:rsid w:val="00947B55"/>
    <w:rsid w:val="009507F5"/>
    <w:rsid w:val="00950D10"/>
    <w:rsid w:val="0095117B"/>
    <w:rsid w:val="009516E6"/>
    <w:rsid w:val="009536A9"/>
    <w:rsid w:val="00953920"/>
    <w:rsid w:val="0095572E"/>
    <w:rsid w:val="00956424"/>
    <w:rsid w:val="009571DF"/>
    <w:rsid w:val="0096065D"/>
    <w:rsid w:val="0096105C"/>
    <w:rsid w:val="0096195B"/>
    <w:rsid w:val="00963A1F"/>
    <w:rsid w:val="0096526A"/>
    <w:rsid w:val="00965E9A"/>
    <w:rsid w:val="00965EC1"/>
    <w:rsid w:val="00966166"/>
    <w:rsid w:val="00966269"/>
    <w:rsid w:val="00966CF2"/>
    <w:rsid w:val="009678F3"/>
    <w:rsid w:val="00970261"/>
    <w:rsid w:val="009704A7"/>
    <w:rsid w:val="0097076C"/>
    <w:rsid w:val="009714A1"/>
    <w:rsid w:val="00971672"/>
    <w:rsid w:val="00971B2B"/>
    <w:rsid w:val="00972C84"/>
    <w:rsid w:val="00973A8D"/>
    <w:rsid w:val="0097414C"/>
    <w:rsid w:val="00974665"/>
    <w:rsid w:val="00974EB4"/>
    <w:rsid w:val="009758E3"/>
    <w:rsid w:val="0097648B"/>
    <w:rsid w:val="00977E2D"/>
    <w:rsid w:val="009805C3"/>
    <w:rsid w:val="009808D5"/>
    <w:rsid w:val="00980D74"/>
    <w:rsid w:val="00982FDF"/>
    <w:rsid w:val="00983819"/>
    <w:rsid w:val="0098518A"/>
    <w:rsid w:val="00985B09"/>
    <w:rsid w:val="00987D13"/>
    <w:rsid w:val="00992168"/>
    <w:rsid w:val="00992D76"/>
    <w:rsid w:val="009938CC"/>
    <w:rsid w:val="009944DB"/>
    <w:rsid w:val="0099453B"/>
    <w:rsid w:val="009946A3"/>
    <w:rsid w:val="009948BC"/>
    <w:rsid w:val="00994EDF"/>
    <w:rsid w:val="00995D0F"/>
    <w:rsid w:val="00996115"/>
    <w:rsid w:val="00996E1E"/>
    <w:rsid w:val="0099784E"/>
    <w:rsid w:val="009A0198"/>
    <w:rsid w:val="009A01E1"/>
    <w:rsid w:val="009A0CBD"/>
    <w:rsid w:val="009A16A3"/>
    <w:rsid w:val="009A1935"/>
    <w:rsid w:val="009A1AAE"/>
    <w:rsid w:val="009A2C42"/>
    <w:rsid w:val="009A3010"/>
    <w:rsid w:val="009A3C57"/>
    <w:rsid w:val="009A6B07"/>
    <w:rsid w:val="009A6C61"/>
    <w:rsid w:val="009A73C3"/>
    <w:rsid w:val="009A7D29"/>
    <w:rsid w:val="009B2063"/>
    <w:rsid w:val="009B2A88"/>
    <w:rsid w:val="009B2C99"/>
    <w:rsid w:val="009B3417"/>
    <w:rsid w:val="009B3A74"/>
    <w:rsid w:val="009B4285"/>
    <w:rsid w:val="009B4E2A"/>
    <w:rsid w:val="009B507C"/>
    <w:rsid w:val="009B56EB"/>
    <w:rsid w:val="009B5DE2"/>
    <w:rsid w:val="009B647F"/>
    <w:rsid w:val="009B678B"/>
    <w:rsid w:val="009B705D"/>
    <w:rsid w:val="009B74B3"/>
    <w:rsid w:val="009C1073"/>
    <w:rsid w:val="009C1A13"/>
    <w:rsid w:val="009C2C1E"/>
    <w:rsid w:val="009C4827"/>
    <w:rsid w:val="009C4CA0"/>
    <w:rsid w:val="009C5F8F"/>
    <w:rsid w:val="009C65F9"/>
    <w:rsid w:val="009C7E88"/>
    <w:rsid w:val="009D0549"/>
    <w:rsid w:val="009D07EE"/>
    <w:rsid w:val="009D0F28"/>
    <w:rsid w:val="009D10D6"/>
    <w:rsid w:val="009D1126"/>
    <w:rsid w:val="009D18F6"/>
    <w:rsid w:val="009D2E41"/>
    <w:rsid w:val="009D31AF"/>
    <w:rsid w:val="009D32AB"/>
    <w:rsid w:val="009D3405"/>
    <w:rsid w:val="009D5D10"/>
    <w:rsid w:val="009D60A9"/>
    <w:rsid w:val="009D6831"/>
    <w:rsid w:val="009D7B64"/>
    <w:rsid w:val="009E0388"/>
    <w:rsid w:val="009E0845"/>
    <w:rsid w:val="009E132D"/>
    <w:rsid w:val="009E1442"/>
    <w:rsid w:val="009E155D"/>
    <w:rsid w:val="009E1A95"/>
    <w:rsid w:val="009E2B64"/>
    <w:rsid w:val="009E330D"/>
    <w:rsid w:val="009E499F"/>
    <w:rsid w:val="009E5066"/>
    <w:rsid w:val="009E58BB"/>
    <w:rsid w:val="009E62F9"/>
    <w:rsid w:val="009E6999"/>
    <w:rsid w:val="009E7F85"/>
    <w:rsid w:val="009F0B2D"/>
    <w:rsid w:val="009F0C8A"/>
    <w:rsid w:val="009F196E"/>
    <w:rsid w:val="009F1D3A"/>
    <w:rsid w:val="009F2CBE"/>
    <w:rsid w:val="009F3413"/>
    <w:rsid w:val="009F7677"/>
    <w:rsid w:val="009F790C"/>
    <w:rsid w:val="00A00080"/>
    <w:rsid w:val="00A00FE6"/>
    <w:rsid w:val="00A0158F"/>
    <w:rsid w:val="00A02D98"/>
    <w:rsid w:val="00A0375B"/>
    <w:rsid w:val="00A041D0"/>
    <w:rsid w:val="00A046A3"/>
    <w:rsid w:val="00A067D6"/>
    <w:rsid w:val="00A074EA"/>
    <w:rsid w:val="00A0763B"/>
    <w:rsid w:val="00A07697"/>
    <w:rsid w:val="00A078D3"/>
    <w:rsid w:val="00A07ACF"/>
    <w:rsid w:val="00A07E76"/>
    <w:rsid w:val="00A1028E"/>
    <w:rsid w:val="00A1084A"/>
    <w:rsid w:val="00A1134F"/>
    <w:rsid w:val="00A11F51"/>
    <w:rsid w:val="00A12163"/>
    <w:rsid w:val="00A1301D"/>
    <w:rsid w:val="00A1362A"/>
    <w:rsid w:val="00A1427B"/>
    <w:rsid w:val="00A15D5F"/>
    <w:rsid w:val="00A1683B"/>
    <w:rsid w:val="00A171AD"/>
    <w:rsid w:val="00A21296"/>
    <w:rsid w:val="00A21D08"/>
    <w:rsid w:val="00A22F27"/>
    <w:rsid w:val="00A25E8B"/>
    <w:rsid w:val="00A270AE"/>
    <w:rsid w:val="00A273F7"/>
    <w:rsid w:val="00A27A43"/>
    <w:rsid w:val="00A31923"/>
    <w:rsid w:val="00A31C96"/>
    <w:rsid w:val="00A36B12"/>
    <w:rsid w:val="00A37440"/>
    <w:rsid w:val="00A41F10"/>
    <w:rsid w:val="00A41FD0"/>
    <w:rsid w:val="00A4309F"/>
    <w:rsid w:val="00A43C10"/>
    <w:rsid w:val="00A450A6"/>
    <w:rsid w:val="00A4558E"/>
    <w:rsid w:val="00A462A7"/>
    <w:rsid w:val="00A46D38"/>
    <w:rsid w:val="00A46F12"/>
    <w:rsid w:val="00A50306"/>
    <w:rsid w:val="00A5040B"/>
    <w:rsid w:val="00A50927"/>
    <w:rsid w:val="00A5095C"/>
    <w:rsid w:val="00A50B02"/>
    <w:rsid w:val="00A50D24"/>
    <w:rsid w:val="00A512A6"/>
    <w:rsid w:val="00A521CC"/>
    <w:rsid w:val="00A534AD"/>
    <w:rsid w:val="00A53651"/>
    <w:rsid w:val="00A53CD2"/>
    <w:rsid w:val="00A543D6"/>
    <w:rsid w:val="00A547D6"/>
    <w:rsid w:val="00A55ED6"/>
    <w:rsid w:val="00A568F0"/>
    <w:rsid w:val="00A5711F"/>
    <w:rsid w:val="00A5781C"/>
    <w:rsid w:val="00A62854"/>
    <w:rsid w:val="00A62B4B"/>
    <w:rsid w:val="00A632F3"/>
    <w:rsid w:val="00A64F9B"/>
    <w:rsid w:val="00A65380"/>
    <w:rsid w:val="00A65782"/>
    <w:rsid w:val="00A65BCF"/>
    <w:rsid w:val="00A66DA5"/>
    <w:rsid w:val="00A6763F"/>
    <w:rsid w:val="00A70679"/>
    <w:rsid w:val="00A70DF7"/>
    <w:rsid w:val="00A71C78"/>
    <w:rsid w:val="00A72D25"/>
    <w:rsid w:val="00A73181"/>
    <w:rsid w:val="00A73791"/>
    <w:rsid w:val="00A73AF9"/>
    <w:rsid w:val="00A7460A"/>
    <w:rsid w:val="00A74A03"/>
    <w:rsid w:val="00A75719"/>
    <w:rsid w:val="00A759AD"/>
    <w:rsid w:val="00A80F43"/>
    <w:rsid w:val="00A8112D"/>
    <w:rsid w:val="00A81372"/>
    <w:rsid w:val="00A824B4"/>
    <w:rsid w:val="00A84C8E"/>
    <w:rsid w:val="00A84D69"/>
    <w:rsid w:val="00A855A6"/>
    <w:rsid w:val="00A85A2C"/>
    <w:rsid w:val="00A85C89"/>
    <w:rsid w:val="00A85DAB"/>
    <w:rsid w:val="00A86BD9"/>
    <w:rsid w:val="00A86EB0"/>
    <w:rsid w:val="00A87C39"/>
    <w:rsid w:val="00A87F59"/>
    <w:rsid w:val="00A9046C"/>
    <w:rsid w:val="00A9084E"/>
    <w:rsid w:val="00A92957"/>
    <w:rsid w:val="00A95AE0"/>
    <w:rsid w:val="00A95BD7"/>
    <w:rsid w:val="00A961B6"/>
    <w:rsid w:val="00A96239"/>
    <w:rsid w:val="00AA1F50"/>
    <w:rsid w:val="00AA24D5"/>
    <w:rsid w:val="00AA3373"/>
    <w:rsid w:val="00AA3546"/>
    <w:rsid w:val="00AA4417"/>
    <w:rsid w:val="00AA6490"/>
    <w:rsid w:val="00AA6602"/>
    <w:rsid w:val="00AB0F9A"/>
    <w:rsid w:val="00AB1D7B"/>
    <w:rsid w:val="00AB20AA"/>
    <w:rsid w:val="00AB29A2"/>
    <w:rsid w:val="00AB2E9C"/>
    <w:rsid w:val="00AB311E"/>
    <w:rsid w:val="00AB39BC"/>
    <w:rsid w:val="00AB4083"/>
    <w:rsid w:val="00AB4AF4"/>
    <w:rsid w:val="00AB5D50"/>
    <w:rsid w:val="00AB673C"/>
    <w:rsid w:val="00AC02DD"/>
    <w:rsid w:val="00AC1040"/>
    <w:rsid w:val="00AC1A37"/>
    <w:rsid w:val="00AC2C4C"/>
    <w:rsid w:val="00AC53AE"/>
    <w:rsid w:val="00AC5DAB"/>
    <w:rsid w:val="00AD0495"/>
    <w:rsid w:val="00AD0771"/>
    <w:rsid w:val="00AD08A6"/>
    <w:rsid w:val="00AD3417"/>
    <w:rsid w:val="00AD3476"/>
    <w:rsid w:val="00AD3976"/>
    <w:rsid w:val="00AD5145"/>
    <w:rsid w:val="00AD5911"/>
    <w:rsid w:val="00AD734F"/>
    <w:rsid w:val="00AE21A6"/>
    <w:rsid w:val="00AE2783"/>
    <w:rsid w:val="00AE6C69"/>
    <w:rsid w:val="00AF09CF"/>
    <w:rsid w:val="00AF12BE"/>
    <w:rsid w:val="00AF175B"/>
    <w:rsid w:val="00AF3092"/>
    <w:rsid w:val="00AF3D43"/>
    <w:rsid w:val="00AF6546"/>
    <w:rsid w:val="00AF66B9"/>
    <w:rsid w:val="00AF709D"/>
    <w:rsid w:val="00B005B6"/>
    <w:rsid w:val="00B0090A"/>
    <w:rsid w:val="00B01AC2"/>
    <w:rsid w:val="00B02618"/>
    <w:rsid w:val="00B02B81"/>
    <w:rsid w:val="00B0605A"/>
    <w:rsid w:val="00B07AE0"/>
    <w:rsid w:val="00B103BF"/>
    <w:rsid w:val="00B10792"/>
    <w:rsid w:val="00B11EE8"/>
    <w:rsid w:val="00B11FAD"/>
    <w:rsid w:val="00B12D15"/>
    <w:rsid w:val="00B14D27"/>
    <w:rsid w:val="00B14D36"/>
    <w:rsid w:val="00B16275"/>
    <w:rsid w:val="00B163C5"/>
    <w:rsid w:val="00B168E6"/>
    <w:rsid w:val="00B17556"/>
    <w:rsid w:val="00B217C5"/>
    <w:rsid w:val="00B219C7"/>
    <w:rsid w:val="00B22230"/>
    <w:rsid w:val="00B2444A"/>
    <w:rsid w:val="00B24D55"/>
    <w:rsid w:val="00B27871"/>
    <w:rsid w:val="00B27CA6"/>
    <w:rsid w:val="00B27FE1"/>
    <w:rsid w:val="00B306B7"/>
    <w:rsid w:val="00B3107D"/>
    <w:rsid w:val="00B311E9"/>
    <w:rsid w:val="00B312C7"/>
    <w:rsid w:val="00B31CC1"/>
    <w:rsid w:val="00B32B8F"/>
    <w:rsid w:val="00B33560"/>
    <w:rsid w:val="00B33BCF"/>
    <w:rsid w:val="00B33F5E"/>
    <w:rsid w:val="00B345B6"/>
    <w:rsid w:val="00B35E31"/>
    <w:rsid w:val="00B36115"/>
    <w:rsid w:val="00B36598"/>
    <w:rsid w:val="00B368C3"/>
    <w:rsid w:val="00B37171"/>
    <w:rsid w:val="00B37814"/>
    <w:rsid w:val="00B40F65"/>
    <w:rsid w:val="00B4100C"/>
    <w:rsid w:val="00B41195"/>
    <w:rsid w:val="00B42064"/>
    <w:rsid w:val="00B42A25"/>
    <w:rsid w:val="00B45F6E"/>
    <w:rsid w:val="00B4643F"/>
    <w:rsid w:val="00B46D14"/>
    <w:rsid w:val="00B47C0D"/>
    <w:rsid w:val="00B47F53"/>
    <w:rsid w:val="00B50B36"/>
    <w:rsid w:val="00B512D0"/>
    <w:rsid w:val="00B537CD"/>
    <w:rsid w:val="00B54EDF"/>
    <w:rsid w:val="00B551F9"/>
    <w:rsid w:val="00B568F1"/>
    <w:rsid w:val="00B57748"/>
    <w:rsid w:val="00B57AB1"/>
    <w:rsid w:val="00B60214"/>
    <w:rsid w:val="00B60611"/>
    <w:rsid w:val="00B636F0"/>
    <w:rsid w:val="00B648A0"/>
    <w:rsid w:val="00B64CC1"/>
    <w:rsid w:val="00B668E1"/>
    <w:rsid w:val="00B67790"/>
    <w:rsid w:val="00B70348"/>
    <w:rsid w:val="00B70F4E"/>
    <w:rsid w:val="00B71EEE"/>
    <w:rsid w:val="00B72277"/>
    <w:rsid w:val="00B7261C"/>
    <w:rsid w:val="00B72E66"/>
    <w:rsid w:val="00B73527"/>
    <w:rsid w:val="00B73E75"/>
    <w:rsid w:val="00B74CA8"/>
    <w:rsid w:val="00B7513E"/>
    <w:rsid w:val="00B75886"/>
    <w:rsid w:val="00B759EB"/>
    <w:rsid w:val="00B75C5C"/>
    <w:rsid w:val="00B75D15"/>
    <w:rsid w:val="00B76A38"/>
    <w:rsid w:val="00B77E6E"/>
    <w:rsid w:val="00B80050"/>
    <w:rsid w:val="00B804EB"/>
    <w:rsid w:val="00B8055A"/>
    <w:rsid w:val="00B83DDA"/>
    <w:rsid w:val="00B861F6"/>
    <w:rsid w:val="00B86D39"/>
    <w:rsid w:val="00B87456"/>
    <w:rsid w:val="00B87BE3"/>
    <w:rsid w:val="00B908B8"/>
    <w:rsid w:val="00B909E3"/>
    <w:rsid w:val="00B90C0F"/>
    <w:rsid w:val="00B90DE3"/>
    <w:rsid w:val="00B921BB"/>
    <w:rsid w:val="00B93571"/>
    <w:rsid w:val="00B935E8"/>
    <w:rsid w:val="00B93895"/>
    <w:rsid w:val="00B96418"/>
    <w:rsid w:val="00B966AD"/>
    <w:rsid w:val="00B96FC3"/>
    <w:rsid w:val="00BA025A"/>
    <w:rsid w:val="00BA0B58"/>
    <w:rsid w:val="00BA2500"/>
    <w:rsid w:val="00BA2ADF"/>
    <w:rsid w:val="00BA2ED4"/>
    <w:rsid w:val="00BA3133"/>
    <w:rsid w:val="00BA3247"/>
    <w:rsid w:val="00BA394E"/>
    <w:rsid w:val="00BA4BF0"/>
    <w:rsid w:val="00BA4F5A"/>
    <w:rsid w:val="00BA7BA6"/>
    <w:rsid w:val="00BB005C"/>
    <w:rsid w:val="00BB0445"/>
    <w:rsid w:val="00BB05DC"/>
    <w:rsid w:val="00BB07E3"/>
    <w:rsid w:val="00BB0B4E"/>
    <w:rsid w:val="00BB1BCA"/>
    <w:rsid w:val="00BB308F"/>
    <w:rsid w:val="00BB40A8"/>
    <w:rsid w:val="00BB5195"/>
    <w:rsid w:val="00BB5286"/>
    <w:rsid w:val="00BB59C0"/>
    <w:rsid w:val="00BB6D5E"/>
    <w:rsid w:val="00BB6EAD"/>
    <w:rsid w:val="00BB6F0B"/>
    <w:rsid w:val="00BC051C"/>
    <w:rsid w:val="00BC09CA"/>
    <w:rsid w:val="00BC0CE6"/>
    <w:rsid w:val="00BC2B00"/>
    <w:rsid w:val="00BC3CA9"/>
    <w:rsid w:val="00BC3F44"/>
    <w:rsid w:val="00BC4EBB"/>
    <w:rsid w:val="00BC5BE0"/>
    <w:rsid w:val="00BC5D06"/>
    <w:rsid w:val="00BC6B7E"/>
    <w:rsid w:val="00BD12EA"/>
    <w:rsid w:val="00BD142C"/>
    <w:rsid w:val="00BD1A7E"/>
    <w:rsid w:val="00BD21E3"/>
    <w:rsid w:val="00BD275C"/>
    <w:rsid w:val="00BD2C72"/>
    <w:rsid w:val="00BD3D19"/>
    <w:rsid w:val="00BD3E56"/>
    <w:rsid w:val="00BD4221"/>
    <w:rsid w:val="00BD45AF"/>
    <w:rsid w:val="00BD50FB"/>
    <w:rsid w:val="00BD527A"/>
    <w:rsid w:val="00BD5CC8"/>
    <w:rsid w:val="00BD5EEB"/>
    <w:rsid w:val="00BD5F9F"/>
    <w:rsid w:val="00BD68A5"/>
    <w:rsid w:val="00BD6917"/>
    <w:rsid w:val="00BD6E49"/>
    <w:rsid w:val="00BD7489"/>
    <w:rsid w:val="00BD74EC"/>
    <w:rsid w:val="00BD7AB1"/>
    <w:rsid w:val="00BD7D77"/>
    <w:rsid w:val="00BE069B"/>
    <w:rsid w:val="00BE07B2"/>
    <w:rsid w:val="00BE0B4D"/>
    <w:rsid w:val="00BE145B"/>
    <w:rsid w:val="00BE1D7D"/>
    <w:rsid w:val="00BE2922"/>
    <w:rsid w:val="00BE2956"/>
    <w:rsid w:val="00BE318B"/>
    <w:rsid w:val="00BE40D6"/>
    <w:rsid w:val="00BE4521"/>
    <w:rsid w:val="00BE470E"/>
    <w:rsid w:val="00BE7053"/>
    <w:rsid w:val="00BE70A5"/>
    <w:rsid w:val="00BE77A7"/>
    <w:rsid w:val="00BF064E"/>
    <w:rsid w:val="00BF0898"/>
    <w:rsid w:val="00BF56CF"/>
    <w:rsid w:val="00BF5876"/>
    <w:rsid w:val="00BF7ABF"/>
    <w:rsid w:val="00BF7E10"/>
    <w:rsid w:val="00C00C65"/>
    <w:rsid w:val="00C02227"/>
    <w:rsid w:val="00C0366E"/>
    <w:rsid w:val="00C03848"/>
    <w:rsid w:val="00C04940"/>
    <w:rsid w:val="00C04C34"/>
    <w:rsid w:val="00C0505E"/>
    <w:rsid w:val="00C05724"/>
    <w:rsid w:val="00C061CA"/>
    <w:rsid w:val="00C07DEC"/>
    <w:rsid w:val="00C07F6B"/>
    <w:rsid w:val="00C10D28"/>
    <w:rsid w:val="00C12C05"/>
    <w:rsid w:val="00C13350"/>
    <w:rsid w:val="00C13877"/>
    <w:rsid w:val="00C14137"/>
    <w:rsid w:val="00C151CC"/>
    <w:rsid w:val="00C15F2E"/>
    <w:rsid w:val="00C16A4F"/>
    <w:rsid w:val="00C17523"/>
    <w:rsid w:val="00C1764C"/>
    <w:rsid w:val="00C17C84"/>
    <w:rsid w:val="00C17F9A"/>
    <w:rsid w:val="00C20C72"/>
    <w:rsid w:val="00C20E0D"/>
    <w:rsid w:val="00C2124D"/>
    <w:rsid w:val="00C21AA9"/>
    <w:rsid w:val="00C23D3C"/>
    <w:rsid w:val="00C23FB6"/>
    <w:rsid w:val="00C240AB"/>
    <w:rsid w:val="00C249BB"/>
    <w:rsid w:val="00C25F02"/>
    <w:rsid w:val="00C261E0"/>
    <w:rsid w:val="00C30399"/>
    <w:rsid w:val="00C30E3F"/>
    <w:rsid w:val="00C30FD5"/>
    <w:rsid w:val="00C3131E"/>
    <w:rsid w:val="00C31E5F"/>
    <w:rsid w:val="00C3298E"/>
    <w:rsid w:val="00C342E4"/>
    <w:rsid w:val="00C35CD9"/>
    <w:rsid w:val="00C37856"/>
    <w:rsid w:val="00C40D5E"/>
    <w:rsid w:val="00C426CB"/>
    <w:rsid w:val="00C43354"/>
    <w:rsid w:val="00C4348B"/>
    <w:rsid w:val="00C4405A"/>
    <w:rsid w:val="00C44890"/>
    <w:rsid w:val="00C44912"/>
    <w:rsid w:val="00C44E47"/>
    <w:rsid w:val="00C45C1A"/>
    <w:rsid w:val="00C46220"/>
    <w:rsid w:val="00C466E9"/>
    <w:rsid w:val="00C47826"/>
    <w:rsid w:val="00C47A89"/>
    <w:rsid w:val="00C50368"/>
    <w:rsid w:val="00C50605"/>
    <w:rsid w:val="00C51AB6"/>
    <w:rsid w:val="00C51B45"/>
    <w:rsid w:val="00C52551"/>
    <w:rsid w:val="00C531FB"/>
    <w:rsid w:val="00C54A27"/>
    <w:rsid w:val="00C559AE"/>
    <w:rsid w:val="00C60216"/>
    <w:rsid w:val="00C602C6"/>
    <w:rsid w:val="00C60558"/>
    <w:rsid w:val="00C633C5"/>
    <w:rsid w:val="00C633CA"/>
    <w:rsid w:val="00C6453D"/>
    <w:rsid w:val="00C64675"/>
    <w:rsid w:val="00C64AB8"/>
    <w:rsid w:val="00C71004"/>
    <w:rsid w:val="00C715AD"/>
    <w:rsid w:val="00C71B42"/>
    <w:rsid w:val="00C71E5C"/>
    <w:rsid w:val="00C7276C"/>
    <w:rsid w:val="00C73972"/>
    <w:rsid w:val="00C74AA7"/>
    <w:rsid w:val="00C75817"/>
    <w:rsid w:val="00C75E4E"/>
    <w:rsid w:val="00C764BB"/>
    <w:rsid w:val="00C77085"/>
    <w:rsid w:val="00C8066F"/>
    <w:rsid w:val="00C809F9"/>
    <w:rsid w:val="00C80D0B"/>
    <w:rsid w:val="00C81B23"/>
    <w:rsid w:val="00C8231F"/>
    <w:rsid w:val="00C82446"/>
    <w:rsid w:val="00C8297A"/>
    <w:rsid w:val="00C83356"/>
    <w:rsid w:val="00C853A3"/>
    <w:rsid w:val="00C863A5"/>
    <w:rsid w:val="00C86667"/>
    <w:rsid w:val="00C87A9F"/>
    <w:rsid w:val="00C92A3B"/>
    <w:rsid w:val="00C92EBC"/>
    <w:rsid w:val="00C94584"/>
    <w:rsid w:val="00C94FC6"/>
    <w:rsid w:val="00C9543F"/>
    <w:rsid w:val="00C95DD4"/>
    <w:rsid w:val="00C9641E"/>
    <w:rsid w:val="00C96CA0"/>
    <w:rsid w:val="00C9792D"/>
    <w:rsid w:val="00C97E32"/>
    <w:rsid w:val="00CA098D"/>
    <w:rsid w:val="00CA0EA4"/>
    <w:rsid w:val="00CA1596"/>
    <w:rsid w:val="00CA19BF"/>
    <w:rsid w:val="00CA211C"/>
    <w:rsid w:val="00CA2256"/>
    <w:rsid w:val="00CA43D7"/>
    <w:rsid w:val="00CA77EA"/>
    <w:rsid w:val="00CB02F4"/>
    <w:rsid w:val="00CB24A3"/>
    <w:rsid w:val="00CB277A"/>
    <w:rsid w:val="00CB27C7"/>
    <w:rsid w:val="00CB2828"/>
    <w:rsid w:val="00CB36BC"/>
    <w:rsid w:val="00CB3AA0"/>
    <w:rsid w:val="00CB5904"/>
    <w:rsid w:val="00CB6185"/>
    <w:rsid w:val="00CB64B7"/>
    <w:rsid w:val="00CB72AD"/>
    <w:rsid w:val="00CC01CC"/>
    <w:rsid w:val="00CC045D"/>
    <w:rsid w:val="00CC0D21"/>
    <w:rsid w:val="00CC15C9"/>
    <w:rsid w:val="00CC3D78"/>
    <w:rsid w:val="00CC4073"/>
    <w:rsid w:val="00CC43A8"/>
    <w:rsid w:val="00CC44E4"/>
    <w:rsid w:val="00CC4F16"/>
    <w:rsid w:val="00CC5489"/>
    <w:rsid w:val="00CC5C7F"/>
    <w:rsid w:val="00CC5EB3"/>
    <w:rsid w:val="00CC6BA9"/>
    <w:rsid w:val="00CC6FD6"/>
    <w:rsid w:val="00CC7334"/>
    <w:rsid w:val="00CC743B"/>
    <w:rsid w:val="00CC7E05"/>
    <w:rsid w:val="00CD11F0"/>
    <w:rsid w:val="00CD2C5C"/>
    <w:rsid w:val="00CD3F0A"/>
    <w:rsid w:val="00CD484C"/>
    <w:rsid w:val="00CD50EA"/>
    <w:rsid w:val="00CD66CA"/>
    <w:rsid w:val="00CD6862"/>
    <w:rsid w:val="00CD6EC6"/>
    <w:rsid w:val="00CD79C4"/>
    <w:rsid w:val="00CD7C4D"/>
    <w:rsid w:val="00CE068C"/>
    <w:rsid w:val="00CE2886"/>
    <w:rsid w:val="00CE311A"/>
    <w:rsid w:val="00CE34A2"/>
    <w:rsid w:val="00CE3769"/>
    <w:rsid w:val="00CE3862"/>
    <w:rsid w:val="00CE3D95"/>
    <w:rsid w:val="00CE62E0"/>
    <w:rsid w:val="00CF0060"/>
    <w:rsid w:val="00CF040B"/>
    <w:rsid w:val="00CF06D5"/>
    <w:rsid w:val="00CF1114"/>
    <w:rsid w:val="00CF29A0"/>
    <w:rsid w:val="00CF2C74"/>
    <w:rsid w:val="00CF3BA0"/>
    <w:rsid w:val="00CF4AC4"/>
    <w:rsid w:val="00CF5DC4"/>
    <w:rsid w:val="00CF6027"/>
    <w:rsid w:val="00CF616B"/>
    <w:rsid w:val="00CF61A0"/>
    <w:rsid w:val="00CF62CF"/>
    <w:rsid w:val="00D00934"/>
    <w:rsid w:val="00D02D0C"/>
    <w:rsid w:val="00D05443"/>
    <w:rsid w:val="00D060A0"/>
    <w:rsid w:val="00D110B2"/>
    <w:rsid w:val="00D12565"/>
    <w:rsid w:val="00D129D9"/>
    <w:rsid w:val="00D15076"/>
    <w:rsid w:val="00D171FA"/>
    <w:rsid w:val="00D2043C"/>
    <w:rsid w:val="00D22AE6"/>
    <w:rsid w:val="00D23533"/>
    <w:rsid w:val="00D260C5"/>
    <w:rsid w:val="00D26CB0"/>
    <w:rsid w:val="00D2793E"/>
    <w:rsid w:val="00D306F4"/>
    <w:rsid w:val="00D31252"/>
    <w:rsid w:val="00D312CC"/>
    <w:rsid w:val="00D31B75"/>
    <w:rsid w:val="00D325E9"/>
    <w:rsid w:val="00D33216"/>
    <w:rsid w:val="00D3353D"/>
    <w:rsid w:val="00D34F43"/>
    <w:rsid w:val="00D3563A"/>
    <w:rsid w:val="00D36031"/>
    <w:rsid w:val="00D3648A"/>
    <w:rsid w:val="00D3721F"/>
    <w:rsid w:val="00D40955"/>
    <w:rsid w:val="00D40C2D"/>
    <w:rsid w:val="00D418D6"/>
    <w:rsid w:val="00D42605"/>
    <w:rsid w:val="00D43379"/>
    <w:rsid w:val="00D4505C"/>
    <w:rsid w:val="00D47568"/>
    <w:rsid w:val="00D5002D"/>
    <w:rsid w:val="00D50941"/>
    <w:rsid w:val="00D50F7F"/>
    <w:rsid w:val="00D52047"/>
    <w:rsid w:val="00D52069"/>
    <w:rsid w:val="00D5396A"/>
    <w:rsid w:val="00D54782"/>
    <w:rsid w:val="00D554AF"/>
    <w:rsid w:val="00D56CFA"/>
    <w:rsid w:val="00D56EF0"/>
    <w:rsid w:val="00D57348"/>
    <w:rsid w:val="00D5787B"/>
    <w:rsid w:val="00D57DD8"/>
    <w:rsid w:val="00D6067D"/>
    <w:rsid w:val="00D614D2"/>
    <w:rsid w:val="00D6235C"/>
    <w:rsid w:val="00D624F8"/>
    <w:rsid w:val="00D62573"/>
    <w:rsid w:val="00D64DD7"/>
    <w:rsid w:val="00D6659D"/>
    <w:rsid w:val="00D66763"/>
    <w:rsid w:val="00D66AE3"/>
    <w:rsid w:val="00D676BA"/>
    <w:rsid w:val="00D7056F"/>
    <w:rsid w:val="00D707B9"/>
    <w:rsid w:val="00D70884"/>
    <w:rsid w:val="00D70967"/>
    <w:rsid w:val="00D71B8A"/>
    <w:rsid w:val="00D73D12"/>
    <w:rsid w:val="00D73DFC"/>
    <w:rsid w:val="00D742B5"/>
    <w:rsid w:val="00D757BF"/>
    <w:rsid w:val="00D7623A"/>
    <w:rsid w:val="00D7652A"/>
    <w:rsid w:val="00D769F2"/>
    <w:rsid w:val="00D7754F"/>
    <w:rsid w:val="00D77C83"/>
    <w:rsid w:val="00D815F0"/>
    <w:rsid w:val="00D82844"/>
    <w:rsid w:val="00D82F29"/>
    <w:rsid w:val="00D83EF4"/>
    <w:rsid w:val="00D84897"/>
    <w:rsid w:val="00D848D3"/>
    <w:rsid w:val="00D8633C"/>
    <w:rsid w:val="00D86514"/>
    <w:rsid w:val="00D9063C"/>
    <w:rsid w:val="00D93936"/>
    <w:rsid w:val="00D940BF"/>
    <w:rsid w:val="00D95129"/>
    <w:rsid w:val="00D95188"/>
    <w:rsid w:val="00D96367"/>
    <w:rsid w:val="00D9747A"/>
    <w:rsid w:val="00D975B1"/>
    <w:rsid w:val="00D97EF4"/>
    <w:rsid w:val="00DA0DD1"/>
    <w:rsid w:val="00DA1B82"/>
    <w:rsid w:val="00DA1CEA"/>
    <w:rsid w:val="00DA2349"/>
    <w:rsid w:val="00DA2B2F"/>
    <w:rsid w:val="00DA3889"/>
    <w:rsid w:val="00DA39A5"/>
    <w:rsid w:val="00DA789B"/>
    <w:rsid w:val="00DB1071"/>
    <w:rsid w:val="00DB2233"/>
    <w:rsid w:val="00DB3549"/>
    <w:rsid w:val="00DB3B1D"/>
    <w:rsid w:val="00DB3F1A"/>
    <w:rsid w:val="00DB4822"/>
    <w:rsid w:val="00DB4A9B"/>
    <w:rsid w:val="00DB4AB6"/>
    <w:rsid w:val="00DB52FF"/>
    <w:rsid w:val="00DB57CF"/>
    <w:rsid w:val="00DB5919"/>
    <w:rsid w:val="00DB6542"/>
    <w:rsid w:val="00DB761C"/>
    <w:rsid w:val="00DB7DA5"/>
    <w:rsid w:val="00DC1E69"/>
    <w:rsid w:val="00DC2305"/>
    <w:rsid w:val="00DC38EE"/>
    <w:rsid w:val="00DC3E3D"/>
    <w:rsid w:val="00DC416D"/>
    <w:rsid w:val="00DC4494"/>
    <w:rsid w:val="00DC48DF"/>
    <w:rsid w:val="00DC4A1B"/>
    <w:rsid w:val="00DC5EEF"/>
    <w:rsid w:val="00DD0D1A"/>
    <w:rsid w:val="00DD0DB2"/>
    <w:rsid w:val="00DD0E33"/>
    <w:rsid w:val="00DD2044"/>
    <w:rsid w:val="00DD2A57"/>
    <w:rsid w:val="00DD2DE8"/>
    <w:rsid w:val="00DD324A"/>
    <w:rsid w:val="00DD3361"/>
    <w:rsid w:val="00DD514E"/>
    <w:rsid w:val="00DD57BA"/>
    <w:rsid w:val="00DE2986"/>
    <w:rsid w:val="00DE29C3"/>
    <w:rsid w:val="00DE34DA"/>
    <w:rsid w:val="00DE4377"/>
    <w:rsid w:val="00DE563C"/>
    <w:rsid w:val="00DF0BCB"/>
    <w:rsid w:val="00DF0F6A"/>
    <w:rsid w:val="00DF131F"/>
    <w:rsid w:val="00DF187D"/>
    <w:rsid w:val="00DF21D3"/>
    <w:rsid w:val="00DF2C1A"/>
    <w:rsid w:val="00DF4731"/>
    <w:rsid w:val="00DF4B32"/>
    <w:rsid w:val="00DF52DE"/>
    <w:rsid w:val="00DF5658"/>
    <w:rsid w:val="00DF5FAE"/>
    <w:rsid w:val="00E01996"/>
    <w:rsid w:val="00E01CEF"/>
    <w:rsid w:val="00E01E9C"/>
    <w:rsid w:val="00E0210B"/>
    <w:rsid w:val="00E02208"/>
    <w:rsid w:val="00E0230B"/>
    <w:rsid w:val="00E0244F"/>
    <w:rsid w:val="00E03481"/>
    <w:rsid w:val="00E03A59"/>
    <w:rsid w:val="00E041E0"/>
    <w:rsid w:val="00E06416"/>
    <w:rsid w:val="00E12F6A"/>
    <w:rsid w:val="00E130D8"/>
    <w:rsid w:val="00E14B07"/>
    <w:rsid w:val="00E1511F"/>
    <w:rsid w:val="00E153F4"/>
    <w:rsid w:val="00E16EEC"/>
    <w:rsid w:val="00E209DB"/>
    <w:rsid w:val="00E20AFC"/>
    <w:rsid w:val="00E2120A"/>
    <w:rsid w:val="00E21C09"/>
    <w:rsid w:val="00E21E50"/>
    <w:rsid w:val="00E22DDC"/>
    <w:rsid w:val="00E2353B"/>
    <w:rsid w:val="00E24082"/>
    <w:rsid w:val="00E2426F"/>
    <w:rsid w:val="00E268AD"/>
    <w:rsid w:val="00E278BD"/>
    <w:rsid w:val="00E306EB"/>
    <w:rsid w:val="00E308DA"/>
    <w:rsid w:val="00E31443"/>
    <w:rsid w:val="00E336D2"/>
    <w:rsid w:val="00E34811"/>
    <w:rsid w:val="00E34D04"/>
    <w:rsid w:val="00E35D2F"/>
    <w:rsid w:val="00E3602F"/>
    <w:rsid w:val="00E36866"/>
    <w:rsid w:val="00E40C65"/>
    <w:rsid w:val="00E4144D"/>
    <w:rsid w:val="00E41A0B"/>
    <w:rsid w:val="00E445DE"/>
    <w:rsid w:val="00E4536F"/>
    <w:rsid w:val="00E45FD7"/>
    <w:rsid w:val="00E460ED"/>
    <w:rsid w:val="00E462F0"/>
    <w:rsid w:val="00E46BB5"/>
    <w:rsid w:val="00E470E5"/>
    <w:rsid w:val="00E47E3E"/>
    <w:rsid w:val="00E51452"/>
    <w:rsid w:val="00E52306"/>
    <w:rsid w:val="00E52C73"/>
    <w:rsid w:val="00E53575"/>
    <w:rsid w:val="00E53A75"/>
    <w:rsid w:val="00E54105"/>
    <w:rsid w:val="00E544C5"/>
    <w:rsid w:val="00E55541"/>
    <w:rsid w:val="00E561A9"/>
    <w:rsid w:val="00E56567"/>
    <w:rsid w:val="00E5667C"/>
    <w:rsid w:val="00E57621"/>
    <w:rsid w:val="00E5779C"/>
    <w:rsid w:val="00E631E9"/>
    <w:rsid w:val="00E63502"/>
    <w:rsid w:val="00E6355E"/>
    <w:rsid w:val="00E6358D"/>
    <w:rsid w:val="00E63612"/>
    <w:rsid w:val="00E6380D"/>
    <w:rsid w:val="00E63E54"/>
    <w:rsid w:val="00E63F2F"/>
    <w:rsid w:val="00E63FAB"/>
    <w:rsid w:val="00E646CE"/>
    <w:rsid w:val="00E65FEC"/>
    <w:rsid w:val="00E67408"/>
    <w:rsid w:val="00E675C0"/>
    <w:rsid w:val="00E67B25"/>
    <w:rsid w:val="00E71805"/>
    <w:rsid w:val="00E723D1"/>
    <w:rsid w:val="00E7253C"/>
    <w:rsid w:val="00E727FE"/>
    <w:rsid w:val="00E742AE"/>
    <w:rsid w:val="00E7593D"/>
    <w:rsid w:val="00E7690E"/>
    <w:rsid w:val="00E76992"/>
    <w:rsid w:val="00E7763D"/>
    <w:rsid w:val="00E8024C"/>
    <w:rsid w:val="00E81087"/>
    <w:rsid w:val="00E811A6"/>
    <w:rsid w:val="00E823CD"/>
    <w:rsid w:val="00E834C5"/>
    <w:rsid w:val="00E83992"/>
    <w:rsid w:val="00E85E78"/>
    <w:rsid w:val="00E85E9C"/>
    <w:rsid w:val="00E85EE5"/>
    <w:rsid w:val="00E864BD"/>
    <w:rsid w:val="00E87235"/>
    <w:rsid w:val="00E87AAF"/>
    <w:rsid w:val="00E9001B"/>
    <w:rsid w:val="00E9023F"/>
    <w:rsid w:val="00E91029"/>
    <w:rsid w:val="00E922DF"/>
    <w:rsid w:val="00E9236A"/>
    <w:rsid w:val="00E92C01"/>
    <w:rsid w:val="00E9547B"/>
    <w:rsid w:val="00E96000"/>
    <w:rsid w:val="00E979F7"/>
    <w:rsid w:val="00EA0740"/>
    <w:rsid w:val="00EA11EB"/>
    <w:rsid w:val="00EA1520"/>
    <w:rsid w:val="00EA2AA3"/>
    <w:rsid w:val="00EA3115"/>
    <w:rsid w:val="00EA6F46"/>
    <w:rsid w:val="00EA71C2"/>
    <w:rsid w:val="00EA7361"/>
    <w:rsid w:val="00EA79DE"/>
    <w:rsid w:val="00EA7A4D"/>
    <w:rsid w:val="00EB1AB6"/>
    <w:rsid w:val="00EB218C"/>
    <w:rsid w:val="00EB3372"/>
    <w:rsid w:val="00EB393C"/>
    <w:rsid w:val="00EB39F9"/>
    <w:rsid w:val="00EB47DD"/>
    <w:rsid w:val="00EB49F7"/>
    <w:rsid w:val="00EB6034"/>
    <w:rsid w:val="00EC0718"/>
    <w:rsid w:val="00EC0818"/>
    <w:rsid w:val="00EC08A0"/>
    <w:rsid w:val="00EC0942"/>
    <w:rsid w:val="00EC0C18"/>
    <w:rsid w:val="00EC0DDB"/>
    <w:rsid w:val="00EC0F07"/>
    <w:rsid w:val="00EC43E1"/>
    <w:rsid w:val="00EC442D"/>
    <w:rsid w:val="00EC66B0"/>
    <w:rsid w:val="00EC7667"/>
    <w:rsid w:val="00EC7F27"/>
    <w:rsid w:val="00ED0806"/>
    <w:rsid w:val="00ED0F8F"/>
    <w:rsid w:val="00ED1389"/>
    <w:rsid w:val="00ED2171"/>
    <w:rsid w:val="00ED2294"/>
    <w:rsid w:val="00ED38DC"/>
    <w:rsid w:val="00ED3942"/>
    <w:rsid w:val="00ED5650"/>
    <w:rsid w:val="00ED6804"/>
    <w:rsid w:val="00ED6DAF"/>
    <w:rsid w:val="00ED75D7"/>
    <w:rsid w:val="00ED76CE"/>
    <w:rsid w:val="00ED7D0E"/>
    <w:rsid w:val="00EE01EE"/>
    <w:rsid w:val="00EE104F"/>
    <w:rsid w:val="00EE2607"/>
    <w:rsid w:val="00EE2830"/>
    <w:rsid w:val="00EE2B30"/>
    <w:rsid w:val="00EE2C0C"/>
    <w:rsid w:val="00EE3051"/>
    <w:rsid w:val="00EE38F2"/>
    <w:rsid w:val="00EE43CE"/>
    <w:rsid w:val="00EE47C9"/>
    <w:rsid w:val="00EE4D2C"/>
    <w:rsid w:val="00EE5577"/>
    <w:rsid w:val="00EE631F"/>
    <w:rsid w:val="00EE675E"/>
    <w:rsid w:val="00EF016E"/>
    <w:rsid w:val="00EF0994"/>
    <w:rsid w:val="00EF106A"/>
    <w:rsid w:val="00EF38A4"/>
    <w:rsid w:val="00EF4D17"/>
    <w:rsid w:val="00EF5CD7"/>
    <w:rsid w:val="00EF68C7"/>
    <w:rsid w:val="00EF6991"/>
    <w:rsid w:val="00EF6CCC"/>
    <w:rsid w:val="00EF6F31"/>
    <w:rsid w:val="00EF73A3"/>
    <w:rsid w:val="00F004A0"/>
    <w:rsid w:val="00F006D1"/>
    <w:rsid w:val="00F01C78"/>
    <w:rsid w:val="00F02405"/>
    <w:rsid w:val="00F02986"/>
    <w:rsid w:val="00F033DB"/>
    <w:rsid w:val="00F03AF2"/>
    <w:rsid w:val="00F06087"/>
    <w:rsid w:val="00F1027B"/>
    <w:rsid w:val="00F11836"/>
    <w:rsid w:val="00F12E70"/>
    <w:rsid w:val="00F130B8"/>
    <w:rsid w:val="00F131F1"/>
    <w:rsid w:val="00F13D4C"/>
    <w:rsid w:val="00F14661"/>
    <w:rsid w:val="00F154AA"/>
    <w:rsid w:val="00F159B2"/>
    <w:rsid w:val="00F162A8"/>
    <w:rsid w:val="00F17EFF"/>
    <w:rsid w:val="00F20813"/>
    <w:rsid w:val="00F21CD3"/>
    <w:rsid w:val="00F2283B"/>
    <w:rsid w:val="00F23458"/>
    <w:rsid w:val="00F25332"/>
    <w:rsid w:val="00F255CC"/>
    <w:rsid w:val="00F26048"/>
    <w:rsid w:val="00F267FE"/>
    <w:rsid w:val="00F26AE1"/>
    <w:rsid w:val="00F301E6"/>
    <w:rsid w:val="00F32988"/>
    <w:rsid w:val="00F33393"/>
    <w:rsid w:val="00F333BA"/>
    <w:rsid w:val="00F33DEF"/>
    <w:rsid w:val="00F3661F"/>
    <w:rsid w:val="00F36BA9"/>
    <w:rsid w:val="00F377B8"/>
    <w:rsid w:val="00F37831"/>
    <w:rsid w:val="00F402B2"/>
    <w:rsid w:val="00F40D30"/>
    <w:rsid w:val="00F41C25"/>
    <w:rsid w:val="00F431F3"/>
    <w:rsid w:val="00F4410F"/>
    <w:rsid w:val="00F4441B"/>
    <w:rsid w:val="00F46018"/>
    <w:rsid w:val="00F464A6"/>
    <w:rsid w:val="00F46B6D"/>
    <w:rsid w:val="00F47063"/>
    <w:rsid w:val="00F47376"/>
    <w:rsid w:val="00F47DD5"/>
    <w:rsid w:val="00F50489"/>
    <w:rsid w:val="00F50AA9"/>
    <w:rsid w:val="00F50F23"/>
    <w:rsid w:val="00F50FBB"/>
    <w:rsid w:val="00F5171E"/>
    <w:rsid w:val="00F517C8"/>
    <w:rsid w:val="00F52CE6"/>
    <w:rsid w:val="00F5307F"/>
    <w:rsid w:val="00F54024"/>
    <w:rsid w:val="00F55A79"/>
    <w:rsid w:val="00F55C9E"/>
    <w:rsid w:val="00F561B0"/>
    <w:rsid w:val="00F56A08"/>
    <w:rsid w:val="00F57E1D"/>
    <w:rsid w:val="00F60EB5"/>
    <w:rsid w:val="00F60F12"/>
    <w:rsid w:val="00F6157C"/>
    <w:rsid w:val="00F62977"/>
    <w:rsid w:val="00F62E14"/>
    <w:rsid w:val="00F62ED5"/>
    <w:rsid w:val="00F639CE"/>
    <w:rsid w:val="00F64146"/>
    <w:rsid w:val="00F64E24"/>
    <w:rsid w:val="00F64EE3"/>
    <w:rsid w:val="00F652FE"/>
    <w:rsid w:val="00F66676"/>
    <w:rsid w:val="00F700F4"/>
    <w:rsid w:val="00F70324"/>
    <w:rsid w:val="00F7056F"/>
    <w:rsid w:val="00F705FB"/>
    <w:rsid w:val="00F71904"/>
    <w:rsid w:val="00F71DFB"/>
    <w:rsid w:val="00F71E43"/>
    <w:rsid w:val="00F726BB"/>
    <w:rsid w:val="00F72C08"/>
    <w:rsid w:val="00F73068"/>
    <w:rsid w:val="00F75723"/>
    <w:rsid w:val="00F75F06"/>
    <w:rsid w:val="00F774AD"/>
    <w:rsid w:val="00F777EE"/>
    <w:rsid w:val="00F8148E"/>
    <w:rsid w:val="00F81553"/>
    <w:rsid w:val="00F82BBF"/>
    <w:rsid w:val="00F836DC"/>
    <w:rsid w:val="00F844A0"/>
    <w:rsid w:val="00F84747"/>
    <w:rsid w:val="00F8491E"/>
    <w:rsid w:val="00F84EBB"/>
    <w:rsid w:val="00F85764"/>
    <w:rsid w:val="00F85CBB"/>
    <w:rsid w:val="00F867FC"/>
    <w:rsid w:val="00F87AB3"/>
    <w:rsid w:val="00F87E8E"/>
    <w:rsid w:val="00F91FB0"/>
    <w:rsid w:val="00F923A5"/>
    <w:rsid w:val="00F93C79"/>
    <w:rsid w:val="00F943B2"/>
    <w:rsid w:val="00F946A9"/>
    <w:rsid w:val="00F953AC"/>
    <w:rsid w:val="00F959C7"/>
    <w:rsid w:val="00F95FD7"/>
    <w:rsid w:val="00F96BE2"/>
    <w:rsid w:val="00F96DDE"/>
    <w:rsid w:val="00F97153"/>
    <w:rsid w:val="00F9742E"/>
    <w:rsid w:val="00FA03FE"/>
    <w:rsid w:val="00FA1F7E"/>
    <w:rsid w:val="00FA256C"/>
    <w:rsid w:val="00FA3815"/>
    <w:rsid w:val="00FA3C9C"/>
    <w:rsid w:val="00FA6020"/>
    <w:rsid w:val="00FA612D"/>
    <w:rsid w:val="00FA68C2"/>
    <w:rsid w:val="00FA68E8"/>
    <w:rsid w:val="00FA6ECC"/>
    <w:rsid w:val="00FA7E39"/>
    <w:rsid w:val="00FB2051"/>
    <w:rsid w:val="00FB27C3"/>
    <w:rsid w:val="00FB284B"/>
    <w:rsid w:val="00FB2867"/>
    <w:rsid w:val="00FB46A7"/>
    <w:rsid w:val="00FB4B11"/>
    <w:rsid w:val="00FB5A91"/>
    <w:rsid w:val="00FB6E71"/>
    <w:rsid w:val="00FB6E8D"/>
    <w:rsid w:val="00FB72E6"/>
    <w:rsid w:val="00FB76FD"/>
    <w:rsid w:val="00FC1879"/>
    <w:rsid w:val="00FC3CCC"/>
    <w:rsid w:val="00FC59BC"/>
    <w:rsid w:val="00FC5CFE"/>
    <w:rsid w:val="00FC5FF8"/>
    <w:rsid w:val="00FC62A3"/>
    <w:rsid w:val="00FC69D5"/>
    <w:rsid w:val="00FD0501"/>
    <w:rsid w:val="00FD0EE1"/>
    <w:rsid w:val="00FD1044"/>
    <w:rsid w:val="00FD190D"/>
    <w:rsid w:val="00FD4208"/>
    <w:rsid w:val="00FD741E"/>
    <w:rsid w:val="00FE0F8D"/>
    <w:rsid w:val="00FE1536"/>
    <w:rsid w:val="00FE2382"/>
    <w:rsid w:val="00FE29DC"/>
    <w:rsid w:val="00FE2E17"/>
    <w:rsid w:val="00FE3E7E"/>
    <w:rsid w:val="00FE5106"/>
    <w:rsid w:val="00FE587A"/>
    <w:rsid w:val="00FE5D3A"/>
    <w:rsid w:val="00FE6858"/>
    <w:rsid w:val="00FE6E28"/>
    <w:rsid w:val="00FE7980"/>
    <w:rsid w:val="00FF080E"/>
    <w:rsid w:val="00FF125E"/>
    <w:rsid w:val="00FF1436"/>
    <w:rsid w:val="00FF1A5D"/>
    <w:rsid w:val="00FF2ABC"/>
    <w:rsid w:val="00FF5171"/>
    <w:rsid w:val="00FF57E2"/>
    <w:rsid w:val="00FF6691"/>
    <w:rsid w:val="00FF6728"/>
    <w:rsid w:val="00FF6B6B"/>
    <w:rsid w:val="00FF7356"/>
    <w:rsid w:val="00FF757F"/>
    <w:rsid w:val="00FF7703"/>
    <w:rsid w:val="00FF78D9"/>
    <w:rsid w:val="00FF7D13"/>
    <w:rsid w:val="00FF7E6B"/>
    <w:rsid w:val="023D4326"/>
    <w:rsid w:val="04A2D39D"/>
    <w:rsid w:val="0D353577"/>
    <w:rsid w:val="0E388B1A"/>
    <w:rsid w:val="18EA121D"/>
    <w:rsid w:val="1ACBD1D2"/>
    <w:rsid w:val="1BEB6044"/>
    <w:rsid w:val="29DAD07D"/>
    <w:rsid w:val="2F76101F"/>
    <w:rsid w:val="3134600D"/>
    <w:rsid w:val="4203F3B2"/>
    <w:rsid w:val="4292D8C3"/>
    <w:rsid w:val="4439011F"/>
    <w:rsid w:val="4802C35B"/>
    <w:rsid w:val="4E7C6B93"/>
    <w:rsid w:val="5C990295"/>
    <w:rsid w:val="5D4B8F4C"/>
    <w:rsid w:val="6016FD19"/>
    <w:rsid w:val="63F8525A"/>
    <w:rsid w:val="689FB946"/>
    <w:rsid w:val="6A3B62FE"/>
    <w:rsid w:val="6BB2DFDB"/>
    <w:rsid w:val="712E3AAC"/>
    <w:rsid w:val="79CAB406"/>
    <w:rsid w:val="7D842421"/>
  </w:rsids>
  <m:mathPr>
    <m:mathFont m:val="Cambria Math"/>
    <m:brkBin m:val="before"/>
    <m:brkBinSub m:val="--"/>
    <m:smallFrac m:val="0"/>
    <m:dispDef/>
    <m:lMargin m:val="0"/>
    <m:rMargin m:val="0"/>
    <m:defJc m:val="centerGroup"/>
    <m:wrapIndent m:val="1440"/>
    <m:intLim m:val="subSup"/>
    <m:naryLim m:val="undOvr"/>
  </m:mathPr>
  <w:themeFontLang w:val="en-US" w:eastAsia="ja-JP" w:bidi="kn-IN"/>
  <w:clrSchemeMapping w:bg1="light1" w:t1="dark1" w:bg2="light2" w:t2="dark2" w:accent1="accent1" w:accent2="accent2" w:accent3="accent3" w:accent4="accent4" w:accent5="accent5" w:accent6="accent6" w:hyperlink="hyperlink" w:followedHyperlink="followedHyperlink"/>
  <w:shapeDefaults>
    <o:shapedefaults v:ext="edit" spidmax="2120"/>
    <o:shapelayout v:ext="edit">
      <o:idmap v:ext="edit" data="2"/>
    </o:shapelayout>
  </w:shapeDefaults>
  <w:decimalSymbol w:val=","/>
  <w:listSeparator w:val=";"/>
  <w14:docId w14:val="2996028F"/>
  <w15:docId w15:val="{B0F25B92-0DE4-4A6D-BACF-25067B1E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4B8"/>
    <w:pPr>
      <w:spacing w:line="240" w:lineRule="auto"/>
      <w:jc w:val="both"/>
    </w:pPr>
    <w:rPr>
      <w:rFonts w:ascii="EC Square Sans Pro" w:hAnsi="EC Square Sans Pro" w:cs="Times New Roman"/>
      <w:szCs w:val="24"/>
    </w:rPr>
  </w:style>
  <w:style w:type="paragraph" w:styleId="Heading1">
    <w:name w:val="heading 1"/>
    <w:basedOn w:val="Normal"/>
    <w:next w:val="Normal"/>
    <w:link w:val="Heading1Char"/>
    <w:uiPriority w:val="9"/>
    <w:qFormat/>
    <w:rsid w:val="00BE145B"/>
    <w:pPr>
      <w:keepNext/>
      <w:keepLines/>
      <w:numPr>
        <w:numId w:val="1"/>
      </w:numPr>
      <w:spacing w:before="360" w:after="240"/>
      <w:ind w:left="340" w:hanging="340"/>
      <w:outlineLvl w:val="0"/>
    </w:pPr>
    <w:rPr>
      <w:rFonts w:eastAsiaTheme="majorEastAsia" w:cstheme="majorBidi"/>
      <w:b/>
      <w:color w:val="034EA2" w:themeColor="accent1"/>
      <w:sz w:val="32"/>
      <w:szCs w:val="32"/>
    </w:rPr>
  </w:style>
  <w:style w:type="paragraph" w:styleId="Heading2">
    <w:name w:val="heading 2"/>
    <w:basedOn w:val="Normal"/>
    <w:next w:val="Normal"/>
    <w:link w:val="Heading2Char"/>
    <w:uiPriority w:val="9"/>
    <w:unhideWhenUsed/>
    <w:qFormat/>
    <w:rsid w:val="002703F1"/>
    <w:pPr>
      <w:keepNext/>
      <w:keepLines/>
      <w:spacing w:before="240"/>
      <w:outlineLvl w:val="1"/>
    </w:pPr>
    <w:rPr>
      <w:rFonts w:eastAsiaTheme="majorEastAsia" w:cstheme="majorBidi"/>
      <w:caps/>
      <w:color w:val="70AD47" w:themeColor="accent2"/>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45B"/>
    <w:rPr>
      <w:rFonts w:ascii="EC Square Sans Pro" w:eastAsiaTheme="majorEastAsia" w:hAnsi="EC Square Sans Pro" w:cstheme="majorBidi"/>
      <w:b/>
      <w:color w:val="034EA2" w:themeColor="accent1"/>
      <w:sz w:val="32"/>
      <w:szCs w:val="32"/>
      <w:lang w:val="lt-LT"/>
    </w:rPr>
  </w:style>
  <w:style w:type="paragraph" w:styleId="Header">
    <w:name w:val="header"/>
    <w:basedOn w:val="Normal"/>
    <w:link w:val="HeaderChar"/>
    <w:uiPriority w:val="99"/>
    <w:unhideWhenUsed/>
    <w:rsid w:val="008B6253"/>
    <w:pPr>
      <w:tabs>
        <w:tab w:val="center" w:pos="4513"/>
        <w:tab w:val="right" w:pos="9026"/>
      </w:tabs>
      <w:spacing w:after="0"/>
    </w:pPr>
  </w:style>
  <w:style w:type="character" w:customStyle="1" w:styleId="HeaderChar">
    <w:name w:val="Header Char"/>
    <w:basedOn w:val="DefaultParagraphFont"/>
    <w:link w:val="Header"/>
    <w:uiPriority w:val="99"/>
    <w:rsid w:val="008B6253"/>
    <w:rPr>
      <w:rFonts w:ascii="Times New Roman" w:hAnsi="Times New Roman" w:cs="Times New Roman"/>
      <w:sz w:val="24"/>
      <w:szCs w:val="24"/>
      <w:lang w:val="lt-LT"/>
    </w:rPr>
  </w:style>
  <w:style w:type="paragraph" w:styleId="Footer">
    <w:name w:val="footer"/>
    <w:basedOn w:val="Normal"/>
    <w:link w:val="FooterChar"/>
    <w:uiPriority w:val="99"/>
    <w:unhideWhenUsed/>
    <w:rsid w:val="008B6253"/>
    <w:pPr>
      <w:tabs>
        <w:tab w:val="center" w:pos="4513"/>
        <w:tab w:val="right" w:pos="9026"/>
      </w:tabs>
      <w:spacing w:after="0"/>
    </w:pPr>
  </w:style>
  <w:style w:type="character" w:customStyle="1" w:styleId="FooterChar">
    <w:name w:val="Footer Char"/>
    <w:basedOn w:val="DefaultParagraphFont"/>
    <w:link w:val="Footer"/>
    <w:uiPriority w:val="99"/>
    <w:rsid w:val="008B6253"/>
    <w:rPr>
      <w:rFonts w:ascii="Times New Roman" w:hAnsi="Times New Roman" w:cs="Times New Roman"/>
      <w:sz w:val="24"/>
      <w:szCs w:val="24"/>
      <w:lang w:val="lt-LT"/>
    </w:rPr>
  </w:style>
  <w:style w:type="paragraph" w:customStyle="1" w:styleId="FooterCoverPage">
    <w:name w:val="Footer Cover Page"/>
    <w:basedOn w:val="Normal"/>
    <w:link w:val="FooterCoverPageChar"/>
    <w:rsid w:val="008B6253"/>
    <w:pPr>
      <w:tabs>
        <w:tab w:val="center" w:pos="4535"/>
        <w:tab w:val="right" w:pos="9071"/>
        <w:tab w:val="right" w:pos="9921"/>
      </w:tabs>
      <w:spacing w:before="360" w:after="0"/>
      <w:ind w:left="-850" w:right="-850"/>
      <w:jc w:val="left"/>
    </w:pPr>
    <w:rPr>
      <w:rFonts w:ascii="Times New Roman" w:hAnsi="Times New Roman"/>
      <w:sz w:val="24"/>
    </w:rPr>
  </w:style>
  <w:style w:type="character" w:customStyle="1" w:styleId="FooterCoverPageChar">
    <w:name w:val="Footer Cover Page Char"/>
    <w:basedOn w:val="DefaultParagraphFont"/>
    <w:link w:val="FooterCoverPage"/>
    <w:rsid w:val="008B6253"/>
    <w:rPr>
      <w:rFonts w:ascii="Times New Roman" w:hAnsi="Times New Roman" w:cs="Times New Roman"/>
      <w:sz w:val="24"/>
      <w:szCs w:val="24"/>
    </w:rPr>
  </w:style>
  <w:style w:type="paragraph" w:customStyle="1" w:styleId="HeaderCoverPage">
    <w:name w:val="Header Cover Page"/>
    <w:basedOn w:val="Normal"/>
    <w:link w:val="HeaderCoverPageChar"/>
    <w:rsid w:val="008B6253"/>
    <w:pPr>
      <w:tabs>
        <w:tab w:val="center" w:pos="4535"/>
        <w:tab w:val="right" w:pos="9071"/>
      </w:tabs>
      <w:spacing w:after="120"/>
    </w:pPr>
    <w:rPr>
      <w:rFonts w:ascii="Times New Roman" w:hAnsi="Times New Roman"/>
      <w:sz w:val="24"/>
    </w:rPr>
  </w:style>
  <w:style w:type="character" w:customStyle="1" w:styleId="HeaderCoverPageChar">
    <w:name w:val="Header Cover Page Char"/>
    <w:basedOn w:val="DefaultParagraphFont"/>
    <w:link w:val="HeaderCoverPage"/>
    <w:rsid w:val="008B6253"/>
    <w:rPr>
      <w:rFonts w:ascii="Times New Roman" w:hAnsi="Times New Roman" w:cs="Times New Roman"/>
      <w:sz w:val="24"/>
      <w:szCs w:val="24"/>
    </w:rPr>
  </w:style>
  <w:style w:type="character" w:styleId="FootnoteReference">
    <w:name w:val="footnote reference"/>
    <w:aliases w:val="BVI fnr,number,SUPERS,Footnote Reference Superscript,-E Fuﬂnotenzeichen,-E Fuûnotenzeichen,-E Fußnotenzeichen,EN Footnote Reference,Footnote number,stylish,Footnote symbol,(Footnote Reference),Footnote reference number,note TESI,ftref"/>
    <w:link w:val="BVIfnrChar"/>
    <w:uiPriority w:val="99"/>
    <w:qFormat/>
    <w:rsid w:val="008B6253"/>
    <w:rPr>
      <w:vertAlign w:val="superscript"/>
    </w:rPr>
  </w:style>
  <w:style w:type="paragraph" w:styleId="FootnoteText">
    <w:name w:val="footnote text"/>
    <w:aliases w:val="Fodnotetekst Tegn Tegn Tegn Tegn Tegn Tegn Tegn Char Char,Fodnotetekst Tegn Tegn Tegn Tegn Tegn Tegn Tegn Char Char Char Char,Fodnotetekst Tegn Tegn Tegn Tegn Tegn Tegn Tegn,Fodnotetekst Tegn Tegn Tegn Tegn Tegn Tegn Tegn Tegn Tegn Tegn,ft"/>
    <w:basedOn w:val="Normal"/>
    <w:link w:val="FootnoteTextChar"/>
    <w:uiPriority w:val="99"/>
    <w:qFormat/>
    <w:rsid w:val="008B6253"/>
    <w:pPr>
      <w:spacing w:after="0"/>
      <w:ind w:left="720" w:hanging="720"/>
    </w:pPr>
    <w:rPr>
      <w:rFonts w:eastAsia="Times New Roman"/>
      <w:sz w:val="20"/>
      <w:szCs w:val="20"/>
    </w:rPr>
  </w:style>
  <w:style w:type="character" w:customStyle="1" w:styleId="FootnoteTextChar">
    <w:name w:val="Footnote Text Char"/>
    <w:aliases w:val="Fodnotetekst Tegn Tegn Tegn Tegn Tegn Tegn Tegn Char Char Char,Fodnotetekst Tegn Tegn Tegn Tegn Tegn Tegn Tegn Char Char Char Char Char,Fodnotetekst Tegn Tegn Tegn Tegn Tegn Tegn Tegn Char,ft Char"/>
    <w:basedOn w:val="DefaultParagraphFont"/>
    <w:link w:val="FootnoteText"/>
    <w:uiPriority w:val="99"/>
    <w:rsid w:val="008B6253"/>
    <w:rPr>
      <w:rFonts w:ascii="Times New Roman" w:eastAsia="Times New Roman" w:hAnsi="Times New Roman" w:cs="Times New Roman"/>
      <w:sz w:val="20"/>
      <w:szCs w:val="20"/>
      <w:lang w:val="lt-LT"/>
    </w:rPr>
  </w:style>
  <w:style w:type="paragraph" w:styleId="TOC1">
    <w:name w:val="toc 1"/>
    <w:basedOn w:val="Normal"/>
    <w:next w:val="Normal"/>
    <w:uiPriority w:val="39"/>
    <w:qFormat/>
    <w:rsid w:val="008B6253"/>
    <w:pPr>
      <w:tabs>
        <w:tab w:val="right" w:leader="dot" w:pos="9071"/>
      </w:tabs>
      <w:spacing w:before="60" w:after="120"/>
      <w:ind w:left="850" w:hanging="850"/>
    </w:pPr>
    <w:rPr>
      <w:rFonts w:eastAsia="Times New Roman"/>
    </w:rPr>
  </w:style>
  <w:style w:type="paragraph" w:styleId="TOCHeading">
    <w:name w:val="TOC Heading"/>
    <w:basedOn w:val="Normal"/>
    <w:next w:val="Normal"/>
    <w:link w:val="TOCHeadingChar"/>
    <w:uiPriority w:val="39"/>
    <w:qFormat/>
    <w:rsid w:val="008B6253"/>
    <w:pPr>
      <w:spacing w:before="120" w:after="240"/>
      <w:jc w:val="center"/>
    </w:pPr>
    <w:rPr>
      <w:rFonts w:eastAsia="Times New Roman"/>
      <w:b/>
      <w:sz w:val="28"/>
    </w:rPr>
  </w:style>
  <w:style w:type="character" w:styleId="Hyperlink">
    <w:name w:val="Hyperlink"/>
    <w:uiPriority w:val="99"/>
    <w:rsid w:val="008B6253"/>
    <w:rPr>
      <w:rFonts w:cs="Times New Roman"/>
      <w:color w:val="0000FF"/>
      <w:u w:val="single"/>
      <w:shd w:val="clear" w:color="auto" w:fill="auto"/>
    </w:rPr>
  </w:style>
  <w:style w:type="character" w:customStyle="1" w:styleId="TOCHeadingChar">
    <w:name w:val="TOC Heading Char"/>
    <w:link w:val="TOCHeading"/>
    <w:uiPriority w:val="39"/>
    <w:rsid w:val="008B6253"/>
    <w:rPr>
      <w:rFonts w:ascii="Times New Roman" w:eastAsia="Times New Roman" w:hAnsi="Times New Roman" w:cs="Times New Roman"/>
      <w:b/>
      <w:sz w:val="28"/>
      <w:szCs w:val="24"/>
      <w:lang w:val="lt-LT"/>
    </w:rPr>
  </w:style>
  <w:style w:type="paragraph" w:styleId="Subtitle">
    <w:name w:val="Subtitle"/>
    <w:basedOn w:val="Normal"/>
    <w:next w:val="Normal"/>
    <w:link w:val="SubtitleChar"/>
    <w:qFormat/>
    <w:rsid w:val="008B6253"/>
    <w:pPr>
      <w:spacing w:before="120" w:after="60"/>
      <w:jc w:val="center"/>
      <w:outlineLvl w:val="1"/>
    </w:pPr>
    <w:rPr>
      <w:rFonts w:ascii="Cambria" w:eastAsia="Times New Roman" w:hAnsi="Cambria"/>
    </w:rPr>
  </w:style>
  <w:style w:type="character" w:customStyle="1" w:styleId="SubtitleChar">
    <w:name w:val="Subtitle Char"/>
    <w:basedOn w:val="DefaultParagraphFont"/>
    <w:link w:val="Subtitle"/>
    <w:rsid w:val="008B6253"/>
    <w:rPr>
      <w:rFonts w:ascii="Cambria" w:eastAsia="Times New Roman" w:hAnsi="Cambria" w:cs="Times New Roman"/>
      <w:sz w:val="24"/>
      <w:szCs w:val="24"/>
      <w:lang w:val="lt-LT"/>
    </w:rPr>
  </w:style>
  <w:style w:type="paragraph" w:styleId="NormalWeb">
    <w:name w:val="Normal (Web)"/>
    <w:basedOn w:val="Normal"/>
    <w:uiPriority w:val="99"/>
    <w:unhideWhenUsed/>
    <w:rsid w:val="008B6253"/>
    <w:pPr>
      <w:spacing w:before="100" w:beforeAutospacing="1" w:after="100" w:afterAutospacing="1"/>
    </w:pPr>
    <w:rPr>
      <w:rFonts w:eastAsia="Times New Roman"/>
      <w:lang w:eastAsia="en-GB"/>
    </w:rPr>
  </w:style>
  <w:style w:type="paragraph" w:customStyle="1" w:styleId="BVIfnrChar">
    <w:name w:val="BVI fnr Char"/>
    <w:aliases w:val="Appel note de bas de p.;BVI fnr Car Car Car Car, BVI fnr Car Car,BVI fnr Car, BVI fnr Car Car Car Car, BVI fnr Car Car Car Car Char,Appel note de bas de p..BVI fnr Car Car Car Car, BVI fnr Char,Appel note de bas de p."/>
    <w:basedOn w:val="Normal"/>
    <w:link w:val="FootnoteReference"/>
    <w:uiPriority w:val="99"/>
    <w:rsid w:val="008B6253"/>
    <w:pPr>
      <w:spacing w:line="240" w:lineRule="exact"/>
    </w:pPr>
    <w:rPr>
      <w:rFonts w:asciiTheme="minorHAnsi" w:hAnsiTheme="minorHAnsi" w:cstheme="minorBidi"/>
      <w:szCs w:val="22"/>
      <w:vertAlign w:val="superscript"/>
    </w:rPr>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OBC Bullet,L,Bullet 1"/>
    <w:basedOn w:val="Normal"/>
    <w:link w:val="ListParagraphChar"/>
    <w:uiPriority w:val="34"/>
    <w:qFormat/>
    <w:rsid w:val="008B6253"/>
    <w:pPr>
      <w:spacing w:line="259" w:lineRule="auto"/>
      <w:ind w:left="720"/>
      <w:contextualSpacing/>
    </w:pPr>
    <w:rPr>
      <w:rFonts w:asciiTheme="minorHAnsi" w:hAnsiTheme="minorHAnsi" w:cstheme="minorBidi"/>
      <w:szCs w:val="22"/>
    </w:rPr>
  </w:style>
  <w:style w:type="character" w:styleId="IntenseReference">
    <w:name w:val="Intense Reference"/>
    <w:basedOn w:val="DefaultParagraphFont"/>
    <w:uiPriority w:val="32"/>
    <w:qFormat/>
    <w:rsid w:val="008B6253"/>
    <w:rPr>
      <w:b/>
      <w:bCs/>
      <w:smallCaps/>
      <w:color w:val="034EA2" w:themeColor="accent1"/>
      <w:spacing w:val="5"/>
    </w:rPr>
  </w:style>
  <w:style w:type="table" w:styleId="GridTable1Light-Accent1">
    <w:name w:val="Grid Table 1 Light Accent 1"/>
    <w:basedOn w:val="TableNormal"/>
    <w:uiPriority w:val="46"/>
    <w:rsid w:val="008B625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77B6FC" w:themeColor="accent1" w:themeTint="66"/>
        <w:left w:val="single" w:sz="4" w:space="0" w:color="77B6FC" w:themeColor="accent1" w:themeTint="66"/>
        <w:bottom w:val="single" w:sz="4" w:space="0" w:color="77B6FC" w:themeColor="accent1" w:themeTint="66"/>
        <w:right w:val="single" w:sz="4" w:space="0" w:color="77B6FC" w:themeColor="accent1" w:themeTint="66"/>
        <w:insideH w:val="single" w:sz="4" w:space="0" w:color="77B6FC" w:themeColor="accent1" w:themeTint="66"/>
        <w:insideV w:val="single" w:sz="4" w:space="0" w:color="77B6FC" w:themeColor="accent1" w:themeTint="66"/>
      </w:tblBorders>
    </w:tblPr>
    <w:tblStylePr w:type="firstRow">
      <w:rPr>
        <w:b/>
        <w:bCs/>
      </w:rPr>
      <w:tblPr/>
      <w:tcPr>
        <w:tcBorders>
          <w:bottom w:val="single" w:sz="12" w:space="0" w:color="3391FB" w:themeColor="accent1" w:themeTint="99"/>
        </w:tcBorders>
      </w:tcPr>
    </w:tblStylePr>
    <w:tblStylePr w:type="lastRow">
      <w:rPr>
        <w:b/>
        <w:bCs/>
      </w:rPr>
      <w:tblPr/>
      <w:tcPr>
        <w:tcBorders>
          <w:top w:val="double" w:sz="2" w:space="0" w:color="3391FB" w:themeColor="accent1" w:themeTint="99"/>
        </w:tcBorders>
      </w:tcPr>
    </w:tblStylePr>
    <w:tblStylePr w:type="firstCol">
      <w:rPr>
        <w:b/>
        <w:bCs/>
      </w:rPr>
    </w:tblStylePr>
    <w:tblStylePr w:type="lastCol">
      <w:rPr>
        <w:b/>
        <w:bCs/>
      </w:rPr>
    </w:tblStyle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OBC Bullet Char"/>
    <w:basedOn w:val="DefaultParagraphFont"/>
    <w:link w:val="ListParagraph"/>
    <w:uiPriority w:val="34"/>
    <w:qFormat/>
    <w:locked/>
    <w:rsid w:val="008B6253"/>
    <w:rPr>
      <w:lang w:val="lt-LT"/>
    </w:rPr>
  </w:style>
  <w:style w:type="table" w:customStyle="1" w:styleId="TableGrid1">
    <w:name w:val="Table Grid1"/>
    <w:basedOn w:val="TableNormal"/>
    <w:next w:val="TableGrid"/>
    <w:uiPriority w:val="39"/>
    <w:rsid w:val="008B6253"/>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B6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
    <w:name w:val="Marker"/>
    <w:basedOn w:val="DefaultParagraphFont"/>
    <w:rsid w:val="008B6253"/>
    <w:rPr>
      <w:color w:val="0000FF"/>
      <w:shd w:val="clear" w:color="auto" w:fill="auto"/>
    </w:rPr>
  </w:style>
  <w:style w:type="paragraph" w:customStyle="1" w:styleId="Pagedecouverture">
    <w:name w:val="Page de couverture"/>
    <w:basedOn w:val="Normal"/>
    <w:next w:val="Normal"/>
    <w:rsid w:val="008B6253"/>
    <w:pPr>
      <w:spacing w:after="0"/>
    </w:pPr>
    <w:rPr>
      <w:szCs w:val="22"/>
    </w:rPr>
  </w:style>
  <w:style w:type="paragraph" w:customStyle="1" w:styleId="FooterSensitivity">
    <w:name w:val="Footer Sensitivity"/>
    <w:basedOn w:val="Normal"/>
    <w:link w:val="FooterSensitivityChar"/>
    <w:rsid w:val="008B6253"/>
    <w:pPr>
      <w:pBdr>
        <w:top w:val="single" w:sz="4" w:space="1" w:color="auto"/>
        <w:left w:val="single" w:sz="4" w:space="4" w:color="auto"/>
        <w:bottom w:val="single" w:sz="4" w:space="1" w:color="auto"/>
        <w:right w:val="single" w:sz="4" w:space="4" w:color="auto"/>
      </w:pBdr>
      <w:spacing w:before="360" w:after="0"/>
      <w:ind w:left="113" w:right="113"/>
      <w:jc w:val="center"/>
    </w:pPr>
    <w:rPr>
      <w:rFonts w:ascii="Times New Roman" w:hAnsi="Times New Roman"/>
      <w:b/>
      <w:sz w:val="32"/>
    </w:rPr>
  </w:style>
  <w:style w:type="character" w:customStyle="1" w:styleId="FooterSensitivityChar">
    <w:name w:val="Footer Sensitivity Char"/>
    <w:basedOn w:val="TOCHeadingChar"/>
    <w:link w:val="FooterSensitivity"/>
    <w:rsid w:val="008B6253"/>
    <w:rPr>
      <w:rFonts w:ascii="Times New Roman" w:eastAsia="Times New Roman" w:hAnsi="Times New Roman" w:cs="Times New Roman"/>
      <w:b/>
      <w:sz w:val="32"/>
      <w:szCs w:val="24"/>
      <w:lang w:val="lt-LT"/>
    </w:rPr>
  </w:style>
  <w:style w:type="paragraph" w:customStyle="1" w:styleId="HeaderSensitivity">
    <w:name w:val="Header Sensitivity"/>
    <w:basedOn w:val="Normal"/>
    <w:link w:val="HeaderSensitivityChar"/>
    <w:rsid w:val="008B6253"/>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b/>
      <w:sz w:val="32"/>
    </w:rPr>
  </w:style>
  <w:style w:type="character" w:customStyle="1" w:styleId="HeaderSensitivityChar">
    <w:name w:val="Header Sensitivity Char"/>
    <w:basedOn w:val="TOCHeadingChar"/>
    <w:link w:val="HeaderSensitivity"/>
    <w:rsid w:val="008B6253"/>
    <w:rPr>
      <w:rFonts w:ascii="Times New Roman" w:eastAsia="Times New Roman" w:hAnsi="Times New Roman" w:cs="Times New Roman"/>
      <w:b/>
      <w:sz w:val="32"/>
      <w:szCs w:val="24"/>
      <w:lang w:val="lt-LT"/>
    </w:rPr>
  </w:style>
  <w:style w:type="paragraph" w:customStyle="1" w:styleId="HeaderSensitivityRight">
    <w:name w:val="Header Sensitivity Right"/>
    <w:basedOn w:val="Normal"/>
    <w:link w:val="HeaderSensitivityRightChar"/>
    <w:rsid w:val="008B6253"/>
    <w:pPr>
      <w:spacing w:after="120"/>
      <w:jc w:val="right"/>
    </w:pPr>
    <w:rPr>
      <w:rFonts w:ascii="Times New Roman" w:hAnsi="Times New Roman"/>
      <w:sz w:val="28"/>
    </w:rPr>
  </w:style>
  <w:style w:type="character" w:customStyle="1" w:styleId="HeaderSensitivityRightChar">
    <w:name w:val="Header Sensitivity Right Char"/>
    <w:basedOn w:val="TOCHeadingChar"/>
    <w:link w:val="HeaderSensitivityRight"/>
    <w:rsid w:val="008B6253"/>
    <w:rPr>
      <w:rFonts w:ascii="Times New Roman" w:eastAsia="Times New Roman" w:hAnsi="Times New Roman" w:cs="Times New Roman"/>
      <w:b w:val="0"/>
      <w:sz w:val="28"/>
      <w:szCs w:val="24"/>
      <w:lang w:val="lt-LT"/>
    </w:rPr>
  </w:style>
  <w:style w:type="table" w:customStyle="1" w:styleId="TableGrid11">
    <w:name w:val="Table Grid11"/>
    <w:basedOn w:val="TableNormal"/>
    <w:next w:val="TableGrid"/>
    <w:uiPriority w:val="39"/>
    <w:rsid w:val="00804E4F"/>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D554AF"/>
    <w:pPr>
      <w:spacing w:after="100"/>
      <w:ind w:left="240"/>
    </w:pPr>
  </w:style>
  <w:style w:type="character" w:styleId="CommentReference">
    <w:name w:val="annotation reference"/>
    <w:basedOn w:val="DefaultParagraphFont"/>
    <w:uiPriority w:val="99"/>
    <w:semiHidden/>
    <w:unhideWhenUsed/>
    <w:rsid w:val="00D56EF0"/>
    <w:rPr>
      <w:sz w:val="16"/>
      <w:szCs w:val="16"/>
    </w:rPr>
  </w:style>
  <w:style w:type="paragraph" w:styleId="CommentText">
    <w:name w:val="annotation text"/>
    <w:basedOn w:val="Normal"/>
    <w:link w:val="CommentTextChar"/>
    <w:uiPriority w:val="99"/>
    <w:unhideWhenUsed/>
    <w:rsid w:val="00D56EF0"/>
    <w:rPr>
      <w:sz w:val="20"/>
      <w:szCs w:val="20"/>
    </w:rPr>
  </w:style>
  <w:style w:type="character" w:customStyle="1" w:styleId="CommentTextChar">
    <w:name w:val="Comment Text Char"/>
    <w:basedOn w:val="DefaultParagraphFont"/>
    <w:link w:val="CommentText"/>
    <w:uiPriority w:val="99"/>
    <w:rsid w:val="00D56EF0"/>
    <w:rPr>
      <w:rFonts w:ascii="Times New Roman" w:hAnsi="Times New Roman" w:cs="Times New Roman"/>
      <w:sz w:val="20"/>
      <w:szCs w:val="20"/>
      <w:lang w:val="lt-LT"/>
    </w:rPr>
  </w:style>
  <w:style w:type="paragraph" w:styleId="BalloonText">
    <w:name w:val="Balloon Text"/>
    <w:basedOn w:val="Normal"/>
    <w:link w:val="BalloonTextChar"/>
    <w:uiPriority w:val="99"/>
    <w:semiHidden/>
    <w:unhideWhenUsed/>
    <w:rsid w:val="00D56EF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EF0"/>
    <w:rPr>
      <w:rFonts w:ascii="Segoe UI" w:hAnsi="Segoe UI" w:cs="Segoe UI"/>
      <w:sz w:val="18"/>
      <w:szCs w:val="18"/>
      <w:lang w:val="lt-LT"/>
    </w:rPr>
  </w:style>
  <w:style w:type="paragraph" w:styleId="CommentSubject">
    <w:name w:val="annotation subject"/>
    <w:basedOn w:val="CommentText"/>
    <w:next w:val="CommentText"/>
    <w:link w:val="CommentSubjectChar"/>
    <w:uiPriority w:val="99"/>
    <w:semiHidden/>
    <w:unhideWhenUsed/>
    <w:rsid w:val="002B7257"/>
    <w:rPr>
      <w:b/>
      <w:bCs/>
    </w:rPr>
  </w:style>
  <w:style w:type="character" w:customStyle="1" w:styleId="CommentSubjectChar">
    <w:name w:val="Comment Subject Char"/>
    <w:basedOn w:val="CommentTextChar"/>
    <w:link w:val="CommentSubject"/>
    <w:uiPriority w:val="99"/>
    <w:semiHidden/>
    <w:rsid w:val="002B7257"/>
    <w:rPr>
      <w:rFonts w:ascii="Times New Roman" w:hAnsi="Times New Roman" w:cs="Times New Roman"/>
      <w:b/>
      <w:bCs/>
      <w:sz w:val="20"/>
      <w:szCs w:val="20"/>
      <w:lang w:val="lt-LT"/>
    </w:rPr>
  </w:style>
  <w:style w:type="paragraph" w:styleId="Revision">
    <w:name w:val="Revision"/>
    <w:hidden/>
    <w:uiPriority w:val="99"/>
    <w:semiHidden/>
    <w:rsid w:val="00E834C5"/>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BD275C"/>
    <w:rPr>
      <w:b/>
      <w:bCs/>
    </w:rPr>
  </w:style>
  <w:style w:type="character" w:customStyle="1" w:styleId="Heading2Char">
    <w:name w:val="Heading 2 Char"/>
    <w:basedOn w:val="DefaultParagraphFont"/>
    <w:link w:val="Heading2"/>
    <w:uiPriority w:val="9"/>
    <w:rsid w:val="002703F1"/>
    <w:rPr>
      <w:rFonts w:ascii="EC Square Sans Pro" w:eastAsiaTheme="majorEastAsia" w:hAnsi="EC Square Sans Pro" w:cstheme="majorBidi"/>
      <w:caps/>
      <w:color w:val="70AD47" w:themeColor="accent2"/>
      <w:sz w:val="24"/>
      <w:szCs w:val="26"/>
      <w:lang w:val="lt-LT"/>
    </w:rPr>
  </w:style>
  <w:style w:type="character" w:styleId="FollowedHyperlink">
    <w:name w:val="FollowedHyperlink"/>
    <w:basedOn w:val="DefaultParagraphFont"/>
    <w:uiPriority w:val="99"/>
    <w:semiHidden/>
    <w:unhideWhenUsed/>
    <w:rsid w:val="001C3C2E"/>
    <w:rPr>
      <w:color w:val="954F72" w:themeColor="followedHyperlink"/>
      <w:u w:val="single"/>
    </w:rPr>
  </w:style>
  <w:style w:type="paragraph" w:styleId="PlainText">
    <w:name w:val="Plain Text"/>
    <w:basedOn w:val="Normal"/>
    <w:link w:val="PlainTextChar"/>
    <w:uiPriority w:val="99"/>
    <w:unhideWhenUsed/>
    <w:rsid w:val="00547755"/>
    <w:pPr>
      <w:spacing w:after="0"/>
    </w:pPr>
    <w:rPr>
      <w:rFonts w:ascii="Calibri" w:hAnsi="Calibri" w:cstheme="minorBidi"/>
      <w:szCs w:val="21"/>
    </w:rPr>
  </w:style>
  <w:style w:type="character" w:customStyle="1" w:styleId="PlainTextChar">
    <w:name w:val="Plain Text Char"/>
    <w:basedOn w:val="DefaultParagraphFont"/>
    <w:link w:val="PlainText"/>
    <w:uiPriority w:val="99"/>
    <w:rsid w:val="00547755"/>
    <w:rPr>
      <w:rFonts w:ascii="Calibri" w:hAnsi="Calibri"/>
      <w:szCs w:val="21"/>
      <w:lang w:val="lt-LT"/>
    </w:rPr>
  </w:style>
  <w:style w:type="paragraph" w:customStyle="1" w:styleId="ecl-page-header-standardiseddescription">
    <w:name w:val="ecl-page-header-standardised__description"/>
    <w:basedOn w:val="Normal"/>
    <w:uiPriority w:val="99"/>
    <w:rsid w:val="007A1FE8"/>
    <w:pPr>
      <w:spacing w:before="100" w:beforeAutospacing="1" w:after="100" w:afterAutospacing="1"/>
    </w:pPr>
    <w:rPr>
      <w:rFonts w:eastAsia="Times New Roman"/>
      <w:lang w:eastAsia="en-GB"/>
    </w:rPr>
  </w:style>
  <w:style w:type="character" w:customStyle="1" w:styleId="UnresolvedMention1">
    <w:name w:val="Unresolved Mention1"/>
    <w:basedOn w:val="DefaultParagraphFont"/>
    <w:uiPriority w:val="99"/>
    <w:semiHidden/>
    <w:unhideWhenUsed/>
    <w:rsid w:val="00580C86"/>
    <w:rPr>
      <w:color w:val="605E5C"/>
      <w:shd w:val="clear" w:color="auto" w:fill="E1DFDD"/>
    </w:rPr>
  </w:style>
  <w:style w:type="character" w:customStyle="1" w:styleId="UnresolvedMention">
    <w:name w:val="Unresolved Mention"/>
    <w:basedOn w:val="DefaultParagraphFont"/>
    <w:uiPriority w:val="99"/>
    <w:semiHidden/>
    <w:unhideWhenUsed/>
    <w:rsid w:val="00B7513E"/>
    <w:rPr>
      <w:color w:val="605E5C"/>
      <w:shd w:val="clear" w:color="auto" w:fill="E1DFDD"/>
    </w:rPr>
  </w:style>
  <w:style w:type="table" w:styleId="GridTable4-Accent5">
    <w:name w:val="Grid Table 4 Accent 5"/>
    <w:basedOn w:val="TableNormal"/>
    <w:uiPriority w:val="49"/>
    <w:rsid w:val="00FA602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Text2">
    <w:name w:val="Text 2"/>
    <w:basedOn w:val="Normal"/>
    <w:uiPriority w:val="1"/>
    <w:qFormat/>
    <w:rsid w:val="00471184"/>
    <w:pPr>
      <w:spacing w:after="240"/>
      <w:ind w:left="1077"/>
    </w:pPr>
    <w:rPr>
      <w:rFonts w:ascii="Times New Roman" w:eastAsia="Times New Roman" w:hAnsi="Times New Roman"/>
      <w:sz w:val="24"/>
      <w:szCs w:val="20"/>
      <w:lang w:eastAsia="en-GB"/>
    </w:rPr>
  </w:style>
  <w:style w:type="character" w:customStyle="1" w:styleId="Mention">
    <w:name w:val="Mention"/>
    <w:basedOn w:val="DefaultParagraphFont"/>
    <w:uiPriority w:val="99"/>
    <w:unhideWhenUsed/>
    <w:rsid w:val="005B0CDE"/>
    <w:rPr>
      <w:color w:val="2B579A"/>
      <w:shd w:val="clear" w:color="auto" w:fill="E1DFDD"/>
    </w:rPr>
  </w:style>
  <w:style w:type="paragraph" w:customStyle="1" w:styleId="LegalNumPar">
    <w:name w:val="LegalNumPar"/>
    <w:basedOn w:val="Normal"/>
    <w:rsid w:val="00607C1D"/>
    <w:pPr>
      <w:numPr>
        <w:numId w:val="33"/>
      </w:numPr>
      <w:spacing w:line="360" w:lineRule="auto"/>
    </w:pPr>
    <w:rPr>
      <w:sz w:val="24"/>
    </w:rPr>
  </w:style>
  <w:style w:type="paragraph" w:customStyle="1" w:styleId="LegalNumPar2">
    <w:name w:val="LegalNumPar2"/>
    <w:basedOn w:val="Normal"/>
    <w:rsid w:val="00607C1D"/>
    <w:pPr>
      <w:numPr>
        <w:ilvl w:val="1"/>
        <w:numId w:val="33"/>
      </w:numPr>
      <w:spacing w:line="360" w:lineRule="auto"/>
    </w:pPr>
    <w:rPr>
      <w:sz w:val="24"/>
    </w:rPr>
  </w:style>
  <w:style w:type="paragraph" w:customStyle="1" w:styleId="LegalNumPar3">
    <w:name w:val="LegalNumPar3"/>
    <w:basedOn w:val="Normal"/>
    <w:rsid w:val="00607C1D"/>
    <w:pPr>
      <w:numPr>
        <w:ilvl w:val="2"/>
        <w:numId w:val="33"/>
      </w:numPr>
      <w:spacing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7865">
      <w:bodyDiv w:val="1"/>
      <w:marLeft w:val="0"/>
      <w:marRight w:val="0"/>
      <w:marTop w:val="0"/>
      <w:marBottom w:val="0"/>
      <w:divBdr>
        <w:top w:val="none" w:sz="0" w:space="0" w:color="auto"/>
        <w:left w:val="none" w:sz="0" w:space="0" w:color="auto"/>
        <w:bottom w:val="none" w:sz="0" w:space="0" w:color="auto"/>
        <w:right w:val="none" w:sz="0" w:space="0" w:color="auto"/>
      </w:divBdr>
    </w:div>
    <w:div w:id="32507214">
      <w:bodyDiv w:val="1"/>
      <w:marLeft w:val="0"/>
      <w:marRight w:val="0"/>
      <w:marTop w:val="0"/>
      <w:marBottom w:val="0"/>
      <w:divBdr>
        <w:top w:val="none" w:sz="0" w:space="0" w:color="auto"/>
        <w:left w:val="none" w:sz="0" w:space="0" w:color="auto"/>
        <w:bottom w:val="none" w:sz="0" w:space="0" w:color="auto"/>
        <w:right w:val="none" w:sz="0" w:space="0" w:color="auto"/>
      </w:divBdr>
    </w:div>
    <w:div w:id="34670410">
      <w:bodyDiv w:val="1"/>
      <w:marLeft w:val="0"/>
      <w:marRight w:val="0"/>
      <w:marTop w:val="0"/>
      <w:marBottom w:val="0"/>
      <w:divBdr>
        <w:top w:val="none" w:sz="0" w:space="0" w:color="auto"/>
        <w:left w:val="none" w:sz="0" w:space="0" w:color="auto"/>
        <w:bottom w:val="none" w:sz="0" w:space="0" w:color="auto"/>
        <w:right w:val="none" w:sz="0" w:space="0" w:color="auto"/>
      </w:divBdr>
    </w:div>
    <w:div w:id="81609872">
      <w:bodyDiv w:val="1"/>
      <w:marLeft w:val="0"/>
      <w:marRight w:val="0"/>
      <w:marTop w:val="0"/>
      <w:marBottom w:val="0"/>
      <w:divBdr>
        <w:top w:val="none" w:sz="0" w:space="0" w:color="auto"/>
        <w:left w:val="none" w:sz="0" w:space="0" w:color="auto"/>
        <w:bottom w:val="none" w:sz="0" w:space="0" w:color="auto"/>
        <w:right w:val="none" w:sz="0" w:space="0" w:color="auto"/>
      </w:divBdr>
      <w:divsChild>
        <w:div w:id="1276669232">
          <w:marLeft w:val="0"/>
          <w:marRight w:val="0"/>
          <w:marTop w:val="0"/>
          <w:marBottom w:val="0"/>
          <w:divBdr>
            <w:top w:val="none" w:sz="0" w:space="0" w:color="auto"/>
            <w:left w:val="none" w:sz="0" w:space="0" w:color="auto"/>
            <w:bottom w:val="none" w:sz="0" w:space="0" w:color="auto"/>
            <w:right w:val="none" w:sz="0" w:space="0" w:color="auto"/>
          </w:divBdr>
        </w:div>
      </w:divsChild>
    </w:div>
    <w:div w:id="84570062">
      <w:bodyDiv w:val="1"/>
      <w:marLeft w:val="0"/>
      <w:marRight w:val="0"/>
      <w:marTop w:val="0"/>
      <w:marBottom w:val="0"/>
      <w:divBdr>
        <w:top w:val="none" w:sz="0" w:space="0" w:color="auto"/>
        <w:left w:val="none" w:sz="0" w:space="0" w:color="auto"/>
        <w:bottom w:val="none" w:sz="0" w:space="0" w:color="auto"/>
        <w:right w:val="none" w:sz="0" w:space="0" w:color="auto"/>
      </w:divBdr>
    </w:div>
    <w:div w:id="115149302">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66022188">
      <w:bodyDiv w:val="1"/>
      <w:marLeft w:val="0"/>
      <w:marRight w:val="0"/>
      <w:marTop w:val="0"/>
      <w:marBottom w:val="0"/>
      <w:divBdr>
        <w:top w:val="none" w:sz="0" w:space="0" w:color="auto"/>
        <w:left w:val="none" w:sz="0" w:space="0" w:color="auto"/>
        <w:bottom w:val="none" w:sz="0" w:space="0" w:color="auto"/>
        <w:right w:val="none" w:sz="0" w:space="0" w:color="auto"/>
      </w:divBdr>
    </w:div>
    <w:div w:id="168252948">
      <w:bodyDiv w:val="1"/>
      <w:marLeft w:val="0"/>
      <w:marRight w:val="0"/>
      <w:marTop w:val="0"/>
      <w:marBottom w:val="0"/>
      <w:divBdr>
        <w:top w:val="none" w:sz="0" w:space="0" w:color="auto"/>
        <w:left w:val="none" w:sz="0" w:space="0" w:color="auto"/>
        <w:bottom w:val="none" w:sz="0" w:space="0" w:color="auto"/>
        <w:right w:val="none" w:sz="0" w:space="0" w:color="auto"/>
      </w:divBdr>
      <w:divsChild>
        <w:div w:id="182017978">
          <w:marLeft w:val="360"/>
          <w:marRight w:val="0"/>
          <w:marTop w:val="0"/>
          <w:marBottom w:val="60"/>
          <w:divBdr>
            <w:top w:val="none" w:sz="0" w:space="0" w:color="auto"/>
            <w:left w:val="none" w:sz="0" w:space="0" w:color="auto"/>
            <w:bottom w:val="none" w:sz="0" w:space="0" w:color="auto"/>
            <w:right w:val="none" w:sz="0" w:space="0" w:color="auto"/>
          </w:divBdr>
        </w:div>
      </w:divsChild>
    </w:div>
    <w:div w:id="169830019">
      <w:bodyDiv w:val="1"/>
      <w:marLeft w:val="0"/>
      <w:marRight w:val="0"/>
      <w:marTop w:val="0"/>
      <w:marBottom w:val="0"/>
      <w:divBdr>
        <w:top w:val="none" w:sz="0" w:space="0" w:color="auto"/>
        <w:left w:val="none" w:sz="0" w:space="0" w:color="auto"/>
        <w:bottom w:val="none" w:sz="0" w:space="0" w:color="auto"/>
        <w:right w:val="none" w:sz="0" w:space="0" w:color="auto"/>
      </w:divBdr>
      <w:divsChild>
        <w:div w:id="1590652496">
          <w:marLeft w:val="360"/>
          <w:marRight w:val="0"/>
          <w:marTop w:val="0"/>
          <w:marBottom w:val="60"/>
          <w:divBdr>
            <w:top w:val="none" w:sz="0" w:space="0" w:color="auto"/>
            <w:left w:val="none" w:sz="0" w:space="0" w:color="auto"/>
            <w:bottom w:val="none" w:sz="0" w:space="0" w:color="auto"/>
            <w:right w:val="none" w:sz="0" w:space="0" w:color="auto"/>
          </w:divBdr>
        </w:div>
      </w:divsChild>
    </w:div>
    <w:div w:id="204485303">
      <w:bodyDiv w:val="1"/>
      <w:marLeft w:val="0"/>
      <w:marRight w:val="0"/>
      <w:marTop w:val="0"/>
      <w:marBottom w:val="0"/>
      <w:divBdr>
        <w:top w:val="none" w:sz="0" w:space="0" w:color="auto"/>
        <w:left w:val="none" w:sz="0" w:space="0" w:color="auto"/>
        <w:bottom w:val="none" w:sz="0" w:space="0" w:color="auto"/>
        <w:right w:val="none" w:sz="0" w:space="0" w:color="auto"/>
      </w:divBdr>
    </w:div>
    <w:div w:id="210462789">
      <w:bodyDiv w:val="1"/>
      <w:marLeft w:val="0"/>
      <w:marRight w:val="0"/>
      <w:marTop w:val="0"/>
      <w:marBottom w:val="0"/>
      <w:divBdr>
        <w:top w:val="none" w:sz="0" w:space="0" w:color="auto"/>
        <w:left w:val="none" w:sz="0" w:space="0" w:color="auto"/>
        <w:bottom w:val="none" w:sz="0" w:space="0" w:color="auto"/>
        <w:right w:val="none" w:sz="0" w:space="0" w:color="auto"/>
      </w:divBdr>
    </w:div>
    <w:div w:id="226034699">
      <w:bodyDiv w:val="1"/>
      <w:marLeft w:val="0"/>
      <w:marRight w:val="0"/>
      <w:marTop w:val="0"/>
      <w:marBottom w:val="0"/>
      <w:divBdr>
        <w:top w:val="none" w:sz="0" w:space="0" w:color="auto"/>
        <w:left w:val="none" w:sz="0" w:space="0" w:color="auto"/>
        <w:bottom w:val="none" w:sz="0" w:space="0" w:color="auto"/>
        <w:right w:val="none" w:sz="0" w:space="0" w:color="auto"/>
      </w:divBdr>
    </w:div>
    <w:div w:id="238760014">
      <w:bodyDiv w:val="1"/>
      <w:marLeft w:val="0"/>
      <w:marRight w:val="0"/>
      <w:marTop w:val="0"/>
      <w:marBottom w:val="0"/>
      <w:divBdr>
        <w:top w:val="none" w:sz="0" w:space="0" w:color="auto"/>
        <w:left w:val="none" w:sz="0" w:space="0" w:color="auto"/>
        <w:bottom w:val="none" w:sz="0" w:space="0" w:color="auto"/>
        <w:right w:val="none" w:sz="0" w:space="0" w:color="auto"/>
      </w:divBdr>
    </w:div>
    <w:div w:id="265578364">
      <w:bodyDiv w:val="1"/>
      <w:marLeft w:val="0"/>
      <w:marRight w:val="0"/>
      <w:marTop w:val="0"/>
      <w:marBottom w:val="0"/>
      <w:divBdr>
        <w:top w:val="none" w:sz="0" w:space="0" w:color="auto"/>
        <w:left w:val="none" w:sz="0" w:space="0" w:color="auto"/>
        <w:bottom w:val="none" w:sz="0" w:space="0" w:color="auto"/>
        <w:right w:val="none" w:sz="0" w:space="0" w:color="auto"/>
      </w:divBdr>
    </w:div>
    <w:div w:id="279189576">
      <w:bodyDiv w:val="1"/>
      <w:marLeft w:val="0"/>
      <w:marRight w:val="0"/>
      <w:marTop w:val="0"/>
      <w:marBottom w:val="0"/>
      <w:divBdr>
        <w:top w:val="none" w:sz="0" w:space="0" w:color="auto"/>
        <w:left w:val="none" w:sz="0" w:space="0" w:color="auto"/>
        <w:bottom w:val="none" w:sz="0" w:space="0" w:color="auto"/>
        <w:right w:val="none" w:sz="0" w:space="0" w:color="auto"/>
      </w:divBdr>
    </w:div>
    <w:div w:id="284119342">
      <w:bodyDiv w:val="1"/>
      <w:marLeft w:val="0"/>
      <w:marRight w:val="0"/>
      <w:marTop w:val="0"/>
      <w:marBottom w:val="0"/>
      <w:divBdr>
        <w:top w:val="none" w:sz="0" w:space="0" w:color="auto"/>
        <w:left w:val="none" w:sz="0" w:space="0" w:color="auto"/>
        <w:bottom w:val="none" w:sz="0" w:space="0" w:color="auto"/>
        <w:right w:val="none" w:sz="0" w:space="0" w:color="auto"/>
      </w:divBdr>
    </w:div>
    <w:div w:id="287590709">
      <w:bodyDiv w:val="1"/>
      <w:marLeft w:val="0"/>
      <w:marRight w:val="0"/>
      <w:marTop w:val="0"/>
      <w:marBottom w:val="0"/>
      <w:divBdr>
        <w:top w:val="none" w:sz="0" w:space="0" w:color="auto"/>
        <w:left w:val="none" w:sz="0" w:space="0" w:color="auto"/>
        <w:bottom w:val="none" w:sz="0" w:space="0" w:color="auto"/>
        <w:right w:val="none" w:sz="0" w:space="0" w:color="auto"/>
      </w:divBdr>
      <w:divsChild>
        <w:div w:id="57674530">
          <w:marLeft w:val="360"/>
          <w:marRight w:val="0"/>
          <w:marTop w:val="0"/>
          <w:marBottom w:val="60"/>
          <w:divBdr>
            <w:top w:val="none" w:sz="0" w:space="0" w:color="auto"/>
            <w:left w:val="none" w:sz="0" w:space="0" w:color="auto"/>
            <w:bottom w:val="none" w:sz="0" w:space="0" w:color="auto"/>
            <w:right w:val="none" w:sz="0" w:space="0" w:color="auto"/>
          </w:divBdr>
        </w:div>
        <w:div w:id="521548672">
          <w:marLeft w:val="360"/>
          <w:marRight w:val="0"/>
          <w:marTop w:val="0"/>
          <w:marBottom w:val="60"/>
          <w:divBdr>
            <w:top w:val="none" w:sz="0" w:space="0" w:color="auto"/>
            <w:left w:val="none" w:sz="0" w:space="0" w:color="auto"/>
            <w:bottom w:val="none" w:sz="0" w:space="0" w:color="auto"/>
            <w:right w:val="none" w:sz="0" w:space="0" w:color="auto"/>
          </w:divBdr>
        </w:div>
      </w:divsChild>
    </w:div>
    <w:div w:id="295723376">
      <w:bodyDiv w:val="1"/>
      <w:marLeft w:val="0"/>
      <w:marRight w:val="0"/>
      <w:marTop w:val="0"/>
      <w:marBottom w:val="0"/>
      <w:divBdr>
        <w:top w:val="none" w:sz="0" w:space="0" w:color="auto"/>
        <w:left w:val="none" w:sz="0" w:space="0" w:color="auto"/>
        <w:bottom w:val="none" w:sz="0" w:space="0" w:color="auto"/>
        <w:right w:val="none" w:sz="0" w:space="0" w:color="auto"/>
      </w:divBdr>
    </w:div>
    <w:div w:id="297810240">
      <w:bodyDiv w:val="1"/>
      <w:marLeft w:val="0"/>
      <w:marRight w:val="0"/>
      <w:marTop w:val="0"/>
      <w:marBottom w:val="0"/>
      <w:divBdr>
        <w:top w:val="none" w:sz="0" w:space="0" w:color="auto"/>
        <w:left w:val="none" w:sz="0" w:space="0" w:color="auto"/>
        <w:bottom w:val="none" w:sz="0" w:space="0" w:color="auto"/>
        <w:right w:val="none" w:sz="0" w:space="0" w:color="auto"/>
      </w:divBdr>
    </w:div>
    <w:div w:id="303391389">
      <w:bodyDiv w:val="1"/>
      <w:marLeft w:val="0"/>
      <w:marRight w:val="0"/>
      <w:marTop w:val="0"/>
      <w:marBottom w:val="0"/>
      <w:divBdr>
        <w:top w:val="none" w:sz="0" w:space="0" w:color="auto"/>
        <w:left w:val="none" w:sz="0" w:space="0" w:color="auto"/>
        <w:bottom w:val="none" w:sz="0" w:space="0" w:color="auto"/>
        <w:right w:val="none" w:sz="0" w:space="0" w:color="auto"/>
      </w:divBdr>
    </w:div>
    <w:div w:id="321785287">
      <w:bodyDiv w:val="1"/>
      <w:marLeft w:val="0"/>
      <w:marRight w:val="0"/>
      <w:marTop w:val="0"/>
      <w:marBottom w:val="0"/>
      <w:divBdr>
        <w:top w:val="none" w:sz="0" w:space="0" w:color="auto"/>
        <w:left w:val="none" w:sz="0" w:space="0" w:color="auto"/>
        <w:bottom w:val="none" w:sz="0" w:space="0" w:color="auto"/>
        <w:right w:val="none" w:sz="0" w:space="0" w:color="auto"/>
      </w:divBdr>
    </w:div>
    <w:div w:id="340161298">
      <w:bodyDiv w:val="1"/>
      <w:marLeft w:val="0"/>
      <w:marRight w:val="0"/>
      <w:marTop w:val="0"/>
      <w:marBottom w:val="0"/>
      <w:divBdr>
        <w:top w:val="none" w:sz="0" w:space="0" w:color="auto"/>
        <w:left w:val="none" w:sz="0" w:space="0" w:color="auto"/>
        <w:bottom w:val="none" w:sz="0" w:space="0" w:color="auto"/>
        <w:right w:val="none" w:sz="0" w:space="0" w:color="auto"/>
      </w:divBdr>
    </w:div>
    <w:div w:id="351421111">
      <w:bodyDiv w:val="1"/>
      <w:marLeft w:val="0"/>
      <w:marRight w:val="0"/>
      <w:marTop w:val="0"/>
      <w:marBottom w:val="0"/>
      <w:divBdr>
        <w:top w:val="none" w:sz="0" w:space="0" w:color="auto"/>
        <w:left w:val="none" w:sz="0" w:space="0" w:color="auto"/>
        <w:bottom w:val="none" w:sz="0" w:space="0" w:color="auto"/>
        <w:right w:val="none" w:sz="0" w:space="0" w:color="auto"/>
      </w:divBdr>
    </w:div>
    <w:div w:id="351611388">
      <w:bodyDiv w:val="1"/>
      <w:marLeft w:val="0"/>
      <w:marRight w:val="0"/>
      <w:marTop w:val="0"/>
      <w:marBottom w:val="0"/>
      <w:divBdr>
        <w:top w:val="none" w:sz="0" w:space="0" w:color="auto"/>
        <w:left w:val="none" w:sz="0" w:space="0" w:color="auto"/>
        <w:bottom w:val="none" w:sz="0" w:space="0" w:color="auto"/>
        <w:right w:val="none" w:sz="0" w:space="0" w:color="auto"/>
      </w:divBdr>
    </w:div>
    <w:div w:id="364604937">
      <w:bodyDiv w:val="1"/>
      <w:marLeft w:val="0"/>
      <w:marRight w:val="0"/>
      <w:marTop w:val="0"/>
      <w:marBottom w:val="0"/>
      <w:divBdr>
        <w:top w:val="none" w:sz="0" w:space="0" w:color="auto"/>
        <w:left w:val="none" w:sz="0" w:space="0" w:color="auto"/>
        <w:bottom w:val="none" w:sz="0" w:space="0" w:color="auto"/>
        <w:right w:val="none" w:sz="0" w:space="0" w:color="auto"/>
      </w:divBdr>
    </w:div>
    <w:div w:id="374737370">
      <w:bodyDiv w:val="1"/>
      <w:marLeft w:val="0"/>
      <w:marRight w:val="0"/>
      <w:marTop w:val="0"/>
      <w:marBottom w:val="0"/>
      <w:divBdr>
        <w:top w:val="none" w:sz="0" w:space="0" w:color="auto"/>
        <w:left w:val="none" w:sz="0" w:space="0" w:color="auto"/>
        <w:bottom w:val="none" w:sz="0" w:space="0" w:color="auto"/>
        <w:right w:val="none" w:sz="0" w:space="0" w:color="auto"/>
      </w:divBdr>
    </w:div>
    <w:div w:id="393508607">
      <w:bodyDiv w:val="1"/>
      <w:marLeft w:val="0"/>
      <w:marRight w:val="0"/>
      <w:marTop w:val="0"/>
      <w:marBottom w:val="0"/>
      <w:divBdr>
        <w:top w:val="none" w:sz="0" w:space="0" w:color="auto"/>
        <w:left w:val="none" w:sz="0" w:space="0" w:color="auto"/>
        <w:bottom w:val="none" w:sz="0" w:space="0" w:color="auto"/>
        <w:right w:val="none" w:sz="0" w:space="0" w:color="auto"/>
      </w:divBdr>
    </w:div>
    <w:div w:id="405684663">
      <w:bodyDiv w:val="1"/>
      <w:marLeft w:val="0"/>
      <w:marRight w:val="0"/>
      <w:marTop w:val="0"/>
      <w:marBottom w:val="0"/>
      <w:divBdr>
        <w:top w:val="none" w:sz="0" w:space="0" w:color="auto"/>
        <w:left w:val="none" w:sz="0" w:space="0" w:color="auto"/>
        <w:bottom w:val="none" w:sz="0" w:space="0" w:color="auto"/>
        <w:right w:val="none" w:sz="0" w:space="0" w:color="auto"/>
      </w:divBdr>
    </w:div>
    <w:div w:id="410080985">
      <w:bodyDiv w:val="1"/>
      <w:marLeft w:val="0"/>
      <w:marRight w:val="0"/>
      <w:marTop w:val="0"/>
      <w:marBottom w:val="0"/>
      <w:divBdr>
        <w:top w:val="none" w:sz="0" w:space="0" w:color="auto"/>
        <w:left w:val="none" w:sz="0" w:space="0" w:color="auto"/>
        <w:bottom w:val="none" w:sz="0" w:space="0" w:color="auto"/>
        <w:right w:val="none" w:sz="0" w:space="0" w:color="auto"/>
      </w:divBdr>
      <w:divsChild>
        <w:div w:id="1007635415">
          <w:marLeft w:val="0"/>
          <w:marRight w:val="0"/>
          <w:marTop w:val="0"/>
          <w:marBottom w:val="0"/>
          <w:divBdr>
            <w:top w:val="none" w:sz="0" w:space="0" w:color="auto"/>
            <w:left w:val="none" w:sz="0" w:space="0" w:color="auto"/>
            <w:bottom w:val="none" w:sz="0" w:space="0" w:color="auto"/>
            <w:right w:val="none" w:sz="0" w:space="0" w:color="auto"/>
          </w:divBdr>
        </w:div>
      </w:divsChild>
    </w:div>
    <w:div w:id="442266534">
      <w:bodyDiv w:val="1"/>
      <w:marLeft w:val="0"/>
      <w:marRight w:val="0"/>
      <w:marTop w:val="0"/>
      <w:marBottom w:val="0"/>
      <w:divBdr>
        <w:top w:val="none" w:sz="0" w:space="0" w:color="auto"/>
        <w:left w:val="none" w:sz="0" w:space="0" w:color="auto"/>
        <w:bottom w:val="none" w:sz="0" w:space="0" w:color="auto"/>
        <w:right w:val="none" w:sz="0" w:space="0" w:color="auto"/>
      </w:divBdr>
    </w:div>
    <w:div w:id="483670406">
      <w:bodyDiv w:val="1"/>
      <w:marLeft w:val="0"/>
      <w:marRight w:val="0"/>
      <w:marTop w:val="0"/>
      <w:marBottom w:val="0"/>
      <w:divBdr>
        <w:top w:val="none" w:sz="0" w:space="0" w:color="auto"/>
        <w:left w:val="none" w:sz="0" w:space="0" w:color="auto"/>
        <w:bottom w:val="none" w:sz="0" w:space="0" w:color="auto"/>
        <w:right w:val="none" w:sz="0" w:space="0" w:color="auto"/>
      </w:divBdr>
    </w:div>
    <w:div w:id="570239873">
      <w:bodyDiv w:val="1"/>
      <w:marLeft w:val="0"/>
      <w:marRight w:val="0"/>
      <w:marTop w:val="0"/>
      <w:marBottom w:val="0"/>
      <w:divBdr>
        <w:top w:val="none" w:sz="0" w:space="0" w:color="auto"/>
        <w:left w:val="none" w:sz="0" w:space="0" w:color="auto"/>
        <w:bottom w:val="none" w:sz="0" w:space="0" w:color="auto"/>
        <w:right w:val="none" w:sz="0" w:space="0" w:color="auto"/>
      </w:divBdr>
    </w:div>
    <w:div w:id="573970309">
      <w:bodyDiv w:val="1"/>
      <w:marLeft w:val="0"/>
      <w:marRight w:val="0"/>
      <w:marTop w:val="0"/>
      <w:marBottom w:val="0"/>
      <w:divBdr>
        <w:top w:val="none" w:sz="0" w:space="0" w:color="auto"/>
        <w:left w:val="none" w:sz="0" w:space="0" w:color="auto"/>
        <w:bottom w:val="none" w:sz="0" w:space="0" w:color="auto"/>
        <w:right w:val="none" w:sz="0" w:space="0" w:color="auto"/>
      </w:divBdr>
    </w:div>
    <w:div w:id="581838311">
      <w:bodyDiv w:val="1"/>
      <w:marLeft w:val="0"/>
      <w:marRight w:val="0"/>
      <w:marTop w:val="0"/>
      <w:marBottom w:val="0"/>
      <w:divBdr>
        <w:top w:val="none" w:sz="0" w:space="0" w:color="auto"/>
        <w:left w:val="none" w:sz="0" w:space="0" w:color="auto"/>
        <w:bottom w:val="none" w:sz="0" w:space="0" w:color="auto"/>
        <w:right w:val="none" w:sz="0" w:space="0" w:color="auto"/>
      </w:divBdr>
    </w:div>
    <w:div w:id="595789768">
      <w:bodyDiv w:val="1"/>
      <w:marLeft w:val="0"/>
      <w:marRight w:val="0"/>
      <w:marTop w:val="0"/>
      <w:marBottom w:val="0"/>
      <w:divBdr>
        <w:top w:val="none" w:sz="0" w:space="0" w:color="auto"/>
        <w:left w:val="none" w:sz="0" w:space="0" w:color="auto"/>
        <w:bottom w:val="none" w:sz="0" w:space="0" w:color="auto"/>
        <w:right w:val="none" w:sz="0" w:space="0" w:color="auto"/>
      </w:divBdr>
    </w:div>
    <w:div w:id="596213421">
      <w:bodyDiv w:val="1"/>
      <w:marLeft w:val="0"/>
      <w:marRight w:val="0"/>
      <w:marTop w:val="0"/>
      <w:marBottom w:val="0"/>
      <w:divBdr>
        <w:top w:val="none" w:sz="0" w:space="0" w:color="auto"/>
        <w:left w:val="none" w:sz="0" w:space="0" w:color="auto"/>
        <w:bottom w:val="none" w:sz="0" w:space="0" w:color="auto"/>
        <w:right w:val="none" w:sz="0" w:space="0" w:color="auto"/>
      </w:divBdr>
    </w:div>
    <w:div w:id="600377750">
      <w:bodyDiv w:val="1"/>
      <w:marLeft w:val="0"/>
      <w:marRight w:val="0"/>
      <w:marTop w:val="0"/>
      <w:marBottom w:val="0"/>
      <w:divBdr>
        <w:top w:val="none" w:sz="0" w:space="0" w:color="auto"/>
        <w:left w:val="none" w:sz="0" w:space="0" w:color="auto"/>
        <w:bottom w:val="none" w:sz="0" w:space="0" w:color="auto"/>
        <w:right w:val="none" w:sz="0" w:space="0" w:color="auto"/>
      </w:divBdr>
    </w:div>
    <w:div w:id="608927152">
      <w:bodyDiv w:val="1"/>
      <w:marLeft w:val="0"/>
      <w:marRight w:val="0"/>
      <w:marTop w:val="0"/>
      <w:marBottom w:val="0"/>
      <w:divBdr>
        <w:top w:val="none" w:sz="0" w:space="0" w:color="auto"/>
        <w:left w:val="none" w:sz="0" w:space="0" w:color="auto"/>
        <w:bottom w:val="none" w:sz="0" w:space="0" w:color="auto"/>
        <w:right w:val="none" w:sz="0" w:space="0" w:color="auto"/>
      </w:divBdr>
    </w:div>
    <w:div w:id="652418492">
      <w:bodyDiv w:val="1"/>
      <w:marLeft w:val="0"/>
      <w:marRight w:val="0"/>
      <w:marTop w:val="0"/>
      <w:marBottom w:val="0"/>
      <w:divBdr>
        <w:top w:val="none" w:sz="0" w:space="0" w:color="auto"/>
        <w:left w:val="none" w:sz="0" w:space="0" w:color="auto"/>
        <w:bottom w:val="none" w:sz="0" w:space="0" w:color="auto"/>
        <w:right w:val="none" w:sz="0" w:space="0" w:color="auto"/>
      </w:divBdr>
    </w:div>
    <w:div w:id="663120349">
      <w:bodyDiv w:val="1"/>
      <w:marLeft w:val="0"/>
      <w:marRight w:val="0"/>
      <w:marTop w:val="0"/>
      <w:marBottom w:val="0"/>
      <w:divBdr>
        <w:top w:val="none" w:sz="0" w:space="0" w:color="auto"/>
        <w:left w:val="none" w:sz="0" w:space="0" w:color="auto"/>
        <w:bottom w:val="none" w:sz="0" w:space="0" w:color="auto"/>
        <w:right w:val="none" w:sz="0" w:space="0" w:color="auto"/>
      </w:divBdr>
    </w:div>
    <w:div w:id="666787323">
      <w:bodyDiv w:val="1"/>
      <w:marLeft w:val="0"/>
      <w:marRight w:val="0"/>
      <w:marTop w:val="0"/>
      <w:marBottom w:val="0"/>
      <w:divBdr>
        <w:top w:val="none" w:sz="0" w:space="0" w:color="auto"/>
        <w:left w:val="none" w:sz="0" w:space="0" w:color="auto"/>
        <w:bottom w:val="none" w:sz="0" w:space="0" w:color="auto"/>
        <w:right w:val="none" w:sz="0" w:space="0" w:color="auto"/>
      </w:divBdr>
    </w:div>
    <w:div w:id="709035680">
      <w:bodyDiv w:val="1"/>
      <w:marLeft w:val="0"/>
      <w:marRight w:val="0"/>
      <w:marTop w:val="0"/>
      <w:marBottom w:val="0"/>
      <w:divBdr>
        <w:top w:val="none" w:sz="0" w:space="0" w:color="auto"/>
        <w:left w:val="none" w:sz="0" w:space="0" w:color="auto"/>
        <w:bottom w:val="none" w:sz="0" w:space="0" w:color="auto"/>
        <w:right w:val="none" w:sz="0" w:space="0" w:color="auto"/>
      </w:divBdr>
    </w:div>
    <w:div w:id="722288728">
      <w:bodyDiv w:val="1"/>
      <w:marLeft w:val="0"/>
      <w:marRight w:val="0"/>
      <w:marTop w:val="0"/>
      <w:marBottom w:val="0"/>
      <w:divBdr>
        <w:top w:val="none" w:sz="0" w:space="0" w:color="auto"/>
        <w:left w:val="none" w:sz="0" w:space="0" w:color="auto"/>
        <w:bottom w:val="none" w:sz="0" w:space="0" w:color="auto"/>
        <w:right w:val="none" w:sz="0" w:space="0" w:color="auto"/>
      </w:divBdr>
    </w:div>
    <w:div w:id="732965235">
      <w:bodyDiv w:val="1"/>
      <w:marLeft w:val="0"/>
      <w:marRight w:val="0"/>
      <w:marTop w:val="0"/>
      <w:marBottom w:val="0"/>
      <w:divBdr>
        <w:top w:val="none" w:sz="0" w:space="0" w:color="auto"/>
        <w:left w:val="none" w:sz="0" w:space="0" w:color="auto"/>
        <w:bottom w:val="none" w:sz="0" w:space="0" w:color="auto"/>
        <w:right w:val="none" w:sz="0" w:space="0" w:color="auto"/>
      </w:divBdr>
      <w:divsChild>
        <w:div w:id="2105297646">
          <w:marLeft w:val="0"/>
          <w:marRight w:val="0"/>
          <w:marTop w:val="0"/>
          <w:marBottom w:val="0"/>
          <w:divBdr>
            <w:top w:val="none" w:sz="0" w:space="0" w:color="auto"/>
            <w:left w:val="none" w:sz="0" w:space="0" w:color="auto"/>
            <w:bottom w:val="none" w:sz="0" w:space="0" w:color="auto"/>
            <w:right w:val="none" w:sz="0" w:space="0" w:color="auto"/>
          </w:divBdr>
        </w:div>
      </w:divsChild>
    </w:div>
    <w:div w:id="774792856">
      <w:bodyDiv w:val="1"/>
      <w:marLeft w:val="0"/>
      <w:marRight w:val="0"/>
      <w:marTop w:val="0"/>
      <w:marBottom w:val="0"/>
      <w:divBdr>
        <w:top w:val="none" w:sz="0" w:space="0" w:color="auto"/>
        <w:left w:val="none" w:sz="0" w:space="0" w:color="auto"/>
        <w:bottom w:val="none" w:sz="0" w:space="0" w:color="auto"/>
        <w:right w:val="none" w:sz="0" w:space="0" w:color="auto"/>
      </w:divBdr>
    </w:div>
    <w:div w:id="827554824">
      <w:bodyDiv w:val="1"/>
      <w:marLeft w:val="0"/>
      <w:marRight w:val="0"/>
      <w:marTop w:val="0"/>
      <w:marBottom w:val="0"/>
      <w:divBdr>
        <w:top w:val="none" w:sz="0" w:space="0" w:color="auto"/>
        <w:left w:val="none" w:sz="0" w:space="0" w:color="auto"/>
        <w:bottom w:val="none" w:sz="0" w:space="0" w:color="auto"/>
        <w:right w:val="none" w:sz="0" w:space="0" w:color="auto"/>
      </w:divBdr>
      <w:divsChild>
        <w:div w:id="171920167">
          <w:marLeft w:val="0"/>
          <w:marRight w:val="0"/>
          <w:marTop w:val="0"/>
          <w:marBottom w:val="0"/>
          <w:divBdr>
            <w:top w:val="none" w:sz="0" w:space="0" w:color="auto"/>
            <w:left w:val="none" w:sz="0" w:space="0" w:color="auto"/>
            <w:bottom w:val="none" w:sz="0" w:space="0" w:color="auto"/>
            <w:right w:val="none" w:sz="0" w:space="0" w:color="auto"/>
          </w:divBdr>
        </w:div>
      </w:divsChild>
    </w:div>
    <w:div w:id="850220207">
      <w:bodyDiv w:val="1"/>
      <w:marLeft w:val="0"/>
      <w:marRight w:val="0"/>
      <w:marTop w:val="0"/>
      <w:marBottom w:val="0"/>
      <w:divBdr>
        <w:top w:val="none" w:sz="0" w:space="0" w:color="auto"/>
        <w:left w:val="none" w:sz="0" w:space="0" w:color="auto"/>
        <w:bottom w:val="none" w:sz="0" w:space="0" w:color="auto"/>
        <w:right w:val="none" w:sz="0" w:space="0" w:color="auto"/>
      </w:divBdr>
    </w:div>
    <w:div w:id="875892528">
      <w:bodyDiv w:val="1"/>
      <w:marLeft w:val="0"/>
      <w:marRight w:val="0"/>
      <w:marTop w:val="0"/>
      <w:marBottom w:val="0"/>
      <w:divBdr>
        <w:top w:val="none" w:sz="0" w:space="0" w:color="auto"/>
        <w:left w:val="none" w:sz="0" w:space="0" w:color="auto"/>
        <w:bottom w:val="none" w:sz="0" w:space="0" w:color="auto"/>
        <w:right w:val="none" w:sz="0" w:space="0" w:color="auto"/>
      </w:divBdr>
    </w:div>
    <w:div w:id="970861799">
      <w:bodyDiv w:val="1"/>
      <w:marLeft w:val="0"/>
      <w:marRight w:val="0"/>
      <w:marTop w:val="0"/>
      <w:marBottom w:val="0"/>
      <w:divBdr>
        <w:top w:val="none" w:sz="0" w:space="0" w:color="auto"/>
        <w:left w:val="none" w:sz="0" w:space="0" w:color="auto"/>
        <w:bottom w:val="none" w:sz="0" w:space="0" w:color="auto"/>
        <w:right w:val="none" w:sz="0" w:space="0" w:color="auto"/>
      </w:divBdr>
      <w:divsChild>
        <w:div w:id="1946419365">
          <w:marLeft w:val="0"/>
          <w:marRight w:val="0"/>
          <w:marTop w:val="0"/>
          <w:marBottom w:val="0"/>
          <w:divBdr>
            <w:top w:val="none" w:sz="0" w:space="0" w:color="auto"/>
            <w:left w:val="none" w:sz="0" w:space="0" w:color="auto"/>
            <w:bottom w:val="none" w:sz="0" w:space="0" w:color="auto"/>
            <w:right w:val="none" w:sz="0" w:space="0" w:color="auto"/>
          </w:divBdr>
        </w:div>
      </w:divsChild>
    </w:div>
    <w:div w:id="998536824">
      <w:bodyDiv w:val="1"/>
      <w:marLeft w:val="0"/>
      <w:marRight w:val="0"/>
      <w:marTop w:val="0"/>
      <w:marBottom w:val="0"/>
      <w:divBdr>
        <w:top w:val="none" w:sz="0" w:space="0" w:color="auto"/>
        <w:left w:val="none" w:sz="0" w:space="0" w:color="auto"/>
        <w:bottom w:val="none" w:sz="0" w:space="0" w:color="auto"/>
        <w:right w:val="none" w:sz="0" w:space="0" w:color="auto"/>
      </w:divBdr>
    </w:div>
    <w:div w:id="1010527088">
      <w:bodyDiv w:val="1"/>
      <w:marLeft w:val="0"/>
      <w:marRight w:val="0"/>
      <w:marTop w:val="0"/>
      <w:marBottom w:val="0"/>
      <w:divBdr>
        <w:top w:val="none" w:sz="0" w:space="0" w:color="auto"/>
        <w:left w:val="none" w:sz="0" w:space="0" w:color="auto"/>
        <w:bottom w:val="none" w:sz="0" w:space="0" w:color="auto"/>
        <w:right w:val="none" w:sz="0" w:space="0" w:color="auto"/>
      </w:divBdr>
    </w:div>
    <w:div w:id="1012679696">
      <w:bodyDiv w:val="1"/>
      <w:marLeft w:val="0"/>
      <w:marRight w:val="0"/>
      <w:marTop w:val="0"/>
      <w:marBottom w:val="0"/>
      <w:divBdr>
        <w:top w:val="none" w:sz="0" w:space="0" w:color="auto"/>
        <w:left w:val="none" w:sz="0" w:space="0" w:color="auto"/>
        <w:bottom w:val="none" w:sz="0" w:space="0" w:color="auto"/>
        <w:right w:val="none" w:sz="0" w:space="0" w:color="auto"/>
      </w:divBdr>
    </w:div>
    <w:div w:id="1045788780">
      <w:bodyDiv w:val="1"/>
      <w:marLeft w:val="0"/>
      <w:marRight w:val="0"/>
      <w:marTop w:val="0"/>
      <w:marBottom w:val="0"/>
      <w:divBdr>
        <w:top w:val="none" w:sz="0" w:space="0" w:color="auto"/>
        <w:left w:val="none" w:sz="0" w:space="0" w:color="auto"/>
        <w:bottom w:val="none" w:sz="0" w:space="0" w:color="auto"/>
        <w:right w:val="none" w:sz="0" w:space="0" w:color="auto"/>
      </w:divBdr>
    </w:div>
    <w:div w:id="1126892997">
      <w:bodyDiv w:val="1"/>
      <w:marLeft w:val="0"/>
      <w:marRight w:val="0"/>
      <w:marTop w:val="0"/>
      <w:marBottom w:val="0"/>
      <w:divBdr>
        <w:top w:val="none" w:sz="0" w:space="0" w:color="auto"/>
        <w:left w:val="none" w:sz="0" w:space="0" w:color="auto"/>
        <w:bottom w:val="none" w:sz="0" w:space="0" w:color="auto"/>
        <w:right w:val="none" w:sz="0" w:space="0" w:color="auto"/>
      </w:divBdr>
    </w:div>
    <w:div w:id="1129395399">
      <w:bodyDiv w:val="1"/>
      <w:marLeft w:val="0"/>
      <w:marRight w:val="0"/>
      <w:marTop w:val="0"/>
      <w:marBottom w:val="0"/>
      <w:divBdr>
        <w:top w:val="none" w:sz="0" w:space="0" w:color="auto"/>
        <w:left w:val="none" w:sz="0" w:space="0" w:color="auto"/>
        <w:bottom w:val="none" w:sz="0" w:space="0" w:color="auto"/>
        <w:right w:val="none" w:sz="0" w:space="0" w:color="auto"/>
      </w:divBdr>
    </w:div>
    <w:div w:id="1156337307">
      <w:bodyDiv w:val="1"/>
      <w:marLeft w:val="0"/>
      <w:marRight w:val="0"/>
      <w:marTop w:val="0"/>
      <w:marBottom w:val="0"/>
      <w:divBdr>
        <w:top w:val="none" w:sz="0" w:space="0" w:color="auto"/>
        <w:left w:val="none" w:sz="0" w:space="0" w:color="auto"/>
        <w:bottom w:val="none" w:sz="0" w:space="0" w:color="auto"/>
        <w:right w:val="none" w:sz="0" w:space="0" w:color="auto"/>
      </w:divBdr>
    </w:div>
    <w:div w:id="1211502105">
      <w:bodyDiv w:val="1"/>
      <w:marLeft w:val="0"/>
      <w:marRight w:val="0"/>
      <w:marTop w:val="0"/>
      <w:marBottom w:val="0"/>
      <w:divBdr>
        <w:top w:val="none" w:sz="0" w:space="0" w:color="auto"/>
        <w:left w:val="none" w:sz="0" w:space="0" w:color="auto"/>
        <w:bottom w:val="none" w:sz="0" w:space="0" w:color="auto"/>
        <w:right w:val="none" w:sz="0" w:space="0" w:color="auto"/>
      </w:divBdr>
    </w:div>
    <w:div w:id="1228145319">
      <w:bodyDiv w:val="1"/>
      <w:marLeft w:val="0"/>
      <w:marRight w:val="0"/>
      <w:marTop w:val="0"/>
      <w:marBottom w:val="0"/>
      <w:divBdr>
        <w:top w:val="none" w:sz="0" w:space="0" w:color="auto"/>
        <w:left w:val="none" w:sz="0" w:space="0" w:color="auto"/>
        <w:bottom w:val="none" w:sz="0" w:space="0" w:color="auto"/>
        <w:right w:val="none" w:sz="0" w:space="0" w:color="auto"/>
      </w:divBdr>
    </w:div>
    <w:div w:id="1262833838">
      <w:bodyDiv w:val="1"/>
      <w:marLeft w:val="0"/>
      <w:marRight w:val="0"/>
      <w:marTop w:val="0"/>
      <w:marBottom w:val="0"/>
      <w:divBdr>
        <w:top w:val="none" w:sz="0" w:space="0" w:color="auto"/>
        <w:left w:val="none" w:sz="0" w:space="0" w:color="auto"/>
        <w:bottom w:val="none" w:sz="0" w:space="0" w:color="auto"/>
        <w:right w:val="none" w:sz="0" w:space="0" w:color="auto"/>
      </w:divBdr>
    </w:div>
    <w:div w:id="1287276350">
      <w:bodyDiv w:val="1"/>
      <w:marLeft w:val="0"/>
      <w:marRight w:val="0"/>
      <w:marTop w:val="0"/>
      <w:marBottom w:val="0"/>
      <w:divBdr>
        <w:top w:val="none" w:sz="0" w:space="0" w:color="auto"/>
        <w:left w:val="none" w:sz="0" w:space="0" w:color="auto"/>
        <w:bottom w:val="none" w:sz="0" w:space="0" w:color="auto"/>
        <w:right w:val="none" w:sz="0" w:space="0" w:color="auto"/>
      </w:divBdr>
    </w:div>
    <w:div w:id="1288047237">
      <w:bodyDiv w:val="1"/>
      <w:marLeft w:val="0"/>
      <w:marRight w:val="0"/>
      <w:marTop w:val="0"/>
      <w:marBottom w:val="0"/>
      <w:divBdr>
        <w:top w:val="none" w:sz="0" w:space="0" w:color="auto"/>
        <w:left w:val="none" w:sz="0" w:space="0" w:color="auto"/>
        <w:bottom w:val="none" w:sz="0" w:space="0" w:color="auto"/>
        <w:right w:val="none" w:sz="0" w:space="0" w:color="auto"/>
      </w:divBdr>
      <w:divsChild>
        <w:div w:id="111679979">
          <w:marLeft w:val="0"/>
          <w:marRight w:val="0"/>
          <w:marTop w:val="0"/>
          <w:marBottom w:val="0"/>
          <w:divBdr>
            <w:top w:val="none" w:sz="0" w:space="0" w:color="auto"/>
            <w:left w:val="none" w:sz="0" w:space="0" w:color="auto"/>
            <w:bottom w:val="none" w:sz="0" w:space="0" w:color="auto"/>
            <w:right w:val="none" w:sz="0" w:space="0" w:color="auto"/>
          </w:divBdr>
        </w:div>
      </w:divsChild>
    </w:div>
    <w:div w:id="1288388856">
      <w:bodyDiv w:val="1"/>
      <w:marLeft w:val="0"/>
      <w:marRight w:val="0"/>
      <w:marTop w:val="0"/>
      <w:marBottom w:val="0"/>
      <w:divBdr>
        <w:top w:val="none" w:sz="0" w:space="0" w:color="auto"/>
        <w:left w:val="none" w:sz="0" w:space="0" w:color="auto"/>
        <w:bottom w:val="none" w:sz="0" w:space="0" w:color="auto"/>
        <w:right w:val="none" w:sz="0" w:space="0" w:color="auto"/>
      </w:divBdr>
    </w:div>
    <w:div w:id="1290404034">
      <w:bodyDiv w:val="1"/>
      <w:marLeft w:val="0"/>
      <w:marRight w:val="0"/>
      <w:marTop w:val="0"/>
      <w:marBottom w:val="0"/>
      <w:divBdr>
        <w:top w:val="none" w:sz="0" w:space="0" w:color="auto"/>
        <w:left w:val="none" w:sz="0" w:space="0" w:color="auto"/>
        <w:bottom w:val="none" w:sz="0" w:space="0" w:color="auto"/>
        <w:right w:val="none" w:sz="0" w:space="0" w:color="auto"/>
      </w:divBdr>
    </w:div>
    <w:div w:id="1315720598">
      <w:bodyDiv w:val="1"/>
      <w:marLeft w:val="0"/>
      <w:marRight w:val="0"/>
      <w:marTop w:val="0"/>
      <w:marBottom w:val="0"/>
      <w:divBdr>
        <w:top w:val="none" w:sz="0" w:space="0" w:color="auto"/>
        <w:left w:val="none" w:sz="0" w:space="0" w:color="auto"/>
        <w:bottom w:val="none" w:sz="0" w:space="0" w:color="auto"/>
        <w:right w:val="none" w:sz="0" w:space="0" w:color="auto"/>
      </w:divBdr>
    </w:div>
    <w:div w:id="1318191764">
      <w:bodyDiv w:val="1"/>
      <w:marLeft w:val="0"/>
      <w:marRight w:val="0"/>
      <w:marTop w:val="0"/>
      <w:marBottom w:val="0"/>
      <w:divBdr>
        <w:top w:val="none" w:sz="0" w:space="0" w:color="auto"/>
        <w:left w:val="none" w:sz="0" w:space="0" w:color="auto"/>
        <w:bottom w:val="none" w:sz="0" w:space="0" w:color="auto"/>
        <w:right w:val="none" w:sz="0" w:space="0" w:color="auto"/>
      </w:divBdr>
    </w:div>
    <w:div w:id="1355961662">
      <w:bodyDiv w:val="1"/>
      <w:marLeft w:val="0"/>
      <w:marRight w:val="0"/>
      <w:marTop w:val="0"/>
      <w:marBottom w:val="0"/>
      <w:divBdr>
        <w:top w:val="none" w:sz="0" w:space="0" w:color="auto"/>
        <w:left w:val="none" w:sz="0" w:space="0" w:color="auto"/>
        <w:bottom w:val="none" w:sz="0" w:space="0" w:color="auto"/>
        <w:right w:val="none" w:sz="0" w:space="0" w:color="auto"/>
      </w:divBdr>
    </w:div>
    <w:div w:id="1388214577">
      <w:bodyDiv w:val="1"/>
      <w:marLeft w:val="0"/>
      <w:marRight w:val="0"/>
      <w:marTop w:val="0"/>
      <w:marBottom w:val="0"/>
      <w:divBdr>
        <w:top w:val="none" w:sz="0" w:space="0" w:color="auto"/>
        <w:left w:val="none" w:sz="0" w:space="0" w:color="auto"/>
        <w:bottom w:val="none" w:sz="0" w:space="0" w:color="auto"/>
        <w:right w:val="none" w:sz="0" w:space="0" w:color="auto"/>
      </w:divBdr>
      <w:divsChild>
        <w:div w:id="859125399">
          <w:marLeft w:val="0"/>
          <w:marRight w:val="0"/>
          <w:marTop w:val="0"/>
          <w:marBottom w:val="0"/>
          <w:divBdr>
            <w:top w:val="none" w:sz="0" w:space="0" w:color="auto"/>
            <w:left w:val="none" w:sz="0" w:space="0" w:color="auto"/>
            <w:bottom w:val="none" w:sz="0" w:space="0" w:color="auto"/>
            <w:right w:val="none" w:sz="0" w:space="0" w:color="auto"/>
          </w:divBdr>
        </w:div>
      </w:divsChild>
    </w:div>
    <w:div w:id="1394163210">
      <w:bodyDiv w:val="1"/>
      <w:marLeft w:val="0"/>
      <w:marRight w:val="0"/>
      <w:marTop w:val="0"/>
      <w:marBottom w:val="0"/>
      <w:divBdr>
        <w:top w:val="none" w:sz="0" w:space="0" w:color="auto"/>
        <w:left w:val="none" w:sz="0" w:space="0" w:color="auto"/>
        <w:bottom w:val="none" w:sz="0" w:space="0" w:color="auto"/>
        <w:right w:val="none" w:sz="0" w:space="0" w:color="auto"/>
      </w:divBdr>
    </w:div>
    <w:div w:id="1417903898">
      <w:bodyDiv w:val="1"/>
      <w:marLeft w:val="0"/>
      <w:marRight w:val="0"/>
      <w:marTop w:val="0"/>
      <w:marBottom w:val="0"/>
      <w:divBdr>
        <w:top w:val="none" w:sz="0" w:space="0" w:color="auto"/>
        <w:left w:val="none" w:sz="0" w:space="0" w:color="auto"/>
        <w:bottom w:val="none" w:sz="0" w:space="0" w:color="auto"/>
        <w:right w:val="none" w:sz="0" w:space="0" w:color="auto"/>
      </w:divBdr>
    </w:div>
    <w:div w:id="1450775992">
      <w:bodyDiv w:val="1"/>
      <w:marLeft w:val="0"/>
      <w:marRight w:val="0"/>
      <w:marTop w:val="0"/>
      <w:marBottom w:val="0"/>
      <w:divBdr>
        <w:top w:val="none" w:sz="0" w:space="0" w:color="auto"/>
        <w:left w:val="none" w:sz="0" w:space="0" w:color="auto"/>
        <w:bottom w:val="none" w:sz="0" w:space="0" w:color="auto"/>
        <w:right w:val="none" w:sz="0" w:space="0" w:color="auto"/>
      </w:divBdr>
    </w:div>
    <w:div w:id="1474521589">
      <w:bodyDiv w:val="1"/>
      <w:marLeft w:val="0"/>
      <w:marRight w:val="0"/>
      <w:marTop w:val="0"/>
      <w:marBottom w:val="0"/>
      <w:divBdr>
        <w:top w:val="none" w:sz="0" w:space="0" w:color="auto"/>
        <w:left w:val="none" w:sz="0" w:space="0" w:color="auto"/>
        <w:bottom w:val="none" w:sz="0" w:space="0" w:color="auto"/>
        <w:right w:val="none" w:sz="0" w:space="0" w:color="auto"/>
      </w:divBdr>
    </w:div>
    <w:div w:id="1474709656">
      <w:bodyDiv w:val="1"/>
      <w:marLeft w:val="0"/>
      <w:marRight w:val="0"/>
      <w:marTop w:val="0"/>
      <w:marBottom w:val="0"/>
      <w:divBdr>
        <w:top w:val="none" w:sz="0" w:space="0" w:color="auto"/>
        <w:left w:val="none" w:sz="0" w:space="0" w:color="auto"/>
        <w:bottom w:val="none" w:sz="0" w:space="0" w:color="auto"/>
        <w:right w:val="none" w:sz="0" w:space="0" w:color="auto"/>
      </w:divBdr>
    </w:div>
    <w:div w:id="1500196879">
      <w:bodyDiv w:val="1"/>
      <w:marLeft w:val="0"/>
      <w:marRight w:val="0"/>
      <w:marTop w:val="0"/>
      <w:marBottom w:val="0"/>
      <w:divBdr>
        <w:top w:val="none" w:sz="0" w:space="0" w:color="auto"/>
        <w:left w:val="none" w:sz="0" w:space="0" w:color="auto"/>
        <w:bottom w:val="none" w:sz="0" w:space="0" w:color="auto"/>
        <w:right w:val="none" w:sz="0" w:space="0" w:color="auto"/>
      </w:divBdr>
    </w:div>
    <w:div w:id="1569226456">
      <w:bodyDiv w:val="1"/>
      <w:marLeft w:val="0"/>
      <w:marRight w:val="0"/>
      <w:marTop w:val="0"/>
      <w:marBottom w:val="0"/>
      <w:divBdr>
        <w:top w:val="none" w:sz="0" w:space="0" w:color="auto"/>
        <w:left w:val="none" w:sz="0" w:space="0" w:color="auto"/>
        <w:bottom w:val="none" w:sz="0" w:space="0" w:color="auto"/>
        <w:right w:val="none" w:sz="0" w:space="0" w:color="auto"/>
      </w:divBdr>
    </w:div>
    <w:div w:id="1614945569">
      <w:bodyDiv w:val="1"/>
      <w:marLeft w:val="0"/>
      <w:marRight w:val="0"/>
      <w:marTop w:val="0"/>
      <w:marBottom w:val="0"/>
      <w:divBdr>
        <w:top w:val="none" w:sz="0" w:space="0" w:color="auto"/>
        <w:left w:val="none" w:sz="0" w:space="0" w:color="auto"/>
        <w:bottom w:val="none" w:sz="0" w:space="0" w:color="auto"/>
        <w:right w:val="none" w:sz="0" w:space="0" w:color="auto"/>
      </w:divBdr>
    </w:div>
    <w:div w:id="1638023686">
      <w:bodyDiv w:val="1"/>
      <w:marLeft w:val="0"/>
      <w:marRight w:val="0"/>
      <w:marTop w:val="0"/>
      <w:marBottom w:val="0"/>
      <w:divBdr>
        <w:top w:val="none" w:sz="0" w:space="0" w:color="auto"/>
        <w:left w:val="none" w:sz="0" w:space="0" w:color="auto"/>
        <w:bottom w:val="none" w:sz="0" w:space="0" w:color="auto"/>
        <w:right w:val="none" w:sz="0" w:space="0" w:color="auto"/>
      </w:divBdr>
    </w:div>
    <w:div w:id="1648700522">
      <w:bodyDiv w:val="1"/>
      <w:marLeft w:val="0"/>
      <w:marRight w:val="0"/>
      <w:marTop w:val="0"/>
      <w:marBottom w:val="0"/>
      <w:divBdr>
        <w:top w:val="none" w:sz="0" w:space="0" w:color="auto"/>
        <w:left w:val="none" w:sz="0" w:space="0" w:color="auto"/>
        <w:bottom w:val="none" w:sz="0" w:space="0" w:color="auto"/>
        <w:right w:val="none" w:sz="0" w:space="0" w:color="auto"/>
      </w:divBdr>
      <w:divsChild>
        <w:div w:id="1124738870">
          <w:marLeft w:val="0"/>
          <w:marRight w:val="0"/>
          <w:marTop w:val="0"/>
          <w:marBottom w:val="0"/>
          <w:divBdr>
            <w:top w:val="none" w:sz="0" w:space="0" w:color="auto"/>
            <w:left w:val="none" w:sz="0" w:space="0" w:color="auto"/>
            <w:bottom w:val="none" w:sz="0" w:space="0" w:color="auto"/>
            <w:right w:val="none" w:sz="0" w:space="0" w:color="auto"/>
          </w:divBdr>
        </w:div>
      </w:divsChild>
    </w:div>
    <w:div w:id="1660497559">
      <w:bodyDiv w:val="1"/>
      <w:marLeft w:val="0"/>
      <w:marRight w:val="0"/>
      <w:marTop w:val="0"/>
      <w:marBottom w:val="0"/>
      <w:divBdr>
        <w:top w:val="none" w:sz="0" w:space="0" w:color="auto"/>
        <w:left w:val="none" w:sz="0" w:space="0" w:color="auto"/>
        <w:bottom w:val="none" w:sz="0" w:space="0" w:color="auto"/>
        <w:right w:val="none" w:sz="0" w:space="0" w:color="auto"/>
      </w:divBdr>
    </w:div>
    <w:div w:id="1660814679">
      <w:bodyDiv w:val="1"/>
      <w:marLeft w:val="0"/>
      <w:marRight w:val="0"/>
      <w:marTop w:val="0"/>
      <w:marBottom w:val="0"/>
      <w:divBdr>
        <w:top w:val="none" w:sz="0" w:space="0" w:color="auto"/>
        <w:left w:val="none" w:sz="0" w:space="0" w:color="auto"/>
        <w:bottom w:val="none" w:sz="0" w:space="0" w:color="auto"/>
        <w:right w:val="none" w:sz="0" w:space="0" w:color="auto"/>
      </w:divBdr>
    </w:div>
    <w:div w:id="1669216219">
      <w:bodyDiv w:val="1"/>
      <w:marLeft w:val="0"/>
      <w:marRight w:val="0"/>
      <w:marTop w:val="0"/>
      <w:marBottom w:val="0"/>
      <w:divBdr>
        <w:top w:val="none" w:sz="0" w:space="0" w:color="auto"/>
        <w:left w:val="none" w:sz="0" w:space="0" w:color="auto"/>
        <w:bottom w:val="none" w:sz="0" w:space="0" w:color="auto"/>
        <w:right w:val="none" w:sz="0" w:space="0" w:color="auto"/>
      </w:divBdr>
    </w:div>
    <w:div w:id="1672757176">
      <w:bodyDiv w:val="1"/>
      <w:marLeft w:val="0"/>
      <w:marRight w:val="0"/>
      <w:marTop w:val="0"/>
      <w:marBottom w:val="0"/>
      <w:divBdr>
        <w:top w:val="none" w:sz="0" w:space="0" w:color="auto"/>
        <w:left w:val="none" w:sz="0" w:space="0" w:color="auto"/>
        <w:bottom w:val="none" w:sz="0" w:space="0" w:color="auto"/>
        <w:right w:val="none" w:sz="0" w:space="0" w:color="auto"/>
      </w:divBdr>
    </w:div>
    <w:div w:id="1675500195">
      <w:bodyDiv w:val="1"/>
      <w:marLeft w:val="0"/>
      <w:marRight w:val="0"/>
      <w:marTop w:val="0"/>
      <w:marBottom w:val="0"/>
      <w:divBdr>
        <w:top w:val="none" w:sz="0" w:space="0" w:color="auto"/>
        <w:left w:val="none" w:sz="0" w:space="0" w:color="auto"/>
        <w:bottom w:val="none" w:sz="0" w:space="0" w:color="auto"/>
        <w:right w:val="none" w:sz="0" w:space="0" w:color="auto"/>
      </w:divBdr>
    </w:div>
    <w:div w:id="1688209580">
      <w:bodyDiv w:val="1"/>
      <w:marLeft w:val="0"/>
      <w:marRight w:val="0"/>
      <w:marTop w:val="0"/>
      <w:marBottom w:val="0"/>
      <w:divBdr>
        <w:top w:val="none" w:sz="0" w:space="0" w:color="auto"/>
        <w:left w:val="none" w:sz="0" w:space="0" w:color="auto"/>
        <w:bottom w:val="none" w:sz="0" w:space="0" w:color="auto"/>
        <w:right w:val="none" w:sz="0" w:space="0" w:color="auto"/>
      </w:divBdr>
    </w:div>
    <w:div w:id="1706326875">
      <w:bodyDiv w:val="1"/>
      <w:marLeft w:val="0"/>
      <w:marRight w:val="0"/>
      <w:marTop w:val="0"/>
      <w:marBottom w:val="0"/>
      <w:divBdr>
        <w:top w:val="none" w:sz="0" w:space="0" w:color="auto"/>
        <w:left w:val="none" w:sz="0" w:space="0" w:color="auto"/>
        <w:bottom w:val="none" w:sz="0" w:space="0" w:color="auto"/>
        <w:right w:val="none" w:sz="0" w:space="0" w:color="auto"/>
      </w:divBdr>
    </w:div>
    <w:div w:id="1709911429">
      <w:bodyDiv w:val="1"/>
      <w:marLeft w:val="0"/>
      <w:marRight w:val="0"/>
      <w:marTop w:val="0"/>
      <w:marBottom w:val="0"/>
      <w:divBdr>
        <w:top w:val="none" w:sz="0" w:space="0" w:color="auto"/>
        <w:left w:val="none" w:sz="0" w:space="0" w:color="auto"/>
        <w:bottom w:val="none" w:sz="0" w:space="0" w:color="auto"/>
        <w:right w:val="none" w:sz="0" w:space="0" w:color="auto"/>
      </w:divBdr>
    </w:div>
    <w:div w:id="1714118258">
      <w:bodyDiv w:val="1"/>
      <w:marLeft w:val="0"/>
      <w:marRight w:val="0"/>
      <w:marTop w:val="0"/>
      <w:marBottom w:val="0"/>
      <w:divBdr>
        <w:top w:val="none" w:sz="0" w:space="0" w:color="auto"/>
        <w:left w:val="none" w:sz="0" w:space="0" w:color="auto"/>
        <w:bottom w:val="none" w:sz="0" w:space="0" w:color="auto"/>
        <w:right w:val="none" w:sz="0" w:space="0" w:color="auto"/>
      </w:divBdr>
    </w:div>
    <w:div w:id="1714383707">
      <w:bodyDiv w:val="1"/>
      <w:marLeft w:val="0"/>
      <w:marRight w:val="0"/>
      <w:marTop w:val="0"/>
      <w:marBottom w:val="0"/>
      <w:divBdr>
        <w:top w:val="none" w:sz="0" w:space="0" w:color="auto"/>
        <w:left w:val="none" w:sz="0" w:space="0" w:color="auto"/>
        <w:bottom w:val="none" w:sz="0" w:space="0" w:color="auto"/>
        <w:right w:val="none" w:sz="0" w:space="0" w:color="auto"/>
      </w:divBdr>
    </w:div>
    <w:div w:id="1723677598">
      <w:bodyDiv w:val="1"/>
      <w:marLeft w:val="0"/>
      <w:marRight w:val="0"/>
      <w:marTop w:val="0"/>
      <w:marBottom w:val="0"/>
      <w:divBdr>
        <w:top w:val="none" w:sz="0" w:space="0" w:color="auto"/>
        <w:left w:val="none" w:sz="0" w:space="0" w:color="auto"/>
        <w:bottom w:val="none" w:sz="0" w:space="0" w:color="auto"/>
        <w:right w:val="none" w:sz="0" w:space="0" w:color="auto"/>
      </w:divBdr>
    </w:div>
    <w:div w:id="1762096944">
      <w:bodyDiv w:val="1"/>
      <w:marLeft w:val="0"/>
      <w:marRight w:val="0"/>
      <w:marTop w:val="0"/>
      <w:marBottom w:val="0"/>
      <w:divBdr>
        <w:top w:val="none" w:sz="0" w:space="0" w:color="auto"/>
        <w:left w:val="none" w:sz="0" w:space="0" w:color="auto"/>
        <w:bottom w:val="none" w:sz="0" w:space="0" w:color="auto"/>
        <w:right w:val="none" w:sz="0" w:space="0" w:color="auto"/>
      </w:divBdr>
    </w:div>
    <w:div w:id="1765687436">
      <w:bodyDiv w:val="1"/>
      <w:marLeft w:val="0"/>
      <w:marRight w:val="0"/>
      <w:marTop w:val="0"/>
      <w:marBottom w:val="0"/>
      <w:divBdr>
        <w:top w:val="none" w:sz="0" w:space="0" w:color="auto"/>
        <w:left w:val="none" w:sz="0" w:space="0" w:color="auto"/>
        <w:bottom w:val="none" w:sz="0" w:space="0" w:color="auto"/>
        <w:right w:val="none" w:sz="0" w:space="0" w:color="auto"/>
      </w:divBdr>
    </w:div>
    <w:div w:id="1775784287">
      <w:bodyDiv w:val="1"/>
      <w:marLeft w:val="0"/>
      <w:marRight w:val="0"/>
      <w:marTop w:val="0"/>
      <w:marBottom w:val="0"/>
      <w:divBdr>
        <w:top w:val="none" w:sz="0" w:space="0" w:color="auto"/>
        <w:left w:val="none" w:sz="0" w:space="0" w:color="auto"/>
        <w:bottom w:val="none" w:sz="0" w:space="0" w:color="auto"/>
        <w:right w:val="none" w:sz="0" w:space="0" w:color="auto"/>
      </w:divBdr>
    </w:div>
    <w:div w:id="1785075376">
      <w:bodyDiv w:val="1"/>
      <w:marLeft w:val="0"/>
      <w:marRight w:val="0"/>
      <w:marTop w:val="0"/>
      <w:marBottom w:val="0"/>
      <w:divBdr>
        <w:top w:val="none" w:sz="0" w:space="0" w:color="auto"/>
        <w:left w:val="none" w:sz="0" w:space="0" w:color="auto"/>
        <w:bottom w:val="none" w:sz="0" w:space="0" w:color="auto"/>
        <w:right w:val="none" w:sz="0" w:space="0" w:color="auto"/>
      </w:divBdr>
    </w:div>
    <w:div w:id="1798600179">
      <w:bodyDiv w:val="1"/>
      <w:marLeft w:val="0"/>
      <w:marRight w:val="0"/>
      <w:marTop w:val="0"/>
      <w:marBottom w:val="0"/>
      <w:divBdr>
        <w:top w:val="none" w:sz="0" w:space="0" w:color="auto"/>
        <w:left w:val="none" w:sz="0" w:space="0" w:color="auto"/>
        <w:bottom w:val="none" w:sz="0" w:space="0" w:color="auto"/>
        <w:right w:val="none" w:sz="0" w:space="0" w:color="auto"/>
      </w:divBdr>
    </w:div>
    <w:div w:id="1836649100">
      <w:bodyDiv w:val="1"/>
      <w:marLeft w:val="0"/>
      <w:marRight w:val="0"/>
      <w:marTop w:val="0"/>
      <w:marBottom w:val="0"/>
      <w:divBdr>
        <w:top w:val="none" w:sz="0" w:space="0" w:color="auto"/>
        <w:left w:val="none" w:sz="0" w:space="0" w:color="auto"/>
        <w:bottom w:val="none" w:sz="0" w:space="0" w:color="auto"/>
        <w:right w:val="none" w:sz="0" w:space="0" w:color="auto"/>
      </w:divBdr>
    </w:div>
    <w:div w:id="1839616128">
      <w:bodyDiv w:val="1"/>
      <w:marLeft w:val="0"/>
      <w:marRight w:val="0"/>
      <w:marTop w:val="0"/>
      <w:marBottom w:val="0"/>
      <w:divBdr>
        <w:top w:val="none" w:sz="0" w:space="0" w:color="auto"/>
        <w:left w:val="none" w:sz="0" w:space="0" w:color="auto"/>
        <w:bottom w:val="none" w:sz="0" w:space="0" w:color="auto"/>
        <w:right w:val="none" w:sz="0" w:space="0" w:color="auto"/>
      </w:divBdr>
    </w:div>
    <w:div w:id="1840806679">
      <w:bodyDiv w:val="1"/>
      <w:marLeft w:val="0"/>
      <w:marRight w:val="0"/>
      <w:marTop w:val="0"/>
      <w:marBottom w:val="0"/>
      <w:divBdr>
        <w:top w:val="none" w:sz="0" w:space="0" w:color="auto"/>
        <w:left w:val="none" w:sz="0" w:space="0" w:color="auto"/>
        <w:bottom w:val="none" w:sz="0" w:space="0" w:color="auto"/>
        <w:right w:val="none" w:sz="0" w:space="0" w:color="auto"/>
      </w:divBdr>
    </w:div>
    <w:div w:id="1842045491">
      <w:bodyDiv w:val="1"/>
      <w:marLeft w:val="0"/>
      <w:marRight w:val="0"/>
      <w:marTop w:val="0"/>
      <w:marBottom w:val="0"/>
      <w:divBdr>
        <w:top w:val="none" w:sz="0" w:space="0" w:color="auto"/>
        <w:left w:val="none" w:sz="0" w:space="0" w:color="auto"/>
        <w:bottom w:val="none" w:sz="0" w:space="0" w:color="auto"/>
        <w:right w:val="none" w:sz="0" w:space="0" w:color="auto"/>
      </w:divBdr>
    </w:div>
    <w:div w:id="1861240334">
      <w:bodyDiv w:val="1"/>
      <w:marLeft w:val="0"/>
      <w:marRight w:val="0"/>
      <w:marTop w:val="0"/>
      <w:marBottom w:val="0"/>
      <w:divBdr>
        <w:top w:val="none" w:sz="0" w:space="0" w:color="auto"/>
        <w:left w:val="none" w:sz="0" w:space="0" w:color="auto"/>
        <w:bottom w:val="none" w:sz="0" w:space="0" w:color="auto"/>
        <w:right w:val="none" w:sz="0" w:space="0" w:color="auto"/>
      </w:divBdr>
    </w:div>
    <w:div w:id="1883394417">
      <w:bodyDiv w:val="1"/>
      <w:marLeft w:val="0"/>
      <w:marRight w:val="0"/>
      <w:marTop w:val="0"/>
      <w:marBottom w:val="0"/>
      <w:divBdr>
        <w:top w:val="none" w:sz="0" w:space="0" w:color="auto"/>
        <w:left w:val="none" w:sz="0" w:space="0" w:color="auto"/>
        <w:bottom w:val="none" w:sz="0" w:space="0" w:color="auto"/>
        <w:right w:val="none" w:sz="0" w:space="0" w:color="auto"/>
      </w:divBdr>
    </w:div>
    <w:div w:id="1894197801">
      <w:bodyDiv w:val="1"/>
      <w:marLeft w:val="0"/>
      <w:marRight w:val="0"/>
      <w:marTop w:val="0"/>
      <w:marBottom w:val="0"/>
      <w:divBdr>
        <w:top w:val="none" w:sz="0" w:space="0" w:color="auto"/>
        <w:left w:val="none" w:sz="0" w:space="0" w:color="auto"/>
        <w:bottom w:val="none" w:sz="0" w:space="0" w:color="auto"/>
        <w:right w:val="none" w:sz="0" w:space="0" w:color="auto"/>
      </w:divBdr>
    </w:div>
    <w:div w:id="1908613594">
      <w:bodyDiv w:val="1"/>
      <w:marLeft w:val="0"/>
      <w:marRight w:val="0"/>
      <w:marTop w:val="0"/>
      <w:marBottom w:val="0"/>
      <w:divBdr>
        <w:top w:val="none" w:sz="0" w:space="0" w:color="auto"/>
        <w:left w:val="none" w:sz="0" w:space="0" w:color="auto"/>
        <w:bottom w:val="none" w:sz="0" w:space="0" w:color="auto"/>
        <w:right w:val="none" w:sz="0" w:space="0" w:color="auto"/>
      </w:divBdr>
    </w:div>
    <w:div w:id="1916931386">
      <w:bodyDiv w:val="1"/>
      <w:marLeft w:val="0"/>
      <w:marRight w:val="0"/>
      <w:marTop w:val="0"/>
      <w:marBottom w:val="0"/>
      <w:divBdr>
        <w:top w:val="none" w:sz="0" w:space="0" w:color="auto"/>
        <w:left w:val="none" w:sz="0" w:space="0" w:color="auto"/>
        <w:bottom w:val="none" w:sz="0" w:space="0" w:color="auto"/>
        <w:right w:val="none" w:sz="0" w:space="0" w:color="auto"/>
      </w:divBdr>
    </w:div>
    <w:div w:id="1937863252">
      <w:bodyDiv w:val="1"/>
      <w:marLeft w:val="0"/>
      <w:marRight w:val="0"/>
      <w:marTop w:val="0"/>
      <w:marBottom w:val="0"/>
      <w:divBdr>
        <w:top w:val="none" w:sz="0" w:space="0" w:color="auto"/>
        <w:left w:val="none" w:sz="0" w:space="0" w:color="auto"/>
        <w:bottom w:val="none" w:sz="0" w:space="0" w:color="auto"/>
        <w:right w:val="none" w:sz="0" w:space="0" w:color="auto"/>
      </w:divBdr>
    </w:div>
    <w:div w:id="2019233640">
      <w:bodyDiv w:val="1"/>
      <w:marLeft w:val="0"/>
      <w:marRight w:val="0"/>
      <w:marTop w:val="0"/>
      <w:marBottom w:val="0"/>
      <w:divBdr>
        <w:top w:val="none" w:sz="0" w:space="0" w:color="auto"/>
        <w:left w:val="none" w:sz="0" w:space="0" w:color="auto"/>
        <w:bottom w:val="none" w:sz="0" w:space="0" w:color="auto"/>
        <w:right w:val="none" w:sz="0" w:space="0" w:color="auto"/>
      </w:divBdr>
    </w:div>
    <w:div w:id="2024090852">
      <w:bodyDiv w:val="1"/>
      <w:marLeft w:val="0"/>
      <w:marRight w:val="0"/>
      <w:marTop w:val="0"/>
      <w:marBottom w:val="0"/>
      <w:divBdr>
        <w:top w:val="none" w:sz="0" w:space="0" w:color="auto"/>
        <w:left w:val="none" w:sz="0" w:space="0" w:color="auto"/>
        <w:bottom w:val="none" w:sz="0" w:space="0" w:color="auto"/>
        <w:right w:val="none" w:sz="0" w:space="0" w:color="auto"/>
      </w:divBdr>
    </w:div>
    <w:div w:id="2034918745">
      <w:bodyDiv w:val="1"/>
      <w:marLeft w:val="0"/>
      <w:marRight w:val="0"/>
      <w:marTop w:val="0"/>
      <w:marBottom w:val="0"/>
      <w:divBdr>
        <w:top w:val="none" w:sz="0" w:space="0" w:color="auto"/>
        <w:left w:val="none" w:sz="0" w:space="0" w:color="auto"/>
        <w:bottom w:val="none" w:sz="0" w:space="0" w:color="auto"/>
        <w:right w:val="none" w:sz="0" w:space="0" w:color="auto"/>
      </w:divBdr>
    </w:div>
    <w:div w:id="2045592944">
      <w:bodyDiv w:val="1"/>
      <w:marLeft w:val="0"/>
      <w:marRight w:val="0"/>
      <w:marTop w:val="0"/>
      <w:marBottom w:val="0"/>
      <w:divBdr>
        <w:top w:val="none" w:sz="0" w:space="0" w:color="auto"/>
        <w:left w:val="none" w:sz="0" w:space="0" w:color="auto"/>
        <w:bottom w:val="none" w:sz="0" w:space="0" w:color="auto"/>
        <w:right w:val="none" w:sz="0" w:space="0" w:color="auto"/>
      </w:divBdr>
    </w:div>
    <w:div w:id="2065176386">
      <w:bodyDiv w:val="1"/>
      <w:marLeft w:val="0"/>
      <w:marRight w:val="0"/>
      <w:marTop w:val="0"/>
      <w:marBottom w:val="0"/>
      <w:divBdr>
        <w:top w:val="none" w:sz="0" w:space="0" w:color="auto"/>
        <w:left w:val="none" w:sz="0" w:space="0" w:color="auto"/>
        <w:bottom w:val="none" w:sz="0" w:space="0" w:color="auto"/>
        <w:right w:val="none" w:sz="0" w:space="0" w:color="auto"/>
      </w:divBdr>
    </w:div>
    <w:div w:id="2086297183">
      <w:bodyDiv w:val="1"/>
      <w:marLeft w:val="0"/>
      <w:marRight w:val="0"/>
      <w:marTop w:val="0"/>
      <w:marBottom w:val="0"/>
      <w:divBdr>
        <w:top w:val="none" w:sz="0" w:space="0" w:color="auto"/>
        <w:left w:val="none" w:sz="0" w:space="0" w:color="auto"/>
        <w:bottom w:val="none" w:sz="0" w:space="0" w:color="auto"/>
        <w:right w:val="none" w:sz="0" w:space="0" w:color="auto"/>
      </w:divBdr>
    </w:div>
    <w:div w:id="2090495717">
      <w:bodyDiv w:val="1"/>
      <w:marLeft w:val="0"/>
      <w:marRight w:val="0"/>
      <w:marTop w:val="0"/>
      <w:marBottom w:val="0"/>
      <w:divBdr>
        <w:top w:val="none" w:sz="0" w:space="0" w:color="auto"/>
        <w:left w:val="none" w:sz="0" w:space="0" w:color="auto"/>
        <w:bottom w:val="none" w:sz="0" w:space="0" w:color="auto"/>
        <w:right w:val="none" w:sz="0" w:space="0" w:color="auto"/>
      </w:divBdr>
    </w:div>
    <w:div w:id="2107459495">
      <w:bodyDiv w:val="1"/>
      <w:marLeft w:val="0"/>
      <w:marRight w:val="0"/>
      <w:marTop w:val="0"/>
      <w:marBottom w:val="0"/>
      <w:divBdr>
        <w:top w:val="none" w:sz="0" w:space="0" w:color="auto"/>
        <w:left w:val="none" w:sz="0" w:space="0" w:color="auto"/>
        <w:bottom w:val="none" w:sz="0" w:space="0" w:color="auto"/>
        <w:right w:val="none" w:sz="0" w:space="0" w:color="auto"/>
      </w:divBdr>
    </w:div>
    <w:div w:id="2110422544">
      <w:bodyDiv w:val="1"/>
      <w:marLeft w:val="0"/>
      <w:marRight w:val="0"/>
      <w:marTop w:val="0"/>
      <w:marBottom w:val="0"/>
      <w:divBdr>
        <w:top w:val="none" w:sz="0" w:space="0" w:color="auto"/>
        <w:left w:val="none" w:sz="0" w:space="0" w:color="auto"/>
        <w:bottom w:val="none" w:sz="0" w:space="0" w:color="auto"/>
        <w:right w:val="none" w:sz="0" w:space="0" w:color="auto"/>
      </w:divBdr>
    </w:div>
    <w:div w:id="2124568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2.emf"/><Relationship Id="rId39" Type="http://schemas.openxmlformats.org/officeDocument/2006/relationships/image" Target="media/image10.emf"/><Relationship Id="rId21" Type="http://schemas.openxmlformats.org/officeDocument/2006/relationships/footer" Target="footer5.xml"/><Relationship Id="rId34" Type="http://schemas.openxmlformats.org/officeDocument/2006/relationships/image" Target="media/image7.emf"/><Relationship Id="rId42" Type="http://schemas.openxmlformats.org/officeDocument/2006/relationships/image" Target="media/image13.emf"/><Relationship Id="rId47" Type="http://schemas.openxmlformats.org/officeDocument/2006/relationships/footer" Target="footer7.xml"/><Relationship Id="rId50" Type="http://schemas.openxmlformats.org/officeDocument/2006/relationships/footer" Target="footer9.xml"/><Relationship Id="rId55" Type="http://schemas.openxmlformats.org/officeDocument/2006/relationships/header" Target="header1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chart" Target="charts/chart2.xml"/><Relationship Id="rId33" Type="http://schemas.openxmlformats.org/officeDocument/2006/relationships/image" Target="media/image6.emf"/><Relationship Id="rId38" Type="http://schemas.openxmlformats.org/officeDocument/2006/relationships/hyperlink" Target="https://commission.europa.eu/document/download/abdee617-a078-4ee3-a3ec-20c7d32725b5_en?filename=NextGenerationEU%20Green%20Bonds%20Allocation%20and%20Impact%20Report%202024.pdf" TargetMode="External"/><Relationship Id="rId46"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chart" Target="charts/chart3.xml"/><Relationship Id="rId41" Type="http://schemas.openxmlformats.org/officeDocument/2006/relationships/image" Target="media/image12.emf"/><Relationship Id="rId54"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chart" Target="charts/chart1.xml"/><Relationship Id="rId32" Type="http://schemas.openxmlformats.org/officeDocument/2006/relationships/image" Target="media/image5.emf"/><Relationship Id="rId37" Type="http://schemas.openxmlformats.org/officeDocument/2006/relationships/image" Target="media/image9.gif"/><Relationship Id="rId40" Type="http://schemas.openxmlformats.org/officeDocument/2006/relationships/image" Target="media/image11.emf"/><Relationship Id="rId45" Type="http://schemas.openxmlformats.org/officeDocument/2006/relationships/header" Target="header7.xml"/><Relationship Id="rId53" Type="http://schemas.openxmlformats.org/officeDocument/2006/relationships/footer" Target="footer10.xm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image" Target="media/image4.emf"/><Relationship Id="rId36" Type="http://schemas.openxmlformats.org/officeDocument/2006/relationships/chart" Target="charts/chart6.xml"/><Relationship Id="rId49" Type="http://schemas.openxmlformats.org/officeDocument/2006/relationships/header" Target="header9.xm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chart" Target="charts/chart5.xml"/><Relationship Id="rId44" Type="http://schemas.openxmlformats.org/officeDocument/2006/relationships/hyperlink" Target="https://commission.europa.eu/document/download/abdee617-a078-4ee3-a3ec-20c7d32725b5_en?filename=NextGenerationEU%20Green%20Bonds%20Allocation%20and%20Impact%20Report%202024.pdf" TargetMode="External"/><Relationship Id="rId52"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image" Target="media/image3.emf"/><Relationship Id="rId30" Type="http://schemas.openxmlformats.org/officeDocument/2006/relationships/chart" Target="charts/chart4.xml"/><Relationship Id="rId35" Type="http://schemas.openxmlformats.org/officeDocument/2006/relationships/image" Target="media/image8.emf"/><Relationship Id="rId43" Type="http://schemas.openxmlformats.org/officeDocument/2006/relationships/chart" Target="charts/chart7.xml"/><Relationship Id="rId48" Type="http://schemas.openxmlformats.org/officeDocument/2006/relationships/footer" Target="footer8.xml"/><Relationship Id="rId56" Type="http://schemas.openxmlformats.org/officeDocument/2006/relationships/footer" Target="footer12.xml"/><Relationship Id="rId8" Type="http://schemas.openxmlformats.org/officeDocument/2006/relationships/webSettings" Target="webSettings.xml"/><Relationship Id="rId51" Type="http://schemas.openxmlformats.org/officeDocument/2006/relationships/header" Target="header10.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commission.europa.eu/strategy-and-policy/eu-budget/eu-borrower-investor-relations/nextgenerationeu-green-bonds/dashboard_en?prefLang=lt" TargetMode="External"/><Relationship Id="rId3" Type="http://schemas.openxmlformats.org/officeDocument/2006/relationships/hyperlink" Target="https://commission.europa.eu/document/download/abdee617-a078-4ee3-a3ec-20c7d32725b5_en?filename=NextGenerationEU%20Green%20Bonds%20Allocation%20and%20Impact%20Report%202024.pdf" TargetMode="External"/><Relationship Id="rId7" Type="http://schemas.openxmlformats.org/officeDocument/2006/relationships/hyperlink" Target="https://eur-lex.europa.eu/legal-content/LT/TXT/PDF/?uri=CELEX:52023DC0461" TargetMode="External"/><Relationship Id="rId2" Type="http://schemas.openxmlformats.org/officeDocument/2006/relationships/hyperlink" Target="https://eur-lex.europa.eu/legal-content/LT/TXT/PDF/?uri=CELEX:52024DC0240" TargetMode="External"/><Relationship Id="rId1" Type="http://schemas.openxmlformats.org/officeDocument/2006/relationships/hyperlink" Target="https://commission.europa.eu/document/download/187852c2-07e0-4bef-af3f-5719b9077f2e_en?filename=COM_2024_474_1_EN_ACT_part1_v2.pdf" TargetMode="External"/><Relationship Id="rId6" Type="http://schemas.openxmlformats.org/officeDocument/2006/relationships/hyperlink" Target="https://www.eca.europa.eu/Lists/ECAReplies/COM-Replies-SR-2023-16/COM-Replies-SR-2023-16_LT.pdf" TargetMode="External"/><Relationship Id="rId5" Type="http://schemas.openxmlformats.org/officeDocument/2006/relationships/hyperlink" Target="https://www.eca.europa.eu/ECAPublications/SR-2023-16/SR-2023-16_LT.pdf" TargetMode="External"/><Relationship Id="rId4" Type="http://schemas.openxmlformats.org/officeDocument/2006/relationships/hyperlink" Target="https://www.eca.europa.eu/ECAPublications/SR-2023-16/SR-2023-16_LT.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ossiers.dgt.cec.eu.int\dossiers\BUDG\BUDG-2025-00119\BUDG-2025-00119-00-00-LT-SRC-00.2025031812122674332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ossiers.dgt.cec.eu.int\dossiers\BUDG\BUDG-2025-00119\BUDG-2025-00119-00-00-LT-SRC-00.20250318121226743322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ossiers.dgt.cec.eu.int\dossiers\BUDG\BUDG-2025-00119\BUDG-2025-00119-00-00-LT-SRC-00.20250318121226743322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ossiers.dgt.cec.eu.int\dossiers\BUDG\BUDG-2025-00119\BUDG-2025-00119-00-00-LT-SRC-00.20250318121226743322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ossiers.dgt.cec.eu.int\dossiers\BUDG\BUDG-2025-00119\BUDG-2025-00119-00-00-LT-SRC-00.202503181212267433223.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ossiers.dgt.cec.eu.int\dossiers\BUDG\BUDG-2025-00119\BUDG-2025-00119-00-00-LT-SRC-00.202503181212267433223.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hohelee\AppData\Local\Microsoft\Windows\INetCache\Content.Outlook\DEERG5ZQ\Quarterly%20and%20semi-annual%20report%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IE" sz="1200" b="1" i="0" u="none" strike="noStrike" kern="1200" spc="0" baseline="0">
                <a:solidFill>
                  <a:schemeClr val="accent1"/>
                </a:solidFill>
                <a:latin typeface="EC Square Sans Pro" panose="020B0506040000020004" pitchFamily="34" charset="0"/>
              </a:rPr>
              <a:t>ES obligacijos – 64,3 mlrd. EUR</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6128290710452208E-2"/>
          <c:y val="0.17437518226888304"/>
          <c:w val="0.69942574255550405"/>
          <c:h val="0.77469889180519103"/>
        </c:manualLayout>
      </c:layout>
      <c:barChart>
        <c:barDir val="col"/>
        <c:grouping val="stacked"/>
        <c:varyColors val="0"/>
        <c:ser>
          <c:idx val="0"/>
          <c:order val="0"/>
          <c:tx>
            <c:strRef>
              <c:f>Infographic!$A$2</c:f>
              <c:strCache>
                <c:ptCount val="1"/>
                <c:pt idx="0">
                  <c:v>Sindikuotieji sandoriai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EC Square Sans Pro" panose="020B0506040000020004" pitchFamily="34" charset="0"/>
                    <a:ea typeface="+mn-ea"/>
                    <a:cs typeface="+mn-cs"/>
                  </a:defRPr>
                </a:pPr>
                <a:endParaRPr lang="en-US"/>
              </a:p>
            </c:txPr>
            <c:dLblPos val="ctr"/>
            <c:showLegendKey val="0"/>
            <c:showVal val="1"/>
            <c:showCatName val="0"/>
            <c:showSerName val="0"/>
            <c:showPercent val="0"/>
            <c:showBubbleSize val="0"/>
            <c:showLeaderLines val="0"/>
            <c:extLs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Infographic!$B$2</c:f>
              <c:numCache>
                <c:formatCode>0.0</c:formatCode>
                <c:ptCount val="1"/>
                <c:pt idx="0">
                  <c:v>37</c:v>
                </c:pt>
              </c:numCache>
            </c:numRef>
          </c:val>
          <c:extLs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0-236D-4A4C-A2B1-6189245D7AA1}"/>
            </c:ext>
          </c:extLst>
        </c:ser>
        <c:ser>
          <c:idx val="1"/>
          <c:order val="1"/>
          <c:tx>
            <c:strRef>
              <c:f>Infographic!$A$3</c:f>
              <c:strCache>
                <c:ptCount val="1"/>
                <c:pt idx="0">
                  <c:v>Aukcionai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EC Square Sans Pro" panose="020B0506040000020004" pitchFamily="34" charset="0"/>
                    <a:ea typeface="+mn-ea"/>
                    <a:cs typeface="+mn-cs"/>
                  </a:defRPr>
                </a:pPr>
                <a:endParaRPr lang="en-US"/>
              </a:p>
            </c:txPr>
            <c:dLblPos val="ctr"/>
            <c:showLegendKey val="0"/>
            <c:showVal val="1"/>
            <c:showCatName val="0"/>
            <c:showSerName val="0"/>
            <c:showPercent val="0"/>
            <c:showBubbleSize val="0"/>
            <c:showLeaderLines val="0"/>
            <c:extLs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Infographic!$B$3</c:f>
              <c:numCache>
                <c:formatCode>0.0</c:formatCode>
                <c:ptCount val="1"/>
                <c:pt idx="0">
                  <c:v>27.170999999999999</c:v>
                </c:pt>
              </c:numCache>
            </c:numRef>
          </c:val>
          <c:extLs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1-236D-4A4C-A2B1-6189245D7AA1}"/>
            </c:ext>
          </c:extLst>
        </c:ser>
        <c:ser>
          <c:idx val="2"/>
          <c:order val="2"/>
          <c:tx>
            <c:strRef>
              <c:f>Infographic!$A$4</c:f>
              <c:strCache>
                <c:ptCount val="1"/>
                <c:pt idx="0">
                  <c:v>Privačios emisijos</c:v>
                </c:pt>
              </c:strCache>
            </c:strRef>
          </c:tx>
          <c:spPr>
            <a:solidFill>
              <a:schemeClr val="accent3"/>
            </a:solidFill>
            <a:ln>
              <a:noFill/>
            </a:ln>
            <a:effectLst/>
          </c:spPr>
          <c:invertIfNegative val="0"/>
          <c:dLbls>
            <c:dLbl>
              <c:idx val="0"/>
              <c:layout>
                <c:manualLayout>
                  <c:x val="-7.3500483989348137E-17"/>
                  <c:y val="-4.2424239050008854E-2"/>
                </c:manualLayout>
              </c:layout>
              <c:dLblPos val="ctr"/>
              <c:showLegendKey val="0"/>
              <c:showVal val="1"/>
              <c:showCatName val="0"/>
              <c:showSerName val="0"/>
              <c:showPercent val="0"/>
              <c:showBubbleSize val="0"/>
              <c:extLs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2-236D-4A4C-A2B1-6189245D7AA1}"/>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EC Square Sans Pro" panose="020B0506040000020004" pitchFamily="34" charset="0"/>
                    <a:ea typeface="+mn-ea"/>
                    <a:cs typeface="+mn-cs"/>
                  </a:defRPr>
                </a:pPr>
                <a:endParaRPr lang="en-US"/>
              </a:p>
            </c:txPr>
            <c:dLblPos val="ctr"/>
            <c:showLegendKey val="0"/>
            <c:showVal val="1"/>
            <c:showCatName val="0"/>
            <c:showSerName val="0"/>
            <c:showPercent val="0"/>
            <c:showBubbleSize val="0"/>
            <c:showLeaderLines val="0"/>
            <c:extLs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Infographic!$B$4</c:f>
              <c:numCache>
                <c:formatCode>0.0</c:formatCode>
                <c:ptCount val="1"/>
                <c:pt idx="0">
                  <c:v>9.5000000000000001E-2</c:v>
                </c:pt>
              </c:numCache>
            </c:numRef>
          </c:val>
          <c:extLs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3-236D-4A4C-A2B1-6189245D7AA1}"/>
            </c:ext>
          </c:extLst>
        </c:ser>
        <c:dLbls>
          <c:dLblPos val="ctr"/>
          <c:showLegendKey val="0"/>
          <c:showVal val="1"/>
          <c:showCatName val="0"/>
          <c:showSerName val="0"/>
          <c:showPercent val="0"/>
          <c:showBubbleSize val="0"/>
        </c:dLbls>
        <c:gapWidth val="150"/>
        <c:overlap val="100"/>
        <c:axId val="503190144"/>
        <c:axId val="503190928"/>
      </c:barChart>
      <c:catAx>
        <c:axId val="503190144"/>
        <c:scaling>
          <c:orientation val="minMax"/>
        </c:scaling>
        <c:delete val="1"/>
        <c:axPos val="b"/>
        <c:numFmt formatCode="General" sourceLinked="1"/>
        <c:majorTickMark val="out"/>
        <c:minorTickMark val="none"/>
        <c:tickLblPos val="nextTo"/>
        <c:crossAx val="503190928"/>
        <c:crosses val="autoZero"/>
        <c:auto val="1"/>
        <c:lblAlgn val="ctr"/>
        <c:lblOffset val="100"/>
        <c:noMultiLvlLbl val="0"/>
      </c:catAx>
      <c:valAx>
        <c:axId val="503190928"/>
        <c:scaling>
          <c:orientation val="minMax"/>
        </c:scaling>
        <c:delete val="1"/>
        <c:axPos val="l"/>
        <c:numFmt formatCode="0.0" sourceLinked="1"/>
        <c:majorTickMark val="out"/>
        <c:minorTickMark val="none"/>
        <c:tickLblPos val="nextTo"/>
        <c:crossAx val="503190144"/>
        <c:crosses val="autoZero"/>
        <c:crossBetween val="between"/>
      </c:valAx>
      <c:spPr>
        <a:noFill/>
        <a:ln>
          <a:noFill/>
        </a:ln>
        <a:effectLst/>
      </c:spPr>
    </c:plotArea>
    <c:legend>
      <c:legendPos val="r"/>
      <c:layout>
        <c:manualLayout>
          <c:xMode val="edge"/>
          <c:yMode val="edge"/>
          <c:x val="0.5343148109427327"/>
          <c:y val="0.41911584990727352"/>
          <c:w val="0.46133195309473946"/>
          <c:h val="0.5579050825246557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EC Square Sans Pro" panose="020B0506040000020004" pitchFamily="34" charset="0"/>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solidFill>
                <a:latin typeface="EC Square Sans Pro" panose="020B0506040000020004" pitchFamily="34" charset="0"/>
                <a:ea typeface="+mn-ea"/>
                <a:cs typeface="+mn-cs"/>
              </a:defRPr>
            </a:pPr>
            <a:r>
              <a:rPr lang="en-US" sz="1200" b="1">
                <a:solidFill>
                  <a:schemeClr val="tx2"/>
                </a:solidFill>
                <a:latin typeface="EC Square Sans Pro" panose="020B0506040000020004" pitchFamily="34" charset="0"/>
              </a:rPr>
              <a:t>Negrąžinti ES vekseliai</a:t>
            </a:r>
            <a:br>
              <a:rPr lang="en-US" sz="1200" b="1">
                <a:solidFill>
                  <a:schemeClr val="tx2"/>
                </a:solidFill>
                <a:latin typeface="EC Square Sans Pro" panose="020B0506040000020004" pitchFamily="34" charset="0"/>
              </a:rPr>
            </a:br>
            <a:r>
              <a:rPr lang="en-US" sz="1200" b="1">
                <a:solidFill>
                  <a:schemeClr val="tx2"/>
                </a:solidFill>
                <a:latin typeface="EC Square Sans Pro" panose="020B0506040000020004" pitchFamily="34" charset="0"/>
              </a:rPr>
              <a:t>2024-12-31</a:t>
            </a:r>
            <a:endParaRPr lang="en-US" sz="1200" b="0">
              <a:solidFill>
                <a:schemeClr val="tx2"/>
              </a:solidFill>
              <a:latin typeface="EC Square Sans Pro" panose="020B0506040000020004" pitchFamily="34"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2"/>
              </a:solidFill>
              <a:latin typeface="EC Square Sans Pro" panose="020B0506040000020004" pitchFamily="34" charset="0"/>
              <a:ea typeface="+mn-ea"/>
              <a:cs typeface="+mn-cs"/>
            </a:defRPr>
          </a:pPr>
          <a:endParaRPr lang="en-US"/>
        </a:p>
      </c:txPr>
    </c:title>
    <c:autoTitleDeleted val="0"/>
    <c:plotArea>
      <c:layout>
        <c:manualLayout>
          <c:layoutTarget val="inner"/>
          <c:xMode val="edge"/>
          <c:yMode val="edge"/>
          <c:x val="0.16127947961519465"/>
          <c:y val="0.57386953272042951"/>
          <c:w val="0.65991551351938993"/>
          <c:h val="0.33691696741032368"/>
        </c:manualLayout>
      </c:layout>
      <c:barChart>
        <c:barDir val="col"/>
        <c:grouping val="stacked"/>
        <c:varyColors val="0"/>
        <c:ser>
          <c:idx val="0"/>
          <c:order val="0"/>
          <c:tx>
            <c:strRef>
              <c:f>Infographic!$A$5</c:f>
              <c:strCache>
                <c:ptCount val="1"/>
                <c:pt idx="0">
                  <c:v>Negrąžinti ES vekseliai 2024-12-31</c:v>
                </c:pt>
              </c:strCache>
            </c:strRef>
          </c:tx>
          <c:spPr>
            <a:solidFill>
              <a:schemeClr val="tx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EC Square Sans Pro" panose="020B0506040000020004" pitchFamily="34" charset="0"/>
                    <a:ea typeface="+mn-ea"/>
                    <a:cs typeface="+mn-cs"/>
                  </a:defRPr>
                </a:pPr>
                <a:endParaRPr lang="en-US"/>
              </a:p>
            </c:txPr>
            <c:dLblPos val="ctr"/>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Infographic!$B$5</c:f>
              <c:numCache>
                <c:formatCode>0.0</c:formatCode>
                <c:ptCount val="1"/>
                <c:pt idx="0">
                  <c:v>23.128</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0-0B7F-419F-BC89-384AB106C8BE}"/>
            </c:ext>
          </c:extLst>
        </c:ser>
        <c:dLbls>
          <c:showLegendKey val="0"/>
          <c:showVal val="0"/>
          <c:showCatName val="0"/>
          <c:showSerName val="0"/>
          <c:showPercent val="0"/>
          <c:showBubbleSize val="0"/>
        </c:dLbls>
        <c:gapWidth val="150"/>
        <c:overlap val="100"/>
        <c:axId val="376326864"/>
        <c:axId val="376327648"/>
      </c:barChart>
      <c:catAx>
        <c:axId val="376326864"/>
        <c:scaling>
          <c:orientation val="minMax"/>
        </c:scaling>
        <c:delete val="1"/>
        <c:axPos val="b"/>
        <c:majorTickMark val="none"/>
        <c:minorTickMark val="none"/>
        <c:tickLblPos val="nextTo"/>
        <c:crossAx val="376327648"/>
        <c:crosses val="autoZero"/>
        <c:auto val="1"/>
        <c:lblAlgn val="ctr"/>
        <c:lblOffset val="100"/>
        <c:noMultiLvlLbl val="0"/>
      </c:catAx>
      <c:valAx>
        <c:axId val="376327648"/>
        <c:scaling>
          <c:orientation val="minMax"/>
        </c:scaling>
        <c:delete val="1"/>
        <c:axPos val="l"/>
        <c:numFmt formatCode="0.0" sourceLinked="1"/>
        <c:majorTickMark val="none"/>
        <c:minorTickMark val="none"/>
        <c:tickLblPos val="nextTo"/>
        <c:crossAx val="376326864"/>
        <c:crosses val="autoZero"/>
        <c:crossBetween val="between"/>
      </c:valAx>
      <c:spPr>
        <a:noFill/>
        <a:ln>
          <a:noFill/>
        </a:ln>
        <a:effectLst/>
      </c:spPr>
    </c:plotArea>
    <c:plotVisOnly val="1"/>
    <c:dispBlanksAs val="gap"/>
    <c:showDLblsOverMax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1"/>
          <c:order val="0"/>
          <c:tx>
            <c:strRef>
              <c:f>Infographic!$A$18</c:f>
              <c:strCache>
                <c:ptCount val="1"/>
                <c:pt idx="0">
                  <c:v>Finansuota iš kitų šaltinių</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EC Square Sans Pro" panose="020B0506040000020004" pitchFamily="34" charset="0"/>
                    <a:ea typeface="+mn-ea"/>
                    <a:cs typeface="+mn-cs"/>
                  </a:defRPr>
                </a:pPr>
                <a:endParaRPr lang="en-US"/>
              </a:p>
            </c:txPr>
            <c:dLblPos val="ctr"/>
            <c:showLegendKey val="0"/>
            <c:showVal val="1"/>
            <c:showCatName val="0"/>
            <c:showSerName val="0"/>
            <c:showPercent val="0"/>
            <c:showBubbleSize val="0"/>
            <c:showLeaderLines val="0"/>
            <c:extLs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Infographic!$B$18</c:f>
              <c:numCache>
                <c:formatCode>0.0</c:formatCode>
                <c:ptCount val="1"/>
                <c:pt idx="0">
                  <c:v>7.89</c:v>
                </c:pt>
              </c:numCache>
            </c:numRef>
          </c:val>
          <c:extLs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0-8CF4-49A1-9E13-A4ECEF7C52F1}"/>
            </c:ext>
          </c:extLst>
        </c:ser>
        <c:ser>
          <c:idx val="0"/>
          <c:order val="1"/>
          <c:tx>
            <c:strRef>
              <c:f>Infographic!$A$17</c:f>
              <c:strCache>
                <c:ptCount val="1"/>
                <c:pt idx="0">
                  <c:v>Finansuota skolinantis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EC Square Sans Pro" panose="020B0506040000020004" pitchFamily="34" charset="0"/>
                    <a:ea typeface="+mn-ea"/>
                    <a:cs typeface="+mn-cs"/>
                  </a:defRPr>
                </a:pPr>
                <a:endParaRPr lang="en-US"/>
              </a:p>
            </c:txPr>
            <c:dLblPos val="ctr"/>
            <c:showLegendKey val="0"/>
            <c:showVal val="1"/>
            <c:showCatName val="0"/>
            <c:showSerName val="0"/>
            <c:showPercent val="0"/>
            <c:showBubbleSize val="0"/>
            <c:showLeaderLines val="0"/>
            <c:extLs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Infographic!$B$17</c:f>
              <c:numCache>
                <c:formatCode>0.0</c:formatCode>
                <c:ptCount val="1"/>
                <c:pt idx="0">
                  <c:v>72.180000000000007</c:v>
                </c:pt>
              </c:numCache>
            </c:numRef>
          </c:val>
          <c:extLs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1-8CF4-49A1-9E13-A4ECEF7C52F1}"/>
            </c:ext>
          </c:extLst>
        </c:ser>
        <c:dLbls>
          <c:dLblPos val="ctr"/>
          <c:showLegendKey val="0"/>
          <c:showVal val="1"/>
          <c:showCatName val="0"/>
          <c:showSerName val="0"/>
          <c:showPercent val="0"/>
          <c:showBubbleSize val="0"/>
        </c:dLbls>
        <c:gapWidth val="150"/>
        <c:overlap val="100"/>
        <c:axId val="457561664"/>
        <c:axId val="457560488"/>
      </c:barChart>
      <c:catAx>
        <c:axId val="457561664"/>
        <c:scaling>
          <c:orientation val="minMax"/>
        </c:scaling>
        <c:delete val="1"/>
        <c:axPos val="b"/>
        <c:numFmt formatCode="General" sourceLinked="1"/>
        <c:majorTickMark val="none"/>
        <c:minorTickMark val="none"/>
        <c:tickLblPos val="nextTo"/>
        <c:crossAx val="457560488"/>
        <c:crosses val="autoZero"/>
        <c:auto val="1"/>
        <c:lblAlgn val="ctr"/>
        <c:lblOffset val="100"/>
        <c:noMultiLvlLbl val="0"/>
      </c:catAx>
      <c:valAx>
        <c:axId val="457560488"/>
        <c:scaling>
          <c:orientation val="minMax"/>
        </c:scaling>
        <c:delete val="1"/>
        <c:axPos val="l"/>
        <c:numFmt formatCode="0%" sourceLinked="1"/>
        <c:majorTickMark val="out"/>
        <c:minorTickMark val="none"/>
        <c:tickLblPos val="nextTo"/>
        <c:crossAx val="457561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EC Square Sans Pro" panose="020B0506040000020004" pitchFamily="34" charset="0"/>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atin typeface="EC Square Sans Pro" panose="020B05060400000200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884173014958496E-2"/>
          <c:y val="4.9616599007668023E-2"/>
          <c:w val="0.87846542048097631"/>
          <c:h val="0.69770101470739698"/>
        </c:manualLayout>
      </c:layout>
      <c:barChart>
        <c:barDir val="col"/>
        <c:grouping val="percentStacked"/>
        <c:varyColors val="0"/>
        <c:ser>
          <c:idx val="2"/>
          <c:order val="0"/>
          <c:tx>
            <c:strRef>
              <c:f>Infographic!$A$15</c:f>
              <c:strCache>
                <c:ptCount val="1"/>
                <c:pt idx="0">
                  <c:v>Kitos NGEU finansuojamos programos</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EC Square Sans Pro" panose="020B0506040000020004" pitchFamily="34" charset="0"/>
                    <a:ea typeface="+mn-ea"/>
                    <a:cs typeface="+mn-cs"/>
                  </a:defRPr>
                </a:pPr>
                <a:endParaRPr lang="en-US"/>
              </a:p>
            </c:txPr>
            <c:dLblPos val="ctr"/>
            <c:showLegendKey val="0"/>
            <c:showVal val="1"/>
            <c:showCatName val="0"/>
            <c:showSerName val="0"/>
            <c:showPercent val="0"/>
            <c:showBubbleSize val="0"/>
            <c:showLeaderLines val="0"/>
            <c:extLs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Infographic!$B$15</c:f>
              <c:numCache>
                <c:formatCode>0.0</c:formatCode>
                <c:ptCount val="1"/>
                <c:pt idx="0">
                  <c:v>10.46</c:v>
                </c:pt>
              </c:numCache>
            </c:numRef>
          </c:val>
          <c:extLs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0-CC51-4F70-BF7D-BD47814B62AF}"/>
            </c:ext>
          </c:extLst>
        </c:ser>
        <c:ser>
          <c:idx val="0"/>
          <c:order val="1"/>
          <c:tx>
            <c:strRef>
              <c:f>Infographic!$A$13</c:f>
              <c:strCache>
                <c:ptCount val="1"/>
                <c:pt idx="0">
                  <c:v>EGADP dotacijos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EC Square Sans Pro" panose="020B0506040000020004" pitchFamily="34" charset="0"/>
                    <a:ea typeface="+mn-ea"/>
                    <a:cs typeface="+mn-cs"/>
                  </a:defRPr>
                </a:pPr>
                <a:endParaRPr lang="en-US"/>
              </a:p>
            </c:txPr>
            <c:dLblPos val="ctr"/>
            <c:showLegendKey val="0"/>
            <c:showVal val="1"/>
            <c:showCatName val="0"/>
            <c:showSerName val="0"/>
            <c:showPercent val="0"/>
            <c:showBubbleSize val="0"/>
            <c:showLeaderLines val="0"/>
            <c:extLs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Infographic!$B$13</c:f>
              <c:numCache>
                <c:formatCode>0.0</c:formatCode>
                <c:ptCount val="1"/>
                <c:pt idx="0">
                  <c:v>37.19</c:v>
                </c:pt>
              </c:numCache>
            </c:numRef>
          </c:val>
          <c:extLs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1-CC51-4F70-BF7D-BD47814B62AF}"/>
            </c:ext>
          </c:extLst>
        </c:ser>
        <c:ser>
          <c:idx val="1"/>
          <c:order val="2"/>
          <c:tx>
            <c:strRef>
              <c:f>Infographic!$A$14</c:f>
              <c:strCache>
                <c:ptCount val="1"/>
                <c:pt idx="0">
                  <c:v>EGADP paskolos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EC Square Sans Pro" panose="020B0506040000020004" pitchFamily="34" charset="0"/>
                    <a:ea typeface="+mn-ea"/>
                    <a:cs typeface="+mn-cs"/>
                  </a:defRPr>
                </a:pPr>
                <a:endParaRPr lang="en-US"/>
              </a:p>
            </c:txPr>
            <c:dLblPos val="ctr"/>
            <c:showLegendKey val="0"/>
            <c:showVal val="1"/>
            <c:showCatName val="0"/>
            <c:showSerName val="0"/>
            <c:showPercent val="0"/>
            <c:showBubbleSize val="0"/>
            <c:showLeaderLines val="0"/>
            <c:extLs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Infographic!$B$14</c:f>
              <c:numCache>
                <c:formatCode>0.0</c:formatCode>
                <c:ptCount val="1"/>
                <c:pt idx="0">
                  <c:v>24.53</c:v>
                </c:pt>
              </c:numCache>
            </c:numRef>
          </c:val>
          <c:extLs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2-CC51-4F70-BF7D-BD47814B62AF}"/>
            </c:ext>
          </c:extLst>
        </c:ser>
        <c:dLbls>
          <c:dLblPos val="ctr"/>
          <c:showLegendKey val="0"/>
          <c:showVal val="1"/>
          <c:showCatName val="0"/>
          <c:showSerName val="0"/>
          <c:showPercent val="0"/>
          <c:showBubbleSize val="0"/>
        </c:dLbls>
        <c:gapWidth val="150"/>
        <c:overlap val="100"/>
        <c:axId val="376321376"/>
        <c:axId val="376324120"/>
      </c:barChart>
      <c:catAx>
        <c:axId val="376321376"/>
        <c:scaling>
          <c:orientation val="minMax"/>
        </c:scaling>
        <c:delete val="1"/>
        <c:axPos val="b"/>
        <c:numFmt formatCode="General" sourceLinked="1"/>
        <c:majorTickMark val="none"/>
        <c:minorTickMark val="none"/>
        <c:tickLblPos val="nextTo"/>
        <c:crossAx val="376324120"/>
        <c:crosses val="autoZero"/>
        <c:auto val="1"/>
        <c:lblAlgn val="ctr"/>
        <c:lblOffset val="100"/>
        <c:noMultiLvlLbl val="0"/>
      </c:catAx>
      <c:valAx>
        <c:axId val="376324120"/>
        <c:scaling>
          <c:orientation val="minMax"/>
        </c:scaling>
        <c:delete val="1"/>
        <c:axPos val="l"/>
        <c:numFmt formatCode="0%" sourceLinked="1"/>
        <c:majorTickMark val="none"/>
        <c:minorTickMark val="none"/>
        <c:tickLblPos val="nextTo"/>
        <c:crossAx val="376321376"/>
        <c:crosses val="autoZero"/>
        <c:crossBetween val="between"/>
      </c:valAx>
      <c:spPr>
        <a:noFill/>
        <a:ln>
          <a:noFill/>
        </a:ln>
        <a:effectLst/>
      </c:spPr>
    </c:plotArea>
    <c:legend>
      <c:legendPos val="b"/>
      <c:layout>
        <c:manualLayout>
          <c:xMode val="edge"/>
          <c:yMode val="edge"/>
          <c:x val="0"/>
          <c:y val="0.76536001335421711"/>
          <c:w val="1"/>
          <c:h val="0.2346399712172656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EC Square Sans Pro" panose="020B0506040000020004" pitchFamily="34" charset="0"/>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atin typeface="EC Square Sans Pro" panose="020B05060400000200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77481763399937E-2"/>
          <c:y val="4.0740740740740744E-2"/>
          <c:w val="0.86045036473200132"/>
          <c:h val="0.68881598133566635"/>
        </c:manualLayout>
      </c:layout>
      <c:barChart>
        <c:barDir val="col"/>
        <c:grouping val="percentStacked"/>
        <c:varyColors val="0"/>
        <c:ser>
          <c:idx val="2"/>
          <c:order val="0"/>
          <c:tx>
            <c:strRef>
              <c:f>Infographic!$A$34</c:f>
              <c:strCache>
                <c:ptCount val="1"/>
                <c:pt idx="0">
                  <c:v>Kitos NGEU finansuojamos programos</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EC Square Sans Pro" panose="020B0506040000020004" pitchFamily="34" charset="0"/>
                    <a:ea typeface="+mn-ea"/>
                    <a:cs typeface="+mn-cs"/>
                  </a:defRPr>
                </a:pPr>
                <a:endParaRPr lang="en-US"/>
              </a:p>
            </c:txPr>
            <c:dLblPos val="ctr"/>
            <c:showLegendKey val="0"/>
            <c:showVal val="1"/>
            <c:showCatName val="0"/>
            <c:showSerName val="0"/>
            <c:showPercent val="0"/>
            <c:showBubbleSize val="0"/>
            <c:showLeaderLines val="0"/>
            <c:extLs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Infographic!$B$34</c:f>
              <c:numCache>
                <c:formatCode>0.0</c:formatCode>
                <c:ptCount val="1"/>
                <c:pt idx="0">
                  <c:v>69.260000000000005</c:v>
                </c:pt>
              </c:numCache>
            </c:numRef>
          </c:val>
          <c:extLs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0-F4B3-407D-82E4-CBC9BD7F1DA4}"/>
            </c:ext>
          </c:extLst>
        </c:ser>
        <c:ser>
          <c:idx val="0"/>
          <c:order val="1"/>
          <c:tx>
            <c:strRef>
              <c:f>Infographic!$A$32</c:f>
              <c:strCache>
                <c:ptCount val="1"/>
                <c:pt idx="0">
                  <c:v>EGADP dotacijos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EC Square Sans Pro" panose="020B0506040000020004" pitchFamily="34" charset="0"/>
                    <a:ea typeface="+mn-ea"/>
                    <a:cs typeface="+mn-cs"/>
                  </a:defRPr>
                </a:pPr>
                <a:endParaRPr lang="en-US"/>
              </a:p>
            </c:txPr>
            <c:dLblPos val="ctr"/>
            <c:showLegendKey val="0"/>
            <c:showVal val="1"/>
            <c:showCatName val="0"/>
            <c:showSerName val="0"/>
            <c:showPercent val="0"/>
            <c:showBubbleSize val="0"/>
            <c:showLeaderLines val="0"/>
            <c:extLs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Infographic!$B$32</c:f>
              <c:numCache>
                <c:formatCode>0.0</c:formatCode>
                <c:ptCount val="1"/>
                <c:pt idx="0">
                  <c:v>187.86</c:v>
                </c:pt>
              </c:numCache>
            </c:numRef>
          </c:val>
          <c:extLs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1-F4B3-407D-82E4-CBC9BD7F1DA4}"/>
            </c:ext>
          </c:extLst>
        </c:ser>
        <c:ser>
          <c:idx val="1"/>
          <c:order val="2"/>
          <c:tx>
            <c:strRef>
              <c:f>Infographic!$A$33</c:f>
              <c:strCache>
                <c:ptCount val="1"/>
                <c:pt idx="0">
                  <c:v>EGADP paskolos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EC Square Sans Pro" panose="020B0506040000020004" pitchFamily="34" charset="0"/>
                    <a:ea typeface="+mn-ea"/>
                    <a:cs typeface="+mn-cs"/>
                  </a:defRPr>
                </a:pPr>
                <a:endParaRPr lang="en-US"/>
              </a:p>
            </c:txPr>
            <c:dLblPos val="ctr"/>
            <c:showLegendKey val="0"/>
            <c:showVal val="1"/>
            <c:showCatName val="0"/>
            <c:showSerName val="0"/>
            <c:showPercent val="0"/>
            <c:showBubbleSize val="0"/>
            <c:showLeaderLines val="0"/>
            <c:extLs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Infographic!$B$33</c:f>
              <c:numCache>
                <c:formatCode>0.0</c:formatCode>
                <c:ptCount val="1"/>
                <c:pt idx="0">
                  <c:v>108.69</c:v>
                </c:pt>
              </c:numCache>
            </c:numRef>
          </c:val>
          <c:extLs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2-F4B3-407D-82E4-CBC9BD7F1DA4}"/>
            </c:ext>
          </c:extLst>
        </c:ser>
        <c:dLbls>
          <c:dLblPos val="ctr"/>
          <c:showLegendKey val="0"/>
          <c:showVal val="1"/>
          <c:showCatName val="0"/>
          <c:showSerName val="0"/>
          <c:showPercent val="0"/>
          <c:showBubbleSize val="0"/>
        </c:dLbls>
        <c:gapWidth val="150"/>
        <c:overlap val="100"/>
        <c:axId val="457563232"/>
        <c:axId val="457563624"/>
      </c:barChart>
      <c:catAx>
        <c:axId val="457563232"/>
        <c:scaling>
          <c:orientation val="minMax"/>
        </c:scaling>
        <c:delete val="1"/>
        <c:axPos val="b"/>
        <c:numFmt formatCode="General" sourceLinked="1"/>
        <c:majorTickMark val="none"/>
        <c:minorTickMark val="none"/>
        <c:tickLblPos val="nextTo"/>
        <c:crossAx val="457563624"/>
        <c:crosses val="autoZero"/>
        <c:auto val="1"/>
        <c:lblAlgn val="ctr"/>
        <c:lblOffset val="100"/>
        <c:noMultiLvlLbl val="0"/>
      </c:catAx>
      <c:valAx>
        <c:axId val="457563624"/>
        <c:scaling>
          <c:orientation val="minMax"/>
        </c:scaling>
        <c:delete val="1"/>
        <c:axPos val="l"/>
        <c:numFmt formatCode="0%" sourceLinked="1"/>
        <c:majorTickMark val="none"/>
        <c:minorTickMark val="none"/>
        <c:tickLblPos val="nextTo"/>
        <c:crossAx val="457563232"/>
        <c:crosses val="autoZero"/>
        <c:crossBetween val="between"/>
      </c:valAx>
      <c:spPr>
        <a:noFill/>
        <a:ln>
          <a:noFill/>
        </a:ln>
        <a:effectLst/>
      </c:spPr>
    </c:plotArea>
    <c:legend>
      <c:legendPos val="b"/>
      <c:layout>
        <c:manualLayout>
          <c:xMode val="edge"/>
          <c:yMode val="edge"/>
          <c:x val="1.9765608331964325E-4"/>
          <c:y val="0.79810684841023649"/>
          <c:w val="0.98714646904328063"/>
          <c:h val="0.1776716950029100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EC Square Sans Pro" panose="020B0506040000020004" pitchFamily="34" charset="0"/>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atin typeface="EC Square Sans Pro" panose="020B05060400000200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solidFill>
                <a:latin typeface="EC Square Sans Pro" panose="020B0506040000020004" pitchFamily="34" charset="0"/>
                <a:ea typeface="+mn-ea"/>
                <a:cs typeface="+mn-cs"/>
              </a:defRPr>
            </a:pPr>
            <a:r>
              <a:rPr lang="en-US" sz="1200">
                <a:solidFill>
                  <a:schemeClr val="tx2"/>
                </a:solidFill>
              </a:rPr>
              <a:t>Iš viso 578,2 mlrd. EUR</a:t>
            </a:r>
          </a:p>
        </c:rich>
      </c:tx>
      <c:layout>
        <c:manualLayout>
          <c:xMode val="edge"/>
          <c:yMode val="edge"/>
          <c:x val="6.3818897637795292E-3"/>
          <c:y val="6.742912301251601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2"/>
              </a:solidFill>
              <a:latin typeface="EC Square Sans Pro" panose="020B0506040000020004" pitchFamily="34" charset="0"/>
              <a:ea typeface="+mn-ea"/>
              <a:cs typeface="+mn-cs"/>
            </a:defRPr>
          </a:pPr>
          <a:endParaRPr lang="en-US"/>
        </a:p>
      </c:txPr>
    </c:title>
    <c:autoTitleDeleted val="0"/>
    <c:plotArea>
      <c:layout>
        <c:manualLayout>
          <c:layoutTarget val="inner"/>
          <c:xMode val="edge"/>
          <c:yMode val="edge"/>
          <c:x val="0"/>
          <c:y val="0.25261595821649052"/>
          <c:w val="0.98895929631596946"/>
          <c:h val="0.747383616521619"/>
        </c:manualLayout>
      </c:layout>
      <c:barChart>
        <c:barDir val="bar"/>
        <c:grouping val="percentStacked"/>
        <c:varyColors val="0"/>
        <c:ser>
          <c:idx val="0"/>
          <c:order val="0"/>
          <c:tx>
            <c:strRef>
              <c:f>Infographic!$A$50</c:f>
              <c:strCache>
                <c:ptCount val="1"/>
                <c:pt idx="0">
                  <c:v>Back-to-back</c:v>
                </c:pt>
              </c:strCache>
            </c:strRef>
          </c:tx>
          <c:spPr>
            <a:solidFill>
              <a:schemeClr val="accent1"/>
            </a:solidFill>
            <a:ln w="15875">
              <a:solidFill>
                <a:schemeClr val="accent1"/>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EC Square Sans Pro" panose="020B0506040000020004" pitchFamily="34" charset="0"/>
                    <a:ea typeface="+mn-ea"/>
                    <a:cs typeface="+mn-cs"/>
                  </a:defRPr>
                </a:pPr>
                <a:endParaRPr lang="en-US"/>
              </a:p>
            </c:txPr>
            <c:dLblPos val="ctr"/>
            <c:showLegendKey val="0"/>
            <c:showVal val="1"/>
            <c:showCatName val="0"/>
            <c:showSerName val="0"/>
            <c:showPercent val="0"/>
            <c:showBubbleSize val="0"/>
            <c:showLeaderLines val="0"/>
            <c:extLs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Infographic!$B$50</c:f>
              <c:numCache>
                <c:formatCode>0.0</c:formatCode>
                <c:ptCount val="1"/>
                <c:pt idx="0">
                  <c:v>147.75800000000001</c:v>
                </c:pt>
              </c:numCache>
            </c:numRef>
          </c:val>
          <c:extLs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0-35C5-49D2-9AC6-4DDF73A862B3}"/>
            </c:ext>
          </c:extLst>
        </c:ser>
        <c:ser>
          <c:idx val="1"/>
          <c:order val="1"/>
          <c:tx>
            <c:strRef>
              <c:f>Infographic!$A$52</c:f>
              <c:strCache>
                <c:ptCount val="1"/>
                <c:pt idx="0">
                  <c:v>The unnamed green bar</c:v>
                </c:pt>
              </c:strCache>
            </c:strRef>
          </c:tx>
          <c:spPr>
            <a:solidFill>
              <a:schemeClr val="accent2"/>
            </a:solidFill>
            <a:ln w="15875">
              <a:solidFill>
                <a:schemeClr val="accent2"/>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EC Square Sans Pro" panose="020B0506040000020004" pitchFamily="34" charset="0"/>
                    <a:ea typeface="+mn-ea"/>
                    <a:cs typeface="+mn-cs"/>
                  </a:defRPr>
                </a:pPr>
                <a:endParaRPr lang="en-US"/>
              </a:p>
            </c:txPr>
            <c:dLblPos val="ctr"/>
            <c:showLegendKey val="0"/>
            <c:showVal val="1"/>
            <c:showCatName val="0"/>
            <c:showSerName val="0"/>
            <c:showPercent val="0"/>
            <c:showBubbleSize val="0"/>
            <c:showLeaderLines val="0"/>
            <c:extLs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Infographic!$B$52</c:f>
              <c:numCache>
                <c:formatCode>0.0</c:formatCode>
                <c:ptCount val="1"/>
                <c:pt idx="0">
                  <c:v>362.18599999999998</c:v>
                </c:pt>
              </c:numCache>
            </c:numRef>
          </c:val>
          <c:extLs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1-35C5-49D2-9AC6-4DDF73A862B3}"/>
            </c:ext>
          </c:extLst>
        </c:ser>
        <c:ser>
          <c:idx val="2"/>
          <c:order val="2"/>
          <c:tx>
            <c:strRef>
              <c:f>Infographic!$A$53</c:f>
              <c:strCache>
                <c:ptCount val="1"/>
                <c:pt idx="0">
                  <c:v>Of which NextGenerationEU green bonds</c:v>
                </c:pt>
              </c:strCache>
            </c:strRef>
          </c:tx>
          <c:spPr>
            <a:pattFill prst="pct10">
              <a:fgClr>
                <a:schemeClr val="accent2"/>
              </a:fgClr>
              <a:bgClr>
                <a:schemeClr val="accent2">
                  <a:lumMod val="20000"/>
                  <a:lumOff val="80000"/>
                </a:schemeClr>
              </a:bgClr>
            </a:pattFill>
            <a:ln w="15875">
              <a:solidFill>
                <a:schemeClr val="accent2"/>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accent2"/>
                    </a:solidFill>
                    <a:latin typeface="EC Square Sans Pro" panose="020B0506040000020004" pitchFamily="34" charset="0"/>
                    <a:ea typeface="+mn-ea"/>
                    <a:cs typeface="+mn-cs"/>
                  </a:defRPr>
                </a:pPr>
                <a:endParaRPr lang="en-US"/>
              </a:p>
            </c:txPr>
            <c:dLblPos val="ctr"/>
            <c:showLegendKey val="0"/>
            <c:showVal val="1"/>
            <c:showCatName val="0"/>
            <c:showSerName val="0"/>
            <c:showPercent val="0"/>
            <c:showBubbleSize val="0"/>
            <c:showLeaderLines val="0"/>
            <c:extLs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Infographic!$B$53</c:f>
              <c:numCache>
                <c:formatCode>0.0</c:formatCode>
                <c:ptCount val="1"/>
                <c:pt idx="0">
                  <c:v>68.230999999999995</c:v>
                </c:pt>
              </c:numCache>
            </c:numRef>
          </c:val>
          <c:extLs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2-35C5-49D2-9AC6-4DDF73A862B3}"/>
            </c:ext>
          </c:extLst>
        </c:ser>
        <c:dLbls>
          <c:dLblPos val="ctr"/>
          <c:showLegendKey val="0"/>
          <c:showVal val="1"/>
          <c:showCatName val="0"/>
          <c:showSerName val="0"/>
          <c:showPercent val="0"/>
          <c:showBubbleSize val="0"/>
        </c:dLbls>
        <c:gapWidth val="150"/>
        <c:overlap val="100"/>
        <c:axId val="503194064"/>
        <c:axId val="503189752"/>
      </c:barChart>
      <c:catAx>
        <c:axId val="503194064"/>
        <c:scaling>
          <c:orientation val="minMax"/>
        </c:scaling>
        <c:delete val="1"/>
        <c:axPos val="l"/>
        <c:numFmt formatCode="General" sourceLinked="1"/>
        <c:majorTickMark val="none"/>
        <c:minorTickMark val="none"/>
        <c:tickLblPos val="nextTo"/>
        <c:crossAx val="503189752"/>
        <c:crosses val="autoZero"/>
        <c:auto val="1"/>
        <c:lblAlgn val="ctr"/>
        <c:lblOffset val="100"/>
        <c:noMultiLvlLbl val="0"/>
      </c:catAx>
      <c:valAx>
        <c:axId val="503189752"/>
        <c:scaling>
          <c:orientation val="minMax"/>
        </c:scaling>
        <c:delete val="1"/>
        <c:axPos val="b"/>
        <c:numFmt formatCode="0%" sourceLinked="1"/>
        <c:majorTickMark val="none"/>
        <c:minorTickMark val="none"/>
        <c:tickLblPos val="nextTo"/>
        <c:crossAx val="503194064"/>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b="1">
          <a:solidFill>
            <a:schemeClr val="accent2"/>
          </a:solidFill>
          <a:latin typeface="EC Square Sans Pro" panose="020B05060400000200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7869531763880728E-2"/>
          <c:y val="4.5379537953795381E-2"/>
          <c:w val="0.89284028118244585"/>
          <c:h val="0.74970180088875027"/>
        </c:manualLayout>
      </c:layout>
      <c:lineChart>
        <c:grouping val="standard"/>
        <c:varyColors val="0"/>
        <c:ser>
          <c:idx val="0"/>
          <c:order val="0"/>
          <c:tx>
            <c:strRef>
              <c:f>Data!$B$1</c:f>
              <c:strCache>
                <c:ptCount val="1"/>
                <c:pt idx="0">
                  <c:v>EU 10y yield</c:v>
                </c:pt>
              </c:strCache>
            </c:strRef>
          </c:tx>
          <c:spPr>
            <a:ln w="28575" cap="rnd">
              <a:solidFill>
                <a:schemeClr val="accent1"/>
              </a:solidFill>
              <a:round/>
            </a:ln>
            <a:effectLst/>
          </c:spPr>
          <c:marker>
            <c:symbol val="none"/>
          </c:marker>
          <c:cat>
            <c:numRef>
              <c:f>Data!$A$2:$A$249</c:f>
              <c:numCache>
                <c:formatCode>m/d/yyyy</c:formatCode>
                <c:ptCount val="248"/>
                <c:pt idx="0">
                  <c:v>45657</c:v>
                </c:pt>
                <c:pt idx="1">
                  <c:v>45656</c:v>
                </c:pt>
                <c:pt idx="2">
                  <c:v>45653</c:v>
                </c:pt>
                <c:pt idx="3">
                  <c:v>45650</c:v>
                </c:pt>
                <c:pt idx="4">
                  <c:v>45649</c:v>
                </c:pt>
                <c:pt idx="5">
                  <c:v>45646</c:v>
                </c:pt>
                <c:pt idx="6">
                  <c:v>45645</c:v>
                </c:pt>
                <c:pt idx="7">
                  <c:v>45644</c:v>
                </c:pt>
                <c:pt idx="8">
                  <c:v>45643</c:v>
                </c:pt>
                <c:pt idx="9">
                  <c:v>45642</c:v>
                </c:pt>
                <c:pt idx="10">
                  <c:v>45639</c:v>
                </c:pt>
                <c:pt idx="11">
                  <c:v>45638</c:v>
                </c:pt>
                <c:pt idx="12">
                  <c:v>45637</c:v>
                </c:pt>
                <c:pt idx="13">
                  <c:v>45636</c:v>
                </c:pt>
                <c:pt idx="14">
                  <c:v>45635</c:v>
                </c:pt>
                <c:pt idx="15">
                  <c:v>45632</c:v>
                </c:pt>
                <c:pt idx="16">
                  <c:v>45631</c:v>
                </c:pt>
                <c:pt idx="17">
                  <c:v>45630</c:v>
                </c:pt>
                <c:pt idx="18">
                  <c:v>45629</c:v>
                </c:pt>
                <c:pt idx="19">
                  <c:v>45628</c:v>
                </c:pt>
                <c:pt idx="20">
                  <c:v>45625</c:v>
                </c:pt>
                <c:pt idx="21">
                  <c:v>45624</c:v>
                </c:pt>
                <c:pt idx="22">
                  <c:v>45623</c:v>
                </c:pt>
                <c:pt idx="23">
                  <c:v>45622</c:v>
                </c:pt>
                <c:pt idx="24">
                  <c:v>45621</c:v>
                </c:pt>
                <c:pt idx="25">
                  <c:v>45618</c:v>
                </c:pt>
                <c:pt idx="26">
                  <c:v>45617</c:v>
                </c:pt>
                <c:pt idx="27">
                  <c:v>45616</c:v>
                </c:pt>
                <c:pt idx="28">
                  <c:v>45615</c:v>
                </c:pt>
                <c:pt idx="29">
                  <c:v>45614</c:v>
                </c:pt>
                <c:pt idx="30">
                  <c:v>45611</c:v>
                </c:pt>
                <c:pt idx="31">
                  <c:v>45610</c:v>
                </c:pt>
                <c:pt idx="32">
                  <c:v>45609</c:v>
                </c:pt>
                <c:pt idx="33">
                  <c:v>45608</c:v>
                </c:pt>
                <c:pt idx="34">
                  <c:v>45607</c:v>
                </c:pt>
                <c:pt idx="35">
                  <c:v>45604</c:v>
                </c:pt>
                <c:pt idx="36">
                  <c:v>45603</c:v>
                </c:pt>
                <c:pt idx="37">
                  <c:v>45602</c:v>
                </c:pt>
                <c:pt idx="38">
                  <c:v>45601</c:v>
                </c:pt>
                <c:pt idx="39">
                  <c:v>45600</c:v>
                </c:pt>
                <c:pt idx="40">
                  <c:v>45597</c:v>
                </c:pt>
                <c:pt idx="41">
                  <c:v>45596</c:v>
                </c:pt>
                <c:pt idx="42">
                  <c:v>45595</c:v>
                </c:pt>
                <c:pt idx="43">
                  <c:v>45594</c:v>
                </c:pt>
                <c:pt idx="44">
                  <c:v>45593</c:v>
                </c:pt>
                <c:pt idx="45">
                  <c:v>45590</c:v>
                </c:pt>
                <c:pt idx="46">
                  <c:v>45589</c:v>
                </c:pt>
                <c:pt idx="47">
                  <c:v>45588</c:v>
                </c:pt>
                <c:pt idx="48">
                  <c:v>45587</c:v>
                </c:pt>
                <c:pt idx="49">
                  <c:v>45586</c:v>
                </c:pt>
                <c:pt idx="50">
                  <c:v>45583</c:v>
                </c:pt>
                <c:pt idx="51">
                  <c:v>45582</c:v>
                </c:pt>
                <c:pt idx="52">
                  <c:v>45581</c:v>
                </c:pt>
                <c:pt idx="53">
                  <c:v>45580</c:v>
                </c:pt>
                <c:pt idx="54">
                  <c:v>45579</c:v>
                </c:pt>
                <c:pt idx="55">
                  <c:v>45576</c:v>
                </c:pt>
                <c:pt idx="56">
                  <c:v>45575</c:v>
                </c:pt>
                <c:pt idx="57">
                  <c:v>45574</c:v>
                </c:pt>
                <c:pt idx="58">
                  <c:v>45573</c:v>
                </c:pt>
                <c:pt idx="59">
                  <c:v>45572</c:v>
                </c:pt>
                <c:pt idx="60">
                  <c:v>45569</c:v>
                </c:pt>
                <c:pt idx="61">
                  <c:v>45568</c:v>
                </c:pt>
                <c:pt idx="62">
                  <c:v>45567</c:v>
                </c:pt>
                <c:pt idx="63">
                  <c:v>45566</c:v>
                </c:pt>
                <c:pt idx="64">
                  <c:v>45565</c:v>
                </c:pt>
                <c:pt idx="65">
                  <c:v>45562</c:v>
                </c:pt>
                <c:pt idx="66">
                  <c:v>45561</c:v>
                </c:pt>
                <c:pt idx="67">
                  <c:v>45560</c:v>
                </c:pt>
                <c:pt idx="68">
                  <c:v>45559</c:v>
                </c:pt>
                <c:pt idx="69">
                  <c:v>45558</c:v>
                </c:pt>
                <c:pt idx="70">
                  <c:v>45555</c:v>
                </c:pt>
                <c:pt idx="71">
                  <c:v>45554</c:v>
                </c:pt>
                <c:pt idx="72">
                  <c:v>45553</c:v>
                </c:pt>
                <c:pt idx="73">
                  <c:v>45552</c:v>
                </c:pt>
                <c:pt idx="74">
                  <c:v>45551</c:v>
                </c:pt>
                <c:pt idx="75">
                  <c:v>45548</c:v>
                </c:pt>
                <c:pt idx="76">
                  <c:v>45547</c:v>
                </c:pt>
                <c:pt idx="77">
                  <c:v>45546</c:v>
                </c:pt>
                <c:pt idx="78">
                  <c:v>45545</c:v>
                </c:pt>
                <c:pt idx="79">
                  <c:v>45544</c:v>
                </c:pt>
                <c:pt idx="80">
                  <c:v>45541</c:v>
                </c:pt>
                <c:pt idx="81">
                  <c:v>45540</c:v>
                </c:pt>
                <c:pt idx="82">
                  <c:v>45539</c:v>
                </c:pt>
                <c:pt idx="83">
                  <c:v>45538</c:v>
                </c:pt>
                <c:pt idx="84">
                  <c:v>45537</c:v>
                </c:pt>
                <c:pt idx="85">
                  <c:v>45534</c:v>
                </c:pt>
                <c:pt idx="86">
                  <c:v>45533</c:v>
                </c:pt>
                <c:pt idx="87">
                  <c:v>45532</c:v>
                </c:pt>
                <c:pt idx="88">
                  <c:v>45531</c:v>
                </c:pt>
                <c:pt idx="89">
                  <c:v>45530</c:v>
                </c:pt>
                <c:pt idx="90">
                  <c:v>45527</c:v>
                </c:pt>
                <c:pt idx="91">
                  <c:v>45526</c:v>
                </c:pt>
                <c:pt idx="92">
                  <c:v>45525</c:v>
                </c:pt>
                <c:pt idx="93">
                  <c:v>45524</c:v>
                </c:pt>
                <c:pt idx="94">
                  <c:v>45523</c:v>
                </c:pt>
                <c:pt idx="95">
                  <c:v>45520</c:v>
                </c:pt>
                <c:pt idx="96">
                  <c:v>45519</c:v>
                </c:pt>
                <c:pt idx="97">
                  <c:v>45518</c:v>
                </c:pt>
                <c:pt idx="98">
                  <c:v>45517</c:v>
                </c:pt>
                <c:pt idx="99">
                  <c:v>45516</c:v>
                </c:pt>
                <c:pt idx="100">
                  <c:v>45513</c:v>
                </c:pt>
                <c:pt idx="101">
                  <c:v>45512</c:v>
                </c:pt>
                <c:pt idx="102">
                  <c:v>45511</c:v>
                </c:pt>
                <c:pt idx="103">
                  <c:v>45510</c:v>
                </c:pt>
                <c:pt idx="104">
                  <c:v>45509</c:v>
                </c:pt>
                <c:pt idx="105">
                  <c:v>45506</c:v>
                </c:pt>
                <c:pt idx="106">
                  <c:v>45505</c:v>
                </c:pt>
                <c:pt idx="107">
                  <c:v>45504</c:v>
                </c:pt>
                <c:pt idx="108">
                  <c:v>45503</c:v>
                </c:pt>
                <c:pt idx="109">
                  <c:v>45502</c:v>
                </c:pt>
                <c:pt idx="110">
                  <c:v>45499</c:v>
                </c:pt>
                <c:pt idx="111">
                  <c:v>45498</c:v>
                </c:pt>
                <c:pt idx="112">
                  <c:v>45497</c:v>
                </c:pt>
                <c:pt idx="113">
                  <c:v>45496</c:v>
                </c:pt>
                <c:pt idx="114">
                  <c:v>45495</c:v>
                </c:pt>
                <c:pt idx="115">
                  <c:v>45492</c:v>
                </c:pt>
                <c:pt idx="116">
                  <c:v>45491</c:v>
                </c:pt>
                <c:pt idx="117">
                  <c:v>45490</c:v>
                </c:pt>
                <c:pt idx="118">
                  <c:v>45489</c:v>
                </c:pt>
                <c:pt idx="119">
                  <c:v>45488</c:v>
                </c:pt>
                <c:pt idx="120">
                  <c:v>45485</c:v>
                </c:pt>
                <c:pt idx="121">
                  <c:v>45484</c:v>
                </c:pt>
                <c:pt idx="122">
                  <c:v>45483</c:v>
                </c:pt>
                <c:pt idx="123">
                  <c:v>45482</c:v>
                </c:pt>
                <c:pt idx="124">
                  <c:v>45481</c:v>
                </c:pt>
                <c:pt idx="125">
                  <c:v>45478</c:v>
                </c:pt>
                <c:pt idx="126">
                  <c:v>45477</c:v>
                </c:pt>
                <c:pt idx="127">
                  <c:v>45476</c:v>
                </c:pt>
                <c:pt idx="128">
                  <c:v>45475</c:v>
                </c:pt>
                <c:pt idx="129">
                  <c:v>45474</c:v>
                </c:pt>
                <c:pt idx="130">
                  <c:v>45471</c:v>
                </c:pt>
                <c:pt idx="131">
                  <c:v>45470</c:v>
                </c:pt>
                <c:pt idx="132">
                  <c:v>45469</c:v>
                </c:pt>
                <c:pt idx="133">
                  <c:v>45468</c:v>
                </c:pt>
                <c:pt idx="134">
                  <c:v>45467</c:v>
                </c:pt>
                <c:pt idx="135">
                  <c:v>45464</c:v>
                </c:pt>
                <c:pt idx="136">
                  <c:v>45463</c:v>
                </c:pt>
                <c:pt idx="137">
                  <c:v>45462</c:v>
                </c:pt>
                <c:pt idx="138">
                  <c:v>45461</c:v>
                </c:pt>
                <c:pt idx="139">
                  <c:v>45460</c:v>
                </c:pt>
                <c:pt idx="140">
                  <c:v>45457</c:v>
                </c:pt>
                <c:pt idx="141">
                  <c:v>45456</c:v>
                </c:pt>
                <c:pt idx="142">
                  <c:v>45455</c:v>
                </c:pt>
                <c:pt idx="143">
                  <c:v>45454</c:v>
                </c:pt>
                <c:pt idx="144">
                  <c:v>45453</c:v>
                </c:pt>
                <c:pt idx="145">
                  <c:v>45450</c:v>
                </c:pt>
                <c:pt idx="146">
                  <c:v>45449</c:v>
                </c:pt>
                <c:pt idx="147">
                  <c:v>45448</c:v>
                </c:pt>
                <c:pt idx="148">
                  <c:v>45447</c:v>
                </c:pt>
                <c:pt idx="149">
                  <c:v>45446</c:v>
                </c:pt>
                <c:pt idx="150">
                  <c:v>45443</c:v>
                </c:pt>
                <c:pt idx="151">
                  <c:v>45442</c:v>
                </c:pt>
                <c:pt idx="152">
                  <c:v>45441</c:v>
                </c:pt>
                <c:pt idx="153">
                  <c:v>45440</c:v>
                </c:pt>
                <c:pt idx="154">
                  <c:v>45439</c:v>
                </c:pt>
                <c:pt idx="155">
                  <c:v>45436</c:v>
                </c:pt>
                <c:pt idx="156">
                  <c:v>45435</c:v>
                </c:pt>
                <c:pt idx="157">
                  <c:v>45434</c:v>
                </c:pt>
                <c:pt idx="158">
                  <c:v>45433</c:v>
                </c:pt>
                <c:pt idx="159">
                  <c:v>45432</c:v>
                </c:pt>
                <c:pt idx="160">
                  <c:v>45429</c:v>
                </c:pt>
                <c:pt idx="161">
                  <c:v>45428</c:v>
                </c:pt>
                <c:pt idx="162">
                  <c:v>45427</c:v>
                </c:pt>
                <c:pt idx="163">
                  <c:v>45426</c:v>
                </c:pt>
                <c:pt idx="164">
                  <c:v>45425</c:v>
                </c:pt>
                <c:pt idx="165">
                  <c:v>45422</c:v>
                </c:pt>
                <c:pt idx="166">
                  <c:v>45421</c:v>
                </c:pt>
                <c:pt idx="167">
                  <c:v>45420</c:v>
                </c:pt>
                <c:pt idx="168">
                  <c:v>45419</c:v>
                </c:pt>
                <c:pt idx="169">
                  <c:v>45418</c:v>
                </c:pt>
                <c:pt idx="170">
                  <c:v>45415</c:v>
                </c:pt>
                <c:pt idx="171">
                  <c:v>45414</c:v>
                </c:pt>
                <c:pt idx="172">
                  <c:v>45412</c:v>
                </c:pt>
                <c:pt idx="173">
                  <c:v>45411</c:v>
                </c:pt>
                <c:pt idx="174">
                  <c:v>45408</c:v>
                </c:pt>
                <c:pt idx="175">
                  <c:v>45407</c:v>
                </c:pt>
                <c:pt idx="176">
                  <c:v>45406</c:v>
                </c:pt>
                <c:pt idx="177">
                  <c:v>45405</c:v>
                </c:pt>
                <c:pt idx="178">
                  <c:v>45404</c:v>
                </c:pt>
                <c:pt idx="179">
                  <c:v>45401</c:v>
                </c:pt>
                <c:pt idx="180">
                  <c:v>45400</c:v>
                </c:pt>
                <c:pt idx="181">
                  <c:v>45399</c:v>
                </c:pt>
                <c:pt idx="182">
                  <c:v>45398</c:v>
                </c:pt>
                <c:pt idx="183">
                  <c:v>45397</c:v>
                </c:pt>
                <c:pt idx="184">
                  <c:v>45394</c:v>
                </c:pt>
                <c:pt idx="185">
                  <c:v>45393</c:v>
                </c:pt>
                <c:pt idx="186">
                  <c:v>45392</c:v>
                </c:pt>
                <c:pt idx="187">
                  <c:v>45391</c:v>
                </c:pt>
                <c:pt idx="188">
                  <c:v>45390</c:v>
                </c:pt>
                <c:pt idx="189">
                  <c:v>45387</c:v>
                </c:pt>
                <c:pt idx="190">
                  <c:v>45386</c:v>
                </c:pt>
                <c:pt idx="191">
                  <c:v>45385</c:v>
                </c:pt>
                <c:pt idx="192">
                  <c:v>45384</c:v>
                </c:pt>
                <c:pt idx="193">
                  <c:v>45379</c:v>
                </c:pt>
                <c:pt idx="194">
                  <c:v>45378</c:v>
                </c:pt>
                <c:pt idx="195">
                  <c:v>45377</c:v>
                </c:pt>
                <c:pt idx="196">
                  <c:v>45376</c:v>
                </c:pt>
                <c:pt idx="197">
                  <c:v>45373</c:v>
                </c:pt>
                <c:pt idx="198">
                  <c:v>45372</c:v>
                </c:pt>
                <c:pt idx="199">
                  <c:v>45371</c:v>
                </c:pt>
                <c:pt idx="200">
                  <c:v>45370</c:v>
                </c:pt>
                <c:pt idx="201">
                  <c:v>45369</c:v>
                </c:pt>
                <c:pt idx="202">
                  <c:v>45366</c:v>
                </c:pt>
                <c:pt idx="203">
                  <c:v>45365</c:v>
                </c:pt>
                <c:pt idx="204">
                  <c:v>45364</c:v>
                </c:pt>
                <c:pt idx="205">
                  <c:v>45363</c:v>
                </c:pt>
                <c:pt idx="206">
                  <c:v>45362</c:v>
                </c:pt>
                <c:pt idx="207">
                  <c:v>45359</c:v>
                </c:pt>
                <c:pt idx="208">
                  <c:v>45358</c:v>
                </c:pt>
                <c:pt idx="209">
                  <c:v>45357</c:v>
                </c:pt>
                <c:pt idx="210">
                  <c:v>45356</c:v>
                </c:pt>
                <c:pt idx="211">
                  <c:v>45355</c:v>
                </c:pt>
                <c:pt idx="212">
                  <c:v>45352</c:v>
                </c:pt>
                <c:pt idx="213">
                  <c:v>45351</c:v>
                </c:pt>
                <c:pt idx="214">
                  <c:v>45350</c:v>
                </c:pt>
                <c:pt idx="215">
                  <c:v>45349</c:v>
                </c:pt>
                <c:pt idx="216">
                  <c:v>45348</c:v>
                </c:pt>
                <c:pt idx="217">
                  <c:v>45345</c:v>
                </c:pt>
                <c:pt idx="218">
                  <c:v>45344</c:v>
                </c:pt>
                <c:pt idx="219">
                  <c:v>45343</c:v>
                </c:pt>
                <c:pt idx="220">
                  <c:v>45342</c:v>
                </c:pt>
                <c:pt idx="221">
                  <c:v>45341</c:v>
                </c:pt>
                <c:pt idx="222">
                  <c:v>45338</c:v>
                </c:pt>
                <c:pt idx="223">
                  <c:v>45337</c:v>
                </c:pt>
                <c:pt idx="224">
                  <c:v>45336</c:v>
                </c:pt>
                <c:pt idx="225">
                  <c:v>45335</c:v>
                </c:pt>
                <c:pt idx="226">
                  <c:v>45334</c:v>
                </c:pt>
                <c:pt idx="227">
                  <c:v>45331</c:v>
                </c:pt>
                <c:pt idx="228">
                  <c:v>45330</c:v>
                </c:pt>
                <c:pt idx="229">
                  <c:v>45329</c:v>
                </c:pt>
                <c:pt idx="230">
                  <c:v>45328</c:v>
                </c:pt>
                <c:pt idx="231">
                  <c:v>45327</c:v>
                </c:pt>
                <c:pt idx="232">
                  <c:v>45324</c:v>
                </c:pt>
                <c:pt idx="233">
                  <c:v>45323</c:v>
                </c:pt>
                <c:pt idx="234">
                  <c:v>45322</c:v>
                </c:pt>
                <c:pt idx="235">
                  <c:v>45321</c:v>
                </c:pt>
                <c:pt idx="236">
                  <c:v>45320</c:v>
                </c:pt>
                <c:pt idx="237">
                  <c:v>45317</c:v>
                </c:pt>
                <c:pt idx="238">
                  <c:v>45316</c:v>
                </c:pt>
                <c:pt idx="239">
                  <c:v>45315</c:v>
                </c:pt>
                <c:pt idx="240">
                  <c:v>45314</c:v>
                </c:pt>
                <c:pt idx="241">
                  <c:v>45313</c:v>
                </c:pt>
                <c:pt idx="242">
                  <c:v>45310</c:v>
                </c:pt>
                <c:pt idx="243">
                  <c:v>45309</c:v>
                </c:pt>
                <c:pt idx="244">
                  <c:v>45308</c:v>
                </c:pt>
                <c:pt idx="245">
                  <c:v>45307</c:v>
                </c:pt>
                <c:pt idx="246">
                  <c:v>45306</c:v>
                </c:pt>
                <c:pt idx="247">
                  <c:v>45303</c:v>
                </c:pt>
              </c:numCache>
            </c:numRef>
          </c:cat>
          <c:val>
            <c:numRef>
              <c:f>Data!$B$2:$B$249</c:f>
              <c:numCache>
                <c:formatCode>General</c:formatCode>
                <c:ptCount val="248"/>
                <c:pt idx="0">
                  <c:v>2.9020000000000001</c:v>
                </c:pt>
                <c:pt idx="1">
                  <c:v>2.9020000000000001</c:v>
                </c:pt>
                <c:pt idx="2">
                  <c:v>2.9289999999999998</c:v>
                </c:pt>
                <c:pt idx="3">
                  <c:v>2.863</c:v>
                </c:pt>
                <c:pt idx="4">
                  <c:v>2.863</c:v>
                </c:pt>
                <c:pt idx="5">
                  <c:v>2.823</c:v>
                </c:pt>
                <c:pt idx="6">
                  <c:v>2.8359999999999999</c:v>
                </c:pt>
                <c:pt idx="7">
                  <c:v>2.7709999999999999</c:v>
                </c:pt>
                <c:pt idx="8">
                  <c:v>2.7440000000000002</c:v>
                </c:pt>
                <c:pt idx="9">
                  <c:v>2.76</c:v>
                </c:pt>
                <c:pt idx="10">
                  <c:v>2.77</c:v>
                </c:pt>
                <c:pt idx="11">
                  <c:v>2.718</c:v>
                </c:pt>
                <c:pt idx="12">
                  <c:v>2.641</c:v>
                </c:pt>
                <c:pt idx="13">
                  <c:v>2.6240000000000001</c:v>
                </c:pt>
                <c:pt idx="14">
                  <c:v>2.625</c:v>
                </c:pt>
                <c:pt idx="15">
                  <c:v>2.605</c:v>
                </c:pt>
                <c:pt idx="16">
                  <c:v>2.6309999999999998</c:v>
                </c:pt>
                <c:pt idx="17">
                  <c:v>2.6190000000000002</c:v>
                </c:pt>
                <c:pt idx="18">
                  <c:v>2.6139999999999999</c:v>
                </c:pt>
                <c:pt idx="19">
                  <c:v>2.609</c:v>
                </c:pt>
                <c:pt idx="20">
                  <c:v>2.6539999999999999</c:v>
                </c:pt>
                <c:pt idx="21">
                  <c:v>2.7</c:v>
                </c:pt>
                <c:pt idx="22">
                  <c:v>2.734</c:v>
                </c:pt>
                <c:pt idx="23">
                  <c:v>2.7669999999999999</c:v>
                </c:pt>
                <c:pt idx="24">
                  <c:v>2.778</c:v>
                </c:pt>
                <c:pt idx="25">
                  <c:v>2.8050000000000002</c:v>
                </c:pt>
                <c:pt idx="26">
                  <c:v>2.9009999999999998</c:v>
                </c:pt>
                <c:pt idx="27">
                  <c:v>2.9159999999999999</c:v>
                </c:pt>
                <c:pt idx="28">
                  <c:v>2.8889999999999998</c:v>
                </c:pt>
                <c:pt idx="29">
                  <c:v>2.9020000000000001</c:v>
                </c:pt>
                <c:pt idx="30">
                  <c:v>2.8730000000000002</c:v>
                </c:pt>
                <c:pt idx="31">
                  <c:v>2.8730000000000002</c:v>
                </c:pt>
                <c:pt idx="32">
                  <c:v>2.9340000000000002</c:v>
                </c:pt>
                <c:pt idx="33">
                  <c:v>2.919</c:v>
                </c:pt>
                <c:pt idx="34">
                  <c:v>2.89</c:v>
                </c:pt>
                <c:pt idx="35">
                  <c:v>2.9540000000000002</c:v>
                </c:pt>
                <c:pt idx="36">
                  <c:v>3.0430000000000001</c:v>
                </c:pt>
                <c:pt idx="37">
                  <c:v>3.008</c:v>
                </c:pt>
                <c:pt idx="38">
                  <c:v>3.024</c:v>
                </c:pt>
                <c:pt idx="39">
                  <c:v>2.9990000000000001</c:v>
                </c:pt>
                <c:pt idx="40">
                  <c:v>2.992</c:v>
                </c:pt>
                <c:pt idx="41">
                  <c:v>2.988</c:v>
                </c:pt>
                <c:pt idx="42">
                  <c:v>2.9780000000000002</c:v>
                </c:pt>
                <c:pt idx="43">
                  <c:v>2.9209999999999998</c:v>
                </c:pt>
                <c:pt idx="44">
                  <c:v>2.89</c:v>
                </c:pt>
                <c:pt idx="45">
                  <c:v>2.89</c:v>
                </c:pt>
                <c:pt idx="46">
                  <c:v>2.8570000000000002</c:v>
                </c:pt>
                <c:pt idx="47">
                  <c:v>2.9</c:v>
                </c:pt>
                <c:pt idx="48">
                  <c:v>2.9239999999999999</c:v>
                </c:pt>
                <c:pt idx="49">
                  <c:v>2.8940000000000001</c:v>
                </c:pt>
                <c:pt idx="50">
                  <c:v>2.7959999999999998</c:v>
                </c:pt>
                <c:pt idx="51">
                  <c:v>2.8250000000000002</c:v>
                </c:pt>
                <c:pt idx="52">
                  <c:v>2.8010000000000002</c:v>
                </c:pt>
                <c:pt idx="53">
                  <c:v>2.835</c:v>
                </c:pt>
                <c:pt idx="54">
                  <c:v>2.9</c:v>
                </c:pt>
                <c:pt idx="55">
                  <c:v>2.8980000000000001</c:v>
                </c:pt>
                <c:pt idx="56">
                  <c:v>2.8940000000000001</c:v>
                </c:pt>
                <c:pt idx="57">
                  <c:v>2.8969999999999998</c:v>
                </c:pt>
                <c:pt idx="58">
                  <c:v>2.87</c:v>
                </c:pt>
                <c:pt idx="59">
                  <c:v>2.8820000000000001</c:v>
                </c:pt>
                <c:pt idx="60">
                  <c:v>2.8290000000000002</c:v>
                </c:pt>
                <c:pt idx="61">
                  <c:v>2.7829999999999999</c:v>
                </c:pt>
                <c:pt idx="62">
                  <c:v>2.7269999999999999</c:v>
                </c:pt>
                <c:pt idx="63">
                  <c:v>2.665</c:v>
                </c:pt>
                <c:pt idx="64">
                  <c:v>2.7639999999999998</c:v>
                </c:pt>
                <c:pt idx="65">
                  <c:v>2.7749999999999999</c:v>
                </c:pt>
                <c:pt idx="66">
                  <c:v>2.8370000000000002</c:v>
                </c:pt>
                <c:pt idx="67">
                  <c:v>2.8210000000000002</c:v>
                </c:pt>
                <c:pt idx="68">
                  <c:v>2.7959999999999998</c:v>
                </c:pt>
                <c:pt idx="69">
                  <c:v>2.798</c:v>
                </c:pt>
                <c:pt idx="70">
                  <c:v>2.8250000000000002</c:v>
                </c:pt>
                <c:pt idx="71">
                  <c:v>2.8159999999999998</c:v>
                </c:pt>
                <c:pt idx="72">
                  <c:v>2.8</c:v>
                </c:pt>
                <c:pt idx="73">
                  <c:v>2.7519999999999998</c:v>
                </c:pt>
                <c:pt idx="74">
                  <c:v>2.7290000000000001</c:v>
                </c:pt>
                <c:pt idx="75">
                  <c:v>2.758</c:v>
                </c:pt>
                <c:pt idx="76">
                  <c:v>2.7519999999999998</c:v>
                </c:pt>
                <c:pt idx="77">
                  <c:v>2.7170000000000001</c:v>
                </c:pt>
                <c:pt idx="78">
                  <c:v>2.7290000000000001</c:v>
                </c:pt>
                <c:pt idx="79">
                  <c:v>2.7570000000000001</c:v>
                </c:pt>
                <c:pt idx="80">
                  <c:v>2.7530000000000001</c:v>
                </c:pt>
                <c:pt idx="81">
                  <c:v>2.7919999999999998</c:v>
                </c:pt>
                <c:pt idx="82">
                  <c:v>2.823</c:v>
                </c:pt>
                <c:pt idx="83">
                  <c:v>2.87</c:v>
                </c:pt>
                <c:pt idx="84">
                  <c:v>2.92</c:v>
                </c:pt>
                <c:pt idx="85">
                  <c:v>2.8839999999999999</c:v>
                </c:pt>
                <c:pt idx="86">
                  <c:v>2.8559999999999999</c:v>
                </c:pt>
                <c:pt idx="87">
                  <c:v>2.8490000000000002</c:v>
                </c:pt>
                <c:pt idx="88">
                  <c:v>2.879</c:v>
                </c:pt>
                <c:pt idx="89">
                  <c:v>2.84</c:v>
                </c:pt>
                <c:pt idx="90">
                  <c:v>2.823</c:v>
                </c:pt>
                <c:pt idx="91">
                  <c:v>2.8420000000000001</c:v>
                </c:pt>
                <c:pt idx="92">
                  <c:v>2.7930000000000001</c:v>
                </c:pt>
                <c:pt idx="93">
                  <c:v>2.806</c:v>
                </c:pt>
                <c:pt idx="94">
                  <c:v>2.8370000000000002</c:v>
                </c:pt>
                <c:pt idx="95">
                  <c:v>2.8340000000000001</c:v>
                </c:pt>
                <c:pt idx="96">
                  <c:v>2.8319999999999999</c:v>
                </c:pt>
                <c:pt idx="97">
                  <c:v>2.7610000000000001</c:v>
                </c:pt>
                <c:pt idx="98">
                  <c:v>2.778</c:v>
                </c:pt>
                <c:pt idx="99">
                  <c:v>2.8220000000000001</c:v>
                </c:pt>
                <c:pt idx="100">
                  <c:v>2.8279999999999998</c:v>
                </c:pt>
                <c:pt idx="101">
                  <c:v>2.8679999999999999</c:v>
                </c:pt>
                <c:pt idx="102">
                  <c:v>2.8660000000000001</c:v>
                </c:pt>
                <c:pt idx="103">
                  <c:v>2.8210000000000002</c:v>
                </c:pt>
                <c:pt idx="104">
                  <c:v>2.8359999999999999</c:v>
                </c:pt>
                <c:pt idx="105">
                  <c:v>2.8029999999999999</c:v>
                </c:pt>
                <c:pt idx="106">
                  <c:v>2.847</c:v>
                </c:pt>
                <c:pt idx="107">
                  <c:v>2.8820000000000001</c:v>
                </c:pt>
                <c:pt idx="108">
                  <c:v>2.9169999999999998</c:v>
                </c:pt>
                <c:pt idx="109">
                  <c:v>2.9390000000000001</c:v>
                </c:pt>
                <c:pt idx="110">
                  <c:v>2.9849999999999999</c:v>
                </c:pt>
                <c:pt idx="111">
                  <c:v>2.9969999999999999</c:v>
                </c:pt>
                <c:pt idx="112">
                  <c:v>3.0190000000000001</c:v>
                </c:pt>
                <c:pt idx="113">
                  <c:v>3.004</c:v>
                </c:pt>
                <c:pt idx="114">
                  <c:v>3.0379999999999998</c:v>
                </c:pt>
                <c:pt idx="115">
                  <c:v>3.0139999999999998</c:v>
                </c:pt>
                <c:pt idx="116">
                  <c:v>2.99</c:v>
                </c:pt>
                <c:pt idx="117">
                  <c:v>2.988</c:v>
                </c:pt>
                <c:pt idx="118">
                  <c:v>2.9950000000000001</c:v>
                </c:pt>
                <c:pt idx="119">
                  <c:v>3.0430000000000001</c:v>
                </c:pt>
                <c:pt idx="120">
                  <c:v>3.0609999999999999</c:v>
                </c:pt>
                <c:pt idx="121">
                  <c:v>3.03</c:v>
                </c:pt>
                <c:pt idx="122">
                  <c:v>3.09</c:v>
                </c:pt>
                <c:pt idx="123">
                  <c:v>3.14</c:v>
                </c:pt>
                <c:pt idx="124">
                  <c:v>3.101</c:v>
                </c:pt>
                <c:pt idx="125">
                  <c:v>3.1179999999999999</c:v>
                </c:pt>
                <c:pt idx="126">
                  <c:v>3.169</c:v>
                </c:pt>
                <c:pt idx="127">
                  <c:v>3.1539999999999999</c:v>
                </c:pt>
                <c:pt idx="128">
                  <c:v>3.1989999999999998</c:v>
                </c:pt>
                <c:pt idx="129">
                  <c:v>3.2269999999999999</c:v>
                </c:pt>
                <c:pt idx="130">
                  <c:v>3.173</c:v>
                </c:pt>
                <c:pt idx="131">
                  <c:v>3.129</c:v>
                </c:pt>
                <c:pt idx="132">
                  <c:v>3.11</c:v>
                </c:pt>
                <c:pt idx="133">
                  <c:v>3.0649999999999999</c:v>
                </c:pt>
                <c:pt idx="134">
                  <c:v>3.073</c:v>
                </c:pt>
                <c:pt idx="135">
                  <c:v>3.0659999999999998</c:v>
                </c:pt>
                <c:pt idx="136">
                  <c:v>3.0659999999999998</c:v>
                </c:pt>
                <c:pt idx="137">
                  <c:v>3.0569999999999999</c:v>
                </c:pt>
                <c:pt idx="138">
                  <c:v>3.03</c:v>
                </c:pt>
                <c:pt idx="139">
                  <c:v>3.07</c:v>
                </c:pt>
                <c:pt idx="140">
                  <c:v>3.0489999999999999</c:v>
                </c:pt>
                <c:pt idx="141">
                  <c:v>3.0859999999999999</c:v>
                </c:pt>
                <c:pt idx="142">
                  <c:v>3.085</c:v>
                </c:pt>
                <c:pt idx="143">
                  <c:v>3.1629999999999998</c:v>
                </c:pt>
                <c:pt idx="144">
                  <c:v>3.1779999999999999</c:v>
                </c:pt>
                <c:pt idx="145">
                  <c:v>3.09</c:v>
                </c:pt>
                <c:pt idx="146">
                  <c:v>3.0329999999999999</c:v>
                </c:pt>
                <c:pt idx="147">
                  <c:v>3.0169999999999999</c:v>
                </c:pt>
                <c:pt idx="148">
                  <c:v>3.0430000000000001</c:v>
                </c:pt>
                <c:pt idx="149">
                  <c:v>3.069</c:v>
                </c:pt>
                <c:pt idx="150">
                  <c:v>3.1429999999999998</c:v>
                </c:pt>
                <c:pt idx="151">
                  <c:v>3.1309999999999998</c:v>
                </c:pt>
                <c:pt idx="152">
                  <c:v>3.1709999999999998</c:v>
                </c:pt>
                <c:pt idx="153">
                  <c:v>3.0870000000000002</c:v>
                </c:pt>
                <c:pt idx="154">
                  <c:v>3.0470000000000002</c:v>
                </c:pt>
                <c:pt idx="155">
                  <c:v>3.0640000000000001</c:v>
                </c:pt>
                <c:pt idx="156">
                  <c:v>3.0590000000000002</c:v>
                </c:pt>
                <c:pt idx="157">
                  <c:v>3.012</c:v>
                </c:pt>
                <c:pt idx="158">
                  <c:v>2.984</c:v>
                </c:pt>
                <c:pt idx="159">
                  <c:v>3.0129999999999999</c:v>
                </c:pt>
                <c:pt idx="160">
                  <c:v>3.0049999999999999</c:v>
                </c:pt>
                <c:pt idx="161">
                  <c:v>2.9729999999999999</c:v>
                </c:pt>
                <c:pt idx="162">
                  <c:v>2.9430000000000001</c:v>
                </c:pt>
                <c:pt idx="163">
                  <c:v>3.052</c:v>
                </c:pt>
                <c:pt idx="164">
                  <c:v>2.9969999999999999</c:v>
                </c:pt>
                <c:pt idx="165">
                  <c:v>2.9969999999999999</c:v>
                </c:pt>
                <c:pt idx="166">
                  <c:v>2.9889999999999999</c:v>
                </c:pt>
                <c:pt idx="167">
                  <c:v>2.9550000000000001</c:v>
                </c:pt>
                <c:pt idx="168">
                  <c:v>2.9510000000000001</c:v>
                </c:pt>
                <c:pt idx="169">
                  <c:v>3.0179999999999998</c:v>
                </c:pt>
                <c:pt idx="170">
                  <c:v>3.0369999999999999</c:v>
                </c:pt>
                <c:pt idx="171">
                  <c:v>3.0760000000000001</c:v>
                </c:pt>
                <c:pt idx="172">
                  <c:v>3.1059999999999999</c:v>
                </c:pt>
                <c:pt idx="173">
                  <c:v>3.0550000000000002</c:v>
                </c:pt>
                <c:pt idx="174">
                  <c:v>3.101</c:v>
                </c:pt>
                <c:pt idx="175">
                  <c:v>3.1579999999999999</c:v>
                </c:pt>
                <c:pt idx="176">
                  <c:v>3.161</c:v>
                </c:pt>
                <c:pt idx="177">
                  <c:v>3.089</c:v>
                </c:pt>
                <c:pt idx="178">
                  <c:v>3.0760000000000001</c:v>
                </c:pt>
                <c:pt idx="179">
                  <c:v>3.0830000000000002</c:v>
                </c:pt>
                <c:pt idx="180">
                  <c:v>3.0920000000000001</c:v>
                </c:pt>
                <c:pt idx="181">
                  <c:v>3.052</c:v>
                </c:pt>
                <c:pt idx="182">
                  <c:v>3.0939999999999999</c:v>
                </c:pt>
                <c:pt idx="183">
                  <c:v>3.05</c:v>
                </c:pt>
                <c:pt idx="184">
                  <c:v>2.9790000000000001</c:v>
                </c:pt>
                <c:pt idx="185">
                  <c:v>3.0710000000000002</c:v>
                </c:pt>
                <c:pt idx="186">
                  <c:v>3.04</c:v>
                </c:pt>
                <c:pt idx="187">
                  <c:v>2.9790000000000001</c:v>
                </c:pt>
                <c:pt idx="188">
                  <c:v>3.0030000000000001</c:v>
                </c:pt>
                <c:pt idx="189">
                  <c:v>2.9790000000000001</c:v>
                </c:pt>
                <c:pt idx="190">
                  <c:v>2.9369999999999998</c:v>
                </c:pt>
                <c:pt idx="191">
                  <c:v>2.9830000000000001</c:v>
                </c:pt>
                <c:pt idx="192">
                  <c:v>2.984</c:v>
                </c:pt>
                <c:pt idx="193">
                  <c:v>2.8719999999999999</c:v>
                </c:pt>
                <c:pt idx="194">
                  <c:v>2.8660000000000001</c:v>
                </c:pt>
                <c:pt idx="195">
                  <c:v>2.9049999999999998</c:v>
                </c:pt>
                <c:pt idx="196">
                  <c:v>2.931</c:v>
                </c:pt>
                <c:pt idx="197">
                  <c:v>2.8860000000000001</c:v>
                </c:pt>
                <c:pt idx="198">
                  <c:v>2.9420000000000002</c:v>
                </c:pt>
                <c:pt idx="199">
                  <c:v>2.964</c:v>
                </c:pt>
                <c:pt idx="200">
                  <c:v>2.98</c:v>
                </c:pt>
                <c:pt idx="201">
                  <c:v>2.99</c:v>
                </c:pt>
                <c:pt idx="202">
                  <c:v>2.9809999999999999</c:v>
                </c:pt>
                <c:pt idx="203">
                  <c:v>2.9649999999999999</c:v>
                </c:pt>
                <c:pt idx="204">
                  <c:v>2.9060000000000001</c:v>
                </c:pt>
                <c:pt idx="205">
                  <c:v>2.871</c:v>
                </c:pt>
                <c:pt idx="206">
                  <c:v>2.855</c:v>
                </c:pt>
                <c:pt idx="207">
                  <c:v>2.819</c:v>
                </c:pt>
                <c:pt idx="208">
                  <c:v>2.8650000000000002</c:v>
                </c:pt>
                <c:pt idx="209">
                  <c:v>2.8940000000000001</c:v>
                </c:pt>
                <c:pt idx="210">
                  <c:v>2.9060000000000001</c:v>
                </c:pt>
                <c:pt idx="211">
                  <c:v>2.9769999999999999</c:v>
                </c:pt>
                <c:pt idx="212">
                  <c:v>3.0030000000000001</c:v>
                </c:pt>
                <c:pt idx="213">
                  <c:v>2.9830000000000001</c:v>
                </c:pt>
                <c:pt idx="214">
                  <c:v>3.0379999999999998</c:v>
                </c:pt>
                <c:pt idx="215">
                  <c:v>3.05</c:v>
                </c:pt>
                <c:pt idx="216">
                  <c:v>3.0329999999999999</c:v>
                </c:pt>
                <c:pt idx="217">
                  <c:v>2.9540000000000002</c:v>
                </c:pt>
                <c:pt idx="218">
                  <c:v>3.03</c:v>
                </c:pt>
                <c:pt idx="219">
                  <c:v>3.0379999999999998</c:v>
                </c:pt>
                <c:pt idx="220">
                  <c:v>2.976</c:v>
                </c:pt>
                <c:pt idx="221">
                  <c:v>3.016</c:v>
                </c:pt>
                <c:pt idx="222">
                  <c:v>3.0089999999999999</c:v>
                </c:pt>
                <c:pt idx="223">
                  <c:v>2.9769999999999999</c:v>
                </c:pt>
                <c:pt idx="224">
                  <c:v>2.9580000000000002</c:v>
                </c:pt>
                <c:pt idx="225">
                  <c:v>3.0259999999999998</c:v>
                </c:pt>
                <c:pt idx="226">
                  <c:v>2.9969999999999999</c:v>
                </c:pt>
                <c:pt idx="227">
                  <c:v>3.0369999999999999</c:v>
                </c:pt>
                <c:pt idx="228">
                  <c:v>3.012</c:v>
                </c:pt>
                <c:pt idx="229">
                  <c:v>2.9769999999999999</c:v>
                </c:pt>
                <c:pt idx="230">
                  <c:v>2.9510000000000001</c:v>
                </c:pt>
                <c:pt idx="231">
                  <c:v>2.9670000000000001</c:v>
                </c:pt>
                <c:pt idx="232">
                  <c:v>2.883</c:v>
                </c:pt>
                <c:pt idx="233">
                  <c:v>2.802</c:v>
                </c:pt>
                <c:pt idx="234">
                  <c:v>2.8170000000000002</c:v>
                </c:pt>
                <c:pt idx="235">
                  <c:v>2.8959999999999999</c:v>
                </c:pt>
                <c:pt idx="236">
                  <c:v>2.86</c:v>
                </c:pt>
                <c:pt idx="237">
                  <c:v>2.919</c:v>
                </c:pt>
                <c:pt idx="238">
                  <c:v>2.9129999999999998</c:v>
                </c:pt>
                <c:pt idx="239">
                  <c:v>2.9689999999999999</c:v>
                </c:pt>
                <c:pt idx="240">
                  <c:v>2.9830000000000001</c:v>
                </c:pt>
                <c:pt idx="241">
                  <c:v>2.9220000000000002</c:v>
                </c:pt>
                <c:pt idx="242">
                  <c:v>2.9740000000000002</c:v>
                </c:pt>
                <c:pt idx="243">
                  <c:v>2.9870000000000001</c:v>
                </c:pt>
                <c:pt idx="244">
                  <c:v>2.931</c:v>
                </c:pt>
                <c:pt idx="245">
                  <c:v>2.8889999999999998</c:v>
                </c:pt>
                <c:pt idx="246">
                  <c:v>2.86</c:v>
                </c:pt>
                <c:pt idx="247">
                  <c:v>2.8260000000000001</c:v>
                </c:pt>
              </c:numCache>
            </c:numRef>
          </c:val>
          <c:smooth val="0"/>
          <c:extLst xmlns:c16r3="http://schemas.microsoft.com/office/drawing/2017/03/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0-C06E-46D1-A927-45AB9DAB9828}"/>
            </c:ext>
          </c:extLst>
        </c:ser>
        <c:dLbls>
          <c:showLegendKey val="0"/>
          <c:showVal val="0"/>
          <c:showCatName val="0"/>
          <c:showSerName val="0"/>
          <c:showPercent val="0"/>
          <c:showBubbleSize val="0"/>
        </c:dLbls>
        <c:smooth val="0"/>
        <c:axId val="1189277823"/>
        <c:axId val="1189280703"/>
      </c:lineChart>
      <c:dateAx>
        <c:axId val="1189277823"/>
        <c:scaling>
          <c:orientation val="minMax"/>
          <c:max val="45658"/>
          <c:min val="45292"/>
        </c:scaling>
        <c:delete val="0"/>
        <c:axPos val="b"/>
        <c:numFmt formatCode="m/d/yyyy" sourceLinked="1"/>
        <c:majorTickMark val="out"/>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9280703"/>
        <c:crosses val="autoZero"/>
        <c:auto val="1"/>
        <c:lblOffset val="100"/>
        <c:baseTimeUnit val="days"/>
      </c:dateAx>
      <c:valAx>
        <c:axId val="1189280703"/>
        <c:scaling>
          <c:orientation val="minMax"/>
          <c:min val="2"/>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9277823"/>
        <c:crosses val="autoZero"/>
        <c:crossBetween val="between"/>
      </c:valAx>
      <c:spPr>
        <a:noFill/>
        <a:ln>
          <a:noFill/>
        </a:ln>
        <a:effectLst/>
      </c:spPr>
    </c:plotArea>
    <c:plotVisOnly val="1"/>
    <c:dispBlanksAs val="gap"/>
    <c:showDLblsOverMax val="0"/>
    <c:extLst xmlns:c16r3="http://schemas.microsoft.com/office/drawing/2017/03/chart" xmlns:c16="http://schemas.microsoft.com/office/drawing/2014/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Semi Annual">
      <a:dk1>
        <a:sysClr val="windowText" lastClr="000000"/>
      </a:dk1>
      <a:lt1>
        <a:sysClr val="window" lastClr="FFFFFF"/>
      </a:lt1>
      <a:dk2>
        <a:srgbClr val="44546A"/>
      </a:dk2>
      <a:lt2>
        <a:srgbClr val="E7E6E6"/>
      </a:lt2>
      <a:accent1>
        <a:srgbClr val="034EA2"/>
      </a:accent1>
      <a:accent2>
        <a:srgbClr val="70AD47"/>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fb9e4e-9a17-43c4-891a-079bfb0a02bd">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a68ce457-625d-4aa4-9b00-ade22038be2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484981D676F7469FB7985B8196FE05" ma:contentTypeVersion="11" ma:contentTypeDescription="Create a new document." ma:contentTypeScope="" ma:versionID="cbdbc34adac4f579b59f992811bf0ebd">
  <xsd:schema xmlns:xsd="http://www.w3.org/2001/XMLSchema" xmlns:xs="http://www.w3.org/2001/XMLSchema" xmlns:p="http://schemas.microsoft.com/office/2006/metadata/properties" xmlns:ns2="e0fb9e4e-9a17-43c4-891a-079bfb0a02bd" xmlns:ns3="a68ce457-625d-4aa4-9b00-ade22038be21" targetNamespace="http://schemas.microsoft.com/office/2006/metadata/properties" ma:root="true" ma:fieldsID="b3d5e4c1fe961ddb3630e8deecf6f510" ns2:_="" ns3:_="">
    <xsd:import namespace="e0fb9e4e-9a17-43c4-891a-079bfb0a02bd"/>
    <xsd:import namespace="a68ce457-625d-4aa4-9b00-ade22038b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b9e4e-9a17-43c4-891a-079bfb0a02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8ce457-625d-4aa4-9b00-ade22038b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b7ec0b-d50f-4274-96ed-1d4aa9483822}" ma:internalName="TaxCatchAll" ma:showField="CatchAllData" ma:web="a68ce457-625d-4aa4-9b00-ade22038b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D84AA-26DF-44BD-B729-4DCED448F13E}">
  <ds:schemaRefs>
    <ds:schemaRef ds:uri="http://purl.org/dc/elements/1.1/"/>
    <ds:schemaRef ds:uri="http://schemas.microsoft.com/office/2006/documentManagement/types"/>
    <ds:schemaRef ds:uri="http://purl.org/dc/dcmitype/"/>
    <ds:schemaRef ds:uri="http://www.w3.org/XML/1998/namespace"/>
    <ds:schemaRef ds:uri="e0fb9e4e-9a17-43c4-891a-079bfb0a02bd"/>
    <ds:schemaRef ds:uri="http://schemas.openxmlformats.org/package/2006/metadata/core-properties"/>
    <ds:schemaRef ds:uri="a68ce457-625d-4aa4-9b00-ade22038be21"/>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0AFA94C4-E85F-4C7D-86AE-AE48CDBB8582}">
  <ds:schemaRefs>
    <ds:schemaRef ds:uri="http://schemas.microsoft.com/sharepoint/v3/contenttype/forms"/>
  </ds:schemaRefs>
</ds:datastoreItem>
</file>

<file path=customXml/itemProps3.xml><?xml version="1.0" encoding="utf-8"?>
<ds:datastoreItem xmlns:ds="http://schemas.openxmlformats.org/officeDocument/2006/customXml" ds:itemID="{07BC009B-79F2-40F4-9DBF-EC4DC2A65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b9e4e-9a17-43c4-891a-079bfb0a02bd"/>
    <ds:schemaRef ds:uri="a68ce457-625d-4aa4-9b00-ade22038b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D978D5-7C9A-42D6-B6F9-68B67546B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17</Pages>
  <Words>4748</Words>
  <Characters>27068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31753</CharactersWithSpaces>
  <SharedDoc>false</SharedDoc>
  <HLinks>
    <vt:vector size="96" baseType="variant">
      <vt:variant>
        <vt:i4>7667806</vt:i4>
      </vt:variant>
      <vt:variant>
        <vt:i4>51</vt:i4>
      </vt:variant>
      <vt:variant>
        <vt:i4>0</vt:i4>
      </vt:variant>
      <vt:variant>
        <vt:i4>5</vt:i4>
      </vt:variant>
      <vt:variant>
        <vt:lpwstr>https://commission.europa.eu/document/download/abdee617-a078-4ee3-a3ec-20c7d32725b5_en?filename=NextGenerationEU%20Green%20Bonds%20Allocation%20and%20Impact%20Report%202024.pdf</vt:lpwstr>
      </vt:variant>
      <vt:variant>
        <vt:lpwstr/>
      </vt:variant>
      <vt:variant>
        <vt:i4>7667806</vt:i4>
      </vt:variant>
      <vt:variant>
        <vt:i4>48</vt:i4>
      </vt:variant>
      <vt:variant>
        <vt:i4>0</vt:i4>
      </vt:variant>
      <vt:variant>
        <vt:i4>5</vt:i4>
      </vt:variant>
      <vt:variant>
        <vt:lpwstr>https://commission.europa.eu/document/download/abdee617-a078-4ee3-a3ec-20c7d32725b5_en?filename=NextGenerationEU%20Green%20Bonds%20Allocation%20and%20Impact%20Report%202024.pdf</vt:lpwstr>
      </vt:variant>
      <vt:variant>
        <vt:lpwstr/>
      </vt:variant>
      <vt:variant>
        <vt:i4>1441847</vt:i4>
      </vt:variant>
      <vt:variant>
        <vt:i4>38</vt:i4>
      </vt:variant>
      <vt:variant>
        <vt:i4>0</vt:i4>
      </vt:variant>
      <vt:variant>
        <vt:i4>5</vt:i4>
      </vt:variant>
      <vt:variant>
        <vt:lpwstr/>
      </vt:variant>
      <vt:variant>
        <vt:lpwstr>_Toc190904653</vt:lpwstr>
      </vt:variant>
      <vt:variant>
        <vt:i4>1441847</vt:i4>
      </vt:variant>
      <vt:variant>
        <vt:i4>32</vt:i4>
      </vt:variant>
      <vt:variant>
        <vt:i4>0</vt:i4>
      </vt:variant>
      <vt:variant>
        <vt:i4>5</vt:i4>
      </vt:variant>
      <vt:variant>
        <vt:lpwstr/>
      </vt:variant>
      <vt:variant>
        <vt:lpwstr>_Toc190904651</vt:lpwstr>
      </vt:variant>
      <vt:variant>
        <vt:i4>1441847</vt:i4>
      </vt:variant>
      <vt:variant>
        <vt:i4>26</vt:i4>
      </vt:variant>
      <vt:variant>
        <vt:i4>0</vt:i4>
      </vt:variant>
      <vt:variant>
        <vt:i4>5</vt:i4>
      </vt:variant>
      <vt:variant>
        <vt:lpwstr/>
      </vt:variant>
      <vt:variant>
        <vt:lpwstr>_Toc190904650</vt:lpwstr>
      </vt:variant>
      <vt:variant>
        <vt:i4>1507383</vt:i4>
      </vt:variant>
      <vt:variant>
        <vt:i4>20</vt:i4>
      </vt:variant>
      <vt:variant>
        <vt:i4>0</vt:i4>
      </vt:variant>
      <vt:variant>
        <vt:i4>5</vt:i4>
      </vt:variant>
      <vt:variant>
        <vt:lpwstr/>
      </vt:variant>
      <vt:variant>
        <vt:lpwstr>_Toc190904647</vt:lpwstr>
      </vt:variant>
      <vt:variant>
        <vt:i4>1507383</vt:i4>
      </vt:variant>
      <vt:variant>
        <vt:i4>14</vt:i4>
      </vt:variant>
      <vt:variant>
        <vt:i4>0</vt:i4>
      </vt:variant>
      <vt:variant>
        <vt:i4>5</vt:i4>
      </vt:variant>
      <vt:variant>
        <vt:lpwstr/>
      </vt:variant>
      <vt:variant>
        <vt:lpwstr>_Toc190904643</vt:lpwstr>
      </vt:variant>
      <vt:variant>
        <vt:i4>1507383</vt:i4>
      </vt:variant>
      <vt:variant>
        <vt:i4>8</vt:i4>
      </vt:variant>
      <vt:variant>
        <vt:i4>0</vt:i4>
      </vt:variant>
      <vt:variant>
        <vt:i4>5</vt:i4>
      </vt:variant>
      <vt:variant>
        <vt:lpwstr/>
      </vt:variant>
      <vt:variant>
        <vt:lpwstr>_Toc190904642</vt:lpwstr>
      </vt:variant>
      <vt:variant>
        <vt:i4>1507383</vt:i4>
      </vt:variant>
      <vt:variant>
        <vt:i4>2</vt:i4>
      </vt:variant>
      <vt:variant>
        <vt:i4>0</vt:i4>
      </vt:variant>
      <vt:variant>
        <vt:i4>5</vt:i4>
      </vt:variant>
      <vt:variant>
        <vt:lpwstr/>
      </vt:variant>
      <vt:variant>
        <vt:lpwstr>_Toc190904641</vt:lpwstr>
      </vt:variant>
      <vt:variant>
        <vt:i4>2097171</vt:i4>
      </vt:variant>
      <vt:variant>
        <vt:i4>18</vt:i4>
      </vt:variant>
      <vt:variant>
        <vt:i4>0</vt:i4>
      </vt:variant>
      <vt:variant>
        <vt:i4>5</vt:i4>
      </vt:variant>
      <vt:variant>
        <vt:lpwstr>https://commission.europa.eu/strategy-and-policy/eu-budget/eu-borrower-investor-relations/nextgenerationeu-green-bonds/dashboard_en</vt:lpwstr>
      </vt:variant>
      <vt:variant>
        <vt:lpwstr/>
      </vt:variant>
      <vt:variant>
        <vt:i4>7143527</vt:i4>
      </vt:variant>
      <vt:variant>
        <vt:i4>15</vt:i4>
      </vt:variant>
      <vt:variant>
        <vt:i4>0</vt:i4>
      </vt:variant>
      <vt:variant>
        <vt:i4>5</vt:i4>
      </vt:variant>
      <vt:variant>
        <vt:lpwstr>https://commission.europa.eu/system/files/2023-07/Fourth half-yearly report on the execution of the EU borrowing and lending operations.PDF</vt:lpwstr>
      </vt:variant>
      <vt:variant>
        <vt:lpwstr/>
      </vt:variant>
      <vt:variant>
        <vt:i4>7143426</vt:i4>
      </vt:variant>
      <vt:variant>
        <vt:i4>12</vt:i4>
      </vt:variant>
      <vt:variant>
        <vt:i4>0</vt:i4>
      </vt:variant>
      <vt:variant>
        <vt:i4>5</vt:i4>
      </vt:variant>
      <vt:variant>
        <vt:lpwstr>https://www.eca.europa.eu/Lists/ECAReplies/COM-Replies-SR-2023-16/COM-Replies-SR-2023-16_EN.pdf</vt:lpwstr>
      </vt:variant>
      <vt:variant>
        <vt:lpwstr/>
      </vt:variant>
      <vt:variant>
        <vt:i4>4653163</vt:i4>
      </vt:variant>
      <vt:variant>
        <vt:i4>9</vt:i4>
      </vt:variant>
      <vt:variant>
        <vt:i4>0</vt:i4>
      </vt:variant>
      <vt:variant>
        <vt:i4>5</vt:i4>
      </vt:variant>
      <vt:variant>
        <vt:lpwstr>https://www.eca.europa.eu/ECAPublications/SR-2023-16/SR-2023-16_EN.pdf</vt:lpwstr>
      </vt:variant>
      <vt:variant>
        <vt:lpwstr/>
      </vt:variant>
      <vt:variant>
        <vt:i4>7667806</vt:i4>
      </vt:variant>
      <vt:variant>
        <vt:i4>6</vt:i4>
      </vt:variant>
      <vt:variant>
        <vt:i4>0</vt:i4>
      </vt:variant>
      <vt:variant>
        <vt:i4>5</vt:i4>
      </vt:variant>
      <vt:variant>
        <vt:lpwstr>https://commission.europa.eu/document/download/abdee617-a078-4ee3-a3ec-20c7d32725b5_en?filename=NextGenerationEU%20Green%20Bonds%20Allocation%20and%20Impact%20Report%202024.pdf</vt:lpwstr>
      </vt:variant>
      <vt:variant>
        <vt:lpwstr/>
      </vt:variant>
      <vt:variant>
        <vt:i4>1179737</vt:i4>
      </vt:variant>
      <vt:variant>
        <vt:i4>3</vt:i4>
      </vt:variant>
      <vt:variant>
        <vt:i4>0</vt:i4>
      </vt:variant>
      <vt:variant>
        <vt:i4>5</vt:i4>
      </vt:variant>
      <vt:variant>
        <vt:lpwstr>https://eur-lex.europa.eu/legal-content/EN/TXT/PDF/?uri=CELEX:52024DC0240</vt:lpwstr>
      </vt:variant>
      <vt:variant>
        <vt:lpwstr/>
      </vt:variant>
      <vt:variant>
        <vt:i4>4653150</vt:i4>
      </vt:variant>
      <vt:variant>
        <vt:i4>0</vt:i4>
      </vt:variant>
      <vt:variant>
        <vt:i4>0</vt:i4>
      </vt:variant>
      <vt:variant>
        <vt:i4>5</vt:i4>
      </vt:variant>
      <vt:variant>
        <vt:lpwstr>https://commission.europa.eu/document/download/187852c2-07e0-4bef-af3f-5719b9077f2e_en?filename=COM_2024_474_1_EN_ACT_part1_v2.pdf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20</cp:revision>
  <cp:lastPrinted>2024-01-25T06:41:00Z</cp:lastPrinted>
  <dcterms:created xsi:type="dcterms:W3CDTF">2025-02-26T08:21:00Z</dcterms:created>
  <dcterms:modified xsi:type="dcterms:W3CDTF">2025-03-19T06:58:00Z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9.1, Build 20240808</vt:lpwstr>
  </property>
  <property fmtid="{D5CDD505-2E9C-101B-9397-08002B2CF9AE}" pid="8" name="Created using">
    <vt:lpwstr>LW 7.0.1, Build 20200226</vt:lpwstr>
  </property>
  <property fmtid="{D5CDD505-2E9C-101B-9397-08002B2CF9AE}" pid="9" name="MSIP_Label_6bd9ddd1-4d20-43f6-abfa-fc3c07406f94_Enabled">
    <vt:lpwstr>true</vt:lpwstr>
  </property>
  <property fmtid="{D5CDD505-2E9C-101B-9397-08002B2CF9AE}" pid="10" name="MSIP_Label_6bd9ddd1-4d20-43f6-abfa-fc3c07406f94_SetDate">
    <vt:lpwstr>2023-01-06T16:26:08Z</vt:lpwstr>
  </property>
  <property fmtid="{D5CDD505-2E9C-101B-9397-08002B2CF9AE}" pid="11" name="MSIP_Label_6bd9ddd1-4d20-43f6-abfa-fc3c07406f94_Method">
    <vt:lpwstr>Privileged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4805f13c-dee7-466f-8124-a3d55c6ed3fb</vt:lpwstr>
  </property>
  <property fmtid="{D5CDD505-2E9C-101B-9397-08002B2CF9AE}" pid="15" name="MSIP_Label_6bd9ddd1-4d20-43f6-abfa-fc3c07406f94_ContentBits">
    <vt:lpwstr>0</vt:lpwstr>
  </property>
  <property fmtid="{D5CDD505-2E9C-101B-9397-08002B2CF9AE}" pid="16" name="ContentTypeId">
    <vt:lpwstr>0x01010042F58E2EF54E454EA52B55214ED8DE92</vt:lpwstr>
  </property>
  <property fmtid="{D5CDD505-2E9C-101B-9397-08002B2CF9AE}" pid="17" name="_dlc_DocIdItemGuid">
    <vt:lpwstr>db1e2f6f-95af-4d44-836c-7358ec0b13c1</vt:lpwstr>
  </property>
  <property fmtid="{D5CDD505-2E9C-101B-9397-08002B2CF9AE}" pid="18" name="MediaServiceImageTags">
    <vt:lpwstr/>
  </property>
  <property name="OP_sanitized" fmtid="{D5CDD505-2E9C-101B-9397-08002B2CF9AE}" pid="19">
    <vt:lpwstr>True</vt:lpwstr>
  </property>
</Properties>
</file>