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D9" w:rsidRPr="003E5488" w:rsidRDefault="00C511A5" w:rsidP="00C511A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14F2D1A-61B8-4194-9B35-9C0062CABDD8" style="width:455.25pt;height:355.5pt">
            <v:imagedata r:id="rId11" o:title=""/>
          </v:shape>
        </w:pict>
      </w:r>
    </w:p>
    <w:p w:rsidR="00E628D9" w:rsidRPr="003E5488" w:rsidRDefault="00E628D9" w:rsidP="00E628D9">
      <w:pPr>
        <w:rPr>
          <w:noProof/>
        </w:rPr>
        <w:sectPr w:rsidR="00E628D9" w:rsidRPr="003E5488" w:rsidSect="00C511A5">
          <w:footerReference w:type="even" r:id="rId12"/>
          <w:footerReference w:type="default" r:id="rId13"/>
          <w:pgSz w:w="11907" w:h="16839"/>
          <w:pgMar w:top="1134" w:right="1417" w:bottom="1134" w:left="1417" w:header="709" w:footer="709" w:gutter="0"/>
          <w:pgNumType w:start="0"/>
          <w:cols w:space="720"/>
          <w:docGrid w:linePitch="360"/>
        </w:sectPr>
      </w:pPr>
    </w:p>
    <w:p w:rsidR="00E628D9" w:rsidRPr="003E5488" w:rsidRDefault="00E628D9" w:rsidP="00BB6B30">
      <w:pPr>
        <w:pStyle w:val="Exposdesmotifstitre"/>
        <w:rPr>
          <w:noProof/>
        </w:rPr>
      </w:pPr>
      <w:bookmarkStart w:id="0" w:name="_GoBack"/>
      <w:bookmarkEnd w:id="0"/>
      <w:r w:rsidRPr="003E5488">
        <w:rPr>
          <w:noProof/>
        </w:rPr>
        <w:lastRenderedPageBreak/>
        <w:t>AIŠKINAMASIS MEMORANDUMAS</w:t>
      </w:r>
    </w:p>
    <w:p w:rsidR="00E628D9" w:rsidRPr="003E5488" w:rsidRDefault="00E628D9" w:rsidP="00BB6B30">
      <w:pPr>
        <w:pStyle w:val="ManualHeading1"/>
        <w:rPr>
          <w:noProof/>
        </w:rPr>
      </w:pPr>
      <w:r w:rsidRPr="003E5488">
        <w:rPr>
          <w:noProof/>
        </w:rPr>
        <w:t>1.</w:t>
      </w:r>
      <w:r w:rsidRPr="003E5488">
        <w:rPr>
          <w:noProof/>
        </w:rPr>
        <w:tab/>
        <w:t>PASIŪLYMO APLINKYBĖS</w:t>
      </w:r>
    </w:p>
    <w:p w:rsidR="00E628D9" w:rsidRPr="003E5488" w:rsidRDefault="00E628D9" w:rsidP="00044058">
      <w:pPr>
        <w:pStyle w:val="ManualHeading2"/>
        <w:rPr>
          <w:rFonts w:eastAsia="Arial Unicode MS"/>
          <w:noProof/>
        </w:rPr>
      </w:pPr>
      <w:r w:rsidRPr="003E5488">
        <w:rPr>
          <w:noProof/>
          <w:color w:val="000000"/>
          <w:u w:color="000000"/>
          <w:bdr w:val="nil"/>
        </w:rPr>
        <w:t>•</w:t>
      </w:r>
      <w:r w:rsidRPr="003E5488">
        <w:rPr>
          <w:noProof/>
          <w:color w:val="000000"/>
          <w:u w:color="000000"/>
          <w:bdr w:val="nil"/>
        </w:rPr>
        <w:tab/>
      </w:r>
      <w:r w:rsidRPr="003E5488">
        <w:rPr>
          <w:noProof/>
        </w:rPr>
        <w:t>Pasiūlymo pagrindimas ir tikslai</w:t>
      </w:r>
    </w:p>
    <w:p w:rsidR="00417030" w:rsidRPr="003E5488" w:rsidRDefault="00417030" w:rsidP="00417030">
      <w:pPr>
        <w:pBdr>
          <w:top w:val="nil"/>
          <w:left w:val="nil"/>
          <w:bottom w:val="nil"/>
          <w:right w:val="nil"/>
          <w:between w:val="nil"/>
          <w:bar w:val="nil"/>
        </w:pBdr>
        <w:spacing w:before="0" w:after="240"/>
        <w:rPr>
          <w:noProof/>
          <w:color w:val="000000"/>
          <w:shd w:val="clear" w:color="auto" w:fill="FFFFFF"/>
        </w:rPr>
      </w:pPr>
      <w:r w:rsidRPr="003E5488">
        <w:rPr>
          <w:noProof/>
        </w:rPr>
        <w:t>Tarybos reglamentas (ES) 2017/1939, kuriuo įgyvendinamas tvirtesnis bendradarbiavimas Europos prokuratūros įsteigimo srityje, priimtas 2017 m. spalio 12 d. ir įsigaliojo 2017 m. lapkričio 20 d.</w:t>
      </w:r>
      <w:r w:rsidRPr="003E5488">
        <w:rPr>
          <w:rStyle w:val="FootnoteReference"/>
          <w:rFonts w:eastAsia="Arial Unicode MS"/>
          <w:noProof/>
          <w:lang w:eastAsia="en-GB"/>
        </w:rPr>
        <w:footnoteReference w:id="1"/>
      </w:r>
      <w:r w:rsidRPr="003E5488">
        <w:rPr>
          <w:noProof/>
        </w:rPr>
        <w:t xml:space="preserve"> </w:t>
      </w:r>
      <w:r w:rsidRPr="003E5488">
        <w:rPr>
          <w:noProof/>
          <w:color w:val="000000"/>
          <w:shd w:val="clear" w:color="auto" w:fill="FFFFFF"/>
        </w:rPr>
        <w:t>2021 m. birželio 1 d. Europos prokuratūra prisiėmė šiuo reglamentu jai priskirtas tyrimo ir baudžiamojo persekiojimo užduotis. Europos prokuratūra atsako už Sąjungos finansiniams interesams kenkiančių nusikalstamų veikų, numatytų Direktyvoje (ES) 2017/1371</w:t>
      </w:r>
      <w:r w:rsidRPr="003E5488">
        <w:rPr>
          <w:rStyle w:val="FootnoteReference"/>
          <w:noProof/>
          <w:color w:val="000000"/>
        </w:rPr>
        <w:footnoteReference w:id="2"/>
      </w:r>
      <w:r w:rsidRPr="003E5488">
        <w:rPr>
          <w:noProof/>
          <w:color w:val="000000"/>
          <w:shd w:val="clear" w:color="auto" w:fill="FFFFFF"/>
        </w:rPr>
        <w:t>, įgyvendintoje nacionalinėje teisėje, ir nustatytų Reglamente (ES) 2017/1939, tyrimą, šių nusikalstamų veikų vykdytojų ir jų bendrininkų baudžiamąjį persekiojimą ir perdavimą teismui.</w:t>
      </w:r>
    </w:p>
    <w:p w:rsidR="00417030" w:rsidRPr="003E5488" w:rsidRDefault="00417030" w:rsidP="00417030">
      <w:pPr>
        <w:pBdr>
          <w:top w:val="nil"/>
          <w:left w:val="nil"/>
          <w:bottom w:val="nil"/>
          <w:right w:val="nil"/>
          <w:between w:val="nil"/>
          <w:bar w:val="nil"/>
        </w:pBdr>
        <w:spacing w:before="0" w:after="240"/>
        <w:rPr>
          <w:noProof/>
        </w:rPr>
      </w:pPr>
      <w:r w:rsidRPr="003E5488">
        <w:rPr>
          <w:noProof/>
        </w:rPr>
        <w:t>Pagal Reglamento (ES) 2017/1939 8 straipsnį Europos prokuratūra organizuojama centriniu ir decentralizuotu lygmenimis. Europos vyriausiasis prokuroras ir Europos prokurorai, kurių po vieną skiriama nuo kiekvienos valstybės narės, dalyvaujančios tvirtesnio bendradarbiavimo steigiant Europos prokuratūrą veikloje, yra Europos prokuratūros centrinio lygmens dalis ir sudaro Europos prokuratūros kolegiją. 2019 m. spalio mėn. Europos Parlamentas ir Taryba bendru sutarimu paskyrė pirmąjį Europos vyriausiąjį prokurorą</w:t>
      </w:r>
      <w:r w:rsidRPr="003E5488">
        <w:rPr>
          <w:rStyle w:val="FootnoteReference"/>
          <w:noProof/>
        </w:rPr>
        <w:footnoteReference w:id="3"/>
      </w:r>
      <w:r w:rsidRPr="003E5488">
        <w:rPr>
          <w:noProof/>
        </w:rPr>
        <w:t>. 2020 m. liepos mėn. Taryba paskyrė pirmuosius 22 Europos prokuratūros Europos prokurorus.</w:t>
      </w:r>
    </w:p>
    <w:p w:rsidR="00417030" w:rsidRPr="003E5488" w:rsidRDefault="00417030" w:rsidP="00417030">
      <w:pPr>
        <w:pBdr>
          <w:top w:val="nil"/>
          <w:left w:val="nil"/>
          <w:bottom w:val="nil"/>
          <w:right w:val="nil"/>
          <w:between w:val="nil"/>
          <w:bar w:val="nil"/>
        </w:pBdr>
        <w:spacing w:before="0" w:after="240"/>
        <w:rPr>
          <w:noProof/>
        </w:rPr>
      </w:pPr>
      <w:r w:rsidRPr="003E5488">
        <w:rPr>
          <w:noProof/>
        </w:rPr>
        <w:t xml:space="preserve">Europos vyriausiojo prokuroro įgaliojimų trukmė yra septyneri metai ir negali būti pratęsiama (Reglamento (ES) 2017/1939 14 straipsnio 1 dalis). Europos prokurorams įgaliojimai suteikiami šešeriems metams ir Taryba </w:t>
      </w:r>
      <w:r w:rsidRPr="003E5488">
        <w:rPr>
          <w:noProof/>
          <w:color w:val="000000"/>
          <w:shd w:val="clear" w:color="auto" w:fill="FFFFFF"/>
        </w:rPr>
        <w:t>gali nuspręsti įgaliojimus pratęsti ne ilgiau kaip trejiems metams (</w:t>
      </w:r>
      <w:r w:rsidRPr="003E5488">
        <w:rPr>
          <w:noProof/>
        </w:rPr>
        <w:t>Reglamento (ES) 2017/1939 16 straipsnio 3 dalis)</w:t>
      </w:r>
      <w:r w:rsidRPr="003E5488">
        <w:rPr>
          <w:noProof/>
          <w:color w:val="000000"/>
          <w:shd w:val="clear" w:color="auto" w:fill="FFFFFF"/>
        </w:rPr>
        <w:t>. Reglamento</w:t>
      </w:r>
      <w:r w:rsidRPr="003E5488">
        <w:rPr>
          <w:noProof/>
        </w:rPr>
        <w:t xml:space="preserve"> (ES) 2017/1939 16 straipsnio 4 dalyje nustatyta, kad kas trejus metus pakeičiama trečdalis Europos prokurorų, ir reikalaujama, kad Taryba paprasta balsų dauguma priimtų pereinamojo laikotarpio taisykles dėl Europos prokurorų skyrimo pirmai kadencijai ir tos kadencijos metu. Tuo remdamasi Taryba priėmė 2019 m. balandžio 9 d. Tarybos įgyvendinimo sprendimą (ES) 2019/598, kuriame nustatyta, kad traukiant burtus paskirtų Europos prokurorų iš aštuonių valstybių narių įgaliojimai turėtų būti suteikiami trejiems metams ir neturėtų būti atnaujinami. Todėl šių Europos prokurorų įgaliojimai baigėsi 2023 m. liepos mėn. </w:t>
      </w:r>
    </w:p>
    <w:p w:rsidR="00417030" w:rsidRPr="003E5488" w:rsidRDefault="00417030" w:rsidP="00417030">
      <w:pPr>
        <w:pBdr>
          <w:top w:val="nil"/>
          <w:left w:val="nil"/>
          <w:bottom w:val="nil"/>
          <w:right w:val="nil"/>
          <w:between w:val="nil"/>
          <w:bar w:val="nil"/>
        </w:pBdr>
        <w:spacing w:before="0" w:after="240"/>
        <w:rPr>
          <w:noProof/>
        </w:rPr>
      </w:pPr>
      <w:r w:rsidRPr="003E5488">
        <w:rPr>
          <w:noProof/>
        </w:rPr>
        <w:t xml:space="preserve">Reglamento (ES) 2017/1939 14 straipsnio 3 dalyje nustatyta, kad Europos vyriausiojo prokuroro atranka turėtų būti grindžiama atviru kvietimu teikti kandidatūras, skelbiamu </w:t>
      </w:r>
      <w:r w:rsidRPr="003E5488">
        <w:rPr>
          <w:i/>
          <w:iCs/>
          <w:noProof/>
        </w:rPr>
        <w:t>Europos Sąjungos oficialiajame leidinyje</w:t>
      </w:r>
      <w:r w:rsidRPr="003E5488">
        <w:rPr>
          <w:noProof/>
        </w:rPr>
        <w:t xml:space="preserve">; po to atrankos komisija sudaro kvalifikuotų kandidatų galutinį sąrašą, kuris turi būti pateiktas Europos Parlamentui ir Tarybai. Reglamento (ES) 2017/1939 16 straipsnio 2 dalyje nustatyta, kad Taryba, gavusi to paties reglamento 14 straipsnio 3 dalyje nurodytos atrankos komisijos motyvuotą nuomonę, atrenka vieną iš valstybių narių pasiūlytų kandidatų ir skiria jį Europos prokuroru. </w:t>
      </w:r>
    </w:p>
    <w:p w:rsidR="00417030" w:rsidRPr="003E5488" w:rsidRDefault="00417030" w:rsidP="00417030">
      <w:pPr>
        <w:pBdr>
          <w:top w:val="nil"/>
          <w:left w:val="nil"/>
          <w:bottom w:val="nil"/>
          <w:right w:val="nil"/>
          <w:between w:val="nil"/>
          <w:bar w:val="nil"/>
        </w:pBdr>
        <w:spacing w:before="0" w:after="240"/>
        <w:rPr>
          <w:noProof/>
        </w:rPr>
      </w:pPr>
      <w:r w:rsidRPr="003E5488">
        <w:rPr>
          <w:noProof/>
        </w:rPr>
        <w:t xml:space="preserve">Pagal pastarąją nuostatą atrankos komisiją turėtų sudaryti 12 asmenų, kuriuos, remdamasi Komisijos pasiūlymu, skiria Taryba ir kurie parenkami iš buvusių Teisingumo Teismo ir </w:t>
      </w:r>
      <w:r w:rsidRPr="003E5488">
        <w:rPr>
          <w:noProof/>
        </w:rPr>
        <w:lastRenderedPageBreak/>
        <w:t xml:space="preserve">Audito Rūmų narių, buvusių Eurojusto nacionalinių narių, nacionalinių aukščiausiųjų teismų narių, aukšto lygio prokurorų ir pripažintos kompetencijos teisininkų. Vieną iš parenkamų asmenų turėtų pasiūlyti Europos Parlamentas. </w:t>
      </w:r>
    </w:p>
    <w:p w:rsidR="00417030" w:rsidRPr="003E5488" w:rsidRDefault="00417030" w:rsidP="00417030">
      <w:pPr>
        <w:pBdr>
          <w:top w:val="nil"/>
          <w:left w:val="nil"/>
          <w:bottom w:val="nil"/>
          <w:right w:val="nil"/>
          <w:between w:val="nil"/>
          <w:bar w:val="nil"/>
        </w:pBdr>
        <w:spacing w:before="0" w:after="240"/>
        <w:rPr>
          <w:bCs/>
          <w:noProof/>
        </w:rPr>
      </w:pPr>
      <w:r w:rsidRPr="003E5488">
        <w:rPr>
          <w:noProof/>
        </w:rPr>
        <w:t>12 pirmosios atrankos komisijos narių, remdamasi Komisijos pasiūlymu, Taryba paskyrė 2018 m. spalio mėn.</w:t>
      </w:r>
      <w:r w:rsidRPr="003E5488">
        <w:rPr>
          <w:rStyle w:val="FootnoteReference"/>
          <w:noProof/>
        </w:rPr>
        <w:footnoteReference w:id="4"/>
      </w:r>
      <w:r w:rsidRPr="003E5488">
        <w:rPr>
          <w:noProof/>
        </w:rPr>
        <w:t>, o 12 dabartinės atrankos komisijos narių buvo paskirti 2023 m. sausio mėn. ketverių metų laikotarpiui nuo 2023 m. sausio 20 d.</w:t>
      </w:r>
      <w:r w:rsidRPr="003E5488">
        <w:rPr>
          <w:rStyle w:val="FootnoteReference"/>
          <w:noProof/>
        </w:rPr>
        <w:footnoteReference w:id="5"/>
      </w:r>
      <w:r w:rsidRPr="003E5488">
        <w:rPr>
          <w:noProof/>
        </w:rPr>
        <w:t xml:space="preserve"> Kroatijos Respublikos Aukščiausiojo Teismo teisėjas Marinas </w:t>
      </w:r>
      <w:r w:rsidRPr="003E5488">
        <w:rPr>
          <w:caps/>
          <w:noProof/>
        </w:rPr>
        <w:t>Mrčela</w:t>
      </w:r>
      <w:r w:rsidRPr="003E5488">
        <w:rPr>
          <w:noProof/>
        </w:rPr>
        <w:t xml:space="preserve"> buvo vienas iš 2023 m. sausio mėn. paskirtų atrankos komisijos narių. 2024 m. balandžio 8 d. Marinas </w:t>
      </w:r>
      <w:r w:rsidRPr="003E5488">
        <w:rPr>
          <w:caps/>
          <w:noProof/>
        </w:rPr>
        <w:t>Mrčela</w:t>
      </w:r>
      <w:r w:rsidRPr="003E5488">
        <w:rPr>
          <w:noProof/>
        </w:rPr>
        <w:t xml:space="preserve"> informavo Europos Komisiją, kad nebegali būti atrankos komisijos nariu ir nusprendė atsistatydinti. Taryba buvo atitinkamai apie tai informuota; </w:t>
      </w:r>
    </w:p>
    <w:p w:rsidR="00417030" w:rsidRPr="003E5488" w:rsidRDefault="00417030" w:rsidP="00417030">
      <w:pPr>
        <w:pBdr>
          <w:top w:val="nil"/>
          <w:left w:val="nil"/>
          <w:bottom w:val="nil"/>
          <w:right w:val="nil"/>
          <w:between w:val="nil"/>
          <w:bar w:val="nil"/>
        </w:pBdr>
        <w:spacing w:before="0" w:after="240"/>
        <w:rPr>
          <w:rStyle w:val="Added"/>
          <w:b w:val="0"/>
          <w:noProof/>
          <w:szCs w:val="23"/>
          <w:u w:val="none"/>
        </w:rPr>
      </w:pPr>
      <w:r w:rsidRPr="003E5488">
        <w:rPr>
          <w:noProof/>
        </w:rPr>
        <w:t xml:space="preserve">Siekiant užtikrinti atrankos komisijos tęstinumą, Marinas </w:t>
      </w:r>
      <w:r w:rsidRPr="003E5488">
        <w:rPr>
          <w:caps/>
          <w:noProof/>
        </w:rPr>
        <w:t>Mrčela</w:t>
      </w:r>
      <w:r w:rsidRPr="003E5488">
        <w:rPr>
          <w:noProof/>
        </w:rPr>
        <w:t xml:space="preserve"> turėtų būti pakeistas. Laikantis atrankos komisijos darbo tvarkos taisyklių</w:t>
      </w:r>
      <w:r w:rsidRPr="003E5488">
        <w:rPr>
          <w:rStyle w:val="FootnoteReference"/>
          <w:noProof/>
          <w:szCs w:val="23"/>
        </w:rPr>
        <w:footnoteReference w:id="6"/>
      </w:r>
      <w:r w:rsidRPr="003E5488">
        <w:rPr>
          <w:noProof/>
        </w:rPr>
        <w:t xml:space="preserve">, likusiai Marino </w:t>
      </w:r>
      <w:r w:rsidRPr="003E5488">
        <w:rPr>
          <w:caps/>
          <w:noProof/>
        </w:rPr>
        <w:t>Mrčela</w:t>
      </w:r>
      <w:r w:rsidRPr="003E5488">
        <w:rPr>
          <w:noProof/>
        </w:rPr>
        <w:t xml:space="preserve"> kadencijos trukmei, t. y. iki 2027 m. sausio 20 d., turėtų būti paskirtas jį pakeičiantis narys. </w:t>
      </w:r>
      <w:r w:rsidRPr="003E5488">
        <w:rPr>
          <w:rStyle w:val="Added"/>
          <w:b w:val="0"/>
          <w:noProof/>
          <w:u w:val="none"/>
        </w:rPr>
        <w:t xml:space="preserve">Todėl šiuo pasiūlymu Komisija siūlo Tarybai vietoj Marino </w:t>
      </w:r>
      <w:r w:rsidRPr="003E5488">
        <w:rPr>
          <w:rStyle w:val="Added"/>
          <w:b w:val="0"/>
          <w:caps/>
          <w:noProof/>
          <w:u w:val="none"/>
        </w:rPr>
        <w:t>Mrčela</w:t>
      </w:r>
      <w:r w:rsidRPr="003E5488">
        <w:rPr>
          <w:rStyle w:val="Added"/>
          <w:b w:val="0"/>
          <w:noProof/>
          <w:u w:val="none"/>
        </w:rPr>
        <w:t xml:space="preserve"> atrankos komisijos nariu skirti Kroatijos Respublikos valstybės prokuroro pavaduotoją Draženą </w:t>
      </w:r>
      <w:r w:rsidRPr="003E5488">
        <w:rPr>
          <w:rStyle w:val="Added"/>
          <w:b w:val="0"/>
          <w:caps/>
          <w:noProof/>
          <w:u w:val="none"/>
        </w:rPr>
        <w:t>Jelenić</w:t>
      </w:r>
      <w:r w:rsidRPr="003E5488">
        <w:rPr>
          <w:rStyle w:val="Added"/>
          <w:b w:val="0"/>
          <w:noProof/>
          <w:u w:val="none"/>
        </w:rPr>
        <w:t xml:space="preserve">. Draženas </w:t>
      </w:r>
      <w:r w:rsidRPr="003E5488">
        <w:rPr>
          <w:rStyle w:val="Added"/>
          <w:b w:val="0"/>
          <w:caps/>
          <w:noProof/>
          <w:u w:val="none"/>
        </w:rPr>
        <w:t>Jelenić</w:t>
      </w:r>
      <w:r w:rsidRPr="003E5488">
        <w:rPr>
          <w:rStyle w:val="Added"/>
          <w:b w:val="0"/>
          <w:noProof/>
          <w:u w:val="none"/>
        </w:rPr>
        <w:t xml:space="preserve"> </w:t>
      </w:r>
      <w:r w:rsidRPr="003E5488">
        <w:rPr>
          <w:noProof/>
        </w:rPr>
        <w:t xml:space="preserve"> atitinka pirmiau nurodytus Reglamento (ES) 2017/1939 14 straipsnio 3 dalyje nustatytus reikalavimus. Siūlydama jį kaip narį, Komisija atsižvelgė į poreikį užtikrinti geografinę pusiausvyrą, lyčių pusiausvyrą ir tinkamas žinias apie Europos prokuratūros veikloje dalyvaujančių valstybių teisines sistemas.</w:t>
      </w:r>
    </w:p>
    <w:p w:rsidR="00E628D9" w:rsidRPr="003E5488" w:rsidRDefault="00E628D9" w:rsidP="00044058">
      <w:pPr>
        <w:pStyle w:val="ManualHeading2"/>
        <w:rPr>
          <w:rFonts w:eastAsia="Arial Unicode MS"/>
          <w:noProof/>
          <w:color w:val="000000"/>
          <w:u w:color="000000"/>
          <w:bdr w:val="nil"/>
        </w:rPr>
      </w:pPr>
      <w:r w:rsidRPr="003E5488">
        <w:rPr>
          <w:noProof/>
          <w:color w:val="000000"/>
          <w:u w:color="000000"/>
          <w:bdr w:val="nil"/>
        </w:rPr>
        <w:t>•</w:t>
      </w:r>
      <w:r w:rsidRPr="003E5488">
        <w:rPr>
          <w:noProof/>
          <w:color w:val="000000"/>
          <w:u w:color="000000"/>
          <w:bdr w:val="nil"/>
        </w:rPr>
        <w:tab/>
      </w:r>
      <w:r w:rsidRPr="003E5488">
        <w:rPr>
          <w:noProof/>
        </w:rPr>
        <w:t>Suderinamumas su toje pačioje politikos srityje galiojančiomis nuostatomis</w:t>
      </w:r>
    </w:p>
    <w:p w:rsidR="00417030" w:rsidRPr="003E5488" w:rsidRDefault="00417030" w:rsidP="00417030">
      <w:pPr>
        <w:pBdr>
          <w:top w:val="nil"/>
          <w:left w:val="nil"/>
          <w:bottom w:val="nil"/>
          <w:right w:val="nil"/>
          <w:between w:val="nil"/>
          <w:bar w:val="nil"/>
        </w:pBdr>
        <w:spacing w:before="0" w:after="240"/>
        <w:rPr>
          <w:noProof/>
          <w:sz w:val="23"/>
          <w:szCs w:val="23"/>
        </w:rPr>
      </w:pPr>
      <w:r w:rsidRPr="003E5488">
        <w:rPr>
          <w:noProof/>
          <w:sz w:val="23"/>
        </w:rPr>
        <w:t xml:space="preserve">Europos prokuratūra įsteigta remiantis SESV 86 straipsniu priimtu Reglamentu (ES) 2017/1939. Europos prokuratūra Reglamentu (ES) 2017/1939 jai priskirtas funkcijas vykdo nuo 2021 m. birželio 1 d. Pateikdama šį Tarybos sprendimo, kuriuo pakeičiamas vienas iš dabartinių atrankos komisijos narių, pasiūlymą Komisija vykdo savo pareigą pagal Reglamento (ES) 2017/1939 14 straipsnio 3 dalį. Šiuo pasiūlymu leidžiama pakeisti vieną dabartinės atrankos komisijos narį, kurio įgaliojimai </w:t>
      </w:r>
      <w:r w:rsidRPr="003E5488">
        <w:rPr>
          <w:rStyle w:val="Deleted"/>
          <w:strike w:val="0"/>
          <w:noProof/>
        </w:rPr>
        <w:t xml:space="preserve">is due to </w:t>
      </w:r>
      <w:r w:rsidRPr="003E5488">
        <w:rPr>
          <w:noProof/>
          <w:sz w:val="23"/>
        </w:rPr>
        <w:t>baigiasi 2027 m. sausio 20 d. Svarbu, kad atrankos komisija visapusiškai veiktų ir dėl to būtų galima tinkamai užbaigti Europos prokuroro iš Lenkijos</w:t>
      </w:r>
      <w:r w:rsidRPr="003E5488">
        <w:rPr>
          <w:rStyle w:val="FootnoteReference"/>
          <w:noProof/>
          <w:sz w:val="23"/>
          <w:szCs w:val="23"/>
        </w:rPr>
        <w:footnoteReference w:id="7"/>
      </w:r>
      <w:r w:rsidRPr="003E5488">
        <w:rPr>
          <w:noProof/>
          <w:sz w:val="23"/>
        </w:rPr>
        <w:t xml:space="preserve">, taip pat Europos prokurorų, kurie turės būti pakeisti 2026 m., ir naujojo Europos vyriausiojo prokuroro, kuris taip pat turės būti paskirtas 2026 m., atrankos ir skyrimo procedūras. </w:t>
      </w:r>
    </w:p>
    <w:p w:rsidR="00E628D9" w:rsidRPr="003E5488" w:rsidRDefault="00E628D9" w:rsidP="00A4693B">
      <w:pPr>
        <w:pStyle w:val="ManualHeading2"/>
        <w:rPr>
          <w:rFonts w:eastAsia="Arial Unicode MS"/>
          <w:noProof/>
        </w:rPr>
      </w:pPr>
      <w:r w:rsidRPr="003E5488">
        <w:rPr>
          <w:noProof/>
          <w:color w:val="000000"/>
          <w:u w:color="000000"/>
          <w:bdr w:val="nil"/>
        </w:rPr>
        <w:t>•</w:t>
      </w:r>
      <w:r w:rsidRPr="003E5488">
        <w:rPr>
          <w:noProof/>
          <w:color w:val="000000"/>
          <w:u w:color="000000"/>
          <w:bdr w:val="nil"/>
        </w:rPr>
        <w:tab/>
      </w:r>
      <w:r w:rsidRPr="003E5488">
        <w:rPr>
          <w:noProof/>
        </w:rPr>
        <w:t>Suderinamumas su kitomis Sąjungos politikos sritimis</w:t>
      </w:r>
    </w:p>
    <w:p w:rsidR="00417030" w:rsidRPr="003E5488" w:rsidRDefault="00417030" w:rsidP="00417030">
      <w:pPr>
        <w:pBdr>
          <w:top w:val="nil"/>
          <w:left w:val="nil"/>
          <w:bottom w:val="nil"/>
          <w:right w:val="nil"/>
          <w:between w:val="nil"/>
          <w:bar w:val="nil"/>
        </w:pBdr>
        <w:spacing w:before="0" w:after="240"/>
        <w:rPr>
          <w:rFonts w:eastAsia="Arial Unicode MS"/>
          <w:noProof/>
          <w:sz w:val="28"/>
        </w:rPr>
      </w:pPr>
      <w:r w:rsidRPr="003E5488">
        <w:rPr>
          <w:noProof/>
        </w:rPr>
        <w:t>Šis pasiūlymas dera su kitų sričių Sąjungos politika, kuria siekiama stiprinti Sąjungos finansinių interesų apsaugą.</w:t>
      </w:r>
    </w:p>
    <w:p w:rsidR="00E628D9" w:rsidRPr="003E5488" w:rsidRDefault="00E628D9" w:rsidP="00550536">
      <w:pPr>
        <w:pStyle w:val="ManualHeading1"/>
        <w:rPr>
          <w:noProof/>
        </w:rPr>
      </w:pPr>
      <w:r w:rsidRPr="003E5488">
        <w:rPr>
          <w:noProof/>
        </w:rPr>
        <w:lastRenderedPageBreak/>
        <w:t>2.</w:t>
      </w:r>
      <w:r w:rsidRPr="003E5488">
        <w:rPr>
          <w:noProof/>
        </w:rPr>
        <w:tab/>
        <w:t>TEISINIS PAGRINDAS, SUBSIDIARUMO IR PROPORCINGUMO PRINCIPAI</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Teisinis pagrindas</w:t>
      </w:r>
    </w:p>
    <w:p w:rsidR="00417030" w:rsidRPr="003E5488" w:rsidRDefault="00417030" w:rsidP="00417030">
      <w:pPr>
        <w:pBdr>
          <w:top w:val="nil"/>
          <w:left w:val="nil"/>
          <w:bottom w:val="nil"/>
          <w:right w:val="nil"/>
          <w:between w:val="nil"/>
          <w:bar w:val="nil"/>
        </w:pBdr>
        <w:spacing w:before="0" w:after="240"/>
        <w:rPr>
          <w:rFonts w:eastAsia="Arial Unicode MS"/>
          <w:noProof/>
          <w:color w:val="0000FF"/>
        </w:rPr>
      </w:pPr>
      <w:r w:rsidRPr="003E5488">
        <w:rPr>
          <w:noProof/>
          <w:sz w:val="23"/>
        </w:rPr>
        <w:t>Pasiūlymas grindžiamas Reglamento (ES) 2017/1939 14 straipsnio 3 dalimi.</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 xml:space="preserve">Subsidiarumo principas (neišimtinės kompetencijos atveju) </w:t>
      </w:r>
    </w:p>
    <w:p w:rsidR="00417030" w:rsidRPr="003E5488" w:rsidRDefault="00417030" w:rsidP="00417030">
      <w:pPr>
        <w:pBdr>
          <w:top w:val="nil"/>
          <w:left w:val="nil"/>
          <w:bottom w:val="nil"/>
          <w:right w:val="nil"/>
          <w:between w:val="nil"/>
          <w:bar w:val="nil"/>
        </w:pBdr>
        <w:spacing w:before="0" w:after="240"/>
        <w:rPr>
          <w:rFonts w:eastAsia="Arial Unicode MS"/>
          <w:noProof/>
          <w:sz w:val="28"/>
        </w:rPr>
      </w:pPr>
      <w:r w:rsidRPr="003E5488">
        <w:rPr>
          <w:noProof/>
        </w:rPr>
        <w:t>Sprendimą dėl Reglamento (ES) 2017/1939 14 straipsnio 3 dalyje nustatytos atrankos komisijos narių skyrimo gali priimti tik Taryba, remdamasi Komisijos pasiūlymu, taigi tai yra išimtinė kompetencija, kuriai subsidiarumo principas netaikomas.</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Proporcingumo principas</w:t>
      </w:r>
    </w:p>
    <w:p w:rsidR="00417030" w:rsidRPr="003E5488" w:rsidRDefault="00417030" w:rsidP="00417030">
      <w:pPr>
        <w:pBdr>
          <w:top w:val="nil"/>
          <w:left w:val="nil"/>
          <w:bottom w:val="nil"/>
          <w:right w:val="nil"/>
          <w:between w:val="nil"/>
          <w:bar w:val="nil"/>
        </w:pBdr>
        <w:spacing w:before="0" w:after="240"/>
        <w:rPr>
          <w:rFonts w:eastAsia="Arial Unicode MS"/>
          <w:noProof/>
          <w:color w:val="0000FF"/>
          <w:sz w:val="28"/>
        </w:rPr>
      </w:pPr>
      <w:r w:rsidRPr="003E5488">
        <w:rPr>
          <w:noProof/>
        </w:rPr>
        <w:t>Šis pasiūlymas apima tik tai, kas būtina siūlomiems tikslams pasiekti, taigi jis atitinka proporcingumo principą. Šis pasiūlymas yra labai svarbus siekiant užtikrinti, kad Europos vyriausiasis prokuroras ir Europos prokurorai galėtų būti pakeisti pasibaigus jų įgaliojimams ir kad būtų paskirti Europos prokurorai iš valstybių narių, kurios neseniai prisijungė arba netrukus prisijungs prie tvirtesnio bendradarbiavimo steigiant Europos prokuratūrą veiklos, taip užtikrinant visišką pasirengimą Europos prokuratūros operatyvinei veiklai ir jos tęstinumą.</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Priemonės pasirinkimas</w:t>
      </w:r>
    </w:p>
    <w:p w:rsidR="00417030" w:rsidRPr="003E5488" w:rsidRDefault="00417030" w:rsidP="00417030">
      <w:pPr>
        <w:pBdr>
          <w:top w:val="nil"/>
          <w:left w:val="nil"/>
          <w:bottom w:val="nil"/>
          <w:right w:val="nil"/>
          <w:between w:val="nil"/>
          <w:bar w:val="nil"/>
        </w:pBdr>
        <w:spacing w:before="0" w:after="240"/>
        <w:rPr>
          <w:rFonts w:eastAsia="Arial Unicode MS"/>
          <w:noProof/>
        </w:rPr>
      </w:pPr>
      <w:r w:rsidRPr="003E5488">
        <w:rPr>
          <w:noProof/>
          <w:sz w:val="23"/>
        </w:rPr>
        <w:t>Reglamento (ES) 2017/1939 14 straipsnio 3 dalyje nustatyta, kad Taryba, remdamasi Komisijos pasiūlymu, turi priimti sprendimą, kuriuo skiriami atrankos komisijos nariai. Be to, atrankos komisijos veiklos taisyklių II taisyklėje nustatyta, kad laikantis tos pačios procedūros likusiam kadencijos laikui turėtų būti paskirtas asmuo, pakeisiantis atrankos komisijos narį. Todėl pagal galiojančius šios srities teisės aktus turi būti pasirinkta siūloma priemonė.</w:t>
      </w:r>
    </w:p>
    <w:p w:rsidR="00E628D9" w:rsidRPr="003E5488" w:rsidRDefault="00E628D9" w:rsidP="00550536">
      <w:pPr>
        <w:pStyle w:val="ManualHeading1"/>
        <w:rPr>
          <w:noProof/>
        </w:rPr>
      </w:pPr>
      <w:r w:rsidRPr="003E5488">
        <w:rPr>
          <w:noProof/>
        </w:rPr>
        <w:t>3.</w:t>
      </w:r>
      <w:r w:rsidRPr="003E5488">
        <w:rPr>
          <w:noProof/>
        </w:rPr>
        <w:tab/>
      </w:r>
      <w:r w:rsidRPr="003E5488">
        <w:rPr>
          <w:i/>
          <w:iCs/>
          <w:noProof/>
        </w:rPr>
        <w:t>EX POST</w:t>
      </w:r>
      <w:r w:rsidRPr="003E5488">
        <w:rPr>
          <w:noProof/>
        </w:rPr>
        <w:t xml:space="preserve"> VERTINIMO, KONSULTACIJŲ SU SUINTERESUOTOSIOMIS ŠALIMIS IR POVEIKIO VERTINIMO REZULTATAI</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 xml:space="preserve">Galiojančių teisės aktų </w:t>
      </w:r>
      <w:r w:rsidRPr="003E5488">
        <w:rPr>
          <w:i/>
          <w:iCs/>
          <w:noProof/>
          <w:u w:color="000000"/>
          <w:bdr w:val="nil"/>
        </w:rPr>
        <w:t>ex post</w:t>
      </w:r>
      <w:r w:rsidRPr="003E5488">
        <w:rPr>
          <w:noProof/>
          <w:u w:color="000000"/>
          <w:bdr w:val="nil"/>
        </w:rPr>
        <w:t xml:space="preserve"> vertinimas / tinkamumo patikrinimas</w:t>
      </w:r>
    </w:p>
    <w:p w:rsidR="00417030" w:rsidRPr="003E5488" w:rsidRDefault="00417030" w:rsidP="00417030">
      <w:pPr>
        <w:pBdr>
          <w:top w:val="nil"/>
          <w:left w:val="nil"/>
          <w:bottom w:val="nil"/>
          <w:right w:val="nil"/>
          <w:between w:val="nil"/>
          <w:bar w:val="nil"/>
        </w:pBdr>
        <w:spacing w:before="0" w:after="240"/>
        <w:rPr>
          <w:rFonts w:eastAsia="Arial Unicode MS"/>
          <w:noProof/>
        </w:rPr>
      </w:pPr>
      <w:r w:rsidRPr="003E5488">
        <w:rPr>
          <w:noProof/>
          <w:sz w:val="23"/>
        </w:rPr>
        <w:t>Atsižvelgiant į techninį šio pasiūlymo pobūdį ir tai, kad Komisija neturi</w:t>
      </w:r>
      <w:r w:rsidRPr="003E5488">
        <w:rPr>
          <w:noProof/>
        </w:rPr>
        <w:t xml:space="preserve"> veiksmų laisvės, tai yra privalo vykdyti Reglamento (ES) 2017/1939 14 straipsnio 3 dalyje nustatytą pareigą, ex post vertinimai, konsultacijos su suinteresuotosiomis šalimis ir poveikio vertinimai nebuvo atlikti.</w:t>
      </w:r>
    </w:p>
    <w:p w:rsidR="00E628D9" w:rsidRPr="003E5488" w:rsidRDefault="00E628D9" w:rsidP="00550536">
      <w:pPr>
        <w:pStyle w:val="ManualHeading1"/>
        <w:rPr>
          <w:noProof/>
        </w:rPr>
      </w:pPr>
      <w:r w:rsidRPr="003E5488">
        <w:rPr>
          <w:noProof/>
        </w:rPr>
        <w:t>4.</w:t>
      </w:r>
      <w:r w:rsidRPr="003E5488">
        <w:rPr>
          <w:noProof/>
        </w:rPr>
        <w:tab/>
        <w:t>POVEIKIS BIUDŽETUI</w:t>
      </w:r>
    </w:p>
    <w:p w:rsidR="00417030" w:rsidRPr="003E5488" w:rsidRDefault="00417030" w:rsidP="00417030">
      <w:pPr>
        <w:pBdr>
          <w:top w:val="nil"/>
          <w:left w:val="nil"/>
          <w:bottom w:val="nil"/>
          <w:right w:val="nil"/>
          <w:between w:val="nil"/>
          <w:bar w:val="nil"/>
        </w:pBdr>
        <w:spacing w:before="0" w:after="240"/>
        <w:rPr>
          <w:rFonts w:eastAsia="Arial Unicode MS"/>
          <w:noProof/>
          <w:sz w:val="28"/>
        </w:rPr>
      </w:pPr>
      <w:r w:rsidRPr="003E5488">
        <w:rPr>
          <w:noProof/>
        </w:rPr>
        <w:t>Šis pasiūlymas neturi poveikio biudžetui.</w:t>
      </w:r>
    </w:p>
    <w:p w:rsidR="00E628D9" w:rsidRPr="003E5488" w:rsidRDefault="00E628D9" w:rsidP="00550536">
      <w:pPr>
        <w:pStyle w:val="ManualHeading1"/>
        <w:rPr>
          <w:noProof/>
        </w:rPr>
      </w:pPr>
      <w:r w:rsidRPr="003E5488">
        <w:rPr>
          <w:noProof/>
        </w:rPr>
        <w:t>5.</w:t>
      </w:r>
      <w:r w:rsidRPr="003E5488">
        <w:rPr>
          <w:noProof/>
        </w:rPr>
        <w:tab/>
        <w:t>KITI ELEMENTAI</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Įgyvendinimo planai ir stebėsena, vertinimas ir ataskaitų teikimo tvarka</w:t>
      </w:r>
    </w:p>
    <w:p w:rsidR="00417030" w:rsidRPr="003E5488" w:rsidRDefault="00417030" w:rsidP="00417030">
      <w:pPr>
        <w:pBdr>
          <w:top w:val="nil"/>
          <w:left w:val="nil"/>
          <w:bottom w:val="nil"/>
          <w:right w:val="nil"/>
          <w:between w:val="nil"/>
          <w:bar w:val="nil"/>
        </w:pBdr>
        <w:spacing w:before="0" w:after="240"/>
        <w:rPr>
          <w:rFonts w:eastAsia="Arial Unicode MS"/>
          <w:noProof/>
          <w:sz w:val="28"/>
        </w:rPr>
      </w:pPr>
      <w:r w:rsidRPr="003E5488">
        <w:rPr>
          <w:noProof/>
        </w:rPr>
        <w:t>Atsižvelgiant į šios priemonės pobūdį, įgyvendinimo planų, stebėsenos, vertinimo ir ataskaitų nereikia.</w:t>
      </w:r>
    </w:p>
    <w:p w:rsidR="00E628D9" w:rsidRPr="003E5488" w:rsidRDefault="00E628D9" w:rsidP="00A4693B">
      <w:pPr>
        <w:pStyle w:val="ManualHeading2"/>
        <w:rPr>
          <w:rFonts w:eastAsia="Arial Unicode MS"/>
          <w:noProof/>
          <w:u w:color="000000"/>
          <w:bdr w:val="nil"/>
        </w:rPr>
      </w:pPr>
      <w:r w:rsidRPr="003E5488">
        <w:rPr>
          <w:noProof/>
          <w:u w:color="000000"/>
          <w:bdr w:val="nil"/>
        </w:rPr>
        <w:t>•</w:t>
      </w:r>
      <w:r w:rsidRPr="003E5488">
        <w:rPr>
          <w:noProof/>
          <w:u w:color="000000"/>
          <w:bdr w:val="nil"/>
        </w:rPr>
        <w:tab/>
        <w:t>Išsamus konkrečių pasiūlymo nuostatų paaiškinimas</w:t>
      </w:r>
    </w:p>
    <w:p w:rsidR="00417030" w:rsidRPr="003E5488" w:rsidRDefault="00417030" w:rsidP="00417030">
      <w:pPr>
        <w:pBdr>
          <w:top w:val="nil"/>
          <w:left w:val="nil"/>
          <w:bottom w:val="nil"/>
          <w:right w:val="nil"/>
          <w:between w:val="nil"/>
          <w:bar w:val="nil"/>
        </w:pBdr>
        <w:spacing w:before="0" w:after="240"/>
        <w:rPr>
          <w:noProof/>
          <w:szCs w:val="23"/>
        </w:rPr>
      </w:pPr>
      <w:r w:rsidRPr="003E5488">
        <w:rPr>
          <w:noProof/>
          <w:sz w:val="23"/>
        </w:rPr>
        <w:t xml:space="preserve">1 straipsnyje nustatyta, kad </w:t>
      </w:r>
      <w:r w:rsidRPr="003E5488">
        <w:rPr>
          <w:rStyle w:val="Added"/>
          <w:b w:val="0"/>
          <w:noProof/>
          <w:u w:val="none"/>
        </w:rPr>
        <w:t xml:space="preserve">Draženas </w:t>
      </w:r>
      <w:r w:rsidRPr="003E5488">
        <w:rPr>
          <w:rStyle w:val="Added"/>
          <w:b w:val="0"/>
          <w:caps/>
          <w:noProof/>
          <w:u w:val="none"/>
        </w:rPr>
        <w:t>Jelenić</w:t>
      </w:r>
      <w:r w:rsidRPr="003E5488">
        <w:rPr>
          <w:noProof/>
          <w:sz w:val="23"/>
        </w:rPr>
        <w:t xml:space="preserve"> pakeičia Reglamento (ES) 2017/1939 14 straipsnio 3 dalyje numatytos atrankos komisijos narį Mariną MRČELA.</w:t>
      </w:r>
    </w:p>
    <w:p w:rsidR="00417030" w:rsidRPr="003E5488" w:rsidRDefault="00417030" w:rsidP="00417030">
      <w:pPr>
        <w:pBdr>
          <w:top w:val="nil"/>
          <w:left w:val="nil"/>
          <w:bottom w:val="nil"/>
          <w:right w:val="nil"/>
          <w:between w:val="nil"/>
          <w:bar w:val="nil"/>
        </w:pBdr>
        <w:spacing w:before="0" w:after="240"/>
        <w:rPr>
          <w:rFonts w:eastAsia="Arial Unicode MS"/>
          <w:noProof/>
          <w:sz w:val="28"/>
        </w:rPr>
      </w:pPr>
      <w:r w:rsidRPr="003E5488">
        <w:rPr>
          <w:noProof/>
        </w:rPr>
        <w:t xml:space="preserve">2 straipsnyje įtvirtinama nuostata dėl sprendimo įsigaliojimo. </w:t>
      </w:r>
    </w:p>
    <w:p w:rsidR="00E628D9" w:rsidRPr="003E5488" w:rsidRDefault="00E628D9" w:rsidP="00FD40BA">
      <w:pPr>
        <w:rPr>
          <w:noProof/>
        </w:rPr>
        <w:sectPr w:rsidR="00E628D9" w:rsidRPr="003E5488" w:rsidSect="00C511A5">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B61D4E" w:rsidRDefault="002672FF">
      <w:pPr>
        <w:pStyle w:val="Rfrenceinterinstitutionnelle"/>
        <w:rPr>
          <w:noProof/>
        </w:rPr>
      </w:pPr>
      <w:r>
        <w:rPr>
          <w:noProof/>
        </w:rPr>
        <w:lastRenderedPageBreak/>
        <w:t>2024/0118 (NLE)</w:t>
      </w:r>
    </w:p>
    <w:p w:rsidR="00E628D9" w:rsidRPr="003E5488" w:rsidRDefault="009A00F8" w:rsidP="009A00F8">
      <w:pPr>
        <w:pStyle w:val="Statut"/>
        <w:rPr>
          <w:noProof/>
        </w:rPr>
      </w:pPr>
      <w:r w:rsidRPr="009A00F8">
        <w:rPr>
          <w:noProof/>
        </w:rPr>
        <w:t>Pasiūlymas</w:t>
      </w:r>
    </w:p>
    <w:p w:rsidR="00E628D9" w:rsidRPr="003E5488" w:rsidRDefault="009A00F8" w:rsidP="009A00F8">
      <w:pPr>
        <w:pStyle w:val="Typedudocument"/>
        <w:rPr>
          <w:noProof/>
        </w:rPr>
      </w:pPr>
      <w:r w:rsidRPr="009A00F8">
        <w:rPr>
          <w:noProof/>
        </w:rPr>
        <w:t>TARYBOS SPRENDIMAS</w:t>
      </w:r>
    </w:p>
    <w:p w:rsidR="00E628D9" w:rsidRPr="003E5488" w:rsidRDefault="009A00F8" w:rsidP="009A00F8">
      <w:pPr>
        <w:pStyle w:val="Titreobjet"/>
        <w:rPr>
          <w:noProof/>
        </w:rPr>
      </w:pPr>
      <w:r w:rsidRPr="009A00F8">
        <w:rPr>
          <w:noProof/>
        </w:rPr>
        <w:t>kuriuos iš dalies keičiamas Sprendimas (ES) 2023/133, kuriuo skiriami Reglamento (ES) 2017/1939 14 straipsnio 3 dalyje numatytos atrankos komisijos nariai</w:t>
      </w:r>
    </w:p>
    <w:p w:rsidR="00417030" w:rsidRPr="003E5488" w:rsidRDefault="00417030" w:rsidP="00417030">
      <w:pPr>
        <w:keepNext/>
        <w:spacing w:before="600"/>
        <w:rPr>
          <w:noProof/>
        </w:rPr>
      </w:pPr>
      <w:r w:rsidRPr="003E5488">
        <w:rPr>
          <w:noProof/>
        </w:rPr>
        <w:t>EUROPOS SĄJUNGOS TARYBA,</w:t>
      </w:r>
    </w:p>
    <w:p w:rsidR="00417030" w:rsidRPr="003E5488" w:rsidRDefault="00417030" w:rsidP="00417030">
      <w:pPr>
        <w:rPr>
          <w:noProof/>
        </w:rPr>
      </w:pPr>
      <w:r w:rsidRPr="003E5488">
        <w:rPr>
          <w:noProof/>
        </w:rPr>
        <w:t>atsižvelgdama į Sutartį dėl Europos Sąjungos veikimo,</w:t>
      </w:r>
    </w:p>
    <w:p w:rsidR="00417030" w:rsidRPr="003E5488" w:rsidRDefault="00417030" w:rsidP="00417030">
      <w:pPr>
        <w:rPr>
          <w:noProof/>
        </w:rPr>
      </w:pPr>
      <w:r w:rsidRPr="003E5488">
        <w:rPr>
          <w:noProof/>
        </w:rPr>
        <w:t>atsižvelgdama į 2017 m. spalio 12 d. Tarybos reglamentą (ES) 2017/1939, kuriuo įgyvendinamas tvirtesnis bendradarbiavimas Europos prokuratūros įsteigimo srityje</w:t>
      </w:r>
      <w:r w:rsidRPr="003E5488">
        <w:rPr>
          <w:rStyle w:val="FootnoteReference"/>
          <w:noProof/>
        </w:rPr>
        <w:footnoteReference w:id="8"/>
      </w:r>
      <w:r w:rsidRPr="003E5488">
        <w:rPr>
          <w:noProof/>
        </w:rPr>
        <w:t>, ypač į jo 14 straipsnio 3 dalį,</w:t>
      </w:r>
    </w:p>
    <w:p w:rsidR="00417030" w:rsidRPr="003E5488" w:rsidRDefault="00417030" w:rsidP="00417030">
      <w:pPr>
        <w:rPr>
          <w:noProof/>
        </w:rPr>
      </w:pPr>
      <w:r w:rsidRPr="003E5488">
        <w:rPr>
          <w:noProof/>
        </w:rPr>
        <w:t>atsižvelgdama į Europos Komisijos pasiūlymą,</w:t>
      </w:r>
    </w:p>
    <w:p w:rsidR="00417030" w:rsidRPr="003E5488" w:rsidRDefault="00417030" w:rsidP="00417030">
      <w:pPr>
        <w:rPr>
          <w:noProof/>
        </w:rPr>
      </w:pPr>
      <w:r w:rsidRPr="003E5488">
        <w:rPr>
          <w:noProof/>
        </w:rPr>
        <w:t>kadangi:</w:t>
      </w:r>
    </w:p>
    <w:p w:rsidR="00417030" w:rsidRPr="003E5488" w:rsidRDefault="00417030" w:rsidP="003629F1">
      <w:pPr>
        <w:pStyle w:val="Point0"/>
        <w:rPr>
          <w:noProof/>
        </w:rPr>
      </w:pPr>
      <w:r>
        <w:rPr>
          <w:noProof/>
        </w:rPr>
        <w:t>(1)</w:t>
      </w:r>
      <w:r>
        <w:rPr>
          <w:noProof/>
        </w:rPr>
        <w:tab/>
      </w:r>
      <w:r w:rsidRPr="003E5488">
        <w:rPr>
          <w:noProof/>
        </w:rPr>
        <w:t xml:space="preserve">Europos vyriausiąjį prokurorą iš Reglamento (ES) 2017/1939 14 straipsnio 3 dalyje nustatytos atrankos komisijos sudaryto galutinio reikalavimus atitinkančių kandidatų sąrašo bendru sutarimu skiria Europos Parlamentas ir Taryba. Europos prokurorus skiria Taryba iš trijų kiekvienos valstybės narės pasiūlytų kvalifikuotų kandidatų, gavusi tos atrankos komisijos pagrįstą nuomonę; </w:t>
      </w:r>
    </w:p>
    <w:p w:rsidR="00417030" w:rsidRPr="003E5488" w:rsidRDefault="00417030" w:rsidP="00766C74">
      <w:pPr>
        <w:pStyle w:val="Point0"/>
        <w:rPr>
          <w:noProof/>
        </w:rPr>
      </w:pPr>
      <w:r>
        <w:rPr>
          <w:noProof/>
        </w:rPr>
        <w:t>(2)</w:t>
      </w:r>
      <w:r>
        <w:rPr>
          <w:noProof/>
        </w:rPr>
        <w:tab/>
      </w:r>
      <w:r w:rsidRPr="003E5488">
        <w:rPr>
          <w:noProof/>
        </w:rPr>
        <w:t>dabartiniai atrankos komisijos nariai Tarybos sprendimu (ES) 2023/133 buvo paskirti ketveriems metams nuo 2023 m. sausio 20 d.</w:t>
      </w:r>
      <w:r w:rsidRPr="003E5488">
        <w:rPr>
          <w:rStyle w:val="FootnoteReference"/>
          <w:noProof/>
        </w:rPr>
        <w:footnoteReference w:id="9"/>
      </w:r>
      <w:r w:rsidRPr="003E5488">
        <w:rPr>
          <w:noProof/>
        </w:rPr>
        <w:t>;</w:t>
      </w:r>
    </w:p>
    <w:p w:rsidR="00417030" w:rsidRPr="003E5488" w:rsidRDefault="00417030" w:rsidP="00766C74">
      <w:pPr>
        <w:pStyle w:val="Point0"/>
        <w:rPr>
          <w:noProof/>
        </w:rPr>
      </w:pPr>
      <w:r>
        <w:rPr>
          <w:noProof/>
        </w:rPr>
        <w:t>(3)</w:t>
      </w:r>
      <w:r>
        <w:rPr>
          <w:noProof/>
        </w:rPr>
        <w:tab/>
      </w:r>
      <w:r w:rsidRPr="003E5488">
        <w:rPr>
          <w:noProof/>
        </w:rPr>
        <w:t>šiuo metu Marinas MRČELA yra atrankos komisijos narys. 2024 m. balandžio 8 d.</w:t>
      </w:r>
      <w:r w:rsidR="009A00F8">
        <w:rPr>
          <w:noProof/>
        </w:rPr>
        <w:t xml:space="preserve"> Marinas</w:t>
      </w:r>
      <w:r w:rsidRPr="003E5488">
        <w:rPr>
          <w:caps/>
          <w:noProof/>
        </w:rPr>
        <w:t xml:space="preserve"> Mrčela</w:t>
      </w:r>
      <w:r w:rsidRPr="003E5488">
        <w:rPr>
          <w:noProof/>
        </w:rPr>
        <w:t xml:space="preserve"> pranešė Komisijai, kad nebegali būti atrankos komisijos nariu ir nusprendė atsistatydinti. Taryba buvo atitinkamai apie tai informuota;</w:t>
      </w:r>
    </w:p>
    <w:p w:rsidR="00417030" w:rsidRPr="003E5488" w:rsidRDefault="00C52234" w:rsidP="00766C74">
      <w:pPr>
        <w:pStyle w:val="Point0"/>
        <w:rPr>
          <w:noProof/>
        </w:rPr>
      </w:pPr>
      <w:r>
        <w:rPr>
          <w:noProof/>
        </w:rPr>
        <w:t>(4)</w:t>
      </w:r>
      <w:r>
        <w:rPr>
          <w:noProof/>
        </w:rPr>
        <w:tab/>
      </w:r>
      <w:r w:rsidRPr="003E5488">
        <w:rPr>
          <w:noProof/>
        </w:rPr>
        <w:t xml:space="preserve">siekiant užtikrinti atrankos komisijos veiklos tęstinumą, turėtų būti kuo greičiau paskirtas naujas atrankos komisijos narys, kuris pakeistų Mariną MRČELA. Todėl Kroatijos Respublikos valstybės prokuroro pavaduotojas Draženas </w:t>
      </w:r>
      <w:r w:rsidRPr="003E5488">
        <w:rPr>
          <w:caps/>
          <w:noProof/>
        </w:rPr>
        <w:t>Jelenić</w:t>
      </w:r>
      <w:r w:rsidRPr="003E5488">
        <w:rPr>
          <w:noProof/>
        </w:rPr>
        <w:t xml:space="preserve"> turėtų būti paskirtas nauju atrankos komisijos nariu. Siūlydama šį asmenį, Komisija atsižvelgė į poreikį užtikrinti geografinę pusiausvyrą, lyčių pusiausvyrą ir tinkamą valstybių narių, dalyvaujančių įgyvendinant tvirtesnį bendradarbiavimą Europos prokuratūros įsteigimo srityje, teisinių sistemų atstovavimą;</w:t>
      </w:r>
    </w:p>
    <w:p w:rsidR="00417030" w:rsidRPr="003E5488" w:rsidRDefault="00417030" w:rsidP="00766C74">
      <w:pPr>
        <w:pStyle w:val="Point0"/>
        <w:rPr>
          <w:noProof/>
        </w:rPr>
      </w:pPr>
      <w:r>
        <w:rPr>
          <w:noProof/>
        </w:rPr>
        <w:t>(5)</w:t>
      </w:r>
      <w:r>
        <w:rPr>
          <w:noProof/>
        </w:rPr>
        <w:tab/>
      </w:r>
      <w:r w:rsidRPr="003E5488">
        <w:rPr>
          <w:noProof/>
        </w:rPr>
        <w:t>pagal Tarybos įgyvendinimo sprendimo (ES) 2018/1696</w:t>
      </w:r>
      <w:r w:rsidRPr="003E5488">
        <w:rPr>
          <w:rStyle w:val="FootnoteReference"/>
          <w:noProof/>
        </w:rPr>
        <w:footnoteReference w:id="10"/>
      </w:r>
      <w:r w:rsidRPr="003E5488">
        <w:rPr>
          <w:noProof/>
        </w:rPr>
        <w:t xml:space="preserve"> priede išdėstytų atrankos komisijos veiklos taisyklių II taisyklę likusiam kadencijos laikui turėtų būti paskirtas Draženas </w:t>
      </w:r>
      <w:r w:rsidRPr="003E5488">
        <w:rPr>
          <w:caps/>
          <w:noProof/>
        </w:rPr>
        <w:t>Jelenić</w:t>
      </w:r>
      <w:r w:rsidRPr="003E5488">
        <w:rPr>
          <w:noProof/>
        </w:rPr>
        <w:t>;</w:t>
      </w:r>
    </w:p>
    <w:p w:rsidR="00C6766A" w:rsidRPr="003E5488" w:rsidRDefault="00C6766A" w:rsidP="00766C74">
      <w:pPr>
        <w:pStyle w:val="Point0"/>
        <w:rPr>
          <w:noProof/>
        </w:rPr>
      </w:pPr>
      <w:r>
        <w:rPr>
          <w:noProof/>
        </w:rPr>
        <w:lastRenderedPageBreak/>
        <w:t>(6)</w:t>
      </w:r>
      <w:r>
        <w:rPr>
          <w:noProof/>
        </w:rPr>
        <w:tab/>
      </w:r>
      <w:r w:rsidRPr="003E5488">
        <w:rPr>
          <w:noProof/>
        </w:rPr>
        <w:t>Todėl Sprendimas (ES) 2023/133 turėtų būti atitinkamai iš dalies pakeistas;</w:t>
      </w:r>
    </w:p>
    <w:p w:rsidR="00417030" w:rsidRPr="003E5488" w:rsidRDefault="00417030" w:rsidP="00766C74">
      <w:pPr>
        <w:pStyle w:val="Point0"/>
        <w:rPr>
          <w:noProof/>
        </w:rPr>
      </w:pPr>
      <w:r>
        <w:rPr>
          <w:noProof/>
        </w:rPr>
        <w:t>(7)</w:t>
      </w:r>
      <w:r>
        <w:rPr>
          <w:noProof/>
        </w:rPr>
        <w:tab/>
      </w:r>
      <w:r w:rsidRPr="003E5488">
        <w:rPr>
          <w:noProof/>
        </w:rPr>
        <w:t xml:space="preserve">siekiant užtikrinti, kad Draženas </w:t>
      </w:r>
      <w:r w:rsidRPr="003E5488">
        <w:rPr>
          <w:caps/>
          <w:noProof/>
        </w:rPr>
        <w:t>Jelenić</w:t>
      </w:r>
      <w:r w:rsidRPr="003E5488">
        <w:rPr>
          <w:noProof/>
        </w:rPr>
        <w:t xml:space="preserve"> galėtų nedelsiant pradėti eiti savo pareigas ir dalyvauti atrankos komisijos vykdomoje veikloje, šis sprendimas turėtų įsigalioti kitą dieną po jo paskelbimo </w:t>
      </w:r>
      <w:r w:rsidRPr="003E5488">
        <w:rPr>
          <w:i/>
          <w:iCs/>
          <w:noProof/>
        </w:rPr>
        <w:t>Europos Sąjungos oficialiajame leidinyje</w:t>
      </w:r>
      <w:r w:rsidRPr="003E5488">
        <w:rPr>
          <w:noProof/>
        </w:rPr>
        <w:t>,</w:t>
      </w:r>
    </w:p>
    <w:p w:rsidR="00417030" w:rsidRPr="003E5488" w:rsidRDefault="00417030" w:rsidP="00417030">
      <w:pPr>
        <w:keepNext/>
        <w:rPr>
          <w:noProof/>
        </w:rPr>
      </w:pPr>
      <w:r w:rsidRPr="003E5488">
        <w:rPr>
          <w:noProof/>
        </w:rPr>
        <w:t xml:space="preserve">PRIĖMĖ ŠĮ SPRENDIMĄ: </w:t>
      </w:r>
    </w:p>
    <w:p w:rsidR="00E628D9" w:rsidRPr="003E5488" w:rsidRDefault="00E628D9" w:rsidP="00197315">
      <w:pPr>
        <w:pStyle w:val="Titrearticle"/>
        <w:rPr>
          <w:noProof/>
        </w:rPr>
      </w:pPr>
      <w:r w:rsidRPr="003E5488">
        <w:rPr>
          <w:noProof/>
        </w:rPr>
        <w:t>1 straipsnis</w:t>
      </w:r>
    </w:p>
    <w:p w:rsidR="00417030" w:rsidRPr="003E5488" w:rsidRDefault="00417030" w:rsidP="00417030">
      <w:pPr>
        <w:rPr>
          <w:bCs/>
          <w:noProof/>
          <w:u w:val="single"/>
        </w:rPr>
      </w:pPr>
      <w:r w:rsidRPr="003E5488">
        <w:rPr>
          <w:noProof/>
        </w:rPr>
        <w:t>Sprendimo (ES) 2023/133 1 straipsnyje vardas ir pavardė „Marin MRČELA“ pakeičiami „</w:t>
      </w:r>
      <w:r w:rsidRPr="003E5488">
        <w:rPr>
          <w:rStyle w:val="Added"/>
          <w:b w:val="0"/>
          <w:noProof/>
          <w:u w:val="none"/>
        </w:rPr>
        <w:t xml:space="preserve">Dražen </w:t>
      </w:r>
      <w:r w:rsidRPr="003E5488">
        <w:rPr>
          <w:rStyle w:val="Added"/>
          <w:b w:val="0"/>
          <w:caps/>
          <w:noProof/>
          <w:u w:val="none"/>
        </w:rPr>
        <w:t>Jelenić“.</w:t>
      </w:r>
      <w:bookmarkStart w:id="1" w:name="_Hlk163648395"/>
    </w:p>
    <w:p w:rsidR="00E628D9" w:rsidRPr="003E5488" w:rsidRDefault="00E628D9" w:rsidP="004C2522">
      <w:pPr>
        <w:pStyle w:val="Titrearticle"/>
        <w:rPr>
          <w:noProof/>
        </w:rPr>
      </w:pPr>
      <w:bookmarkStart w:id="2" w:name="_Hlk126129799"/>
      <w:bookmarkEnd w:id="1"/>
      <w:r w:rsidRPr="003E5488">
        <w:rPr>
          <w:noProof/>
          <w:color w:val="000000" w:themeColor="text1"/>
        </w:rPr>
        <w:t>2</w:t>
      </w:r>
      <w:bookmarkEnd w:id="2"/>
      <w:r w:rsidRPr="003E5488">
        <w:rPr>
          <w:noProof/>
        </w:rPr>
        <w:t xml:space="preserve"> straipsnis</w:t>
      </w:r>
    </w:p>
    <w:p w:rsidR="00417030" w:rsidRPr="003E5488" w:rsidRDefault="00417030" w:rsidP="00417030">
      <w:pPr>
        <w:keepLines/>
        <w:rPr>
          <w:noProof/>
          <w:sz w:val="23"/>
          <w:szCs w:val="23"/>
        </w:rPr>
      </w:pPr>
      <w:r w:rsidRPr="003E5488">
        <w:rPr>
          <w:noProof/>
          <w:sz w:val="23"/>
        </w:rPr>
        <w:t xml:space="preserve">Šis sprendimas įsigalioja kitą dieną po jo paskelbimo </w:t>
      </w:r>
      <w:r w:rsidRPr="003E5488">
        <w:rPr>
          <w:i/>
          <w:iCs/>
          <w:noProof/>
          <w:sz w:val="23"/>
        </w:rPr>
        <w:t>Europos Sąjungos oficialiajame leidinyje</w:t>
      </w:r>
      <w:r w:rsidRPr="003E5488">
        <w:rPr>
          <w:noProof/>
          <w:sz w:val="23"/>
        </w:rPr>
        <w:t>.</w:t>
      </w:r>
    </w:p>
    <w:p w:rsidR="00E628D9" w:rsidRPr="003E5488" w:rsidRDefault="009A00F8" w:rsidP="004C2522">
      <w:pPr>
        <w:pStyle w:val="Fait"/>
        <w:rPr>
          <w:noProof/>
        </w:rPr>
      </w:pPr>
      <w:r>
        <w:rPr>
          <w:noProof/>
        </w:rPr>
        <w:t>Priimta Briuselyje</w:t>
      </w:r>
    </w:p>
    <w:p w:rsidR="00E628D9" w:rsidRPr="003E5488" w:rsidRDefault="00E628D9" w:rsidP="004C2522">
      <w:pPr>
        <w:pStyle w:val="Institutionquisigne"/>
        <w:rPr>
          <w:noProof/>
        </w:rPr>
      </w:pPr>
      <w:r w:rsidRPr="003E5488">
        <w:rPr>
          <w:noProof/>
        </w:rPr>
        <w:tab/>
        <w:t>Tarybos vardu</w:t>
      </w:r>
    </w:p>
    <w:p w:rsidR="00E628D9" w:rsidRPr="003E5488" w:rsidRDefault="00E628D9" w:rsidP="00E628D9">
      <w:pPr>
        <w:pStyle w:val="Personnequisigne"/>
        <w:rPr>
          <w:noProof/>
        </w:rPr>
      </w:pPr>
      <w:r w:rsidRPr="003E5488">
        <w:rPr>
          <w:noProof/>
        </w:rPr>
        <w:tab/>
        <w:t>Pirmininkas / Pirmininkė</w:t>
      </w:r>
    </w:p>
    <w:sectPr w:rsidR="00E628D9" w:rsidRPr="003E5488" w:rsidSect="00C511A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1AF" w:rsidRDefault="00F531AF" w:rsidP="00E628D9">
      <w:pPr>
        <w:spacing w:before="0" w:after="0"/>
      </w:pPr>
      <w:r>
        <w:separator/>
      </w:r>
    </w:p>
  </w:endnote>
  <w:endnote w:type="continuationSeparator" w:id="0">
    <w:p w:rsidR="00F531AF" w:rsidRDefault="00F531AF" w:rsidP="00E628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Pr="00C511A5" w:rsidRDefault="00C511A5" w:rsidP="00C511A5">
    <w:pPr>
      <w:pStyle w:val="Footer"/>
      <w:rPr>
        <w:rFonts w:ascii="Arial" w:hAnsi="Arial" w:cs="Arial"/>
        <w:b/>
        <w:sz w:val="48"/>
      </w:rPr>
    </w:pPr>
    <w:r w:rsidRPr="00C511A5">
      <w:rPr>
        <w:rFonts w:ascii="Arial" w:hAnsi="Arial" w:cs="Arial"/>
        <w:b/>
        <w:sz w:val="48"/>
      </w:rPr>
      <w:t>LT</w:t>
    </w:r>
    <w:r w:rsidRPr="00C511A5">
      <w:rPr>
        <w:rFonts w:ascii="Arial" w:hAnsi="Arial" w:cs="Arial"/>
        <w:b/>
        <w:sz w:val="48"/>
      </w:rPr>
      <w:tab/>
    </w:r>
    <w:r w:rsidRPr="00C511A5">
      <w:rPr>
        <w:rFonts w:ascii="Arial" w:hAnsi="Arial" w:cs="Arial"/>
        <w:b/>
        <w:sz w:val="48"/>
      </w:rPr>
      <w:tab/>
    </w:r>
    <w:r w:rsidRPr="00C511A5">
      <w:tab/>
    </w:r>
    <w:r w:rsidRPr="00C511A5">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Pr="00C511A5" w:rsidRDefault="00C511A5" w:rsidP="00C511A5">
    <w:pPr>
      <w:pStyle w:val="Footer"/>
      <w:rPr>
        <w:rFonts w:ascii="Arial" w:hAnsi="Arial" w:cs="Arial"/>
        <w:b/>
        <w:sz w:val="48"/>
      </w:rPr>
    </w:pPr>
    <w:r w:rsidRPr="00C511A5">
      <w:rPr>
        <w:rFonts w:ascii="Arial" w:hAnsi="Arial" w:cs="Arial"/>
        <w:b/>
        <w:sz w:val="48"/>
      </w:rPr>
      <w:t>LT</w:t>
    </w:r>
    <w:r w:rsidRPr="00C511A5">
      <w:rPr>
        <w:rFonts w:ascii="Arial" w:hAnsi="Arial" w:cs="Arial"/>
        <w:b/>
        <w:sz w:val="48"/>
      </w:rPr>
      <w:tab/>
    </w:r>
    <w:r w:rsidRPr="00C511A5">
      <w:rPr>
        <w:rFonts w:ascii="Arial" w:hAnsi="Arial" w:cs="Arial"/>
        <w:b/>
        <w:sz w:val="48"/>
      </w:rPr>
      <w:tab/>
    </w:r>
    <w:r w:rsidRPr="00C511A5">
      <w:tab/>
    </w:r>
    <w:r w:rsidRPr="00C511A5">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Default="00C511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Pr="00C511A5" w:rsidRDefault="00C511A5" w:rsidP="00C511A5">
    <w:pPr>
      <w:pStyle w:val="Footer"/>
      <w:rPr>
        <w:rFonts w:ascii="Arial" w:hAnsi="Arial" w:cs="Arial"/>
        <w:b/>
        <w:sz w:val="48"/>
      </w:rPr>
    </w:pPr>
    <w:r w:rsidRPr="00C511A5">
      <w:rPr>
        <w:rFonts w:ascii="Arial" w:hAnsi="Arial" w:cs="Arial"/>
        <w:b/>
        <w:sz w:val="48"/>
      </w:rPr>
      <w:t>LT</w:t>
    </w:r>
    <w:r w:rsidRPr="00C511A5">
      <w:rPr>
        <w:rFonts w:ascii="Arial" w:hAnsi="Arial" w:cs="Arial"/>
        <w:b/>
        <w:sz w:val="48"/>
      </w:rPr>
      <w:tab/>
    </w:r>
    <w:r>
      <w:fldChar w:fldCharType="begin"/>
    </w:r>
    <w:r>
      <w:instrText xml:space="preserve"> PAGE  \* MERGEFORMAT </w:instrText>
    </w:r>
    <w:r>
      <w:fldChar w:fldCharType="separate"/>
    </w:r>
    <w:r w:rsidR="004C2522">
      <w:rPr>
        <w:noProof/>
      </w:rPr>
      <w:t>5</w:t>
    </w:r>
    <w:r>
      <w:fldChar w:fldCharType="end"/>
    </w:r>
    <w:r>
      <w:tab/>
    </w:r>
    <w:r w:rsidRPr="00C511A5">
      <w:tab/>
    </w:r>
    <w:r w:rsidRPr="00C511A5">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Default="00C511A5" w:rsidP="00C5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1AF" w:rsidRDefault="00F531AF" w:rsidP="00E628D9">
      <w:pPr>
        <w:spacing w:before="0" w:after="0"/>
      </w:pPr>
      <w:r>
        <w:separator/>
      </w:r>
    </w:p>
  </w:footnote>
  <w:footnote w:type="continuationSeparator" w:id="0">
    <w:p w:rsidR="00F531AF" w:rsidRDefault="00F531AF" w:rsidP="00E628D9">
      <w:pPr>
        <w:spacing w:before="0" w:after="0"/>
      </w:pPr>
      <w:r>
        <w:continuationSeparator/>
      </w:r>
    </w:p>
  </w:footnote>
  <w:footnote w:id="1">
    <w:p w:rsidR="00417030" w:rsidRPr="00534769" w:rsidRDefault="00417030" w:rsidP="00417030">
      <w:pPr>
        <w:pStyle w:val="FootnoteText"/>
        <w:rPr>
          <w:color w:val="333333"/>
          <w:sz w:val="19"/>
          <w:szCs w:val="19"/>
          <w:shd w:val="clear" w:color="auto" w:fill="FFFFFF"/>
        </w:rPr>
      </w:pPr>
      <w:r>
        <w:rPr>
          <w:rStyle w:val="FootnoteReference"/>
        </w:rPr>
        <w:footnoteRef/>
      </w:r>
      <w:r>
        <w:tab/>
        <w:t>2017 m. spalio 12 d. Tarybos reglamentas (ES) 2017/1939, kuriuo įgyvendinamas tvirtesnis bendradarbiavimas Europos prokuratūros įsteigimo srityje (OL L 283, 2017 10 31, p. 1–71).</w:t>
      </w:r>
    </w:p>
  </w:footnote>
  <w:footnote w:id="2">
    <w:p w:rsidR="00417030" w:rsidRPr="00BB2E6B" w:rsidRDefault="00417030" w:rsidP="00417030">
      <w:pPr>
        <w:pStyle w:val="FootnoteText"/>
      </w:pPr>
      <w:r>
        <w:rPr>
          <w:rStyle w:val="FootnoteReference"/>
        </w:rPr>
        <w:footnoteRef/>
      </w:r>
      <w:r>
        <w:tab/>
        <w:t>2017 m. liepos 5 d. Europos Parlamento ir Tarybos direktyva (ES) 2017/1371 dėl kovos su Sąjungos finansiniams interesams kenkiančiu sukčiavimu baudžiamosios teisės priemonėmis (OL L 198, 2017 7 28, p. 29–41).</w:t>
      </w:r>
    </w:p>
  </w:footnote>
  <w:footnote w:id="3">
    <w:p w:rsidR="00417030" w:rsidRPr="009B2E6A" w:rsidRDefault="00417030" w:rsidP="00417030">
      <w:pPr>
        <w:pStyle w:val="FootnoteText"/>
      </w:pPr>
      <w:r>
        <w:rPr>
          <w:rStyle w:val="FootnoteReference"/>
        </w:rPr>
        <w:footnoteRef/>
      </w:r>
      <w:r>
        <w:tab/>
        <w:t>2019 m. spalio 23 d. Europos Parlamento ir Tarybos sprendimas (ES) 2019/1798, kuriuo skiriamas Europos prokuratūros Europos vyriausiasis prokuroras (OL L 274, 2019 10 28, p. 1–2).</w:t>
      </w:r>
    </w:p>
  </w:footnote>
  <w:footnote w:id="4">
    <w:p w:rsidR="00417030" w:rsidRPr="00F854C1" w:rsidRDefault="00417030" w:rsidP="00417030">
      <w:pPr>
        <w:pStyle w:val="FootnoteText"/>
      </w:pPr>
      <w:r>
        <w:rPr>
          <w:rStyle w:val="FootnoteReference"/>
        </w:rPr>
        <w:footnoteRef/>
      </w:r>
      <w:r>
        <w:tab/>
        <w:t>2018 m. rugsėjo 18 d. Tarybos sprendimas (ES) 2018/1275, kuriuo, kaip nustatyta Reglamento (ES) 2017/1939 14 straipsnio 3 dalyje, skiriami atrankos komisijos nariai (OL L 238, 2018 9 21, p. 92 ir 93).</w:t>
      </w:r>
    </w:p>
  </w:footnote>
  <w:footnote w:id="5">
    <w:p w:rsidR="00417030" w:rsidRPr="00F854C1" w:rsidRDefault="00417030" w:rsidP="00417030">
      <w:pPr>
        <w:pStyle w:val="FootnoteText"/>
      </w:pPr>
      <w:r>
        <w:rPr>
          <w:rStyle w:val="FootnoteReference"/>
        </w:rPr>
        <w:footnoteRef/>
      </w:r>
      <w:r>
        <w:tab/>
        <w:t>2023 m. sausio 17 d. Tarybos sprendimas (ES) 2023/133, kuriuo, kaip nustatyta Reglamento (ES) 2017/1939 14 straipsnio 3 dalyje, skiriami atrankos komisijos nariai (OL L 17, 2023 1 19, p. 90 ir 91).</w:t>
      </w:r>
    </w:p>
  </w:footnote>
  <w:footnote w:id="6">
    <w:p w:rsidR="00417030" w:rsidRPr="0053633E" w:rsidRDefault="00417030" w:rsidP="00417030">
      <w:pPr>
        <w:pStyle w:val="FootnoteText"/>
      </w:pPr>
      <w:r>
        <w:rPr>
          <w:rStyle w:val="FootnoteReference"/>
        </w:rPr>
        <w:footnoteRef/>
      </w:r>
      <w:r>
        <w:tab/>
        <w:t>2018 m. liepos 13 d. Tarybos įgyvendinimo sprendimas (ES) 2018/1696 dėl Reglamento (ES) 2017/1939, kuriuo įgyvendinamas tvirtesnis bendradarbiavimas Europos prokuratūros įsteigimo srityje, 14 straipsnio 3 dalyje numatytų atrankos komisijos veiklos taisyklių (OL L 282, 2018 11 12, p. 8–12).</w:t>
      </w:r>
    </w:p>
  </w:footnote>
  <w:footnote w:id="7">
    <w:p w:rsidR="00417030" w:rsidRPr="000604A0" w:rsidRDefault="00417030" w:rsidP="00417030">
      <w:pPr>
        <w:pStyle w:val="FootnoteText"/>
      </w:pPr>
      <w:r>
        <w:rPr>
          <w:rStyle w:val="FootnoteReference"/>
        </w:rPr>
        <w:footnoteRef/>
      </w:r>
      <w:r>
        <w:tab/>
        <w:t xml:space="preserve">2024 m. vasario mėn. Lenkija įsitraukė į tvirtesnio bendradarbiavimo steigiant Europos prokuratūrą veiklą (2024 m. vasario 29 d. Komisijos sprendimas (ES) 2024/807, kuriuo patvirtinamas Lenkijos dalyvavimas tvirtesnio bendradarbiavimo steigiant Europos prokuratūrą veikloje (OL L, 2024/807, 2024 2 29). Todėl reikėtų paskirti Europos prokurorą iš Lenkijos. Be to, Švedija gali netrukus pranešti Komisijai apie ketinimą prisijungti prie tvirtesnio bendradarbiavimo. </w:t>
      </w:r>
    </w:p>
  </w:footnote>
  <w:footnote w:id="8">
    <w:p w:rsidR="00417030" w:rsidRPr="000C15B9" w:rsidRDefault="00417030" w:rsidP="00417030">
      <w:pPr>
        <w:pStyle w:val="FootnoteText"/>
      </w:pPr>
      <w:r>
        <w:rPr>
          <w:rStyle w:val="FootnoteReference"/>
        </w:rPr>
        <w:footnoteRef/>
      </w:r>
      <w:r>
        <w:tab/>
        <w:t>OL L 283, 2017 10 31, p. 1, ELI: http://data.europa.eu/eli/reg/2017/1939/oj.</w:t>
      </w:r>
    </w:p>
  </w:footnote>
  <w:footnote w:id="9">
    <w:p w:rsidR="00417030" w:rsidRPr="005E2653" w:rsidRDefault="00417030" w:rsidP="00417030">
      <w:pPr>
        <w:pStyle w:val="FootnoteText"/>
      </w:pPr>
      <w:r>
        <w:rPr>
          <w:rStyle w:val="FootnoteReference"/>
        </w:rPr>
        <w:footnoteRef/>
      </w:r>
      <w:r>
        <w:tab/>
        <w:t>2023 m. sausio 17 d. Tarybos sprendimas (ES) 2023/133, kuriuo, kaip nustatyta Reglamento (ES) 2017/1939 14 straipsnio 3 dalyje, skiriami atrankos komisijos nariai (OL L 17, 2023 1 19, p. 90, ELI: http://data.europa.eu/eli/dec/2023/133/oj).</w:t>
      </w:r>
    </w:p>
  </w:footnote>
  <w:footnote w:id="10">
    <w:p w:rsidR="00417030" w:rsidRPr="005E2653" w:rsidRDefault="00417030" w:rsidP="00417030">
      <w:pPr>
        <w:pStyle w:val="FootnoteText"/>
      </w:pPr>
      <w:r>
        <w:rPr>
          <w:rStyle w:val="FootnoteReference"/>
        </w:rPr>
        <w:footnoteRef/>
      </w:r>
      <w:r>
        <w:tab/>
        <w:t>2018 m. liepos 13 d. Tarybos įgyvendinimo sprendimas (ES) 2018/1696 dėl Reglamento (ES) 2017/1939, kuriuo įgyvendinamas tvirtesnis bendradarbiavimas Europos prokuratūros įsteigimo srityje, 14 straipsnio 3 dalyje numatytų atrankos komisijos veiklos taisyklių (OL L 282, 2018 11 12, p. 8, ELI: http://data.europa.eu/eli/dec_impl/2018/1696/oj).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Default="00C5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1A5" w:rsidRDefault="00C5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B22066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582508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582D7D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682A7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 w:numId="36">
    <w:abstractNumId w:val="15"/>
  </w:num>
  <w:num w:numId="37">
    <w:abstractNumId w:val="8"/>
  </w:num>
  <w:num w:numId="38">
    <w:abstractNumId w:val="17"/>
  </w:num>
  <w:num w:numId="39">
    <w:abstractNumId w:val="7"/>
  </w:num>
  <w:num w:numId="40">
    <w:abstractNumId w:val="9"/>
  </w:num>
  <w:num w:numId="41">
    <w:abstractNumId w:val="10"/>
  </w:num>
  <w:num w:numId="42">
    <w:abstractNumId w:val="5"/>
  </w:num>
  <w:num w:numId="43">
    <w:abstractNumId w:val="16"/>
  </w:num>
  <w:num w:numId="44">
    <w:abstractNumId w:val="4"/>
  </w:num>
  <w:num w:numId="45">
    <w:abstractNumId w:val="11"/>
  </w:num>
  <w:num w:numId="46">
    <w:abstractNumId w:val="13"/>
  </w:num>
  <w:num w:numId="47">
    <w:abstractNumId w:val="14"/>
  </w:num>
  <w:num w:numId="48">
    <w:abstractNumId w:val="6"/>
  </w:num>
  <w:num w:numId="49">
    <w:abstractNumId w:val="12"/>
  </w:num>
  <w:num w:numId="5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5-27 10:08: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14F2D1A-61B8-4194-9B35-9C0062CABDD8"/>
    <w:docVar w:name="LW_COVERPAGE_TYPE" w:val="1"/>
    <w:docVar w:name="LW_CROSSREFERENCE" w:val="&lt;UNUSED&gt;"/>
    <w:docVar w:name="LW_DocType" w:val="COM"/>
    <w:docVar w:name="LW_EMISSION" w:val="2024 05 27"/>
    <w:docVar w:name="LW_EMISSION_ISODATE" w:val="2024-05-27"/>
    <w:docVar w:name="LW_EMISSION_LOCATION" w:val="BRX"/>
    <w:docVar w:name="LW_EMISSION_PREFIX" w:val="Briuselis,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NLE"/>
    <w:docVar w:name="LW_REF.II.NEW.CP_NUMBER" w:val="0118"/>
    <w:docVar w:name="LW_REF.II.NEW.CP_YEAR" w:val="2024"/>
    <w:docVar w:name="LW_REF.INST.NEW" w:val="COM"/>
    <w:docVar w:name="LW_REF.INST.NEW_ADOPTED" w:val="final"/>
    <w:docVar w:name="LW_REF.INST.NEW_TEXT" w:val="(2024) 2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s i\u353? dalies kei\u269?iamas Sprendimas (ES) 2023/133, kuriuo skiriami Reglamento (ES) 2017/1939 14 straipsnio 3 dalyje numatytos atrankos komisijos nariai"/>
    <w:docVar w:name="LW_TYPE.DOC.CP" w:val="TARYBOS SPRENDIMAS"/>
    <w:docVar w:name="LwApiVersions" w:val="LW4CoDe 1.24.5.0; LW 9.0, Build 20240221"/>
  </w:docVars>
  <w:rsids>
    <w:rsidRoot w:val="00E628D9"/>
    <w:rsid w:val="00034BE4"/>
    <w:rsid w:val="000C0ABB"/>
    <w:rsid w:val="000E216F"/>
    <w:rsid w:val="001065F5"/>
    <w:rsid w:val="001238EF"/>
    <w:rsid w:val="00142B54"/>
    <w:rsid w:val="0016793E"/>
    <w:rsid w:val="00173509"/>
    <w:rsid w:val="00197613"/>
    <w:rsid w:val="0022236C"/>
    <w:rsid w:val="00233DC7"/>
    <w:rsid w:val="00247779"/>
    <w:rsid w:val="00252689"/>
    <w:rsid w:val="00275EB0"/>
    <w:rsid w:val="00285BEE"/>
    <w:rsid w:val="0029533F"/>
    <w:rsid w:val="002B30AF"/>
    <w:rsid w:val="002C27FD"/>
    <w:rsid w:val="002E6D61"/>
    <w:rsid w:val="002F3E13"/>
    <w:rsid w:val="0033344A"/>
    <w:rsid w:val="003629F1"/>
    <w:rsid w:val="003A65FC"/>
    <w:rsid w:val="003C00DB"/>
    <w:rsid w:val="003E2FBA"/>
    <w:rsid w:val="003E5488"/>
    <w:rsid w:val="00417030"/>
    <w:rsid w:val="0042648E"/>
    <w:rsid w:val="00436307"/>
    <w:rsid w:val="00446840"/>
    <w:rsid w:val="00463B57"/>
    <w:rsid w:val="00493178"/>
    <w:rsid w:val="004936D2"/>
    <w:rsid w:val="004C2522"/>
    <w:rsid w:val="004D3805"/>
    <w:rsid w:val="005101B6"/>
    <w:rsid w:val="005B1EB6"/>
    <w:rsid w:val="005C4232"/>
    <w:rsid w:val="005E6093"/>
    <w:rsid w:val="005F7EA1"/>
    <w:rsid w:val="0062140D"/>
    <w:rsid w:val="00640E31"/>
    <w:rsid w:val="00647431"/>
    <w:rsid w:val="006D0B71"/>
    <w:rsid w:val="00750B3F"/>
    <w:rsid w:val="00756514"/>
    <w:rsid w:val="00766C74"/>
    <w:rsid w:val="00773331"/>
    <w:rsid w:val="007869AC"/>
    <w:rsid w:val="007932EF"/>
    <w:rsid w:val="007B2959"/>
    <w:rsid w:val="007E05B0"/>
    <w:rsid w:val="008349F2"/>
    <w:rsid w:val="00874D22"/>
    <w:rsid w:val="00887DAE"/>
    <w:rsid w:val="008A2914"/>
    <w:rsid w:val="008D4452"/>
    <w:rsid w:val="008E4D8E"/>
    <w:rsid w:val="00913E74"/>
    <w:rsid w:val="009305E3"/>
    <w:rsid w:val="0093684D"/>
    <w:rsid w:val="009A00F8"/>
    <w:rsid w:val="009A07ED"/>
    <w:rsid w:val="009D12CD"/>
    <w:rsid w:val="00A86F77"/>
    <w:rsid w:val="00A87635"/>
    <w:rsid w:val="00AE24A1"/>
    <w:rsid w:val="00AE6BA8"/>
    <w:rsid w:val="00AF5E3A"/>
    <w:rsid w:val="00B05409"/>
    <w:rsid w:val="00B11059"/>
    <w:rsid w:val="00B379C6"/>
    <w:rsid w:val="00B61D4E"/>
    <w:rsid w:val="00BC3590"/>
    <w:rsid w:val="00BD01A9"/>
    <w:rsid w:val="00BF7A86"/>
    <w:rsid w:val="00C12301"/>
    <w:rsid w:val="00C15CE8"/>
    <w:rsid w:val="00C25560"/>
    <w:rsid w:val="00C511A5"/>
    <w:rsid w:val="00C52234"/>
    <w:rsid w:val="00C6766A"/>
    <w:rsid w:val="00CA596E"/>
    <w:rsid w:val="00CA66B3"/>
    <w:rsid w:val="00CC7517"/>
    <w:rsid w:val="00D20381"/>
    <w:rsid w:val="00D57217"/>
    <w:rsid w:val="00D62898"/>
    <w:rsid w:val="00E335CB"/>
    <w:rsid w:val="00E60A08"/>
    <w:rsid w:val="00E628D9"/>
    <w:rsid w:val="00EE77F7"/>
    <w:rsid w:val="00F1211C"/>
    <w:rsid w:val="00F23472"/>
    <w:rsid w:val="00F531AF"/>
    <w:rsid w:val="00FC38F8"/>
    <w:rsid w:val="00FC50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1C23A8A-5483-43E3-A4CF-D973B813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E335CB"/>
    <w:pPr>
      <w:numPr>
        <w:numId w:val="1"/>
      </w:numPr>
      <w:contextualSpacing/>
    </w:pPr>
  </w:style>
  <w:style w:type="paragraph" w:styleId="ListBullet2">
    <w:name w:val="List Bullet 2"/>
    <w:basedOn w:val="Normal"/>
    <w:uiPriority w:val="99"/>
    <w:semiHidden/>
    <w:unhideWhenUsed/>
    <w:rsid w:val="00E335CB"/>
    <w:pPr>
      <w:numPr>
        <w:numId w:val="2"/>
      </w:numPr>
      <w:contextualSpacing/>
    </w:pPr>
  </w:style>
  <w:style w:type="paragraph" w:styleId="ListBullet3">
    <w:name w:val="List Bullet 3"/>
    <w:basedOn w:val="Normal"/>
    <w:uiPriority w:val="99"/>
    <w:semiHidden/>
    <w:unhideWhenUsed/>
    <w:rsid w:val="00E335CB"/>
    <w:pPr>
      <w:numPr>
        <w:numId w:val="3"/>
      </w:numPr>
      <w:contextualSpacing/>
    </w:pPr>
  </w:style>
  <w:style w:type="paragraph" w:styleId="ListBullet4">
    <w:name w:val="List Bullet 4"/>
    <w:basedOn w:val="Normal"/>
    <w:uiPriority w:val="99"/>
    <w:semiHidden/>
    <w:unhideWhenUsed/>
    <w:rsid w:val="00E335CB"/>
    <w:pPr>
      <w:numPr>
        <w:numId w:val="4"/>
      </w:numPr>
      <w:contextualSpacing/>
    </w:pPr>
  </w:style>
  <w:style w:type="character" w:styleId="Hyperlink">
    <w:name w:val="Hyperlink"/>
    <w:basedOn w:val="DefaultParagraphFont"/>
    <w:uiPriority w:val="99"/>
    <w:unhideWhenUsed/>
    <w:rsid w:val="00463B57"/>
    <w:rPr>
      <w:color w:val="0000FF" w:themeColor="hyperlink"/>
      <w:u w:val="single"/>
    </w:rPr>
  </w:style>
  <w:style w:type="character" w:styleId="CommentReference">
    <w:name w:val="annotation reference"/>
    <w:basedOn w:val="DefaultParagraphFont"/>
    <w:uiPriority w:val="99"/>
    <w:semiHidden/>
    <w:unhideWhenUsed/>
    <w:rsid w:val="00463B5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Revision">
    <w:name w:val="Revision"/>
    <w:hidden/>
    <w:uiPriority w:val="99"/>
    <w:semiHidden/>
    <w:rsid w:val="009D12CD"/>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8D4452"/>
    <w:rPr>
      <w:b/>
      <w:bCs/>
    </w:rPr>
  </w:style>
  <w:style w:type="character" w:customStyle="1" w:styleId="CommentSubjectChar">
    <w:name w:val="Comment Subject Char"/>
    <w:basedOn w:val="CommentTextChar"/>
    <w:link w:val="CommentSubject"/>
    <w:uiPriority w:val="99"/>
    <w:semiHidden/>
    <w:rsid w:val="008D4452"/>
    <w:rPr>
      <w:rFonts w:ascii="Times New Roman" w:hAnsi="Times New Roman" w:cs="Times New Roman"/>
      <w:b/>
      <w:bCs/>
      <w:sz w:val="20"/>
      <w:szCs w:val="20"/>
      <w:lang w:val="lt-LT"/>
    </w:rPr>
  </w:style>
  <w:style w:type="character" w:customStyle="1" w:styleId="UnresolvedMention">
    <w:name w:val="Unresolved Mention"/>
    <w:basedOn w:val="DefaultParagraphFont"/>
    <w:uiPriority w:val="99"/>
    <w:semiHidden/>
    <w:unhideWhenUsed/>
    <w:rsid w:val="00AE24A1"/>
    <w:rPr>
      <w:color w:val="605E5C"/>
      <w:shd w:val="clear" w:color="auto" w:fill="E1DFDD"/>
    </w:rPr>
  </w:style>
  <w:style w:type="character" w:customStyle="1" w:styleId="HeaderChar">
    <w:name w:val="Header Char"/>
    <w:basedOn w:val="DefaultParagraphFont"/>
    <w:link w:val="Header"/>
    <w:uiPriority w:val="99"/>
    <w:rsid w:val="00C511A5"/>
    <w:rPr>
      <w:rFonts w:ascii="Times New Roman" w:hAnsi="Times New Roman" w:cs="Times New Roman"/>
      <w:sz w:val="24"/>
      <w:lang w:val="lt-LT"/>
    </w:rPr>
  </w:style>
  <w:style w:type="character" w:customStyle="1" w:styleId="FooterChar">
    <w:name w:val="Footer Char"/>
    <w:basedOn w:val="DefaultParagraphFont"/>
    <w:link w:val="Footer"/>
    <w:uiPriority w:val="99"/>
    <w:rsid w:val="00C511A5"/>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511A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511A5"/>
    <w:pPr>
      <w:spacing w:before="0"/>
      <w:jc w:val="right"/>
    </w:pPr>
    <w:rPr>
      <w:sz w:val="28"/>
    </w:rPr>
  </w:style>
  <w:style w:type="paragraph" w:customStyle="1" w:styleId="FooterSensitivity">
    <w:name w:val="Footer Sensitivity"/>
    <w:basedOn w:val="Normal"/>
    <w:rsid w:val="00C511A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511A5"/>
    <w:pPr>
      <w:tabs>
        <w:tab w:val="center" w:pos="4535"/>
        <w:tab w:val="right" w:pos="9071"/>
      </w:tabs>
      <w:spacing w:before="0"/>
    </w:pPr>
  </w:style>
  <w:style w:type="paragraph" w:customStyle="1" w:styleId="HeaderLandscape">
    <w:name w:val="HeaderLandscape"/>
    <w:basedOn w:val="Normal"/>
    <w:rsid w:val="00C511A5"/>
    <w:pPr>
      <w:tabs>
        <w:tab w:val="center" w:pos="7285"/>
        <w:tab w:val="right" w:pos="14003"/>
      </w:tabs>
      <w:spacing w:before="0"/>
    </w:pPr>
  </w:style>
  <w:style w:type="paragraph" w:styleId="Footer">
    <w:name w:val="footer"/>
    <w:basedOn w:val="Normal"/>
    <w:link w:val="FooterChar"/>
    <w:uiPriority w:val="99"/>
    <w:unhideWhenUsed/>
    <w:rsid w:val="00C511A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511A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6892-F491-4475-A60E-294769F2FAC8}">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6FD25985-03C6-4C96-AD21-5299E9489DC8}">
  <ds:schemaRefs>
    <ds:schemaRef ds:uri="http://schemas.microsoft.com/sharepoint/v3/contenttype/forms"/>
  </ds:schemaRefs>
</ds:datastoreItem>
</file>

<file path=customXml/itemProps3.xml><?xml version="1.0" encoding="utf-8"?>
<ds:datastoreItem xmlns:ds="http://schemas.openxmlformats.org/officeDocument/2006/customXml" ds:itemID="{4FD320F4-F82E-4280-8662-A17906F1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349F4-6440-401D-B11D-00C9246C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6</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2024-05-16T08:37:00Z</dcterms:created>
  <dcterms:modified xsi:type="dcterms:W3CDTF">2024-05-27T08:08:00Z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2024-04-10T10:35:02Z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d0fad4f0-2d84-494f-8b26-16094342cf46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