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AE100" w14:textId="01B30F54" w:rsidR="00A428CF" w:rsidRPr="005459EB" w:rsidRDefault="00631C6E" w:rsidP="00631C6E">
      <w:pPr>
        <w:pStyle w:val="Pagedecouverture"/>
        <w:rPr>
          <w:noProof/>
        </w:rPr>
      </w:pPr>
      <w:bookmarkStart w:id="0" w:name="LW_BM_COVERPAGE"/>
      <w:r>
        <w:rPr>
          <w:noProof/>
        </w:rPr>
        <w:pict w14:anchorId="3FE71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88B92B8-0126-4C82-BB36-C8D22E7F8EEF" style="width:455.15pt;height:310.45pt">
            <v:imagedata r:id="rId12" o:title=""/>
          </v:shape>
        </w:pict>
      </w:r>
    </w:p>
    <w:bookmarkEnd w:id="0"/>
    <w:p w14:paraId="339AB0E6" w14:textId="77777777" w:rsidR="00092BD5" w:rsidRPr="005459EB" w:rsidRDefault="00092BD5" w:rsidP="00092BD5">
      <w:pPr>
        <w:rPr>
          <w:noProof/>
        </w:rPr>
        <w:sectPr w:rsidR="00092BD5" w:rsidRPr="005459EB" w:rsidSect="00631C6E">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14:paraId="35DBA30D" w14:textId="77777777" w:rsidR="00A37F3F" w:rsidRDefault="00A37F3F" w:rsidP="00CC0E62">
      <w:pPr>
        <w:pStyle w:val="Heading2"/>
        <w:numPr>
          <w:ilvl w:val="0"/>
          <w:numId w:val="0"/>
        </w:numPr>
        <w:rPr>
          <w:noProof/>
          <w:color w:val="2E74B5" w:themeColor="accent1" w:themeShade="BF"/>
        </w:rPr>
      </w:pPr>
      <w:bookmarkStart w:id="1" w:name="_GoBack"/>
      <w:bookmarkEnd w:id="1"/>
    </w:p>
    <w:p w14:paraId="2E698A70" w14:textId="77777777" w:rsidR="00A37F3F" w:rsidRDefault="00A37F3F" w:rsidP="00CC0E62">
      <w:pPr>
        <w:pStyle w:val="Heading2"/>
        <w:numPr>
          <w:ilvl w:val="0"/>
          <w:numId w:val="0"/>
        </w:numPr>
        <w:rPr>
          <w:noProof/>
          <w:color w:val="2E74B5" w:themeColor="accent1" w:themeShade="BF"/>
        </w:rPr>
      </w:pPr>
    </w:p>
    <w:p w14:paraId="27DC3854" w14:textId="77777777" w:rsidR="00A37F3F" w:rsidRDefault="00A37F3F" w:rsidP="00CC0E62">
      <w:pPr>
        <w:pStyle w:val="Heading2"/>
        <w:numPr>
          <w:ilvl w:val="0"/>
          <w:numId w:val="0"/>
        </w:numPr>
        <w:rPr>
          <w:noProof/>
          <w:color w:val="2E74B5" w:themeColor="accent1" w:themeShade="BF"/>
        </w:rPr>
      </w:pPr>
    </w:p>
    <w:p w14:paraId="7665E035" w14:textId="21F0A44F" w:rsidR="00CC0E62" w:rsidRDefault="00CC0E62" w:rsidP="00CC0E62">
      <w:pPr>
        <w:pStyle w:val="Heading2"/>
        <w:numPr>
          <w:ilvl w:val="0"/>
          <w:numId w:val="0"/>
        </w:numPr>
        <w:rPr>
          <w:noProof/>
          <w:color w:val="2E74B5" w:themeColor="accent1" w:themeShade="BF"/>
        </w:rPr>
      </w:pPr>
      <w:bookmarkStart w:id="2" w:name="_Toc179190855"/>
      <w:r>
        <w:rPr>
          <w:noProof/>
          <w:color w:val="2E74B5" w:themeColor="accent1" w:themeShade="BF"/>
        </w:rPr>
        <w:t>Pratarmė</w:t>
      </w:r>
      <w:bookmarkEnd w:id="2"/>
      <w:r>
        <w:rPr>
          <w:noProof/>
          <w14:textFill>
            <w14:solidFill>
              <w14:schemeClr w14:val="accent1">
                <w14:lumMod w14:val="75000"/>
                <w14:lumMod w14:val="75000"/>
                <w14:lumMod w14:val="75000"/>
              </w14:schemeClr>
            </w14:solidFill>
          </w14:textFill>
        </w:rPr>
        <w:t xml:space="preserve"> </w:t>
      </w:r>
    </w:p>
    <w:p w14:paraId="140149E2" w14:textId="60515AC7" w:rsidR="006C6E0A" w:rsidRPr="007B6952" w:rsidRDefault="004E1574" w:rsidP="00FE6068">
      <w:pPr>
        <w:rPr>
          <w:noProof/>
        </w:rPr>
      </w:pPr>
      <w:r>
        <w:rPr>
          <w:noProof/>
        </w:rPr>
        <w:t>Džiaugiuosi galėdama pristatyti šią ataskaitą, kurioje aptariamas 2023 m. techninės paramos priemonės (TPP) ciklas. Jau trečius metus taikoma TPP yra sėkminga politikos priemonė, teikianti apčiuopiamos naudos valstybėms narėms. Vis dėlto ir šį kartą paramos prašymų iš nacionalinių valdžios institucijų buvo gauta gerokai daugiau nei REFORM GD galėjo patenkinti.</w:t>
      </w:r>
    </w:p>
    <w:p w14:paraId="48983CED" w14:textId="61DD7720" w:rsidR="002D616C" w:rsidRDefault="00C6424F" w:rsidP="002D616C">
      <w:pPr>
        <w:rPr>
          <w:rFonts w:eastAsiaTheme="minorEastAsia"/>
          <w:noProof/>
          <w:color w:val="000000" w:themeColor="text1" w:themeShade="BF"/>
          <w14:textFill>
            <w14:solidFill>
              <w14:schemeClr w14:val="tx1">
                <w14:lumMod w14:val="75000"/>
                <w14:lumMod w14:val="75000"/>
              </w14:schemeClr>
            </w14:solidFill>
          </w14:textFill>
        </w:rPr>
      </w:pPr>
      <w:r>
        <w:rPr>
          <w:noProof/>
          <w:color w:val="000000" w:themeColor="text1" w:themeShade="BF"/>
          <w14:textFill>
            <w14:solidFill>
              <w14:schemeClr w14:val="tx1">
                <w14:lumMod w14:val="75000"/>
                <w14:lumMod w14:val="75000"/>
              </w14:schemeClr>
            </w14:solidFill>
          </w14:textFill>
        </w:rPr>
        <w:t xml:space="preserve">Iš šioje ataskaitoje pateiktų įrodymų matyti, kad TPP padeda gerinti valstybių narių administracinius gebėjimus rengti, plėtoti ir įgyvendinti reformas, be to, </w:t>
      </w:r>
      <w:r>
        <w:rPr>
          <w:noProof/>
        </w:rPr>
        <w:t xml:space="preserve">šia priemone prisidedama prie tvaraus ekonomikos augimo ir palengvinamas žaliosios ir skaitmeninės pertvarkos įgyvendinimas. </w:t>
      </w:r>
      <w:r>
        <w:rPr>
          <w:noProof/>
          <w:color w:val="000000" w:themeColor="text1" w:themeShade="BF"/>
          <w14:textFill>
            <w14:solidFill>
              <w14:schemeClr w14:val="tx1">
                <w14:lumMod w14:val="75000"/>
                <w14:lumMod w14:val="75000"/>
              </w14:schemeClr>
            </w14:solidFill>
          </w14:textFill>
        </w:rPr>
        <w:t xml:space="preserve">Kadangi pagal TPP lėšos nėra iš anksto paskirstomos atsižvelgiant į geografinius ar teminius veiksnius, ji ir toliau išlieka lanksčia ir paklausa grindžiama priemone, leidžiančia prisitaikyti prie naujai atsirandančių poreikių ir greitai besikeičiančios aplinkos.  </w:t>
      </w:r>
    </w:p>
    <w:p w14:paraId="13663A33" w14:textId="0F9A974B" w:rsidR="002D616C" w:rsidRPr="00A859F7" w:rsidRDefault="00997E01" w:rsidP="002D616C">
      <w:pPr>
        <w:rPr>
          <w:noProof/>
        </w:rPr>
      </w:pPr>
      <w:r>
        <w:rPr>
          <w:noProof/>
        </w:rPr>
        <w:t xml:space="preserve">Pažymėtina, kad valstybių narių suinteresuotumas dalyvauti daugiašaliuose projektuose toliau didėjo: pagal 2023 m. TPP pradėti įgyvendinti 34 tokie projektai. Valstybės narės savo susidomėjimą stiprinti bendradarbiavimą regionų lygmeniu taip pat pademonstravo dalyvaudamos dešimtyje daugiaregioninių projektų. Be to, valstybės narės aktyviai dalyvavo 12-oje pavyzdinių techninės paramos projektų, kurie buvo atrinkti atsižvelgiant į valstybių narių poreikius ir susiję su svarbiausiais ES prioritetais. </w:t>
      </w:r>
    </w:p>
    <w:p w14:paraId="685FEC56" w14:textId="0E626864" w:rsidR="002D616C" w:rsidRPr="007B6952" w:rsidRDefault="002D616C" w:rsidP="002D616C">
      <w:pPr>
        <w:rPr>
          <w:noProof/>
        </w:rPr>
      </w:pPr>
      <w:r>
        <w:rPr>
          <w:noProof/>
          <w:color w:val="000000" w:themeColor="text1" w:themeShade="BF"/>
          <w14:textFill>
            <w14:solidFill>
              <w14:schemeClr w14:val="tx1">
                <w14:lumMod w14:val="75000"/>
                <w14:lumMod w14:val="75000"/>
              </w14:schemeClr>
            </w14:solidFill>
          </w14:textFill>
        </w:rPr>
        <w:t>2023 m. dauguma pagal TPP remiamų reformų buvo susijusios su nacionalinių ekonomikos gaivinimo ir atsparumo didinimo planų įgyvendinimu.</w:t>
      </w:r>
      <w:r>
        <w:rPr>
          <w:noProof/>
        </w:rPr>
        <w:t xml:space="preserve"> </w:t>
      </w:r>
      <w:r>
        <w:rPr>
          <w:noProof/>
          <w:color w:val="000000" w:themeColor="text1" w:themeShade="BF"/>
          <w14:textFill>
            <w14:solidFill>
              <w14:schemeClr w14:val="tx1">
                <w14:lumMod w14:val="75000"/>
                <w14:lumMod w14:val="75000"/>
              </w14:schemeClr>
            </w14:solidFill>
          </w14:textFill>
        </w:rPr>
        <w:t>Be to</w:t>
      </w:r>
      <w:r>
        <w:rPr>
          <w:noProof/>
        </w:rPr>
        <w:t xml:space="preserve">, atsižvelgiant į Komisijos politinį prioritetą paspartinti integracijos ir stojimo procesą, įgyvendinant TPP neapsiribota vien ES teritorija ir pradėtas bandomasis projektas, kuriame plėtros šalys galėtų dalyvauti atrinktų techninės paramos projektų stebėtojų teisėmis. </w:t>
      </w:r>
    </w:p>
    <w:p w14:paraId="689C6D0A" w14:textId="5F1FE106" w:rsidR="00A935D2" w:rsidRPr="007B6952" w:rsidRDefault="00217C89" w:rsidP="00F746DF">
      <w:pPr>
        <w:rPr>
          <w:noProof/>
        </w:rPr>
      </w:pPr>
      <w:r>
        <w:rPr>
          <w:noProof/>
        </w:rPr>
        <w:t xml:space="preserve">Dar vienas svarbus žingsnis 2023 m. – priimtas </w:t>
      </w:r>
      <w:hyperlink r:id="rId19" w:history="1">
        <w:r>
          <w:rPr>
            <w:rStyle w:val="Hyperlink"/>
            <w:noProof/>
            <w:color w:val="034990" w:themeColor="hyperlink" w:themeShade="BF"/>
          </w:rPr>
          <w:t>komunikatas dėl Europos administracinės erdvės stiprinimo (iniciatyva „ComPAct“)</w:t>
        </w:r>
      </w:hyperlink>
      <w:r>
        <w:rPr>
          <w:noProof/>
        </w:rPr>
        <w:t xml:space="preserve">, kuriame pasiūlyti konkretūs veiksmai, kuriais siekiama padėti viešojo administravimo institucijoms patenkinti žmonių ir įmonių poreikius visoje Europoje. Su iniciatyva „ComPAct“ susijęs projektas „Viešojo administravimo institucijų bendradarbiavimo mainai (PACE)“ taip pat pradėtas įgyvendinti 2023 m. kaip TPP pavyzdinis projektas. Šia iniciatyva siekiama skatinti skirtingų valstybių narių valstybės tarnautojų tarpusavio mokymąsi ir geriausios praktikos mainus, kad būtų stiprinami administraciniai gebėjimai, politikos formavimo ir įgyvendinimo įgūdžiai. PACE sulaukė didelio susidomėjimo: daugiau nei 300 valstybės tarnautojų dalyvavo 70-yje mainų skirtingose valstybėse narėse. </w:t>
      </w:r>
    </w:p>
    <w:p w14:paraId="15B0A3B9" w14:textId="29819319" w:rsidR="001B4567" w:rsidRPr="007B6952" w:rsidRDefault="00425679" w:rsidP="00FE6068">
      <w:pPr>
        <w:rPr>
          <w:noProof/>
        </w:rPr>
      </w:pPr>
      <w:r>
        <w:rPr>
          <w:noProof/>
        </w:rPr>
        <w:t xml:space="preserve">Šioje ataskaitoje taip pat pabrėžiame, koks svarbus TPP indėlis į konkurencingumą – vieną iš pagrindinių ES prioritetų. Ši TPP paramos valstybėms narėms konkurencingumo srityje 2023 m. apžvalga sudaryta remiantis </w:t>
      </w:r>
      <w:hyperlink r:id="rId20" w:history="1">
        <w:r>
          <w:rPr>
            <w:rStyle w:val="Hyperlink"/>
            <w:noProof/>
            <w:color w:val="034990" w:themeColor="hyperlink" w:themeShade="BF"/>
          </w:rPr>
          <w:t>komunikate „Bendrosios rinkos trisdešimtmetis“</w:t>
        </w:r>
      </w:hyperlink>
      <w:r>
        <w:rPr>
          <w:noProof/>
        </w:rPr>
        <w:t xml:space="preserve"> ir </w:t>
      </w:r>
      <w:hyperlink r:id="rId21" w:history="1">
        <w:r>
          <w:rPr>
            <w:rStyle w:val="Hyperlink"/>
            <w:noProof/>
            <w:color w:val="034990" w:themeColor="hyperlink" w:themeShade="BF"/>
          </w:rPr>
          <w:t>2024 m. metinėje bendrosios rinkos ir konkurencingumo ataskaitoje</w:t>
        </w:r>
      </w:hyperlink>
      <w:r>
        <w:rPr>
          <w:noProof/>
        </w:rPr>
        <w:t xml:space="preserve"> nustatytais devyniais konkurencingumą skatinančiais veiksniais. Ataskaitoje pateikiami konkretūs atvejai, kai pagal TPP Europos įmonėms buvo teikiama parama skatinti valstybių narių ekonomikos augimą, kuriant darbo vietas, sanglaudą, inovacijas ir gerovę. </w:t>
      </w:r>
    </w:p>
    <w:p w14:paraId="774531EC" w14:textId="38C28147" w:rsidR="00FE6068" w:rsidRDefault="00FE6068" w:rsidP="00C22B0D">
      <w:pPr>
        <w:spacing w:after="320"/>
        <w:rPr>
          <w:noProof/>
        </w:rPr>
      </w:pPr>
      <w:r>
        <w:rPr>
          <w:noProof/>
        </w:rPr>
        <w:t>Esu įsitikinusi, kad ateinančiais metais ir toliau pagal TPP bus teikiama parama rengiant ir įgyvendinant reformas, atitinkančias pagrindines ES politikos kryptis ir prioritetus, sprendžiami nacionaliniai ir tarptautiniai uždaviniai ir tokiu būdu daromas akivaizdžiai teigiamas poveikis visoje ES.</w:t>
      </w:r>
    </w:p>
    <w:p w14:paraId="4A29120A" w14:textId="526B0AE6" w:rsidR="00A37F3F" w:rsidRPr="007B6952" w:rsidRDefault="00A37F3F" w:rsidP="004A413E">
      <w:pPr>
        <w:spacing w:after="320"/>
        <w:jc w:val="left"/>
        <w:rPr>
          <w:noProof/>
        </w:rPr>
      </w:pPr>
      <w:r>
        <w:rPr>
          <w:noProof/>
          <w:lang w:val="en-GB" w:eastAsia="en-GB"/>
        </w:rPr>
        <w:drawing>
          <wp:inline distT="0" distB="0" distL="0" distR="0" wp14:anchorId="3E1A32A3" wp14:editId="712C7AAC">
            <wp:extent cx="2486025" cy="1666875"/>
            <wp:effectExtent l="0" t="0" r="9525" b="9525"/>
            <wp:docPr id="175209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1666875"/>
                    </a:xfrm>
                    <a:prstGeom prst="rect">
                      <a:avLst/>
                    </a:prstGeom>
                    <a:noFill/>
                    <a:ln>
                      <a:noFill/>
                    </a:ln>
                  </pic:spPr>
                </pic:pic>
              </a:graphicData>
            </a:graphic>
          </wp:inline>
        </w:drawing>
      </w:r>
    </w:p>
    <w:p w14:paraId="6FE94F59" w14:textId="6AF4DF8D" w:rsidR="00FE6068" w:rsidRPr="007B6952" w:rsidRDefault="00ED6467" w:rsidP="00C22B0D">
      <w:pPr>
        <w:spacing w:after="0"/>
        <w:rPr>
          <w:noProof/>
        </w:rPr>
      </w:pPr>
      <w:r>
        <w:rPr>
          <w:noProof/>
        </w:rPr>
        <w:t>Judit RÓZSA</w:t>
      </w:r>
    </w:p>
    <w:p w14:paraId="14D0A96D" w14:textId="4ED7BAD1" w:rsidR="00ED6467" w:rsidRPr="007B6952" w:rsidRDefault="00ED6467" w:rsidP="00FE6068">
      <w:pPr>
        <w:jc w:val="left"/>
        <w:rPr>
          <w:noProof/>
        </w:rPr>
      </w:pPr>
      <w:r>
        <w:rPr>
          <w:noProof/>
        </w:rPr>
        <w:t>Laikinai einanti REFORM GD generalinio direktoriaus pareigas</w:t>
      </w:r>
    </w:p>
    <w:p w14:paraId="7BB1D2ED" w14:textId="61D2A772" w:rsidR="001D773F" w:rsidRPr="00ED6467" w:rsidRDefault="001D773F" w:rsidP="001D773F">
      <w:pPr>
        <w:rPr>
          <w:rFonts w:cs="Times New Roman"/>
          <w:noProof/>
          <w:lang w:val="en-IE"/>
        </w:rPr>
      </w:pPr>
    </w:p>
    <w:p w14:paraId="473E8C9A" w14:textId="77777777" w:rsidR="00FB718E" w:rsidRPr="00ED6467" w:rsidRDefault="00FB718E" w:rsidP="001D773F">
      <w:pPr>
        <w:rPr>
          <w:rFonts w:cs="Times New Roman"/>
          <w:noProof/>
          <w:lang w:val="en-IE"/>
        </w:rPr>
      </w:pPr>
    </w:p>
    <w:p w14:paraId="161D2A4E" w14:textId="098D120D" w:rsidR="004D7D5C" w:rsidRPr="00ED6467" w:rsidRDefault="004D7D5C" w:rsidP="006740EE">
      <w:pPr>
        <w:rPr>
          <w:i/>
          <w:iCs/>
          <w:noProof/>
          <w:lang w:val="en-IE"/>
        </w:rPr>
      </w:pPr>
    </w:p>
    <w:p w14:paraId="02501EE9" w14:textId="77777777" w:rsidR="004D7D5C" w:rsidRPr="00ED6467" w:rsidRDefault="004D7D5C" w:rsidP="00FB718E">
      <w:pPr>
        <w:rPr>
          <w:noProof/>
          <w:lang w:val="en-IE"/>
        </w:rPr>
      </w:pPr>
    </w:p>
    <w:p w14:paraId="2DC01DFB" w14:textId="77777777" w:rsidR="00FB718E" w:rsidRPr="00ED6467" w:rsidRDefault="00FB718E" w:rsidP="001D773F">
      <w:pPr>
        <w:rPr>
          <w:rFonts w:cs="Times New Roman"/>
          <w:noProof/>
          <w:lang w:val="en-IE"/>
        </w:rPr>
      </w:pPr>
    </w:p>
    <w:p w14:paraId="33D7EB35" w14:textId="77777777" w:rsidR="000248CD" w:rsidRPr="00ED6467" w:rsidRDefault="000248CD">
      <w:pPr>
        <w:jc w:val="left"/>
        <w:rPr>
          <w:rFonts w:ascii="Times New Roman" w:hAnsi="Times New Roman" w:cs="Times New Roman"/>
          <w:noProof/>
        </w:rPr>
      </w:pPr>
      <w:r>
        <w:rPr>
          <w:noProof/>
        </w:rPr>
        <w:br w:type="page"/>
      </w:r>
    </w:p>
    <w:p w14:paraId="0044BEC4" w14:textId="77777777" w:rsidR="00071209" w:rsidRPr="00ED6467" w:rsidRDefault="00071209" w:rsidP="00CA1528">
      <w:pPr>
        <w:rPr>
          <w:rFonts w:ascii="Times New Roman" w:hAnsi="Times New Roman" w:cs="Times New Roman"/>
          <w:noProof/>
          <w:lang w:val="en-IE"/>
        </w:rPr>
      </w:pPr>
    </w:p>
    <w:sdt>
      <w:sdtPr>
        <w:rPr>
          <w:rFonts w:eastAsiaTheme="minorHAnsi" w:cstheme="minorBidi"/>
          <w:b w:val="0"/>
          <w:caps w:val="0"/>
          <w:noProof/>
          <w:color w:val="000000"/>
          <w:sz w:val="24"/>
          <w:szCs w:val="24"/>
          <w14:textFill>
            <w14:solidFill>
              <w14:srgbClr w14:val="000000">
                <w14:lumMod w14:val="75000"/>
              </w14:srgbClr>
            </w14:solidFill>
          </w14:textFill>
        </w:rPr>
        <w:id w:val="-1204323856"/>
        <w:docPartObj>
          <w:docPartGallery w:val="Table of Contents"/>
          <w:docPartUnique/>
        </w:docPartObj>
      </w:sdtPr>
      <w:sdtEndPr>
        <w:rPr>
          <w:bCs/>
        </w:rPr>
      </w:sdtEndPr>
      <w:sdtContent>
        <w:p w14:paraId="093E151F" w14:textId="612ED130" w:rsidR="005121D1" w:rsidRPr="005459EB" w:rsidRDefault="005121D1">
          <w:pPr>
            <w:pStyle w:val="TOCHeading"/>
            <w:rPr>
              <w:noProof/>
            </w:rPr>
          </w:pPr>
          <w:r>
            <w:rPr>
              <w:noProof/>
            </w:rPr>
            <w:t>Turinys</w:t>
          </w:r>
        </w:p>
        <w:p w14:paraId="5175F005" w14:textId="1653B3F8" w:rsidR="006C5A6A" w:rsidRDefault="005121D1">
          <w:pPr>
            <w:pStyle w:val="TOC2"/>
            <w:rPr>
              <w:rFonts w:asciiTheme="minorHAnsi" w:eastAsiaTheme="minorEastAsia" w:hAnsiTheme="minorHAnsi"/>
              <w:noProof/>
              <w:kern w:val="2"/>
              <w:sz w:val="22"/>
              <w:szCs w:val="22"/>
              <w:lang w:val="en-IE" w:eastAsia="en-IE"/>
              <w14:ligatures w14:val="standardContextual"/>
            </w:rPr>
          </w:pPr>
          <w:r>
            <w:rPr>
              <w:noProof/>
            </w:rPr>
            <w:fldChar w:fldCharType="begin"/>
          </w:r>
          <w:r>
            <w:rPr>
              <w:noProof/>
            </w:rPr>
            <w:instrText xml:space="preserve"> TOC \o "1-3" \h \z \u </w:instrText>
          </w:r>
          <w:r>
            <w:rPr>
              <w:noProof/>
            </w:rPr>
            <w:fldChar w:fldCharType="separate"/>
          </w:r>
          <w:hyperlink w:anchor="_Toc179190855" w:history="1">
            <w:r w:rsidR="006C5A6A" w:rsidRPr="007B2C92">
              <w:rPr>
                <w:rStyle w:val="Hyperlink"/>
                <w:noProof/>
                <w:color w:val="034990" w:themeColor="hyperlink" w:themeShade="BF"/>
              </w:rPr>
              <w:t>Pratarmė</w:t>
            </w:r>
            <w:r w:rsidR="006C5A6A">
              <w:rPr>
                <w:noProof/>
                <w:webHidden/>
              </w:rPr>
              <w:tab/>
            </w:r>
            <w:r w:rsidR="006C5A6A">
              <w:rPr>
                <w:noProof/>
                <w:webHidden/>
              </w:rPr>
              <w:fldChar w:fldCharType="begin"/>
            </w:r>
            <w:r w:rsidR="006C5A6A">
              <w:rPr>
                <w:noProof/>
                <w:webHidden/>
              </w:rPr>
              <w:instrText xml:space="preserve"> PAGEREF _Toc179190855 \h </w:instrText>
            </w:r>
            <w:r w:rsidR="006C5A6A">
              <w:rPr>
                <w:noProof/>
                <w:webHidden/>
              </w:rPr>
            </w:r>
            <w:r w:rsidR="006C5A6A">
              <w:rPr>
                <w:noProof/>
                <w:webHidden/>
              </w:rPr>
              <w:fldChar w:fldCharType="separate"/>
            </w:r>
            <w:r w:rsidR="006C5A6A">
              <w:rPr>
                <w:noProof/>
                <w:webHidden/>
              </w:rPr>
              <w:t>1</w:t>
            </w:r>
            <w:r w:rsidR="006C5A6A">
              <w:rPr>
                <w:noProof/>
                <w:webHidden/>
              </w:rPr>
              <w:fldChar w:fldCharType="end"/>
            </w:r>
          </w:hyperlink>
        </w:p>
        <w:p w14:paraId="3485D858" w14:textId="3DED56CB" w:rsidR="006C5A6A" w:rsidRDefault="00631C6E">
          <w:pPr>
            <w:pStyle w:val="TOC1"/>
            <w:rPr>
              <w:rFonts w:asciiTheme="minorHAnsi" w:eastAsiaTheme="minorEastAsia" w:hAnsiTheme="minorHAnsi"/>
              <w:noProof/>
              <w:kern w:val="2"/>
              <w:sz w:val="22"/>
              <w:szCs w:val="22"/>
              <w:lang w:val="en-IE" w:eastAsia="en-IE"/>
              <w14:ligatures w14:val="standardContextual"/>
            </w:rPr>
          </w:pPr>
          <w:hyperlink w:anchor="_Toc179190856" w:history="1">
            <w:r w:rsidR="006C5A6A" w:rsidRPr="007B2C92">
              <w:rPr>
                <w:rStyle w:val="Hyperlink"/>
                <w:noProof/>
                <w:color w:val="034990" w:themeColor="hyperlink" w:themeShade="BF"/>
              </w:rPr>
              <w:t>Techninės paramos priemonė</w:t>
            </w:r>
            <w:r w:rsidR="006C5A6A">
              <w:rPr>
                <w:noProof/>
                <w:webHidden/>
              </w:rPr>
              <w:tab/>
            </w:r>
            <w:r w:rsidR="006C5A6A">
              <w:rPr>
                <w:noProof/>
                <w:webHidden/>
              </w:rPr>
              <w:fldChar w:fldCharType="begin"/>
            </w:r>
            <w:r w:rsidR="006C5A6A">
              <w:rPr>
                <w:noProof/>
                <w:webHidden/>
              </w:rPr>
              <w:instrText xml:space="preserve"> PAGEREF _Toc179190856 \h </w:instrText>
            </w:r>
            <w:r w:rsidR="006C5A6A">
              <w:rPr>
                <w:noProof/>
                <w:webHidden/>
              </w:rPr>
            </w:r>
            <w:r w:rsidR="006C5A6A">
              <w:rPr>
                <w:noProof/>
                <w:webHidden/>
              </w:rPr>
              <w:fldChar w:fldCharType="separate"/>
            </w:r>
            <w:r w:rsidR="006C5A6A">
              <w:rPr>
                <w:noProof/>
                <w:webHidden/>
              </w:rPr>
              <w:t>4</w:t>
            </w:r>
            <w:r w:rsidR="006C5A6A">
              <w:rPr>
                <w:noProof/>
                <w:webHidden/>
              </w:rPr>
              <w:fldChar w:fldCharType="end"/>
            </w:r>
          </w:hyperlink>
        </w:p>
        <w:p w14:paraId="0DC96A5C" w14:textId="3A3B6500" w:rsidR="006C5A6A" w:rsidRDefault="00631C6E">
          <w:pPr>
            <w:pStyle w:val="TOC1"/>
            <w:rPr>
              <w:rFonts w:asciiTheme="minorHAnsi" w:eastAsiaTheme="minorEastAsia" w:hAnsiTheme="minorHAnsi"/>
              <w:noProof/>
              <w:kern w:val="2"/>
              <w:sz w:val="22"/>
              <w:szCs w:val="22"/>
              <w:lang w:val="en-IE" w:eastAsia="en-IE"/>
              <w14:ligatures w14:val="standardContextual"/>
            </w:rPr>
          </w:pPr>
          <w:hyperlink w:anchor="_Toc179190857" w:history="1">
            <w:r w:rsidR="006C5A6A" w:rsidRPr="007B2C92">
              <w:rPr>
                <w:rStyle w:val="Hyperlink"/>
                <w:noProof/>
                <w:color w:val="034990" w:themeColor="hyperlink" w:themeShade="BF"/>
              </w:rPr>
              <w:t>TPP 2023</w:t>
            </w:r>
            <w:r w:rsidR="006C5A6A" w:rsidRPr="007B2C92">
              <w:rPr>
                <w:rStyle w:val="Hyperlink"/>
                <w:rFonts w:ascii="Calibri" w:hAnsi="Calibri" w:cs="Calibri"/>
                <w:noProof/>
                <w:color w:val="034990" w:themeColor="hyperlink" w:themeShade="BF"/>
              </w:rPr>
              <w:t> </w:t>
            </w:r>
            <w:r w:rsidR="006C5A6A" w:rsidRPr="007B2C92">
              <w:rPr>
                <w:rStyle w:val="Hyperlink"/>
                <w:noProof/>
                <w:color w:val="034990" w:themeColor="hyperlink" w:themeShade="BF"/>
              </w:rPr>
              <w:t>m.</w:t>
            </w:r>
            <w:r w:rsidR="006C5A6A">
              <w:rPr>
                <w:noProof/>
                <w:webHidden/>
              </w:rPr>
              <w:tab/>
            </w:r>
            <w:r w:rsidR="006C5A6A">
              <w:rPr>
                <w:noProof/>
                <w:webHidden/>
              </w:rPr>
              <w:fldChar w:fldCharType="begin"/>
            </w:r>
            <w:r w:rsidR="006C5A6A">
              <w:rPr>
                <w:noProof/>
                <w:webHidden/>
              </w:rPr>
              <w:instrText xml:space="preserve"> PAGEREF _Toc179190857 \h </w:instrText>
            </w:r>
            <w:r w:rsidR="006C5A6A">
              <w:rPr>
                <w:noProof/>
                <w:webHidden/>
              </w:rPr>
            </w:r>
            <w:r w:rsidR="006C5A6A">
              <w:rPr>
                <w:noProof/>
                <w:webHidden/>
              </w:rPr>
              <w:fldChar w:fldCharType="separate"/>
            </w:r>
            <w:r w:rsidR="006C5A6A">
              <w:rPr>
                <w:noProof/>
                <w:webHidden/>
              </w:rPr>
              <w:t>5</w:t>
            </w:r>
            <w:r w:rsidR="006C5A6A">
              <w:rPr>
                <w:noProof/>
                <w:webHidden/>
              </w:rPr>
              <w:fldChar w:fldCharType="end"/>
            </w:r>
          </w:hyperlink>
        </w:p>
        <w:p w14:paraId="0301FC5B" w14:textId="2ED2AC6F"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58" w:history="1">
            <w:r w:rsidR="006C5A6A" w:rsidRPr="007B2C92">
              <w:rPr>
                <w:rStyle w:val="Hyperlink"/>
                <w:noProof/>
                <w:color w:val="034990" w:themeColor="hyperlink" w:themeShade="BF"/>
              </w:rPr>
              <w:t>I.</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Pagrindiniai faktai</w:t>
            </w:r>
            <w:r w:rsidR="006C5A6A">
              <w:rPr>
                <w:noProof/>
                <w:webHidden/>
              </w:rPr>
              <w:tab/>
            </w:r>
            <w:r w:rsidR="006C5A6A">
              <w:rPr>
                <w:noProof/>
                <w:webHidden/>
              </w:rPr>
              <w:fldChar w:fldCharType="begin"/>
            </w:r>
            <w:r w:rsidR="006C5A6A">
              <w:rPr>
                <w:noProof/>
                <w:webHidden/>
              </w:rPr>
              <w:instrText xml:space="preserve"> PAGEREF _Toc179190858 \h </w:instrText>
            </w:r>
            <w:r w:rsidR="006C5A6A">
              <w:rPr>
                <w:noProof/>
                <w:webHidden/>
              </w:rPr>
            </w:r>
            <w:r w:rsidR="006C5A6A">
              <w:rPr>
                <w:noProof/>
                <w:webHidden/>
              </w:rPr>
              <w:fldChar w:fldCharType="separate"/>
            </w:r>
            <w:r w:rsidR="006C5A6A">
              <w:rPr>
                <w:noProof/>
                <w:webHidden/>
              </w:rPr>
              <w:t>5</w:t>
            </w:r>
            <w:r w:rsidR="006C5A6A">
              <w:rPr>
                <w:noProof/>
                <w:webHidden/>
              </w:rPr>
              <w:fldChar w:fldCharType="end"/>
            </w:r>
          </w:hyperlink>
        </w:p>
        <w:p w14:paraId="7E3AD39F" w14:textId="63D6338B" w:rsidR="006C5A6A" w:rsidRDefault="00631C6E">
          <w:pPr>
            <w:pStyle w:val="TOC3"/>
            <w:rPr>
              <w:rFonts w:asciiTheme="minorHAnsi" w:eastAsiaTheme="minorEastAsia" w:hAnsiTheme="minorHAnsi"/>
              <w:noProof/>
              <w:kern w:val="2"/>
              <w:sz w:val="22"/>
              <w:szCs w:val="22"/>
              <w:lang w:val="en-IE" w:eastAsia="en-IE"/>
              <w14:ligatures w14:val="standardContextual"/>
            </w:rPr>
          </w:pPr>
          <w:hyperlink w:anchor="_Toc179190859" w:history="1">
            <w:r w:rsidR="006C5A6A" w:rsidRPr="007B2C92">
              <w:rPr>
                <w:rStyle w:val="Hyperlink"/>
                <w:noProof/>
                <w:color w:val="034990" w:themeColor="hyperlink" w:themeShade="BF"/>
              </w:rPr>
              <w:t>Viešasis administravimas ir valdymas</w:t>
            </w:r>
            <w:r w:rsidR="006C5A6A">
              <w:rPr>
                <w:noProof/>
                <w:webHidden/>
              </w:rPr>
              <w:tab/>
            </w:r>
            <w:r w:rsidR="006C5A6A">
              <w:rPr>
                <w:noProof/>
                <w:webHidden/>
              </w:rPr>
              <w:fldChar w:fldCharType="begin"/>
            </w:r>
            <w:r w:rsidR="006C5A6A">
              <w:rPr>
                <w:noProof/>
                <w:webHidden/>
              </w:rPr>
              <w:instrText xml:space="preserve"> PAGEREF _Toc179190859 \h </w:instrText>
            </w:r>
            <w:r w:rsidR="006C5A6A">
              <w:rPr>
                <w:noProof/>
                <w:webHidden/>
              </w:rPr>
            </w:r>
            <w:r w:rsidR="006C5A6A">
              <w:rPr>
                <w:noProof/>
                <w:webHidden/>
              </w:rPr>
              <w:fldChar w:fldCharType="separate"/>
            </w:r>
            <w:r w:rsidR="006C5A6A">
              <w:rPr>
                <w:noProof/>
                <w:webHidden/>
              </w:rPr>
              <w:t>6</w:t>
            </w:r>
            <w:r w:rsidR="006C5A6A">
              <w:rPr>
                <w:noProof/>
                <w:webHidden/>
              </w:rPr>
              <w:fldChar w:fldCharType="end"/>
            </w:r>
          </w:hyperlink>
        </w:p>
        <w:p w14:paraId="31D56D2E" w14:textId="2E62F4A8"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60" w:history="1">
            <w:r w:rsidR="006C5A6A" w:rsidRPr="007B2C92">
              <w:rPr>
                <w:rStyle w:val="Hyperlink"/>
                <w:noProof/>
                <w:color w:val="034990" w:themeColor="hyperlink" w:themeShade="BF"/>
              </w:rPr>
              <w:t>II.</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2023</w:t>
            </w:r>
            <w:r w:rsidR="006C5A6A" w:rsidRPr="007B2C92">
              <w:rPr>
                <w:rStyle w:val="Hyperlink"/>
                <w:rFonts w:ascii="Calibri" w:hAnsi="Calibri" w:cs="Calibri"/>
                <w:noProof/>
                <w14:textFill>
                  <w14:solidFill>
                    <w14:schemeClr w14:val="hlink">
                      <w14:lumMod w14:val="75000"/>
                      <w14:lumMod w14:val="75000"/>
                      <w14:lumMod w14:val="75000"/>
                    </w14:schemeClr>
                  </w14:solidFill>
                </w14:textFill>
              </w:rPr>
              <w:t> </w:t>
            </w:r>
            <w:r w:rsidR="006C5A6A" w:rsidRPr="007B2C92">
              <w:rPr>
                <w:rStyle w:val="Hyperlink"/>
                <w:noProof/>
                <w14:textFill>
                  <w14:solidFill>
                    <w14:schemeClr w14:val="hlink">
                      <w14:lumMod w14:val="75000"/>
                      <w14:lumMod w14:val="75000"/>
                      <w14:lumMod w14:val="75000"/>
                    </w14:schemeClr>
                  </w14:solidFill>
                </w14:textFill>
              </w:rPr>
              <w:t>m. TPP ciklas. Faktai ir skai</w:t>
            </w:r>
            <w:r w:rsidR="006C5A6A" w:rsidRPr="007B2C92">
              <w:rPr>
                <w:rStyle w:val="Hyperlink"/>
                <w:rFonts w:cs="EC Square Sans Pro"/>
                <w:noProof/>
                <w14:textFill>
                  <w14:solidFill>
                    <w14:schemeClr w14:val="hlink">
                      <w14:lumMod w14:val="75000"/>
                      <w14:lumMod w14:val="75000"/>
                      <w14:lumMod w14:val="75000"/>
                    </w14:schemeClr>
                  </w14:solidFill>
                </w14:textFill>
              </w:rPr>
              <w:t>č</w:t>
            </w:r>
            <w:r w:rsidR="006C5A6A" w:rsidRPr="007B2C92">
              <w:rPr>
                <w:rStyle w:val="Hyperlink"/>
                <w:noProof/>
                <w14:textFill>
                  <w14:solidFill>
                    <w14:schemeClr w14:val="hlink">
                      <w14:lumMod w14:val="75000"/>
                      <w14:lumMod w14:val="75000"/>
                      <w14:lumMod w14:val="75000"/>
                    </w14:schemeClr>
                  </w14:solidFill>
                </w14:textFill>
              </w:rPr>
              <w:t>iai</w:t>
            </w:r>
            <w:r w:rsidR="006C5A6A">
              <w:rPr>
                <w:noProof/>
                <w:webHidden/>
              </w:rPr>
              <w:tab/>
            </w:r>
            <w:r w:rsidR="006C5A6A">
              <w:rPr>
                <w:noProof/>
                <w:webHidden/>
              </w:rPr>
              <w:fldChar w:fldCharType="begin"/>
            </w:r>
            <w:r w:rsidR="006C5A6A">
              <w:rPr>
                <w:noProof/>
                <w:webHidden/>
              </w:rPr>
              <w:instrText xml:space="preserve"> PAGEREF _Toc179190860 \h </w:instrText>
            </w:r>
            <w:r w:rsidR="006C5A6A">
              <w:rPr>
                <w:noProof/>
                <w:webHidden/>
              </w:rPr>
            </w:r>
            <w:r w:rsidR="006C5A6A">
              <w:rPr>
                <w:noProof/>
                <w:webHidden/>
              </w:rPr>
              <w:fldChar w:fldCharType="separate"/>
            </w:r>
            <w:r w:rsidR="006C5A6A">
              <w:rPr>
                <w:noProof/>
                <w:webHidden/>
              </w:rPr>
              <w:t>7</w:t>
            </w:r>
            <w:r w:rsidR="006C5A6A">
              <w:rPr>
                <w:noProof/>
                <w:webHidden/>
              </w:rPr>
              <w:fldChar w:fldCharType="end"/>
            </w:r>
          </w:hyperlink>
        </w:p>
        <w:p w14:paraId="63CA5633" w14:textId="2776DA2A" w:rsidR="006C5A6A" w:rsidRDefault="00631C6E">
          <w:pPr>
            <w:pStyle w:val="TOC3"/>
            <w:rPr>
              <w:rFonts w:asciiTheme="minorHAnsi" w:eastAsiaTheme="minorEastAsia" w:hAnsiTheme="minorHAnsi"/>
              <w:noProof/>
              <w:kern w:val="2"/>
              <w:sz w:val="22"/>
              <w:szCs w:val="22"/>
              <w:lang w:val="en-IE" w:eastAsia="en-IE"/>
              <w14:ligatures w14:val="standardContextual"/>
            </w:rPr>
          </w:pPr>
          <w:hyperlink w:anchor="_Toc179190861" w:history="1">
            <w:r w:rsidR="006C5A6A" w:rsidRPr="007B2C92">
              <w:rPr>
                <w:rStyle w:val="Hyperlink"/>
                <w:noProof/>
                <w:color w:val="034990" w:themeColor="hyperlink" w:themeShade="BF"/>
              </w:rPr>
              <w:t>2023</w:t>
            </w:r>
            <w:r w:rsidR="006C5A6A" w:rsidRPr="007B2C92">
              <w:rPr>
                <w:rStyle w:val="Hyperlink"/>
                <w:rFonts w:ascii="Calibri" w:hAnsi="Calibri" w:cs="Calibri"/>
                <w:noProof/>
                <w:color w:val="034990" w:themeColor="hyperlink" w:themeShade="BF"/>
              </w:rPr>
              <w:t> </w:t>
            </w:r>
            <w:r w:rsidR="006C5A6A" w:rsidRPr="007B2C92">
              <w:rPr>
                <w:rStyle w:val="Hyperlink"/>
                <w:noProof/>
                <w:color w:val="034990" w:themeColor="hyperlink" w:themeShade="BF"/>
              </w:rPr>
              <w:t>m. TPP ciklo prad</w:t>
            </w:r>
            <w:r w:rsidR="006C5A6A" w:rsidRPr="007B2C92">
              <w:rPr>
                <w:rStyle w:val="Hyperlink"/>
                <w:rFonts w:cs="EC Square Sans Pro"/>
                <w:noProof/>
                <w:color w:val="034990" w:themeColor="hyperlink" w:themeShade="BF"/>
              </w:rPr>
              <w:t>ž</w:t>
            </w:r>
            <w:r w:rsidR="006C5A6A" w:rsidRPr="007B2C92">
              <w:rPr>
                <w:rStyle w:val="Hyperlink"/>
                <w:noProof/>
                <w:color w:val="034990" w:themeColor="hyperlink" w:themeShade="BF"/>
              </w:rPr>
              <w:t>ia</w:t>
            </w:r>
            <w:r w:rsidR="006C5A6A">
              <w:rPr>
                <w:noProof/>
                <w:webHidden/>
              </w:rPr>
              <w:tab/>
            </w:r>
            <w:r w:rsidR="006C5A6A">
              <w:rPr>
                <w:noProof/>
                <w:webHidden/>
              </w:rPr>
              <w:fldChar w:fldCharType="begin"/>
            </w:r>
            <w:r w:rsidR="006C5A6A">
              <w:rPr>
                <w:noProof/>
                <w:webHidden/>
              </w:rPr>
              <w:instrText xml:space="preserve"> PAGEREF _Toc179190861 \h </w:instrText>
            </w:r>
            <w:r w:rsidR="006C5A6A">
              <w:rPr>
                <w:noProof/>
                <w:webHidden/>
              </w:rPr>
            </w:r>
            <w:r w:rsidR="006C5A6A">
              <w:rPr>
                <w:noProof/>
                <w:webHidden/>
              </w:rPr>
              <w:fldChar w:fldCharType="separate"/>
            </w:r>
            <w:r w:rsidR="006C5A6A">
              <w:rPr>
                <w:noProof/>
                <w:webHidden/>
              </w:rPr>
              <w:t>7</w:t>
            </w:r>
            <w:r w:rsidR="006C5A6A">
              <w:rPr>
                <w:noProof/>
                <w:webHidden/>
              </w:rPr>
              <w:fldChar w:fldCharType="end"/>
            </w:r>
          </w:hyperlink>
        </w:p>
        <w:p w14:paraId="6459D038" w14:textId="19919576" w:rsidR="006C5A6A" w:rsidRDefault="00631C6E">
          <w:pPr>
            <w:pStyle w:val="TOC3"/>
            <w:rPr>
              <w:rFonts w:asciiTheme="minorHAnsi" w:eastAsiaTheme="minorEastAsia" w:hAnsiTheme="minorHAnsi"/>
              <w:noProof/>
              <w:kern w:val="2"/>
              <w:sz w:val="22"/>
              <w:szCs w:val="22"/>
              <w:lang w:val="en-IE" w:eastAsia="en-IE"/>
              <w14:ligatures w14:val="standardContextual"/>
            </w:rPr>
          </w:pPr>
          <w:hyperlink w:anchor="_Toc179190862" w:history="1">
            <w:r w:rsidR="006C5A6A" w:rsidRPr="007B2C92">
              <w:rPr>
                <w:rStyle w:val="Hyperlink"/>
                <w:noProof/>
                <w:color w:val="034990" w:themeColor="hyperlink" w:themeShade="BF"/>
              </w:rPr>
              <w:t>2023 m. TPP paramos prašymai</w:t>
            </w:r>
            <w:r w:rsidR="006C5A6A">
              <w:rPr>
                <w:noProof/>
                <w:webHidden/>
              </w:rPr>
              <w:tab/>
            </w:r>
            <w:r w:rsidR="006C5A6A">
              <w:rPr>
                <w:noProof/>
                <w:webHidden/>
              </w:rPr>
              <w:fldChar w:fldCharType="begin"/>
            </w:r>
            <w:r w:rsidR="006C5A6A">
              <w:rPr>
                <w:noProof/>
                <w:webHidden/>
              </w:rPr>
              <w:instrText xml:space="preserve"> PAGEREF _Toc179190862 \h </w:instrText>
            </w:r>
            <w:r w:rsidR="006C5A6A">
              <w:rPr>
                <w:noProof/>
                <w:webHidden/>
              </w:rPr>
            </w:r>
            <w:r w:rsidR="006C5A6A">
              <w:rPr>
                <w:noProof/>
                <w:webHidden/>
              </w:rPr>
              <w:fldChar w:fldCharType="separate"/>
            </w:r>
            <w:r w:rsidR="006C5A6A">
              <w:rPr>
                <w:noProof/>
                <w:webHidden/>
              </w:rPr>
              <w:t>8</w:t>
            </w:r>
            <w:r w:rsidR="006C5A6A">
              <w:rPr>
                <w:noProof/>
                <w:webHidden/>
              </w:rPr>
              <w:fldChar w:fldCharType="end"/>
            </w:r>
          </w:hyperlink>
        </w:p>
        <w:p w14:paraId="6495F18C" w14:textId="24089CC7" w:rsidR="006C5A6A" w:rsidRDefault="00631C6E">
          <w:pPr>
            <w:pStyle w:val="TOC3"/>
            <w:rPr>
              <w:rFonts w:asciiTheme="minorHAnsi" w:eastAsiaTheme="minorEastAsia" w:hAnsiTheme="minorHAnsi"/>
              <w:noProof/>
              <w:kern w:val="2"/>
              <w:sz w:val="22"/>
              <w:szCs w:val="22"/>
              <w:lang w:val="en-IE" w:eastAsia="en-IE"/>
              <w14:ligatures w14:val="standardContextual"/>
            </w:rPr>
          </w:pPr>
          <w:hyperlink w:anchor="_Toc179190863" w:history="1">
            <w:r w:rsidR="006C5A6A" w:rsidRPr="007B2C92">
              <w:rPr>
                <w:rStyle w:val="Hyperlink"/>
                <w:noProof/>
                <w:color w:val="034990" w:themeColor="hyperlink" w:themeShade="BF"/>
              </w:rPr>
              <w:t>2023</w:t>
            </w:r>
            <w:r w:rsidR="006C5A6A" w:rsidRPr="007B2C92">
              <w:rPr>
                <w:rStyle w:val="Hyperlink"/>
                <w:rFonts w:ascii="Calibri" w:hAnsi="Calibri" w:cs="Calibri"/>
                <w:noProof/>
                <w:color w:val="034990" w:themeColor="hyperlink" w:themeShade="BF"/>
              </w:rPr>
              <w:t> </w:t>
            </w:r>
            <w:r w:rsidR="006C5A6A" w:rsidRPr="007B2C92">
              <w:rPr>
                <w:rStyle w:val="Hyperlink"/>
                <w:noProof/>
                <w:color w:val="034990" w:themeColor="hyperlink" w:themeShade="BF"/>
              </w:rPr>
              <w:t>m. TPP projektai</w:t>
            </w:r>
            <w:r w:rsidR="006C5A6A">
              <w:rPr>
                <w:noProof/>
                <w:webHidden/>
              </w:rPr>
              <w:tab/>
            </w:r>
            <w:r w:rsidR="006C5A6A">
              <w:rPr>
                <w:noProof/>
                <w:webHidden/>
              </w:rPr>
              <w:fldChar w:fldCharType="begin"/>
            </w:r>
            <w:r w:rsidR="006C5A6A">
              <w:rPr>
                <w:noProof/>
                <w:webHidden/>
              </w:rPr>
              <w:instrText xml:space="preserve"> PAGEREF _Toc179190863 \h </w:instrText>
            </w:r>
            <w:r w:rsidR="006C5A6A">
              <w:rPr>
                <w:noProof/>
                <w:webHidden/>
              </w:rPr>
            </w:r>
            <w:r w:rsidR="006C5A6A">
              <w:rPr>
                <w:noProof/>
                <w:webHidden/>
              </w:rPr>
              <w:fldChar w:fldCharType="separate"/>
            </w:r>
            <w:r w:rsidR="006C5A6A">
              <w:rPr>
                <w:noProof/>
                <w:webHidden/>
              </w:rPr>
              <w:t>9</w:t>
            </w:r>
            <w:r w:rsidR="006C5A6A">
              <w:rPr>
                <w:noProof/>
                <w:webHidden/>
              </w:rPr>
              <w:fldChar w:fldCharType="end"/>
            </w:r>
          </w:hyperlink>
        </w:p>
        <w:p w14:paraId="676075B4" w14:textId="321CB9BC" w:rsidR="006C5A6A" w:rsidRDefault="00631C6E">
          <w:pPr>
            <w:pStyle w:val="TOC3"/>
            <w:rPr>
              <w:rFonts w:asciiTheme="minorHAnsi" w:eastAsiaTheme="minorEastAsia" w:hAnsiTheme="minorHAnsi"/>
              <w:noProof/>
              <w:kern w:val="2"/>
              <w:sz w:val="22"/>
              <w:szCs w:val="22"/>
              <w:lang w:val="en-IE" w:eastAsia="en-IE"/>
              <w14:ligatures w14:val="standardContextual"/>
            </w:rPr>
          </w:pPr>
          <w:hyperlink w:anchor="_Toc179190864" w:history="1">
            <w:r w:rsidR="006C5A6A" w:rsidRPr="007B2C92">
              <w:rPr>
                <w:rStyle w:val="Hyperlink"/>
                <w:noProof/>
                <w:color w:val="034990" w:themeColor="hyperlink" w:themeShade="BF"/>
              </w:rPr>
              <w:t>Pavyzdiniai projektai</w:t>
            </w:r>
            <w:r w:rsidR="006C5A6A">
              <w:rPr>
                <w:noProof/>
                <w:webHidden/>
              </w:rPr>
              <w:tab/>
            </w:r>
            <w:r w:rsidR="006C5A6A">
              <w:rPr>
                <w:noProof/>
                <w:webHidden/>
              </w:rPr>
              <w:fldChar w:fldCharType="begin"/>
            </w:r>
            <w:r w:rsidR="006C5A6A">
              <w:rPr>
                <w:noProof/>
                <w:webHidden/>
              </w:rPr>
              <w:instrText xml:space="preserve"> PAGEREF _Toc179190864 \h </w:instrText>
            </w:r>
            <w:r w:rsidR="006C5A6A">
              <w:rPr>
                <w:noProof/>
                <w:webHidden/>
              </w:rPr>
            </w:r>
            <w:r w:rsidR="006C5A6A">
              <w:rPr>
                <w:noProof/>
                <w:webHidden/>
              </w:rPr>
              <w:fldChar w:fldCharType="separate"/>
            </w:r>
            <w:r w:rsidR="006C5A6A">
              <w:rPr>
                <w:noProof/>
                <w:webHidden/>
              </w:rPr>
              <w:t>12</w:t>
            </w:r>
            <w:r w:rsidR="006C5A6A">
              <w:rPr>
                <w:noProof/>
                <w:webHidden/>
              </w:rPr>
              <w:fldChar w:fldCharType="end"/>
            </w:r>
          </w:hyperlink>
        </w:p>
        <w:p w14:paraId="7A905F2A" w14:textId="07E81DF9" w:rsidR="006C5A6A" w:rsidRDefault="00631C6E">
          <w:pPr>
            <w:pStyle w:val="TOC3"/>
            <w:rPr>
              <w:rFonts w:asciiTheme="minorHAnsi" w:eastAsiaTheme="minorEastAsia" w:hAnsiTheme="minorHAnsi"/>
              <w:noProof/>
              <w:kern w:val="2"/>
              <w:sz w:val="22"/>
              <w:szCs w:val="22"/>
              <w:lang w:val="en-IE" w:eastAsia="en-IE"/>
              <w14:ligatures w14:val="standardContextual"/>
            </w:rPr>
          </w:pPr>
          <w:hyperlink w:anchor="_Toc179190865" w:history="1">
            <w:r w:rsidR="006C5A6A" w:rsidRPr="007B2C92">
              <w:rPr>
                <w:rStyle w:val="Hyperlink"/>
                <w:noProof/>
                <w:color w:val="034990" w:themeColor="hyperlink" w:themeShade="BF"/>
              </w:rPr>
              <w:t>Parama rengiant ekonomikos gaivinimo ir atsparumo didinimo planus</w:t>
            </w:r>
            <w:r w:rsidR="006C5A6A">
              <w:rPr>
                <w:noProof/>
                <w:webHidden/>
              </w:rPr>
              <w:tab/>
            </w:r>
            <w:r w:rsidR="006C5A6A">
              <w:rPr>
                <w:noProof/>
                <w:webHidden/>
              </w:rPr>
              <w:fldChar w:fldCharType="begin"/>
            </w:r>
            <w:r w:rsidR="006C5A6A">
              <w:rPr>
                <w:noProof/>
                <w:webHidden/>
              </w:rPr>
              <w:instrText xml:space="preserve"> PAGEREF _Toc179190865 \h </w:instrText>
            </w:r>
            <w:r w:rsidR="006C5A6A">
              <w:rPr>
                <w:noProof/>
                <w:webHidden/>
              </w:rPr>
            </w:r>
            <w:r w:rsidR="006C5A6A">
              <w:rPr>
                <w:noProof/>
                <w:webHidden/>
              </w:rPr>
              <w:fldChar w:fldCharType="separate"/>
            </w:r>
            <w:r w:rsidR="006C5A6A">
              <w:rPr>
                <w:noProof/>
                <w:webHidden/>
              </w:rPr>
              <w:t>12</w:t>
            </w:r>
            <w:r w:rsidR="006C5A6A">
              <w:rPr>
                <w:noProof/>
                <w:webHidden/>
              </w:rPr>
              <w:fldChar w:fldCharType="end"/>
            </w:r>
          </w:hyperlink>
        </w:p>
        <w:p w14:paraId="0F9FDA3A" w14:textId="67B33CAB" w:rsidR="006C5A6A" w:rsidRDefault="00631C6E">
          <w:pPr>
            <w:pStyle w:val="TOC3"/>
            <w:rPr>
              <w:rFonts w:asciiTheme="minorHAnsi" w:eastAsiaTheme="minorEastAsia" w:hAnsiTheme="minorHAnsi"/>
              <w:noProof/>
              <w:kern w:val="2"/>
              <w:sz w:val="22"/>
              <w:szCs w:val="22"/>
              <w:lang w:val="en-IE" w:eastAsia="en-IE"/>
              <w14:ligatures w14:val="standardContextual"/>
            </w:rPr>
          </w:pPr>
          <w:hyperlink w:anchor="_Toc179190866" w:history="1">
            <w:r w:rsidR="006C5A6A" w:rsidRPr="007B2C92">
              <w:rPr>
                <w:rStyle w:val="Hyperlink"/>
                <w:noProof/>
                <w:color w:val="034990" w:themeColor="hyperlink" w:themeShade="BF"/>
              </w:rPr>
              <w:t>Plėtros šalių dalyvavimas bandomajame projekte stebėtojų teisėmis</w:t>
            </w:r>
            <w:r w:rsidR="006C5A6A">
              <w:rPr>
                <w:noProof/>
                <w:webHidden/>
              </w:rPr>
              <w:tab/>
            </w:r>
            <w:r w:rsidR="006C5A6A">
              <w:rPr>
                <w:noProof/>
                <w:webHidden/>
              </w:rPr>
              <w:fldChar w:fldCharType="begin"/>
            </w:r>
            <w:r w:rsidR="006C5A6A">
              <w:rPr>
                <w:noProof/>
                <w:webHidden/>
              </w:rPr>
              <w:instrText xml:space="preserve"> PAGEREF _Toc179190866 \h </w:instrText>
            </w:r>
            <w:r w:rsidR="006C5A6A">
              <w:rPr>
                <w:noProof/>
                <w:webHidden/>
              </w:rPr>
            </w:r>
            <w:r w:rsidR="006C5A6A">
              <w:rPr>
                <w:noProof/>
                <w:webHidden/>
              </w:rPr>
              <w:fldChar w:fldCharType="separate"/>
            </w:r>
            <w:r w:rsidR="006C5A6A">
              <w:rPr>
                <w:noProof/>
                <w:webHidden/>
              </w:rPr>
              <w:t>13</w:t>
            </w:r>
            <w:r w:rsidR="006C5A6A">
              <w:rPr>
                <w:noProof/>
                <w:webHidden/>
              </w:rPr>
              <w:fldChar w:fldCharType="end"/>
            </w:r>
          </w:hyperlink>
        </w:p>
        <w:p w14:paraId="0283A23D" w14:textId="492064A3"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67" w:history="1">
            <w:r w:rsidR="006C5A6A" w:rsidRPr="007B2C92">
              <w:rPr>
                <w:rStyle w:val="Hyperlink"/>
                <w:noProof/>
                <w:color w:val="034990" w:themeColor="hyperlink" w:themeShade="BF"/>
              </w:rPr>
              <w:t>III.</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Projektų vykdymas</w:t>
            </w:r>
            <w:r w:rsidR="006C5A6A">
              <w:rPr>
                <w:noProof/>
                <w:webHidden/>
              </w:rPr>
              <w:tab/>
            </w:r>
            <w:r w:rsidR="006C5A6A">
              <w:rPr>
                <w:noProof/>
                <w:webHidden/>
              </w:rPr>
              <w:fldChar w:fldCharType="begin"/>
            </w:r>
            <w:r w:rsidR="006C5A6A">
              <w:rPr>
                <w:noProof/>
                <w:webHidden/>
              </w:rPr>
              <w:instrText xml:space="preserve"> PAGEREF _Toc179190867 \h </w:instrText>
            </w:r>
            <w:r w:rsidR="006C5A6A">
              <w:rPr>
                <w:noProof/>
                <w:webHidden/>
              </w:rPr>
            </w:r>
            <w:r w:rsidR="006C5A6A">
              <w:rPr>
                <w:noProof/>
                <w:webHidden/>
              </w:rPr>
              <w:fldChar w:fldCharType="separate"/>
            </w:r>
            <w:r w:rsidR="006C5A6A">
              <w:rPr>
                <w:noProof/>
                <w:webHidden/>
              </w:rPr>
              <w:t>13</w:t>
            </w:r>
            <w:r w:rsidR="006C5A6A">
              <w:rPr>
                <w:noProof/>
                <w:webHidden/>
              </w:rPr>
              <w:fldChar w:fldCharType="end"/>
            </w:r>
          </w:hyperlink>
        </w:p>
        <w:p w14:paraId="0EF3B65C" w14:textId="67F33602"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68" w:history="1">
            <w:r w:rsidR="006C5A6A" w:rsidRPr="007B2C92">
              <w:rPr>
                <w:rStyle w:val="Hyperlink"/>
                <w:noProof/>
                <w:color w:val="034990" w:themeColor="hyperlink" w:themeShade="BF"/>
              </w:rPr>
              <w:t>IV.</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Bendradarbiavimo ir paramos planai</w:t>
            </w:r>
            <w:r w:rsidR="006C5A6A">
              <w:rPr>
                <w:noProof/>
                <w:webHidden/>
              </w:rPr>
              <w:tab/>
            </w:r>
            <w:r w:rsidR="006C5A6A">
              <w:rPr>
                <w:noProof/>
                <w:webHidden/>
              </w:rPr>
              <w:fldChar w:fldCharType="begin"/>
            </w:r>
            <w:r w:rsidR="006C5A6A">
              <w:rPr>
                <w:noProof/>
                <w:webHidden/>
              </w:rPr>
              <w:instrText xml:space="preserve"> PAGEREF _Toc179190868 \h </w:instrText>
            </w:r>
            <w:r w:rsidR="006C5A6A">
              <w:rPr>
                <w:noProof/>
                <w:webHidden/>
              </w:rPr>
            </w:r>
            <w:r w:rsidR="006C5A6A">
              <w:rPr>
                <w:noProof/>
                <w:webHidden/>
              </w:rPr>
              <w:fldChar w:fldCharType="separate"/>
            </w:r>
            <w:r w:rsidR="006C5A6A">
              <w:rPr>
                <w:noProof/>
                <w:webHidden/>
              </w:rPr>
              <w:t>14</w:t>
            </w:r>
            <w:r w:rsidR="006C5A6A">
              <w:rPr>
                <w:noProof/>
                <w:webHidden/>
              </w:rPr>
              <w:fldChar w:fldCharType="end"/>
            </w:r>
          </w:hyperlink>
        </w:p>
        <w:p w14:paraId="36A7A3BE" w14:textId="4A27A560"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69" w:history="1">
            <w:r w:rsidR="006C5A6A" w:rsidRPr="007B2C92">
              <w:rPr>
                <w:rStyle w:val="Hyperlink"/>
                <w:noProof/>
                <w14:textFill>
                  <w14:solidFill>
                    <w14:schemeClr w14:val="hlink">
                      <w14:lumMod w14:val="75000"/>
                      <w14:lumMod w14:val="75000"/>
                      <w14:lumMod w14:val="75000"/>
                    </w14:schemeClr>
                  </w14:solidFill>
                </w14:textFill>
              </w:rPr>
              <w:t>V.</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Informavimas apie TPP</w:t>
            </w:r>
            <w:r w:rsidR="006C5A6A">
              <w:rPr>
                <w:noProof/>
                <w:webHidden/>
              </w:rPr>
              <w:tab/>
            </w:r>
            <w:r w:rsidR="006C5A6A">
              <w:rPr>
                <w:noProof/>
                <w:webHidden/>
              </w:rPr>
              <w:fldChar w:fldCharType="begin"/>
            </w:r>
            <w:r w:rsidR="006C5A6A">
              <w:rPr>
                <w:noProof/>
                <w:webHidden/>
              </w:rPr>
              <w:instrText xml:space="preserve"> PAGEREF _Toc179190869 \h </w:instrText>
            </w:r>
            <w:r w:rsidR="006C5A6A">
              <w:rPr>
                <w:noProof/>
                <w:webHidden/>
              </w:rPr>
            </w:r>
            <w:r w:rsidR="006C5A6A">
              <w:rPr>
                <w:noProof/>
                <w:webHidden/>
              </w:rPr>
              <w:fldChar w:fldCharType="separate"/>
            </w:r>
            <w:r w:rsidR="006C5A6A">
              <w:rPr>
                <w:noProof/>
                <w:webHidden/>
              </w:rPr>
              <w:t>15</w:t>
            </w:r>
            <w:r w:rsidR="006C5A6A">
              <w:rPr>
                <w:noProof/>
                <w:webHidden/>
              </w:rPr>
              <w:fldChar w:fldCharType="end"/>
            </w:r>
          </w:hyperlink>
        </w:p>
        <w:p w14:paraId="584182F8" w14:textId="15FB22BF"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70" w:history="1">
            <w:r w:rsidR="006C5A6A" w:rsidRPr="007B2C92">
              <w:rPr>
                <w:rStyle w:val="Hyperlink"/>
                <w:noProof/>
                <w:color w:val="034990" w:themeColor="hyperlink" w:themeShade="BF"/>
              </w:rPr>
              <w:t>VI.</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TPP vertinimas</w:t>
            </w:r>
            <w:r w:rsidR="006C5A6A">
              <w:rPr>
                <w:noProof/>
                <w:webHidden/>
              </w:rPr>
              <w:tab/>
            </w:r>
            <w:r w:rsidR="006C5A6A">
              <w:rPr>
                <w:noProof/>
                <w:webHidden/>
              </w:rPr>
              <w:fldChar w:fldCharType="begin"/>
            </w:r>
            <w:r w:rsidR="006C5A6A">
              <w:rPr>
                <w:noProof/>
                <w:webHidden/>
              </w:rPr>
              <w:instrText xml:space="preserve"> PAGEREF _Toc179190870 \h </w:instrText>
            </w:r>
            <w:r w:rsidR="006C5A6A">
              <w:rPr>
                <w:noProof/>
                <w:webHidden/>
              </w:rPr>
            </w:r>
            <w:r w:rsidR="006C5A6A">
              <w:rPr>
                <w:noProof/>
                <w:webHidden/>
              </w:rPr>
              <w:fldChar w:fldCharType="separate"/>
            </w:r>
            <w:r w:rsidR="006C5A6A">
              <w:rPr>
                <w:noProof/>
                <w:webHidden/>
              </w:rPr>
              <w:t>16</w:t>
            </w:r>
            <w:r w:rsidR="006C5A6A">
              <w:rPr>
                <w:noProof/>
                <w:webHidden/>
              </w:rPr>
              <w:fldChar w:fldCharType="end"/>
            </w:r>
          </w:hyperlink>
        </w:p>
        <w:p w14:paraId="644A40DA" w14:textId="1960B8B9" w:rsidR="006C5A6A" w:rsidRDefault="00631C6E">
          <w:pPr>
            <w:pStyle w:val="TOC1"/>
            <w:rPr>
              <w:rFonts w:asciiTheme="minorHAnsi" w:eastAsiaTheme="minorEastAsia" w:hAnsiTheme="minorHAnsi"/>
              <w:noProof/>
              <w:kern w:val="2"/>
              <w:sz w:val="22"/>
              <w:szCs w:val="22"/>
              <w:lang w:val="en-IE" w:eastAsia="en-IE"/>
              <w14:ligatures w14:val="standardContextual"/>
            </w:rPr>
          </w:pPr>
          <w:hyperlink w:anchor="_Toc179190871" w:history="1">
            <w:r w:rsidR="006C5A6A" w:rsidRPr="007B2C92">
              <w:rPr>
                <w:rStyle w:val="Hyperlink"/>
                <w:noProof/>
                <w:color w:val="034990" w:themeColor="hyperlink" w:themeShade="BF"/>
              </w:rPr>
              <w:t>TPP</w:t>
            </w:r>
            <w:r w:rsidR="006C5A6A" w:rsidRPr="007B2C92">
              <w:rPr>
                <w:rStyle w:val="Hyperlink"/>
                <w:rFonts w:ascii="Calibri" w:hAnsi="Calibri" w:cs="Calibri"/>
                <w:noProof/>
                <w:color w:val="034990" w:themeColor="hyperlink" w:themeShade="BF"/>
              </w:rPr>
              <w:t> </w:t>
            </w:r>
            <w:r w:rsidR="006C5A6A" w:rsidRPr="007B2C92">
              <w:rPr>
                <w:rStyle w:val="Hyperlink"/>
                <w:rFonts w:cs="EC Square Sans Pro"/>
                <w:noProof/>
                <w:color w:val="034990" w:themeColor="hyperlink" w:themeShade="BF"/>
              </w:rPr>
              <w:t>–</w:t>
            </w:r>
            <w:r w:rsidR="006C5A6A" w:rsidRPr="007B2C92">
              <w:rPr>
                <w:rStyle w:val="Hyperlink"/>
                <w:noProof/>
                <w:color w:val="034990" w:themeColor="hyperlink" w:themeShade="BF"/>
              </w:rPr>
              <w:t xml:space="preserve"> pagrindin</w:t>
            </w:r>
            <w:r w:rsidR="006C5A6A" w:rsidRPr="007B2C92">
              <w:rPr>
                <w:rStyle w:val="Hyperlink"/>
                <w:rFonts w:cs="EC Square Sans Pro"/>
                <w:noProof/>
                <w:color w:val="034990" w:themeColor="hyperlink" w:themeShade="BF"/>
              </w:rPr>
              <w:t>ė</w:t>
            </w:r>
            <w:r w:rsidR="006C5A6A" w:rsidRPr="007B2C92">
              <w:rPr>
                <w:rStyle w:val="Hyperlink"/>
                <w:noProof/>
                <w:color w:val="034990" w:themeColor="hyperlink" w:themeShade="BF"/>
              </w:rPr>
              <w:t xml:space="preserve"> ES konkurencingumo r</w:t>
            </w:r>
            <w:r w:rsidR="006C5A6A" w:rsidRPr="007B2C92">
              <w:rPr>
                <w:rStyle w:val="Hyperlink"/>
                <w:rFonts w:cs="EC Square Sans Pro"/>
                <w:noProof/>
                <w:color w:val="034990" w:themeColor="hyperlink" w:themeShade="BF"/>
              </w:rPr>
              <w:t>ė</w:t>
            </w:r>
            <w:r w:rsidR="006C5A6A" w:rsidRPr="007B2C92">
              <w:rPr>
                <w:rStyle w:val="Hyperlink"/>
                <w:noProof/>
                <w:color w:val="034990" w:themeColor="hyperlink" w:themeShade="BF"/>
              </w:rPr>
              <w:t>mimo priemon</w:t>
            </w:r>
            <w:r w:rsidR="006C5A6A" w:rsidRPr="007B2C92">
              <w:rPr>
                <w:rStyle w:val="Hyperlink"/>
                <w:rFonts w:cs="EC Square Sans Pro"/>
                <w:noProof/>
                <w:color w:val="034990" w:themeColor="hyperlink" w:themeShade="BF"/>
              </w:rPr>
              <w:t>ė</w:t>
            </w:r>
            <w:r w:rsidR="006C5A6A">
              <w:rPr>
                <w:noProof/>
                <w:webHidden/>
              </w:rPr>
              <w:tab/>
            </w:r>
            <w:r w:rsidR="006C5A6A">
              <w:rPr>
                <w:noProof/>
                <w:webHidden/>
              </w:rPr>
              <w:fldChar w:fldCharType="begin"/>
            </w:r>
            <w:r w:rsidR="006C5A6A">
              <w:rPr>
                <w:noProof/>
                <w:webHidden/>
              </w:rPr>
              <w:instrText xml:space="preserve"> PAGEREF _Toc179190871 \h </w:instrText>
            </w:r>
            <w:r w:rsidR="006C5A6A">
              <w:rPr>
                <w:noProof/>
                <w:webHidden/>
              </w:rPr>
            </w:r>
            <w:r w:rsidR="006C5A6A">
              <w:rPr>
                <w:noProof/>
                <w:webHidden/>
              </w:rPr>
              <w:fldChar w:fldCharType="separate"/>
            </w:r>
            <w:r w:rsidR="006C5A6A">
              <w:rPr>
                <w:noProof/>
                <w:webHidden/>
              </w:rPr>
              <w:t>17</w:t>
            </w:r>
            <w:r w:rsidR="006C5A6A">
              <w:rPr>
                <w:noProof/>
                <w:webHidden/>
              </w:rPr>
              <w:fldChar w:fldCharType="end"/>
            </w:r>
          </w:hyperlink>
        </w:p>
        <w:p w14:paraId="0FA6E675" w14:textId="3310C6DF"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72" w:history="1">
            <w:r w:rsidR="006C5A6A" w:rsidRPr="007B2C92">
              <w:rPr>
                <w:rStyle w:val="Hyperlink"/>
                <w:noProof/>
                <w:color w:val="034990" w:themeColor="hyperlink" w:themeShade="BF"/>
              </w:rPr>
              <w:t>I.</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Veikianti bendroji rinka</w:t>
            </w:r>
            <w:r w:rsidR="006C5A6A">
              <w:rPr>
                <w:noProof/>
                <w:webHidden/>
              </w:rPr>
              <w:tab/>
            </w:r>
            <w:r w:rsidR="006C5A6A">
              <w:rPr>
                <w:noProof/>
                <w:webHidden/>
              </w:rPr>
              <w:fldChar w:fldCharType="begin"/>
            </w:r>
            <w:r w:rsidR="006C5A6A">
              <w:rPr>
                <w:noProof/>
                <w:webHidden/>
              </w:rPr>
              <w:instrText xml:space="preserve"> PAGEREF _Toc179190872 \h </w:instrText>
            </w:r>
            <w:r w:rsidR="006C5A6A">
              <w:rPr>
                <w:noProof/>
                <w:webHidden/>
              </w:rPr>
            </w:r>
            <w:r w:rsidR="006C5A6A">
              <w:rPr>
                <w:noProof/>
                <w:webHidden/>
              </w:rPr>
              <w:fldChar w:fldCharType="separate"/>
            </w:r>
            <w:r w:rsidR="006C5A6A">
              <w:rPr>
                <w:noProof/>
                <w:webHidden/>
              </w:rPr>
              <w:t>19</w:t>
            </w:r>
            <w:r w:rsidR="006C5A6A">
              <w:rPr>
                <w:noProof/>
                <w:webHidden/>
              </w:rPr>
              <w:fldChar w:fldCharType="end"/>
            </w:r>
          </w:hyperlink>
        </w:p>
        <w:p w14:paraId="10E3C244" w14:textId="6046CEF5"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73" w:history="1">
            <w:r w:rsidR="006C5A6A" w:rsidRPr="007B2C92">
              <w:rPr>
                <w:rStyle w:val="Hyperlink"/>
                <w:noProof/>
                <w:color w:val="034990" w:themeColor="hyperlink" w:themeShade="BF"/>
              </w:rPr>
              <w:t>II.</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Prieiga prie privačiojo kapitalo</w:t>
            </w:r>
            <w:r w:rsidR="006C5A6A">
              <w:rPr>
                <w:noProof/>
                <w:webHidden/>
              </w:rPr>
              <w:tab/>
            </w:r>
            <w:r w:rsidR="006C5A6A">
              <w:rPr>
                <w:noProof/>
                <w:webHidden/>
              </w:rPr>
              <w:fldChar w:fldCharType="begin"/>
            </w:r>
            <w:r w:rsidR="006C5A6A">
              <w:rPr>
                <w:noProof/>
                <w:webHidden/>
              </w:rPr>
              <w:instrText xml:space="preserve"> PAGEREF _Toc179190873 \h </w:instrText>
            </w:r>
            <w:r w:rsidR="006C5A6A">
              <w:rPr>
                <w:noProof/>
                <w:webHidden/>
              </w:rPr>
            </w:r>
            <w:r w:rsidR="006C5A6A">
              <w:rPr>
                <w:noProof/>
                <w:webHidden/>
              </w:rPr>
              <w:fldChar w:fldCharType="separate"/>
            </w:r>
            <w:r w:rsidR="006C5A6A">
              <w:rPr>
                <w:noProof/>
                <w:webHidden/>
              </w:rPr>
              <w:t>20</w:t>
            </w:r>
            <w:r w:rsidR="006C5A6A">
              <w:rPr>
                <w:noProof/>
                <w:webHidden/>
              </w:rPr>
              <w:fldChar w:fldCharType="end"/>
            </w:r>
          </w:hyperlink>
        </w:p>
        <w:p w14:paraId="0CA0612E" w14:textId="69775E08"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74" w:history="1">
            <w:r w:rsidR="006C5A6A" w:rsidRPr="007B2C92">
              <w:rPr>
                <w:rStyle w:val="Hyperlink"/>
                <w:noProof/>
                <w:color w:val="034990" w:themeColor="hyperlink" w:themeShade="BF"/>
              </w:rPr>
              <w:t>III.</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Viešosios investicijos ir infrastruktūra</w:t>
            </w:r>
            <w:r w:rsidR="006C5A6A">
              <w:rPr>
                <w:noProof/>
                <w:webHidden/>
              </w:rPr>
              <w:tab/>
            </w:r>
            <w:r w:rsidR="006C5A6A">
              <w:rPr>
                <w:noProof/>
                <w:webHidden/>
              </w:rPr>
              <w:fldChar w:fldCharType="begin"/>
            </w:r>
            <w:r w:rsidR="006C5A6A">
              <w:rPr>
                <w:noProof/>
                <w:webHidden/>
              </w:rPr>
              <w:instrText xml:space="preserve"> PAGEREF _Toc179190874 \h </w:instrText>
            </w:r>
            <w:r w:rsidR="006C5A6A">
              <w:rPr>
                <w:noProof/>
                <w:webHidden/>
              </w:rPr>
            </w:r>
            <w:r w:rsidR="006C5A6A">
              <w:rPr>
                <w:noProof/>
                <w:webHidden/>
              </w:rPr>
              <w:fldChar w:fldCharType="separate"/>
            </w:r>
            <w:r w:rsidR="006C5A6A">
              <w:rPr>
                <w:noProof/>
                <w:webHidden/>
              </w:rPr>
              <w:t>21</w:t>
            </w:r>
            <w:r w:rsidR="006C5A6A">
              <w:rPr>
                <w:noProof/>
                <w:webHidden/>
              </w:rPr>
              <w:fldChar w:fldCharType="end"/>
            </w:r>
          </w:hyperlink>
        </w:p>
        <w:p w14:paraId="7FBCD735" w14:textId="04724AA1"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75" w:history="1">
            <w:r w:rsidR="006C5A6A" w:rsidRPr="007B2C92">
              <w:rPr>
                <w:rStyle w:val="Hyperlink"/>
                <w:noProof/>
                <w:color w:val="034990" w:themeColor="hyperlink" w:themeShade="BF"/>
              </w:rPr>
              <w:t>IV.</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Moksliniai tyrimai ir inovacijos</w:t>
            </w:r>
            <w:r w:rsidR="006C5A6A">
              <w:rPr>
                <w:noProof/>
                <w:webHidden/>
              </w:rPr>
              <w:tab/>
            </w:r>
            <w:r w:rsidR="006C5A6A">
              <w:rPr>
                <w:noProof/>
                <w:webHidden/>
              </w:rPr>
              <w:fldChar w:fldCharType="begin"/>
            </w:r>
            <w:r w:rsidR="006C5A6A">
              <w:rPr>
                <w:noProof/>
                <w:webHidden/>
              </w:rPr>
              <w:instrText xml:space="preserve"> PAGEREF _Toc179190875 \h </w:instrText>
            </w:r>
            <w:r w:rsidR="006C5A6A">
              <w:rPr>
                <w:noProof/>
                <w:webHidden/>
              </w:rPr>
            </w:r>
            <w:r w:rsidR="006C5A6A">
              <w:rPr>
                <w:noProof/>
                <w:webHidden/>
              </w:rPr>
              <w:fldChar w:fldCharType="separate"/>
            </w:r>
            <w:r w:rsidR="006C5A6A">
              <w:rPr>
                <w:noProof/>
                <w:webHidden/>
              </w:rPr>
              <w:t>22</w:t>
            </w:r>
            <w:r w:rsidR="006C5A6A">
              <w:rPr>
                <w:noProof/>
                <w:webHidden/>
              </w:rPr>
              <w:fldChar w:fldCharType="end"/>
            </w:r>
          </w:hyperlink>
        </w:p>
        <w:p w14:paraId="0A99009F" w14:textId="544E2F95"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76" w:history="1">
            <w:r w:rsidR="006C5A6A" w:rsidRPr="007B2C92">
              <w:rPr>
                <w:rStyle w:val="Hyperlink"/>
                <w:noProof/>
                <w:color w:val="034990" w:themeColor="hyperlink" w:themeShade="BF"/>
              </w:rPr>
              <w:t>V.</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Energetika</w:t>
            </w:r>
            <w:r w:rsidR="006C5A6A">
              <w:rPr>
                <w:noProof/>
                <w:webHidden/>
              </w:rPr>
              <w:tab/>
            </w:r>
            <w:r w:rsidR="006C5A6A">
              <w:rPr>
                <w:noProof/>
                <w:webHidden/>
              </w:rPr>
              <w:fldChar w:fldCharType="begin"/>
            </w:r>
            <w:r w:rsidR="006C5A6A">
              <w:rPr>
                <w:noProof/>
                <w:webHidden/>
              </w:rPr>
              <w:instrText xml:space="preserve"> PAGEREF _Toc179190876 \h </w:instrText>
            </w:r>
            <w:r w:rsidR="006C5A6A">
              <w:rPr>
                <w:noProof/>
                <w:webHidden/>
              </w:rPr>
            </w:r>
            <w:r w:rsidR="006C5A6A">
              <w:rPr>
                <w:noProof/>
                <w:webHidden/>
              </w:rPr>
              <w:fldChar w:fldCharType="separate"/>
            </w:r>
            <w:r w:rsidR="006C5A6A">
              <w:rPr>
                <w:noProof/>
                <w:webHidden/>
              </w:rPr>
              <w:t>23</w:t>
            </w:r>
            <w:r w:rsidR="006C5A6A">
              <w:rPr>
                <w:noProof/>
                <w:webHidden/>
              </w:rPr>
              <w:fldChar w:fldCharType="end"/>
            </w:r>
          </w:hyperlink>
        </w:p>
        <w:p w14:paraId="2AB98AB0" w14:textId="561AF2A9"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77" w:history="1">
            <w:r w:rsidR="006C5A6A" w:rsidRPr="007B2C92">
              <w:rPr>
                <w:rStyle w:val="Hyperlink"/>
                <w:noProof/>
                <w:color w:val="034990" w:themeColor="hyperlink" w:themeShade="BF"/>
              </w:rPr>
              <w:t>VI.</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Žiediškumas</w:t>
            </w:r>
            <w:r w:rsidR="006C5A6A">
              <w:rPr>
                <w:noProof/>
                <w:webHidden/>
              </w:rPr>
              <w:tab/>
            </w:r>
            <w:r w:rsidR="006C5A6A">
              <w:rPr>
                <w:noProof/>
                <w:webHidden/>
              </w:rPr>
              <w:fldChar w:fldCharType="begin"/>
            </w:r>
            <w:r w:rsidR="006C5A6A">
              <w:rPr>
                <w:noProof/>
                <w:webHidden/>
              </w:rPr>
              <w:instrText xml:space="preserve"> PAGEREF _Toc179190877 \h </w:instrText>
            </w:r>
            <w:r w:rsidR="006C5A6A">
              <w:rPr>
                <w:noProof/>
                <w:webHidden/>
              </w:rPr>
            </w:r>
            <w:r w:rsidR="006C5A6A">
              <w:rPr>
                <w:noProof/>
                <w:webHidden/>
              </w:rPr>
              <w:fldChar w:fldCharType="separate"/>
            </w:r>
            <w:r w:rsidR="006C5A6A">
              <w:rPr>
                <w:noProof/>
                <w:webHidden/>
              </w:rPr>
              <w:t>24</w:t>
            </w:r>
            <w:r w:rsidR="006C5A6A">
              <w:rPr>
                <w:noProof/>
                <w:webHidden/>
              </w:rPr>
              <w:fldChar w:fldCharType="end"/>
            </w:r>
          </w:hyperlink>
        </w:p>
        <w:p w14:paraId="2B0A3AE2" w14:textId="43D7C6A2"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78" w:history="1">
            <w:r w:rsidR="006C5A6A" w:rsidRPr="007B2C92">
              <w:rPr>
                <w:rStyle w:val="Hyperlink"/>
                <w:noProof/>
                <w:color w:val="034990" w:themeColor="hyperlink" w:themeShade="BF"/>
              </w:rPr>
              <w:t>VII.</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Skaitmenizacija</w:t>
            </w:r>
            <w:r w:rsidR="006C5A6A">
              <w:rPr>
                <w:noProof/>
                <w:webHidden/>
              </w:rPr>
              <w:tab/>
            </w:r>
            <w:r w:rsidR="006C5A6A">
              <w:rPr>
                <w:noProof/>
                <w:webHidden/>
              </w:rPr>
              <w:fldChar w:fldCharType="begin"/>
            </w:r>
            <w:r w:rsidR="006C5A6A">
              <w:rPr>
                <w:noProof/>
                <w:webHidden/>
              </w:rPr>
              <w:instrText xml:space="preserve"> PAGEREF _Toc179190878 \h </w:instrText>
            </w:r>
            <w:r w:rsidR="006C5A6A">
              <w:rPr>
                <w:noProof/>
                <w:webHidden/>
              </w:rPr>
            </w:r>
            <w:r w:rsidR="006C5A6A">
              <w:rPr>
                <w:noProof/>
                <w:webHidden/>
              </w:rPr>
              <w:fldChar w:fldCharType="separate"/>
            </w:r>
            <w:r w:rsidR="006C5A6A">
              <w:rPr>
                <w:noProof/>
                <w:webHidden/>
              </w:rPr>
              <w:t>25</w:t>
            </w:r>
            <w:r w:rsidR="006C5A6A">
              <w:rPr>
                <w:noProof/>
                <w:webHidden/>
              </w:rPr>
              <w:fldChar w:fldCharType="end"/>
            </w:r>
          </w:hyperlink>
        </w:p>
        <w:p w14:paraId="4281CBBD" w14:textId="333A8401"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79" w:history="1">
            <w:r w:rsidR="006C5A6A" w:rsidRPr="007B2C92">
              <w:rPr>
                <w:rStyle w:val="Hyperlink"/>
                <w:noProof/>
                <w:color w:val="034990" w:themeColor="hyperlink" w:themeShade="BF"/>
              </w:rPr>
              <w:t>VIII.</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Švietimas ir įgūdžiai</w:t>
            </w:r>
            <w:r w:rsidR="006C5A6A">
              <w:rPr>
                <w:noProof/>
                <w:webHidden/>
              </w:rPr>
              <w:tab/>
            </w:r>
            <w:r w:rsidR="006C5A6A">
              <w:rPr>
                <w:noProof/>
                <w:webHidden/>
              </w:rPr>
              <w:fldChar w:fldCharType="begin"/>
            </w:r>
            <w:r w:rsidR="006C5A6A">
              <w:rPr>
                <w:noProof/>
                <w:webHidden/>
              </w:rPr>
              <w:instrText xml:space="preserve"> PAGEREF _Toc179190879 \h </w:instrText>
            </w:r>
            <w:r w:rsidR="006C5A6A">
              <w:rPr>
                <w:noProof/>
                <w:webHidden/>
              </w:rPr>
            </w:r>
            <w:r w:rsidR="006C5A6A">
              <w:rPr>
                <w:noProof/>
                <w:webHidden/>
              </w:rPr>
              <w:fldChar w:fldCharType="separate"/>
            </w:r>
            <w:r w:rsidR="006C5A6A">
              <w:rPr>
                <w:noProof/>
                <w:webHidden/>
              </w:rPr>
              <w:t>26</w:t>
            </w:r>
            <w:r w:rsidR="006C5A6A">
              <w:rPr>
                <w:noProof/>
                <w:webHidden/>
              </w:rPr>
              <w:fldChar w:fldCharType="end"/>
            </w:r>
          </w:hyperlink>
        </w:p>
        <w:p w14:paraId="0871F11F" w14:textId="15605670"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80" w:history="1">
            <w:r w:rsidR="006C5A6A" w:rsidRPr="007B2C92">
              <w:rPr>
                <w:rStyle w:val="Hyperlink"/>
                <w:noProof/>
                <w:color w:val="034990" w:themeColor="hyperlink" w:themeShade="BF"/>
              </w:rPr>
              <w:t>IX.</w:t>
            </w:r>
            <w:r w:rsidR="006C5A6A">
              <w:rPr>
                <w:rFonts w:asciiTheme="minorHAnsi" w:eastAsiaTheme="minorEastAsia" w:hAnsiTheme="minorHAnsi"/>
                <w:noProof/>
                <w:kern w:val="2"/>
                <w:sz w:val="22"/>
                <w:szCs w:val="22"/>
                <w:lang w:val="en-IE" w:eastAsia="en-IE"/>
                <w14:ligatures w14:val="standardContextual"/>
              </w:rPr>
              <w:tab/>
            </w:r>
            <w:r w:rsidR="006C5A6A" w:rsidRPr="007B2C92">
              <w:rPr>
                <w:rStyle w:val="Hyperlink"/>
                <w:noProof/>
                <w14:textFill>
                  <w14:solidFill>
                    <w14:schemeClr w14:val="hlink">
                      <w14:lumMod w14:val="75000"/>
                      <w14:lumMod w14:val="75000"/>
                      <w14:lumMod w14:val="75000"/>
                    </w14:schemeClr>
                  </w14:solidFill>
                </w14:textFill>
              </w:rPr>
              <w:t>Prekyba ir atviras strateginis savarankiškumas</w:t>
            </w:r>
            <w:r w:rsidR="006C5A6A">
              <w:rPr>
                <w:noProof/>
                <w:webHidden/>
              </w:rPr>
              <w:tab/>
            </w:r>
            <w:r w:rsidR="006C5A6A">
              <w:rPr>
                <w:noProof/>
                <w:webHidden/>
              </w:rPr>
              <w:fldChar w:fldCharType="begin"/>
            </w:r>
            <w:r w:rsidR="006C5A6A">
              <w:rPr>
                <w:noProof/>
                <w:webHidden/>
              </w:rPr>
              <w:instrText xml:space="preserve"> PAGEREF _Toc179190880 \h </w:instrText>
            </w:r>
            <w:r w:rsidR="006C5A6A">
              <w:rPr>
                <w:noProof/>
                <w:webHidden/>
              </w:rPr>
            </w:r>
            <w:r w:rsidR="006C5A6A">
              <w:rPr>
                <w:noProof/>
                <w:webHidden/>
              </w:rPr>
              <w:fldChar w:fldCharType="separate"/>
            </w:r>
            <w:r w:rsidR="006C5A6A">
              <w:rPr>
                <w:noProof/>
                <w:webHidden/>
              </w:rPr>
              <w:t>27</w:t>
            </w:r>
            <w:r w:rsidR="006C5A6A">
              <w:rPr>
                <w:noProof/>
                <w:webHidden/>
              </w:rPr>
              <w:fldChar w:fldCharType="end"/>
            </w:r>
          </w:hyperlink>
        </w:p>
        <w:p w14:paraId="163BF57A" w14:textId="59DDB07C" w:rsidR="006C5A6A" w:rsidRDefault="00631C6E">
          <w:pPr>
            <w:pStyle w:val="TOC1"/>
            <w:rPr>
              <w:rFonts w:asciiTheme="minorHAnsi" w:eastAsiaTheme="minorEastAsia" w:hAnsiTheme="minorHAnsi"/>
              <w:noProof/>
              <w:kern w:val="2"/>
              <w:sz w:val="22"/>
              <w:szCs w:val="22"/>
              <w:lang w:val="en-IE" w:eastAsia="en-IE"/>
              <w14:ligatures w14:val="standardContextual"/>
            </w:rPr>
          </w:pPr>
          <w:hyperlink w:anchor="_Toc179190881" w:history="1">
            <w:r w:rsidR="006C5A6A" w:rsidRPr="007B2C92">
              <w:rPr>
                <w:rStyle w:val="Hyperlink"/>
                <w:noProof/>
                <w:color w:val="034990" w:themeColor="hyperlink" w:themeShade="BF"/>
              </w:rPr>
              <w:t>IŠVADA</w:t>
            </w:r>
            <w:r w:rsidR="006C5A6A">
              <w:rPr>
                <w:noProof/>
                <w:webHidden/>
              </w:rPr>
              <w:tab/>
            </w:r>
            <w:r w:rsidR="006C5A6A">
              <w:rPr>
                <w:noProof/>
                <w:webHidden/>
              </w:rPr>
              <w:fldChar w:fldCharType="begin"/>
            </w:r>
            <w:r w:rsidR="006C5A6A">
              <w:rPr>
                <w:noProof/>
                <w:webHidden/>
              </w:rPr>
              <w:instrText xml:space="preserve"> PAGEREF _Toc179190881 \h </w:instrText>
            </w:r>
            <w:r w:rsidR="006C5A6A">
              <w:rPr>
                <w:noProof/>
                <w:webHidden/>
              </w:rPr>
            </w:r>
            <w:r w:rsidR="006C5A6A">
              <w:rPr>
                <w:noProof/>
                <w:webHidden/>
              </w:rPr>
              <w:fldChar w:fldCharType="separate"/>
            </w:r>
            <w:r w:rsidR="006C5A6A">
              <w:rPr>
                <w:noProof/>
                <w:webHidden/>
              </w:rPr>
              <w:t>28</w:t>
            </w:r>
            <w:r w:rsidR="006C5A6A">
              <w:rPr>
                <w:noProof/>
                <w:webHidden/>
              </w:rPr>
              <w:fldChar w:fldCharType="end"/>
            </w:r>
          </w:hyperlink>
        </w:p>
        <w:p w14:paraId="1544FA2D" w14:textId="5457C82E"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82" w:history="1">
            <w:r w:rsidR="006C5A6A" w:rsidRPr="007B2C92">
              <w:rPr>
                <w:rStyle w:val="Hyperlink"/>
                <w:noProof/>
                <w14:textFill>
                  <w14:solidFill>
                    <w14:schemeClr w14:val="hlink">
                      <w14:lumMod w14:val="75000"/>
                      <w14:lumMod w14:val="75000"/>
                      <w14:lumMod w14:val="75000"/>
                    </w14:schemeClr>
                  </w14:solidFill>
                </w14:textFill>
              </w:rPr>
              <w:t>1 priedas. Metinis TPP ciklas</w:t>
            </w:r>
            <w:r w:rsidR="006C5A6A">
              <w:rPr>
                <w:noProof/>
                <w:webHidden/>
              </w:rPr>
              <w:tab/>
            </w:r>
            <w:r w:rsidR="006C5A6A">
              <w:rPr>
                <w:noProof/>
                <w:webHidden/>
              </w:rPr>
              <w:fldChar w:fldCharType="begin"/>
            </w:r>
            <w:r w:rsidR="006C5A6A">
              <w:rPr>
                <w:noProof/>
                <w:webHidden/>
              </w:rPr>
              <w:instrText xml:space="preserve"> PAGEREF _Toc179190882 \h </w:instrText>
            </w:r>
            <w:r w:rsidR="006C5A6A">
              <w:rPr>
                <w:noProof/>
                <w:webHidden/>
              </w:rPr>
            </w:r>
            <w:r w:rsidR="006C5A6A">
              <w:rPr>
                <w:noProof/>
                <w:webHidden/>
              </w:rPr>
              <w:fldChar w:fldCharType="separate"/>
            </w:r>
            <w:r w:rsidR="006C5A6A">
              <w:rPr>
                <w:noProof/>
                <w:webHidden/>
              </w:rPr>
              <w:t>29</w:t>
            </w:r>
            <w:r w:rsidR="006C5A6A">
              <w:rPr>
                <w:noProof/>
                <w:webHidden/>
              </w:rPr>
              <w:fldChar w:fldCharType="end"/>
            </w:r>
          </w:hyperlink>
        </w:p>
        <w:p w14:paraId="123E5450" w14:textId="063D89F0" w:rsidR="006C5A6A" w:rsidRDefault="00631C6E">
          <w:pPr>
            <w:pStyle w:val="TOC2"/>
            <w:rPr>
              <w:rFonts w:asciiTheme="minorHAnsi" w:eastAsiaTheme="minorEastAsia" w:hAnsiTheme="minorHAnsi"/>
              <w:noProof/>
              <w:kern w:val="2"/>
              <w:sz w:val="22"/>
              <w:szCs w:val="22"/>
              <w:lang w:val="en-IE" w:eastAsia="en-IE"/>
              <w14:ligatures w14:val="standardContextual"/>
            </w:rPr>
          </w:pPr>
          <w:hyperlink w:anchor="_Toc179190883" w:history="1">
            <w:r w:rsidR="006C5A6A" w:rsidRPr="007B2C92">
              <w:rPr>
                <w:rStyle w:val="Hyperlink"/>
                <w:noProof/>
                <w14:textFill>
                  <w14:solidFill>
                    <w14:schemeClr w14:val="hlink">
                      <w14:lumMod w14:val="75000"/>
                      <w14:lumMod w14:val="75000"/>
                      <w14:lumMod w14:val="75000"/>
                    </w14:schemeClr>
                  </w14:solidFill>
                </w14:textFill>
              </w:rPr>
              <w:t>2 priedas. 2023</w:t>
            </w:r>
            <w:r w:rsidR="006C5A6A" w:rsidRPr="007B2C92">
              <w:rPr>
                <w:rStyle w:val="Hyperlink"/>
                <w:rFonts w:ascii="Calibri" w:hAnsi="Calibri" w:cs="Calibri"/>
                <w:noProof/>
                <w14:textFill>
                  <w14:solidFill>
                    <w14:schemeClr w14:val="hlink">
                      <w14:lumMod w14:val="75000"/>
                      <w14:lumMod w14:val="75000"/>
                      <w14:lumMod w14:val="75000"/>
                    </w14:schemeClr>
                  </w14:solidFill>
                </w14:textFill>
              </w:rPr>
              <w:t> </w:t>
            </w:r>
            <w:r w:rsidR="006C5A6A" w:rsidRPr="007B2C92">
              <w:rPr>
                <w:rStyle w:val="Hyperlink"/>
                <w:noProof/>
                <w14:textFill>
                  <w14:solidFill>
                    <w14:schemeClr w14:val="hlink">
                      <w14:lumMod w14:val="75000"/>
                      <w14:lumMod w14:val="75000"/>
                      <w14:lumMod w14:val="75000"/>
                    </w14:schemeClr>
                  </w14:solidFill>
                </w14:textFill>
              </w:rPr>
              <w:t>m. TPP bendras kvietimas teikti pra</w:t>
            </w:r>
            <w:r w:rsidR="006C5A6A" w:rsidRPr="007B2C92">
              <w:rPr>
                <w:rStyle w:val="Hyperlink"/>
                <w:rFonts w:cs="EC Square Sans Pro"/>
                <w:noProof/>
                <w14:textFill>
                  <w14:solidFill>
                    <w14:schemeClr w14:val="hlink">
                      <w14:lumMod w14:val="75000"/>
                      <w14:lumMod w14:val="75000"/>
                      <w14:lumMod w14:val="75000"/>
                    </w14:schemeClr>
                  </w14:solidFill>
                </w14:textFill>
              </w:rPr>
              <w:t>š</w:t>
            </w:r>
            <w:r w:rsidR="006C5A6A" w:rsidRPr="007B2C92">
              <w:rPr>
                <w:rStyle w:val="Hyperlink"/>
                <w:noProof/>
                <w14:textFill>
                  <w14:solidFill>
                    <w14:schemeClr w14:val="hlink">
                      <w14:lumMod w14:val="75000"/>
                      <w14:lumMod w14:val="75000"/>
                      <w14:lumMod w14:val="75000"/>
                    </w14:schemeClr>
                  </w14:solidFill>
                </w14:textFill>
              </w:rPr>
              <w:t>ymus: kiekvienos valstyb</w:t>
            </w:r>
            <w:r w:rsidR="006C5A6A" w:rsidRPr="007B2C92">
              <w:rPr>
                <w:rStyle w:val="Hyperlink"/>
                <w:rFonts w:cs="EC Square Sans Pro"/>
                <w:noProof/>
                <w14:textFill>
                  <w14:solidFill>
                    <w14:schemeClr w14:val="hlink">
                      <w14:lumMod w14:val="75000"/>
                      <w14:lumMod w14:val="75000"/>
                      <w14:lumMod w14:val="75000"/>
                    </w14:schemeClr>
                  </w14:solidFill>
                </w14:textFill>
              </w:rPr>
              <w:t>ė</w:t>
            </w:r>
            <w:r w:rsidR="006C5A6A" w:rsidRPr="007B2C92">
              <w:rPr>
                <w:rStyle w:val="Hyperlink"/>
                <w:noProof/>
                <w14:textFill>
                  <w14:solidFill>
                    <w14:schemeClr w14:val="hlink">
                      <w14:lumMod w14:val="75000"/>
                      <w14:lumMod w14:val="75000"/>
                      <w14:lumMod w14:val="75000"/>
                    </w14:schemeClr>
                  </w14:solidFill>
                </w14:textFill>
              </w:rPr>
              <w:t>s nar</w:t>
            </w:r>
            <w:r w:rsidR="006C5A6A" w:rsidRPr="007B2C92">
              <w:rPr>
                <w:rStyle w:val="Hyperlink"/>
                <w:rFonts w:cs="EC Square Sans Pro"/>
                <w:noProof/>
                <w14:textFill>
                  <w14:solidFill>
                    <w14:schemeClr w14:val="hlink">
                      <w14:lumMod w14:val="75000"/>
                      <w14:lumMod w14:val="75000"/>
                      <w14:lumMod w14:val="75000"/>
                    </w14:schemeClr>
                  </w14:solidFill>
                </w14:textFill>
              </w:rPr>
              <w:t>ė</w:t>
            </w:r>
            <w:r w:rsidR="006C5A6A" w:rsidRPr="007B2C92">
              <w:rPr>
                <w:rStyle w:val="Hyperlink"/>
                <w:noProof/>
                <w14:textFill>
                  <w14:solidFill>
                    <w14:schemeClr w14:val="hlink">
                      <w14:lumMod w14:val="75000"/>
                      <w14:lumMod w14:val="75000"/>
                      <w14:lumMod w14:val="75000"/>
                    </w14:schemeClr>
                  </w14:solidFill>
                </w14:textFill>
              </w:rPr>
              <w:t>s pra</w:t>
            </w:r>
            <w:r w:rsidR="006C5A6A" w:rsidRPr="007B2C92">
              <w:rPr>
                <w:rStyle w:val="Hyperlink"/>
                <w:rFonts w:cs="EC Square Sans Pro"/>
                <w:noProof/>
                <w14:textFill>
                  <w14:solidFill>
                    <w14:schemeClr w14:val="hlink">
                      <w14:lumMod w14:val="75000"/>
                      <w14:lumMod w14:val="75000"/>
                      <w14:lumMod w14:val="75000"/>
                    </w14:schemeClr>
                  </w14:solidFill>
                </w14:textFill>
              </w:rPr>
              <w:t>š</w:t>
            </w:r>
            <w:r w:rsidR="006C5A6A" w:rsidRPr="007B2C92">
              <w:rPr>
                <w:rStyle w:val="Hyperlink"/>
                <w:noProof/>
                <w14:textFill>
                  <w14:solidFill>
                    <w14:schemeClr w14:val="hlink">
                      <w14:lumMod w14:val="75000"/>
                      <w14:lumMod w14:val="75000"/>
                      <w14:lumMod w14:val="75000"/>
                    </w14:schemeClr>
                  </w14:solidFill>
                </w14:textFill>
              </w:rPr>
              <w:t>ymai</w:t>
            </w:r>
            <w:r w:rsidR="006C5A6A">
              <w:rPr>
                <w:noProof/>
                <w:webHidden/>
              </w:rPr>
              <w:tab/>
            </w:r>
            <w:r w:rsidR="006C5A6A">
              <w:rPr>
                <w:noProof/>
                <w:webHidden/>
              </w:rPr>
              <w:fldChar w:fldCharType="begin"/>
            </w:r>
            <w:r w:rsidR="006C5A6A">
              <w:rPr>
                <w:noProof/>
                <w:webHidden/>
              </w:rPr>
              <w:instrText xml:space="preserve"> PAGEREF _Toc179190883 \h </w:instrText>
            </w:r>
            <w:r w:rsidR="006C5A6A">
              <w:rPr>
                <w:noProof/>
                <w:webHidden/>
              </w:rPr>
            </w:r>
            <w:r w:rsidR="006C5A6A">
              <w:rPr>
                <w:noProof/>
                <w:webHidden/>
              </w:rPr>
              <w:fldChar w:fldCharType="separate"/>
            </w:r>
            <w:r w:rsidR="006C5A6A">
              <w:rPr>
                <w:noProof/>
                <w:webHidden/>
              </w:rPr>
              <w:t>30</w:t>
            </w:r>
            <w:r w:rsidR="006C5A6A">
              <w:rPr>
                <w:noProof/>
                <w:webHidden/>
              </w:rPr>
              <w:fldChar w:fldCharType="end"/>
            </w:r>
          </w:hyperlink>
        </w:p>
        <w:p w14:paraId="2DBCF94A" w14:textId="7C352ADF" w:rsidR="005121D1" w:rsidRPr="005459EB" w:rsidRDefault="005121D1">
          <w:pPr>
            <w:rPr>
              <w:noProof/>
            </w:rPr>
          </w:pPr>
          <w:r>
            <w:rPr>
              <w:b/>
              <w:noProof/>
            </w:rPr>
            <w:fldChar w:fldCharType="end"/>
          </w:r>
        </w:p>
      </w:sdtContent>
    </w:sdt>
    <w:p w14:paraId="22BED4F8" w14:textId="39E78557" w:rsidR="00071209" w:rsidRPr="005459EB" w:rsidRDefault="00071209">
      <w:pPr>
        <w:jc w:val="left"/>
        <w:rPr>
          <w:rFonts w:ascii="Times New Roman" w:hAnsi="Times New Roman" w:cs="Times New Roman"/>
          <w:noProof/>
        </w:rPr>
      </w:pPr>
      <w:r>
        <w:rPr>
          <w:noProof/>
        </w:rPr>
        <w:br w:type="page"/>
      </w:r>
    </w:p>
    <w:p w14:paraId="5FF9C265" w14:textId="27076559" w:rsidR="00830990" w:rsidRPr="005459EB" w:rsidRDefault="001F02E1" w:rsidP="00CB6475">
      <w:pPr>
        <w:pStyle w:val="Heading1"/>
        <w:rPr>
          <w:b w:val="0"/>
          <w:noProof/>
        </w:rPr>
      </w:pPr>
      <w:bookmarkStart w:id="3" w:name="_Toc179190856"/>
      <w:r>
        <w:rPr>
          <w:noProof/>
        </w:rPr>
        <w:t>Techninės paramos priemonė</w:t>
      </w:r>
      <w:bookmarkEnd w:id="3"/>
    </w:p>
    <w:p w14:paraId="06B87F80" w14:textId="08DE9D03" w:rsidR="00F30EDE" w:rsidRPr="005459EB" w:rsidRDefault="004A0655" w:rsidP="00CB203D">
      <w:pPr>
        <w:rPr>
          <w:noProof/>
        </w:rPr>
      </w:pPr>
      <w:r>
        <w:rPr>
          <w:b/>
          <w:noProof/>
        </w:rPr>
        <w:t>Techninės paramos priemonė</w:t>
      </w:r>
      <w:r>
        <w:rPr>
          <w:rStyle w:val="FootnoteReference"/>
          <w:bCs/>
          <w:noProof/>
        </w:rPr>
        <w:footnoteReference w:id="2"/>
      </w:r>
      <w:r>
        <w:rPr>
          <w:b/>
          <w:noProof/>
        </w:rPr>
        <w:t xml:space="preserve"> (TPP) – ES programa, pagal kurią</w:t>
      </w:r>
      <w:r>
        <w:rPr>
          <w:noProof/>
        </w:rPr>
        <w:t xml:space="preserve"> nuo 2021 m. </w:t>
      </w:r>
      <w:r>
        <w:rPr>
          <w:b/>
          <w:noProof/>
        </w:rPr>
        <w:t>valstybėms narėms teikiamos konkretiems poreikiams pritaikytos techninės ekspertinės žinios, siekiant pagerinti jų gebėjimus parengti ir įgyvendinti savo reformų darbotvarkę, be kita ko, rengiant savo nacionalinius ekonomikos gaivinimo ir atsparumo didinimo planus.</w:t>
      </w:r>
      <w:r>
        <w:rPr>
          <w:noProof/>
        </w:rPr>
        <w:t xml:space="preserve"> Bendrasis jos tikslas – skatinti ES ekonominę, socialinę ir teritorinę sanglaudą remiant valstybių narių pastangas įgyvendinti reikiamas reformas, siekiant ekonominio ir socialinio atsigavimo, atsparumo ir aukštynkryptės ekonominės bei socialinės konvergencijos.</w:t>
      </w:r>
    </w:p>
    <w:p w14:paraId="37DCB7F2" w14:textId="3ACE3897" w:rsidR="001450C7" w:rsidRPr="005459EB" w:rsidRDefault="001450C7" w:rsidP="00CB203D">
      <w:pPr>
        <w:rPr>
          <w:noProof/>
        </w:rPr>
      </w:pPr>
      <w:r>
        <w:rPr>
          <w:noProof/>
        </w:rPr>
        <w:t xml:space="preserve">Europos Komisijos Struktūrinių reformų rėmimo generalinio direktorato (REFORM GD) valdoma TPP gali naudotis bet kuri valstybė narė, kuriai kyla sunkumų rengiant ir įgyvendinant reformas. Tai, be kita ko, yra reformos, kurių tikslas – spręsti uždavinius, nustatytus įgyvendinant </w:t>
      </w:r>
      <w:r>
        <w:rPr>
          <w:b/>
          <w:noProof/>
        </w:rPr>
        <w:t>Europos</w:t>
      </w:r>
      <w:r>
        <w:rPr>
          <w:noProof/>
        </w:rPr>
        <w:t xml:space="preserve"> ekonominės politikos koordinavimo </w:t>
      </w:r>
      <w:r>
        <w:rPr>
          <w:b/>
          <w:noProof/>
        </w:rPr>
        <w:t>semestrą</w:t>
      </w:r>
      <w:r>
        <w:rPr>
          <w:noProof/>
        </w:rPr>
        <w:t xml:space="preserve"> ir siekiant </w:t>
      </w:r>
      <w:r>
        <w:rPr>
          <w:b/>
          <w:noProof/>
        </w:rPr>
        <w:t>ES politikos prioritetų</w:t>
      </w:r>
      <w:r>
        <w:rPr>
          <w:noProof/>
        </w:rPr>
        <w:t xml:space="preserve">, arba </w:t>
      </w:r>
      <w:r>
        <w:rPr>
          <w:b/>
          <w:noProof/>
        </w:rPr>
        <w:t>valstybės narės iniciatyva</w:t>
      </w:r>
      <w:r>
        <w:rPr>
          <w:noProof/>
        </w:rPr>
        <w:t xml:space="preserve"> vykdomos reformos. TPP </w:t>
      </w:r>
      <w:r>
        <w:rPr>
          <w:b/>
          <w:noProof/>
        </w:rPr>
        <w:t>lėšos iš anksto nepaskirstomos</w:t>
      </w:r>
      <w:r>
        <w:rPr>
          <w:noProof/>
        </w:rPr>
        <w:t xml:space="preserve"> pagal valstybes nares ar politikos sritis.</w:t>
      </w:r>
    </w:p>
    <w:p w14:paraId="03AE93FF" w14:textId="2C147596" w:rsidR="00B53B67" w:rsidRPr="005459EB" w:rsidRDefault="000905D0" w:rsidP="00CB203D">
      <w:pPr>
        <w:rPr>
          <w:noProof/>
        </w:rPr>
      </w:pPr>
      <w:r>
        <w:rPr>
          <w:noProof/>
        </w:rPr>
        <w:t xml:space="preserve">TPP nereikia bendro valstybių narių finansavimo. Pagal 2021–2027 m. daugiametę finansinę programą jos bendras biudžetas sudaro </w:t>
      </w:r>
      <w:r>
        <w:rPr>
          <w:b/>
          <w:noProof/>
        </w:rPr>
        <w:t>864,4</w:t>
      </w:r>
      <w:r>
        <w:rPr>
          <w:rFonts w:ascii="Calibri" w:hAnsi="Calibri"/>
          <w:b/>
          <w:noProof/>
        </w:rPr>
        <w:t> </w:t>
      </w:r>
      <w:r>
        <w:rPr>
          <w:b/>
          <w:noProof/>
        </w:rPr>
        <w:t>mln. EUR</w:t>
      </w:r>
      <w:r>
        <w:rPr>
          <w:noProof/>
        </w:rPr>
        <w:t>. Be to, valstybės narės gali prašyti papildomos techninės paramos, pateikdamos tiesioginį prašymą arba rengdamos savo ekonomikos gaivinimo ir atsparumo didinimo planus.</w:t>
      </w:r>
    </w:p>
    <w:tbl>
      <w:tblPr>
        <w:tblStyle w:val="TableGrid"/>
        <w:tblpPr w:leftFromText="180" w:rightFromText="180" w:vertAnchor="text" w:horzAnchor="margin"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28"/>
        <w:gridCol w:w="1128"/>
        <w:gridCol w:w="1128"/>
        <w:gridCol w:w="1128"/>
        <w:gridCol w:w="1128"/>
        <w:gridCol w:w="1128"/>
        <w:gridCol w:w="1129"/>
      </w:tblGrid>
      <w:tr w:rsidR="00B53B67" w:rsidRPr="005459EB" w14:paraId="10394305" w14:textId="77777777" w:rsidTr="00C30C1C">
        <w:trPr>
          <w:trHeight w:val="342"/>
        </w:trPr>
        <w:tc>
          <w:tcPr>
            <w:tcW w:w="1134" w:type="dxa"/>
            <w:tcBorders>
              <w:bottom w:val="single" w:sz="4" w:space="0" w:color="auto"/>
            </w:tcBorders>
            <w:shd w:val="clear" w:color="auto" w:fill="D9E2F3" w:themeFill="accent5" w:themeFillTint="33"/>
            <w:vAlign w:val="center"/>
          </w:tcPr>
          <w:p w14:paraId="5B70614C" w14:textId="77777777" w:rsidR="00B53B67" w:rsidRPr="005459EB" w:rsidRDefault="00B53B67" w:rsidP="00C30C1C">
            <w:pPr>
              <w:rPr>
                <w:noProof/>
              </w:rPr>
            </w:pPr>
            <w:r>
              <w:rPr>
                <w:noProof/>
              </w:rPr>
              <w:t>2021</w:t>
            </w:r>
          </w:p>
        </w:tc>
        <w:tc>
          <w:tcPr>
            <w:tcW w:w="1134" w:type="dxa"/>
            <w:tcBorders>
              <w:bottom w:val="single" w:sz="4" w:space="0" w:color="auto"/>
            </w:tcBorders>
            <w:shd w:val="clear" w:color="auto" w:fill="D9E2F3" w:themeFill="accent5" w:themeFillTint="33"/>
            <w:vAlign w:val="center"/>
          </w:tcPr>
          <w:p w14:paraId="01517B47" w14:textId="77777777" w:rsidR="00B53B67" w:rsidRPr="005459EB" w:rsidRDefault="00B53B67" w:rsidP="00C30C1C">
            <w:pPr>
              <w:rPr>
                <w:noProof/>
              </w:rPr>
            </w:pPr>
            <w:r>
              <w:rPr>
                <w:noProof/>
              </w:rPr>
              <w:t>2022</w:t>
            </w:r>
          </w:p>
        </w:tc>
        <w:tc>
          <w:tcPr>
            <w:tcW w:w="1134" w:type="dxa"/>
            <w:tcBorders>
              <w:bottom w:val="single" w:sz="4" w:space="0" w:color="auto"/>
            </w:tcBorders>
            <w:shd w:val="clear" w:color="auto" w:fill="D9E2F3" w:themeFill="accent5" w:themeFillTint="33"/>
            <w:vAlign w:val="center"/>
          </w:tcPr>
          <w:p w14:paraId="2DF2FE07" w14:textId="77777777" w:rsidR="00B53B67" w:rsidRPr="005459EB" w:rsidRDefault="00B53B67" w:rsidP="00C30C1C">
            <w:pPr>
              <w:rPr>
                <w:noProof/>
              </w:rPr>
            </w:pPr>
            <w:r>
              <w:rPr>
                <w:noProof/>
              </w:rPr>
              <w:t>2023</w:t>
            </w:r>
          </w:p>
        </w:tc>
        <w:tc>
          <w:tcPr>
            <w:tcW w:w="1134" w:type="dxa"/>
            <w:tcBorders>
              <w:bottom w:val="single" w:sz="4" w:space="0" w:color="auto"/>
            </w:tcBorders>
            <w:shd w:val="clear" w:color="auto" w:fill="D9E2F3" w:themeFill="accent5" w:themeFillTint="33"/>
            <w:vAlign w:val="center"/>
          </w:tcPr>
          <w:p w14:paraId="5E0824F7" w14:textId="77777777" w:rsidR="00B53B67" w:rsidRPr="005459EB" w:rsidRDefault="00B53B67" w:rsidP="00C30C1C">
            <w:pPr>
              <w:rPr>
                <w:noProof/>
              </w:rPr>
            </w:pPr>
            <w:r>
              <w:rPr>
                <w:noProof/>
              </w:rPr>
              <w:t>2024</w:t>
            </w:r>
          </w:p>
        </w:tc>
        <w:tc>
          <w:tcPr>
            <w:tcW w:w="1134" w:type="dxa"/>
            <w:tcBorders>
              <w:bottom w:val="single" w:sz="4" w:space="0" w:color="auto"/>
            </w:tcBorders>
            <w:shd w:val="clear" w:color="auto" w:fill="D9E2F3" w:themeFill="accent5" w:themeFillTint="33"/>
            <w:vAlign w:val="center"/>
          </w:tcPr>
          <w:p w14:paraId="797EF593" w14:textId="77777777" w:rsidR="00B53B67" w:rsidRPr="005459EB" w:rsidRDefault="00B53B67" w:rsidP="00C30C1C">
            <w:pPr>
              <w:rPr>
                <w:noProof/>
              </w:rPr>
            </w:pPr>
            <w:r>
              <w:rPr>
                <w:noProof/>
              </w:rPr>
              <w:t>2025</w:t>
            </w:r>
          </w:p>
        </w:tc>
        <w:tc>
          <w:tcPr>
            <w:tcW w:w="1134" w:type="dxa"/>
            <w:tcBorders>
              <w:bottom w:val="single" w:sz="4" w:space="0" w:color="auto"/>
            </w:tcBorders>
            <w:shd w:val="clear" w:color="auto" w:fill="D9E2F3" w:themeFill="accent5" w:themeFillTint="33"/>
            <w:vAlign w:val="center"/>
          </w:tcPr>
          <w:p w14:paraId="16A008D5" w14:textId="77777777" w:rsidR="00B53B67" w:rsidRPr="005459EB" w:rsidRDefault="00B53B67" w:rsidP="00C30C1C">
            <w:pPr>
              <w:rPr>
                <w:noProof/>
              </w:rPr>
            </w:pPr>
            <w:r>
              <w:rPr>
                <w:noProof/>
              </w:rPr>
              <w:t>2026</w:t>
            </w:r>
          </w:p>
        </w:tc>
        <w:tc>
          <w:tcPr>
            <w:tcW w:w="1134" w:type="dxa"/>
            <w:tcBorders>
              <w:bottom w:val="single" w:sz="4" w:space="0" w:color="auto"/>
            </w:tcBorders>
            <w:shd w:val="clear" w:color="auto" w:fill="D9E2F3" w:themeFill="accent5" w:themeFillTint="33"/>
            <w:vAlign w:val="center"/>
          </w:tcPr>
          <w:p w14:paraId="147F93BF" w14:textId="77777777" w:rsidR="00B53B67" w:rsidRPr="005459EB" w:rsidRDefault="00B53B67" w:rsidP="00C30C1C">
            <w:pPr>
              <w:rPr>
                <w:noProof/>
              </w:rPr>
            </w:pPr>
            <w:r>
              <w:rPr>
                <w:noProof/>
              </w:rPr>
              <w:t>2027</w:t>
            </w:r>
          </w:p>
        </w:tc>
        <w:tc>
          <w:tcPr>
            <w:tcW w:w="1134" w:type="dxa"/>
            <w:tcBorders>
              <w:bottom w:val="single" w:sz="4" w:space="0" w:color="auto"/>
            </w:tcBorders>
            <w:shd w:val="clear" w:color="auto" w:fill="D9E2F3" w:themeFill="accent5" w:themeFillTint="33"/>
            <w:vAlign w:val="center"/>
          </w:tcPr>
          <w:p w14:paraId="7D53BAFC" w14:textId="77777777" w:rsidR="00B53B67" w:rsidRPr="005459EB" w:rsidRDefault="00B53B67" w:rsidP="00C30C1C">
            <w:pPr>
              <w:rPr>
                <w:noProof/>
              </w:rPr>
            </w:pPr>
            <w:r>
              <w:rPr>
                <w:noProof/>
              </w:rPr>
              <w:t>Iš viso</w:t>
            </w:r>
          </w:p>
        </w:tc>
      </w:tr>
      <w:tr w:rsidR="00B53B67" w:rsidRPr="005459EB" w14:paraId="4064AD47" w14:textId="77777777" w:rsidTr="00C30C1C">
        <w:trPr>
          <w:trHeight w:val="423"/>
        </w:trPr>
        <w:tc>
          <w:tcPr>
            <w:tcW w:w="1134" w:type="dxa"/>
            <w:tcBorders>
              <w:top w:val="single" w:sz="4" w:space="0" w:color="auto"/>
            </w:tcBorders>
            <w:vAlign w:val="center"/>
          </w:tcPr>
          <w:p w14:paraId="7FCCD8D3" w14:textId="77777777" w:rsidR="00B53B67" w:rsidRPr="005459EB" w:rsidRDefault="00B53B67" w:rsidP="00C30C1C">
            <w:pPr>
              <w:rPr>
                <w:noProof/>
              </w:rPr>
            </w:pPr>
            <w:r>
              <w:rPr>
                <w:noProof/>
              </w:rPr>
              <w:t>116,4</w:t>
            </w:r>
          </w:p>
        </w:tc>
        <w:tc>
          <w:tcPr>
            <w:tcW w:w="1134" w:type="dxa"/>
            <w:tcBorders>
              <w:top w:val="single" w:sz="4" w:space="0" w:color="auto"/>
            </w:tcBorders>
            <w:vAlign w:val="center"/>
          </w:tcPr>
          <w:p w14:paraId="70A717D3" w14:textId="77777777" w:rsidR="00B53B67" w:rsidRPr="005459EB" w:rsidRDefault="00B53B67" w:rsidP="00C30C1C">
            <w:pPr>
              <w:rPr>
                <w:noProof/>
              </w:rPr>
            </w:pPr>
            <w:r>
              <w:rPr>
                <w:noProof/>
              </w:rPr>
              <w:t>118,7</w:t>
            </w:r>
          </w:p>
        </w:tc>
        <w:tc>
          <w:tcPr>
            <w:tcW w:w="1134" w:type="dxa"/>
            <w:tcBorders>
              <w:top w:val="single" w:sz="4" w:space="0" w:color="auto"/>
            </w:tcBorders>
            <w:vAlign w:val="center"/>
          </w:tcPr>
          <w:p w14:paraId="5549FF8C" w14:textId="77777777" w:rsidR="00B53B67" w:rsidRPr="005459EB" w:rsidRDefault="00B53B67" w:rsidP="00C30C1C">
            <w:pPr>
              <w:rPr>
                <w:noProof/>
              </w:rPr>
            </w:pPr>
            <w:r>
              <w:rPr>
                <w:noProof/>
              </w:rPr>
              <w:t>121,1</w:t>
            </w:r>
          </w:p>
        </w:tc>
        <w:tc>
          <w:tcPr>
            <w:tcW w:w="1134" w:type="dxa"/>
            <w:tcBorders>
              <w:top w:val="single" w:sz="4" w:space="0" w:color="auto"/>
            </w:tcBorders>
            <w:vAlign w:val="center"/>
          </w:tcPr>
          <w:p w14:paraId="12DD8E7B" w14:textId="77777777" w:rsidR="00B53B67" w:rsidRPr="005459EB" w:rsidRDefault="00B53B67" w:rsidP="00C30C1C">
            <w:pPr>
              <w:rPr>
                <w:noProof/>
              </w:rPr>
            </w:pPr>
            <w:r>
              <w:rPr>
                <w:noProof/>
              </w:rPr>
              <w:t>123,5</w:t>
            </w:r>
          </w:p>
        </w:tc>
        <w:tc>
          <w:tcPr>
            <w:tcW w:w="1134" w:type="dxa"/>
            <w:tcBorders>
              <w:top w:val="single" w:sz="4" w:space="0" w:color="auto"/>
            </w:tcBorders>
            <w:vAlign w:val="center"/>
          </w:tcPr>
          <w:p w14:paraId="58AFB862" w14:textId="77777777" w:rsidR="00B53B67" w:rsidRPr="005459EB" w:rsidRDefault="00B53B67" w:rsidP="00C30C1C">
            <w:pPr>
              <w:rPr>
                <w:noProof/>
              </w:rPr>
            </w:pPr>
            <w:r>
              <w:rPr>
                <w:noProof/>
              </w:rPr>
              <w:t>126,0</w:t>
            </w:r>
          </w:p>
        </w:tc>
        <w:tc>
          <w:tcPr>
            <w:tcW w:w="1134" w:type="dxa"/>
            <w:tcBorders>
              <w:top w:val="single" w:sz="4" w:space="0" w:color="auto"/>
            </w:tcBorders>
            <w:vAlign w:val="center"/>
          </w:tcPr>
          <w:p w14:paraId="68416E2D" w14:textId="77777777" w:rsidR="00B53B67" w:rsidRPr="005459EB" w:rsidRDefault="00B53B67" w:rsidP="00C30C1C">
            <w:pPr>
              <w:rPr>
                <w:noProof/>
              </w:rPr>
            </w:pPr>
            <w:r>
              <w:rPr>
                <w:noProof/>
              </w:rPr>
              <w:t>128,5</w:t>
            </w:r>
          </w:p>
        </w:tc>
        <w:tc>
          <w:tcPr>
            <w:tcW w:w="1134" w:type="dxa"/>
            <w:tcBorders>
              <w:top w:val="single" w:sz="4" w:space="0" w:color="auto"/>
            </w:tcBorders>
            <w:vAlign w:val="center"/>
          </w:tcPr>
          <w:p w14:paraId="312CA7BD" w14:textId="77777777" w:rsidR="00B53B67" w:rsidRPr="005459EB" w:rsidRDefault="00B53B67" w:rsidP="00C30C1C">
            <w:pPr>
              <w:rPr>
                <w:noProof/>
              </w:rPr>
            </w:pPr>
            <w:r>
              <w:rPr>
                <w:noProof/>
              </w:rPr>
              <w:t>130,4</w:t>
            </w:r>
          </w:p>
        </w:tc>
        <w:tc>
          <w:tcPr>
            <w:tcW w:w="1134" w:type="dxa"/>
            <w:tcBorders>
              <w:top w:val="single" w:sz="4" w:space="0" w:color="auto"/>
            </w:tcBorders>
            <w:vAlign w:val="center"/>
          </w:tcPr>
          <w:p w14:paraId="192BCD03" w14:textId="77777777" w:rsidR="00B53B67" w:rsidRPr="005459EB" w:rsidRDefault="00B53B67" w:rsidP="00C30C1C">
            <w:pPr>
              <w:rPr>
                <w:noProof/>
              </w:rPr>
            </w:pPr>
            <w:r>
              <w:rPr>
                <w:noProof/>
              </w:rPr>
              <w:t>864,4</w:t>
            </w:r>
          </w:p>
        </w:tc>
      </w:tr>
    </w:tbl>
    <w:bookmarkStart w:id="4" w:name="_Ref139911367"/>
    <w:p w14:paraId="715857AE" w14:textId="43C0B6F3" w:rsidR="00B53B67" w:rsidRPr="005459EB" w:rsidRDefault="00B53B67" w:rsidP="008F1908">
      <w:pPr>
        <w:pStyle w:val="Caption"/>
        <w:spacing w:after="240"/>
        <w:rPr>
          <w:noProof/>
        </w:rPr>
      </w:pPr>
      <w:r>
        <w:rPr>
          <w:noProof/>
        </w:rPr>
        <w:fldChar w:fldCharType="begin"/>
      </w:r>
      <w:r>
        <w:rPr>
          <w:noProof/>
          <w:color w:val="5B9BD5" w:themeColor="accent1"/>
          <w14:textFill>
            <w14:solidFill>
              <w14:schemeClr w14:val="accent1">
                <w14:lumMod w14:val="75000"/>
                <w14:lumMod w14:val="75000"/>
                <w14:lumMod w14:val="75000"/>
              </w14:schemeClr>
            </w14:solidFill>
          </w14:textFill>
        </w:rPr>
        <w:instrText xml:space="preserve"> SEQ Figure \* ARABIC </w:instrText>
      </w:r>
      <w:r>
        <w:rPr>
          <w:noProof/>
        </w:rPr>
        <w:fldChar w:fldCharType="separate"/>
      </w:r>
      <w:r>
        <w:rPr>
          <w:noProof/>
          <w:color w:val="5B9BD5" w:themeColor="accent1"/>
          <w14:textFill>
            <w14:solidFill>
              <w14:schemeClr w14:val="accent1">
                <w14:lumMod w14:val="75000"/>
                <w14:lumMod w14:val="75000"/>
                <w14:lumMod w14:val="75000"/>
              </w14:schemeClr>
            </w14:solidFill>
          </w14:textFill>
        </w:rPr>
        <w:t>1</w:t>
      </w:r>
      <w:r>
        <w:rPr>
          <w:noProof/>
        </w:rPr>
        <w:fldChar w:fldCharType="end"/>
      </w:r>
      <w:r>
        <w:rPr>
          <w:noProof/>
          <w:color w:val="5B9BD5" w:themeColor="accent1"/>
          <w14:textFill>
            <w14:solidFill>
              <w14:schemeClr w14:val="accent1">
                <w14:lumMod w14:val="75000"/>
                <w14:lumMod w14:val="75000"/>
                <w14:lumMod w14:val="75000"/>
              </w14:schemeClr>
            </w14:solidFill>
          </w14:textFill>
        </w:rPr>
        <w:t xml:space="preserve"> diagrama</w:t>
      </w:r>
      <w:bookmarkEnd w:id="4"/>
      <w:r>
        <w:rPr>
          <w:noProof/>
          <w:color w:val="5B9BD5" w:themeColor="accent1"/>
          <w14:textFill>
            <w14:solidFill>
              <w14:schemeClr w14:val="accent1">
                <w14:lumMod w14:val="75000"/>
                <w14:lumMod w14:val="75000"/>
                <w14:lumMod w14:val="75000"/>
              </w14:schemeClr>
            </w14:solidFill>
          </w14:textFill>
        </w:rPr>
        <w:t>. 2021–2027 m. TPP biudžeto programavimas (mln. EUR)</w:t>
      </w:r>
    </w:p>
    <w:p w14:paraId="5D58C92F" w14:textId="5980CB20" w:rsidR="0088566D" w:rsidRPr="005459EB" w:rsidRDefault="00584086" w:rsidP="00CB203D">
      <w:pPr>
        <w:rPr>
          <w:noProof/>
        </w:rPr>
      </w:pPr>
      <w:r>
        <w:rPr>
          <w:noProof/>
        </w:rPr>
        <w:t xml:space="preserve">Pagal TPP paramą gaunančioms valstybių narių institucijoms teikiama išskirtinė projektais grindžiama prieiga prie techninių ekspertinių žinių ir tarpusavio mokymosi galimybių, siekiant padėti joms spręsti su reformomis susijusius uždavinius. Tai </w:t>
      </w:r>
      <w:r>
        <w:rPr>
          <w:b/>
          <w:noProof/>
        </w:rPr>
        <w:t>priemonė</w:t>
      </w:r>
      <w:r>
        <w:rPr>
          <w:noProof/>
        </w:rPr>
        <w:t xml:space="preserve">, kuri naudojama atsižvelgiant į valstybių narių poreikius ir kurios ciklas yra </w:t>
      </w:r>
      <w:r>
        <w:rPr>
          <w:b/>
          <w:noProof/>
        </w:rPr>
        <w:t>vieni metai</w:t>
      </w:r>
      <w:r>
        <w:rPr>
          <w:noProof/>
        </w:rPr>
        <w:t>, kaip aprašyta 1 priede. Pagal TPP teikiama parama apima ekspertinių žinių teikimą ir ekspertų konsultacijas, susijusius su politinėmis rekomendacijomis politikos pokyčiais, strategijų ir reformų veiksmų gairių formulavimu ir parama teisėkūros, institucinėms, struktūrinėms ir administracinėms reformoms. Ji taip pat apima institucinių, administracinių ar sektorinių gebėjimų stiprinimą, seminarus, konferencijas ir praktinius seminarus, geriausios praktikos mainus ir mokymo veiksmus, bendrų metodikų kūrimą, IT gebėjimų stiprinimą ir tyrimų atlikimą.</w:t>
      </w:r>
    </w:p>
    <w:p w14:paraId="1A820078" w14:textId="0911D7A7" w:rsidR="00855F35" w:rsidRPr="005459EB" w:rsidRDefault="00855F35" w:rsidP="00C22B0D">
      <w:pPr>
        <w:spacing w:after="360"/>
        <w:rPr>
          <w:noProof/>
        </w:rPr>
      </w:pPr>
      <w:r>
        <w:rPr>
          <w:noProof/>
        </w:rPr>
        <w:t>Todėl naudojantis TPP stiprinami ES valstybių narių instituciniai ir administraciniai gebėjimai. Parama pritaikyta konkretiems reformų poreikiams ir teikiama atsižvelgiant į kiekvienos paramą gaunančios institucijos turimus gebėjimus. Kiekvienas projektas remiamas derinant išskirtines ekspertines žinias, kurias teikia Europos Komisijos (toliau – Komisija) vidaus ekspertai ir ES valstybių narių nacionalinių administravimo institucijų (pvz., vykdant TAIEX, Europos Komisijos naudojamą techninės pagalbos ir informacijos mainų programą</w:t>
      </w:r>
      <w:r>
        <w:rPr>
          <w:rStyle w:val="FootnoteReference"/>
          <w:noProof/>
        </w:rPr>
        <w:footnoteReference w:id="3"/>
      </w:r>
      <w:r>
        <w:rPr>
          <w:noProof/>
        </w:rPr>
        <w:t>), tarptautinių organizacijų ar privačiojo sektoriaus ekspertai. Prireikus Komisija pagal tiesioginio (daugiausia privatusis sektorius) arba netiesioginio valdymo</w:t>
      </w:r>
      <w:r>
        <w:rPr>
          <w:rStyle w:val="FootnoteReference"/>
          <w:noProof/>
        </w:rPr>
        <w:footnoteReference w:id="4"/>
      </w:r>
      <w:r>
        <w:rPr>
          <w:noProof/>
        </w:rPr>
        <w:t xml:space="preserve"> (daugiausia tarptautinės organizacijos) principus sudaro sutartis su išorės ekspertais. REFORM GD darbuotojai aktyviai dalyvauja visais kiekvieno projekto įgyvendinimo etapais.</w:t>
      </w:r>
    </w:p>
    <w:p w14:paraId="635247EC" w14:textId="18CBC350" w:rsidR="006A554C" w:rsidRPr="005459EB" w:rsidRDefault="006A554C" w:rsidP="006A554C">
      <w:pPr>
        <w:pStyle w:val="Heading1"/>
        <w:rPr>
          <w:noProof/>
        </w:rPr>
      </w:pPr>
      <w:bookmarkStart w:id="5" w:name="_Toc179190857"/>
      <w:bookmarkStart w:id="6" w:name="_Toc146743804"/>
      <w:bookmarkStart w:id="7" w:name="_Toc146751215"/>
      <w:r>
        <w:rPr>
          <w:noProof/>
        </w:rPr>
        <w:t>TPP 2023 m.</w:t>
      </w:r>
      <w:bookmarkEnd w:id="5"/>
    </w:p>
    <w:p w14:paraId="669E039F" w14:textId="6E123B71" w:rsidR="006A554C" w:rsidRPr="005459EB" w:rsidRDefault="006A554C" w:rsidP="006A554C">
      <w:pPr>
        <w:pStyle w:val="Heading2"/>
        <w:rPr>
          <w:noProof/>
          <w:color w:val="2E74B5" w:themeColor="accent1" w:themeShade="BF"/>
        </w:rPr>
      </w:pPr>
      <w:bookmarkStart w:id="8" w:name="_Toc179190858"/>
      <w:r>
        <w:rPr>
          <w:noProof/>
          <w14:textFill>
            <w14:solidFill>
              <w14:schemeClr w14:val="accent1">
                <w14:lumMod w14:val="75000"/>
                <w14:lumMod w14:val="75000"/>
                <w14:lumMod w14:val="75000"/>
              </w14:schemeClr>
            </w14:solidFill>
          </w14:textFill>
        </w:rPr>
        <w:t>Pagrindiniai faktai</w:t>
      </w:r>
      <w:bookmarkEnd w:id="8"/>
    </w:p>
    <w:p w14:paraId="349D51FC" w14:textId="5C109E2A" w:rsidR="00363FA1" w:rsidRPr="005459EB" w:rsidRDefault="00363FA1" w:rsidP="00363FA1">
      <w:pPr>
        <w:rPr>
          <w:noProof/>
        </w:rPr>
      </w:pPr>
      <w:r>
        <w:rPr>
          <w:noProof/>
        </w:rPr>
        <w:t xml:space="preserve">Kaip ir ankstesniais metais, 2023-iaisiais pagal TPP visoms valstybėms narėms, atsižvelgiant į nacionalinių institucijų pateiktus prašymus, buvo teikiama techninė parama </w:t>
      </w:r>
      <w:r>
        <w:rPr>
          <w:b/>
          <w:noProof/>
        </w:rPr>
        <w:t>įvairiose politikos srityse</w:t>
      </w:r>
      <w:r>
        <w:rPr>
          <w:noProof/>
        </w:rPr>
        <w:t>. Šios politikos sritys – viešasis administravimas ir valdymas, žalioji ir skaitmeninė pertvarka, konkurencingumas, sveikatos apsauga ir ilgalaikė priežiūra, pajamų administravimas ir muitai, viešųjų finansų valdymas, teisingumas, teisinė valstybė, kova su korupcija, sąžiningumas ir viešieji pirkimai, darbo rinka ir socialinė apsauga, įgūdžiai, švietimas ir mokymas bei migracija.</w:t>
      </w:r>
    </w:p>
    <w:p w14:paraId="468C9EB8" w14:textId="26835B51" w:rsidR="008B56AA" w:rsidRPr="005459EB" w:rsidRDefault="000576F6" w:rsidP="008F1908">
      <w:pPr>
        <w:spacing w:after="120"/>
        <w:rPr>
          <w:rFonts w:ascii="Times New Roman" w:hAnsi="Times New Roman" w:cs="Times New Roman"/>
          <w:noProof/>
        </w:rPr>
      </w:pPr>
      <w:r w:rsidRPr="000576F6">
        <w:rPr>
          <w:noProof/>
          <w:lang w:val="en-GB" w:eastAsia="en-GB"/>
        </w:rPr>
        <w:drawing>
          <wp:inline distT="0" distB="0" distL="0" distR="0" wp14:anchorId="5BAEBB3A" wp14:editId="5DA3E5CD">
            <wp:extent cx="5731510" cy="3716020"/>
            <wp:effectExtent l="0" t="0" r="2540" b="0"/>
            <wp:docPr id="1338630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716020"/>
                    </a:xfrm>
                    <a:prstGeom prst="rect">
                      <a:avLst/>
                    </a:prstGeom>
                    <a:noFill/>
                    <a:ln>
                      <a:noFill/>
                    </a:ln>
                  </pic:spPr>
                </pic:pic>
              </a:graphicData>
            </a:graphic>
          </wp:inline>
        </w:drawing>
      </w:r>
    </w:p>
    <w:p w14:paraId="0761B41E" w14:textId="5CD5E3E3" w:rsidR="00473AD5" w:rsidRPr="005459EB" w:rsidRDefault="00473AD5" w:rsidP="008F1908">
      <w:pPr>
        <w:pStyle w:val="Caption"/>
        <w:spacing w:after="240"/>
        <w:rPr>
          <w:rFonts w:ascii="Times New Roman" w:hAnsi="Times New Roman" w:cs="Times New Roman"/>
          <w:noProof/>
        </w:rPr>
      </w:pPr>
      <w:r>
        <w:rPr>
          <w:noProof/>
        </w:rPr>
        <w:t xml:space="preserve">2 diagrama.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TPP 2023 m. Indėlis siekiant įgyvendinti pagrindinius politikos prioritetus</w:t>
      </w:r>
    </w:p>
    <w:p w14:paraId="3942D5BE" w14:textId="1F284E89" w:rsidR="003C0851" w:rsidRPr="005459EB" w:rsidRDefault="003C0851" w:rsidP="00CB203D">
      <w:pPr>
        <w:rPr>
          <w:noProof/>
        </w:rPr>
      </w:pPr>
      <w:r>
        <w:rPr>
          <w:noProof/>
        </w:rPr>
        <w:t xml:space="preserve">Vykdant 2023 m. TPP projektus taip pat buvo aktyviai remiamas nacionalinių </w:t>
      </w:r>
      <w:r>
        <w:rPr>
          <w:b/>
          <w:noProof/>
        </w:rPr>
        <w:t>ekonomikos gaivinimo ir atsparumo didinimo planų</w:t>
      </w:r>
      <w:r>
        <w:rPr>
          <w:rStyle w:val="FootnoteReference"/>
          <w:rFonts w:ascii="Times New Roman" w:hAnsi="Times New Roman" w:cs="Times New Roman"/>
          <w:noProof/>
        </w:rPr>
        <w:footnoteReference w:id="5"/>
      </w:r>
      <w:r>
        <w:rPr>
          <w:noProof/>
        </w:rPr>
        <w:t xml:space="preserve"> įgyvendinimas. Pagal TPP ir toliau buvo teikiama parama valstybėms narėms rengiant ir įgyvendinant su </w:t>
      </w:r>
      <w:r>
        <w:rPr>
          <w:b/>
          <w:noProof/>
        </w:rPr>
        <w:t>žaliąja ir skaitmenine pertvarka</w:t>
      </w:r>
      <w:r>
        <w:rPr>
          <w:noProof/>
        </w:rPr>
        <w:t xml:space="preserve"> susijusias reformas. Be to, siekiant stiprinti solidarumą su Ukraina, pagal TPP buvo remiamos valstybių narių pastangos įgyvendinti ribojamąsias priemones prieš Rusiją. Be to, atsižvelgiant į tai, kad 2023-ieji buvo paskelbti Europos įgūdžių metais, pagal TPP taip pat buvo padedama kelioms valstybėms narėms kurti nacionalines įgūdžių strategijas, kuriomis siekta įveikti įgūdžių trūkumus ir neatitiktį.</w:t>
      </w:r>
    </w:p>
    <w:p w14:paraId="746C7815" w14:textId="1992DA6E" w:rsidR="005D6C3C" w:rsidRPr="005459EB" w:rsidRDefault="005D6C3C" w:rsidP="00C22B0D">
      <w:pPr>
        <w:spacing w:after="240"/>
        <w:rPr>
          <w:noProof/>
        </w:rPr>
      </w:pPr>
      <w:r>
        <w:rPr>
          <w:noProof/>
        </w:rPr>
        <w:t>Kalbant apie tarpinstitucinį lygmenį, 2023 m. lapkričio 7 d. už sanglaudą ir reformas atsakinga Komisijos narė Elisa Ferreira susitiko su Europos Parlamento Biudžeto komiteto ir Ekonomikos ir pinigų politikos komiteto atstovais, kad pasikeistų nuomonėmis apie TPP įgyvendinimą.</w:t>
      </w:r>
    </w:p>
    <w:p w14:paraId="13318E6E" w14:textId="54777C96" w:rsidR="009A4BB4" w:rsidRPr="005459EB" w:rsidRDefault="008C41DF" w:rsidP="00CB6475">
      <w:pPr>
        <w:pStyle w:val="Heading3"/>
      </w:pPr>
      <w:bookmarkStart w:id="9" w:name="_Toc179190859"/>
      <w:r>
        <w:t>Viešasis administravimas ir valdymas</w:t>
      </w:r>
      <w:bookmarkEnd w:id="9"/>
    </w:p>
    <w:p w14:paraId="5421B5A7" w14:textId="085BC0B0" w:rsidR="00B9054A" w:rsidRPr="005459EB" w:rsidRDefault="00CF1477" w:rsidP="00B9054A">
      <w:pPr>
        <w:rPr>
          <w:noProof/>
        </w:rPr>
      </w:pPr>
      <w:r>
        <w:rPr>
          <w:noProof/>
        </w:rPr>
        <w:t xml:space="preserve">2023 m. spalio 25 d. Komisija priėmė naują </w:t>
      </w:r>
      <w:hyperlink r:id="rId24" w:history="1">
        <w:r>
          <w:rPr>
            <w:rStyle w:val="Hyperlink"/>
            <w:b/>
            <w:noProof/>
            <w:color w:val="034990" w:themeColor="hyperlink" w:themeShade="BF"/>
          </w:rPr>
          <w:t>komunikatą „Europos administracinės erdvės stiprinimas (iniciatyva „ComPAct“)“</w:t>
        </w:r>
      </w:hyperlink>
      <w:r>
        <w:rPr>
          <w:noProof/>
        </w:rPr>
        <w:t xml:space="preserve">, kuriame pasiūlyti konkretūs veiksmai, kaip padėti viešojo administravimo institucijoms patenkinti žmonių ir įmonių poreikius visoje Europoje. 2023 m. gruodžio 7 d. Komisijos narė E. Ferreira </w:t>
      </w:r>
      <w:hyperlink r:id="rId25" w:history="1">
        <w:r>
          <w:rPr>
            <w:rStyle w:val="Hyperlink"/>
            <w:b/>
            <w:noProof/>
            <w:color w:val="034990" w:themeColor="hyperlink" w:themeShade="BF"/>
            <w14:textFill>
              <w14:solidFill>
                <w14:schemeClr w14:val="hlink">
                  <w14:lumMod w14:val="75000"/>
                  <w14:lumMod w14:val="75000"/>
                </w14:schemeClr>
              </w14:solidFill>
            </w14:textFill>
          </w:rPr>
          <w:t>Konkurencingumo tarybai</w:t>
        </w:r>
      </w:hyperlink>
      <w:r>
        <w:rPr>
          <w:noProof/>
        </w:rPr>
        <w:t xml:space="preserve"> (vidaus rinka ir pramonė) pristatė </w:t>
      </w:r>
      <w:r>
        <w:rPr>
          <w:b/>
          <w:noProof/>
        </w:rPr>
        <w:t>iniciatyvą „ComPAct“</w:t>
      </w:r>
      <w:r>
        <w:rPr>
          <w:noProof/>
        </w:rPr>
        <w:t>.</w:t>
      </w:r>
    </w:p>
    <w:p w14:paraId="5C640E06" w14:textId="263C58AD" w:rsidR="00CF1477" w:rsidRPr="005459EB" w:rsidRDefault="008D4D2B" w:rsidP="00B9054A">
      <w:pPr>
        <w:rPr>
          <w:noProof/>
        </w:rPr>
      </w:pPr>
      <w:r>
        <w:rPr>
          <w:noProof/>
        </w:rPr>
        <w:t xml:space="preserve">Iniciatyva „ComPAct“ buvo atsakas į valstybių narių, Europos Parlamento ir Regionų komiteto raginimus, kad Komisija skatintų bendradarbiavimą ir dialogą politikos klausimais, taip pat padėtų gerinti ES centrinio, regioninio ir vietos lygmenų viešojo administravimo institucijų gebėjimus ir kokybę. Iniciatyva „ComPAct“ taip pat atsižvelgiama į europiečių lūkesčius, išsakytus </w:t>
      </w:r>
      <w:hyperlink r:id="rId26" w:history="1">
        <w:r>
          <w:rPr>
            <w:rStyle w:val="Hyperlink"/>
            <w:b/>
            <w:noProof/>
            <w:color w:val="034990" w:themeColor="hyperlink" w:themeShade="BF"/>
            <w14:textFill>
              <w14:solidFill>
                <w14:schemeClr w14:val="hlink">
                  <w14:lumMod w14:val="75000"/>
                  <w14:lumMod w14:val="75000"/>
                </w14:schemeClr>
              </w14:solidFill>
            </w14:textFill>
          </w:rPr>
          <w:t>Eurobarometro apklausoje dėl reformų ir viešojo administravimo institucijų</w:t>
        </w:r>
      </w:hyperlink>
      <w:r>
        <w:rPr>
          <w:noProof/>
        </w:rPr>
        <w:t>, kurią 2023 m. pavasarį paskelbė REFORM GD. Atlikdami šią apklausą piliečiai ragino viešojo administravimo institucijas mažinti biurokratizmą, sparčiau teikti paslaugas, didinti skaidrumą ir priartėti prie žmonių. „ComPAct“ yra pirmasis išsamus Komisijos veiksmų rinkinys, kuriuo siekiama remti nacionalinių administravimo institucijų modernizavimą ir stiprinti jų tarpvalstybinį bendradarbiavimą, kad jos galėtų kartu spręsti bendras problemas.</w:t>
      </w:r>
    </w:p>
    <w:p w14:paraId="3010333B" w14:textId="162EAB1B" w:rsidR="001D3962" w:rsidRPr="005459EB" w:rsidRDefault="00491095" w:rsidP="00CB203D">
      <w:pPr>
        <w:rPr>
          <w:noProof/>
        </w:rPr>
      </w:pPr>
      <w:r>
        <w:rPr>
          <w:noProof/>
        </w:rPr>
        <w:t xml:space="preserve">Iniciatyvos „ComPAct“ tikslas – </w:t>
      </w:r>
      <w:r>
        <w:rPr>
          <w:b/>
          <w:noProof/>
        </w:rPr>
        <w:t>skatinti bendradarbiavimą ir dialogą politikos klausimais</w:t>
      </w:r>
      <w:r>
        <w:rPr>
          <w:noProof/>
        </w:rPr>
        <w:t xml:space="preserve">, taip pat padėti </w:t>
      </w:r>
      <w:r>
        <w:rPr>
          <w:b/>
          <w:noProof/>
        </w:rPr>
        <w:t>gerinti ES centrinio, regioninio ir vietos lygmens viešojo administravimo institucijų pajėgumą ir kokybę</w:t>
      </w:r>
      <w:r>
        <w:rPr>
          <w:noProof/>
        </w:rPr>
        <w:t>. Ja siūlomi strateginiai veiksmai, skirti Europos administracinei erdvei stiprinti, skatinant laikytis bendrų pagrindinių principų, kuriais grindžiama viešojo administravimo kokybė, ir stiprinant paramą valstybių narių administraciniam modernizavimui.</w:t>
      </w:r>
    </w:p>
    <w:p w14:paraId="54E5D9ED" w14:textId="680B24F1" w:rsidR="00681191" w:rsidRPr="005459EB" w:rsidRDefault="00681191" w:rsidP="00C22B0D">
      <w:pPr>
        <w:spacing w:after="360"/>
        <w:rPr>
          <w:noProof/>
        </w:rPr>
      </w:pPr>
      <w:r>
        <w:rPr>
          <w:noProof/>
        </w:rPr>
        <w:t>2023 m. pradėta įgyvendinti nauja su iniciatyva „ComPAct“ susijusi TPP pavyzdinė iniciatyva „Viešojo administravimo institucijų bendradarbiavimo mainai (PACE)“. Šia iniciatyva siekiama skatinti skirtingų valstybių narių valstybės tarnautojų tarpusavio mokymąsi ir geriausios praktikos mainus, kad būtų stiprinami administraciniai gebėjimai, taip pat politikos formavimo ir įgyvendinimo įgūdžiai. Tai, kad iniciatyva „ComPAct“ glaudžiai susieta su TPP, padeda užtikrinti, kad politika ir toliau daugiausia būtų orientuota į valstybių narių viešojo administravimo institucijų veiklos pajėgumo ir veiksmingumo didinimą.</w:t>
      </w:r>
    </w:p>
    <w:p w14:paraId="14A97A4D" w14:textId="0B18BC82" w:rsidR="00D34F4F" w:rsidRPr="005459EB" w:rsidRDefault="00A02DF2" w:rsidP="00241898">
      <w:pPr>
        <w:pStyle w:val="Heading2"/>
        <w:spacing w:before="0"/>
        <w:rPr>
          <w:noProof/>
          <w:color w:val="2E74B5" w:themeColor="accent1" w:themeShade="BF"/>
        </w:rPr>
      </w:pPr>
      <w:bookmarkStart w:id="10" w:name="_Toc179190860"/>
      <w:r>
        <w:rPr>
          <w:noProof/>
          <w14:textFill>
            <w14:solidFill>
              <w14:schemeClr w14:val="accent1">
                <w14:lumMod w14:val="75000"/>
                <w14:lumMod w14:val="75000"/>
                <w14:lumMod w14:val="75000"/>
              </w14:schemeClr>
            </w14:solidFill>
          </w14:textFill>
        </w:rPr>
        <w:t>2023 m. TPP ciklas. Faktai ir skaičiai</w:t>
      </w:r>
      <w:bookmarkEnd w:id="10"/>
    </w:p>
    <w:p w14:paraId="23D93F77" w14:textId="11F5375E" w:rsidR="00655EA2" w:rsidRPr="005459EB" w:rsidRDefault="00694A35" w:rsidP="00D34F4F">
      <w:pPr>
        <w:pStyle w:val="Heading3"/>
      </w:pPr>
      <w:bookmarkStart w:id="11" w:name="_Toc179190861"/>
      <w:r>
        <w:t>2023 m. TPP ciklo pradžia</w:t>
      </w:r>
      <w:bookmarkEnd w:id="11"/>
    </w:p>
    <w:bookmarkEnd w:id="6"/>
    <w:bookmarkEnd w:id="7"/>
    <w:p w14:paraId="39A0E66C" w14:textId="47D5C802" w:rsidR="00E7442C" w:rsidRPr="005459EB" w:rsidRDefault="00B65823" w:rsidP="00CB203D">
      <w:pPr>
        <w:rPr>
          <w:noProof/>
        </w:rPr>
      </w:pPr>
      <w:r>
        <w:rPr>
          <w:noProof/>
        </w:rPr>
        <w:t xml:space="preserve">2023 m. TPP ciklo pradžia buvo paskelbta 2022 m. gegužės 5 d. internetu vykusioje </w:t>
      </w:r>
      <w:hyperlink r:id="rId27">
        <w:r>
          <w:rPr>
            <w:rStyle w:val="Hyperlink"/>
            <w:b/>
            <w:noProof/>
            <w:color w:val="034990"/>
            <w14:textFill>
              <w14:solidFill>
                <w14:srgbClr w14:val="034990">
                  <w14:lumMod w14:val="75000"/>
                </w14:srgbClr>
              </w14:solidFill>
            </w14:textFill>
          </w:rPr>
          <w:t>TPP metinėje konferencijoje</w:t>
        </w:r>
      </w:hyperlink>
      <w:r>
        <w:rPr>
          <w:rStyle w:val="Hyperlink"/>
          <w:noProof/>
          <w:color w:val="034990"/>
          <w:u w:val="none"/>
          <w14:textFill>
            <w14:solidFill>
              <w14:srgbClr w14:val="034990">
                <w14:lumMod w14:val="75000"/>
              </w14:srgbClr>
            </w14:solidFill>
          </w14:textFill>
        </w:rPr>
        <w:t xml:space="preserve"> </w:t>
      </w:r>
      <w:r>
        <w:rPr>
          <w:rStyle w:val="Hyperlink"/>
          <w:b/>
          <w:noProof/>
          <w:color w:val="034990"/>
          <w14:textFill>
            <w14:solidFill>
              <w14:srgbClr w14:val="034990">
                <w14:lumMod w14:val="75000"/>
              </w14:srgbClr>
            </w14:solidFill>
          </w14:textFill>
        </w:rPr>
        <w:t>„Valstybių narių atsparumo didinimas“</w:t>
      </w:r>
      <w:r>
        <w:rPr>
          <w:noProof/>
        </w:rPr>
        <w:t>. Konferencijoje buvo pristatyta, kokią paramą pagal TPP galima suteikti valstybėms narėms sėkmingai rengiant ir įgyvendinant atsparumą didinančias reformas, ypač atsižvelgiant į pastarojo meto krizes (COVID-19 pandemiją, Rusijos invaziją į Ukrainą). Joje taip pat pristatyti pagrindiniai 2023 m. TPP prioritetai, visų pirma:</w:t>
      </w:r>
    </w:p>
    <w:p w14:paraId="753536E9" w14:textId="0F775E93" w:rsidR="00E7442C" w:rsidRPr="005459EB" w:rsidRDefault="008B14F0" w:rsidP="00CB6475">
      <w:pPr>
        <w:pStyle w:val="ListParagraph"/>
        <w:numPr>
          <w:ilvl w:val="0"/>
          <w:numId w:val="58"/>
        </w:numPr>
        <w:rPr>
          <w:noProof/>
        </w:rPr>
      </w:pPr>
      <w:r>
        <w:rPr>
          <w:noProof/>
        </w:rPr>
        <w:t>teikti nuolatinę paramą įgyvendinant ekonomikos gaivinimo ir atsparumo didinimo planus;</w:t>
      </w:r>
    </w:p>
    <w:p w14:paraId="5F0D6D4A" w14:textId="15E889D0" w:rsidR="000C0E72" w:rsidRPr="005459EB" w:rsidRDefault="008B14F0" w:rsidP="00CB6475">
      <w:pPr>
        <w:pStyle w:val="ListParagraph"/>
        <w:numPr>
          <w:ilvl w:val="0"/>
          <w:numId w:val="58"/>
        </w:numPr>
        <w:rPr>
          <w:noProof/>
        </w:rPr>
      </w:pPr>
      <w:r>
        <w:rPr>
          <w:noProof/>
        </w:rPr>
        <w:t>daugiausia paramos skirti atrinktiems ES prioritetams, pasitelkiant novatorišką REFORM GD pavyzdinių projektų koncepciją, t. y. Komisijos aktyviai valstybėms narėms siūlomas projektų koncepcijas, ir</w:t>
      </w:r>
    </w:p>
    <w:p w14:paraId="3DE7BB10" w14:textId="409FE3D1" w:rsidR="00E166CD" w:rsidRPr="005459EB" w:rsidRDefault="008B14F0" w:rsidP="00CB6475">
      <w:pPr>
        <w:pStyle w:val="ListParagraph"/>
        <w:numPr>
          <w:ilvl w:val="0"/>
          <w:numId w:val="58"/>
        </w:numPr>
        <w:rPr>
          <w:noProof/>
        </w:rPr>
      </w:pPr>
      <w:r>
        <w:rPr>
          <w:noProof/>
        </w:rPr>
        <w:t>skatinti rengti bei įgyvendinti daugiašalius ir daugiaregioninius projektus.</w:t>
      </w:r>
    </w:p>
    <w:p w14:paraId="3111C736" w14:textId="73324E8B" w:rsidR="00B973B3" w:rsidRPr="005459EB" w:rsidRDefault="006B598C" w:rsidP="00CB203D">
      <w:pPr>
        <w:rPr>
          <w:noProof/>
        </w:rPr>
      </w:pPr>
      <w:r>
        <w:rPr>
          <w:noProof/>
        </w:rPr>
        <w:t xml:space="preserve">Konferencijoje taip pat pasinaudota proga pristatyti </w:t>
      </w:r>
      <w:r>
        <w:rPr>
          <w:b/>
          <w:noProof/>
        </w:rPr>
        <w:t>12 pavyzdinių techninės paramos projektų idėjų</w:t>
      </w:r>
      <w:r>
        <w:rPr>
          <w:noProof/>
        </w:rPr>
        <w:t>, kurios buvo pasiūlytos, nes jomis tenkinami kelių valstybių narių reformų poreikiai ir jos susijusios su svarbiausiais valstybių narių įgyvendinamais ES prioritetais. Tokiu būdu jomis siekiama padėti valstybėms narėms įvykdyti atsparumo didinimo ir ekonomikos augimo skatinimo reformas.</w:t>
      </w:r>
    </w:p>
    <w:p w14:paraId="180D9CB8" w14:textId="267A99F1" w:rsidR="0080585F" w:rsidRPr="005459EB" w:rsidRDefault="00A44353" w:rsidP="00CB203D">
      <w:pPr>
        <w:rPr>
          <w:noProof/>
        </w:rPr>
      </w:pPr>
      <w:r>
        <w:rPr>
          <w:noProof/>
        </w:rPr>
        <w:t>Be to, 2022 m. TPP pavyzdinė iniciatyva „</w:t>
      </w:r>
      <w:hyperlink r:id="rId28" w:history="1">
        <w:r>
          <w:rPr>
            <w:rStyle w:val="Hyperlink"/>
            <w:noProof/>
            <w:color w:val="034990" w:themeColor="hyperlink" w:themeShade="BF"/>
          </w:rPr>
          <w:t>ES skaitmeninių finansų priežiūros akademija, skirta finansų priežiūros institucijų įgūdžiams tobulinti</w:t>
        </w:r>
      </w:hyperlink>
      <w:r>
        <w:rPr>
          <w:noProof/>
        </w:rPr>
        <w:t>“ buvo dar kartą pasiūlyta 2023 m. TPP ciklui.</w:t>
      </w:r>
    </w:p>
    <w:p w14:paraId="088B641D" w14:textId="35CD77D3" w:rsidR="00B65823" w:rsidRPr="005459EB" w:rsidRDefault="005F3ACA" w:rsidP="00C22B0D">
      <w:pPr>
        <w:spacing w:after="0"/>
        <w:rPr>
          <w:rFonts w:ascii="Times New Roman" w:hAnsi="Times New Roman" w:cs="Times New Roman"/>
          <w:noProof/>
        </w:rPr>
      </w:pPr>
      <w:r>
        <w:rPr>
          <w:noProof/>
          <w:lang w:val="en-GB" w:eastAsia="en-GB"/>
        </w:rPr>
        <mc:AlternateContent>
          <mc:Choice Requires="wps">
            <w:drawing>
              <wp:anchor distT="0" distB="0" distL="114300" distR="114300" simplePos="0" relativeHeight="251658240" behindDoc="0" locked="0" layoutInCell="1" allowOverlap="1" wp14:anchorId="2EB73D58" wp14:editId="1FE67417">
                <wp:simplePos x="0" y="0"/>
                <wp:positionH relativeFrom="column">
                  <wp:posOffset>0</wp:posOffset>
                </wp:positionH>
                <wp:positionV relativeFrom="paragraph">
                  <wp:posOffset>0</wp:posOffset>
                </wp:positionV>
                <wp:extent cx="1828800" cy="1828800"/>
                <wp:effectExtent l="0" t="0" r="15240" b="2159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lumMod val="40000"/>
                            <a:lumOff val="60000"/>
                          </a:schemeClr>
                        </a:solidFill>
                        <a:ln w="6350">
                          <a:solidFill>
                            <a:prstClr val="black"/>
                          </a:solidFill>
                        </a:ln>
                      </wps:spPr>
                      <wps:txbx>
                        <w:txbxContent>
                          <w:p w14:paraId="49A77262" w14:textId="19983E54" w:rsidR="00473B5D" w:rsidRPr="005459EB" w:rsidRDefault="00473B5D" w:rsidP="00CB6475">
                            <w:pPr>
                              <w:shd w:val="clear" w:color="auto" w:fill="B4C6E7" w:themeFill="accent5" w:themeFillTint="66"/>
                              <w:spacing w:after="0"/>
                              <w:ind w:left="360" w:hanging="360"/>
                              <w:jc w:val="center"/>
                              <w:rPr>
                                <w:b/>
                                <w:bCs/>
                              </w:rPr>
                            </w:pPr>
                            <w:r>
                              <w:rPr>
                                <w:b/>
                              </w:rPr>
                              <w:t>2023 m. TPP pavyzdiniai techninės paramos projektai</w:t>
                            </w:r>
                          </w:p>
                          <w:p w14:paraId="208CF9E2" w14:textId="6563FB1F" w:rsidR="00F13727" w:rsidRPr="005459EB" w:rsidRDefault="00631C6E" w:rsidP="002C22A7">
                            <w:pPr>
                              <w:numPr>
                                <w:ilvl w:val="0"/>
                                <w:numId w:val="51"/>
                              </w:numPr>
                              <w:spacing w:after="0" w:afterAutospacing="1" w:line="240" w:lineRule="auto"/>
                              <w:jc w:val="left"/>
                              <w:rPr>
                                <w:rFonts w:cs="Arial"/>
                              </w:rPr>
                            </w:pPr>
                            <w:hyperlink r:id="rId29" w:history="1">
                              <w:r w:rsidR="003F00DC">
                                <w:rPr>
                                  <w:rStyle w:val="Hyperlink"/>
                                  <w:color w:val="034990" w:themeColor="hyperlink" w:themeShade="BF"/>
                                </w:rPr>
                                <w:t>Aplinkos aspektų integravimas į viešuosius finansus. Principo „nedaryti reikšmingos žalos“ įgyvendinimas viešojo finansavimo programose</w:t>
                              </w:r>
                            </w:hyperlink>
                            <w:r w:rsidR="003F00DC">
                              <w:rPr>
                                <w:rFonts w:ascii="Calibri" w:hAnsi="Calibri"/>
                              </w:rPr>
                              <w:t xml:space="preserve"> </w:t>
                            </w:r>
                          </w:p>
                          <w:p w14:paraId="5B5B1BD1" w14:textId="77777777" w:rsidR="00F13727" w:rsidRPr="005459EB" w:rsidRDefault="00631C6E" w:rsidP="00F13727">
                            <w:pPr>
                              <w:numPr>
                                <w:ilvl w:val="0"/>
                                <w:numId w:val="51"/>
                              </w:numPr>
                              <w:spacing w:beforeAutospacing="1" w:after="0" w:afterAutospacing="1" w:line="240" w:lineRule="auto"/>
                              <w:jc w:val="left"/>
                              <w:rPr>
                                <w:rFonts w:cs="Arial"/>
                              </w:rPr>
                            </w:pPr>
                            <w:hyperlink r:id="rId30" w:history="1">
                              <w:r w:rsidR="003F00DC">
                                <w:rPr>
                                  <w:rStyle w:val="Hyperlink"/>
                                  <w:color w:val="034990" w:themeColor="hyperlink" w:themeShade="BF"/>
                                </w:rPr>
                                <w:t>Leidimų atsinaujinančiųjų išteklių energijai išdavimo spartinimas</w:t>
                              </w:r>
                            </w:hyperlink>
                          </w:p>
                          <w:p w14:paraId="514718C6" w14:textId="009BD64A" w:rsidR="00F13727" w:rsidRPr="005459EB" w:rsidRDefault="00631C6E" w:rsidP="00F13727">
                            <w:pPr>
                              <w:numPr>
                                <w:ilvl w:val="0"/>
                                <w:numId w:val="51"/>
                              </w:numPr>
                              <w:spacing w:beforeAutospacing="1" w:after="0" w:afterAutospacing="1" w:line="240" w:lineRule="auto"/>
                              <w:jc w:val="left"/>
                              <w:rPr>
                                <w:rFonts w:cs="Arial"/>
                              </w:rPr>
                            </w:pPr>
                            <w:hyperlink r:id="rId31" w:history="1">
                              <w:r w:rsidR="003F00DC">
                                <w:rPr>
                                  <w:rStyle w:val="Hyperlink"/>
                                  <w:color w:val="034990" w:themeColor="hyperlink" w:themeShade="BF"/>
                                </w:rPr>
                                <w:t>Parama prisitaikymui prie klimato kaitos</w:t>
                              </w:r>
                            </w:hyperlink>
                          </w:p>
                          <w:p w14:paraId="2F8E3F0B" w14:textId="77777777" w:rsidR="00F13727" w:rsidRPr="005459EB" w:rsidRDefault="00631C6E" w:rsidP="00F13727">
                            <w:pPr>
                              <w:numPr>
                                <w:ilvl w:val="0"/>
                                <w:numId w:val="51"/>
                              </w:numPr>
                              <w:spacing w:beforeAutospacing="1" w:after="0" w:afterAutospacing="1" w:line="240" w:lineRule="auto"/>
                              <w:jc w:val="left"/>
                              <w:rPr>
                                <w:rFonts w:cs="Arial"/>
                              </w:rPr>
                            </w:pPr>
                            <w:hyperlink r:id="rId32" w:history="1">
                              <w:r w:rsidR="003F00DC">
                                <w:rPr>
                                  <w:rStyle w:val="Hyperlink"/>
                                  <w:color w:val="034990" w:themeColor="hyperlink" w:themeShade="BF"/>
                                </w:rPr>
                                <w:t>ASV rizikos valdymas finansų sektoriuje</w:t>
                              </w:r>
                            </w:hyperlink>
                          </w:p>
                          <w:p w14:paraId="7F155E09" w14:textId="75788A14" w:rsidR="00F13727" w:rsidRPr="005459EB" w:rsidRDefault="00631C6E" w:rsidP="00F13727">
                            <w:pPr>
                              <w:numPr>
                                <w:ilvl w:val="0"/>
                                <w:numId w:val="51"/>
                              </w:numPr>
                              <w:spacing w:beforeAutospacing="1" w:after="0" w:afterAutospacing="1" w:line="240" w:lineRule="auto"/>
                              <w:jc w:val="left"/>
                              <w:rPr>
                                <w:rFonts w:cs="Arial"/>
                              </w:rPr>
                            </w:pPr>
                            <w:hyperlink r:id="rId33" w:history="1">
                              <w:r w:rsidR="003F00DC">
                                <w:rPr>
                                  <w:rStyle w:val="Hyperlink"/>
                                  <w:color w:val="034990" w:themeColor="hyperlink" w:themeShade="BF"/>
                                </w:rPr>
                                <w:t>Parama pramonės ekosistemoms</w:t>
                              </w:r>
                            </w:hyperlink>
                          </w:p>
                          <w:p w14:paraId="71C585B0" w14:textId="77777777" w:rsidR="00F13727" w:rsidRPr="005459EB" w:rsidRDefault="00631C6E" w:rsidP="00F13727">
                            <w:pPr>
                              <w:numPr>
                                <w:ilvl w:val="0"/>
                                <w:numId w:val="51"/>
                              </w:numPr>
                              <w:spacing w:beforeAutospacing="1" w:after="0" w:afterAutospacing="1" w:line="240" w:lineRule="auto"/>
                              <w:jc w:val="left"/>
                              <w:rPr>
                                <w:rFonts w:cs="Arial"/>
                              </w:rPr>
                            </w:pPr>
                            <w:hyperlink r:id="rId34" w:history="1">
                              <w:r w:rsidR="003F00DC">
                                <w:rPr>
                                  <w:rStyle w:val="Hyperlink"/>
                                  <w:color w:val="034990" w:themeColor="hyperlink" w:themeShade="BF"/>
                                </w:rPr>
                                <w:t>Migracija ir talentų pritraukimas</w:t>
                              </w:r>
                            </w:hyperlink>
                          </w:p>
                          <w:p w14:paraId="41A6AC0B" w14:textId="77777777" w:rsidR="00F13727" w:rsidRPr="005459EB" w:rsidRDefault="00631C6E" w:rsidP="00F13727">
                            <w:pPr>
                              <w:numPr>
                                <w:ilvl w:val="0"/>
                                <w:numId w:val="51"/>
                              </w:numPr>
                              <w:spacing w:beforeAutospacing="1" w:after="0" w:afterAutospacing="1" w:line="240" w:lineRule="auto"/>
                              <w:jc w:val="left"/>
                              <w:rPr>
                                <w:rFonts w:cs="Arial"/>
                              </w:rPr>
                            </w:pPr>
                            <w:hyperlink r:id="rId35" w:history="1">
                              <w:r w:rsidR="003F00DC">
                                <w:rPr>
                                  <w:rStyle w:val="Hyperlink"/>
                                  <w:color w:val="034990" w:themeColor="hyperlink" w:themeShade="BF"/>
                                </w:rPr>
                                <w:t>Į asmenį orientuotos integruotos priežiūros užtikrinimas</w:t>
                              </w:r>
                            </w:hyperlink>
                          </w:p>
                          <w:p w14:paraId="32230C9F" w14:textId="77777777" w:rsidR="00F13727" w:rsidRPr="005459EB" w:rsidRDefault="00631C6E" w:rsidP="00F13727">
                            <w:pPr>
                              <w:numPr>
                                <w:ilvl w:val="0"/>
                                <w:numId w:val="51"/>
                              </w:numPr>
                              <w:spacing w:beforeAutospacing="1" w:after="0" w:afterAutospacing="1" w:line="240" w:lineRule="auto"/>
                              <w:jc w:val="left"/>
                              <w:rPr>
                                <w:rFonts w:cs="Arial"/>
                              </w:rPr>
                            </w:pPr>
                            <w:hyperlink r:id="rId36" w:history="1">
                              <w:r w:rsidR="003F00DC">
                                <w:rPr>
                                  <w:rStyle w:val="Hyperlink"/>
                                  <w:color w:val="034990" w:themeColor="hyperlink" w:themeShade="BF"/>
                                </w:rPr>
                                <w:t>YOUTH FIRST. Parama vaikų ir jaunimo gerovei, švietimui, mokymui, socialinei apsaugai ir darbo perspektyvoms</w:t>
                              </w:r>
                            </w:hyperlink>
                          </w:p>
                          <w:p w14:paraId="05A7F573" w14:textId="77777777" w:rsidR="00F13727" w:rsidRPr="005459EB" w:rsidRDefault="00631C6E" w:rsidP="00F13727">
                            <w:pPr>
                              <w:numPr>
                                <w:ilvl w:val="0"/>
                                <w:numId w:val="51"/>
                              </w:numPr>
                              <w:spacing w:beforeAutospacing="1" w:after="0" w:afterAutospacing="1" w:line="240" w:lineRule="auto"/>
                              <w:jc w:val="left"/>
                              <w:rPr>
                                <w:rFonts w:cs="Arial"/>
                              </w:rPr>
                            </w:pPr>
                            <w:hyperlink r:id="rId37" w:history="1">
                              <w:r w:rsidR="003F00DC">
                                <w:rPr>
                                  <w:rStyle w:val="Hyperlink"/>
                                  <w:color w:val="034990" w:themeColor="hyperlink" w:themeShade="BF"/>
                                </w:rPr>
                                <w:t>Viešojo administravimo institucijų bendradarbiavimo mainai (PACE)</w:t>
                              </w:r>
                            </w:hyperlink>
                          </w:p>
                          <w:p w14:paraId="177FED69" w14:textId="77777777" w:rsidR="00F13727" w:rsidRPr="005459EB" w:rsidRDefault="00631C6E" w:rsidP="00F13727">
                            <w:pPr>
                              <w:numPr>
                                <w:ilvl w:val="0"/>
                                <w:numId w:val="51"/>
                              </w:numPr>
                              <w:spacing w:beforeAutospacing="1" w:after="0" w:afterAutospacing="1" w:line="240" w:lineRule="auto"/>
                              <w:jc w:val="left"/>
                              <w:rPr>
                                <w:rFonts w:cs="Arial"/>
                              </w:rPr>
                            </w:pPr>
                            <w:hyperlink r:id="rId38" w:history="1">
                              <w:r w:rsidR="003F00DC">
                                <w:rPr>
                                  <w:rStyle w:val="Hyperlink"/>
                                  <w:color w:val="034990" w:themeColor="hyperlink" w:themeShade="BF"/>
                                </w:rPr>
                                <w:t>Informacijos apie mokesčius, kuria keičiasi valstybės narės pagal Direktyvą dėl administracinio bendradarbiavimo (DAB), kokybės ir naudojimo gerinimas</w:t>
                              </w:r>
                            </w:hyperlink>
                          </w:p>
                          <w:p w14:paraId="21C38434" w14:textId="77777777" w:rsidR="00F13727" w:rsidRPr="005459EB" w:rsidRDefault="00631C6E" w:rsidP="00F13727">
                            <w:pPr>
                              <w:numPr>
                                <w:ilvl w:val="0"/>
                                <w:numId w:val="51"/>
                              </w:numPr>
                              <w:spacing w:beforeAutospacing="1" w:after="0" w:afterAutospacing="1" w:line="240" w:lineRule="auto"/>
                              <w:jc w:val="left"/>
                              <w:rPr>
                                <w:rFonts w:cs="Arial"/>
                              </w:rPr>
                            </w:pPr>
                            <w:hyperlink r:id="rId39" w:history="1">
                              <w:r w:rsidR="003F00DC">
                                <w:rPr>
                                  <w:rStyle w:val="Hyperlink"/>
                                  <w:color w:val="034990" w:themeColor="hyperlink" w:themeShade="BF"/>
                                </w:rPr>
                                <w:t>Viešųjų pirkimų personalo profesionalumo didinimas.</w:t>
                              </w:r>
                            </w:hyperlink>
                            <w:hyperlink r:id="rId40" w:history="1">
                              <w:r w:rsidR="003F00DC">
                                <w:rPr>
                                  <w:rStyle w:val="Hyperlink"/>
                                  <w:color w:val="034990" w:themeColor="hyperlink" w:themeShade="BF"/>
                                </w:rPr>
                                <w:t xml:space="preserve"> Strateginių metodikų taikymo, sąžiningumo ir skaidrumo skatinimas</w:t>
                              </w:r>
                            </w:hyperlink>
                          </w:p>
                          <w:p w14:paraId="6DEF6C22" w14:textId="0DD902A8" w:rsidR="00F13727" w:rsidRPr="005459EB" w:rsidRDefault="00631C6E" w:rsidP="00EC281E">
                            <w:pPr>
                              <w:numPr>
                                <w:ilvl w:val="0"/>
                                <w:numId w:val="51"/>
                              </w:numPr>
                              <w:shd w:val="clear" w:color="auto" w:fill="B4C6E7" w:themeFill="accent5" w:themeFillTint="66"/>
                              <w:spacing w:beforeAutospacing="1" w:after="0" w:afterAutospacing="1" w:line="240" w:lineRule="auto"/>
                              <w:jc w:val="left"/>
                              <w:rPr>
                                <w:rFonts w:cs="Times New Roman"/>
                              </w:rPr>
                            </w:pPr>
                            <w:hyperlink r:id="rId41" w:history="1">
                              <w:r w:rsidR="003F00DC">
                                <w:rPr>
                                  <w:rStyle w:val="Hyperlink"/>
                                  <w:color w:val="034990" w:themeColor="hyperlink" w:themeShade="BF"/>
                                </w:rPr>
                                <w:t>Regionų ir vietos viešojo administravimo institucijų skaitmeninė transformacija</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2EB73D58"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" fillcolor="#b4c6e7 [1304]" strokeweight=".5pt">
                <v:textbox style="mso-fit-shape-to-text:t">
                  <w:txbxContent>
                    <w:p w14:paraId="49A77262" w14:textId="19983E54" w:rsidR="00473B5D" w:rsidRPr="005459EB" w:rsidRDefault="00473B5D" w:rsidP="00CB6475">
                      <w:pPr>
                        <w:shd w:val="clear" w:color="auto" w:fill="B4C6E7" w:themeFill="accent5" w:themeFillTint="66"/>
                        <w:spacing w:after="0"/>
                        <w:ind w:left="360" w:hanging="360"/>
                        <w:jc w:val="center"/>
                        <w:rPr>
                          <w:b/>
                          <w:bCs/>
                        </w:rPr>
                      </w:pPr>
                      <w:r>
                        <w:rPr>
                          <w:b/>
                        </w:rPr>
                        <w:t>2023 m. TPP pavyzdiniai techninės paramos projektai</w:t>
                      </w:r>
                    </w:p>
                    <w:p w14:paraId="208CF9E2" w14:textId="6563FB1F" w:rsidR="00F13727" w:rsidRPr="005459EB" w:rsidRDefault="00631C6E" w:rsidP="002C22A7">
                      <w:pPr>
                        <w:numPr>
                          <w:ilvl w:val="0"/>
                          <w:numId w:val="51"/>
                        </w:numPr>
                        <w:spacing w:after="0" w:afterAutospacing="1" w:line="240" w:lineRule="auto"/>
                        <w:jc w:val="left"/>
                        <w:rPr>
                          <w:rFonts w:cs="Arial"/>
                        </w:rPr>
                      </w:pPr>
                      <w:hyperlink r:id="rId42" w:history="1">
                        <w:r w:rsidR="003F00DC">
                          <w:rPr>
                            <w:rStyle w:val="Hyperlink"/>
                            <w:color w:val="034990" w:themeColor="hyperlink" w:themeShade="BF"/>
                          </w:rPr>
                          <w:t>Aplinkos aspektų integravimas į viešuosius finansus. Principo „nedaryti reikšmingos žalos“ įgyvendinimas viešojo finansavimo programose</w:t>
                        </w:r>
                      </w:hyperlink>
                      <w:r w:rsidR="003F00DC">
                        <w:rPr>
                          <w:rFonts w:ascii="Calibri" w:hAnsi="Calibri"/>
                        </w:rPr>
                        <w:t xml:space="preserve"> </w:t>
                      </w:r>
                    </w:p>
                    <w:p w14:paraId="5B5B1BD1" w14:textId="77777777" w:rsidR="00F13727" w:rsidRPr="005459EB" w:rsidRDefault="00631C6E" w:rsidP="00F13727">
                      <w:pPr>
                        <w:numPr>
                          <w:ilvl w:val="0"/>
                          <w:numId w:val="51"/>
                        </w:numPr>
                        <w:spacing w:beforeAutospacing="1" w:after="0" w:afterAutospacing="1" w:line="240" w:lineRule="auto"/>
                        <w:jc w:val="left"/>
                        <w:rPr>
                          <w:rFonts w:cs="Arial"/>
                        </w:rPr>
                      </w:pPr>
                      <w:hyperlink r:id="rId43" w:history="1">
                        <w:r w:rsidR="003F00DC">
                          <w:rPr>
                            <w:rStyle w:val="Hyperlink"/>
                            <w:color w:val="034990" w:themeColor="hyperlink" w:themeShade="BF"/>
                          </w:rPr>
                          <w:t>Leidimų atsinaujinančiųjų išteklių energijai išdavimo spartinimas</w:t>
                        </w:r>
                      </w:hyperlink>
                    </w:p>
                    <w:p w14:paraId="514718C6" w14:textId="009BD64A" w:rsidR="00F13727" w:rsidRPr="005459EB" w:rsidRDefault="00631C6E" w:rsidP="00F13727">
                      <w:pPr>
                        <w:numPr>
                          <w:ilvl w:val="0"/>
                          <w:numId w:val="51"/>
                        </w:numPr>
                        <w:spacing w:beforeAutospacing="1" w:after="0" w:afterAutospacing="1" w:line="240" w:lineRule="auto"/>
                        <w:jc w:val="left"/>
                        <w:rPr>
                          <w:rFonts w:cs="Arial"/>
                        </w:rPr>
                      </w:pPr>
                      <w:hyperlink r:id="rId44" w:history="1">
                        <w:r w:rsidR="003F00DC">
                          <w:rPr>
                            <w:rStyle w:val="Hyperlink"/>
                            <w:color w:val="034990" w:themeColor="hyperlink" w:themeShade="BF"/>
                          </w:rPr>
                          <w:t>Parama prisitaikymui prie klimato kaitos</w:t>
                        </w:r>
                      </w:hyperlink>
                    </w:p>
                    <w:p w14:paraId="2F8E3F0B" w14:textId="77777777" w:rsidR="00F13727" w:rsidRPr="005459EB" w:rsidRDefault="00631C6E" w:rsidP="00F13727">
                      <w:pPr>
                        <w:numPr>
                          <w:ilvl w:val="0"/>
                          <w:numId w:val="51"/>
                        </w:numPr>
                        <w:spacing w:beforeAutospacing="1" w:after="0" w:afterAutospacing="1" w:line="240" w:lineRule="auto"/>
                        <w:jc w:val="left"/>
                        <w:rPr>
                          <w:rFonts w:cs="Arial"/>
                        </w:rPr>
                      </w:pPr>
                      <w:hyperlink r:id="rId45" w:history="1">
                        <w:r w:rsidR="003F00DC">
                          <w:rPr>
                            <w:rStyle w:val="Hyperlink"/>
                            <w:color w:val="034990" w:themeColor="hyperlink" w:themeShade="BF"/>
                          </w:rPr>
                          <w:t>ASV rizikos valdymas finansų sektoriuje</w:t>
                        </w:r>
                      </w:hyperlink>
                    </w:p>
                    <w:p w14:paraId="7F155E09" w14:textId="75788A14" w:rsidR="00F13727" w:rsidRPr="005459EB" w:rsidRDefault="00631C6E" w:rsidP="00F13727">
                      <w:pPr>
                        <w:numPr>
                          <w:ilvl w:val="0"/>
                          <w:numId w:val="51"/>
                        </w:numPr>
                        <w:spacing w:beforeAutospacing="1" w:after="0" w:afterAutospacing="1" w:line="240" w:lineRule="auto"/>
                        <w:jc w:val="left"/>
                        <w:rPr>
                          <w:rFonts w:cs="Arial"/>
                        </w:rPr>
                      </w:pPr>
                      <w:hyperlink r:id="rId46" w:history="1">
                        <w:r w:rsidR="003F00DC">
                          <w:rPr>
                            <w:rStyle w:val="Hyperlink"/>
                            <w:color w:val="034990" w:themeColor="hyperlink" w:themeShade="BF"/>
                          </w:rPr>
                          <w:t>Parama pramonės ekosistemoms</w:t>
                        </w:r>
                      </w:hyperlink>
                    </w:p>
                    <w:p w14:paraId="71C585B0" w14:textId="77777777" w:rsidR="00F13727" w:rsidRPr="005459EB" w:rsidRDefault="00631C6E" w:rsidP="00F13727">
                      <w:pPr>
                        <w:numPr>
                          <w:ilvl w:val="0"/>
                          <w:numId w:val="51"/>
                        </w:numPr>
                        <w:spacing w:beforeAutospacing="1" w:after="0" w:afterAutospacing="1" w:line="240" w:lineRule="auto"/>
                        <w:jc w:val="left"/>
                        <w:rPr>
                          <w:rFonts w:cs="Arial"/>
                        </w:rPr>
                      </w:pPr>
                      <w:hyperlink r:id="rId47" w:history="1">
                        <w:r w:rsidR="003F00DC">
                          <w:rPr>
                            <w:rStyle w:val="Hyperlink"/>
                            <w:color w:val="034990" w:themeColor="hyperlink" w:themeShade="BF"/>
                          </w:rPr>
                          <w:t>Migracija ir talentų pritraukimas</w:t>
                        </w:r>
                      </w:hyperlink>
                    </w:p>
                    <w:p w14:paraId="41A6AC0B" w14:textId="77777777" w:rsidR="00F13727" w:rsidRPr="005459EB" w:rsidRDefault="00631C6E" w:rsidP="00F13727">
                      <w:pPr>
                        <w:numPr>
                          <w:ilvl w:val="0"/>
                          <w:numId w:val="51"/>
                        </w:numPr>
                        <w:spacing w:beforeAutospacing="1" w:after="0" w:afterAutospacing="1" w:line="240" w:lineRule="auto"/>
                        <w:jc w:val="left"/>
                        <w:rPr>
                          <w:rFonts w:cs="Arial"/>
                        </w:rPr>
                      </w:pPr>
                      <w:hyperlink r:id="rId48" w:history="1">
                        <w:r w:rsidR="003F00DC">
                          <w:rPr>
                            <w:rStyle w:val="Hyperlink"/>
                            <w:color w:val="034990" w:themeColor="hyperlink" w:themeShade="BF"/>
                          </w:rPr>
                          <w:t>Į asmenį orientuotos integruotos priežiūros užtikrinimas</w:t>
                        </w:r>
                      </w:hyperlink>
                    </w:p>
                    <w:p w14:paraId="32230C9F" w14:textId="77777777" w:rsidR="00F13727" w:rsidRPr="005459EB" w:rsidRDefault="00631C6E" w:rsidP="00F13727">
                      <w:pPr>
                        <w:numPr>
                          <w:ilvl w:val="0"/>
                          <w:numId w:val="51"/>
                        </w:numPr>
                        <w:spacing w:beforeAutospacing="1" w:after="0" w:afterAutospacing="1" w:line="240" w:lineRule="auto"/>
                        <w:jc w:val="left"/>
                        <w:rPr>
                          <w:rFonts w:cs="Arial"/>
                        </w:rPr>
                      </w:pPr>
                      <w:hyperlink r:id="rId49" w:history="1">
                        <w:r w:rsidR="003F00DC">
                          <w:rPr>
                            <w:rStyle w:val="Hyperlink"/>
                            <w:color w:val="034990" w:themeColor="hyperlink" w:themeShade="BF"/>
                          </w:rPr>
                          <w:t>YOUTH FIRST. Parama vaikų ir jaunimo gerovei, švietimui, mokymui, socialinei apsaugai ir darbo perspektyvoms</w:t>
                        </w:r>
                      </w:hyperlink>
                    </w:p>
                    <w:p w14:paraId="05A7F573" w14:textId="77777777" w:rsidR="00F13727" w:rsidRPr="005459EB" w:rsidRDefault="00631C6E" w:rsidP="00F13727">
                      <w:pPr>
                        <w:numPr>
                          <w:ilvl w:val="0"/>
                          <w:numId w:val="51"/>
                        </w:numPr>
                        <w:spacing w:beforeAutospacing="1" w:after="0" w:afterAutospacing="1" w:line="240" w:lineRule="auto"/>
                        <w:jc w:val="left"/>
                        <w:rPr>
                          <w:rFonts w:cs="Arial"/>
                        </w:rPr>
                      </w:pPr>
                      <w:hyperlink r:id="rId50" w:history="1">
                        <w:r w:rsidR="003F00DC">
                          <w:rPr>
                            <w:rStyle w:val="Hyperlink"/>
                            <w:color w:val="034990" w:themeColor="hyperlink" w:themeShade="BF"/>
                          </w:rPr>
                          <w:t>Viešojo administravimo institucijų bendradarbiavimo mainai (PACE)</w:t>
                        </w:r>
                      </w:hyperlink>
                    </w:p>
                    <w:p w14:paraId="177FED69" w14:textId="77777777" w:rsidR="00F13727" w:rsidRPr="005459EB" w:rsidRDefault="00631C6E" w:rsidP="00F13727">
                      <w:pPr>
                        <w:numPr>
                          <w:ilvl w:val="0"/>
                          <w:numId w:val="51"/>
                        </w:numPr>
                        <w:spacing w:beforeAutospacing="1" w:after="0" w:afterAutospacing="1" w:line="240" w:lineRule="auto"/>
                        <w:jc w:val="left"/>
                        <w:rPr>
                          <w:rFonts w:cs="Arial"/>
                        </w:rPr>
                      </w:pPr>
                      <w:hyperlink r:id="rId51" w:history="1">
                        <w:r w:rsidR="003F00DC">
                          <w:rPr>
                            <w:rStyle w:val="Hyperlink"/>
                            <w:color w:val="034990" w:themeColor="hyperlink" w:themeShade="BF"/>
                          </w:rPr>
                          <w:t>Informacijos apie mokesčius, kuria keičiasi valstybės narės pagal Direktyvą dėl administracinio bendradarbiavimo (DAB), kokybės ir naudojimo gerinimas</w:t>
                        </w:r>
                      </w:hyperlink>
                    </w:p>
                    <w:p w14:paraId="21C38434" w14:textId="77777777" w:rsidR="00F13727" w:rsidRPr="005459EB" w:rsidRDefault="00631C6E" w:rsidP="00F13727">
                      <w:pPr>
                        <w:numPr>
                          <w:ilvl w:val="0"/>
                          <w:numId w:val="51"/>
                        </w:numPr>
                        <w:spacing w:beforeAutospacing="1" w:after="0" w:afterAutospacing="1" w:line="240" w:lineRule="auto"/>
                        <w:jc w:val="left"/>
                        <w:rPr>
                          <w:rFonts w:cs="Arial"/>
                        </w:rPr>
                      </w:pPr>
                      <w:hyperlink r:id="rId52" w:history="1">
                        <w:r w:rsidR="003F00DC">
                          <w:rPr>
                            <w:rStyle w:val="Hyperlink"/>
                            <w:color w:val="034990" w:themeColor="hyperlink" w:themeShade="BF"/>
                          </w:rPr>
                          <w:t>Viešųjų pirkimų personalo profesionalumo didinimas.</w:t>
                        </w:r>
                      </w:hyperlink>
                      <w:hyperlink r:id="rId53" w:history="1">
                        <w:r w:rsidR="003F00DC">
                          <w:rPr>
                            <w:rStyle w:val="Hyperlink"/>
                            <w:color w:val="034990" w:themeColor="hyperlink" w:themeShade="BF"/>
                          </w:rPr>
                          <w:t xml:space="preserve"> Strateginių metodikų taikymo, sąžiningumo ir skaidrumo skatinimas</w:t>
                        </w:r>
                      </w:hyperlink>
                    </w:p>
                    <w:p w14:paraId="6DEF6C22" w14:textId="0DD902A8" w:rsidR="00F13727" w:rsidRPr="005459EB" w:rsidRDefault="00631C6E" w:rsidP="00EC281E">
                      <w:pPr>
                        <w:numPr>
                          <w:ilvl w:val="0"/>
                          <w:numId w:val="51"/>
                        </w:numPr>
                        <w:shd w:val="clear" w:color="auto" w:fill="B4C6E7" w:themeFill="accent5" w:themeFillTint="66"/>
                        <w:spacing w:beforeAutospacing="1" w:after="0" w:afterAutospacing="1" w:line="240" w:lineRule="auto"/>
                        <w:jc w:val="left"/>
                        <w:rPr>
                          <w:rFonts w:cs="Times New Roman"/>
                        </w:rPr>
                      </w:pPr>
                      <w:hyperlink r:id="rId54" w:history="1">
                        <w:r w:rsidR="003F00DC">
                          <w:rPr>
                            <w:rStyle w:val="Hyperlink"/>
                            <w:color w:val="034990" w:themeColor="hyperlink" w:themeShade="BF"/>
                          </w:rPr>
                          <w:t>Regionų ir vietos viešojo administravimo institucijų skaitmeninė transformacija</w:t>
                        </w:r>
                      </w:hyperlink>
                    </w:p>
                  </w:txbxContent>
                </v:textbox>
                <w10:wrap type="square"/>
              </v:shape>
            </w:pict>
          </mc:Fallback>
        </mc:AlternateContent>
      </w:r>
    </w:p>
    <w:p w14:paraId="4C9266EA" w14:textId="48CA141A" w:rsidR="00E82967" w:rsidRPr="005459EB" w:rsidRDefault="00A31A2F" w:rsidP="00CB6475">
      <w:pPr>
        <w:pStyle w:val="Heading3"/>
      </w:pPr>
      <w:bookmarkStart w:id="12" w:name="_Toc179190862"/>
      <w:r>
        <w:t>2023 m. TPP paramos prašymai</w:t>
      </w:r>
      <w:bookmarkEnd w:id="12"/>
    </w:p>
    <w:p w14:paraId="5765DE76" w14:textId="3E9226D8" w:rsidR="00DA4926" w:rsidRPr="005459EB" w:rsidRDefault="000B7572" w:rsidP="00CB203D">
      <w:pPr>
        <w:rPr>
          <w:noProof/>
        </w:rPr>
      </w:pPr>
      <w:r>
        <w:rPr>
          <w:noProof/>
        </w:rPr>
        <w:t>Iki 2022 m. spalio 31 d.</w:t>
      </w:r>
      <w:r>
        <w:rPr>
          <w:rFonts w:ascii="Calibri" w:hAnsi="Calibri"/>
          <w:noProof/>
        </w:rPr>
        <w:t xml:space="preserve"> </w:t>
      </w:r>
      <w:r>
        <w:rPr>
          <w:b/>
          <w:noProof/>
        </w:rPr>
        <w:t>27</w:t>
      </w:r>
      <w:r>
        <w:rPr>
          <w:noProof/>
        </w:rPr>
        <w:t xml:space="preserve"> </w:t>
      </w:r>
      <w:r>
        <w:rPr>
          <w:b/>
          <w:noProof/>
        </w:rPr>
        <w:t>valstybės narės</w:t>
      </w:r>
      <w:r>
        <w:rPr>
          <w:noProof/>
        </w:rPr>
        <w:t xml:space="preserve">, atsiliepdamos į 2023 m. TPP bendrą kvietimą teikti prašymus, pateikė </w:t>
      </w:r>
      <w:r>
        <w:rPr>
          <w:b/>
          <w:noProof/>
        </w:rPr>
        <w:t>530 techninės paramos prašymų</w:t>
      </w:r>
      <w:r>
        <w:rPr>
          <w:noProof/>
        </w:rPr>
        <w:t>, kurių bendra suma siekė 256 mln. EUR, t. y. daugiau nei dvigubai daugiau nei skirtas finansavimas. Nors visi pateikti prašymai buvo pripažinti atitinkantys reikalavimus</w:t>
      </w:r>
      <w:r>
        <w:rPr>
          <w:rStyle w:val="FootnoteReference"/>
          <w:noProof/>
        </w:rPr>
        <w:footnoteReference w:id="6"/>
      </w:r>
      <w:r>
        <w:rPr>
          <w:noProof/>
        </w:rPr>
        <w:t>, vertinimo etapu prašymus pateikusios valstybės narės atsiėmė septynis prašymus.</w:t>
      </w:r>
      <w:r>
        <w:rPr>
          <w:noProof/>
          <w:color w:val="FF0000"/>
          <w14:textFill>
            <w14:solidFill>
              <w14:srgbClr w14:val="FF0000">
                <w14:lumMod w14:val="75000"/>
              </w14:srgbClr>
            </w14:solidFill>
          </w14:textFill>
        </w:rPr>
        <w:t xml:space="preserve"> </w:t>
      </w:r>
      <w:r>
        <w:rPr>
          <w:noProof/>
        </w:rPr>
        <w:t>Todėl atrankos etapu buvo įvertinti 523 prašymai.</w:t>
      </w:r>
    </w:p>
    <w:p w14:paraId="172DCA43" w14:textId="77777777" w:rsidR="00896D49" w:rsidRDefault="00896D49" w:rsidP="00896D49">
      <w:pPr>
        <w:rPr>
          <w:noProof/>
        </w:rPr>
      </w:pPr>
      <w:r>
        <w:rPr>
          <w:noProof/>
        </w:rPr>
        <w:t>REFORM GD, taikydamas aiškiai apibrėžtą sprendimų priėmimo procesą (žr. 1 priedą), užtikrina, kad projektai būtų atrenkami remiantis TPP reglamento 9 straipsnio 5 dalyje nustatytais vertinimo kriterijais. Prašymai analizuojami atsižvelgiant į nustatytų uždavinių neatidėliotinumą, mastą ir sudėtingumą, paramos poreikį atitinkamose politikos srityse, taip pat atliekant socialinių ir ekonominių rodiklių bei atitinkamų valstybių narių institucinių ir bendrųjų administracinių gebėjimų analizę. Atlikdamas atitikties reikalavimams patikrą, REFORM GD taip pat užtikrina, kad veiksmai atitiktų reikalavimus pagal TPP reglamento 8 straipsnį.</w:t>
      </w:r>
    </w:p>
    <w:p w14:paraId="772EFD3D" w14:textId="52B52C8D" w:rsidR="00896D49" w:rsidRPr="005459EB" w:rsidRDefault="00896D49" w:rsidP="00896D49">
      <w:pPr>
        <w:rPr>
          <w:noProof/>
        </w:rPr>
      </w:pPr>
      <w:r>
        <w:rPr>
          <w:noProof/>
        </w:rPr>
        <w:t>Kilus neatidėliotiniems poreikiams, Komisija gali remti valstybes nares</w:t>
      </w:r>
      <w:r>
        <w:rPr>
          <w:rFonts w:ascii="Calibri" w:hAnsi="Calibri"/>
          <w:noProof/>
        </w:rPr>
        <w:t xml:space="preserve"> </w:t>
      </w:r>
      <w:r>
        <w:rPr>
          <w:b/>
          <w:noProof/>
        </w:rPr>
        <w:t>specialiomis priemonėmis</w:t>
      </w:r>
      <w:r>
        <w:rPr>
          <w:noProof/>
        </w:rPr>
        <w:t xml:space="preserve">. Iš tiesų, pagal TPP reglamento 12 straipsnio 7 dalį, REFORM GD, atsižvelgdamas į TPP reglamente nustatytus tikslus ir veiksmus, taip pat gali imtis specialių priemonių, kad suteiktų nacionalinėms valdžios institucijoms techninę paramą neatidėliotiniems poreikiams patenkinti. Tokios specialios priemonės yra </w:t>
      </w:r>
      <w:r>
        <w:rPr>
          <w:i/>
          <w:noProof/>
        </w:rPr>
        <w:t>laikino pobūdžio</w:t>
      </w:r>
      <w:r>
        <w:rPr>
          <w:noProof/>
        </w:rPr>
        <w:t xml:space="preserve"> ir taikomos esant konkrečioms 9 straipsnio 3 dalyje nustatytoms aplinkybėms (</w:t>
      </w:r>
      <w:r>
        <w:rPr>
          <w:i/>
          <w:noProof/>
        </w:rPr>
        <w:t>inter alia</w:t>
      </w:r>
      <w:r>
        <w:rPr>
          <w:noProof/>
        </w:rPr>
        <w:t>, rengiant arba įgyvendinant ekonomikos gaivinimo ir atsparumo didinimo planus pagal ekonomikos gaivinimo ir atsparumo didinimo priemonę, vykdant su ekonomikos valdymo procesu susijusias reformas, kaip antai konkrečiai šaliai skirtas rekomendacijas, įgyvendinant ekonominio koregavimo programas). 2023 m. REFORM GD nesiėmė jokių specialių priemonių.</w:t>
      </w:r>
    </w:p>
    <w:p w14:paraId="1FCE721F" w14:textId="592BFBAE" w:rsidR="00FA3B46" w:rsidRPr="005459EB" w:rsidRDefault="00FA3B46" w:rsidP="00CB203D">
      <w:pPr>
        <w:rPr>
          <w:noProof/>
        </w:rPr>
      </w:pPr>
      <w:r>
        <w:rPr>
          <w:noProof/>
        </w:rPr>
        <w:t>REFORM GD konsultavosi su kitais Komisijos departamentais / generaliniais direktoratais, siekdamas užtikrinti, kad 2023 m. pagal TPP teikiama techninė parama būtų suderinta su ES politikos kryptimis, nesidubliuotų su kitais ES veiksmais ir finansavimu, papildytų kitas ES programas ir jomis remtųsi.</w:t>
      </w:r>
    </w:p>
    <w:p w14:paraId="7FDEBFDA" w14:textId="07633528" w:rsidR="00D9652E" w:rsidRPr="005459EB" w:rsidRDefault="00D9652E" w:rsidP="00D9652E">
      <w:pPr>
        <w:rPr>
          <w:noProof/>
        </w:rPr>
      </w:pPr>
      <w:r>
        <w:rPr>
          <w:noProof/>
        </w:rPr>
        <w:t>Plačiau kalbant, pateiktuose prašymuose buvo prašoma paremti įvairiomis aplinkybėmis nustatytas reformas, įskaitant pačių valstybių narių reformų prioritetus, taip pat reformas, skirtas vykdant ES ekonomikos valdymo procesą nustatytiems uždaviniams spręsti, ir reformas, susijusias su ES prioritetų įgyvendinimu.</w:t>
      </w:r>
    </w:p>
    <w:p w14:paraId="379A45E3" w14:textId="612F77B8" w:rsidR="00D9652E" w:rsidRPr="005459EB" w:rsidRDefault="008C5F75" w:rsidP="008F1908">
      <w:pPr>
        <w:spacing w:after="120"/>
        <w:rPr>
          <w:rFonts w:ascii="Times New Roman" w:hAnsi="Times New Roman" w:cs="Times New Roman"/>
          <w:noProof/>
        </w:rPr>
      </w:pPr>
      <w:r w:rsidRPr="008C5F75">
        <w:rPr>
          <w:noProof/>
          <w:lang w:val="en-GB" w:eastAsia="en-GB"/>
        </w:rPr>
        <w:drawing>
          <wp:inline distT="0" distB="0" distL="0" distR="0" wp14:anchorId="60A41234" wp14:editId="19456713">
            <wp:extent cx="5731510" cy="2783840"/>
            <wp:effectExtent l="0" t="0" r="2540" b="0"/>
            <wp:docPr id="473089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inline>
        </w:drawing>
      </w:r>
    </w:p>
    <w:p w14:paraId="3477D7A1" w14:textId="0E996170" w:rsidR="00D9652E" w:rsidRPr="005459EB" w:rsidRDefault="00D9652E" w:rsidP="008F1908">
      <w:pPr>
        <w:pStyle w:val="Caption"/>
        <w:spacing w:after="240"/>
        <w:rPr>
          <w:rFonts w:ascii="Times New Roman" w:hAnsi="Times New Roman" w:cs="Times New Roman"/>
          <w:noProof/>
        </w:rPr>
      </w:pPr>
      <w:r>
        <w:rPr>
          <w:noProof/>
        </w:rPr>
        <w:t xml:space="preserve">3 diagrama.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TPP 2023 m. valstybių narių prašymų aplinkybės</w:t>
      </w:r>
    </w:p>
    <w:p w14:paraId="0229B4EF" w14:textId="752144EC" w:rsidR="000345D3" w:rsidRPr="005459EB" w:rsidRDefault="00D9652E" w:rsidP="00CB203D">
      <w:pPr>
        <w:rPr>
          <w:noProof/>
        </w:rPr>
      </w:pPr>
      <w:r>
        <w:rPr>
          <w:noProof/>
        </w:rPr>
        <w:t xml:space="preserve">Po 1 priede aprašyto vertinimo ir atrankos proceso </w:t>
      </w:r>
      <w:r>
        <w:rPr>
          <w:b/>
          <w:noProof/>
        </w:rPr>
        <w:t>pagal 2023 m. TPP</w:t>
      </w:r>
      <w:r>
        <w:rPr>
          <w:noProof/>
        </w:rPr>
        <w:t xml:space="preserve"> bendrą kvietimą teikti prašymus </w:t>
      </w:r>
      <w:r>
        <w:rPr>
          <w:b/>
          <w:noProof/>
        </w:rPr>
        <w:t>buvo atrinktas 231 prašymas (bendra vertė 119,7 mln. EUR)</w:t>
      </w:r>
      <w:r>
        <w:rPr>
          <w:noProof/>
        </w:rPr>
        <w:t>. Šie prašymai buvo susiję su šiais pagrindiniais ES prioritetais</w:t>
      </w:r>
      <w:r>
        <w:rPr>
          <w:rStyle w:val="FootnoteReference"/>
          <w:rFonts w:ascii="Times New Roman" w:hAnsi="Times New Roman" w:cs="Times New Roman"/>
          <w:noProof/>
        </w:rPr>
        <w:footnoteReference w:id="7"/>
      </w:r>
      <w:r>
        <w:rPr>
          <w:noProof/>
        </w:rPr>
        <w:t>:</w:t>
      </w:r>
    </w:p>
    <w:p w14:paraId="150EE7DA" w14:textId="7057EC7F" w:rsidR="000345D3" w:rsidRPr="005459EB" w:rsidRDefault="00FD65B3" w:rsidP="00CB6475">
      <w:pPr>
        <w:pStyle w:val="ListParagraph"/>
        <w:numPr>
          <w:ilvl w:val="0"/>
          <w:numId w:val="54"/>
        </w:numPr>
        <w:rPr>
          <w:noProof/>
        </w:rPr>
      </w:pPr>
      <w:r>
        <w:rPr>
          <w:noProof/>
        </w:rPr>
        <w:t>90 prašymų buvo susiję su nacionalinių ekonomikos gaivinimo ir atsparumo didinimo planų įgyvendinimu;</w:t>
      </w:r>
    </w:p>
    <w:p w14:paraId="77E1646B" w14:textId="7D287E22" w:rsidR="000345D3" w:rsidRPr="005459EB" w:rsidRDefault="00D6746E" w:rsidP="00CB6475">
      <w:pPr>
        <w:pStyle w:val="ListParagraph"/>
        <w:numPr>
          <w:ilvl w:val="0"/>
          <w:numId w:val="54"/>
        </w:numPr>
        <w:rPr>
          <w:noProof/>
        </w:rPr>
      </w:pPr>
      <w:r>
        <w:rPr>
          <w:noProof/>
        </w:rPr>
        <w:t>69 prašymai buvo susiję su skaitmenine pertvarka;</w:t>
      </w:r>
    </w:p>
    <w:p w14:paraId="1CD665FE" w14:textId="5BFEE1E0" w:rsidR="000345D3" w:rsidRPr="005459EB" w:rsidRDefault="00B00B2E" w:rsidP="00CB6475">
      <w:pPr>
        <w:pStyle w:val="ListParagraph"/>
        <w:numPr>
          <w:ilvl w:val="0"/>
          <w:numId w:val="54"/>
        </w:numPr>
        <w:rPr>
          <w:noProof/>
        </w:rPr>
      </w:pPr>
      <w:r>
        <w:rPr>
          <w:noProof/>
        </w:rPr>
        <w:t>83 prašymai buvo susiję su Europos žaliuoju kursu;</w:t>
      </w:r>
    </w:p>
    <w:p w14:paraId="68138455" w14:textId="5CFF212B" w:rsidR="000345D3" w:rsidRPr="005459EB" w:rsidRDefault="00B00B2E" w:rsidP="00CB6475">
      <w:pPr>
        <w:pStyle w:val="ListParagraph"/>
        <w:numPr>
          <w:ilvl w:val="0"/>
          <w:numId w:val="54"/>
        </w:numPr>
        <w:rPr>
          <w:noProof/>
        </w:rPr>
      </w:pPr>
      <w:r>
        <w:rPr>
          <w:noProof/>
        </w:rPr>
        <w:t>34 prašymai buvo susiję su lygybe: parama moterims, asmenims su negalia, romų bendruomenei, migrantams, vyresnio amžiaus asmenims ir LGBTIQ+ bendruomenei.</w:t>
      </w:r>
    </w:p>
    <w:p w14:paraId="6812D6A0" w14:textId="4E40F968" w:rsidR="00A34126" w:rsidRPr="005459EB" w:rsidRDefault="00A34126" w:rsidP="00C22B0D">
      <w:pPr>
        <w:spacing w:after="240"/>
        <w:rPr>
          <w:noProof/>
        </w:rPr>
      </w:pPr>
      <w:r>
        <w:rPr>
          <w:noProof/>
        </w:rPr>
        <w:t>2023 m. TPP parama buvo skirta priemonėms visose valstybėse narėse.</w:t>
      </w:r>
    </w:p>
    <w:p w14:paraId="6EB9EE27" w14:textId="473FB0DC" w:rsidR="00AC110A" w:rsidRPr="005459EB" w:rsidRDefault="003A77A9" w:rsidP="00CB6475">
      <w:pPr>
        <w:pStyle w:val="Heading3"/>
      </w:pPr>
      <w:bookmarkStart w:id="13" w:name="_Toc179190863"/>
      <w:r>
        <w:t>2023 m. TPP projektai</w:t>
      </w:r>
      <w:bookmarkEnd w:id="13"/>
    </w:p>
    <w:p w14:paraId="1A652C39" w14:textId="03BE95B0" w:rsidR="007F16CF" w:rsidRPr="005459EB" w:rsidRDefault="0026587E" w:rsidP="007F16CF">
      <w:pPr>
        <w:rPr>
          <w:rFonts w:eastAsia="Times New Roman" w:cs="Times New Roman"/>
          <w:noProof/>
        </w:rPr>
      </w:pPr>
      <w:r>
        <w:rPr>
          <w:noProof/>
        </w:rPr>
        <w:t xml:space="preserve">2023 m. kovo 21 d. </w:t>
      </w:r>
      <w:hyperlink r:id="rId56" w:history="1">
        <w:r>
          <w:rPr>
            <w:rStyle w:val="Hyperlink"/>
            <w:noProof/>
            <w:color w:val="034990" w:themeColor="hyperlink" w:themeShade="BF"/>
            <w14:textFill>
              <w14:solidFill>
                <w14:schemeClr w14:val="hlink">
                  <w14:lumMod w14:val="75000"/>
                  <w14:lumMod w14:val="75000"/>
                </w14:schemeClr>
              </w14:solidFill>
            </w14:textFill>
          </w:rPr>
          <w:t>priėmus finansavimo sprendimą ir metinę darbo programą</w:t>
        </w:r>
      </w:hyperlink>
      <w:r>
        <w:rPr>
          <w:noProof/>
        </w:rPr>
        <w:t>, kurioje nustatytos 2023 m. TPP įgyvendinti reikalingos priemonės</w:t>
      </w:r>
      <w:r>
        <w:rPr>
          <w:rStyle w:val="FootnoteReference"/>
          <w:rFonts w:ascii="Times New Roman" w:hAnsi="Times New Roman" w:cs="Times New Roman"/>
          <w:noProof/>
        </w:rPr>
        <w:footnoteReference w:id="8"/>
      </w:r>
      <w:r>
        <w:rPr>
          <w:noProof/>
        </w:rPr>
        <w:t xml:space="preserve">, </w:t>
      </w:r>
      <w:r>
        <w:rPr>
          <w:b/>
          <w:noProof/>
        </w:rPr>
        <w:t>231 atrinktas prašymas buvo optimizuotas į 151 projektą</w:t>
      </w:r>
      <w:r>
        <w:rPr>
          <w:noProof/>
        </w:rPr>
        <w:t xml:space="preserve">, nes keletu atveju keli prašymai buvo sujungiami į vieną projektą siekiant pasinaudoti masto ekonomijos privalumais, skatinti sinergiją ir sudaryti palankesnes sąlygas tarpusavio mokymuisi. Įgyvendinant 151 projektą </w:t>
      </w:r>
      <w:r>
        <w:rPr>
          <w:b/>
          <w:noProof/>
        </w:rPr>
        <w:t>27 valstybėms narėms</w:t>
      </w:r>
      <w:r>
        <w:rPr>
          <w:noProof/>
        </w:rPr>
        <w:t xml:space="preserve"> buvo suteikta parama rengiant, kuriant ir įgyvendinant </w:t>
      </w:r>
      <w:r>
        <w:rPr>
          <w:b/>
          <w:noProof/>
        </w:rPr>
        <w:t>326 pažangiausias reformas</w:t>
      </w:r>
      <w:r>
        <w:rPr>
          <w:rStyle w:val="FootnoteReference"/>
          <w:bCs/>
          <w:noProof/>
        </w:rPr>
        <w:footnoteReference w:id="9"/>
      </w:r>
      <w:r>
        <w:rPr>
          <w:noProof/>
        </w:rPr>
        <w:t>.</w:t>
      </w:r>
    </w:p>
    <w:p w14:paraId="311CFB67" w14:textId="29D38BB9" w:rsidR="006B3FBA" w:rsidRPr="005459EB" w:rsidRDefault="00624073" w:rsidP="008F1908">
      <w:pPr>
        <w:spacing w:after="0"/>
        <w:jc w:val="center"/>
        <w:rPr>
          <w:b/>
          <w:bCs/>
          <w:noProof/>
        </w:rPr>
      </w:pPr>
      <w:r>
        <w:rPr>
          <w:b/>
          <w:noProof/>
          <w:lang w:val="en-GB" w:eastAsia="en-GB"/>
        </w:rPr>
        <w:drawing>
          <wp:inline distT="0" distB="0" distL="0" distR="0" wp14:anchorId="33A40EFA" wp14:editId="1D46C18E">
            <wp:extent cx="5730819" cy="4882551"/>
            <wp:effectExtent l="19050" t="19050" r="22860" b="13335"/>
            <wp:docPr id="6" name="Picture 6" descr="Europos žemėlapis su skirtingomis spalvomis pažymėtomis šalimis / regiona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europe with different colored countries/regions&#10;&#10;Description automatically generated"/>
                    <pic:cNvPicPr/>
                  </pic:nvPicPr>
                  <pic:blipFill rotWithShape="1">
                    <a:blip r:embed="rId57" cstate="print">
                      <a:extLst>
                        <a:ext uri="{28A0092B-C50C-407E-A947-70E740481C1C}">
                          <a14:useLocalDpi xmlns:a14="http://schemas.microsoft.com/office/drawing/2010/main" val="0"/>
                        </a:ext>
                      </a:extLst>
                    </a:blip>
                    <a:srcRect t="9783" b="5019"/>
                    <a:stretch/>
                  </pic:blipFill>
                  <pic:spPr bwMode="auto">
                    <a:xfrm>
                      <a:off x="0" y="0"/>
                      <a:ext cx="5730819" cy="48825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A73592" w14:textId="7D735B00" w:rsidR="006B3FBA" w:rsidRPr="005459EB" w:rsidRDefault="006B3FBA" w:rsidP="008F1908">
      <w:pPr>
        <w:pStyle w:val="Caption"/>
        <w:spacing w:after="240"/>
        <w:rPr>
          <w:bCs/>
          <w:noProof/>
        </w:rPr>
      </w:pPr>
      <w:r>
        <w:rPr>
          <w:noProof/>
        </w:rPr>
        <w:t>4 diagrama. 2023 m. pagal TPP remiamų reformų skaičius kiekvienoje valstybėje narėje</w:t>
      </w:r>
    </w:p>
    <w:p w14:paraId="25CDFC3E" w14:textId="2AF0B919" w:rsidR="0044477C" w:rsidRPr="005459EB" w:rsidRDefault="00EC601E" w:rsidP="0044477C">
      <w:pPr>
        <w:rPr>
          <w:b/>
          <w:bCs/>
          <w:noProof/>
        </w:rPr>
      </w:pPr>
      <w:r>
        <w:rPr>
          <w:noProof/>
        </w:rPr>
        <w:t xml:space="preserve">2023 m. valstybių narių suinteresuotumas dalyvauti daugiašaliuose projektuose toliau didėjo, todėl daugiašalių projektų skaičius nuo dviejų per 2021 m. TPP ciklą išaugo iki 21 per 2022 m. TPP ciklą ir </w:t>
      </w:r>
      <w:r>
        <w:rPr>
          <w:b/>
          <w:noProof/>
        </w:rPr>
        <w:t>34 daugiašalių projektų per 2023 m. TPP ciklą</w:t>
      </w:r>
      <w:r>
        <w:rPr>
          <w:noProof/>
        </w:rPr>
        <w:t xml:space="preserve">. Valstybės narės savo susidomėjimą stiprinti bendradarbiavimą regionų lygmeniu taip pat pademonstravo dalyvaudamos </w:t>
      </w:r>
      <w:r>
        <w:rPr>
          <w:b/>
          <w:noProof/>
        </w:rPr>
        <w:t>dešimtyje daugiaregioninių projektų</w:t>
      </w:r>
      <w:r>
        <w:rPr>
          <w:noProof/>
        </w:rPr>
        <w:t>.</w:t>
      </w:r>
    </w:p>
    <w:p w14:paraId="4DB6D961" w14:textId="64B8E9F5" w:rsidR="00DB3904" w:rsidRPr="005459EB" w:rsidRDefault="00BE0D5D" w:rsidP="00DB3904">
      <w:pPr>
        <w:rPr>
          <w:noProof/>
        </w:rPr>
      </w:pPr>
      <w:r>
        <w:rPr>
          <w:noProof/>
        </w:rPr>
        <w:t>„</w:t>
      </w:r>
      <w:r>
        <w:rPr>
          <w:b/>
          <w:noProof/>
        </w:rPr>
        <w:t>Viešojo administravimo institucijų bendradarbiavimo mainai</w:t>
      </w:r>
      <w:r>
        <w:rPr>
          <w:noProof/>
        </w:rPr>
        <w:t xml:space="preserve"> (PACE)“ – pavyzdinis daugiašalis projektas, kuriuo siekta skatinti valstybių narių bendradarbiavimą ir tarpvalstybinius mainus, kad būtų stiprinami administraciniai gebėjimai ir rengiama nauja Europos Sąjungos politikos formuotojų karta, – sulaukė didelio susidomėjimo ir jo tikslas buvo įgyvendinti </w:t>
      </w:r>
      <w:r>
        <w:rPr>
          <w:b/>
          <w:noProof/>
        </w:rPr>
        <w:t>70 mainų 17-oje valstybių narių, kuriuose dalyvautų daugiau kaip 300 dalyvių</w:t>
      </w:r>
      <w:r>
        <w:rPr>
          <w:noProof/>
        </w:rPr>
        <w:t>.</w:t>
      </w:r>
    </w:p>
    <w:p w14:paraId="6A52A4E5" w14:textId="77777777" w:rsidR="0044477C" w:rsidRPr="005459EB" w:rsidRDefault="0044477C" w:rsidP="0044477C">
      <w:pPr>
        <w:spacing w:after="0" w:line="240" w:lineRule="auto"/>
        <w:rPr>
          <w:rFonts w:ascii="Times New Roman" w:hAnsi="Times New Roman" w:cs="Times New Roman"/>
          <w:noProof/>
        </w:rPr>
      </w:pPr>
    </w:p>
    <w:p w14:paraId="7F8CE53E" w14:textId="7D87AFF5" w:rsidR="0044477C" w:rsidRPr="005459EB" w:rsidRDefault="00E27A6B" w:rsidP="0044477C">
      <w:pPr>
        <w:spacing w:after="0" w:line="240" w:lineRule="auto"/>
        <w:jc w:val="center"/>
        <w:rPr>
          <w:rFonts w:ascii="Times New Roman" w:hAnsi="Times New Roman" w:cs="Times New Roman"/>
          <w:noProof/>
          <w:color w:val="5B9BD5" w:themeColor="accent1"/>
          <w14:textFill>
            <w14:solidFill>
              <w14:schemeClr w14:val="accent1">
                <w14:lumMod w14:val="75000"/>
                <w14:lumMod w14:val="75000"/>
                <w14:lumMod w14:val="75000"/>
              </w14:schemeClr>
            </w14:solidFill>
          </w14:textFill>
        </w:rPr>
      </w:pPr>
      <w:r w:rsidRPr="00E27A6B">
        <w:rPr>
          <w:noProof/>
          <w:lang w:val="en-GB" w:eastAsia="en-GB"/>
        </w:rPr>
        <w:drawing>
          <wp:inline distT="0" distB="0" distL="0" distR="0" wp14:anchorId="4D2EC4FC" wp14:editId="1FC7D625">
            <wp:extent cx="4514850" cy="2654588"/>
            <wp:effectExtent l="0" t="0" r="0" b="0"/>
            <wp:docPr id="467221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40727" cy="2669803"/>
                    </a:xfrm>
                    <a:prstGeom prst="rect">
                      <a:avLst/>
                    </a:prstGeom>
                    <a:noFill/>
                    <a:ln>
                      <a:noFill/>
                    </a:ln>
                  </pic:spPr>
                </pic:pic>
              </a:graphicData>
            </a:graphic>
          </wp:inline>
        </w:drawing>
      </w:r>
    </w:p>
    <w:p w14:paraId="439E6665" w14:textId="1166A818" w:rsidR="0044477C" w:rsidRPr="005459EB" w:rsidRDefault="00731391" w:rsidP="008F1908">
      <w:pPr>
        <w:pStyle w:val="Caption"/>
        <w:spacing w:after="240"/>
        <w:rPr>
          <w:noProof/>
        </w:rPr>
      </w:pPr>
      <w:r>
        <w:rPr>
          <w:noProof/>
        </w:rPr>
        <w:t>5 diagrama. 2021–2023 m. TPP. Daugiašalių projektų skaičiaus pokytis</w:t>
      </w:r>
    </w:p>
    <w:p w14:paraId="2EB7EAA1" w14:textId="472303F0" w:rsidR="00F2701B" w:rsidRDefault="0044477C" w:rsidP="00C22B0D">
      <w:pPr>
        <w:spacing w:after="240"/>
        <w:rPr>
          <w:noProof/>
        </w:rPr>
      </w:pPr>
      <w:r>
        <w:rPr>
          <w:noProof/>
        </w:rPr>
        <w:t xml:space="preserve">Tarp 2023 m. TPP projektų įgyvendinti du daugiašaliai projektai, kuriais buvo remiamos valstybių narių pramonės ekosistemos (EL, ES, FI, PT ir SE) ir padedama joms sparčiau išduoti leidimus gaminti atsinaujinančiųjų išteklių energiją (LT ir NL). Abiem šiais projektais prisidėta prie ES ekonomikos </w:t>
      </w:r>
      <w:r>
        <w:rPr>
          <w:b/>
          <w:noProof/>
        </w:rPr>
        <w:t>konkurencingumo skatinimo</w:t>
      </w:r>
      <w:r>
        <w:rPr>
          <w:noProof/>
        </w:rPr>
        <w:t>. Tarp jų taip pat įgyvendintas daugiašalis projektas „Piliečių pasitenkinimo pagrindinėmis valdžios sektoriaus paslaugomis vertinimas siekiant geresnių veiklos rezultatų ir didesnio pasitikėjimo“ (AT, BE, EE, EL, ES, FI, HR, IE, LT, LV ir SI) ir projektas „ASV rizikos valdymo finansų sektoriuje sistema“ (BG, CY, EL, FI, FR, HR, IE, IT, LV, RO ir SI), kuriuo siekta stiprinti finansų priežiūros institucijų gebėjimus reaguoti į iššūkius, susijusius su aplinkos, socialine ir valdymo (ASV) rizika, taip pat projektas „Informacijos apie mokesčius, kuria keičiasi valstybės narės pagal Direktyvą dėl administracinio bendradarbiavimo (DAB), kokybės ir naudojimo gerinimas“ Kroatijoje ir Airijoje.</w:t>
      </w:r>
    </w:p>
    <w:p w14:paraId="00B5F53A" w14:textId="1C05E617" w:rsidR="00F2701B" w:rsidRPr="005E57EA" w:rsidRDefault="00D554D7" w:rsidP="008F1908">
      <w:pPr>
        <w:spacing w:after="0"/>
        <w:jc w:val="center"/>
        <w:rPr>
          <w:noProof/>
          <w:highlight w:val="yellow"/>
        </w:rPr>
      </w:pPr>
      <w:r w:rsidRPr="00D554D7">
        <w:rPr>
          <w:noProof/>
          <w:highlight w:val="yellow"/>
          <w:lang w:val="en-GB" w:eastAsia="en-GB"/>
        </w:rPr>
        <w:drawing>
          <wp:inline distT="0" distB="0" distL="0" distR="0" wp14:anchorId="71DAD4E3" wp14:editId="2D33D10F">
            <wp:extent cx="4838700" cy="2653221"/>
            <wp:effectExtent l="0" t="0" r="0" b="0"/>
            <wp:docPr id="665780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51228" cy="2660090"/>
                    </a:xfrm>
                    <a:prstGeom prst="rect">
                      <a:avLst/>
                    </a:prstGeom>
                    <a:noFill/>
                    <a:ln>
                      <a:noFill/>
                    </a:ln>
                  </pic:spPr>
                </pic:pic>
              </a:graphicData>
            </a:graphic>
          </wp:inline>
        </w:drawing>
      </w:r>
    </w:p>
    <w:p w14:paraId="47FE4453" w14:textId="2113EBBE" w:rsidR="00F2701B" w:rsidRPr="00DF7FB0" w:rsidRDefault="00F95E79" w:rsidP="008F1908">
      <w:pPr>
        <w:pStyle w:val="Caption"/>
        <w:spacing w:after="240"/>
        <w:rPr>
          <w:noProof/>
        </w:rPr>
      </w:pPr>
      <w:r>
        <w:rPr>
          <w:noProof/>
        </w:rPr>
        <w:t>6 diagrama. 2021–2023 m. TPP. Regioninio ir (arba) vietos lygmens projektų skaičiaus raida</w:t>
      </w:r>
    </w:p>
    <w:p w14:paraId="7C0C71B8" w14:textId="4426995F" w:rsidR="00456256" w:rsidRPr="00456256" w:rsidRDefault="7C8EEB58">
      <w:pPr>
        <w:rPr>
          <w:noProof/>
        </w:rPr>
      </w:pPr>
      <w:r>
        <w:rPr>
          <w:noProof/>
        </w:rPr>
        <w:t xml:space="preserve">Ilgainiui vis daugiau TPP projektų padėjo valstybėms narėms vykdyti reformas regionų ir vietos lygmeniu pagal ES prioritetus. Pavyzdžiui, 2023 m. pagal TPP buvo remiama 10 regionų 5 valstybėse narėse </w:t>
      </w:r>
      <w:hyperlink r:id="rId60" w:history="1">
        <w:r>
          <w:rPr>
            <w:rStyle w:val="Hyperlink"/>
            <w:noProof/>
            <w:color w:val="034990"/>
            <w14:textFill>
              <w14:solidFill>
                <w14:srgbClr w14:val="034990">
                  <w14:lumMod w14:val="75000"/>
                </w14:srgbClr>
              </w14:solidFill>
            </w14:textFill>
          </w:rPr>
          <w:t>stiprinant ES kasybos regionines ekosistemas, kad būtų remiama žalioji pertvarka ir užtikrintas mineralinių žaliavų tiekimas</w:t>
        </w:r>
      </w:hyperlink>
      <w:r>
        <w:rPr>
          <w:noProof/>
        </w:rPr>
        <w:t>.</w:t>
      </w:r>
    </w:p>
    <w:p w14:paraId="4671A6E0" w14:textId="29B1D1A5" w:rsidR="00A12995" w:rsidRPr="005459EB" w:rsidRDefault="00A12995" w:rsidP="00A12995">
      <w:pPr>
        <w:pStyle w:val="Heading3"/>
      </w:pPr>
      <w:bookmarkStart w:id="14" w:name="_Toc179190864"/>
      <w:r>
        <w:t>Pavyzdiniai projektai</w:t>
      </w:r>
      <w:bookmarkEnd w:id="14"/>
    </w:p>
    <w:p w14:paraId="111BC32F" w14:textId="1F9C87A6" w:rsidR="00A12995" w:rsidRPr="005459EB" w:rsidRDefault="00A12995" w:rsidP="00A12995">
      <w:pPr>
        <w:rPr>
          <w:noProof/>
        </w:rPr>
      </w:pPr>
      <w:r>
        <w:rPr>
          <w:noProof/>
        </w:rPr>
        <w:t xml:space="preserve">Be to, 2023 m. įgyvendinant TPP </w:t>
      </w:r>
      <w:r>
        <w:rPr>
          <w:b/>
          <w:noProof/>
        </w:rPr>
        <w:t>išaugo pavyzdinių projektų plėtojimas</w:t>
      </w:r>
      <w:r>
        <w:rPr>
          <w:noProof/>
        </w:rPr>
        <w:t>, palyginti su 2022 m. TPP ciklu, kai ši koncepcija buvo pristatyta pirmą kartą. 50 iš 151 2023 m. TPP projekto buvo susiję su pavyzdiniais projektais, be kita ko, žaliosios ir skaitmeninės pertvarkos, energetikos, viešojo administravimo, viešųjų finansų, migrantų integracijos ir sveikatos priežiūros srityse.</w:t>
      </w:r>
    </w:p>
    <w:p w14:paraId="711B9373" w14:textId="5DC84060" w:rsidR="00A12995" w:rsidRPr="005459EB" w:rsidRDefault="00A12995" w:rsidP="00C22B0D">
      <w:pPr>
        <w:spacing w:after="240"/>
        <w:rPr>
          <w:noProof/>
        </w:rPr>
      </w:pPr>
      <w:r>
        <w:rPr>
          <w:noProof/>
        </w:rPr>
        <w:t xml:space="preserve">Pagal 2023 m. TPP kvietimą teikti prašymus aštuonioms naujoms paramą gaunančioms valstybių narių institucijoms taip pat suteikta galimybė prisijungti prie projekto </w:t>
      </w:r>
      <w:hyperlink r:id="rId61" w:history="1">
        <w:r>
          <w:rPr>
            <w:rStyle w:val="Hyperlink"/>
            <w:noProof/>
            <w:color w:val="034990" w:themeColor="hyperlink" w:themeShade="BF"/>
          </w:rPr>
          <w:t>„ES skaitmeninių finansų priežiūros akademijos“</w:t>
        </w:r>
      </w:hyperlink>
      <w:r>
        <w:rPr>
          <w:noProof/>
        </w:rPr>
        <w:t>, iš pradžių skirto 2022 m. TPP ciklui, taigi iš viso į šio projekto veiklą yra įsitraukusios 32 institucijos iš 25 valstybių narių.</w:t>
      </w:r>
    </w:p>
    <w:p w14:paraId="094212B5" w14:textId="77777777" w:rsidR="00C73EE1" w:rsidRPr="005459EB" w:rsidRDefault="00C73EE1" w:rsidP="00C73EE1">
      <w:pPr>
        <w:pStyle w:val="Heading3"/>
      </w:pPr>
      <w:bookmarkStart w:id="15" w:name="_Toc179190865"/>
      <w:r>
        <w:t>Parama rengiant ekonomikos gaivinimo ir atsparumo didinimo planus</w:t>
      </w:r>
      <w:bookmarkEnd w:id="15"/>
    </w:p>
    <w:p w14:paraId="46D45643" w14:textId="56AB9D53" w:rsidR="00C73EE1" w:rsidRPr="005459EB" w:rsidRDefault="00C73EE1" w:rsidP="00C73EE1">
      <w:pPr>
        <w:rPr>
          <w:noProof/>
        </w:rPr>
      </w:pPr>
      <w:r>
        <w:rPr>
          <w:b/>
          <w:noProof/>
        </w:rPr>
        <w:t>Pagal TPP buvo remiamas į ekonomikos gaivinimo ir atsparumo didinimo planus įtrauktų reformų ir investicijų įgyvendinimas</w:t>
      </w:r>
      <w:r>
        <w:rPr>
          <w:noProof/>
        </w:rPr>
        <w:t xml:space="preserve"> valdymo ir viešojo administravimo, skaitmenizacijos, tvaraus ekonomikos augimo ir verslo aplinkos, darbo rinkos, sveikatos priežiūros, švietimo, socialinių paslaugų, pajamų administravimo ir viešųjų finansų valdymo, taip pat finansų sektoriaus </w:t>
      </w:r>
      <w:r>
        <w:rPr>
          <w:b/>
          <w:noProof/>
        </w:rPr>
        <w:t>politikos srityse</w:t>
      </w:r>
      <w:r>
        <w:rPr>
          <w:noProof/>
        </w:rPr>
        <w:t>.</w:t>
      </w:r>
    </w:p>
    <w:p w14:paraId="5AFE1E22" w14:textId="56DE029F" w:rsidR="00C73EE1" w:rsidRPr="005459EB" w:rsidRDefault="00C73EE1" w:rsidP="00C22B0D">
      <w:pPr>
        <w:spacing w:after="240"/>
        <w:rPr>
          <w:noProof/>
        </w:rPr>
      </w:pPr>
      <w:r>
        <w:rPr>
          <w:noProof/>
        </w:rPr>
        <w:t xml:space="preserve">2023 m. </w:t>
      </w:r>
      <w:r>
        <w:rPr>
          <w:b/>
          <w:noProof/>
        </w:rPr>
        <w:t>66 proc. 2023 m. TPP projektų buvo tiesiogiai ar netiesiogiai susiję su nacionaliniais ekonomikos gaivinimo ir atsparumo didinimo planais</w:t>
      </w:r>
      <w:r>
        <w:rPr>
          <w:noProof/>
        </w:rPr>
        <w:t>. Įgyvendinant šiuos projektus valstybėms narėms buvo padedama toliau stiprinti savo gebėjimus įgyvendinti ekonomikos gaivinimo ir atsparumo didinimo planus, įskaitant jų stebėsenos ir projektų valdymo metodus, ataskaitų teikimo mechanizmus, audito ir kontrolės sistemas, komunikacijos strategiją, valdymo struktūras, IT sistemas ir reikšmingos žalos nedarymo principo taikymą.</w:t>
      </w:r>
    </w:p>
    <w:p w14:paraId="70614A53" w14:textId="4AA48DB5" w:rsidR="00C73EE1" w:rsidRPr="00453337" w:rsidRDefault="00190CA5" w:rsidP="00CB6475">
      <w:pPr>
        <w:pBdr>
          <w:top w:val="single" w:sz="4" w:space="1" w:color="auto"/>
          <w:left w:val="single" w:sz="4" w:space="4" w:color="auto"/>
          <w:bottom w:val="single" w:sz="4" w:space="0" w:color="auto"/>
          <w:right w:val="single" w:sz="4" w:space="4" w:color="auto"/>
        </w:pBdr>
        <w:shd w:val="clear" w:color="auto" w:fill="B4C6E7" w:themeFill="accent5" w:themeFillTint="66"/>
        <w:spacing w:before="120"/>
        <w:jc w:val="center"/>
        <w:rPr>
          <w:rFonts w:cs="Times New Roman"/>
          <w:b/>
          <w:bCs/>
          <w:noProof/>
        </w:rPr>
      </w:pPr>
      <w:r>
        <w:rPr>
          <w:b/>
          <w:noProof/>
        </w:rPr>
        <w:t>DĖMESYS TIESIOGIAI SU EKONOMIKOS GAIVINIMO IR ATSPARUMO DIDINIMO PLANAIS SUSIJUSIEMS TPP PROJEKTAMS</w:t>
      </w:r>
    </w:p>
    <w:p w14:paraId="5F6D44A4" w14:textId="08200FD8" w:rsidR="00C73EE1" w:rsidRPr="00453337" w:rsidRDefault="00C73EE1" w:rsidP="00CB6475">
      <w:pPr>
        <w:pBdr>
          <w:top w:val="single" w:sz="4" w:space="1" w:color="auto"/>
          <w:left w:val="single" w:sz="4" w:space="4" w:color="auto"/>
          <w:bottom w:val="single" w:sz="4" w:space="0" w:color="auto"/>
          <w:right w:val="single" w:sz="4" w:space="4" w:color="auto"/>
        </w:pBdr>
        <w:shd w:val="clear" w:color="auto" w:fill="B4C6E7" w:themeFill="accent5" w:themeFillTint="66"/>
        <w:spacing w:before="120"/>
        <w:rPr>
          <w:rFonts w:cs="Times New Roman"/>
          <w:noProof/>
        </w:rPr>
      </w:pPr>
      <w:r>
        <w:rPr>
          <w:noProof/>
        </w:rPr>
        <w:t xml:space="preserve">Pagal 2023 m. TPP REFORM GD rėmė tiesiogiai su ekonomikos gaivinimo ir atsparumo didinimo planų įgyvendinimu susijusius reformų </w:t>
      </w:r>
      <w:r>
        <w:rPr>
          <w:b/>
          <w:noProof/>
        </w:rPr>
        <w:t>projektus</w:t>
      </w:r>
      <w:r>
        <w:rPr>
          <w:noProof/>
        </w:rPr>
        <w:t>.</w:t>
      </w:r>
    </w:p>
    <w:p w14:paraId="7DEF3665" w14:textId="0205E07F" w:rsidR="00C73EE1" w:rsidRPr="00453337" w:rsidRDefault="00852551" w:rsidP="00E708AB">
      <w:pPr>
        <w:pStyle w:val="ListParagraph"/>
        <w:numPr>
          <w:ilvl w:val="0"/>
          <w:numId w:val="44"/>
        </w:numPr>
        <w:pBdr>
          <w:top w:val="single" w:sz="4" w:space="1" w:color="auto"/>
          <w:left w:val="single" w:sz="4" w:space="4" w:color="auto"/>
          <w:bottom w:val="single" w:sz="4" w:space="0" w:color="auto"/>
          <w:right w:val="single" w:sz="4" w:space="4" w:color="auto"/>
        </w:pBdr>
        <w:shd w:val="clear" w:color="auto" w:fill="B4C6E7" w:themeFill="accent5" w:themeFillTint="66"/>
        <w:spacing w:before="120" w:after="0" w:line="240" w:lineRule="auto"/>
        <w:contextualSpacing w:val="0"/>
        <w:rPr>
          <w:rFonts w:cs="Times New Roman"/>
          <w:noProof/>
        </w:rPr>
      </w:pPr>
      <w:r>
        <w:rPr>
          <w:b/>
          <w:noProof/>
        </w:rPr>
        <w:t>10 valstybių narių</w:t>
      </w:r>
      <w:r>
        <w:rPr>
          <w:noProof/>
        </w:rPr>
        <w:t xml:space="preserve"> (BE, BG, CY, ES, IE, LV, PT, RO, NL ir SI), gavo bendrą paramą rengdamos savo ekonomikos gaivinimo ir atsparumo didinimo planus. Pavyzdžiui, 2023 m. lapkričio 27 d. oficialiai pradėtas įgyvendinti daugiašalis projektas, skirtas informuoti plačiąją visuomenę apie ekonomikos gaivinimo ir atsparumo didinimo planų poveikį, kuriame dalyvavo aštuonių paramą gaunančių valstybių narių (BE, BG, CY, ES, LV, NL, PT ir RO), REFORM GD, COMM GD, Ekonomikos gaivinimo ir atsparumo didinimo darbo grupės, ECFIN GD atstovai ir visų dalyvaujančių valstybių narių Europos semestro pareigūnai. Juo siekta stiprinti valstybių narių komunikacijos gebėjimus ir teikti joms konkrečiai šaliai pritaikytas techninės paramos priemones, kad jos galėtų geriau informuoti apie savo ekonomikos gaivinimo ir atsparumo didinimo planų naudą. Projektas parengtas remiantis dviem sėkmingais Slovakijoje ir Čekijoje įgyvendintais komunikacijos apie ekonomikos gaivinimo ir atsparumo didinimo planus projektais.</w:t>
      </w:r>
    </w:p>
    <w:p w14:paraId="5D06B355" w14:textId="741D79C7" w:rsidR="00C73EE1" w:rsidRPr="00453337" w:rsidRDefault="00563A96" w:rsidP="00C22B0D">
      <w:pPr>
        <w:pStyle w:val="ListParagraph"/>
        <w:numPr>
          <w:ilvl w:val="0"/>
          <w:numId w:val="44"/>
        </w:numPr>
        <w:pBdr>
          <w:top w:val="single" w:sz="4" w:space="1" w:color="auto"/>
          <w:left w:val="single" w:sz="4" w:space="4" w:color="auto"/>
          <w:bottom w:val="single" w:sz="4" w:space="0" w:color="auto"/>
          <w:right w:val="single" w:sz="4" w:space="4" w:color="auto"/>
        </w:pBdr>
        <w:shd w:val="clear" w:color="auto" w:fill="B4C6E7" w:themeFill="accent5" w:themeFillTint="66"/>
        <w:spacing w:before="120" w:after="360" w:line="240" w:lineRule="auto"/>
        <w:ind w:left="357" w:hanging="357"/>
        <w:contextualSpacing w:val="0"/>
        <w:rPr>
          <w:rFonts w:cs="Times New Roman"/>
          <w:noProof/>
        </w:rPr>
      </w:pPr>
      <w:r>
        <w:rPr>
          <w:b/>
          <w:noProof/>
        </w:rPr>
        <w:t>16 valstybių narių</w:t>
      </w:r>
      <w:r>
        <w:rPr>
          <w:noProof/>
        </w:rPr>
        <w:t xml:space="preserve"> (BE, BG, CY, CZ, DK, EE, EL, HR, HU, IT, LV, MT, PL, PT, RO ir SK) gavo paramą konkrečioms į savo ekonomikos gaivinimo ir atsparumo didinimo planus įtrauktoms reformoms ir investicijoms įgyvendinti. Pavyzdžiui, suteikta parama naujos akademinės karjeros sistemos institucionalizavimui Latvijoje, parama įmonėms Čekijoje, kad būtų pasiektas aukštesnis skaitmenizacijos lygis, ir parama strateginių planų optimizavimui siekiant toliau plėtoti e. sveikatos sistemą Lenkijoje.</w:t>
      </w:r>
    </w:p>
    <w:p w14:paraId="48A2F335" w14:textId="67C78CE5" w:rsidR="00C73EE1" w:rsidRPr="005459EB" w:rsidRDefault="008B1C8D" w:rsidP="00C22B0D">
      <w:pPr>
        <w:spacing w:after="240"/>
        <w:rPr>
          <w:i/>
          <w:iCs/>
          <w:noProof/>
        </w:rPr>
      </w:pPr>
      <w:r>
        <w:rPr>
          <w:noProof/>
        </w:rPr>
        <w:t>Ekonomikos gaivinimo ir atsparumo didinimo priemonės (EGADP) laikotarpio vidurio vertinime</w:t>
      </w:r>
      <w:r>
        <w:rPr>
          <w:rStyle w:val="FootnoteReference"/>
          <w:rFonts w:ascii="Times New Roman" w:hAnsi="Times New Roman" w:cs="Times New Roman"/>
          <w:noProof/>
        </w:rPr>
        <w:footnoteReference w:id="10"/>
      </w:r>
      <w:r>
        <w:rPr>
          <w:noProof/>
        </w:rPr>
        <w:t xml:space="preserve"> pabrėžiama, kad: „EGADP ir TPP suderinamumą lemia integruota šių dviejų priemonių sinergija ir suderinti jų vertinimo kriterijai.</w:t>
      </w:r>
      <w:r>
        <w:rPr>
          <w:i/>
          <w:noProof/>
        </w:rPr>
        <w:t xml:space="preserve"> </w:t>
      </w:r>
      <w:r>
        <w:rPr>
          <w:noProof/>
        </w:rPr>
        <w:t>EGADP reglamentu aktyviai skatinama EGADP ir TPP sinergija, sudarant sąlygas valstybėms narėms iki 4 proc. visų savo asignavimų skirti techninei paramai įgyvendinant ekonomikos gaivinimo ir atsparumo didinimo planus – šia galimybe naudojasi keturios valstybės narės.</w:t>
      </w:r>
      <w:r>
        <w:rPr>
          <w:i/>
          <w:noProof/>
        </w:rPr>
        <w:t xml:space="preserve"> </w:t>
      </w:r>
      <w:r>
        <w:rPr>
          <w:noProof/>
        </w:rPr>
        <w:t>Suderintais EGADP ir TPP vertinimo kriterijais pabrėžiama, kad abiejų priemonių politikos tikslai yra vienodi, o prioritetai – suderinti.</w:t>
      </w:r>
      <w:r>
        <w:rPr>
          <w:i/>
          <w:noProof/>
        </w:rPr>
        <w:t xml:space="preserve"> </w:t>
      </w:r>
      <w:r>
        <w:rPr>
          <w:noProof/>
        </w:rPr>
        <w:t>Pavyzdžiui, konkrečiai šaliai skirtų rekomendacijų aktualumas yra vienas iš vertinimo kriterijų, taikomų tiek atrenkant TPP projektus, tiek tvirtinant ekonomikos gaivinimo ir atsparumo didinimo planus.</w:t>
      </w:r>
      <w:r>
        <w:rPr>
          <w:i/>
          <w:noProof/>
        </w:rPr>
        <w:t xml:space="preserve"> </w:t>
      </w:r>
      <w:r>
        <w:rPr>
          <w:noProof/>
        </w:rPr>
        <w:t>Šių dviejų priemonių suderinamumą rodo tai, kad daugiau kaip 400 pagal TPP patvirtintų projektų yra susiję su valstybių narių ekonomikos gaivinimo ir atsparumo didinimo planų rengimu arba įgyvendinimu, taigi TPP vaidmuo įgyvendinant šią priemonę yra labai svarbus.“</w:t>
      </w:r>
    </w:p>
    <w:p w14:paraId="2C215129" w14:textId="79204810" w:rsidR="004D617B" w:rsidRPr="005459EB" w:rsidRDefault="005D3F67" w:rsidP="00E708AB">
      <w:pPr>
        <w:pStyle w:val="Heading3"/>
      </w:pPr>
      <w:bookmarkStart w:id="16" w:name="_Toc179190866"/>
      <w:bookmarkStart w:id="17" w:name="_Hlk172223190"/>
      <w:r>
        <w:t>Plėtros šalių dalyvavimas bandomajame projekte stebėtojų teisėmis</w:t>
      </w:r>
      <w:bookmarkEnd w:id="16"/>
    </w:p>
    <w:p w14:paraId="1D20BB25" w14:textId="62E439E1" w:rsidR="001E5121" w:rsidRPr="005459EB" w:rsidRDefault="008B1FC2" w:rsidP="009A0C5C">
      <w:pPr>
        <w:rPr>
          <w:noProof/>
        </w:rPr>
      </w:pPr>
      <w:r>
        <w:rPr>
          <w:noProof/>
        </w:rPr>
        <w:t>Atsižvelgdami į Komisijos politinį prioritetą paspartinti plėtros šalių</w:t>
      </w:r>
      <w:r>
        <w:rPr>
          <w:rStyle w:val="FootnoteReference"/>
          <w:noProof/>
        </w:rPr>
        <w:footnoteReference w:id="11"/>
      </w:r>
      <w:r>
        <w:rPr>
          <w:noProof/>
        </w:rPr>
        <w:t xml:space="preserve"> integracijos ir stojimo procesą, REFORM GD ir NEAR GD parengė TPP bandomąjį projektą, kad 2023 m. plėtros šalys galėtų tapti atrinktų TPP projektų stebėtojomis. Tai padaryta gavus atitinkamų paramą gaunančių valstybių narių institucijų sutikimą ir neskiriant šioms šalims finansavimo pagal TPP.</w:t>
      </w:r>
    </w:p>
    <w:p w14:paraId="00FC977C" w14:textId="29CFFD63" w:rsidR="009A0C5C" w:rsidRPr="005459EB" w:rsidRDefault="001E5121" w:rsidP="00C22B0D">
      <w:pPr>
        <w:spacing w:after="240"/>
        <w:rPr>
          <w:noProof/>
        </w:rPr>
      </w:pPr>
      <w:r>
        <w:rPr>
          <w:noProof/>
        </w:rPr>
        <w:t>Bandomasis projektas pradėtas įgyvendinti 2023 m. rugsėjo 13 d. dalyvaujant aštuonioms plėtros šalims, t. y. Bosnijai ir Hercegovinai, Moldovai, Šiaurės Makedonijai, Albanijai, Serbijai, Turkijai, Sakartvelui ir Kosovui</w:t>
      </w:r>
      <w:r>
        <w:rPr>
          <w:rStyle w:val="FootnoteReference"/>
          <w:noProof/>
        </w:rPr>
        <w:footnoteReference w:id="12"/>
      </w:r>
      <w:r>
        <w:rPr>
          <w:noProof/>
        </w:rPr>
        <w:t>. Plėtros šalių atrinkti projektai daugiausia buvo daugiašaliai TPP projektai. Tiek plėtros šalių, tiek valstybių narių viešojo administravimo institucijos palankiai įvertino bandomojo projekto suteiktas bendradarbiavimo galimybes.</w:t>
      </w:r>
      <w:bookmarkEnd w:id="17"/>
    </w:p>
    <w:p w14:paraId="7E066878" w14:textId="60429B00" w:rsidR="0044477C" w:rsidRPr="00B86038" w:rsidRDefault="00396669" w:rsidP="00CB6475">
      <w:pPr>
        <w:pStyle w:val="Heading2"/>
        <w:rPr>
          <w:noProof/>
          <w:color w:val="2E74B5" w:themeColor="accent1" w:themeShade="BF"/>
        </w:rPr>
      </w:pPr>
      <w:bookmarkStart w:id="18" w:name="_Toc179190867"/>
      <w:r>
        <w:rPr>
          <w:noProof/>
          <w14:textFill>
            <w14:solidFill>
              <w14:schemeClr w14:val="accent1">
                <w14:lumMod w14:val="75000"/>
                <w14:lumMod w14:val="75000"/>
                <w14:lumMod w14:val="75000"/>
              </w14:schemeClr>
            </w14:solidFill>
          </w14:textFill>
        </w:rPr>
        <w:t>Projektų vykdymas</w:t>
      </w:r>
      <w:bookmarkEnd w:id="18"/>
    </w:p>
    <w:p w14:paraId="2A7687E6" w14:textId="68952D2D" w:rsidR="00D43C3A" w:rsidRPr="005459EB" w:rsidRDefault="00221199" w:rsidP="00CB6475">
      <w:pPr>
        <w:rPr>
          <w:rFonts w:ascii="Times New Roman" w:hAnsi="Times New Roman" w:cs="Times New Roman"/>
          <w:noProof/>
        </w:rPr>
      </w:pPr>
      <w:r>
        <w:rPr>
          <w:noProof/>
        </w:rPr>
        <w:t>Pagal TPP reikalaujama, kad REFORM GD nuolat dalyvautų su šia priemone susijusioje veikloje – nuo projekto rengimo etapo iki projekto įgyvendinimo, stebėsenos ir vertinimo.</w:t>
      </w:r>
    </w:p>
    <w:p w14:paraId="50195DB2" w14:textId="78BC7C8E" w:rsidR="00F5791D" w:rsidRPr="005459EB" w:rsidRDefault="00F5791D" w:rsidP="00981BB1">
      <w:pPr>
        <w:rPr>
          <w:noProof/>
        </w:rPr>
      </w:pPr>
      <w:r>
        <w:rPr>
          <w:noProof/>
        </w:rPr>
        <w:t>REFORM GD aktyviai veikia nuo pat ankstyvųjų etapų, kai projektai dar tik nustatomi, plačiai vykdydamas nacionalinių valdžios institucijų informavimo veiklą, palaikydamas nuolatinį ryšį tarp REFORM GD šalių koordinatorių ir atitinkamų koordinavimo institucijų, taip pat rengdamas REFORM GD vyresniųjų vadovų susitikimus su kiekvienos valstybės narės nacionalinėmis valdžios institucijomis.</w:t>
      </w:r>
    </w:p>
    <w:p w14:paraId="782C459C" w14:textId="12A6E1EE" w:rsidR="00F5791D" w:rsidRPr="005459EB" w:rsidRDefault="00F5791D" w:rsidP="00F5791D">
      <w:pPr>
        <w:rPr>
          <w:noProof/>
        </w:rPr>
      </w:pPr>
      <w:r>
        <w:rPr>
          <w:noProof/>
        </w:rPr>
        <w:t>Atrinkus 2023 m. TPP prašymus ir nustačius projektų įgyvendinimo būdus, REFORM GD politikos pareigūnai reguliariai palaikė ryšius su nacionalinėmis institucijomis, kad nustatytų projekto siektinus rezultatus ir numatytų susijusią veiklą bei sudarytų darbo planus. Kartu su atrinktais paramos teikėjais jie buvo visų susijusių projekto grupių nariais ir bendradarbiavo atlikdami kasdienius projekto valdymo darbus. Be to, jie užtikrino sklandžią komunikaciją tarp paramos teikėjų ir nacionalinių valdžios institucijų, taip skatindami abipusį supratimą, garantuojantį sėkmingą projektų įgyvendinimą.</w:t>
      </w:r>
    </w:p>
    <w:p w14:paraId="55776A9B" w14:textId="24776ECB" w:rsidR="00F5791D" w:rsidRPr="005459EB" w:rsidRDefault="00F5791D" w:rsidP="00F5791D">
      <w:pPr>
        <w:rPr>
          <w:noProof/>
        </w:rPr>
      </w:pPr>
      <w:r>
        <w:rPr>
          <w:noProof/>
        </w:rPr>
        <w:t>Darbą su kitais Komisijos departamentais REFORM GD taip pat koordinavo per nuolatinį kitų generalinių direktoratų atstovų tinklą. Taip buvo siekiama užtikrinti, kad pagal TPP teikiama techninė parama būtų suderinta su ES politikos kryptimis, nesidubliuotų su kitais projektais ir papildytų kitas ES programas bei jomis remtųsi (be kita ko, sudarant palankesnes sąlygas naudotis Komisijos turimomis techninėmis ekspertinėmis žiniomis arba pagal kitas ES programas paprastai sutelktomis žiniomis).</w:t>
      </w:r>
    </w:p>
    <w:p w14:paraId="61419CBD" w14:textId="5F3E0903" w:rsidR="00F5791D" w:rsidRPr="005459EB" w:rsidRDefault="00F5791D" w:rsidP="00C22B0D">
      <w:pPr>
        <w:spacing w:after="240"/>
        <w:rPr>
          <w:noProof/>
        </w:rPr>
      </w:pPr>
      <w:r>
        <w:rPr>
          <w:noProof/>
        </w:rPr>
        <w:t>Galiausiai į kiekvieną projekto iniciatyvinį komitetą buvo įtraukta po veną REFORM GD darbuotoją kartu su nacionalinių valdžios institucijų vyresniaisiais pareigūnais, siekiant užtikrinti, kad projektai ir toliau atitiktų nacionalinius prioritetus ir prireikus būtų pritaikyti prie kintančios aplinkos. Tikslas buvo prisidėti prie nacionalinių reformų darbotvarkių įgyvendinimo, kartu siekiant sukurti ES pridėtinę vertę.</w:t>
      </w:r>
    </w:p>
    <w:p w14:paraId="7FDFB476" w14:textId="77777777" w:rsidR="00A02DF2" w:rsidRPr="005459EB" w:rsidRDefault="00A02DF2" w:rsidP="00CB6475">
      <w:pPr>
        <w:pStyle w:val="Heading2"/>
        <w:rPr>
          <w:noProof/>
          <w:color w:val="2E74B5" w:themeColor="accent1" w:themeShade="BF"/>
        </w:rPr>
      </w:pPr>
      <w:bookmarkStart w:id="19" w:name="_Toc170603817"/>
      <w:bookmarkStart w:id="20" w:name="_Toc170603857"/>
      <w:bookmarkStart w:id="21" w:name="_Toc170603900"/>
      <w:bookmarkStart w:id="22" w:name="_Toc170647694"/>
      <w:bookmarkStart w:id="23" w:name="_Toc170647723"/>
      <w:bookmarkStart w:id="24" w:name="_Toc170667435"/>
      <w:bookmarkStart w:id="25" w:name="_Toc179190868"/>
      <w:bookmarkEnd w:id="19"/>
      <w:bookmarkEnd w:id="20"/>
      <w:bookmarkEnd w:id="21"/>
      <w:bookmarkEnd w:id="22"/>
      <w:bookmarkEnd w:id="23"/>
      <w:bookmarkEnd w:id="24"/>
      <w:r>
        <w:rPr>
          <w:noProof/>
          <w14:textFill>
            <w14:solidFill>
              <w14:schemeClr w14:val="accent1">
                <w14:lumMod w14:val="75000"/>
                <w14:lumMod w14:val="75000"/>
                <w14:lumMod w14:val="75000"/>
              </w14:schemeClr>
            </w14:solidFill>
          </w14:textFill>
        </w:rPr>
        <w:t>Bendradarbiavimo ir paramos planai</w:t>
      </w:r>
      <w:bookmarkEnd w:id="25"/>
    </w:p>
    <w:p w14:paraId="441B2175" w14:textId="352E0422" w:rsidR="00A02DF2" w:rsidRPr="005459EB" w:rsidRDefault="00A02DF2" w:rsidP="00A02DF2">
      <w:pPr>
        <w:rPr>
          <w:rFonts w:ascii="Segoe UI" w:eastAsia="Times New Roman" w:hAnsi="Segoe UI" w:cs="Segoe UI"/>
          <w:noProof/>
          <w:sz w:val="18"/>
          <w:szCs w:val="18"/>
        </w:rPr>
      </w:pPr>
      <w:r>
        <w:rPr>
          <w:noProof/>
        </w:rPr>
        <w:t xml:space="preserve">2023 m. su visomis 27 valstybėmis narėmis </w:t>
      </w:r>
      <w:r>
        <w:rPr>
          <w:b/>
          <w:noProof/>
        </w:rPr>
        <w:t>buvo sudaryti bendradarbiavimo ir paramos planai</w:t>
      </w:r>
      <w:r>
        <w:rPr>
          <w:rStyle w:val="FootnoteReference"/>
          <w:b/>
          <w:bCs/>
          <w:noProof/>
          <w:lang w:eastAsia="en-IE"/>
        </w:rPr>
        <w:footnoteReference w:id="13"/>
      </w:r>
      <w:r>
        <w:rPr>
          <w:noProof/>
        </w:rPr>
        <w:t>, kuriuose nustatyti pagal TPP teikiamos paramos pagrindiniai principai ir darbo metodai. 2023 m. rugsėjo mėn. jie buvo perduoti Tarybai ir Europos Parlamentui. Kiekviename plane aprašytos susijusios politikos sritys ir paramos priemonių, kurios turi būti įgyvendintos valstybėje narėje, taikymo mastas, taip pat orientaciniai terminai ir preliminarus biudžetas. Todėl toks planas suteikia kiekvienai valstybei narei galimybę strategiškai apžvelgti TPP paramos priemonių įgyvendinimą nacionaliniu ir regioniniu lygmenimis.</w:t>
      </w:r>
    </w:p>
    <w:p w14:paraId="778E218B" w14:textId="63A76082" w:rsidR="00A02DF2" w:rsidRPr="005459EB" w:rsidRDefault="005D1DE1" w:rsidP="00C22B0D">
      <w:pPr>
        <w:spacing w:after="240"/>
        <w:rPr>
          <w:rFonts w:ascii="Times New Roman" w:hAnsi="Times New Roman" w:cs="Times New Roman"/>
          <w:noProof/>
        </w:rPr>
      </w:pPr>
      <w:r>
        <w:rPr>
          <w:noProof/>
        </w:rPr>
        <w:t>2023 m. į šiuos planus taip pat įtrauktas pasiūlymas dėl TPP nacionalinių koordinavimo institucijų įgaliojimų, kuriame aprašytas jų vaidmuo kiekvienu TPP ciklo etapu, įskaitant galimą jų dalyvavimą vykdant komunikacijos ir vertinimo veiklą, ir jų dalyvavimas koordinavimo institucijų tinklo, kuriam pirmininkauja REFORM GD, veikloje. 2023 m. šis tinklas posėdžiavo penkis kartus (keturis kartus internetu ir vieną kartą fiziškai 2023 m. rugsėjo 12 d. Madride). Fizinis susitikimas visų pirma buvo proga pabrėžti valstybių narių koordinavimo institucijų vaidmenį užtikrinant sklandų TPP veikimą ir aptarti, kaip geriausiai sutelkti ir koordinuoti idėjas ir suinteresuotuosius subjektus, kad būtų galima rengti daugiašalius TPP prašymus.</w:t>
      </w:r>
    </w:p>
    <w:p w14:paraId="6AF1760A" w14:textId="77777777" w:rsidR="00F2378A" w:rsidRPr="00C22B0D" w:rsidRDefault="00F2378A" w:rsidP="00CC0E62">
      <w:pPr>
        <w:pStyle w:val="Heading2"/>
        <w:rPr>
          <w:noProof/>
          <w14:textFill>
            <w14:solidFill>
              <w14:schemeClr w14:val="accent1">
                <w14:lumMod w14:val="75000"/>
                <w14:lumMod w14:val="75000"/>
                <w14:lumMod w14:val="75000"/>
              </w14:schemeClr>
            </w14:solidFill>
          </w14:textFill>
        </w:rPr>
      </w:pPr>
      <w:bookmarkStart w:id="26" w:name="_Toc179190869"/>
      <w:r>
        <w:rPr>
          <w:noProof/>
          <w14:textFill>
            <w14:solidFill>
              <w14:schemeClr w14:val="accent1">
                <w14:lumMod w14:val="75000"/>
                <w14:lumMod w14:val="75000"/>
                <w14:lumMod w14:val="75000"/>
              </w14:schemeClr>
            </w14:solidFill>
          </w14:textFill>
        </w:rPr>
        <w:t>Informavimas apie TPP</w:t>
      </w:r>
      <w:bookmarkEnd w:id="26"/>
    </w:p>
    <w:p w14:paraId="26EB972E" w14:textId="38B6051D" w:rsidR="0002792B" w:rsidRPr="005459EB" w:rsidRDefault="00FE62CD" w:rsidP="00FE62CD">
      <w:pPr>
        <w:rPr>
          <w:noProof/>
        </w:rPr>
      </w:pPr>
      <w:r>
        <w:rPr>
          <w:noProof/>
        </w:rPr>
        <w:t xml:space="preserve">Techninės pagalbos priemonė yra išskirtinė savo struktūra ir lankstumu. Įgyvendinant šią priemonę bendradarbiaujama su nacionalinėmis administravimo institucijomis, kad joms būtų padedama rengti ir įgyvendinti jų piliečiams ir įmonėms naudingas reformas. Siekdamas užtikrinti </w:t>
      </w:r>
      <w:r>
        <w:rPr>
          <w:b/>
          <w:noProof/>
        </w:rPr>
        <w:t>ES finansavimo matomumą</w:t>
      </w:r>
      <w:r>
        <w:rPr>
          <w:noProof/>
        </w:rPr>
        <w:t xml:space="preserve">, REFORM GD, bendradarbiaudamas su paramą gaunančiomis institucijomis, paramos teikėjais ir Europos Parlamento bei Komisijos atstovybėmis kiekvienoje valstybėje narėje, didina TPP darbo ir susijusių TPP projektų bei jų rezultatų žinomumą. Vykdant komunikacijos veiklą specialiais kanalais (naudojantis Reformų rėmimo interneto svetaine, socialine žiniasklaida, leidžiant leidinius, organizuojant renginius ir kt.) teikiama </w:t>
      </w:r>
      <w:r>
        <w:rPr>
          <w:b/>
          <w:noProof/>
        </w:rPr>
        <w:t>tikslinė informacija įvairiai auditorijai</w:t>
      </w:r>
      <w:r>
        <w:rPr>
          <w:noProof/>
        </w:rPr>
        <w:t>, įskaitant žiniasklaidą ir visuomenę.</w:t>
      </w:r>
    </w:p>
    <w:p w14:paraId="450F31BD" w14:textId="2A0023EB" w:rsidR="005E75CF" w:rsidRPr="005459EB" w:rsidRDefault="00FE62CD" w:rsidP="00CB203D">
      <w:pPr>
        <w:rPr>
          <w:noProof/>
        </w:rPr>
      </w:pPr>
      <w:r>
        <w:rPr>
          <w:noProof/>
        </w:rPr>
        <w:t xml:space="preserve">2023 m. komunikacijos veikla, susijusi su TPP ir viešojo administravimo bei valdymo politikos formavimu, tapo labiau orientuota į rezultatus. Konkrečiai kalbant, 2023 m. kovo 21 d. REFORM GD surengė metinę </w:t>
      </w:r>
      <w:hyperlink r:id="rId62" w:history="1">
        <w:r>
          <w:rPr>
            <w:rStyle w:val="Hyperlink"/>
            <w:noProof/>
            <w:color w:val="034990" w:themeColor="hyperlink" w:themeShade="BF"/>
            <w14:textFill>
              <w14:solidFill>
                <w14:schemeClr w14:val="hlink">
                  <w14:lumMod w14:val="75000"/>
                  <w14:lumMod w14:val="75000"/>
                </w14:schemeClr>
              </w14:solidFill>
            </w14:textFill>
          </w:rPr>
          <w:t>2023 m. TPP konferenciją</w:t>
        </w:r>
      </w:hyperlink>
      <w:r>
        <w:rPr>
          <w:noProof/>
        </w:rPr>
        <w:t xml:space="preserve">, skirtą 2023 m. TPP darbo programos priėmimui paminėti. 2023 m. gegužės 25 d. REFORM GD taip pat surengė </w:t>
      </w:r>
      <w:hyperlink r:id="rId63">
        <w:r>
          <w:rPr>
            <w:rStyle w:val="Hyperlink"/>
            <w:b/>
            <w:noProof/>
            <w:color w:val="034990"/>
            <w14:textFill>
              <w14:solidFill>
                <w14:srgbClr w14:val="034990">
                  <w14:lumMod w14:val="75000"/>
                </w14:srgbClr>
              </w14:solidFill>
            </w14:textFill>
          </w:rPr>
          <w:t>TPP metinę konferenciją</w:t>
        </w:r>
      </w:hyperlink>
      <w:r>
        <w:rPr>
          <w:rStyle w:val="Hyperlink"/>
          <w:noProof/>
          <w:color w:val="034990"/>
          <w:u w:val="none"/>
          <w14:textFill>
            <w14:solidFill>
              <w14:srgbClr w14:val="034990">
                <w14:lumMod w14:val="75000"/>
              </w14:srgbClr>
            </w14:solidFill>
          </w14:textFill>
        </w:rPr>
        <w:t xml:space="preserve"> </w:t>
      </w:r>
      <w:hyperlink r:id="rId64" w:history="1">
        <w:r>
          <w:rPr>
            <w:rStyle w:val="Hyperlink"/>
            <w:b/>
            <w:noProof/>
            <w:color w:val="034990" w:themeColor="hyperlink" w:themeShade="BF"/>
            <w14:textFill>
              <w14:solidFill>
                <w14:schemeClr w14:val="hlink">
                  <w14:lumMod w14:val="75000"/>
                  <w14:lumMod w14:val="75000"/>
                </w14:schemeClr>
              </w14:solidFill>
            </w14:textFill>
          </w:rPr>
          <w:t>„Ateičiai tinkamas ir prie pokyčių pritaikomas viešasis administravimas“</w:t>
        </w:r>
      </w:hyperlink>
      <w:r>
        <w:rPr>
          <w:noProof/>
        </w:rPr>
        <w:t>. Per šią konferenciją paskelbta 2024 m. TPP ciklo pradžia. Televizijos laidos formatas viso renginio metu prikaustė 1 600 internetu prisijungusių dalyvių dėmesį.</w:t>
      </w:r>
    </w:p>
    <w:p w14:paraId="79CF31EA" w14:textId="4B22ED91" w:rsidR="007938AD" w:rsidRPr="005459EB" w:rsidRDefault="00300D51" w:rsidP="00CB203D">
      <w:pPr>
        <w:rPr>
          <w:noProof/>
        </w:rPr>
      </w:pPr>
      <w:r>
        <w:rPr>
          <w:noProof/>
        </w:rPr>
        <w:t xml:space="preserve">REFORM GD kartu organizavo ir (arba) dalyvavo </w:t>
      </w:r>
      <w:hyperlink r:id="rId65" w:history="1">
        <w:r>
          <w:rPr>
            <w:rStyle w:val="Hyperlink"/>
            <w:b/>
            <w:noProof/>
            <w:color w:val="034990" w:themeColor="hyperlink" w:themeShade="BF"/>
            <w:u w:val="none"/>
            <w14:textFill>
              <w14:solidFill>
                <w14:schemeClr w14:val="hlink">
                  <w14:lumMod w14:val="75000"/>
                  <w14:lumMod w14:val="75000"/>
                </w14:schemeClr>
              </w14:solidFill>
            </w14:textFill>
          </w:rPr>
          <w:t>viešuose renginiuose</w:t>
        </w:r>
      </w:hyperlink>
      <w:r>
        <w:rPr>
          <w:noProof/>
        </w:rPr>
        <w:t xml:space="preserve"> tiek vietos lygmeniu, tiek internetu, siekdamas pristatyti sėkmės istorijas ir skleisti informaciją apie TPP rezultatus. Konkretūs vieši renginiai:</w:t>
      </w:r>
    </w:p>
    <w:p w14:paraId="1CBAC4BD" w14:textId="1600C066" w:rsidR="007938AD" w:rsidRPr="005459EB" w:rsidRDefault="007938AD" w:rsidP="00CB6475">
      <w:pPr>
        <w:pStyle w:val="ListParagraph"/>
        <w:numPr>
          <w:ilvl w:val="0"/>
          <w:numId w:val="55"/>
        </w:numPr>
        <w:rPr>
          <w:noProof/>
        </w:rPr>
      </w:pPr>
      <w:r>
        <w:rPr>
          <w:noProof/>
        </w:rPr>
        <w:t>REFORM GD dalyvavo VIII Delfų ekonomikos forume, 2023 m. balandžio</w:t>
      </w:r>
      <w:r>
        <w:rPr>
          <w:rFonts w:ascii="Calibri" w:hAnsi="Calibri"/>
          <w:noProof/>
        </w:rPr>
        <w:t xml:space="preserve"> </w:t>
      </w:r>
      <w:r>
        <w:rPr>
          <w:noProof/>
        </w:rPr>
        <w:t>26–29 d.</w:t>
      </w:r>
    </w:p>
    <w:p w14:paraId="3D632051" w14:textId="35E1D209" w:rsidR="007938AD" w:rsidRPr="005459EB" w:rsidRDefault="007938AD" w:rsidP="00CB6475">
      <w:pPr>
        <w:pStyle w:val="ListParagraph"/>
        <w:numPr>
          <w:ilvl w:val="0"/>
          <w:numId w:val="55"/>
        </w:numPr>
        <w:rPr>
          <w:noProof/>
        </w:rPr>
      </w:pPr>
      <w:r>
        <w:rPr>
          <w:noProof/>
        </w:rPr>
        <w:t>Įgūdžių ugdymo rėmimas įgyvendinant reformas, 2023 m. gegužės 25 d.</w:t>
      </w:r>
    </w:p>
    <w:p w14:paraId="6BB9B987" w14:textId="3EAAB247" w:rsidR="007938AD" w:rsidRPr="005459EB" w:rsidRDefault="007938AD">
      <w:pPr>
        <w:pStyle w:val="ListParagraph"/>
        <w:numPr>
          <w:ilvl w:val="0"/>
          <w:numId w:val="55"/>
        </w:numPr>
        <w:rPr>
          <w:noProof/>
        </w:rPr>
      </w:pPr>
      <w:r>
        <w:rPr>
          <w:noProof/>
        </w:rPr>
        <w:t>Dalijimasis turizmo duomenimis, jų valdymas ir integracija, 2023 m. rugsėjo</w:t>
      </w:r>
      <w:r>
        <w:rPr>
          <w:rFonts w:ascii="Calibri" w:hAnsi="Calibri"/>
          <w:noProof/>
        </w:rPr>
        <w:t xml:space="preserve"> </w:t>
      </w:r>
      <w:r>
        <w:rPr>
          <w:noProof/>
        </w:rPr>
        <w:t>27–28 d.</w:t>
      </w:r>
    </w:p>
    <w:p w14:paraId="0C58417C" w14:textId="35861474" w:rsidR="00454BEB" w:rsidRPr="005459EB" w:rsidRDefault="00C33658" w:rsidP="00E24898">
      <w:pPr>
        <w:pStyle w:val="ListParagraph"/>
        <w:numPr>
          <w:ilvl w:val="0"/>
          <w:numId w:val="55"/>
        </w:numPr>
        <w:rPr>
          <w:noProof/>
        </w:rPr>
      </w:pPr>
      <w:r>
        <w:rPr>
          <w:noProof/>
        </w:rPr>
        <w:t>Europos politikos mokslinis konsultavimas, 2023 m. spalio</w:t>
      </w:r>
      <w:r>
        <w:rPr>
          <w:rFonts w:ascii="Calibri" w:hAnsi="Calibri"/>
          <w:noProof/>
        </w:rPr>
        <w:t xml:space="preserve"> </w:t>
      </w:r>
      <w:r>
        <w:rPr>
          <w:noProof/>
        </w:rPr>
        <w:t>10–11 d.</w:t>
      </w:r>
    </w:p>
    <w:p w14:paraId="707A863A" w14:textId="73CB64A1" w:rsidR="00E24898" w:rsidRPr="005459EB" w:rsidRDefault="00454BEB" w:rsidP="00E24898">
      <w:pPr>
        <w:pStyle w:val="ListParagraph"/>
        <w:numPr>
          <w:ilvl w:val="0"/>
          <w:numId w:val="55"/>
        </w:numPr>
        <w:rPr>
          <w:noProof/>
        </w:rPr>
      </w:pPr>
      <w:r>
        <w:rPr>
          <w:noProof/>
        </w:rPr>
        <w:t>COP 28</w:t>
      </w:r>
      <w:r>
        <w:rPr>
          <w:rFonts w:ascii="Calibri" w:hAnsi="Calibri"/>
          <w:noProof/>
        </w:rPr>
        <w:t xml:space="preserve"> </w:t>
      </w:r>
      <w:r>
        <w:rPr>
          <w:noProof/>
        </w:rPr>
        <w:t>papildomas renginys „Tvarūs finansai“ , 2023 m.</w:t>
      </w:r>
      <w:r>
        <w:rPr>
          <w:rFonts w:ascii="Calibri" w:hAnsi="Calibri"/>
          <w:noProof/>
        </w:rPr>
        <w:t xml:space="preserve"> </w:t>
      </w:r>
      <w:r>
        <w:rPr>
          <w:noProof/>
        </w:rPr>
        <w:t>gruodžio 4 d.</w:t>
      </w:r>
    </w:p>
    <w:p w14:paraId="086D3762" w14:textId="5E2056BF" w:rsidR="00211B1B" w:rsidRPr="005459EB" w:rsidRDefault="00516082" w:rsidP="00753AB4">
      <w:pPr>
        <w:rPr>
          <w:b/>
          <w:bCs/>
          <w:noProof/>
        </w:rPr>
      </w:pPr>
      <w:r>
        <w:rPr>
          <w:noProof/>
        </w:rPr>
        <w:t xml:space="preserve">Nesilaikydamas į projektus orientuoto požiūrio, taikyto ankstyvaisiais TPP metais, ir daugiau dėmesio skirdamas reformoms ir jų poveikiui žmonių gyvenimui, REFORM GD taip pat sustiprino savo </w:t>
      </w:r>
      <w:r>
        <w:rPr>
          <w:b/>
          <w:noProof/>
        </w:rPr>
        <w:t>spaudos veiklą</w:t>
      </w:r>
      <w:r>
        <w:rPr>
          <w:noProof/>
        </w:rPr>
        <w:t xml:space="preserve"> rengdamas interviu ir </w:t>
      </w:r>
      <w:r>
        <w:rPr>
          <w:b/>
          <w:noProof/>
        </w:rPr>
        <w:t>spaudos renginius</w:t>
      </w:r>
      <w:r>
        <w:rPr>
          <w:noProof/>
        </w:rPr>
        <w:t>.</w:t>
      </w:r>
    </w:p>
    <w:p w14:paraId="5D8C6655" w14:textId="061E1069" w:rsidR="0074162F" w:rsidRPr="005459EB" w:rsidRDefault="00631C6E" w:rsidP="00DC454F">
      <w:pPr>
        <w:rPr>
          <w:noProof/>
        </w:rPr>
      </w:pPr>
      <w:hyperlink r:id="rId66" w:history="1">
        <w:r w:rsidR="00516082">
          <w:rPr>
            <w:rStyle w:val="Hyperlink"/>
            <w:b/>
            <w:noProof/>
            <w:color w:val="034990" w:themeColor="hyperlink" w:themeShade="BF"/>
            <w14:textFill>
              <w14:solidFill>
                <w14:schemeClr w14:val="hlink">
                  <w14:lumMod w14:val="75000"/>
                  <w14:lumMod w14:val="75000"/>
                </w14:schemeClr>
              </w14:solidFill>
            </w14:textFill>
          </w:rPr>
          <w:t>Reformų rėmimo interneto svetainėje</w:t>
        </w:r>
      </w:hyperlink>
      <w:r w:rsidR="00516082">
        <w:rPr>
          <w:noProof/>
        </w:rPr>
        <w:t xml:space="preserve">, kurią </w:t>
      </w:r>
      <w:r w:rsidR="00516082">
        <w:rPr>
          <w:b/>
          <w:noProof/>
        </w:rPr>
        <w:t>2023 m.</w:t>
      </w:r>
      <w:r w:rsidR="00516082">
        <w:rPr>
          <w:noProof/>
        </w:rPr>
        <w:t xml:space="preserve"> aplankė daugiau kaip </w:t>
      </w:r>
      <w:r w:rsidR="00516082">
        <w:rPr>
          <w:b/>
          <w:noProof/>
        </w:rPr>
        <w:t>160 000 individualių lankytojų</w:t>
      </w:r>
      <w:r w:rsidR="00516082">
        <w:rPr>
          <w:noProof/>
        </w:rPr>
        <w:t xml:space="preserve">, taip pat buvo sukurtas patogesnis naudoti formatas, kuriame pateikiama išsami informacija apie reformas ir reformų projektus pagal </w:t>
      </w:r>
      <w:hyperlink r:id="rId67" w:history="1">
        <w:r w:rsidR="00516082">
          <w:rPr>
            <w:rStyle w:val="Hyperlink"/>
            <w:b/>
            <w:noProof/>
            <w:color w:val="034990" w:themeColor="hyperlink" w:themeShade="BF"/>
            <w14:textFill>
              <w14:solidFill>
                <w14:schemeClr w14:val="hlink">
                  <w14:lumMod w14:val="75000"/>
                  <w14:lumMod w14:val="75000"/>
                </w14:schemeClr>
              </w14:solidFill>
            </w14:textFill>
          </w:rPr>
          <w:t>politikos sritis</w:t>
        </w:r>
      </w:hyperlink>
      <w:r w:rsidR="00516082">
        <w:rPr>
          <w:noProof/>
        </w:rPr>
        <w:t xml:space="preserve"> ir </w:t>
      </w:r>
      <w:hyperlink r:id="rId68" w:history="1">
        <w:r w:rsidR="00516082">
          <w:rPr>
            <w:rStyle w:val="Hyperlink"/>
            <w:b/>
            <w:noProof/>
            <w:color w:val="034990" w:themeColor="hyperlink" w:themeShade="BF"/>
            <w14:textFill>
              <w14:solidFill>
                <w14:schemeClr w14:val="hlink">
                  <w14:lumMod w14:val="75000"/>
                  <w14:lumMod w14:val="75000"/>
                </w14:schemeClr>
              </w14:solidFill>
            </w14:textFill>
          </w:rPr>
          <w:t>šalis</w:t>
        </w:r>
      </w:hyperlink>
      <w:r w:rsidR="00516082">
        <w:rPr>
          <w:noProof/>
        </w:rPr>
        <w:t>. Iki 2023 m. gruodžio mėn. pabaigos internete buvo pateikta daugiau kaip 350 projektų aprašymų.</w:t>
      </w:r>
    </w:p>
    <w:p w14:paraId="2F2B39AD" w14:textId="27EFC78C" w:rsidR="00DC454F" w:rsidRPr="005459EB" w:rsidRDefault="00DC454F" w:rsidP="00DC454F">
      <w:pPr>
        <w:rPr>
          <w:noProof/>
        </w:rPr>
      </w:pPr>
      <w:r>
        <w:rPr>
          <w:noProof/>
        </w:rPr>
        <w:t>Laikantis TPP reglamento 17</w:t>
      </w:r>
      <w:r>
        <w:rPr>
          <w:rFonts w:ascii="Calibri" w:hAnsi="Calibri"/>
          <w:noProof/>
        </w:rPr>
        <w:t xml:space="preserve"> </w:t>
      </w:r>
      <w:r>
        <w:rPr>
          <w:noProof/>
        </w:rPr>
        <w:t xml:space="preserve">straipsnyje nustatyto skaidrumo reikalavimo, reformų rėmimo interneto svetainėje veikia </w:t>
      </w:r>
      <w:hyperlink r:id="rId69" w:history="1">
        <w:r>
          <w:rPr>
            <w:rStyle w:val="Hyperlink"/>
            <w:b/>
            <w:noProof/>
            <w:color w:val="034990" w:themeColor="hyperlink" w:themeShade="BF"/>
          </w:rPr>
          <w:t>bendra viešoji internetinė galutinių tyrimų ar ataskaitų galutinių tyrimų ar ataskaitų, parengtų įgyvendinant TPP paramos projektus, saugykla</w:t>
        </w:r>
      </w:hyperlink>
      <w:r>
        <w:rPr>
          <w:noProof/>
        </w:rPr>
        <w:t>. Šioje saugykloje galima atlikti paiešką pagal metus, temą ir valstybę narę, kad įvairūs leidiniai taptų prieinamesni plačiajai auditorijai. 2023 m. gruodžio mėn. pabaigoje. 2023 m. gruodžio mėn. pabaigoje internete jau buvo paskelbtas 45 proc. užbaigtų TPP projektų galutinis tyrimas.</w:t>
      </w:r>
    </w:p>
    <w:p w14:paraId="17B95911" w14:textId="66E031FD" w:rsidR="005B05F5" w:rsidRPr="005459EB" w:rsidRDefault="00753AB4" w:rsidP="00CB203D">
      <w:pPr>
        <w:rPr>
          <w:noProof/>
        </w:rPr>
      </w:pPr>
      <w:r>
        <w:rPr>
          <w:noProof/>
        </w:rPr>
        <w:t xml:space="preserve">REFORM GD ir toliau aktyviai veikė socialinėje žiniasklaidoje: jo „X“ (anksčiau – „Twitter“) paskyra </w:t>
      </w:r>
      <w:hyperlink r:id="rId70" w:history="1">
        <w:r>
          <w:rPr>
            <w:rStyle w:val="Hyperlink"/>
            <w:b/>
            <w:noProof/>
            <w:color w:val="034990" w:themeColor="hyperlink" w:themeShade="BF"/>
            <w14:textFill>
              <w14:solidFill>
                <w14:schemeClr w14:val="hlink">
                  <w14:lumMod w14:val="75000"/>
                  <w14:lumMod w14:val="75000"/>
                </w14:schemeClr>
              </w14:solidFill>
            </w14:textFill>
          </w:rPr>
          <w:t>@EU_reforms</w:t>
        </w:r>
      </w:hyperlink>
      <w:r>
        <w:rPr>
          <w:b/>
          <w:noProof/>
        </w:rPr>
        <w:t xml:space="preserve"> turi 3 500 sekėjų</w:t>
      </w:r>
      <w:r>
        <w:rPr>
          <w:noProof/>
        </w:rPr>
        <w:t xml:space="preserve">, o kartu buvo atnaujintas </w:t>
      </w:r>
      <w:hyperlink r:id="rId71" w:history="1">
        <w:r>
          <w:rPr>
            <w:rStyle w:val="Hyperlink"/>
            <w:b/>
            <w:noProof/>
            <w:color w:val="034990" w:themeColor="hyperlink" w:themeShade="BF"/>
            <w14:textFill>
              <w14:solidFill>
                <w14:schemeClr w14:val="hlink">
                  <w14:lumMod w14:val="75000"/>
                  <w14:lumMod w14:val="75000"/>
                </w14:schemeClr>
              </w14:solidFill>
            </w14:textFill>
          </w:rPr>
          <w:t>REFORM GD „YouTube“ kanalas</w:t>
        </w:r>
      </w:hyperlink>
      <w:r>
        <w:rPr>
          <w:noProof/>
        </w:rPr>
        <w:t xml:space="preserve">, kuriame skelbiamas naujas turinys ir originali audiovizualinė medžiaga. 2023 m. REFORM GD taip pat padidino savo vidaus vaizdo įrašų kūrimo pajėgumus ir sukūrė keletą </w:t>
      </w:r>
      <w:hyperlink r:id="rId72" w:history="1">
        <w:r>
          <w:rPr>
            <w:rStyle w:val="Hyperlink"/>
            <w:b/>
            <w:noProof/>
            <w:color w:val="034990" w:themeColor="hyperlink" w:themeShade="BF"/>
            <w14:textFill>
              <w14:solidFill>
                <w14:schemeClr w14:val="hlink">
                  <w14:lumMod w14:val="75000"/>
                  <w14:lumMod w14:val="75000"/>
                </w14:schemeClr>
              </w14:solidFill>
            </w14:textFill>
          </w:rPr>
          <w:t>serijos „Projektas dėmesio centre“</w:t>
        </w:r>
      </w:hyperlink>
      <w:r>
        <w:rPr>
          <w:noProof/>
        </w:rPr>
        <w:t xml:space="preserve"> filmukų.</w:t>
      </w:r>
    </w:p>
    <w:p w14:paraId="2EAEE8BD" w14:textId="1349C563" w:rsidR="001C033B" w:rsidRPr="005459EB" w:rsidRDefault="00927226" w:rsidP="00C22B0D">
      <w:pPr>
        <w:spacing w:after="240"/>
        <w:rPr>
          <w:noProof/>
        </w:rPr>
      </w:pPr>
      <w:r>
        <w:rPr>
          <w:noProof/>
        </w:rPr>
        <w:t xml:space="preserve">ES masto komunikacijos kampanijose ir ataskaitose taip pat dažnai nurodoma, kad TPP yra svarbus paramos valstybėms narėms, kad jos įgyvendintų savo reformų darbotvarkę pagal ES prioritetus, šaltinis. Atsižvelgiant į tai, TPP buvo septynis kartus nurodyta </w:t>
      </w:r>
      <w:hyperlink r:id="rId73" w:history="1">
        <w:r>
          <w:rPr>
            <w:rStyle w:val="Hyperlink"/>
            <w:b/>
            <w:noProof/>
            <w:color w:val="034990" w:themeColor="hyperlink" w:themeShade="BF"/>
            <w14:textFill>
              <w14:solidFill>
                <w14:schemeClr w14:val="hlink">
                  <w14:lumMod w14:val="75000"/>
                  <w14:lumMod w14:val="75000"/>
                </w14:schemeClr>
              </w14:solidFill>
            </w14:textFill>
          </w:rPr>
          <w:t>2023 m. ES bendrajame pranešime</w:t>
        </w:r>
      </w:hyperlink>
      <w:r>
        <w:rPr>
          <w:noProof/>
        </w:rPr>
        <w:t>, konkrečiai aptariant darbą, atliktą remiant ekonomikos gaivinimo ir atsparumo didinimo planus, kapitalo rinkų sąjungą, planą „RePowerEU“, švietimą ir sveikatos apsaugą. Šiame pranešime taip pat du kartus paminėtas komunikatas dėl iniciatyvos „ComPAct“.</w:t>
      </w:r>
    </w:p>
    <w:p w14:paraId="41E256B1" w14:textId="77777777" w:rsidR="00F57538" w:rsidRPr="005459EB" w:rsidRDefault="00F57538" w:rsidP="00CB6475">
      <w:pPr>
        <w:pStyle w:val="Heading2"/>
        <w:rPr>
          <w:noProof/>
          <w:color w:val="2E74B5" w:themeColor="accent1" w:themeShade="BF"/>
        </w:rPr>
      </w:pPr>
      <w:bookmarkStart w:id="27" w:name="_Toc179190870"/>
      <w:r>
        <w:rPr>
          <w:noProof/>
          <w14:textFill>
            <w14:solidFill>
              <w14:schemeClr w14:val="accent1">
                <w14:lumMod w14:val="75000"/>
                <w14:lumMod w14:val="75000"/>
                <w14:lumMod w14:val="75000"/>
              </w14:schemeClr>
            </w14:solidFill>
          </w14:textFill>
        </w:rPr>
        <w:t>TPP vertinimas</w:t>
      </w:r>
      <w:bookmarkEnd w:id="27"/>
    </w:p>
    <w:p w14:paraId="2324A230" w14:textId="22E4FACD" w:rsidR="00F57538" w:rsidRPr="005459EB" w:rsidRDefault="00F57538" w:rsidP="00CB6475">
      <w:pPr>
        <w:rPr>
          <w:noProof/>
        </w:rPr>
      </w:pPr>
      <w:r>
        <w:rPr>
          <w:noProof/>
        </w:rPr>
        <w:t>REFORM GD vertina valstybėms narėms teikiamą paramą tiek programos, tiek projektų lygmeniu. Iš TPP programos ir projektų vertinimo matyti, kokių laimėjimų valstybėms narėms ir piliečiams pavyko pasiekti vietoje. Svarbu dalytis šiais rezultatais su mūsų suinteresuotaisiais subjektais ir plačiąja visuomene, siekiant parodyti, kad ES veiksmai atneša teigiamų pokyčių.</w:t>
      </w:r>
    </w:p>
    <w:p w14:paraId="4F6ED5C4" w14:textId="64DCFD51" w:rsidR="00F57538" w:rsidRPr="005459EB" w:rsidRDefault="00F57538" w:rsidP="00CB6475">
      <w:pPr>
        <w:rPr>
          <w:noProof/>
        </w:rPr>
      </w:pPr>
      <w:r>
        <w:rPr>
          <w:noProof/>
        </w:rPr>
        <w:t xml:space="preserve">2023 m. spalio mėn. paskelbtas </w:t>
      </w:r>
      <w:hyperlink r:id="rId74" w:history="1">
        <w:r>
          <w:rPr>
            <w:rStyle w:val="Hyperlink"/>
            <w:noProof/>
            <w:color w:val="034990" w:themeColor="hyperlink" w:themeShade="BF"/>
          </w:rPr>
          <w:t>struktūrinių reformų rėmimo programos (SRRP)</w:t>
        </w:r>
      </w:hyperlink>
      <w:r>
        <w:rPr>
          <w:noProof/>
        </w:rPr>
        <w:t xml:space="preserve">, kuri yra TPP pirmtakė, </w:t>
      </w:r>
      <w:r>
        <w:rPr>
          <w:rFonts w:ascii="Calibri" w:hAnsi="Calibri"/>
          <w:i/>
          <w:noProof/>
          <w:u w:val="single"/>
        </w:rPr>
        <w:t>ex post</w:t>
      </w:r>
      <w:r>
        <w:rPr>
          <w:noProof/>
        </w:rPr>
        <w:t xml:space="preserve"> vertinimas. Šiame vertinime pateikta svarbių įžvalgų apie REFORM GD (ir Paramos struktūrinėms reformoms tarnybos) įgyvendinamų techninės paramos projektų rengimą, įgyvendinimą ir poveikį. Ataskaitoje teigiama, kad SRRP bendrasis tikslas remti institucines, administracines ir ekonomikos augimą skatinančias struktūrines reformas valstybėse narėse buvo sėkmingai pasiektas. Nustatyta, kad SRRP yra labai aktuali priemonė, gerai pritaikyta valstybių narių administraciniams gebėjimams stiprinti, kad jos galėtų rengti ir įgyvendinti reformas bei spręsti problemas. Pagrindiniai veiksniai, be kita ko, buvo aktyvus nacionalinių administravimo institucijų dalyvavimas ir jų atsakomybė už projektus.</w:t>
      </w:r>
    </w:p>
    <w:p w14:paraId="6A0BA13C" w14:textId="04D812D6" w:rsidR="00F57538" w:rsidRPr="005459EB" w:rsidRDefault="00F57538" w:rsidP="004C6CCE">
      <w:pPr>
        <w:rPr>
          <w:rFonts w:eastAsiaTheme="minorEastAsia"/>
          <w:noProof/>
        </w:rPr>
      </w:pPr>
      <w:r>
        <w:rPr>
          <w:noProof/>
        </w:rPr>
        <w:t xml:space="preserve">2023 m. REFORM GD ėmėsi parengiamųjų darbų siekdamas pradėti TPP laikotarpio vidurio vertinimą, kaip numatyta TPP </w:t>
      </w:r>
      <w:hyperlink r:id="rId75" w:history="1">
        <w:r>
          <w:rPr>
            <w:rStyle w:val="Hyperlink"/>
            <w:noProof/>
            <w:color w:val="034990"/>
            <w14:textFill>
              <w14:solidFill>
                <w14:srgbClr w14:val="034990">
                  <w14:lumMod w14:val="75000"/>
                </w14:srgbClr>
              </w14:solidFill>
            </w14:textFill>
          </w:rPr>
          <w:t>reglamento</w:t>
        </w:r>
      </w:hyperlink>
      <w:r>
        <w:rPr>
          <w:noProof/>
        </w:rPr>
        <w:t xml:space="preserve"> 16 straipsnyje. Šis vertinimas bus atliktas iki 2025 m. vasario mėn. ir tikimasi, kad jis atliks svarbų vaidmenį formuojant programos ateities viziją pagal kitą daugiametę finansinę programą. Be ankstyvo TPP įgyvendinimo pagal penkis privalomus geresnio reglamentavimo vertinimo kriterijus (veiksmingumą, efektyvumą, aktualumą, suderinamumą ir ES pridėtinę vertę) vertinimo, laikotarpio vidurio vertinime taip pat bus nagrinėjamas ankstesnės programos – SRRP – ilgalaikis poveikis ir tvarumas.</w:t>
      </w:r>
    </w:p>
    <w:p w14:paraId="5E7DFCC5" w14:textId="2651FA4F" w:rsidR="0047108F" w:rsidRPr="005459EB" w:rsidRDefault="0047108F" w:rsidP="0047108F">
      <w:pPr>
        <w:rPr>
          <w:noProof/>
        </w:rPr>
      </w:pPr>
      <w:r>
        <w:rPr>
          <w:noProof/>
        </w:rPr>
        <w:t>Be programos lygmeniu atliekamo vertinimo, REFORM GD nustatė dviejų etapų procedūrą visų pagal TPP teikiamos techninės paramos projektų vertinimo duomenims rinkti. Pirmuoju etapu, kuris prasideda neilgai trukus po projekto užbaigimo, bus įvertintas pagrindinių suinteresuotųjų subjektų, dalyvaujančių rengiant ir įgyvendinant projektą, pasitenkinimo lygis. Antruoju etapu, kuris prasideda praėjus bent vieniems metams po projekto užbaigimo, bus įvertinta, kokiu mastu buvo pasiekti projekto tikėtini rezultatai.</w:t>
      </w:r>
    </w:p>
    <w:p w14:paraId="519CFB17" w14:textId="3F5E0296" w:rsidR="00BF345D" w:rsidRPr="005459EB" w:rsidRDefault="00F57538" w:rsidP="00C22B0D">
      <w:pPr>
        <w:spacing w:after="240"/>
        <w:rPr>
          <w:noProof/>
        </w:rPr>
      </w:pPr>
      <w:r>
        <w:rPr>
          <w:noProof/>
        </w:rPr>
        <w:t>2023 m. REFORM GD gavo paramą gaunančių institucijų užpildytus pasitenkinimo klausimynus dėl 94 TPP projektų (72 proc. atsakymų). Iš paramą gaunančių institucijų atsiliepimų matyti, kad REFORM GD suteiktos paramos vidutinis pasitenkinimo lygis siekia 9 iš 10, o projektų sėkmės – 8,7 iš 10. Nors projektų trukmė gali skirtis, TPP projektas vidutiniškai įgyvendinamas per 24 mėnesius. Todėl dar per anksti vertinti projektų laimėjimus vietoje.</w:t>
      </w:r>
    </w:p>
    <w:p w14:paraId="769F30CF" w14:textId="266E3735" w:rsidR="00B81571" w:rsidRPr="005459EB" w:rsidRDefault="004C6CCE" w:rsidP="00CB6475">
      <w:pPr>
        <w:pStyle w:val="Heading1"/>
        <w:rPr>
          <w:noProof/>
        </w:rPr>
      </w:pPr>
      <w:bookmarkStart w:id="28" w:name="_Toc179190871"/>
      <w:r>
        <w:rPr>
          <w:noProof/>
        </w:rPr>
        <w:t>TPP – pagrindinė ES konkurencingumo rėmimo priemonė</w:t>
      </w:r>
      <w:bookmarkEnd w:id="28"/>
    </w:p>
    <w:p w14:paraId="6D36BE1A" w14:textId="0791F96C" w:rsidR="00E82967" w:rsidRPr="005459EB" w:rsidRDefault="00E82967" w:rsidP="00CB203D">
      <w:pPr>
        <w:rPr>
          <w:noProof/>
        </w:rPr>
      </w:pPr>
      <w:r>
        <w:rPr>
          <w:noProof/>
        </w:rPr>
        <w:t xml:space="preserve">Europos įmonės yra valstybių narių ekonomikos varomoji jėga, jos kuria darbo vietas, sanglaudą, inovacijas ir gerovę. Vis dėlto tiekimo grandinės sutrikimai ir didelė infliacija dėl pastarojo meto viena po kitos kilusių krizių paskatino dar labiau </w:t>
      </w:r>
      <w:r>
        <w:rPr>
          <w:b/>
          <w:noProof/>
        </w:rPr>
        <w:t>susirūpinti dėl ilgalaikių problemų, susijusių su menku našumu ir konkurencingumu ES</w:t>
      </w:r>
      <w:r>
        <w:rPr>
          <w:noProof/>
        </w:rPr>
        <w:t xml:space="preserve">. Komisija į šiuos iššūkius reagavo, be kita ko, įgyvendindama </w:t>
      </w:r>
      <w:hyperlink r:id="rId76" w:history="1">
        <w:r>
          <w:rPr>
            <w:rStyle w:val="Hyperlink"/>
            <w:noProof/>
            <w:color w:val="034990" w:themeColor="hyperlink" w:themeShade="BF"/>
          </w:rPr>
          <w:t>Europos pramonės strategiją</w:t>
        </w:r>
      </w:hyperlink>
      <w:r>
        <w:rPr>
          <w:noProof/>
        </w:rPr>
        <w:t xml:space="preserve">, </w:t>
      </w:r>
      <w:hyperlink r:id="rId77" w:history="1">
        <w:r>
          <w:rPr>
            <w:rStyle w:val="Hyperlink"/>
            <w:noProof/>
            <w:color w:val="034990" w:themeColor="hyperlink" w:themeShade="BF"/>
          </w:rPr>
          <w:t>Žaliojo kurso pramonės planą</w:t>
        </w:r>
      </w:hyperlink>
      <w:r>
        <w:rPr>
          <w:noProof/>
        </w:rPr>
        <w:t xml:space="preserve">, </w:t>
      </w:r>
      <w:hyperlink r:id="rId78" w:history="1">
        <w:r>
          <w:rPr>
            <w:rStyle w:val="Hyperlink"/>
            <w:noProof/>
            <w:color w:val="034990" w:themeColor="hyperlink" w:themeShade="BF"/>
          </w:rPr>
          <w:t>Komunikatą dėl ilgalaikio konkurencingumo</w:t>
        </w:r>
      </w:hyperlink>
      <w:r>
        <w:rPr>
          <w:noProof/>
        </w:rPr>
        <w:t xml:space="preserve"> ir iniciatyvas </w:t>
      </w:r>
      <w:hyperlink r:id="rId79" w:history="1">
        <w:r>
          <w:rPr>
            <w:rStyle w:val="Hyperlink"/>
            <w:noProof/>
            <w:color w:val="034990" w:themeColor="hyperlink" w:themeShade="BF"/>
          </w:rPr>
          <w:t>ES ekonominiam saugumui</w:t>
        </w:r>
      </w:hyperlink>
      <w:r>
        <w:rPr>
          <w:noProof/>
        </w:rPr>
        <w:t xml:space="preserve"> stiprinti. Kaip savo </w:t>
      </w:r>
      <w:hyperlink r:id="rId80" w:history="1">
        <w:r>
          <w:rPr>
            <w:rStyle w:val="Hyperlink"/>
            <w:noProof/>
            <w:color w:val="034990" w:themeColor="hyperlink" w:themeShade="BF"/>
          </w:rPr>
          <w:t>pranešime apie Sąjungos padėtį</w:t>
        </w:r>
      </w:hyperlink>
      <w:r>
        <w:rPr>
          <w:noProof/>
        </w:rPr>
        <w:t xml:space="preserve"> pabrėžė Pirmininkė: „Europa padarys viską, kad išsaugotų savo konkurencinį pranašumą.“</w:t>
      </w:r>
    </w:p>
    <w:p w14:paraId="6827E73A" w14:textId="6C59CDBC" w:rsidR="00E82967" w:rsidRPr="005459EB" w:rsidRDefault="00E82967" w:rsidP="00CB203D">
      <w:pPr>
        <w:rPr>
          <w:noProof/>
        </w:rPr>
      </w:pPr>
      <w:r>
        <w:rPr>
          <w:noProof/>
        </w:rPr>
        <w:t xml:space="preserve">Šiame skirsnyje </w:t>
      </w:r>
      <w:r>
        <w:rPr>
          <w:b/>
          <w:noProof/>
        </w:rPr>
        <w:t>apžvelgiama REFORM GD parama valstybėms narėms konkurencingumo srityje 2023 m.</w:t>
      </w:r>
      <w:r>
        <w:rPr>
          <w:noProof/>
        </w:rPr>
        <w:t xml:space="preserve">, suskirstyta pagal devynis konkurencingumą skatinančius veiksnius, nustatytus </w:t>
      </w:r>
      <w:hyperlink r:id="rId81" w:history="1">
        <w:r>
          <w:rPr>
            <w:rStyle w:val="Hyperlink"/>
            <w:noProof/>
            <w:color w:val="034990" w:themeColor="hyperlink" w:themeShade="BF"/>
          </w:rPr>
          <w:t>komunikate „Bendrosios rinkos trisdešimtmetis“</w:t>
        </w:r>
      </w:hyperlink>
      <w:r>
        <w:rPr>
          <w:noProof/>
        </w:rPr>
        <w:t xml:space="preserve"> ir </w:t>
      </w:r>
      <w:hyperlink r:id="rId82" w:history="1">
        <w:r>
          <w:rPr>
            <w:rStyle w:val="Hyperlink"/>
            <w:noProof/>
            <w:color w:val="034990" w:themeColor="hyperlink" w:themeShade="BF"/>
          </w:rPr>
          <w:t>2024 m. metinėje bendrosios rinkos ir konkurencingumo ataskaitoje</w:t>
        </w:r>
      </w:hyperlink>
      <w:r>
        <w:rPr>
          <w:noProof/>
        </w:rPr>
        <w:t xml:space="preserve"> (žr. 3 diagramą). Kad valstybėms narėms būtų teikiama veiksminga ir ES prioritetus atitinkanti parama, REFORM GD, vykdydamas paramos projektus, glaudžiai bendradarbiavo su atitinkamais Komisijos generaliniais direktoratais, įskaitant CLIMA, CNECT, COMP, DIGIT, EAC, ENER, ENV, ECFIN, EMPL, ESTAT, FISMA, GROW, HOME, JRC, MOVE, REGIO, RTD, Ekonomikos gaivinimo ir atsparumo didinimo darbo grupę, GS, TAXUD ir TRADE.</w:t>
      </w:r>
    </w:p>
    <w:p w14:paraId="5DDE789B" w14:textId="77777777" w:rsidR="00E82967" w:rsidRPr="005459EB" w:rsidRDefault="00E82967" w:rsidP="00E82967">
      <w:pPr>
        <w:rPr>
          <w:rFonts w:ascii="Times New Roman" w:hAnsi="Times New Roman" w:cs="Times New Roman"/>
          <w:noProof/>
        </w:rPr>
        <w:sectPr w:rsidR="00E82967" w:rsidRPr="005459EB" w:rsidSect="00092BD5">
          <w:headerReference w:type="even" r:id="rId83"/>
          <w:headerReference w:type="default" r:id="rId84"/>
          <w:footerReference w:type="even" r:id="rId85"/>
          <w:footerReference w:type="default" r:id="rId86"/>
          <w:headerReference w:type="first" r:id="rId87"/>
          <w:footerReference w:type="first" r:id="rId88"/>
          <w:pgSz w:w="11906" w:h="16838"/>
          <w:pgMar w:top="1134" w:right="1440" w:bottom="1440" w:left="1440" w:header="708" w:footer="708" w:gutter="0"/>
          <w:cols w:space="720"/>
          <w:docGrid w:linePitch="360"/>
        </w:sectPr>
      </w:pPr>
      <w:r>
        <w:rPr>
          <w:noProof/>
        </w:rPr>
        <w:br w:type="page"/>
      </w:r>
    </w:p>
    <w:p w14:paraId="3AC5B8A9" w14:textId="5B8D5816" w:rsidR="00E82967" w:rsidRPr="005459EB" w:rsidRDefault="00E82967" w:rsidP="00E82967">
      <w:pPr>
        <w:rPr>
          <w:rFonts w:cs="Times New Roman"/>
          <w:noProof/>
          <w:color w:val="2E74B5" w:themeColor="accent1" w:themeShade="BF"/>
        </w:rPr>
      </w:pPr>
      <w:r>
        <w:rPr>
          <w:noProof/>
          <w:color w:val="2E74B5" w:themeColor="accent1" w:themeShade="BF"/>
        </w:rPr>
        <w:t>7 diagrama. 2023 m. pagal TPP teikiamos paramos pavyzdžiai, susiję su devyniais konkurencingumą skatinančiais veiksniais</w:t>
      </w:r>
    </w:p>
    <w:p w14:paraId="4E4A09E1" w14:textId="77777777" w:rsidR="00E82967" w:rsidRPr="005459EB" w:rsidRDefault="00E82967" w:rsidP="00E82967">
      <w:pPr>
        <w:rPr>
          <w:rFonts w:ascii="Times New Roman" w:hAnsi="Times New Roman" w:cs="Times New Roman"/>
          <w:noProof/>
        </w:rPr>
      </w:pPr>
    </w:p>
    <w:p w14:paraId="0969D874" w14:textId="3348B422" w:rsidR="00E82967" w:rsidRPr="005459EB" w:rsidRDefault="00D554D7" w:rsidP="00E82967">
      <w:pPr>
        <w:rPr>
          <w:rFonts w:ascii="Times New Roman" w:hAnsi="Times New Roman" w:cs="Times New Roman"/>
          <w:noProof/>
        </w:rPr>
        <w:sectPr w:rsidR="00E82967" w:rsidRPr="005459EB" w:rsidSect="00BA7D5C">
          <w:headerReference w:type="even" r:id="rId89"/>
          <w:headerReference w:type="default" r:id="rId90"/>
          <w:footerReference w:type="even" r:id="rId91"/>
          <w:footerReference w:type="default" r:id="rId92"/>
          <w:headerReference w:type="first" r:id="rId93"/>
          <w:footerReference w:type="first" r:id="rId94"/>
          <w:pgSz w:w="16838" w:h="11906" w:orient="landscape"/>
          <w:pgMar w:top="1440" w:right="1440" w:bottom="1440" w:left="1440" w:header="708" w:footer="708" w:gutter="0"/>
          <w:cols w:space="708"/>
          <w:docGrid w:linePitch="360"/>
        </w:sectPr>
      </w:pPr>
      <w:r w:rsidRPr="00D554D7">
        <w:rPr>
          <w:noProof/>
          <w:lang w:val="en-GB" w:eastAsia="en-GB"/>
        </w:rPr>
        <w:drawing>
          <wp:inline distT="0" distB="0" distL="0" distR="0" wp14:anchorId="74ACECED" wp14:editId="6E3ABEC8">
            <wp:extent cx="8863330" cy="4367530"/>
            <wp:effectExtent l="0" t="0" r="0" b="0"/>
            <wp:docPr id="7574606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863330" cy="4367530"/>
                    </a:xfrm>
                    <a:prstGeom prst="rect">
                      <a:avLst/>
                    </a:prstGeom>
                    <a:noFill/>
                    <a:ln>
                      <a:noFill/>
                    </a:ln>
                  </pic:spPr>
                </pic:pic>
              </a:graphicData>
            </a:graphic>
          </wp:inline>
        </w:drawing>
      </w:r>
    </w:p>
    <w:p w14:paraId="1EA5A259" w14:textId="5CCDF6D7" w:rsidR="00E82967" w:rsidRPr="00997E7F" w:rsidRDefault="00E82967" w:rsidP="005B1923">
      <w:pPr>
        <w:pStyle w:val="Heading2"/>
        <w:numPr>
          <w:ilvl w:val="0"/>
          <w:numId w:val="53"/>
        </w:numPr>
        <w:rPr>
          <w:noProof/>
          <w:color w:val="2E74B5" w:themeColor="accent1" w:themeShade="BF"/>
          <w:u w:val="single"/>
        </w:rPr>
      </w:pPr>
      <w:bookmarkStart w:id="29" w:name="_Toc162018525"/>
      <w:bookmarkStart w:id="30" w:name="_Toc179190872"/>
      <w:r>
        <w:rPr>
          <w:noProof/>
          <w14:textFill>
            <w14:solidFill>
              <w14:schemeClr w14:val="accent1">
                <w14:lumMod w14:val="75000"/>
                <w14:lumMod w14:val="75000"/>
                <w14:lumMod w14:val="75000"/>
              </w14:schemeClr>
            </w14:solidFill>
          </w14:textFill>
        </w:rPr>
        <w:t>Veikianti bendroji rinka</w:t>
      </w:r>
      <w:bookmarkEnd w:id="29"/>
      <w:bookmarkEnd w:id="30"/>
    </w:p>
    <w:p w14:paraId="5351E18F" w14:textId="0E2F9E2F" w:rsidR="00E82967" w:rsidRPr="005459EB" w:rsidRDefault="00E82967" w:rsidP="00C22B0D">
      <w:pPr>
        <w:spacing w:before="120" w:after="240"/>
        <w:rPr>
          <w:rFonts w:cs="Times New Roman"/>
          <w:noProof/>
        </w:rPr>
      </w:pPr>
      <w:r>
        <w:rPr>
          <w:noProof/>
        </w:rPr>
        <w:t xml:space="preserve">REFORM GD parama valstybėms narėms padeda joms stiprinti savo gebėjimus vykdyti reformas, kuriomis siekiama </w:t>
      </w:r>
      <w:r>
        <w:rPr>
          <w:b/>
          <w:noProof/>
        </w:rPr>
        <w:t>užtikrinti bendrosios rinkos veikimą ir konkurencingumą</w:t>
      </w:r>
      <w:r>
        <w:rPr>
          <w:noProof/>
        </w:rPr>
        <w:t>.</w:t>
      </w:r>
      <w:r>
        <w:rPr>
          <w:b/>
          <w:noProof/>
        </w:rPr>
        <w:t xml:space="preserve"> </w:t>
      </w:r>
      <w:r>
        <w:rPr>
          <w:noProof/>
        </w:rPr>
        <w:t>Parama apima įvairias politikos sritis – nuo pramonės ir inovacijų iki transporto ir skaitmeninės pertvarkos.</w:t>
      </w:r>
    </w:p>
    <w:tbl>
      <w:tblPr>
        <w:tblStyle w:val="TableGrid"/>
        <w:tblW w:w="0" w:type="auto"/>
        <w:tblInd w:w="108" w:type="dxa"/>
        <w:shd w:val="clear" w:color="auto" w:fill="B4C6E7" w:themeFill="accent5" w:themeFillTint="66"/>
        <w:tblLook w:val="04A0" w:firstRow="1" w:lastRow="0" w:firstColumn="1" w:lastColumn="0" w:noHBand="0" w:noVBand="1"/>
      </w:tblPr>
      <w:tblGrid>
        <w:gridCol w:w="9072"/>
      </w:tblGrid>
      <w:tr w:rsidR="00E82967" w:rsidRPr="005459EB" w14:paraId="0D2E0874" w14:textId="77777777" w:rsidTr="00BA7D5C">
        <w:tc>
          <w:tcPr>
            <w:tcW w:w="9072" w:type="dxa"/>
            <w:shd w:val="clear" w:color="auto" w:fill="B4C6E7" w:themeFill="accent5" w:themeFillTint="66"/>
          </w:tcPr>
          <w:p w14:paraId="074711C1" w14:textId="773A68D3" w:rsidR="00E82967" w:rsidRPr="005459EB" w:rsidRDefault="00190CA5" w:rsidP="00BA7D5C">
            <w:pPr>
              <w:spacing w:before="120"/>
              <w:jc w:val="center"/>
              <w:rPr>
                <w:rFonts w:cs="Times New Roman"/>
                <w:b/>
                <w:bCs/>
                <w:noProof/>
              </w:rPr>
            </w:pPr>
            <w:bookmarkStart w:id="31" w:name="_Hlk168491611"/>
            <w:r>
              <w:rPr>
                <w:b/>
                <w:noProof/>
              </w:rPr>
              <w:t>DĖMESYS PAVYZDINĖMS INICIATYVOMS</w:t>
            </w:r>
          </w:p>
          <w:p w14:paraId="4C80D4AE" w14:textId="588756D5" w:rsidR="00E82967" w:rsidRPr="005459EB" w:rsidRDefault="00E82967" w:rsidP="00BA7D5C">
            <w:pPr>
              <w:spacing w:before="120"/>
              <w:rPr>
                <w:rFonts w:cs="Times New Roman"/>
                <w:noProof/>
              </w:rPr>
            </w:pPr>
            <w:r>
              <w:rPr>
                <w:noProof/>
              </w:rPr>
              <w:t xml:space="preserve">2023 m. REFORM GD padėjo įgyvendinti </w:t>
            </w:r>
            <w:r>
              <w:rPr>
                <w:b/>
                <w:noProof/>
              </w:rPr>
              <w:t>dvi pavyzdines iniciatyvas</w:t>
            </w:r>
            <w:r>
              <w:rPr>
                <w:noProof/>
              </w:rPr>
              <w:t xml:space="preserve"> bendrosios rinkos ir konkurencingumo srityje:</w:t>
            </w:r>
          </w:p>
          <w:p w14:paraId="056C0090" w14:textId="2D5B2C1D" w:rsidR="00E82967" w:rsidRPr="005459EB" w:rsidRDefault="00E82967" w:rsidP="00E82967">
            <w:pPr>
              <w:pStyle w:val="ListParagraph"/>
              <w:numPr>
                <w:ilvl w:val="0"/>
                <w:numId w:val="44"/>
              </w:numPr>
              <w:spacing w:before="120"/>
              <w:contextualSpacing w:val="0"/>
              <w:rPr>
                <w:rFonts w:cs="Times New Roman"/>
                <w:noProof/>
              </w:rPr>
            </w:pPr>
            <w:r>
              <w:rPr>
                <w:b/>
                <w:noProof/>
              </w:rPr>
              <w:t>septynios valstybės narės</w:t>
            </w:r>
            <w:r>
              <w:rPr>
                <w:noProof/>
              </w:rPr>
              <w:t xml:space="preserve"> (HR, EL, IT, MT, PT, SI ir ES) gavo paramą pagal </w:t>
            </w:r>
            <w:hyperlink r:id="rId96" w:history="1">
              <w:r>
                <w:rPr>
                  <w:rStyle w:val="Hyperlink"/>
                  <w:b/>
                  <w:noProof/>
                  <w:color w:val="034990" w:themeColor="hyperlink" w:themeShade="BF"/>
                </w:rPr>
                <w:t>2022 m. TPP pavyzdinę iniciatyvą dėl tvaresnės, atsparesnės ir labiau skaitmeninės turizmo ekosistemos</w:t>
              </w:r>
            </w:hyperlink>
            <w:r>
              <w:rPr>
                <w:noProof/>
              </w:rPr>
              <w:t>. 2023 m. rugsėjo mėn. REFORM GD ir GROW GD, vykdydami šiuos projektus, surengė dviejų dienų ekspertų praktinį seminarą dalijimosi turizmo duomenimis, jų valdymo ir integracijos klausimais, kuriame dalyvavo apie 300 dalyvių iš trijų žemynų;</w:t>
            </w:r>
          </w:p>
          <w:p w14:paraId="1B5E56A0" w14:textId="059B5891" w:rsidR="00E82967" w:rsidRPr="005459EB" w:rsidRDefault="00E82967" w:rsidP="00E82967">
            <w:pPr>
              <w:pStyle w:val="ListParagraph"/>
              <w:numPr>
                <w:ilvl w:val="0"/>
                <w:numId w:val="44"/>
              </w:numPr>
              <w:spacing w:before="120" w:after="240"/>
              <w:ind w:left="357" w:hanging="357"/>
              <w:contextualSpacing w:val="0"/>
              <w:rPr>
                <w:rFonts w:cs="Times New Roman"/>
                <w:noProof/>
              </w:rPr>
            </w:pPr>
            <w:r>
              <w:rPr>
                <w:b/>
                <w:noProof/>
              </w:rPr>
              <w:t>11 valstybių narių</w:t>
            </w:r>
            <w:r>
              <w:rPr>
                <w:noProof/>
              </w:rPr>
              <w:t xml:space="preserve"> (CY, DK, FI, GR, LV, PT, RO, SK, SI, ES ir SE) gavo paramą pagal </w:t>
            </w:r>
            <w:hyperlink r:id="rId97" w:history="1">
              <w:r>
                <w:rPr>
                  <w:rStyle w:val="Hyperlink"/>
                  <w:b/>
                  <w:noProof/>
                  <w:color w:val="034990" w:themeColor="hyperlink" w:themeShade="BF"/>
                </w:rPr>
                <w:t>2023 m. TPP pavyzdinę iniciatyvą dėl ES pramonės ekosistemų stiprinimo</w:t>
              </w:r>
            </w:hyperlink>
            <w:r>
              <w:rPr>
                <w:noProof/>
              </w:rPr>
              <w:t>, kuri daugiausia skirta pramonės strategijoms, nacionalinės rinkos priežiūrai ir intelektinės nuosavybės sistemoms, taip pat pramonės darbuotojų perkvalifikavimui ir kvalifikacijos kėlimui.</w:t>
            </w:r>
          </w:p>
        </w:tc>
      </w:tr>
    </w:tbl>
    <w:bookmarkEnd w:id="31"/>
    <w:p w14:paraId="3A06F2D4" w14:textId="29559698" w:rsidR="00E82967" w:rsidRPr="005459EB" w:rsidRDefault="00E82967" w:rsidP="00E82967">
      <w:pPr>
        <w:spacing w:before="360" w:after="360"/>
        <w:rPr>
          <w:rFonts w:cs="Times New Roman"/>
          <w:noProof/>
        </w:rPr>
      </w:pPr>
      <w:r>
        <w:rPr>
          <w:noProof/>
        </w:rPr>
        <w:t xml:space="preserve">2023 m. REFORM GD teikė paramą </w:t>
      </w:r>
      <w:r>
        <w:rPr>
          <w:b/>
          <w:noProof/>
        </w:rPr>
        <w:t>26 valstybėms narėms</w:t>
      </w:r>
      <w:r>
        <w:rPr>
          <w:noProof/>
        </w:rPr>
        <w:t xml:space="preserve"> (AT, BE, BG, CY, CZ, DE, DK, EE, EL, ES, FI, FR, HR, HU, IE, IT, LT, LV, MT, NL, PL, PT, RO, SE, SI ir SK), be kita ko, pagal TPP pavyzdinius projektus, kad būtų: i) plėtojamos valstybių narių </w:t>
      </w:r>
      <w:r>
        <w:rPr>
          <w:b/>
          <w:noProof/>
        </w:rPr>
        <w:t>pramonės</w:t>
      </w:r>
      <w:r>
        <w:rPr>
          <w:noProof/>
        </w:rPr>
        <w:t xml:space="preserve"> strategijos ir tobulinamos nacionalinės rinkos priežiūros bei intelektinės nuosavybės sistemos; ii) skatinama tvari, atspari ir skaitmeninė </w:t>
      </w:r>
      <w:r>
        <w:rPr>
          <w:b/>
          <w:noProof/>
        </w:rPr>
        <w:t>turizmo</w:t>
      </w:r>
      <w:r>
        <w:rPr>
          <w:noProof/>
        </w:rPr>
        <w:t xml:space="preserve"> ekosistema ir iii) spartinama </w:t>
      </w:r>
      <w:r>
        <w:rPr>
          <w:b/>
          <w:noProof/>
        </w:rPr>
        <w:t>skaitmeninė pertvarka</w:t>
      </w:r>
      <w:r>
        <w:rPr>
          <w:noProof/>
        </w:rPr>
        <w:t>.</w:t>
      </w:r>
    </w:p>
    <w:tbl>
      <w:tblPr>
        <w:tblStyle w:val="TableGrid"/>
        <w:tblW w:w="0" w:type="auto"/>
        <w:tblInd w:w="108" w:type="dxa"/>
        <w:shd w:val="clear" w:color="auto" w:fill="DBDBDB" w:themeFill="accent3" w:themeFillTint="66"/>
        <w:tblLook w:val="04A0" w:firstRow="1" w:lastRow="0" w:firstColumn="1" w:lastColumn="0" w:noHBand="0" w:noVBand="1"/>
      </w:tblPr>
      <w:tblGrid>
        <w:gridCol w:w="9072"/>
      </w:tblGrid>
      <w:tr w:rsidR="00E82967" w:rsidRPr="005459EB" w14:paraId="28F57884" w14:textId="77777777" w:rsidTr="00BA7D5C">
        <w:tc>
          <w:tcPr>
            <w:tcW w:w="9072" w:type="dxa"/>
            <w:shd w:val="clear" w:color="auto" w:fill="DBDBDB" w:themeFill="accent3" w:themeFillTint="66"/>
          </w:tcPr>
          <w:p w14:paraId="379E7AB2" w14:textId="77777777" w:rsidR="00E82967" w:rsidRPr="005459EB" w:rsidRDefault="00E82967" w:rsidP="00BA7D5C">
            <w:pPr>
              <w:pStyle w:val="paragraph"/>
              <w:spacing w:before="120" w:beforeAutospacing="0" w:after="0" w:afterAutospacing="0"/>
              <w:jc w:val="center"/>
              <w:textAlignment w:val="baseline"/>
              <w:rPr>
                <w:rFonts w:ascii="EC Square Sans Pro" w:hAnsi="EC Square Sans Pro"/>
                <w:b/>
                <w:bCs/>
                <w:noProof/>
              </w:rPr>
            </w:pPr>
            <w:r>
              <w:rPr>
                <w:rFonts w:ascii="EC Square Sans Pro" w:hAnsi="EC Square Sans Pro"/>
                <w:b/>
                <w:noProof/>
              </w:rPr>
              <w:t>LAIMĖJIMAI</w:t>
            </w:r>
          </w:p>
          <w:p w14:paraId="55D5C3AC" w14:textId="405D7CEF" w:rsidR="00E82967" w:rsidRPr="005459EB" w:rsidRDefault="00E82967" w:rsidP="00BA7D5C">
            <w:pPr>
              <w:spacing w:before="120"/>
              <w:rPr>
                <w:rStyle w:val="normaltextrun"/>
                <w:rFonts w:cs="Times New Roman"/>
                <w:noProof/>
              </w:rPr>
            </w:pPr>
            <w:r>
              <w:rPr>
                <w:rStyle w:val="normaltextrun"/>
                <w:b/>
                <w:noProof/>
              </w:rPr>
              <w:t>Konkretūs reformų ir gebėjimų stiprinimo</w:t>
            </w:r>
            <w:r>
              <w:rPr>
                <w:rStyle w:val="normaltextrun"/>
                <w:noProof/>
              </w:rPr>
              <w:t xml:space="preserve"> bendrosios rinkos ir konkurencingumo srityje 2023 m., teikiant TPP paramą, pavyzdžiai:</w:t>
            </w:r>
          </w:p>
          <w:p w14:paraId="04C0827E" w14:textId="6644E0C8" w:rsidR="00E82967" w:rsidRPr="005459EB" w:rsidRDefault="00E82967" w:rsidP="00E82967">
            <w:pPr>
              <w:pStyle w:val="ListParagraph"/>
              <w:numPr>
                <w:ilvl w:val="0"/>
                <w:numId w:val="45"/>
              </w:numPr>
              <w:spacing w:before="120"/>
              <w:contextualSpacing w:val="0"/>
              <w:rPr>
                <w:rFonts w:cs="Times New Roman"/>
                <w:noProof/>
              </w:rPr>
            </w:pPr>
            <w:r>
              <w:rPr>
                <w:b/>
                <w:noProof/>
              </w:rPr>
              <w:t>Kroatija</w:t>
            </w:r>
            <w:r>
              <w:rPr>
                <w:noProof/>
              </w:rPr>
              <w:t xml:space="preserve"> sukūrė skaitmeninę platformą, skirtą poveikio MVĮ tyrimui atlikti, ir priėmė naujus teisės aktus dėl reglamentavimo poveikio vertinimo</w:t>
            </w:r>
            <w:r>
              <w:rPr>
                <w:noProof/>
                <w:color w:val="000000" w:themeColor="text1" w:themeShade="BF"/>
              </w:rPr>
              <w:t>.</w:t>
            </w:r>
          </w:p>
          <w:p w14:paraId="685AC98D" w14:textId="7B704227" w:rsidR="00E82967" w:rsidRPr="005459EB" w:rsidRDefault="00E82967" w:rsidP="00E82967">
            <w:pPr>
              <w:pStyle w:val="ListParagraph"/>
              <w:numPr>
                <w:ilvl w:val="0"/>
                <w:numId w:val="45"/>
              </w:numPr>
              <w:spacing w:before="120"/>
              <w:contextualSpacing w:val="0"/>
              <w:rPr>
                <w:rFonts w:cs="Times New Roman"/>
                <w:noProof/>
              </w:rPr>
            </w:pPr>
            <w:r>
              <w:rPr>
                <w:b/>
                <w:noProof/>
              </w:rPr>
              <w:t>Trento autonominė provincija (Italija)</w:t>
            </w:r>
            <w:r>
              <w:rPr>
                <w:noProof/>
              </w:rPr>
              <w:t xml:space="preserve"> patvirtino naujus teisės aktus, kuriais administracinėms procedūroms, įskaitant patikrinimus, taikomas rizika pagrįstas metodas.</w:t>
            </w:r>
          </w:p>
          <w:p w14:paraId="7DF325BF" w14:textId="2ACECA55" w:rsidR="00E82967" w:rsidRPr="005459EB" w:rsidRDefault="00E82967" w:rsidP="00E82967">
            <w:pPr>
              <w:pStyle w:val="ListParagraph"/>
              <w:numPr>
                <w:ilvl w:val="0"/>
                <w:numId w:val="45"/>
              </w:numPr>
              <w:spacing w:before="120"/>
              <w:contextualSpacing w:val="0"/>
              <w:rPr>
                <w:rFonts w:cs="Times New Roman"/>
                <w:noProof/>
              </w:rPr>
            </w:pPr>
            <w:r>
              <w:rPr>
                <w:b/>
                <w:noProof/>
              </w:rPr>
              <w:t>Slovėnija</w:t>
            </w:r>
            <w:r>
              <w:rPr>
                <w:noProof/>
              </w:rPr>
              <w:t xml:space="preserve"> patobulino savo mokslinių tyrimų ir inovacijų sistemą įdiegdama naują valdymo modelį, įskaitant tarpžinybinės strateginių iniciatyvų programų valdybos įsteigimą.</w:t>
            </w:r>
          </w:p>
          <w:p w14:paraId="73FC166E" w14:textId="406BF2A9" w:rsidR="00E82967" w:rsidRPr="005459EB" w:rsidRDefault="00E82967" w:rsidP="00E82967">
            <w:pPr>
              <w:pStyle w:val="ListParagraph"/>
              <w:numPr>
                <w:ilvl w:val="0"/>
                <w:numId w:val="45"/>
              </w:numPr>
              <w:spacing w:before="120" w:after="240"/>
              <w:ind w:left="357" w:hanging="357"/>
              <w:contextualSpacing w:val="0"/>
              <w:rPr>
                <w:rFonts w:cs="Times New Roman"/>
                <w:noProof/>
              </w:rPr>
            </w:pPr>
            <w:r>
              <w:rPr>
                <w:b/>
                <w:noProof/>
              </w:rPr>
              <w:t>Rumunija</w:t>
            </w:r>
            <w:r>
              <w:rPr>
                <w:noProof/>
              </w:rPr>
              <w:t xml:space="preserve"> priėmė naujus nacionalinės teisės aktus, kad geriau suderintų valstybės valdomų įmonių bendrojo valdymo sistemą su EBPO gairėmis.</w:t>
            </w:r>
          </w:p>
        </w:tc>
      </w:tr>
    </w:tbl>
    <w:p w14:paraId="6C1D31D9" w14:textId="737CAEEE" w:rsidR="00E82967" w:rsidRPr="005459EB" w:rsidRDefault="00E82967" w:rsidP="00E82967">
      <w:pPr>
        <w:spacing w:before="240" w:after="240"/>
        <w:rPr>
          <w:rFonts w:cs="Times New Roman"/>
          <w:iCs/>
          <w:noProof/>
        </w:rPr>
      </w:pPr>
    </w:p>
    <w:p w14:paraId="38BEF3DA" w14:textId="5A80F92B" w:rsidR="00E82967" w:rsidRPr="005459EB" w:rsidRDefault="00E82967" w:rsidP="005B1923">
      <w:pPr>
        <w:pStyle w:val="Heading2"/>
        <w:rPr>
          <w:noProof/>
          <w:color w:val="2E74B5" w:themeColor="accent1" w:themeShade="BF"/>
        </w:rPr>
      </w:pPr>
      <w:bookmarkStart w:id="32" w:name="_Toc162018526"/>
      <w:bookmarkStart w:id="33" w:name="_Toc179190873"/>
      <w:r>
        <w:rPr>
          <w:noProof/>
          <w14:textFill>
            <w14:solidFill>
              <w14:schemeClr w14:val="accent1">
                <w14:lumMod w14:val="75000"/>
                <w14:lumMod w14:val="75000"/>
                <w14:lumMod w14:val="75000"/>
              </w14:schemeClr>
            </w14:solidFill>
          </w14:textFill>
        </w:rPr>
        <w:t>Prieiga prie privačiojo kapitalo</w:t>
      </w:r>
      <w:bookmarkEnd w:id="32"/>
      <w:bookmarkEnd w:id="33"/>
    </w:p>
    <w:p w14:paraId="109DBF13" w14:textId="65D41E0A" w:rsidR="00E82967" w:rsidRPr="005459EB" w:rsidRDefault="00E82967" w:rsidP="00E82967">
      <w:pPr>
        <w:rPr>
          <w:rFonts w:cs="Times New Roman"/>
          <w:noProof/>
        </w:rPr>
      </w:pPr>
      <w:r>
        <w:rPr>
          <w:noProof/>
        </w:rPr>
        <w:t xml:space="preserve">REFORM GD parama padeda gerinti valstybių narių gebėjimus vykdyti reformas, kuriomis sudaromos </w:t>
      </w:r>
      <w:r>
        <w:rPr>
          <w:b/>
          <w:noProof/>
        </w:rPr>
        <w:t>palankesnės sąlygos naudotis labai reikalingu privačiuoju kapitalu skaitmeninei ir tvariai transformacijai skatinti</w:t>
      </w:r>
      <w:r>
        <w:rPr>
          <w:noProof/>
        </w:rPr>
        <w:t>. Parama apėmė įvairias politikos sritis, įskaitant kapitalo rinkų sąjungą, bankų sąjungą, skaitmeninių finansų strategijos ir ES tvaraus finansavimo sistemos įgyvendinimą.</w:t>
      </w:r>
    </w:p>
    <w:tbl>
      <w:tblPr>
        <w:tblStyle w:val="TableGrid"/>
        <w:tblW w:w="0" w:type="auto"/>
        <w:tblInd w:w="108" w:type="dxa"/>
        <w:shd w:val="clear" w:color="auto" w:fill="B4C6E7" w:themeFill="accent5" w:themeFillTint="66"/>
        <w:tblLook w:val="04A0" w:firstRow="1" w:lastRow="0" w:firstColumn="1" w:lastColumn="0" w:noHBand="0" w:noVBand="1"/>
      </w:tblPr>
      <w:tblGrid>
        <w:gridCol w:w="9072"/>
      </w:tblGrid>
      <w:tr w:rsidR="00E82967" w:rsidRPr="005459EB" w14:paraId="2B4B3E86" w14:textId="77777777" w:rsidTr="00BA7D5C">
        <w:tc>
          <w:tcPr>
            <w:tcW w:w="9072" w:type="dxa"/>
            <w:shd w:val="clear" w:color="auto" w:fill="B4C6E7" w:themeFill="accent5" w:themeFillTint="66"/>
          </w:tcPr>
          <w:p w14:paraId="0EB7FD51" w14:textId="114FE2EA" w:rsidR="00E82967" w:rsidRPr="005459EB" w:rsidRDefault="00190CA5" w:rsidP="00BA7D5C">
            <w:pPr>
              <w:spacing w:before="120"/>
              <w:jc w:val="center"/>
              <w:rPr>
                <w:rFonts w:cs="Times New Roman"/>
                <w:b/>
                <w:bCs/>
                <w:noProof/>
              </w:rPr>
            </w:pPr>
            <w:r>
              <w:rPr>
                <w:b/>
                <w:noProof/>
              </w:rPr>
              <w:t>DĖMESYS PAVYZDINĖMS INICIATYVOMS</w:t>
            </w:r>
          </w:p>
          <w:p w14:paraId="437DD5DB" w14:textId="15915248" w:rsidR="00E82967" w:rsidRPr="005459EB" w:rsidRDefault="00E82967" w:rsidP="00BA7D5C">
            <w:pPr>
              <w:rPr>
                <w:rFonts w:cs="Times New Roman"/>
                <w:noProof/>
              </w:rPr>
            </w:pPr>
            <w:r>
              <w:rPr>
                <w:noProof/>
              </w:rPr>
              <w:t xml:space="preserve">2023 m. REFORM GD padėjo įgyvendinti </w:t>
            </w:r>
            <w:r>
              <w:rPr>
                <w:b/>
                <w:noProof/>
              </w:rPr>
              <w:t>dvi pavyzdines iniciatyvas</w:t>
            </w:r>
            <w:r>
              <w:rPr>
                <w:noProof/>
              </w:rPr>
              <w:t xml:space="preserve"> prieigos prie privačiojo kapitalo srityje:</w:t>
            </w:r>
          </w:p>
          <w:p w14:paraId="4D820CB2" w14:textId="1D46AD44" w:rsidR="00E82967" w:rsidRPr="005459EB" w:rsidRDefault="00E82967" w:rsidP="00E82967">
            <w:pPr>
              <w:pStyle w:val="ListParagraph"/>
              <w:numPr>
                <w:ilvl w:val="0"/>
                <w:numId w:val="46"/>
              </w:numPr>
              <w:spacing w:before="120"/>
              <w:contextualSpacing w:val="0"/>
              <w:rPr>
                <w:rFonts w:cs="Times New Roman"/>
                <w:noProof/>
              </w:rPr>
            </w:pPr>
            <w:r>
              <w:rPr>
                <w:noProof/>
              </w:rPr>
              <w:t xml:space="preserve">12 nacionalinių priežiūros institucijų iš </w:t>
            </w:r>
            <w:r>
              <w:rPr>
                <w:b/>
                <w:noProof/>
              </w:rPr>
              <w:t>11 valstybių narių</w:t>
            </w:r>
            <w:r>
              <w:rPr>
                <w:noProof/>
              </w:rPr>
              <w:t xml:space="preserve"> (BG, HR, CY, FI, FR, EL, IE, IT, LV, RO ir SI) gavo paramą pagal </w:t>
            </w:r>
            <w:hyperlink r:id="rId98" w:history="1">
              <w:r>
                <w:rPr>
                  <w:rStyle w:val="Hyperlink"/>
                  <w:b/>
                  <w:noProof/>
                  <w:color w:val="034990" w:themeColor="hyperlink" w:themeShade="BF"/>
                </w:rPr>
                <w:t>2023 m. TPP pavyzdinę iniciatyvą dėl aplinkos, socialinės ir valdymo (ASV) rizikos valdymo finansų sektoriuje</w:t>
              </w:r>
            </w:hyperlink>
            <w:r>
              <w:rPr>
                <w:noProof/>
              </w:rPr>
              <w:t>, siekiant patenkinti veiksmingos ASV priežiūros poreikį ir padėti nukreipti kapitalą į žaliosios ekonomikos skatinimą;</w:t>
            </w:r>
          </w:p>
          <w:p w14:paraId="112DF636" w14:textId="35780505" w:rsidR="00E82967" w:rsidRPr="005459EB" w:rsidRDefault="00E82967" w:rsidP="00E82967">
            <w:pPr>
              <w:pStyle w:val="ListParagraph"/>
              <w:numPr>
                <w:ilvl w:val="0"/>
                <w:numId w:val="46"/>
              </w:numPr>
              <w:spacing w:before="120" w:after="240"/>
              <w:ind w:left="357" w:hanging="357"/>
              <w:contextualSpacing w:val="0"/>
              <w:rPr>
                <w:rFonts w:cs="Times New Roman"/>
                <w:noProof/>
              </w:rPr>
            </w:pPr>
            <w:r>
              <w:rPr>
                <w:noProof/>
              </w:rPr>
              <w:t xml:space="preserve">34 finansų priežiūros institucijos iš </w:t>
            </w:r>
            <w:r>
              <w:rPr>
                <w:b/>
                <w:noProof/>
              </w:rPr>
              <w:t>25 valstybių narių</w:t>
            </w:r>
            <w:r>
              <w:rPr>
                <w:noProof/>
              </w:rPr>
              <w:t xml:space="preserve"> gavo paramą pagal </w:t>
            </w:r>
            <w:hyperlink r:id="rId99" w:history="1">
              <w:r>
                <w:rPr>
                  <w:rStyle w:val="Hyperlink"/>
                  <w:b/>
                  <w:noProof/>
                  <w:color w:val="034990" w:themeColor="hyperlink" w:themeShade="BF"/>
                </w:rPr>
                <w:t>2022 m. TPP pavyzdinę iniciatyvą „ES skaitmeninių finansų priežiūros akademija“</w:t>
              </w:r>
            </w:hyperlink>
            <w:r>
              <w:rPr>
                <w:noProof/>
              </w:rPr>
              <w:t xml:space="preserve">, kad sustiprintų savo priežiūros pajėgumus skaitmeninių finansų srityje, laikantis skaitmeninių finansų strategijos. </w:t>
            </w:r>
          </w:p>
        </w:tc>
      </w:tr>
    </w:tbl>
    <w:p w14:paraId="00AA6A68" w14:textId="4186F8CF" w:rsidR="00E82967" w:rsidRPr="005459EB" w:rsidRDefault="00E82967" w:rsidP="00E82967">
      <w:pPr>
        <w:spacing w:before="360" w:after="360"/>
        <w:rPr>
          <w:rFonts w:cs="Times New Roman"/>
          <w:noProof/>
        </w:rPr>
      </w:pPr>
      <w:r>
        <w:rPr>
          <w:noProof/>
        </w:rPr>
        <w:t xml:space="preserve">2023 m. REFORM GD padėjo visoms </w:t>
      </w:r>
      <w:r>
        <w:rPr>
          <w:b/>
          <w:noProof/>
        </w:rPr>
        <w:t>27 valstybėms narėms</w:t>
      </w:r>
      <w:r>
        <w:rPr>
          <w:noProof/>
        </w:rPr>
        <w:t xml:space="preserve"> išplėsti savo investavimo galimybes ir sukurti stabilesnę, atsparesnę ir konkurencingesnę finansų sistemą, būtiną privačioms investicijoms didinti. REFORM GD pateikė rekomendacijų ir padėjo valstybėms narėms laikytis strateginio požiūrio į vietos kapitalo rinkų plėtrą. Tai apėmė politikos, kuria siekiama pereiti prie tvarios ekonomikos, rengimą, nemokumo sistemų modernizavimą, nacionalinių valdžios institucijų priežiūros pajėgumų stiprinimą pasitelkiant skaitmenizaciją, priežiūros konvergenciją, paramą plėtojant tiek privačiųjų, tiek viešųjų investuotojų bazes ir žmonių bei įmonių finansinio raštingumo gerinimą.</w:t>
      </w:r>
    </w:p>
    <w:tbl>
      <w:tblPr>
        <w:tblStyle w:val="TableGrid"/>
        <w:tblW w:w="0" w:type="auto"/>
        <w:tblInd w:w="108" w:type="dxa"/>
        <w:shd w:val="clear" w:color="auto" w:fill="DBDBDB" w:themeFill="accent3" w:themeFillTint="66"/>
        <w:tblLook w:val="04A0" w:firstRow="1" w:lastRow="0" w:firstColumn="1" w:lastColumn="0" w:noHBand="0" w:noVBand="1"/>
      </w:tblPr>
      <w:tblGrid>
        <w:gridCol w:w="9072"/>
      </w:tblGrid>
      <w:tr w:rsidR="00E82967" w:rsidRPr="005459EB" w14:paraId="758DB9D6" w14:textId="77777777" w:rsidTr="00BA7D5C">
        <w:tc>
          <w:tcPr>
            <w:tcW w:w="9072" w:type="dxa"/>
            <w:shd w:val="clear" w:color="auto" w:fill="DBDBDB" w:themeFill="accent3" w:themeFillTint="66"/>
          </w:tcPr>
          <w:p w14:paraId="24C0D573" w14:textId="77777777" w:rsidR="00E82967" w:rsidRPr="005459EB" w:rsidRDefault="00E82967" w:rsidP="00BA7D5C">
            <w:pPr>
              <w:pStyle w:val="paragraph"/>
              <w:spacing w:before="120" w:beforeAutospacing="0" w:after="0" w:afterAutospacing="0"/>
              <w:jc w:val="center"/>
              <w:textAlignment w:val="baseline"/>
              <w:rPr>
                <w:rFonts w:ascii="EC Square Sans Pro" w:hAnsi="EC Square Sans Pro"/>
                <w:b/>
                <w:bCs/>
                <w:noProof/>
              </w:rPr>
            </w:pPr>
            <w:r>
              <w:rPr>
                <w:rFonts w:ascii="EC Square Sans Pro" w:hAnsi="EC Square Sans Pro"/>
                <w:b/>
                <w:noProof/>
              </w:rPr>
              <w:t>LAIMĖJIMAI</w:t>
            </w:r>
          </w:p>
          <w:p w14:paraId="14C96310" w14:textId="7203F35D" w:rsidR="00E82967" w:rsidRPr="005459EB" w:rsidRDefault="00E82967" w:rsidP="00BA7D5C">
            <w:pPr>
              <w:spacing w:before="120"/>
              <w:rPr>
                <w:rStyle w:val="normaltextrun"/>
                <w:rFonts w:cs="Times New Roman"/>
                <w:noProof/>
              </w:rPr>
            </w:pPr>
            <w:r>
              <w:rPr>
                <w:rStyle w:val="normaltextrun"/>
                <w:b/>
                <w:noProof/>
              </w:rPr>
              <w:t>Konkretūs reformų ir gebėjimų stiprinimo</w:t>
            </w:r>
            <w:r>
              <w:rPr>
                <w:rStyle w:val="normaltextrun"/>
                <w:noProof/>
              </w:rPr>
              <w:t xml:space="preserve"> prieigos prie privačiojo kapitalo srityje 2023 m., teikiant TPP paramą, </w:t>
            </w:r>
            <w:r>
              <w:rPr>
                <w:rStyle w:val="normaltextrun"/>
                <w:b/>
                <w:noProof/>
              </w:rPr>
              <w:t>pavyzdžiai</w:t>
            </w:r>
            <w:r>
              <w:rPr>
                <w:rStyle w:val="normaltextrun"/>
                <w:noProof/>
              </w:rPr>
              <w:t>:</w:t>
            </w:r>
          </w:p>
          <w:p w14:paraId="0CEA2A54" w14:textId="4EC85806" w:rsidR="00E82967" w:rsidRPr="005459EB" w:rsidRDefault="00E82967" w:rsidP="00E82967">
            <w:pPr>
              <w:pStyle w:val="ListParagraph"/>
              <w:numPr>
                <w:ilvl w:val="0"/>
                <w:numId w:val="48"/>
              </w:numPr>
              <w:spacing w:before="120" w:after="240" w:line="276" w:lineRule="auto"/>
              <w:ind w:left="357" w:hanging="357"/>
              <w:textAlignment w:val="baseline"/>
              <w:rPr>
                <w:rStyle w:val="normaltextrun"/>
                <w:rFonts w:cs="Times New Roman"/>
                <w:noProof/>
              </w:rPr>
            </w:pPr>
            <w:r>
              <w:rPr>
                <w:rStyle w:val="normaltextrun"/>
                <w:b/>
                <w:noProof/>
              </w:rPr>
              <w:t>Rumunija, Kroatija, Lenkija</w:t>
            </w:r>
            <w:r>
              <w:rPr>
                <w:rStyle w:val="normaltextrun"/>
                <w:noProof/>
              </w:rPr>
              <w:t xml:space="preserve"> ir </w:t>
            </w:r>
            <w:r>
              <w:rPr>
                <w:rStyle w:val="normaltextrun"/>
                <w:b/>
                <w:noProof/>
              </w:rPr>
              <w:t>Malta</w:t>
            </w:r>
            <w:r>
              <w:rPr>
                <w:rStyle w:val="normaltextrun"/>
                <w:noProof/>
              </w:rPr>
              <w:t xml:space="preserve"> sustiprino savo finansų sektoriaus priežiūros institucijų gebėjimus ir pasiekė konvergenciją bendradarbiaudamos, kad parengtų informacijos atskleidimo priežiūros praktiką ir ataskaitų apie tvaraus finansavimo reikalavimus teikimo tvarką. Šio bendradarbiavimo tikslas buvo sukurti stabilesnę ir nuspėjamesnę aplinką tvarioms privačiojo sektoriaus įmonių investicijoms.</w:t>
            </w:r>
          </w:p>
          <w:p w14:paraId="0E669B9E" w14:textId="66046C6D" w:rsidR="00E82967" w:rsidRPr="005459EB" w:rsidRDefault="00E82967" w:rsidP="00E82967">
            <w:pPr>
              <w:pStyle w:val="ListParagraph"/>
              <w:numPr>
                <w:ilvl w:val="0"/>
                <w:numId w:val="48"/>
              </w:numPr>
              <w:spacing w:before="240" w:after="240" w:line="276" w:lineRule="auto"/>
              <w:textAlignment w:val="baseline"/>
              <w:rPr>
                <w:rStyle w:val="normaltextrun"/>
                <w:rFonts w:cs="Times New Roman"/>
                <w:noProof/>
              </w:rPr>
            </w:pPr>
            <w:r>
              <w:rPr>
                <w:rStyle w:val="normaltextrun"/>
                <w:b/>
                <w:noProof/>
              </w:rPr>
              <w:t>Bulgarija</w:t>
            </w:r>
            <w:r>
              <w:rPr>
                <w:rStyle w:val="normaltextrun"/>
                <w:noProof/>
              </w:rPr>
              <w:t xml:space="preserve"> ir </w:t>
            </w:r>
            <w:r>
              <w:rPr>
                <w:rStyle w:val="normaltextrun"/>
                <w:b/>
                <w:noProof/>
              </w:rPr>
              <w:t>Graikija</w:t>
            </w:r>
            <w:r>
              <w:rPr>
                <w:rStyle w:val="normaltextrun"/>
                <w:noProof/>
              </w:rPr>
              <w:t xml:space="preserve"> parengė išsamias analizes ir rekomendacijas, skirtas jų kapitalo rinkoms plėtoti. Tikslas buvo padidinti rinkos veiksmingumą, didinti investuotojų pasitikėjimą ir sudaryti palankesnes sąlygas įmonėms gauti finansavimą.</w:t>
            </w:r>
          </w:p>
          <w:p w14:paraId="116CB5FC" w14:textId="77777777" w:rsidR="00E82967" w:rsidRPr="005459EB" w:rsidRDefault="00E82967" w:rsidP="00E82967">
            <w:pPr>
              <w:pStyle w:val="ListParagraph"/>
              <w:numPr>
                <w:ilvl w:val="0"/>
                <w:numId w:val="48"/>
              </w:numPr>
              <w:spacing w:before="240" w:after="240" w:line="276" w:lineRule="auto"/>
              <w:textAlignment w:val="baseline"/>
              <w:rPr>
                <w:rStyle w:val="normaltextrun"/>
                <w:rFonts w:cs="Times New Roman"/>
                <w:noProof/>
              </w:rPr>
            </w:pPr>
            <w:r>
              <w:rPr>
                <w:rStyle w:val="normaltextrun"/>
                <w:b/>
                <w:noProof/>
              </w:rPr>
              <w:t>Estija</w:t>
            </w:r>
            <w:r>
              <w:rPr>
                <w:rStyle w:val="normaltextrun"/>
                <w:noProof/>
              </w:rPr>
              <w:t xml:space="preserve"> ir </w:t>
            </w:r>
            <w:r>
              <w:rPr>
                <w:rStyle w:val="normaltextrun"/>
                <w:b/>
                <w:noProof/>
              </w:rPr>
              <w:t>Latvija</w:t>
            </w:r>
            <w:r>
              <w:rPr>
                <w:rStyle w:val="normaltextrun"/>
                <w:noProof/>
              </w:rPr>
              <w:t xml:space="preserve"> bendrai išplėtojo savo požiūrį į ES taksonomijos ir tvaraus finansavimo strategijos įgyvendinimą, labiau suderindamos savo finansų ir ne finansų sektorius su tvaraus investavimo tikslais ir stiprindamos žaliųjų finansų rinką abiejose šalyse.</w:t>
            </w:r>
          </w:p>
          <w:p w14:paraId="128E3B83" w14:textId="2A685693" w:rsidR="00E82967" w:rsidRPr="005459EB" w:rsidRDefault="00E82967" w:rsidP="00E82967">
            <w:pPr>
              <w:pStyle w:val="ListParagraph"/>
              <w:numPr>
                <w:ilvl w:val="0"/>
                <w:numId w:val="48"/>
              </w:numPr>
              <w:spacing w:before="240" w:after="240" w:line="276" w:lineRule="auto"/>
              <w:textAlignment w:val="baseline"/>
              <w:rPr>
                <w:rFonts w:cs="Times New Roman"/>
                <w:noProof/>
              </w:rPr>
            </w:pPr>
            <w:r>
              <w:rPr>
                <w:rStyle w:val="normaltextrun"/>
                <w:b/>
                <w:noProof/>
              </w:rPr>
              <w:t>Graikija, Lenkija</w:t>
            </w:r>
            <w:r>
              <w:rPr>
                <w:rStyle w:val="normaltextrun"/>
                <w:noProof/>
              </w:rPr>
              <w:t xml:space="preserve"> ir </w:t>
            </w:r>
            <w:r>
              <w:rPr>
                <w:rStyle w:val="normaltextrun"/>
                <w:b/>
                <w:noProof/>
              </w:rPr>
              <w:t>Portugalija</w:t>
            </w:r>
            <w:r>
              <w:rPr>
                <w:rStyle w:val="normaltextrun"/>
                <w:noProof/>
              </w:rPr>
              <w:t xml:space="preserve"> parengė finansinio švietimo strategijas, kuriomis siekiama įgalinti vartotojus priimti informacija pagrįstus finansinius sprendimus.</w:t>
            </w:r>
          </w:p>
        </w:tc>
      </w:tr>
    </w:tbl>
    <w:p w14:paraId="46F30431" w14:textId="77777777" w:rsidR="00E82967" w:rsidRPr="005459EB" w:rsidRDefault="00E82967" w:rsidP="00C22B0D">
      <w:pPr>
        <w:pStyle w:val="Heading2"/>
        <w:spacing w:before="360"/>
        <w:rPr>
          <w:noProof/>
          <w:color w:val="2E74B5" w:themeColor="accent1" w:themeShade="BF"/>
        </w:rPr>
      </w:pPr>
      <w:bookmarkStart w:id="34" w:name="_Toc162018527"/>
      <w:bookmarkStart w:id="35" w:name="_Toc179190874"/>
      <w:r>
        <w:rPr>
          <w:noProof/>
          <w14:textFill>
            <w14:solidFill>
              <w14:schemeClr w14:val="accent1">
                <w14:lumMod w14:val="75000"/>
                <w14:lumMod w14:val="75000"/>
                <w14:lumMod w14:val="75000"/>
              </w14:schemeClr>
            </w14:solidFill>
          </w14:textFill>
        </w:rPr>
        <w:t>Viešosios investicijos ir infrastruktūra</w:t>
      </w:r>
      <w:bookmarkEnd w:id="34"/>
      <w:bookmarkEnd w:id="35"/>
    </w:p>
    <w:p w14:paraId="73F496A7" w14:textId="1350F243" w:rsidR="00E82967" w:rsidRPr="005459EB" w:rsidRDefault="00E82967" w:rsidP="00E82967">
      <w:pPr>
        <w:spacing w:before="120"/>
        <w:rPr>
          <w:rFonts w:cs="Times New Roman"/>
          <w:noProof/>
        </w:rPr>
      </w:pPr>
      <w:bookmarkStart w:id="36" w:name="_Toc161911516"/>
      <w:bookmarkStart w:id="37" w:name="_Toc161913828"/>
      <w:bookmarkStart w:id="38" w:name="_Toc161913886"/>
      <w:bookmarkStart w:id="39" w:name="_Toc161914333"/>
      <w:bookmarkStart w:id="40" w:name="_Toc161911517"/>
      <w:bookmarkStart w:id="41" w:name="_Toc161913829"/>
      <w:bookmarkStart w:id="42" w:name="_Toc161913887"/>
      <w:bookmarkStart w:id="43" w:name="_Toc161914334"/>
      <w:bookmarkStart w:id="44" w:name="_Toc161914404"/>
      <w:bookmarkEnd w:id="36"/>
      <w:bookmarkEnd w:id="37"/>
      <w:bookmarkEnd w:id="38"/>
      <w:bookmarkEnd w:id="39"/>
      <w:bookmarkEnd w:id="40"/>
      <w:bookmarkEnd w:id="41"/>
      <w:bookmarkEnd w:id="42"/>
      <w:bookmarkEnd w:id="43"/>
      <w:bookmarkEnd w:id="44"/>
      <w:r>
        <w:rPr>
          <w:noProof/>
        </w:rPr>
        <w:t xml:space="preserve">REFORM GD parama valstybėms narėms padeda joms stiprinti savo gebėjimus vykdyti reformas </w:t>
      </w:r>
      <w:r>
        <w:rPr>
          <w:b/>
          <w:noProof/>
        </w:rPr>
        <w:t>viešųjų investicijų valdymo ir infrastruktūros valdymo</w:t>
      </w:r>
      <w:r>
        <w:rPr>
          <w:noProof/>
        </w:rPr>
        <w:t xml:space="preserve"> srityje.</w:t>
      </w:r>
      <w:r>
        <w:rPr>
          <w:b/>
          <w:noProof/>
        </w:rPr>
        <w:t xml:space="preserve"> </w:t>
      </w:r>
      <w:r>
        <w:rPr>
          <w:noProof/>
        </w:rPr>
        <w:t>Parama apima įvairias politikos sritis, atsižvelgiant tiek į kompleksinį, tiek į konkretaus sektoriaus aspektą, nuo viešųjų investicijų valdymo praktikos optimizavimo iki geresnio infrastruktūros planavimo siekiant įgyvendinti žaliosios ir skaitmeninės pertvarkos tikslus.</w:t>
      </w:r>
    </w:p>
    <w:tbl>
      <w:tblPr>
        <w:tblStyle w:val="TableGrid"/>
        <w:tblW w:w="0" w:type="auto"/>
        <w:tblInd w:w="108" w:type="dxa"/>
        <w:shd w:val="clear" w:color="auto" w:fill="B4C6E7" w:themeFill="accent5" w:themeFillTint="66"/>
        <w:tblLook w:val="04A0" w:firstRow="1" w:lastRow="0" w:firstColumn="1" w:lastColumn="0" w:noHBand="0" w:noVBand="1"/>
      </w:tblPr>
      <w:tblGrid>
        <w:gridCol w:w="9072"/>
      </w:tblGrid>
      <w:tr w:rsidR="00E82967" w:rsidRPr="005459EB" w14:paraId="10AA18F4" w14:textId="77777777" w:rsidTr="00BA7D5C">
        <w:tc>
          <w:tcPr>
            <w:tcW w:w="9072" w:type="dxa"/>
            <w:shd w:val="clear" w:color="auto" w:fill="B4C6E7" w:themeFill="accent5" w:themeFillTint="66"/>
          </w:tcPr>
          <w:p w14:paraId="0944701E" w14:textId="6B06AA71" w:rsidR="00E82967" w:rsidRPr="005459EB" w:rsidRDefault="00190CA5" w:rsidP="00BA7D5C">
            <w:pPr>
              <w:spacing w:before="120"/>
              <w:jc w:val="center"/>
              <w:rPr>
                <w:rFonts w:cs="Times New Roman"/>
                <w:b/>
                <w:bCs/>
                <w:noProof/>
              </w:rPr>
            </w:pPr>
            <w:r>
              <w:rPr>
                <w:b/>
                <w:noProof/>
              </w:rPr>
              <w:t>DĖMESYS PAVYZDINĖMS INICIATYVOMS</w:t>
            </w:r>
          </w:p>
          <w:p w14:paraId="218DF4A9" w14:textId="4C9DFB24" w:rsidR="00E82967" w:rsidRPr="005459EB" w:rsidRDefault="00E82967" w:rsidP="00BA7D5C">
            <w:pPr>
              <w:spacing w:before="120"/>
              <w:rPr>
                <w:rFonts w:cs="Times New Roman"/>
                <w:noProof/>
              </w:rPr>
            </w:pPr>
            <w:r>
              <w:rPr>
                <w:noProof/>
              </w:rPr>
              <w:t xml:space="preserve">2023 m. REFORM GD padėjo įgyvendinti </w:t>
            </w:r>
            <w:r>
              <w:rPr>
                <w:b/>
                <w:noProof/>
              </w:rPr>
              <w:t>dvi pavyzdines iniciatyvas</w:t>
            </w:r>
            <w:r>
              <w:rPr>
                <w:noProof/>
              </w:rPr>
              <w:t xml:space="preserve"> viešųjų investicijų ir infrastruktūros srityje:</w:t>
            </w:r>
          </w:p>
          <w:p w14:paraId="5DEFAEFD" w14:textId="40303334" w:rsidR="00E82967" w:rsidRPr="005459EB" w:rsidRDefault="00E82967" w:rsidP="00E82967">
            <w:pPr>
              <w:pStyle w:val="ListParagraph"/>
              <w:numPr>
                <w:ilvl w:val="0"/>
                <w:numId w:val="44"/>
              </w:numPr>
              <w:spacing w:before="120"/>
              <w:contextualSpacing w:val="0"/>
              <w:rPr>
                <w:rFonts w:cs="Times New Roman"/>
                <w:noProof/>
              </w:rPr>
            </w:pPr>
            <w:r>
              <w:rPr>
                <w:b/>
                <w:noProof/>
              </w:rPr>
              <w:t>aštuonios valstybės narės</w:t>
            </w:r>
            <w:r>
              <w:rPr>
                <w:noProof/>
              </w:rPr>
              <w:t xml:space="preserve"> (AT, BE, HU, IT, LV, SK, SI ir ES) gavo paramą pagal </w:t>
            </w:r>
            <w:hyperlink r:id="rId100" w:history="1">
              <w:r>
                <w:rPr>
                  <w:rStyle w:val="Hyperlink"/>
                  <w:b/>
                  <w:noProof/>
                  <w:color w:val="034990" w:themeColor="hyperlink" w:themeShade="BF"/>
                </w:rPr>
                <w:t>2023 m. TPP pavyzdinę iniciatyvą dėl reikšmingos žalos nedarymo principo taikymo viešosioms investicijoms</w:t>
              </w:r>
            </w:hyperlink>
            <w:r>
              <w:rPr>
                <w:noProof/>
              </w:rPr>
              <w:t xml:space="preserve"> iš ES ir nacionalinių fondų ir programų, įskaitant Ekonomikos gaivinimo ir atsparumo didinimo priemonę (EGADP). Dar trys valstybės narės (FI, CZ ir PL) tokią paramą gavo pagal 2022 m. TPP;</w:t>
            </w:r>
          </w:p>
          <w:p w14:paraId="4F191792" w14:textId="57F1A055" w:rsidR="00E82967" w:rsidRPr="005459EB" w:rsidRDefault="00E82967" w:rsidP="00E82967">
            <w:pPr>
              <w:pStyle w:val="ListParagraph"/>
              <w:numPr>
                <w:ilvl w:val="0"/>
                <w:numId w:val="44"/>
              </w:numPr>
              <w:spacing w:before="120" w:after="240"/>
              <w:ind w:left="357" w:hanging="357"/>
              <w:contextualSpacing w:val="0"/>
              <w:rPr>
                <w:rFonts w:cs="Times New Roman"/>
                <w:noProof/>
              </w:rPr>
            </w:pPr>
            <w:r>
              <w:rPr>
                <w:b/>
                <w:noProof/>
              </w:rPr>
              <w:t>septynios valstybės narės</w:t>
            </w:r>
            <w:r>
              <w:rPr>
                <w:noProof/>
              </w:rPr>
              <w:t xml:space="preserve"> (IT, EL, NL, MT, BE, PL ir SK) gavo paramą pagal </w:t>
            </w:r>
            <w:hyperlink r:id="rId101" w:history="1">
              <w:r>
                <w:rPr>
                  <w:rStyle w:val="Hyperlink"/>
                  <w:b/>
                  <w:noProof/>
                  <w:color w:val="034990" w:themeColor="hyperlink" w:themeShade="BF"/>
                </w:rPr>
                <w:t>2022 m. TPP pavyzdinę iniciatyvą, kuria siekiama skatinti darnų judumą mieste</w:t>
              </w:r>
            </w:hyperlink>
            <w:r>
              <w:rPr>
                <w:noProof/>
              </w:rPr>
              <w:t>, be kita ko, naudojant netaršias ir mažataršes transporto priemones ir įgyvendinant darnaus judumo mieste planus.</w:t>
            </w:r>
          </w:p>
        </w:tc>
      </w:tr>
    </w:tbl>
    <w:p w14:paraId="688C051B" w14:textId="29D438AE" w:rsidR="000C19BE" w:rsidRDefault="00E82967" w:rsidP="00E82967">
      <w:pPr>
        <w:spacing w:before="360" w:after="360"/>
        <w:rPr>
          <w:rFonts w:cs="Times New Roman"/>
          <w:noProof/>
        </w:rPr>
      </w:pPr>
      <w:r>
        <w:rPr>
          <w:noProof/>
        </w:rPr>
        <w:t xml:space="preserve">2023 m. REFORM GD teikė paramą </w:t>
      </w:r>
      <w:r>
        <w:rPr>
          <w:b/>
          <w:noProof/>
        </w:rPr>
        <w:t>20 valstybių narių</w:t>
      </w:r>
      <w:r>
        <w:rPr>
          <w:noProof/>
        </w:rPr>
        <w:t xml:space="preserve"> (AT, BE, BG, CZ, DE, EL, ES, FI, HU, IE, IT, LT, LV, MT, NL, PL, PT, RO, SK ir SI), be kita ko, pagal TPP pavyzdines iniciatyvas, kad būtų: i) optimizuojamas viešųjų lėšų paskirstymas; ii) užtikrinamas veiksmingas jų panaudojimas ir suderinamumas su bendraisiais ES ir nacionalinės politikos tikslais, pavyzdžiui, žaliuoju kursu; iii) stiprinami valstybių narių instituciniai gebėjimai planuojant, vykdant ir vertinant projektus ir iv) plėtojama ir gerinama viešoji infrastruktūra tokiose srityse kaip energetika, transportas ir skaitmeninis junglumas. Teikdamas šią paramą REFORM GD siekė pagerinti viešųjų investicijų į tvarų augimą ir atsparumą ES kokybę ir poveikį.</w:t>
      </w:r>
    </w:p>
    <w:p w14:paraId="3C976FA6" w14:textId="77777777" w:rsidR="000C19BE" w:rsidRDefault="000C19BE">
      <w:pPr>
        <w:jc w:val="left"/>
        <w:rPr>
          <w:rFonts w:cs="Times New Roman"/>
          <w:noProof/>
        </w:rPr>
      </w:pPr>
      <w:r>
        <w:rPr>
          <w:noProof/>
        </w:rPr>
        <w:br w:type="page"/>
      </w:r>
    </w:p>
    <w:tbl>
      <w:tblPr>
        <w:tblStyle w:val="TableGrid"/>
        <w:tblW w:w="0" w:type="auto"/>
        <w:tblInd w:w="108" w:type="dxa"/>
        <w:shd w:val="clear" w:color="auto" w:fill="DBDBDB" w:themeFill="accent3" w:themeFillTint="66"/>
        <w:tblLook w:val="04A0" w:firstRow="1" w:lastRow="0" w:firstColumn="1" w:lastColumn="0" w:noHBand="0" w:noVBand="1"/>
      </w:tblPr>
      <w:tblGrid>
        <w:gridCol w:w="9072"/>
      </w:tblGrid>
      <w:tr w:rsidR="00E82967" w:rsidRPr="005459EB" w14:paraId="6AA628C9" w14:textId="77777777" w:rsidTr="00BA7D5C">
        <w:tc>
          <w:tcPr>
            <w:tcW w:w="9072" w:type="dxa"/>
            <w:shd w:val="clear" w:color="auto" w:fill="DBDBDB" w:themeFill="accent3" w:themeFillTint="66"/>
          </w:tcPr>
          <w:p w14:paraId="5EACCD0D" w14:textId="77777777" w:rsidR="00E82967" w:rsidRPr="005459EB" w:rsidRDefault="00E82967" w:rsidP="00BA7D5C">
            <w:pPr>
              <w:pStyle w:val="paragraph"/>
              <w:spacing w:before="120" w:beforeAutospacing="0" w:after="0" w:afterAutospacing="0"/>
              <w:jc w:val="center"/>
              <w:textAlignment w:val="baseline"/>
              <w:rPr>
                <w:rFonts w:ascii="EC Square Sans Pro" w:hAnsi="EC Square Sans Pro"/>
                <w:b/>
                <w:bCs/>
                <w:noProof/>
              </w:rPr>
            </w:pPr>
            <w:r>
              <w:rPr>
                <w:rFonts w:ascii="EC Square Sans Pro" w:hAnsi="EC Square Sans Pro"/>
                <w:b/>
                <w:noProof/>
              </w:rPr>
              <w:t>LAIMĖJIMAI</w:t>
            </w:r>
          </w:p>
          <w:p w14:paraId="2643494F" w14:textId="21862FB2" w:rsidR="00E82967" w:rsidRPr="005459EB" w:rsidRDefault="00E82967" w:rsidP="00BA7D5C">
            <w:pPr>
              <w:spacing w:before="120"/>
              <w:rPr>
                <w:rStyle w:val="normaltextrun"/>
                <w:rFonts w:cs="Times New Roman"/>
                <w:noProof/>
              </w:rPr>
            </w:pPr>
            <w:r>
              <w:rPr>
                <w:rStyle w:val="normaltextrun"/>
                <w:b/>
                <w:noProof/>
              </w:rPr>
              <w:t>Konkretūs reformų</w:t>
            </w:r>
            <w:r>
              <w:rPr>
                <w:rStyle w:val="normaltextrun"/>
                <w:noProof/>
              </w:rPr>
              <w:t xml:space="preserve"> viešųjų investicijų ir infrastruktūros srityje, užbaigtų 2023 m., teikiant TPP paramą, </w:t>
            </w:r>
            <w:r>
              <w:rPr>
                <w:rStyle w:val="normaltextrun"/>
                <w:b/>
                <w:noProof/>
              </w:rPr>
              <w:t>pavyzdžiai</w:t>
            </w:r>
            <w:r>
              <w:rPr>
                <w:rStyle w:val="normaltextrun"/>
                <w:noProof/>
              </w:rPr>
              <w:t>:</w:t>
            </w:r>
          </w:p>
          <w:p w14:paraId="7E603084" w14:textId="4A2F9B4E" w:rsidR="00E82967" w:rsidRPr="005459EB" w:rsidRDefault="00E82967" w:rsidP="00E82967">
            <w:pPr>
              <w:pStyle w:val="ListParagraph"/>
              <w:numPr>
                <w:ilvl w:val="0"/>
                <w:numId w:val="48"/>
              </w:numPr>
              <w:spacing w:before="120"/>
              <w:contextualSpacing w:val="0"/>
              <w:rPr>
                <w:rFonts w:cs="Times New Roman"/>
                <w:noProof/>
              </w:rPr>
            </w:pPr>
            <w:r>
              <w:rPr>
                <w:b/>
                <w:noProof/>
              </w:rPr>
              <w:t>Airija</w:t>
            </w:r>
            <w:r>
              <w:rPr>
                <w:noProof/>
              </w:rPr>
              <w:t xml:space="preserve"> </w:t>
            </w:r>
            <w:r>
              <w:rPr>
                <w:noProof/>
                <w:color w:val="000000" w:themeColor="text1" w:themeShade="BF"/>
              </w:rPr>
              <w:t>peržiūrėjo savo kapitalo vertinimo gaires, siekdama paspartinti nacionalinio plėtros plano įgyvendinimą.</w:t>
            </w:r>
          </w:p>
          <w:p w14:paraId="4B322978" w14:textId="52DD8E10" w:rsidR="00E82967" w:rsidRPr="005459EB" w:rsidRDefault="00E82967" w:rsidP="00E82967">
            <w:pPr>
              <w:pStyle w:val="ListParagraph"/>
              <w:numPr>
                <w:ilvl w:val="0"/>
                <w:numId w:val="48"/>
              </w:numPr>
              <w:spacing w:before="120"/>
              <w:contextualSpacing w:val="0"/>
              <w:rPr>
                <w:rFonts w:cs="Times New Roman"/>
                <w:iCs/>
                <w:noProof/>
              </w:rPr>
            </w:pPr>
            <w:r>
              <w:rPr>
                <w:b/>
                <w:noProof/>
              </w:rPr>
              <w:t>Graikija</w:t>
            </w:r>
            <w:r>
              <w:rPr>
                <w:noProof/>
              </w:rPr>
              <w:t xml:space="preserve"> patobulino savo IT sistemą ir ataskaitų teikimo mechanizmus, kuriais siekiama supaprastinti viešųjų investicijų biudžeto stebėseną. Ji taip pat parengė išsamiai peržiūrėtą teisės aktų sistemą, kuri 2024 m. bus pateikta parlamentui.</w:t>
            </w:r>
          </w:p>
          <w:p w14:paraId="5E6DC1A0" w14:textId="2BC28FBC" w:rsidR="00E82967" w:rsidRPr="005459EB" w:rsidRDefault="00E82967" w:rsidP="00E82967">
            <w:pPr>
              <w:pStyle w:val="ListParagraph"/>
              <w:numPr>
                <w:ilvl w:val="0"/>
                <w:numId w:val="48"/>
              </w:numPr>
              <w:spacing w:before="120"/>
              <w:contextualSpacing w:val="0"/>
              <w:rPr>
                <w:rFonts w:cs="Times New Roman"/>
                <w:noProof/>
              </w:rPr>
            </w:pPr>
            <w:r>
              <w:rPr>
                <w:b/>
                <w:noProof/>
              </w:rPr>
              <w:t>Slovakija</w:t>
            </w:r>
            <w:r>
              <w:rPr>
                <w:noProof/>
              </w:rPr>
              <w:t xml:space="preserve"> pradėjo investicijų valdymo reformą, kuria siekiama padidinti </w:t>
            </w:r>
            <w:r>
              <w:rPr>
                <w:noProof/>
                <w:color w:val="000000" w:themeColor="text1" w:themeShade="BF"/>
              </w:rPr>
              <w:t>naujai įgyvendintų investicinių projektų ekonominę vertę ir gauti didesnę kiekvieno euro grąžą.</w:t>
            </w:r>
          </w:p>
          <w:p w14:paraId="33A9F995" w14:textId="3E91B824" w:rsidR="00E82967" w:rsidRPr="005459EB" w:rsidRDefault="00E82967" w:rsidP="00E82967">
            <w:pPr>
              <w:pStyle w:val="ListParagraph"/>
              <w:numPr>
                <w:ilvl w:val="0"/>
                <w:numId w:val="48"/>
              </w:numPr>
              <w:spacing w:before="120"/>
              <w:contextualSpacing w:val="0"/>
              <w:rPr>
                <w:rFonts w:cs="Times New Roman"/>
                <w:noProof/>
              </w:rPr>
            </w:pPr>
            <w:r>
              <w:rPr>
                <w:b/>
                <w:noProof/>
                <w:color w:val="000000" w:themeColor="text1" w:themeShade="BF"/>
              </w:rPr>
              <w:t>Belgija</w:t>
            </w:r>
            <w:r>
              <w:rPr>
                <w:noProof/>
                <w:color w:val="000000" w:themeColor="text1" w:themeShade="BF"/>
              </w:rPr>
              <w:t xml:space="preserve"> įsteigė Viešųjų investicijų tyrimų komitetą, kuris rengia ataskaitas ir nuomones dėl viešųjų investicijų tendencijų, poreikių, įgyvendinimo ir pasekmių, o pagal TPP padedama šiam komitetui tai įgyvendinti.</w:t>
            </w:r>
          </w:p>
          <w:p w14:paraId="1AD89688" w14:textId="77777777" w:rsidR="00E82967" w:rsidRPr="005459EB" w:rsidRDefault="00E82967" w:rsidP="00E82967">
            <w:pPr>
              <w:pStyle w:val="ListParagraph"/>
              <w:numPr>
                <w:ilvl w:val="0"/>
                <w:numId w:val="48"/>
              </w:numPr>
              <w:spacing w:before="120"/>
              <w:contextualSpacing w:val="0"/>
              <w:rPr>
                <w:rFonts w:cs="Times New Roman"/>
                <w:noProof/>
              </w:rPr>
            </w:pPr>
            <w:r>
              <w:rPr>
                <w:b/>
                <w:noProof/>
              </w:rPr>
              <w:t>Rumunija</w:t>
            </w:r>
            <w:r>
              <w:rPr>
                <w:noProof/>
              </w:rPr>
              <w:t xml:space="preserve"> paskelbė viešojo ir privačiojo sektorių partnerystės gaires, kad padėtų vietos ir nacionalinėms valdžios institucijoms sėkmingai pradėti ir įgyvendinti investicinius projektus.</w:t>
            </w:r>
          </w:p>
          <w:p w14:paraId="0213AB3D" w14:textId="3CC0A7F1" w:rsidR="00E82967" w:rsidRPr="005459EB" w:rsidRDefault="00E82967" w:rsidP="00E82967">
            <w:pPr>
              <w:pStyle w:val="ListParagraph"/>
              <w:numPr>
                <w:ilvl w:val="0"/>
                <w:numId w:val="48"/>
              </w:numPr>
              <w:spacing w:before="120"/>
              <w:contextualSpacing w:val="0"/>
              <w:rPr>
                <w:rFonts w:cs="Times New Roman"/>
                <w:noProof/>
              </w:rPr>
            </w:pPr>
            <w:r>
              <w:rPr>
                <w:b/>
                <w:noProof/>
              </w:rPr>
              <w:t>Graikija</w:t>
            </w:r>
            <w:r>
              <w:rPr>
                <w:noProof/>
              </w:rPr>
              <w:t xml:space="preserve"> priėmė statinių informacinio modeliavimo (angl. BIM) diegimo viešosios infrastruktūros projektuose strategiją ir veiksmų gaires. Tai padės sutaupyti daug lėšų ir geriau panaudoti išteklius.</w:t>
            </w:r>
          </w:p>
          <w:p w14:paraId="479CEFBE" w14:textId="45F7ABAE" w:rsidR="00E82967" w:rsidRPr="005459EB" w:rsidRDefault="00E82967" w:rsidP="00E82967">
            <w:pPr>
              <w:pStyle w:val="ListParagraph"/>
              <w:numPr>
                <w:ilvl w:val="0"/>
                <w:numId w:val="48"/>
              </w:numPr>
              <w:spacing w:before="120" w:after="240"/>
              <w:contextualSpacing w:val="0"/>
              <w:rPr>
                <w:rFonts w:cs="Times New Roman"/>
                <w:noProof/>
              </w:rPr>
            </w:pPr>
            <w:r>
              <w:rPr>
                <w:b/>
                <w:noProof/>
              </w:rPr>
              <w:t>Belgijos</w:t>
            </w:r>
            <w:r>
              <w:rPr>
                <w:noProof/>
              </w:rPr>
              <w:t xml:space="preserve"> Antverpeno uostas, pasinaudodamas TPP parama, patvirtino priemones, kuriomis siekiama pagerinti vidaus vandenų laivybą ir eismo sąlygas Antverpeno uosto teritorijoje.</w:t>
            </w:r>
          </w:p>
        </w:tc>
      </w:tr>
    </w:tbl>
    <w:p w14:paraId="0938D543" w14:textId="77777777" w:rsidR="00E82967" w:rsidRPr="005459EB" w:rsidRDefault="00E82967" w:rsidP="00C22B0D">
      <w:pPr>
        <w:pStyle w:val="Heading2"/>
        <w:spacing w:before="360"/>
        <w:rPr>
          <w:noProof/>
          <w:color w:val="2E74B5" w:themeColor="accent1" w:themeShade="BF"/>
        </w:rPr>
      </w:pPr>
      <w:bookmarkStart w:id="45" w:name="_Toc161911520"/>
      <w:bookmarkStart w:id="46" w:name="_Toc161913832"/>
      <w:bookmarkStart w:id="47" w:name="_Toc161913890"/>
      <w:bookmarkStart w:id="48" w:name="_Toc161914337"/>
      <w:bookmarkStart w:id="49" w:name="_Toc161914407"/>
      <w:bookmarkStart w:id="50" w:name="_Toc161914507"/>
      <w:bookmarkStart w:id="51" w:name="_Toc161914600"/>
      <w:bookmarkStart w:id="52" w:name="_Toc162018528"/>
      <w:bookmarkStart w:id="53" w:name="_Toc179190875"/>
      <w:bookmarkEnd w:id="45"/>
      <w:bookmarkEnd w:id="46"/>
      <w:bookmarkEnd w:id="47"/>
      <w:bookmarkEnd w:id="48"/>
      <w:bookmarkEnd w:id="49"/>
      <w:bookmarkEnd w:id="50"/>
      <w:bookmarkEnd w:id="51"/>
      <w:r>
        <w:rPr>
          <w:noProof/>
          <w14:textFill>
            <w14:solidFill>
              <w14:schemeClr w14:val="accent1">
                <w14:lumMod w14:val="75000"/>
                <w14:lumMod w14:val="75000"/>
                <w14:lumMod w14:val="75000"/>
              </w14:schemeClr>
            </w14:solidFill>
          </w14:textFill>
        </w:rPr>
        <w:t>Moksliniai tyrimai ir inovacijos</w:t>
      </w:r>
      <w:bookmarkEnd w:id="52"/>
      <w:bookmarkEnd w:id="53"/>
    </w:p>
    <w:p w14:paraId="645A20C3" w14:textId="4ECFAADC" w:rsidR="00E82967" w:rsidRPr="005459EB" w:rsidRDefault="00E82967" w:rsidP="00E82967">
      <w:pPr>
        <w:spacing w:before="120"/>
        <w:rPr>
          <w:rFonts w:cs="Times New Roman"/>
          <w:b/>
          <w:bCs/>
          <w:noProof/>
        </w:rPr>
      </w:pPr>
      <w:r>
        <w:rPr>
          <w:noProof/>
        </w:rPr>
        <w:t xml:space="preserve">REFORM GD parama valstybėms narėms stiprina jų gebėjimą vykdyti reformas, </w:t>
      </w:r>
      <w:r>
        <w:rPr>
          <w:b/>
          <w:noProof/>
        </w:rPr>
        <w:t>kuriomis siekiama stiprinti mokslinius tyrimus ir inovacijas</w:t>
      </w:r>
      <w:r>
        <w:rPr>
          <w:noProof/>
        </w:rPr>
        <w:t xml:space="preserve">. Ji taip pat padėjo joms pasiekti </w:t>
      </w:r>
      <w:r>
        <w:rPr>
          <w:b/>
          <w:noProof/>
        </w:rPr>
        <w:t>Komisijos komunikato dėl naujos mokslinių tyrimų ir inovacijų erdvės</w:t>
      </w:r>
      <w:r>
        <w:rPr>
          <w:rStyle w:val="FootnoteReference"/>
          <w:rFonts w:cs="Times New Roman"/>
          <w:b/>
          <w:bCs/>
          <w:noProof/>
        </w:rPr>
        <w:footnoteReference w:id="14"/>
      </w:r>
      <w:r>
        <w:rPr>
          <w:noProof/>
        </w:rPr>
        <w:t xml:space="preserve"> ir </w:t>
      </w:r>
      <w:r>
        <w:rPr>
          <w:b/>
          <w:noProof/>
        </w:rPr>
        <w:t>Europos universitetų strategijos</w:t>
      </w:r>
      <w:r>
        <w:rPr>
          <w:rStyle w:val="FootnoteReference"/>
          <w:rFonts w:cs="Times New Roman"/>
          <w:b/>
          <w:bCs/>
          <w:noProof/>
        </w:rPr>
        <w:footnoteReference w:id="15"/>
      </w:r>
      <w:r>
        <w:rPr>
          <w:noProof/>
        </w:rPr>
        <w:t xml:space="preserve"> tikslus.</w:t>
      </w:r>
      <w:r>
        <w:rPr>
          <w:b/>
          <w:noProof/>
        </w:rPr>
        <w:t xml:space="preserve"> </w:t>
      </w:r>
      <w:r>
        <w:rPr>
          <w:noProof/>
        </w:rPr>
        <w:t>Parama apima įvairias politikos sritis – nuo priklausomybės nuo iškastinio kuro mažinimo ir skaitmenizacijos iki demografijos. Be kita ko, teikiant šią paramą skatinamos strategijos, politika ir priemonės, skirtos skleisti naujas žinias ir proveržio inovacijas, kurios taps žaliosios ir skaitmeninės transformacijos varomąja jėga. Ši parama taip pat apima nacionalinių mokslinių tyrimų ir inovacijų institucijų pertvarkymą.</w:t>
      </w:r>
    </w:p>
    <w:p w14:paraId="5EAC1731" w14:textId="18C9AC5A" w:rsidR="00C9760D" w:rsidRPr="005459EB" w:rsidRDefault="00E82967" w:rsidP="00C22B0D">
      <w:pPr>
        <w:spacing w:before="120" w:after="240"/>
        <w:rPr>
          <w:rFonts w:cs="Times New Roman"/>
          <w:noProof/>
        </w:rPr>
      </w:pPr>
      <w:r>
        <w:rPr>
          <w:noProof/>
        </w:rPr>
        <w:t xml:space="preserve">2023 m. REFORM GD teikė paramą </w:t>
      </w:r>
      <w:r>
        <w:rPr>
          <w:b/>
          <w:noProof/>
        </w:rPr>
        <w:t>16 valstybių narių</w:t>
      </w:r>
      <w:r>
        <w:rPr>
          <w:noProof/>
        </w:rPr>
        <w:t xml:space="preserve"> (BG, CY, CZ, DE, EE, ES, FR, HR, HU, IT, LV, NL, PL, PT, SI ir SK) mokslinių tyrimų ir inovacijų srityje, o tai suteikė galimybių </w:t>
      </w:r>
      <w:r>
        <w:rPr>
          <w:b/>
          <w:noProof/>
        </w:rPr>
        <w:t>modernizuoti aukštąjį mokslą</w:t>
      </w:r>
      <w:r>
        <w:rPr>
          <w:noProof/>
        </w:rPr>
        <w:t xml:space="preserve">, kad būtų geriau tenkinami darbo rinkos poreikiai ir skatinamas </w:t>
      </w:r>
      <w:r>
        <w:rPr>
          <w:b/>
          <w:noProof/>
        </w:rPr>
        <w:t>universitetų, mokslinių tyrimų ir įmonių keitimasis žiniomis</w:t>
      </w:r>
      <w:r>
        <w:rPr>
          <w:noProof/>
        </w:rPr>
        <w:t xml:space="preserve">. Įrodymais grindžiamas politikos formavimas taip pat buvo sustiprintas sudarant palankesnes sąlygas tarpusavio mokymuisi, užmegzti partnerystes ir politikos eksperimentams. Tai padėjo užtikrinti ilgalaikę naudą </w:t>
      </w:r>
      <w:r>
        <w:rPr>
          <w:b/>
          <w:noProof/>
        </w:rPr>
        <w:t>konkurencingumo, socialinės pažangos ir tvaraus ekonominio vystymosi</w:t>
      </w:r>
      <w:r>
        <w:rPr>
          <w:noProof/>
        </w:rPr>
        <w:t xml:space="preserve"> srityse.</w:t>
      </w:r>
    </w:p>
    <w:tbl>
      <w:tblPr>
        <w:tblStyle w:val="TableGrid"/>
        <w:tblW w:w="0" w:type="auto"/>
        <w:tblInd w:w="108" w:type="dxa"/>
        <w:shd w:val="clear" w:color="auto" w:fill="DBDBDB" w:themeFill="accent3" w:themeFillTint="66"/>
        <w:tblLook w:val="04A0" w:firstRow="1" w:lastRow="0" w:firstColumn="1" w:lastColumn="0" w:noHBand="0" w:noVBand="1"/>
      </w:tblPr>
      <w:tblGrid>
        <w:gridCol w:w="9072"/>
      </w:tblGrid>
      <w:tr w:rsidR="00E82967" w:rsidRPr="005459EB" w14:paraId="0263796C" w14:textId="77777777" w:rsidTr="00BA7D5C">
        <w:tc>
          <w:tcPr>
            <w:tcW w:w="9072" w:type="dxa"/>
            <w:shd w:val="clear" w:color="auto" w:fill="DBDBDB" w:themeFill="accent3" w:themeFillTint="66"/>
          </w:tcPr>
          <w:p w14:paraId="6F6CCD20" w14:textId="77777777" w:rsidR="00E82967" w:rsidRPr="005459EB" w:rsidRDefault="00E82967" w:rsidP="00BA7D5C">
            <w:pPr>
              <w:pStyle w:val="paragraph"/>
              <w:spacing w:before="120" w:beforeAutospacing="0" w:after="0" w:afterAutospacing="0"/>
              <w:jc w:val="center"/>
              <w:textAlignment w:val="baseline"/>
              <w:rPr>
                <w:rFonts w:ascii="EC Square Sans Pro" w:hAnsi="EC Square Sans Pro"/>
                <w:b/>
                <w:bCs/>
                <w:noProof/>
              </w:rPr>
            </w:pPr>
            <w:r>
              <w:rPr>
                <w:rFonts w:ascii="EC Square Sans Pro" w:hAnsi="EC Square Sans Pro"/>
                <w:b/>
                <w:noProof/>
              </w:rPr>
              <w:t>LAIMĖJIMAI</w:t>
            </w:r>
          </w:p>
          <w:p w14:paraId="3C064308" w14:textId="77777777" w:rsidR="00E82967" w:rsidRPr="005459EB" w:rsidRDefault="00E82967" w:rsidP="00BA7D5C">
            <w:pPr>
              <w:spacing w:before="120"/>
              <w:rPr>
                <w:rStyle w:val="normaltextrun"/>
                <w:rFonts w:cs="Times New Roman"/>
                <w:noProof/>
              </w:rPr>
            </w:pPr>
            <w:r>
              <w:rPr>
                <w:rStyle w:val="normaltextrun"/>
                <w:b/>
                <w:noProof/>
              </w:rPr>
              <w:t>Konkretūs reformų ir gebėjimų stiprinimo</w:t>
            </w:r>
            <w:r>
              <w:rPr>
                <w:rStyle w:val="normaltextrun"/>
                <w:noProof/>
              </w:rPr>
              <w:t xml:space="preserve"> mokslinių tyrimų ir inovacijų srityje 2023 m., teikiant TPP paramą, </w:t>
            </w:r>
            <w:r>
              <w:rPr>
                <w:rStyle w:val="normaltextrun"/>
                <w:b/>
                <w:noProof/>
              </w:rPr>
              <w:t>pavyzdžiai</w:t>
            </w:r>
            <w:r>
              <w:rPr>
                <w:rStyle w:val="normaltextrun"/>
                <w:noProof/>
              </w:rPr>
              <w:t>:</w:t>
            </w:r>
          </w:p>
          <w:p w14:paraId="57464DDD" w14:textId="78BFB9C1" w:rsidR="00E82967" w:rsidRPr="005459EB" w:rsidRDefault="00E82967" w:rsidP="00E82967">
            <w:pPr>
              <w:pStyle w:val="ListParagraph"/>
              <w:numPr>
                <w:ilvl w:val="0"/>
                <w:numId w:val="48"/>
              </w:numPr>
              <w:spacing w:before="120"/>
              <w:contextualSpacing w:val="0"/>
              <w:rPr>
                <w:rFonts w:cs="Times New Roman"/>
                <w:noProof/>
              </w:rPr>
            </w:pPr>
            <w:r>
              <w:rPr>
                <w:b/>
                <w:noProof/>
              </w:rPr>
              <w:t>Latvija</w:t>
            </w:r>
            <w:r>
              <w:rPr>
                <w:noProof/>
              </w:rPr>
              <w:t xml:space="preserve"> sukūrė naują akademinės karjeros modelį, atitinkantį tarptautinę gerąją patirtį, ir šiuo metu gauna pagalbą jį įgyvendinant.</w:t>
            </w:r>
          </w:p>
          <w:p w14:paraId="3F260DD2" w14:textId="77777777" w:rsidR="00E82967" w:rsidRPr="005459EB" w:rsidRDefault="00E82967" w:rsidP="00E82967">
            <w:pPr>
              <w:pStyle w:val="ListParagraph"/>
              <w:numPr>
                <w:ilvl w:val="0"/>
                <w:numId w:val="48"/>
              </w:numPr>
              <w:spacing w:before="120"/>
              <w:contextualSpacing w:val="0"/>
              <w:rPr>
                <w:rFonts w:cs="Times New Roman"/>
                <w:noProof/>
              </w:rPr>
            </w:pPr>
            <w:r>
              <w:rPr>
                <w:b/>
                <w:noProof/>
              </w:rPr>
              <w:t>Italija</w:t>
            </w:r>
            <w:r>
              <w:rPr>
                <w:noProof/>
              </w:rPr>
              <w:t xml:space="preserve"> sukūrė dinamišką ir patikimą keitimosi žiniomis ir bendradarbiavimo sistemą.</w:t>
            </w:r>
          </w:p>
          <w:p w14:paraId="31ED18C4" w14:textId="6E460BF5" w:rsidR="00E82967" w:rsidRPr="005459EB" w:rsidRDefault="00E82967" w:rsidP="00E82967">
            <w:pPr>
              <w:pStyle w:val="ListParagraph"/>
              <w:numPr>
                <w:ilvl w:val="0"/>
                <w:numId w:val="48"/>
              </w:numPr>
              <w:spacing w:before="120"/>
              <w:contextualSpacing w:val="0"/>
              <w:rPr>
                <w:rFonts w:cs="Times New Roman"/>
                <w:noProof/>
              </w:rPr>
            </w:pPr>
            <w:r>
              <w:rPr>
                <w:b/>
                <w:noProof/>
              </w:rPr>
              <w:t>Vengrija</w:t>
            </w:r>
            <w:r>
              <w:rPr>
                <w:noProof/>
              </w:rPr>
              <w:t xml:space="preserve"> savo aukštojo mokslo kokybės užtikrinimo sistemą labiau pritaikė skaitmeniniam amžiui.</w:t>
            </w:r>
          </w:p>
          <w:p w14:paraId="6FDBEB1F" w14:textId="5056A66F" w:rsidR="00E82967" w:rsidRPr="005459EB" w:rsidRDefault="00E82967" w:rsidP="00E82967">
            <w:pPr>
              <w:pStyle w:val="ListParagraph"/>
              <w:numPr>
                <w:ilvl w:val="0"/>
                <w:numId w:val="48"/>
              </w:numPr>
              <w:spacing w:before="120"/>
              <w:contextualSpacing w:val="0"/>
              <w:rPr>
                <w:rFonts w:cs="Times New Roman"/>
                <w:noProof/>
              </w:rPr>
            </w:pPr>
            <w:r>
              <w:rPr>
                <w:b/>
                <w:noProof/>
              </w:rPr>
              <w:t>Ispanija</w:t>
            </w:r>
            <w:r>
              <w:rPr>
                <w:noProof/>
              </w:rPr>
              <w:t xml:space="preserve"> pagerino universitetų, mokslinių tyrimų institutų ir įmonių keitimosi žiniomis apimtį, kokybę ir veiksmingumą.</w:t>
            </w:r>
          </w:p>
          <w:p w14:paraId="62D7EEE2" w14:textId="1045B71C" w:rsidR="00E82967" w:rsidRPr="005459EB" w:rsidRDefault="00E82967" w:rsidP="00E82967">
            <w:pPr>
              <w:pStyle w:val="ListParagraph"/>
              <w:numPr>
                <w:ilvl w:val="0"/>
                <w:numId w:val="48"/>
              </w:numPr>
              <w:spacing w:before="120"/>
              <w:contextualSpacing w:val="0"/>
              <w:rPr>
                <w:rFonts w:cs="Times New Roman"/>
                <w:noProof/>
              </w:rPr>
            </w:pPr>
            <w:r>
              <w:rPr>
                <w:b/>
                <w:noProof/>
              </w:rPr>
              <w:t>Kroatija</w:t>
            </w:r>
            <w:r>
              <w:rPr>
                <w:noProof/>
              </w:rPr>
              <w:t xml:space="preserve"> įvertino aukštojo mokslo įstaigų skaitmeninę parengtį.</w:t>
            </w:r>
          </w:p>
          <w:p w14:paraId="10F4403A" w14:textId="5D8E5F73" w:rsidR="00E82967" w:rsidRPr="005459EB" w:rsidRDefault="00E82967" w:rsidP="00E82967">
            <w:pPr>
              <w:pStyle w:val="ListParagraph"/>
              <w:numPr>
                <w:ilvl w:val="0"/>
                <w:numId w:val="48"/>
              </w:numPr>
              <w:spacing w:before="120"/>
              <w:contextualSpacing w:val="0"/>
              <w:rPr>
                <w:rFonts w:cs="Times New Roman"/>
                <w:noProof/>
              </w:rPr>
            </w:pPr>
            <w:r>
              <w:rPr>
                <w:b/>
                <w:noProof/>
              </w:rPr>
              <w:t>Slovėnija</w:t>
            </w:r>
            <w:r>
              <w:rPr>
                <w:noProof/>
              </w:rPr>
              <w:t xml:space="preserve"> sustiprino savo mokslinių tyrimų ir inovacijų sistemą sukurdama naują valdymo modelį, kuriuo skatinamas atitinkamų už MTI politiką atsakingų administravimo institucijų bendradarbiavimas siekiant geriau suderinti planus.</w:t>
            </w:r>
          </w:p>
          <w:p w14:paraId="0550A8AC" w14:textId="39F0940C" w:rsidR="00E82967" w:rsidRPr="005459EB" w:rsidRDefault="00E82967" w:rsidP="00E82967">
            <w:pPr>
              <w:pStyle w:val="ListParagraph"/>
              <w:numPr>
                <w:ilvl w:val="0"/>
                <w:numId w:val="48"/>
              </w:numPr>
              <w:spacing w:before="120" w:after="240"/>
              <w:contextualSpacing w:val="0"/>
              <w:rPr>
                <w:rFonts w:cs="Times New Roman"/>
                <w:noProof/>
              </w:rPr>
            </w:pPr>
            <w:r>
              <w:rPr>
                <w:b/>
                <w:noProof/>
              </w:rPr>
              <w:t>Kipras</w:t>
            </w:r>
            <w:r>
              <w:rPr>
                <w:noProof/>
              </w:rPr>
              <w:t xml:space="preserve"> pagerino Mokslinių tyrimų, inovacijų ir skaitmeninės politikos viceministerijos Plačiajuosčio ryšio kompetencijos biuro pajėgumus ir sukūrė kuponų schemą ir technines specifikacijas investicijų konkursams.</w:t>
            </w:r>
          </w:p>
        </w:tc>
      </w:tr>
    </w:tbl>
    <w:p w14:paraId="4D6D554B" w14:textId="0F3E8122" w:rsidR="00E82967" w:rsidRPr="005459EB" w:rsidRDefault="00E82967" w:rsidP="00C22B0D">
      <w:pPr>
        <w:pStyle w:val="Heading2"/>
        <w:spacing w:before="360"/>
        <w:rPr>
          <w:noProof/>
          <w:color w:val="2E74B5" w:themeColor="accent1" w:themeShade="BF"/>
        </w:rPr>
      </w:pPr>
      <w:bookmarkStart w:id="54" w:name="_Toc161911522"/>
      <w:bookmarkStart w:id="55" w:name="_Toc161913834"/>
      <w:bookmarkStart w:id="56" w:name="_Toc161913892"/>
      <w:bookmarkStart w:id="57" w:name="_Toc161914339"/>
      <w:bookmarkStart w:id="58" w:name="_Toc161914409"/>
      <w:bookmarkStart w:id="59" w:name="_Toc161914509"/>
      <w:bookmarkStart w:id="60" w:name="_Toc161914602"/>
      <w:bookmarkStart w:id="61" w:name="_Toc162018529"/>
      <w:bookmarkStart w:id="62" w:name="_Toc179190876"/>
      <w:bookmarkEnd w:id="54"/>
      <w:bookmarkEnd w:id="55"/>
      <w:bookmarkEnd w:id="56"/>
      <w:bookmarkEnd w:id="57"/>
      <w:bookmarkEnd w:id="58"/>
      <w:bookmarkEnd w:id="59"/>
      <w:bookmarkEnd w:id="60"/>
      <w:r>
        <w:rPr>
          <w:noProof/>
          <w14:textFill>
            <w14:solidFill>
              <w14:schemeClr w14:val="accent1">
                <w14:lumMod w14:val="75000"/>
                <w14:lumMod w14:val="75000"/>
                <w14:lumMod w14:val="75000"/>
              </w14:schemeClr>
            </w14:solidFill>
          </w14:textFill>
        </w:rPr>
        <w:t>Energetika</w:t>
      </w:r>
      <w:bookmarkEnd w:id="61"/>
      <w:bookmarkEnd w:id="62"/>
    </w:p>
    <w:p w14:paraId="766DF2C3" w14:textId="47CE5816" w:rsidR="00E82967" w:rsidRPr="005459EB" w:rsidRDefault="00E82967" w:rsidP="00E82967">
      <w:pPr>
        <w:spacing w:before="120"/>
        <w:rPr>
          <w:rFonts w:cs="Times New Roman"/>
          <w:noProof/>
        </w:rPr>
      </w:pPr>
      <w:r>
        <w:rPr>
          <w:noProof/>
        </w:rPr>
        <w:t xml:space="preserve">REFORM GD parama valstybėms narėms </w:t>
      </w:r>
      <w:r>
        <w:rPr>
          <w:b/>
          <w:noProof/>
        </w:rPr>
        <w:t>stiprina jų gebėjimą vykdyti energetikos reformas</w:t>
      </w:r>
      <w:r>
        <w:rPr>
          <w:noProof/>
        </w:rPr>
        <w:t>.</w:t>
      </w:r>
      <w:r>
        <w:rPr>
          <w:b/>
          <w:noProof/>
        </w:rPr>
        <w:t xml:space="preserve"> </w:t>
      </w:r>
      <w:r>
        <w:rPr>
          <w:noProof/>
        </w:rPr>
        <w:t>Parama apima įvairias politikos sritis – nuo atsinaujinančiųjų išteklių energijos tiekimo iki teisingos pertvarkos ir energijos vartojimo efektyvumo.</w:t>
      </w:r>
    </w:p>
    <w:tbl>
      <w:tblPr>
        <w:tblStyle w:val="TableGrid"/>
        <w:tblW w:w="0" w:type="auto"/>
        <w:tblInd w:w="108" w:type="dxa"/>
        <w:shd w:val="clear" w:color="auto" w:fill="B4C6E7" w:themeFill="accent5" w:themeFillTint="66"/>
        <w:tblLook w:val="04A0" w:firstRow="1" w:lastRow="0" w:firstColumn="1" w:lastColumn="0" w:noHBand="0" w:noVBand="1"/>
      </w:tblPr>
      <w:tblGrid>
        <w:gridCol w:w="9072"/>
      </w:tblGrid>
      <w:tr w:rsidR="00E82967" w:rsidRPr="005459EB" w14:paraId="570268E4" w14:textId="77777777" w:rsidTr="00BA7D5C">
        <w:tc>
          <w:tcPr>
            <w:tcW w:w="9072" w:type="dxa"/>
            <w:shd w:val="clear" w:color="auto" w:fill="B4C6E7" w:themeFill="accent5" w:themeFillTint="66"/>
          </w:tcPr>
          <w:p w14:paraId="73071ED8" w14:textId="77A5310D" w:rsidR="00E82967" w:rsidRPr="005459EB" w:rsidRDefault="00190CA5" w:rsidP="00BA7D5C">
            <w:pPr>
              <w:spacing w:before="120"/>
              <w:jc w:val="center"/>
              <w:rPr>
                <w:rFonts w:cs="Times New Roman"/>
                <w:b/>
                <w:bCs/>
                <w:noProof/>
              </w:rPr>
            </w:pPr>
            <w:r>
              <w:rPr>
                <w:b/>
                <w:noProof/>
              </w:rPr>
              <w:t>DĖMESYS PAVYZDINĖMS INICIATYVOMS</w:t>
            </w:r>
          </w:p>
          <w:p w14:paraId="733735FB" w14:textId="52162938" w:rsidR="00E82967" w:rsidRPr="005459EB" w:rsidRDefault="00E82967" w:rsidP="00BA7D5C">
            <w:pPr>
              <w:spacing w:before="120" w:after="60"/>
              <w:rPr>
                <w:rFonts w:cs="Times New Roman"/>
                <w:noProof/>
              </w:rPr>
            </w:pPr>
            <w:r>
              <w:rPr>
                <w:noProof/>
              </w:rPr>
              <w:t xml:space="preserve">2023 m. REFORM GD padėjo įgyvendinti </w:t>
            </w:r>
            <w:r>
              <w:rPr>
                <w:b/>
                <w:noProof/>
              </w:rPr>
              <w:t>tris pavyzdines iniciatyvas</w:t>
            </w:r>
            <w:r>
              <w:rPr>
                <w:noProof/>
              </w:rPr>
              <w:t xml:space="preserve"> bendrosios rinkos ir konkurencingumo srityje:</w:t>
            </w:r>
          </w:p>
          <w:p w14:paraId="281EE595" w14:textId="17033CAF" w:rsidR="00E82967" w:rsidRPr="005459EB" w:rsidRDefault="00E82967" w:rsidP="00E82967">
            <w:pPr>
              <w:pStyle w:val="ListParagraph"/>
              <w:numPr>
                <w:ilvl w:val="0"/>
                <w:numId w:val="44"/>
              </w:numPr>
              <w:contextualSpacing w:val="0"/>
              <w:rPr>
                <w:rFonts w:cs="Times New Roman"/>
                <w:noProof/>
              </w:rPr>
            </w:pPr>
            <w:r>
              <w:rPr>
                <w:b/>
                <w:noProof/>
              </w:rPr>
              <w:t>šešios valstybės narės</w:t>
            </w:r>
            <w:r>
              <w:rPr>
                <w:noProof/>
              </w:rPr>
              <w:t xml:space="preserve"> (CY, SK, FI, NL, LT ir IE) gavo paramą pagal </w:t>
            </w:r>
            <w:hyperlink r:id="rId102" w:history="1">
              <w:r>
                <w:rPr>
                  <w:rStyle w:val="Hyperlink"/>
                  <w:b/>
                  <w:noProof/>
                  <w:color w:val="034990" w:themeColor="hyperlink" w:themeShade="BF"/>
                </w:rPr>
                <w:t>2023 m. TPP pavyzdinę iniciatyvą dėl leidimų išdavimo atsinaujinančiųjų išteklių energijos projektams spartinimo</w:t>
              </w:r>
            </w:hyperlink>
            <w:r>
              <w:rPr>
                <w:noProof/>
              </w:rPr>
              <w:t>. REFORM GD siekė sukurti aiškesnius, spartesnius ir skaidresnius prašymų išduoti leidimus atsinaujinančiųjų išteklių energijos projektams teikimo ir leidimų išdavimo procesus, laikantis taikytinų ES teisės aktų ir būsimų ES iniciatyvų;</w:t>
            </w:r>
          </w:p>
          <w:p w14:paraId="445A414C" w14:textId="6BA2CE35" w:rsidR="00E82967" w:rsidRPr="005459EB" w:rsidRDefault="00E82967" w:rsidP="00E82967">
            <w:pPr>
              <w:pStyle w:val="ListParagraph"/>
              <w:numPr>
                <w:ilvl w:val="0"/>
                <w:numId w:val="44"/>
              </w:numPr>
              <w:spacing w:before="120"/>
              <w:contextualSpacing w:val="0"/>
              <w:rPr>
                <w:rFonts w:cs="Times New Roman"/>
                <w:noProof/>
              </w:rPr>
            </w:pPr>
            <w:r>
              <w:rPr>
                <w:b/>
                <w:noProof/>
              </w:rPr>
              <w:t>penkios valstybės narės</w:t>
            </w:r>
            <w:r>
              <w:rPr>
                <w:noProof/>
              </w:rPr>
              <w:t xml:space="preserve"> (IT, SE, HR, HU ir SK) gavo paramą pagal </w:t>
            </w:r>
            <w:hyperlink r:id="rId103" w:history="1">
              <w:r>
                <w:rPr>
                  <w:rStyle w:val="Hyperlink"/>
                  <w:b/>
                  <w:noProof/>
                  <w:color w:val="034990" w:themeColor="hyperlink" w:themeShade="BF"/>
                </w:rPr>
                <w:t>2022 m. TPP pavyzdinę iniciatyvą teisingos pertvarkos įgyvendinimui paremti</w:t>
              </w:r>
            </w:hyperlink>
            <w:r>
              <w:rPr>
                <w:noProof/>
              </w:rPr>
              <w:t>. REFORM GD padėjo valstybėms narėms spręsti konkrečias pertvarkos paveiktuose regionuose ir sektoriuose kylančias problemas;</w:t>
            </w:r>
          </w:p>
          <w:p w14:paraId="5587D4FA" w14:textId="4ABC4D36" w:rsidR="00E82967" w:rsidRPr="005459EB" w:rsidRDefault="00E64B66" w:rsidP="00E82967">
            <w:pPr>
              <w:pStyle w:val="ListParagraph"/>
              <w:numPr>
                <w:ilvl w:val="0"/>
                <w:numId w:val="44"/>
              </w:numPr>
              <w:spacing w:before="120" w:after="240"/>
              <w:ind w:left="357" w:hanging="357"/>
              <w:contextualSpacing w:val="0"/>
              <w:rPr>
                <w:rFonts w:cs="Times New Roman"/>
                <w:noProof/>
              </w:rPr>
            </w:pPr>
            <w:r>
              <w:rPr>
                <w:b/>
                <w:noProof/>
              </w:rPr>
              <w:t>aštuonios valstybės narės</w:t>
            </w:r>
            <w:r>
              <w:rPr>
                <w:noProof/>
              </w:rPr>
              <w:t xml:space="preserve"> (BE, CY, EE, HU, IE, LT, MT ir SK) gavo paramą pagal </w:t>
            </w:r>
            <w:hyperlink r:id="rId104" w:history="1">
              <w:r>
                <w:rPr>
                  <w:rStyle w:val="Hyperlink"/>
                  <w:b/>
                  <w:noProof/>
                  <w:color w:val="034990" w:themeColor="hyperlink" w:themeShade="BF"/>
                </w:rPr>
                <w:t>2022 m. TPP pavyzdinę iniciatyvą, skirtą iniciatyvai „Renovacijos banga“ paremti</w:t>
              </w:r>
            </w:hyperlink>
            <w:r>
              <w:rPr>
                <w:noProof/>
              </w:rPr>
              <w:t>. REFORM GD padėjo valstybėms narėms pašalinti kai kurias pagrindines pastatų renovacijos kliūtis.</w:t>
            </w:r>
          </w:p>
        </w:tc>
      </w:tr>
    </w:tbl>
    <w:p w14:paraId="127EC627" w14:textId="723BCFFA" w:rsidR="00E82967" w:rsidRPr="005459EB" w:rsidRDefault="00E82967" w:rsidP="00C22B0D">
      <w:pPr>
        <w:spacing w:before="360" w:after="240"/>
        <w:rPr>
          <w:rFonts w:cs="Times New Roman"/>
          <w:noProof/>
        </w:rPr>
      </w:pPr>
      <w:r>
        <w:rPr>
          <w:noProof/>
        </w:rPr>
        <w:t xml:space="preserve">2023 m. REFORM GD teikė paramą </w:t>
      </w:r>
      <w:r>
        <w:rPr>
          <w:b/>
          <w:noProof/>
        </w:rPr>
        <w:t>23 valstybėms narėms</w:t>
      </w:r>
      <w:r>
        <w:rPr>
          <w:noProof/>
        </w:rPr>
        <w:t xml:space="preserve"> (AT, BE, BG, CZ, DK, EE, FI, FR, EL, HR, HU, IE, LV, LT, MT, NL, PL, PT, RO, SK, SI, ES ir SE), be kita ko, pagal TPP pavyzdines iniciatyvas, kad būtų paspartintas </w:t>
      </w:r>
      <w:r>
        <w:rPr>
          <w:b/>
          <w:noProof/>
        </w:rPr>
        <w:t>atsinaujinančiųjų išteklių</w:t>
      </w:r>
      <w:r>
        <w:rPr>
          <w:noProof/>
        </w:rPr>
        <w:t xml:space="preserve"> energijos projektų </w:t>
      </w:r>
      <w:r>
        <w:rPr>
          <w:b/>
          <w:noProof/>
        </w:rPr>
        <w:t>leidimų išdavimas</w:t>
      </w:r>
      <w:r>
        <w:rPr>
          <w:noProof/>
        </w:rPr>
        <w:t xml:space="preserve">; remiamas </w:t>
      </w:r>
      <w:r>
        <w:rPr>
          <w:b/>
          <w:noProof/>
        </w:rPr>
        <w:t>teisingos pertvarkos</w:t>
      </w:r>
      <w:r>
        <w:rPr>
          <w:noProof/>
        </w:rPr>
        <w:t xml:space="preserve"> įgyvendinimas ir </w:t>
      </w:r>
      <w:r>
        <w:rPr>
          <w:b/>
          <w:noProof/>
        </w:rPr>
        <w:t>iniciatyva „Renovacijos banga“</w:t>
      </w:r>
      <w:r>
        <w:rPr>
          <w:noProof/>
        </w:rPr>
        <w:t>.</w:t>
      </w:r>
    </w:p>
    <w:tbl>
      <w:tblPr>
        <w:tblStyle w:val="TableGrid"/>
        <w:tblW w:w="0" w:type="auto"/>
        <w:tblInd w:w="108" w:type="dxa"/>
        <w:shd w:val="clear" w:color="auto" w:fill="DBDBDB" w:themeFill="accent3" w:themeFillTint="66"/>
        <w:tblLook w:val="04A0" w:firstRow="1" w:lastRow="0" w:firstColumn="1" w:lastColumn="0" w:noHBand="0" w:noVBand="1"/>
      </w:tblPr>
      <w:tblGrid>
        <w:gridCol w:w="9072"/>
      </w:tblGrid>
      <w:tr w:rsidR="00E82967" w:rsidRPr="005459EB" w14:paraId="0FA11573" w14:textId="77777777" w:rsidTr="00BA7D5C">
        <w:tc>
          <w:tcPr>
            <w:tcW w:w="9072" w:type="dxa"/>
            <w:shd w:val="clear" w:color="auto" w:fill="DBDBDB" w:themeFill="accent3" w:themeFillTint="66"/>
          </w:tcPr>
          <w:p w14:paraId="2484790C" w14:textId="77777777" w:rsidR="00E82967" w:rsidRPr="005459EB" w:rsidRDefault="00E82967" w:rsidP="00BA7D5C">
            <w:pPr>
              <w:pStyle w:val="paragraph"/>
              <w:spacing w:before="120" w:beforeAutospacing="0" w:after="0" w:afterAutospacing="0"/>
              <w:jc w:val="center"/>
              <w:textAlignment w:val="baseline"/>
              <w:rPr>
                <w:rFonts w:ascii="EC Square Sans Pro" w:hAnsi="EC Square Sans Pro"/>
                <w:b/>
                <w:bCs/>
                <w:noProof/>
              </w:rPr>
            </w:pPr>
            <w:r>
              <w:rPr>
                <w:rFonts w:ascii="EC Square Sans Pro" w:hAnsi="EC Square Sans Pro"/>
                <w:b/>
                <w:noProof/>
              </w:rPr>
              <w:t>LAIMĖJIMAI</w:t>
            </w:r>
          </w:p>
          <w:p w14:paraId="092481A7" w14:textId="403503A0" w:rsidR="00E82967" w:rsidRPr="005459EB" w:rsidRDefault="00E82967" w:rsidP="00BA7D5C">
            <w:pPr>
              <w:spacing w:before="60"/>
              <w:rPr>
                <w:rStyle w:val="normaltextrun"/>
                <w:rFonts w:cs="Times New Roman"/>
                <w:noProof/>
              </w:rPr>
            </w:pPr>
            <w:r>
              <w:rPr>
                <w:rStyle w:val="normaltextrun"/>
                <w:b/>
                <w:noProof/>
              </w:rPr>
              <w:t>Konkretūs reformų ir gebėjimų stiprinimo</w:t>
            </w:r>
            <w:r>
              <w:rPr>
                <w:rStyle w:val="normaltextrun"/>
                <w:noProof/>
              </w:rPr>
              <w:t xml:space="preserve"> bendrosios rinkos ir konkurencingumo srityje 2023 m., teikiant TPP paramą, </w:t>
            </w:r>
            <w:r>
              <w:rPr>
                <w:rStyle w:val="normaltextrun"/>
                <w:b/>
                <w:noProof/>
              </w:rPr>
              <w:t>pavyzdžiai</w:t>
            </w:r>
            <w:r>
              <w:rPr>
                <w:rStyle w:val="normaltextrun"/>
                <w:noProof/>
              </w:rPr>
              <w:t>:</w:t>
            </w:r>
          </w:p>
          <w:p w14:paraId="588E914C" w14:textId="06E4354E" w:rsidR="00E82967" w:rsidRPr="005459EB" w:rsidRDefault="00E82967" w:rsidP="00E82967">
            <w:pPr>
              <w:pStyle w:val="paragraph"/>
              <w:numPr>
                <w:ilvl w:val="0"/>
                <w:numId w:val="45"/>
              </w:numPr>
              <w:spacing w:before="60" w:beforeAutospacing="0" w:after="0" w:afterAutospacing="0"/>
              <w:jc w:val="both"/>
              <w:textAlignment w:val="baseline"/>
              <w:rPr>
                <w:rFonts w:ascii="EC Square Sans Pro" w:hAnsi="EC Square Sans Pro"/>
                <w:noProof/>
              </w:rPr>
            </w:pPr>
            <w:r>
              <w:rPr>
                <w:rFonts w:ascii="EC Square Sans Pro" w:hAnsi="EC Square Sans Pro"/>
                <w:noProof/>
              </w:rPr>
              <w:t xml:space="preserve">Iškart po Rusijos agresijos karo prieš Ukrainą TPP teikė paramą </w:t>
            </w:r>
            <w:r>
              <w:rPr>
                <w:rFonts w:ascii="EC Square Sans Pro" w:hAnsi="EC Square Sans Pro"/>
                <w:b/>
                <w:noProof/>
              </w:rPr>
              <w:t>17 valstybių narių</w:t>
            </w:r>
            <w:r>
              <w:rPr>
                <w:rFonts w:ascii="EC Square Sans Pro" w:hAnsi="EC Square Sans Pro"/>
                <w:noProof/>
              </w:rPr>
              <w:t xml:space="preserve"> (BE, BG, CY, CZ, EE, EL, ES, FI, HR, HU, IE, IT, PL, PT, RO, SI ir SK) nustatyti reformas ir investicijas, kuriomis būtų galima sumažinti priklausomybę nuo iškastinio kuro importo iš Rusijos ir įgyvendinti planą „REPowerEU“.</w:t>
            </w:r>
          </w:p>
          <w:p w14:paraId="70690233" w14:textId="7BDDA9FA" w:rsidR="00E82967" w:rsidRPr="005459EB" w:rsidRDefault="00E82967" w:rsidP="00E82967">
            <w:pPr>
              <w:pStyle w:val="paragraph"/>
              <w:numPr>
                <w:ilvl w:val="0"/>
                <w:numId w:val="45"/>
              </w:numPr>
              <w:spacing w:before="60" w:beforeAutospacing="0" w:after="0" w:afterAutospacing="0"/>
              <w:jc w:val="both"/>
              <w:textAlignment w:val="baseline"/>
              <w:rPr>
                <w:rFonts w:ascii="EC Square Sans Pro" w:hAnsi="EC Square Sans Pro"/>
                <w:noProof/>
              </w:rPr>
            </w:pPr>
            <w:r>
              <w:rPr>
                <w:rFonts w:ascii="EC Square Sans Pro" w:hAnsi="EC Square Sans Pro"/>
                <w:b/>
                <w:noProof/>
              </w:rPr>
              <w:t>Slovėnija</w:t>
            </w:r>
            <w:r>
              <w:rPr>
                <w:rFonts w:ascii="EC Square Sans Pro" w:hAnsi="EC Square Sans Pro"/>
                <w:noProof/>
              </w:rPr>
              <w:t xml:space="preserve"> priėmė įstatymą dėl elektros energijos gamybos iš atsinaujinančiųjų išteklių energijos įrenginių diegimo.</w:t>
            </w:r>
          </w:p>
          <w:p w14:paraId="07864675" w14:textId="01CEE851" w:rsidR="00E82967" w:rsidRPr="005459EB" w:rsidRDefault="00E82967" w:rsidP="00E82967">
            <w:pPr>
              <w:pStyle w:val="paragraph"/>
              <w:numPr>
                <w:ilvl w:val="0"/>
                <w:numId w:val="45"/>
              </w:numPr>
              <w:spacing w:beforeLines="60" w:before="144" w:beforeAutospacing="0" w:after="0" w:afterAutospacing="0"/>
              <w:jc w:val="both"/>
              <w:textAlignment w:val="baseline"/>
              <w:rPr>
                <w:rFonts w:ascii="EC Square Sans Pro" w:hAnsi="EC Square Sans Pro"/>
                <w:strike/>
                <w:noProof/>
              </w:rPr>
            </w:pPr>
            <w:r>
              <w:rPr>
                <w:rFonts w:ascii="EC Square Sans Pro" w:hAnsi="EC Square Sans Pro"/>
                <w:b/>
                <w:noProof/>
              </w:rPr>
              <w:t>Rumunija</w:t>
            </w:r>
            <w:r>
              <w:rPr>
                <w:rFonts w:ascii="EC Square Sans Pro" w:hAnsi="EC Square Sans Pro"/>
                <w:noProof/>
              </w:rPr>
              <w:t xml:space="preserve"> patvirtino savo 2030 m. vandenilio strategiją ir veiksmų planą.</w:t>
            </w:r>
          </w:p>
          <w:p w14:paraId="4549A795" w14:textId="65487186" w:rsidR="00E82967" w:rsidRPr="005459EB" w:rsidRDefault="00E82967" w:rsidP="00E82967">
            <w:pPr>
              <w:pStyle w:val="ListParagraph"/>
              <w:numPr>
                <w:ilvl w:val="0"/>
                <w:numId w:val="45"/>
              </w:numPr>
              <w:spacing w:beforeLines="60" w:before="144"/>
              <w:contextualSpacing w:val="0"/>
              <w:jc w:val="left"/>
              <w:rPr>
                <w:rFonts w:cs="Times New Roman"/>
                <w:noProof/>
              </w:rPr>
            </w:pPr>
            <w:r>
              <w:rPr>
                <w:b/>
                <w:noProof/>
              </w:rPr>
              <w:t>Rumunija</w:t>
            </w:r>
            <w:r>
              <w:rPr>
                <w:noProof/>
              </w:rPr>
              <w:t xml:space="preserve"> pateikė savo ilgalaikės išmetamo šiltnamio efektą sukeliančių dujų kiekio mažinimo strategijos projektą viešosioms konsultacijoms.</w:t>
            </w:r>
          </w:p>
          <w:p w14:paraId="35AED7FF" w14:textId="2E47FA7C" w:rsidR="00E82967" w:rsidRPr="005459EB" w:rsidRDefault="00E82967" w:rsidP="00E82967">
            <w:pPr>
              <w:pStyle w:val="ListParagraph"/>
              <w:numPr>
                <w:ilvl w:val="0"/>
                <w:numId w:val="45"/>
              </w:numPr>
              <w:spacing w:beforeLines="60" w:before="144" w:after="240"/>
              <w:ind w:left="357" w:hanging="357"/>
              <w:contextualSpacing w:val="0"/>
              <w:jc w:val="left"/>
              <w:rPr>
                <w:rFonts w:cs="Times New Roman"/>
                <w:noProof/>
              </w:rPr>
            </w:pPr>
            <w:r>
              <w:rPr>
                <w:b/>
                <w:noProof/>
              </w:rPr>
              <w:t>Lietuva</w:t>
            </w:r>
            <w:r>
              <w:rPr>
                <w:noProof/>
              </w:rPr>
              <w:t xml:space="preserve"> patvirtino Akcizų įstatymą, pagal kurį taršiems degalams nustatytas anglies dioksido mokestis.</w:t>
            </w:r>
          </w:p>
        </w:tc>
      </w:tr>
    </w:tbl>
    <w:p w14:paraId="5234495E" w14:textId="77777777" w:rsidR="00E82967" w:rsidRPr="005459EB" w:rsidRDefault="00E82967" w:rsidP="00C22B0D">
      <w:pPr>
        <w:pStyle w:val="Heading2"/>
        <w:spacing w:before="360"/>
        <w:rPr>
          <w:noProof/>
          <w:color w:val="2E74B5" w:themeColor="accent1" w:themeShade="BF"/>
        </w:rPr>
      </w:pPr>
      <w:bookmarkStart w:id="63" w:name="_Toc161911524"/>
      <w:bookmarkStart w:id="64" w:name="_Toc161913836"/>
      <w:bookmarkStart w:id="65" w:name="_Toc161913894"/>
      <w:bookmarkStart w:id="66" w:name="_Toc161914341"/>
      <w:bookmarkStart w:id="67" w:name="_Toc161914411"/>
      <w:bookmarkStart w:id="68" w:name="_Toc161914511"/>
      <w:bookmarkStart w:id="69" w:name="_Toc162018530"/>
      <w:bookmarkStart w:id="70" w:name="_Toc179190877"/>
      <w:bookmarkEnd w:id="63"/>
      <w:bookmarkEnd w:id="64"/>
      <w:bookmarkEnd w:id="65"/>
      <w:bookmarkEnd w:id="66"/>
      <w:bookmarkEnd w:id="67"/>
      <w:bookmarkEnd w:id="68"/>
      <w:r>
        <w:rPr>
          <w:noProof/>
          <w14:textFill>
            <w14:solidFill>
              <w14:schemeClr w14:val="accent1">
                <w14:lumMod w14:val="75000"/>
                <w14:lumMod w14:val="75000"/>
                <w14:lumMod w14:val="75000"/>
              </w14:schemeClr>
            </w14:solidFill>
          </w14:textFill>
        </w:rPr>
        <w:t>Žiediškumas</w:t>
      </w:r>
      <w:bookmarkEnd w:id="69"/>
      <w:bookmarkEnd w:id="70"/>
    </w:p>
    <w:p w14:paraId="3AEF8CD1" w14:textId="765B8D70" w:rsidR="00E82967" w:rsidRPr="005459EB" w:rsidRDefault="00E82967" w:rsidP="00E82967">
      <w:pPr>
        <w:rPr>
          <w:rFonts w:cs="Times New Roman"/>
          <w:noProof/>
        </w:rPr>
      </w:pPr>
      <w:r>
        <w:rPr>
          <w:noProof/>
        </w:rPr>
        <w:t xml:space="preserve">REFORM GD parama valstybėms narėms stiprina jų gebėjimą vykdyti reformas, </w:t>
      </w:r>
      <w:r>
        <w:rPr>
          <w:b/>
          <w:noProof/>
        </w:rPr>
        <w:t>kuriomis siekiama pereiti prie žiediškesnės ir konkurencingesnės ekonomikos</w:t>
      </w:r>
      <w:r>
        <w:rPr>
          <w:noProof/>
        </w:rPr>
        <w:t>.</w:t>
      </w:r>
      <w:r>
        <w:rPr>
          <w:b/>
          <w:noProof/>
        </w:rPr>
        <w:t xml:space="preserve"> </w:t>
      </w:r>
      <w:r>
        <w:rPr>
          <w:noProof/>
        </w:rPr>
        <w:t>Parama, be kita ko, apima atliekų tvarkymą ir ypatingos svarbos žaliavas.</w:t>
      </w:r>
    </w:p>
    <w:p w14:paraId="12F9F676" w14:textId="1691D1B0" w:rsidR="00273F5C" w:rsidRDefault="00E82967" w:rsidP="00C22B0D">
      <w:pPr>
        <w:spacing w:before="120" w:after="360"/>
        <w:rPr>
          <w:rFonts w:cs="Times New Roman"/>
          <w:noProof/>
        </w:rPr>
      </w:pPr>
      <w:r>
        <w:rPr>
          <w:noProof/>
        </w:rPr>
        <w:t xml:space="preserve">2023 m. REFORM GD teikė paramą </w:t>
      </w:r>
      <w:r>
        <w:rPr>
          <w:b/>
          <w:noProof/>
        </w:rPr>
        <w:t>11 valstybių narių</w:t>
      </w:r>
      <w:r>
        <w:rPr>
          <w:noProof/>
        </w:rPr>
        <w:t xml:space="preserve"> (AT, CZ, DK, EL, ES, FI, HU, IT, PT, RO ir SE), be kita ko, pagal TPP pavyzdinę iniciatyvą, kad būtų: i) rengiamos nacionalinės žiedinės ekonomikos </w:t>
      </w:r>
      <w:r>
        <w:rPr>
          <w:b/>
          <w:noProof/>
        </w:rPr>
        <w:t>strategijos</w:t>
      </w:r>
      <w:r>
        <w:rPr>
          <w:noProof/>
        </w:rPr>
        <w:t xml:space="preserve">, veiksmų planai ir stebėsenos mechanizmai; ii) sukurta žinių bazė, skirta </w:t>
      </w:r>
      <w:r>
        <w:rPr>
          <w:b/>
          <w:noProof/>
        </w:rPr>
        <w:t>MVĮ</w:t>
      </w:r>
      <w:r>
        <w:rPr>
          <w:noProof/>
        </w:rPr>
        <w:t xml:space="preserve"> pertvarkai; iii) nustatytos </w:t>
      </w:r>
      <w:r>
        <w:rPr>
          <w:b/>
          <w:noProof/>
        </w:rPr>
        <w:t>atliekų</w:t>
      </w:r>
      <w:r>
        <w:rPr>
          <w:noProof/>
        </w:rPr>
        <w:t xml:space="preserve"> tvarkymo taisyklės; iv) sukurtas </w:t>
      </w:r>
      <w:r>
        <w:rPr>
          <w:b/>
          <w:noProof/>
        </w:rPr>
        <w:t>žaliavų</w:t>
      </w:r>
      <w:r>
        <w:rPr>
          <w:noProof/>
        </w:rPr>
        <w:t xml:space="preserve"> srautų ir atsargų duomenų rinkinys ir planavimo priemonė ir v) padidintas </w:t>
      </w:r>
      <w:r>
        <w:rPr>
          <w:b/>
          <w:noProof/>
        </w:rPr>
        <w:t>kasybos</w:t>
      </w:r>
      <w:r>
        <w:rPr>
          <w:noProof/>
        </w:rPr>
        <w:t xml:space="preserve"> žiediškumas.</w:t>
      </w:r>
    </w:p>
    <w:tbl>
      <w:tblPr>
        <w:tblStyle w:val="TableGrid"/>
        <w:tblW w:w="0" w:type="auto"/>
        <w:tblInd w:w="108" w:type="dxa"/>
        <w:shd w:val="clear" w:color="auto" w:fill="DBDBDB" w:themeFill="accent3" w:themeFillTint="66"/>
        <w:tblLook w:val="04A0" w:firstRow="1" w:lastRow="0" w:firstColumn="1" w:lastColumn="0" w:noHBand="0" w:noVBand="1"/>
      </w:tblPr>
      <w:tblGrid>
        <w:gridCol w:w="9072"/>
      </w:tblGrid>
      <w:tr w:rsidR="00E82967" w:rsidRPr="005459EB" w14:paraId="437D95F1" w14:textId="77777777" w:rsidTr="00BA7D5C">
        <w:tc>
          <w:tcPr>
            <w:tcW w:w="9072" w:type="dxa"/>
            <w:shd w:val="clear" w:color="auto" w:fill="DBDBDB" w:themeFill="accent3" w:themeFillTint="66"/>
          </w:tcPr>
          <w:p w14:paraId="1A70B9C0" w14:textId="77777777" w:rsidR="00E82967" w:rsidRPr="005459EB" w:rsidRDefault="00E82967" w:rsidP="00BA7D5C">
            <w:pPr>
              <w:pStyle w:val="paragraph"/>
              <w:spacing w:before="120" w:beforeAutospacing="0" w:after="0" w:afterAutospacing="0"/>
              <w:jc w:val="center"/>
              <w:textAlignment w:val="baseline"/>
              <w:rPr>
                <w:rFonts w:ascii="EC Square Sans Pro" w:hAnsi="EC Square Sans Pro"/>
                <w:b/>
                <w:bCs/>
                <w:noProof/>
              </w:rPr>
            </w:pPr>
            <w:r>
              <w:rPr>
                <w:rFonts w:ascii="EC Square Sans Pro" w:hAnsi="EC Square Sans Pro"/>
                <w:b/>
                <w:noProof/>
              </w:rPr>
              <w:t>LAIMĖJIMAI</w:t>
            </w:r>
          </w:p>
          <w:p w14:paraId="7192CD05" w14:textId="77777777" w:rsidR="00E82967" w:rsidRPr="005459EB" w:rsidRDefault="00E82967" w:rsidP="00BA7D5C">
            <w:pPr>
              <w:spacing w:before="120"/>
              <w:rPr>
                <w:rStyle w:val="normaltextrun"/>
                <w:rFonts w:cs="Times New Roman"/>
                <w:noProof/>
              </w:rPr>
            </w:pPr>
            <w:r>
              <w:rPr>
                <w:rStyle w:val="normaltextrun"/>
                <w:b/>
                <w:noProof/>
              </w:rPr>
              <w:t>Konkretūs reformų ir gebėjimų stiprinimo</w:t>
            </w:r>
            <w:r>
              <w:rPr>
                <w:rStyle w:val="normaltextrun"/>
                <w:noProof/>
              </w:rPr>
              <w:t xml:space="preserve"> žiediškumo srityje 2023 m., teikiant TPP paramą, </w:t>
            </w:r>
            <w:r>
              <w:rPr>
                <w:rStyle w:val="normaltextrun"/>
                <w:b/>
                <w:noProof/>
              </w:rPr>
              <w:t>pavyzdžiai</w:t>
            </w:r>
            <w:r>
              <w:rPr>
                <w:rStyle w:val="normaltextrun"/>
                <w:noProof/>
              </w:rPr>
              <w:t>:</w:t>
            </w:r>
          </w:p>
          <w:p w14:paraId="27D02397" w14:textId="163F2574" w:rsidR="00E82967" w:rsidRPr="005459EB" w:rsidRDefault="00E82967" w:rsidP="00E82967">
            <w:pPr>
              <w:pStyle w:val="ListParagraph"/>
              <w:numPr>
                <w:ilvl w:val="0"/>
                <w:numId w:val="45"/>
              </w:numPr>
              <w:spacing w:before="120"/>
              <w:contextualSpacing w:val="0"/>
              <w:rPr>
                <w:rFonts w:cs="Times New Roman"/>
                <w:noProof/>
              </w:rPr>
            </w:pPr>
            <w:r>
              <w:rPr>
                <w:b/>
                <w:noProof/>
              </w:rPr>
              <w:t>Rumunija</w:t>
            </w:r>
            <w:r>
              <w:rPr>
                <w:noProof/>
              </w:rPr>
              <w:t xml:space="preserve"> priėmė žiedinės ekonomikos strategiją, žiedinės ekonomikos veiksmų planą ir atitinkamą stebėsenos planą. Be to, siekdama teikti paskatas už didesnį žiediškumą, Rumunija priėmė naujus antrinės teisės aktus dėl atliekų tarifų apskaičiavimo.</w:t>
            </w:r>
          </w:p>
          <w:p w14:paraId="76F22B8C" w14:textId="0F8C8486" w:rsidR="00E82967" w:rsidRPr="005459EB" w:rsidRDefault="00E82967" w:rsidP="00E82967">
            <w:pPr>
              <w:pStyle w:val="ListParagraph"/>
              <w:numPr>
                <w:ilvl w:val="0"/>
                <w:numId w:val="45"/>
              </w:numPr>
              <w:spacing w:before="120" w:after="240"/>
              <w:ind w:left="357" w:hanging="357"/>
              <w:contextualSpacing w:val="0"/>
              <w:rPr>
                <w:rFonts w:cs="Times New Roman"/>
                <w:noProof/>
              </w:rPr>
            </w:pPr>
            <w:r>
              <w:rPr>
                <w:b/>
                <w:noProof/>
              </w:rPr>
              <w:t>Ispanija</w:t>
            </w:r>
            <w:r>
              <w:rPr>
                <w:noProof/>
              </w:rPr>
              <w:t xml:space="preserve"> aprūpino savo savivaldybes komunikacine medžiaga ir gebėjimų stiprinimo priemonėmis, kad būtų pagerintas atliekų tvarkymo žiediškumas.</w:t>
            </w:r>
          </w:p>
        </w:tc>
      </w:tr>
    </w:tbl>
    <w:p w14:paraId="1EFF9374" w14:textId="77777777" w:rsidR="00E82967" w:rsidRPr="005459EB" w:rsidRDefault="00E82967" w:rsidP="00C22B0D">
      <w:pPr>
        <w:pStyle w:val="Heading2"/>
        <w:spacing w:before="360"/>
        <w:rPr>
          <w:noProof/>
          <w:color w:val="2E74B5" w:themeColor="accent1" w:themeShade="BF"/>
        </w:rPr>
      </w:pPr>
      <w:bookmarkStart w:id="71" w:name="_Toc161911528"/>
      <w:bookmarkStart w:id="72" w:name="_Toc161913840"/>
      <w:bookmarkStart w:id="73" w:name="_Toc161913898"/>
      <w:bookmarkStart w:id="74" w:name="_Toc161914345"/>
      <w:bookmarkStart w:id="75" w:name="_Toc161914415"/>
      <w:bookmarkStart w:id="76" w:name="_Toc161914515"/>
      <w:bookmarkStart w:id="77" w:name="_Toc161914605"/>
      <w:bookmarkStart w:id="78" w:name="_Toc162018531"/>
      <w:bookmarkStart w:id="79" w:name="_Toc179190878"/>
      <w:bookmarkEnd w:id="71"/>
      <w:bookmarkEnd w:id="72"/>
      <w:bookmarkEnd w:id="73"/>
      <w:bookmarkEnd w:id="74"/>
      <w:bookmarkEnd w:id="75"/>
      <w:bookmarkEnd w:id="76"/>
      <w:bookmarkEnd w:id="77"/>
      <w:r>
        <w:rPr>
          <w:noProof/>
          <w14:textFill>
            <w14:solidFill>
              <w14:schemeClr w14:val="accent1">
                <w14:lumMod w14:val="75000"/>
                <w14:lumMod w14:val="75000"/>
                <w14:lumMod w14:val="75000"/>
              </w14:schemeClr>
            </w14:solidFill>
          </w14:textFill>
        </w:rPr>
        <w:t>Skaitmenizacija</w:t>
      </w:r>
      <w:bookmarkEnd w:id="78"/>
      <w:bookmarkEnd w:id="79"/>
    </w:p>
    <w:p w14:paraId="4DC882C3" w14:textId="3D5A7A0B" w:rsidR="00E82967" w:rsidRPr="005459EB" w:rsidRDefault="00E82967" w:rsidP="00E82967">
      <w:pPr>
        <w:spacing w:before="120"/>
        <w:ind w:left="-20" w:right="-20"/>
        <w:rPr>
          <w:rFonts w:eastAsia="Calibri" w:cs="Times New Roman"/>
          <w:noProof/>
        </w:rPr>
      </w:pPr>
      <w:r>
        <w:rPr>
          <w:noProof/>
        </w:rPr>
        <w:t xml:space="preserve">REFORM GD parama valstybėms narėms prisidedama prie jų skaitmeninės transformacijos, derinant ją su Komisijos prioritetu </w:t>
      </w:r>
      <w:r>
        <w:rPr>
          <w:b/>
          <w:noProof/>
        </w:rPr>
        <w:t>„Prie skaitmeninio amžiaus prisitaikiusi Europa“</w:t>
      </w:r>
      <w:r>
        <w:rPr>
          <w:noProof/>
        </w:rPr>
        <w:t xml:space="preserve"> ir įgyvendinant </w:t>
      </w:r>
      <w:r>
        <w:rPr>
          <w:b/>
          <w:noProof/>
        </w:rPr>
        <w:t>Europos skaitmeninio dešimtmečio</w:t>
      </w:r>
      <w:r>
        <w:rPr>
          <w:noProof/>
        </w:rPr>
        <w:t xml:space="preserve"> tikslus. Viešojo administravimo institucijų skaitmenizacija yra labai svarbi asmenims ir įmonėms, kad būtų parengta dirva konkurencingai ES ekonomikai. Parama apima įvairias politikos sritis – nuo sąveikumo, dirbtinio intelekto (DI) ir veiklos procesų pertvarkymo ir duomenimis pagrįstų sprendimų priėmimo iki skaitmeninių įgūdžių.</w:t>
      </w:r>
    </w:p>
    <w:tbl>
      <w:tblPr>
        <w:tblStyle w:val="TableGrid"/>
        <w:tblW w:w="0" w:type="auto"/>
        <w:tblInd w:w="108" w:type="dxa"/>
        <w:shd w:val="clear" w:color="auto" w:fill="B4C6E7" w:themeFill="accent5" w:themeFillTint="66"/>
        <w:tblLook w:val="04A0" w:firstRow="1" w:lastRow="0" w:firstColumn="1" w:lastColumn="0" w:noHBand="0" w:noVBand="1"/>
      </w:tblPr>
      <w:tblGrid>
        <w:gridCol w:w="9072"/>
      </w:tblGrid>
      <w:tr w:rsidR="00E82967" w:rsidRPr="005459EB" w14:paraId="1DA0C99C" w14:textId="77777777" w:rsidTr="00BA7D5C">
        <w:trPr>
          <w:trHeight w:val="300"/>
        </w:trPr>
        <w:tc>
          <w:tcPr>
            <w:tcW w:w="9072" w:type="dxa"/>
            <w:shd w:val="clear" w:color="auto" w:fill="B4C6E7" w:themeFill="accent5" w:themeFillTint="66"/>
          </w:tcPr>
          <w:p w14:paraId="204D4078" w14:textId="564C6215" w:rsidR="00E82967" w:rsidRPr="005459EB" w:rsidRDefault="00190CA5" w:rsidP="00BA7D5C">
            <w:pPr>
              <w:spacing w:before="120"/>
              <w:jc w:val="center"/>
              <w:rPr>
                <w:rFonts w:cs="Times New Roman"/>
                <w:b/>
                <w:bCs/>
                <w:noProof/>
              </w:rPr>
            </w:pPr>
            <w:r>
              <w:rPr>
                <w:b/>
                <w:noProof/>
              </w:rPr>
              <w:t>DĖMESYS PAVYZDINĖMS INICIATYVOMS</w:t>
            </w:r>
          </w:p>
          <w:p w14:paraId="4EAEF5F6" w14:textId="5308BA3B" w:rsidR="00E82967" w:rsidRPr="005459EB" w:rsidRDefault="00E82967" w:rsidP="00BA7D5C">
            <w:pPr>
              <w:spacing w:before="120"/>
              <w:rPr>
                <w:rFonts w:cs="Times New Roman"/>
                <w:noProof/>
              </w:rPr>
            </w:pPr>
            <w:r>
              <w:rPr>
                <w:noProof/>
              </w:rPr>
              <w:t xml:space="preserve">2023 m. REFORM GD padėjo įgyvendinti </w:t>
            </w:r>
            <w:r>
              <w:rPr>
                <w:b/>
                <w:noProof/>
              </w:rPr>
              <w:t>dvi pavyzdines iniciatyvas</w:t>
            </w:r>
            <w:r>
              <w:rPr>
                <w:noProof/>
              </w:rPr>
              <w:t xml:space="preserve"> skaitmeninės transformacijos srityje:</w:t>
            </w:r>
          </w:p>
          <w:p w14:paraId="291ECB51" w14:textId="16B20057" w:rsidR="00E82967" w:rsidRPr="005459EB" w:rsidRDefault="00E82967" w:rsidP="00E82967">
            <w:pPr>
              <w:pStyle w:val="ListParagraph"/>
              <w:numPr>
                <w:ilvl w:val="0"/>
                <w:numId w:val="44"/>
              </w:numPr>
              <w:spacing w:before="120"/>
              <w:contextualSpacing w:val="0"/>
              <w:rPr>
                <w:rFonts w:cs="Times New Roman"/>
                <w:noProof/>
              </w:rPr>
            </w:pPr>
            <w:r>
              <w:rPr>
                <w:b/>
                <w:noProof/>
              </w:rPr>
              <w:t>devynios valstybės narės</w:t>
            </w:r>
            <w:r>
              <w:rPr>
                <w:noProof/>
              </w:rPr>
              <w:t xml:space="preserve"> (DK, IT, EL, LV, PT, SK, CY, IE ir NL) gavo paramą pagal </w:t>
            </w:r>
            <w:hyperlink r:id="rId105" w:history="1">
              <w:r>
                <w:rPr>
                  <w:rStyle w:val="Hyperlink"/>
                  <w:b/>
                  <w:noProof/>
                  <w:color w:val="034990" w:themeColor="hyperlink" w:themeShade="BF"/>
                </w:rPr>
                <w:t>2022 m. TPP pavyzdines iniciatyvas dėl atsparių, novatoriškų ir į žmogų orientuotų skaitmeninių vyriausybės paslaugų kūrimo</w:t>
              </w:r>
            </w:hyperlink>
            <w:r>
              <w:rPr>
                <w:noProof/>
              </w:rPr>
              <w:t>. Įgyvendinant projektus padedama parengti strategijas ir veiksmų planus, kurie pasitarnaus įgyvendinant ES viešojo sektoriaus skaitmeninę pertvarką;</w:t>
            </w:r>
          </w:p>
          <w:p w14:paraId="1D6A99F3" w14:textId="7ABA89B1" w:rsidR="00E82967" w:rsidRPr="005459EB" w:rsidRDefault="00E82967" w:rsidP="00E82967">
            <w:pPr>
              <w:pStyle w:val="ListParagraph"/>
              <w:numPr>
                <w:ilvl w:val="0"/>
                <w:numId w:val="44"/>
              </w:numPr>
              <w:spacing w:before="120" w:after="240"/>
              <w:contextualSpacing w:val="0"/>
              <w:rPr>
                <w:rFonts w:cs="Times New Roman"/>
                <w:noProof/>
              </w:rPr>
            </w:pPr>
            <w:r>
              <w:rPr>
                <w:b/>
                <w:noProof/>
              </w:rPr>
              <w:t>keturios valstybės narės</w:t>
            </w:r>
            <w:r>
              <w:rPr>
                <w:noProof/>
              </w:rPr>
              <w:t xml:space="preserve"> (PT, ES, DK ir RO) gavo paramą pagal </w:t>
            </w:r>
            <w:hyperlink r:id="rId106" w:history="1">
              <w:r>
                <w:rPr>
                  <w:rStyle w:val="Hyperlink"/>
                  <w:b/>
                  <w:noProof/>
                  <w:color w:val="034990" w:themeColor="hyperlink" w:themeShade="BF"/>
                </w:rPr>
                <w:t>2023 m. TPP pavyzdinę iniciatyvą dėl regionų ir vietos viešojo administravimo institucijų skaitmeninės transformacijos</w:t>
              </w:r>
            </w:hyperlink>
            <w:r>
              <w:rPr>
                <w:noProof/>
              </w:rPr>
              <w:t>.</w:t>
            </w:r>
            <w:r>
              <w:rPr>
                <w:b/>
                <w:noProof/>
              </w:rPr>
              <w:t xml:space="preserve"> </w:t>
            </w:r>
            <w:r>
              <w:rPr>
                <w:noProof/>
              </w:rPr>
              <w:t xml:space="preserve">Pavyzdžiui, </w:t>
            </w:r>
            <w:r>
              <w:rPr>
                <w:b/>
                <w:noProof/>
              </w:rPr>
              <w:t>Danija</w:t>
            </w:r>
            <w:r>
              <w:rPr>
                <w:noProof/>
              </w:rPr>
              <w:t xml:space="preserve"> gavo paramą kuriant rizikos vertinimo priemones, susijusias su DI projektais, kuriuos vykdo vietos, regioninės ir nacionalinės valdžios institucijos. Tai apima esamų DI naudojimo atvejų saugyklos sukūrimą Danijos administravimo institucijoje, siekiant skatinti pakartotinį naudojimą tiek nacionaliniu, tiek Europos mastu. </w:t>
            </w:r>
          </w:p>
        </w:tc>
      </w:tr>
    </w:tbl>
    <w:p w14:paraId="6AE01712" w14:textId="46783058" w:rsidR="00F60694" w:rsidRDefault="00E82967" w:rsidP="007B6952">
      <w:pPr>
        <w:spacing w:before="360" w:after="360"/>
        <w:ind w:right="-23"/>
        <w:rPr>
          <w:rFonts w:eastAsia="Calibri" w:cs="Times New Roman"/>
          <w:noProof/>
        </w:rPr>
      </w:pPr>
      <w:r>
        <w:rPr>
          <w:noProof/>
        </w:rPr>
        <w:t>2023 m. REFORM GD teikė paramą visoms valstybėms narėms, be kita ko, pagal TPP pavyzdines iniciatyvas, kad būtų daroma pažanga jų skaitmenizacijos srityje ir gerinamas skaitmeninių paslaugų teikimas, duomenų valdymas, DI naudojimas ir sistemų sąveikumo užtikrinimas.</w:t>
      </w:r>
    </w:p>
    <w:tbl>
      <w:tblPr>
        <w:tblStyle w:val="TableGrid"/>
        <w:tblW w:w="0" w:type="auto"/>
        <w:tblInd w:w="108" w:type="dxa"/>
        <w:shd w:val="clear" w:color="auto" w:fill="DBDBDB" w:themeFill="accent3" w:themeFillTint="66"/>
        <w:tblLook w:val="04A0" w:firstRow="1" w:lastRow="0" w:firstColumn="1" w:lastColumn="0" w:noHBand="0" w:noVBand="1"/>
      </w:tblPr>
      <w:tblGrid>
        <w:gridCol w:w="9072"/>
      </w:tblGrid>
      <w:tr w:rsidR="00E82967" w:rsidRPr="005459EB" w14:paraId="31B4D038" w14:textId="77777777" w:rsidTr="00BA7D5C">
        <w:tc>
          <w:tcPr>
            <w:tcW w:w="9072" w:type="dxa"/>
            <w:shd w:val="clear" w:color="auto" w:fill="DBDBDB" w:themeFill="accent3" w:themeFillTint="66"/>
          </w:tcPr>
          <w:p w14:paraId="41DC8C10" w14:textId="77777777" w:rsidR="00E82967" w:rsidRPr="005459EB" w:rsidRDefault="00E82967" w:rsidP="00BA7D5C">
            <w:pPr>
              <w:pStyle w:val="paragraph"/>
              <w:spacing w:before="120" w:beforeAutospacing="0" w:after="0" w:afterAutospacing="0"/>
              <w:jc w:val="center"/>
              <w:textAlignment w:val="baseline"/>
              <w:rPr>
                <w:rFonts w:ascii="EC Square Sans Pro" w:hAnsi="EC Square Sans Pro"/>
                <w:b/>
                <w:bCs/>
                <w:noProof/>
              </w:rPr>
            </w:pPr>
            <w:r>
              <w:rPr>
                <w:rFonts w:ascii="EC Square Sans Pro" w:hAnsi="EC Square Sans Pro"/>
                <w:b/>
                <w:noProof/>
              </w:rPr>
              <w:t>LAIMĖJIMAI</w:t>
            </w:r>
          </w:p>
          <w:p w14:paraId="44F60F37" w14:textId="77777777" w:rsidR="00E82967" w:rsidRPr="005459EB" w:rsidRDefault="00E82967" w:rsidP="00BA7D5C">
            <w:pPr>
              <w:spacing w:before="120"/>
              <w:rPr>
                <w:rStyle w:val="normaltextrun"/>
                <w:rFonts w:cs="Times New Roman"/>
                <w:noProof/>
              </w:rPr>
            </w:pPr>
            <w:r>
              <w:rPr>
                <w:rStyle w:val="normaltextrun"/>
                <w:b/>
                <w:noProof/>
              </w:rPr>
              <w:t>Konkretūs reformų ir gebėjimų stiprinimo</w:t>
            </w:r>
            <w:r>
              <w:rPr>
                <w:rStyle w:val="normaltextrun"/>
                <w:noProof/>
              </w:rPr>
              <w:t xml:space="preserve"> skaitmenizacijos srityje 2023 m., teikiant TPP paramą, </w:t>
            </w:r>
            <w:r>
              <w:rPr>
                <w:rStyle w:val="normaltextrun"/>
                <w:b/>
                <w:noProof/>
              </w:rPr>
              <w:t>pavyzdžiai</w:t>
            </w:r>
            <w:r>
              <w:rPr>
                <w:rStyle w:val="normaltextrun"/>
                <w:noProof/>
              </w:rPr>
              <w:t>:</w:t>
            </w:r>
          </w:p>
          <w:p w14:paraId="2EB27CCF" w14:textId="42042239" w:rsidR="00E82967" w:rsidRPr="005459EB" w:rsidRDefault="00E82967" w:rsidP="00E82967">
            <w:pPr>
              <w:pStyle w:val="ListParagraph"/>
              <w:numPr>
                <w:ilvl w:val="0"/>
                <w:numId w:val="45"/>
              </w:numPr>
              <w:spacing w:before="120"/>
              <w:contextualSpacing w:val="0"/>
              <w:rPr>
                <w:rFonts w:cs="Times New Roman"/>
                <w:noProof/>
              </w:rPr>
            </w:pPr>
            <w:r>
              <w:rPr>
                <w:b/>
                <w:noProof/>
              </w:rPr>
              <w:t>Slovakija</w:t>
            </w:r>
            <w:r>
              <w:rPr>
                <w:noProof/>
              </w:rPr>
              <w:t xml:space="preserve"> laikėsi visapusiško požiūrio į skaitmeninių valdžios paslaugų stiprinimą, integruodama DI ir eIDAS skaitmeninės atpažinties sistemą. Ji priėmė duomenų valdymo strategijas, skaitmeniniams tikslams parengtus teisės aktus ir institucinę struktūrą, įskaitant žmogiškųjų išteklių ir technologijų, ES ir nacionalinių skaitmeninių teisės aktų poveikio saugumui ir finansiniam poveikiui aspektus.</w:t>
            </w:r>
          </w:p>
          <w:p w14:paraId="106AE426" w14:textId="7878A111" w:rsidR="00E82967" w:rsidRPr="005459EB" w:rsidRDefault="00E82967" w:rsidP="00E82967">
            <w:pPr>
              <w:pStyle w:val="ListParagraph"/>
              <w:numPr>
                <w:ilvl w:val="0"/>
                <w:numId w:val="45"/>
              </w:numPr>
              <w:spacing w:before="120"/>
              <w:contextualSpacing w:val="0"/>
              <w:rPr>
                <w:rFonts w:cs="Times New Roman"/>
                <w:noProof/>
              </w:rPr>
            </w:pPr>
            <w:r>
              <w:rPr>
                <w:b/>
                <w:noProof/>
              </w:rPr>
              <w:t>Suomija</w:t>
            </w:r>
            <w:r>
              <w:rPr>
                <w:noProof/>
              </w:rPr>
              <w:t xml:space="preserve"> optimizavo pastangas skaitmenizuoti teismines institucijas ir padidinti veiklos efektyvumą įgyvendindama IRT valdymo strategiją.</w:t>
            </w:r>
          </w:p>
          <w:p w14:paraId="6FBF3C33" w14:textId="46C8094E" w:rsidR="00E82967" w:rsidRPr="005459EB" w:rsidRDefault="00E82967" w:rsidP="00E82967">
            <w:pPr>
              <w:pStyle w:val="ListParagraph"/>
              <w:numPr>
                <w:ilvl w:val="0"/>
                <w:numId w:val="45"/>
              </w:numPr>
              <w:spacing w:before="120"/>
              <w:contextualSpacing w:val="0"/>
              <w:rPr>
                <w:rFonts w:cs="Times New Roman"/>
                <w:noProof/>
              </w:rPr>
            </w:pPr>
            <w:r>
              <w:rPr>
                <w:b/>
                <w:noProof/>
              </w:rPr>
              <w:t>Italija</w:t>
            </w:r>
            <w:r>
              <w:rPr>
                <w:noProof/>
              </w:rPr>
              <w:t xml:space="preserve"> nustatė naują organizacinę struktūrą ir pritaikytus verslo procesus Ekonomikos ir finansų ministerijoje, taikydama visapusiškas paramos priemones, kuriomis daugiausia dėmesio skiriama pokyčių valdymui ir kultūros pokyčiams.</w:t>
            </w:r>
          </w:p>
          <w:p w14:paraId="16756BCA" w14:textId="1F9CB614" w:rsidR="00E82967" w:rsidRPr="005459EB" w:rsidRDefault="00E82967" w:rsidP="00E82967">
            <w:pPr>
              <w:pStyle w:val="ListParagraph"/>
              <w:numPr>
                <w:ilvl w:val="0"/>
                <w:numId w:val="45"/>
              </w:numPr>
              <w:spacing w:before="120" w:after="240"/>
              <w:ind w:left="357" w:hanging="357"/>
              <w:contextualSpacing w:val="0"/>
              <w:rPr>
                <w:rFonts w:cs="Times New Roman"/>
                <w:noProof/>
              </w:rPr>
            </w:pPr>
            <w:r>
              <w:rPr>
                <w:b/>
                <w:noProof/>
              </w:rPr>
              <w:t>Portugalija</w:t>
            </w:r>
            <w:r>
              <w:rPr>
                <w:noProof/>
              </w:rPr>
              <w:t>, dalyvaujant daugiau kaip 400 suinteresuotųjų subjektų, parengė nacionalinę pažangiųjų miestų strategiją pagal šalies Skaitmeninės pertvarkos veiksmų planą.</w:t>
            </w:r>
          </w:p>
        </w:tc>
      </w:tr>
    </w:tbl>
    <w:p w14:paraId="01455E38" w14:textId="77777777" w:rsidR="00E82967" w:rsidRPr="006A28B9" w:rsidRDefault="00E82967" w:rsidP="00C22B0D">
      <w:pPr>
        <w:pStyle w:val="Heading2"/>
        <w:spacing w:before="360"/>
        <w:rPr>
          <w:noProof/>
          <w:color w:val="2E74B5" w:themeColor="accent1" w:themeShade="BF"/>
        </w:rPr>
      </w:pPr>
      <w:bookmarkStart w:id="80" w:name="_Toc161911530"/>
      <w:bookmarkStart w:id="81" w:name="_Toc161913842"/>
      <w:bookmarkStart w:id="82" w:name="_Toc161913900"/>
      <w:bookmarkStart w:id="83" w:name="_Toc161914347"/>
      <w:bookmarkStart w:id="84" w:name="_Toc161914417"/>
      <w:bookmarkStart w:id="85" w:name="_Toc161914517"/>
      <w:bookmarkStart w:id="86" w:name="_Toc161914607"/>
      <w:bookmarkStart w:id="87" w:name="_Toc162018532"/>
      <w:bookmarkStart w:id="88" w:name="_Toc179190879"/>
      <w:bookmarkEnd w:id="80"/>
      <w:bookmarkEnd w:id="81"/>
      <w:bookmarkEnd w:id="82"/>
      <w:bookmarkEnd w:id="83"/>
      <w:bookmarkEnd w:id="84"/>
      <w:bookmarkEnd w:id="85"/>
      <w:bookmarkEnd w:id="86"/>
      <w:r>
        <w:rPr>
          <w:noProof/>
          <w14:textFill>
            <w14:solidFill>
              <w14:schemeClr w14:val="accent1">
                <w14:lumMod w14:val="75000"/>
                <w14:lumMod w14:val="75000"/>
                <w14:lumMod w14:val="75000"/>
              </w14:schemeClr>
            </w14:solidFill>
          </w14:textFill>
        </w:rPr>
        <w:t>Švietimas ir įgūdžiai</w:t>
      </w:r>
      <w:bookmarkEnd w:id="87"/>
      <w:bookmarkEnd w:id="88"/>
    </w:p>
    <w:p w14:paraId="5D3C4922" w14:textId="1EFF0F04" w:rsidR="00E82967" w:rsidRPr="005459EB" w:rsidRDefault="00E82967" w:rsidP="00E82967">
      <w:pPr>
        <w:spacing w:before="120"/>
        <w:rPr>
          <w:rFonts w:cs="Times New Roman"/>
          <w:bCs/>
          <w:noProof/>
        </w:rPr>
      </w:pPr>
      <w:r>
        <w:rPr>
          <w:noProof/>
        </w:rPr>
        <w:t xml:space="preserve">REFORM GD parama valstybėms narėms padėjo stiprinti jų </w:t>
      </w:r>
      <w:r>
        <w:rPr>
          <w:b/>
          <w:noProof/>
        </w:rPr>
        <w:t>švietimo, įgūdžių ir talentų pritraukimo politiką</w:t>
      </w:r>
      <w:r>
        <w:rPr>
          <w:noProof/>
        </w:rPr>
        <w:t>, kuria siekiama užtikrinti kvalifikuotą darbo jėgą. Parama sustiprino jų gebėjimus rengti ir įgyvendinti reformas, kad būtų padėtas pagrindas įtraukiam įgūdžių ugdymui nuo ankstyvo amžiaus ir būtų suteiktos sistemingos kvalifikacijos kėlimo ir perkvalifikavimo galimybės, be kita ko, nepalankioje padėtyje esančioms grupėms. Papildomomis reformomis taip pat buvo siekiama pritraukti talentus iš ES nepriklausančių šalių.</w:t>
      </w:r>
    </w:p>
    <w:tbl>
      <w:tblPr>
        <w:tblStyle w:val="TableGrid"/>
        <w:tblW w:w="0" w:type="auto"/>
        <w:tblInd w:w="108" w:type="dxa"/>
        <w:shd w:val="clear" w:color="auto" w:fill="B4C6E7" w:themeFill="accent5" w:themeFillTint="66"/>
        <w:tblLook w:val="04A0" w:firstRow="1" w:lastRow="0" w:firstColumn="1" w:lastColumn="0" w:noHBand="0" w:noVBand="1"/>
      </w:tblPr>
      <w:tblGrid>
        <w:gridCol w:w="9072"/>
      </w:tblGrid>
      <w:tr w:rsidR="00E82967" w:rsidRPr="005459EB" w14:paraId="33F2E114" w14:textId="77777777" w:rsidTr="00BA7D5C">
        <w:tc>
          <w:tcPr>
            <w:tcW w:w="9072" w:type="dxa"/>
            <w:shd w:val="clear" w:color="auto" w:fill="B4C6E7" w:themeFill="accent5" w:themeFillTint="66"/>
          </w:tcPr>
          <w:p w14:paraId="78779B9B" w14:textId="4EAD669F" w:rsidR="00E82967" w:rsidRPr="005459EB" w:rsidRDefault="00E82967" w:rsidP="00BA7D5C">
            <w:pPr>
              <w:spacing w:before="120"/>
              <w:jc w:val="center"/>
              <w:rPr>
                <w:rFonts w:cs="Times New Roman"/>
                <w:b/>
                <w:bCs/>
                <w:noProof/>
              </w:rPr>
            </w:pPr>
            <w:r>
              <w:rPr>
                <w:noProof/>
              </w:rPr>
              <w:br w:type="page"/>
            </w:r>
            <w:r>
              <w:rPr>
                <w:b/>
                <w:noProof/>
              </w:rPr>
              <w:t>DĖMESYS PAVYZDINĖMS INICIATYVOMS</w:t>
            </w:r>
          </w:p>
          <w:p w14:paraId="1F997702" w14:textId="545D2666" w:rsidR="00E82967" w:rsidRPr="005459EB" w:rsidRDefault="00E82967" w:rsidP="00BA7D5C">
            <w:pPr>
              <w:spacing w:before="120"/>
              <w:rPr>
                <w:rFonts w:cs="Times New Roman"/>
                <w:noProof/>
              </w:rPr>
            </w:pPr>
            <w:r>
              <w:rPr>
                <w:noProof/>
              </w:rPr>
              <w:t xml:space="preserve">2023 m. REFORM GD pradėjo įgyvendinti </w:t>
            </w:r>
            <w:r>
              <w:rPr>
                <w:b/>
                <w:noProof/>
              </w:rPr>
              <w:t>dvi pavyzdines iniciatyvas</w:t>
            </w:r>
            <w:r>
              <w:rPr>
                <w:noProof/>
              </w:rPr>
              <w:t xml:space="preserve"> švietimo ir įgūdžių srityje:</w:t>
            </w:r>
          </w:p>
          <w:p w14:paraId="5D773834" w14:textId="6F76B399" w:rsidR="00E82967" w:rsidRPr="005459EB" w:rsidRDefault="00E82967" w:rsidP="00E82967">
            <w:pPr>
              <w:pStyle w:val="ListParagraph"/>
              <w:numPr>
                <w:ilvl w:val="0"/>
                <w:numId w:val="44"/>
              </w:numPr>
              <w:spacing w:before="120"/>
              <w:contextualSpacing w:val="0"/>
              <w:rPr>
                <w:rFonts w:cs="Times New Roman"/>
                <w:noProof/>
              </w:rPr>
            </w:pPr>
            <w:r>
              <w:rPr>
                <w:b/>
                <w:noProof/>
              </w:rPr>
              <w:t>10 valstybių narių</w:t>
            </w:r>
            <w:r>
              <w:rPr>
                <w:noProof/>
              </w:rPr>
              <w:t xml:space="preserve"> (AT, CY, CZ, ES, FI, IE, LV, PL, PT ir SI) gavo paramą pagal </w:t>
            </w:r>
            <w:hyperlink r:id="rId107" w:history="1">
              <w:r>
                <w:rPr>
                  <w:rStyle w:val="Hyperlink"/>
                  <w:b/>
                  <w:noProof/>
                  <w:color w:val="034990" w:themeColor="hyperlink" w:themeShade="BF"/>
                </w:rPr>
                <w:t>2023 m. TPP pavyzdinę iniciatyvą „YOUTH FIRST“</w:t>
              </w:r>
            </w:hyperlink>
            <w:r>
              <w:rPr>
                <w:noProof/>
              </w:rPr>
              <w:t>, kuria siekiama remti reformas, kuriomis gerinami vaikų ir jaunimo švietimo, sveikatos ir socialiniai rezultatai. Parama apima pagrindines būsimos Europos darbo jėgos sritis, pavyzdžiui, galimybes gauti įtraukų ir kokybišką švietimą bei mokymą ir paramą kvalifikacijos kėlimui ir perkvalifikavimui;</w:t>
            </w:r>
          </w:p>
          <w:p w14:paraId="41B410BC" w14:textId="2EB94857" w:rsidR="00E82967" w:rsidRPr="005459EB" w:rsidRDefault="00E82967" w:rsidP="00E82967">
            <w:pPr>
              <w:pStyle w:val="ListParagraph"/>
              <w:numPr>
                <w:ilvl w:val="0"/>
                <w:numId w:val="44"/>
              </w:numPr>
              <w:spacing w:before="120" w:after="240"/>
              <w:ind w:left="357" w:hanging="357"/>
              <w:contextualSpacing w:val="0"/>
              <w:rPr>
                <w:rFonts w:cs="Times New Roman"/>
                <w:noProof/>
              </w:rPr>
            </w:pPr>
            <w:r>
              <w:rPr>
                <w:b/>
                <w:noProof/>
              </w:rPr>
              <w:t>septynios valstybės narės</w:t>
            </w:r>
            <w:r>
              <w:rPr>
                <w:noProof/>
              </w:rPr>
              <w:t xml:space="preserve"> (BE, CY, DK, ES, MT, NL ir SE) gavo paramą pagal </w:t>
            </w:r>
            <w:hyperlink r:id="rId108" w:history="1">
              <w:r>
                <w:rPr>
                  <w:rStyle w:val="Hyperlink"/>
                  <w:b/>
                  <w:noProof/>
                  <w:color w:val="034990" w:themeColor="hyperlink" w:themeShade="BF"/>
                </w:rPr>
                <w:t>2023 m. TPP pavyzdinę iniciatyvą „Migrantų integracija ir talentų pritraukimas“</w:t>
              </w:r>
            </w:hyperlink>
            <w:r>
              <w:rPr>
                <w:noProof/>
              </w:rPr>
              <w:t xml:space="preserve">, skirtą valstybėms narėms, norinčioms pasinaudoti socialine ir ekonomine nauda dėl </w:t>
            </w:r>
            <w:r>
              <w:rPr>
                <w:rStyle w:val="Strong"/>
                <w:noProof/>
              </w:rPr>
              <w:t>didesnės</w:t>
            </w:r>
            <w:r>
              <w:rPr>
                <w:rFonts w:ascii="Calibri" w:hAnsi="Calibri"/>
                <w:noProof/>
              </w:rPr>
              <w:t xml:space="preserve"> </w:t>
            </w:r>
            <w:r>
              <w:rPr>
                <w:rStyle w:val="Strong"/>
                <w:noProof/>
              </w:rPr>
              <w:t>trečiųjų šalių piliečių integracijos, dalyvavimo darbo rinkoje ir darbo jėgos judumo, atsižvelgiant į didėjantį įgūdžių trūkumą ir didėjančią pasaulinę konkurenciją dėl talentų</w:t>
            </w:r>
            <w:r>
              <w:rPr>
                <w:noProof/>
              </w:rPr>
              <w:t>.</w:t>
            </w:r>
          </w:p>
        </w:tc>
      </w:tr>
    </w:tbl>
    <w:p w14:paraId="07B17B82" w14:textId="482D8B9D" w:rsidR="00E82967" w:rsidRPr="00B623C1" w:rsidRDefault="00E82967" w:rsidP="00E82967">
      <w:pPr>
        <w:spacing w:before="360" w:after="360"/>
        <w:rPr>
          <w:rFonts w:cs="Times New Roman"/>
          <w:bCs/>
          <w:noProof/>
        </w:rPr>
      </w:pPr>
      <w:r>
        <w:rPr>
          <w:noProof/>
        </w:rPr>
        <w:t xml:space="preserve">2023 m. REFORM GD teikė paramą visoms </w:t>
      </w:r>
      <w:r>
        <w:rPr>
          <w:b/>
          <w:noProof/>
        </w:rPr>
        <w:t>27 valstybėms narėms</w:t>
      </w:r>
      <w:r>
        <w:rPr>
          <w:noProof/>
        </w:rPr>
        <w:t xml:space="preserve"> įgyvendindamas individualius, daugiašalius ir TPP pavyzdinius projektus, kuriais siekiama gerinti mokyklinio ugdymo, profesinio rengimo ir mokymo, aukštojo mokslo, suaugusiųjų švietimo, taip pat perkvalifikavimo ir kvalifikacijos kėlimo sistemų kokybę ir atitiktį darbo rinkai, užtikrinti tinkamai parengtų pedagogų darbo jėgą, išlaikyti ir pritraukti kvalifikuotus darbuotojus iš ES nepriklausančių šalių, paspartinti užsienio įgūdžių ir kvalifikacijų pripažinimą ir sudaryti palankesnes sąlygas naudotis aukštos kokybės ikimokyklinio ugdymo ir priežiūros paslaugomis, kad tėvai galėtų dirbti ne iš namų.</w:t>
      </w:r>
    </w:p>
    <w:tbl>
      <w:tblPr>
        <w:tblStyle w:val="TableGrid"/>
        <w:tblW w:w="0" w:type="auto"/>
        <w:tblInd w:w="108" w:type="dxa"/>
        <w:shd w:val="clear" w:color="auto" w:fill="DBDBDB" w:themeFill="accent3" w:themeFillTint="66"/>
        <w:tblLook w:val="04A0" w:firstRow="1" w:lastRow="0" w:firstColumn="1" w:lastColumn="0" w:noHBand="0" w:noVBand="1"/>
      </w:tblPr>
      <w:tblGrid>
        <w:gridCol w:w="9072"/>
      </w:tblGrid>
      <w:tr w:rsidR="00E82967" w:rsidRPr="005459EB" w14:paraId="46F1492D" w14:textId="77777777" w:rsidTr="00BA7D5C">
        <w:tc>
          <w:tcPr>
            <w:tcW w:w="9072" w:type="dxa"/>
            <w:shd w:val="clear" w:color="auto" w:fill="DBDBDB" w:themeFill="accent3" w:themeFillTint="66"/>
          </w:tcPr>
          <w:p w14:paraId="3EDBE964" w14:textId="77777777" w:rsidR="00E82967" w:rsidRPr="005459EB" w:rsidRDefault="00E82967" w:rsidP="00BA7D5C">
            <w:pPr>
              <w:pStyle w:val="paragraph"/>
              <w:spacing w:before="120" w:beforeAutospacing="0" w:after="0" w:afterAutospacing="0"/>
              <w:jc w:val="center"/>
              <w:textAlignment w:val="baseline"/>
              <w:rPr>
                <w:rFonts w:ascii="EC Square Sans Pro" w:hAnsi="EC Square Sans Pro"/>
                <w:b/>
                <w:bCs/>
                <w:noProof/>
              </w:rPr>
            </w:pPr>
            <w:r>
              <w:rPr>
                <w:rFonts w:ascii="EC Square Sans Pro" w:hAnsi="EC Square Sans Pro"/>
                <w:b/>
                <w:noProof/>
              </w:rPr>
              <w:t>LAIMĖJIMAI</w:t>
            </w:r>
          </w:p>
          <w:p w14:paraId="15957FE4" w14:textId="231F4B9C" w:rsidR="00E82967" w:rsidRPr="005459EB" w:rsidRDefault="00E82967" w:rsidP="00BA7D5C">
            <w:pPr>
              <w:spacing w:before="120"/>
              <w:rPr>
                <w:rStyle w:val="normaltextrun"/>
                <w:rFonts w:cs="Times New Roman"/>
                <w:noProof/>
              </w:rPr>
            </w:pPr>
            <w:r>
              <w:rPr>
                <w:rStyle w:val="normaltextrun"/>
                <w:b/>
                <w:noProof/>
              </w:rPr>
              <w:t>Konkretūs reformų ir gebėjimų stiprinimo</w:t>
            </w:r>
            <w:r>
              <w:rPr>
                <w:rStyle w:val="normaltextrun"/>
                <w:noProof/>
              </w:rPr>
              <w:t xml:space="preserve"> siekiant padidinti konkurencingumą per investicijas į švietimą ir įgūdžius 2023 m., teikiant TPP paramą, </w:t>
            </w:r>
            <w:r>
              <w:rPr>
                <w:rStyle w:val="normaltextrun"/>
                <w:b/>
                <w:noProof/>
              </w:rPr>
              <w:t>pavyzdžiai</w:t>
            </w:r>
            <w:r>
              <w:rPr>
                <w:rStyle w:val="normaltextrun"/>
                <w:noProof/>
              </w:rPr>
              <w:t>:</w:t>
            </w:r>
          </w:p>
          <w:p w14:paraId="23580A26" w14:textId="02A45A7F" w:rsidR="00E82967" w:rsidRPr="005459EB" w:rsidRDefault="00E82967" w:rsidP="00E82967">
            <w:pPr>
              <w:pStyle w:val="ListParagraph"/>
              <w:numPr>
                <w:ilvl w:val="0"/>
                <w:numId w:val="45"/>
              </w:numPr>
              <w:spacing w:before="120"/>
              <w:contextualSpacing w:val="0"/>
              <w:rPr>
                <w:rFonts w:cs="Times New Roman"/>
                <w:iCs/>
                <w:noProof/>
              </w:rPr>
            </w:pPr>
            <w:r>
              <w:rPr>
                <w:b/>
                <w:noProof/>
              </w:rPr>
              <w:t>Prancūzija</w:t>
            </w:r>
            <w:r>
              <w:rPr>
                <w:noProof/>
              </w:rPr>
              <w:t xml:space="preserve"> sukūrė naujos kartos kvalifikacijos kėlimo centrus profesinio rengimo ir mokymo srityje, daugiausia dėmesio skirdama tam, kad pagerintų atitiktį darbo rinkos poreikiams, remdamasi gairėmis, parengtomis įgyvendinant TPP projektą.</w:t>
            </w:r>
          </w:p>
          <w:p w14:paraId="038A0FC0" w14:textId="76305DCD" w:rsidR="00E82967" w:rsidRPr="005459EB" w:rsidRDefault="00E82967" w:rsidP="00E82967">
            <w:pPr>
              <w:pStyle w:val="ListParagraph"/>
              <w:numPr>
                <w:ilvl w:val="0"/>
                <w:numId w:val="45"/>
              </w:numPr>
              <w:spacing w:before="120"/>
              <w:contextualSpacing w:val="0"/>
              <w:rPr>
                <w:rFonts w:cs="Times New Roman"/>
                <w:iCs/>
                <w:noProof/>
              </w:rPr>
            </w:pPr>
            <w:r>
              <w:rPr>
                <w:b/>
                <w:noProof/>
              </w:rPr>
              <w:t>Belgijoje</w:t>
            </w:r>
            <w:r>
              <w:rPr>
                <w:noProof/>
              </w:rPr>
              <w:t xml:space="preserve"> Valonijos vyriausybė plėtojo suaugusiųjų mokymo paslaugų teikėjų kvalifikacijos kėlimo partnerystes, siekdama parengti bendrus mokymo kursus ir bendradarbiavimo susitarimus.</w:t>
            </w:r>
          </w:p>
          <w:p w14:paraId="628AF836" w14:textId="388B6CFF" w:rsidR="00E82967" w:rsidRPr="005459EB" w:rsidRDefault="00E82967" w:rsidP="00E82967">
            <w:pPr>
              <w:pStyle w:val="ListParagraph"/>
              <w:numPr>
                <w:ilvl w:val="0"/>
                <w:numId w:val="45"/>
              </w:numPr>
              <w:spacing w:before="120"/>
              <w:contextualSpacing w:val="0"/>
              <w:rPr>
                <w:rFonts w:cs="Times New Roman"/>
                <w:noProof/>
              </w:rPr>
            </w:pPr>
            <w:r>
              <w:rPr>
                <w:b/>
                <w:noProof/>
              </w:rPr>
              <w:t>Malta</w:t>
            </w:r>
            <w:r>
              <w:rPr>
                <w:noProof/>
              </w:rPr>
              <w:t xml:space="preserve"> atnaujino mokyklų kokybės užtikrinimo sistemą, taikydama peržiūrėtus standartus, pagal kuriuos mokyklų įsivertinimas derinamas su išorės tikrinimu.</w:t>
            </w:r>
          </w:p>
          <w:p w14:paraId="08612A0E" w14:textId="57E15637" w:rsidR="00E82967" w:rsidRPr="005459EB" w:rsidRDefault="00E82967" w:rsidP="00E82967">
            <w:pPr>
              <w:pStyle w:val="ListParagraph"/>
              <w:numPr>
                <w:ilvl w:val="0"/>
                <w:numId w:val="45"/>
              </w:numPr>
              <w:spacing w:before="120"/>
              <w:contextualSpacing w:val="0"/>
              <w:rPr>
                <w:rFonts w:cs="Times New Roman"/>
                <w:noProof/>
              </w:rPr>
            </w:pPr>
            <w:r>
              <w:rPr>
                <w:b/>
                <w:noProof/>
              </w:rPr>
              <w:t>Estija</w:t>
            </w:r>
            <w:r>
              <w:rPr>
                <w:noProof/>
              </w:rPr>
              <w:t xml:space="preserve"> integravo savo formaliojo švietimo ir neformaliojo mokymosi (įskaitant jaunimo veiklą) sistemas, kad jaunimas galėtų ugdyti įgūdžius lankstesniais mokymosi būdais.</w:t>
            </w:r>
          </w:p>
          <w:p w14:paraId="129706EC" w14:textId="4634442F" w:rsidR="00E82967" w:rsidRPr="005459EB" w:rsidRDefault="00E82967" w:rsidP="00E82967">
            <w:pPr>
              <w:pStyle w:val="ListParagraph"/>
              <w:numPr>
                <w:ilvl w:val="0"/>
                <w:numId w:val="45"/>
              </w:numPr>
              <w:spacing w:before="120" w:after="240"/>
              <w:ind w:left="357" w:hanging="357"/>
              <w:contextualSpacing w:val="0"/>
              <w:rPr>
                <w:rFonts w:cs="Times New Roman"/>
                <w:noProof/>
              </w:rPr>
            </w:pPr>
            <w:r>
              <w:rPr>
                <w:b/>
                <w:noProof/>
              </w:rPr>
              <w:t>Ispanija</w:t>
            </w:r>
            <w:r>
              <w:rPr>
                <w:noProof/>
              </w:rPr>
              <w:t xml:space="preserve"> pradėjo rengti strategiją, kuria siekiama sudaryti palankesnes sąlygas žmonių iš kitų šalių įtraukčiai į darbo rinką ir pritraukimui, be kita ko, naudojantis skaitmenine platforma.</w:t>
            </w:r>
          </w:p>
        </w:tc>
      </w:tr>
    </w:tbl>
    <w:p w14:paraId="26C90FBB" w14:textId="4DCA2194" w:rsidR="00E82967" w:rsidRPr="005459EB" w:rsidRDefault="00E82967" w:rsidP="00C22B0D">
      <w:pPr>
        <w:pStyle w:val="Heading2"/>
        <w:spacing w:before="360"/>
        <w:rPr>
          <w:noProof/>
          <w:color w:val="2E74B5" w:themeColor="accent1" w:themeShade="BF"/>
        </w:rPr>
      </w:pPr>
      <w:bookmarkStart w:id="89" w:name="_Toc161911532"/>
      <w:bookmarkStart w:id="90" w:name="_Toc161913844"/>
      <w:bookmarkStart w:id="91" w:name="_Toc161913902"/>
      <w:bookmarkStart w:id="92" w:name="_Toc161914349"/>
      <w:bookmarkStart w:id="93" w:name="_Toc161914419"/>
      <w:bookmarkStart w:id="94" w:name="_Toc161914519"/>
      <w:bookmarkStart w:id="95" w:name="_Toc161914609"/>
      <w:bookmarkStart w:id="96" w:name="_Toc161911533"/>
      <w:bookmarkStart w:id="97" w:name="_Toc161913845"/>
      <w:bookmarkStart w:id="98" w:name="_Toc161913903"/>
      <w:bookmarkStart w:id="99" w:name="_Toc161914350"/>
      <w:bookmarkStart w:id="100" w:name="_Toc161914420"/>
      <w:bookmarkStart w:id="101" w:name="_Toc161914520"/>
      <w:bookmarkStart w:id="102" w:name="_Toc161914610"/>
      <w:bookmarkStart w:id="103" w:name="_Toc162018533"/>
      <w:bookmarkStart w:id="104" w:name="_Toc179190880"/>
      <w:bookmarkEnd w:id="89"/>
      <w:bookmarkEnd w:id="90"/>
      <w:bookmarkEnd w:id="91"/>
      <w:bookmarkEnd w:id="92"/>
      <w:bookmarkEnd w:id="93"/>
      <w:bookmarkEnd w:id="94"/>
      <w:bookmarkEnd w:id="95"/>
      <w:bookmarkEnd w:id="96"/>
      <w:bookmarkEnd w:id="97"/>
      <w:bookmarkEnd w:id="98"/>
      <w:bookmarkEnd w:id="99"/>
      <w:bookmarkEnd w:id="100"/>
      <w:bookmarkEnd w:id="101"/>
      <w:bookmarkEnd w:id="102"/>
      <w:r>
        <w:rPr>
          <w:noProof/>
          <w14:textFill>
            <w14:solidFill>
              <w14:schemeClr w14:val="accent1">
                <w14:lumMod w14:val="75000"/>
                <w14:lumMod w14:val="75000"/>
                <w14:lumMod w14:val="75000"/>
              </w14:schemeClr>
            </w14:solidFill>
          </w14:textFill>
        </w:rPr>
        <w:t>Prekyba ir atviras strateginis savarankiškumas</w:t>
      </w:r>
      <w:bookmarkEnd w:id="103"/>
      <w:bookmarkEnd w:id="104"/>
    </w:p>
    <w:p w14:paraId="0A6D52A0" w14:textId="55D8622E" w:rsidR="00E82967" w:rsidRPr="005459EB" w:rsidRDefault="00E82967" w:rsidP="00E82967">
      <w:pPr>
        <w:spacing w:before="120"/>
        <w:rPr>
          <w:rFonts w:cs="Times New Roman"/>
          <w:bCs/>
          <w:noProof/>
        </w:rPr>
      </w:pPr>
      <w:r>
        <w:rPr>
          <w:noProof/>
        </w:rPr>
        <w:t xml:space="preserve">REFORM GD parama valstybėms narėms stiprina jų gebėjimą vykdyti reformas </w:t>
      </w:r>
      <w:r>
        <w:rPr>
          <w:b/>
          <w:noProof/>
        </w:rPr>
        <w:t>prekybos ir atviro strateginio savarankiškumo srityje</w:t>
      </w:r>
      <w:r>
        <w:rPr>
          <w:noProof/>
        </w:rPr>
        <w:t>.</w:t>
      </w:r>
      <w:r>
        <w:rPr>
          <w:b/>
          <w:noProof/>
        </w:rPr>
        <w:t xml:space="preserve"> </w:t>
      </w:r>
      <w:r>
        <w:rPr>
          <w:noProof/>
        </w:rPr>
        <w:t>Parama šioje srityje apima strategijų, politikos ir priemonių, kuriomis siekiama sudaryti palankesnes sąlygas užsienio investicijoms, mažinti priklausomybę, skatinti konkurenciją ir didinti ekonominį saugumą bei atsparumą, rengimą.</w:t>
      </w:r>
    </w:p>
    <w:p w14:paraId="1F0787DD" w14:textId="693B60F1" w:rsidR="00E82967" w:rsidRPr="005459EB" w:rsidRDefault="00E82967" w:rsidP="00E82967">
      <w:pPr>
        <w:spacing w:before="120"/>
        <w:rPr>
          <w:rFonts w:cs="Times New Roman"/>
          <w:noProof/>
        </w:rPr>
      </w:pPr>
      <w:r>
        <w:rPr>
          <w:noProof/>
        </w:rPr>
        <w:t xml:space="preserve">2023 m. REFORM GD teikė paramą </w:t>
      </w:r>
      <w:r>
        <w:rPr>
          <w:b/>
          <w:noProof/>
        </w:rPr>
        <w:t>aštuonioms valstybėms narėms</w:t>
      </w:r>
      <w:r>
        <w:rPr>
          <w:noProof/>
        </w:rPr>
        <w:t xml:space="preserve"> (EL, ES, FI, LV, PL, PT, RO ir SE), kad būtų plėtojamas ir didinamas jų pramonės ekosistemų atsparumas, mažinama priklausomybė nuo pagrindinių išteklių ir skatinamos atsparesnės tiekimo grandinės.</w:t>
      </w:r>
    </w:p>
    <w:tbl>
      <w:tblPr>
        <w:tblStyle w:val="TableGrid"/>
        <w:tblW w:w="0" w:type="auto"/>
        <w:tblInd w:w="108" w:type="dxa"/>
        <w:shd w:val="clear" w:color="auto" w:fill="DBDBDB" w:themeFill="accent3" w:themeFillTint="66"/>
        <w:tblLook w:val="04A0" w:firstRow="1" w:lastRow="0" w:firstColumn="1" w:lastColumn="0" w:noHBand="0" w:noVBand="1"/>
      </w:tblPr>
      <w:tblGrid>
        <w:gridCol w:w="9072"/>
      </w:tblGrid>
      <w:tr w:rsidR="00E82967" w:rsidRPr="005459EB" w14:paraId="330530ED" w14:textId="77777777" w:rsidTr="00BA7D5C">
        <w:tc>
          <w:tcPr>
            <w:tcW w:w="9072" w:type="dxa"/>
            <w:shd w:val="clear" w:color="auto" w:fill="DBDBDB" w:themeFill="accent3" w:themeFillTint="66"/>
          </w:tcPr>
          <w:p w14:paraId="7EF3E48D" w14:textId="77777777" w:rsidR="00E82967" w:rsidRPr="005459EB" w:rsidRDefault="00E82967" w:rsidP="00BA7D5C">
            <w:pPr>
              <w:pStyle w:val="paragraph"/>
              <w:spacing w:before="120" w:beforeAutospacing="0" w:after="0" w:afterAutospacing="0"/>
              <w:jc w:val="center"/>
              <w:textAlignment w:val="baseline"/>
              <w:rPr>
                <w:rFonts w:ascii="EC Square Sans Pro" w:hAnsi="EC Square Sans Pro"/>
                <w:b/>
                <w:bCs/>
                <w:noProof/>
              </w:rPr>
            </w:pPr>
            <w:r>
              <w:rPr>
                <w:rFonts w:ascii="EC Square Sans Pro" w:hAnsi="EC Square Sans Pro"/>
                <w:b/>
                <w:noProof/>
              </w:rPr>
              <w:t>LAIMĖJIMAI</w:t>
            </w:r>
          </w:p>
          <w:p w14:paraId="6D93E90F" w14:textId="2602DC69" w:rsidR="00E82967" w:rsidRPr="005459EB" w:rsidRDefault="00E82967" w:rsidP="00BA7D5C">
            <w:pPr>
              <w:spacing w:before="120"/>
              <w:rPr>
                <w:rStyle w:val="normaltextrun"/>
                <w:rFonts w:cs="Times New Roman"/>
                <w:noProof/>
              </w:rPr>
            </w:pPr>
            <w:r>
              <w:rPr>
                <w:rStyle w:val="normaltextrun"/>
                <w:b/>
                <w:noProof/>
              </w:rPr>
              <w:t>Konkretūs reformų ir gebėjimų stiprinimo</w:t>
            </w:r>
            <w:r>
              <w:rPr>
                <w:rStyle w:val="normaltextrun"/>
                <w:noProof/>
              </w:rPr>
              <w:t xml:space="preserve"> prekybos ir strateginio savarankiškumo srityje 2023 m., teikiant TPP paramą, </w:t>
            </w:r>
            <w:r>
              <w:rPr>
                <w:rStyle w:val="normaltextrun"/>
                <w:b/>
                <w:noProof/>
              </w:rPr>
              <w:t>pavyzdžiai</w:t>
            </w:r>
            <w:r>
              <w:rPr>
                <w:rStyle w:val="normaltextrun"/>
                <w:noProof/>
              </w:rPr>
              <w:t>:</w:t>
            </w:r>
          </w:p>
          <w:p w14:paraId="5E60DDC2" w14:textId="56CE8056" w:rsidR="00E82967" w:rsidRPr="005459EB" w:rsidRDefault="00E82967" w:rsidP="00E82967">
            <w:pPr>
              <w:pStyle w:val="ListParagraph"/>
              <w:numPr>
                <w:ilvl w:val="0"/>
                <w:numId w:val="45"/>
              </w:numPr>
              <w:spacing w:before="120"/>
              <w:contextualSpacing w:val="0"/>
              <w:rPr>
                <w:rFonts w:cs="Times New Roman"/>
                <w:noProof/>
              </w:rPr>
            </w:pPr>
            <w:r>
              <w:rPr>
                <w:b/>
                <w:noProof/>
              </w:rPr>
              <w:t>Ispanija</w:t>
            </w:r>
            <w:r>
              <w:rPr>
                <w:noProof/>
              </w:rPr>
              <w:t xml:space="preserve"> savo nacionalinėje saugumo struktūroje įsteigė nuolatinę darbo grupę strateginių tiekimo krizių klausimais.</w:t>
            </w:r>
          </w:p>
          <w:p w14:paraId="45283850" w14:textId="77777777" w:rsidR="00E82967" w:rsidRPr="005459EB" w:rsidRDefault="00E82967" w:rsidP="00E82967">
            <w:pPr>
              <w:pStyle w:val="ListParagraph"/>
              <w:numPr>
                <w:ilvl w:val="0"/>
                <w:numId w:val="45"/>
              </w:numPr>
              <w:spacing w:before="120" w:after="240"/>
              <w:ind w:left="357" w:hanging="357"/>
              <w:contextualSpacing w:val="0"/>
              <w:rPr>
                <w:rFonts w:cs="Times New Roman"/>
                <w:noProof/>
              </w:rPr>
            </w:pPr>
            <w:r>
              <w:rPr>
                <w:b/>
                <w:noProof/>
              </w:rPr>
              <w:t>Kroatija</w:t>
            </w:r>
            <w:r>
              <w:rPr>
                <w:noProof/>
              </w:rPr>
              <w:t xml:space="preserve"> sustiprino strateginę tiesioginių užsienio investicijų skatinimo ir palankesnių sąlygų joms sudarymo sistemą.</w:t>
            </w:r>
          </w:p>
        </w:tc>
      </w:tr>
    </w:tbl>
    <w:p w14:paraId="755E197D" w14:textId="60E68E23" w:rsidR="00994FB0" w:rsidRPr="005459EB" w:rsidRDefault="00EC65C1" w:rsidP="00416205">
      <w:pPr>
        <w:spacing w:before="240" w:after="240"/>
        <w:rPr>
          <w:rFonts w:eastAsia="Times New Roman" w:cstheme="majorBidi"/>
          <w:b/>
          <w:caps/>
          <w:noProof/>
          <w:color w:val="2E74B5" w:themeColor="accent1" w:themeShade="BF"/>
          <w:sz w:val="36"/>
          <w:szCs w:val="32"/>
        </w:rPr>
      </w:pPr>
      <w:r>
        <w:rPr>
          <w:noProof/>
        </w:rPr>
        <w:t xml:space="preserve">Apskritai 2023 m. REFORM GD veiksmingai rėmė valstybes nares joms vykdant pagrindines reformas ir stiprinant gebėjimus konkurencingumo srityje. Tačiau ateityje valstybės narės ir toliau susidurs su dideliais iššūkiais kurdamos konkurencingesnę ir atsparesnę ekonominę bazę, tinkamą žaliajai ir skaitmeninei pertvarkai. </w:t>
      </w:r>
      <w:bookmarkStart w:id="105" w:name="_Toc146743806"/>
      <w:bookmarkStart w:id="106" w:name="_Toc146751217"/>
      <w:bookmarkStart w:id="107" w:name="_Toc146743808"/>
      <w:bookmarkStart w:id="108" w:name="_Toc146751219"/>
      <w:r>
        <w:rPr>
          <w:noProof/>
        </w:rPr>
        <w:br w:type="page"/>
      </w:r>
    </w:p>
    <w:p w14:paraId="3405BB49" w14:textId="4312066A" w:rsidR="00EF598C" w:rsidRPr="005459EB" w:rsidRDefault="003D0FF2" w:rsidP="00CB6475">
      <w:pPr>
        <w:pStyle w:val="Heading1"/>
        <w:rPr>
          <w:noProof/>
        </w:rPr>
      </w:pPr>
      <w:bookmarkStart w:id="109" w:name="_Toc179190881"/>
      <w:bookmarkEnd w:id="105"/>
      <w:bookmarkEnd w:id="106"/>
      <w:r>
        <w:rPr>
          <w:noProof/>
        </w:rPr>
        <w:t>IŠVADA</w:t>
      </w:r>
      <w:bookmarkEnd w:id="107"/>
      <w:bookmarkEnd w:id="108"/>
      <w:bookmarkEnd w:id="109"/>
    </w:p>
    <w:p w14:paraId="4291CAFC" w14:textId="03F56C6C" w:rsidR="009431E2" w:rsidRPr="005459EB" w:rsidRDefault="004E23FD" w:rsidP="004D0721">
      <w:pPr>
        <w:rPr>
          <w:rFonts w:cs="Times New Roman"/>
          <w:noProof/>
        </w:rPr>
      </w:pPr>
      <w:r>
        <w:rPr>
          <w:noProof/>
        </w:rPr>
        <w:t>2023 m. REFORM GD sustiprino savo komunikacijos veiklą, kad nacionalinės valdžios institucijos būtų informuotos apie TPP teikiamas galimybes ir kad būtų dar labiau padidinta atskaitomybė už pagal šią priemonę teikiamą paramą. Todėl 2023 m. TPP ciklo metu gauta 530 aukštos kokybės paramos prašymų ir bendras prašymų skaičius vėl viršijo programos pajėgumus, o tai įrodė, kad nacionalinės valdžios institucijos domisi šios priemonės teikiamomis galimybėmis.</w:t>
      </w:r>
    </w:p>
    <w:p w14:paraId="58B4A164" w14:textId="3C538AF1" w:rsidR="00BD0D77" w:rsidRPr="005459EB" w:rsidRDefault="00BD0D77" w:rsidP="00BD0D77">
      <w:pPr>
        <w:rPr>
          <w:rFonts w:cs="Times New Roman"/>
          <w:noProof/>
        </w:rPr>
      </w:pPr>
      <w:r>
        <w:rPr>
          <w:noProof/>
        </w:rPr>
        <w:t xml:space="preserve">Po vertinimo ir atrankos proceso </w:t>
      </w:r>
      <w:r>
        <w:rPr>
          <w:b/>
          <w:noProof/>
        </w:rPr>
        <w:t>pagal 2023 m. TPP bendrą kvietimą buvo atrinktas 231 prašymas (bendra vertė</w:t>
      </w:r>
      <w:r>
        <w:rPr>
          <w:rFonts w:ascii="Calibri" w:hAnsi="Calibri"/>
          <w:b/>
          <w:noProof/>
        </w:rPr>
        <w:t xml:space="preserve"> </w:t>
      </w:r>
      <w:r>
        <w:rPr>
          <w:b/>
          <w:noProof/>
        </w:rPr>
        <w:t>119,7 mln. EUR)</w:t>
      </w:r>
      <w:r>
        <w:rPr>
          <w:noProof/>
        </w:rPr>
        <w:t xml:space="preserve">, kuriuo remiantis buvo parengtas </w:t>
      </w:r>
      <w:r>
        <w:rPr>
          <w:b/>
          <w:noProof/>
        </w:rPr>
        <w:t>151 projektas</w:t>
      </w:r>
      <w:r>
        <w:rPr>
          <w:noProof/>
        </w:rPr>
        <w:t xml:space="preserve">. Įgyvendinant šiuos projektus suteikta parama vykdyti </w:t>
      </w:r>
      <w:r>
        <w:rPr>
          <w:b/>
          <w:noProof/>
        </w:rPr>
        <w:t>326 pažangiausias reformas</w:t>
      </w:r>
      <w:r>
        <w:rPr>
          <w:noProof/>
        </w:rPr>
        <w:t xml:space="preserve"> visose valstybėse narėse. 30 proc. iš 231 atrinkto prašymo buvo susiję su skaitmenine pertvarka, o 35 proc. – su Europos žaliuoju kursu. Be to, 66 proc. 2023 m. TPP 151 projektų yra tiesiogiai arba netiesiogiai susiję su nacionaliniais ekonomikos gaivinimo ir atsparumo didinimo planais.</w:t>
      </w:r>
    </w:p>
    <w:p w14:paraId="03720484" w14:textId="3E400313" w:rsidR="001216F3" w:rsidRPr="005459EB" w:rsidRDefault="003E6627" w:rsidP="004D0721">
      <w:pPr>
        <w:rPr>
          <w:noProof/>
        </w:rPr>
      </w:pPr>
      <w:r>
        <w:rPr>
          <w:noProof/>
        </w:rPr>
        <w:t xml:space="preserve">Per pastaruosius trejus metus sparčiai </w:t>
      </w:r>
      <w:r>
        <w:rPr>
          <w:b/>
          <w:noProof/>
        </w:rPr>
        <w:t>išaugęs daugiašalių projektų skaičius</w:t>
      </w:r>
      <w:r>
        <w:rPr>
          <w:noProof/>
        </w:rPr>
        <w:t xml:space="preserve"> rodo, kad TPP gali suteikti papildomos ES pridėtinės vertės ir palengvinti nacionalinių administravimo institucijų gerosios patirties mainus bei abipusio mokymosi galimybes. Be to, 2023 m. įgyvendinant TPP </w:t>
      </w:r>
      <w:r>
        <w:rPr>
          <w:b/>
          <w:noProof/>
        </w:rPr>
        <w:t>išaugo TPP pavyzdinių projektų plėtojimas</w:t>
      </w:r>
      <w:r>
        <w:rPr>
          <w:noProof/>
        </w:rPr>
        <w:t>, palyginti su 2022 m. TPP ciklu, kai ši koncepcija buvo pristatyta pirmą kartą.</w:t>
      </w:r>
    </w:p>
    <w:p w14:paraId="24485772" w14:textId="5B22069C" w:rsidR="0050327B" w:rsidRPr="005459EB" w:rsidRDefault="09A4F443" w:rsidP="5B162347">
      <w:pPr>
        <w:rPr>
          <w:rFonts w:cs="Times New Roman"/>
          <w:noProof/>
        </w:rPr>
      </w:pPr>
      <w:r>
        <w:rPr>
          <w:noProof/>
        </w:rPr>
        <w:t xml:space="preserve">REFORM GD rėmė valstybes nares joms įgyvendinant TPP projektus, įskaitant ankstesnių ciklų projektus, užtikrindamas, kad jie būtų įgyvendinti sėkmingai ir kad jų rezultatai atitiktų valstybių narių tikslus. Atsižvelgiant į nacionalinių valdžios institucijų prašymus, projektai apėmė įvairias politikos sritis. Viena iš šioje ataskaitoje pabrėžtų sričių buvo </w:t>
      </w:r>
      <w:r>
        <w:rPr>
          <w:b/>
          <w:noProof/>
        </w:rPr>
        <w:t>konkurencingumas</w:t>
      </w:r>
      <w:r>
        <w:rPr>
          <w:noProof/>
        </w:rPr>
        <w:t>. Šioje srityje paramą gavo visos 27 valstybės narės, pradedant parama veikiančiai bendrajai rinkai ir baigiant viešosiomis investicijomis ir infrastruktūra, skaitmenizacija, švietimu ir įgūdžiais.</w:t>
      </w:r>
    </w:p>
    <w:p w14:paraId="2AD18F2A" w14:textId="1D3578F7" w:rsidR="00B97A27" w:rsidRPr="005459EB" w:rsidRDefault="00F05300" w:rsidP="00B97A27">
      <w:pPr>
        <w:rPr>
          <w:noProof/>
        </w:rPr>
      </w:pPr>
      <w:r>
        <w:rPr>
          <w:noProof/>
        </w:rPr>
        <w:t xml:space="preserve">2023 m. spalio mėn. priėmus </w:t>
      </w:r>
      <w:hyperlink r:id="rId109" w:history="1">
        <w:r>
          <w:rPr>
            <w:noProof/>
          </w:rPr>
          <w:t>Komunikatą „Europos administracinės erdvės stiprinimas (</w:t>
        </w:r>
        <w:r>
          <w:rPr>
            <w:b/>
            <w:noProof/>
          </w:rPr>
          <w:t>iniciatyva „ComPAct“</w:t>
        </w:r>
        <w:r>
          <w:rPr>
            <w:noProof/>
          </w:rPr>
          <w:t>)“</w:t>
        </w:r>
      </w:hyperlink>
      <w:r>
        <w:rPr>
          <w:noProof/>
        </w:rPr>
        <w:t xml:space="preserve">, kuriame siūlomi konkretūs veiksmai, kuriais siekiama padėti viešojo administravimo institucijoms patenkinti žmonių ir įmonių poreikius visoje Europoje, stiprinamas potencialus TPP vaidmuo padedant nacionalinėms administravimo institucijoms stiprinti savo gebėjimus rengiant ir įgyvendinant reformas, ir keistis geriausia praktika, visų pirma įgyvendinant TPP pavyzdinį projektą </w:t>
      </w:r>
      <w:r>
        <w:rPr>
          <w:b/>
          <w:noProof/>
        </w:rPr>
        <w:t>PACE</w:t>
      </w:r>
      <w:r>
        <w:rPr>
          <w:noProof/>
        </w:rPr>
        <w:t>.</w:t>
      </w:r>
    </w:p>
    <w:p w14:paraId="50327F3A" w14:textId="0480023E" w:rsidR="00B54273" w:rsidRPr="005459EB" w:rsidRDefault="008A4B21" w:rsidP="007D2E8F">
      <w:pPr>
        <w:rPr>
          <w:rFonts w:cs="Times New Roman"/>
          <w:noProof/>
        </w:rPr>
      </w:pPr>
      <w:r>
        <w:rPr>
          <w:noProof/>
        </w:rPr>
        <w:t xml:space="preserve">Sprendžiant iš atsiliepimų, gautų iš paramą gaunančių institucijų projektų lygmeniu ir iš koordinavimo institucijų šalies lygmeniu, pagal TPP teikiamą </w:t>
      </w:r>
      <w:r>
        <w:rPr>
          <w:b/>
          <w:noProof/>
        </w:rPr>
        <w:t>paramą valstybės narės įvertino teigiamai</w:t>
      </w:r>
      <w:r>
        <w:rPr>
          <w:noProof/>
        </w:rPr>
        <w:t xml:space="preserve">, ypač tai, kad jos gali aktyviai dalyvauti rengiant ir įgyvendinant projektus, taip pat </w:t>
      </w:r>
      <w:r>
        <w:rPr>
          <w:b/>
          <w:noProof/>
        </w:rPr>
        <w:t>veiksmingą REFORM GD komunikaciją</w:t>
      </w:r>
      <w:r>
        <w:rPr>
          <w:noProof/>
        </w:rPr>
        <w:t>.</w:t>
      </w:r>
    </w:p>
    <w:p w14:paraId="4FBBCF91" w14:textId="17890523" w:rsidR="007D7C4F" w:rsidRPr="005459EB" w:rsidRDefault="007D7C4F">
      <w:pPr>
        <w:jc w:val="left"/>
        <w:rPr>
          <w:rFonts w:cs="Times New Roman"/>
          <w:noProof/>
        </w:rPr>
      </w:pPr>
      <w:r>
        <w:rPr>
          <w:noProof/>
        </w:rPr>
        <w:br w:type="page"/>
      </w:r>
    </w:p>
    <w:p w14:paraId="7E96DA44" w14:textId="1536C29C" w:rsidR="007D7C4F" w:rsidRPr="005459EB" w:rsidRDefault="007D7C4F" w:rsidP="00CB6475">
      <w:pPr>
        <w:pStyle w:val="Heading2"/>
        <w:numPr>
          <w:ilvl w:val="0"/>
          <w:numId w:val="0"/>
        </w:numPr>
        <w:rPr>
          <w:b w:val="0"/>
          <w:noProof/>
          <w:color w:val="2E74B5" w:themeColor="accent1" w:themeShade="BF"/>
        </w:rPr>
      </w:pPr>
      <w:bookmarkStart w:id="110" w:name="_Toc179190882"/>
      <w:r>
        <w:rPr>
          <w:noProof/>
          <w14:textFill>
            <w14:solidFill>
              <w14:schemeClr w14:val="accent1">
                <w14:lumMod w14:val="75000"/>
                <w14:lumMod w14:val="75000"/>
                <w14:lumMod w14:val="75000"/>
              </w14:schemeClr>
            </w14:solidFill>
          </w14:textFill>
        </w:rPr>
        <w:t>1 priedas. Metinis TPP ciklas</w:t>
      </w:r>
      <w:bookmarkEnd w:id="110"/>
    </w:p>
    <w:p w14:paraId="3F8015AC" w14:textId="2BA2D724" w:rsidR="007D7C4F" w:rsidRPr="005459EB" w:rsidRDefault="00F31696" w:rsidP="003A20A4">
      <w:pPr>
        <w:keepNext/>
        <w:jc w:val="center"/>
        <w:rPr>
          <w:noProof/>
        </w:rPr>
      </w:pPr>
      <w:r w:rsidRPr="00F31696">
        <w:rPr>
          <w:noProof/>
          <w:lang w:val="en-GB" w:eastAsia="en-GB"/>
        </w:rPr>
        <w:drawing>
          <wp:inline distT="0" distB="0" distL="0" distR="0" wp14:anchorId="21245CD7" wp14:editId="26DBB521">
            <wp:extent cx="5298297" cy="8763000"/>
            <wp:effectExtent l="0" t="0" r="0" b="0"/>
            <wp:docPr id="417055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55615" name=""/>
                    <pic:cNvPicPr/>
                  </pic:nvPicPr>
                  <pic:blipFill>
                    <a:blip r:embed="rId110"/>
                    <a:stretch>
                      <a:fillRect/>
                    </a:stretch>
                  </pic:blipFill>
                  <pic:spPr>
                    <a:xfrm>
                      <a:off x="0" y="0"/>
                      <a:ext cx="5308844" cy="8780444"/>
                    </a:xfrm>
                    <a:prstGeom prst="rect">
                      <a:avLst/>
                    </a:prstGeom>
                  </pic:spPr>
                </pic:pic>
              </a:graphicData>
            </a:graphic>
          </wp:inline>
        </w:drawing>
      </w:r>
    </w:p>
    <w:p w14:paraId="14695F3C" w14:textId="61F05566" w:rsidR="007D7C4F" w:rsidRPr="007B6952" w:rsidRDefault="00944B24" w:rsidP="00C22B0D">
      <w:pPr>
        <w:pStyle w:val="Heading2"/>
        <w:numPr>
          <w:ilvl w:val="0"/>
          <w:numId w:val="0"/>
        </w:numPr>
        <w:spacing w:after="360"/>
        <w:rPr>
          <w:noProof/>
          <w:color w:val="2E74B5" w:themeColor="accent1" w:themeShade="BF"/>
        </w:rPr>
      </w:pPr>
      <w:r>
        <w:rPr>
          <w:noProof/>
          <w:color w:val="2E74B5" w:themeColor="accent1" w:themeShade="BF"/>
        </w:rPr>
        <w:br w:type="page"/>
      </w:r>
      <w:bookmarkStart w:id="111" w:name="_Toc179190883"/>
      <w:r>
        <w:rPr>
          <w:noProof/>
          <w14:textFill>
            <w14:solidFill>
              <w14:schemeClr w14:val="accent1">
                <w14:lumMod w14:val="75000"/>
                <w14:lumMod w14:val="75000"/>
                <w14:lumMod w14:val="75000"/>
              </w14:schemeClr>
            </w14:solidFill>
          </w14:textFill>
        </w:rPr>
        <w:t>2 priedas. 2023 m. TPP bendras kvietimas teikti prašymus: kiekvienos valstybės narės prašymai</w:t>
      </w:r>
      <w:bookmarkEnd w:id="111"/>
    </w:p>
    <w:p w14:paraId="5342C4DC" w14:textId="74B32BB9" w:rsidR="00E81F66" w:rsidRPr="005459EB" w:rsidRDefault="00DC0509" w:rsidP="007D2E8F">
      <w:pPr>
        <w:rPr>
          <w:rFonts w:ascii="Times New Roman" w:hAnsi="Times New Roman" w:cs="Times New Roman"/>
          <w:b/>
          <w:bCs/>
          <w:noProof/>
        </w:rPr>
      </w:pPr>
      <w:r w:rsidRPr="00DC0509">
        <w:rPr>
          <w:noProof/>
          <w:lang w:val="en-GB" w:eastAsia="en-GB"/>
        </w:rPr>
        <w:drawing>
          <wp:inline distT="0" distB="0" distL="0" distR="0" wp14:anchorId="1795A2F7" wp14:editId="0516E57A">
            <wp:extent cx="5850890" cy="5430520"/>
            <wp:effectExtent l="0" t="0" r="0" b="0"/>
            <wp:docPr id="1437622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50890" cy="5430520"/>
                    </a:xfrm>
                    <a:prstGeom prst="rect">
                      <a:avLst/>
                    </a:prstGeom>
                    <a:noFill/>
                    <a:ln>
                      <a:noFill/>
                    </a:ln>
                  </pic:spPr>
                </pic:pic>
              </a:graphicData>
            </a:graphic>
          </wp:inline>
        </w:drawing>
      </w:r>
    </w:p>
    <w:sectPr w:rsidR="00E81F66" w:rsidRPr="005459EB" w:rsidSect="0077004A">
      <w:headerReference w:type="even" r:id="rId112"/>
      <w:headerReference w:type="default" r:id="rId113"/>
      <w:footerReference w:type="even" r:id="rId114"/>
      <w:footerReference w:type="default" r:id="rId115"/>
      <w:headerReference w:type="first" r:id="rId116"/>
      <w:footerReference w:type="first" r:id="rId117"/>
      <w:pgSz w:w="11906" w:h="16838"/>
      <w:pgMar w:top="993" w:right="1274" w:bottom="1276" w:left="1418" w:header="680" w:footer="6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26231" w14:textId="77777777" w:rsidR="00F028A6" w:rsidRPr="005459EB" w:rsidRDefault="00F028A6" w:rsidP="008D0040">
      <w:r>
        <w:separator/>
      </w:r>
    </w:p>
  </w:endnote>
  <w:endnote w:type="continuationSeparator" w:id="0">
    <w:p w14:paraId="110DF27B" w14:textId="77777777" w:rsidR="00F028A6" w:rsidRPr="005459EB" w:rsidRDefault="00F028A6" w:rsidP="008D0040">
      <w:r>
        <w:continuationSeparator/>
      </w:r>
    </w:p>
  </w:endnote>
  <w:endnote w:type="continuationNotice" w:id="1">
    <w:p w14:paraId="50EBDF80" w14:textId="77777777" w:rsidR="00F028A6" w:rsidRPr="005459EB" w:rsidRDefault="00F028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C Square Sans Pro">
    <w:altName w:val="Bahnschrift Light"/>
    <w:charset w:val="00"/>
    <w:family w:val="swiss"/>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A736E" w14:textId="0E4A7952" w:rsidR="00631C6E" w:rsidRPr="00631C6E" w:rsidRDefault="00631C6E" w:rsidP="00631C6E">
    <w:pPr>
      <w:pStyle w:val="FooterCoverPage"/>
      <w:rPr>
        <w:rFonts w:ascii="Arial" w:hAnsi="Arial" w:cs="Arial"/>
        <w:b/>
        <w:sz w:val="48"/>
      </w:rPr>
    </w:pPr>
    <w:r w:rsidRPr="00631C6E">
      <w:rPr>
        <w:rFonts w:ascii="Arial" w:hAnsi="Arial" w:cs="Arial"/>
        <w:b/>
        <w:sz w:val="48"/>
      </w:rPr>
      <w:t>LT</w:t>
    </w:r>
    <w:r w:rsidRPr="00631C6E">
      <w:rPr>
        <w:rFonts w:ascii="Arial" w:hAnsi="Arial" w:cs="Arial"/>
        <w:b/>
        <w:sz w:val="48"/>
      </w:rPr>
      <w:tab/>
    </w:r>
    <w:r w:rsidRPr="00631C6E">
      <w:rPr>
        <w:rFonts w:ascii="Arial" w:hAnsi="Arial" w:cs="Arial"/>
        <w:b/>
        <w:sz w:val="48"/>
      </w:rPr>
      <w:tab/>
    </w:r>
    <w:r w:rsidRPr="00631C6E">
      <w:tab/>
    </w:r>
    <w:r w:rsidRPr="00631C6E">
      <w:rPr>
        <w:rFonts w:ascii="Arial" w:hAnsi="Arial" w:cs="Arial"/>
        <w:b/>
        <w:sz w:val="48"/>
      </w:rPr>
      <w:t>LT</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ECB59" w14:textId="77777777" w:rsidR="00670CD2" w:rsidRPr="005459EB" w:rsidRDefault="00670CD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810162"/>
      <w:docPartObj>
        <w:docPartGallery w:val="Page Numbers (Bottom of Page)"/>
        <w:docPartUnique/>
      </w:docPartObj>
    </w:sdtPr>
    <w:sdtEndPr/>
    <w:sdtContent>
      <w:p w14:paraId="7AC70FFA" w14:textId="147AC71C" w:rsidR="00EC65C1" w:rsidRPr="005459EB" w:rsidRDefault="00EC65C1">
        <w:pPr>
          <w:pStyle w:val="Footer"/>
          <w:jc w:val="right"/>
        </w:pPr>
        <w:r>
          <w:fldChar w:fldCharType="begin"/>
        </w:r>
        <w:r>
          <w:instrText xml:space="preserve"> PAGE   \* MERGEFORMAT </w:instrText>
        </w:r>
        <w:r>
          <w:fldChar w:fldCharType="separate"/>
        </w:r>
        <w:r>
          <w:t>2</w:t>
        </w:r>
        <w:r>
          <w:fldChar w:fldCharType="end"/>
        </w:r>
      </w:p>
    </w:sdtContent>
  </w:sdt>
  <w:p w14:paraId="74529009" w14:textId="7CCFCE4E" w:rsidR="00670CD2" w:rsidRPr="005459EB" w:rsidRDefault="00670CD2" w:rsidP="00B74001">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161090"/>
      <w:docPartObj>
        <w:docPartGallery w:val="Page Numbers (Bottom of Page)"/>
        <w:docPartUnique/>
      </w:docPartObj>
    </w:sdtPr>
    <w:sdtEndPr/>
    <w:sdtContent>
      <w:p w14:paraId="543ABADD" w14:textId="77777777" w:rsidR="00092BD5" w:rsidRPr="005459EB" w:rsidRDefault="00092BD5">
        <w:pPr>
          <w:pStyle w:val="Footer"/>
          <w:jc w:val="right"/>
        </w:pPr>
        <w:r>
          <w:fldChar w:fldCharType="begin"/>
        </w:r>
        <w:r>
          <w:instrText xml:space="preserve"> PAGE   \* MERGEFORMAT </w:instrText>
        </w:r>
        <w:r>
          <w:fldChar w:fldCharType="separate"/>
        </w:r>
        <w:r>
          <w:t>2</w:t>
        </w:r>
        <w:r>
          <w:fldChar w:fldCharType="end"/>
        </w:r>
      </w:p>
    </w:sdtContent>
  </w:sdt>
  <w:p w14:paraId="6C1F8D6B" w14:textId="77777777" w:rsidR="00092BD5" w:rsidRPr="005459EB" w:rsidRDefault="00092B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B6038" w14:textId="740819B3" w:rsidR="00631C6E" w:rsidRPr="00631C6E" w:rsidRDefault="00631C6E" w:rsidP="00631C6E">
    <w:pPr>
      <w:pStyle w:val="FooterCoverPage"/>
      <w:rPr>
        <w:rFonts w:ascii="Arial" w:hAnsi="Arial" w:cs="Arial"/>
        <w:b/>
        <w:sz w:val="48"/>
      </w:rPr>
    </w:pPr>
    <w:r w:rsidRPr="00631C6E">
      <w:rPr>
        <w:rFonts w:ascii="Arial" w:hAnsi="Arial" w:cs="Arial"/>
        <w:b/>
        <w:sz w:val="48"/>
      </w:rPr>
      <w:t>LT</w:t>
    </w:r>
    <w:r w:rsidRPr="00631C6E">
      <w:rPr>
        <w:rFonts w:ascii="Arial" w:hAnsi="Arial" w:cs="Arial"/>
        <w:b/>
        <w:sz w:val="48"/>
      </w:rPr>
      <w:tab/>
    </w:r>
    <w:r w:rsidRPr="00631C6E">
      <w:rPr>
        <w:rFonts w:ascii="Arial" w:hAnsi="Arial" w:cs="Arial"/>
        <w:b/>
        <w:sz w:val="48"/>
      </w:rPr>
      <w:tab/>
    </w:r>
    <w:r w:rsidRPr="00631C6E">
      <w:tab/>
    </w:r>
    <w:r w:rsidRPr="00631C6E">
      <w:rPr>
        <w:rFonts w:ascii="Arial" w:hAnsi="Arial" w:cs="Arial"/>
        <w:b/>
        <w:sz w:val="48"/>
      </w:rPr>
      <w:t>LT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76FA" w14:textId="77777777" w:rsidR="00631C6E" w:rsidRPr="00631C6E" w:rsidRDefault="00631C6E" w:rsidP="00631C6E">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7743A" w14:textId="77777777" w:rsidR="00092BD5" w:rsidRPr="005459EB" w:rsidRDefault="00092B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814302"/>
      <w:docPartObj>
        <w:docPartGallery w:val="Page Numbers (Bottom of Page)"/>
        <w:docPartUnique/>
      </w:docPartObj>
    </w:sdtPr>
    <w:sdtEndPr/>
    <w:sdtContent>
      <w:p w14:paraId="0E1F42B7" w14:textId="32ABBD24" w:rsidR="00092BD5" w:rsidRPr="005459EB" w:rsidRDefault="00092BD5">
        <w:pPr>
          <w:pStyle w:val="Footer"/>
          <w:jc w:val="right"/>
        </w:pPr>
        <w:r>
          <w:fldChar w:fldCharType="begin"/>
        </w:r>
        <w:r>
          <w:instrText xml:space="preserve"> PAGE   \* MERGEFORMAT </w:instrText>
        </w:r>
        <w:r>
          <w:fldChar w:fldCharType="separate"/>
        </w:r>
        <w:r w:rsidR="00631C6E">
          <w:rPr>
            <w:noProof/>
          </w:rPr>
          <w:t>1</w:t>
        </w:r>
        <w:r>
          <w:fldChar w:fldCharType="end"/>
        </w:r>
      </w:p>
    </w:sdtContent>
  </w:sdt>
  <w:p w14:paraId="604F1CBA" w14:textId="77777777" w:rsidR="00092BD5" w:rsidRPr="005459EB" w:rsidRDefault="00092B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922645"/>
      <w:docPartObj>
        <w:docPartGallery w:val="Page Numbers (Bottom of Page)"/>
        <w:docPartUnique/>
      </w:docPartObj>
    </w:sdtPr>
    <w:sdtEndPr/>
    <w:sdtContent>
      <w:p w14:paraId="49BC9A03" w14:textId="77777777" w:rsidR="00092BD5" w:rsidRPr="005459EB" w:rsidRDefault="00092BD5">
        <w:pPr>
          <w:pStyle w:val="Footer"/>
          <w:jc w:val="right"/>
        </w:pPr>
        <w:r>
          <w:fldChar w:fldCharType="begin"/>
        </w:r>
        <w:r>
          <w:instrText xml:space="preserve"> PAGE   \* MERGEFORMAT </w:instrText>
        </w:r>
        <w:r>
          <w:fldChar w:fldCharType="separate"/>
        </w:r>
        <w:r>
          <w:t>2</w:t>
        </w:r>
        <w:r>
          <w:fldChar w:fldCharType="end"/>
        </w:r>
      </w:p>
    </w:sdtContent>
  </w:sdt>
  <w:p w14:paraId="636D4C1D" w14:textId="77777777" w:rsidR="00092BD5" w:rsidRPr="005459EB" w:rsidRDefault="00092B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F18CA" w14:textId="77777777" w:rsidR="00092BD5" w:rsidRPr="005459EB" w:rsidRDefault="00092BD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403638"/>
      <w:docPartObj>
        <w:docPartGallery w:val="Page Numbers (Bottom of Page)"/>
        <w:docPartUnique/>
      </w:docPartObj>
    </w:sdtPr>
    <w:sdtEndPr/>
    <w:sdtContent>
      <w:p w14:paraId="1D699D88" w14:textId="77777777" w:rsidR="00092BD5" w:rsidRPr="005459EB" w:rsidRDefault="00092BD5">
        <w:pPr>
          <w:pStyle w:val="Footer"/>
          <w:jc w:val="right"/>
        </w:pPr>
        <w:r>
          <w:fldChar w:fldCharType="begin"/>
        </w:r>
        <w:r>
          <w:instrText xml:space="preserve"> PAGE   \* MERGEFORMAT </w:instrText>
        </w:r>
        <w:r>
          <w:fldChar w:fldCharType="separate"/>
        </w:r>
        <w:r>
          <w:t>1</w:t>
        </w:r>
        <w:r>
          <w:fldChar w:fldCharType="end"/>
        </w:r>
      </w:p>
    </w:sdtContent>
  </w:sdt>
  <w:p w14:paraId="77CD20CD" w14:textId="77777777" w:rsidR="00092BD5" w:rsidRPr="005459EB" w:rsidRDefault="00092BD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116073"/>
      <w:docPartObj>
        <w:docPartGallery w:val="Page Numbers (Bottom of Page)"/>
        <w:docPartUnique/>
      </w:docPartObj>
    </w:sdtPr>
    <w:sdtEndPr/>
    <w:sdtContent>
      <w:p w14:paraId="694E15A7" w14:textId="77777777" w:rsidR="00092BD5" w:rsidRPr="005459EB" w:rsidRDefault="00092BD5">
        <w:pPr>
          <w:pStyle w:val="Footer"/>
          <w:jc w:val="right"/>
        </w:pPr>
        <w:r>
          <w:fldChar w:fldCharType="begin"/>
        </w:r>
        <w:r>
          <w:instrText xml:space="preserve"> PAGE   \* MERGEFORMAT </w:instrText>
        </w:r>
        <w:r>
          <w:fldChar w:fldCharType="separate"/>
        </w:r>
        <w:r>
          <w:t>2</w:t>
        </w:r>
        <w:r>
          <w:fldChar w:fldCharType="end"/>
        </w:r>
      </w:p>
    </w:sdtContent>
  </w:sdt>
  <w:p w14:paraId="73A19CB4" w14:textId="77777777" w:rsidR="00092BD5" w:rsidRPr="005459EB" w:rsidRDefault="00092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893C4" w14:textId="77777777" w:rsidR="00F028A6" w:rsidRPr="005459EB" w:rsidRDefault="00F028A6" w:rsidP="008D0040">
      <w:r>
        <w:separator/>
      </w:r>
    </w:p>
  </w:footnote>
  <w:footnote w:type="continuationSeparator" w:id="0">
    <w:p w14:paraId="19A57A97" w14:textId="77777777" w:rsidR="00F028A6" w:rsidRPr="005459EB" w:rsidRDefault="00F028A6" w:rsidP="008D0040">
      <w:r>
        <w:continuationSeparator/>
      </w:r>
    </w:p>
  </w:footnote>
  <w:footnote w:type="continuationNotice" w:id="1">
    <w:p w14:paraId="095A5D12" w14:textId="77777777" w:rsidR="00F028A6" w:rsidRPr="005459EB" w:rsidRDefault="00F028A6">
      <w:pPr>
        <w:spacing w:after="0" w:line="240" w:lineRule="auto"/>
      </w:pPr>
    </w:p>
  </w:footnote>
  <w:footnote w:id="2">
    <w:p w14:paraId="0159D6F5" w14:textId="0026EA77" w:rsidR="00894698" w:rsidRPr="005459EB" w:rsidRDefault="00894698">
      <w:pPr>
        <w:pStyle w:val="FootnoteText"/>
      </w:pPr>
      <w:r>
        <w:rPr>
          <w:rStyle w:val="FootnoteReference"/>
        </w:rPr>
        <w:footnoteRef/>
      </w:r>
      <w:r>
        <w:t xml:space="preserve"> 2021 m. vasario 10 d. Europos Parlamento ir Tarybos reglamentas (ES) 2021/240, kuriuo nustatoma techninės paramos priemonė, OL L 57, 2021 2 18, p.</w:t>
      </w:r>
      <w:r>
        <w:rPr>
          <w:rFonts w:ascii="Calibri" w:hAnsi="Calibri"/>
        </w:rPr>
        <w:t xml:space="preserve"> </w:t>
      </w:r>
      <w:r>
        <w:t>1–16, (TPP reglamentas).</w:t>
      </w:r>
    </w:p>
  </w:footnote>
  <w:footnote w:id="3">
    <w:p w14:paraId="26426081" w14:textId="28AA5C77" w:rsidR="005D6C3C" w:rsidRPr="005459EB" w:rsidRDefault="005D6C3C">
      <w:pPr>
        <w:pStyle w:val="FootnoteText"/>
      </w:pPr>
      <w:r>
        <w:rPr>
          <w:rStyle w:val="FootnoteReference"/>
        </w:rPr>
        <w:footnoteRef/>
      </w:r>
      <w:r>
        <w:t xml:space="preserve"> https://neighbourhood-enlargement.ec.europa.eu/funding-and-technical-assistance/taiex_lt.</w:t>
      </w:r>
    </w:p>
  </w:footnote>
  <w:footnote w:id="4">
    <w:p w14:paraId="22398B51" w14:textId="6CBE48B0" w:rsidR="005D6C3C" w:rsidRPr="005459EB" w:rsidRDefault="005D6C3C" w:rsidP="005D6C3C">
      <w:pPr>
        <w:pStyle w:val="FootnoteText"/>
      </w:pPr>
      <w:r>
        <w:rPr>
          <w:rStyle w:val="FootnoteReference"/>
        </w:rPr>
        <w:footnoteRef/>
      </w:r>
      <w:r>
        <w:t xml:space="preserve"> Subjektų, naudojančių techninei paramos priemonei skirtas ES lėšas netiesioginio valdymo tvarka, sąrašas pateikiamas </w:t>
      </w:r>
      <w:hyperlink r:id="rId1" w:history="1">
        <w:r>
          <w:rPr>
            <w:rStyle w:val="Hyperlink"/>
            <w:color w:val="034990" w:themeColor="hyperlink" w:themeShade="BF"/>
          </w:rPr>
          <w:t>techninės paramos priemonės interneto svetainėje</w:t>
        </w:r>
      </w:hyperlink>
      <w:r>
        <w:t>.</w:t>
      </w:r>
    </w:p>
  </w:footnote>
  <w:footnote w:id="5">
    <w:p w14:paraId="4C81E2DA" w14:textId="640872F0" w:rsidR="003C0851" w:rsidRPr="005459EB" w:rsidRDefault="003C0851" w:rsidP="003C0851">
      <w:pPr>
        <w:pStyle w:val="FootnoteText"/>
        <w:rPr>
          <w:rFonts w:cs="Times New Roman"/>
        </w:rPr>
      </w:pPr>
      <w:r>
        <w:rPr>
          <w:rStyle w:val="FootnoteReference"/>
          <w:rFonts w:cs="Times New Roman"/>
        </w:rPr>
        <w:footnoteRef/>
      </w:r>
      <w:r>
        <w:t xml:space="preserve"> 2021 m. vasario 12 d.</w:t>
      </w:r>
      <w:r>
        <w:rPr>
          <w:rFonts w:ascii="Calibri" w:hAnsi="Calibri"/>
        </w:rPr>
        <w:t xml:space="preserve"> </w:t>
      </w:r>
      <w:r>
        <w:t>Europos Parlamento ir Tarybos reglamentas (ES) 2021/241, kuriuo nustatoma ekonomikos gaivinimo ir atsparumo didinimo priemonė, OL L 57, 2021 2 18,</w:t>
      </w:r>
      <w:r>
        <w:rPr>
          <w:rFonts w:ascii="Calibri" w:hAnsi="Calibri"/>
        </w:rPr>
        <w:t xml:space="preserve"> </w:t>
      </w:r>
      <w:r>
        <w:t xml:space="preserve">p. 17–75, (EGADP </w:t>
      </w:r>
      <w:hyperlink r:id="rId2" w:history="1">
        <w:r>
          <w:rPr>
            <w:rStyle w:val="Hyperlink"/>
            <w:color w:val="034990" w:themeColor="hyperlink" w:themeShade="BF"/>
            <w14:textFill>
              <w14:solidFill>
                <w14:schemeClr w14:val="hlink">
                  <w14:lumMod w14:val="75000"/>
                  <w14:lumMod w14:val="75000"/>
                </w14:schemeClr>
              </w14:solidFill>
            </w14:textFill>
          </w:rPr>
          <w:t>reglamentas</w:t>
        </w:r>
      </w:hyperlink>
      <w:r>
        <w:t>, 7 straipsnio 2 dalis).</w:t>
      </w:r>
    </w:p>
  </w:footnote>
  <w:footnote w:id="6">
    <w:p w14:paraId="6AA6335B" w14:textId="30EC37F9" w:rsidR="001D2BC0" w:rsidRPr="005459EB" w:rsidRDefault="001D2BC0">
      <w:pPr>
        <w:pStyle w:val="FootnoteText"/>
      </w:pPr>
      <w:r>
        <w:rPr>
          <w:rStyle w:val="FootnoteReference"/>
        </w:rPr>
        <w:footnoteRef/>
      </w:r>
      <w:r>
        <w:t xml:space="preserve"> Prašymų atitiktis reikalavimams tikrinama remiantis TPP reglamente, t. y. 8 ir 9 straipsniuose, nustatytais kriterijais. Galimų paramos gavėjų atitiktis reikalavimams taip pat tikrinama remiantis TPP reglamente, t. y. 2 straipsnyje, nustatytais kriterijais.</w:t>
      </w:r>
    </w:p>
  </w:footnote>
  <w:footnote w:id="7">
    <w:p w14:paraId="4FC8A085" w14:textId="712C2465" w:rsidR="000345D3" w:rsidRPr="005459EB" w:rsidRDefault="000345D3" w:rsidP="005F0171">
      <w:pPr>
        <w:pStyle w:val="FootnoteText"/>
      </w:pPr>
      <w:r>
        <w:rPr>
          <w:rStyle w:val="FootnoteReference"/>
          <w:rFonts w:cs="Times New Roman"/>
        </w:rPr>
        <w:footnoteRef/>
      </w:r>
      <w:r>
        <w:t xml:space="preserve"> Vienu techninės paramos prašymu gali būti prisidedama prie kelių ES prioritetų įgyvendinimo.</w:t>
      </w:r>
    </w:p>
  </w:footnote>
  <w:footnote w:id="8">
    <w:p w14:paraId="251994D3" w14:textId="51BC1851" w:rsidR="0026587E" w:rsidRPr="005459EB" w:rsidRDefault="0026587E" w:rsidP="0026587E">
      <w:pPr>
        <w:pStyle w:val="FootnoteText"/>
        <w:rPr>
          <w:rFonts w:cs="Times New Roman"/>
        </w:rPr>
      </w:pPr>
      <w:r>
        <w:rPr>
          <w:rStyle w:val="FootnoteReference"/>
          <w:rFonts w:cs="Times New Roman"/>
        </w:rPr>
        <w:footnoteRef/>
      </w:r>
      <w:r>
        <w:t xml:space="preserve"> 2023 m. kovo 20 d. Komisijos įgyvendinimo sprendimas C(2023)</w:t>
      </w:r>
      <w:r>
        <w:rPr>
          <w:rFonts w:ascii="Calibri" w:hAnsi="Calibri"/>
        </w:rPr>
        <w:t> </w:t>
      </w:r>
      <w:r>
        <w:t>1786 dėl techninės paramos priemonės finansavimo ir 2023 m. darbo programos priėmimo.</w:t>
      </w:r>
    </w:p>
  </w:footnote>
  <w:footnote w:id="9">
    <w:p w14:paraId="22A98DA6" w14:textId="6D6DFB01" w:rsidR="00BE0D5D" w:rsidRPr="005459EB" w:rsidRDefault="00BE0D5D">
      <w:pPr>
        <w:pStyle w:val="FootnoteText"/>
      </w:pPr>
      <w:r>
        <w:rPr>
          <w:rStyle w:val="FootnoteReference"/>
        </w:rPr>
        <w:footnoteRef/>
      </w:r>
      <w:r>
        <w:t xml:space="preserve"> Bendras per 2023 m. TPP ciklą remiamų reformų skaičius viršija bendrą remiamų projektų skaičių ir bendrą atrinktų prašymų skaičių, nes 2023 m. TPP ciklo daugiašaliai projektai ir daugiašaliai prašymai buvo susiję su keliomis skirtingose valstybėse narėse įgyvendinamomis reformomis.</w:t>
      </w:r>
    </w:p>
  </w:footnote>
  <w:footnote w:id="10">
    <w:p w14:paraId="49192CF5" w14:textId="561989A2" w:rsidR="00C73EE1" w:rsidRPr="005459EB" w:rsidRDefault="00C73EE1" w:rsidP="00C73EE1">
      <w:pPr>
        <w:pStyle w:val="FootnoteText"/>
        <w:rPr>
          <w:rFonts w:cs="Times New Roman"/>
        </w:rPr>
      </w:pPr>
      <w:r>
        <w:rPr>
          <w:rStyle w:val="FootnoteReference"/>
          <w:rFonts w:ascii="Times New Roman" w:hAnsi="Times New Roman" w:cs="Times New Roman"/>
        </w:rPr>
        <w:footnoteRef/>
      </w:r>
      <w:r>
        <w:rPr>
          <w:rFonts w:ascii="Times New Roman" w:hAnsi="Times New Roman"/>
        </w:rPr>
        <w:t xml:space="preserve"> </w:t>
      </w:r>
      <w:r>
        <w:t>Tarnybų darbinis dokumentas. Ekonomikos gaivinimo ir atsparumo didinimo priemonės laikotarpio vidurio vertinimas (p. 62).</w:t>
      </w:r>
    </w:p>
  </w:footnote>
  <w:footnote w:id="11">
    <w:p w14:paraId="17333D31" w14:textId="2CC1ED56" w:rsidR="009E56A4" w:rsidRPr="005459EB" w:rsidRDefault="009E56A4">
      <w:pPr>
        <w:pStyle w:val="FootnoteText"/>
      </w:pPr>
      <w:r>
        <w:rPr>
          <w:rStyle w:val="FootnoteReference"/>
        </w:rPr>
        <w:footnoteRef/>
      </w:r>
      <w:r>
        <w:t xml:space="preserve"> Bosnijos ir Hercegovinos, Juodkalnijos, Moldovos, Šiaurės Makedonijos, Albanijos, Serbijos, Turkijos, Ukrainos, Sakartvelo ir Kosovo.</w:t>
      </w:r>
    </w:p>
  </w:footnote>
  <w:footnote w:id="12">
    <w:p w14:paraId="23BA5269" w14:textId="26BABBC9" w:rsidR="002716FB" w:rsidRPr="005459EB" w:rsidRDefault="002716FB" w:rsidP="002716FB">
      <w:pPr>
        <w:pStyle w:val="FootnoteText"/>
      </w:pPr>
      <w:r>
        <w:rPr>
          <w:rStyle w:val="FootnoteReference"/>
        </w:rPr>
        <w:footnoteRef/>
      </w:r>
      <w:r>
        <w:t xml:space="preserve"> Juodkalnija ir Ukraina nedalyvavo šiame bandomajame projekte dėl ribotų administracinių gebėjimų, tačiau išreiškė didelį susidomėjimą dalyvauti ateityje.</w:t>
      </w:r>
    </w:p>
  </w:footnote>
  <w:footnote w:id="13">
    <w:p w14:paraId="55AA3186" w14:textId="3F637452" w:rsidR="0011622C" w:rsidRPr="00AD3EDB" w:rsidRDefault="0011622C">
      <w:pPr>
        <w:pStyle w:val="FootnoteText"/>
      </w:pPr>
      <w:r>
        <w:rPr>
          <w:rStyle w:val="FootnoteReference"/>
        </w:rPr>
        <w:footnoteRef/>
      </w:r>
      <w:r>
        <w:t xml:space="preserve"> Kaip nurodyta TPP reglamento 9 straipsnio 5 dalyje.</w:t>
      </w:r>
    </w:p>
  </w:footnote>
  <w:footnote w:id="14">
    <w:p w14:paraId="5CB83907" w14:textId="3DB52163" w:rsidR="006E3C9A" w:rsidRPr="00663B62" w:rsidRDefault="006E3C9A">
      <w:pPr>
        <w:pStyle w:val="FootnoteText"/>
      </w:pPr>
      <w:r>
        <w:rPr>
          <w:rStyle w:val="FootnoteReference"/>
        </w:rPr>
        <w:footnoteRef/>
      </w:r>
      <w:r>
        <w:t xml:space="preserve"> COM(2020) 628 </w:t>
      </w:r>
      <w:r>
        <w:rPr>
          <w:i/>
        </w:rPr>
        <w:t>final</w:t>
      </w:r>
      <w:r>
        <w:t>.</w:t>
      </w:r>
    </w:p>
  </w:footnote>
  <w:footnote w:id="15">
    <w:p w14:paraId="56FFE2CD" w14:textId="511AFCC0" w:rsidR="00663B62" w:rsidRPr="00663B62" w:rsidRDefault="00663B62">
      <w:pPr>
        <w:pStyle w:val="FootnoteText"/>
      </w:pPr>
      <w:r>
        <w:rPr>
          <w:rStyle w:val="FootnoteReference"/>
        </w:rPr>
        <w:footnoteRef/>
      </w:r>
      <w:r>
        <w:t xml:space="preserve"> COM(2022) 16 </w:t>
      </w:r>
      <w:r>
        <w:rPr>
          <w:i/>
        </w:rPr>
        <w:t>final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E1941" w14:textId="77777777" w:rsidR="00631C6E" w:rsidRPr="00631C6E" w:rsidRDefault="00631C6E" w:rsidP="00631C6E">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68C96" w14:textId="77777777" w:rsidR="00670CD2" w:rsidRPr="005459EB" w:rsidRDefault="00670CD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5A8CD" w14:textId="77777777" w:rsidR="00670CD2" w:rsidRPr="005459EB" w:rsidRDefault="00670CD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4DFFD" w14:textId="77777777" w:rsidR="00670CD2" w:rsidRPr="005459EB" w:rsidRDefault="00670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0F54C" w14:textId="77777777" w:rsidR="00631C6E" w:rsidRPr="00631C6E" w:rsidRDefault="00631C6E" w:rsidP="00631C6E">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D7808" w14:textId="77777777" w:rsidR="00631C6E" w:rsidRPr="00631C6E" w:rsidRDefault="00631C6E" w:rsidP="00631C6E">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D6F15" w14:textId="77777777" w:rsidR="00092BD5" w:rsidRPr="005459EB" w:rsidRDefault="00092B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B636" w14:textId="77777777" w:rsidR="00092BD5" w:rsidRPr="005459EB" w:rsidRDefault="00092BD5">
    <w:pPr>
      <w:pStyle w:val="Header"/>
      <w:jc w:val="right"/>
      <w:rPr>
        <w:b/>
        <w:bCs/>
        <w:i/>
        <w:iCs/>
        <w:u w:val="single"/>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B5EDA" w14:textId="77777777" w:rsidR="00092BD5" w:rsidRPr="005459EB" w:rsidRDefault="00092B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4076" w14:textId="77777777" w:rsidR="00092BD5" w:rsidRPr="005459EB" w:rsidRDefault="00092B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70F68" w14:textId="77777777" w:rsidR="00092BD5" w:rsidRPr="005459EB" w:rsidRDefault="00092BD5">
    <w:pPr>
      <w:pStyle w:val="Header"/>
      <w:jc w:val="right"/>
      <w:rPr>
        <w:b/>
        <w:bCs/>
        <w:i/>
        <w:iCs/>
        <w:u w:val="single"/>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6C13" w14:textId="77777777" w:rsidR="00092BD5" w:rsidRPr="005459EB" w:rsidRDefault="00092B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9BF"/>
    <w:multiLevelType w:val="hybridMultilevel"/>
    <w:tmpl w:val="01707F02"/>
    <w:lvl w:ilvl="0" w:tplc="373079AA">
      <w:start w:val="1"/>
      <w:numFmt w:val="upperRoman"/>
      <w:lvlText w:val="%1&gt;"/>
      <w:lvlJc w:val="left"/>
      <w:pPr>
        <w:ind w:left="1080" w:hanging="720"/>
      </w:pPr>
      <w:rPr>
        <w:rFonts w:ascii="EC Square Sans Pro" w:hAnsi="EC Square Sans Pro" w:cstheme="minorBidi"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0DC26AF"/>
    <w:multiLevelType w:val="multilevel"/>
    <w:tmpl w:val="7C9C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7354F"/>
    <w:multiLevelType w:val="hybridMultilevel"/>
    <w:tmpl w:val="9C724A9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6824EC2"/>
    <w:multiLevelType w:val="multilevel"/>
    <w:tmpl w:val="3A56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97BF4"/>
    <w:multiLevelType w:val="hybridMultilevel"/>
    <w:tmpl w:val="185CD2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9524C61"/>
    <w:multiLevelType w:val="hybridMultilevel"/>
    <w:tmpl w:val="4DDE9E38"/>
    <w:lvl w:ilvl="0" w:tplc="4F1AE72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9D30DB1"/>
    <w:multiLevelType w:val="multilevel"/>
    <w:tmpl w:val="F81CF9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D353DF"/>
    <w:multiLevelType w:val="hybridMultilevel"/>
    <w:tmpl w:val="C49C41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C69593F"/>
    <w:multiLevelType w:val="multilevel"/>
    <w:tmpl w:val="417C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3F6EFE"/>
    <w:multiLevelType w:val="hybridMultilevel"/>
    <w:tmpl w:val="4B8EE5E6"/>
    <w:lvl w:ilvl="0" w:tplc="BE0A0C1C">
      <w:start w:val="1"/>
      <w:numFmt w:val="upperRoman"/>
      <w:pStyle w:val="Heading2"/>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20B7201"/>
    <w:multiLevelType w:val="multilevel"/>
    <w:tmpl w:val="9A702B88"/>
    <w:name w:val="ListNumberNumbering"/>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4BC1721"/>
    <w:multiLevelType w:val="hybridMultilevel"/>
    <w:tmpl w:val="F59E3D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5E244A0"/>
    <w:multiLevelType w:val="hybridMultilevel"/>
    <w:tmpl w:val="03BCA4C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18EB26AA"/>
    <w:multiLevelType w:val="multilevel"/>
    <w:tmpl w:val="EFC8859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BE7455"/>
    <w:multiLevelType w:val="hybridMultilevel"/>
    <w:tmpl w:val="DB0E5668"/>
    <w:lvl w:ilvl="0" w:tplc="3C6A272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C550DD1"/>
    <w:multiLevelType w:val="hybridMultilevel"/>
    <w:tmpl w:val="62E44A56"/>
    <w:lvl w:ilvl="0" w:tplc="A1D01FC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E500F01"/>
    <w:multiLevelType w:val="hybridMultilevel"/>
    <w:tmpl w:val="934445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F123C93"/>
    <w:multiLevelType w:val="hybridMultilevel"/>
    <w:tmpl w:val="0180F7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02730EE"/>
    <w:multiLevelType w:val="hybridMultilevel"/>
    <w:tmpl w:val="B3E6FBD8"/>
    <w:lvl w:ilvl="0" w:tplc="5768983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BAB340">
      <w:start w:val="1"/>
      <w:numFmt w:val="bullet"/>
      <w:lvlRestart w:val="0"/>
      <w:lvlText w:val="•"/>
      <w:lvlJc w:val="left"/>
      <w:pPr>
        <w:ind w:left="1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8E2E6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F8E3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2CD28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20676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22F06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EEF76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1A4A8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1AA358C"/>
    <w:multiLevelType w:val="multilevel"/>
    <w:tmpl w:val="E18E8C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3E4A3E"/>
    <w:multiLevelType w:val="hybridMultilevel"/>
    <w:tmpl w:val="F35810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2AB21B4"/>
    <w:multiLevelType w:val="multilevel"/>
    <w:tmpl w:val="68108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E37BAC"/>
    <w:multiLevelType w:val="hybridMultilevel"/>
    <w:tmpl w:val="82BE4B0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2B75699E"/>
    <w:multiLevelType w:val="hybridMultilevel"/>
    <w:tmpl w:val="3D9E4A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DC5159E"/>
    <w:multiLevelType w:val="hybridMultilevel"/>
    <w:tmpl w:val="D2A0C7BE"/>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E4C5FDC"/>
    <w:multiLevelType w:val="multilevel"/>
    <w:tmpl w:val="94E45C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FC416B"/>
    <w:multiLevelType w:val="hybridMultilevel"/>
    <w:tmpl w:val="E6E466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3D07AD9"/>
    <w:multiLevelType w:val="multilevel"/>
    <w:tmpl w:val="363C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8E5439"/>
    <w:multiLevelType w:val="hybridMultilevel"/>
    <w:tmpl w:val="BD8ADD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7673B34"/>
    <w:multiLevelType w:val="multilevel"/>
    <w:tmpl w:val="E76A4B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652E96"/>
    <w:multiLevelType w:val="hybridMultilevel"/>
    <w:tmpl w:val="D08E63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3A4B08F3"/>
    <w:multiLevelType w:val="hybridMultilevel"/>
    <w:tmpl w:val="2A36BA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3B9E4A60"/>
    <w:multiLevelType w:val="hybridMultilevel"/>
    <w:tmpl w:val="08CA7890"/>
    <w:lvl w:ilvl="0" w:tplc="9214A37E">
      <w:start w:val="1"/>
      <w:numFmt w:val="bullet"/>
      <w:lvlText w:val="•"/>
      <w:lvlJc w:val="left"/>
      <w:pPr>
        <w:tabs>
          <w:tab w:val="num" w:pos="720"/>
        </w:tabs>
        <w:ind w:left="720" w:hanging="360"/>
      </w:pPr>
      <w:rPr>
        <w:rFonts w:ascii="Times New Roman" w:hAnsi="Times New Roman" w:hint="default"/>
      </w:rPr>
    </w:lvl>
    <w:lvl w:ilvl="1" w:tplc="AA02B494" w:tentative="1">
      <w:start w:val="1"/>
      <w:numFmt w:val="bullet"/>
      <w:lvlText w:val="•"/>
      <w:lvlJc w:val="left"/>
      <w:pPr>
        <w:tabs>
          <w:tab w:val="num" w:pos="1440"/>
        </w:tabs>
        <w:ind w:left="1440" w:hanging="360"/>
      </w:pPr>
      <w:rPr>
        <w:rFonts w:ascii="Times New Roman" w:hAnsi="Times New Roman" w:hint="default"/>
      </w:rPr>
    </w:lvl>
    <w:lvl w:ilvl="2" w:tplc="26E22286" w:tentative="1">
      <w:start w:val="1"/>
      <w:numFmt w:val="bullet"/>
      <w:lvlText w:val="•"/>
      <w:lvlJc w:val="left"/>
      <w:pPr>
        <w:tabs>
          <w:tab w:val="num" w:pos="2160"/>
        </w:tabs>
        <w:ind w:left="2160" w:hanging="360"/>
      </w:pPr>
      <w:rPr>
        <w:rFonts w:ascii="Times New Roman" w:hAnsi="Times New Roman" w:hint="default"/>
      </w:rPr>
    </w:lvl>
    <w:lvl w:ilvl="3" w:tplc="B6E025A2" w:tentative="1">
      <w:start w:val="1"/>
      <w:numFmt w:val="bullet"/>
      <w:lvlText w:val="•"/>
      <w:lvlJc w:val="left"/>
      <w:pPr>
        <w:tabs>
          <w:tab w:val="num" w:pos="2880"/>
        </w:tabs>
        <w:ind w:left="2880" w:hanging="360"/>
      </w:pPr>
      <w:rPr>
        <w:rFonts w:ascii="Times New Roman" w:hAnsi="Times New Roman" w:hint="default"/>
      </w:rPr>
    </w:lvl>
    <w:lvl w:ilvl="4" w:tplc="455E722E" w:tentative="1">
      <w:start w:val="1"/>
      <w:numFmt w:val="bullet"/>
      <w:lvlText w:val="•"/>
      <w:lvlJc w:val="left"/>
      <w:pPr>
        <w:tabs>
          <w:tab w:val="num" w:pos="3600"/>
        </w:tabs>
        <w:ind w:left="3600" w:hanging="360"/>
      </w:pPr>
      <w:rPr>
        <w:rFonts w:ascii="Times New Roman" w:hAnsi="Times New Roman" w:hint="default"/>
      </w:rPr>
    </w:lvl>
    <w:lvl w:ilvl="5" w:tplc="D99CB98C" w:tentative="1">
      <w:start w:val="1"/>
      <w:numFmt w:val="bullet"/>
      <w:lvlText w:val="•"/>
      <w:lvlJc w:val="left"/>
      <w:pPr>
        <w:tabs>
          <w:tab w:val="num" w:pos="4320"/>
        </w:tabs>
        <w:ind w:left="4320" w:hanging="360"/>
      </w:pPr>
      <w:rPr>
        <w:rFonts w:ascii="Times New Roman" w:hAnsi="Times New Roman" w:hint="default"/>
      </w:rPr>
    </w:lvl>
    <w:lvl w:ilvl="6" w:tplc="A2308C54" w:tentative="1">
      <w:start w:val="1"/>
      <w:numFmt w:val="bullet"/>
      <w:lvlText w:val="•"/>
      <w:lvlJc w:val="left"/>
      <w:pPr>
        <w:tabs>
          <w:tab w:val="num" w:pos="5040"/>
        </w:tabs>
        <w:ind w:left="5040" w:hanging="360"/>
      </w:pPr>
      <w:rPr>
        <w:rFonts w:ascii="Times New Roman" w:hAnsi="Times New Roman" w:hint="default"/>
      </w:rPr>
    </w:lvl>
    <w:lvl w:ilvl="7" w:tplc="E0CEE996" w:tentative="1">
      <w:start w:val="1"/>
      <w:numFmt w:val="bullet"/>
      <w:lvlText w:val="•"/>
      <w:lvlJc w:val="left"/>
      <w:pPr>
        <w:tabs>
          <w:tab w:val="num" w:pos="5760"/>
        </w:tabs>
        <w:ind w:left="5760" w:hanging="360"/>
      </w:pPr>
      <w:rPr>
        <w:rFonts w:ascii="Times New Roman" w:hAnsi="Times New Roman" w:hint="default"/>
      </w:rPr>
    </w:lvl>
    <w:lvl w:ilvl="8" w:tplc="E5D8317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3BFB3C01"/>
    <w:multiLevelType w:val="hybridMultilevel"/>
    <w:tmpl w:val="66288018"/>
    <w:lvl w:ilvl="0" w:tplc="8CD64F00">
      <w:start w:val="1"/>
      <w:numFmt w:val="decimal"/>
      <w:lvlText w:val="%1."/>
      <w:lvlJc w:val="left"/>
      <w:pPr>
        <w:ind w:left="720" w:hanging="360"/>
      </w:pPr>
    </w:lvl>
    <w:lvl w:ilvl="1" w:tplc="3AE4B60A">
      <w:start w:val="1"/>
      <w:numFmt w:val="decimal"/>
      <w:lvlText w:val="%2."/>
      <w:lvlJc w:val="left"/>
      <w:pPr>
        <w:ind w:left="720" w:hanging="360"/>
      </w:pPr>
    </w:lvl>
    <w:lvl w:ilvl="2" w:tplc="0FD2319C">
      <w:start w:val="1"/>
      <w:numFmt w:val="decimal"/>
      <w:lvlText w:val="%3."/>
      <w:lvlJc w:val="left"/>
      <w:pPr>
        <w:ind w:left="720" w:hanging="360"/>
      </w:pPr>
    </w:lvl>
    <w:lvl w:ilvl="3" w:tplc="8998F004">
      <w:start w:val="1"/>
      <w:numFmt w:val="decimal"/>
      <w:lvlText w:val="%4."/>
      <w:lvlJc w:val="left"/>
      <w:pPr>
        <w:ind w:left="720" w:hanging="360"/>
      </w:pPr>
    </w:lvl>
    <w:lvl w:ilvl="4" w:tplc="7F66F9A0">
      <w:start w:val="1"/>
      <w:numFmt w:val="decimal"/>
      <w:lvlText w:val="%5."/>
      <w:lvlJc w:val="left"/>
      <w:pPr>
        <w:ind w:left="720" w:hanging="360"/>
      </w:pPr>
    </w:lvl>
    <w:lvl w:ilvl="5" w:tplc="31D4FE4C">
      <w:start w:val="1"/>
      <w:numFmt w:val="decimal"/>
      <w:lvlText w:val="%6."/>
      <w:lvlJc w:val="left"/>
      <w:pPr>
        <w:ind w:left="720" w:hanging="360"/>
      </w:pPr>
    </w:lvl>
    <w:lvl w:ilvl="6" w:tplc="6868CE34">
      <w:start w:val="1"/>
      <w:numFmt w:val="decimal"/>
      <w:lvlText w:val="%7."/>
      <w:lvlJc w:val="left"/>
      <w:pPr>
        <w:ind w:left="720" w:hanging="360"/>
      </w:pPr>
    </w:lvl>
    <w:lvl w:ilvl="7" w:tplc="3202D3FA">
      <w:start w:val="1"/>
      <w:numFmt w:val="decimal"/>
      <w:lvlText w:val="%8."/>
      <w:lvlJc w:val="left"/>
      <w:pPr>
        <w:ind w:left="720" w:hanging="360"/>
      </w:pPr>
    </w:lvl>
    <w:lvl w:ilvl="8" w:tplc="A1886D12">
      <w:start w:val="1"/>
      <w:numFmt w:val="decimal"/>
      <w:lvlText w:val="%9."/>
      <w:lvlJc w:val="left"/>
      <w:pPr>
        <w:ind w:left="720" w:hanging="360"/>
      </w:pPr>
    </w:lvl>
  </w:abstractNum>
  <w:abstractNum w:abstractNumId="34" w15:restartNumberingAfterBreak="0">
    <w:nsid w:val="41412B99"/>
    <w:multiLevelType w:val="hybridMultilevel"/>
    <w:tmpl w:val="78C6C5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18B3E27"/>
    <w:multiLevelType w:val="hybridMultilevel"/>
    <w:tmpl w:val="DD20BCC6"/>
    <w:lvl w:ilvl="0" w:tplc="2EBC6D6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8412381"/>
    <w:multiLevelType w:val="hybridMultilevel"/>
    <w:tmpl w:val="7CFC4AA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4A112F00"/>
    <w:multiLevelType w:val="multilevel"/>
    <w:tmpl w:val="BA887E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A1842FF"/>
    <w:multiLevelType w:val="hybridMultilevel"/>
    <w:tmpl w:val="39D4F89E"/>
    <w:lvl w:ilvl="0" w:tplc="42FE5DBA">
      <w:start w:val="1"/>
      <w:numFmt w:val="upperRoman"/>
      <w:lvlText w:val="%1."/>
      <w:lvlJc w:val="left"/>
      <w:pPr>
        <w:ind w:left="1080" w:hanging="720"/>
      </w:pPr>
      <w:rPr>
        <w:rFonts w:hint="default"/>
      </w:rPr>
    </w:lvl>
    <w:lvl w:ilvl="1" w:tplc="4BF2EE12">
      <w:numFmt w:val="bullet"/>
      <w:lvlText w:val="•"/>
      <w:lvlJc w:val="left"/>
      <w:pPr>
        <w:ind w:left="1800" w:hanging="720"/>
      </w:pPr>
      <w:rPr>
        <w:rFonts w:ascii="Times New Roman" w:eastAsiaTheme="minorHAnsi" w:hAnsi="Times New Roman" w:cs="Times New Roman"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C4E0DEB"/>
    <w:multiLevelType w:val="hybridMultilevel"/>
    <w:tmpl w:val="BC30EDF0"/>
    <w:lvl w:ilvl="0" w:tplc="AA94975A">
      <w:start w:val="9"/>
      <w:numFmt w:val="bullet"/>
      <w:lvlText w:val="-"/>
      <w:lvlJc w:val="left"/>
      <w:pPr>
        <w:ind w:left="720" w:hanging="360"/>
      </w:pPr>
      <w:rPr>
        <w:rFonts w:ascii="EC Square Sans Pro" w:eastAsiaTheme="minorHAnsi" w:hAnsi="EC Square Sans Pro"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0010BB5"/>
    <w:multiLevelType w:val="hybridMultilevel"/>
    <w:tmpl w:val="96D260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55CF3AD9"/>
    <w:multiLevelType w:val="hybridMultilevel"/>
    <w:tmpl w:val="BFB03BB6"/>
    <w:lvl w:ilvl="0" w:tplc="026651E2">
      <w:start w:val="1"/>
      <w:numFmt w:val="decimal"/>
      <w:lvlText w:val="%1."/>
      <w:lvlJc w:val="left"/>
      <w:pPr>
        <w:ind w:left="1440" w:hanging="360"/>
      </w:pPr>
    </w:lvl>
    <w:lvl w:ilvl="1" w:tplc="D018E04E">
      <w:start w:val="1"/>
      <w:numFmt w:val="decimal"/>
      <w:lvlText w:val="%2."/>
      <w:lvlJc w:val="left"/>
      <w:pPr>
        <w:ind w:left="1440" w:hanging="360"/>
      </w:pPr>
    </w:lvl>
    <w:lvl w:ilvl="2" w:tplc="B164DF26">
      <w:start w:val="1"/>
      <w:numFmt w:val="decimal"/>
      <w:lvlText w:val="%3."/>
      <w:lvlJc w:val="left"/>
      <w:pPr>
        <w:ind w:left="1440" w:hanging="360"/>
      </w:pPr>
    </w:lvl>
    <w:lvl w:ilvl="3" w:tplc="6E0899F6">
      <w:start w:val="1"/>
      <w:numFmt w:val="decimal"/>
      <w:lvlText w:val="%4."/>
      <w:lvlJc w:val="left"/>
      <w:pPr>
        <w:ind w:left="1440" w:hanging="360"/>
      </w:pPr>
    </w:lvl>
    <w:lvl w:ilvl="4" w:tplc="E65CF5D8">
      <w:start w:val="1"/>
      <w:numFmt w:val="decimal"/>
      <w:lvlText w:val="%5."/>
      <w:lvlJc w:val="left"/>
      <w:pPr>
        <w:ind w:left="1440" w:hanging="360"/>
      </w:pPr>
    </w:lvl>
    <w:lvl w:ilvl="5" w:tplc="E696CA9A">
      <w:start w:val="1"/>
      <w:numFmt w:val="decimal"/>
      <w:lvlText w:val="%6."/>
      <w:lvlJc w:val="left"/>
      <w:pPr>
        <w:ind w:left="1440" w:hanging="360"/>
      </w:pPr>
    </w:lvl>
    <w:lvl w:ilvl="6" w:tplc="2A06821E">
      <w:start w:val="1"/>
      <w:numFmt w:val="decimal"/>
      <w:lvlText w:val="%7."/>
      <w:lvlJc w:val="left"/>
      <w:pPr>
        <w:ind w:left="1440" w:hanging="360"/>
      </w:pPr>
    </w:lvl>
    <w:lvl w:ilvl="7" w:tplc="32AE8C3A">
      <w:start w:val="1"/>
      <w:numFmt w:val="decimal"/>
      <w:lvlText w:val="%8."/>
      <w:lvlJc w:val="left"/>
      <w:pPr>
        <w:ind w:left="1440" w:hanging="360"/>
      </w:pPr>
    </w:lvl>
    <w:lvl w:ilvl="8" w:tplc="23721F22">
      <w:start w:val="1"/>
      <w:numFmt w:val="decimal"/>
      <w:lvlText w:val="%9."/>
      <w:lvlJc w:val="left"/>
      <w:pPr>
        <w:ind w:left="1440" w:hanging="360"/>
      </w:pPr>
    </w:lvl>
  </w:abstractNum>
  <w:abstractNum w:abstractNumId="42" w15:restartNumberingAfterBreak="0">
    <w:nsid w:val="5DE85327"/>
    <w:multiLevelType w:val="multilevel"/>
    <w:tmpl w:val="9CB0A4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D8307B"/>
    <w:multiLevelType w:val="hybridMultilevel"/>
    <w:tmpl w:val="5C2C9F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128745E"/>
    <w:multiLevelType w:val="multilevel"/>
    <w:tmpl w:val="37DA00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EE0675"/>
    <w:multiLevelType w:val="hybridMultilevel"/>
    <w:tmpl w:val="AD0E80BC"/>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5F53385"/>
    <w:multiLevelType w:val="hybridMultilevel"/>
    <w:tmpl w:val="609474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7" w15:restartNumberingAfterBreak="0">
    <w:nsid w:val="68EF6F70"/>
    <w:multiLevelType w:val="hybridMultilevel"/>
    <w:tmpl w:val="BBAC68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68F543CB"/>
    <w:multiLevelType w:val="hybridMultilevel"/>
    <w:tmpl w:val="F632944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6B00359B"/>
    <w:multiLevelType w:val="hybridMultilevel"/>
    <w:tmpl w:val="4D2E55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6C7465EE"/>
    <w:multiLevelType w:val="hybridMultilevel"/>
    <w:tmpl w:val="548ABB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E6D222D"/>
    <w:multiLevelType w:val="multilevel"/>
    <w:tmpl w:val="B768AE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07E72BA"/>
    <w:multiLevelType w:val="hybridMultilevel"/>
    <w:tmpl w:val="421C774E"/>
    <w:lvl w:ilvl="0" w:tplc="5400DA38">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3" w15:restartNumberingAfterBreak="0">
    <w:nsid w:val="70C34B5C"/>
    <w:multiLevelType w:val="multilevel"/>
    <w:tmpl w:val="9834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E27F66"/>
    <w:multiLevelType w:val="hybridMultilevel"/>
    <w:tmpl w:val="A022BF68"/>
    <w:lvl w:ilvl="0" w:tplc="1809001B">
      <w:start w:val="1"/>
      <w:numFmt w:val="lowerRoman"/>
      <w:lvlText w:val="%1."/>
      <w:lvlJc w:val="right"/>
      <w:pPr>
        <w:ind w:left="360" w:hanging="360"/>
      </w:pPr>
      <w:rPr>
        <w:rFonts w:hint="default"/>
      </w:rPr>
    </w:lvl>
    <w:lvl w:ilvl="1" w:tplc="18090019">
      <w:start w:val="1"/>
      <w:numFmt w:val="lowerLetter"/>
      <w:lvlText w:val="%2."/>
      <w:lvlJc w:val="left"/>
      <w:pPr>
        <w:ind w:left="720" w:hanging="360"/>
      </w:pPr>
    </w:lvl>
    <w:lvl w:ilvl="2" w:tplc="1809001B" w:tentative="1">
      <w:start w:val="1"/>
      <w:numFmt w:val="lowerRoman"/>
      <w:lvlText w:val="%3."/>
      <w:lvlJc w:val="right"/>
      <w:pPr>
        <w:ind w:left="1440" w:hanging="180"/>
      </w:pPr>
    </w:lvl>
    <w:lvl w:ilvl="3" w:tplc="1809000F" w:tentative="1">
      <w:start w:val="1"/>
      <w:numFmt w:val="decimal"/>
      <w:lvlText w:val="%4."/>
      <w:lvlJc w:val="left"/>
      <w:pPr>
        <w:ind w:left="2160" w:hanging="360"/>
      </w:pPr>
    </w:lvl>
    <w:lvl w:ilvl="4" w:tplc="18090019" w:tentative="1">
      <w:start w:val="1"/>
      <w:numFmt w:val="lowerLetter"/>
      <w:lvlText w:val="%5."/>
      <w:lvlJc w:val="left"/>
      <w:pPr>
        <w:ind w:left="2880" w:hanging="360"/>
      </w:pPr>
    </w:lvl>
    <w:lvl w:ilvl="5" w:tplc="1809001B" w:tentative="1">
      <w:start w:val="1"/>
      <w:numFmt w:val="lowerRoman"/>
      <w:lvlText w:val="%6."/>
      <w:lvlJc w:val="right"/>
      <w:pPr>
        <w:ind w:left="3600" w:hanging="180"/>
      </w:pPr>
    </w:lvl>
    <w:lvl w:ilvl="6" w:tplc="1809000F" w:tentative="1">
      <w:start w:val="1"/>
      <w:numFmt w:val="decimal"/>
      <w:lvlText w:val="%7."/>
      <w:lvlJc w:val="left"/>
      <w:pPr>
        <w:ind w:left="4320" w:hanging="360"/>
      </w:pPr>
    </w:lvl>
    <w:lvl w:ilvl="7" w:tplc="18090019" w:tentative="1">
      <w:start w:val="1"/>
      <w:numFmt w:val="lowerLetter"/>
      <w:lvlText w:val="%8."/>
      <w:lvlJc w:val="left"/>
      <w:pPr>
        <w:ind w:left="5040" w:hanging="360"/>
      </w:pPr>
    </w:lvl>
    <w:lvl w:ilvl="8" w:tplc="1809001B" w:tentative="1">
      <w:start w:val="1"/>
      <w:numFmt w:val="lowerRoman"/>
      <w:lvlText w:val="%9."/>
      <w:lvlJc w:val="right"/>
      <w:pPr>
        <w:ind w:left="5760" w:hanging="180"/>
      </w:pPr>
    </w:lvl>
  </w:abstractNum>
  <w:abstractNum w:abstractNumId="55" w15:restartNumberingAfterBreak="0">
    <w:nsid w:val="78E41940"/>
    <w:multiLevelType w:val="hybridMultilevel"/>
    <w:tmpl w:val="2542E11A"/>
    <w:lvl w:ilvl="0" w:tplc="29A4CE18">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AB1184D"/>
    <w:multiLevelType w:val="multilevel"/>
    <w:tmpl w:val="E7C29E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BEB4CEA"/>
    <w:multiLevelType w:val="hybridMultilevel"/>
    <w:tmpl w:val="DA9A00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D934955"/>
    <w:multiLevelType w:val="multilevel"/>
    <w:tmpl w:val="F0AEDA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8"/>
  </w:num>
  <w:num w:numId="3">
    <w:abstractNumId w:val="14"/>
  </w:num>
  <w:num w:numId="4">
    <w:abstractNumId w:val="3"/>
  </w:num>
  <w:num w:numId="5">
    <w:abstractNumId w:val="8"/>
  </w:num>
  <w:num w:numId="6">
    <w:abstractNumId w:val="1"/>
  </w:num>
  <w:num w:numId="7">
    <w:abstractNumId w:val="32"/>
  </w:num>
  <w:num w:numId="8">
    <w:abstractNumId w:val="15"/>
  </w:num>
  <w:num w:numId="9">
    <w:abstractNumId w:val="5"/>
  </w:num>
  <w:num w:numId="10">
    <w:abstractNumId w:val="35"/>
  </w:num>
  <w:num w:numId="11">
    <w:abstractNumId w:val="55"/>
  </w:num>
  <w:num w:numId="12">
    <w:abstractNumId w:val="40"/>
  </w:num>
  <w:num w:numId="13">
    <w:abstractNumId w:val="11"/>
  </w:num>
  <w:num w:numId="14">
    <w:abstractNumId w:val="28"/>
  </w:num>
  <w:num w:numId="15">
    <w:abstractNumId w:val="16"/>
  </w:num>
  <w:num w:numId="16">
    <w:abstractNumId w:val="7"/>
  </w:num>
  <w:num w:numId="17">
    <w:abstractNumId w:val="10"/>
  </w:num>
  <w:num w:numId="18">
    <w:abstractNumId w:val="34"/>
  </w:num>
  <w:num w:numId="19">
    <w:abstractNumId w:val="26"/>
  </w:num>
  <w:num w:numId="20">
    <w:abstractNumId w:val="27"/>
  </w:num>
  <w:num w:numId="21">
    <w:abstractNumId w:val="39"/>
  </w:num>
  <w:num w:numId="22">
    <w:abstractNumId w:val="57"/>
  </w:num>
  <w:num w:numId="23">
    <w:abstractNumId w:val="43"/>
  </w:num>
  <w:num w:numId="24">
    <w:abstractNumId w:val="49"/>
  </w:num>
  <w:num w:numId="25">
    <w:abstractNumId w:val="47"/>
  </w:num>
  <w:num w:numId="26">
    <w:abstractNumId w:val="21"/>
  </w:num>
  <w:num w:numId="27">
    <w:abstractNumId w:val="29"/>
  </w:num>
  <w:num w:numId="28">
    <w:abstractNumId w:val="44"/>
  </w:num>
  <w:num w:numId="29">
    <w:abstractNumId w:val="37"/>
  </w:num>
  <w:num w:numId="30">
    <w:abstractNumId w:val="6"/>
  </w:num>
  <w:num w:numId="31">
    <w:abstractNumId w:val="42"/>
  </w:num>
  <w:num w:numId="32">
    <w:abstractNumId w:val="25"/>
  </w:num>
  <w:num w:numId="33">
    <w:abstractNumId w:val="56"/>
  </w:num>
  <w:num w:numId="34">
    <w:abstractNumId w:val="19"/>
  </w:num>
  <w:num w:numId="35">
    <w:abstractNumId w:val="51"/>
  </w:num>
  <w:num w:numId="36">
    <w:abstractNumId w:val="58"/>
  </w:num>
  <w:num w:numId="37">
    <w:abstractNumId w:val="13"/>
  </w:num>
  <w:num w:numId="38">
    <w:abstractNumId w:val="4"/>
  </w:num>
  <w:num w:numId="39">
    <w:abstractNumId w:val="17"/>
  </w:num>
  <w:num w:numId="40">
    <w:abstractNumId w:val="46"/>
  </w:num>
  <w:num w:numId="41">
    <w:abstractNumId w:val="0"/>
  </w:num>
  <w:num w:numId="42">
    <w:abstractNumId w:val="38"/>
  </w:num>
  <w:num w:numId="43">
    <w:abstractNumId w:val="23"/>
  </w:num>
  <w:num w:numId="44">
    <w:abstractNumId w:val="36"/>
  </w:num>
  <w:num w:numId="45">
    <w:abstractNumId w:val="22"/>
  </w:num>
  <w:num w:numId="46">
    <w:abstractNumId w:val="2"/>
  </w:num>
  <w:num w:numId="47">
    <w:abstractNumId w:val="54"/>
  </w:num>
  <w:num w:numId="48">
    <w:abstractNumId w:val="45"/>
  </w:num>
  <w:num w:numId="49">
    <w:abstractNumId w:val="48"/>
  </w:num>
  <w:num w:numId="50">
    <w:abstractNumId w:val="30"/>
  </w:num>
  <w:num w:numId="51">
    <w:abstractNumId w:val="31"/>
  </w:num>
  <w:num w:numId="52">
    <w:abstractNumId w:val="9"/>
  </w:num>
  <w:num w:numId="53">
    <w:abstractNumId w:val="9"/>
    <w:lvlOverride w:ilvl="0">
      <w:startOverride w:val="1"/>
    </w:lvlOverride>
  </w:num>
  <w:num w:numId="54">
    <w:abstractNumId w:val="20"/>
  </w:num>
  <w:num w:numId="55">
    <w:abstractNumId w:val="50"/>
  </w:num>
  <w:num w:numId="56">
    <w:abstractNumId w:val="53"/>
  </w:num>
  <w:num w:numId="57">
    <w:abstractNumId w:val="9"/>
    <w:lvlOverride w:ilvl="0">
      <w:startOverride w:val="1"/>
    </w:lvlOverride>
  </w:num>
  <w:num w:numId="58">
    <w:abstractNumId w:val="12"/>
  </w:num>
  <w:num w:numId="59">
    <w:abstractNumId w:val="52"/>
  </w:num>
  <w:num w:numId="60">
    <w:abstractNumId w:val="9"/>
  </w:num>
  <w:num w:numId="61">
    <w:abstractNumId w:val="41"/>
  </w:num>
  <w:num w:numId="62">
    <w:abstractNumId w:val="33"/>
  </w:num>
  <w:num w:numId="63">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EPKit_DocumentHasBeenSaved" w:val="true"/>
    <w:docVar w:name="LW_CORRIGENDUM" w:val="&lt;UNUSED&gt;"/>
    <w:docVar w:name="LW_COVERPAGE_EXISTS" w:val="True"/>
    <w:docVar w:name="LW_COVERPAGE_GUID" w:val="188B92B8-0126-4C82-BB36-C8D22E7F8EEF"/>
    <w:docVar w:name="LW_COVERPAGE_TYPE" w:val="1"/>
    <w:docVar w:name="LW_CROSSREFERENCE" w:val="&lt;UNUSED&gt;"/>
    <w:docVar w:name="LW_DocType" w:val="NORMAL"/>
    <w:docVar w:name="LW_EMISSION" w:val="2024 10 08"/>
    <w:docVar w:name="LW_EMISSION_ISODATE" w:val="2024-10-08"/>
    <w:docVar w:name="LW_EMISSION_LOCATION" w:val="BRX"/>
    <w:docVar w:name="LW_EMISSION_PREFIX" w:val="Briuselis, "/>
    <w:docVar w:name="LW_EMISSION_SUFFIX" w:val=" "/>
    <w:docVar w:name="LW_ID_DOCTYPE_NONLW" w:val="CP-006"/>
    <w:docVar w:name="LW_LANGUE" w:val="L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24) 445"/>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Technin\u279?s paramos priemon\u279?. 2023 m. metin\u279? ataskaita&lt;/FMT&gt;_x000d__x000b_"/>
    <w:docVar w:name="LW_TYPE.DOC.CP" w:val="KOMISIJOS ATASKAITA EUROPOS PARLAMENTUI IR TARYBAI"/>
    <w:docVar w:name="LwApiVersions" w:val="LW4CoDe 1.24.5.0; LW 9.0, Build 20240221"/>
    <w:docVar w:name="Stamp" w:val="\\dossiers.dgt.cec.eu.int\dossiers\REFORM\REFORM-2023-00077\REFORM-2023-00077-00-00-EN-EDT-00.202311271024329644499.DOCX"/>
  </w:docVars>
  <w:rsids>
    <w:rsidRoot w:val="00A0218A"/>
    <w:rsid w:val="00000222"/>
    <w:rsid w:val="000008D9"/>
    <w:rsid w:val="0000093E"/>
    <w:rsid w:val="00000B8E"/>
    <w:rsid w:val="00000EE3"/>
    <w:rsid w:val="00001747"/>
    <w:rsid w:val="000018DC"/>
    <w:rsid w:val="00001A70"/>
    <w:rsid w:val="000020D2"/>
    <w:rsid w:val="000020DD"/>
    <w:rsid w:val="00002B98"/>
    <w:rsid w:val="00002FC1"/>
    <w:rsid w:val="000034BB"/>
    <w:rsid w:val="00003950"/>
    <w:rsid w:val="00003FF3"/>
    <w:rsid w:val="00004717"/>
    <w:rsid w:val="00004784"/>
    <w:rsid w:val="00004891"/>
    <w:rsid w:val="00004C82"/>
    <w:rsid w:val="000050A6"/>
    <w:rsid w:val="00005351"/>
    <w:rsid w:val="00005366"/>
    <w:rsid w:val="000053AA"/>
    <w:rsid w:val="000054DE"/>
    <w:rsid w:val="0000599F"/>
    <w:rsid w:val="00005DD6"/>
    <w:rsid w:val="00006577"/>
    <w:rsid w:val="0000658F"/>
    <w:rsid w:val="00006891"/>
    <w:rsid w:val="000068B1"/>
    <w:rsid w:val="00006951"/>
    <w:rsid w:val="00006A30"/>
    <w:rsid w:val="0000729E"/>
    <w:rsid w:val="00007A6E"/>
    <w:rsid w:val="00007AF4"/>
    <w:rsid w:val="00007E17"/>
    <w:rsid w:val="000104A7"/>
    <w:rsid w:val="000105B7"/>
    <w:rsid w:val="00010753"/>
    <w:rsid w:val="00010A53"/>
    <w:rsid w:val="000111F0"/>
    <w:rsid w:val="00011503"/>
    <w:rsid w:val="000117C4"/>
    <w:rsid w:val="00011B85"/>
    <w:rsid w:val="00011BD0"/>
    <w:rsid w:val="00011C63"/>
    <w:rsid w:val="00011D4F"/>
    <w:rsid w:val="000122AD"/>
    <w:rsid w:val="00012301"/>
    <w:rsid w:val="00012827"/>
    <w:rsid w:val="0001293B"/>
    <w:rsid w:val="00013869"/>
    <w:rsid w:val="00015772"/>
    <w:rsid w:val="00015E2B"/>
    <w:rsid w:val="00015FC1"/>
    <w:rsid w:val="0001605B"/>
    <w:rsid w:val="00016102"/>
    <w:rsid w:val="00016368"/>
    <w:rsid w:val="0001658C"/>
    <w:rsid w:val="000165EE"/>
    <w:rsid w:val="00016AC5"/>
    <w:rsid w:val="00017354"/>
    <w:rsid w:val="00017D1B"/>
    <w:rsid w:val="00017DEF"/>
    <w:rsid w:val="00017FD8"/>
    <w:rsid w:val="000200CC"/>
    <w:rsid w:val="000203D7"/>
    <w:rsid w:val="000206E5"/>
    <w:rsid w:val="00020C2C"/>
    <w:rsid w:val="0002113C"/>
    <w:rsid w:val="000218F9"/>
    <w:rsid w:val="00021F03"/>
    <w:rsid w:val="00022E85"/>
    <w:rsid w:val="0002315A"/>
    <w:rsid w:val="000231A0"/>
    <w:rsid w:val="000231A9"/>
    <w:rsid w:val="00023FEB"/>
    <w:rsid w:val="0002428A"/>
    <w:rsid w:val="00024597"/>
    <w:rsid w:val="000248B4"/>
    <w:rsid w:val="000248CD"/>
    <w:rsid w:val="00024984"/>
    <w:rsid w:val="00024D0F"/>
    <w:rsid w:val="00024E46"/>
    <w:rsid w:val="00024FA9"/>
    <w:rsid w:val="00024FC5"/>
    <w:rsid w:val="00025051"/>
    <w:rsid w:val="00025D91"/>
    <w:rsid w:val="00025E3C"/>
    <w:rsid w:val="000261DB"/>
    <w:rsid w:val="00026872"/>
    <w:rsid w:val="00026A98"/>
    <w:rsid w:val="00026B24"/>
    <w:rsid w:val="00026B99"/>
    <w:rsid w:val="00026CA4"/>
    <w:rsid w:val="00026EA5"/>
    <w:rsid w:val="00027135"/>
    <w:rsid w:val="0002792B"/>
    <w:rsid w:val="00027AF5"/>
    <w:rsid w:val="00027DDF"/>
    <w:rsid w:val="0002E24D"/>
    <w:rsid w:val="00030038"/>
    <w:rsid w:val="000304B7"/>
    <w:rsid w:val="000308B4"/>
    <w:rsid w:val="00030E7B"/>
    <w:rsid w:val="00031605"/>
    <w:rsid w:val="00031738"/>
    <w:rsid w:val="000318F1"/>
    <w:rsid w:val="00032138"/>
    <w:rsid w:val="000323B2"/>
    <w:rsid w:val="00032F09"/>
    <w:rsid w:val="0003331D"/>
    <w:rsid w:val="0003341B"/>
    <w:rsid w:val="00033735"/>
    <w:rsid w:val="00033826"/>
    <w:rsid w:val="00033C8D"/>
    <w:rsid w:val="00034545"/>
    <w:rsid w:val="000345D3"/>
    <w:rsid w:val="000353C0"/>
    <w:rsid w:val="00035CA2"/>
    <w:rsid w:val="0003605A"/>
    <w:rsid w:val="00036589"/>
    <w:rsid w:val="00036722"/>
    <w:rsid w:val="00037E2E"/>
    <w:rsid w:val="00037FF5"/>
    <w:rsid w:val="000406D0"/>
    <w:rsid w:val="00040B2C"/>
    <w:rsid w:val="00040ED0"/>
    <w:rsid w:val="000411D7"/>
    <w:rsid w:val="00042059"/>
    <w:rsid w:val="00042207"/>
    <w:rsid w:val="000423D5"/>
    <w:rsid w:val="00042C03"/>
    <w:rsid w:val="00042C96"/>
    <w:rsid w:val="000438BC"/>
    <w:rsid w:val="00043986"/>
    <w:rsid w:val="00043B84"/>
    <w:rsid w:val="0004403D"/>
    <w:rsid w:val="000442C4"/>
    <w:rsid w:val="00044827"/>
    <w:rsid w:val="00044A0F"/>
    <w:rsid w:val="0004579C"/>
    <w:rsid w:val="00045AFD"/>
    <w:rsid w:val="00045CE9"/>
    <w:rsid w:val="00045F9B"/>
    <w:rsid w:val="00046136"/>
    <w:rsid w:val="000466D1"/>
    <w:rsid w:val="000469F2"/>
    <w:rsid w:val="00046B5B"/>
    <w:rsid w:val="00046E52"/>
    <w:rsid w:val="000470FD"/>
    <w:rsid w:val="00047967"/>
    <w:rsid w:val="00047F35"/>
    <w:rsid w:val="00050209"/>
    <w:rsid w:val="00050A36"/>
    <w:rsid w:val="00050C8C"/>
    <w:rsid w:val="000511BF"/>
    <w:rsid w:val="00051878"/>
    <w:rsid w:val="00051976"/>
    <w:rsid w:val="00051998"/>
    <w:rsid w:val="00052394"/>
    <w:rsid w:val="0005297E"/>
    <w:rsid w:val="00053640"/>
    <w:rsid w:val="0005365D"/>
    <w:rsid w:val="00053A50"/>
    <w:rsid w:val="00053AA0"/>
    <w:rsid w:val="00053D40"/>
    <w:rsid w:val="00054394"/>
    <w:rsid w:val="00054595"/>
    <w:rsid w:val="0005483F"/>
    <w:rsid w:val="00054B39"/>
    <w:rsid w:val="00054DDE"/>
    <w:rsid w:val="00055639"/>
    <w:rsid w:val="00055677"/>
    <w:rsid w:val="00055850"/>
    <w:rsid w:val="0005627E"/>
    <w:rsid w:val="00056B93"/>
    <w:rsid w:val="000576F6"/>
    <w:rsid w:val="00057C71"/>
    <w:rsid w:val="00057F86"/>
    <w:rsid w:val="00060098"/>
    <w:rsid w:val="00060733"/>
    <w:rsid w:val="00060AF3"/>
    <w:rsid w:val="00061089"/>
    <w:rsid w:val="00061195"/>
    <w:rsid w:val="00061253"/>
    <w:rsid w:val="00061673"/>
    <w:rsid w:val="00061814"/>
    <w:rsid w:val="000619DE"/>
    <w:rsid w:val="000620FC"/>
    <w:rsid w:val="00062321"/>
    <w:rsid w:val="0006278A"/>
    <w:rsid w:val="00062890"/>
    <w:rsid w:val="0006294D"/>
    <w:rsid w:val="0006340C"/>
    <w:rsid w:val="00063B95"/>
    <w:rsid w:val="00063EB8"/>
    <w:rsid w:val="00063F36"/>
    <w:rsid w:val="00063FD9"/>
    <w:rsid w:val="00064156"/>
    <w:rsid w:val="00064331"/>
    <w:rsid w:val="000643C3"/>
    <w:rsid w:val="0006490B"/>
    <w:rsid w:val="0006560B"/>
    <w:rsid w:val="00065756"/>
    <w:rsid w:val="000657DC"/>
    <w:rsid w:val="00065904"/>
    <w:rsid w:val="00066082"/>
    <w:rsid w:val="00066202"/>
    <w:rsid w:val="0006640F"/>
    <w:rsid w:val="000664A6"/>
    <w:rsid w:val="00066971"/>
    <w:rsid w:val="000669D4"/>
    <w:rsid w:val="00066C0F"/>
    <w:rsid w:val="00066D76"/>
    <w:rsid w:val="00066E90"/>
    <w:rsid w:val="000674D5"/>
    <w:rsid w:val="00067692"/>
    <w:rsid w:val="000677C1"/>
    <w:rsid w:val="00067982"/>
    <w:rsid w:val="00067C79"/>
    <w:rsid w:val="00067E01"/>
    <w:rsid w:val="0007038E"/>
    <w:rsid w:val="000709A0"/>
    <w:rsid w:val="0007109F"/>
    <w:rsid w:val="00071209"/>
    <w:rsid w:val="00071716"/>
    <w:rsid w:val="00071B01"/>
    <w:rsid w:val="00071BD4"/>
    <w:rsid w:val="00072169"/>
    <w:rsid w:val="00072388"/>
    <w:rsid w:val="00072E14"/>
    <w:rsid w:val="00072EB1"/>
    <w:rsid w:val="000734CC"/>
    <w:rsid w:val="00073935"/>
    <w:rsid w:val="00073F84"/>
    <w:rsid w:val="000741F2"/>
    <w:rsid w:val="00074727"/>
    <w:rsid w:val="00074EDA"/>
    <w:rsid w:val="00074F26"/>
    <w:rsid w:val="0007554D"/>
    <w:rsid w:val="000757A8"/>
    <w:rsid w:val="00075BFA"/>
    <w:rsid w:val="00075FF9"/>
    <w:rsid w:val="00076373"/>
    <w:rsid w:val="00076EF2"/>
    <w:rsid w:val="00077178"/>
    <w:rsid w:val="00077819"/>
    <w:rsid w:val="000800CB"/>
    <w:rsid w:val="00080139"/>
    <w:rsid w:val="000801B1"/>
    <w:rsid w:val="0008090A"/>
    <w:rsid w:val="00080A53"/>
    <w:rsid w:val="00080D8F"/>
    <w:rsid w:val="00081257"/>
    <w:rsid w:val="00081F9E"/>
    <w:rsid w:val="000823CA"/>
    <w:rsid w:val="0008284C"/>
    <w:rsid w:val="00082ABD"/>
    <w:rsid w:val="00082C2A"/>
    <w:rsid w:val="0008311D"/>
    <w:rsid w:val="00083F4A"/>
    <w:rsid w:val="00085193"/>
    <w:rsid w:val="000854FE"/>
    <w:rsid w:val="000864FF"/>
    <w:rsid w:val="000868FE"/>
    <w:rsid w:val="00086C91"/>
    <w:rsid w:val="00087362"/>
    <w:rsid w:val="00087436"/>
    <w:rsid w:val="000879C4"/>
    <w:rsid w:val="00087D3E"/>
    <w:rsid w:val="000905D0"/>
    <w:rsid w:val="00090A67"/>
    <w:rsid w:val="00090ABC"/>
    <w:rsid w:val="00091323"/>
    <w:rsid w:val="000913E6"/>
    <w:rsid w:val="00091D97"/>
    <w:rsid w:val="00091FB8"/>
    <w:rsid w:val="00092A3A"/>
    <w:rsid w:val="00092BA9"/>
    <w:rsid w:val="00092BD5"/>
    <w:rsid w:val="00092CEC"/>
    <w:rsid w:val="00092D9A"/>
    <w:rsid w:val="000933A9"/>
    <w:rsid w:val="000933AD"/>
    <w:rsid w:val="000939B1"/>
    <w:rsid w:val="00093D7E"/>
    <w:rsid w:val="0009429E"/>
    <w:rsid w:val="000947CE"/>
    <w:rsid w:val="00095133"/>
    <w:rsid w:val="00095461"/>
    <w:rsid w:val="00095D0A"/>
    <w:rsid w:val="0009687B"/>
    <w:rsid w:val="00096A26"/>
    <w:rsid w:val="00096BF2"/>
    <w:rsid w:val="00097132"/>
    <w:rsid w:val="000974C1"/>
    <w:rsid w:val="00097545"/>
    <w:rsid w:val="00097789"/>
    <w:rsid w:val="00097D38"/>
    <w:rsid w:val="000A005A"/>
    <w:rsid w:val="000A0D03"/>
    <w:rsid w:val="000A0D2B"/>
    <w:rsid w:val="000A1165"/>
    <w:rsid w:val="000A1916"/>
    <w:rsid w:val="000A1A19"/>
    <w:rsid w:val="000A1E15"/>
    <w:rsid w:val="000A244B"/>
    <w:rsid w:val="000A2A59"/>
    <w:rsid w:val="000A2BB3"/>
    <w:rsid w:val="000A31F5"/>
    <w:rsid w:val="000A327F"/>
    <w:rsid w:val="000A3398"/>
    <w:rsid w:val="000A3407"/>
    <w:rsid w:val="000A3444"/>
    <w:rsid w:val="000A37E5"/>
    <w:rsid w:val="000A3ED8"/>
    <w:rsid w:val="000A4567"/>
    <w:rsid w:val="000A466A"/>
    <w:rsid w:val="000A4F48"/>
    <w:rsid w:val="000A5F4E"/>
    <w:rsid w:val="000A6736"/>
    <w:rsid w:val="000A6B7D"/>
    <w:rsid w:val="000A6C06"/>
    <w:rsid w:val="000A6CE8"/>
    <w:rsid w:val="000A6F8C"/>
    <w:rsid w:val="000A7220"/>
    <w:rsid w:val="000A7826"/>
    <w:rsid w:val="000A7CDA"/>
    <w:rsid w:val="000B02D7"/>
    <w:rsid w:val="000B13C6"/>
    <w:rsid w:val="000B14F8"/>
    <w:rsid w:val="000B1A09"/>
    <w:rsid w:val="000B2576"/>
    <w:rsid w:val="000B28D1"/>
    <w:rsid w:val="000B2A5B"/>
    <w:rsid w:val="000B30C0"/>
    <w:rsid w:val="000B3624"/>
    <w:rsid w:val="000B3629"/>
    <w:rsid w:val="000B36B6"/>
    <w:rsid w:val="000B3AFE"/>
    <w:rsid w:val="000B43E2"/>
    <w:rsid w:val="000B4518"/>
    <w:rsid w:val="000B54C0"/>
    <w:rsid w:val="000B5511"/>
    <w:rsid w:val="000B5F33"/>
    <w:rsid w:val="000B6409"/>
    <w:rsid w:val="000B65A4"/>
    <w:rsid w:val="000B6B59"/>
    <w:rsid w:val="000B6F7A"/>
    <w:rsid w:val="000B7572"/>
    <w:rsid w:val="000B789B"/>
    <w:rsid w:val="000C0345"/>
    <w:rsid w:val="000C039B"/>
    <w:rsid w:val="000C0E72"/>
    <w:rsid w:val="000C10F3"/>
    <w:rsid w:val="000C1334"/>
    <w:rsid w:val="000C17A4"/>
    <w:rsid w:val="000C1968"/>
    <w:rsid w:val="000C19BE"/>
    <w:rsid w:val="000C1A90"/>
    <w:rsid w:val="000C1C49"/>
    <w:rsid w:val="000C1C8A"/>
    <w:rsid w:val="000C23B1"/>
    <w:rsid w:val="000C2494"/>
    <w:rsid w:val="000C2617"/>
    <w:rsid w:val="000C3725"/>
    <w:rsid w:val="000C3C94"/>
    <w:rsid w:val="000C3E71"/>
    <w:rsid w:val="000C41D4"/>
    <w:rsid w:val="000C428D"/>
    <w:rsid w:val="000C453E"/>
    <w:rsid w:val="000C4C50"/>
    <w:rsid w:val="000C4D68"/>
    <w:rsid w:val="000C567D"/>
    <w:rsid w:val="000C584B"/>
    <w:rsid w:val="000C597C"/>
    <w:rsid w:val="000C5A5E"/>
    <w:rsid w:val="000C6B3E"/>
    <w:rsid w:val="000C6EA0"/>
    <w:rsid w:val="000C7257"/>
    <w:rsid w:val="000C729F"/>
    <w:rsid w:val="000C76EB"/>
    <w:rsid w:val="000D0199"/>
    <w:rsid w:val="000D0BB3"/>
    <w:rsid w:val="000D0FD3"/>
    <w:rsid w:val="000D16AB"/>
    <w:rsid w:val="000D194F"/>
    <w:rsid w:val="000D1DB8"/>
    <w:rsid w:val="000D222D"/>
    <w:rsid w:val="000D237D"/>
    <w:rsid w:val="000D2502"/>
    <w:rsid w:val="000D26EB"/>
    <w:rsid w:val="000D284E"/>
    <w:rsid w:val="000D2E3E"/>
    <w:rsid w:val="000D2EC4"/>
    <w:rsid w:val="000D2F4F"/>
    <w:rsid w:val="000D2F95"/>
    <w:rsid w:val="000D31AF"/>
    <w:rsid w:val="000D3D87"/>
    <w:rsid w:val="000D3E43"/>
    <w:rsid w:val="000D4605"/>
    <w:rsid w:val="000D49B9"/>
    <w:rsid w:val="000D5200"/>
    <w:rsid w:val="000D56DB"/>
    <w:rsid w:val="000D578E"/>
    <w:rsid w:val="000D5ABB"/>
    <w:rsid w:val="000D5D73"/>
    <w:rsid w:val="000D666F"/>
    <w:rsid w:val="000D6AA4"/>
    <w:rsid w:val="000D6EBD"/>
    <w:rsid w:val="000D757A"/>
    <w:rsid w:val="000D763C"/>
    <w:rsid w:val="000D79A6"/>
    <w:rsid w:val="000D7C4A"/>
    <w:rsid w:val="000E00EB"/>
    <w:rsid w:val="000E05D4"/>
    <w:rsid w:val="000E07E8"/>
    <w:rsid w:val="000E0ABA"/>
    <w:rsid w:val="000E0BD0"/>
    <w:rsid w:val="000E13AC"/>
    <w:rsid w:val="000E15DF"/>
    <w:rsid w:val="000E1743"/>
    <w:rsid w:val="000E19B6"/>
    <w:rsid w:val="000E1DD3"/>
    <w:rsid w:val="000E1F5C"/>
    <w:rsid w:val="000E2D4C"/>
    <w:rsid w:val="000E31AD"/>
    <w:rsid w:val="000E3301"/>
    <w:rsid w:val="000E3508"/>
    <w:rsid w:val="000E3CA4"/>
    <w:rsid w:val="000E451A"/>
    <w:rsid w:val="000E5123"/>
    <w:rsid w:val="000E5A3B"/>
    <w:rsid w:val="000E5FEC"/>
    <w:rsid w:val="000E6180"/>
    <w:rsid w:val="000E6913"/>
    <w:rsid w:val="000E7023"/>
    <w:rsid w:val="000E7194"/>
    <w:rsid w:val="000E768D"/>
    <w:rsid w:val="000F0783"/>
    <w:rsid w:val="000F099E"/>
    <w:rsid w:val="000F0C33"/>
    <w:rsid w:val="000F0F3B"/>
    <w:rsid w:val="000F10A2"/>
    <w:rsid w:val="000F129F"/>
    <w:rsid w:val="000F1861"/>
    <w:rsid w:val="000F1D50"/>
    <w:rsid w:val="000F2129"/>
    <w:rsid w:val="000F212B"/>
    <w:rsid w:val="000F2219"/>
    <w:rsid w:val="000F2FDF"/>
    <w:rsid w:val="000F30D3"/>
    <w:rsid w:val="000F32F2"/>
    <w:rsid w:val="000F3EBA"/>
    <w:rsid w:val="000F3F1D"/>
    <w:rsid w:val="000F441A"/>
    <w:rsid w:val="000F476E"/>
    <w:rsid w:val="000F4E8A"/>
    <w:rsid w:val="000F5115"/>
    <w:rsid w:val="000F57DF"/>
    <w:rsid w:val="000F67D2"/>
    <w:rsid w:val="000F6942"/>
    <w:rsid w:val="000F6AE0"/>
    <w:rsid w:val="000F7050"/>
    <w:rsid w:val="000F725A"/>
    <w:rsid w:val="000F7371"/>
    <w:rsid w:val="000F7467"/>
    <w:rsid w:val="000F755F"/>
    <w:rsid w:val="000F7FDF"/>
    <w:rsid w:val="00101692"/>
    <w:rsid w:val="00101F76"/>
    <w:rsid w:val="00102633"/>
    <w:rsid w:val="001029B3"/>
    <w:rsid w:val="00102B09"/>
    <w:rsid w:val="0010320F"/>
    <w:rsid w:val="00103258"/>
    <w:rsid w:val="00103994"/>
    <w:rsid w:val="00103E17"/>
    <w:rsid w:val="00104082"/>
    <w:rsid w:val="00104737"/>
    <w:rsid w:val="0010494E"/>
    <w:rsid w:val="001056F2"/>
    <w:rsid w:val="001057B4"/>
    <w:rsid w:val="0010591B"/>
    <w:rsid w:val="00105976"/>
    <w:rsid w:val="0010616B"/>
    <w:rsid w:val="00106607"/>
    <w:rsid w:val="00106870"/>
    <w:rsid w:val="00106C57"/>
    <w:rsid w:val="001072DF"/>
    <w:rsid w:val="00107791"/>
    <w:rsid w:val="001077C6"/>
    <w:rsid w:val="00107ABF"/>
    <w:rsid w:val="00110808"/>
    <w:rsid w:val="00110C31"/>
    <w:rsid w:val="00110D6A"/>
    <w:rsid w:val="00110DDB"/>
    <w:rsid w:val="00110EF4"/>
    <w:rsid w:val="00111026"/>
    <w:rsid w:val="001110BC"/>
    <w:rsid w:val="00111487"/>
    <w:rsid w:val="001118CC"/>
    <w:rsid w:val="00111E21"/>
    <w:rsid w:val="00112430"/>
    <w:rsid w:val="00112829"/>
    <w:rsid w:val="00112D2B"/>
    <w:rsid w:val="00112FD2"/>
    <w:rsid w:val="001131EC"/>
    <w:rsid w:val="00113584"/>
    <w:rsid w:val="00113D6D"/>
    <w:rsid w:val="0011413E"/>
    <w:rsid w:val="00114226"/>
    <w:rsid w:val="00114827"/>
    <w:rsid w:val="00114E48"/>
    <w:rsid w:val="001150FF"/>
    <w:rsid w:val="00115D0B"/>
    <w:rsid w:val="00115E0A"/>
    <w:rsid w:val="00116041"/>
    <w:rsid w:val="0011622C"/>
    <w:rsid w:val="00116A77"/>
    <w:rsid w:val="00116C33"/>
    <w:rsid w:val="001174C8"/>
    <w:rsid w:val="00117528"/>
    <w:rsid w:val="00117535"/>
    <w:rsid w:val="00117567"/>
    <w:rsid w:val="00117EAB"/>
    <w:rsid w:val="001202F8"/>
    <w:rsid w:val="00120366"/>
    <w:rsid w:val="001207B3"/>
    <w:rsid w:val="00120A94"/>
    <w:rsid w:val="00120AA6"/>
    <w:rsid w:val="001214A9"/>
    <w:rsid w:val="001216F3"/>
    <w:rsid w:val="00122C7E"/>
    <w:rsid w:val="00122DE4"/>
    <w:rsid w:val="00122ECE"/>
    <w:rsid w:val="00123090"/>
    <w:rsid w:val="0012351F"/>
    <w:rsid w:val="001240AC"/>
    <w:rsid w:val="00124290"/>
    <w:rsid w:val="001242AD"/>
    <w:rsid w:val="00124328"/>
    <w:rsid w:val="001248D6"/>
    <w:rsid w:val="00124B79"/>
    <w:rsid w:val="00124E66"/>
    <w:rsid w:val="0012534E"/>
    <w:rsid w:val="00125B52"/>
    <w:rsid w:val="00126386"/>
    <w:rsid w:val="00126954"/>
    <w:rsid w:val="00126C10"/>
    <w:rsid w:val="00126D12"/>
    <w:rsid w:val="001270F7"/>
    <w:rsid w:val="001271E6"/>
    <w:rsid w:val="00127671"/>
    <w:rsid w:val="001279A3"/>
    <w:rsid w:val="001279BD"/>
    <w:rsid w:val="00127A28"/>
    <w:rsid w:val="00127AD7"/>
    <w:rsid w:val="00127F25"/>
    <w:rsid w:val="001305A1"/>
    <w:rsid w:val="00130F16"/>
    <w:rsid w:val="001315F3"/>
    <w:rsid w:val="00131640"/>
    <w:rsid w:val="00131995"/>
    <w:rsid w:val="00131C97"/>
    <w:rsid w:val="00131EB8"/>
    <w:rsid w:val="001322CA"/>
    <w:rsid w:val="00132314"/>
    <w:rsid w:val="001326E7"/>
    <w:rsid w:val="00132750"/>
    <w:rsid w:val="00132AE8"/>
    <w:rsid w:val="00133902"/>
    <w:rsid w:val="00133CE3"/>
    <w:rsid w:val="00133E4B"/>
    <w:rsid w:val="00133F57"/>
    <w:rsid w:val="00134102"/>
    <w:rsid w:val="001343EC"/>
    <w:rsid w:val="001346C1"/>
    <w:rsid w:val="00134846"/>
    <w:rsid w:val="0013554C"/>
    <w:rsid w:val="00135565"/>
    <w:rsid w:val="001360F5"/>
    <w:rsid w:val="0013687F"/>
    <w:rsid w:val="001368B4"/>
    <w:rsid w:val="00136C0D"/>
    <w:rsid w:val="00136DA6"/>
    <w:rsid w:val="00137A34"/>
    <w:rsid w:val="0014085C"/>
    <w:rsid w:val="00141131"/>
    <w:rsid w:val="001411F7"/>
    <w:rsid w:val="00141308"/>
    <w:rsid w:val="00142142"/>
    <w:rsid w:val="001428C1"/>
    <w:rsid w:val="00142975"/>
    <w:rsid w:val="00142FD1"/>
    <w:rsid w:val="001431C3"/>
    <w:rsid w:val="0014336B"/>
    <w:rsid w:val="0014340C"/>
    <w:rsid w:val="00143A3F"/>
    <w:rsid w:val="00143B3A"/>
    <w:rsid w:val="0014409C"/>
    <w:rsid w:val="00144A19"/>
    <w:rsid w:val="00144DE2"/>
    <w:rsid w:val="001450C7"/>
    <w:rsid w:val="00145201"/>
    <w:rsid w:val="0014537E"/>
    <w:rsid w:val="001453B9"/>
    <w:rsid w:val="00145439"/>
    <w:rsid w:val="001464DA"/>
    <w:rsid w:val="001466CC"/>
    <w:rsid w:val="00146703"/>
    <w:rsid w:val="0014679D"/>
    <w:rsid w:val="00147215"/>
    <w:rsid w:val="001477F9"/>
    <w:rsid w:val="00147D46"/>
    <w:rsid w:val="00150010"/>
    <w:rsid w:val="001500F8"/>
    <w:rsid w:val="00150368"/>
    <w:rsid w:val="0015048E"/>
    <w:rsid w:val="001507CC"/>
    <w:rsid w:val="0015095C"/>
    <w:rsid w:val="001512DD"/>
    <w:rsid w:val="00151761"/>
    <w:rsid w:val="00151C68"/>
    <w:rsid w:val="0015203D"/>
    <w:rsid w:val="00152A50"/>
    <w:rsid w:val="00152BB5"/>
    <w:rsid w:val="0015329B"/>
    <w:rsid w:val="001535B3"/>
    <w:rsid w:val="00153E35"/>
    <w:rsid w:val="001541EA"/>
    <w:rsid w:val="001543AE"/>
    <w:rsid w:val="0015464B"/>
    <w:rsid w:val="00154D02"/>
    <w:rsid w:val="0015573C"/>
    <w:rsid w:val="00155C08"/>
    <w:rsid w:val="00155D11"/>
    <w:rsid w:val="001567C3"/>
    <w:rsid w:val="001567FC"/>
    <w:rsid w:val="00156A45"/>
    <w:rsid w:val="00156FC0"/>
    <w:rsid w:val="001575C3"/>
    <w:rsid w:val="00157880"/>
    <w:rsid w:val="00157D55"/>
    <w:rsid w:val="00157E11"/>
    <w:rsid w:val="00160E5F"/>
    <w:rsid w:val="0016151B"/>
    <w:rsid w:val="00162172"/>
    <w:rsid w:val="0016265B"/>
    <w:rsid w:val="001627D7"/>
    <w:rsid w:val="001628F8"/>
    <w:rsid w:val="001630DD"/>
    <w:rsid w:val="00163E40"/>
    <w:rsid w:val="00164551"/>
    <w:rsid w:val="001660ED"/>
    <w:rsid w:val="001667AB"/>
    <w:rsid w:val="001669EA"/>
    <w:rsid w:val="00166A8A"/>
    <w:rsid w:val="00166F0D"/>
    <w:rsid w:val="001672A8"/>
    <w:rsid w:val="001704DD"/>
    <w:rsid w:val="001704E1"/>
    <w:rsid w:val="00170546"/>
    <w:rsid w:val="0017071B"/>
    <w:rsid w:val="001708EB"/>
    <w:rsid w:val="00170AF5"/>
    <w:rsid w:val="0017131F"/>
    <w:rsid w:val="0017145E"/>
    <w:rsid w:val="0017195F"/>
    <w:rsid w:val="00171BD6"/>
    <w:rsid w:val="00171C23"/>
    <w:rsid w:val="00171DF4"/>
    <w:rsid w:val="0017215E"/>
    <w:rsid w:val="001724F1"/>
    <w:rsid w:val="00172589"/>
    <w:rsid w:val="00173094"/>
    <w:rsid w:val="00173473"/>
    <w:rsid w:val="0017362E"/>
    <w:rsid w:val="001736D3"/>
    <w:rsid w:val="0017375A"/>
    <w:rsid w:val="00173843"/>
    <w:rsid w:val="00173C04"/>
    <w:rsid w:val="00175476"/>
    <w:rsid w:val="00175935"/>
    <w:rsid w:val="00175AD5"/>
    <w:rsid w:val="00175E1C"/>
    <w:rsid w:val="00176169"/>
    <w:rsid w:val="001761E5"/>
    <w:rsid w:val="001764B6"/>
    <w:rsid w:val="001764F1"/>
    <w:rsid w:val="00176665"/>
    <w:rsid w:val="00176747"/>
    <w:rsid w:val="00176795"/>
    <w:rsid w:val="001767B1"/>
    <w:rsid w:val="001768B9"/>
    <w:rsid w:val="00176C41"/>
    <w:rsid w:val="00176E2C"/>
    <w:rsid w:val="00176FDF"/>
    <w:rsid w:val="00177624"/>
    <w:rsid w:val="0017766D"/>
    <w:rsid w:val="00177792"/>
    <w:rsid w:val="001809AA"/>
    <w:rsid w:val="00180DDC"/>
    <w:rsid w:val="001810B7"/>
    <w:rsid w:val="0018123B"/>
    <w:rsid w:val="0018136F"/>
    <w:rsid w:val="0018141D"/>
    <w:rsid w:val="001818CD"/>
    <w:rsid w:val="00182407"/>
    <w:rsid w:val="00182BCB"/>
    <w:rsid w:val="00182ED5"/>
    <w:rsid w:val="00182F24"/>
    <w:rsid w:val="0018395B"/>
    <w:rsid w:val="00183D05"/>
    <w:rsid w:val="00183F84"/>
    <w:rsid w:val="001841B8"/>
    <w:rsid w:val="00184208"/>
    <w:rsid w:val="001842FC"/>
    <w:rsid w:val="001844F9"/>
    <w:rsid w:val="001845A1"/>
    <w:rsid w:val="001846B9"/>
    <w:rsid w:val="00184F81"/>
    <w:rsid w:val="00184FE8"/>
    <w:rsid w:val="00185012"/>
    <w:rsid w:val="00185286"/>
    <w:rsid w:val="00185356"/>
    <w:rsid w:val="0018565D"/>
    <w:rsid w:val="0018580E"/>
    <w:rsid w:val="00185C63"/>
    <w:rsid w:val="00185DB0"/>
    <w:rsid w:val="0018671E"/>
    <w:rsid w:val="001869BF"/>
    <w:rsid w:val="001871E7"/>
    <w:rsid w:val="00187259"/>
    <w:rsid w:val="001878BF"/>
    <w:rsid w:val="001878FE"/>
    <w:rsid w:val="00187968"/>
    <w:rsid w:val="00187F57"/>
    <w:rsid w:val="00190CA5"/>
    <w:rsid w:val="00190ED8"/>
    <w:rsid w:val="00190F1B"/>
    <w:rsid w:val="00191096"/>
    <w:rsid w:val="001914E4"/>
    <w:rsid w:val="00191A30"/>
    <w:rsid w:val="001928F1"/>
    <w:rsid w:val="0019315B"/>
    <w:rsid w:val="001939DF"/>
    <w:rsid w:val="0019425C"/>
    <w:rsid w:val="00194318"/>
    <w:rsid w:val="001944D8"/>
    <w:rsid w:val="00194509"/>
    <w:rsid w:val="00194516"/>
    <w:rsid w:val="00194F83"/>
    <w:rsid w:val="00195272"/>
    <w:rsid w:val="00195B47"/>
    <w:rsid w:val="0019610D"/>
    <w:rsid w:val="00196280"/>
    <w:rsid w:val="00196588"/>
    <w:rsid w:val="00196618"/>
    <w:rsid w:val="001967A3"/>
    <w:rsid w:val="00196A49"/>
    <w:rsid w:val="00196D12"/>
    <w:rsid w:val="00196E7B"/>
    <w:rsid w:val="00197376"/>
    <w:rsid w:val="001975F1"/>
    <w:rsid w:val="00197EBD"/>
    <w:rsid w:val="001A0564"/>
    <w:rsid w:val="001A05CB"/>
    <w:rsid w:val="001A0F29"/>
    <w:rsid w:val="001A102E"/>
    <w:rsid w:val="001A12A7"/>
    <w:rsid w:val="001A1B04"/>
    <w:rsid w:val="001A1F63"/>
    <w:rsid w:val="001A252B"/>
    <w:rsid w:val="001A27DB"/>
    <w:rsid w:val="001A2C14"/>
    <w:rsid w:val="001A2F9F"/>
    <w:rsid w:val="001A3334"/>
    <w:rsid w:val="001A3A78"/>
    <w:rsid w:val="001A3C92"/>
    <w:rsid w:val="001A3E00"/>
    <w:rsid w:val="001A43CE"/>
    <w:rsid w:val="001A4663"/>
    <w:rsid w:val="001A46DC"/>
    <w:rsid w:val="001A4B62"/>
    <w:rsid w:val="001A5376"/>
    <w:rsid w:val="001A576F"/>
    <w:rsid w:val="001A57CB"/>
    <w:rsid w:val="001A5F02"/>
    <w:rsid w:val="001A6474"/>
    <w:rsid w:val="001A67D2"/>
    <w:rsid w:val="001A6875"/>
    <w:rsid w:val="001A6969"/>
    <w:rsid w:val="001A6CA2"/>
    <w:rsid w:val="001A757C"/>
    <w:rsid w:val="001A78EC"/>
    <w:rsid w:val="001A7B4D"/>
    <w:rsid w:val="001A7B5E"/>
    <w:rsid w:val="001A7E84"/>
    <w:rsid w:val="001B04E6"/>
    <w:rsid w:val="001B0BDB"/>
    <w:rsid w:val="001B0F4B"/>
    <w:rsid w:val="001B0F95"/>
    <w:rsid w:val="001B1320"/>
    <w:rsid w:val="001B186C"/>
    <w:rsid w:val="001B1E9D"/>
    <w:rsid w:val="001B202C"/>
    <w:rsid w:val="001B2325"/>
    <w:rsid w:val="001B23A0"/>
    <w:rsid w:val="001B25AE"/>
    <w:rsid w:val="001B2852"/>
    <w:rsid w:val="001B2936"/>
    <w:rsid w:val="001B2F18"/>
    <w:rsid w:val="001B40E7"/>
    <w:rsid w:val="001B4444"/>
    <w:rsid w:val="001B4567"/>
    <w:rsid w:val="001B458B"/>
    <w:rsid w:val="001B4CD9"/>
    <w:rsid w:val="001B4D63"/>
    <w:rsid w:val="001B5C4F"/>
    <w:rsid w:val="001B6003"/>
    <w:rsid w:val="001B6207"/>
    <w:rsid w:val="001B65BF"/>
    <w:rsid w:val="001B6895"/>
    <w:rsid w:val="001B6D16"/>
    <w:rsid w:val="001B6D27"/>
    <w:rsid w:val="001C033B"/>
    <w:rsid w:val="001C0971"/>
    <w:rsid w:val="001C1504"/>
    <w:rsid w:val="001C1A15"/>
    <w:rsid w:val="001C1A40"/>
    <w:rsid w:val="001C1B56"/>
    <w:rsid w:val="001C2000"/>
    <w:rsid w:val="001C2434"/>
    <w:rsid w:val="001C2B0A"/>
    <w:rsid w:val="001C2E82"/>
    <w:rsid w:val="001C2E92"/>
    <w:rsid w:val="001C327C"/>
    <w:rsid w:val="001C37AC"/>
    <w:rsid w:val="001C381F"/>
    <w:rsid w:val="001C3C0F"/>
    <w:rsid w:val="001C3E06"/>
    <w:rsid w:val="001C43D1"/>
    <w:rsid w:val="001C453E"/>
    <w:rsid w:val="001C45B8"/>
    <w:rsid w:val="001C4746"/>
    <w:rsid w:val="001C4CA2"/>
    <w:rsid w:val="001C4D87"/>
    <w:rsid w:val="001C5528"/>
    <w:rsid w:val="001C5C9A"/>
    <w:rsid w:val="001C5CBE"/>
    <w:rsid w:val="001C67B3"/>
    <w:rsid w:val="001C6935"/>
    <w:rsid w:val="001C6A8C"/>
    <w:rsid w:val="001C7020"/>
    <w:rsid w:val="001C7732"/>
    <w:rsid w:val="001D00C5"/>
    <w:rsid w:val="001D06C5"/>
    <w:rsid w:val="001D075C"/>
    <w:rsid w:val="001D0BAB"/>
    <w:rsid w:val="001D0EA0"/>
    <w:rsid w:val="001D12ED"/>
    <w:rsid w:val="001D153B"/>
    <w:rsid w:val="001D159A"/>
    <w:rsid w:val="001D16B8"/>
    <w:rsid w:val="001D1B19"/>
    <w:rsid w:val="001D1D4B"/>
    <w:rsid w:val="001D1E6B"/>
    <w:rsid w:val="001D1F8A"/>
    <w:rsid w:val="001D21F3"/>
    <w:rsid w:val="001D2571"/>
    <w:rsid w:val="001D2BC0"/>
    <w:rsid w:val="001D2CC1"/>
    <w:rsid w:val="001D3962"/>
    <w:rsid w:val="001D4FB4"/>
    <w:rsid w:val="001D5F00"/>
    <w:rsid w:val="001D60A3"/>
    <w:rsid w:val="001D6732"/>
    <w:rsid w:val="001D773F"/>
    <w:rsid w:val="001D7762"/>
    <w:rsid w:val="001D797C"/>
    <w:rsid w:val="001D7D2B"/>
    <w:rsid w:val="001D7E4C"/>
    <w:rsid w:val="001D7FF0"/>
    <w:rsid w:val="001E03FE"/>
    <w:rsid w:val="001E0580"/>
    <w:rsid w:val="001E0973"/>
    <w:rsid w:val="001E1104"/>
    <w:rsid w:val="001E16A3"/>
    <w:rsid w:val="001E1F94"/>
    <w:rsid w:val="001E269B"/>
    <w:rsid w:val="001E28DD"/>
    <w:rsid w:val="001E2B3E"/>
    <w:rsid w:val="001E2B78"/>
    <w:rsid w:val="001E3197"/>
    <w:rsid w:val="001E31DE"/>
    <w:rsid w:val="001E33BF"/>
    <w:rsid w:val="001E3DE8"/>
    <w:rsid w:val="001E4F95"/>
    <w:rsid w:val="001E5121"/>
    <w:rsid w:val="001E6984"/>
    <w:rsid w:val="001E6A82"/>
    <w:rsid w:val="001E72A6"/>
    <w:rsid w:val="001E7304"/>
    <w:rsid w:val="001E74DF"/>
    <w:rsid w:val="001E7884"/>
    <w:rsid w:val="001E7B23"/>
    <w:rsid w:val="001E7B96"/>
    <w:rsid w:val="001E7FAA"/>
    <w:rsid w:val="001F02E1"/>
    <w:rsid w:val="001F0884"/>
    <w:rsid w:val="001F0A1A"/>
    <w:rsid w:val="001F0A2E"/>
    <w:rsid w:val="001F0E93"/>
    <w:rsid w:val="001F0EC8"/>
    <w:rsid w:val="001F1045"/>
    <w:rsid w:val="001F11E0"/>
    <w:rsid w:val="001F1265"/>
    <w:rsid w:val="001F12AC"/>
    <w:rsid w:val="001F2AD6"/>
    <w:rsid w:val="001F2AF4"/>
    <w:rsid w:val="001F2C3B"/>
    <w:rsid w:val="001F359B"/>
    <w:rsid w:val="001F37D8"/>
    <w:rsid w:val="001F38E4"/>
    <w:rsid w:val="001F3B5A"/>
    <w:rsid w:val="001F3DDE"/>
    <w:rsid w:val="001F419E"/>
    <w:rsid w:val="001F41B3"/>
    <w:rsid w:val="001F42C9"/>
    <w:rsid w:val="001F46E9"/>
    <w:rsid w:val="001F4AE3"/>
    <w:rsid w:val="001F53DF"/>
    <w:rsid w:val="001F5737"/>
    <w:rsid w:val="001F573A"/>
    <w:rsid w:val="001F58C1"/>
    <w:rsid w:val="001F5B2E"/>
    <w:rsid w:val="001F5E56"/>
    <w:rsid w:val="001F5F55"/>
    <w:rsid w:val="001F646D"/>
    <w:rsid w:val="001F646F"/>
    <w:rsid w:val="001F64BA"/>
    <w:rsid w:val="001F6781"/>
    <w:rsid w:val="001F6DE2"/>
    <w:rsid w:val="001F6F8E"/>
    <w:rsid w:val="001F71EE"/>
    <w:rsid w:val="001F7CCD"/>
    <w:rsid w:val="00200332"/>
    <w:rsid w:val="00200A26"/>
    <w:rsid w:val="00200D3C"/>
    <w:rsid w:val="00201359"/>
    <w:rsid w:val="002013E9"/>
    <w:rsid w:val="002015A0"/>
    <w:rsid w:val="00201997"/>
    <w:rsid w:val="002019BC"/>
    <w:rsid w:val="00201A0B"/>
    <w:rsid w:val="0020243F"/>
    <w:rsid w:val="002024C5"/>
    <w:rsid w:val="0020266C"/>
    <w:rsid w:val="00202837"/>
    <w:rsid w:val="00202D28"/>
    <w:rsid w:val="00202D72"/>
    <w:rsid w:val="0020320C"/>
    <w:rsid w:val="00203217"/>
    <w:rsid w:val="00203735"/>
    <w:rsid w:val="00203AE7"/>
    <w:rsid w:val="00203C68"/>
    <w:rsid w:val="002042A3"/>
    <w:rsid w:val="002045EE"/>
    <w:rsid w:val="002049BD"/>
    <w:rsid w:val="00204F98"/>
    <w:rsid w:val="002051A3"/>
    <w:rsid w:val="0020528A"/>
    <w:rsid w:val="00205BFF"/>
    <w:rsid w:val="002067A2"/>
    <w:rsid w:val="00206F14"/>
    <w:rsid w:val="00207329"/>
    <w:rsid w:val="00207DC3"/>
    <w:rsid w:val="0021001E"/>
    <w:rsid w:val="0021073D"/>
    <w:rsid w:val="00210907"/>
    <w:rsid w:val="00210BC8"/>
    <w:rsid w:val="0021139D"/>
    <w:rsid w:val="00211447"/>
    <w:rsid w:val="00211449"/>
    <w:rsid w:val="0021154F"/>
    <w:rsid w:val="00211B1B"/>
    <w:rsid w:val="00211E58"/>
    <w:rsid w:val="00211FF4"/>
    <w:rsid w:val="002121E5"/>
    <w:rsid w:val="002129EE"/>
    <w:rsid w:val="0021308D"/>
    <w:rsid w:val="002134A1"/>
    <w:rsid w:val="0021387E"/>
    <w:rsid w:val="00213FEF"/>
    <w:rsid w:val="00214178"/>
    <w:rsid w:val="0021425D"/>
    <w:rsid w:val="00214642"/>
    <w:rsid w:val="00214817"/>
    <w:rsid w:val="00214927"/>
    <w:rsid w:val="00214A92"/>
    <w:rsid w:val="00214BCE"/>
    <w:rsid w:val="00214BE6"/>
    <w:rsid w:val="00214EC0"/>
    <w:rsid w:val="002151AF"/>
    <w:rsid w:val="002152AB"/>
    <w:rsid w:val="00215A4F"/>
    <w:rsid w:val="00216929"/>
    <w:rsid w:val="00216B98"/>
    <w:rsid w:val="00216E9C"/>
    <w:rsid w:val="00216ED5"/>
    <w:rsid w:val="00217359"/>
    <w:rsid w:val="0021743F"/>
    <w:rsid w:val="002174DD"/>
    <w:rsid w:val="0021758D"/>
    <w:rsid w:val="002175E1"/>
    <w:rsid w:val="00217B9D"/>
    <w:rsid w:val="00217C89"/>
    <w:rsid w:val="00217D62"/>
    <w:rsid w:val="00217F93"/>
    <w:rsid w:val="00220234"/>
    <w:rsid w:val="0022058B"/>
    <w:rsid w:val="00221199"/>
    <w:rsid w:val="002216D6"/>
    <w:rsid w:val="0022173B"/>
    <w:rsid w:val="00221D90"/>
    <w:rsid w:val="0022238A"/>
    <w:rsid w:val="00222656"/>
    <w:rsid w:val="002226FB"/>
    <w:rsid w:val="00222B45"/>
    <w:rsid w:val="00222F4B"/>
    <w:rsid w:val="00222FC6"/>
    <w:rsid w:val="0022312B"/>
    <w:rsid w:val="00223606"/>
    <w:rsid w:val="002237BC"/>
    <w:rsid w:val="0022392E"/>
    <w:rsid w:val="002241F5"/>
    <w:rsid w:val="0022455D"/>
    <w:rsid w:val="002245A6"/>
    <w:rsid w:val="00224A2B"/>
    <w:rsid w:val="00224F23"/>
    <w:rsid w:val="002251EC"/>
    <w:rsid w:val="00225436"/>
    <w:rsid w:val="002255C1"/>
    <w:rsid w:val="00225B8B"/>
    <w:rsid w:val="00225BED"/>
    <w:rsid w:val="00225F86"/>
    <w:rsid w:val="002260FC"/>
    <w:rsid w:val="00226557"/>
    <w:rsid w:val="00226C56"/>
    <w:rsid w:val="00227077"/>
    <w:rsid w:val="0022719B"/>
    <w:rsid w:val="00227353"/>
    <w:rsid w:val="002275D5"/>
    <w:rsid w:val="00227681"/>
    <w:rsid w:val="0022768D"/>
    <w:rsid w:val="002278B5"/>
    <w:rsid w:val="00227A88"/>
    <w:rsid w:val="00227C75"/>
    <w:rsid w:val="00227D55"/>
    <w:rsid w:val="002302D7"/>
    <w:rsid w:val="00231A1D"/>
    <w:rsid w:val="00231AB7"/>
    <w:rsid w:val="00231AFB"/>
    <w:rsid w:val="00231B6D"/>
    <w:rsid w:val="002327AE"/>
    <w:rsid w:val="00232850"/>
    <w:rsid w:val="00232935"/>
    <w:rsid w:val="00232A25"/>
    <w:rsid w:val="00232F9E"/>
    <w:rsid w:val="00233FF4"/>
    <w:rsid w:val="00234375"/>
    <w:rsid w:val="00234540"/>
    <w:rsid w:val="00234740"/>
    <w:rsid w:val="0023518F"/>
    <w:rsid w:val="002351EF"/>
    <w:rsid w:val="00235462"/>
    <w:rsid w:val="002357CF"/>
    <w:rsid w:val="00235ABC"/>
    <w:rsid w:val="00236407"/>
    <w:rsid w:val="0023673C"/>
    <w:rsid w:val="002375FE"/>
    <w:rsid w:val="00237AEE"/>
    <w:rsid w:val="00237B6B"/>
    <w:rsid w:val="00237C84"/>
    <w:rsid w:val="00237F2F"/>
    <w:rsid w:val="002407AC"/>
    <w:rsid w:val="00241898"/>
    <w:rsid w:val="00241FC8"/>
    <w:rsid w:val="00242545"/>
    <w:rsid w:val="002429D1"/>
    <w:rsid w:val="00243187"/>
    <w:rsid w:val="00243808"/>
    <w:rsid w:val="002440F1"/>
    <w:rsid w:val="00244A59"/>
    <w:rsid w:val="0024520B"/>
    <w:rsid w:val="002453DA"/>
    <w:rsid w:val="0024572B"/>
    <w:rsid w:val="00245F9E"/>
    <w:rsid w:val="002461EE"/>
    <w:rsid w:val="00246A3F"/>
    <w:rsid w:val="00246E45"/>
    <w:rsid w:val="00246E6E"/>
    <w:rsid w:val="00247470"/>
    <w:rsid w:val="00247C22"/>
    <w:rsid w:val="00247E0A"/>
    <w:rsid w:val="0025029E"/>
    <w:rsid w:val="00250A21"/>
    <w:rsid w:val="00250C5F"/>
    <w:rsid w:val="00250DA7"/>
    <w:rsid w:val="00250FAC"/>
    <w:rsid w:val="00251067"/>
    <w:rsid w:val="0025123F"/>
    <w:rsid w:val="00251555"/>
    <w:rsid w:val="00251F2A"/>
    <w:rsid w:val="002522FF"/>
    <w:rsid w:val="0025257A"/>
    <w:rsid w:val="002526FD"/>
    <w:rsid w:val="00253494"/>
    <w:rsid w:val="002535C6"/>
    <w:rsid w:val="00253695"/>
    <w:rsid w:val="00253A50"/>
    <w:rsid w:val="00254501"/>
    <w:rsid w:val="00254658"/>
    <w:rsid w:val="002547A9"/>
    <w:rsid w:val="002549C4"/>
    <w:rsid w:val="00254A73"/>
    <w:rsid w:val="00254BAE"/>
    <w:rsid w:val="00254DB7"/>
    <w:rsid w:val="00254F43"/>
    <w:rsid w:val="002553EC"/>
    <w:rsid w:val="00255836"/>
    <w:rsid w:val="002558A8"/>
    <w:rsid w:val="00255994"/>
    <w:rsid w:val="002562C9"/>
    <w:rsid w:val="00256A1B"/>
    <w:rsid w:val="00256EF0"/>
    <w:rsid w:val="00256F8B"/>
    <w:rsid w:val="002572A8"/>
    <w:rsid w:val="00257FF0"/>
    <w:rsid w:val="002604E0"/>
    <w:rsid w:val="00260754"/>
    <w:rsid w:val="00260E98"/>
    <w:rsid w:val="002612D4"/>
    <w:rsid w:val="002617BA"/>
    <w:rsid w:val="00261A19"/>
    <w:rsid w:val="00261C7D"/>
    <w:rsid w:val="00261ED1"/>
    <w:rsid w:val="002623CE"/>
    <w:rsid w:val="002624C2"/>
    <w:rsid w:val="00262508"/>
    <w:rsid w:val="00262788"/>
    <w:rsid w:val="0026286B"/>
    <w:rsid w:val="0026389B"/>
    <w:rsid w:val="00263A20"/>
    <w:rsid w:val="00263DF7"/>
    <w:rsid w:val="002643E3"/>
    <w:rsid w:val="002645B7"/>
    <w:rsid w:val="0026472F"/>
    <w:rsid w:val="00265059"/>
    <w:rsid w:val="00265340"/>
    <w:rsid w:val="002654CE"/>
    <w:rsid w:val="0026587E"/>
    <w:rsid w:val="00265CE1"/>
    <w:rsid w:val="00265EF7"/>
    <w:rsid w:val="00266992"/>
    <w:rsid w:val="00266F0C"/>
    <w:rsid w:val="00266F84"/>
    <w:rsid w:val="00267287"/>
    <w:rsid w:val="00267867"/>
    <w:rsid w:val="00270154"/>
    <w:rsid w:val="002701B3"/>
    <w:rsid w:val="0027069B"/>
    <w:rsid w:val="00270932"/>
    <w:rsid w:val="00270C0A"/>
    <w:rsid w:val="00270F77"/>
    <w:rsid w:val="002716FB"/>
    <w:rsid w:val="00271789"/>
    <w:rsid w:val="00271AA7"/>
    <w:rsid w:val="00271B70"/>
    <w:rsid w:val="002722EC"/>
    <w:rsid w:val="0027244E"/>
    <w:rsid w:val="002724C5"/>
    <w:rsid w:val="00272F1D"/>
    <w:rsid w:val="00273C6B"/>
    <w:rsid w:val="00273F5C"/>
    <w:rsid w:val="00273FBC"/>
    <w:rsid w:val="00273FC8"/>
    <w:rsid w:val="00274A6A"/>
    <w:rsid w:val="00274D05"/>
    <w:rsid w:val="00274D3C"/>
    <w:rsid w:val="00275085"/>
    <w:rsid w:val="00275125"/>
    <w:rsid w:val="002751DE"/>
    <w:rsid w:val="0027530D"/>
    <w:rsid w:val="00275467"/>
    <w:rsid w:val="0027570D"/>
    <w:rsid w:val="002758DC"/>
    <w:rsid w:val="00275DE4"/>
    <w:rsid w:val="00275E84"/>
    <w:rsid w:val="002762C9"/>
    <w:rsid w:val="002763C7"/>
    <w:rsid w:val="0027640E"/>
    <w:rsid w:val="00276C37"/>
    <w:rsid w:val="00276E7F"/>
    <w:rsid w:val="00276EFF"/>
    <w:rsid w:val="002772C7"/>
    <w:rsid w:val="002773FC"/>
    <w:rsid w:val="00277BCC"/>
    <w:rsid w:val="00277EAD"/>
    <w:rsid w:val="002800AE"/>
    <w:rsid w:val="0028053A"/>
    <w:rsid w:val="00280E7C"/>
    <w:rsid w:val="002815DE"/>
    <w:rsid w:val="00281D5E"/>
    <w:rsid w:val="00281E69"/>
    <w:rsid w:val="002821AD"/>
    <w:rsid w:val="0028267F"/>
    <w:rsid w:val="002827C4"/>
    <w:rsid w:val="00282842"/>
    <w:rsid w:val="00282A74"/>
    <w:rsid w:val="0028379B"/>
    <w:rsid w:val="002837A8"/>
    <w:rsid w:val="00284671"/>
    <w:rsid w:val="00284736"/>
    <w:rsid w:val="00284BBF"/>
    <w:rsid w:val="00284BC6"/>
    <w:rsid w:val="0028506B"/>
    <w:rsid w:val="00285FF5"/>
    <w:rsid w:val="002865BD"/>
    <w:rsid w:val="002866FC"/>
    <w:rsid w:val="00286CB7"/>
    <w:rsid w:val="00286CFB"/>
    <w:rsid w:val="00286F5C"/>
    <w:rsid w:val="00287282"/>
    <w:rsid w:val="00287992"/>
    <w:rsid w:val="0028A653"/>
    <w:rsid w:val="00290265"/>
    <w:rsid w:val="0029036A"/>
    <w:rsid w:val="0029054B"/>
    <w:rsid w:val="00290EFE"/>
    <w:rsid w:val="0029102C"/>
    <w:rsid w:val="0029136B"/>
    <w:rsid w:val="00291CBB"/>
    <w:rsid w:val="00291EC1"/>
    <w:rsid w:val="00291F27"/>
    <w:rsid w:val="00291F5C"/>
    <w:rsid w:val="00291FBC"/>
    <w:rsid w:val="00292293"/>
    <w:rsid w:val="00292FE4"/>
    <w:rsid w:val="002930AD"/>
    <w:rsid w:val="002933AD"/>
    <w:rsid w:val="002936C8"/>
    <w:rsid w:val="0029390A"/>
    <w:rsid w:val="002939A8"/>
    <w:rsid w:val="00293D24"/>
    <w:rsid w:val="00293FF3"/>
    <w:rsid w:val="0029496D"/>
    <w:rsid w:val="00294E92"/>
    <w:rsid w:val="00294FB3"/>
    <w:rsid w:val="002950F3"/>
    <w:rsid w:val="00295411"/>
    <w:rsid w:val="0029544B"/>
    <w:rsid w:val="0029548F"/>
    <w:rsid w:val="00295AD4"/>
    <w:rsid w:val="00296236"/>
    <w:rsid w:val="00296AC4"/>
    <w:rsid w:val="00296C52"/>
    <w:rsid w:val="00297334"/>
    <w:rsid w:val="00297941"/>
    <w:rsid w:val="00297991"/>
    <w:rsid w:val="00297A87"/>
    <w:rsid w:val="002A047A"/>
    <w:rsid w:val="002A048C"/>
    <w:rsid w:val="002A098A"/>
    <w:rsid w:val="002A0AA7"/>
    <w:rsid w:val="002A11AD"/>
    <w:rsid w:val="002A1481"/>
    <w:rsid w:val="002A14BD"/>
    <w:rsid w:val="002A182A"/>
    <w:rsid w:val="002A1AFE"/>
    <w:rsid w:val="002A1B07"/>
    <w:rsid w:val="002A238C"/>
    <w:rsid w:val="002A2847"/>
    <w:rsid w:val="002A3322"/>
    <w:rsid w:val="002A36CE"/>
    <w:rsid w:val="002A3A69"/>
    <w:rsid w:val="002A4545"/>
    <w:rsid w:val="002A4A16"/>
    <w:rsid w:val="002A4DC1"/>
    <w:rsid w:val="002A5350"/>
    <w:rsid w:val="002A55A8"/>
    <w:rsid w:val="002A5A29"/>
    <w:rsid w:val="002A5CA7"/>
    <w:rsid w:val="002A5E44"/>
    <w:rsid w:val="002A5E85"/>
    <w:rsid w:val="002A5F33"/>
    <w:rsid w:val="002A6561"/>
    <w:rsid w:val="002A67D6"/>
    <w:rsid w:val="002A7117"/>
    <w:rsid w:val="002A7348"/>
    <w:rsid w:val="002A73AB"/>
    <w:rsid w:val="002A7C89"/>
    <w:rsid w:val="002A7EA5"/>
    <w:rsid w:val="002A7FE5"/>
    <w:rsid w:val="002B01E9"/>
    <w:rsid w:val="002B0DB7"/>
    <w:rsid w:val="002B10C8"/>
    <w:rsid w:val="002B11C9"/>
    <w:rsid w:val="002B1285"/>
    <w:rsid w:val="002B12FB"/>
    <w:rsid w:val="002B1438"/>
    <w:rsid w:val="002B1EB3"/>
    <w:rsid w:val="002B22FA"/>
    <w:rsid w:val="002B24AA"/>
    <w:rsid w:val="002B2896"/>
    <w:rsid w:val="002B2F85"/>
    <w:rsid w:val="002B2FB0"/>
    <w:rsid w:val="002B3038"/>
    <w:rsid w:val="002B326C"/>
    <w:rsid w:val="002B36B4"/>
    <w:rsid w:val="002B3933"/>
    <w:rsid w:val="002B3CC7"/>
    <w:rsid w:val="002B3EC6"/>
    <w:rsid w:val="002B3F9B"/>
    <w:rsid w:val="002B41E4"/>
    <w:rsid w:val="002B41F0"/>
    <w:rsid w:val="002B466E"/>
    <w:rsid w:val="002B4AF8"/>
    <w:rsid w:val="002B5741"/>
    <w:rsid w:val="002B5BF9"/>
    <w:rsid w:val="002B5EC2"/>
    <w:rsid w:val="002B5FF0"/>
    <w:rsid w:val="002B68A9"/>
    <w:rsid w:val="002B6EC9"/>
    <w:rsid w:val="002B7142"/>
    <w:rsid w:val="002B78F5"/>
    <w:rsid w:val="002B7A8D"/>
    <w:rsid w:val="002B7DFA"/>
    <w:rsid w:val="002C010A"/>
    <w:rsid w:val="002C0348"/>
    <w:rsid w:val="002C03DF"/>
    <w:rsid w:val="002C0469"/>
    <w:rsid w:val="002C0E3A"/>
    <w:rsid w:val="002C0E56"/>
    <w:rsid w:val="002C1C90"/>
    <w:rsid w:val="002C22A7"/>
    <w:rsid w:val="002C2ED5"/>
    <w:rsid w:val="002C3003"/>
    <w:rsid w:val="002C37C6"/>
    <w:rsid w:val="002C40F5"/>
    <w:rsid w:val="002C4838"/>
    <w:rsid w:val="002C4A5A"/>
    <w:rsid w:val="002C4B6C"/>
    <w:rsid w:val="002C4C72"/>
    <w:rsid w:val="002C4D7E"/>
    <w:rsid w:val="002C5085"/>
    <w:rsid w:val="002C5525"/>
    <w:rsid w:val="002C564D"/>
    <w:rsid w:val="002C5764"/>
    <w:rsid w:val="002C578F"/>
    <w:rsid w:val="002C5899"/>
    <w:rsid w:val="002C5ABB"/>
    <w:rsid w:val="002C5E70"/>
    <w:rsid w:val="002C6D1A"/>
    <w:rsid w:val="002C701E"/>
    <w:rsid w:val="002C71F1"/>
    <w:rsid w:val="002C7486"/>
    <w:rsid w:val="002C75E3"/>
    <w:rsid w:val="002C763B"/>
    <w:rsid w:val="002C7747"/>
    <w:rsid w:val="002C7C3E"/>
    <w:rsid w:val="002D012A"/>
    <w:rsid w:val="002D0579"/>
    <w:rsid w:val="002D05B2"/>
    <w:rsid w:val="002D13B3"/>
    <w:rsid w:val="002D152D"/>
    <w:rsid w:val="002D22E0"/>
    <w:rsid w:val="002D2CE3"/>
    <w:rsid w:val="002D341E"/>
    <w:rsid w:val="002D370D"/>
    <w:rsid w:val="002D3A5C"/>
    <w:rsid w:val="002D3CEB"/>
    <w:rsid w:val="002D3F4F"/>
    <w:rsid w:val="002D45A5"/>
    <w:rsid w:val="002D4FE8"/>
    <w:rsid w:val="002D5132"/>
    <w:rsid w:val="002D52C2"/>
    <w:rsid w:val="002D5504"/>
    <w:rsid w:val="002D58DA"/>
    <w:rsid w:val="002D5BFC"/>
    <w:rsid w:val="002D616C"/>
    <w:rsid w:val="002D617E"/>
    <w:rsid w:val="002D61CE"/>
    <w:rsid w:val="002D623C"/>
    <w:rsid w:val="002D663C"/>
    <w:rsid w:val="002D66F3"/>
    <w:rsid w:val="002D709D"/>
    <w:rsid w:val="002D70F7"/>
    <w:rsid w:val="002D7C2F"/>
    <w:rsid w:val="002E0BF5"/>
    <w:rsid w:val="002E0C1B"/>
    <w:rsid w:val="002E1184"/>
    <w:rsid w:val="002E11FA"/>
    <w:rsid w:val="002E131F"/>
    <w:rsid w:val="002E15AD"/>
    <w:rsid w:val="002E1BD2"/>
    <w:rsid w:val="002E262C"/>
    <w:rsid w:val="002E2C46"/>
    <w:rsid w:val="002E2F72"/>
    <w:rsid w:val="002E317E"/>
    <w:rsid w:val="002E33BA"/>
    <w:rsid w:val="002E35D6"/>
    <w:rsid w:val="002E38A7"/>
    <w:rsid w:val="002E404F"/>
    <w:rsid w:val="002E428D"/>
    <w:rsid w:val="002E46D1"/>
    <w:rsid w:val="002E491B"/>
    <w:rsid w:val="002E4AAA"/>
    <w:rsid w:val="002E4BD9"/>
    <w:rsid w:val="002E549F"/>
    <w:rsid w:val="002E636F"/>
    <w:rsid w:val="002E63F5"/>
    <w:rsid w:val="002E6BA1"/>
    <w:rsid w:val="002E6ED0"/>
    <w:rsid w:val="002E6EF2"/>
    <w:rsid w:val="002E74A0"/>
    <w:rsid w:val="002E7C83"/>
    <w:rsid w:val="002E7E9E"/>
    <w:rsid w:val="002F0F3B"/>
    <w:rsid w:val="002F125C"/>
    <w:rsid w:val="002F13F6"/>
    <w:rsid w:val="002F171C"/>
    <w:rsid w:val="002F1B84"/>
    <w:rsid w:val="002F1FAE"/>
    <w:rsid w:val="002F206D"/>
    <w:rsid w:val="002F20AA"/>
    <w:rsid w:val="002F229C"/>
    <w:rsid w:val="002F22DF"/>
    <w:rsid w:val="002F246F"/>
    <w:rsid w:val="002F257E"/>
    <w:rsid w:val="002F25DD"/>
    <w:rsid w:val="002F27BC"/>
    <w:rsid w:val="002F2865"/>
    <w:rsid w:val="002F2900"/>
    <w:rsid w:val="002F2AE2"/>
    <w:rsid w:val="002F2B5F"/>
    <w:rsid w:val="002F2DE4"/>
    <w:rsid w:val="002F319C"/>
    <w:rsid w:val="002F3CB5"/>
    <w:rsid w:val="002F4B78"/>
    <w:rsid w:val="002F4CC9"/>
    <w:rsid w:val="002F4DD9"/>
    <w:rsid w:val="002F5385"/>
    <w:rsid w:val="002F5823"/>
    <w:rsid w:val="002F5AEB"/>
    <w:rsid w:val="002F5F3F"/>
    <w:rsid w:val="002F6354"/>
    <w:rsid w:val="002F6510"/>
    <w:rsid w:val="002F6A5E"/>
    <w:rsid w:val="002F6C57"/>
    <w:rsid w:val="002F6E8E"/>
    <w:rsid w:val="002F6E9F"/>
    <w:rsid w:val="002F7193"/>
    <w:rsid w:val="002F7296"/>
    <w:rsid w:val="002F7709"/>
    <w:rsid w:val="002F77AF"/>
    <w:rsid w:val="0030058B"/>
    <w:rsid w:val="003008F9"/>
    <w:rsid w:val="00300BEB"/>
    <w:rsid w:val="00300D51"/>
    <w:rsid w:val="00300E42"/>
    <w:rsid w:val="00301224"/>
    <w:rsid w:val="003018B8"/>
    <w:rsid w:val="00301963"/>
    <w:rsid w:val="00301C10"/>
    <w:rsid w:val="00301C37"/>
    <w:rsid w:val="0030222A"/>
    <w:rsid w:val="00302450"/>
    <w:rsid w:val="003028E9"/>
    <w:rsid w:val="00302A28"/>
    <w:rsid w:val="00302C39"/>
    <w:rsid w:val="00303346"/>
    <w:rsid w:val="00303C06"/>
    <w:rsid w:val="00303F99"/>
    <w:rsid w:val="00304156"/>
    <w:rsid w:val="00304711"/>
    <w:rsid w:val="00305304"/>
    <w:rsid w:val="00305CAA"/>
    <w:rsid w:val="00305D42"/>
    <w:rsid w:val="00305F62"/>
    <w:rsid w:val="003060EA"/>
    <w:rsid w:val="003067DD"/>
    <w:rsid w:val="003067E6"/>
    <w:rsid w:val="00306878"/>
    <w:rsid w:val="00306C21"/>
    <w:rsid w:val="00306F06"/>
    <w:rsid w:val="00307584"/>
    <w:rsid w:val="003076F8"/>
    <w:rsid w:val="0030772B"/>
    <w:rsid w:val="00307C22"/>
    <w:rsid w:val="00310B97"/>
    <w:rsid w:val="00310C2F"/>
    <w:rsid w:val="00310D2A"/>
    <w:rsid w:val="00311005"/>
    <w:rsid w:val="003112CF"/>
    <w:rsid w:val="0031160F"/>
    <w:rsid w:val="003119BC"/>
    <w:rsid w:val="00311EE5"/>
    <w:rsid w:val="00312254"/>
    <w:rsid w:val="0031255F"/>
    <w:rsid w:val="003129C4"/>
    <w:rsid w:val="00312F7D"/>
    <w:rsid w:val="0031318E"/>
    <w:rsid w:val="0031336C"/>
    <w:rsid w:val="0031350F"/>
    <w:rsid w:val="003138B9"/>
    <w:rsid w:val="00313982"/>
    <w:rsid w:val="003139FF"/>
    <w:rsid w:val="00313AB8"/>
    <w:rsid w:val="00313B69"/>
    <w:rsid w:val="00313C2A"/>
    <w:rsid w:val="00313F0C"/>
    <w:rsid w:val="00314801"/>
    <w:rsid w:val="00314B27"/>
    <w:rsid w:val="00315655"/>
    <w:rsid w:val="00315D3F"/>
    <w:rsid w:val="003162D8"/>
    <w:rsid w:val="00316965"/>
    <w:rsid w:val="00316AF4"/>
    <w:rsid w:val="00316E39"/>
    <w:rsid w:val="003174A8"/>
    <w:rsid w:val="003174FB"/>
    <w:rsid w:val="003175E5"/>
    <w:rsid w:val="00317689"/>
    <w:rsid w:val="0031782D"/>
    <w:rsid w:val="00317898"/>
    <w:rsid w:val="0032069E"/>
    <w:rsid w:val="00320C75"/>
    <w:rsid w:val="00321231"/>
    <w:rsid w:val="003215C9"/>
    <w:rsid w:val="00321FCD"/>
    <w:rsid w:val="00321FD2"/>
    <w:rsid w:val="00321FD4"/>
    <w:rsid w:val="00322DBE"/>
    <w:rsid w:val="00322DEE"/>
    <w:rsid w:val="003231F2"/>
    <w:rsid w:val="00323388"/>
    <w:rsid w:val="003245EB"/>
    <w:rsid w:val="00324A75"/>
    <w:rsid w:val="003252B1"/>
    <w:rsid w:val="00325779"/>
    <w:rsid w:val="003258F1"/>
    <w:rsid w:val="00325BE0"/>
    <w:rsid w:val="003263E3"/>
    <w:rsid w:val="0032665B"/>
    <w:rsid w:val="00326B19"/>
    <w:rsid w:val="00327112"/>
    <w:rsid w:val="00327325"/>
    <w:rsid w:val="00327498"/>
    <w:rsid w:val="00327885"/>
    <w:rsid w:val="00327B77"/>
    <w:rsid w:val="00327D5A"/>
    <w:rsid w:val="00330426"/>
    <w:rsid w:val="00330850"/>
    <w:rsid w:val="00330A04"/>
    <w:rsid w:val="00330F84"/>
    <w:rsid w:val="0033184B"/>
    <w:rsid w:val="00331E45"/>
    <w:rsid w:val="00331EA7"/>
    <w:rsid w:val="003333D9"/>
    <w:rsid w:val="0033342D"/>
    <w:rsid w:val="00333A35"/>
    <w:rsid w:val="00333AFB"/>
    <w:rsid w:val="00333D93"/>
    <w:rsid w:val="00333E29"/>
    <w:rsid w:val="003343C5"/>
    <w:rsid w:val="003344A3"/>
    <w:rsid w:val="00334650"/>
    <w:rsid w:val="00334782"/>
    <w:rsid w:val="00335A8F"/>
    <w:rsid w:val="00335C2C"/>
    <w:rsid w:val="00335DA2"/>
    <w:rsid w:val="00335EAC"/>
    <w:rsid w:val="00335F84"/>
    <w:rsid w:val="00335FA3"/>
    <w:rsid w:val="0033604E"/>
    <w:rsid w:val="00336773"/>
    <w:rsid w:val="00337A14"/>
    <w:rsid w:val="00337F8A"/>
    <w:rsid w:val="00340031"/>
    <w:rsid w:val="003400BB"/>
    <w:rsid w:val="003405EA"/>
    <w:rsid w:val="00340979"/>
    <w:rsid w:val="00340C28"/>
    <w:rsid w:val="00341264"/>
    <w:rsid w:val="0034139E"/>
    <w:rsid w:val="00341970"/>
    <w:rsid w:val="00341A3B"/>
    <w:rsid w:val="003421C3"/>
    <w:rsid w:val="00342404"/>
    <w:rsid w:val="003427C6"/>
    <w:rsid w:val="0034306D"/>
    <w:rsid w:val="003435E5"/>
    <w:rsid w:val="0034374C"/>
    <w:rsid w:val="00343A2D"/>
    <w:rsid w:val="00343BF7"/>
    <w:rsid w:val="00343D78"/>
    <w:rsid w:val="00343E4F"/>
    <w:rsid w:val="003446A3"/>
    <w:rsid w:val="00345173"/>
    <w:rsid w:val="00345190"/>
    <w:rsid w:val="00345A10"/>
    <w:rsid w:val="00345AD2"/>
    <w:rsid w:val="00345BFD"/>
    <w:rsid w:val="00345C80"/>
    <w:rsid w:val="00345EC9"/>
    <w:rsid w:val="003462D5"/>
    <w:rsid w:val="003463D2"/>
    <w:rsid w:val="003465D6"/>
    <w:rsid w:val="00346623"/>
    <w:rsid w:val="0034690E"/>
    <w:rsid w:val="00346D83"/>
    <w:rsid w:val="003470E1"/>
    <w:rsid w:val="0034764A"/>
    <w:rsid w:val="00347B43"/>
    <w:rsid w:val="0035004D"/>
    <w:rsid w:val="00350136"/>
    <w:rsid w:val="0035055B"/>
    <w:rsid w:val="00350AE7"/>
    <w:rsid w:val="00350DB2"/>
    <w:rsid w:val="00351333"/>
    <w:rsid w:val="003529B4"/>
    <w:rsid w:val="00352A6C"/>
    <w:rsid w:val="00352B67"/>
    <w:rsid w:val="00352E7A"/>
    <w:rsid w:val="003534C7"/>
    <w:rsid w:val="00353BCD"/>
    <w:rsid w:val="00353CC0"/>
    <w:rsid w:val="00355356"/>
    <w:rsid w:val="00355598"/>
    <w:rsid w:val="003555D2"/>
    <w:rsid w:val="00355A0E"/>
    <w:rsid w:val="00355CC0"/>
    <w:rsid w:val="00355DFB"/>
    <w:rsid w:val="00356AF0"/>
    <w:rsid w:val="00356F26"/>
    <w:rsid w:val="0035774B"/>
    <w:rsid w:val="00357854"/>
    <w:rsid w:val="00357BEF"/>
    <w:rsid w:val="00357CB3"/>
    <w:rsid w:val="00357ED2"/>
    <w:rsid w:val="0036096C"/>
    <w:rsid w:val="00360EC4"/>
    <w:rsid w:val="00360FF0"/>
    <w:rsid w:val="00362343"/>
    <w:rsid w:val="0036243A"/>
    <w:rsid w:val="003625D9"/>
    <w:rsid w:val="00362983"/>
    <w:rsid w:val="0036299B"/>
    <w:rsid w:val="00362E1C"/>
    <w:rsid w:val="00362E73"/>
    <w:rsid w:val="0036378D"/>
    <w:rsid w:val="003637C9"/>
    <w:rsid w:val="00363FA1"/>
    <w:rsid w:val="00364372"/>
    <w:rsid w:val="00364B1F"/>
    <w:rsid w:val="00364C6F"/>
    <w:rsid w:val="00364E21"/>
    <w:rsid w:val="00364E41"/>
    <w:rsid w:val="00365586"/>
    <w:rsid w:val="00365835"/>
    <w:rsid w:val="00365AEA"/>
    <w:rsid w:val="00365AF6"/>
    <w:rsid w:val="003662B1"/>
    <w:rsid w:val="003665FA"/>
    <w:rsid w:val="003666BA"/>
    <w:rsid w:val="00366735"/>
    <w:rsid w:val="00367125"/>
    <w:rsid w:val="003671B1"/>
    <w:rsid w:val="00367599"/>
    <w:rsid w:val="00367C61"/>
    <w:rsid w:val="00367DF2"/>
    <w:rsid w:val="00367FC6"/>
    <w:rsid w:val="0037062D"/>
    <w:rsid w:val="00370B5C"/>
    <w:rsid w:val="00370BCF"/>
    <w:rsid w:val="0037154B"/>
    <w:rsid w:val="00371667"/>
    <w:rsid w:val="003716D8"/>
    <w:rsid w:val="0037198B"/>
    <w:rsid w:val="00371AA4"/>
    <w:rsid w:val="00371B71"/>
    <w:rsid w:val="00371D29"/>
    <w:rsid w:val="00371D8F"/>
    <w:rsid w:val="0037269E"/>
    <w:rsid w:val="00373031"/>
    <w:rsid w:val="003734DC"/>
    <w:rsid w:val="003736BE"/>
    <w:rsid w:val="00373711"/>
    <w:rsid w:val="003739F1"/>
    <w:rsid w:val="00373F99"/>
    <w:rsid w:val="0037403D"/>
    <w:rsid w:val="003742D4"/>
    <w:rsid w:val="0037434D"/>
    <w:rsid w:val="003747D0"/>
    <w:rsid w:val="00374C94"/>
    <w:rsid w:val="00374E33"/>
    <w:rsid w:val="00374F31"/>
    <w:rsid w:val="003753DD"/>
    <w:rsid w:val="00375824"/>
    <w:rsid w:val="00375CCC"/>
    <w:rsid w:val="003762E1"/>
    <w:rsid w:val="003769F2"/>
    <w:rsid w:val="00376BBF"/>
    <w:rsid w:val="00377FAB"/>
    <w:rsid w:val="003800C9"/>
    <w:rsid w:val="00380207"/>
    <w:rsid w:val="0038022E"/>
    <w:rsid w:val="003813E2"/>
    <w:rsid w:val="00381F80"/>
    <w:rsid w:val="00382318"/>
    <w:rsid w:val="00382610"/>
    <w:rsid w:val="00382626"/>
    <w:rsid w:val="00382834"/>
    <w:rsid w:val="00382BC1"/>
    <w:rsid w:val="00382E4D"/>
    <w:rsid w:val="0038319D"/>
    <w:rsid w:val="00383FA3"/>
    <w:rsid w:val="003843B4"/>
    <w:rsid w:val="00384447"/>
    <w:rsid w:val="00384780"/>
    <w:rsid w:val="003849C1"/>
    <w:rsid w:val="00385189"/>
    <w:rsid w:val="003852EF"/>
    <w:rsid w:val="00385F3A"/>
    <w:rsid w:val="003865FD"/>
    <w:rsid w:val="00386F81"/>
    <w:rsid w:val="00387574"/>
    <w:rsid w:val="00387A9C"/>
    <w:rsid w:val="00387C50"/>
    <w:rsid w:val="00387DA9"/>
    <w:rsid w:val="00390028"/>
    <w:rsid w:val="003901EE"/>
    <w:rsid w:val="00390919"/>
    <w:rsid w:val="003909B7"/>
    <w:rsid w:val="00390E9D"/>
    <w:rsid w:val="00391293"/>
    <w:rsid w:val="003912FD"/>
    <w:rsid w:val="00391464"/>
    <w:rsid w:val="00391A92"/>
    <w:rsid w:val="00391BA0"/>
    <w:rsid w:val="00391BEC"/>
    <w:rsid w:val="00391F64"/>
    <w:rsid w:val="00392626"/>
    <w:rsid w:val="00392ACE"/>
    <w:rsid w:val="00392D75"/>
    <w:rsid w:val="0039339C"/>
    <w:rsid w:val="00393567"/>
    <w:rsid w:val="00394A41"/>
    <w:rsid w:val="00394DEE"/>
    <w:rsid w:val="00394F43"/>
    <w:rsid w:val="003950FE"/>
    <w:rsid w:val="0039512B"/>
    <w:rsid w:val="0039554B"/>
    <w:rsid w:val="00396173"/>
    <w:rsid w:val="00396669"/>
    <w:rsid w:val="00396746"/>
    <w:rsid w:val="0039691F"/>
    <w:rsid w:val="00396A97"/>
    <w:rsid w:val="00396FE1"/>
    <w:rsid w:val="00397184"/>
    <w:rsid w:val="003975D9"/>
    <w:rsid w:val="003977BF"/>
    <w:rsid w:val="00397996"/>
    <w:rsid w:val="003A0340"/>
    <w:rsid w:val="003A0C48"/>
    <w:rsid w:val="003A0D44"/>
    <w:rsid w:val="003A19BF"/>
    <w:rsid w:val="003A1AFB"/>
    <w:rsid w:val="003A1CB5"/>
    <w:rsid w:val="003A1DD9"/>
    <w:rsid w:val="003A2078"/>
    <w:rsid w:val="003A20A4"/>
    <w:rsid w:val="003A2BC0"/>
    <w:rsid w:val="003A348A"/>
    <w:rsid w:val="003A3539"/>
    <w:rsid w:val="003A380A"/>
    <w:rsid w:val="003A3B14"/>
    <w:rsid w:val="003A3BFD"/>
    <w:rsid w:val="003A40C9"/>
    <w:rsid w:val="003A40CC"/>
    <w:rsid w:val="003A42B7"/>
    <w:rsid w:val="003A48F6"/>
    <w:rsid w:val="003A56DD"/>
    <w:rsid w:val="003A5985"/>
    <w:rsid w:val="003A5997"/>
    <w:rsid w:val="003A5AC3"/>
    <w:rsid w:val="003A6778"/>
    <w:rsid w:val="003A6CD6"/>
    <w:rsid w:val="003A6DCD"/>
    <w:rsid w:val="003A73A7"/>
    <w:rsid w:val="003A77A9"/>
    <w:rsid w:val="003B0056"/>
    <w:rsid w:val="003B016F"/>
    <w:rsid w:val="003B0256"/>
    <w:rsid w:val="003B1087"/>
    <w:rsid w:val="003B189D"/>
    <w:rsid w:val="003B1B11"/>
    <w:rsid w:val="003B1F35"/>
    <w:rsid w:val="003B248A"/>
    <w:rsid w:val="003B27C5"/>
    <w:rsid w:val="003B29C0"/>
    <w:rsid w:val="003B29E9"/>
    <w:rsid w:val="003B2E5D"/>
    <w:rsid w:val="003B3163"/>
    <w:rsid w:val="003B3A91"/>
    <w:rsid w:val="003B429C"/>
    <w:rsid w:val="003B485F"/>
    <w:rsid w:val="003B4879"/>
    <w:rsid w:val="003B4E62"/>
    <w:rsid w:val="003B53D7"/>
    <w:rsid w:val="003B5870"/>
    <w:rsid w:val="003B63B4"/>
    <w:rsid w:val="003B63F3"/>
    <w:rsid w:val="003B6512"/>
    <w:rsid w:val="003B6A65"/>
    <w:rsid w:val="003B6B91"/>
    <w:rsid w:val="003B6DA7"/>
    <w:rsid w:val="003B6FAA"/>
    <w:rsid w:val="003B70CE"/>
    <w:rsid w:val="003B718E"/>
    <w:rsid w:val="003B75B0"/>
    <w:rsid w:val="003B78D6"/>
    <w:rsid w:val="003C0040"/>
    <w:rsid w:val="003C0851"/>
    <w:rsid w:val="003C0C82"/>
    <w:rsid w:val="003C0FF6"/>
    <w:rsid w:val="003C103B"/>
    <w:rsid w:val="003C18A3"/>
    <w:rsid w:val="003C1AF1"/>
    <w:rsid w:val="003C1D63"/>
    <w:rsid w:val="003C20B9"/>
    <w:rsid w:val="003C30C3"/>
    <w:rsid w:val="003C3451"/>
    <w:rsid w:val="003C3578"/>
    <w:rsid w:val="003C37F8"/>
    <w:rsid w:val="003C399F"/>
    <w:rsid w:val="003C3BD5"/>
    <w:rsid w:val="003C478A"/>
    <w:rsid w:val="003C4BE2"/>
    <w:rsid w:val="003C50CE"/>
    <w:rsid w:val="003C5410"/>
    <w:rsid w:val="003C5532"/>
    <w:rsid w:val="003C5549"/>
    <w:rsid w:val="003C5B93"/>
    <w:rsid w:val="003C634A"/>
    <w:rsid w:val="003C6495"/>
    <w:rsid w:val="003C64F2"/>
    <w:rsid w:val="003C6667"/>
    <w:rsid w:val="003C736C"/>
    <w:rsid w:val="003C7471"/>
    <w:rsid w:val="003D02FE"/>
    <w:rsid w:val="003D0A30"/>
    <w:rsid w:val="003D0FF2"/>
    <w:rsid w:val="003D1846"/>
    <w:rsid w:val="003D1B12"/>
    <w:rsid w:val="003D1FB9"/>
    <w:rsid w:val="003D25F1"/>
    <w:rsid w:val="003D2632"/>
    <w:rsid w:val="003D27FF"/>
    <w:rsid w:val="003D2D2E"/>
    <w:rsid w:val="003D2D8C"/>
    <w:rsid w:val="003D3147"/>
    <w:rsid w:val="003D31A8"/>
    <w:rsid w:val="003D36C6"/>
    <w:rsid w:val="003D3EF7"/>
    <w:rsid w:val="003D4080"/>
    <w:rsid w:val="003D447C"/>
    <w:rsid w:val="003D48A9"/>
    <w:rsid w:val="003D4FD5"/>
    <w:rsid w:val="003D503C"/>
    <w:rsid w:val="003D5141"/>
    <w:rsid w:val="003D5514"/>
    <w:rsid w:val="003D5B16"/>
    <w:rsid w:val="003D5B3D"/>
    <w:rsid w:val="003D76A1"/>
    <w:rsid w:val="003D77B7"/>
    <w:rsid w:val="003D79ED"/>
    <w:rsid w:val="003D7AF1"/>
    <w:rsid w:val="003D7C00"/>
    <w:rsid w:val="003D7D50"/>
    <w:rsid w:val="003DEE22"/>
    <w:rsid w:val="003E033E"/>
    <w:rsid w:val="003E09CB"/>
    <w:rsid w:val="003E0ACD"/>
    <w:rsid w:val="003E1279"/>
    <w:rsid w:val="003E13F9"/>
    <w:rsid w:val="003E17F9"/>
    <w:rsid w:val="003E2276"/>
    <w:rsid w:val="003E23E3"/>
    <w:rsid w:val="003E280C"/>
    <w:rsid w:val="003E2B85"/>
    <w:rsid w:val="003E2D23"/>
    <w:rsid w:val="003E350A"/>
    <w:rsid w:val="003E3703"/>
    <w:rsid w:val="003E3C9C"/>
    <w:rsid w:val="003E3D88"/>
    <w:rsid w:val="003E4425"/>
    <w:rsid w:val="003E4485"/>
    <w:rsid w:val="003E47CC"/>
    <w:rsid w:val="003E4FC8"/>
    <w:rsid w:val="003E545D"/>
    <w:rsid w:val="003E5817"/>
    <w:rsid w:val="003E59FD"/>
    <w:rsid w:val="003E5BD2"/>
    <w:rsid w:val="003E5DCA"/>
    <w:rsid w:val="003E63EE"/>
    <w:rsid w:val="003E6567"/>
    <w:rsid w:val="003E6627"/>
    <w:rsid w:val="003E7943"/>
    <w:rsid w:val="003E7E3D"/>
    <w:rsid w:val="003E7F9E"/>
    <w:rsid w:val="003F00DC"/>
    <w:rsid w:val="003F09AD"/>
    <w:rsid w:val="003F0B94"/>
    <w:rsid w:val="003F1644"/>
    <w:rsid w:val="003F19E2"/>
    <w:rsid w:val="003F1A14"/>
    <w:rsid w:val="003F1D60"/>
    <w:rsid w:val="003F1E8C"/>
    <w:rsid w:val="003F2266"/>
    <w:rsid w:val="003F24D9"/>
    <w:rsid w:val="003F2647"/>
    <w:rsid w:val="003F27A5"/>
    <w:rsid w:val="003F2B30"/>
    <w:rsid w:val="003F2FF3"/>
    <w:rsid w:val="003F32F0"/>
    <w:rsid w:val="003F35B1"/>
    <w:rsid w:val="003F36AF"/>
    <w:rsid w:val="003F3909"/>
    <w:rsid w:val="003F3AC7"/>
    <w:rsid w:val="003F3B87"/>
    <w:rsid w:val="003F3F13"/>
    <w:rsid w:val="003F415D"/>
    <w:rsid w:val="003F41E6"/>
    <w:rsid w:val="003F44B9"/>
    <w:rsid w:val="003F4AB1"/>
    <w:rsid w:val="003F4EC1"/>
    <w:rsid w:val="003F53E1"/>
    <w:rsid w:val="003F6CAC"/>
    <w:rsid w:val="003F7169"/>
    <w:rsid w:val="003F7235"/>
    <w:rsid w:val="003F7969"/>
    <w:rsid w:val="003F7A8D"/>
    <w:rsid w:val="00400717"/>
    <w:rsid w:val="00401241"/>
    <w:rsid w:val="004012D5"/>
    <w:rsid w:val="004014BC"/>
    <w:rsid w:val="00401677"/>
    <w:rsid w:val="004018B9"/>
    <w:rsid w:val="004018E4"/>
    <w:rsid w:val="00401C91"/>
    <w:rsid w:val="0040257C"/>
    <w:rsid w:val="00402718"/>
    <w:rsid w:val="004027FB"/>
    <w:rsid w:val="00402DA9"/>
    <w:rsid w:val="00403770"/>
    <w:rsid w:val="004041BA"/>
    <w:rsid w:val="004042CB"/>
    <w:rsid w:val="0040493F"/>
    <w:rsid w:val="00404E2D"/>
    <w:rsid w:val="0040525E"/>
    <w:rsid w:val="00405767"/>
    <w:rsid w:val="004059EB"/>
    <w:rsid w:val="00405C38"/>
    <w:rsid w:val="00405DFA"/>
    <w:rsid w:val="004062A6"/>
    <w:rsid w:val="004065BB"/>
    <w:rsid w:val="00406A8F"/>
    <w:rsid w:val="00406ABA"/>
    <w:rsid w:val="00406AF3"/>
    <w:rsid w:val="00406B06"/>
    <w:rsid w:val="00407087"/>
    <w:rsid w:val="00407508"/>
    <w:rsid w:val="004079F0"/>
    <w:rsid w:val="00407D94"/>
    <w:rsid w:val="004107E0"/>
    <w:rsid w:val="00410969"/>
    <w:rsid w:val="00410BDB"/>
    <w:rsid w:val="0041119D"/>
    <w:rsid w:val="004113C6"/>
    <w:rsid w:val="00411991"/>
    <w:rsid w:val="00411D18"/>
    <w:rsid w:val="00411EF2"/>
    <w:rsid w:val="0041268A"/>
    <w:rsid w:val="00412CFE"/>
    <w:rsid w:val="004131B9"/>
    <w:rsid w:val="00413550"/>
    <w:rsid w:val="004136FB"/>
    <w:rsid w:val="004137DD"/>
    <w:rsid w:val="00413AFA"/>
    <w:rsid w:val="004149C0"/>
    <w:rsid w:val="00414DFB"/>
    <w:rsid w:val="00415BB2"/>
    <w:rsid w:val="00415CFA"/>
    <w:rsid w:val="00415E15"/>
    <w:rsid w:val="00416027"/>
    <w:rsid w:val="004160FB"/>
    <w:rsid w:val="00416205"/>
    <w:rsid w:val="00416255"/>
    <w:rsid w:val="004169E1"/>
    <w:rsid w:val="00416FDE"/>
    <w:rsid w:val="004174EC"/>
    <w:rsid w:val="00417644"/>
    <w:rsid w:val="00420217"/>
    <w:rsid w:val="00420258"/>
    <w:rsid w:val="0042029B"/>
    <w:rsid w:val="004204FC"/>
    <w:rsid w:val="00420544"/>
    <w:rsid w:val="004207F1"/>
    <w:rsid w:val="00420DB0"/>
    <w:rsid w:val="00421457"/>
    <w:rsid w:val="00421DF0"/>
    <w:rsid w:val="0042267F"/>
    <w:rsid w:val="00422C52"/>
    <w:rsid w:val="00423005"/>
    <w:rsid w:val="0042319D"/>
    <w:rsid w:val="00423273"/>
    <w:rsid w:val="0042345A"/>
    <w:rsid w:val="004236BC"/>
    <w:rsid w:val="0042379C"/>
    <w:rsid w:val="00424172"/>
    <w:rsid w:val="00424217"/>
    <w:rsid w:val="00424558"/>
    <w:rsid w:val="00424DEA"/>
    <w:rsid w:val="0042563B"/>
    <w:rsid w:val="00425679"/>
    <w:rsid w:val="00425F26"/>
    <w:rsid w:val="004261A8"/>
    <w:rsid w:val="0042634B"/>
    <w:rsid w:val="004263BE"/>
    <w:rsid w:val="0042694C"/>
    <w:rsid w:val="004274A1"/>
    <w:rsid w:val="00427510"/>
    <w:rsid w:val="004279CC"/>
    <w:rsid w:val="004300A1"/>
    <w:rsid w:val="004301BC"/>
    <w:rsid w:val="00430323"/>
    <w:rsid w:val="00430681"/>
    <w:rsid w:val="00430F5D"/>
    <w:rsid w:val="004310C3"/>
    <w:rsid w:val="004313F7"/>
    <w:rsid w:val="00432824"/>
    <w:rsid w:val="004329EA"/>
    <w:rsid w:val="00432AB4"/>
    <w:rsid w:val="00432EFE"/>
    <w:rsid w:val="00432F81"/>
    <w:rsid w:val="00432F93"/>
    <w:rsid w:val="004331C2"/>
    <w:rsid w:val="0043406B"/>
    <w:rsid w:val="004349B2"/>
    <w:rsid w:val="00434C9D"/>
    <w:rsid w:val="00434D29"/>
    <w:rsid w:val="00434EA2"/>
    <w:rsid w:val="0043514C"/>
    <w:rsid w:val="00435942"/>
    <w:rsid w:val="004359C2"/>
    <w:rsid w:val="00435DF4"/>
    <w:rsid w:val="00436330"/>
    <w:rsid w:val="0043647F"/>
    <w:rsid w:val="00436643"/>
    <w:rsid w:val="00436A4D"/>
    <w:rsid w:val="0043720D"/>
    <w:rsid w:val="00437758"/>
    <w:rsid w:val="00437B59"/>
    <w:rsid w:val="00437F0E"/>
    <w:rsid w:val="00440723"/>
    <w:rsid w:val="00440742"/>
    <w:rsid w:val="00440E34"/>
    <w:rsid w:val="00441B76"/>
    <w:rsid w:val="004421D6"/>
    <w:rsid w:val="004423E0"/>
    <w:rsid w:val="004426E2"/>
    <w:rsid w:val="00442A30"/>
    <w:rsid w:val="00442B12"/>
    <w:rsid w:val="00442D66"/>
    <w:rsid w:val="00443096"/>
    <w:rsid w:val="004430AC"/>
    <w:rsid w:val="00443343"/>
    <w:rsid w:val="0044345B"/>
    <w:rsid w:val="00443B31"/>
    <w:rsid w:val="00443EAD"/>
    <w:rsid w:val="004440D2"/>
    <w:rsid w:val="0044463B"/>
    <w:rsid w:val="0044477C"/>
    <w:rsid w:val="0044497C"/>
    <w:rsid w:val="00444D49"/>
    <w:rsid w:val="00444DF6"/>
    <w:rsid w:val="00445F02"/>
    <w:rsid w:val="00446875"/>
    <w:rsid w:val="00446AA1"/>
    <w:rsid w:val="00446C3E"/>
    <w:rsid w:val="00446C92"/>
    <w:rsid w:val="00447407"/>
    <w:rsid w:val="004475CF"/>
    <w:rsid w:val="00447664"/>
    <w:rsid w:val="0044778E"/>
    <w:rsid w:val="00447D29"/>
    <w:rsid w:val="00447D5C"/>
    <w:rsid w:val="00447FC0"/>
    <w:rsid w:val="004502EA"/>
    <w:rsid w:val="00451003"/>
    <w:rsid w:val="0045134B"/>
    <w:rsid w:val="00451C85"/>
    <w:rsid w:val="00451CC0"/>
    <w:rsid w:val="00451DED"/>
    <w:rsid w:val="00451FF3"/>
    <w:rsid w:val="00452088"/>
    <w:rsid w:val="0045240D"/>
    <w:rsid w:val="00452882"/>
    <w:rsid w:val="0045295B"/>
    <w:rsid w:val="00453337"/>
    <w:rsid w:val="004533DF"/>
    <w:rsid w:val="004534DD"/>
    <w:rsid w:val="004539C0"/>
    <w:rsid w:val="004543AE"/>
    <w:rsid w:val="0045449A"/>
    <w:rsid w:val="00454976"/>
    <w:rsid w:val="00454BEB"/>
    <w:rsid w:val="00454E4B"/>
    <w:rsid w:val="00455015"/>
    <w:rsid w:val="004561EE"/>
    <w:rsid w:val="00456256"/>
    <w:rsid w:val="00456287"/>
    <w:rsid w:val="00456508"/>
    <w:rsid w:val="00456B92"/>
    <w:rsid w:val="00457088"/>
    <w:rsid w:val="00457661"/>
    <w:rsid w:val="0045775B"/>
    <w:rsid w:val="00457F7E"/>
    <w:rsid w:val="00460010"/>
    <w:rsid w:val="004600EE"/>
    <w:rsid w:val="00460604"/>
    <w:rsid w:val="004608FD"/>
    <w:rsid w:val="00460A05"/>
    <w:rsid w:val="00460D09"/>
    <w:rsid w:val="00460FD3"/>
    <w:rsid w:val="00461881"/>
    <w:rsid w:val="00461C75"/>
    <w:rsid w:val="00461E6C"/>
    <w:rsid w:val="004624AF"/>
    <w:rsid w:val="00462741"/>
    <w:rsid w:val="00462991"/>
    <w:rsid w:val="00462EE4"/>
    <w:rsid w:val="004633AC"/>
    <w:rsid w:val="004637A9"/>
    <w:rsid w:val="00463984"/>
    <w:rsid w:val="00463E60"/>
    <w:rsid w:val="004646CE"/>
    <w:rsid w:val="00464B7F"/>
    <w:rsid w:val="00464CB6"/>
    <w:rsid w:val="0046507C"/>
    <w:rsid w:val="00465295"/>
    <w:rsid w:val="00465429"/>
    <w:rsid w:val="0046549F"/>
    <w:rsid w:val="004654A9"/>
    <w:rsid w:val="00465545"/>
    <w:rsid w:val="0046582B"/>
    <w:rsid w:val="00465D25"/>
    <w:rsid w:val="00465D6F"/>
    <w:rsid w:val="00465EFA"/>
    <w:rsid w:val="004662FD"/>
    <w:rsid w:val="00466898"/>
    <w:rsid w:val="00466BDB"/>
    <w:rsid w:val="004673F2"/>
    <w:rsid w:val="00467A31"/>
    <w:rsid w:val="00467DEA"/>
    <w:rsid w:val="00467E4B"/>
    <w:rsid w:val="00470704"/>
    <w:rsid w:val="00470831"/>
    <w:rsid w:val="00470A3C"/>
    <w:rsid w:val="00470AA6"/>
    <w:rsid w:val="00470C98"/>
    <w:rsid w:val="0047108F"/>
    <w:rsid w:val="00471092"/>
    <w:rsid w:val="004713C2"/>
    <w:rsid w:val="0047169D"/>
    <w:rsid w:val="004717EB"/>
    <w:rsid w:val="004719D0"/>
    <w:rsid w:val="004719E4"/>
    <w:rsid w:val="00471A55"/>
    <w:rsid w:val="004724AB"/>
    <w:rsid w:val="0047266A"/>
    <w:rsid w:val="004727EE"/>
    <w:rsid w:val="00472CDB"/>
    <w:rsid w:val="00472F6E"/>
    <w:rsid w:val="004731AB"/>
    <w:rsid w:val="00473AD5"/>
    <w:rsid w:val="00473B5D"/>
    <w:rsid w:val="00473CE9"/>
    <w:rsid w:val="00473E30"/>
    <w:rsid w:val="00474020"/>
    <w:rsid w:val="00474139"/>
    <w:rsid w:val="004749B4"/>
    <w:rsid w:val="00474A83"/>
    <w:rsid w:val="00474ACA"/>
    <w:rsid w:val="0047588C"/>
    <w:rsid w:val="00475938"/>
    <w:rsid w:val="00475ED1"/>
    <w:rsid w:val="00475F8D"/>
    <w:rsid w:val="00476027"/>
    <w:rsid w:val="00476531"/>
    <w:rsid w:val="00476750"/>
    <w:rsid w:val="004768CB"/>
    <w:rsid w:val="00476A0E"/>
    <w:rsid w:val="004778FD"/>
    <w:rsid w:val="00477C83"/>
    <w:rsid w:val="00480A5C"/>
    <w:rsid w:val="00480DED"/>
    <w:rsid w:val="004810C2"/>
    <w:rsid w:val="00481576"/>
    <w:rsid w:val="004818FD"/>
    <w:rsid w:val="00482328"/>
    <w:rsid w:val="00482397"/>
    <w:rsid w:val="004825E8"/>
    <w:rsid w:val="0048279E"/>
    <w:rsid w:val="00482D84"/>
    <w:rsid w:val="00482DF7"/>
    <w:rsid w:val="00483996"/>
    <w:rsid w:val="00483A70"/>
    <w:rsid w:val="00484627"/>
    <w:rsid w:val="004847A5"/>
    <w:rsid w:val="00484C63"/>
    <w:rsid w:val="00485012"/>
    <w:rsid w:val="004850D5"/>
    <w:rsid w:val="0048534D"/>
    <w:rsid w:val="004854B4"/>
    <w:rsid w:val="00485A7C"/>
    <w:rsid w:val="0048622C"/>
    <w:rsid w:val="00486590"/>
    <w:rsid w:val="0048664C"/>
    <w:rsid w:val="00486E1A"/>
    <w:rsid w:val="00486E86"/>
    <w:rsid w:val="004872DE"/>
    <w:rsid w:val="00487E22"/>
    <w:rsid w:val="00490579"/>
    <w:rsid w:val="00490B23"/>
    <w:rsid w:val="00491072"/>
    <w:rsid w:val="00491080"/>
    <w:rsid w:val="00491095"/>
    <w:rsid w:val="004911A0"/>
    <w:rsid w:val="004916AE"/>
    <w:rsid w:val="0049191B"/>
    <w:rsid w:val="00491A68"/>
    <w:rsid w:val="00491D69"/>
    <w:rsid w:val="00491F3D"/>
    <w:rsid w:val="004921AC"/>
    <w:rsid w:val="004923D7"/>
    <w:rsid w:val="00492641"/>
    <w:rsid w:val="004927C2"/>
    <w:rsid w:val="00492D9C"/>
    <w:rsid w:val="00492DDC"/>
    <w:rsid w:val="00493098"/>
    <w:rsid w:val="00493131"/>
    <w:rsid w:val="00493379"/>
    <w:rsid w:val="0049344C"/>
    <w:rsid w:val="004936C9"/>
    <w:rsid w:val="00493949"/>
    <w:rsid w:val="0049408E"/>
    <w:rsid w:val="004942A2"/>
    <w:rsid w:val="00494BC5"/>
    <w:rsid w:val="00494ED1"/>
    <w:rsid w:val="00494FFE"/>
    <w:rsid w:val="004953F3"/>
    <w:rsid w:val="00495485"/>
    <w:rsid w:val="00495B18"/>
    <w:rsid w:val="00495BA6"/>
    <w:rsid w:val="00495F44"/>
    <w:rsid w:val="004967C1"/>
    <w:rsid w:val="004969A5"/>
    <w:rsid w:val="00496D7C"/>
    <w:rsid w:val="004971A6"/>
    <w:rsid w:val="00497584"/>
    <w:rsid w:val="00497CF2"/>
    <w:rsid w:val="004A0087"/>
    <w:rsid w:val="004A059D"/>
    <w:rsid w:val="004A0655"/>
    <w:rsid w:val="004A0FB8"/>
    <w:rsid w:val="004A12A8"/>
    <w:rsid w:val="004A18E2"/>
    <w:rsid w:val="004A1A97"/>
    <w:rsid w:val="004A2090"/>
    <w:rsid w:val="004A2DC0"/>
    <w:rsid w:val="004A30A3"/>
    <w:rsid w:val="004A3388"/>
    <w:rsid w:val="004A3602"/>
    <w:rsid w:val="004A3761"/>
    <w:rsid w:val="004A39ED"/>
    <w:rsid w:val="004A3DE7"/>
    <w:rsid w:val="004A413E"/>
    <w:rsid w:val="004A4681"/>
    <w:rsid w:val="004A46B5"/>
    <w:rsid w:val="004A5024"/>
    <w:rsid w:val="004A504B"/>
    <w:rsid w:val="004A523A"/>
    <w:rsid w:val="004A5B3A"/>
    <w:rsid w:val="004A5D36"/>
    <w:rsid w:val="004A6179"/>
    <w:rsid w:val="004A617B"/>
    <w:rsid w:val="004A6181"/>
    <w:rsid w:val="004A65C3"/>
    <w:rsid w:val="004A67AC"/>
    <w:rsid w:val="004A68A2"/>
    <w:rsid w:val="004A69A5"/>
    <w:rsid w:val="004A6E83"/>
    <w:rsid w:val="004A734E"/>
    <w:rsid w:val="004A7628"/>
    <w:rsid w:val="004B0025"/>
    <w:rsid w:val="004B0048"/>
    <w:rsid w:val="004B0348"/>
    <w:rsid w:val="004B08A2"/>
    <w:rsid w:val="004B1211"/>
    <w:rsid w:val="004B1773"/>
    <w:rsid w:val="004B1AB7"/>
    <w:rsid w:val="004B2278"/>
    <w:rsid w:val="004B2417"/>
    <w:rsid w:val="004B25F4"/>
    <w:rsid w:val="004B2776"/>
    <w:rsid w:val="004B2C14"/>
    <w:rsid w:val="004B2CB2"/>
    <w:rsid w:val="004B2E45"/>
    <w:rsid w:val="004B2E97"/>
    <w:rsid w:val="004B3511"/>
    <w:rsid w:val="004B37D9"/>
    <w:rsid w:val="004B3C14"/>
    <w:rsid w:val="004B3D1B"/>
    <w:rsid w:val="004B4170"/>
    <w:rsid w:val="004B4314"/>
    <w:rsid w:val="004B4E13"/>
    <w:rsid w:val="004B52F8"/>
    <w:rsid w:val="004B5732"/>
    <w:rsid w:val="004B5AF0"/>
    <w:rsid w:val="004B6062"/>
    <w:rsid w:val="004B6285"/>
    <w:rsid w:val="004B6457"/>
    <w:rsid w:val="004B6C89"/>
    <w:rsid w:val="004B6D02"/>
    <w:rsid w:val="004B6D43"/>
    <w:rsid w:val="004B6F21"/>
    <w:rsid w:val="004B74AF"/>
    <w:rsid w:val="004B78FD"/>
    <w:rsid w:val="004B7CCD"/>
    <w:rsid w:val="004C037D"/>
    <w:rsid w:val="004C1270"/>
    <w:rsid w:val="004C13D2"/>
    <w:rsid w:val="004C2080"/>
    <w:rsid w:val="004C2252"/>
    <w:rsid w:val="004C2544"/>
    <w:rsid w:val="004C258F"/>
    <w:rsid w:val="004C25C6"/>
    <w:rsid w:val="004C27EC"/>
    <w:rsid w:val="004C3338"/>
    <w:rsid w:val="004C33EC"/>
    <w:rsid w:val="004C36E5"/>
    <w:rsid w:val="004C3BEF"/>
    <w:rsid w:val="004C3C04"/>
    <w:rsid w:val="004C3C1B"/>
    <w:rsid w:val="004C3C30"/>
    <w:rsid w:val="004C3DBC"/>
    <w:rsid w:val="004C40AC"/>
    <w:rsid w:val="004C433E"/>
    <w:rsid w:val="004C4650"/>
    <w:rsid w:val="004C47A9"/>
    <w:rsid w:val="004C4943"/>
    <w:rsid w:val="004C4AEE"/>
    <w:rsid w:val="004C4C49"/>
    <w:rsid w:val="004C4FD9"/>
    <w:rsid w:val="004C53D3"/>
    <w:rsid w:val="004C540D"/>
    <w:rsid w:val="004C5769"/>
    <w:rsid w:val="004C5CDB"/>
    <w:rsid w:val="004C5EF7"/>
    <w:rsid w:val="004C6361"/>
    <w:rsid w:val="004C65B4"/>
    <w:rsid w:val="004C66E0"/>
    <w:rsid w:val="004C6872"/>
    <w:rsid w:val="004C6CCE"/>
    <w:rsid w:val="004C6F96"/>
    <w:rsid w:val="004C720D"/>
    <w:rsid w:val="004C76D7"/>
    <w:rsid w:val="004C77EB"/>
    <w:rsid w:val="004CB7A0"/>
    <w:rsid w:val="004D01D1"/>
    <w:rsid w:val="004D0361"/>
    <w:rsid w:val="004D0445"/>
    <w:rsid w:val="004D0541"/>
    <w:rsid w:val="004D0681"/>
    <w:rsid w:val="004D0721"/>
    <w:rsid w:val="004D09A2"/>
    <w:rsid w:val="004D1562"/>
    <w:rsid w:val="004D16A1"/>
    <w:rsid w:val="004D19A0"/>
    <w:rsid w:val="004D2836"/>
    <w:rsid w:val="004D3604"/>
    <w:rsid w:val="004D3888"/>
    <w:rsid w:val="004D3CE4"/>
    <w:rsid w:val="004D3D5E"/>
    <w:rsid w:val="004D4236"/>
    <w:rsid w:val="004D4494"/>
    <w:rsid w:val="004D4A07"/>
    <w:rsid w:val="004D4B33"/>
    <w:rsid w:val="004D4D38"/>
    <w:rsid w:val="004D4DC9"/>
    <w:rsid w:val="004D5235"/>
    <w:rsid w:val="004D543A"/>
    <w:rsid w:val="004D557D"/>
    <w:rsid w:val="004D56EC"/>
    <w:rsid w:val="004D5834"/>
    <w:rsid w:val="004D597C"/>
    <w:rsid w:val="004D5C21"/>
    <w:rsid w:val="004D617B"/>
    <w:rsid w:val="004D6C40"/>
    <w:rsid w:val="004D72F4"/>
    <w:rsid w:val="004D75E8"/>
    <w:rsid w:val="004D7BF4"/>
    <w:rsid w:val="004D7D5C"/>
    <w:rsid w:val="004D7E3D"/>
    <w:rsid w:val="004E012E"/>
    <w:rsid w:val="004E0B81"/>
    <w:rsid w:val="004E0E35"/>
    <w:rsid w:val="004E1574"/>
    <w:rsid w:val="004E1641"/>
    <w:rsid w:val="004E168D"/>
    <w:rsid w:val="004E1A35"/>
    <w:rsid w:val="004E226D"/>
    <w:rsid w:val="004E23FD"/>
    <w:rsid w:val="004E29C8"/>
    <w:rsid w:val="004E2B7A"/>
    <w:rsid w:val="004E2BBF"/>
    <w:rsid w:val="004E2C2A"/>
    <w:rsid w:val="004E2C2B"/>
    <w:rsid w:val="004E2D8E"/>
    <w:rsid w:val="004E3421"/>
    <w:rsid w:val="004E3BD0"/>
    <w:rsid w:val="004E3BE7"/>
    <w:rsid w:val="004E3FFB"/>
    <w:rsid w:val="004E41AE"/>
    <w:rsid w:val="004E44E5"/>
    <w:rsid w:val="004E53A0"/>
    <w:rsid w:val="004E53B6"/>
    <w:rsid w:val="004E563F"/>
    <w:rsid w:val="004E5848"/>
    <w:rsid w:val="004E584C"/>
    <w:rsid w:val="004E5B2B"/>
    <w:rsid w:val="004E5D01"/>
    <w:rsid w:val="004E657D"/>
    <w:rsid w:val="004E66EF"/>
    <w:rsid w:val="004E673F"/>
    <w:rsid w:val="004E6A9C"/>
    <w:rsid w:val="004E70A5"/>
    <w:rsid w:val="004E7169"/>
    <w:rsid w:val="004E716A"/>
    <w:rsid w:val="004E73A3"/>
    <w:rsid w:val="004E75EC"/>
    <w:rsid w:val="004E7B99"/>
    <w:rsid w:val="004F01F2"/>
    <w:rsid w:val="004F0414"/>
    <w:rsid w:val="004F0466"/>
    <w:rsid w:val="004F0624"/>
    <w:rsid w:val="004F087E"/>
    <w:rsid w:val="004F088D"/>
    <w:rsid w:val="004F0BBD"/>
    <w:rsid w:val="004F0BE8"/>
    <w:rsid w:val="004F1167"/>
    <w:rsid w:val="004F15D7"/>
    <w:rsid w:val="004F32A8"/>
    <w:rsid w:val="004F3838"/>
    <w:rsid w:val="004F3CA3"/>
    <w:rsid w:val="004F4503"/>
    <w:rsid w:val="004F4CF4"/>
    <w:rsid w:val="004F4E06"/>
    <w:rsid w:val="004F5356"/>
    <w:rsid w:val="004F57ED"/>
    <w:rsid w:val="004F5AA0"/>
    <w:rsid w:val="004F5C13"/>
    <w:rsid w:val="004F6304"/>
    <w:rsid w:val="004F66BB"/>
    <w:rsid w:val="004F6917"/>
    <w:rsid w:val="004F6C28"/>
    <w:rsid w:val="004F6DB9"/>
    <w:rsid w:val="004F7313"/>
    <w:rsid w:val="004F7315"/>
    <w:rsid w:val="004F7893"/>
    <w:rsid w:val="004F7AE2"/>
    <w:rsid w:val="004F7C0D"/>
    <w:rsid w:val="004F7DA2"/>
    <w:rsid w:val="004F7E32"/>
    <w:rsid w:val="005000AB"/>
    <w:rsid w:val="0050045D"/>
    <w:rsid w:val="00500567"/>
    <w:rsid w:val="0050088C"/>
    <w:rsid w:val="00501C23"/>
    <w:rsid w:val="00501D62"/>
    <w:rsid w:val="00501F15"/>
    <w:rsid w:val="005026A6"/>
    <w:rsid w:val="0050285B"/>
    <w:rsid w:val="00502AAD"/>
    <w:rsid w:val="00502B47"/>
    <w:rsid w:val="0050306D"/>
    <w:rsid w:val="0050327B"/>
    <w:rsid w:val="00503AB7"/>
    <w:rsid w:val="00504389"/>
    <w:rsid w:val="00504466"/>
    <w:rsid w:val="00504848"/>
    <w:rsid w:val="00504A7C"/>
    <w:rsid w:val="00504A90"/>
    <w:rsid w:val="00504B10"/>
    <w:rsid w:val="00504BBE"/>
    <w:rsid w:val="00504D78"/>
    <w:rsid w:val="0050503A"/>
    <w:rsid w:val="005057AD"/>
    <w:rsid w:val="00505875"/>
    <w:rsid w:val="005060DA"/>
    <w:rsid w:val="0050669B"/>
    <w:rsid w:val="005069AE"/>
    <w:rsid w:val="00506C79"/>
    <w:rsid w:val="00506DC8"/>
    <w:rsid w:val="00506E5B"/>
    <w:rsid w:val="00506F34"/>
    <w:rsid w:val="00507048"/>
    <w:rsid w:val="005108AF"/>
    <w:rsid w:val="005108F8"/>
    <w:rsid w:val="00510A58"/>
    <w:rsid w:val="00510AE6"/>
    <w:rsid w:val="00510DF8"/>
    <w:rsid w:val="00510FB9"/>
    <w:rsid w:val="0051105A"/>
    <w:rsid w:val="00511240"/>
    <w:rsid w:val="005114C2"/>
    <w:rsid w:val="005115FD"/>
    <w:rsid w:val="00511B27"/>
    <w:rsid w:val="00511D26"/>
    <w:rsid w:val="00511E96"/>
    <w:rsid w:val="005121D1"/>
    <w:rsid w:val="00512250"/>
    <w:rsid w:val="005127D6"/>
    <w:rsid w:val="00512A71"/>
    <w:rsid w:val="00512FB4"/>
    <w:rsid w:val="005132AB"/>
    <w:rsid w:val="005135BD"/>
    <w:rsid w:val="00513685"/>
    <w:rsid w:val="0051407B"/>
    <w:rsid w:val="00514130"/>
    <w:rsid w:val="00514231"/>
    <w:rsid w:val="005146DC"/>
    <w:rsid w:val="00514708"/>
    <w:rsid w:val="005149F3"/>
    <w:rsid w:val="00514B93"/>
    <w:rsid w:val="00514D4A"/>
    <w:rsid w:val="00514E15"/>
    <w:rsid w:val="0051564B"/>
    <w:rsid w:val="00515A77"/>
    <w:rsid w:val="00515D35"/>
    <w:rsid w:val="00516082"/>
    <w:rsid w:val="005160A1"/>
    <w:rsid w:val="0051617D"/>
    <w:rsid w:val="00516211"/>
    <w:rsid w:val="0051623B"/>
    <w:rsid w:val="005166EE"/>
    <w:rsid w:val="0051768A"/>
    <w:rsid w:val="005178CB"/>
    <w:rsid w:val="00517A64"/>
    <w:rsid w:val="005200FC"/>
    <w:rsid w:val="00520296"/>
    <w:rsid w:val="005202C1"/>
    <w:rsid w:val="00520A8D"/>
    <w:rsid w:val="00520C6C"/>
    <w:rsid w:val="0052107B"/>
    <w:rsid w:val="00521107"/>
    <w:rsid w:val="00521B3C"/>
    <w:rsid w:val="00522302"/>
    <w:rsid w:val="00522352"/>
    <w:rsid w:val="00522E18"/>
    <w:rsid w:val="00522FE5"/>
    <w:rsid w:val="0052313B"/>
    <w:rsid w:val="005234E7"/>
    <w:rsid w:val="005238C6"/>
    <w:rsid w:val="00523BBA"/>
    <w:rsid w:val="00524185"/>
    <w:rsid w:val="0052436C"/>
    <w:rsid w:val="0052503F"/>
    <w:rsid w:val="00525199"/>
    <w:rsid w:val="00525379"/>
    <w:rsid w:val="00526455"/>
    <w:rsid w:val="00526626"/>
    <w:rsid w:val="0052679B"/>
    <w:rsid w:val="00526E9C"/>
    <w:rsid w:val="005270DC"/>
    <w:rsid w:val="00527208"/>
    <w:rsid w:val="0052752C"/>
    <w:rsid w:val="0052774F"/>
    <w:rsid w:val="005279D3"/>
    <w:rsid w:val="00531040"/>
    <w:rsid w:val="005312B4"/>
    <w:rsid w:val="005313EB"/>
    <w:rsid w:val="00531495"/>
    <w:rsid w:val="005318EC"/>
    <w:rsid w:val="005325C4"/>
    <w:rsid w:val="00532976"/>
    <w:rsid w:val="00532A9F"/>
    <w:rsid w:val="00532CF3"/>
    <w:rsid w:val="00533972"/>
    <w:rsid w:val="00533F87"/>
    <w:rsid w:val="00534674"/>
    <w:rsid w:val="005347BC"/>
    <w:rsid w:val="00534F37"/>
    <w:rsid w:val="00536067"/>
    <w:rsid w:val="005360E9"/>
    <w:rsid w:val="0053628B"/>
    <w:rsid w:val="0053642A"/>
    <w:rsid w:val="00536672"/>
    <w:rsid w:val="00536707"/>
    <w:rsid w:val="005374C6"/>
    <w:rsid w:val="00537555"/>
    <w:rsid w:val="00537729"/>
    <w:rsid w:val="00537D71"/>
    <w:rsid w:val="00537E4A"/>
    <w:rsid w:val="0054012D"/>
    <w:rsid w:val="005411D2"/>
    <w:rsid w:val="0054126C"/>
    <w:rsid w:val="0054129A"/>
    <w:rsid w:val="00541486"/>
    <w:rsid w:val="00541B95"/>
    <w:rsid w:val="00542144"/>
    <w:rsid w:val="00542627"/>
    <w:rsid w:val="00542B76"/>
    <w:rsid w:val="00542C8A"/>
    <w:rsid w:val="00542DE9"/>
    <w:rsid w:val="00542FA9"/>
    <w:rsid w:val="005436B4"/>
    <w:rsid w:val="005437DE"/>
    <w:rsid w:val="00543AEB"/>
    <w:rsid w:val="00543DF0"/>
    <w:rsid w:val="00543E2E"/>
    <w:rsid w:val="005445E8"/>
    <w:rsid w:val="00544901"/>
    <w:rsid w:val="00544D93"/>
    <w:rsid w:val="00544F98"/>
    <w:rsid w:val="00545200"/>
    <w:rsid w:val="005452AB"/>
    <w:rsid w:val="00545538"/>
    <w:rsid w:val="00545701"/>
    <w:rsid w:val="005459EB"/>
    <w:rsid w:val="00545B27"/>
    <w:rsid w:val="00545C69"/>
    <w:rsid w:val="00545D08"/>
    <w:rsid w:val="00545F04"/>
    <w:rsid w:val="005462FD"/>
    <w:rsid w:val="00546A53"/>
    <w:rsid w:val="00546FB2"/>
    <w:rsid w:val="0055004B"/>
    <w:rsid w:val="0055037A"/>
    <w:rsid w:val="0055047D"/>
    <w:rsid w:val="00550A38"/>
    <w:rsid w:val="00550B1D"/>
    <w:rsid w:val="00551180"/>
    <w:rsid w:val="00551474"/>
    <w:rsid w:val="005514EC"/>
    <w:rsid w:val="00551C15"/>
    <w:rsid w:val="00551C21"/>
    <w:rsid w:val="00551F34"/>
    <w:rsid w:val="0055208E"/>
    <w:rsid w:val="005521D8"/>
    <w:rsid w:val="00553283"/>
    <w:rsid w:val="00553705"/>
    <w:rsid w:val="0055391A"/>
    <w:rsid w:val="00553F3E"/>
    <w:rsid w:val="005540E6"/>
    <w:rsid w:val="005543AF"/>
    <w:rsid w:val="00554434"/>
    <w:rsid w:val="005549C0"/>
    <w:rsid w:val="00554E89"/>
    <w:rsid w:val="005550A4"/>
    <w:rsid w:val="005550CA"/>
    <w:rsid w:val="00555240"/>
    <w:rsid w:val="0055531D"/>
    <w:rsid w:val="00555391"/>
    <w:rsid w:val="005553C0"/>
    <w:rsid w:val="005553C9"/>
    <w:rsid w:val="005555F7"/>
    <w:rsid w:val="00555AFF"/>
    <w:rsid w:val="005561F2"/>
    <w:rsid w:val="0055650E"/>
    <w:rsid w:val="00556A21"/>
    <w:rsid w:val="00557881"/>
    <w:rsid w:val="005608EB"/>
    <w:rsid w:val="0056091E"/>
    <w:rsid w:val="00560A45"/>
    <w:rsid w:val="00560A57"/>
    <w:rsid w:val="00560C30"/>
    <w:rsid w:val="00560DEF"/>
    <w:rsid w:val="005612C6"/>
    <w:rsid w:val="00561978"/>
    <w:rsid w:val="005622D0"/>
    <w:rsid w:val="0056279D"/>
    <w:rsid w:val="00562962"/>
    <w:rsid w:val="005632C9"/>
    <w:rsid w:val="005633B7"/>
    <w:rsid w:val="00563860"/>
    <w:rsid w:val="00563A96"/>
    <w:rsid w:val="00563E98"/>
    <w:rsid w:val="00564304"/>
    <w:rsid w:val="0056445D"/>
    <w:rsid w:val="00564505"/>
    <w:rsid w:val="0056454C"/>
    <w:rsid w:val="005649E5"/>
    <w:rsid w:val="00564F9C"/>
    <w:rsid w:val="0056517E"/>
    <w:rsid w:val="0056551A"/>
    <w:rsid w:val="00565900"/>
    <w:rsid w:val="00566560"/>
    <w:rsid w:val="00566648"/>
    <w:rsid w:val="00566654"/>
    <w:rsid w:val="00566680"/>
    <w:rsid w:val="005666AB"/>
    <w:rsid w:val="00567FDD"/>
    <w:rsid w:val="00570331"/>
    <w:rsid w:val="0057033A"/>
    <w:rsid w:val="005705E8"/>
    <w:rsid w:val="0057062B"/>
    <w:rsid w:val="00570962"/>
    <w:rsid w:val="00570A0E"/>
    <w:rsid w:val="0057110D"/>
    <w:rsid w:val="00571136"/>
    <w:rsid w:val="0057117D"/>
    <w:rsid w:val="00571532"/>
    <w:rsid w:val="005715EA"/>
    <w:rsid w:val="00571B96"/>
    <w:rsid w:val="00571FA9"/>
    <w:rsid w:val="00572612"/>
    <w:rsid w:val="0057369E"/>
    <w:rsid w:val="0057447A"/>
    <w:rsid w:val="00574B36"/>
    <w:rsid w:val="00575192"/>
    <w:rsid w:val="00575BA5"/>
    <w:rsid w:val="0057630F"/>
    <w:rsid w:val="005765A7"/>
    <w:rsid w:val="0057696D"/>
    <w:rsid w:val="00576E6B"/>
    <w:rsid w:val="00576EB1"/>
    <w:rsid w:val="0057733F"/>
    <w:rsid w:val="005775EB"/>
    <w:rsid w:val="005776DB"/>
    <w:rsid w:val="00577A97"/>
    <w:rsid w:val="00580103"/>
    <w:rsid w:val="00580255"/>
    <w:rsid w:val="00580541"/>
    <w:rsid w:val="00580D4B"/>
    <w:rsid w:val="00581278"/>
    <w:rsid w:val="00581280"/>
    <w:rsid w:val="0058174B"/>
    <w:rsid w:val="0058185F"/>
    <w:rsid w:val="00582786"/>
    <w:rsid w:val="00582C23"/>
    <w:rsid w:val="00584086"/>
    <w:rsid w:val="0058456A"/>
    <w:rsid w:val="00584601"/>
    <w:rsid w:val="0058471A"/>
    <w:rsid w:val="0058497A"/>
    <w:rsid w:val="00585419"/>
    <w:rsid w:val="00585501"/>
    <w:rsid w:val="00585822"/>
    <w:rsid w:val="005859DF"/>
    <w:rsid w:val="00585C08"/>
    <w:rsid w:val="005860CC"/>
    <w:rsid w:val="00586221"/>
    <w:rsid w:val="005865F7"/>
    <w:rsid w:val="00586834"/>
    <w:rsid w:val="00586EBB"/>
    <w:rsid w:val="00586F97"/>
    <w:rsid w:val="0058791A"/>
    <w:rsid w:val="0058796C"/>
    <w:rsid w:val="005901A7"/>
    <w:rsid w:val="005901C0"/>
    <w:rsid w:val="00590BDA"/>
    <w:rsid w:val="00590CDD"/>
    <w:rsid w:val="00592B26"/>
    <w:rsid w:val="00592DC5"/>
    <w:rsid w:val="00592EB4"/>
    <w:rsid w:val="005933D7"/>
    <w:rsid w:val="005935BF"/>
    <w:rsid w:val="00593BEB"/>
    <w:rsid w:val="0059462B"/>
    <w:rsid w:val="0059466E"/>
    <w:rsid w:val="005946DD"/>
    <w:rsid w:val="00594800"/>
    <w:rsid w:val="00594B6B"/>
    <w:rsid w:val="00594C63"/>
    <w:rsid w:val="0059532E"/>
    <w:rsid w:val="00595413"/>
    <w:rsid w:val="00595783"/>
    <w:rsid w:val="00595A6C"/>
    <w:rsid w:val="00595FAC"/>
    <w:rsid w:val="00596286"/>
    <w:rsid w:val="005964FD"/>
    <w:rsid w:val="00596EAB"/>
    <w:rsid w:val="005972CD"/>
    <w:rsid w:val="0059740D"/>
    <w:rsid w:val="00597CB1"/>
    <w:rsid w:val="00597ED6"/>
    <w:rsid w:val="005A0176"/>
    <w:rsid w:val="005A03F8"/>
    <w:rsid w:val="005A0513"/>
    <w:rsid w:val="005A09FA"/>
    <w:rsid w:val="005A0A11"/>
    <w:rsid w:val="005A0A44"/>
    <w:rsid w:val="005A0BBD"/>
    <w:rsid w:val="005A0D7E"/>
    <w:rsid w:val="005A1010"/>
    <w:rsid w:val="005A11EF"/>
    <w:rsid w:val="005A1317"/>
    <w:rsid w:val="005A1D06"/>
    <w:rsid w:val="005A236B"/>
    <w:rsid w:val="005A2495"/>
    <w:rsid w:val="005A2971"/>
    <w:rsid w:val="005A2B9F"/>
    <w:rsid w:val="005A34B0"/>
    <w:rsid w:val="005A3796"/>
    <w:rsid w:val="005A3E3A"/>
    <w:rsid w:val="005A46B8"/>
    <w:rsid w:val="005A46BD"/>
    <w:rsid w:val="005A479A"/>
    <w:rsid w:val="005A4D84"/>
    <w:rsid w:val="005A4DA5"/>
    <w:rsid w:val="005A4F96"/>
    <w:rsid w:val="005A51A6"/>
    <w:rsid w:val="005A539B"/>
    <w:rsid w:val="005A5418"/>
    <w:rsid w:val="005A58A4"/>
    <w:rsid w:val="005A5A49"/>
    <w:rsid w:val="005A659B"/>
    <w:rsid w:val="005A6959"/>
    <w:rsid w:val="005A71C5"/>
    <w:rsid w:val="005A77CD"/>
    <w:rsid w:val="005A7C9F"/>
    <w:rsid w:val="005A7F19"/>
    <w:rsid w:val="005A7F60"/>
    <w:rsid w:val="005B0284"/>
    <w:rsid w:val="005B02F8"/>
    <w:rsid w:val="005B0488"/>
    <w:rsid w:val="005B0595"/>
    <w:rsid w:val="005B05F5"/>
    <w:rsid w:val="005B07E0"/>
    <w:rsid w:val="005B17F8"/>
    <w:rsid w:val="005B1923"/>
    <w:rsid w:val="005B1ABD"/>
    <w:rsid w:val="005B2338"/>
    <w:rsid w:val="005B2B92"/>
    <w:rsid w:val="005B2D8F"/>
    <w:rsid w:val="005B2FEC"/>
    <w:rsid w:val="005B32F4"/>
    <w:rsid w:val="005B37A7"/>
    <w:rsid w:val="005B3BE9"/>
    <w:rsid w:val="005B3C64"/>
    <w:rsid w:val="005B4313"/>
    <w:rsid w:val="005B51BE"/>
    <w:rsid w:val="005B6583"/>
    <w:rsid w:val="005B668E"/>
    <w:rsid w:val="005B6772"/>
    <w:rsid w:val="005B67AA"/>
    <w:rsid w:val="005B67C3"/>
    <w:rsid w:val="005B71E8"/>
    <w:rsid w:val="005B729F"/>
    <w:rsid w:val="005B74CC"/>
    <w:rsid w:val="005B74FF"/>
    <w:rsid w:val="005B755C"/>
    <w:rsid w:val="005B7AB1"/>
    <w:rsid w:val="005B7F66"/>
    <w:rsid w:val="005C0AA6"/>
    <w:rsid w:val="005C0AE4"/>
    <w:rsid w:val="005C0B7E"/>
    <w:rsid w:val="005C0BD9"/>
    <w:rsid w:val="005C0C4E"/>
    <w:rsid w:val="005C104B"/>
    <w:rsid w:val="005C1194"/>
    <w:rsid w:val="005C15E6"/>
    <w:rsid w:val="005C2027"/>
    <w:rsid w:val="005C20FE"/>
    <w:rsid w:val="005C2F0A"/>
    <w:rsid w:val="005C3507"/>
    <w:rsid w:val="005C3D84"/>
    <w:rsid w:val="005C3F81"/>
    <w:rsid w:val="005C49DC"/>
    <w:rsid w:val="005C4BA6"/>
    <w:rsid w:val="005C50A1"/>
    <w:rsid w:val="005C5284"/>
    <w:rsid w:val="005C53FF"/>
    <w:rsid w:val="005C5BCF"/>
    <w:rsid w:val="005C5E17"/>
    <w:rsid w:val="005C6230"/>
    <w:rsid w:val="005C62F5"/>
    <w:rsid w:val="005C6613"/>
    <w:rsid w:val="005C7CC8"/>
    <w:rsid w:val="005D06E7"/>
    <w:rsid w:val="005D074D"/>
    <w:rsid w:val="005D07F4"/>
    <w:rsid w:val="005D0CD4"/>
    <w:rsid w:val="005D0EE6"/>
    <w:rsid w:val="005D159B"/>
    <w:rsid w:val="005D1637"/>
    <w:rsid w:val="005D1DA7"/>
    <w:rsid w:val="005D1DE1"/>
    <w:rsid w:val="005D2020"/>
    <w:rsid w:val="005D2185"/>
    <w:rsid w:val="005D26E6"/>
    <w:rsid w:val="005D2857"/>
    <w:rsid w:val="005D3178"/>
    <w:rsid w:val="005D32FA"/>
    <w:rsid w:val="005D33A2"/>
    <w:rsid w:val="005D33B1"/>
    <w:rsid w:val="005D36E3"/>
    <w:rsid w:val="005D3881"/>
    <w:rsid w:val="005D38CE"/>
    <w:rsid w:val="005D3F67"/>
    <w:rsid w:val="005D4171"/>
    <w:rsid w:val="005D47D6"/>
    <w:rsid w:val="005D4861"/>
    <w:rsid w:val="005D490A"/>
    <w:rsid w:val="005D498B"/>
    <w:rsid w:val="005D4C05"/>
    <w:rsid w:val="005D4D3D"/>
    <w:rsid w:val="005D4EEB"/>
    <w:rsid w:val="005D5BBB"/>
    <w:rsid w:val="005D5D9F"/>
    <w:rsid w:val="005D6387"/>
    <w:rsid w:val="005D6B7D"/>
    <w:rsid w:val="005D6C3C"/>
    <w:rsid w:val="005D722F"/>
    <w:rsid w:val="005D724E"/>
    <w:rsid w:val="005D7A31"/>
    <w:rsid w:val="005E094B"/>
    <w:rsid w:val="005E1375"/>
    <w:rsid w:val="005E13BF"/>
    <w:rsid w:val="005E18EA"/>
    <w:rsid w:val="005E1AFF"/>
    <w:rsid w:val="005E1B05"/>
    <w:rsid w:val="005E1B76"/>
    <w:rsid w:val="005E2066"/>
    <w:rsid w:val="005E265E"/>
    <w:rsid w:val="005E2809"/>
    <w:rsid w:val="005E2A6E"/>
    <w:rsid w:val="005E2A9F"/>
    <w:rsid w:val="005E2B77"/>
    <w:rsid w:val="005E30C5"/>
    <w:rsid w:val="005E338E"/>
    <w:rsid w:val="005E3F6E"/>
    <w:rsid w:val="005E4378"/>
    <w:rsid w:val="005E4C14"/>
    <w:rsid w:val="005E527C"/>
    <w:rsid w:val="005E57EA"/>
    <w:rsid w:val="005E5C83"/>
    <w:rsid w:val="005E6059"/>
    <w:rsid w:val="005E6243"/>
    <w:rsid w:val="005E6ADA"/>
    <w:rsid w:val="005E6AF1"/>
    <w:rsid w:val="005E6B41"/>
    <w:rsid w:val="005E6ED3"/>
    <w:rsid w:val="005E6ED9"/>
    <w:rsid w:val="005E71F7"/>
    <w:rsid w:val="005E74E3"/>
    <w:rsid w:val="005E75CF"/>
    <w:rsid w:val="005E760D"/>
    <w:rsid w:val="005E7931"/>
    <w:rsid w:val="005F0171"/>
    <w:rsid w:val="005F097E"/>
    <w:rsid w:val="005F0981"/>
    <w:rsid w:val="005F1DD9"/>
    <w:rsid w:val="005F1F4F"/>
    <w:rsid w:val="005F2154"/>
    <w:rsid w:val="005F2B2C"/>
    <w:rsid w:val="005F2EBA"/>
    <w:rsid w:val="005F33D8"/>
    <w:rsid w:val="005F3660"/>
    <w:rsid w:val="005F385E"/>
    <w:rsid w:val="005F3ACA"/>
    <w:rsid w:val="005F401D"/>
    <w:rsid w:val="005F4030"/>
    <w:rsid w:val="005F4109"/>
    <w:rsid w:val="005F4284"/>
    <w:rsid w:val="005F439B"/>
    <w:rsid w:val="005F450A"/>
    <w:rsid w:val="005F4A3A"/>
    <w:rsid w:val="005F4E88"/>
    <w:rsid w:val="005F50E2"/>
    <w:rsid w:val="005F52D6"/>
    <w:rsid w:val="005F59F9"/>
    <w:rsid w:val="005F5EE9"/>
    <w:rsid w:val="005F625B"/>
    <w:rsid w:val="005F636C"/>
    <w:rsid w:val="005F6F19"/>
    <w:rsid w:val="005F729C"/>
    <w:rsid w:val="005F72E7"/>
    <w:rsid w:val="005F76CE"/>
    <w:rsid w:val="005F7B13"/>
    <w:rsid w:val="00600418"/>
    <w:rsid w:val="00600A62"/>
    <w:rsid w:val="0060135E"/>
    <w:rsid w:val="00601762"/>
    <w:rsid w:val="00601857"/>
    <w:rsid w:val="00601958"/>
    <w:rsid w:val="0060232C"/>
    <w:rsid w:val="006028F6"/>
    <w:rsid w:val="00602FB3"/>
    <w:rsid w:val="006031CB"/>
    <w:rsid w:val="0060348C"/>
    <w:rsid w:val="0060397E"/>
    <w:rsid w:val="00604156"/>
    <w:rsid w:val="006042EA"/>
    <w:rsid w:val="00604839"/>
    <w:rsid w:val="006049E4"/>
    <w:rsid w:val="00604A63"/>
    <w:rsid w:val="006050D6"/>
    <w:rsid w:val="00605825"/>
    <w:rsid w:val="006058F6"/>
    <w:rsid w:val="00605A88"/>
    <w:rsid w:val="00605BC9"/>
    <w:rsid w:val="00605F05"/>
    <w:rsid w:val="00606362"/>
    <w:rsid w:val="006065BB"/>
    <w:rsid w:val="00606660"/>
    <w:rsid w:val="00606C23"/>
    <w:rsid w:val="00606DF4"/>
    <w:rsid w:val="00606E79"/>
    <w:rsid w:val="00606ECB"/>
    <w:rsid w:val="006073A6"/>
    <w:rsid w:val="00607914"/>
    <w:rsid w:val="00607A02"/>
    <w:rsid w:val="00607C62"/>
    <w:rsid w:val="00607E5F"/>
    <w:rsid w:val="0060E17D"/>
    <w:rsid w:val="00610191"/>
    <w:rsid w:val="0061107B"/>
    <w:rsid w:val="00611499"/>
    <w:rsid w:val="006115E5"/>
    <w:rsid w:val="00611C2B"/>
    <w:rsid w:val="00611D86"/>
    <w:rsid w:val="00611F54"/>
    <w:rsid w:val="00612033"/>
    <w:rsid w:val="00612287"/>
    <w:rsid w:val="006122B9"/>
    <w:rsid w:val="00612512"/>
    <w:rsid w:val="00612D48"/>
    <w:rsid w:val="006130C6"/>
    <w:rsid w:val="006134EE"/>
    <w:rsid w:val="0061390D"/>
    <w:rsid w:val="00614236"/>
    <w:rsid w:val="006146A1"/>
    <w:rsid w:val="006154F6"/>
    <w:rsid w:val="00615887"/>
    <w:rsid w:val="0061590D"/>
    <w:rsid w:val="00615D00"/>
    <w:rsid w:val="00615D1A"/>
    <w:rsid w:val="00615ED7"/>
    <w:rsid w:val="0061611C"/>
    <w:rsid w:val="0061650F"/>
    <w:rsid w:val="006166A7"/>
    <w:rsid w:val="00616851"/>
    <w:rsid w:val="00616DAF"/>
    <w:rsid w:val="006172FC"/>
    <w:rsid w:val="00617C9B"/>
    <w:rsid w:val="00617EB7"/>
    <w:rsid w:val="00620616"/>
    <w:rsid w:val="006206A3"/>
    <w:rsid w:val="006209A9"/>
    <w:rsid w:val="00620B92"/>
    <w:rsid w:val="006211E0"/>
    <w:rsid w:val="00621280"/>
    <w:rsid w:val="0062135C"/>
    <w:rsid w:val="00621523"/>
    <w:rsid w:val="00621B8F"/>
    <w:rsid w:val="00621CB3"/>
    <w:rsid w:val="0062203F"/>
    <w:rsid w:val="00622352"/>
    <w:rsid w:val="00622541"/>
    <w:rsid w:val="00622545"/>
    <w:rsid w:val="0062284E"/>
    <w:rsid w:val="00622A5C"/>
    <w:rsid w:val="00622F84"/>
    <w:rsid w:val="00623B6D"/>
    <w:rsid w:val="00624073"/>
    <w:rsid w:val="0062435E"/>
    <w:rsid w:val="00624FE6"/>
    <w:rsid w:val="00625577"/>
    <w:rsid w:val="006256B3"/>
    <w:rsid w:val="0062578C"/>
    <w:rsid w:val="00625A21"/>
    <w:rsid w:val="00625AB8"/>
    <w:rsid w:val="00625D1F"/>
    <w:rsid w:val="00625DEA"/>
    <w:rsid w:val="006260DC"/>
    <w:rsid w:val="00626849"/>
    <w:rsid w:val="00626990"/>
    <w:rsid w:val="00626A9C"/>
    <w:rsid w:val="00626E8A"/>
    <w:rsid w:val="0062701B"/>
    <w:rsid w:val="00627494"/>
    <w:rsid w:val="00627BF4"/>
    <w:rsid w:val="006301B2"/>
    <w:rsid w:val="00630246"/>
    <w:rsid w:val="00630653"/>
    <w:rsid w:val="006309BE"/>
    <w:rsid w:val="00630A0D"/>
    <w:rsid w:val="00630DBC"/>
    <w:rsid w:val="00630DBE"/>
    <w:rsid w:val="00631162"/>
    <w:rsid w:val="006313EF"/>
    <w:rsid w:val="0063150F"/>
    <w:rsid w:val="00631559"/>
    <w:rsid w:val="00631A1C"/>
    <w:rsid w:val="00631A9D"/>
    <w:rsid w:val="00631BDF"/>
    <w:rsid w:val="00631C11"/>
    <w:rsid w:val="00631C6E"/>
    <w:rsid w:val="00631DB7"/>
    <w:rsid w:val="0063278E"/>
    <w:rsid w:val="0063288D"/>
    <w:rsid w:val="006328DF"/>
    <w:rsid w:val="00632EFB"/>
    <w:rsid w:val="00632FC4"/>
    <w:rsid w:val="00633314"/>
    <w:rsid w:val="00633F15"/>
    <w:rsid w:val="00634FCE"/>
    <w:rsid w:val="0063523B"/>
    <w:rsid w:val="00635327"/>
    <w:rsid w:val="00635605"/>
    <w:rsid w:val="0063576F"/>
    <w:rsid w:val="00635DDF"/>
    <w:rsid w:val="006370B7"/>
    <w:rsid w:val="006371B4"/>
    <w:rsid w:val="006372F0"/>
    <w:rsid w:val="00637467"/>
    <w:rsid w:val="0063754E"/>
    <w:rsid w:val="0063761C"/>
    <w:rsid w:val="00637678"/>
    <w:rsid w:val="00637B9D"/>
    <w:rsid w:val="00637C5B"/>
    <w:rsid w:val="00637C9B"/>
    <w:rsid w:val="006405FC"/>
    <w:rsid w:val="00640609"/>
    <w:rsid w:val="00640B12"/>
    <w:rsid w:val="00640DE0"/>
    <w:rsid w:val="006414A2"/>
    <w:rsid w:val="00641C75"/>
    <w:rsid w:val="00641DA8"/>
    <w:rsid w:val="00641EC3"/>
    <w:rsid w:val="006420F9"/>
    <w:rsid w:val="00642204"/>
    <w:rsid w:val="0064381C"/>
    <w:rsid w:val="006440AB"/>
    <w:rsid w:val="00644486"/>
    <w:rsid w:val="00644594"/>
    <w:rsid w:val="0064459D"/>
    <w:rsid w:val="00644ADD"/>
    <w:rsid w:val="0064523D"/>
    <w:rsid w:val="0064552E"/>
    <w:rsid w:val="00645698"/>
    <w:rsid w:val="00645BA3"/>
    <w:rsid w:val="006467B4"/>
    <w:rsid w:val="00646B62"/>
    <w:rsid w:val="00646EE1"/>
    <w:rsid w:val="006473DD"/>
    <w:rsid w:val="006476E0"/>
    <w:rsid w:val="006477ED"/>
    <w:rsid w:val="00647890"/>
    <w:rsid w:val="00650401"/>
    <w:rsid w:val="00650B0E"/>
    <w:rsid w:val="00651BC3"/>
    <w:rsid w:val="00651BEC"/>
    <w:rsid w:val="00651D85"/>
    <w:rsid w:val="00652702"/>
    <w:rsid w:val="00652719"/>
    <w:rsid w:val="00652CD3"/>
    <w:rsid w:val="006536A8"/>
    <w:rsid w:val="0065515A"/>
    <w:rsid w:val="006552B0"/>
    <w:rsid w:val="006552CE"/>
    <w:rsid w:val="00655EA2"/>
    <w:rsid w:val="006564D6"/>
    <w:rsid w:val="00657011"/>
    <w:rsid w:val="006577BF"/>
    <w:rsid w:val="00657C8D"/>
    <w:rsid w:val="00657DC8"/>
    <w:rsid w:val="00657FA3"/>
    <w:rsid w:val="006600B7"/>
    <w:rsid w:val="00660171"/>
    <w:rsid w:val="006602E0"/>
    <w:rsid w:val="006604A5"/>
    <w:rsid w:val="00660A5F"/>
    <w:rsid w:val="00660AC9"/>
    <w:rsid w:val="00660B12"/>
    <w:rsid w:val="00660F0B"/>
    <w:rsid w:val="00660F36"/>
    <w:rsid w:val="006610DE"/>
    <w:rsid w:val="00661111"/>
    <w:rsid w:val="0066144C"/>
    <w:rsid w:val="00661812"/>
    <w:rsid w:val="00661B35"/>
    <w:rsid w:val="00662308"/>
    <w:rsid w:val="00662784"/>
    <w:rsid w:val="006627D7"/>
    <w:rsid w:val="00662A11"/>
    <w:rsid w:val="00662BDF"/>
    <w:rsid w:val="00662ECA"/>
    <w:rsid w:val="0066336F"/>
    <w:rsid w:val="0066347D"/>
    <w:rsid w:val="00663533"/>
    <w:rsid w:val="00663543"/>
    <w:rsid w:val="006636A8"/>
    <w:rsid w:val="006638E3"/>
    <w:rsid w:val="00663B06"/>
    <w:rsid w:val="00663B62"/>
    <w:rsid w:val="00664134"/>
    <w:rsid w:val="00664A1F"/>
    <w:rsid w:val="00664EA1"/>
    <w:rsid w:val="00665123"/>
    <w:rsid w:val="0066523F"/>
    <w:rsid w:val="00665350"/>
    <w:rsid w:val="006659C2"/>
    <w:rsid w:val="00665EFE"/>
    <w:rsid w:val="006662CD"/>
    <w:rsid w:val="00666587"/>
    <w:rsid w:val="00666647"/>
    <w:rsid w:val="00666653"/>
    <w:rsid w:val="006668E2"/>
    <w:rsid w:val="00666F4C"/>
    <w:rsid w:val="00666FBD"/>
    <w:rsid w:val="0066784B"/>
    <w:rsid w:val="00667BF5"/>
    <w:rsid w:val="00670027"/>
    <w:rsid w:val="00670471"/>
    <w:rsid w:val="006705E8"/>
    <w:rsid w:val="0067096F"/>
    <w:rsid w:val="00670B5D"/>
    <w:rsid w:val="00670BC5"/>
    <w:rsid w:val="00670CD2"/>
    <w:rsid w:val="0067115E"/>
    <w:rsid w:val="006711A2"/>
    <w:rsid w:val="006718D5"/>
    <w:rsid w:val="006720D2"/>
    <w:rsid w:val="006720F7"/>
    <w:rsid w:val="0067250A"/>
    <w:rsid w:val="006726C6"/>
    <w:rsid w:val="00672745"/>
    <w:rsid w:val="00673262"/>
    <w:rsid w:val="006732DA"/>
    <w:rsid w:val="00673F93"/>
    <w:rsid w:val="006740EE"/>
    <w:rsid w:val="0067460D"/>
    <w:rsid w:val="00674839"/>
    <w:rsid w:val="00674852"/>
    <w:rsid w:val="00674875"/>
    <w:rsid w:val="00675892"/>
    <w:rsid w:val="00675B54"/>
    <w:rsid w:val="00675C6E"/>
    <w:rsid w:val="00675CDE"/>
    <w:rsid w:val="00675D58"/>
    <w:rsid w:val="00676212"/>
    <w:rsid w:val="00676D61"/>
    <w:rsid w:val="00676D7C"/>
    <w:rsid w:val="006773F4"/>
    <w:rsid w:val="006779C1"/>
    <w:rsid w:val="00677CE1"/>
    <w:rsid w:val="00677D55"/>
    <w:rsid w:val="006802D5"/>
    <w:rsid w:val="006805E3"/>
    <w:rsid w:val="0068064C"/>
    <w:rsid w:val="006806D3"/>
    <w:rsid w:val="00680BDE"/>
    <w:rsid w:val="00680CB9"/>
    <w:rsid w:val="00681191"/>
    <w:rsid w:val="006811C2"/>
    <w:rsid w:val="0068121B"/>
    <w:rsid w:val="006812E6"/>
    <w:rsid w:val="00681493"/>
    <w:rsid w:val="0068172E"/>
    <w:rsid w:val="006819F5"/>
    <w:rsid w:val="00681E05"/>
    <w:rsid w:val="0068295A"/>
    <w:rsid w:val="00682FAE"/>
    <w:rsid w:val="00683ACB"/>
    <w:rsid w:val="006843D9"/>
    <w:rsid w:val="006844C6"/>
    <w:rsid w:val="00684888"/>
    <w:rsid w:val="00684D43"/>
    <w:rsid w:val="00684E0B"/>
    <w:rsid w:val="006855A6"/>
    <w:rsid w:val="0068567E"/>
    <w:rsid w:val="00685A70"/>
    <w:rsid w:val="00685BBE"/>
    <w:rsid w:val="00685C35"/>
    <w:rsid w:val="006866A3"/>
    <w:rsid w:val="006866E0"/>
    <w:rsid w:val="00686818"/>
    <w:rsid w:val="00686CF2"/>
    <w:rsid w:val="00686EF2"/>
    <w:rsid w:val="00686F32"/>
    <w:rsid w:val="00687135"/>
    <w:rsid w:val="0068765B"/>
    <w:rsid w:val="00687846"/>
    <w:rsid w:val="006879A8"/>
    <w:rsid w:val="00687B64"/>
    <w:rsid w:val="00690703"/>
    <w:rsid w:val="00690D15"/>
    <w:rsid w:val="0069118B"/>
    <w:rsid w:val="0069158C"/>
    <w:rsid w:val="00691701"/>
    <w:rsid w:val="006927A4"/>
    <w:rsid w:val="00692CF8"/>
    <w:rsid w:val="00692E01"/>
    <w:rsid w:val="006930CB"/>
    <w:rsid w:val="00693DB7"/>
    <w:rsid w:val="00693EBF"/>
    <w:rsid w:val="00694142"/>
    <w:rsid w:val="006942C4"/>
    <w:rsid w:val="00694725"/>
    <w:rsid w:val="006948A3"/>
    <w:rsid w:val="00694A35"/>
    <w:rsid w:val="00694A6E"/>
    <w:rsid w:val="00694F46"/>
    <w:rsid w:val="0069548B"/>
    <w:rsid w:val="00695E64"/>
    <w:rsid w:val="00695F68"/>
    <w:rsid w:val="00696110"/>
    <w:rsid w:val="00696126"/>
    <w:rsid w:val="006962C4"/>
    <w:rsid w:val="0069653C"/>
    <w:rsid w:val="0069675E"/>
    <w:rsid w:val="00697378"/>
    <w:rsid w:val="006977C6"/>
    <w:rsid w:val="0069786E"/>
    <w:rsid w:val="00697934"/>
    <w:rsid w:val="00697A05"/>
    <w:rsid w:val="006A0033"/>
    <w:rsid w:val="006A0962"/>
    <w:rsid w:val="006A0B31"/>
    <w:rsid w:val="006A0F4F"/>
    <w:rsid w:val="006A150C"/>
    <w:rsid w:val="006A1585"/>
    <w:rsid w:val="006A1CFA"/>
    <w:rsid w:val="006A1E19"/>
    <w:rsid w:val="006A1F0A"/>
    <w:rsid w:val="006A1FAA"/>
    <w:rsid w:val="006A2266"/>
    <w:rsid w:val="006A2500"/>
    <w:rsid w:val="006A28B9"/>
    <w:rsid w:val="006A2F52"/>
    <w:rsid w:val="006A3059"/>
    <w:rsid w:val="006A38DC"/>
    <w:rsid w:val="006A3CD8"/>
    <w:rsid w:val="006A4028"/>
    <w:rsid w:val="006A4031"/>
    <w:rsid w:val="006A410F"/>
    <w:rsid w:val="006A47C3"/>
    <w:rsid w:val="006A48B7"/>
    <w:rsid w:val="006A4CD9"/>
    <w:rsid w:val="006A52B5"/>
    <w:rsid w:val="006A52E7"/>
    <w:rsid w:val="006A553E"/>
    <w:rsid w:val="006A554C"/>
    <w:rsid w:val="006A5F5E"/>
    <w:rsid w:val="006A6187"/>
    <w:rsid w:val="006A63CA"/>
    <w:rsid w:val="006A666E"/>
    <w:rsid w:val="006A6C74"/>
    <w:rsid w:val="006A6D46"/>
    <w:rsid w:val="006A6ED2"/>
    <w:rsid w:val="006A7550"/>
    <w:rsid w:val="006A7D96"/>
    <w:rsid w:val="006A7DC9"/>
    <w:rsid w:val="006A7E35"/>
    <w:rsid w:val="006A7FF8"/>
    <w:rsid w:val="006B0232"/>
    <w:rsid w:val="006B087D"/>
    <w:rsid w:val="006B094C"/>
    <w:rsid w:val="006B0DB9"/>
    <w:rsid w:val="006B0EC6"/>
    <w:rsid w:val="006B1024"/>
    <w:rsid w:val="006B1133"/>
    <w:rsid w:val="006B11B9"/>
    <w:rsid w:val="006B2335"/>
    <w:rsid w:val="006B251E"/>
    <w:rsid w:val="006B269D"/>
    <w:rsid w:val="006B2913"/>
    <w:rsid w:val="006B2AD5"/>
    <w:rsid w:val="006B2CFF"/>
    <w:rsid w:val="006B2EC9"/>
    <w:rsid w:val="006B32E9"/>
    <w:rsid w:val="006B3A55"/>
    <w:rsid w:val="006B3D9A"/>
    <w:rsid w:val="006B3E36"/>
    <w:rsid w:val="006B3EEF"/>
    <w:rsid w:val="006B3F81"/>
    <w:rsid w:val="006B3FBA"/>
    <w:rsid w:val="006B4281"/>
    <w:rsid w:val="006B4576"/>
    <w:rsid w:val="006B4A10"/>
    <w:rsid w:val="006B4DFF"/>
    <w:rsid w:val="006B560B"/>
    <w:rsid w:val="006B598C"/>
    <w:rsid w:val="006B5AB4"/>
    <w:rsid w:val="006B5E18"/>
    <w:rsid w:val="006B6267"/>
    <w:rsid w:val="006B6957"/>
    <w:rsid w:val="006B6FF3"/>
    <w:rsid w:val="006B759F"/>
    <w:rsid w:val="006B788D"/>
    <w:rsid w:val="006B7B8E"/>
    <w:rsid w:val="006B7FFC"/>
    <w:rsid w:val="006C001B"/>
    <w:rsid w:val="006C00BC"/>
    <w:rsid w:val="006C0739"/>
    <w:rsid w:val="006C09E9"/>
    <w:rsid w:val="006C1479"/>
    <w:rsid w:val="006C1E7A"/>
    <w:rsid w:val="006C2203"/>
    <w:rsid w:val="006C2574"/>
    <w:rsid w:val="006C257D"/>
    <w:rsid w:val="006C2A36"/>
    <w:rsid w:val="006C2A96"/>
    <w:rsid w:val="006C34FA"/>
    <w:rsid w:val="006C3A8C"/>
    <w:rsid w:val="006C4096"/>
    <w:rsid w:val="006C4600"/>
    <w:rsid w:val="006C47D3"/>
    <w:rsid w:val="006C4D1F"/>
    <w:rsid w:val="006C4DB1"/>
    <w:rsid w:val="006C4E6D"/>
    <w:rsid w:val="006C58EB"/>
    <w:rsid w:val="006C5A6A"/>
    <w:rsid w:val="006C6016"/>
    <w:rsid w:val="006C662B"/>
    <w:rsid w:val="006C678A"/>
    <w:rsid w:val="006C6CB6"/>
    <w:rsid w:val="006C6E0A"/>
    <w:rsid w:val="006C7240"/>
    <w:rsid w:val="006D0120"/>
    <w:rsid w:val="006D086A"/>
    <w:rsid w:val="006D0B5D"/>
    <w:rsid w:val="006D0D91"/>
    <w:rsid w:val="006D109B"/>
    <w:rsid w:val="006D145F"/>
    <w:rsid w:val="006D1843"/>
    <w:rsid w:val="006D1C6A"/>
    <w:rsid w:val="006D1E6D"/>
    <w:rsid w:val="006D215D"/>
    <w:rsid w:val="006D239F"/>
    <w:rsid w:val="006D2904"/>
    <w:rsid w:val="006D2E45"/>
    <w:rsid w:val="006D3B3E"/>
    <w:rsid w:val="006D3E96"/>
    <w:rsid w:val="006D439D"/>
    <w:rsid w:val="006D492B"/>
    <w:rsid w:val="006D4C53"/>
    <w:rsid w:val="006D50E1"/>
    <w:rsid w:val="006D5774"/>
    <w:rsid w:val="006D5898"/>
    <w:rsid w:val="006D5A30"/>
    <w:rsid w:val="006D5D16"/>
    <w:rsid w:val="006D5F6C"/>
    <w:rsid w:val="006D60D7"/>
    <w:rsid w:val="006D6182"/>
    <w:rsid w:val="006D652C"/>
    <w:rsid w:val="006D6AB9"/>
    <w:rsid w:val="006D6C5F"/>
    <w:rsid w:val="006D6E27"/>
    <w:rsid w:val="006D795D"/>
    <w:rsid w:val="006E084F"/>
    <w:rsid w:val="006E1267"/>
    <w:rsid w:val="006E1542"/>
    <w:rsid w:val="006E1600"/>
    <w:rsid w:val="006E1EAA"/>
    <w:rsid w:val="006E222D"/>
    <w:rsid w:val="006E22CE"/>
    <w:rsid w:val="006E283C"/>
    <w:rsid w:val="006E2C5F"/>
    <w:rsid w:val="006E317A"/>
    <w:rsid w:val="006E36DD"/>
    <w:rsid w:val="006E3C9A"/>
    <w:rsid w:val="006E3CFB"/>
    <w:rsid w:val="006E3EDD"/>
    <w:rsid w:val="006E43C0"/>
    <w:rsid w:val="006E4588"/>
    <w:rsid w:val="006E49E6"/>
    <w:rsid w:val="006E4DDE"/>
    <w:rsid w:val="006E55C8"/>
    <w:rsid w:val="006E5ABB"/>
    <w:rsid w:val="006E60A7"/>
    <w:rsid w:val="006E6131"/>
    <w:rsid w:val="006E6682"/>
    <w:rsid w:val="006E6814"/>
    <w:rsid w:val="006E6C66"/>
    <w:rsid w:val="006E6E3F"/>
    <w:rsid w:val="006E6F64"/>
    <w:rsid w:val="006E7ACC"/>
    <w:rsid w:val="006F065E"/>
    <w:rsid w:val="006F0665"/>
    <w:rsid w:val="006F06B8"/>
    <w:rsid w:val="006F0BCA"/>
    <w:rsid w:val="006F1139"/>
    <w:rsid w:val="006F127D"/>
    <w:rsid w:val="006F1912"/>
    <w:rsid w:val="006F1915"/>
    <w:rsid w:val="006F1B1A"/>
    <w:rsid w:val="006F1EF0"/>
    <w:rsid w:val="006F1F31"/>
    <w:rsid w:val="006F21E7"/>
    <w:rsid w:val="006F2391"/>
    <w:rsid w:val="006F33A8"/>
    <w:rsid w:val="006F39C3"/>
    <w:rsid w:val="006F3B2D"/>
    <w:rsid w:val="006F412F"/>
    <w:rsid w:val="006F4156"/>
    <w:rsid w:val="006F422A"/>
    <w:rsid w:val="006F42E8"/>
    <w:rsid w:val="006F4404"/>
    <w:rsid w:val="006F44CE"/>
    <w:rsid w:val="006F44D2"/>
    <w:rsid w:val="006F4B2B"/>
    <w:rsid w:val="006F5390"/>
    <w:rsid w:val="006F5449"/>
    <w:rsid w:val="006F59C5"/>
    <w:rsid w:val="006F5A4F"/>
    <w:rsid w:val="006F5B6C"/>
    <w:rsid w:val="006F5CA8"/>
    <w:rsid w:val="006F6A6F"/>
    <w:rsid w:val="006F71E5"/>
    <w:rsid w:val="006F749F"/>
    <w:rsid w:val="006F7CA6"/>
    <w:rsid w:val="00700315"/>
    <w:rsid w:val="00700736"/>
    <w:rsid w:val="0070173E"/>
    <w:rsid w:val="007019F6"/>
    <w:rsid w:val="00702569"/>
    <w:rsid w:val="007025CE"/>
    <w:rsid w:val="0070271A"/>
    <w:rsid w:val="00702774"/>
    <w:rsid w:val="00702EE2"/>
    <w:rsid w:val="00702FC9"/>
    <w:rsid w:val="00703958"/>
    <w:rsid w:val="00703AA4"/>
    <w:rsid w:val="00703FAF"/>
    <w:rsid w:val="007043FF"/>
    <w:rsid w:val="00704A2B"/>
    <w:rsid w:val="00704AE9"/>
    <w:rsid w:val="00704DF7"/>
    <w:rsid w:val="00704E49"/>
    <w:rsid w:val="00705317"/>
    <w:rsid w:val="00705376"/>
    <w:rsid w:val="00705589"/>
    <w:rsid w:val="00705E1E"/>
    <w:rsid w:val="00705F29"/>
    <w:rsid w:val="00705FAD"/>
    <w:rsid w:val="00706094"/>
    <w:rsid w:val="00706151"/>
    <w:rsid w:val="00706405"/>
    <w:rsid w:val="00706505"/>
    <w:rsid w:val="00706D80"/>
    <w:rsid w:val="007073C9"/>
    <w:rsid w:val="007078DB"/>
    <w:rsid w:val="0070795E"/>
    <w:rsid w:val="00707B93"/>
    <w:rsid w:val="00707C0C"/>
    <w:rsid w:val="00707D69"/>
    <w:rsid w:val="00707E97"/>
    <w:rsid w:val="00710318"/>
    <w:rsid w:val="00710B41"/>
    <w:rsid w:val="00710E1B"/>
    <w:rsid w:val="00711498"/>
    <w:rsid w:val="0071196D"/>
    <w:rsid w:val="00711A41"/>
    <w:rsid w:val="00711D04"/>
    <w:rsid w:val="00711FA1"/>
    <w:rsid w:val="00712056"/>
    <w:rsid w:val="007129E1"/>
    <w:rsid w:val="00712B08"/>
    <w:rsid w:val="00712D13"/>
    <w:rsid w:val="00712D1A"/>
    <w:rsid w:val="007136AD"/>
    <w:rsid w:val="007141D3"/>
    <w:rsid w:val="00714573"/>
    <w:rsid w:val="00714CBB"/>
    <w:rsid w:val="00714E9B"/>
    <w:rsid w:val="007156AA"/>
    <w:rsid w:val="00716451"/>
    <w:rsid w:val="00716CB2"/>
    <w:rsid w:val="00716F87"/>
    <w:rsid w:val="00716FD2"/>
    <w:rsid w:val="0071730C"/>
    <w:rsid w:val="007176B9"/>
    <w:rsid w:val="007176F5"/>
    <w:rsid w:val="00717720"/>
    <w:rsid w:val="007178F8"/>
    <w:rsid w:val="00717BE9"/>
    <w:rsid w:val="00717BF8"/>
    <w:rsid w:val="00717F30"/>
    <w:rsid w:val="0072065A"/>
    <w:rsid w:val="00720B0D"/>
    <w:rsid w:val="00720EDC"/>
    <w:rsid w:val="007216AC"/>
    <w:rsid w:val="00721A8A"/>
    <w:rsid w:val="00722199"/>
    <w:rsid w:val="0072226C"/>
    <w:rsid w:val="007223F0"/>
    <w:rsid w:val="00722486"/>
    <w:rsid w:val="00722928"/>
    <w:rsid w:val="00722BEA"/>
    <w:rsid w:val="00722CDF"/>
    <w:rsid w:val="00722DF5"/>
    <w:rsid w:val="007237C2"/>
    <w:rsid w:val="00724240"/>
    <w:rsid w:val="00724295"/>
    <w:rsid w:val="00724A3D"/>
    <w:rsid w:val="00724A5F"/>
    <w:rsid w:val="00725068"/>
    <w:rsid w:val="007252B3"/>
    <w:rsid w:val="0072559D"/>
    <w:rsid w:val="00725C5D"/>
    <w:rsid w:val="007267DD"/>
    <w:rsid w:val="00726C31"/>
    <w:rsid w:val="00726DAD"/>
    <w:rsid w:val="00726EE9"/>
    <w:rsid w:val="00730C24"/>
    <w:rsid w:val="00730D8D"/>
    <w:rsid w:val="00731391"/>
    <w:rsid w:val="00731440"/>
    <w:rsid w:val="007314C7"/>
    <w:rsid w:val="007315C5"/>
    <w:rsid w:val="00731634"/>
    <w:rsid w:val="00731A1E"/>
    <w:rsid w:val="007321EC"/>
    <w:rsid w:val="007323B5"/>
    <w:rsid w:val="007324CA"/>
    <w:rsid w:val="00732892"/>
    <w:rsid w:val="00732E01"/>
    <w:rsid w:val="00732F14"/>
    <w:rsid w:val="0073350B"/>
    <w:rsid w:val="00733564"/>
    <w:rsid w:val="007338B4"/>
    <w:rsid w:val="00733C2E"/>
    <w:rsid w:val="007341EF"/>
    <w:rsid w:val="00734B87"/>
    <w:rsid w:val="00735510"/>
    <w:rsid w:val="007359A0"/>
    <w:rsid w:val="00735CCF"/>
    <w:rsid w:val="00736167"/>
    <w:rsid w:val="00736938"/>
    <w:rsid w:val="00736D94"/>
    <w:rsid w:val="007373A1"/>
    <w:rsid w:val="007373F0"/>
    <w:rsid w:val="00737462"/>
    <w:rsid w:val="0073761E"/>
    <w:rsid w:val="00737F20"/>
    <w:rsid w:val="00737F33"/>
    <w:rsid w:val="00740050"/>
    <w:rsid w:val="00740216"/>
    <w:rsid w:val="00740491"/>
    <w:rsid w:val="007408A7"/>
    <w:rsid w:val="00740915"/>
    <w:rsid w:val="007415C9"/>
    <w:rsid w:val="0074162F"/>
    <w:rsid w:val="007417CE"/>
    <w:rsid w:val="007420A1"/>
    <w:rsid w:val="00742C10"/>
    <w:rsid w:val="00742E7A"/>
    <w:rsid w:val="0074368C"/>
    <w:rsid w:val="0074388A"/>
    <w:rsid w:val="00743D7D"/>
    <w:rsid w:val="00744740"/>
    <w:rsid w:val="00744828"/>
    <w:rsid w:val="0074489E"/>
    <w:rsid w:val="00744CD0"/>
    <w:rsid w:val="007459C0"/>
    <w:rsid w:val="00745A05"/>
    <w:rsid w:val="00745AEE"/>
    <w:rsid w:val="007460A1"/>
    <w:rsid w:val="00746BC0"/>
    <w:rsid w:val="00746C52"/>
    <w:rsid w:val="00747609"/>
    <w:rsid w:val="00750740"/>
    <w:rsid w:val="00750DC5"/>
    <w:rsid w:val="007513B5"/>
    <w:rsid w:val="0075151B"/>
    <w:rsid w:val="007517D9"/>
    <w:rsid w:val="007520B1"/>
    <w:rsid w:val="0075272F"/>
    <w:rsid w:val="00752A6B"/>
    <w:rsid w:val="00753001"/>
    <w:rsid w:val="00753AB4"/>
    <w:rsid w:val="00754342"/>
    <w:rsid w:val="0075482B"/>
    <w:rsid w:val="00754DE3"/>
    <w:rsid w:val="00754E2B"/>
    <w:rsid w:val="00755E64"/>
    <w:rsid w:val="0075604F"/>
    <w:rsid w:val="0075660C"/>
    <w:rsid w:val="0075726E"/>
    <w:rsid w:val="0075796E"/>
    <w:rsid w:val="00757E06"/>
    <w:rsid w:val="00757EBB"/>
    <w:rsid w:val="00760787"/>
    <w:rsid w:val="00760BCA"/>
    <w:rsid w:val="007613B1"/>
    <w:rsid w:val="0076156B"/>
    <w:rsid w:val="00761B49"/>
    <w:rsid w:val="00761C80"/>
    <w:rsid w:val="00762050"/>
    <w:rsid w:val="00762611"/>
    <w:rsid w:val="00763149"/>
    <w:rsid w:val="00763151"/>
    <w:rsid w:val="00763674"/>
    <w:rsid w:val="0076390C"/>
    <w:rsid w:val="00763B4C"/>
    <w:rsid w:val="00764437"/>
    <w:rsid w:val="007644B1"/>
    <w:rsid w:val="007647BD"/>
    <w:rsid w:val="007648DE"/>
    <w:rsid w:val="00764DE4"/>
    <w:rsid w:val="00764E30"/>
    <w:rsid w:val="00764EBF"/>
    <w:rsid w:val="00765073"/>
    <w:rsid w:val="00765374"/>
    <w:rsid w:val="007656D3"/>
    <w:rsid w:val="0076572D"/>
    <w:rsid w:val="007658DB"/>
    <w:rsid w:val="00765AB1"/>
    <w:rsid w:val="00765B3B"/>
    <w:rsid w:val="00765C15"/>
    <w:rsid w:val="00765C3B"/>
    <w:rsid w:val="00765E12"/>
    <w:rsid w:val="00766271"/>
    <w:rsid w:val="00766C6D"/>
    <w:rsid w:val="00766EB4"/>
    <w:rsid w:val="007673B9"/>
    <w:rsid w:val="007678AA"/>
    <w:rsid w:val="0077004A"/>
    <w:rsid w:val="00770400"/>
    <w:rsid w:val="00770744"/>
    <w:rsid w:val="00770762"/>
    <w:rsid w:val="00770A4C"/>
    <w:rsid w:val="0077123B"/>
    <w:rsid w:val="007712BC"/>
    <w:rsid w:val="00771AD9"/>
    <w:rsid w:val="00771FDE"/>
    <w:rsid w:val="0077288E"/>
    <w:rsid w:val="00772B8F"/>
    <w:rsid w:val="00772F9F"/>
    <w:rsid w:val="00773387"/>
    <w:rsid w:val="007736BA"/>
    <w:rsid w:val="00773D15"/>
    <w:rsid w:val="00773D28"/>
    <w:rsid w:val="00774160"/>
    <w:rsid w:val="00774257"/>
    <w:rsid w:val="007744D3"/>
    <w:rsid w:val="007746B5"/>
    <w:rsid w:val="007747AE"/>
    <w:rsid w:val="00774870"/>
    <w:rsid w:val="00774AE4"/>
    <w:rsid w:val="00774F59"/>
    <w:rsid w:val="0077519E"/>
    <w:rsid w:val="0077535E"/>
    <w:rsid w:val="00775425"/>
    <w:rsid w:val="0077543F"/>
    <w:rsid w:val="0077567D"/>
    <w:rsid w:val="0077576D"/>
    <w:rsid w:val="00775843"/>
    <w:rsid w:val="00775B07"/>
    <w:rsid w:val="00775E1E"/>
    <w:rsid w:val="00775E42"/>
    <w:rsid w:val="0077606E"/>
    <w:rsid w:val="00776992"/>
    <w:rsid w:val="007769ED"/>
    <w:rsid w:val="00776BEC"/>
    <w:rsid w:val="00776C36"/>
    <w:rsid w:val="00777075"/>
    <w:rsid w:val="00777137"/>
    <w:rsid w:val="007776DD"/>
    <w:rsid w:val="00777B57"/>
    <w:rsid w:val="00780487"/>
    <w:rsid w:val="0078060B"/>
    <w:rsid w:val="0078068F"/>
    <w:rsid w:val="007806EB"/>
    <w:rsid w:val="007809EE"/>
    <w:rsid w:val="007816A9"/>
    <w:rsid w:val="00781717"/>
    <w:rsid w:val="0078182E"/>
    <w:rsid w:val="00781B7C"/>
    <w:rsid w:val="0078237E"/>
    <w:rsid w:val="0078284B"/>
    <w:rsid w:val="00782870"/>
    <w:rsid w:val="00782CA8"/>
    <w:rsid w:val="00782D01"/>
    <w:rsid w:val="00782DEA"/>
    <w:rsid w:val="00782F91"/>
    <w:rsid w:val="00783150"/>
    <w:rsid w:val="00783453"/>
    <w:rsid w:val="007836B8"/>
    <w:rsid w:val="00783715"/>
    <w:rsid w:val="00783D56"/>
    <w:rsid w:val="00783FA1"/>
    <w:rsid w:val="00784093"/>
    <w:rsid w:val="007843B2"/>
    <w:rsid w:val="007844FE"/>
    <w:rsid w:val="0078465F"/>
    <w:rsid w:val="00784BB2"/>
    <w:rsid w:val="00785255"/>
    <w:rsid w:val="00785408"/>
    <w:rsid w:val="00785594"/>
    <w:rsid w:val="00785E5B"/>
    <w:rsid w:val="00786239"/>
    <w:rsid w:val="007866FC"/>
    <w:rsid w:val="0078682F"/>
    <w:rsid w:val="00786C72"/>
    <w:rsid w:val="00787AA5"/>
    <w:rsid w:val="00787FCB"/>
    <w:rsid w:val="007906A9"/>
    <w:rsid w:val="007906FA"/>
    <w:rsid w:val="00790726"/>
    <w:rsid w:val="007917B9"/>
    <w:rsid w:val="00791E78"/>
    <w:rsid w:val="007920D9"/>
    <w:rsid w:val="00792253"/>
    <w:rsid w:val="007922F9"/>
    <w:rsid w:val="00792ED3"/>
    <w:rsid w:val="00792F5B"/>
    <w:rsid w:val="007935B2"/>
    <w:rsid w:val="00793867"/>
    <w:rsid w:val="007938AD"/>
    <w:rsid w:val="00794664"/>
    <w:rsid w:val="00794A90"/>
    <w:rsid w:val="00794CEF"/>
    <w:rsid w:val="00794EA7"/>
    <w:rsid w:val="00795990"/>
    <w:rsid w:val="00795AA8"/>
    <w:rsid w:val="00795AB0"/>
    <w:rsid w:val="00795D20"/>
    <w:rsid w:val="00795ED1"/>
    <w:rsid w:val="00795F04"/>
    <w:rsid w:val="007962D1"/>
    <w:rsid w:val="007969AF"/>
    <w:rsid w:val="00796BD8"/>
    <w:rsid w:val="00796F4A"/>
    <w:rsid w:val="007971F3"/>
    <w:rsid w:val="0079720D"/>
    <w:rsid w:val="0079730C"/>
    <w:rsid w:val="00797632"/>
    <w:rsid w:val="007979EC"/>
    <w:rsid w:val="00797C89"/>
    <w:rsid w:val="007A00B7"/>
    <w:rsid w:val="007A055E"/>
    <w:rsid w:val="007A07D4"/>
    <w:rsid w:val="007A0D0D"/>
    <w:rsid w:val="007A0D94"/>
    <w:rsid w:val="007A0E16"/>
    <w:rsid w:val="007A0ED2"/>
    <w:rsid w:val="007A1050"/>
    <w:rsid w:val="007A11B8"/>
    <w:rsid w:val="007A1AB7"/>
    <w:rsid w:val="007A20BC"/>
    <w:rsid w:val="007A2791"/>
    <w:rsid w:val="007A30F5"/>
    <w:rsid w:val="007A402D"/>
    <w:rsid w:val="007A41B5"/>
    <w:rsid w:val="007A43C3"/>
    <w:rsid w:val="007A47BE"/>
    <w:rsid w:val="007A4A81"/>
    <w:rsid w:val="007A4CBF"/>
    <w:rsid w:val="007A5129"/>
    <w:rsid w:val="007A524F"/>
    <w:rsid w:val="007A587A"/>
    <w:rsid w:val="007A5B10"/>
    <w:rsid w:val="007A5E63"/>
    <w:rsid w:val="007A5F18"/>
    <w:rsid w:val="007A610E"/>
    <w:rsid w:val="007A66AA"/>
    <w:rsid w:val="007A7EAB"/>
    <w:rsid w:val="007A7FB2"/>
    <w:rsid w:val="007B0320"/>
    <w:rsid w:val="007B0341"/>
    <w:rsid w:val="007B043F"/>
    <w:rsid w:val="007B0F7D"/>
    <w:rsid w:val="007B183E"/>
    <w:rsid w:val="007B1CCB"/>
    <w:rsid w:val="007B2060"/>
    <w:rsid w:val="007B22F4"/>
    <w:rsid w:val="007B2496"/>
    <w:rsid w:val="007B2780"/>
    <w:rsid w:val="007B2AA5"/>
    <w:rsid w:val="007B2BAE"/>
    <w:rsid w:val="007B2C42"/>
    <w:rsid w:val="007B2DCA"/>
    <w:rsid w:val="007B32E9"/>
    <w:rsid w:val="007B33C2"/>
    <w:rsid w:val="007B3515"/>
    <w:rsid w:val="007B38CE"/>
    <w:rsid w:val="007B3BDF"/>
    <w:rsid w:val="007B3E1F"/>
    <w:rsid w:val="007B40B9"/>
    <w:rsid w:val="007B45AB"/>
    <w:rsid w:val="007B5264"/>
    <w:rsid w:val="007B5541"/>
    <w:rsid w:val="007B56DB"/>
    <w:rsid w:val="007B5879"/>
    <w:rsid w:val="007B5D6E"/>
    <w:rsid w:val="007B6641"/>
    <w:rsid w:val="007B6952"/>
    <w:rsid w:val="007B6A6A"/>
    <w:rsid w:val="007B6EA2"/>
    <w:rsid w:val="007B77A6"/>
    <w:rsid w:val="007C08F0"/>
    <w:rsid w:val="007C1B67"/>
    <w:rsid w:val="007C1C6A"/>
    <w:rsid w:val="007C1CD4"/>
    <w:rsid w:val="007C2A8B"/>
    <w:rsid w:val="007C2B0C"/>
    <w:rsid w:val="007C2D4B"/>
    <w:rsid w:val="007C2E09"/>
    <w:rsid w:val="007C34CA"/>
    <w:rsid w:val="007C3531"/>
    <w:rsid w:val="007C365A"/>
    <w:rsid w:val="007C399C"/>
    <w:rsid w:val="007C4018"/>
    <w:rsid w:val="007C4B69"/>
    <w:rsid w:val="007C4ED0"/>
    <w:rsid w:val="007C51C0"/>
    <w:rsid w:val="007C52A1"/>
    <w:rsid w:val="007C5646"/>
    <w:rsid w:val="007C570B"/>
    <w:rsid w:val="007C5B32"/>
    <w:rsid w:val="007C5EE0"/>
    <w:rsid w:val="007C5FAD"/>
    <w:rsid w:val="007C6121"/>
    <w:rsid w:val="007C634D"/>
    <w:rsid w:val="007C65F1"/>
    <w:rsid w:val="007C6F80"/>
    <w:rsid w:val="007C710A"/>
    <w:rsid w:val="007D0084"/>
    <w:rsid w:val="007D039F"/>
    <w:rsid w:val="007D0457"/>
    <w:rsid w:val="007D046F"/>
    <w:rsid w:val="007D055E"/>
    <w:rsid w:val="007D07DD"/>
    <w:rsid w:val="007D0DD0"/>
    <w:rsid w:val="007D0F91"/>
    <w:rsid w:val="007D1022"/>
    <w:rsid w:val="007D15F6"/>
    <w:rsid w:val="007D1D91"/>
    <w:rsid w:val="007D25B2"/>
    <w:rsid w:val="007D2644"/>
    <w:rsid w:val="007D2666"/>
    <w:rsid w:val="007D276F"/>
    <w:rsid w:val="007D2E8F"/>
    <w:rsid w:val="007D3493"/>
    <w:rsid w:val="007D389F"/>
    <w:rsid w:val="007D3E95"/>
    <w:rsid w:val="007D580F"/>
    <w:rsid w:val="007D5A65"/>
    <w:rsid w:val="007D6528"/>
    <w:rsid w:val="007D70A9"/>
    <w:rsid w:val="007D7385"/>
    <w:rsid w:val="007D7898"/>
    <w:rsid w:val="007D7C4F"/>
    <w:rsid w:val="007E1872"/>
    <w:rsid w:val="007E1D47"/>
    <w:rsid w:val="007E2824"/>
    <w:rsid w:val="007E2ADF"/>
    <w:rsid w:val="007E2F0A"/>
    <w:rsid w:val="007E3E9F"/>
    <w:rsid w:val="007E41A1"/>
    <w:rsid w:val="007E4468"/>
    <w:rsid w:val="007E47B2"/>
    <w:rsid w:val="007E5083"/>
    <w:rsid w:val="007E5356"/>
    <w:rsid w:val="007E545B"/>
    <w:rsid w:val="007E5472"/>
    <w:rsid w:val="007E5896"/>
    <w:rsid w:val="007E5FDF"/>
    <w:rsid w:val="007E642D"/>
    <w:rsid w:val="007E6CDA"/>
    <w:rsid w:val="007E6F40"/>
    <w:rsid w:val="007E71EA"/>
    <w:rsid w:val="007E769A"/>
    <w:rsid w:val="007F05B6"/>
    <w:rsid w:val="007F0B6C"/>
    <w:rsid w:val="007F0EFC"/>
    <w:rsid w:val="007F0FFE"/>
    <w:rsid w:val="007F155B"/>
    <w:rsid w:val="007F16CF"/>
    <w:rsid w:val="007F1720"/>
    <w:rsid w:val="007F1881"/>
    <w:rsid w:val="007F1D61"/>
    <w:rsid w:val="007F262D"/>
    <w:rsid w:val="007F2E01"/>
    <w:rsid w:val="007F2ECB"/>
    <w:rsid w:val="007F30D0"/>
    <w:rsid w:val="007F3132"/>
    <w:rsid w:val="007F3575"/>
    <w:rsid w:val="007F39C3"/>
    <w:rsid w:val="007F3FCD"/>
    <w:rsid w:val="007F410D"/>
    <w:rsid w:val="007F4256"/>
    <w:rsid w:val="007F45FD"/>
    <w:rsid w:val="007F48BC"/>
    <w:rsid w:val="007F4BF0"/>
    <w:rsid w:val="007F4D72"/>
    <w:rsid w:val="007F50B4"/>
    <w:rsid w:val="007F53C3"/>
    <w:rsid w:val="007F540D"/>
    <w:rsid w:val="007F5B5C"/>
    <w:rsid w:val="007F5EFA"/>
    <w:rsid w:val="007F5F53"/>
    <w:rsid w:val="007F6309"/>
    <w:rsid w:val="007F6616"/>
    <w:rsid w:val="007F729F"/>
    <w:rsid w:val="007F7BC5"/>
    <w:rsid w:val="007F7CE4"/>
    <w:rsid w:val="00800D8D"/>
    <w:rsid w:val="00801038"/>
    <w:rsid w:val="00801514"/>
    <w:rsid w:val="00801607"/>
    <w:rsid w:val="008016A0"/>
    <w:rsid w:val="00801F28"/>
    <w:rsid w:val="00802448"/>
    <w:rsid w:val="008025DF"/>
    <w:rsid w:val="008028A9"/>
    <w:rsid w:val="00802A72"/>
    <w:rsid w:val="00802D61"/>
    <w:rsid w:val="00803041"/>
    <w:rsid w:val="0080342F"/>
    <w:rsid w:val="00803BE3"/>
    <w:rsid w:val="00804214"/>
    <w:rsid w:val="008042AA"/>
    <w:rsid w:val="00804D37"/>
    <w:rsid w:val="00805574"/>
    <w:rsid w:val="0080585F"/>
    <w:rsid w:val="00805E14"/>
    <w:rsid w:val="008063E7"/>
    <w:rsid w:val="008064F3"/>
    <w:rsid w:val="00806781"/>
    <w:rsid w:val="00806925"/>
    <w:rsid w:val="008069CB"/>
    <w:rsid w:val="00806AA6"/>
    <w:rsid w:val="00807031"/>
    <w:rsid w:val="0080731C"/>
    <w:rsid w:val="00807760"/>
    <w:rsid w:val="00807853"/>
    <w:rsid w:val="008078FB"/>
    <w:rsid w:val="00807DBD"/>
    <w:rsid w:val="0081017E"/>
    <w:rsid w:val="0081049D"/>
    <w:rsid w:val="00810669"/>
    <w:rsid w:val="00810781"/>
    <w:rsid w:val="00810AC0"/>
    <w:rsid w:val="00810AC1"/>
    <w:rsid w:val="00810BB6"/>
    <w:rsid w:val="00810FD8"/>
    <w:rsid w:val="0081122E"/>
    <w:rsid w:val="0081137E"/>
    <w:rsid w:val="008115D9"/>
    <w:rsid w:val="008119D4"/>
    <w:rsid w:val="00811D1F"/>
    <w:rsid w:val="00812B92"/>
    <w:rsid w:val="00812C5C"/>
    <w:rsid w:val="00813899"/>
    <w:rsid w:val="00813C13"/>
    <w:rsid w:val="00814070"/>
    <w:rsid w:val="00814C90"/>
    <w:rsid w:val="00814ED4"/>
    <w:rsid w:val="00814FE4"/>
    <w:rsid w:val="00815123"/>
    <w:rsid w:val="008154BC"/>
    <w:rsid w:val="008157D3"/>
    <w:rsid w:val="008157F4"/>
    <w:rsid w:val="00815B34"/>
    <w:rsid w:val="00815C72"/>
    <w:rsid w:val="00816152"/>
    <w:rsid w:val="008168B8"/>
    <w:rsid w:val="00816924"/>
    <w:rsid w:val="00816E19"/>
    <w:rsid w:val="00817396"/>
    <w:rsid w:val="00820335"/>
    <w:rsid w:val="008204DE"/>
    <w:rsid w:val="008204FD"/>
    <w:rsid w:val="00820764"/>
    <w:rsid w:val="00820D93"/>
    <w:rsid w:val="00820FBE"/>
    <w:rsid w:val="00821393"/>
    <w:rsid w:val="008215E5"/>
    <w:rsid w:val="00821ADC"/>
    <w:rsid w:val="008226BE"/>
    <w:rsid w:val="00822C09"/>
    <w:rsid w:val="00823074"/>
    <w:rsid w:val="008236EE"/>
    <w:rsid w:val="00823F6B"/>
    <w:rsid w:val="00824088"/>
    <w:rsid w:val="008244CA"/>
    <w:rsid w:val="008245CF"/>
    <w:rsid w:val="0082460C"/>
    <w:rsid w:val="0082462C"/>
    <w:rsid w:val="008247FF"/>
    <w:rsid w:val="00824A4F"/>
    <w:rsid w:val="00824C93"/>
    <w:rsid w:val="00824E3C"/>
    <w:rsid w:val="00824E72"/>
    <w:rsid w:val="008252BF"/>
    <w:rsid w:val="008256EA"/>
    <w:rsid w:val="008257B9"/>
    <w:rsid w:val="008257CE"/>
    <w:rsid w:val="00825858"/>
    <w:rsid w:val="00825948"/>
    <w:rsid w:val="00825E0D"/>
    <w:rsid w:val="008261F8"/>
    <w:rsid w:val="008263FB"/>
    <w:rsid w:val="0082659E"/>
    <w:rsid w:val="00826FC5"/>
    <w:rsid w:val="00827013"/>
    <w:rsid w:val="00827170"/>
    <w:rsid w:val="0082717C"/>
    <w:rsid w:val="00830161"/>
    <w:rsid w:val="00830990"/>
    <w:rsid w:val="00830DB4"/>
    <w:rsid w:val="008311A8"/>
    <w:rsid w:val="00831557"/>
    <w:rsid w:val="00831FB2"/>
    <w:rsid w:val="008320EB"/>
    <w:rsid w:val="008321E4"/>
    <w:rsid w:val="00832B0B"/>
    <w:rsid w:val="00833067"/>
    <w:rsid w:val="0083347F"/>
    <w:rsid w:val="00833BEF"/>
    <w:rsid w:val="00833FED"/>
    <w:rsid w:val="008347CE"/>
    <w:rsid w:val="00834AC3"/>
    <w:rsid w:val="008358A9"/>
    <w:rsid w:val="00835E67"/>
    <w:rsid w:val="00835FA8"/>
    <w:rsid w:val="00836204"/>
    <w:rsid w:val="00836DDA"/>
    <w:rsid w:val="00837760"/>
    <w:rsid w:val="008378DC"/>
    <w:rsid w:val="008379FB"/>
    <w:rsid w:val="008408E7"/>
    <w:rsid w:val="0084115F"/>
    <w:rsid w:val="008411BF"/>
    <w:rsid w:val="008419CE"/>
    <w:rsid w:val="00841D51"/>
    <w:rsid w:val="00843744"/>
    <w:rsid w:val="008437DA"/>
    <w:rsid w:val="00843827"/>
    <w:rsid w:val="0084470D"/>
    <w:rsid w:val="008447BB"/>
    <w:rsid w:val="008449FB"/>
    <w:rsid w:val="00844C60"/>
    <w:rsid w:val="0084561D"/>
    <w:rsid w:val="00845A6B"/>
    <w:rsid w:val="00845DA7"/>
    <w:rsid w:val="00845F55"/>
    <w:rsid w:val="008466A8"/>
    <w:rsid w:val="008467FF"/>
    <w:rsid w:val="008468BE"/>
    <w:rsid w:val="00846D40"/>
    <w:rsid w:val="00846F7D"/>
    <w:rsid w:val="00847024"/>
    <w:rsid w:val="00847083"/>
    <w:rsid w:val="008473EF"/>
    <w:rsid w:val="00847691"/>
    <w:rsid w:val="00847A0C"/>
    <w:rsid w:val="00847DC1"/>
    <w:rsid w:val="00847EDA"/>
    <w:rsid w:val="008504A2"/>
    <w:rsid w:val="00850688"/>
    <w:rsid w:val="008509BB"/>
    <w:rsid w:val="00850D51"/>
    <w:rsid w:val="0085135B"/>
    <w:rsid w:val="00851663"/>
    <w:rsid w:val="00851A85"/>
    <w:rsid w:val="00851AE3"/>
    <w:rsid w:val="00852551"/>
    <w:rsid w:val="0085264C"/>
    <w:rsid w:val="00852C84"/>
    <w:rsid w:val="00852F0B"/>
    <w:rsid w:val="00853082"/>
    <w:rsid w:val="00853907"/>
    <w:rsid w:val="00853CF6"/>
    <w:rsid w:val="00853E4D"/>
    <w:rsid w:val="00853F7E"/>
    <w:rsid w:val="008544B4"/>
    <w:rsid w:val="00854608"/>
    <w:rsid w:val="00855642"/>
    <w:rsid w:val="008556D4"/>
    <w:rsid w:val="008558A1"/>
    <w:rsid w:val="00855F35"/>
    <w:rsid w:val="0085631B"/>
    <w:rsid w:val="008563F8"/>
    <w:rsid w:val="008566BB"/>
    <w:rsid w:val="00856E6E"/>
    <w:rsid w:val="00857ACC"/>
    <w:rsid w:val="00857EF7"/>
    <w:rsid w:val="00860031"/>
    <w:rsid w:val="008600FE"/>
    <w:rsid w:val="0086017F"/>
    <w:rsid w:val="008602D4"/>
    <w:rsid w:val="008604BA"/>
    <w:rsid w:val="00860756"/>
    <w:rsid w:val="008607B6"/>
    <w:rsid w:val="0086136E"/>
    <w:rsid w:val="008617FC"/>
    <w:rsid w:val="008618E4"/>
    <w:rsid w:val="00861964"/>
    <w:rsid w:val="00861B24"/>
    <w:rsid w:val="00861D95"/>
    <w:rsid w:val="00862846"/>
    <w:rsid w:val="008628DB"/>
    <w:rsid w:val="008628DF"/>
    <w:rsid w:val="00862BF7"/>
    <w:rsid w:val="008630F4"/>
    <w:rsid w:val="00863B85"/>
    <w:rsid w:val="00863D37"/>
    <w:rsid w:val="00864152"/>
    <w:rsid w:val="008644B3"/>
    <w:rsid w:val="0086475C"/>
    <w:rsid w:val="008651C1"/>
    <w:rsid w:val="00865459"/>
    <w:rsid w:val="008655D6"/>
    <w:rsid w:val="008656E8"/>
    <w:rsid w:val="00865B77"/>
    <w:rsid w:val="00865BDE"/>
    <w:rsid w:val="00865FD3"/>
    <w:rsid w:val="008664AF"/>
    <w:rsid w:val="0086655A"/>
    <w:rsid w:val="00866721"/>
    <w:rsid w:val="00866A9D"/>
    <w:rsid w:val="00866D3F"/>
    <w:rsid w:val="00866E2E"/>
    <w:rsid w:val="00867615"/>
    <w:rsid w:val="008676EC"/>
    <w:rsid w:val="008677EC"/>
    <w:rsid w:val="00867AAA"/>
    <w:rsid w:val="00867C20"/>
    <w:rsid w:val="00867D80"/>
    <w:rsid w:val="008714C9"/>
    <w:rsid w:val="00871F07"/>
    <w:rsid w:val="00872276"/>
    <w:rsid w:val="00872BFB"/>
    <w:rsid w:val="00872E72"/>
    <w:rsid w:val="00873040"/>
    <w:rsid w:val="00873ABD"/>
    <w:rsid w:val="00874511"/>
    <w:rsid w:val="008748A1"/>
    <w:rsid w:val="00874AD8"/>
    <w:rsid w:val="00874C94"/>
    <w:rsid w:val="00875226"/>
    <w:rsid w:val="008755B7"/>
    <w:rsid w:val="0087569A"/>
    <w:rsid w:val="00875AE6"/>
    <w:rsid w:val="00876447"/>
    <w:rsid w:val="00876876"/>
    <w:rsid w:val="00876CE8"/>
    <w:rsid w:val="0087703A"/>
    <w:rsid w:val="00877B44"/>
    <w:rsid w:val="0088037E"/>
    <w:rsid w:val="00880790"/>
    <w:rsid w:val="008809AA"/>
    <w:rsid w:val="00880E08"/>
    <w:rsid w:val="00881350"/>
    <w:rsid w:val="008815D8"/>
    <w:rsid w:val="00881649"/>
    <w:rsid w:val="008817A6"/>
    <w:rsid w:val="00881807"/>
    <w:rsid w:val="00881868"/>
    <w:rsid w:val="00881943"/>
    <w:rsid w:val="00882681"/>
    <w:rsid w:val="00882872"/>
    <w:rsid w:val="00882CFE"/>
    <w:rsid w:val="00882DAF"/>
    <w:rsid w:val="008831DE"/>
    <w:rsid w:val="0088322B"/>
    <w:rsid w:val="00883291"/>
    <w:rsid w:val="00883849"/>
    <w:rsid w:val="00884807"/>
    <w:rsid w:val="0088486A"/>
    <w:rsid w:val="00884D25"/>
    <w:rsid w:val="0088566D"/>
    <w:rsid w:val="008856CF"/>
    <w:rsid w:val="008858F1"/>
    <w:rsid w:val="00885FC7"/>
    <w:rsid w:val="00886548"/>
    <w:rsid w:val="0088659C"/>
    <w:rsid w:val="008869ED"/>
    <w:rsid w:val="008873D7"/>
    <w:rsid w:val="00887A4E"/>
    <w:rsid w:val="00887B4C"/>
    <w:rsid w:val="00887D24"/>
    <w:rsid w:val="00887F07"/>
    <w:rsid w:val="008900D2"/>
    <w:rsid w:val="008905D0"/>
    <w:rsid w:val="0089093D"/>
    <w:rsid w:val="00890988"/>
    <w:rsid w:val="008912BC"/>
    <w:rsid w:val="008919ED"/>
    <w:rsid w:val="00891EA2"/>
    <w:rsid w:val="008921CF"/>
    <w:rsid w:val="00892433"/>
    <w:rsid w:val="00892629"/>
    <w:rsid w:val="0089298C"/>
    <w:rsid w:val="00892CD0"/>
    <w:rsid w:val="0089300A"/>
    <w:rsid w:val="008930FB"/>
    <w:rsid w:val="00893247"/>
    <w:rsid w:val="00893697"/>
    <w:rsid w:val="008936B5"/>
    <w:rsid w:val="00893ACB"/>
    <w:rsid w:val="00893EBE"/>
    <w:rsid w:val="0089460A"/>
    <w:rsid w:val="00894698"/>
    <w:rsid w:val="00894D50"/>
    <w:rsid w:val="0089591D"/>
    <w:rsid w:val="008965E2"/>
    <w:rsid w:val="00896840"/>
    <w:rsid w:val="00896D49"/>
    <w:rsid w:val="00896F9F"/>
    <w:rsid w:val="008970EE"/>
    <w:rsid w:val="00897196"/>
    <w:rsid w:val="008973F0"/>
    <w:rsid w:val="008974EF"/>
    <w:rsid w:val="0089794F"/>
    <w:rsid w:val="008979A7"/>
    <w:rsid w:val="008A0277"/>
    <w:rsid w:val="008A0609"/>
    <w:rsid w:val="008A0C2D"/>
    <w:rsid w:val="008A0F93"/>
    <w:rsid w:val="008A122F"/>
    <w:rsid w:val="008A245A"/>
    <w:rsid w:val="008A2C7A"/>
    <w:rsid w:val="008A2E4A"/>
    <w:rsid w:val="008A2F92"/>
    <w:rsid w:val="008A34F9"/>
    <w:rsid w:val="008A368B"/>
    <w:rsid w:val="008A3DFE"/>
    <w:rsid w:val="008A40AE"/>
    <w:rsid w:val="008A4367"/>
    <w:rsid w:val="008A43A6"/>
    <w:rsid w:val="008A48F6"/>
    <w:rsid w:val="008A4A55"/>
    <w:rsid w:val="008A4B21"/>
    <w:rsid w:val="008A4F2F"/>
    <w:rsid w:val="008A5063"/>
    <w:rsid w:val="008A57B1"/>
    <w:rsid w:val="008A590B"/>
    <w:rsid w:val="008A5A0A"/>
    <w:rsid w:val="008A5B61"/>
    <w:rsid w:val="008A5CC7"/>
    <w:rsid w:val="008A5D04"/>
    <w:rsid w:val="008A5E7C"/>
    <w:rsid w:val="008A5E8E"/>
    <w:rsid w:val="008A5F08"/>
    <w:rsid w:val="008A67DF"/>
    <w:rsid w:val="008A6805"/>
    <w:rsid w:val="008A6871"/>
    <w:rsid w:val="008A6BA2"/>
    <w:rsid w:val="008A7C2F"/>
    <w:rsid w:val="008B07EE"/>
    <w:rsid w:val="008B1086"/>
    <w:rsid w:val="008B14F0"/>
    <w:rsid w:val="008B166B"/>
    <w:rsid w:val="008B182F"/>
    <w:rsid w:val="008B1C8D"/>
    <w:rsid w:val="008B1E4E"/>
    <w:rsid w:val="008B1EE9"/>
    <w:rsid w:val="008B1FC2"/>
    <w:rsid w:val="008B228F"/>
    <w:rsid w:val="008B22A7"/>
    <w:rsid w:val="008B2749"/>
    <w:rsid w:val="008B2A02"/>
    <w:rsid w:val="008B2AF2"/>
    <w:rsid w:val="008B349A"/>
    <w:rsid w:val="008B364F"/>
    <w:rsid w:val="008B3AE1"/>
    <w:rsid w:val="008B3BEB"/>
    <w:rsid w:val="008B4E57"/>
    <w:rsid w:val="008B56AA"/>
    <w:rsid w:val="008B59ED"/>
    <w:rsid w:val="008B5BC3"/>
    <w:rsid w:val="008B5FA2"/>
    <w:rsid w:val="008B6087"/>
    <w:rsid w:val="008B64D0"/>
    <w:rsid w:val="008B6545"/>
    <w:rsid w:val="008B7151"/>
    <w:rsid w:val="008B7CA9"/>
    <w:rsid w:val="008C01A4"/>
    <w:rsid w:val="008C03CC"/>
    <w:rsid w:val="008C0B0E"/>
    <w:rsid w:val="008C1C85"/>
    <w:rsid w:val="008C1EB5"/>
    <w:rsid w:val="008C20EE"/>
    <w:rsid w:val="008C2884"/>
    <w:rsid w:val="008C2908"/>
    <w:rsid w:val="008C31F1"/>
    <w:rsid w:val="008C3739"/>
    <w:rsid w:val="008C3900"/>
    <w:rsid w:val="008C4166"/>
    <w:rsid w:val="008C41DF"/>
    <w:rsid w:val="008C44AE"/>
    <w:rsid w:val="008C461F"/>
    <w:rsid w:val="008C4854"/>
    <w:rsid w:val="008C4990"/>
    <w:rsid w:val="008C4F87"/>
    <w:rsid w:val="008C521B"/>
    <w:rsid w:val="008C527F"/>
    <w:rsid w:val="008C550D"/>
    <w:rsid w:val="008C584A"/>
    <w:rsid w:val="008C5902"/>
    <w:rsid w:val="008C59C8"/>
    <w:rsid w:val="008C5CF3"/>
    <w:rsid w:val="008C5F52"/>
    <w:rsid w:val="008C5F75"/>
    <w:rsid w:val="008C5F83"/>
    <w:rsid w:val="008C6F3C"/>
    <w:rsid w:val="008C7692"/>
    <w:rsid w:val="008C7AB3"/>
    <w:rsid w:val="008D0040"/>
    <w:rsid w:val="008D006F"/>
    <w:rsid w:val="008D042C"/>
    <w:rsid w:val="008D0A27"/>
    <w:rsid w:val="008D1174"/>
    <w:rsid w:val="008D1337"/>
    <w:rsid w:val="008D1633"/>
    <w:rsid w:val="008D17FC"/>
    <w:rsid w:val="008D1A2E"/>
    <w:rsid w:val="008D1B43"/>
    <w:rsid w:val="008D1CB1"/>
    <w:rsid w:val="008D2027"/>
    <w:rsid w:val="008D22A7"/>
    <w:rsid w:val="008D236B"/>
    <w:rsid w:val="008D25E9"/>
    <w:rsid w:val="008D32C6"/>
    <w:rsid w:val="008D36A8"/>
    <w:rsid w:val="008D3719"/>
    <w:rsid w:val="008D3795"/>
    <w:rsid w:val="008D3C6D"/>
    <w:rsid w:val="008D3F93"/>
    <w:rsid w:val="008D435D"/>
    <w:rsid w:val="008D45EE"/>
    <w:rsid w:val="008D460A"/>
    <w:rsid w:val="008D4AC7"/>
    <w:rsid w:val="008D4D2B"/>
    <w:rsid w:val="008D4E8A"/>
    <w:rsid w:val="008D5273"/>
    <w:rsid w:val="008D5BA6"/>
    <w:rsid w:val="008D5D98"/>
    <w:rsid w:val="008D620C"/>
    <w:rsid w:val="008D63F6"/>
    <w:rsid w:val="008D64D2"/>
    <w:rsid w:val="008D665E"/>
    <w:rsid w:val="008D670F"/>
    <w:rsid w:val="008D7586"/>
    <w:rsid w:val="008E05C2"/>
    <w:rsid w:val="008E0CAB"/>
    <w:rsid w:val="008E0F9F"/>
    <w:rsid w:val="008E1026"/>
    <w:rsid w:val="008E1214"/>
    <w:rsid w:val="008E12CC"/>
    <w:rsid w:val="008E246F"/>
    <w:rsid w:val="008E25AB"/>
    <w:rsid w:val="008E2CE2"/>
    <w:rsid w:val="008E36A7"/>
    <w:rsid w:val="008E36F6"/>
    <w:rsid w:val="008E39EF"/>
    <w:rsid w:val="008E3E36"/>
    <w:rsid w:val="008E41B8"/>
    <w:rsid w:val="008E43D7"/>
    <w:rsid w:val="008E43DE"/>
    <w:rsid w:val="008E45A7"/>
    <w:rsid w:val="008E4749"/>
    <w:rsid w:val="008E4DE8"/>
    <w:rsid w:val="008E4EF6"/>
    <w:rsid w:val="008E5656"/>
    <w:rsid w:val="008E6101"/>
    <w:rsid w:val="008E6AE6"/>
    <w:rsid w:val="008E6EA9"/>
    <w:rsid w:val="008E6F63"/>
    <w:rsid w:val="008E702C"/>
    <w:rsid w:val="008E7B8F"/>
    <w:rsid w:val="008F08FC"/>
    <w:rsid w:val="008F0BBE"/>
    <w:rsid w:val="008F0EC1"/>
    <w:rsid w:val="008F1145"/>
    <w:rsid w:val="008F18CF"/>
    <w:rsid w:val="008F1908"/>
    <w:rsid w:val="008F1CE1"/>
    <w:rsid w:val="008F1FDB"/>
    <w:rsid w:val="008F1FDF"/>
    <w:rsid w:val="008F25CF"/>
    <w:rsid w:val="008F264A"/>
    <w:rsid w:val="008F2C8D"/>
    <w:rsid w:val="008F2DAE"/>
    <w:rsid w:val="008F3034"/>
    <w:rsid w:val="008F325D"/>
    <w:rsid w:val="008F3260"/>
    <w:rsid w:val="008F34AC"/>
    <w:rsid w:val="008F3B79"/>
    <w:rsid w:val="008F3D0C"/>
    <w:rsid w:val="008F3E2F"/>
    <w:rsid w:val="008F44BA"/>
    <w:rsid w:val="008F45A9"/>
    <w:rsid w:val="008F4AF8"/>
    <w:rsid w:val="008F50EC"/>
    <w:rsid w:val="008F61AC"/>
    <w:rsid w:val="008F6AA6"/>
    <w:rsid w:val="008F6C0B"/>
    <w:rsid w:val="008F772B"/>
    <w:rsid w:val="008F7C60"/>
    <w:rsid w:val="008F7D70"/>
    <w:rsid w:val="0090010B"/>
    <w:rsid w:val="009003CA"/>
    <w:rsid w:val="00900A69"/>
    <w:rsid w:val="00901134"/>
    <w:rsid w:val="009014BD"/>
    <w:rsid w:val="009015C4"/>
    <w:rsid w:val="0090173D"/>
    <w:rsid w:val="00901AC5"/>
    <w:rsid w:val="00901EF6"/>
    <w:rsid w:val="009022D6"/>
    <w:rsid w:val="009025A5"/>
    <w:rsid w:val="009029D1"/>
    <w:rsid w:val="00902BE8"/>
    <w:rsid w:val="009030C9"/>
    <w:rsid w:val="009041EC"/>
    <w:rsid w:val="0090480F"/>
    <w:rsid w:val="00904A20"/>
    <w:rsid w:val="00904A2F"/>
    <w:rsid w:val="00904B1E"/>
    <w:rsid w:val="00904B23"/>
    <w:rsid w:val="00904E09"/>
    <w:rsid w:val="00905770"/>
    <w:rsid w:val="00905D46"/>
    <w:rsid w:val="00905E17"/>
    <w:rsid w:val="00905EB0"/>
    <w:rsid w:val="009064C2"/>
    <w:rsid w:val="009064D3"/>
    <w:rsid w:val="00906BD0"/>
    <w:rsid w:val="00906E2F"/>
    <w:rsid w:val="00906FAF"/>
    <w:rsid w:val="009071F8"/>
    <w:rsid w:val="00907383"/>
    <w:rsid w:val="00907670"/>
    <w:rsid w:val="00907874"/>
    <w:rsid w:val="00907B3F"/>
    <w:rsid w:val="009100D6"/>
    <w:rsid w:val="00910751"/>
    <w:rsid w:val="009107CF"/>
    <w:rsid w:val="00910C36"/>
    <w:rsid w:val="009112A9"/>
    <w:rsid w:val="00912497"/>
    <w:rsid w:val="00912504"/>
    <w:rsid w:val="00912569"/>
    <w:rsid w:val="00912695"/>
    <w:rsid w:val="00912FCC"/>
    <w:rsid w:val="00913075"/>
    <w:rsid w:val="0091347A"/>
    <w:rsid w:val="009135A8"/>
    <w:rsid w:val="00913BA6"/>
    <w:rsid w:val="00913DC0"/>
    <w:rsid w:val="009141CC"/>
    <w:rsid w:val="00914388"/>
    <w:rsid w:val="00914D61"/>
    <w:rsid w:val="0091501E"/>
    <w:rsid w:val="009150F1"/>
    <w:rsid w:val="009152E7"/>
    <w:rsid w:val="009157F3"/>
    <w:rsid w:val="009158B7"/>
    <w:rsid w:val="00915A4E"/>
    <w:rsid w:val="00916AAD"/>
    <w:rsid w:val="0091712E"/>
    <w:rsid w:val="0091785D"/>
    <w:rsid w:val="00917DBE"/>
    <w:rsid w:val="009202D6"/>
    <w:rsid w:val="009205C9"/>
    <w:rsid w:val="00922133"/>
    <w:rsid w:val="009223D0"/>
    <w:rsid w:val="00922A7A"/>
    <w:rsid w:val="00922E01"/>
    <w:rsid w:val="00922F42"/>
    <w:rsid w:val="00922F90"/>
    <w:rsid w:val="00923413"/>
    <w:rsid w:val="00923E93"/>
    <w:rsid w:val="00924179"/>
    <w:rsid w:val="00924279"/>
    <w:rsid w:val="009249FB"/>
    <w:rsid w:val="00924D19"/>
    <w:rsid w:val="00924D65"/>
    <w:rsid w:val="00924E9C"/>
    <w:rsid w:val="0092522A"/>
    <w:rsid w:val="0092580A"/>
    <w:rsid w:val="00925CD2"/>
    <w:rsid w:val="009261C0"/>
    <w:rsid w:val="00926A2B"/>
    <w:rsid w:val="00926A4B"/>
    <w:rsid w:val="00926BE0"/>
    <w:rsid w:val="009270E4"/>
    <w:rsid w:val="00927226"/>
    <w:rsid w:val="00927C52"/>
    <w:rsid w:val="00927D9E"/>
    <w:rsid w:val="00927EB0"/>
    <w:rsid w:val="00927EB6"/>
    <w:rsid w:val="00930561"/>
    <w:rsid w:val="0093097D"/>
    <w:rsid w:val="009310DC"/>
    <w:rsid w:val="009311ED"/>
    <w:rsid w:val="00931DC8"/>
    <w:rsid w:val="00931F3A"/>
    <w:rsid w:val="00932421"/>
    <w:rsid w:val="00932686"/>
    <w:rsid w:val="00933034"/>
    <w:rsid w:val="009330F7"/>
    <w:rsid w:val="0093328C"/>
    <w:rsid w:val="009337ED"/>
    <w:rsid w:val="00933B8A"/>
    <w:rsid w:val="00933E90"/>
    <w:rsid w:val="00933EBF"/>
    <w:rsid w:val="0093464C"/>
    <w:rsid w:val="0093490B"/>
    <w:rsid w:val="00934D33"/>
    <w:rsid w:val="0093537E"/>
    <w:rsid w:val="00935538"/>
    <w:rsid w:val="0093691B"/>
    <w:rsid w:val="00937125"/>
    <w:rsid w:val="00937159"/>
    <w:rsid w:val="00937252"/>
    <w:rsid w:val="0093774B"/>
    <w:rsid w:val="009377C9"/>
    <w:rsid w:val="00937EF2"/>
    <w:rsid w:val="009400A8"/>
    <w:rsid w:val="009403A3"/>
    <w:rsid w:val="009403D9"/>
    <w:rsid w:val="0094043F"/>
    <w:rsid w:val="009409C1"/>
    <w:rsid w:val="00940B13"/>
    <w:rsid w:val="00940C14"/>
    <w:rsid w:val="00940EFD"/>
    <w:rsid w:val="00941311"/>
    <w:rsid w:val="009414AB"/>
    <w:rsid w:val="00941707"/>
    <w:rsid w:val="00941D37"/>
    <w:rsid w:val="009420FE"/>
    <w:rsid w:val="00942393"/>
    <w:rsid w:val="00942E1F"/>
    <w:rsid w:val="009431E2"/>
    <w:rsid w:val="00943534"/>
    <w:rsid w:val="00943812"/>
    <w:rsid w:val="00943C30"/>
    <w:rsid w:val="00943CEC"/>
    <w:rsid w:val="00943FA4"/>
    <w:rsid w:val="00943FA9"/>
    <w:rsid w:val="00944547"/>
    <w:rsid w:val="00944640"/>
    <w:rsid w:val="0094466D"/>
    <w:rsid w:val="0094466E"/>
    <w:rsid w:val="00944AEB"/>
    <w:rsid w:val="00944B24"/>
    <w:rsid w:val="00944CAE"/>
    <w:rsid w:val="009456BC"/>
    <w:rsid w:val="00945990"/>
    <w:rsid w:val="00945A74"/>
    <w:rsid w:val="00946186"/>
    <w:rsid w:val="009462D0"/>
    <w:rsid w:val="00946B80"/>
    <w:rsid w:val="00946B91"/>
    <w:rsid w:val="00946BDF"/>
    <w:rsid w:val="009470EB"/>
    <w:rsid w:val="0094741C"/>
    <w:rsid w:val="0094772A"/>
    <w:rsid w:val="00947AEB"/>
    <w:rsid w:val="00947CAC"/>
    <w:rsid w:val="00947F34"/>
    <w:rsid w:val="00950556"/>
    <w:rsid w:val="009510D2"/>
    <w:rsid w:val="00951E41"/>
    <w:rsid w:val="00952A0F"/>
    <w:rsid w:val="00952ABF"/>
    <w:rsid w:val="00952EF2"/>
    <w:rsid w:val="00953552"/>
    <w:rsid w:val="009535F3"/>
    <w:rsid w:val="00953974"/>
    <w:rsid w:val="00953C48"/>
    <w:rsid w:val="0095407F"/>
    <w:rsid w:val="009542B7"/>
    <w:rsid w:val="0095517E"/>
    <w:rsid w:val="009555F0"/>
    <w:rsid w:val="0095564E"/>
    <w:rsid w:val="009558CC"/>
    <w:rsid w:val="009565AF"/>
    <w:rsid w:val="00956E62"/>
    <w:rsid w:val="00956FEA"/>
    <w:rsid w:val="009575AC"/>
    <w:rsid w:val="00957662"/>
    <w:rsid w:val="00957B24"/>
    <w:rsid w:val="00957C90"/>
    <w:rsid w:val="00957E2A"/>
    <w:rsid w:val="00957F54"/>
    <w:rsid w:val="0096070B"/>
    <w:rsid w:val="00960EF9"/>
    <w:rsid w:val="00960FFE"/>
    <w:rsid w:val="009619EC"/>
    <w:rsid w:val="00961AA5"/>
    <w:rsid w:val="00961BBC"/>
    <w:rsid w:val="00961D74"/>
    <w:rsid w:val="00961DE4"/>
    <w:rsid w:val="0096212E"/>
    <w:rsid w:val="00962BD7"/>
    <w:rsid w:val="009634F4"/>
    <w:rsid w:val="009635CB"/>
    <w:rsid w:val="00963920"/>
    <w:rsid w:val="00963E4B"/>
    <w:rsid w:val="00965941"/>
    <w:rsid w:val="00965AC9"/>
    <w:rsid w:val="00965AE0"/>
    <w:rsid w:val="00966188"/>
    <w:rsid w:val="0096642F"/>
    <w:rsid w:val="00966C62"/>
    <w:rsid w:val="00966E92"/>
    <w:rsid w:val="00966F95"/>
    <w:rsid w:val="009709AF"/>
    <w:rsid w:val="00971135"/>
    <w:rsid w:val="0097138E"/>
    <w:rsid w:val="00971432"/>
    <w:rsid w:val="00971779"/>
    <w:rsid w:val="009717BF"/>
    <w:rsid w:val="009719D4"/>
    <w:rsid w:val="009719E0"/>
    <w:rsid w:val="00971C76"/>
    <w:rsid w:val="00971D67"/>
    <w:rsid w:val="00972796"/>
    <w:rsid w:val="00972970"/>
    <w:rsid w:val="009729A8"/>
    <w:rsid w:val="00973387"/>
    <w:rsid w:val="009734EF"/>
    <w:rsid w:val="00973D27"/>
    <w:rsid w:val="00973DA6"/>
    <w:rsid w:val="0097462B"/>
    <w:rsid w:val="009746B0"/>
    <w:rsid w:val="00974881"/>
    <w:rsid w:val="009748ED"/>
    <w:rsid w:val="0097554F"/>
    <w:rsid w:val="00975B71"/>
    <w:rsid w:val="00975DBC"/>
    <w:rsid w:val="00975EBC"/>
    <w:rsid w:val="00976155"/>
    <w:rsid w:val="00976233"/>
    <w:rsid w:val="009763D8"/>
    <w:rsid w:val="009765C8"/>
    <w:rsid w:val="009769A2"/>
    <w:rsid w:val="00976B39"/>
    <w:rsid w:val="00976D1D"/>
    <w:rsid w:val="00980109"/>
    <w:rsid w:val="009801BD"/>
    <w:rsid w:val="009803A2"/>
    <w:rsid w:val="0098066D"/>
    <w:rsid w:val="0098090B"/>
    <w:rsid w:val="0098106C"/>
    <w:rsid w:val="009815E2"/>
    <w:rsid w:val="009819C0"/>
    <w:rsid w:val="00981BB1"/>
    <w:rsid w:val="00981CE4"/>
    <w:rsid w:val="00981DDB"/>
    <w:rsid w:val="00982246"/>
    <w:rsid w:val="00982500"/>
    <w:rsid w:val="00982623"/>
    <w:rsid w:val="00982A4F"/>
    <w:rsid w:val="00982B7E"/>
    <w:rsid w:val="00982D7E"/>
    <w:rsid w:val="00982E0B"/>
    <w:rsid w:val="009830B6"/>
    <w:rsid w:val="00983128"/>
    <w:rsid w:val="00983297"/>
    <w:rsid w:val="00983C39"/>
    <w:rsid w:val="0098433D"/>
    <w:rsid w:val="00984DA0"/>
    <w:rsid w:val="009850BF"/>
    <w:rsid w:val="0098588B"/>
    <w:rsid w:val="0098607A"/>
    <w:rsid w:val="00986373"/>
    <w:rsid w:val="009865C0"/>
    <w:rsid w:val="00986C1C"/>
    <w:rsid w:val="0098707E"/>
    <w:rsid w:val="009876E5"/>
    <w:rsid w:val="009879C3"/>
    <w:rsid w:val="00987DE7"/>
    <w:rsid w:val="00987F7A"/>
    <w:rsid w:val="00990124"/>
    <w:rsid w:val="00990507"/>
    <w:rsid w:val="00990D17"/>
    <w:rsid w:val="00990DD2"/>
    <w:rsid w:val="00990EFD"/>
    <w:rsid w:val="00990FED"/>
    <w:rsid w:val="00991047"/>
    <w:rsid w:val="0099118B"/>
    <w:rsid w:val="0099125C"/>
    <w:rsid w:val="009915D4"/>
    <w:rsid w:val="009916C1"/>
    <w:rsid w:val="00991CB3"/>
    <w:rsid w:val="0099265E"/>
    <w:rsid w:val="009927A0"/>
    <w:rsid w:val="00992888"/>
    <w:rsid w:val="00992AEA"/>
    <w:rsid w:val="00993236"/>
    <w:rsid w:val="0099345B"/>
    <w:rsid w:val="00993690"/>
    <w:rsid w:val="009936AC"/>
    <w:rsid w:val="00993BB4"/>
    <w:rsid w:val="00993BD0"/>
    <w:rsid w:val="00993C9E"/>
    <w:rsid w:val="00994946"/>
    <w:rsid w:val="00994A04"/>
    <w:rsid w:val="00994AD5"/>
    <w:rsid w:val="00994EAC"/>
    <w:rsid w:val="00994FB0"/>
    <w:rsid w:val="009952B3"/>
    <w:rsid w:val="009963CA"/>
    <w:rsid w:val="00996AA6"/>
    <w:rsid w:val="00996DB7"/>
    <w:rsid w:val="009970A8"/>
    <w:rsid w:val="009970F3"/>
    <w:rsid w:val="009974E9"/>
    <w:rsid w:val="00997597"/>
    <w:rsid w:val="00997E01"/>
    <w:rsid w:val="00997E7F"/>
    <w:rsid w:val="009A00A5"/>
    <w:rsid w:val="009A0344"/>
    <w:rsid w:val="009A035D"/>
    <w:rsid w:val="009A04AE"/>
    <w:rsid w:val="009A0C5C"/>
    <w:rsid w:val="009A0C93"/>
    <w:rsid w:val="009A0E66"/>
    <w:rsid w:val="009A1142"/>
    <w:rsid w:val="009A14A4"/>
    <w:rsid w:val="009A14D6"/>
    <w:rsid w:val="009A23F1"/>
    <w:rsid w:val="009A2CB0"/>
    <w:rsid w:val="009A2F57"/>
    <w:rsid w:val="009A33C0"/>
    <w:rsid w:val="009A3408"/>
    <w:rsid w:val="009A3E92"/>
    <w:rsid w:val="009A4081"/>
    <w:rsid w:val="009A41B2"/>
    <w:rsid w:val="009A41D3"/>
    <w:rsid w:val="009A4317"/>
    <w:rsid w:val="009A43AA"/>
    <w:rsid w:val="009A462C"/>
    <w:rsid w:val="009A4887"/>
    <w:rsid w:val="009A4ADB"/>
    <w:rsid w:val="009A4BB4"/>
    <w:rsid w:val="009A4C86"/>
    <w:rsid w:val="009A4D41"/>
    <w:rsid w:val="009A4F94"/>
    <w:rsid w:val="009A52F2"/>
    <w:rsid w:val="009A5C4D"/>
    <w:rsid w:val="009A63C7"/>
    <w:rsid w:val="009A652D"/>
    <w:rsid w:val="009A6C1B"/>
    <w:rsid w:val="009A6DCC"/>
    <w:rsid w:val="009A7057"/>
    <w:rsid w:val="009A719C"/>
    <w:rsid w:val="009A7247"/>
    <w:rsid w:val="009A7483"/>
    <w:rsid w:val="009A778A"/>
    <w:rsid w:val="009A77E4"/>
    <w:rsid w:val="009B060E"/>
    <w:rsid w:val="009B071A"/>
    <w:rsid w:val="009B0C41"/>
    <w:rsid w:val="009B10C7"/>
    <w:rsid w:val="009B1838"/>
    <w:rsid w:val="009B24C1"/>
    <w:rsid w:val="009B26EF"/>
    <w:rsid w:val="009B3053"/>
    <w:rsid w:val="009B33CC"/>
    <w:rsid w:val="009B369F"/>
    <w:rsid w:val="009B3736"/>
    <w:rsid w:val="009B3AA0"/>
    <w:rsid w:val="009B3E9F"/>
    <w:rsid w:val="009B442D"/>
    <w:rsid w:val="009B477C"/>
    <w:rsid w:val="009B5053"/>
    <w:rsid w:val="009B517D"/>
    <w:rsid w:val="009B55D3"/>
    <w:rsid w:val="009B581E"/>
    <w:rsid w:val="009B5E4A"/>
    <w:rsid w:val="009B6381"/>
    <w:rsid w:val="009B6395"/>
    <w:rsid w:val="009B689E"/>
    <w:rsid w:val="009B6E68"/>
    <w:rsid w:val="009B7169"/>
    <w:rsid w:val="009B7892"/>
    <w:rsid w:val="009C0071"/>
    <w:rsid w:val="009C06C9"/>
    <w:rsid w:val="009C077C"/>
    <w:rsid w:val="009C07FC"/>
    <w:rsid w:val="009C089A"/>
    <w:rsid w:val="009C0999"/>
    <w:rsid w:val="009C1121"/>
    <w:rsid w:val="009C1204"/>
    <w:rsid w:val="009C1397"/>
    <w:rsid w:val="009C14BB"/>
    <w:rsid w:val="009C162B"/>
    <w:rsid w:val="009C167D"/>
    <w:rsid w:val="009C1742"/>
    <w:rsid w:val="009C177D"/>
    <w:rsid w:val="009C1EBB"/>
    <w:rsid w:val="009C1FAA"/>
    <w:rsid w:val="009C1FCF"/>
    <w:rsid w:val="009C207D"/>
    <w:rsid w:val="009C28D7"/>
    <w:rsid w:val="009C339F"/>
    <w:rsid w:val="009C3B5E"/>
    <w:rsid w:val="009C3BB0"/>
    <w:rsid w:val="009C4732"/>
    <w:rsid w:val="009C4A5D"/>
    <w:rsid w:val="009C500F"/>
    <w:rsid w:val="009C50EB"/>
    <w:rsid w:val="009C528F"/>
    <w:rsid w:val="009C55E7"/>
    <w:rsid w:val="009C56EA"/>
    <w:rsid w:val="009C5821"/>
    <w:rsid w:val="009C5B85"/>
    <w:rsid w:val="009C5D9F"/>
    <w:rsid w:val="009C5F32"/>
    <w:rsid w:val="009C5FBD"/>
    <w:rsid w:val="009C622E"/>
    <w:rsid w:val="009C634A"/>
    <w:rsid w:val="009C63C1"/>
    <w:rsid w:val="009C6BC1"/>
    <w:rsid w:val="009C6BD9"/>
    <w:rsid w:val="009C6D6D"/>
    <w:rsid w:val="009C70C0"/>
    <w:rsid w:val="009C7426"/>
    <w:rsid w:val="009C7A9E"/>
    <w:rsid w:val="009C7CCD"/>
    <w:rsid w:val="009C7D3B"/>
    <w:rsid w:val="009C7D9A"/>
    <w:rsid w:val="009D015E"/>
    <w:rsid w:val="009D01C9"/>
    <w:rsid w:val="009D079E"/>
    <w:rsid w:val="009D09B0"/>
    <w:rsid w:val="009D09DB"/>
    <w:rsid w:val="009D0EFD"/>
    <w:rsid w:val="009D128B"/>
    <w:rsid w:val="009D1ABB"/>
    <w:rsid w:val="009D1FD8"/>
    <w:rsid w:val="009D21B7"/>
    <w:rsid w:val="009D37B5"/>
    <w:rsid w:val="009D3E58"/>
    <w:rsid w:val="009D4182"/>
    <w:rsid w:val="009D4F62"/>
    <w:rsid w:val="009D6B96"/>
    <w:rsid w:val="009D6EF1"/>
    <w:rsid w:val="009D6F3F"/>
    <w:rsid w:val="009D75AC"/>
    <w:rsid w:val="009D771C"/>
    <w:rsid w:val="009D7C77"/>
    <w:rsid w:val="009E0970"/>
    <w:rsid w:val="009E1794"/>
    <w:rsid w:val="009E17E6"/>
    <w:rsid w:val="009E18F9"/>
    <w:rsid w:val="009E1C2D"/>
    <w:rsid w:val="009E1FAE"/>
    <w:rsid w:val="009E2033"/>
    <w:rsid w:val="009E20B1"/>
    <w:rsid w:val="009E20B3"/>
    <w:rsid w:val="009E2313"/>
    <w:rsid w:val="009E2F19"/>
    <w:rsid w:val="009E321C"/>
    <w:rsid w:val="009E32FE"/>
    <w:rsid w:val="009E33D6"/>
    <w:rsid w:val="009E351D"/>
    <w:rsid w:val="009E3B05"/>
    <w:rsid w:val="009E4454"/>
    <w:rsid w:val="009E44FA"/>
    <w:rsid w:val="009E4827"/>
    <w:rsid w:val="009E5129"/>
    <w:rsid w:val="009E52F1"/>
    <w:rsid w:val="009E56A4"/>
    <w:rsid w:val="009E65D8"/>
    <w:rsid w:val="009E665F"/>
    <w:rsid w:val="009E6B5A"/>
    <w:rsid w:val="009E6E13"/>
    <w:rsid w:val="009E6E59"/>
    <w:rsid w:val="009E6EF3"/>
    <w:rsid w:val="009E7099"/>
    <w:rsid w:val="009E7191"/>
    <w:rsid w:val="009E72F2"/>
    <w:rsid w:val="009E76A1"/>
    <w:rsid w:val="009E77FE"/>
    <w:rsid w:val="009F05B5"/>
    <w:rsid w:val="009F09A7"/>
    <w:rsid w:val="009F0D51"/>
    <w:rsid w:val="009F0E0D"/>
    <w:rsid w:val="009F0F6C"/>
    <w:rsid w:val="009F10AE"/>
    <w:rsid w:val="009F1714"/>
    <w:rsid w:val="009F17A1"/>
    <w:rsid w:val="009F1828"/>
    <w:rsid w:val="009F18E9"/>
    <w:rsid w:val="009F1931"/>
    <w:rsid w:val="009F2091"/>
    <w:rsid w:val="009F21B0"/>
    <w:rsid w:val="009F2338"/>
    <w:rsid w:val="009F2570"/>
    <w:rsid w:val="009F280C"/>
    <w:rsid w:val="009F29CE"/>
    <w:rsid w:val="009F2BDE"/>
    <w:rsid w:val="009F2D1F"/>
    <w:rsid w:val="009F3892"/>
    <w:rsid w:val="009F3D0F"/>
    <w:rsid w:val="009F3D6D"/>
    <w:rsid w:val="009F3DA9"/>
    <w:rsid w:val="009F438C"/>
    <w:rsid w:val="009F469E"/>
    <w:rsid w:val="009F4961"/>
    <w:rsid w:val="009F4A3E"/>
    <w:rsid w:val="009F51D9"/>
    <w:rsid w:val="009F542D"/>
    <w:rsid w:val="009F56C7"/>
    <w:rsid w:val="009F62EA"/>
    <w:rsid w:val="009F650C"/>
    <w:rsid w:val="009F67C0"/>
    <w:rsid w:val="009F6909"/>
    <w:rsid w:val="009F6B59"/>
    <w:rsid w:val="009F6CD7"/>
    <w:rsid w:val="009F6DBB"/>
    <w:rsid w:val="009F74E4"/>
    <w:rsid w:val="009F7BB4"/>
    <w:rsid w:val="00A00150"/>
    <w:rsid w:val="00A00A0F"/>
    <w:rsid w:val="00A00E5B"/>
    <w:rsid w:val="00A012DD"/>
    <w:rsid w:val="00A01378"/>
    <w:rsid w:val="00A013B3"/>
    <w:rsid w:val="00A016AC"/>
    <w:rsid w:val="00A01D9A"/>
    <w:rsid w:val="00A0218A"/>
    <w:rsid w:val="00A02734"/>
    <w:rsid w:val="00A02855"/>
    <w:rsid w:val="00A02DF2"/>
    <w:rsid w:val="00A0308B"/>
    <w:rsid w:val="00A03335"/>
    <w:rsid w:val="00A039D9"/>
    <w:rsid w:val="00A041D9"/>
    <w:rsid w:val="00A04755"/>
    <w:rsid w:val="00A04BCD"/>
    <w:rsid w:val="00A04F3C"/>
    <w:rsid w:val="00A059F4"/>
    <w:rsid w:val="00A05CA3"/>
    <w:rsid w:val="00A05D56"/>
    <w:rsid w:val="00A0714C"/>
    <w:rsid w:val="00A07D39"/>
    <w:rsid w:val="00A10523"/>
    <w:rsid w:val="00A10736"/>
    <w:rsid w:val="00A10843"/>
    <w:rsid w:val="00A10E4F"/>
    <w:rsid w:val="00A1127A"/>
    <w:rsid w:val="00A112CA"/>
    <w:rsid w:val="00A11909"/>
    <w:rsid w:val="00A11CF5"/>
    <w:rsid w:val="00A125B6"/>
    <w:rsid w:val="00A12995"/>
    <w:rsid w:val="00A13279"/>
    <w:rsid w:val="00A134BA"/>
    <w:rsid w:val="00A13A70"/>
    <w:rsid w:val="00A13CEF"/>
    <w:rsid w:val="00A13D05"/>
    <w:rsid w:val="00A1427D"/>
    <w:rsid w:val="00A14AAE"/>
    <w:rsid w:val="00A14B80"/>
    <w:rsid w:val="00A14C15"/>
    <w:rsid w:val="00A151F0"/>
    <w:rsid w:val="00A158C3"/>
    <w:rsid w:val="00A15B19"/>
    <w:rsid w:val="00A169C5"/>
    <w:rsid w:val="00A16A5E"/>
    <w:rsid w:val="00A16C87"/>
    <w:rsid w:val="00A16EBF"/>
    <w:rsid w:val="00A1797B"/>
    <w:rsid w:val="00A17A79"/>
    <w:rsid w:val="00A17FD4"/>
    <w:rsid w:val="00A20BC8"/>
    <w:rsid w:val="00A20C28"/>
    <w:rsid w:val="00A2167A"/>
    <w:rsid w:val="00A21E6C"/>
    <w:rsid w:val="00A22A15"/>
    <w:rsid w:val="00A22ABC"/>
    <w:rsid w:val="00A2300B"/>
    <w:rsid w:val="00A23197"/>
    <w:rsid w:val="00A235A5"/>
    <w:rsid w:val="00A236BC"/>
    <w:rsid w:val="00A23BDB"/>
    <w:rsid w:val="00A23FCC"/>
    <w:rsid w:val="00A24193"/>
    <w:rsid w:val="00A242EF"/>
    <w:rsid w:val="00A2470C"/>
    <w:rsid w:val="00A24D4F"/>
    <w:rsid w:val="00A25827"/>
    <w:rsid w:val="00A25989"/>
    <w:rsid w:val="00A25B57"/>
    <w:rsid w:val="00A25DE8"/>
    <w:rsid w:val="00A26C06"/>
    <w:rsid w:val="00A26C54"/>
    <w:rsid w:val="00A26CA3"/>
    <w:rsid w:val="00A2736B"/>
    <w:rsid w:val="00A274F2"/>
    <w:rsid w:val="00A277D4"/>
    <w:rsid w:val="00A302E9"/>
    <w:rsid w:val="00A3064A"/>
    <w:rsid w:val="00A3073C"/>
    <w:rsid w:val="00A308B1"/>
    <w:rsid w:val="00A30945"/>
    <w:rsid w:val="00A312C7"/>
    <w:rsid w:val="00A31A2F"/>
    <w:rsid w:val="00A31AE2"/>
    <w:rsid w:val="00A31BBC"/>
    <w:rsid w:val="00A322D3"/>
    <w:rsid w:val="00A3273A"/>
    <w:rsid w:val="00A33AAE"/>
    <w:rsid w:val="00A33E0B"/>
    <w:rsid w:val="00A34096"/>
    <w:rsid w:val="00A34126"/>
    <w:rsid w:val="00A342CC"/>
    <w:rsid w:val="00A345B3"/>
    <w:rsid w:val="00A34790"/>
    <w:rsid w:val="00A34C30"/>
    <w:rsid w:val="00A34C95"/>
    <w:rsid w:val="00A34D02"/>
    <w:rsid w:val="00A34E04"/>
    <w:rsid w:val="00A356A1"/>
    <w:rsid w:val="00A359AA"/>
    <w:rsid w:val="00A369A2"/>
    <w:rsid w:val="00A378E8"/>
    <w:rsid w:val="00A37C11"/>
    <w:rsid w:val="00A37D8D"/>
    <w:rsid w:val="00A37E50"/>
    <w:rsid w:val="00A37F3F"/>
    <w:rsid w:val="00A37FE3"/>
    <w:rsid w:val="00A40362"/>
    <w:rsid w:val="00A40427"/>
    <w:rsid w:val="00A40B34"/>
    <w:rsid w:val="00A40DA9"/>
    <w:rsid w:val="00A40E8D"/>
    <w:rsid w:val="00A41015"/>
    <w:rsid w:val="00A410D1"/>
    <w:rsid w:val="00A421AF"/>
    <w:rsid w:val="00A428CF"/>
    <w:rsid w:val="00A429BD"/>
    <w:rsid w:val="00A437F7"/>
    <w:rsid w:val="00A4417E"/>
    <w:rsid w:val="00A44353"/>
    <w:rsid w:val="00A451A1"/>
    <w:rsid w:val="00A45287"/>
    <w:rsid w:val="00A457AA"/>
    <w:rsid w:val="00A4654B"/>
    <w:rsid w:val="00A465A3"/>
    <w:rsid w:val="00A46628"/>
    <w:rsid w:val="00A46630"/>
    <w:rsid w:val="00A46CA8"/>
    <w:rsid w:val="00A47138"/>
    <w:rsid w:val="00A472DE"/>
    <w:rsid w:val="00A47436"/>
    <w:rsid w:val="00A475AE"/>
    <w:rsid w:val="00A47985"/>
    <w:rsid w:val="00A47AD6"/>
    <w:rsid w:val="00A5037F"/>
    <w:rsid w:val="00A50FDA"/>
    <w:rsid w:val="00A51253"/>
    <w:rsid w:val="00A51306"/>
    <w:rsid w:val="00A51690"/>
    <w:rsid w:val="00A518D9"/>
    <w:rsid w:val="00A51DF0"/>
    <w:rsid w:val="00A5203A"/>
    <w:rsid w:val="00A520B5"/>
    <w:rsid w:val="00A5216F"/>
    <w:rsid w:val="00A52B9E"/>
    <w:rsid w:val="00A52E61"/>
    <w:rsid w:val="00A53755"/>
    <w:rsid w:val="00A54183"/>
    <w:rsid w:val="00A54443"/>
    <w:rsid w:val="00A5507C"/>
    <w:rsid w:val="00A554A7"/>
    <w:rsid w:val="00A555BD"/>
    <w:rsid w:val="00A55BD9"/>
    <w:rsid w:val="00A55DB9"/>
    <w:rsid w:val="00A55F6B"/>
    <w:rsid w:val="00A56AC7"/>
    <w:rsid w:val="00A56B66"/>
    <w:rsid w:val="00A574C2"/>
    <w:rsid w:val="00A575A5"/>
    <w:rsid w:val="00A57850"/>
    <w:rsid w:val="00A57B30"/>
    <w:rsid w:val="00A60087"/>
    <w:rsid w:val="00A604C1"/>
    <w:rsid w:val="00A604E2"/>
    <w:rsid w:val="00A60787"/>
    <w:rsid w:val="00A60965"/>
    <w:rsid w:val="00A60C40"/>
    <w:rsid w:val="00A611BA"/>
    <w:rsid w:val="00A61748"/>
    <w:rsid w:val="00A61C5D"/>
    <w:rsid w:val="00A61E0F"/>
    <w:rsid w:val="00A62013"/>
    <w:rsid w:val="00A62364"/>
    <w:rsid w:val="00A6251F"/>
    <w:rsid w:val="00A6256C"/>
    <w:rsid w:val="00A6267E"/>
    <w:rsid w:val="00A628C3"/>
    <w:rsid w:val="00A62DCC"/>
    <w:rsid w:val="00A62DEC"/>
    <w:rsid w:val="00A62E85"/>
    <w:rsid w:val="00A63741"/>
    <w:rsid w:val="00A638AB"/>
    <w:rsid w:val="00A65399"/>
    <w:rsid w:val="00A6540B"/>
    <w:rsid w:val="00A658B8"/>
    <w:rsid w:val="00A6623E"/>
    <w:rsid w:val="00A66293"/>
    <w:rsid w:val="00A66A79"/>
    <w:rsid w:val="00A66ADB"/>
    <w:rsid w:val="00A66CA4"/>
    <w:rsid w:val="00A66D4B"/>
    <w:rsid w:val="00A66EB4"/>
    <w:rsid w:val="00A66F01"/>
    <w:rsid w:val="00A673BB"/>
    <w:rsid w:val="00A677DB"/>
    <w:rsid w:val="00A67BD3"/>
    <w:rsid w:val="00A67CEE"/>
    <w:rsid w:val="00A703BA"/>
    <w:rsid w:val="00A704C4"/>
    <w:rsid w:val="00A709CB"/>
    <w:rsid w:val="00A71682"/>
    <w:rsid w:val="00A716CE"/>
    <w:rsid w:val="00A724C3"/>
    <w:rsid w:val="00A72A96"/>
    <w:rsid w:val="00A72C92"/>
    <w:rsid w:val="00A733C0"/>
    <w:rsid w:val="00A73EA1"/>
    <w:rsid w:val="00A74084"/>
    <w:rsid w:val="00A74743"/>
    <w:rsid w:val="00A7475E"/>
    <w:rsid w:val="00A74C35"/>
    <w:rsid w:val="00A74F91"/>
    <w:rsid w:val="00A74FAB"/>
    <w:rsid w:val="00A7517E"/>
    <w:rsid w:val="00A75C9D"/>
    <w:rsid w:val="00A7646E"/>
    <w:rsid w:val="00A772ED"/>
    <w:rsid w:val="00A77A45"/>
    <w:rsid w:val="00A8006C"/>
    <w:rsid w:val="00A804AF"/>
    <w:rsid w:val="00A8085B"/>
    <w:rsid w:val="00A808B5"/>
    <w:rsid w:val="00A808E1"/>
    <w:rsid w:val="00A809F6"/>
    <w:rsid w:val="00A80AD9"/>
    <w:rsid w:val="00A815E7"/>
    <w:rsid w:val="00A8175D"/>
    <w:rsid w:val="00A820B8"/>
    <w:rsid w:val="00A82FAE"/>
    <w:rsid w:val="00A832F7"/>
    <w:rsid w:val="00A838FB"/>
    <w:rsid w:val="00A84758"/>
    <w:rsid w:val="00A84971"/>
    <w:rsid w:val="00A849FF"/>
    <w:rsid w:val="00A84DAD"/>
    <w:rsid w:val="00A85664"/>
    <w:rsid w:val="00A859F7"/>
    <w:rsid w:val="00A85CC5"/>
    <w:rsid w:val="00A85DD7"/>
    <w:rsid w:val="00A864DB"/>
    <w:rsid w:val="00A866C6"/>
    <w:rsid w:val="00A86CC2"/>
    <w:rsid w:val="00A86ECD"/>
    <w:rsid w:val="00A8781D"/>
    <w:rsid w:val="00A87A74"/>
    <w:rsid w:val="00A901F2"/>
    <w:rsid w:val="00A9031E"/>
    <w:rsid w:val="00A903E7"/>
    <w:rsid w:val="00A905E7"/>
    <w:rsid w:val="00A9066E"/>
    <w:rsid w:val="00A90794"/>
    <w:rsid w:val="00A90846"/>
    <w:rsid w:val="00A90E72"/>
    <w:rsid w:val="00A91574"/>
    <w:rsid w:val="00A92FAE"/>
    <w:rsid w:val="00A932B6"/>
    <w:rsid w:val="00A935D2"/>
    <w:rsid w:val="00A93D46"/>
    <w:rsid w:val="00A940DA"/>
    <w:rsid w:val="00A942E2"/>
    <w:rsid w:val="00A9434B"/>
    <w:rsid w:val="00A94390"/>
    <w:rsid w:val="00A944CD"/>
    <w:rsid w:val="00A944D5"/>
    <w:rsid w:val="00A9455B"/>
    <w:rsid w:val="00A94C6F"/>
    <w:rsid w:val="00A9550E"/>
    <w:rsid w:val="00A95AD7"/>
    <w:rsid w:val="00A95C61"/>
    <w:rsid w:val="00A95EB7"/>
    <w:rsid w:val="00A95F5F"/>
    <w:rsid w:val="00A96040"/>
    <w:rsid w:val="00A9662A"/>
    <w:rsid w:val="00A96641"/>
    <w:rsid w:val="00A96CBE"/>
    <w:rsid w:val="00A96F18"/>
    <w:rsid w:val="00A972AA"/>
    <w:rsid w:val="00A977DF"/>
    <w:rsid w:val="00A97E1B"/>
    <w:rsid w:val="00AA00AC"/>
    <w:rsid w:val="00AA011B"/>
    <w:rsid w:val="00AA0241"/>
    <w:rsid w:val="00AA0D59"/>
    <w:rsid w:val="00AA1051"/>
    <w:rsid w:val="00AA10D2"/>
    <w:rsid w:val="00AA1518"/>
    <w:rsid w:val="00AA16B8"/>
    <w:rsid w:val="00AA18AD"/>
    <w:rsid w:val="00AA2102"/>
    <w:rsid w:val="00AA2867"/>
    <w:rsid w:val="00AA2AC0"/>
    <w:rsid w:val="00AA2CFA"/>
    <w:rsid w:val="00AA387B"/>
    <w:rsid w:val="00AA38EF"/>
    <w:rsid w:val="00AA3D2E"/>
    <w:rsid w:val="00AA3E35"/>
    <w:rsid w:val="00AA4145"/>
    <w:rsid w:val="00AA4510"/>
    <w:rsid w:val="00AA45A9"/>
    <w:rsid w:val="00AA4665"/>
    <w:rsid w:val="00AA4695"/>
    <w:rsid w:val="00AA48D6"/>
    <w:rsid w:val="00AA53F5"/>
    <w:rsid w:val="00AA571F"/>
    <w:rsid w:val="00AA5A90"/>
    <w:rsid w:val="00AA5F67"/>
    <w:rsid w:val="00AA60F8"/>
    <w:rsid w:val="00AA63DE"/>
    <w:rsid w:val="00AA651F"/>
    <w:rsid w:val="00AA652A"/>
    <w:rsid w:val="00AA6852"/>
    <w:rsid w:val="00AA6BC0"/>
    <w:rsid w:val="00AA6DAD"/>
    <w:rsid w:val="00AA6FB9"/>
    <w:rsid w:val="00AA70D8"/>
    <w:rsid w:val="00AA7D64"/>
    <w:rsid w:val="00AB045F"/>
    <w:rsid w:val="00AB0720"/>
    <w:rsid w:val="00AB1467"/>
    <w:rsid w:val="00AB1A6E"/>
    <w:rsid w:val="00AB239E"/>
    <w:rsid w:val="00AB2B7D"/>
    <w:rsid w:val="00AB2C14"/>
    <w:rsid w:val="00AB2E51"/>
    <w:rsid w:val="00AB303B"/>
    <w:rsid w:val="00AB307A"/>
    <w:rsid w:val="00AB36BB"/>
    <w:rsid w:val="00AB39AA"/>
    <w:rsid w:val="00AB3D4F"/>
    <w:rsid w:val="00AB3FB6"/>
    <w:rsid w:val="00AB41D7"/>
    <w:rsid w:val="00AB480E"/>
    <w:rsid w:val="00AB53B3"/>
    <w:rsid w:val="00AB5627"/>
    <w:rsid w:val="00AB5B1E"/>
    <w:rsid w:val="00AB6053"/>
    <w:rsid w:val="00AB67CA"/>
    <w:rsid w:val="00AB6C3D"/>
    <w:rsid w:val="00AB6F19"/>
    <w:rsid w:val="00AB6FDE"/>
    <w:rsid w:val="00AB74F6"/>
    <w:rsid w:val="00AB7829"/>
    <w:rsid w:val="00AC0568"/>
    <w:rsid w:val="00AC05E0"/>
    <w:rsid w:val="00AC0A92"/>
    <w:rsid w:val="00AC110A"/>
    <w:rsid w:val="00AC13E2"/>
    <w:rsid w:val="00AC199E"/>
    <w:rsid w:val="00AC1D07"/>
    <w:rsid w:val="00AC1E22"/>
    <w:rsid w:val="00AC3C09"/>
    <w:rsid w:val="00AC3CE2"/>
    <w:rsid w:val="00AC41EA"/>
    <w:rsid w:val="00AC4651"/>
    <w:rsid w:val="00AC4702"/>
    <w:rsid w:val="00AC480E"/>
    <w:rsid w:val="00AC510D"/>
    <w:rsid w:val="00AC5A61"/>
    <w:rsid w:val="00AC67B9"/>
    <w:rsid w:val="00AC6824"/>
    <w:rsid w:val="00AC6B2E"/>
    <w:rsid w:val="00AC6D74"/>
    <w:rsid w:val="00AC6EAC"/>
    <w:rsid w:val="00AC72BA"/>
    <w:rsid w:val="00AC7311"/>
    <w:rsid w:val="00AC778E"/>
    <w:rsid w:val="00AC77A9"/>
    <w:rsid w:val="00AC7827"/>
    <w:rsid w:val="00AC790D"/>
    <w:rsid w:val="00AC7F4F"/>
    <w:rsid w:val="00AD06DC"/>
    <w:rsid w:val="00AD0B9D"/>
    <w:rsid w:val="00AD0DBE"/>
    <w:rsid w:val="00AD0E76"/>
    <w:rsid w:val="00AD124A"/>
    <w:rsid w:val="00AD13D0"/>
    <w:rsid w:val="00AD1563"/>
    <w:rsid w:val="00AD159B"/>
    <w:rsid w:val="00AD1E34"/>
    <w:rsid w:val="00AD22E4"/>
    <w:rsid w:val="00AD2494"/>
    <w:rsid w:val="00AD27E8"/>
    <w:rsid w:val="00AD28BB"/>
    <w:rsid w:val="00AD3461"/>
    <w:rsid w:val="00AD37E0"/>
    <w:rsid w:val="00AD3BB0"/>
    <w:rsid w:val="00AD3EDB"/>
    <w:rsid w:val="00AD3F1C"/>
    <w:rsid w:val="00AD3FBF"/>
    <w:rsid w:val="00AD45AF"/>
    <w:rsid w:val="00AD4A7C"/>
    <w:rsid w:val="00AD4B53"/>
    <w:rsid w:val="00AD4C30"/>
    <w:rsid w:val="00AD50B8"/>
    <w:rsid w:val="00AD5650"/>
    <w:rsid w:val="00AD5BFF"/>
    <w:rsid w:val="00AD6005"/>
    <w:rsid w:val="00AD667C"/>
    <w:rsid w:val="00AD6E2D"/>
    <w:rsid w:val="00AD71BD"/>
    <w:rsid w:val="00AD7764"/>
    <w:rsid w:val="00AD797A"/>
    <w:rsid w:val="00AE0DD3"/>
    <w:rsid w:val="00AE1047"/>
    <w:rsid w:val="00AE11DF"/>
    <w:rsid w:val="00AE1578"/>
    <w:rsid w:val="00AE1732"/>
    <w:rsid w:val="00AE1835"/>
    <w:rsid w:val="00AE1D1D"/>
    <w:rsid w:val="00AE24FA"/>
    <w:rsid w:val="00AE2724"/>
    <w:rsid w:val="00AE2837"/>
    <w:rsid w:val="00AE29F1"/>
    <w:rsid w:val="00AE2ABE"/>
    <w:rsid w:val="00AE2C7B"/>
    <w:rsid w:val="00AE3468"/>
    <w:rsid w:val="00AE3934"/>
    <w:rsid w:val="00AE3A86"/>
    <w:rsid w:val="00AE4296"/>
    <w:rsid w:val="00AE4468"/>
    <w:rsid w:val="00AE484D"/>
    <w:rsid w:val="00AE4E73"/>
    <w:rsid w:val="00AE510C"/>
    <w:rsid w:val="00AE5592"/>
    <w:rsid w:val="00AE5C01"/>
    <w:rsid w:val="00AE5C08"/>
    <w:rsid w:val="00AE6146"/>
    <w:rsid w:val="00AE6215"/>
    <w:rsid w:val="00AE62D7"/>
    <w:rsid w:val="00AE64D8"/>
    <w:rsid w:val="00AE67F0"/>
    <w:rsid w:val="00AE6933"/>
    <w:rsid w:val="00AE6D0D"/>
    <w:rsid w:val="00AE6EA9"/>
    <w:rsid w:val="00AE6FDE"/>
    <w:rsid w:val="00AE7789"/>
    <w:rsid w:val="00AE7826"/>
    <w:rsid w:val="00AE7D6D"/>
    <w:rsid w:val="00AF0205"/>
    <w:rsid w:val="00AF0235"/>
    <w:rsid w:val="00AF0A3C"/>
    <w:rsid w:val="00AF1306"/>
    <w:rsid w:val="00AF1951"/>
    <w:rsid w:val="00AF1A68"/>
    <w:rsid w:val="00AF1B60"/>
    <w:rsid w:val="00AF1B91"/>
    <w:rsid w:val="00AF1C3A"/>
    <w:rsid w:val="00AF1CA0"/>
    <w:rsid w:val="00AF1D54"/>
    <w:rsid w:val="00AF1D9A"/>
    <w:rsid w:val="00AF1E62"/>
    <w:rsid w:val="00AF2508"/>
    <w:rsid w:val="00AF28BD"/>
    <w:rsid w:val="00AF2AEA"/>
    <w:rsid w:val="00AF3047"/>
    <w:rsid w:val="00AF3E4B"/>
    <w:rsid w:val="00AF3FA9"/>
    <w:rsid w:val="00AF44B0"/>
    <w:rsid w:val="00AF4D07"/>
    <w:rsid w:val="00AF51A1"/>
    <w:rsid w:val="00AF51D4"/>
    <w:rsid w:val="00AF55BB"/>
    <w:rsid w:val="00AF5DFF"/>
    <w:rsid w:val="00AF669F"/>
    <w:rsid w:val="00AF66F6"/>
    <w:rsid w:val="00AF6705"/>
    <w:rsid w:val="00AF6D62"/>
    <w:rsid w:val="00AF731A"/>
    <w:rsid w:val="00AF74B8"/>
    <w:rsid w:val="00AF7825"/>
    <w:rsid w:val="00AF7931"/>
    <w:rsid w:val="00AF7DED"/>
    <w:rsid w:val="00AF7E46"/>
    <w:rsid w:val="00B00001"/>
    <w:rsid w:val="00B005E9"/>
    <w:rsid w:val="00B00662"/>
    <w:rsid w:val="00B00B2E"/>
    <w:rsid w:val="00B00D98"/>
    <w:rsid w:val="00B0139E"/>
    <w:rsid w:val="00B01517"/>
    <w:rsid w:val="00B01BB2"/>
    <w:rsid w:val="00B01D01"/>
    <w:rsid w:val="00B01F42"/>
    <w:rsid w:val="00B02198"/>
    <w:rsid w:val="00B02CF4"/>
    <w:rsid w:val="00B02EB2"/>
    <w:rsid w:val="00B02F51"/>
    <w:rsid w:val="00B03285"/>
    <w:rsid w:val="00B03DF5"/>
    <w:rsid w:val="00B03F38"/>
    <w:rsid w:val="00B0414D"/>
    <w:rsid w:val="00B04475"/>
    <w:rsid w:val="00B04A27"/>
    <w:rsid w:val="00B05B9B"/>
    <w:rsid w:val="00B05CCF"/>
    <w:rsid w:val="00B05D77"/>
    <w:rsid w:val="00B06910"/>
    <w:rsid w:val="00B06933"/>
    <w:rsid w:val="00B069D8"/>
    <w:rsid w:val="00B06E67"/>
    <w:rsid w:val="00B07086"/>
    <w:rsid w:val="00B076C4"/>
    <w:rsid w:val="00B078C3"/>
    <w:rsid w:val="00B07C43"/>
    <w:rsid w:val="00B07CF9"/>
    <w:rsid w:val="00B07DB0"/>
    <w:rsid w:val="00B07FFC"/>
    <w:rsid w:val="00B105C3"/>
    <w:rsid w:val="00B10874"/>
    <w:rsid w:val="00B10CE1"/>
    <w:rsid w:val="00B10EDC"/>
    <w:rsid w:val="00B10F8D"/>
    <w:rsid w:val="00B1123D"/>
    <w:rsid w:val="00B11A71"/>
    <w:rsid w:val="00B11BCB"/>
    <w:rsid w:val="00B11E79"/>
    <w:rsid w:val="00B12087"/>
    <w:rsid w:val="00B122C7"/>
    <w:rsid w:val="00B1246E"/>
    <w:rsid w:val="00B129C4"/>
    <w:rsid w:val="00B1321F"/>
    <w:rsid w:val="00B1416A"/>
    <w:rsid w:val="00B1438E"/>
    <w:rsid w:val="00B14679"/>
    <w:rsid w:val="00B147FE"/>
    <w:rsid w:val="00B14BBA"/>
    <w:rsid w:val="00B153D5"/>
    <w:rsid w:val="00B156D4"/>
    <w:rsid w:val="00B1659B"/>
    <w:rsid w:val="00B1693A"/>
    <w:rsid w:val="00B169BB"/>
    <w:rsid w:val="00B16B5B"/>
    <w:rsid w:val="00B16EB7"/>
    <w:rsid w:val="00B16F17"/>
    <w:rsid w:val="00B171B2"/>
    <w:rsid w:val="00B17303"/>
    <w:rsid w:val="00B1768B"/>
    <w:rsid w:val="00B176A8"/>
    <w:rsid w:val="00B178BC"/>
    <w:rsid w:val="00B17911"/>
    <w:rsid w:val="00B17F42"/>
    <w:rsid w:val="00B206D9"/>
    <w:rsid w:val="00B2070A"/>
    <w:rsid w:val="00B20807"/>
    <w:rsid w:val="00B20B36"/>
    <w:rsid w:val="00B21375"/>
    <w:rsid w:val="00B219BE"/>
    <w:rsid w:val="00B21C4C"/>
    <w:rsid w:val="00B21D7D"/>
    <w:rsid w:val="00B22743"/>
    <w:rsid w:val="00B228C3"/>
    <w:rsid w:val="00B22A72"/>
    <w:rsid w:val="00B22AA4"/>
    <w:rsid w:val="00B22F5B"/>
    <w:rsid w:val="00B238CD"/>
    <w:rsid w:val="00B23F94"/>
    <w:rsid w:val="00B2416E"/>
    <w:rsid w:val="00B24224"/>
    <w:rsid w:val="00B2431F"/>
    <w:rsid w:val="00B24773"/>
    <w:rsid w:val="00B24F6B"/>
    <w:rsid w:val="00B2520F"/>
    <w:rsid w:val="00B2531E"/>
    <w:rsid w:val="00B253FF"/>
    <w:rsid w:val="00B255D1"/>
    <w:rsid w:val="00B25A95"/>
    <w:rsid w:val="00B25AA4"/>
    <w:rsid w:val="00B25AD5"/>
    <w:rsid w:val="00B25AE1"/>
    <w:rsid w:val="00B26090"/>
    <w:rsid w:val="00B26635"/>
    <w:rsid w:val="00B26AC4"/>
    <w:rsid w:val="00B26AE9"/>
    <w:rsid w:val="00B26BB8"/>
    <w:rsid w:val="00B27487"/>
    <w:rsid w:val="00B27665"/>
    <w:rsid w:val="00B27D4A"/>
    <w:rsid w:val="00B30A4F"/>
    <w:rsid w:val="00B31544"/>
    <w:rsid w:val="00B3170C"/>
    <w:rsid w:val="00B318A9"/>
    <w:rsid w:val="00B31C8C"/>
    <w:rsid w:val="00B31E29"/>
    <w:rsid w:val="00B320CF"/>
    <w:rsid w:val="00B3230A"/>
    <w:rsid w:val="00B32365"/>
    <w:rsid w:val="00B3273A"/>
    <w:rsid w:val="00B32A18"/>
    <w:rsid w:val="00B32A78"/>
    <w:rsid w:val="00B331F1"/>
    <w:rsid w:val="00B332D8"/>
    <w:rsid w:val="00B333EF"/>
    <w:rsid w:val="00B336DA"/>
    <w:rsid w:val="00B33F2D"/>
    <w:rsid w:val="00B3407E"/>
    <w:rsid w:val="00B344CD"/>
    <w:rsid w:val="00B345B7"/>
    <w:rsid w:val="00B3460D"/>
    <w:rsid w:val="00B34B19"/>
    <w:rsid w:val="00B35F1A"/>
    <w:rsid w:val="00B36558"/>
    <w:rsid w:val="00B368D1"/>
    <w:rsid w:val="00B36931"/>
    <w:rsid w:val="00B36F0B"/>
    <w:rsid w:val="00B3709A"/>
    <w:rsid w:val="00B3739D"/>
    <w:rsid w:val="00B373B7"/>
    <w:rsid w:val="00B377CE"/>
    <w:rsid w:val="00B37826"/>
    <w:rsid w:val="00B4025A"/>
    <w:rsid w:val="00B40506"/>
    <w:rsid w:val="00B40C31"/>
    <w:rsid w:val="00B40E2A"/>
    <w:rsid w:val="00B4120E"/>
    <w:rsid w:val="00B421FC"/>
    <w:rsid w:val="00B428C6"/>
    <w:rsid w:val="00B42946"/>
    <w:rsid w:val="00B434EA"/>
    <w:rsid w:val="00B4430C"/>
    <w:rsid w:val="00B44636"/>
    <w:rsid w:val="00B446D9"/>
    <w:rsid w:val="00B4487C"/>
    <w:rsid w:val="00B451AF"/>
    <w:rsid w:val="00B451F2"/>
    <w:rsid w:val="00B455CD"/>
    <w:rsid w:val="00B45C29"/>
    <w:rsid w:val="00B45D32"/>
    <w:rsid w:val="00B462ED"/>
    <w:rsid w:val="00B46A4D"/>
    <w:rsid w:val="00B470D9"/>
    <w:rsid w:val="00B4714A"/>
    <w:rsid w:val="00B4751D"/>
    <w:rsid w:val="00B47787"/>
    <w:rsid w:val="00B47F81"/>
    <w:rsid w:val="00B47F8F"/>
    <w:rsid w:val="00B502E6"/>
    <w:rsid w:val="00B50C21"/>
    <w:rsid w:val="00B50C95"/>
    <w:rsid w:val="00B50CCA"/>
    <w:rsid w:val="00B5118A"/>
    <w:rsid w:val="00B513E8"/>
    <w:rsid w:val="00B515A5"/>
    <w:rsid w:val="00B517EF"/>
    <w:rsid w:val="00B518F0"/>
    <w:rsid w:val="00B519A8"/>
    <w:rsid w:val="00B51D34"/>
    <w:rsid w:val="00B52EC6"/>
    <w:rsid w:val="00B530B7"/>
    <w:rsid w:val="00B53214"/>
    <w:rsid w:val="00B53258"/>
    <w:rsid w:val="00B53838"/>
    <w:rsid w:val="00B53B67"/>
    <w:rsid w:val="00B53E79"/>
    <w:rsid w:val="00B53FCC"/>
    <w:rsid w:val="00B54017"/>
    <w:rsid w:val="00B54273"/>
    <w:rsid w:val="00B54420"/>
    <w:rsid w:val="00B55427"/>
    <w:rsid w:val="00B55463"/>
    <w:rsid w:val="00B56151"/>
    <w:rsid w:val="00B5634B"/>
    <w:rsid w:val="00B5641F"/>
    <w:rsid w:val="00B56B8C"/>
    <w:rsid w:val="00B56D24"/>
    <w:rsid w:val="00B572A1"/>
    <w:rsid w:val="00B57431"/>
    <w:rsid w:val="00B576BB"/>
    <w:rsid w:val="00B57E55"/>
    <w:rsid w:val="00B60CF3"/>
    <w:rsid w:val="00B61148"/>
    <w:rsid w:val="00B614DA"/>
    <w:rsid w:val="00B6167D"/>
    <w:rsid w:val="00B6196A"/>
    <w:rsid w:val="00B61BF9"/>
    <w:rsid w:val="00B61FFE"/>
    <w:rsid w:val="00B623C1"/>
    <w:rsid w:val="00B62487"/>
    <w:rsid w:val="00B6313C"/>
    <w:rsid w:val="00B636A2"/>
    <w:rsid w:val="00B6392E"/>
    <w:rsid w:val="00B63930"/>
    <w:rsid w:val="00B63A74"/>
    <w:rsid w:val="00B63EB8"/>
    <w:rsid w:val="00B64791"/>
    <w:rsid w:val="00B64A26"/>
    <w:rsid w:val="00B64AB3"/>
    <w:rsid w:val="00B65091"/>
    <w:rsid w:val="00B65823"/>
    <w:rsid w:val="00B65B31"/>
    <w:rsid w:val="00B665A2"/>
    <w:rsid w:val="00B66BFE"/>
    <w:rsid w:val="00B66C58"/>
    <w:rsid w:val="00B66E1F"/>
    <w:rsid w:val="00B671F2"/>
    <w:rsid w:val="00B6756F"/>
    <w:rsid w:val="00B67592"/>
    <w:rsid w:val="00B677B7"/>
    <w:rsid w:val="00B67AC1"/>
    <w:rsid w:val="00B701A0"/>
    <w:rsid w:val="00B708E4"/>
    <w:rsid w:val="00B709EE"/>
    <w:rsid w:val="00B70A45"/>
    <w:rsid w:val="00B70AA0"/>
    <w:rsid w:val="00B70B13"/>
    <w:rsid w:val="00B70D9A"/>
    <w:rsid w:val="00B7143C"/>
    <w:rsid w:val="00B7275D"/>
    <w:rsid w:val="00B72B4D"/>
    <w:rsid w:val="00B72BAF"/>
    <w:rsid w:val="00B73D0E"/>
    <w:rsid w:val="00B74001"/>
    <w:rsid w:val="00B74344"/>
    <w:rsid w:val="00B745BD"/>
    <w:rsid w:val="00B75192"/>
    <w:rsid w:val="00B75203"/>
    <w:rsid w:val="00B75336"/>
    <w:rsid w:val="00B7593A"/>
    <w:rsid w:val="00B7595F"/>
    <w:rsid w:val="00B75B9C"/>
    <w:rsid w:val="00B75CBA"/>
    <w:rsid w:val="00B766CB"/>
    <w:rsid w:val="00B767BB"/>
    <w:rsid w:val="00B76D3A"/>
    <w:rsid w:val="00B76F22"/>
    <w:rsid w:val="00B77026"/>
    <w:rsid w:val="00B77353"/>
    <w:rsid w:val="00B77B62"/>
    <w:rsid w:val="00B77F5C"/>
    <w:rsid w:val="00B80010"/>
    <w:rsid w:val="00B80383"/>
    <w:rsid w:val="00B805F6"/>
    <w:rsid w:val="00B8097E"/>
    <w:rsid w:val="00B80B28"/>
    <w:rsid w:val="00B80D79"/>
    <w:rsid w:val="00B81334"/>
    <w:rsid w:val="00B81338"/>
    <w:rsid w:val="00B81571"/>
    <w:rsid w:val="00B816D7"/>
    <w:rsid w:val="00B81A08"/>
    <w:rsid w:val="00B81C8A"/>
    <w:rsid w:val="00B81D35"/>
    <w:rsid w:val="00B81D6A"/>
    <w:rsid w:val="00B82014"/>
    <w:rsid w:val="00B82D97"/>
    <w:rsid w:val="00B82DBA"/>
    <w:rsid w:val="00B83466"/>
    <w:rsid w:val="00B8376A"/>
    <w:rsid w:val="00B83772"/>
    <w:rsid w:val="00B841C3"/>
    <w:rsid w:val="00B8476E"/>
    <w:rsid w:val="00B848F5"/>
    <w:rsid w:val="00B8503C"/>
    <w:rsid w:val="00B85547"/>
    <w:rsid w:val="00B8586A"/>
    <w:rsid w:val="00B85CF4"/>
    <w:rsid w:val="00B85FD5"/>
    <w:rsid w:val="00B86038"/>
    <w:rsid w:val="00B866AB"/>
    <w:rsid w:val="00B8683D"/>
    <w:rsid w:val="00B86EF7"/>
    <w:rsid w:val="00B879C9"/>
    <w:rsid w:val="00B87B9B"/>
    <w:rsid w:val="00B87BE1"/>
    <w:rsid w:val="00B90378"/>
    <w:rsid w:val="00B9054A"/>
    <w:rsid w:val="00B90935"/>
    <w:rsid w:val="00B90961"/>
    <w:rsid w:val="00B90CBB"/>
    <w:rsid w:val="00B90E08"/>
    <w:rsid w:val="00B90EEF"/>
    <w:rsid w:val="00B91078"/>
    <w:rsid w:val="00B911F5"/>
    <w:rsid w:val="00B911FC"/>
    <w:rsid w:val="00B9145A"/>
    <w:rsid w:val="00B9166C"/>
    <w:rsid w:val="00B918F7"/>
    <w:rsid w:val="00B91DD7"/>
    <w:rsid w:val="00B92265"/>
    <w:rsid w:val="00B923F5"/>
    <w:rsid w:val="00B92914"/>
    <w:rsid w:val="00B92F03"/>
    <w:rsid w:val="00B92FE0"/>
    <w:rsid w:val="00B932E3"/>
    <w:rsid w:val="00B933E6"/>
    <w:rsid w:val="00B9398D"/>
    <w:rsid w:val="00B93E41"/>
    <w:rsid w:val="00B94024"/>
    <w:rsid w:val="00B940EC"/>
    <w:rsid w:val="00B941BE"/>
    <w:rsid w:val="00B942BC"/>
    <w:rsid w:val="00B942F2"/>
    <w:rsid w:val="00B950D4"/>
    <w:rsid w:val="00B95410"/>
    <w:rsid w:val="00B9543F"/>
    <w:rsid w:val="00B95502"/>
    <w:rsid w:val="00B95681"/>
    <w:rsid w:val="00B95BE4"/>
    <w:rsid w:val="00B96BF8"/>
    <w:rsid w:val="00B973B3"/>
    <w:rsid w:val="00B9745D"/>
    <w:rsid w:val="00B97A27"/>
    <w:rsid w:val="00BA026B"/>
    <w:rsid w:val="00BA09C7"/>
    <w:rsid w:val="00BA0B14"/>
    <w:rsid w:val="00BA1910"/>
    <w:rsid w:val="00BA1B96"/>
    <w:rsid w:val="00BA1C16"/>
    <w:rsid w:val="00BA1D05"/>
    <w:rsid w:val="00BA21A2"/>
    <w:rsid w:val="00BA2511"/>
    <w:rsid w:val="00BA3986"/>
    <w:rsid w:val="00BA3A5D"/>
    <w:rsid w:val="00BA3FB9"/>
    <w:rsid w:val="00BA486C"/>
    <w:rsid w:val="00BA579F"/>
    <w:rsid w:val="00BA61BE"/>
    <w:rsid w:val="00BA655F"/>
    <w:rsid w:val="00BA656A"/>
    <w:rsid w:val="00BA67E0"/>
    <w:rsid w:val="00BA6A63"/>
    <w:rsid w:val="00BA6C2D"/>
    <w:rsid w:val="00BA7BC1"/>
    <w:rsid w:val="00BA7CFD"/>
    <w:rsid w:val="00BA7D5C"/>
    <w:rsid w:val="00BA7ECE"/>
    <w:rsid w:val="00BB01CC"/>
    <w:rsid w:val="00BB03F6"/>
    <w:rsid w:val="00BB04F9"/>
    <w:rsid w:val="00BB080D"/>
    <w:rsid w:val="00BB0AFF"/>
    <w:rsid w:val="00BB0E03"/>
    <w:rsid w:val="00BB133C"/>
    <w:rsid w:val="00BB173D"/>
    <w:rsid w:val="00BB25E4"/>
    <w:rsid w:val="00BB2827"/>
    <w:rsid w:val="00BB2ABA"/>
    <w:rsid w:val="00BB2B6D"/>
    <w:rsid w:val="00BB2C69"/>
    <w:rsid w:val="00BB35E4"/>
    <w:rsid w:val="00BB3838"/>
    <w:rsid w:val="00BB39DB"/>
    <w:rsid w:val="00BB3BCE"/>
    <w:rsid w:val="00BB3C35"/>
    <w:rsid w:val="00BB3E4C"/>
    <w:rsid w:val="00BB52E3"/>
    <w:rsid w:val="00BB5E8F"/>
    <w:rsid w:val="00BB604A"/>
    <w:rsid w:val="00BB61CB"/>
    <w:rsid w:val="00BB63F4"/>
    <w:rsid w:val="00BB6619"/>
    <w:rsid w:val="00BB683C"/>
    <w:rsid w:val="00BB691F"/>
    <w:rsid w:val="00BB6A2A"/>
    <w:rsid w:val="00BB6B81"/>
    <w:rsid w:val="00BB717F"/>
    <w:rsid w:val="00BB7256"/>
    <w:rsid w:val="00BB743B"/>
    <w:rsid w:val="00BB74F8"/>
    <w:rsid w:val="00BB7525"/>
    <w:rsid w:val="00BB76A6"/>
    <w:rsid w:val="00BB7CEB"/>
    <w:rsid w:val="00BC005B"/>
    <w:rsid w:val="00BC021D"/>
    <w:rsid w:val="00BC0647"/>
    <w:rsid w:val="00BC08BE"/>
    <w:rsid w:val="00BC0A99"/>
    <w:rsid w:val="00BC17AE"/>
    <w:rsid w:val="00BC189B"/>
    <w:rsid w:val="00BC19AF"/>
    <w:rsid w:val="00BC1BA4"/>
    <w:rsid w:val="00BC1BBE"/>
    <w:rsid w:val="00BC27E1"/>
    <w:rsid w:val="00BC2A41"/>
    <w:rsid w:val="00BC3045"/>
    <w:rsid w:val="00BC3450"/>
    <w:rsid w:val="00BC3634"/>
    <w:rsid w:val="00BC3BC3"/>
    <w:rsid w:val="00BC3E99"/>
    <w:rsid w:val="00BC429F"/>
    <w:rsid w:val="00BC44F1"/>
    <w:rsid w:val="00BC4EAE"/>
    <w:rsid w:val="00BC541A"/>
    <w:rsid w:val="00BC5969"/>
    <w:rsid w:val="00BC5B48"/>
    <w:rsid w:val="00BC5C24"/>
    <w:rsid w:val="00BC716B"/>
    <w:rsid w:val="00BC7651"/>
    <w:rsid w:val="00BC7FEE"/>
    <w:rsid w:val="00BD033F"/>
    <w:rsid w:val="00BD03ED"/>
    <w:rsid w:val="00BD08E8"/>
    <w:rsid w:val="00BD0A86"/>
    <w:rsid w:val="00BD0CAD"/>
    <w:rsid w:val="00BD0D77"/>
    <w:rsid w:val="00BD1CF2"/>
    <w:rsid w:val="00BD245D"/>
    <w:rsid w:val="00BD249F"/>
    <w:rsid w:val="00BD25A1"/>
    <w:rsid w:val="00BD27BF"/>
    <w:rsid w:val="00BD2DE7"/>
    <w:rsid w:val="00BD34BC"/>
    <w:rsid w:val="00BD3A22"/>
    <w:rsid w:val="00BD40A3"/>
    <w:rsid w:val="00BD46F6"/>
    <w:rsid w:val="00BD53C3"/>
    <w:rsid w:val="00BD54E8"/>
    <w:rsid w:val="00BD57EB"/>
    <w:rsid w:val="00BD5819"/>
    <w:rsid w:val="00BD6576"/>
    <w:rsid w:val="00BD66CC"/>
    <w:rsid w:val="00BD6AC8"/>
    <w:rsid w:val="00BD6C23"/>
    <w:rsid w:val="00BD71B8"/>
    <w:rsid w:val="00BD741A"/>
    <w:rsid w:val="00BD7426"/>
    <w:rsid w:val="00BD7BE6"/>
    <w:rsid w:val="00BD7F31"/>
    <w:rsid w:val="00BE02C6"/>
    <w:rsid w:val="00BE0649"/>
    <w:rsid w:val="00BE09ED"/>
    <w:rsid w:val="00BE0A97"/>
    <w:rsid w:val="00BE0D5D"/>
    <w:rsid w:val="00BE0EF5"/>
    <w:rsid w:val="00BE1968"/>
    <w:rsid w:val="00BE20EC"/>
    <w:rsid w:val="00BE2133"/>
    <w:rsid w:val="00BE2395"/>
    <w:rsid w:val="00BE25AB"/>
    <w:rsid w:val="00BE262A"/>
    <w:rsid w:val="00BE26CE"/>
    <w:rsid w:val="00BE26DB"/>
    <w:rsid w:val="00BE3410"/>
    <w:rsid w:val="00BE347B"/>
    <w:rsid w:val="00BE3A42"/>
    <w:rsid w:val="00BE3B41"/>
    <w:rsid w:val="00BE3E18"/>
    <w:rsid w:val="00BE4189"/>
    <w:rsid w:val="00BE43FC"/>
    <w:rsid w:val="00BE4435"/>
    <w:rsid w:val="00BE4E6A"/>
    <w:rsid w:val="00BE5584"/>
    <w:rsid w:val="00BE5A0E"/>
    <w:rsid w:val="00BE5E2C"/>
    <w:rsid w:val="00BE5F0F"/>
    <w:rsid w:val="00BE6111"/>
    <w:rsid w:val="00BE613E"/>
    <w:rsid w:val="00BE6192"/>
    <w:rsid w:val="00BE6254"/>
    <w:rsid w:val="00BE64B0"/>
    <w:rsid w:val="00BE64C1"/>
    <w:rsid w:val="00BE65B4"/>
    <w:rsid w:val="00BE65B9"/>
    <w:rsid w:val="00BE6772"/>
    <w:rsid w:val="00BE68E5"/>
    <w:rsid w:val="00BE68FF"/>
    <w:rsid w:val="00BE6C99"/>
    <w:rsid w:val="00BE6DD8"/>
    <w:rsid w:val="00BE75EC"/>
    <w:rsid w:val="00BE77E7"/>
    <w:rsid w:val="00BE7CE3"/>
    <w:rsid w:val="00BF07C1"/>
    <w:rsid w:val="00BF09EC"/>
    <w:rsid w:val="00BF0D5A"/>
    <w:rsid w:val="00BF109B"/>
    <w:rsid w:val="00BF12EF"/>
    <w:rsid w:val="00BF1B00"/>
    <w:rsid w:val="00BF1C5F"/>
    <w:rsid w:val="00BF251F"/>
    <w:rsid w:val="00BF2AD4"/>
    <w:rsid w:val="00BF2C3F"/>
    <w:rsid w:val="00BF2EB1"/>
    <w:rsid w:val="00BF345D"/>
    <w:rsid w:val="00BF3653"/>
    <w:rsid w:val="00BF3D7C"/>
    <w:rsid w:val="00BF4267"/>
    <w:rsid w:val="00BF4305"/>
    <w:rsid w:val="00BF49A8"/>
    <w:rsid w:val="00BF4C17"/>
    <w:rsid w:val="00BF531F"/>
    <w:rsid w:val="00BF53FF"/>
    <w:rsid w:val="00BF59A4"/>
    <w:rsid w:val="00BF5C04"/>
    <w:rsid w:val="00BF620D"/>
    <w:rsid w:val="00BF6501"/>
    <w:rsid w:val="00BF74E4"/>
    <w:rsid w:val="00BF7877"/>
    <w:rsid w:val="00BF7AF7"/>
    <w:rsid w:val="00BF7B2E"/>
    <w:rsid w:val="00C001A8"/>
    <w:rsid w:val="00C005BD"/>
    <w:rsid w:val="00C00AB1"/>
    <w:rsid w:val="00C01396"/>
    <w:rsid w:val="00C0140C"/>
    <w:rsid w:val="00C017B6"/>
    <w:rsid w:val="00C0185B"/>
    <w:rsid w:val="00C01D3A"/>
    <w:rsid w:val="00C0243F"/>
    <w:rsid w:val="00C025C3"/>
    <w:rsid w:val="00C0319D"/>
    <w:rsid w:val="00C032D5"/>
    <w:rsid w:val="00C03C5A"/>
    <w:rsid w:val="00C0409B"/>
    <w:rsid w:val="00C04CD7"/>
    <w:rsid w:val="00C04D19"/>
    <w:rsid w:val="00C04D32"/>
    <w:rsid w:val="00C04D8D"/>
    <w:rsid w:val="00C04D96"/>
    <w:rsid w:val="00C04E5A"/>
    <w:rsid w:val="00C04FC6"/>
    <w:rsid w:val="00C0579D"/>
    <w:rsid w:val="00C05828"/>
    <w:rsid w:val="00C05AAD"/>
    <w:rsid w:val="00C05C02"/>
    <w:rsid w:val="00C06223"/>
    <w:rsid w:val="00C0669F"/>
    <w:rsid w:val="00C06A0E"/>
    <w:rsid w:val="00C06EF9"/>
    <w:rsid w:val="00C070AF"/>
    <w:rsid w:val="00C07B56"/>
    <w:rsid w:val="00C07B59"/>
    <w:rsid w:val="00C07D76"/>
    <w:rsid w:val="00C10554"/>
    <w:rsid w:val="00C10AD8"/>
    <w:rsid w:val="00C10C01"/>
    <w:rsid w:val="00C11791"/>
    <w:rsid w:val="00C11894"/>
    <w:rsid w:val="00C12119"/>
    <w:rsid w:val="00C128B0"/>
    <w:rsid w:val="00C12965"/>
    <w:rsid w:val="00C13012"/>
    <w:rsid w:val="00C13076"/>
    <w:rsid w:val="00C131ED"/>
    <w:rsid w:val="00C13CDE"/>
    <w:rsid w:val="00C13EC6"/>
    <w:rsid w:val="00C147A5"/>
    <w:rsid w:val="00C14DAB"/>
    <w:rsid w:val="00C1582B"/>
    <w:rsid w:val="00C158E2"/>
    <w:rsid w:val="00C16037"/>
    <w:rsid w:val="00C162C2"/>
    <w:rsid w:val="00C1655E"/>
    <w:rsid w:val="00C166A0"/>
    <w:rsid w:val="00C16C6E"/>
    <w:rsid w:val="00C16F01"/>
    <w:rsid w:val="00C170A5"/>
    <w:rsid w:val="00C1734A"/>
    <w:rsid w:val="00C1759A"/>
    <w:rsid w:val="00C177FE"/>
    <w:rsid w:val="00C17A62"/>
    <w:rsid w:val="00C17EDC"/>
    <w:rsid w:val="00C20498"/>
    <w:rsid w:val="00C20A44"/>
    <w:rsid w:val="00C210AA"/>
    <w:rsid w:val="00C210F2"/>
    <w:rsid w:val="00C21217"/>
    <w:rsid w:val="00C21286"/>
    <w:rsid w:val="00C21A44"/>
    <w:rsid w:val="00C21B49"/>
    <w:rsid w:val="00C21DB1"/>
    <w:rsid w:val="00C2256C"/>
    <w:rsid w:val="00C2260C"/>
    <w:rsid w:val="00C22720"/>
    <w:rsid w:val="00C22881"/>
    <w:rsid w:val="00C22B0D"/>
    <w:rsid w:val="00C22B99"/>
    <w:rsid w:val="00C22C32"/>
    <w:rsid w:val="00C23743"/>
    <w:rsid w:val="00C23E2E"/>
    <w:rsid w:val="00C2456D"/>
    <w:rsid w:val="00C24907"/>
    <w:rsid w:val="00C24C09"/>
    <w:rsid w:val="00C25175"/>
    <w:rsid w:val="00C252CD"/>
    <w:rsid w:val="00C2563B"/>
    <w:rsid w:val="00C25D28"/>
    <w:rsid w:val="00C26CB9"/>
    <w:rsid w:val="00C26FF9"/>
    <w:rsid w:val="00C272C0"/>
    <w:rsid w:val="00C27383"/>
    <w:rsid w:val="00C27431"/>
    <w:rsid w:val="00C275DD"/>
    <w:rsid w:val="00C276E4"/>
    <w:rsid w:val="00C27A7F"/>
    <w:rsid w:val="00C303E0"/>
    <w:rsid w:val="00C305FF"/>
    <w:rsid w:val="00C306B7"/>
    <w:rsid w:val="00C30720"/>
    <w:rsid w:val="00C3088A"/>
    <w:rsid w:val="00C30C1C"/>
    <w:rsid w:val="00C3109A"/>
    <w:rsid w:val="00C31530"/>
    <w:rsid w:val="00C31826"/>
    <w:rsid w:val="00C3189E"/>
    <w:rsid w:val="00C31D23"/>
    <w:rsid w:val="00C32008"/>
    <w:rsid w:val="00C32504"/>
    <w:rsid w:val="00C33658"/>
    <w:rsid w:val="00C34BA0"/>
    <w:rsid w:val="00C34EDC"/>
    <w:rsid w:val="00C34FB0"/>
    <w:rsid w:val="00C35076"/>
    <w:rsid w:val="00C353E7"/>
    <w:rsid w:val="00C36F1A"/>
    <w:rsid w:val="00C37B1A"/>
    <w:rsid w:val="00C40121"/>
    <w:rsid w:val="00C4034C"/>
    <w:rsid w:val="00C40C1D"/>
    <w:rsid w:val="00C40EFC"/>
    <w:rsid w:val="00C4136C"/>
    <w:rsid w:val="00C41597"/>
    <w:rsid w:val="00C41A33"/>
    <w:rsid w:val="00C421F0"/>
    <w:rsid w:val="00C4221B"/>
    <w:rsid w:val="00C42495"/>
    <w:rsid w:val="00C42689"/>
    <w:rsid w:val="00C437E0"/>
    <w:rsid w:val="00C4415F"/>
    <w:rsid w:val="00C44595"/>
    <w:rsid w:val="00C44974"/>
    <w:rsid w:val="00C44A34"/>
    <w:rsid w:val="00C44CA8"/>
    <w:rsid w:val="00C44EA5"/>
    <w:rsid w:val="00C44FC5"/>
    <w:rsid w:val="00C4500D"/>
    <w:rsid w:val="00C4620D"/>
    <w:rsid w:val="00C466CB"/>
    <w:rsid w:val="00C469CC"/>
    <w:rsid w:val="00C470C8"/>
    <w:rsid w:val="00C473A1"/>
    <w:rsid w:val="00C476E5"/>
    <w:rsid w:val="00C47E09"/>
    <w:rsid w:val="00C502F4"/>
    <w:rsid w:val="00C506DB"/>
    <w:rsid w:val="00C50784"/>
    <w:rsid w:val="00C50856"/>
    <w:rsid w:val="00C50ADD"/>
    <w:rsid w:val="00C510A2"/>
    <w:rsid w:val="00C51144"/>
    <w:rsid w:val="00C51368"/>
    <w:rsid w:val="00C516DD"/>
    <w:rsid w:val="00C51966"/>
    <w:rsid w:val="00C525C0"/>
    <w:rsid w:val="00C52B5F"/>
    <w:rsid w:val="00C530AE"/>
    <w:rsid w:val="00C5329D"/>
    <w:rsid w:val="00C534AA"/>
    <w:rsid w:val="00C53A40"/>
    <w:rsid w:val="00C53A59"/>
    <w:rsid w:val="00C540E1"/>
    <w:rsid w:val="00C54210"/>
    <w:rsid w:val="00C544C3"/>
    <w:rsid w:val="00C546D6"/>
    <w:rsid w:val="00C5507A"/>
    <w:rsid w:val="00C5516F"/>
    <w:rsid w:val="00C5525B"/>
    <w:rsid w:val="00C553A8"/>
    <w:rsid w:val="00C558D1"/>
    <w:rsid w:val="00C55B2A"/>
    <w:rsid w:val="00C563E2"/>
    <w:rsid w:val="00C56C41"/>
    <w:rsid w:val="00C5762B"/>
    <w:rsid w:val="00C57790"/>
    <w:rsid w:val="00C577B0"/>
    <w:rsid w:val="00C57A9B"/>
    <w:rsid w:val="00C57BC3"/>
    <w:rsid w:val="00C57EEC"/>
    <w:rsid w:val="00C60CDB"/>
    <w:rsid w:val="00C60F5C"/>
    <w:rsid w:val="00C60FF7"/>
    <w:rsid w:val="00C615C6"/>
    <w:rsid w:val="00C619E6"/>
    <w:rsid w:val="00C61DF7"/>
    <w:rsid w:val="00C6221F"/>
    <w:rsid w:val="00C62294"/>
    <w:rsid w:val="00C624B2"/>
    <w:rsid w:val="00C62657"/>
    <w:rsid w:val="00C62E0C"/>
    <w:rsid w:val="00C632AE"/>
    <w:rsid w:val="00C632EF"/>
    <w:rsid w:val="00C63377"/>
    <w:rsid w:val="00C63556"/>
    <w:rsid w:val="00C63C9B"/>
    <w:rsid w:val="00C6424F"/>
    <w:rsid w:val="00C643DD"/>
    <w:rsid w:val="00C64E38"/>
    <w:rsid w:val="00C64FE1"/>
    <w:rsid w:val="00C6506A"/>
    <w:rsid w:val="00C65ACF"/>
    <w:rsid w:val="00C65D76"/>
    <w:rsid w:val="00C65DFC"/>
    <w:rsid w:val="00C65F8A"/>
    <w:rsid w:val="00C65F9B"/>
    <w:rsid w:val="00C66111"/>
    <w:rsid w:val="00C66500"/>
    <w:rsid w:val="00C669EE"/>
    <w:rsid w:val="00C66A65"/>
    <w:rsid w:val="00C67626"/>
    <w:rsid w:val="00C67BA2"/>
    <w:rsid w:val="00C70A9C"/>
    <w:rsid w:val="00C70C97"/>
    <w:rsid w:val="00C71099"/>
    <w:rsid w:val="00C71362"/>
    <w:rsid w:val="00C7189A"/>
    <w:rsid w:val="00C718D4"/>
    <w:rsid w:val="00C72704"/>
    <w:rsid w:val="00C72A13"/>
    <w:rsid w:val="00C72D4F"/>
    <w:rsid w:val="00C73152"/>
    <w:rsid w:val="00C734C1"/>
    <w:rsid w:val="00C73578"/>
    <w:rsid w:val="00C737B8"/>
    <w:rsid w:val="00C7395E"/>
    <w:rsid w:val="00C73EE1"/>
    <w:rsid w:val="00C747FF"/>
    <w:rsid w:val="00C74942"/>
    <w:rsid w:val="00C74AA4"/>
    <w:rsid w:val="00C74B1C"/>
    <w:rsid w:val="00C74B40"/>
    <w:rsid w:val="00C74BB8"/>
    <w:rsid w:val="00C74E60"/>
    <w:rsid w:val="00C74E92"/>
    <w:rsid w:val="00C74F37"/>
    <w:rsid w:val="00C75A6A"/>
    <w:rsid w:val="00C7603A"/>
    <w:rsid w:val="00C7603B"/>
    <w:rsid w:val="00C765ED"/>
    <w:rsid w:val="00C76B49"/>
    <w:rsid w:val="00C76C9B"/>
    <w:rsid w:val="00C7712F"/>
    <w:rsid w:val="00C77B91"/>
    <w:rsid w:val="00C77F66"/>
    <w:rsid w:val="00C80318"/>
    <w:rsid w:val="00C8048C"/>
    <w:rsid w:val="00C80814"/>
    <w:rsid w:val="00C80A3B"/>
    <w:rsid w:val="00C80FC2"/>
    <w:rsid w:val="00C8115F"/>
    <w:rsid w:val="00C81268"/>
    <w:rsid w:val="00C81403"/>
    <w:rsid w:val="00C81480"/>
    <w:rsid w:val="00C81DC1"/>
    <w:rsid w:val="00C82070"/>
    <w:rsid w:val="00C8222F"/>
    <w:rsid w:val="00C82345"/>
    <w:rsid w:val="00C82582"/>
    <w:rsid w:val="00C82BB1"/>
    <w:rsid w:val="00C844A8"/>
    <w:rsid w:val="00C84832"/>
    <w:rsid w:val="00C852D2"/>
    <w:rsid w:val="00C85825"/>
    <w:rsid w:val="00C85FDC"/>
    <w:rsid w:val="00C86358"/>
    <w:rsid w:val="00C8738E"/>
    <w:rsid w:val="00C8776C"/>
    <w:rsid w:val="00C87B12"/>
    <w:rsid w:val="00C87DED"/>
    <w:rsid w:val="00C91447"/>
    <w:rsid w:val="00C9178C"/>
    <w:rsid w:val="00C91C18"/>
    <w:rsid w:val="00C91E25"/>
    <w:rsid w:val="00C9202B"/>
    <w:rsid w:val="00C924FB"/>
    <w:rsid w:val="00C9251C"/>
    <w:rsid w:val="00C92547"/>
    <w:rsid w:val="00C92880"/>
    <w:rsid w:val="00C928BC"/>
    <w:rsid w:val="00C92C70"/>
    <w:rsid w:val="00C92EDF"/>
    <w:rsid w:val="00C92FB1"/>
    <w:rsid w:val="00C930FB"/>
    <w:rsid w:val="00C933DC"/>
    <w:rsid w:val="00C94A57"/>
    <w:rsid w:val="00C94A9F"/>
    <w:rsid w:val="00C95031"/>
    <w:rsid w:val="00C9508A"/>
    <w:rsid w:val="00C9512C"/>
    <w:rsid w:val="00C95151"/>
    <w:rsid w:val="00C95CCC"/>
    <w:rsid w:val="00C95F75"/>
    <w:rsid w:val="00C96244"/>
    <w:rsid w:val="00C963C3"/>
    <w:rsid w:val="00C96EDE"/>
    <w:rsid w:val="00C96F74"/>
    <w:rsid w:val="00C97088"/>
    <w:rsid w:val="00C970BF"/>
    <w:rsid w:val="00C9760D"/>
    <w:rsid w:val="00C97848"/>
    <w:rsid w:val="00C97B7E"/>
    <w:rsid w:val="00C97DE1"/>
    <w:rsid w:val="00CA0082"/>
    <w:rsid w:val="00CA0213"/>
    <w:rsid w:val="00CA060A"/>
    <w:rsid w:val="00CA07FD"/>
    <w:rsid w:val="00CA08F0"/>
    <w:rsid w:val="00CA0B03"/>
    <w:rsid w:val="00CA0B3D"/>
    <w:rsid w:val="00CA0D36"/>
    <w:rsid w:val="00CA13A4"/>
    <w:rsid w:val="00CA1528"/>
    <w:rsid w:val="00CA1590"/>
    <w:rsid w:val="00CA1E79"/>
    <w:rsid w:val="00CA1ED8"/>
    <w:rsid w:val="00CA1F57"/>
    <w:rsid w:val="00CA1FE0"/>
    <w:rsid w:val="00CA26A8"/>
    <w:rsid w:val="00CA2D3C"/>
    <w:rsid w:val="00CA3B3A"/>
    <w:rsid w:val="00CA3BC0"/>
    <w:rsid w:val="00CA46CE"/>
    <w:rsid w:val="00CA50D4"/>
    <w:rsid w:val="00CA5383"/>
    <w:rsid w:val="00CA5BCD"/>
    <w:rsid w:val="00CA5CB4"/>
    <w:rsid w:val="00CA5FBB"/>
    <w:rsid w:val="00CA63DD"/>
    <w:rsid w:val="00CA669F"/>
    <w:rsid w:val="00CA6BEB"/>
    <w:rsid w:val="00CA6E50"/>
    <w:rsid w:val="00CA7437"/>
    <w:rsid w:val="00CA7ACB"/>
    <w:rsid w:val="00CB0695"/>
    <w:rsid w:val="00CB071C"/>
    <w:rsid w:val="00CB0AB6"/>
    <w:rsid w:val="00CB0EC8"/>
    <w:rsid w:val="00CB0EEF"/>
    <w:rsid w:val="00CB1044"/>
    <w:rsid w:val="00CB1573"/>
    <w:rsid w:val="00CB183C"/>
    <w:rsid w:val="00CB1959"/>
    <w:rsid w:val="00CB1C35"/>
    <w:rsid w:val="00CB1E33"/>
    <w:rsid w:val="00CB203D"/>
    <w:rsid w:val="00CB244D"/>
    <w:rsid w:val="00CB2ACD"/>
    <w:rsid w:val="00CB31BB"/>
    <w:rsid w:val="00CB32E8"/>
    <w:rsid w:val="00CB387F"/>
    <w:rsid w:val="00CB3A54"/>
    <w:rsid w:val="00CB3BE7"/>
    <w:rsid w:val="00CB4203"/>
    <w:rsid w:val="00CB47EF"/>
    <w:rsid w:val="00CB48D0"/>
    <w:rsid w:val="00CB4DE6"/>
    <w:rsid w:val="00CB5443"/>
    <w:rsid w:val="00CB5AC9"/>
    <w:rsid w:val="00CB6092"/>
    <w:rsid w:val="00CB6475"/>
    <w:rsid w:val="00CB6559"/>
    <w:rsid w:val="00CB65B9"/>
    <w:rsid w:val="00CB6AC6"/>
    <w:rsid w:val="00CB6B7D"/>
    <w:rsid w:val="00CB6D4F"/>
    <w:rsid w:val="00CB7489"/>
    <w:rsid w:val="00CB7D51"/>
    <w:rsid w:val="00CC0100"/>
    <w:rsid w:val="00CC04B0"/>
    <w:rsid w:val="00CC05B0"/>
    <w:rsid w:val="00CC067A"/>
    <w:rsid w:val="00CC0A99"/>
    <w:rsid w:val="00CC0E62"/>
    <w:rsid w:val="00CC0E86"/>
    <w:rsid w:val="00CC0E9E"/>
    <w:rsid w:val="00CC1836"/>
    <w:rsid w:val="00CC1F50"/>
    <w:rsid w:val="00CC2248"/>
    <w:rsid w:val="00CC2464"/>
    <w:rsid w:val="00CC24B8"/>
    <w:rsid w:val="00CC312B"/>
    <w:rsid w:val="00CC31CD"/>
    <w:rsid w:val="00CC35E3"/>
    <w:rsid w:val="00CC3FB5"/>
    <w:rsid w:val="00CC423F"/>
    <w:rsid w:val="00CC4630"/>
    <w:rsid w:val="00CC46C3"/>
    <w:rsid w:val="00CC4865"/>
    <w:rsid w:val="00CC4BBD"/>
    <w:rsid w:val="00CC4D4A"/>
    <w:rsid w:val="00CC504F"/>
    <w:rsid w:val="00CC5184"/>
    <w:rsid w:val="00CC5467"/>
    <w:rsid w:val="00CC554F"/>
    <w:rsid w:val="00CC5B49"/>
    <w:rsid w:val="00CC5CEC"/>
    <w:rsid w:val="00CC6065"/>
    <w:rsid w:val="00CC6658"/>
    <w:rsid w:val="00CC6802"/>
    <w:rsid w:val="00CC686A"/>
    <w:rsid w:val="00CC6915"/>
    <w:rsid w:val="00CC6B3E"/>
    <w:rsid w:val="00CC73C1"/>
    <w:rsid w:val="00CC78DC"/>
    <w:rsid w:val="00CD0641"/>
    <w:rsid w:val="00CD0E81"/>
    <w:rsid w:val="00CD1084"/>
    <w:rsid w:val="00CD10E5"/>
    <w:rsid w:val="00CD132D"/>
    <w:rsid w:val="00CD1AA9"/>
    <w:rsid w:val="00CD204E"/>
    <w:rsid w:val="00CD251A"/>
    <w:rsid w:val="00CD27B4"/>
    <w:rsid w:val="00CD28C2"/>
    <w:rsid w:val="00CD2A6C"/>
    <w:rsid w:val="00CD2A83"/>
    <w:rsid w:val="00CD30A5"/>
    <w:rsid w:val="00CD30DC"/>
    <w:rsid w:val="00CD30E4"/>
    <w:rsid w:val="00CD37A2"/>
    <w:rsid w:val="00CD3A05"/>
    <w:rsid w:val="00CD3BC1"/>
    <w:rsid w:val="00CD4387"/>
    <w:rsid w:val="00CD4FA1"/>
    <w:rsid w:val="00CD5115"/>
    <w:rsid w:val="00CD5256"/>
    <w:rsid w:val="00CD5607"/>
    <w:rsid w:val="00CD5989"/>
    <w:rsid w:val="00CD5A8A"/>
    <w:rsid w:val="00CD5C28"/>
    <w:rsid w:val="00CD6160"/>
    <w:rsid w:val="00CD62EC"/>
    <w:rsid w:val="00CD65D9"/>
    <w:rsid w:val="00CD6675"/>
    <w:rsid w:val="00CD69D6"/>
    <w:rsid w:val="00CD6A8B"/>
    <w:rsid w:val="00CD7189"/>
    <w:rsid w:val="00CD723A"/>
    <w:rsid w:val="00CD7547"/>
    <w:rsid w:val="00CD76B8"/>
    <w:rsid w:val="00CD7904"/>
    <w:rsid w:val="00CD7F9D"/>
    <w:rsid w:val="00CE0345"/>
    <w:rsid w:val="00CE042A"/>
    <w:rsid w:val="00CE08C4"/>
    <w:rsid w:val="00CE0EDD"/>
    <w:rsid w:val="00CE130A"/>
    <w:rsid w:val="00CE13EC"/>
    <w:rsid w:val="00CE1DD1"/>
    <w:rsid w:val="00CE1E4F"/>
    <w:rsid w:val="00CE1E79"/>
    <w:rsid w:val="00CE1F05"/>
    <w:rsid w:val="00CE1F80"/>
    <w:rsid w:val="00CE27CD"/>
    <w:rsid w:val="00CE2B74"/>
    <w:rsid w:val="00CE335E"/>
    <w:rsid w:val="00CE34A6"/>
    <w:rsid w:val="00CE37B3"/>
    <w:rsid w:val="00CE37BB"/>
    <w:rsid w:val="00CE3C71"/>
    <w:rsid w:val="00CE4EB1"/>
    <w:rsid w:val="00CE535F"/>
    <w:rsid w:val="00CE53C4"/>
    <w:rsid w:val="00CE5F10"/>
    <w:rsid w:val="00CE612C"/>
    <w:rsid w:val="00CE6252"/>
    <w:rsid w:val="00CE67D2"/>
    <w:rsid w:val="00CE753C"/>
    <w:rsid w:val="00CE75E5"/>
    <w:rsid w:val="00CE7CF4"/>
    <w:rsid w:val="00CF059E"/>
    <w:rsid w:val="00CF06F4"/>
    <w:rsid w:val="00CF0989"/>
    <w:rsid w:val="00CF128F"/>
    <w:rsid w:val="00CF1477"/>
    <w:rsid w:val="00CF15BC"/>
    <w:rsid w:val="00CF1A22"/>
    <w:rsid w:val="00CF1D9F"/>
    <w:rsid w:val="00CF214C"/>
    <w:rsid w:val="00CF289C"/>
    <w:rsid w:val="00CF2BB8"/>
    <w:rsid w:val="00CF2C45"/>
    <w:rsid w:val="00CF4A67"/>
    <w:rsid w:val="00CF4B0A"/>
    <w:rsid w:val="00CF4C47"/>
    <w:rsid w:val="00CF4D40"/>
    <w:rsid w:val="00CF5040"/>
    <w:rsid w:val="00CF58DB"/>
    <w:rsid w:val="00CF5988"/>
    <w:rsid w:val="00CF5A5B"/>
    <w:rsid w:val="00CF5C17"/>
    <w:rsid w:val="00CF5D24"/>
    <w:rsid w:val="00CF62CC"/>
    <w:rsid w:val="00CF63F3"/>
    <w:rsid w:val="00CF6B4E"/>
    <w:rsid w:val="00CF6C75"/>
    <w:rsid w:val="00CF6D3E"/>
    <w:rsid w:val="00CF76C0"/>
    <w:rsid w:val="00CF7749"/>
    <w:rsid w:val="00CF7ABE"/>
    <w:rsid w:val="00CF7BCC"/>
    <w:rsid w:val="00CF7CD4"/>
    <w:rsid w:val="00D003A7"/>
    <w:rsid w:val="00D00551"/>
    <w:rsid w:val="00D00610"/>
    <w:rsid w:val="00D00925"/>
    <w:rsid w:val="00D00942"/>
    <w:rsid w:val="00D00A5E"/>
    <w:rsid w:val="00D018A9"/>
    <w:rsid w:val="00D019D7"/>
    <w:rsid w:val="00D01AE3"/>
    <w:rsid w:val="00D024E3"/>
    <w:rsid w:val="00D027DF"/>
    <w:rsid w:val="00D0295B"/>
    <w:rsid w:val="00D02D48"/>
    <w:rsid w:val="00D02D5B"/>
    <w:rsid w:val="00D03171"/>
    <w:rsid w:val="00D031B3"/>
    <w:rsid w:val="00D0340F"/>
    <w:rsid w:val="00D0352C"/>
    <w:rsid w:val="00D0353E"/>
    <w:rsid w:val="00D03609"/>
    <w:rsid w:val="00D038A3"/>
    <w:rsid w:val="00D03CFD"/>
    <w:rsid w:val="00D03D9D"/>
    <w:rsid w:val="00D03EE0"/>
    <w:rsid w:val="00D03F3B"/>
    <w:rsid w:val="00D0426B"/>
    <w:rsid w:val="00D044CB"/>
    <w:rsid w:val="00D0479D"/>
    <w:rsid w:val="00D04BF2"/>
    <w:rsid w:val="00D04D71"/>
    <w:rsid w:val="00D04EC5"/>
    <w:rsid w:val="00D051C7"/>
    <w:rsid w:val="00D0534A"/>
    <w:rsid w:val="00D053F2"/>
    <w:rsid w:val="00D05DDF"/>
    <w:rsid w:val="00D06471"/>
    <w:rsid w:val="00D06576"/>
    <w:rsid w:val="00D073F0"/>
    <w:rsid w:val="00D075B6"/>
    <w:rsid w:val="00D0775E"/>
    <w:rsid w:val="00D07BF6"/>
    <w:rsid w:val="00D07C0A"/>
    <w:rsid w:val="00D07CED"/>
    <w:rsid w:val="00D100A3"/>
    <w:rsid w:val="00D1011B"/>
    <w:rsid w:val="00D10841"/>
    <w:rsid w:val="00D10DA2"/>
    <w:rsid w:val="00D10F62"/>
    <w:rsid w:val="00D11628"/>
    <w:rsid w:val="00D1188D"/>
    <w:rsid w:val="00D11DDF"/>
    <w:rsid w:val="00D11E7C"/>
    <w:rsid w:val="00D11EA3"/>
    <w:rsid w:val="00D1242E"/>
    <w:rsid w:val="00D124ED"/>
    <w:rsid w:val="00D12522"/>
    <w:rsid w:val="00D1281A"/>
    <w:rsid w:val="00D129E4"/>
    <w:rsid w:val="00D12AFB"/>
    <w:rsid w:val="00D1359A"/>
    <w:rsid w:val="00D13CC0"/>
    <w:rsid w:val="00D141BF"/>
    <w:rsid w:val="00D14202"/>
    <w:rsid w:val="00D14337"/>
    <w:rsid w:val="00D1447C"/>
    <w:rsid w:val="00D14487"/>
    <w:rsid w:val="00D145A0"/>
    <w:rsid w:val="00D14BA7"/>
    <w:rsid w:val="00D15D33"/>
    <w:rsid w:val="00D15DC7"/>
    <w:rsid w:val="00D15F68"/>
    <w:rsid w:val="00D15FC3"/>
    <w:rsid w:val="00D165F7"/>
    <w:rsid w:val="00D16800"/>
    <w:rsid w:val="00D1687F"/>
    <w:rsid w:val="00D168DE"/>
    <w:rsid w:val="00D16993"/>
    <w:rsid w:val="00D16FAB"/>
    <w:rsid w:val="00D174A6"/>
    <w:rsid w:val="00D17B86"/>
    <w:rsid w:val="00D2001E"/>
    <w:rsid w:val="00D202FF"/>
    <w:rsid w:val="00D20BE3"/>
    <w:rsid w:val="00D20C48"/>
    <w:rsid w:val="00D20DC1"/>
    <w:rsid w:val="00D2103B"/>
    <w:rsid w:val="00D21100"/>
    <w:rsid w:val="00D214BE"/>
    <w:rsid w:val="00D214DF"/>
    <w:rsid w:val="00D21F14"/>
    <w:rsid w:val="00D2228D"/>
    <w:rsid w:val="00D22946"/>
    <w:rsid w:val="00D23326"/>
    <w:rsid w:val="00D2360B"/>
    <w:rsid w:val="00D23A8D"/>
    <w:rsid w:val="00D23ACE"/>
    <w:rsid w:val="00D249D4"/>
    <w:rsid w:val="00D24ABB"/>
    <w:rsid w:val="00D24B4C"/>
    <w:rsid w:val="00D24CE6"/>
    <w:rsid w:val="00D24D05"/>
    <w:rsid w:val="00D24E22"/>
    <w:rsid w:val="00D257EE"/>
    <w:rsid w:val="00D25C01"/>
    <w:rsid w:val="00D26201"/>
    <w:rsid w:val="00D26434"/>
    <w:rsid w:val="00D26E89"/>
    <w:rsid w:val="00D26F9C"/>
    <w:rsid w:val="00D27595"/>
    <w:rsid w:val="00D276A7"/>
    <w:rsid w:val="00D27994"/>
    <w:rsid w:val="00D27995"/>
    <w:rsid w:val="00D27E7C"/>
    <w:rsid w:val="00D30215"/>
    <w:rsid w:val="00D3088A"/>
    <w:rsid w:val="00D30A80"/>
    <w:rsid w:val="00D30F8A"/>
    <w:rsid w:val="00D314A0"/>
    <w:rsid w:val="00D3167E"/>
    <w:rsid w:val="00D31AB4"/>
    <w:rsid w:val="00D31CED"/>
    <w:rsid w:val="00D31F75"/>
    <w:rsid w:val="00D31FB8"/>
    <w:rsid w:val="00D327F0"/>
    <w:rsid w:val="00D32A0D"/>
    <w:rsid w:val="00D32B14"/>
    <w:rsid w:val="00D32F79"/>
    <w:rsid w:val="00D333F8"/>
    <w:rsid w:val="00D33663"/>
    <w:rsid w:val="00D33807"/>
    <w:rsid w:val="00D33810"/>
    <w:rsid w:val="00D33B34"/>
    <w:rsid w:val="00D33BD9"/>
    <w:rsid w:val="00D340F8"/>
    <w:rsid w:val="00D346E8"/>
    <w:rsid w:val="00D34DDE"/>
    <w:rsid w:val="00D34E86"/>
    <w:rsid w:val="00D34F4F"/>
    <w:rsid w:val="00D35024"/>
    <w:rsid w:val="00D350D0"/>
    <w:rsid w:val="00D353A8"/>
    <w:rsid w:val="00D35BDB"/>
    <w:rsid w:val="00D35C57"/>
    <w:rsid w:val="00D35C65"/>
    <w:rsid w:val="00D35F6A"/>
    <w:rsid w:val="00D3602F"/>
    <w:rsid w:val="00D3758F"/>
    <w:rsid w:val="00D376A6"/>
    <w:rsid w:val="00D3795A"/>
    <w:rsid w:val="00D379C0"/>
    <w:rsid w:val="00D400B6"/>
    <w:rsid w:val="00D401EF"/>
    <w:rsid w:val="00D402FB"/>
    <w:rsid w:val="00D403EF"/>
    <w:rsid w:val="00D40955"/>
    <w:rsid w:val="00D40BBB"/>
    <w:rsid w:val="00D40C51"/>
    <w:rsid w:val="00D41437"/>
    <w:rsid w:val="00D41A41"/>
    <w:rsid w:val="00D41D76"/>
    <w:rsid w:val="00D41E6D"/>
    <w:rsid w:val="00D420A0"/>
    <w:rsid w:val="00D42556"/>
    <w:rsid w:val="00D42567"/>
    <w:rsid w:val="00D42B3A"/>
    <w:rsid w:val="00D430BB"/>
    <w:rsid w:val="00D43275"/>
    <w:rsid w:val="00D438DB"/>
    <w:rsid w:val="00D43C3A"/>
    <w:rsid w:val="00D443B7"/>
    <w:rsid w:val="00D44458"/>
    <w:rsid w:val="00D44B3C"/>
    <w:rsid w:val="00D45332"/>
    <w:rsid w:val="00D45847"/>
    <w:rsid w:val="00D45AD5"/>
    <w:rsid w:val="00D464B7"/>
    <w:rsid w:val="00D46A81"/>
    <w:rsid w:val="00D46E49"/>
    <w:rsid w:val="00D47305"/>
    <w:rsid w:val="00D475C2"/>
    <w:rsid w:val="00D47688"/>
    <w:rsid w:val="00D50374"/>
    <w:rsid w:val="00D5078E"/>
    <w:rsid w:val="00D5098B"/>
    <w:rsid w:val="00D509B9"/>
    <w:rsid w:val="00D51120"/>
    <w:rsid w:val="00D512B9"/>
    <w:rsid w:val="00D51CC8"/>
    <w:rsid w:val="00D5270F"/>
    <w:rsid w:val="00D52A4C"/>
    <w:rsid w:val="00D52B93"/>
    <w:rsid w:val="00D52FE7"/>
    <w:rsid w:val="00D53256"/>
    <w:rsid w:val="00D5341B"/>
    <w:rsid w:val="00D534C3"/>
    <w:rsid w:val="00D53BA1"/>
    <w:rsid w:val="00D53FB0"/>
    <w:rsid w:val="00D540AF"/>
    <w:rsid w:val="00D54581"/>
    <w:rsid w:val="00D546AC"/>
    <w:rsid w:val="00D54AAD"/>
    <w:rsid w:val="00D54EA8"/>
    <w:rsid w:val="00D554D7"/>
    <w:rsid w:val="00D559EE"/>
    <w:rsid w:val="00D55A8D"/>
    <w:rsid w:val="00D55DEA"/>
    <w:rsid w:val="00D55E3C"/>
    <w:rsid w:val="00D5678F"/>
    <w:rsid w:val="00D5685C"/>
    <w:rsid w:val="00D57060"/>
    <w:rsid w:val="00D571F8"/>
    <w:rsid w:val="00D57D06"/>
    <w:rsid w:val="00D57DDF"/>
    <w:rsid w:val="00D57EC5"/>
    <w:rsid w:val="00D6005D"/>
    <w:rsid w:val="00D60204"/>
    <w:rsid w:val="00D604EC"/>
    <w:rsid w:val="00D608BA"/>
    <w:rsid w:val="00D60BFB"/>
    <w:rsid w:val="00D61A3A"/>
    <w:rsid w:val="00D61D31"/>
    <w:rsid w:val="00D61D77"/>
    <w:rsid w:val="00D621FA"/>
    <w:rsid w:val="00D62C26"/>
    <w:rsid w:val="00D638A0"/>
    <w:rsid w:val="00D63E92"/>
    <w:rsid w:val="00D64367"/>
    <w:rsid w:val="00D6470E"/>
    <w:rsid w:val="00D64D8F"/>
    <w:rsid w:val="00D64E7E"/>
    <w:rsid w:val="00D656C1"/>
    <w:rsid w:val="00D657A8"/>
    <w:rsid w:val="00D658F5"/>
    <w:rsid w:val="00D65967"/>
    <w:rsid w:val="00D65CB2"/>
    <w:rsid w:val="00D662AA"/>
    <w:rsid w:val="00D66495"/>
    <w:rsid w:val="00D66971"/>
    <w:rsid w:val="00D669B4"/>
    <w:rsid w:val="00D66B63"/>
    <w:rsid w:val="00D6708E"/>
    <w:rsid w:val="00D6746E"/>
    <w:rsid w:val="00D674DF"/>
    <w:rsid w:val="00D675CE"/>
    <w:rsid w:val="00D67905"/>
    <w:rsid w:val="00D67AB0"/>
    <w:rsid w:val="00D67FB9"/>
    <w:rsid w:val="00D7066E"/>
    <w:rsid w:val="00D706CE"/>
    <w:rsid w:val="00D70CE6"/>
    <w:rsid w:val="00D71190"/>
    <w:rsid w:val="00D7203D"/>
    <w:rsid w:val="00D72190"/>
    <w:rsid w:val="00D7265D"/>
    <w:rsid w:val="00D72975"/>
    <w:rsid w:val="00D72AA1"/>
    <w:rsid w:val="00D73271"/>
    <w:rsid w:val="00D73888"/>
    <w:rsid w:val="00D738DC"/>
    <w:rsid w:val="00D73A93"/>
    <w:rsid w:val="00D73D9B"/>
    <w:rsid w:val="00D73E1C"/>
    <w:rsid w:val="00D740FC"/>
    <w:rsid w:val="00D74376"/>
    <w:rsid w:val="00D743B4"/>
    <w:rsid w:val="00D74767"/>
    <w:rsid w:val="00D74BFA"/>
    <w:rsid w:val="00D7504E"/>
    <w:rsid w:val="00D755AE"/>
    <w:rsid w:val="00D76B72"/>
    <w:rsid w:val="00D76C32"/>
    <w:rsid w:val="00D76EE5"/>
    <w:rsid w:val="00D770BE"/>
    <w:rsid w:val="00D772F6"/>
    <w:rsid w:val="00D77674"/>
    <w:rsid w:val="00D776BC"/>
    <w:rsid w:val="00D77CCF"/>
    <w:rsid w:val="00D77DFF"/>
    <w:rsid w:val="00D77F11"/>
    <w:rsid w:val="00D80537"/>
    <w:rsid w:val="00D80ECE"/>
    <w:rsid w:val="00D80F64"/>
    <w:rsid w:val="00D81051"/>
    <w:rsid w:val="00D81133"/>
    <w:rsid w:val="00D81270"/>
    <w:rsid w:val="00D814B7"/>
    <w:rsid w:val="00D82319"/>
    <w:rsid w:val="00D8342D"/>
    <w:rsid w:val="00D83E6A"/>
    <w:rsid w:val="00D83F89"/>
    <w:rsid w:val="00D8492E"/>
    <w:rsid w:val="00D84B76"/>
    <w:rsid w:val="00D84BEA"/>
    <w:rsid w:val="00D84E41"/>
    <w:rsid w:val="00D85274"/>
    <w:rsid w:val="00D85543"/>
    <w:rsid w:val="00D8573A"/>
    <w:rsid w:val="00D85CAB"/>
    <w:rsid w:val="00D85E2C"/>
    <w:rsid w:val="00D863B5"/>
    <w:rsid w:val="00D86BA2"/>
    <w:rsid w:val="00D86DCF"/>
    <w:rsid w:val="00D86F24"/>
    <w:rsid w:val="00D8721A"/>
    <w:rsid w:val="00D876B3"/>
    <w:rsid w:val="00D87950"/>
    <w:rsid w:val="00D87A7E"/>
    <w:rsid w:val="00D87B4C"/>
    <w:rsid w:val="00D87B8C"/>
    <w:rsid w:val="00D9076C"/>
    <w:rsid w:val="00D90878"/>
    <w:rsid w:val="00D90C89"/>
    <w:rsid w:val="00D90CA8"/>
    <w:rsid w:val="00D91120"/>
    <w:rsid w:val="00D9134E"/>
    <w:rsid w:val="00D91AD2"/>
    <w:rsid w:val="00D91D80"/>
    <w:rsid w:val="00D91E94"/>
    <w:rsid w:val="00D92486"/>
    <w:rsid w:val="00D92A9A"/>
    <w:rsid w:val="00D92B9D"/>
    <w:rsid w:val="00D932DA"/>
    <w:rsid w:val="00D93F77"/>
    <w:rsid w:val="00D94183"/>
    <w:rsid w:val="00D9442E"/>
    <w:rsid w:val="00D947E8"/>
    <w:rsid w:val="00D94CCC"/>
    <w:rsid w:val="00D95093"/>
    <w:rsid w:val="00D955DF"/>
    <w:rsid w:val="00D961ED"/>
    <w:rsid w:val="00D96342"/>
    <w:rsid w:val="00D96366"/>
    <w:rsid w:val="00D96515"/>
    <w:rsid w:val="00D9652E"/>
    <w:rsid w:val="00D965F9"/>
    <w:rsid w:val="00D96A32"/>
    <w:rsid w:val="00D96C8A"/>
    <w:rsid w:val="00D97A98"/>
    <w:rsid w:val="00D97F46"/>
    <w:rsid w:val="00DA0121"/>
    <w:rsid w:val="00DA0445"/>
    <w:rsid w:val="00DA09DA"/>
    <w:rsid w:val="00DA22AE"/>
    <w:rsid w:val="00DA234F"/>
    <w:rsid w:val="00DA2483"/>
    <w:rsid w:val="00DA26BC"/>
    <w:rsid w:val="00DA3663"/>
    <w:rsid w:val="00DA3686"/>
    <w:rsid w:val="00DA3A21"/>
    <w:rsid w:val="00DA41DB"/>
    <w:rsid w:val="00DA43A4"/>
    <w:rsid w:val="00DA4926"/>
    <w:rsid w:val="00DA4ABA"/>
    <w:rsid w:val="00DA4BC0"/>
    <w:rsid w:val="00DA4CFA"/>
    <w:rsid w:val="00DA5537"/>
    <w:rsid w:val="00DA5968"/>
    <w:rsid w:val="00DA5E8D"/>
    <w:rsid w:val="00DA60F5"/>
    <w:rsid w:val="00DA63CA"/>
    <w:rsid w:val="00DA661A"/>
    <w:rsid w:val="00DA6921"/>
    <w:rsid w:val="00DA6941"/>
    <w:rsid w:val="00DA7DD9"/>
    <w:rsid w:val="00DB0153"/>
    <w:rsid w:val="00DB0B31"/>
    <w:rsid w:val="00DB0FFB"/>
    <w:rsid w:val="00DB1144"/>
    <w:rsid w:val="00DB12D7"/>
    <w:rsid w:val="00DB1569"/>
    <w:rsid w:val="00DB1ABC"/>
    <w:rsid w:val="00DB1B0F"/>
    <w:rsid w:val="00DB1B81"/>
    <w:rsid w:val="00DB2C5D"/>
    <w:rsid w:val="00DB2CD2"/>
    <w:rsid w:val="00DB3389"/>
    <w:rsid w:val="00DB34C7"/>
    <w:rsid w:val="00DB3904"/>
    <w:rsid w:val="00DB42C0"/>
    <w:rsid w:val="00DB460B"/>
    <w:rsid w:val="00DB4E27"/>
    <w:rsid w:val="00DB51A3"/>
    <w:rsid w:val="00DB5BC2"/>
    <w:rsid w:val="00DB6586"/>
    <w:rsid w:val="00DB67AA"/>
    <w:rsid w:val="00DB6B0F"/>
    <w:rsid w:val="00DB717C"/>
    <w:rsid w:val="00DB71A0"/>
    <w:rsid w:val="00DB76ED"/>
    <w:rsid w:val="00DB7B42"/>
    <w:rsid w:val="00DC04AD"/>
    <w:rsid w:val="00DC0509"/>
    <w:rsid w:val="00DC0730"/>
    <w:rsid w:val="00DC0A23"/>
    <w:rsid w:val="00DC0A75"/>
    <w:rsid w:val="00DC1233"/>
    <w:rsid w:val="00DC1296"/>
    <w:rsid w:val="00DC1658"/>
    <w:rsid w:val="00DC1ED5"/>
    <w:rsid w:val="00DC1FF5"/>
    <w:rsid w:val="00DC2003"/>
    <w:rsid w:val="00DC2131"/>
    <w:rsid w:val="00DC2278"/>
    <w:rsid w:val="00DC2691"/>
    <w:rsid w:val="00DC2F1E"/>
    <w:rsid w:val="00DC454F"/>
    <w:rsid w:val="00DC471D"/>
    <w:rsid w:val="00DC4A0A"/>
    <w:rsid w:val="00DC517C"/>
    <w:rsid w:val="00DC59C3"/>
    <w:rsid w:val="00DC5F01"/>
    <w:rsid w:val="00DC63E7"/>
    <w:rsid w:val="00DC651C"/>
    <w:rsid w:val="00DC6564"/>
    <w:rsid w:val="00DC6D5F"/>
    <w:rsid w:val="00DC75C7"/>
    <w:rsid w:val="00DC78BC"/>
    <w:rsid w:val="00DD017A"/>
    <w:rsid w:val="00DD0305"/>
    <w:rsid w:val="00DD0352"/>
    <w:rsid w:val="00DD0999"/>
    <w:rsid w:val="00DD0B29"/>
    <w:rsid w:val="00DD0CDB"/>
    <w:rsid w:val="00DD182D"/>
    <w:rsid w:val="00DD1A51"/>
    <w:rsid w:val="00DD1AF9"/>
    <w:rsid w:val="00DD2526"/>
    <w:rsid w:val="00DD29B5"/>
    <w:rsid w:val="00DD3186"/>
    <w:rsid w:val="00DD31F9"/>
    <w:rsid w:val="00DD322B"/>
    <w:rsid w:val="00DD463C"/>
    <w:rsid w:val="00DD48BC"/>
    <w:rsid w:val="00DD4C95"/>
    <w:rsid w:val="00DD4D36"/>
    <w:rsid w:val="00DD51F5"/>
    <w:rsid w:val="00DD5346"/>
    <w:rsid w:val="00DD547F"/>
    <w:rsid w:val="00DD56DD"/>
    <w:rsid w:val="00DD5765"/>
    <w:rsid w:val="00DD5F8D"/>
    <w:rsid w:val="00DD6A57"/>
    <w:rsid w:val="00DD6B33"/>
    <w:rsid w:val="00DD6B85"/>
    <w:rsid w:val="00DD6C85"/>
    <w:rsid w:val="00DD71C3"/>
    <w:rsid w:val="00DD75BC"/>
    <w:rsid w:val="00DD7603"/>
    <w:rsid w:val="00DD772F"/>
    <w:rsid w:val="00DE0248"/>
    <w:rsid w:val="00DE04DD"/>
    <w:rsid w:val="00DE0596"/>
    <w:rsid w:val="00DE07B9"/>
    <w:rsid w:val="00DE083A"/>
    <w:rsid w:val="00DE0C33"/>
    <w:rsid w:val="00DE0C3D"/>
    <w:rsid w:val="00DE115B"/>
    <w:rsid w:val="00DE1190"/>
    <w:rsid w:val="00DE1969"/>
    <w:rsid w:val="00DE1ABA"/>
    <w:rsid w:val="00DE1DDD"/>
    <w:rsid w:val="00DE207E"/>
    <w:rsid w:val="00DE26D4"/>
    <w:rsid w:val="00DE287C"/>
    <w:rsid w:val="00DE2931"/>
    <w:rsid w:val="00DE297B"/>
    <w:rsid w:val="00DE2EE4"/>
    <w:rsid w:val="00DE2F45"/>
    <w:rsid w:val="00DE3A07"/>
    <w:rsid w:val="00DE3AEE"/>
    <w:rsid w:val="00DE41F0"/>
    <w:rsid w:val="00DE440A"/>
    <w:rsid w:val="00DE473C"/>
    <w:rsid w:val="00DE509D"/>
    <w:rsid w:val="00DE512E"/>
    <w:rsid w:val="00DE5370"/>
    <w:rsid w:val="00DE568A"/>
    <w:rsid w:val="00DE5762"/>
    <w:rsid w:val="00DE57A5"/>
    <w:rsid w:val="00DE6217"/>
    <w:rsid w:val="00DE66A5"/>
    <w:rsid w:val="00DF01CA"/>
    <w:rsid w:val="00DF069F"/>
    <w:rsid w:val="00DF0862"/>
    <w:rsid w:val="00DF09EB"/>
    <w:rsid w:val="00DF0EF1"/>
    <w:rsid w:val="00DF11AC"/>
    <w:rsid w:val="00DF1251"/>
    <w:rsid w:val="00DF12A5"/>
    <w:rsid w:val="00DF12D2"/>
    <w:rsid w:val="00DF1432"/>
    <w:rsid w:val="00DF1706"/>
    <w:rsid w:val="00DF1853"/>
    <w:rsid w:val="00DF20D8"/>
    <w:rsid w:val="00DF2176"/>
    <w:rsid w:val="00DF2321"/>
    <w:rsid w:val="00DF24C6"/>
    <w:rsid w:val="00DF26F0"/>
    <w:rsid w:val="00DF2CB0"/>
    <w:rsid w:val="00DF2E74"/>
    <w:rsid w:val="00DF33B8"/>
    <w:rsid w:val="00DF3764"/>
    <w:rsid w:val="00DF37DB"/>
    <w:rsid w:val="00DF398C"/>
    <w:rsid w:val="00DF3B2B"/>
    <w:rsid w:val="00DF3B60"/>
    <w:rsid w:val="00DF3D7E"/>
    <w:rsid w:val="00DF4303"/>
    <w:rsid w:val="00DF45EA"/>
    <w:rsid w:val="00DF4932"/>
    <w:rsid w:val="00DF5507"/>
    <w:rsid w:val="00DF5B02"/>
    <w:rsid w:val="00DF5BD0"/>
    <w:rsid w:val="00DF686C"/>
    <w:rsid w:val="00DF6937"/>
    <w:rsid w:val="00DF6B7F"/>
    <w:rsid w:val="00DF6C22"/>
    <w:rsid w:val="00DF6C23"/>
    <w:rsid w:val="00DF75C3"/>
    <w:rsid w:val="00DF7BEE"/>
    <w:rsid w:val="00DF7C86"/>
    <w:rsid w:val="00DF7D5C"/>
    <w:rsid w:val="00DF7FB0"/>
    <w:rsid w:val="00E001E5"/>
    <w:rsid w:val="00E00E82"/>
    <w:rsid w:val="00E0167A"/>
    <w:rsid w:val="00E01A3F"/>
    <w:rsid w:val="00E01B32"/>
    <w:rsid w:val="00E01D3E"/>
    <w:rsid w:val="00E026FD"/>
    <w:rsid w:val="00E02AEF"/>
    <w:rsid w:val="00E02E53"/>
    <w:rsid w:val="00E03579"/>
    <w:rsid w:val="00E03877"/>
    <w:rsid w:val="00E03B2F"/>
    <w:rsid w:val="00E03D80"/>
    <w:rsid w:val="00E03EDE"/>
    <w:rsid w:val="00E04309"/>
    <w:rsid w:val="00E043B4"/>
    <w:rsid w:val="00E04CEB"/>
    <w:rsid w:val="00E04D70"/>
    <w:rsid w:val="00E04E86"/>
    <w:rsid w:val="00E0682D"/>
    <w:rsid w:val="00E06DCF"/>
    <w:rsid w:val="00E06EAE"/>
    <w:rsid w:val="00E07133"/>
    <w:rsid w:val="00E072FA"/>
    <w:rsid w:val="00E07437"/>
    <w:rsid w:val="00E07A3F"/>
    <w:rsid w:val="00E07C99"/>
    <w:rsid w:val="00E10003"/>
    <w:rsid w:val="00E1018D"/>
    <w:rsid w:val="00E10266"/>
    <w:rsid w:val="00E105A0"/>
    <w:rsid w:val="00E10DB2"/>
    <w:rsid w:val="00E1105E"/>
    <w:rsid w:val="00E1153B"/>
    <w:rsid w:val="00E11B95"/>
    <w:rsid w:val="00E12511"/>
    <w:rsid w:val="00E12707"/>
    <w:rsid w:val="00E12EAA"/>
    <w:rsid w:val="00E12EDD"/>
    <w:rsid w:val="00E133C4"/>
    <w:rsid w:val="00E13442"/>
    <w:rsid w:val="00E1357E"/>
    <w:rsid w:val="00E13D7C"/>
    <w:rsid w:val="00E13F03"/>
    <w:rsid w:val="00E13F65"/>
    <w:rsid w:val="00E141E5"/>
    <w:rsid w:val="00E151FF"/>
    <w:rsid w:val="00E16110"/>
    <w:rsid w:val="00E16388"/>
    <w:rsid w:val="00E166CD"/>
    <w:rsid w:val="00E1687B"/>
    <w:rsid w:val="00E16B55"/>
    <w:rsid w:val="00E171B8"/>
    <w:rsid w:val="00E17707"/>
    <w:rsid w:val="00E2008B"/>
    <w:rsid w:val="00E2010C"/>
    <w:rsid w:val="00E20579"/>
    <w:rsid w:val="00E209F2"/>
    <w:rsid w:val="00E20A2F"/>
    <w:rsid w:val="00E21186"/>
    <w:rsid w:val="00E217A0"/>
    <w:rsid w:val="00E22233"/>
    <w:rsid w:val="00E2246C"/>
    <w:rsid w:val="00E225C2"/>
    <w:rsid w:val="00E22827"/>
    <w:rsid w:val="00E22D4E"/>
    <w:rsid w:val="00E2303B"/>
    <w:rsid w:val="00E2321A"/>
    <w:rsid w:val="00E23A56"/>
    <w:rsid w:val="00E23BA2"/>
    <w:rsid w:val="00E2431B"/>
    <w:rsid w:val="00E2436D"/>
    <w:rsid w:val="00E2446D"/>
    <w:rsid w:val="00E2464C"/>
    <w:rsid w:val="00E24898"/>
    <w:rsid w:val="00E24AEC"/>
    <w:rsid w:val="00E24CE6"/>
    <w:rsid w:val="00E2500E"/>
    <w:rsid w:val="00E25086"/>
    <w:rsid w:val="00E252F0"/>
    <w:rsid w:val="00E26027"/>
    <w:rsid w:val="00E2604A"/>
    <w:rsid w:val="00E261F1"/>
    <w:rsid w:val="00E2693B"/>
    <w:rsid w:val="00E26A81"/>
    <w:rsid w:val="00E26D88"/>
    <w:rsid w:val="00E2740E"/>
    <w:rsid w:val="00E27A6B"/>
    <w:rsid w:val="00E27CFC"/>
    <w:rsid w:val="00E27FA1"/>
    <w:rsid w:val="00E30012"/>
    <w:rsid w:val="00E30CBA"/>
    <w:rsid w:val="00E313C3"/>
    <w:rsid w:val="00E316E6"/>
    <w:rsid w:val="00E3262E"/>
    <w:rsid w:val="00E3265A"/>
    <w:rsid w:val="00E329D4"/>
    <w:rsid w:val="00E32E03"/>
    <w:rsid w:val="00E3306F"/>
    <w:rsid w:val="00E335C5"/>
    <w:rsid w:val="00E33862"/>
    <w:rsid w:val="00E33B0F"/>
    <w:rsid w:val="00E33C7E"/>
    <w:rsid w:val="00E33DF4"/>
    <w:rsid w:val="00E34234"/>
    <w:rsid w:val="00E34423"/>
    <w:rsid w:val="00E3509D"/>
    <w:rsid w:val="00E35313"/>
    <w:rsid w:val="00E35397"/>
    <w:rsid w:val="00E35696"/>
    <w:rsid w:val="00E3621C"/>
    <w:rsid w:val="00E36776"/>
    <w:rsid w:val="00E36985"/>
    <w:rsid w:val="00E371B4"/>
    <w:rsid w:val="00E3772E"/>
    <w:rsid w:val="00E37C9F"/>
    <w:rsid w:val="00E37DC8"/>
    <w:rsid w:val="00E401ED"/>
    <w:rsid w:val="00E408B4"/>
    <w:rsid w:val="00E41C7D"/>
    <w:rsid w:val="00E42792"/>
    <w:rsid w:val="00E42B85"/>
    <w:rsid w:val="00E42CE2"/>
    <w:rsid w:val="00E42E15"/>
    <w:rsid w:val="00E4328E"/>
    <w:rsid w:val="00E43A97"/>
    <w:rsid w:val="00E43C3B"/>
    <w:rsid w:val="00E43F48"/>
    <w:rsid w:val="00E4410C"/>
    <w:rsid w:val="00E441F8"/>
    <w:rsid w:val="00E44BFB"/>
    <w:rsid w:val="00E44E43"/>
    <w:rsid w:val="00E4546C"/>
    <w:rsid w:val="00E45C13"/>
    <w:rsid w:val="00E45E8D"/>
    <w:rsid w:val="00E46525"/>
    <w:rsid w:val="00E465EA"/>
    <w:rsid w:val="00E467E2"/>
    <w:rsid w:val="00E46A60"/>
    <w:rsid w:val="00E46B4A"/>
    <w:rsid w:val="00E46B5F"/>
    <w:rsid w:val="00E46BBA"/>
    <w:rsid w:val="00E46D3D"/>
    <w:rsid w:val="00E46F62"/>
    <w:rsid w:val="00E471A5"/>
    <w:rsid w:val="00E4733D"/>
    <w:rsid w:val="00E47532"/>
    <w:rsid w:val="00E47648"/>
    <w:rsid w:val="00E47A8B"/>
    <w:rsid w:val="00E47EC0"/>
    <w:rsid w:val="00E47F49"/>
    <w:rsid w:val="00E50178"/>
    <w:rsid w:val="00E506C4"/>
    <w:rsid w:val="00E50709"/>
    <w:rsid w:val="00E50DCE"/>
    <w:rsid w:val="00E51111"/>
    <w:rsid w:val="00E512ED"/>
    <w:rsid w:val="00E5139A"/>
    <w:rsid w:val="00E51713"/>
    <w:rsid w:val="00E519F8"/>
    <w:rsid w:val="00E525AC"/>
    <w:rsid w:val="00E527A9"/>
    <w:rsid w:val="00E52B1C"/>
    <w:rsid w:val="00E52F08"/>
    <w:rsid w:val="00E53413"/>
    <w:rsid w:val="00E534C7"/>
    <w:rsid w:val="00E5361F"/>
    <w:rsid w:val="00E53B6B"/>
    <w:rsid w:val="00E53E7A"/>
    <w:rsid w:val="00E542EC"/>
    <w:rsid w:val="00E543AF"/>
    <w:rsid w:val="00E54D5F"/>
    <w:rsid w:val="00E55001"/>
    <w:rsid w:val="00E55854"/>
    <w:rsid w:val="00E55D02"/>
    <w:rsid w:val="00E55E1C"/>
    <w:rsid w:val="00E55F23"/>
    <w:rsid w:val="00E55FEC"/>
    <w:rsid w:val="00E579DD"/>
    <w:rsid w:val="00E60035"/>
    <w:rsid w:val="00E6029A"/>
    <w:rsid w:val="00E60489"/>
    <w:rsid w:val="00E60538"/>
    <w:rsid w:val="00E60942"/>
    <w:rsid w:val="00E60B11"/>
    <w:rsid w:val="00E60C98"/>
    <w:rsid w:val="00E61CD5"/>
    <w:rsid w:val="00E61D16"/>
    <w:rsid w:val="00E61D73"/>
    <w:rsid w:val="00E61EAF"/>
    <w:rsid w:val="00E62280"/>
    <w:rsid w:val="00E62365"/>
    <w:rsid w:val="00E629F3"/>
    <w:rsid w:val="00E62E76"/>
    <w:rsid w:val="00E62F9D"/>
    <w:rsid w:val="00E63398"/>
    <w:rsid w:val="00E6369B"/>
    <w:rsid w:val="00E6388E"/>
    <w:rsid w:val="00E63925"/>
    <w:rsid w:val="00E63B6F"/>
    <w:rsid w:val="00E63DD6"/>
    <w:rsid w:val="00E647C4"/>
    <w:rsid w:val="00E648FC"/>
    <w:rsid w:val="00E64B66"/>
    <w:rsid w:val="00E65BF2"/>
    <w:rsid w:val="00E65E80"/>
    <w:rsid w:val="00E67191"/>
    <w:rsid w:val="00E6729A"/>
    <w:rsid w:val="00E67DC0"/>
    <w:rsid w:val="00E70186"/>
    <w:rsid w:val="00E70228"/>
    <w:rsid w:val="00E708AB"/>
    <w:rsid w:val="00E71873"/>
    <w:rsid w:val="00E71AE1"/>
    <w:rsid w:val="00E71C5F"/>
    <w:rsid w:val="00E724DB"/>
    <w:rsid w:val="00E72749"/>
    <w:rsid w:val="00E72934"/>
    <w:rsid w:val="00E72BFD"/>
    <w:rsid w:val="00E72D66"/>
    <w:rsid w:val="00E73579"/>
    <w:rsid w:val="00E73A48"/>
    <w:rsid w:val="00E73CDA"/>
    <w:rsid w:val="00E73F13"/>
    <w:rsid w:val="00E7442C"/>
    <w:rsid w:val="00E74509"/>
    <w:rsid w:val="00E74F7E"/>
    <w:rsid w:val="00E75577"/>
    <w:rsid w:val="00E75EFF"/>
    <w:rsid w:val="00E7683A"/>
    <w:rsid w:val="00E76A45"/>
    <w:rsid w:val="00E774C6"/>
    <w:rsid w:val="00E779F8"/>
    <w:rsid w:val="00E77DDC"/>
    <w:rsid w:val="00E77E91"/>
    <w:rsid w:val="00E803F8"/>
    <w:rsid w:val="00E80593"/>
    <w:rsid w:val="00E8076E"/>
    <w:rsid w:val="00E807CE"/>
    <w:rsid w:val="00E80B07"/>
    <w:rsid w:val="00E80B96"/>
    <w:rsid w:val="00E80CDD"/>
    <w:rsid w:val="00E81404"/>
    <w:rsid w:val="00E815D3"/>
    <w:rsid w:val="00E81662"/>
    <w:rsid w:val="00E81C57"/>
    <w:rsid w:val="00E81EBA"/>
    <w:rsid w:val="00E81F66"/>
    <w:rsid w:val="00E8211F"/>
    <w:rsid w:val="00E826B5"/>
    <w:rsid w:val="00E82967"/>
    <w:rsid w:val="00E83035"/>
    <w:rsid w:val="00E83210"/>
    <w:rsid w:val="00E83375"/>
    <w:rsid w:val="00E837E7"/>
    <w:rsid w:val="00E839E6"/>
    <w:rsid w:val="00E842B3"/>
    <w:rsid w:val="00E84554"/>
    <w:rsid w:val="00E84908"/>
    <w:rsid w:val="00E84A94"/>
    <w:rsid w:val="00E84E76"/>
    <w:rsid w:val="00E84F87"/>
    <w:rsid w:val="00E84FC7"/>
    <w:rsid w:val="00E856C1"/>
    <w:rsid w:val="00E85790"/>
    <w:rsid w:val="00E8587A"/>
    <w:rsid w:val="00E85959"/>
    <w:rsid w:val="00E85FF6"/>
    <w:rsid w:val="00E863B3"/>
    <w:rsid w:val="00E86896"/>
    <w:rsid w:val="00E86C5B"/>
    <w:rsid w:val="00E8795F"/>
    <w:rsid w:val="00E87DCB"/>
    <w:rsid w:val="00E900EE"/>
    <w:rsid w:val="00E907C9"/>
    <w:rsid w:val="00E90EC9"/>
    <w:rsid w:val="00E90FB8"/>
    <w:rsid w:val="00E914DC"/>
    <w:rsid w:val="00E915A2"/>
    <w:rsid w:val="00E91607"/>
    <w:rsid w:val="00E91768"/>
    <w:rsid w:val="00E91D76"/>
    <w:rsid w:val="00E91DA9"/>
    <w:rsid w:val="00E91DC5"/>
    <w:rsid w:val="00E91E37"/>
    <w:rsid w:val="00E91EE8"/>
    <w:rsid w:val="00E9262D"/>
    <w:rsid w:val="00E92701"/>
    <w:rsid w:val="00E92FC7"/>
    <w:rsid w:val="00E93060"/>
    <w:rsid w:val="00E9308E"/>
    <w:rsid w:val="00E933A9"/>
    <w:rsid w:val="00E938FB"/>
    <w:rsid w:val="00E9393E"/>
    <w:rsid w:val="00E93C1E"/>
    <w:rsid w:val="00E93D5A"/>
    <w:rsid w:val="00E945D5"/>
    <w:rsid w:val="00E94AC6"/>
    <w:rsid w:val="00E94B94"/>
    <w:rsid w:val="00E95956"/>
    <w:rsid w:val="00E95B68"/>
    <w:rsid w:val="00E9688F"/>
    <w:rsid w:val="00E9699A"/>
    <w:rsid w:val="00E97587"/>
    <w:rsid w:val="00E97815"/>
    <w:rsid w:val="00E97853"/>
    <w:rsid w:val="00E97AC1"/>
    <w:rsid w:val="00E97E1D"/>
    <w:rsid w:val="00EA006E"/>
    <w:rsid w:val="00EA0297"/>
    <w:rsid w:val="00EA0503"/>
    <w:rsid w:val="00EA0704"/>
    <w:rsid w:val="00EA07B8"/>
    <w:rsid w:val="00EA0920"/>
    <w:rsid w:val="00EA0AF7"/>
    <w:rsid w:val="00EA0DE6"/>
    <w:rsid w:val="00EA14A9"/>
    <w:rsid w:val="00EA1C9A"/>
    <w:rsid w:val="00EA233A"/>
    <w:rsid w:val="00EA2E7A"/>
    <w:rsid w:val="00EA2EDB"/>
    <w:rsid w:val="00EA2F6B"/>
    <w:rsid w:val="00EA2FA6"/>
    <w:rsid w:val="00EA30EE"/>
    <w:rsid w:val="00EA3147"/>
    <w:rsid w:val="00EA3794"/>
    <w:rsid w:val="00EA3BCF"/>
    <w:rsid w:val="00EA3E59"/>
    <w:rsid w:val="00EA4588"/>
    <w:rsid w:val="00EA4910"/>
    <w:rsid w:val="00EA49C0"/>
    <w:rsid w:val="00EA4B2B"/>
    <w:rsid w:val="00EA4C69"/>
    <w:rsid w:val="00EA4EB9"/>
    <w:rsid w:val="00EA58C4"/>
    <w:rsid w:val="00EA5A03"/>
    <w:rsid w:val="00EA5AED"/>
    <w:rsid w:val="00EA5D17"/>
    <w:rsid w:val="00EA5D78"/>
    <w:rsid w:val="00EA61CC"/>
    <w:rsid w:val="00EA6876"/>
    <w:rsid w:val="00EA6C5E"/>
    <w:rsid w:val="00EA6D88"/>
    <w:rsid w:val="00EA6DA3"/>
    <w:rsid w:val="00EA7071"/>
    <w:rsid w:val="00EA710E"/>
    <w:rsid w:val="00EA712D"/>
    <w:rsid w:val="00EA716D"/>
    <w:rsid w:val="00EA72F5"/>
    <w:rsid w:val="00EA7A52"/>
    <w:rsid w:val="00EA7CAE"/>
    <w:rsid w:val="00EB036C"/>
    <w:rsid w:val="00EB0437"/>
    <w:rsid w:val="00EB0832"/>
    <w:rsid w:val="00EB0979"/>
    <w:rsid w:val="00EB1022"/>
    <w:rsid w:val="00EB10D1"/>
    <w:rsid w:val="00EB142B"/>
    <w:rsid w:val="00EB15E0"/>
    <w:rsid w:val="00EB1A41"/>
    <w:rsid w:val="00EB20CE"/>
    <w:rsid w:val="00EB2306"/>
    <w:rsid w:val="00EB2511"/>
    <w:rsid w:val="00EB27ED"/>
    <w:rsid w:val="00EB2E13"/>
    <w:rsid w:val="00EB39C2"/>
    <w:rsid w:val="00EB39FC"/>
    <w:rsid w:val="00EB4545"/>
    <w:rsid w:val="00EB50FA"/>
    <w:rsid w:val="00EB5185"/>
    <w:rsid w:val="00EB51A1"/>
    <w:rsid w:val="00EB54DF"/>
    <w:rsid w:val="00EB5710"/>
    <w:rsid w:val="00EB5C6A"/>
    <w:rsid w:val="00EB5CD4"/>
    <w:rsid w:val="00EB5E83"/>
    <w:rsid w:val="00EB5F24"/>
    <w:rsid w:val="00EB703A"/>
    <w:rsid w:val="00EB7783"/>
    <w:rsid w:val="00EB7A3F"/>
    <w:rsid w:val="00EC00FF"/>
    <w:rsid w:val="00EC0278"/>
    <w:rsid w:val="00EC07C7"/>
    <w:rsid w:val="00EC0B8E"/>
    <w:rsid w:val="00EC0D4C"/>
    <w:rsid w:val="00EC0EC7"/>
    <w:rsid w:val="00EC0F7D"/>
    <w:rsid w:val="00EC1227"/>
    <w:rsid w:val="00EC157E"/>
    <w:rsid w:val="00EC165E"/>
    <w:rsid w:val="00EC1D0C"/>
    <w:rsid w:val="00EC1D1E"/>
    <w:rsid w:val="00EC323C"/>
    <w:rsid w:val="00EC3FD5"/>
    <w:rsid w:val="00EC41B8"/>
    <w:rsid w:val="00EC41C4"/>
    <w:rsid w:val="00EC4293"/>
    <w:rsid w:val="00EC446A"/>
    <w:rsid w:val="00EC45EA"/>
    <w:rsid w:val="00EC4A28"/>
    <w:rsid w:val="00EC4DDF"/>
    <w:rsid w:val="00EC4F9E"/>
    <w:rsid w:val="00EC5009"/>
    <w:rsid w:val="00EC51CF"/>
    <w:rsid w:val="00EC57D4"/>
    <w:rsid w:val="00EC57F9"/>
    <w:rsid w:val="00EC590D"/>
    <w:rsid w:val="00EC5A94"/>
    <w:rsid w:val="00EC5ACE"/>
    <w:rsid w:val="00EC5E83"/>
    <w:rsid w:val="00EC601E"/>
    <w:rsid w:val="00EC63B6"/>
    <w:rsid w:val="00EC63C0"/>
    <w:rsid w:val="00EC65C1"/>
    <w:rsid w:val="00EC6618"/>
    <w:rsid w:val="00EC6B55"/>
    <w:rsid w:val="00EC71E5"/>
    <w:rsid w:val="00EC773A"/>
    <w:rsid w:val="00EC7A1D"/>
    <w:rsid w:val="00ED04E2"/>
    <w:rsid w:val="00ED08E4"/>
    <w:rsid w:val="00ED09FD"/>
    <w:rsid w:val="00ED11D9"/>
    <w:rsid w:val="00ED166C"/>
    <w:rsid w:val="00ED179E"/>
    <w:rsid w:val="00ED1857"/>
    <w:rsid w:val="00ED18AC"/>
    <w:rsid w:val="00ED1A05"/>
    <w:rsid w:val="00ED24CB"/>
    <w:rsid w:val="00ED2782"/>
    <w:rsid w:val="00ED3190"/>
    <w:rsid w:val="00ED32A4"/>
    <w:rsid w:val="00ED3AA0"/>
    <w:rsid w:val="00ED43AE"/>
    <w:rsid w:val="00ED43C9"/>
    <w:rsid w:val="00ED4504"/>
    <w:rsid w:val="00ED4C07"/>
    <w:rsid w:val="00ED4CB4"/>
    <w:rsid w:val="00ED5197"/>
    <w:rsid w:val="00ED5294"/>
    <w:rsid w:val="00ED604C"/>
    <w:rsid w:val="00ED614A"/>
    <w:rsid w:val="00ED6467"/>
    <w:rsid w:val="00ED6A7F"/>
    <w:rsid w:val="00ED7066"/>
    <w:rsid w:val="00ED70F6"/>
    <w:rsid w:val="00ED774F"/>
    <w:rsid w:val="00ED7A8D"/>
    <w:rsid w:val="00ED7B47"/>
    <w:rsid w:val="00EDB103"/>
    <w:rsid w:val="00EE00D2"/>
    <w:rsid w:val="00EE00D3"/>
    <w:rsid w:val="00EE0329"/>
    <w:rsid w:val="00EE04DE"/>
    <w:rsid w:val="00EE0FD2"/>
    <w:rsid w:val="00EE10BB"/>
    <w:rsid w:val="00EE256F"/>
    <w:rsid w:val="00EE2827"/>
    <w:rsid w:val="00EE2AE3"/>
    <w:rsid w:val="00EE2AEC"/>
    <w:rsid w:val="00EE2D17"/>
    <w:rsid w:val="00EE35F3"/>
    <w:rsid w:val="00EE3648"/>
    <w:rsid w:val="00EE3A9E"/>
    <w:rsid w:val="00EE3B5E"/>
    <w:rsid w:val="00EE3D7B"/>
    <w:rsid w:val="00EE41F1"/>
    <w:rsid w:val="00EE4545"/>
    <w:rsid w:val="00EE46A4"/>
    <w:rsid w:val="00EE4842"/>
    <w:rsid w:val="00EE4961"/>
    <w:rsid w:val="00EE532B"/>
    <w:rsid w:val="00EE55B7"/>
    <w:rsid w:val="00EE566B"/>
    <w:rsid w:val="00EE57D2"/>
    <w:rsid w:val="00EE57E4"/>
    <w:rsid w:val="00EE5ACB"/>
    <w:rsid w:val="00EE6230"/>
    <w:rsid w:val="00EE68BD"/>
    <w:rsid w:val="00EE693D"/>
    <w:rsid w:val="00EE6DDE"/>
    <w:rsid w:val="00EE7AA8"/>
    <w:rsid w:val="00EE7B0B"/>
    <w:rsid w:val="00EE7DAA"/>
    <w:rsid w:val="00EF0271"/>
    <w:rsid w:val="00EF04BA"/>
    <w:rsid w:val="00EF0DB2"/>
    <w:rsid w:val="00EF1992"/>
    <w:rsid w:val="00EF1D5B"/>
    <w:rsid w:val="00EF1EE8"/>
    <w:rsid w:val="00EF246F"/>
    <w:rsid w:val="00EF2AE2"/>
    <w:rsid w:val="00EF2C50"/>
    <w:rsid w:val="00EF3315"/>
    <w:rsid w:val="00EF3323"/>
    <w:rsid w:val="00EF3EF5"/>
    <w:rsid w:val="00EF459B"/>
    <w:rsid w:val="00EF4665"/>
    <w:rsid w:val="00EF500F"/>
    <w:rsid w:val="00EF50FD"/>
    <w:rsid w:val="00EF598C"/>
    <w:rsid w:val="00EF5B7C"/>
    <w:rsid w:val="00EF659C"/>
    <w:rsid w:val="00EF69CF"/>
    <w:rsid w:val="00EF6EF9"/>
    <w:rsid w:val="00EF7342"/>
    <w:rsid w:val="00EF73AC"/>
    <w:rsid w:val="00EF74E5"/>
    <w:rsid w:val="00EF7ABC"/>
    <w:rsid w:val="00EF7CF2"/>
    <w:rsid w:val="00F003D1"/>
    <w:rsid w:val="00F008B4"/>
    <w:rsid w:val="00F008CA"/>
    <w:rsid w:val="00F00A30"/>
    <w:rsid w:val="00F00FFE"/>
    <w:rsid w:val="00F014B9"/>
    <w:rsid w:val="00F01674"/>
    <w:rsid w:val="00F018D4"/>
    <w:rsid w:val="00F018FD"/>
    <w:rsid w:val="00F01F2E"/>
    <w:rsid w:val="00F022D0"/>
    <w:rsid w:val="00F02615"/>
    <w:rsid w:val="00F02762"/>
    <w:rsid w:val="00F028A6"/>
    <w:rsid w:val="00F02B8C"/>
    <w:rsid w:val="00F02B9A"/>
    <w:rsid w:val="00F02CFD"/>
    <w:rsid w:val="00F03F84"/>
    <w:rsid w:val="00F0415A"/>
    <w:rsid w:val="00F045BC"/>
    <w:rsid w:val="00F04918"/>
    <w:rsid w:val="00F04C3B"/>
    <w:rsid w:val="00F05300"/>
    <w:rsid w:val="00F05BA1"/>
    <w:rsid w:val="00F066E8"/>
    <w:rsid w:val="00F06C1F"/>
    <w:rsid w:val="00F06E18"/>
    <w:rsid w:val="00F072D4"/>
    <w:rsid w:val="00F07505"/>
    <w:rsid w:val="00F07CAD"/>
    <w:rsid w:val="00F07CE5"/>
    <w:rsid w:val="00F100BB"/>
    <w:rsid w:val="00F10190"/>
    <w:rsid w:val="00F10690"/>
    <w:rsid w:val="00F107CF"/>
    <w:rsid w:val="00F10907"/>
    <w:rsid w:val="00F10A28"/>
    <w:rsid w:val="00F114BE"/>
    <w:rsid w:val="00F11B7D"/>
    <w:rsid w:val="00F11F4E"/>
    <w:rsid w:val="00F128DB"/>
    <w:rsid w:val="00F12B79"/>
    <w:rsid w:val="00F12FA5"/>
    <w:rsid w:val="00F1359B"/>
    <w:rsid w:val="00F136AE"/>
    <w:rsid w:val="00F13727"/>
    <w:rsid w:val="00F1377F"/>
    <w:rsid w:val="00F13A16"/>
    <w:rsid w:val="00F13A79"/>
    <w:rsid w:val="00F13CF0"/>
    <w:rsid w:val="00F1421E"/>
    <w:rsid w:val="00F142BF"/>
    <w:rsid w:val="00F14390"/>
    <w:rsid w:val="00F14A0D"/>
    <w:rsid w:val="00F14F49"/>
    <w:rsid w:val="00F155F3"/>
    <w:rsid w:val="00F157C1"/>
    <w:rsid w:val="00F15D1F"/>
    <w:rsid w:val="00F15DA8"/>
    <w:rsid w:val="00F16587"/>
    <w:rsid w:val="00F16600"/>
    <w:rsid w:val="00F169A4"/>
    <w:rsid w:val="00F16A83"/>
    <w:rsid w:val="00F16B7B"/>
    <w:rsid w:val="00F173BA"/>
    <w:rsid w:val="00F17590"/>
    <w:rsid w:val="00F177D6"/>
    <w:rsid w:val="00F17887"/>
    <w:rsid w:val="00F2133A"/>
    <w:rsid w:val="00F214E2"/>
    <w:rsid w:val="00F22763"/>
    <w:rsid w:val="00F227AC"/>
    <w:rsid w:val="00F23498"/>
    <w:rsid w:val="00F23572"/>
    <w:rsid w:val="00F2378A"/>
    <w:rsid w:val="00F23932"/>
    <w:rsid w:val="00F23CB7"/>
    <w:rsid w:val="00F23DAE"/>
    <w:rsid w:val="00F2411E"/>
    <w:rsid w:val="00F24B07"/>
    <w:rsid w:val="00F24D1C"/>
    <w:rsid w:val="00F24D66"/>
    <w:rsid w:val="00F24FF1"/>
    <w:rsid w:val="00F25002"/>
    <w:rsid w:val="00F25445"/>
    <w:rsid w:val="00F26188"/>
    <w:rsid w:val="00F263A5"/>
    <w:rsid w:val="00F2650F"/>
    <w:rsid w:val="00F2658C"/>
    <w:rsid w:val="00F26E7F"/>
    <w:rsid w:val="00F2701B"/>
    <w:rsid w:val="00F3016D"/>
    <w:rsid w:val="00F30B0A"/>
    <w:rsid w:val="00F30C6C"/>
    <w:rsid w:val="00F30EDE"/>
    <w:rsid w:val="00F31598"/>
    <w:rsid w:val="00F31696"/>
    <w:rsid w:val="00F31E1C"/>
    <w:rsid w:val="00F31E3F"/>
    <w:rsid w:val="00F32A71"/>
    <w:rsid w:val="00F32DBC"/>
    <w:rsid w:val="00F331E6"/>
    <w:rsid w:val="00F332DA"/>
    <w:rsid w:val="00F33326"/>
    <w:rsid w:val="00F3345D"/>
    <w:rsid w:val="00F33980"/>
    <w:rsid w:val="00F342A4"/>
    <w:rsid w:val="00F342B7"/>
    <w:rsid w:val="00F344A3"/>
    <w:rsid w:val="00F34595"/>
    <w:rsid w:val="00F34CF7"/>
    <w:rsid w:val="00F34E01"/>
    <w:rsid w:val="00F354C8"/>
    <w:rsid w:val="00F35572"/>
    <w:rsid w:val="00F35733"/>
    <w:rsid w:val="00F35BE8"/>
    <w:rsid w:val="00F35DD5"/>
    <w:rsid w:val="00F36796"/>
    <w:rsid w:val="00F368E8"/>
    <w:rsid w:val="00F37010"/>
    <w:rsid w:val="00F37490"/>
    <w:rsid w:val="00F37AC0"/>
    <w:rsid w:val="00F37C2E"/>
    <w:rsid w:val="00F37C9E"/>
    <w:rsid w:val="00F37DA1"/>
    <w:rsid w:val="00F4082C"/>
    <w:rsid w:val="00F40989"/>
    <w:rsid w:val="00F409CE"/>
    <w:rsid w:val="00F40B2A"/>
    <w:rsid w:val="00F40E26"/>
    <w:rsid w:val="00F410D3"/>
    <w:rsid w:val="00F416DE"/>
    <w:rsid w:val="00F420C2"/>
    <w:rsid w:val="00F42429"/>
    <w:rsid w:val="00F42D59"/>
    <w:rsid w:val="00F4397E"/>
    <w:rsid w:val="00F439E2"/>
    <w:rsid w:val="00F445C8"/>
    <w:rsid w:val="00F44E20"/>
    <w:rsid w:val="00F44E34"/>
    <w:rsid w:val="00F44F24"/>
    <w:rsid w:val="00F453E1"/>
    <w:rsid w:val="00F45709"/>
    <w:rsid w:val="00F4628B"/>
    <w:rsid w:val="00F46582"/>
    <w:rsid w:val="00F467B6"/>
    <w:rsid w:val="00F46B80"/>
    <w:rsid w:val="00F46CB3"/>
    <w:rsid w:val="00F46DAE"/>
    <w:rsid w:val="00F46FFB"/>
    <w:rsid w:val="00F4718A"/>
    <w:rsid w:val="00F472AA"/>
    <w:rsid w:val="00F474C0"/>
    <w:rsid w:val="00F47894"/>
    <w:rsid w:val="00F506AB"/>
    <w:rsid w:val="00F507EC"/>
    <w:rsid w:val="00F50C10"/>
    <w:rsid w:val="00F50EDA"/>
    <w:rsid w:val="00F50FF4"/>
    <w:rsid w:val="00F5121D"/>
    <w:rsid w:val="00F5173B"/>
    <w:rsid w:val="00F518F9"/>
    <w:rsid w:val="00F51A55"/>
    <w:rsid w:val="00F51B79"/>
    <w:rsid w:val="00F51ED8"/>
    <w:rsid w:val="00F51FC6"/>
    <w:rsid w:val="00F52751"/>
    <w:rsid w:val="00F52937"/>
    <w:rsid w:val="00F52CE6"/>
    <w:rsid w:val="00F53674"/>
    <w:rsid w:val="00F5396B"/>
    <w:rsid w:val="00F53B51"/>
    <w:rsid w:val="00F53BD8"/>
    <w:rsid w:val="00F54FEF"/>
    <w:rsid w:val="00F55649"/>
    <w:rsid w:val="00F55FC9"/>
    <w:rsid w:val="00F56040"/>
    <w:rsid w:val="00F565A8"/>
    <w:rsid w:val="00F5665E"/>
    <w:rsid w:val="00F56EBB"/>
    <w:rsid w:val="00F5748D"/>
    <w:rsid w:val="00F57538"/>
    <w:rsid w:val="00F5773E"/>
    <w:rsid w:val="00F57882"/>
    <w:rsid w:val="00F5791D"/>
    <w:rsid w:val="00F57FB1"/>
    <w:rsid w:val="00F603EF"/>
    <w:rsid w:val="00F604DB"/>
    <w:rsid w:val="00F60611"/>
    <w:rsid w:val="00F60622"/>
    <w:rsid w:val="00F6064A"/>
    <w:rsid w:val="00F60694"/>
    <w:rsid w:val="00F609D1"/>
    <w:rsid w:val="00F60A2F"/>
    <w:rsid w:val="00F60BE3"/>
    <w:rsid w:val="00F60E0B"/>
    <w:rsid w:val="00F61000"/>
    <w:rsid w:val="00F611ED"/>
    <w:rsid w:val="00F616D5"/>
    <w:rsid w:val="00F618DA"/>
    <w:rsid w:val="00F61A1C"/>
    <w:rsid w:val="00F623E8"/>
    <w:rsid w:val="00F62A12"/>
    <w:rsid w:val="00F62C03"/>
    <w:rsid w:val="00F630C1"/>
    <w:rsid w:val="00F630F7"/>
    <w:rsid w:val="00F631BF"/>
    <w:rsid w:val="00F639D0"/>
    <w:rsid w:val="00F63C2F"/>
    <w:rsid w:val="00F63F96"/>
    <w:rsid w:val="00F63FFD"/>
    <w:rsid w:val="00F6434A"/>
    <w:rsid w:val="00F6477E"/>
    <w:rsid w:val="00F657C7"/>
    <w:rsid w:val="00F65938"/>
    <w:rsid w:val="00F667C3"/>
    <w:rsid w:val="00F667D0"/>
    <w:rsid w:val="00F66A3A"/>
    <w:rsid w:val="00F66CE5"/>
    <w:rsid w:val="00F6711B"/>
    <w:rsid w:val="00F6762A"/>
    <w:rsid w:val="00F70094"/>
    <w:rsid w:val="00F70172"/>
    <w:rsid w:val="00F70ADA"/>
    <w:rsid w:val="00F70B7A"/>
    <w:rsid w:val="00F70CEF"/>
    <w:rsid w:val="00F71A04"/>
    <w:rsid w:val="00F71B20"/>
    <w:rsid w:val="00F71B4B"/>
    <w:rsid w:val="00F71BFC"/>
    <w:rsid w:val="00F72396"/>
    <w:rsid w:val="00F7265A"/>
    <w:rsid w:val="00F727A8"/>
    <w:rsid w:val="00F728A7"/>
    <w:rsid w:val="00F72BE7"/>
    <w:rsid w:val="00F73154"/>
    <w:rsid w:val="00F73486"/>
    <w:rsid w:val="00F73E80"/>
    <w:rsid w:val="00F746DF"/>
    <w:rsid w:val="00F74943"/>
    <w:rsid w:val="00F75C8C"/>
    <w:rsid w:val="00F75EAF"/>
    <w:rsid w:val="00F760C1"/>
    <w:rsid w:val="00F76301"/>
    <w:rsid w:val="00F76648"/>
    <w:rsid w:val="00F7674A"/>
    <w:rsid w:val="00F76CC5"/>
    <w:rsid w:val="00F76D67"/>
    <w:rsid w:val="00F775B1"/>
    <w:rsid w:val="00F77778"/>
    <w:rsid w:val="00F77A86"/>
    <w:rsid w:val="00F804F6"/>
    <w:rsid w:val="00F812A8"/>
    <w:rsid w:val="00F823B3"/>
    <w:rsid w:val="00F823C1"/>
    <w:rsid w:val="00F82672"/>
    <w:rsid w:val="00F83377"/>
    <w:rsid w:val="00F8341F"/>
    <w:rsid w:val="00F83631"/>
    <w:rsid w:val="00F839CE"/>
    <w:rsid w:val="00F83C38"/>
    <w:rsid w:val="00F84D5C"/>
    <w:rsid w:val="00F8564D"/>
    <w:rsid w:val="00F856B2"/>
    <w:rsid w:val="00F85870"/>
    <w:rsid w:val="00F858CD"/>
    <w:rsid w:val="00F85B78"/>
    <w:rsid w:val="00F85C10"/>
    <w:rsid w:val="00F85D17"/>
    <w:rsid w:val="00F864AF"/>
    <w:rsid w:val="00F86518"/>
    <w:rsid w:val="00F86E09"/>
    <w:rsid w:val="00F87566"/>
    <w:rsid w:val="00F876E8"/>
    <w:rsid w:val="00F9050E"/>
    <w:rsid w:val="00F905C6"/>
    <w:rsid w:val="00F909C3"/>
    <w:rsid w:val="00F90E62"/>
    <w:rsid w:val="00F911FC"/>
    <w:rsid w:val="00F916A2"/>
    <w:rsid w:val="00F91BAE"/>
    <w:rsid w:val="00F9260B"/>
    <w:rsid w:val="00F92EA5"/>
    <w:rsid w:val="00F93760"/>
    <w:rsid w:val="00F939B1"/>
    <w:rsid w:val="00F939B2"/>
    <w:rsid w:val="00F93B17"/>
    <w:rsid w:val="00F9410D"/>
    <w:rsid w:val="00F9443A"/>
    <w:rsid w:val="00F9494F"/>
    <w:rsid w:val="00F94DC5"/>
    <w:rsid w:val="00F951BD"/>
    <w:rsid w:val="00F9563A"/>
    <w:rsid w:val="00F95840"/>
    <w:rsid w:val="00F95E79"/>
    <w:rsid w:val="00F96A81"/>
    <w:rsid w:val="00F96BFB"/>
    <w:rsid w:val="00F97296"/>
    <w:rsid w:val="00F974BF"/>
    <w:rsid w:val="00F97D4B"/>
    <w:rsid w:val="00FA0B89"/>
    <w:rsid w:val="00FA0D76"/>
    <w:rsid w:val="00FA0EAF"/>
    <w:rsid w:val="00FA13BB"/>
    <w:rsid w:val="00FA1576"/>
    <w:rsid w:val="00FA15D4"/>
    <w:rsid w:val="00FA1BF4"/>
    <w:rsid w:val="00FA2549"/>
    <w:rsid w:val="00FA2A0E"/>
    <w:rsid w:val="00FA2C43"/>
    <w:rsid w:val="00FA3B46"/>
    <w:rsid w:val="00FA3EC2"/>
    <w:rsid w:val="00FA40CC"/>
    <w:rsid w:val="00FA4237"/>
    <w:rsid w:val="00FA4C53"/>
    <w:rsid w:val="00FA4C7D"/>
    <w:rsid w:val="00FA5185"/>
    <w:rsid w:val="00FA58D6"/>
    <w:rsid w:val="00FA619D"/>
    <w:rsid w:val="00FA61B7"/>
    <w:rsid w:val="00FA65CE"/>
    <w:rsid w:val="00FA68F8"/>
    <w:rsid w:val="00FA6A95"/>
    <w:rsid w:val="00FA7190"/>
    <w:rsid w:val="00FA769E"/>
    <w:rsid w:val="00FA7791"/>
    <w:rsid w:val="00FA7882"/>
    <w:rsid w:val="00FA7D5A"/>
    <w:rsid w:val="00FAFF38"/>
    <w:rsid w:val="00FB0404"/>
    <w:rsid w:val="00FB0798"/>
    <w:rsid w:val="00FB0A91"/>
    <w:rsid w:val="00FB0BDB"/>
    <w:rsid w:val="00FB0FE4"/>
    <w:rsid w:val="00FB11BC"/>
    <w:rsid w:val="00FB1342"/>
    <w:rsid w:val="00FB143E"/>
    <w:rsid w:val="00FB14E6"/>
    <w:rsid w:val="00FB1B89"/>
    <w:rsid w:val="00FB1D43"/>
    <w:rsid w:val="00FB1E0E"/>
    <w:rsid w:val="00FB2696"/>
    <w:rsid w:val="00FB2735"/>
    <w:rsid w:val="00FB2779"/>
    <w:rsid w:val="00FB27F7"/>
    <w:rsid w:val="00FB28C3"/>
    <w:rsid w:val="00FB3151"/>
    <w:rsid w:val="00FB4082"/>
    <w:rsid w:val="00FB443E"/>
    <w:rsid w:val="00FB47FC"/>
    <w:rsid w:val="00FB4B8D"/>
    <w:rsid w:val="00FB508A"/>
    <w:rsid w:val="00FB545A"/>
    <w:rsid w:val="00FB5507"/>
    <w:rsid w:val="00FB5811"/>
    <w:rsid w:val="00FB589C"/>
    <w:rsid w:val="00FB5963"/>
    <w:rsid w:val="00FB5EA3"/>
    <w:rsid w:val="00FB5F06"/>
    <w:rsid w:val="00FB6008"/>
    <w:rsid w:val="00FB666A"/>
    <w:rsid w:val="00FB6E3F"/>
    <w:rsid w:val="00FB6EDE"/>
    <w:rsid w:val="00FB718E"/>
    <w:rsid w:val="00FB77D9"/>
    <w:rsid w:val="00FB7AB1"/>
    <w:rsid w:val="00FB7B56"/>
    <w:rsid w:val="00FB7D44"/>
    <w:rsid w:val="00FB7FE9"/>
    <w:rsid w:val="00FC1428"/>
    <w:rsid w:val="00FC14DD"/>
    <w:rsid w:val="00FC1BCD"/>
    <w:rsid w:val="00FC207F"/>
    <w:rsid w:val="00FC245C"/>
    <w:rsid w:val="00FC256E"/>
    <w:rsid w:val="00FC2C1C"/>
    <w:rsid w:val="00FC2C8A"/>
    <w:rsid w:val="00FC2F28"/>
    <w:rsid w:val="00FC305D"/>
    <w:rsid w:val="00FC3471"/>
    <w:rsid w:val="00FC34FC"/>
    <w:rsid w:val="00FC390F"/>
    <w:rsid w:val="00FC3CCF"/>
    <w:rsid w:val="00FC3DA0"/>
    <w:rsid w:val="00FC3F0D"/>
    <w:rsid w:val="00FC43B1"/>
    <w:rsid w:val="00FC4870"/>
    <w:rsid w:val="00FC4AEE"/>
    <w:rsid w:val="00FC55CB"/>
    <w:rsid w:val="00FC5B72"/>
    <w:rsid w:val="00FC5BF9"/>
    <w:rsid w:val="00FC6262"/>
    <w:rsid w:val="00FC6932"/>
    <w:rsid w:val="00FC6D5D"/>
    <w:rsid w:val="00FC7403"/>
    <w:rsid w:val="00FC7530"/>
    <w:rsid w:val="00FC75DA"/>
    <w:rsid w:val="00FC78D4"/>
    <w:rsid w:val="00FC794A"/>
    <w:rsid w:val="00FD0169"/>
    <w:rsid w:val="00FD01F0"/>
    <w:rsid w:val="00FD0258"/>
    <w:rsid w:val="00FD0703"/>
    <w:rsid w:val="00FD071E"/>
    <w:rsid w:val="00FD0892"/>
    <w:rsid w:val="00FD0D78"/>
    <w:rsid w:val="00FD0DC2"/>
    <w:rsid w:val="00FD0DDB"/>
    <w:rsid w:val="00FD11EB"/>
    <w:rsid w:val="00FD1ECD"/>
    <w:rsid w:val="00FD2A96"/>
    <w:rsid w:val="00FD2C50"/>
    <w:rsid w:val="00FD2D51"/>
    <w:rsid w:val="00FD2FA6"/>
    <w:rsid w:val="00FD3385"/>
    <w:rsid w:val="00FD3889"/>
    <w:rsid w:val="00FD3AED"/>
    <w:rsid w:val="00FD49CD"/>
    <w:rsid w:val="00FD5B02"/>
    <w:rsid w:val="00FD65B3"/>
    <w:rsid w:val="00FD7DCD"/>
    <w:rsid w:val="00FD7E14"/>
    <w:rsid w:val="00FE00DA"/>
    <w:rsid w:val="00FE0172"/>
    <w:rsid w:val="00FE0344"/>
    <w:rsid w:val="00FE183A"/>
    <w:rsid w:val="00FE1CF2"/>
    <w:rsid w:val="00FE1D43"/>
    <w:rsid w:val="00FE214D"/>
    <w:rsid w:val="00FE2270"/>
    <w:rsid w:val="00FE264B"/>
    <w:rsid w:val="00FE26A1"/>
    <w:rsid w:val="00FE27D3"/>
    <w:rsid w:val="00FE2A89"/>
    <w:rsid w:val="00FE2CF1"/>
    <w:rsid w:val="00FE2FEF"/>
    <w:rsid w:val="00FE301E"/>
    <w:rsid w:val="00FE3425"/>
    <w:rsid w:val="00FE3553"/>
    <w:rsid w:val="00FE3750"/>
    <w:rsid w:val="00FE38AE"/>
    <w:rsid w:val="00FE3CCF"/>
    <w:rsid w:val="00FE483E"/>
    <w:rsid w:val="00FE4BC7"/>
    <w:rsid w:val="00FE4C20"/>
    <w:rsid w:val="00FE4F3E"/>
    <w:rsid w:val="00FE5433"/>
    <w:rsid w:val="00FE54BB"/>
    <w:rsid w:val="00FE5722"/>
    <w:rsid w:val="00FE5727"/>
    <w:rsid w:val="00FE57E7"/>
    <w:rsid w:val="00FE58E2"/>
    <w:rsid w:val="00FE594D"/>
    <w:rsid w:val="00FE5A28"/>
    <w:rsid w:val="00FE5AE9"/>
    <w:rsid w:val="00FE5CF9"/>
    <w:rsid w:val="00FE6068"/>
    <w:rsid w:val="00FE6143"/>
    <w:rsid w:val="00FE62CD"/>
    <w:rsid w:val="00FE709B"/>
    <w:rsid w:val="00FE7A59"/>
    <w:rsid w:val="00FE7C17"/>
    <w:rsid w:val="00FE7FF3"/>
    <w:rsid w:val="00FF0CF3"/>
    <w:rsid w:val="00FF118F"/>
    <w:rsid w:val="00FF1FCA"/>
    <w:rsid w:val="00FF2053"/>
    <w:rsid w:val="00FF206F"/>
    <w:rsid w:val="00FF276C"/>
    <w:rsid w:val="00FF2A0F"/>
    <w:rsid w:val="00FF2A44"/>
    <w:rsid w:val="00FF2A4B"/>
    <w:rsid w:val="00FF2A77"/>
    <w:rsid w:val="00FF3058"/>
    <w:rsid w:val="00FF3901"/>
    <w:rsid w:val="00FF39D4"/>
    <w:rsid w:val="00FF3C56"/>
    <w:rsid w:val="00FF3FEE"/>
    <w:rsid w:val="00FF4298"/>
    <w:rsid w:val="00FF4336"/>
    <w:rsid w:val="00FF4B48"/>
    <w:rsid w:val="00FF55C2"/>
    <w:rsid w:val="00FF5811"/>
    <w:rsid w:val="00FF58F9"/>
    <w:rsid w:val="00FF6016"/>
    <w:rsid w:val="00FF60E0"/>
    <w:rsid w:val="00FF62A0"/>
    <w:rsid w:val="00FF62BD"/>
    <w:rsid w:val="00FF671D"/>
    <w:rsid w:val="00FF6A7D"/>
    <w:rsid w:val="00FF6D52"/>
    <w:rsid w:val="00FF6DB2"/>
    <w:rsid w:val="00FF77C3"/>
    <w:rsid w:val="00FF783F"/>
    <w:rsid w:val="00FF7B63"/>
    <w:rsid w:val="00FF7E3E"/>
    <w:rsid w:val="011E8E31"/>
    <w:rsid w:val="016129D0"/>
    <w:rsid w:val="017F0FB4"/>
    <w:rsid w:val="018982B8"/>
    <w:rsid w:val="018DD1E6"/>
    <w:rsid w:val="0197F9F5"/>
    <w:rsid w:val="01EA95EC"/>
    <w:rsid w:val="02042D02"/>
    <w:rsid w:val="0214D2D8"/>
    <w:rsid w:val="0219BBDC"/>
    <w:rsid w:val="022FC3C9"/>
    <w:rsid w:val="02472EE5"/>
    <w:rsid w:val="024AB193"/>
    <w:rsid w:val="0276AC6C"/>
    <w:rsid w:val="027DCDCD"/>
    <w:rsid w:val="02B2577C"/>
    <w:rsid w:val="02F02B2E"/>
    <w:rsid w:val="030C75D6"/>
    <w:rsid w:val="031A46AC"/>
    <w:rsid w:val="031E8C9D"/>
    <w:rsid w:val="03269187"/>
    <w:rsid w:val="032F3FAD"/>
    <w:rsid w:val="03530FD7"/>
    <w:rsid w:val="035C187B"/>
    <w:rsid w:val="035F13C1"/>
    <w:rsid w:val="03677961"/>
    <w:rsid w:val="038C2925"/>
    <w:rsid w:val="03C0AA06"/>
    <w:rsid w:val="03F929C6"/>
    <w:rsid w:val="045C7913"/>
    <w:rsid w:val="048ECE66"/>
    <w:rsid w:val="04C743A8"/>
    <w:rsid w:val="04DA3986"/>
    <w:rsid w:val="04E36DF7"/>
    <w:rsid w:val="05269904"/>
    <w:rsid w:val="05429EDF"/>
    <w:rsid w:val="05484ED1"/>
    <w:rsid w:val="054BDBB6"/>
    <w:rsid w:val="05857C05"/>
    <w:rsid w:val="058CEB6E"/>
    <w:rsid w:val="05AE4C24"/>
    <w:rsid w:val="05C9A3A1"/>
    <w:rsid w:val="060A6B16"/>
    <w:rsid w:val="064E50AE"/>
    <w:rsid w:val="06618D9B"/>
    <w:rsid w:val="06706ED3"/>
    <w:rsid w:val="0683C4DE"/>
    <w:rsid w:val="0699A3E5"/>
    <w:rsid w:val="06AEBA92"/>
    <w:rsid w:val="06B2E148"/>
    <w:rsid w:val="06DD226D"/>
    <w:rsid w:val="06F47A02"/>
    <w:rsid w:val="0709E6B4"/>
    <w:rsid w:val="070D9B47"/>
    <w:rsid w:val="0748B6F7"/>
    <w:rsid w:val="075CF17C"/>
    <w:rsid w:val="07636EE2"/>
    <w:rsid w:val="07819ED7"/>
    <w:rsid w:val="0784046B"/>
    <w:rsid w:val="078A52EC"/>
    <w:rsid w:val="0791D20F"/>
    <w:rsid w:val="07B02274"/>
    <w:rsid w:val="08063C50"/>
    <w:rsid w:val="0832D1E5"/>
    <w:rsid w:val="084AC6BD"/>
    <w:rsid w:val="0887194B"/>
    <w:rsid w:val="08878FFC"/>
    <w:rsid w:val="0894795C"/>
    <w:rsid w:val="089AD3E5"/>
    <w:rsid w:val="089B4AA2"/>
    <w:rsid w:val="08BCEAC5"/>
    <w:rsid w:val="08CAD3DF"/>
    <w:rsid w:val="08EBA87A"/>
    <w:rsid w:val="09046821"/>
    <w:rsid w:val="0919E9DE"/>
    <w:rsid w:val="0943F763"/>
    <w:rsid w:val="095F9908"/>
    <w:rsid w:val="097FFD23"/>
    <w:rsid w:val="09848CA1"/>
    <w:rsid w:val="0987B589"/>
    <w:rsid w:val="09A4F443"/>
    <w:rsid w:val="09BA577E"/>
    <w:rsid w:val="0A0EA99D"/>
    <w:rsid w:val="0A35279F"/>
    <w:rsid w:val="0A8778DB"/>
    <w:rsid w:val="0A88E08B"/>
    <w:rsid w:val="0A8BE9E0"/>
    <w:rsid w:val="0A916C1B"/>
    <w:rsid w:val="0AA1CA1D"/>
    <w:rsid w:val="0AAAEB2F"/>
    <w:rsid w:val="0B018BD7"/>
    <w:rsid w:val="0B1A4E44"/>
    <w:rsid w:val="0B34C369"/>
    <w:rsid w:val="0B473721"/>
    <w:rsid w:val="0B4EF4AF"/>
    <w:rsid w:val="0B67A373"/>
    <w:rsid w:val="0B6EACD5"/>
    <w:rsid w:val="0B722337"/>
    <w:rsid w:val="0B9CFD07"/>
    <w:rsid w:val="0BA1AE85"/>
    <w:rsid w:val="0BBF6647"/>
    <w:rsid w:val="0BCE87E1"/>
    <w:rsid w:val="0BCF10B7"/>
    <w:rsid w:val="0BF00B6A"/>
    <w:rsid w:val="0C18E06C"/>
    <w:rsid w:val="0C38E1D1"/>
    <w:rsid w:val="0C5259A0"/>
    <w:rsid w:val="0C63E5AD"/>
    <w:rsid w:val="0C6B89FF"/>
    <w:rsid w:val="0C75E16E"/>
    <w:rsid w:val="0C88C7AE"/>
    <w:rsid w:val="0CD6B9ED"/>
    <w:rsid w:val="0CE88B01"/>
    <w:rsid w:val="0CEB9D4F"/>
    <w:rsid w:val="0CEED998"/>
    <w:rsid w:val="0CF0D68D"/>
    <w:rsid w:val="0D191DBF"/>
    <w:rsid w:val="0D198807"/>
    <w:rsid w:val="0D32CF83"/>
    <w:rsid w:val="0D8FDD70"/>
    <w:rsid w:val="0DA3C200"/>
    <w:rsid w:val="0DBBDF5A"/>
    <w:rsid w:val="0DDEB2A5"/>
    <w:rsid w:val="0DF345EF"/>
    <w:rsid w:val="0E040E95"/>
    <w:rsid w:val="0E109382"/>
    <w:rsid w:val="0E1725C2"/>
    <w:rsid w:val="0E1987BF"/>
    <w:rsid w:val="0E2875FB"/>
    <w:rsid w:val="0E591BF8"/>
    <w:rsid w:val="0E6FF692"/>
    <w:rsid w:val="0E76A5D4"/>
    <w:rsid w:val="0E92C270"/>
    <w:rsid w:val="0EB2B836"/>
    <w:rsid w:val="0EF88E99"/>
    <w:rsid w:val="0EFA1A12"/>
    <w:rsid w:val="0F0B53FB"/>
    <w:rsid w:val="0F8CB3B9"/>
    <w:rsid w:val="0FADD363"/>
    <w:rsid w:val="0FB3A929"/>
    <w:rsid w:val="0FCEAE36"/>
    <w:rsid w:val="0FD24B93"/>
    <w:rsid w:val="0FED8903"/>
    <w:rsid w:val="10157AAD"/>
    <w:rsid w:val="105F9B51"/>
    <w:rsid w:val="10618249"/>
    <w:rsid w:val="109E156A"/>
    <w:rsid w:val="10C65E7E"/>
    <w:rsid w:val="10CB90C1"/>
    <w:rsid w:val="110C1240"/>
    <w:rsid w:val="11183299"/>
    <w:rsid w:val="11338AFB"/>
    <w:rsid w:val="1144E806"/>
    <w:rsid w:val="1147AFA1"/>
    <w:rsid w:val="114F8635"/>
    <w:rsid w:val="11922361"/>
    <w:rsid w:val="11A45D11"/>
    <w:rsid w:val="11A9708B"/>
    <w:rsid w:val="11DC36D8"/>
    <w:rsid w:val="11E678C6"/>
    <w:rsid w:val="121A7142"/>
    <w:rsid w:val="12628F83"/>
    <w:rsid w:val="12630A91"/>
    <w:rsid w:val="126E90CF"/>
    <w:rsid w:val="1280AF83"/>
    <w:rsid w:val="128DE103"/>
    <w:rsid w:val="12A9D820"/>
    <w:rsid w:val="12BE8889"/>
    <w:rsid w:val="12C946C8"/>
    <w:rsid w:val="12CA92B8"/>
    <w:rsid w:val="12D29C4D"/>
    <w:rsid w:val="12DE5997"/>
    <w:rsid w:val="12F014AF"/>
    <w:rsid w:val="1322B147"/>
    <w:rsid w:val="133499AD"/>
    <w:rsid w:val="13395629"/>
    <w:rsid w:val="135ADD4C"/>
    <w:rsid w:val="1365CC50"/>
    <w:rsid w:val="13691CF0"/>
    <w:rsid w:val="1375138D"/>
    <w:rsid w:val="137983CF"/>
    <w:rsid w:val="13B1F9C3"/>
    <w:rsid w:val="14219FC1"/>
    <w:rsid w:val="142E5829"/>
    <w:rsid w:val="144628A7"/>
    <w:rsid w:val="1475E4AA"/>
    <w:rsid w:val="14910A01"/>
    <w:rsid w:val="14936F2A"/>
    <w:rsid w:val="149A98AE"/>
    <w:rsid w:val="1515F652"/>
    <w:rsid w:val="152593D1"/>
    <w:rsid w:val="152C7373"/>
    <w:rsid w:val="1535702D"/>
    <w:rsid w:val="153F435B"/>
    <w:rsid w:val="15474EF2"/>
    <w:rsid w:val="154CD708"/>
    <w:rsid w:val="15B4640E"/>
    <w:rsid w:val="15D7688B"/>
    <w:rsid w:val="160D5FE8"/>
    <w:rsid w:val="166C61FE"/>
    <w:rsid w:val="166F4777"/>
    <w:rsid w:val="168611F4"/>
    <w:rsid w:val="169F3499"/>
    <w:rsid w:val="16D568D4"/>
    <w:rsid w:val="16ED458C"/>
    <w:rsid w:val="16F21AC7"/>
    <w:rsid w:val="17244831"/>
    <w:rsid w:val="1736C9B8"/>
    <w:rsid w:val="17386374"/>
    <w:rsid w:val="17ABFCD8"/>
    <w:rsid w:val="17EB2748"/>
    <w:rsid w:val="17EB495E"/>
    <w:rsid w:val="17EB6A89"/>
    <w:rsid w:val="17F917CC"/>
    <w:rsid w:val="180EF72B"/>
    <w:rsid w:val="181D881A"/>
    <w:rsid w:val="18431664"/>
    <w:rsid w:val="184E1F6A"/>
    <w:rsid w:val="18674466"/>
    <w:rsid w:val="1873D83E"/>
    <w:rsid w:val="18788510"/>
    <w:rsid w:val="187EBBBD"/>
    <w:rsid w:val="1885AC29"/>
    <w:rsid w:val="188D566E"/>
    <w:rsid w:val="18B04CC6"/>
    <w:rsid w:val="18C22F32"/>
    <w:rsid w:val="18F5AF1A"/>
    <w:rsid w:val="1914344C"/>
    <w:rsid w:val="1931826B"/>
    <w:rsid w:val="19450B42"/>
    <w:rsid w:val="19498D06"/>
    <w:rsid w:val="1954D061"/>
    <w:rsid w:val="195ED5F2"/>
    <w:rsid w:val="1995EE75"/>
    <w:rsid w:val="199ABBFE"/>
    <w:rsid w:val="19F26416"/>
    <w:rsid w:val="19F58F37"/>
    <w:rsid w:val="1A00412D"/>
    <w:rsid w:val="1A1237FB"/>
    <w:rsid w:val="1A1DD97C"/>
    <w:rsid w:val="1A2CE7DE"/>
    <w:rsid w:val="1A5C226D"/>
    <w:rsid w:val="1A5EEB95"/>
    <w:rsid w:val="1A9660E4"/>
    <w:rsid w:val="1A9C7C2C"/>
    <w:rsid w:val="1A9D495E"/>
    <w:rsid w:val="1AB2B5AC"/>
    <w:rsid w:val="1AB571B8"/>
    <w:rsid w:val="1AC08FA7"/>
    <w:rsid w:val="1B05DE0D"/>
    <w:rsid w:val="1B3A307A"/>
    <w:rsid w:val="1B51B269"/>
    <w:rsid w:val="1B527162"/>
    <w:rsid w:val="1B662AA2"/>
    <w:rsid w:val="1B713E78"/>
    <w:rsid w:val="1B8EDD5E"/>
    <w:rsid w:val="1B9178EA"/>
    <w:rsid w:val="1C062184"/>
    <w:rsid w:val="1C128031"/>
    <w:rsid w:val="1C20D481"/>
    <w:rsid w:val="1C2C91D7"/>
    <w:rsid w:val="1C535A82"/>
    <w:rsid w:val="1C613332"/>
    <w:rsid w:val="1C710D43"/>
    <w:rsid w:val="1C99C4DD"/>
    <w:rsid w:val="1CBC4106"/>
    <w:rsid w:val="1CE23DF5"/>
    <w:rsid w:val="1CE5E9D9"/>
    <w:rsid w:val="1D0EC606"/>
    <w:rsid w:val="1D590D88"/>
    <w:rsid w:val="1D6497B0"/>
    <w:rsid w:val="1D6A3BD5"/>
    <w:rsid w:val="1D7451F7"/>
    <w:rsid w:val="1D8BFBED"/>
    <w:rsid w:val="1D9609E8"/>
    <w:rsid w:val="1DAD3B22"/>
    <w:rsid w:val="1DAE5092"/>
    <w:rsid w:val="1DD68D23"/>
    <w:rsid w:val="1DDE929D"/>
    <w:rsid w:val="1DE84A39"/>
    <w:rsid w:val="1DF605C0"/>
    <w:rsid w:val="1DF9FFD7"/>
    <w:rsid w:val="1E11F02D"/>
    <w:rsid w:val="1E244CEB"/>
    <w:rsid w:val="1E4555CD"/>
    <w:rsid w:val="1E9680AE"/>
    <w:rsid w:val="1E969236"/>
    <w:rsid w:val="1EAD8D22"/>
    <w:rsid w:val="1EBA0872"/>
    <w:rsid w:val="1ED7EBC8"/>
    <w:rsid w:val="1EDDB135"/>
    <w:rsid w:val="1EDE88D2"/>
    <w:rsid w:val="1EE97078"/>
    <w:rsid w:val="1EEC69AA"/>
    <w:rsid w:val="1EEC6DDD"/>
    <w:rsid w:val="1EF31240"/>
    <w:rsid w:val="1F239C35"/>
    <w:rsid w:val="1F305803"/>
    <w:rsid w:val="1F38762E"/>
    <w:rsid w:val="1F4776C6"/>
    <w:rsid w:val="1F710731"/>
    <w:rsid w:val="1F91927A"/>
    <w:rsid w:val="1F94D16A"/>
    <w:rsid w:val="1F9F6393"/>
    <w:rsid w:val="1FA7AFA6"/>
    <w:rsid w:val="1FC4D401"/>
    <w:rsid w:val="1FC51EB0"/>
    <w:rsid w:val="1FE1C6AF"/>
    <w:rsid w:val="200FDF3B"/>
    <w:rsid w:val="202C361A"/>
    <w:rsid w:val="204062CF"/>
    <w:rsid w:val="2071BFCE"/>
    <w:rsid w:val="20777847"/>
    <w:rsid w:val="209AD5CA"/>
    <w:rsid w:val="20A3F747"/>
    <w:rsid w:val="20DFFD07"/>
    <w:rsid w:val="20F4B5CA"/>
    <w:rsid w:val="210F2D22"/>
    <w:rsid w:val="2118C8ED"/>
    <w:rsid w:val="214FF40D"/>
    <w:rsid w:val="217F3498"/>
    <w:rsid w:val="21AADD75"/>
    <w:rsid w:val="21C2F403"/>
    <w:rsid w:val="21CFB507"/>
    <w:rsid w:val="21D181E8"/>
    <w:rsid w:val="21D9D7C1"/>
    <w:rsid w:val="21EE74BE"/>
    <w:rsid w:val="21F4037D"/>
    <w:rsid w:val="21FBAF83"/>
    <w:rsid w:val="22424027"/>
    <w:rsid w:val="2255BD44"/>
    <w:rsid w:val="226FC063"/>
    <w:rsid w:val="2277E752"/>
    <w:rsid w:val="228D340C"/>
    <w:rsid w:val="22F7BE0E"/>
    <w:rsid w:val="230854AA"/>
    <w:rsid w:val="230F6804"/>
    <w:rsid w:val="231E32AF"/>
    <w:rsid w:val="23355577"/>
    <w:rsid w:val="2339E05A"/>
    <w:rsid w:val="233FAD77"/>
    <w:rsid w:val="23487996"/>
    <w:rsid w:val="234B3C5F"/>
    <w:rsid w:val="2356A3EE"/>
    <w:rsid w:val="235C43CA"/>
    <w:rsid w:val="2371150E"/>
    <w:rsid w:val="237E982F"/>
    <w:rsid w:val="23BEF5A2"/>
    <w:rsid w:val="23DEB539"/>
    <w:rsid w:val="23F0E87A"/>
    <w:rsid w:val="23FCC954"/>
    <w:rsid w:val="24073FB9"/>
    <w:rsid w:val="24422F82"/>
    <w:rsid w:val="2442C77C"/>
    <w:rsid w:val="2449E174"/>
    <w:rsid w:val="24717F4A"/>
    <w:rsid w:val="24A4D43A"/>
    <w:rsid w:val="24A5162D"/>
    <w:rsid w:val="24C72532"/>
    <w:rsid w:val="24E38CFF"/>
    <w:rsid w:val="24FEFD53"/>
    <w:rsid w:val="25030491"/>
    <w:rsid w:val="251A5D83"/>
    <w:rsid w:val="251CD783"/>
    <w:rsid w:val="2522A935"/>
    <w:rsid w:val="2547E198"/>
    <w:rsid w:val="258F3FDE"/>
    <w:rsid w:val="259C245A"/>
    <w:rsid w:val="25BDB784"/>
    <w:rsid w:val="25D1F35C"/>
    <w:rsid w:val="25E5101E"/>
    <w:rsid w:val="2619D448"/>
    <w:rsid w:val="2651F52F"/>
    <w:rsid w:val="26593724"/>
    <w:rsid w:val="267AB9A7"/>
    <w:rsid w:val="269FC909"/>
    <w:rsid w:val="26C005E1"/>
    <w:rsid w:val="26C46EB0"/>
    <w:rsid w:val="26D2B768"/>
    <w:rsid w:val="26D81BCA"/>
    <w:rsid w:val="26EDA07F"/>
    <w:rsid w:val="26F5FEEC"/>
    <w:rsid w:val="26F62732"/>
    <w:rsid w:val="26FB3D34"/>
    <w:rsid w:val="26FE37ED"/>
    <w:rsid w:val="2712B31E"/>
    <w:rsid w:val="2739C339"/>
    <w:rsid w:val="273FA847"/>
    <w:rsid w:val="274A80B8"/>
    <w:rsid w:val="275428D0"/>
    <w:rsid w:val="275825BC"/>
    <w:rsid w:val="27807D6B"/>
    <w:rsid w:val="27AB81CD"/>
    <w:rsid w:val="27E23717"/>
    <w:rsid w:val="27E4434C"/>
    <w:rsid w:val="27EB5620"/>
    <w:rsid w:val="2808AA50"/>
    <w:rsid w:val="280997A1"/>
    <w:rsid w:val="28566DF4"/>
    <w:rsid w:val="28571B85"/>
    <w:rsid w:val="28726629"/>
    <w:rsid w:val="287A1A43"/>
    <w:rsid w:val="28BA120A"/>
    <w:rsid w:val="28C87FC2"/>
    <w:rsid w:val="2928FBF3"/>
    <w:rsid w:val="2955669A"/>
    <w:rsid w:val="29801327"/>
    <w:rsid w:val="2983656B"/>
    <w:rsid w:val="2995C202"/>
    <w:rsid w:val="29979089"/>
    <w:rsid w:val="29A84931"/>
    <w:rsid w:val="29AE3B72"/>
    <w:rsid w:val="29E50652"/>
    <w:rsid w:val="29EAC355"/>
    <w:rsid w:val="2A15BB75"/>
    <w:rsid w:val="2A25701C"/>
    <w:rsid w:val="2A6694B0"/>
    <w:rsid w:val="2A74C775"/>
    <w:rsid w:val="2A7FB8C1"/>
    <w:rsid w:val="2AB1A311"/>
    <w:rsid w:val="2AB42746"/>
    <w:rsid w:val="2AB75023"/>
    <w:rsid w:val="2AC17255"/>
    <w:rsid w:val="2AEE08A8"/>
    <w:rsid w:val="2B164B09"/>
    <w:rsid w:val="2B1DEDD4"/>
    <w:rsid w:val="2B2715BD"/>
    <w:rsid w:val="2B597D73"/>
    <w:rsid w:val="2B9B6638"/>
    <w:rsid w:val="2BAEDC6F"/>
    <w:rsid w:val="2BCA5D3B"/>
    <w:rsid w:val="2BE4ACC7"/>
    <w:rsid w:val="2BF6BFBE"/>
    <w:rsid w:val="2C2B25C8"/>
    <w:rsid w:val="2C4654D5"/>
    <w:rsid w:val="2C47DA38"/>
    <w:rsid w:val="2C4EC2AF"/>
    <w:rsid w:val="2C5A2D10"/>
    <w:rsid w:val="2C6498C4"/>
    <w:rsid w:val="2C69F311"/>
    <w:rsid w:val="2C6B89A2"/>
    <w:rsid w:val="2C6CC6E7"/>
    <w:rsid w:val="2C7F623E"/>
    <w:rsid w:val="2CD73A20"/>
    <w:rsid w:val="2CF2FAE9"/>
    <w:rsid w:val="2CF3DBB8"/>
    <w:rsid w:val="2D4BD3B1"/>
    <w:rsid w:val="2D8429AA"/>
    <w:rsid w:val="2D87BC87"/>
    <w:rsid w:val="2D972B20"/>
    <w:rsid w:val="2DC6BF3B"/>
    <w:rsid w:val="2DFBAE60"/>
    <w:rsid w:val="2E7354F9"/>
    <w:rsid w:val="2EAEB98E"/>
    <w:rsid w:val="2ECD6641"/>
    <w:rsid w:val="2EDB8293"/>
    <w:rsid w:val="2EFD11DE"/>
    <w:rsid w:val="2F0D3F61"/>
    <w:rsid w:val="2F32F490"/>
    <w:rsid w:val="2F38C28B"/>
    <w:rsid w:val="2F5D088F"/>
    <w:rsid w:val="2F6337A1"/>
    <w:rsid w:val="2F9E95BE"/>
    <w:rsid w:val="2FA3D2F6"/>
    <w:rsid w:val="2FC81C00"/>
    <w:rsid w:val="2FE13AB1"/>
    <w:rsid w:val="2FF4639D"/>
    <w:rsid w:val="3011F318"/>
    <w:rsid w:val="303391BD"/>
    <w:rsid w:val="304EF606"/>
    <w:rsid w:val="30547E1E"/>
    <w:rsid w:val="3058BDE2"/>
    <w:rsid w:val="30C0ADBD"/>
    <w:rsid w:val="30D75221"/>
    <w:rsid w:val="30DD9E6D"/>
    <w:rsid w:val="30E9E769"/>
    <w:rsid w:val="30FC7C69"/>
    <w:rsid w:val="313592D8"/>
    <w:rsid w:val="31411139"/>
    <w:rsid w:val="314EA4ED"/>
    <w:rsid w:val="318A2DD3"/>
    <w:rsid w:val="31EF7CB8"/>
    <w:rsid w:val="320F2959"/>
    <w:rsid w:val="3228400A"/>
    <w:rsid w:val="326BC59C"/>
    <w:rsid w:val="3271232E"/>
    <w:rsid w:val="32737AFD"/>
    <w:rsid w:val="3297704E"/>
    <w:rsid w:val="32A2647B"/>
    <w:rsid w:val="32A34BBC"/>
    <w:rsid w:val="32BD5491"/>
    <w:rsid w:val="33081F04"/>
    <w:rsid w:val="330EF598"/>
    <w:rsid w:val="3321ECB2"/>
    <w:rsid w:val="33258BCE"/>
    <w:rsid w:val="332EE379"/>
    <w:rsid w:val="3330B741"/>
    <w:rsid w:val="33743894"/>
    <w:rsid w:val="33891B1D"/>
    <w:rsid w:val="33AEF562"/>
    <w:rsid w:val="33B86B2F"/>
    <w:rsid w:val="33D9D23E"/>
    <w:rsid w:val="33E1F767"/>
    <w:rsid w:val="33F5DA60"/>
    <w:rsid w:val="340C9AA3"/>
    <w:rsid w:val="3417F6A6"/>
    <w:rsid w:val="342B4330"/>
    <w:rsid w:val="343AB9C5"/>
    <w:rsid w:val="343F5B99"/>
    <w:rsid w:val="349F10A3"/>
    <w:rsid w:val="34C1E199"/>
    <w:rsid w:val="34C41D33"/>
    <w:rsid w:val="34D569F6"/>
    <w:rsid w:val="34F7DE8F"/>
    <w:rsid w:val="350B429D"/>
    <w:rsid w:val="3534EB3A"/>
    <w:rsid w:val="3544E586"/>
    <w:rsid w:val="355DE471"/>
    <w:rsid w:val="3583C3A7"/>
    <w:rsid w:val="35BAFE4C"/>
    <w:rsid w:val="35C164AF"/>
    <w:rsid w:val="35C39EF3"/>
    <w:rsid w:val="36202230"/>
    <w:rsid w:val="36205666"/>
    <w:rsid w:val="3635EF51"/>
    <w:rsid w:val="36566CC1"/>
    <w:rsid w:val="365AB6C6"/>
    <w:rsid w:val="3667FB10"/>
    <w:rsid w:val="3668B40B"/>
    <w:rsid w:val="3689E8CF"/>
    <w:rsid w:val="369D2C8B"/>
    <w:rsid w:val="36A15B41"/>
    <w:rsid w:val="36AA3450"/>
    <w:rsid w:val="36B5A351"/>
    <w:rsid w:val="36B89714"/>
    <w:rsid w:val="36C63C18"/>
    <w:rsid w:val="36EA3B38"/>
    <w:rsid w:val="3712AF67"/>
    <w:rsid w:val="371B52FA"/>
    <w:rsid w:val="3728F20D"/>
    <w:rsid w:val="3744CD60"/>
    <w:rsid w:val="375C4760"/>
    <w:rsid w:val="37618A33"/>
    <w:rsid w:val="3777C8E8"/>
    <w:rsid w:val="379F8080"/>
    <w:rsid w:val="37C02F2C"/>
    <w:rsid w:val="37E3C8EF"/>
    <w:rsid w:val="37E410C9"/>
    <w:rsid w:val="37ED704F"/>
    <w:rsid w:val="3820BEE3"/>
    <w:rsid w:val="382BC4C8"/>
    <w:rsid w:val="383E414F"/>
    <w:rsid w:val="38BDAB68"/>
    <w:rsid w:val="38DAB0C2"/>
    <w:rsid w:val="38DF7A45"/>
    <w:rsid w:val="3900CE0F"/>
    <w:rsid w:val="3909203C"/>
    <w:rsid w:val="390EB2B8"/>
    <w:rsid w:val="3917C42D"/>
    <w:rsid w:val="391FA68C"/>
    <w:rsid w:val="3947E129"/>
    <w:rsid w:val="394F7F7B"/>
    <w:rsid w:val="39536228"/>
    <w:rsid w:val="396E7EE0"/>
    <w:rsid w:val="3A0BB7BD"/>
    <w:rsid w:val="3A4100F1"/>
    <w:rsid w:val="3A4A56F1"/>
    <w:rsid w:val="3A6C080D"/>
    <w:rsid w:val="3A732D1D"/>
    <w:rsid w:val="3A8014A6"/>
    <w:rsid w:val="3A803569"/>
    <w:rsid w:val="3AEC8442"/>
    <w:rsid w:val="3B1442F1"/>
    <w:rsid w:val="3B32C6B8"/>
    <w:rsid w:val="3BB3FD98"/>
    <w:rsid w:val="3BD5496E"/>
    <w:rsid w:val="3BE85545"/>
    <w:rsid w:val="3BEA5A0B"/>
    <w:rsid w:val="3BEDFCEE"/>
    <w:rsid w:val="3C42F906"/>
    <w:rsid w:val="3C45507C"/>
    <w:rsid w:val="3C619431"/>
    <w:rsid w:val="3C7E64CE"/>
    <w:rsid w:val="3C8417F8"/>
    <w:rsid w:val="3C997396"/>
    <w:rsid w:val="3C9D9437"/>
    <w:rsid w:val="3C9E071D"/>
    <w:rsid w:val="3CB22B51"/>
    <w:rsid w:val="3CBDEA8D"/>
    <w:rsid w:val="3CCAE83C"/>
    <w:rsid w:val="3D01BE75"/>
    <w:rsid w:val="3D49A466"/>
    <w:rsid w:val="3D5DB27D"/>
    <w:rsid w:val="3D6E29F1"/>
    <w:rsid w:val="3D81F7B3"/>
    <w:rsid w:val="3D9395F8"/>
    <w:rsid w:val="3D93BF6A"/>
    <w:rsid w:val="3DAA3249"/>
    <w:rsid w:val="3DB4FDAB"/>
    <w:rsid w:val="3DBA0332"/>
    <w:rsid w:val="3DCF3820"/>
    <w:rsid w:val="3DDD77C3"/>
    <w:rsid w:val="3DE928FF"/>
    <w:rsid w:val="3DFCFFEB"/>
    <w:rsid w:val="3E04A14B"/>
    <w:rsid w:val="3E169787"/>
    <w:rsid w:val="3E16AF8A"/>
    <w:rsid w:val="3E1A861A"/>
    <w:rsid w:val="3E2DB92F"/>
    <w:rsid w:val="3E55A89C"/>
    <w:rsid w:val="3E56C935"/>
    <w:rsid w:val="3E588789"/>
    <w:rsid w:val="3E5FDE04"/>
    <w:rsid w:val="3E66D500"/>
    <w:rsid w:val="3E7D198D"/>
    <w:rsid w:val="3EC51457"/>
    <w:rsid w:val="3EDB1EDE"/>
    <w:rsid w:val="3EF14A20"/>
    <w:rsid w:val="3F457E85"/>
    <w:rsid w:val="3F6F6937"/>
    <w:rsid w:val="3F8148F1"/>
    <w:rsid w:val="3FA071AC"/>
    <w:rsid w:val="3FE30D1C"/>
    <w:rsid w:val="3FFB3099"/>
    <w:rsid w:val="3FFF23A3"/>
    <w:rsid w:val="402EEA22"/>
    <w:rsid w:val="4062F383"/>
    <w:rsid w:val="4077DD7C"/>
    <w:rsid w:val="407D8561"/>
    <w:rsid w:val="409C5D1A"/>
    <w:rsid w:val="40D9C381"/>
    <w:rsid w:val="40FA0EB5"/>
    <w:rsid w:val="40FF39FB"/>
    <w:rsid w:val="41000734"/>
    <w:rsid w:val="410ACA8A"/>
    <w:rsid w:val="41207112"/>
    <w:rsid w:val="413A7EBD"/>
    <w:rsid w:val="413C420D"/>
    <w:rsid w:val="4142C22A"/>
    <w:rsid w:val="418CA373"/>
    <w:rsid w:val="4191AEAD"/>
    <w:rsid w:val="419EA817"/>
    <w:rsid w:val="41A39DDD"/>
    <w:rsid w:val="41B4B5F5"/>
    <w:rsid w:val="41C0CF0D"/>
    <w:rsid w:val="41F73FED"/>
    <w:rsid w:val="41F859D2"/>
    <w:rsid w:val="4214A02A"/>
    <w:rsid w:val="4221A564"/>
    <w:rsid w:val="42324D23"/>
    <w:rsid w:val="4251FC8B"/>
    <w:rsid w:val="42542F2A"/>
    <w:rsid w:val="427FE5F6"/>
    <w:rsid w:val="4280F24B"/>
    <w:rsid w:val="42C7ED0B"/>
    <w:rsid w:val="42E174FB"/>
    <w:rsid w:val="43287E6C"/>
    <w:rsid w:val="433652E4"/>
    <w:rsid w:val="437878A0"/>
    <w:rsid w:val="43AF4079"/>
    <w:rsid w:val="44331020"/>
    <w:rsid w:val="443B91B7"/>
    <w:rsid w:val="44642D82"/>
    <w:rsid w:val="447C20EC"/>
    <w:rsid w:val="4480805A"/>
    <w:rsid w:val="449EAD4E"/>
    <w:rsid w:val="44E734F8"/>
    <w:rsid w:val="44E743F3"/>
    <w:rsid w:val="44F36CC6"/>
    <w:rsid w:val="45115A80"/>
    <w:rsid w:val="4527FD30"/>
    <w:rsid w:val="452C61C6"/>
    <w:rsid w:val="4546D16D"/>
    <w:rsid w:val="4562FA68"/>
    <w:rsid w:val="4568C46E"/>
    <w:rsid w:val="456D684F"/>
    <w:rsid w:val="456F1EC2"/>
    <w:rsid w:val="459A6A93"/>
    <w:rsid w:val="45AD50FD"/>
    <w:rsid w:val="45C5923D"/>
    <w:rsid w:val="45D6B404"/>
    <w:rsid w:val="4613002E"/>
    <w:rsid w:val="463DF639"/>
    <w:rsid w:val="46755CCC"/>
    <w:rsid w:val="468C2A68"/>
    <w:rsid w:val="46D59254"/>
    <w:rsid w:val="46D75E4F"/>
    <w:rsid w:val="46E3E5EE"/>
    <w:rsid w:val="46F0C4E4"/>
    <w:rsid w:val="46FB6721"/>
    <w:rsid w:val="46FC1821"/>
    <w:rsid w:val="46FD34C0"/>
    <w:rsid w:val="47064444"/>
    <w:rsid w:val="47247C27"/>
    <w:rsid w:val="474AA410"/>
    <w:rsid w:val="4765CC73"/>
    <w:rsid w:val="479B2DE6"/>
    <w:rsid w:val="47C3E92F"/>
    <w:rsid w:val="481AB843"/>
    <w:rsid w:val="484CA560"/>
    <w:rsid w:val="4877108B"/>
    <w:rsid w:val="4886A5D6"/>
    <w:rsid w:val="488A1503"/>
    <w:rsid w:val="489CFE30"/>
    <w:rsid w:val="48AAB0FB"/>
    <w:rsid w:val="48AB1DEE"/>
    <w:rsid w:val="48B30383"/>
    <w:rsid w:val="48B34D01"/>
    <w:rsid w:val="48DD9832"/>
    <w:rsid w:val="493A70EC"/>
    <w:rsid w:val="4950862A"/>
    <w:rsid w:val="496CB9A9"/>
    <w:rsid w:val="4995F3C5"/>
    <w:rsid w:val="49B0DCBA"/>
    <w:rsid w:val="49F3121D"/>
    <w:rsid w:val="49F85266"/>
    <w:rsid w:val="4A20224B"/>
    <w:rsid w:val="4A20A33D"/>
    <w:rsid w:val="4A3EEA13"/>
    <w:rsid w:val="4A9509F5"/>
    <w:rsid w:val="4ABA9478"/>
    <w:rsid w:val="4AC48E54"/>
    <w:rsid w:val="4AD657F4"/>
    <w:rsid w:val="4AF14023"/>
    <w:rsid w:val="4AF93B54"/>
    <w:rsid w:val="4B159E7A"/>
    <w:rsid w:val="4B253D2E"/>
    <w:rsid w:val="4B4DDA57"/>
    <w:rsid w:val="4BAE2638"/>
    <w:rsid w:val="4BD6B468"/>
    <w:rsid w:val="4BE34AE7"/>
    <w:rsid w:val="4C00A001"/>
    <w:rsid w:val="4C4808BA"/>
    <w:rsid w:val="4C8B210E"/>
    <w:rsid w:val="4CA1E65C"/>
    <w:rsid w:val="4CBB5C0E"/>
    <w:rsid w:val="4CCF5675"/>
    <w:rsid w:val="4CD5A7CA"/>
    <w:rsid w:val="4CDCD24B"/>
    <w:rsid w:val="4CE50D2F"/>
    <w:rsid w:val="4CF966A9"/>
    <w:rsid w:val="4D0219ED"/>
    <w:rsid w:val="4D04A5C9"/>
    <w:rsid w:val="4D337B80"/>
    <w:rsid w:val="4D52752C"/>
    <w:rsid w:val="4D69E080"/>
    <w:rsid w:val="4D922794"/>
    <w:rsid w:val="4DA61CDA"/>
    <w:rsid w:val="4DE76E9F"/>
    <w:rsid w:val="4E13AAF7"/>
    <w:rsid w:val="4E9727DE"/>
    <w:rsid w:val="4EBB9CA6"/>
    <w:rsid w:val="4ED94A47"/>
    <w:rsid w:val="4F2A5F97"/>
    <w:rsid w:val="4F3848A2"/>
    <w:rsid w:val="4F4123A6"/>
    <w:rsid w:val="4F4342A0"/>
    <w:rsid w:val="4F9B8E30"/>
    <w:rsid w:val="4FA0951F"/>
    <w:rsid w:val="4FB0D652"/>
    <w:rsid w:val="4FC26494"/>
    <w:rsid w:val="4FCA8BB6"/>
    <w:rsid w:val="4FDE3DAD"/>
    <w:rsid w:val="4FE0C87D"/>
    <w:rsid w:val="4FF9E714"/>
    <w:rsid w:val="5008CDC9"/>
    <w:rsid w:val="50416A33"/>
    <w:rsid w:val="505C305D"/>
    <w:rsid w:val="5081B2AE"/>
    <w:rsid w:val="50921F4C"/>
    <w:rsid w:val="5095F074"/>
    <w:rsid w:val="50BD66A1"/>
    <w:rsid w:val="50C3BF95"/>
    <w:rsid w:val="511343BF"/>
    <w:rsid w:val="5123B3FE"/>
    <w:rsid w:val="51318621"/>
    <w:rsid w:val="51624249"/>
    <w:rsid w:val="51A4C82A"/>
    <w:rsid w:val="51DE2716"/>
    <w:rsid w:val="51F2F87D"/>
    <w:rsid w:val="52097BF9"/>
    <w:rsid w:val="524706B3"/>
    <w:rsid w:val="524870B0"/>
    <w:rsid w:val="527FBFB3"/>
    <w:rsid w:val="5287C283"/>
    <w:rsid w:val="52A18BB5"/>
    <w:rsid w:val="52B691EE"/>
    <w:rsid w:val="52D82D90"/>
    <w:rsid w:val="52EF3C22"/>
    <w:rsid w:val="52F610BD"/>
    <w:rsid w:val="52F7E854"/>
    <w:rsid w:val="52FCABA9"/>
    <w:rsid w:val="532439BF"/>
    <w:rsid w:val="532A08BD"/>
    <w:rsid w:val="532B6A7E"/>
    <w:rsid w:val="5336E8BF"/>
    <w:rsid w:val="5352515B"/>
    <w:rsid w:val="5352EEB3"/>
    <w:rsid w:val="53538C60"/>
    <w:rsid w:val="535C81D5"/>
    <w:rsid w:val="5388FC2F"/>
    <w:rsid w:val="53CF9EDD"/>
    <w:rsid w:val="53D05833"/>
    <w:rsid w:val="53D62448"/>
    <w:rsid w:val="53D69925"/>
    <w:rsid w:val="53E612AC"/>
    <w:rsid w:val="540B4DD9"/>
    <w:rsid w:val="54127873"/>
    <w:rsid w:val="541C82B2"/>
    <w:rsid w:val="542615D2"/>
    <w:rsid w:val="54341022"/>
    <w:rsid w:val="544972C1"/>
    <w:rsid w:val="547F4267"/>
    <w:rsid w:val="551A703C"/>
    <w:rsid w:val="555B1675"/>
    <w:rsid w:val="557527BF"/>
    <w:rsid w:val="5578A7AC"/>
    <w:rsid w:val="5586EAF9"/>
    <w:rsid w:val="559D29B8"/>
    <w:rsid w:val="55A1C288"/>
    <w:rsid w:val="55A39BDD"/>
    <w:rsid w:val="55C5D878"/>
    <w:rsid w:val="55D7DDE5"/>
    <w:rsid w:val="55D82AEB"/>
    <w:rsid w:val="55DC7465"/>
    <w:rsid w:val="55F11BB5"/>
    <w:rsid w:val="55F9CB88"/>
    <w:rsid w:val="55FE3C64"/>
    <w:rsid w:val="56139569"/>
    <w:rsid w:val="564EAE21"/>
    <w:rsid w:val="56558DCE"/>
    <w:rsid w:val="565A8F31"/>
    <w:rsid w:val="566365F9"/>
    <w:rsid w:val="5678C816"/>
    <w:rsid w:val="567BB662"/>
    <w:rsid w:val="567CD388"/>
    <w:rsid w:val="56C068A8"/>
    <w:rsid w:val="56EA4BA7"/>
    <w:rsid w:val="57032C23"/>
    <w:rsid w:val="572CBF19"/>
    <w:rsid w:val="57312193"/>
    <w:rsid w:val="5756F287"/>
    <w:rsid w:val="576C2DB7"/>
    <w:rsid w:val="57815D48"/>
    <w:rsid w:val="57A89853"/>
    <w:rsid w:val="57DFE493"/>
    <w:rsid w:val="57F7AAE2"/>
    <w:rsid w:val="5806E4F9"/>
    <w:rsid w:val="58430006"/>
    <w:rsid w:val="584CA4F8"/>
    <w:rsid w:val="586A84E7"/>
    <w:rsid w:val="588AB40F"/>
    <w:rsid w:val="5897A200"/>
    <w:rsid w:val="589C2FD9"/>
    <w:rsid w:val="58CBCC1B"/>
    <w:rsid w:val="58D9808C"/>
    <w:rsid w:val="58F6CC79"/>
    <w:rsid w:val="592EDFAA"/>
    <w:rsid w:val="592FC946"/>
    <w:rsid w:val="5973385F"/>
    <w:rsid w:val="599A9A96"/>
    <w:rsid w:val="59AC114C"/>
    <w:rsid w:val="59B6F49D"/>
    <w:rsid w:val="59D252A1"/>
    <w:rsid w:val="5A2669E5"/>
    <w:rsid w:val="5A3FE917"/>
    <w:rsid w:val="5A5D1465"/>
    <w:rsid w:val="5A7E1EB5"/>
    <w:rsid w:val="5A7E4494"/>
    <w:rsid w:val="5A8B8A94"/>
    <w:rsid w:val="5A9A29A4"/>
    <w:rsid w:val="5AA47673"/>
    <w:rsid w:val="5AA7A1BE"/>
    <w:rsid w:val="5AB3B1C2"/>
    <w:rsid w:val="5AE26EBC"/>
    <w:rsid w:val="5B162347"/>
    <w:rsid w:val="5B24988C"/>
    <w:rsid w:val="5B47DB1F"/>
    <w:rsid w:val="5B48BE61"/>
    <w:rsid w:val="5B705E9E"/>
    <w:rsid w:val="5B8B4256"/>
    <w:rsid w:val="5B9D18C2"/>
    <w:rsid w:val="5BB6411F"/>
    <w:rsid w:val="5BC0586F"/>
    <w:rsid w:val="5BD8A697"/>
    <w:rsid w:val="5C0B5A63"/>
    <w:rsid w:val="5C25FCA3"/>
    <w:rsid w:val="5C29B8F1"/>
    <w:rsid w:val="5C4A1E5E"/>
    <w:rsid w:val="5C5890EB"/>
    <w:rsid w:val="5C93D7B4"/>
    <w:rsid w:val="5CA7AE94"/>
    <w:rsid w:val="5CAEA8C7"/>
    <w:rsid w:val="5CB1F3A8"/>
    <w:rsid w:val="5CBF81AC"/>
    <w:rsid w:val="5CC05F6C"/>
    <w:rsid w:val="5CD19035"/>
    <w:rsid w:val="5CDD6D30"/>
    <w:rsid w:val="5CE54713"/>
    <w:rsid w:val="5D20B2BA"/>
    <w:rsid w:val="5D2D1E34"/>
    <w:rsid w:val="5D34F8EA"/>
    <w:rsid w:val="5D62BF77"/>
    <w:rsid w:val="5D666729"/>
    <w:rsid w:val="5D72D0A3"/>
    <w:rsid w:val="5D75DC93"/>
    <w:rsid w:val="5D83886F"/>
    <w:rsid w:val="5D86DA44"/>
    <w:rsid w:val="5DB5246E"/>
    <w:rsid w:val="5DB62A45"/>
    <w:rsid w:val="5DD5E36D"/>
    <w:rsid w:val="5DDEC765"/>
    <w:rsid w:val="5E0E21F7"/>
    <w:rsid w:val="5E10A0A1"/>
    <w:rsid w:val="5E252C29"/>
    <w:rsid w:val="5E38F957"/>
    <w:rsid w:val="5E3C5FC6"/>
    <w:rsid w:val="5E3D0CFD"/>
    <w:rsid w:val="5E6FD559"/>
    <w:rsid w:val="5E9FED61"/>
    <w:rsid w:val="5EB3F97E"/>
    <w:rsid w:val="5EC24FBD"/>
    <w:rsid w:val="5F0D2F11"/>
    <w:rsid w:val="5F412995"/>
    <w:rsid w:val="5F5157EC"/>
    <w:rsid w:val="5F6351F1"/>
    <w:rsid w:val="5F72D696"/>
    <w:rsid w:val="5FA9763B"/>
    <w:rsid w:val="5FB5B451"/>
    <w:rsid w:val="5FBD4C5B"/>
    <w:rsid w:val="5FBF8122"/>
    <w:rsid w:val="5FC3A6E4"/>
    <w:rsid w:val="5FD659F0"/>
    <w:rsid w:val="5FD8FF91"/>
    <w:rsid w:val="5FE66897"/>
    <w:rsid w:val="5FE67882"/>
    <w:rsid w:val="5FF1A8D2"/>
    <w:rsid w:val="601109D3"/>
    <w:rsid w:val="60235C5A"/>
    <w:rsid w:val="6029A99C"/>
    <w:rsid w:val="60554875"/>
    <w:rsid w:val="605BDA41"/>
    <w:rsid w:val="60968007"/>
    <w:rsid w:val="60987940"/>
    <w:rsid w:val="60BDE8E5"/>
    <w:rsid w:val="60F4517E"/>
    <w:rsid w:val="6107901C"/>
    <w:rsid w:val="6152766C"/>
    <w:rsid w:val="618564CB"/>
    <w:rsid w:val="61A03DBF"/>
    <w:rsid w:val="61B79331"/>
    <w:rsid w:val="61C65009"/>
    <w:rsid w:val="61C7B205"/>
    <w:rsid w:val="61CF5A05"/>
    <w:rsid w:val="620D1E4C"/>
    <w:rsid w:val="62150A43"/>
    <w:rsid w:val="6222892E"/>
    <w:rsid w:val="6279CBB6"/>
    <w:rsid w:val="6281D9E7"/>
    <w:rsid w:val="628D0648"/>
    <w:rsid w:val="62AF6F86"/>
    <w:rsid w:val="62B3F477"/>
    <w:rsid w:val="62D3F670"/>
    <w:rsid w:val="62E116FD"/>
    <w:rsid w:val="633FA809"/>
    <w:rsid w:val="6361D2F2"/>
    <w:rsid w:val="636A52D8"/>
    <w:rsid w:val="6384DAEB"/>
    <w:rsid w:val="63A885FF"/>
    <w:rsid w:val="63BBE5F9"/>
    <w:rsid w:val="63C8338F"/>
    <w:rsid w:val="63F6CD94"/>
    <w:rsid w:val="640FFFF1"/>
    <w:rsid w:val="64118ADF"/>
    <w:rsid w:val="6419C806"/>
    <w:rsid w:val="6445F8B8"/>
    <w:rsid w:val="6469F8DA"/>
    <w:rsid w:val="6470EED1"/>
    <w:rsid w:val="64971807"/>
    <w:rsid w:val="64AA7772"/>
    <w:rsid w:val="64E0BBDD"/>
    <w:rsid w:val="65125A55"/>
    <w:rsid w:val="65133EE0"/>
    <w:rsid w:val="6517416A"/>
    <w:rsid w:val="65327520"/>
    <w:rsid w:val="65610880"/>
    <w:rsid w:val="658BF174"/>
    <w:rsid w:val="65ABD052"/>
    <w:rsid w:val="65BB63D3"/>
    <w:rsid w:val="65C37780"/>
    <w:rsid w:val="65E4C9D1"/>
    <w:rsid w:val="65FDA60B"/>
    <w:rsid w:val="660BCBAA"/>
    <w:rsid w:val="661A67B9"/>
    <w:rsid w:val="6631B2BA"/>
    <w:rsid w:val="663CEEEF"/>
    <w:rsid w:val="666E6855"/>
    <w:rsid w:val="6686ED8A"/>
    <w:rsid w:val="669BD948"/>
    <w:rsid w:val="66C19A40"/>
    <w:rsid w:val="66C2C3D5"/>
    <w:rsid w:val="66C4FD83"/>
    <w:rsid w:val="6728A786"/>
    <w:rsid w:val="67413B70"/>
    <w:rsid w:val="674E0D0A"/>
    <w:rsid w:val="676F48ED"/>
    <w:rsid w:val="6779BF52"/>
    <w:rsid w:val="67DFAE32"/>
    <w:rsid w:val="67EF73F3"/>
    <w:rsid w:val="67F985D7"/>
    <w:rsid w:val="682B5E51"/>
    <w:rsid w:val="68926C7A"/>
    <w:rsid w:val="68A7748C"/>
    <w:rsid w:val="68AA16EA"/>
    <w:rsid w:val="68AB8EA4"/>
    <w:rsid w:val="68BF5DE1"/>
    <w:rsid w:val="68BFA321"/>
    <w:rsid w:val="68E9508B"/>
    <w:rsid w:val="69036815"/>
    <w:rsid w:val="694103E3"/>
    <w:rsid w:val="696A892A"/>
    <w:rsid w:val="696CE3DD"/>
    <w:rsid w:val="697DE64A"/>
    <w:rsid w:val="698CABBB"/>
    <w:rsid w:val="69B9C691"/>
    <w:rsid w:val="69C1F6CA"/>
    <w:rsid w:val="69D37A0A"/>
    <w:rsid w:val="69D84840"/>
    <w:rsid w:val="69FFD57C"/>
    <w:rsid w:val="6A3DF6CE"/>
    <w:rsid w:val="6A6B953A"/>
    <w:rsid w:val="6A7F3B86"/>
    <w:rsid w:val="6A8D2904"/>
    <w:rsid w:val="6AA8A940"/>
    <w:rsid w:val="6AE1EC06"/>
    <w:rsid w:val="6AE7A6A0"/>
    <w:rsid w:val="6AF9D764"/>
    <w:rsid w:val="6B118232"/>
    <w:rsid w:val="6B135BFA"/>
    <w:rsid w:val="6B369B4D"/>
    <w:rsid w:val="6B43B093"/>
    <w:rsid w:val="6B65A969"/>
    <w:rsid w:val="6B9DEFB7"/>
    <w:rsid w:val="6BAAB889"/>
    <w:rsid w:val="6BB2C0F1"/>
    <w:rsid w:val="6BD1CC56"/>
    <w:rsid w:val="6BD3A331"/>
    <w:rsid w:val="6BD7F0D6"/>
    <w:rsid w:val="6C1C80A4"/>
    <w:rsid w:val="6C71399E"/>
    <w:rsid w:val="6C823D36"/>
    <w:rsid w:val="6C8FA822"/>
    <w:rsid w:val="6CBFA5D7"/>
    <w:rsid w:val="6CCD09A3"/>
    <w:rsid w:val="6D09B566"/>
    <w:rsid w:val="6D0ECDE2"/>
    <w:rsid w:val="6D526015"/>
    <w:rsid w:val="6D7B2650"/>
    <w:rsid w:val="6DA1FED7"/>
    <w:rsid w:val="6DE612DB"/>
    <w:rsid w:val="6DEF8FEF"/>
    <w:rsid w:val="6E107C04"/>
    <w:rsid w:val="6E5A7116"/>
    <w:rsid w:val="6E687F5F"/>
    <w:rsid w:val="6E9B455E"/>
    <w:rsid w:val="6EAEA3AE"/>
    <w:rsid w:val="6EE7C1F6"/>
    <w:rsid w:val="6EEE50C9"/>
    <w:rsid w:val="6F17C536"/>
    <w:rsid w:val="6FAAEFBC"/>
    <w:rsid w:val="701A1613"/>
    <w:rsid w:val="70331230"/>
    <w:rsid w:val="703EC263"/>
    <w:rsid w:val="70639DA5"/>
    <w:rsid w:val="707C8B7D"/>
    <w:rsid w:val="707EF2FA"/>
    <w:rsid w:val="70AA4DAA"/>
    <w:rsid w:val="70CB4C49"/>
    <w:rsid w:val="70E7C158"/>
    <w:rsid w:val="710B0727"/>
    <w:rsid w:val="710C0851"/>
    <w:rsid w:val="711266DF"/>
    <w:rsid w:val="7114A40C"/>
    <w:rsid w:val="7122CF9F"/>
    <w:rsid w:val="71445C10"/>
    <w:rsid w:val="71460719"/>
    <w:rsid w:val="716796A1"/>
    <w:rsid w:val="718C182B"/>
    <w:rsid w:val="718D1F7A"/>
    <w:rsid w:val="718DBA25"/>
    <w:rsid w:val="718EBBFE"/>
    <w:rsid w:val="7194DCEF"/>
    <w:rsid w:val="71A5A873"/>
    <w:rsid w:val="71D2CA93"/>
    <w:rsid w:val="71D458A6"/>
    <w:rsid w:val="71D98804"/>
    <w:rsid w:val="71DA8961"/>
    <w:rsid w:val="71DDE8B5"/>
    <w:rsid w:val="72057CF7"/>
    <w:rsid w:val="724B8E3E"/>
    <w:rsid w:val="726FA7BC"/>
    <w:rsid w:val="7298EF14"/>
    <w:rsid w:val="72C004A5"/>
    <w:rsid w:val="72D6FDCD"/>
    <w:rsid w:val="72D837F8"/>
    <w:rsid w:val="72E2CB5D"/>
    <w:rsid w:val="730406AB"/>
    <w:rsid w:val="7345A2E0"/>
    <w:rsid w:val="734F9E14"/>
    <w:rsid w:val="73667133"/>
    <w:rsid w:val="736E9AF4"/>
    <w:rsid w:val="73D24BCF"/>
    <w:rsid w:val="73DFA0C2"/>
    <w:rsid w:val="74047AD5"/>
    <w:rsid w:val="740B5B82"/>
    <w:rsid w:val="743C4E17"/>
    <w:rsid w:val="743F5E18"/>
    <w:rsid w:val="74546847"/>
    <w:rsid w:val="7456FA47"/>
    <w:rsid w:val="745EAC4A"/>
    <w:rsid w:val="7463CB22"/>
    <w:rsid w:val="74916FF6"/>
    <w:rsid w:val="74A4473B"/>
    <w:rsid w:val="74AE52BE"/>
    <w:rsid w:val="74B89652"/>
    <w:rsid w:val="74DFC8F9"/>
    <w:rsid w:val="752D76BC"/>
    <w:rsid w:val="75525297"/>
    <w:rsid w:val="75610F3E"/>
    <w:rsid w:val="7573B989"/>
    <w:rsid w:val="75ADF3B3"/>
    <w:rsid w:val="75D447A2"/>
    <w:rsid w:val="76306AC0"/>
    <w:rsid w:val="765134FA"/>
    <w:rsid w:val="7666DBF7"/>
    <w:rsid w:val="766F95CD"/>
    <w:rsid w:val="76A60D89"/>
    <w:rsid w:val="76AE28EA"/>
    <w:rsid w:val="76C8BEE0"/>
    <w:rsid w:val="76D29164"/>
    <w:rsid w:val="7709761F"/>
    <w:rsid w:val="7721591E"/>
    <w:rsid w:val="77452D74"/>
    <w:rsid w:val="7746BD19"/>
    <w:rsid w:val="77982A95"/>
    <w:rsid w:val="77B39929"/>
    <w:rsid w:val="77C4DBBC"/>
    <w:rsid w:val="77D4920B"/>
    <w:rsid w:val="77F1975C"/>
    <w:rsid w:val="781961F9"/>
    <w:rsid w:val="781B14CA"/>
    <w:rsid w:val="7826B74B"/>
    <w:rsid w:val="782FA755"/>
    <w:rsid w:val="7841DC2A"/>
    <w:rsid w:val="784CFB76"/>
    <w:rsid w:val="785F936D"/>
    <w:rsid w:val="786C7CC7"/>
    <w:rsid w:val="788B345E"/>
    <w:rsid w:val="78DD56B5"/>
    <w:rsid w:val="78F3AE99"/>
    <w:rsid w:val="78FFE75A"/>
    <w:rsid w:val="790BD453"/>
    <w:rsid w:val="790F6D8E"/>
    <w:rsid w:val="79180AFC"/>
    <w:rsid w:val="79485497"/>
    <w:rsid w:val="7957B4E0"/>
    <w:rsid w:val="7960E532"/>
    <w:rsid w:val="79704C14"/>
    <w:rsid w:val="7972B096"/>
    <w:rsid w:val="79B3A822"/>
    <w:rsid w:val="79C0E27B"/>
    <w:rsid w:val="79D42F74"/>
    <w:rsid w:val="79DA0EEB"/>
    <w:rsid w:val="79E8F7D1"/>
    <w:rsid w:val="79F66A4A"/>
    <w:rsid w:val="7A002DCC"/>
    <w:rsid w:val="7A1849E8"/>
    <w:rsid w:val="7A1CE1FE"/>
    <w:rsid w:val="7A1D840E"/>
    <w:rsid w:val="7A3BF24C"/>
    <w:rsid w:val="7A3D5571"/>
    <w:rsid w:val="7A67258C"/>
    <w:rsid w:val="7A6807E0"/>
    <w:rsid w:val="7A6A2BBB"/>
    <w:rsid w:val="7A74F56E"/>
    <w:rsid w:val="7A8169DF"/>
    <w:rsid w:val="7A8C13E8"/>
    <w:rsid w:val="7ABE9777"/>
    <w:rsid w:val="7AC29D9F"/>
    <w:rsid w:val="7AD5D6AF"/>
    <w:rsid w:val="7ADCF0E9"/>
    <w:rsid w:val="7B0E90EA"/>
    <w:rsid w:val="7B16B218"/>
    <w:rsid w:val="7B196458"/>
    <w:rsid w:val="7B2BD1FB"/>
    <w:rsid w:val="7B4111A2"/>
    <w:rsid w:val="7B46DEA0"/>
    <w:rsid w:val="7B6E18EB"/>
    <w:rsid w:val="7B71CFD6"/>
    <w:rsid w:val="7B7AB14E"/>
    <w:rsid w:val="7BB3AB74"/>
    <w:rsid w:val="7C0613CE"/>
    <w:rsid w:val="7C101607"/>
    <w:rsid w:val="7C264DCE"/>
    <w:rsid w:val="7C40FEDA"/>
    <w:rsid w:val="7C515691"/>
    <w:rsid w:val="7C5A0840"/>
    <w:rsid w:val="7C8EEB58"/>
    <w:rsid w:val="7CA2B603"/>
    <w:rsid w:val="7CC73944"/>
    <w:rsid w:val="7CD2CA69"/>
    <w:rsid w:val="7CD8D5BE"/>
    <w:rsid w:val="7CDB4A4F"/>
    <w:rsid w:val="7CDDDA05"/>
    <w:rsid w:val="7CE0C7E7"/>
    <w:rsid w:val="7CEF90F5"/>
    <w:rsid w:val="7CF90E9A"/>
    <w:rsid w:val="7D058F5C"/>
    <w:rsid w:val="7D0E0E76"/>
    <w:rsid w:val="7D1F6044"/>
    <w:rsid w:val="7D27CF17"/>
    <w:rsid w:val="7D98677C"/>
    <w:rsid w:val="7DC1133C"/>
    <w:rsid w:val="7DC85B72"/>
    <w:rsid w:val="7DDA0901"/>
    <w:rsid w:val="7DDA5781"/>
    <w:rsid w:val="7DDE8C49"/>
    <w:rsid w:val="7DE805F0"/>
    <w:rsid w:val="7DEFCB37"/>
    <w:rsid w:val="7DFEC0F9"/>
    <w:rsid w:val="7E129872"/>
    <w:rsid w:val="7E173A57"/>
    <w:rsid w:val="7E39A52A"/>
    <w:rsid w:val="7E526AF0"/>
    <w:rsid w:val="7E76E521"/>
    <w:rsid w:val="7EA602A1"/>
    <w:rsid w:val="7EA9CF16"/>
    <w:rsid w:val="7EAD813D"/>
    <w:rsid w:val="7ECB6DC8"/>
    <w:rsid w:val="7EEE3F1A"/>
    <w:rsid w:val="7F16F2E7"/>
    <w:rsid w:val="7F514535"/>
    <w:rsid w:val="7F708CF5"/>
    <w:rsid w:val="7F722C3B"/>
    <w:rsid w:val="7F855912"/>
    <w:rsid w:val="7F88442F"/>
    <w:rsid w:val="7F98FFB9"/>
    <w:rsid w:val="7FEDA71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4BA8F9"/>
  <w15:chartTrackingRefBased/>
  <w15:docId w15:val="{95E20C0B-2FBA-4168-9B21-BC8BCB2B8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001"/>
    <w:pPr>
      <w:jc w:val="both"/>
    </w:pPr>
    <w:rPr>
      <w:rFonts w:ascii="EC Square Sans Pro" w:hAnsi="EC Square Sans Pro"/>
      <w:color w:val="000000"/>
      <w:sz w:val="24"/>
      <w:szCs w:val="24"/>
      <w14:textFill>
        <w14:solidFill>
          <w14:srgbClr w14:val="000000">
            <w14:lumMod w14:val="75000"/>
          </w14:srgbClr>
        </w14:solidFill>
      </w14:textFill>
    </w:rPr>
  </w:style>
  <w:style w:type="paragraph" w:styleId="Heading1">
    <w:name w:val="heading 1"/>
    <w:basedOn w:val="Normal"/>
    <w:next w:val="Normal"/>
    <w:link w:val="Heading1Char"/>
    <w:uiPriority w:val="9"/>
    <w:qFormat/>
    <w:rsid w:val="00241898"/>
    <w:pPr>
      <w:keepNext/>
      <w:keepLines/>
      <w:spacing w:before="240" w:after="240"/>
      <w:outlineLvl w:val="0"/>
    </w:pPr>
    <w:rPr>
      <w:rFonts w:eastAsia="Times New Roman" w:cstheme="majorBidi"/>
      <w:b/>
      <w:caps/>
      <w:color w:val="2E74B5" w:themeColor="accent1" w:themeShade="BF"/>
      <w:sz w:val="36"/>
      <w:szCs w:val="32"/>
      <w14:textFill>
        <w14:solidFill>
          <w14:schemeClr w14:val="accent1">
            <w14:lumMod w14:val="75000"/>
            <w14:lumMod w14:val="75000"/>
          </w14:schemeClr>
        </w14:solidFill>
      </w14:textFill>
    </w:rPr>
  </w:style>
  <w:style w:type="paragraph" w:styleId="Heading2">
    <w:name w:val="heading 2"/>
    <w:basedOn w:val="Normal"/>
    <w:next w:val="Normal"/>
    <w:link w:val="Heading2Char"/>
    <w:uiPriority w:val="9"/>
    <w:unhideWhenUsed/>
    <w:qFormat/>
    <w:rsid w:val="00241898"/>
    <w:pPr>
      <w:keepNext/>
      <w:keepLines/>
      <w:numPr>
        <w:numId w:val="52"/>
      </w:numPr>
      <w:spacing w:before="40" w:after="240"/>
      <w:outlineLvl w:val="1"/>
    </w:pPr>
    <w:rPr>
      <w:rFonts w:eastAsia="Times New Roman"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241898"/>
    <w:pPr>
      <w:keepNext/>
      <w:keepLines/>
      <w:spacing w:before="40" w:after="240"/>
      <w:outlineLvl w:val="2"/>
    </w:pPr>
    <w:rPr>
      <w:rFonts w:eastAsiaTheme="majorEastAsia" w:cstheme="majorBidi"/>
      <w:bCs/>
      <w:noProof/>
      <w:color w:val="2E74B5" w:themeColor="accent1" w:themeShade="BF"/>
      <w:sz w:val="28"/>
      <w:lang w:eastAsia="en-IE"/>
      <w14:textFill>
        <w14:solidFill>
          <w14:schemeClr w14:val="accent1">
            <w14:lumMod w14:val="75000"/>
            <w14:lumMod w14:val="75000"/>
          </w14:schemeClr>
        </w14:solidFill>
      </w14:textFill>
    </w:rPr>
  </w:style>
  <w:style w:type="paragraph" w:styleId="Heading4">
    <w:name w:val="heading 4"/>
    <w:basedOn w:val="Normal"/>
    <w:next w:val="Normal"/>
    <w:link w:val="Heading4Char"/>
    <w:uiPriority w:val="9"/>
    <w:unhideWhenUsed/>
    <w:qFormat/>
    <w:rsid w:val="00241898"/>
    <w:pPr>
      <w:keepNext/>
      <w:keepLines/>
      <w:spacing w:before="40" w:after="120"/>
      <w:ind w:firstLine="720"/>
      <w:outlineLvl w:val="3"/>
    </w:pPr>
    <w:rPr>
      <w:rFonts w:asciiTheme="majorHAnsi" w:eastAsiaTheme="majorEastAsia" w:hAnsiTheme="majorHAnsi" w:cstheme="majorBidi"/>
      <w:b/>
      <w:iCs/>
      <w:color w:val="2E74B5" w:themeColor="accent1" w:themeShade="BF"/>
      <w:sz w:val="28"/>
      <w:szCs w:val="28"/>
      <w14:textFill>
        <w14:solidFill>
          <w14:schemeClr w14:val="accent1">
            <w14:lumMod w14:val="75000"/>
            <w14:lumMod w14:val="75000"/>
          </w14:schemeClr>
        </w14:solidFill>
      </w14:textFil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001"/>
    <w:rPr>
      <w:rFonts w:ascii="EC Square Sans Pro" w:eastAsia="Times New Roman" w:hAnsi="EC Square Sans Pro" w:cstheme="majorBidi"/>
      <w:b/>
      <w:caps/>
      <w:color w:val="2E74B5" w:themeColor="accent1" w:themeShade="BF"/>
      <w:sz w:val="36"/>
      <w:szCs w:val="32"/>
      <w:lang w:val="lt-LT"/>
    </w:rPr>
  </w:style>
  <w:style w:type="character" w:styleId="Hyperlink">
    <w:name w:val="Hyperlink"/>
    <w:basedOn w:val="DefaultParagraphFont"/>
    <w:uiPriority w:val="99"/>
    <w:unhideWhenUsed/>
    <w:rsid w:val="005D32FA"/>
    <w:rPr>
      <w:color w:val="0563C1" w:themeColor="hyperlink"/>
      <w:u w:val="single"/>
    </w:rPr>
  </w:style>
  <w:style w:type="character" w:customStyle="1" w:styleId="Heading2Char">
    <w:name w:val="Heading 2 Char"/>
    <w:basedOn w:val="DefaultParagraphFont"/>
    <w:link w:val="Heading2"/>
    <w:uiPriority w:val="9"/>
    <w:rsid w:val="00246E45"/>
    <w:rPr>
      <w:rFonts w:ascii="EC Square Sans Pro" w:eastAsia="Times New Roman" w:hAnsi="EC Square Sans Pro" w:cstheme="majorBidi"/>
      <w:b/>
      <w:color w:val="2E74B5" w:themeColor="accent1" w:themeShade="BF"/>
      <w:sz w:val="28"/>
      <w:szCs w:val="28"/>
      <w:lang w:val="lt-LT"/>
    </w:rPr>
  </w:style>
  <w:style w:type="character" w:styleId="FollowedHyperlink">
    <w:name w:val="FollowedHyperlink"/>
    <w:basedOn w:val="DefaultParagraphFont"/>
    <w:uiPriority w:val="99"/>
    <w:semiHidden/>
    <w:unhideWhenUsed/>
    <w:rsid w:val="00FA769E"/>
    <w:rPr>
      <w:color w:val="954F72" w:themeColor="followedHyperlink"/>
      <w:u w:val="single"/>
    </w:rPr>
  </w:style>
  <w:style w:type="character" w:styleId="CommentReference">
    <w:name w:val="annotation reference"/>
    <w:basedOn w:val="DefaultParagraphFont"/>
    <w:uiPriority w:val="99"/>
    <w:semiHidden/>
    <w:unhideWhenUsed/>
    <w:rsid w:val="00943FA9"/>
    <w:rPr>
      <w:sz w:val="16"/>
      <w:szCs w:val="16"/>
    </w:rPr>
  </w:style>
  <w:style w:type="paragraph" w:styleId="CommentText">
    <w:name w:val="annotation text"/>
    <w:basedOn w:val="Normal"/>
    <w:link w:val="CommentTextChar"/>
    <w:uiPriority w:val="99"/>
    <w:unhideWhenUsed/>
    <w:rsid w:val="00943FA9"/>
    <w:pPr>
      <w:spacing w:line="240" w:lineRule="auto"/>
    </w:pPr>
    <w:rPr>
      <w:sz w:val="20"/>
      <w:szCs w:val="20"/>
    </w:rPr>
  </w:style>
  <w:style w:type="character" w:customStyle="1" w:styleId="CommentTextChar">
    <w:name w:val="Comment Text Char"/>
    <w:basedOn w:val="DefaultParagraphFont"/>
    <w:link w:val="CommentText"/>
    <w:uiPriority w:val="99"/>
    <w:rsid w:val="00943FA9"/>
    <w:rPr>
      <w:sz w:val="20"/>
      <w:szCs w:val="20"/>
    </w:rPr>
  </w:style>
  <w:style w:type="paragraph" w:styleId="CommentSubject">
    <w:name w:val="annotation subject"/>
    <w:basedOn w:val="CommentText"/>
    <w:next w:val="CommentText"/>
    <w:link w:val="CommentSubjectChar"/>
    <w:uiPriority w:val="99"/>
    <w:semiHidden/>
    <w:unhideWhenUsed/>
    <w:rsid w:val="00943FA9"/>
    <w:rPr>
      <w:b/>
      <w:bCs/>
    </w:rPr>
  </w:style>
  <w:style w:type="character" w:customStyle="1" w:styleId="CommentSubjectChar">
    <w:name w:val="Comment Subject Char"/>
    <w:basedOn w:val="CommentTextChar"/>
    <w:link w:val="CommentSubject"/>
    <w:uiPriority w:val="99"/>
    <w:semiHidden/>
    <w:rsid w:val="00943FA9"/>
    <w:rPr>
      <w:b/>
      <w:bCs/>
      <w:sz w:val="20"/>
      <w:szCs w:val="20"/>
    </w:rPr>
  </w:style>
  <w:style w:type="paragraph" w:styleId="BalloonText">
    <w:name w:val="Balloon Text"/>
    <w:basedOn w:val="Normal"/>
    <w:link w:val="BalloonTextChar"/>
    <w:uiPriority w:val="99"/>
    <w:semiHidden/>
    <w:unhideWhenUsed/>
    <w:rsid w:val="00943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FA9"/>
    <w:rPr>
      <w:rFonts w:ascii="Segoe UI" w:hAnsi="Segoe UI" w:cs="Segoe UI"/>
      <w:sz w:val="18"/>
      <w:szCs w:val="18"/>
    </w:rPr>
  </w:style>
  <w:style w:type="paragraph" w:styleId="ListParagraph">
    <w:name w:val="List Paragraph"/>
    <w:aliases w:val="Normal bullet 2,Bullet list,1st level - Bullet List Paragraph,Lettre d'introduction,Paragrafo elenco,List Paragraph à moi,Paragraph,Bullet EY,List Paragraph11,Normal bullet 21,List Paragraph111,Bullet list1,Bullet point 1,lp,List1,Bullet"/>
    <w:basedOn w:val="Normal"/>
    <w:link w:val="ListParagraphChar"/>
    <w:uiPriority w:val="34"/>
    <w:qFormat/>
    <w:rsid w:val="00914388"/>
    <w:pPr>
      <w:ind w:left="720"/>
      <w:contextualSpacing/>
    </w:pPr>
  </w:style>
  <w:style w:type="character" w:customStyle="1" w:styleId="Heading3Char">
    <w:name w:val="Heading 3 Char"/>
    <w:basedOn w:val="DefaultParagraphFont"/>
    <w:link w:val="Heading3"/>
    <w:uiPriority w:val="9"/>
    <w:rsid w:val="00A94C6F"/>
    <w:rPr>
      <w:rFonts w:ascii="EC Square Sans Pro" w:eastAsiaTheme="majorEastAsia" w:hAnsi="EC Square Sans Pro" w:cstheme="majorBidi"/>
      <w:bCs/>
      <w:noProof/>
      <w:color w:val="2E74B5" w:themeColor="accent1" w:themeShade="BF"/>
      <w:sz w:val="28"/>
      <w:szCs w:val="24"/>
      <w:lang w:val="lt-LT" w:eastAsia="en-IE"/>
    </w:rPr>
  </w:style>
  <w:style w:type="paragraph" w:styleId="FootnoteText">
    <w:name w:val="footnote text"/>
    <w:basedOn w:val="Normal"/>
    <w:uiPriority w:val="99"/>
    <w:unhideWhenUsed/>
    <w:rsid w:val="00914388"/>
    <w:pPr>
      <w:spacing w:after="0" w:line="240" w:lineRule="auto"/>
    </w:pPr>
    <w:rPr>
      <w:sz w:val="20"/>
      <w:szCs w:val="20"/>
    </w:rPr>
  </w:style>
  <w:style w:type="character" w:customStyle="1" w:styleId="FootnoteTextChar">
    <w:name w:val="Footnote Text Char"/>
    <w:basedOn w:val="DefaultParagraphFont"/>
    <w:uiPriority w:val="99"/>
    <w:rsid w:val="00914388"/>
    <w:rPr>
      <w:sz w:val="20"/>
      <w:szCs w:val="20"/>
    </w:rPr>
  </w:style>
  <w:style w:type="character" w:styleId="FootnoteReference">
    <w:name w:val="footnote reference"/>
    <w:basedOn w:val="DefaultParagraphFont"/>
    <w:uiPriority w:val="99"/>
    <w:semiHidden/>
    <w:unhideWhenUsed/>
    <w:rsid w:val="00914388"/>
    <w:rPr>
      <w:vertAlign w:val="superscript"/>
    </w:rPr>
  </w:style>
  <w:style w:type="paragraph" w:styleId="TOCHeading">
    <w:name w:val="TOC Heading"/>
    <w:basedOn w:val="Heading1"/>
    <w:next w:val="Normal"/>
    <w:uiPriority w:val="39"/>
    <w:unhideWhenUsed/>
    <w:qFormat/>
    <w:rsid w:val="00241898"/>
    <w:pPr>
      <w:outlineLvl w:val="9"/>
    </w:pPr>
  </w:style>
  <w:style w:type="paragraph" w:styleId="TOC1">
    <w:name w:val="toc 1"/>
    <w:basedOn w:val="Normal"/>
    <w:next w:val="Normal"/>
    <w:autoRedefine/>
    <w:uiPriority w:val="39"/>
    <w:unhideWhenUsed/>
    <w:rsid w:val="008F4AF8"/>
    <w:pPr>
      <w:tabs>
        <w:tab w:val="left" w:pos="660"/>
        <w:tab w:val="right" w:leader="dot" w:pos="9204"/>
      </w:tabs>
      <w:spacing w:after="100"/>
    </w:pPr>
  </w:style>
  <w:style w:type="paragraph" w:styleId="Header">
    <w:name w:val="header"/>
    <w:basedOn w:val="Normal"/>
    <w:link w:val="HeaderChar"/>
    <w:uiPriority w:val="99"/>
    <w:unhideWhenUsed/>
    <w:rsid w:val="005550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0CA"/>
  </w:style>
  <w:style w:type="paragraph" w:styleId="Footer">
    <w:name w:val="footer"/>
    <w:basedOn w:val="Normal"/>
    <w:link w:val="FooterChar"/>
    <w:uiPriority w:val="99"/>
    <w:unhideWhenUsed/>
    <w:rsid w:val="005550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0CA"/>
  </w:style>
  <w:style w:type="paragraph" w:styleId="TOC2">
    <w:name w:val="toc 2"/>
    <w:basedOn w:val="Normal"/>
    <w:next w:val="Normal"/>
    <w:autoRedefine/>
    <w:uiPriority w:val="39"/>
    <w:unhideWhenUsed/>
    <w:rsid w:val="005312B4"/>
    <w:pPr>
      <w:tabs>
        <w:tab w:val="left" w:pos="660"/>
        <w:tab w:val="right" w:leader="dot" w:pos="9204"/>
      </w:tabs>
      <w:spacing w:after="100"/>
      <w:ind w:left="220"/>
    </w:pPr>
  </w:style>
  <w:style w:type="paragraph" w:styleId="NoSpacing">
    <w:name w:val="No Spacing"/>
    <w:link w:val="NoSpacingChar"/>
    <w:uiPriority w:val="1"/>
    <w:qFormat/>
    <w:rsid w:val="00994AD5"/>
    <w:pPr>
      <w:spacing w:after="0" w:line="240" w:lineRule="auto"/>
    </w:pPr>
    <w:rPr>
      <w:rFonts w:eastAsiaTheme="minorEastAsia"/>
    </w:rPr>
  </w:style>
  <w:style w:type="character" w:customStyle="1" w:styleId="NoSpacingChar">
    <w:name w:val="No Spacing Char"/>
    <w:basedOn w:val="DefaultParagraphFont"/>
    <w:link w:val="NoSpacing"/>
    <w:uiPriority w:val="1"/>
    <w:rsid w:val="00994AD5"/>
    <w:rPr>
      <w:rFonts w:eastAsiaTheme="minorEastAsia"/>
      <w:lang w:val="lt-LT"/>
    </w:rPr>
  </w:style>
  <w:style w:type="paragraph" w:styleId="Revision">
    <w:name w:val="Revision"/>
    <w:hidden/>
    <w:uiPriority w:val="99"/>
    <w:semiHidden/>
    <w:rsid w:val="008F08FC"/>
    <w:pPr>
      <w:spacing w:after="0" w:line="240" w:lineRule="auto"/>
    </w:pPr>
  </w:style>
  <w:style w:type="character" w:styleId="Strong">
    <w:name w:val="Strong"/>
    <w:basedOn w:val="DefaultParagraphFont"/>
    <w:uiPriority w:val="22"/>
    <w:qFormat/>
    <w:rsid w:val="002D66F3"/>
    <w:rPr>
      <w:b/>
      <w:bCs/>
    </w:rPr>
  </w:style>
  <w:style w:type="paragraph" w:styleId="NormalWeb">
    <w:name w:val="Normal (Web)"/>
    <w:basedOn w:val="Normal"/>
    <w:uiPriority w:val="99"/>
    <w:unhideWhenUsed/>
    <w:rsid w:val="004E70A5"/>
    <w:pPr>
      <w:spacing w:before="100" w:beforeAutospacing="1" w:after="100" w:afterAutospacing="1" w:line="240" w:lineRule="auto"/>
    </w:pPr>
    <w:rPr>
      <w:rFonts w:ascii="Times New Roman" w:eastAsia="Times New Roman" w:hAnsi="Times New Roman" w:cs="Times New Roman"/>
      <w:lang w:eastAsia="en-IE"/>
    </w:rPr>
  </w:style>
  <w:style w:type="table" w:styleId="GridTable2-Accent1">
    <w:name w:val="Grid Table 2 Accent 1"/>
    <w:basedOn w:val="TableNormal"/>
    <w:uiPriority w:val="47"/>
    <w:rsid w:val="006879A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6879A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6879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6879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4-Accent1">
    <w:name w:val="List Table 4 Accent 1"/>
    <w:basedOn w:val="TableNormal"/>
    <w:uiPriority w:val="49"/>
    <w:rsid w:val="006879A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23640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1">
    <w:name w:val="Grid Table 6 Colorful Accent 1"/>
    <w:basedOn w:val="TableNormal"/>
    <w:uiPriority w:val="51"/>
    <w:rsid w:val="0023640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23640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1">
    <w:name w:val="Grid Table 3 Accent 1"/>
    <w:basedOn w:val="TableNormal"/>
    <w:uiPriority w:val="48"/>
    <w:rsid w:val="00CA1ED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5">
    <w:name w:val="Grid Table 7 Colorful Accent 5"/>
    <w:basedOn w:val="TableNormal"/>
    <w:uiPriority w:val="52"/>
    <w:rsid w:val="00CA1ED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2-Accent1">
    <w:name w:val="List Table 2 Accent 1"/>
    <w:basedOn w:val="TableNormal"/>
    <w:uiPriority w:val="47"/>
    <w:rsid w:val="00CA1ED8"/>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A40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A4036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403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A4036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1">
    <w:name w:val="List Table 1 Light Accent 1"/>
    <w:basedOn w:val="TableNormal"/>
    <w:uiPriority w:val="46"/>
    <w:rsid w:val="00071BD4"/>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7Colorful-Accent1">
    <w:name w:val="List Table 7 Colorful Accent 1"/>
    <w:basedOn w:val="TableNormal"/>
    <w:uiPriority w:val="52"/>
    <w:rsid w:val="00071BD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071BD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rsid w:val="00071BD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wtoffscreen">
    <w:name w:val="wtoffscreen"/>
    <w:basedOn w:val="DefaultParagraphFont"/>
    <w:rsid w:val="00BD6576"/>
  </w:style>
  <w:style w:type="character" w:customStyle="1" w:styleId="UnresolvedMention1">
    <w:name w:val="Unresolved Mention1"/>
    <w:basedOn w:val="DefaultParagraphFont"/>
    <w:uiPriority w:val="99"/>
    <w:semiHidden/>
    <w:unhideWhenUsed/>
    <w:rsid w:val="002A5350"/>
    <w:rPr>
      <w:color w:val="605E5C"/>
      <w:shd w:val="clear" w:color="auto" w:fill="E1DFDD"/>
    </w:rPr>
  </w:style>
  <w:style w:type="paragraph" w:styleId="Title">
    <w:name w:val="Title"/>
    <w:basedOn w:val="Normal"/>
    <w:next w:val="Normal"/>
    <w:link w:val="TitleChar"/>
    <w:uiPriority w:val="10"/>
    <w:qFormat/>
    <w:rsid w:val="004C3C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C30"/>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EC00FF"/>
    <w:pPr>
      <w:tabs>
        <w:tab w:val="right" w:leader="dot" w:pos="9204"/>
      </w:tabs>
      <w:spacing w:after="100"/>
      <w:ind w:left="440"/>
    </w:pPr>
  </w:style>
  <w:style w:type="character" w:customStyle="1" w:styleId="Heading4Char">
    <w:name w:val="Heading 4 Char"/>
    <w:basedOn w:val="DefaultParagraphFont"/>
    <w:link w:val="Heading4"/>
    <w:uiPriority w:val="9"/>
    <w:rsid w:val="00FF3058"/>
    <w:rPr>
      <w:rFonts w:asciiTheme="majorHAnsi" w:eastAsiaTheme="majorEastAsia" w:hAnsiTheme="majorHAnsi" w:cstheme="majorBidi"/>
      <w:b/>
      <w:iCs/>
      <w:color w:val="2E74B5" w:themeColor="accent1" w:themeShade="BF"/>
      <w:sz w:val="28"/>
      <w:szCs w:val="28"/>
      <w:lang w:val="lt-LT"/>
    </w:rPr>
  </w:style>
  <w:style w:type="paragraph" w:styleId="Caption">
    <w:name w:val="caption"/>
    <w:basedOn w:val="Normal"/>
    <w:next w:val="Normal"/>
    <w:uiPriority w:val="35"/>
    <w:unhideWhenUsed/>
    <w:qFormat/>
    <w:rsid w:val="00241898"/>
    <w:pPr>
      <w:spacing w:before="120" w:after="200" w:line="240" w:lineRule="auto"/>
      <w:jc w:val="center"/>
    </w:pPr>
    <w:rPr>
      <w:b/>
      <w:i/>
      <w:iCs/>
      <w:color w:val="2E74B5" w:themeColor="accent1" w:themeShade="BF"/>
      <w:sz w:val="20"/>
      <w:szCs w:val="18"/>
      <w14:textFill>
        <w14:solidFill>
          <w14:schemeClr w14:val="accent1">
            <w14:lumMod w14:val="75000"/>
            <w14:lumMod w14:val="75000"/>
          </w14:schemeClr>
        </w14:solidFill>
      </w14:textFill>
    </w:rPr>
  </w:style>
  <w:style w:type="character" w:customStyle="1" w:styleId="Mention1">
    <w:name w:val="Mention1"/>
    <w:basedOn w:val="DefaultParagraphFont"/>
    <w:uiPriority w:val="99"/>
    <w:unhideWhenUsed/>
    <w:rPr>
      <w:color w:val="2B579A"/>
      <w:shd w:val="clear" w:color="auto" w:fill="E6E6E6"/>
    </w:rPr>
  </w:style>
  <w:style w:type="paragraph" w:customStyle="1" w:styleId="ListNumberLevel4">
    <w:name w:val="List Number (Level 4)"/>
    <w:basedOn w:val="Normal"/>
    <w:uiPriority w:val="1"/>
    <w:semiHidden/>
    <w:unhideWhenUsed/>
    <w:rsid w:val="004107E0"/>
    <w:pPr>
      <w:tabs>
        <w:tab w:val="num" w:pos="2835"/>
      </w:tabs>
      <w:spacing w:after="0" w:line="240" w:lineRule="auto"/>
      <w:ind w:left="2835" w:hanging="709"/>
      <w:jc w:val="left"/>
    </w:pPr>
    <w:rPr>
      <w:rFonts w:ascii="Times New Roman" w:eastAsia="Times New Roman" w:hAnsi="Times New Roman" w:cs="Times New Roman"/>
      <w:szCs w:val="20"/>
    </w:rPr>
  </w:style>
  <w:style w:type="paragraph" w:customStyle="1" w:styleId="ListNumberLevel3">
    <w:name w:val="List Number (Level 3)"/>
    <w:basedOn w:val="Normal"/>
    <w:uiPriority w:val="1"/>
    <w:semiHidden/>
    <w:unhideWhenUsed/>
    <w:rsid w:val="004107E0"/>
    <w:pPr>
      <w:tabs>
        <w:tab w:val="num" w:pos="2126"/>
      </w:tabs>
      <w:spacing w:after="0" w:line="240" w:lineRule="auto"/>
      <w:ind w:left="2126" w:hanging="709"/>
      <w:jc w:val="left"/>
    </w:pPr>
    <w:rPr>
      <w:rFonts w:ascii="Times New Roman" w:eastAsia="Times New Roman" w:hAnsi="Times New Roman" w:cs="Times New Roman"/>
      <w:szCs w:val="20"/>
    </w:rPr>
  </w:style>
  <w:style w:type="paragraph" w:customStyle="1" w:styleId="ListNumberLevel2">
    <w:name w:val="List Number (Level 2)"/>
    <w:basedOn w:val="Normal"/>
    <w:uiPriority w:val="1"/>
    <w:rsid w:val="004107E0"/>
    <w:pPr>
      <w:tabs>
        <w:tab w:val="num" w:pos="1417"/>
      </w:tabs>
      <w:spacing w:after="0" w:line="240" w:lineRule="auto"/>
      <w:ind w:left="1417" w:hanging="708"/>
      <w:jc w:val="left"/>
    </w:pPr>
    <w:rPr>
      <w:rFonts w:ascii="Times New Roman" w:eastAsia="Times New Roman" w:hAnsi="Times New Roman" w:cs="Times New Roman"/>
      <w:szCs w:val="20"/>
    </w:rPr>
  </w:style>
  <w:style w:type="paragraph" w:styleId="ListNumber">
    <w:name w:val="List Number"/>
    <w:basedOn w:val="Normal"/>
    <w:uiPriority w:val="1"/>
    <w:rsid w:val="004107E0"/>
    <w:pPr>
      <w:tabs>
        <w:tab w:val="num" w:pos="709"/>
      </w:tabs>
      <w:spacing w:after="0" w:line="240" w:lineRule="auto"/>
      <w:ind w:left="709" w:hanging="709"/>
      <w:jc w:val="left"/>
    </w:pPr>
    <w:rPr>
      <w:rFonts w:ascii="Times New Roman" w:eastAsia="Times New Roman" w:hAnsi="Times New Roman" w:cs="Times New Roman"/>
      <w:szCs w:val="20"/>
    </w:rPr>
  </w:style>
  <w:style w:type="paragraph" w:customStyle="1" w:styleId="Typedudocument">
    <w:name w:val="Type du document"/>
    <w:basedOn w:val="Normal"/>
    <w:next w:val="Normal"/>
    <w:link w:val="TypedudocumentChar"/>
    <w:rsid w:val="00CA1528"/>
    <w:pPr>
      <w:spacing w:before="360" w:after="0" w:line="240" w:lineRule="auto"/>
      <w:jc w:val="center"/>
    </w:pPr>
    <w:rPr>
      <w:rFonts w:ascii="Times New Roman" w:hAnsi="Times New Roman" w:cs="Times New Roman"/>
      <w:b/>
      <w:szCs w:val="22"/>
    </w:rPr>
  </w:style>
  <w:style w:type="paragraph" w:customStyle="1" w:styleId="Titreobjet">
    <w:name w:val="Titre objet"/>
    <w:basedOn w:val="Normal"/>
    <w:next w:val="Normal"/>
    <w:rsid w:val="00CA1528"/>
    <w:pPr>
      <w:spacing w:before="360" w:after="360" w:line="240" w:lineRule="auto"/>
      <w:jc w:val="center"/>
    </w:pPr>
    <w:rPr>
      <w:rFonts w:ascii="Times New Roman" w:hAnsi="Times New Roman" w:cs="Times New Roman"/>
      <w:b/>
      <w:szCs w:val="22"/>
    </w:rPr>
  </w:style>
  <w:style w:type="character" w:customStyle="1" w:styleId="TypedudocumentChar">
    <w:name w:val="Type du document Char"/>
    <w:basedOn w:val="DefaultParagraphFont"/>
    <w:link w:val="Typedudocument"/>
    <w:rsid w:val="00CA1528"/>
    <w:rPr>
      <w:rFonts w:ascii="Times New Roman" w:hAnsi="Times New Roman" w:cs="Times New Roman"/>
      <w:b/>
      <w:color w:val="000000"/>
      <w:sz w:val="24"/>
      <w:lang w:val="lt-LT"/>
      <w14:textFill>
        <w14:solidFill>
          <w14:srgbClr w14:val="000000">
            <w14:lumMod w14:val="75000"/>
          </w14:srgbClr>
        </w14:solidFill>
      </w14:textFill>
    </w:rPr>
  </w:style>
  <w:style w:type="character" w:customStyle="1" w:styleId="Marker">
    <w:name w:val="Marker"/>
    <w:basedOn w:val="DefaultParagraphFont"/>
    <w:rsid w:val="00670CD2"/>
    <w:rPr>
      <w:color w:val="0000FF"/>
      <w:shd w:val="clear" w:color="auto" w:fill="auto"/>
    </w:rPr>
  </w:style>
  <w:style w:type="paragraph" w:customStyle="1" w:styleId="Pagedecouverture">
    <w:name w:val="Page de couverture"/>
    <w:basedOn w:val="Normal"/>
    <w:next w:val="Normal"/>
    <w:rsid w:val="00670CD2"/>
    <w:pPr>
      <w:spacing w:after="0" w:line="240" w:lineRule="auto"/>
    </w:pPr>
    <w:rPr>
      <w:rFonts w:ascii="Times New Roman" w:hAnsi="Times New Roman" w:cs="Times New Roman"/>
      <w:szCs w:val="22"/>
    </w:rPr>
  </w:style>
  <w:style w:type="paragraph" w:customStyle="1" w:styleId="FooterCoverPage">
    <w:name w:val="Footer Cover Page"/>
    <w:basedOn w:val="Normal"/>
    <w:link w:val="FooterCoverPageChar"/>
    <w:rsid w:val="00670CD2"/>
    <w:pPr>
      <w:tabs>
        <w:tab w:val="center" w:pos="4535"/>
        <w:tab w:val="right" w:pos="9071"/>
        <w:tab w:val="right" w:pos="9921"/>
      </w:tabs>
      <w:spacing w:before="360" w:after="0" w:line="240" w:lineRule="auto"/>
      <w:ind w:left="-850" w:right="-850"/>
      <w:jc w:val="left"/>
    </w:pPr>
    <w:rPr>
      <w:rFonts w:ascii="Times New Roman" w:hAnsi="Times New Roman" w:cs="Times New Roman"/>
    </w:rPr>
  </w:style>
  <w:style w:type="character" w:customStyle="1" w:styleId="FooterCoverPageChar">
    <w:name w:val="Footer Cover Page Char"/>
    <w:basedOn w:val="DefaultParagraphFont"/>
    <w:link w:val="FooterCoverPage"/>
    <w:rsid w:val="00670CD2"/>
    <w:rPr>
      <w:rFonts w:ascii="Times New Roman" w:hAnsi="Times New Roman" w:cs="Times New Roman"/>
      <w:color w:val="000000"/>
      <w:sz w:val="24"/>
      <w:szCs w:val="24"/>
      <w14:textFill>
        <w14:solidFill>
          <w14:srgbClr w14:val="000000">
            <w14:lumMod w14:val="75000"/>
          </w14:srgbClr>
        </w14:solidFill>
      </w14:textFill>
    </w:rPr>
  </w:style>
  <w:style w:type="paragraph" w:customStyle="1" w:styleId="FooterSensitivity">
    <w:name w:val="Footer Sensitivity"/>
    <w:basedOn w:val="Normal"/>
    <w:link w:val="FooterSensitivityChar"/>
    <w:rsid w:val="00670CD2"/>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670CD2"/>
    <w:rPr>
      <w:rFonts w:ascii="Times New Roman" w:hAnsi="Times New Roman" w:cs="Times New Roman"/>
      <w:b/>
      <w:color w:val="000000"/>
      <w:sz w:val="32"/>
      <w:szCs w:val="24"/>
      <w14:textFill>
        <w14:solidFill>
          <w14:srgbClr w14:val="000000">
            <w14:lumMod w14:val="75000"/>
          </w14:srgbClr>
        </w14:solidFill>
      </w14:textFill>
    </w:rPr>
  </w:style>
  <w:style w:type="paragraph" w:customStyle="1" w:styleId="HeaderCoverPage">
    <w:name w:val="Header Cover Page"/>
    <w:basedOn w:val="Normal"/>
    <w:link w:val="HeaderCoverPageChar"/>
    <w:rsid w:val="00670CD2"/>
    <w:pPr>
      <w:tabs>
        <w:tab w:val="center" w:pos="4535"/>
        <w:tab w:val="right" w:pos="9071"/>
      </w:tabs>
      <w:spacing w:after="120" w:line="240" w:lineRule="auto"/>
    </w:pPr>
    <w:rPr>
      <w:rFonts w:ascii="Times New Roman" w:hAnsi="Times New Roman" w:cs="Times New Roman"/>
    </w:rPr>
  </w:style>
  <w:style w:type="character" w:customStyle="1" w:styleId="HeaderCoverPageChar">
    <w:name w:val="Header Cover Page Char"/>
    <w:basedOn w:val="DefaultParagraphFont"/>
    <w:link w:val="HeaderCoverPage"/>
    <w:rsid w:val="00670CD2"/>
    <w:rPr>
      <w:rFonts w:ascii="Times New Roman" w:hAnsi="Times New Roman" w:cs="Times New Roman"/>
      <w:color w:val="000000"/>
      <w:sz w:val="24"/>
      <w:szCs w:val="24"/>
      <w14:textFill>
        <w14:solidFill>
          <w14:srgbClr w14:val="000000">
            <w14:lumMod w14:val="75000"/>
          </w14:srgbClr>
        </w14:solidFill>
      </w14:textFill>
    </w:rPr>
  </w:style>
  <w:style w:type="paragraph" w:customStyle="1" w:styleId="HeaderSensitivity">
    <w:name w:val="Header Sensitivity"/>
    <w:basedOn w:val="Normal"/>
    <w:link w:val="HeaderSensitivityChar"/>
    <w:rsid w:val="00670CD2"/>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670CD2"/>
    <w:rPr>
      <w:rFonts w:ascii="Times New Roman" w:hAnsi="Times New Roman" w:cs="Times New Roman"/>
      <w:b/>
      <w:color w:val="000000"/>
      <w:sz w:val="32"/>
      <w:szCs w:val="24"/>
      <w14:textFill>
        <w14:solidFill>
          <w14:srgbClr w14:val="000000">
            <w14:lumMod w14:val="75000"/>
          </w14:srgbClr>
        </w14:solidFill>
      </w14:textFill>
    </w:rPr>
  </w:style>
  <w:style w:type="paragraph" w:customStyle="1" w:styleId="HeaderSensitivityRight">
    <w:name w:val="Header Sensitivity Right"/>
    <w:basedOn w:val="Normal"/>
    <w:link w:val="HeaderSensitivityRightChar"/>
    <w:rsid w:val="00670CD2"/>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670CD2"/>
    <w:rPr>
      <w:rFonts w:ascii="Times New Roman" w:hAnsi="Times New Roman" w:cs="Times New Roman"/>
      <w:color w:val="000000"/>
      <w:sz w:val="28"/>
      <w:szCs w:val="24"/>
      <w14:textFill>
        <w14:solidFill>
          <w14:srgbClr w14:val="000000">
            <w14:lumMod w14:val="75000"/>
          </w14:srgbClr>
        </w14:solidFill>
      </w14:textFill>
    </w:rPr>
  </w:style>
  <w:style w:type="character" w:customStyle="1" w:styleId="normaltextrun">
    <w:name w:val="normaltextrun"/>
    <w:basedOn w:val="DefaultParagraphFont"/>
    <w:rsid w:val="00711D04"/>
  </w:style>
  <w:style w:type="paragraph" w:customStyle="1" w:styleId="paragraph">
    <w:name w:val="paragraph"/>
    <w:basedOn w:val="Normal"/>
    <w:rsid w:val="00E82967"/>
    <w:pPr>
      <w:spacing w:before="100" w:beforeAutospacing="1" w:after="100" w:afterAutospacing="1" w:line="240" w:lineRule="auto"/>
      <w:jc w:val="left"/>
    </w:pPr>
    <w:rPr>
      <w:rFonts w:ascii="Times New Roman" w:eastAsia="Times New Roman" w:hAnsi="Times New Roman" w:cs="Times New Roman"/>
      <w:lang w:eastAsia="en-IE"/>
    </w:rPr>
  </w:style>
  <w:style w:type="character" w:customStyle="1" w:styleId="ListParagraphChar">
    <w:name w:val="List Paragraph Char"/>
    <w:aliases w:val="Normal bullet 2 Char,Bullet list Char,1st level - Bullet List Paragraph Char,Lettre d'introduction Char,Paragrafo elenco Char,List Paragraph à moi Char,Paragraph Char,Bullet EY Char,List Paragraph11 Char,Normal bullet 21 Char,lp Char"/>
    <w:basedOn w:val="DefaultParagraphFont"/>
    <w:link w:val="ListParagraph"/>
    <w:uiPriority w:val="34"/>
    <w:qFormat/>
    <w:rsid w:val="00E82967"/>
    <w:rPr>
      <w:rFonts w:ascii="EC Square Sans Pro" w:hAnsi="EC Square Sans Pro"/>
      <w:color w:val="000000"/>
      <w:sz w:val="24"/>
      <w:szCs w:val="24"/>
      <w:lang w:val="lt-LT"/>
      <w14:textFill>
        <w14:solidFill>
          <w14:srgbClr w14:val="000000">
            <w14:lumMod w14:val="75000"/>
          </w14:srgbClr>
        </w14:solidFill>
      </w14:textFill>
    </w:rPr>
  </w:style>
  <w:style w:type="character" w:customStyle="1" w:styleId="eop">
    <w:name w:val="eop"/>
    <w:basedOn w:val="DefaultParagraphFont"/>
    <w:rsid w:val="00EC65C1"/>
  </w:style>
  <w:style w:type="character" w:customStyle="1" w:styleId="UnresolvedMention">
    <w:name w:val="Unresolved Mention"/>
    <w:basedOn w:val="DefaultParagraphFont"/>
    <w:uiPriority w:val="99"/>
    <w:semiHidden/>
    <w:unhideWhenUsed/>
    <w:rsid w:val="00A0714C"/>
    <w:rPr>
      <w:color w:val="605E5C"/>
      <w:shd w:val="clear" w:color="auto" w:fill="E1DFDD"/>
    </w:rPr>
  </w:style>
  <w:style w:type="character" w:customStyle="1" w:styleId="cf01">
    <w:name w:val="cf01"/>
    <w:basedOn w:val="DefaultParagraphFont"/>
    <w:rsid w:val="00A96F1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426">
      <w:bodyDiv w:val="1"/>
      <w:marLeft w:val="0"/>
      <w:marRight w:val="0"/>
      <w:marTop w:val="0"/>
      <w:marBottom w:val="0"/>
      <w:divBdr>
        <w:top w:val="none" w:sz="0" w:space="0" w:color="auto"/>
        <w:left w:val="none" w:sz="0" w:space="0" w:color="auto"/>
        <w:bottom w:val="none" w:sz="0" w:space="0" w:color="auto"/>
        <w:right w:val="none" w:sz="0" w:space="0" w:color="auto"/>
      </w:divBdr>
    </w:div>
    <w:div w:id="42798173">
      <w:bodyDiv w:val="1"/>
      <w:marLeft w:val="0"/>
      <w:marRight w:val="0"/>
      <w:marTop w:val="0"/>
      <w:marBottom w:val="0"/>
      <w:divBdr>
        <w:top w:val="none" w:sz="0" w:space="0" w:color="auto"/>
        <w:left w:val="none" w:sz="0" w:space="0" w:color="auto"/>
        <w:bottom w:val="none" w:sz="0" w:space="0" w:color="auto"/>
        <w:right w:val="none" w:sz="0" w:space="0" w:color="auto"/>
      </w:divBdr>
    </w:div>
    <w:div w:id="68507437">
      <w:bodyDiv w:val="1"/>
      <w:marLeft w:val="0"/>
      <w:marRight w:val="0"/>
      <w:marTop w:val="0"/>
      <w:marBottom w:val="0"/>
      <w:divBdr>
        <w:top w:val="none" w:sz="0" w:space="0" w:color="auto"/>
        <w:left w:val="none" w:sz="0" w:space="0" w:color="auto"/>
        <w:bottom w:val="none" w:sz="0" w:space="0" w:color="auto"/>
        <w:right w:val="none" w:sz="0" w:space="0" w:color="auto"/>
      </w:divBdr>
    </w:div>
    <w:div w:id="68550892">
      <w:bodyDiv w:val="1"/>
      <w:marLeft w:val="0"/>
      <w:marRight w:val="0"/>
      <w:marTop w:val="0"/>
      <w:marBottom w:val="0"/>
      <w:divBdr>
        <w:top w:val="none" w:sz="0" w:space="0" w:color="auto"/>
        <w:left w:val="none" w:sz="0" w:space="0" w:color="auto"/>
        <w:bottom w:val="none" w:sz="0" w:space="0" w:color="auto"/>
        <w:right w:val="none" w:sz="0" w:space="0" w:color="auto"/>
      </w:divBdr>
    </w:div>
    <w:div w:id="72431843">
      <w:bodyDiv w:val="1"/>
      <w:marLeft w:val="0"/>
      <w:marRight w:val="0"/>
      <w:marTop w:val="0"/>
      <w:marBottom w:val="0"/>
      <w:divBdr>
        <w:top w:val="none" w:sz="0" w:space="0" w:color="auto"/>
        <w:left w:val="none" w:sz="0" w:space="0" w:color="auto"/>
        <w:bottom w:val="none" w:sz="0" w:space="0" w:color="auto"/>
        <w:right w:val="none" w:sz="0" w:space="0" w:color="auto"/>
      </w:divBdr>
      <w:divsChild>
        <w:div w:id="174197047">
          <w:marLeft w:val="446"/>
          <w:marRight w:val="0"/>
          <w:marTop w:val="0"/>
          <w:marBottom w:val="0"/>
          <w:divBdr>
            <w:top w:val="none" w:sz="0" w:space="0" w:color="auto"/>
            <w:left w:val="none" w:sz="0" w:space="0" w:color="auto"/>
            <w:bottom w:val="none" w:sz="0" w:space="0" w:color="auto"/>
            <w:right w:val="none" w:sz="0" w:space="0" w:color="auto"/>
          </w:divBdr>
        </w:div>
      </w:divsChild>
    </w:div>
    <w:div w:id="75782630">
      <w:bodyDiv w:val="1"/>
      <w:marLeft w:val="0"/>
      <w:marRight w:val="0"/>
      <w:marTop w:val="0"/>
      <w:marBottom w:val="0"/>
      <w:divBdr>
        <w:top w:val="none" w:sz="0" w:space="0" w:color="auto"/>
        <w:left w:val="none" w:sz="0" w:space="0" w:color="auto"/>
        <w:bottom w:val="none" w:sz="0" w:space="0" w:color="auto"/>
        <w:right w:val="none" w:sz="0" w:space="0" w:color="auto"/>
      </w:divBdr>
    </w:div>
    <w:div w:id="93748375">
      <w:bodyDiv w:val="1"/>
      <w:marLeft w:val="0"/>
      <w:marRight w:val="0"/>
      <w:marTop w:val="0"/>
      <w:marBottom w:val="0"/>
      <w:divBdr>
        <w:top w:val="none" w:sz="0" w:space="0" w:color="auto"/>
        <w:left w:val="none" w:sz="0" w:space="0" w:color="auto"/>
        <w:bottom w:val="none" w:sz="0" w:space="0" w:color="auto"/>
        <w:right w:val="none" w:sz="0" w:space="0" w:color="auto"/>
      </w:divBdr>
    </w:div>
    <w:div w:id="120073683">
      <w:bodyDiv w:val="1"/>
      <w:marLeft w:val="0"/>
      <w:marRight w:val="0"/>
      <w:marTop w:val="0"/>
      <w:marBottom w:val="0"/>
      <w:divBdr>
        <w:top w:val="none" w:sz="0" w:space="0" w:color="auto"/>
        <w:left w:val="none" w:sz="0" w:space="0" w:color="auto"/>
        <w:bottom w:val="none" w:sz="0" w:space="0" w:color="auto"/>
        <w:right w:val="none" w:sz="0" w:space="0" w:color="auto"/>
      </w:divBdr>
    </w:div>
    <w:div w:id="142164445">
      <w:bodyDiv w:val="1"/>
      <w:marLeft w:val="0"/>
      <w:marRight w:val="0"/>
      <w:marTop w:val="0"/>
      <w:marBottom w:val="0"/>
      <w:divBdr>
        <w:top w:val="none" w:sz="0" w:space="0" w:color="auto"/>
        <w:left w:val="none" w:sz="0" w:space="0" w:color="auto"/>
        <w:bottom w:val="none" w:sz="0" w:space="0" w:color="auto"/>
        <w:right w:val="none" w:sz="0" w:space="0" w:color="auto"/>
      </w:divBdr>
    </w:div>
    <w:div w:id="204679796">
      <w:bodyDiv w:val="1"/>
      <w:marLeft w:val="0"/>
      <w:marRight w:val="0"/>
      <w:marTop w:val="0"/>
      <w:marBottom w:val="0"/>
      <w:divBdr>
        <w:top w:val="none" w:sz="0" w:space="0" w:color="auto"/>
        <w:left w:val="none" w:sz="0" w:space="0" w:color="auto"/>
        <w:bottom w:val="none" w:sz="0" w:space="0" w:color="auto"/>
        <w:right w:val="none" w:sz="0" w:space="0" w:color="auto"/>
      </w:divBdr>
    </w:div>
    <w:div w:id="208805595">
      <w:bodyDiv w:val="1"/>
      <w:marLeft w:val="0"/>
      <w:marRight w:val="0"/>
      <w:marTop w:val="0"/>
      <w:marBottom w:val="0"/>
      <w:divBdr>
        <w:top w:val="none" w:sz="0" w:space="0" w:color="auto"/>
        <w:left w:val="none" w:sz="0" w:space="0" w:color="auto"/>
        <w:bottom w:val="none" w:sz="0" w:space="0" w:color="auto"/>
        <w:right w:val="none" w:sz="0" w:space="0" w:color="auto"/>
      </w:divBdr>
    </w:div>
    <w:div w:id="262805443">
      <w:bodyDiv w:val="1"/>
      <w:marLeft w:val="0"/>
      <w:marRight w:val="0"/>
      <w:marTop w:val="0"/>
      <w:marBottom w:val="0"/>
      <w:divBdr>
        <w:top w:val="none" w:sz="0" w:space="0" w:color="auto"/>
        <w:left w:val="none" w:sz="0" w:space="0" w:color="auto"/>
        <w:bottom w:val="none" w:sz="0" w:space="0" w:color="auto"/>
        <w:right w:val="none" w:sz="0" w:space="0" w:color="auto"/>
      </w:divBdr>
    </w:div>
    <w:div w:id="304432243">
      <w:bodyDiv w:val="1"/>
      <w:marLeft w:val="0"/>
      <w:marRight w:val="0"/>
      <w:marTop w:val="0"/>
      <w:marBottom w:val="0"/>
      <w:divBdr>
        <w:top w:val="none" w:sz="0" w:space="0" w:color="auto"/>
        <w:left w:val="none" w:sz="0" w:space="0" w:color="auto"/>
        <w:bottom w:val="none" w:sz="0" w:space="0" w:color="auto"/>
        <w:right w:val="none" w:sz="0" w:space="0" w:color="auto"/>
      </w:divBdr>
      <w:divsChild>
        <w:div w:id="188105863">
          <w:marLeft w:val="0"/>
          <w:marRight w:val="0"/>
          <w:marTop w:val="0"/>
          <w:marBottom w:val="0"/>
          <w:divBdr>
            <w:top w:val="none" w:sz="0" w:space="0" w:color="auto"/>
            <w:left w:val="none" w:sz="0" w:space="0" w:color="auto"/>
            <w:bottom w:val="none" w:sz="0" w:space="0" w:color="auto"/>
            <w:right w:val="none" w:sz="0" w:space="0" w:color="auto"/>
          </w:divBdr>
        </w:div>
        <w:div w:id="1072504692">
          <w:marLeft w:val="0"/>
          <w:marRight w:val="0"/>
          <w:marTop w:val="0"/>
          <w:marBottom w:val="0"/>
          <w:divBdr>
            <w:top w:val="none" w:sz="0" w:space="0" w:color="auto"/>
            <w:left w:val="none" w:sz="0" w:space="0" w:color="auto"/>
            <w:bottom w:val="none" w:sz="0" w:space="0" w:color="auto"/>
            <w:right w:val="none" w:sz="0" w:space="0" w:color="auto"/>
          </w:divBdr>
        </w:div>
        <w:div w:id="1162041017">
          <w:marLeft w:val="0"/>
          <w:marRight w:val="0"/>
          <w:marTop w:val="0"/>
          <w:marBottom w:val="0"/>
          <w:divBdr>
            <w:top w:val="none" w:sz="0" w:space="0" w:color="auto"/>
            <w:left w:val="none" w:sz="0" w:space="0" w:color="auto"/>
            <w:bottom w:val="none" w:sz="0" w:space="0" w:color="auto"/>
            <w:right w:val="none" w:sz="0" w:space="0" w:color="auto"/>
          </w:divBdr>
        </w:div>
      </w:divsChild>
    </w:div>
    <w:div w:id="402534913">
      <w:bodyDiv w:val="1"/>
      <w:marLeft w:val="0"/>
      <w:marRight w:val="0"/>
      <w:marTop w:val="0"/>
      <w:marBottom w:val="0"/>
      <w:divBdr>
        <w:top w:val="none" w:sz="0" w:space="0" w:color="auto"/>
        <w:left w:val="none" w:sz="0" w:space="0" w:color="auto"/>
        <w:bottom w:val="none" w:sz="0" w:space="0" w:color="auto"/>
        <w:right w:val="none" w:sz="0" w:space="0" w:color="auto"/>
      </w:divBdr>
    </w:div>
    <w:div w:id="471675371">
      <w:bodyDiv w:val="1"/>
      <w:marLeft w:val="0"/>
      <w:marRight w:val="0"/>
      <w:marTop w:val="0"/>
      <w:marBottom w:val="0"/>
      <w:divBdr>
        <w:top w:val="none" w:sz="0" w:space="0" w:color="auto"/>
        <w:left w:val="none" w:sz="0" w:space="0" w:color="auto"/>
        <w:bottom w:val="none" w:sz="0" w:space="0" w:color="auto"/>
        <w:right w:val="none" w:sz="0" w:space="0" w:color="auto"/>
      </w:divBdr>
    </w:div>
    <w:div w:id="472019178">
      <w:bodyDiv w:val="1"/>
      <w:marLeft w:val="0"/>
      <w:marRight w:val="0"/>
      <w:marTop w:val="0"/>
      <w:marBottom w:val="0"/>
      <w:divBdr>
        <w:top w:val="none" w:sz="0" w:space="0" w:color="auto"/>
        <w:left w:val="none" w:sz="0" w:space="0" w:color="auto"/>
        <w:bottom w:val="none" w:sz="0" w:space="0" w:color="auto"/>
        <w:right w:val="none" w:sz="0" w:space="0" w:color="auto"/>
      </w:divBdr>
    </w:div>
    <w:div w:id="473721739">
      <w:bodyDiv w:val="1"/>
      <w:marLeft w:val="0"/>
      <w:marRight w:val="0"/>
      <w:marTop w:val="0"/>
      <w:marBottom w:val="0"/>
      <w:divBdr>
        <w:top w:val="none" w:sz="0" w:space="0" w:color="auto"/>
        <w:left w:val="none" w:sz="0" w:space="0" w:color="auto"/>
        <w:bottom w:val="none" w:sz="0" w:space="0" w:color="auto"/>
        <w:right w:val="none" w:sz="0" w:space="0" w:color="auto"/>
      </w:divBdr>
      <w:divsChild>
        <w:div w:id="976449594">
          <w:marLeft w:val="0"/>
          <w:marRight w:val="0"/>
          <w:marTop w:val="0"/>
          <w:marBottom w:val="0"/>
          <w:divBdr>
            <w:top w:val="none" w:sz="0" w:space="0" w:color="auto"/>
            <w:left w:val="none" w:sz="0" w:space="0" w:color="auto"/>
            <w:bottom w:val="none" w:sz="0" w:space="0" w:color="auto"/>
            <w:right w:val="none" w:sz="0" w:space="0" w:color="auto"/>
          </w:divBdr>
          <w:divsChild>
            <w:div w:id="1058438196">
              <w:marLeft w:val="0"/>
              <w:marRight w:val="0"/>
              <w:marTop w:val="0"/>
              <w:marBottom w:val="0"/>
              <w:divBdr>
                <w:top w:val="none" w:sz="0" w:space="0" w:color="auto"/>
                <w:left w:val="none" w:sz="0" w:space="0" w:color="auto"/>
                <w:bottom w:val="none" w:sz="0" w:space="0" w:color="auto"/>
                <w:right w:val="none" w:sz="0" w:space="0" w:color="auto"/>
              </w:divBdr>
              <w:divsChild>
                <w:div w:id="633213401">
                  <w:marLeft w:val="0"/>
                  <w:marRight w:val="0"/>
                  <w:marTop w:val="0"/>
                  <w:marBottom w:val="0"/>
                  <w:divBdr>
                    <w:top w:val="none" w:sz="0" w:space="0" w:color="auto"/>
                    <w:left w:val="none" w:sz="0" w:space="0" w:color="auto"/>
                    <w:bottom w:val="none" w:sz="0" w:space="0" w:color="auto"/>
                    <w:right w:val="none" w:sz="0" w:space="0" w:color="auto"/>
                  </w:divBdr>
                </w:div>
                <w:div w:id="1369992141">
                  <w:marLeft w:val="0"/>
                  <w:marRight w:val="0"/>
                  <w:marTop w:val="0"/>
                  <w:marBottom w:val="0"/>
                  <w:divBdr>
                    <w:top w:val="none" w:sz="0" w:space="0" w:color="auto"/>
                    <w:left w:val="none" w:sz="0" w:space="0" w:color="auto"/>
                    <w:bottom w:val="none" w:sz="0" w:space="0" w:color="auto"/>
                    <w:right w:val="none" w:sz="0" w:space="0" w:color="auto"/>
                  </w:divBdr>
                </w:div>
                <w:div w:id="1446656382">
                  <w:marLeft w:val="0"/>
                  <w:marRight w:val="0"/>
                  <w:marTop w:val="0"/>
                  <w:marBottom w:val="0"/>
                  <w:divBdr>
                    <w:top w:val="none" w:sz="0" w:space="0" w:color="auto"/>
                    <w:left w:val="none" w:sz="0" w:space="0" w:color="auto"/>
                    <w:bottom w:val="none" w:sz="0" w:space="0" w:color="auto"/>
                    <w:right w:val="none" w:sz="0" w:space="0" w:color="auto"/>
                  </w:divBdr>
                </w:div>
                <w:div w:id="1485465867">
                  <w:marLeft w:val="0"/>
                  <w:marRight w:val="0"/>
                  <w:marTop w:val="0"/>
                  <w:marBottom w:val="0"/>
                  <w:divBdr>
                    <w:top w:val="none" w:sz="0" w:space="0" w:color="auto"/>
                    <w:left w:val="none" w:sz="0" w:space="0" w:color="auto"/>
                    <w:bottom w:val="none" w:sz="0" w:space="0" w:color="auto"/>
                    <w:right w:val="none" w:sz="0" w:space="0" w:color="auto"/>
                  </w:divBdr>
                </w:div>
                <w:div w:id="1692609107">
                  <w:marLeft w:val="0"/>
                  <w:marRight w:val="0"/>
                  <w:marTop w:val="0"/>
                  <w:marBottom w:val="0"/>
                  <w:divBdr>
                    <w:top w:val="none" w:sz="0" w:space="0" w:color="auto"/>
                    <w:left w:val="none" w:sz="0" w:space="0" w:color="auto"/>
                    <w:bottom w:val="none" w:sz="0" w:space="0" w:color="auto"/>
                    <w:right w:val="none" w:sz="0" w:space="0" w:color="auto"/>
                  </w:divBdr>
                </w:div>
                <w:div w:id="1911236083">
                  <w:marLeft w:val="0"/>
                  <w:marRight w:val="0"/>
                  <w:marTop w:val="0"/>
                  <w:marBottom w:val="0"/>
                  <w:divBdr>
                    <w:top w:val="none" w:sz="0" w:space="0" w:color="auto"/>
                    <w:left w:val="none" w:sz="0" w:space="0" w:color="auto"/>
                    <w:bottom w:val="none" w:sz="0" w:space="0" w:color="auto"/>
                    <w:right w:val="none" w:sz="0" w:space="0" w:color="auto"/>
                  </w:divBdr>
                </w:div>
                <w:div w:id="1932279692">
                  <w:marLeft w:val="0"/>
                  <w:marRight w:val="0"/>
                  <w:marTop w:val="0"/>
                  <w:marBottom w:val="0"/>
                  <w:divBdr>
                    <w:top w:val="none" w:sz="0" w:space="0" w:color="auto"/>
                    <w:left w:val="none" w:sz="0" w:space="0" w:color="auto"/>
                    <w:bottom w:val="none" w:sz="0" w:space="0" w:color="auto"/>
                    <w:right w:val="none" w:sz="0" w:space="0" w:color="auto"/>
                  </w:divBdr>
                </w:div>
              </w:divsChild>
            </w:div>
            <w:div w:id="1795517416">
              <w:marLeft w:val="0"/>
              <w:marRight w:val="0"/>
              <w:marTop w:val="0"/>
              <w:marBottom w:val="0"/>
              <w:divBdr>
                <w:top w:val="none" w:sz="0" w:space="0" w:color="auto"/>
                <w:left w:val="none" w:sz="0" w:space="0" w:color="auto"/>
                <w:bottom w:val="none" w:sz="0" w:space="0" w:color="auto"/>
                <w:right w:val="none" w:sz="0" w:space="0" w:color="auto"/>
              </w:divBdr>
              <w:divsChild>
                <w:div w:id="1147891180">
                  <w:marLeft w:val="0"/>
                  <w:marRight w:val="0"/>
                  <w:marTop w:val="0"/>
                  <w:marBottom w:val="0"/>
                  <w:divBdr>
                    <w:top w:val="none" w:sz="0" w:space="0" w:color="auto"/>
                    <w:left w:val="none" w:sz="0" w:space="0" w:color="auto"/>
                    <w:bottom w:val="none" w:sz="0" w:space="0" w:color="auto"/>
                    <w:right w:val="none" w:sz="0" w:space="0" w:color="auto"/>
                  </w:divBdr>
                </w:div>
                <w:div w:id="1215965129">
                  <w:marLeft w:val="0"/>
                  <w:marRight w:val="0"/>
                  <w:marTop w:val="0"/>
                  <w:marBottom w:val="0"/>
                  <w:divBdr>
                    <w:top w:val="none" w:sz="0" w:space="0" w:color="auto"/>
                    <w:left w:val="none" w:sz="0" w:space="0" w:color="auto"/>
                    <w:bottom w:val="none" w:sz="0" w:space="0" w:color="auto"/>
                    <w:right w:val="none" w:sz="0" w:space="0" w:color="auto"/>
                  </w:divBdr>
                </w:div>
                <w:div w:id="1355381145">
                  <w:marLeft w:val="0"/>
                  <w:marRight w:val="0"/>
                  <w:marTop w:val="0"/>
                  <w:marBottom w:val="0"/>
                  <w:divBdr>
                    <w:top w:val="none" w:sz="0" w:space="0" w:color="auto"/>
                    <w:left w:val="none" w:sz="0" w:space="0" w:color="auto"/>
                    <w:bottom w:val="none" w:sz="0" w:space="0" w:color="auto"/>
                    <w:right w:val="none" w:sz="0" w:space="0" w:color="auto"/>
                  </w:divBdr>
                </w:div>
                <w:div w:id="1393965523">
                  <w:marLeft w:val="0"/>
                  <w:marRight w:val="0"/>
                  <w:marTop w:val="0"/>
                  <w:marBottom w:val="0"/>
                  <w:divBdr>
                    <w:top w:val="none" w:sz="0" w:space="0" w:color="auto"/>
                    <w:left w:val="none" w:sz="0" w:space="0" w:color="auto"/>
                    <w:bottom w:val="none" w:sz="0" w:space="0" w:color="auto"/>
                    <w:right w:val="none" w:sz="0" w:space="0" w:color="auto"/>
                  </w:divBdr>
                </w:div>
                <w:div w:id="18145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0056">
      <w:bodyDiv w:val="1"/>
      <w:marLeft w:val="0"/>
      <w:marRight w:val="0"/>
      <w:marTop w:val="0"/>
      <w:marBottom w:val="0"/>
      <w:divBdr>
        <w:top w:val="none" w:sz="0" w:space="0" w:color="auto"/>
        <w:left w:val="none" w:sz="0" w:space="0" w:color="auto"/>
        <w:bottom w:val="none" w:sz="0" w:space="0" w:color="auto"/>
        <w:right w:val="none" w:sz="0" w:space="0" w:color="auto"/>
      </w:divBdr>
    </w:div>
    <w:div w:id="475732019">
      <w:bodyDiv w:val="1"/>
      <w:marLeft w:val="0"/>
      <w:marRight w:val="0"/>
      <w:marTop w:val="0"/>
      <w:marBottom w:val="0"/>
      <w:divBdr>
        <w:top w:val="none" w:sz="0" w:space="0" w:color="auto"/>
        <w:left w:val="none" w:sz="0" w:space="0" w:color="auto"/>
        <w:bottom w:val="none" w:sz="0" w:space="0" w:color="auto"/>
        <w:right w:val="none" w:sz="0" w:space="0" w:color="auto"/>
      </w:divBdr>
    </w:div>
    <w:div w:id="551161202">
      <w:bodyDiv w:val="1"/>
      <w:marLeft w:val="0"/>
      <w:marRight w:val="0"/>
      <w:marTop w:val="0"/>
      <w:marBottom w:val="0"/>
      <w:divBdr>
        <w:top w:val="none" w:sz="0" w:space="0" w:color="auto"/>
        <w:left w:val="none" w:sz="0" w:space="0" w:color="auto"/>
        <w:bottom w:val="none" w:sz="0" w:space="0" w:color="auto"/>
        <w:right w:val="none" w:sz="0" w:space="0" w:color="auto"/>
      </w:divBdr>
    </w:div>
    <w:div w:id="583689110">
      <w:bodyDiv w:val="1"/>
      <w:marLeft w:val="0"/>
      <w:marRight w:val="0"/>
      <w:marTop w:val="0"/>
      <w:marBottom w:val="0"/>
      <w:divBdr>
        <w:top w:val="none" w:sz="0" w:space="0" w:color="auto"/>
        <w:left w:val="none" w:sz="0" w:space="0" w:color="auto"/>
        <w:bottom w:val="none" w:sz="0" w:space="0" w:color="auto"/>
        <w:right w:val="none" w:sz="0" w:space="0" w:color="auto"/>
      </w:divBdr>
    </w:div>
    <w:div w:id="594364876">
      <w:bodyDiv w:val="1"/>
      <w:marLeft w:val="0"/>
      <w:marRight w:val="0"/>
      <w:marTop w:val="0"/>
      <w:marBottom w:val="0"/>
      <w:divBdr>
        <w:top w:val="none" w:sz="0" w:space="0" w:color="auto"/>
        <w:left w:val="none" w:sz="0" w:space="0" w:color="auto"/>
        <w:bottom w:val="none" w:sz="0" w:space="0" w:color="auto"/>
        <w:right w:val="none" w:sz="0" w:space="0" w:color="auto"/>
      </w:divBdr>
    </w:div>
    <w:div w:id="614825320">
      <w:bodyDiv w:val="1"/>
      <w:marLeft w:val="0"/>
      <w:marRight w:val="0"/>
      <w:marTop w:val="0"/>
      <w:marBottom w:val="0"/>
      <w:divBdr>
        <w:top w:val="none" w:sz="0" w:space="0" w:color="auto"/>
        <w:left w:val="none" w:sz="0" w:space="0" w:color="auto"/>
        <w:bottom w:val="none" w:sz="0" w:space="0" w:color="auto"/>
        <w:right w:val="none" w:sz="0" w:space="0" w:color="auto"/>
      </w:divBdr>
    </w:div>
    <w:div w:id="632950422">
      <w:bodyDiv w:val="1"/>
      <w:marLeft w:val="0"/>
      <w:marRight w:val="0"/>
      <w:marTop w:val="0"/>
      <w:marBottom w:val="0"/>
      <w:divBdr>
        <w:top w:val="none" w:sz="0" w:space="0" w:color="auto"/>
        <w:left w:val="none" w:sz="0" w:space="0" w:color="auto"/>
        <w:bottom w:val="none" w:sz="0" w:space="0" w:color="auto"/>
        <w:right w:val="none" w:sz="0" w:space="0" w:color="auto"/>
      </w:divBdr>
    </w:div>
    <w:div w:id="645742732">
      <w:bodyDiv w:val="1"/>
      <w:marLeft w:val="0"/>
      <w:marRight w:val="0"/>
      <w:marTop w:val="0"/>
      <w:marBottom w:val="0"/>
      <w:divBdr>
        <w:top w:val="none" w:sz="0" w:space="0" w:color="auto"/>
        <w:left w:val="none" w:sz="0" w:space="0" w:color="auto"/>
        <w:bottom w:val="none" w:sz="0" w:space="0" w:color="auto"/>
        <w:right w:val="none" w:sz="0" w:space="0" w:color="auto"/>
      </w:divBdr>
    </w:div>
    <w:div w:id="670837194">
      <w:bodyDiv w:val="1"/>
      <w:marLeft w:val="0"/>
      <w:marRight w:val="0"/>
      <w:marTop w:val="0"/>
      <w:marBottom w:val="0"/>
      <w:divBdr>
        <w:top w:val="none" w:sz="0" w:space="0" w:color="auto"/>
        <w:left w:val="none" w:sz="0" w:space="0" w:color="auto"/>
        <w:bottom w:val="none" w:sz="0" w:space="0" w:color="auto"/>
        <w:right w:val="none" w:sz="0" w:space="0" w:color="auto"/>
      </w:divBdr>
    </w:div>
    <w:div w:id="677318463">
      <w:bodyDiv w:val="1"/>
      <w:marLeft w:val="0"/>
      <w:marRight w:val="0"/>
      <w:marTop w:val="0"/>
      <w:marBottom w:val="0"/>
      <w:divBdr>
        <w:top w:val="none" w:sz="0" w:space="0" w:color="auto"/>
        <w:left w:val="none" w:sz="0" w:space="0" w:color="auto"/>
        <w:bottom w:val="none" w:sz="0" w:space="0" w:color="auto"/>
        <w:right w:val="none" w:sz="0" w:space="0" w:color="auto"/>
      </w:divBdr>
    </w:div>
    <w:div w:id="692727607">
      <w:bodyDiv w:val="1"/>
      <w:marLeft w:val="0"/>
      <w:marRight w:val="0"/>
      <w:marTop w:val="0"/>
      <w:marBottom w:val="0"/>
      <w:divBdr>
        <w:top w:val="none" w:sz="0" w:space="0" w:color="auto"/>
        <w:left w:val="none" w:sz="0" w:space="0" w:color="auto"/>
        <w:bottom w:val="none" w:sz="0" w:space="0" w:color="auto"/>
        <w:right w:val="none" w:sz="0" w:space="0" w:color="auto"/>
      </w:divBdr>
    </w:div>
    <w:div w:id="699354852">
      <w:bodyDiv w:val="1"/>
      <w:marLeft w:val="0"/>
      <w:marRight w:val="0"/>
      <w:marTop w:val="0"/>
      <w:marBottom w:val="0"/>
      <w:divBdr>
        <w:top w:val="none" w:sz="0" w:space="0" w:color="auto"/>
        <w:left w:val="none" w:sz="0" w:space="0" w:color="auto"/>
        <w:bottom w:val="none" w:sz="0" w:space="0" w:color="auto"/>
        <w:right w:val="none" w:sz="0" w:space="0" w:color="auto"/>
      </w:divBdr>
    </w:div>
    <w:div w:id="705300401">
      <w:bodyDiv w:val="1"/>
      <w:marLeft w:val="0"/>
      <w:marRight w:val="0"/>
      <w:marTop w:val="0"/>
      <w:marBottom w:val="0"/>
      <w:divBdr>
        <w:top w:val="none" w:sz="0" w:space="0" w:color="auto"/>
        <w:left w:val="none" w:sz="0" w:space="0" w:color="auto"/>
        <w:bottom w:val="none" w:sz="0" w:space="0" w:color="auto"/>
        <w:right w:val="none" w:sz="0" w:space="0" w:color="auto"/>
      </w:divBdr>
    </w:div>
    <w:div w:id="742484124">
      <w:bodyDiv w:val="1"/>
      <w:marLeft w:val="0"/>
      <w:marRight w:val="0"/>
      <w:marTop w:val="0"/>
      <w:marBottom w:val="0"/>
      <w:divBdr>
        <w:top w:val="none" w:sz="0" w:space="0" w:color="auto"/>
        <w:left w:val="none" w:sz="0" w:space="0" w:color="auto"/>
        <w:bottom w:val="none" w:sz="0" w:space="0" w:color="auto"/>
        <w:right w:val="none" w:sz="0" w:space="0" w:color="auto"/>
      </w:divBdr>
    </w:div>
    <w:div w:id="755982927">
      <w:bodyDiv w:val="1"/>
      <w:marLeft w:val="0"/>
      <w:marRight w:val="0"/>
      <w:marTop w:val="0"/>
      <w:marBottom w:val="0"/>
      <w:divBdr>
        <w:top w:val="none" w:sz="0" w:space="0" w:color="auto"/>
        <w:left w:val="none" w:sz="0" w:space="0" w:color="auto"/>
        <w:bottom w:val="none" w:sz="0" w:space="0" w:color="auto"/>
        <w:right w:val="none" w:sz="0" w:space="0" w:color="auto"/>
      </w:divBdr>
    </w:div>
    <w:div w:id="812916695">
      <w:bodyDiv w:val="1"/>
      <w:marLeft w:val="0"/>
      <w:marRight w:val="0"/>
      <w:marTop w:val="0"/>
      <w:marBottom w:val="0"/>
      <w:divBdr>
        <w:top w:val="none" w:sz="0" w:space="0" w:color="auto"/>
        <w:left w:val="none" w:sz="0" w:space="0" w:color="auto"/>
        <w:bottom w:val="none" w:sz="0" w:space="0" w:color="auto"/>
        <w:right w:val="none" w:sz="0" w:space="0" w:color="auto"/>
      </w:divBdr>
    </w:div>
    <w:div w:id="817654442">
      <w:bodyDiv w:val="1"/>
      <w:marLeft w:val="0"/>
      <w:marRight w:val="0"/>
      <w:marTop w:val="0"/>
      <w:marBottom w:val="0"/>
      <w:divBdr>
        <w:top w:val="none" w:sz="0" w:space="0" w:color="auto"/>
        <w:left w:val="none" w:sz="0" w:space="0" w:color="auto"/>
        <w:bottom w:val="none" w:sz="0" w:space="0" w:color="auto"/>
        <w:right w:val="none" w:sz="0" w:space="0" w:color="auto"/>
      </w:divBdr>
    </w:div>
    <w:div w:id="834733830">
      <w:bodyDiv w:val="1"/>
      <w:marLeft w:val="0"/>
      <w:marRight w:val="0"/>
      <w:marTop w:val="0"/>
      <w:marBottom w:val="0"/>
      <w:divBdr>
        <w:top w:val="none" w:sz="0" w:space="0" w:color="auto"/>
        <w:left w:val="none" w:sz="0" w:space="0" w:color="auto"/>
        <w:bottom w:val="none" w:sz="0" w:space="0" w:color="auto"/>
        <w:right w:val="none" w:sz="0" w:space="0" w:color="auto"/>
      </w:divBdr>
    </w:div>
    <w:div w:id="835267194">
      <w:bodyDiv w:val="1"/>
      <w:marLeft w:val="0"/>
      <w:marRight w:val="0"/>
      <w:marTop w:val="0"/>
      <w:marBottom w:val="0"/>
      <w:divBdr>
        <w:top w:val="none" w:sz="0" w:space="0" w:color="auto"/>
        <w:left w:val="none" w:sz="0" w:space="0" w:color="auto"/>
        <w:bottom w:val="none" w:sz="0" w:space="0" w:color="auto"/>
        <w:right w:val="none" w:sz="0" w:space="0" w:color="auto"/>
      </w:divBdr>
    </w:div>
    <w:div w:id="848063668">
      <w:bodyDiv w:val="1"/>
      <w:marLeft w:val="0"/>
      <w:marRight w:val="0"/>
      <w:marTop w:val="0"/>
      <w:marBottom w:val="0"/>
      <w:divBdr>
        <w:top w:val="none" w:sz="0" w:space="0" w:color="auto"/>
        <w:left w:val="none" w:sz="0" w:space="0" w:color="auto"/>
        <w:bottom w:val="none" w:sz="0" w:space="0" w:color="auto"/>
        <w:right w:val="none" w:sz="0" w:space="0" w:color="auto"/>
      </w:divBdr>
    </w:div>
    <w:div w:id="853962924">
      <w:bodyDiv w:val="1"/>
      <w:marLeft w:val="0"/>
      <w:marRight w:val="0"/>
      <w:marTop w:val="0"/>
      <w:marBottom w:val="0"/>
      <w:divBdr>
        <w:top w:val="none" w:sz="0" w:space="0" w:color="auto"/>
        <w:left w:val="none" w:sz="0" w:space="0" w:color="auto"/>
        <w:bottom w:val="none" w:sz="0" w:space="0" w:color="auto"/>
        <w:right w:val="none" w:sz="0" w:space="0" w:color="auto"/>
      </w:divBdr>
    </w:div>
    <w:div w:id="875048374">
      <w:bodyDiv w:val="1"/>
      <w:marLeft w:val="0"/>
      <w:marRight w:val="0"/>
      <w:marTop w:val="0"/>
      <w:marBottom w:val="0"/>
      <w:divBdr>
        <w:top w:val="none" w:sz="0" w:space="0" w:color="auto"/>
        <w:left w:val="none" w:sz="0" w:space="0" w:color="auto"/>
        <w:bottom w:val="none" w:sz="0" w:space="0" w:color="auto"/>
        <w:right w:val="none" w:sz="0" w:space="0" w:color="auto"/>
      </w:divBdr>
      <w:divsChild>
        <w:div w:id="785272091">
          <w:marLeft w:val="0"/>
          <w:marRight w:val="0"/>
          <w:marTop w:val="0"/>
          <w:marBottom w:val="0"/>
          <w:divBdr>
            <w:top w:val="none" w:sz="0" w:space="0" w:color="auto"/>
            <w:left w:val="none" w:sz="0" w:space="0" w:color="auto"/>
            <w:bottom w:val="none" w:sz="0" w:space="0" w:color="auto"/>
            <w:right w:val="none" w:sz="0" w:space="0" w:color="auto"/>
          </w:divBdr>
        </w:div>
      </w:divsChild>
    </w:div>
    <w:div w:id="883367032">
      <w:bodyDiv w:val="1"/>
      <w:marLeft w:val="0"/>
      <w:marRight w:val="0"/>
      <w:marTop w:val="0"/>
      <w:marBottom w:val="0"/>
      <w:divBdr>
        <w:top w:val="none" w:sz="0" w:space="0" w:color="auto"/>
        <w:left w:val="none" w:sz="0" w:space="0" w:color="auto"/>
        <w:bottom w:val="none" w:sz="0" w:space="0" w:color="auto"/>
        <w:right w:val="none" w:sz="0" w:space="0" w:color="auto"/>
      </w:divBdr>
      <w:divsChild>
        <w:div w:id="336005916">
          <w:marLeft w:val="547"/>
          <w:marRight w:val="0"/>
          <w:marTop w:val="0"/>
          <w:marBottom w:val="0"/>
          <w:divBdr>
            <w:top w:val="none" w:sz="0" w:space="0" w:color="auto"/>
            <w:left w:val="none" w:sz="0" w:space="0" w:color="auto"/>
            <w:bottom w:val="none" w:sz="0" w:space="0" w:color="auto"/>
            <w:right w:val="none" w:sz="0" w:space="0" w:color="auto"/>
          </w:divBdr>
        </w:div>
      </w:divsChild>
    </w:div>
    <w:div w:id="887185795">
      <w:bodyDiv w:val="1"/>
      <w:marLeft w:val="0"/>
      <w:marRight w:val="0"/>
      <w:marTop w:val="0"/>
      <w:marBottom w:val="0"/>
      <w:divBdr>
        <w:top w:val="none" w:sz="0" w:space="0" w:color="auto"/>
        <w:left w:val="none" w:sz="0" w:space="0" w:color="auto"/>
        <w:bottom w:val="none" w:sz="0" w:space="0" w:color="auto"/>
        <w:right w:val="none" w:sz="0" w:space="0" w:color="auto"/>
      </w:divBdr>
    </w:div>
    <w:div w:id="919023266">
      <w:bodyDiv w:val="1"/>
      <w:marLeft w:val="0"/>
      <w:marRight w:val="0"/>
      <w:marTop w:val="0"/>
      <w:marBottom w:val="0"/>
      <w:divBdr>
        <w:top w:val="none" w:sz="0" w:space="0" w:color="auto"/>
        <w:left w:val="none" w:sz="0" w:space="0" w:color="auto"/>
        <w:bottom w:val="none" w:sz="0" w:space="0" w:color="auto"/>
        <w:right w:val="none" w:sz="0" w:space="0" w:color="auto"/>
      </w:divBdr>
    </w:div>
    <w:div w:id="922566852">
      <w:bodyDiv w:val="1"/>
      <w:marLeft w:val="0"/>
      <w:marRight w:val="0"/>
      <w:marTop w:val="0"/>
      <w:marBottom w:val="0"/>
      <w:divBdr>
        <w:top w:val="none" w:sz="0" w:space="0" w:color="auto"/>
        <w:left w:val="none" w:sz="0" w:space="0" w:color="auto"/>
        <w:bottom w:val="none" w:sz="0" w:space="0" w:color="auto"/>
        <w:right w:val="none" w:sz="0" w:space="0" w:color="auto"/>
      </w:divBdr>
    </w:div>
    <w:div w:id="924143335">
      <w:bodyDiv w:val="1"/>
      <w:marLeft w:val="0"/>
      <w:marRight w:val="0"/>
      <w:marTop w:val="0"/>
      <w:marBottom w:val="0"/>
      <w:divBdr>
        <w:top w:val="none" w:sz="0" w:space="0" w:color="auto"/>
        <w:left w:val="none" w:sz="0" w:space="0" w:color="auto"/>
        <w:bottom w:val="none" w:sz="0" w:space="0" w:color="auto"/>
        <w:right w:val="none" w:sz="0" w:space="0" w:color="auto"/>
      </w:divBdr>
    </w:div>
    <w:div w:id="930044296">
      <w:bodyDiv w:val="1"/>
      <w:marLeft w:val="0"/>
      <w:marRight w:val="0"/>
      <w:marTop w:val="0"/>
      <w:marBottom w:val="0"/>
      <w:divBdr>
        <w:top w:val="none" w:sz="0" w:space="0" w:color="auto"/>
        <w:left w:val="none" w:sz="0" w:space="0" w:color="auto"/>
        <w:bottom w:val="none" w:sz="0" w:space="0" w:color="auto"/>
        <w:right w:val="none" w:sz="0" w:space="0" w:color="auto"/>
      </w:divBdr>
      <w:divsChild>
        <w:div w:id="1030031085">
          <w:marLeft w:val="0"/>
          <w:marRight w:val="0"/>
          <w:marTop w:val="0"/>
          <w:marBottom w:val="0"/>
          <w:divBdr>
            <w:top w:val="none" w:sz="0" w:space="0" w:color="auto"/>
            <w:left w:val="none" w:sz="0" w:space="0" w:color="auto"/>
            <w:bottom w:val="none" w:sz="0" w:space="0" w:color="auto"/>
            <w:right w:val="none" w:sz="0" w:space="0" w:color="auto"/>
          </w:divBdr>
        </w:div>
      </w:divsChild>
    </w:div>
    <w:div w:id="944968558">
      <w:bodyDiv w:val="1"/>
      <w:marLeft w:val="0"/>
      <w:marRight w:val="0"/>
      <w:marTop w:val="0"/>
      <w:marBottom w:val="0"/>
      <w:divBdr>
        <w:top w:val="none" w:sz="0" w:space="0" w:color="auto"/>
        <w:left w:val="none" w:sz="0" w:space="0" w:color="auto"/>
        <w:bottom w:val="none" w:sz="0" w:space="0" w:color="auto"/>
        <w:right w:val="none" w:sz="0" w:space="0" w:color="auto"/>
      </w:divBdr>
    </w:div>
    <w:div w:id="1000423899">
      <w:bodyDiv w:val="1"/>
      <w:marLeft w:val="0"/>
      <w:marRight w:val="0"/>
      <w:marTop w:val="0"/>
      <w:marBottom w:val="0"/>
      <w:divBdr>
        <w:top w:val="none" w:sz="0" w:space="0" w:color="auto"/>
        <w:left w:val="none" w:sz="0" w:space="0" w:color="auto"/>
        <w:bottom w:val="none" w:sz="0" w:space="0" w:color="auto"/>
        <w:right w:val="none" w:sz="0" w:space="0" w:color="auto"/>
      </w:divBdr>
    </w:div>
    <w:div w:id="1064331288">
      <w:bodyDiv w:val="1"/>
      <w:marLeft w:val="0"/>
      <w:marRight w:val="0"/>
      <w:marTop w:val="0"/>
      <w:marBottom w:val="0"/>
      <w:divBdr>
        <w:top w:val="none" w:sz="0" w:space="0" w:color="auto"/>
        <w:left w:val="none" w:sz="0" w:space="0" w:color="auto"/>
        <w:bottom w:val="none" w:sz="0" w:space="0" w:color="auto"/>
        <w:right w:val="none" w:sz="0" w:space="0" w:color="auto"/>
      </w:divBdr>
    </w:div>
    <w:div w:id="1071776853">
      <w:bodyDiv w:val="1"/>
      <w:marLeft w:val="0"/>
      <w:marRight w:val="0"/>
      <w:marTop w:val="0"/>
      <w:marBottom w:val="0"/>
      <w:divBdr>
        <w:top w:val="none" w:sz="0" w:space="0" w:color="auto"/>
        <w:left w:val="none" w:sz="0" w:space="0" w:color="auto"/>
        <w:bottom w:val="none" w:sz="0" w:space="0" w:color="auto"/>
        <w:right w:val="none" w:sz="0" w:space="0" w:color="auto"/>
      </w:divBdr>
    </w:div>
    <w:div w:id="1081293037">
      <w:bodyDiv w:val="1"/>
      <w:marLeft w:val="0"/>
      <w:marRight w:val="0"/>
      <w:marTop w:val="0"/>
      <w:marBottom w:val="0"/>
      <w:divBdr>
        <w:top w:val="none" w:sz="0" w:space="0" w:color="auto"/>
        <w:left w:val="none" w:sz="0" w:space="0" w:color="auto"/>
        <w:bottom w:val="none" w:sz="0" w:space="0" w:color="auto"/>
        <w:right w:val="none" w:sz="0" w:space="0" w:color="auto"/>
      </w:divBdr>
    </w:div>
    <w:div w:id="1082335441">
      <w:bodyDiv w:val="1"/>
      <w:marLeft w:val="0"/>
      <w:marRight w:val="0"/>
      <w:marTop w:val="0"/>
      <w:marBottom w:val="0"/>
      <w:divBdr>
        <w:top w:val="none" w:sz="0" w:space="0" w:color="auto"/>
        <w:left w:val="none" w:sz="0" w:space="0" w:color="auto"/>
        <w:bottom w:val="none" w:sz="0" w:space="0" w:color="auto"/>
        <w:right w:val="none" w:sz="0" w:space="0" w:color="auto"/>
      </w:divBdr>
    </w:div>
    <w:div w:id="1093167739">
      <w:bodyDiv w:val="1"/>
      <w:marLeft w:val="0"/>
      <w:marRight w:val="0"/>
      <w:marTop w:val="0"/>
      <w:marBottom w:val="0"/>
      <w:divBdr>
        <w:top w:val="none" w:sz="0" w:space="0" w:color="auto"/>
        <w:left w:val="none" w:sz="0" w:space="0" w:color="auto"/>
        <w:bottom w:val="none" w:sz="0" w:space="0" w:color="auto"/>
        <w:right w:val="none" w:sz="0" w:space="0" w:color="auto"/>
      </w:divBdr>
    </w:div>
    <w:div w:id="1103065673">
      <w:bodyDiv w:val="1"/>
      <w:marLeft w:val="0"/>
      <w:marRight w:val="0"/>
      <w:marTop w:val="0"/>
      <w:marBottom w:val="0"/>
      <w:divBdr>
        <w:top w:val="none" w:sz="0" w:space="0" w:color="auto"/>
        <w:left w:val="none" w:sz="0" w:space="0" w:color="auto"/>
        <w:bottom w:val="none" w:sz="0" w:space="0" w:color="auto"/>
        <w:right w:val="none" w:sz="0" w:space="0" w:color="auto"/>
      </w:divBdr>
    </w:div>
    <w:div w:id="1111127533">
      <w:bodyDiv w:val="1"/>
      <w:marLeft w:val="0"/>
      <w:marRight w:val="0"/>
      <w:marTop w:val="0"/>
      <w:marBottom w:val="0"/>
      <w:divBdr>
        <w:top w:val="none" w:sz="0" w:space="0" w:color="auto"/>
        <w:left w:val="none" w:sz="0" w:space="0" w:color="auto"/>
        <w:bottom w:val="none" w:sz="0" w:space="0" w:color="auto"/>
        <w:right w:val="none" w:sz="0" w:space="0" w:color="auto"/>
      </w:divBdr>
      <w:divsChild>
        <w:div w:id="1241715154">
          <w:marLeft w:val="0"/>
          <w:marRight w:val="0"/>
          <w:marTop w:val="0"/>
          <w:marBottom w:val="0"/>
          <w:divBdr>
            <w:top w:val="none" w:sz="0" w:space="0" w:color="auto"/>
            <w:left w:val="none" w:sz="0" w:space="0" w:color="auto"/>
            <w:bottom w:val="none" w:sz="0" w:space="0" w:color="auto"/>
            <w:right w:val="none" w:sz="0" w:space="0" w:color="auto"/>
          </w:divBdr>
          <w:divsChild>
            <w:div w:id="140587143">
              <w:marLeft w:val="0"/>
              <w:marRight w:val="0"/>
              <w:marTop w:val="0"/>
              <w:marBottom w:val="0"/>
              <w:divBdr>
                <w:top w:val="none" w:sz="0" w:space="0" w:color="auto"/>
                <w:left w:val="none" w:sz="0" w:space="0" w:color="auto"/>
                <w:bottom w:val="none" w:sz="0" w:space="0" w:color="auto"/>
                <w:right w:val="none" w:sz="0" w:space="0" w:color="auto"/>
              </w:divBdr>
            </w:div>
            <w:div w:id="940798993">
              <w:marLeft w:val="0"/>
              <w:marRight w:val="0"/>
              <w:marTop w:val="0"/>
              <w:marBottom w:val="0"/>
              <w:divBdr>
                <w:top w:val="none" w:sz="0" w:space="0" w:color="auto"/>
                <w:left w:val="none" w:sz="0" w:space="0" w:color="auto"/>
                <w:bottom w:val="none" w:sz="0" w:space="0" w:color="auto"/>
                <w:right w:val="none" w:sz="0" w:space="0" w:color="auto"/>
              </w:divBdr>
            </w:div>
            <w:div w:id="1114012767">
              <w:marLeft w:val="0"/>
              <w:marRight w:val="0"/>
              <w:marTop w:val="0"/>
              <w:marBottom w:val="0"/>
              <w:divBdr>
                <w:top w:val="none" w:sz="0" w:space="0" w:color="auto"/>
                <w:left w:val="none" w:sz="0" w:space="0" w:color="auto"/>
                <w:bottom w:val="none" w:sz="0" w:space="0" w:color="auto"/>
                <w:right w:val="none" w:sz="0" w:space="0" w:color="auto"/>
              </w:divBdr>
            </w:div>
            <w:div w:id="13254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5804">
      <w:bodyDiv w:val="1"/>
      <w:marLeft w:val="0"/>
      <w:marRight w:val="0"/>
      <w:marTop w:val="0"/>
      <w:marBottom w:val="0"/>
      <w:divBdr>
        <w:top w:val="none" w:sz="0" w:space="0" w:color="auto"/>
        <w:left w:val="none" w:sz="0" w:space="0" w:color="auto"/>
        <w:bottom w:val="none" w:sz="0" w:space="0" w:color="auto"/>
        <w:right w:val="none" w:sz="0" w:space="0" w:color="auto"/>
      </w:divBdr>
    </w:div>
    <w:div w:id="1173030435">
      <w:bodyDiv w:val="1"/>
      <w:marLeft w:val="0"/>
      <w:marRight w:val="0"/>
      <w:marTop w:val="0"/>
      <w:marBottom w:val="0"/>
      <w:divBdr>
        <w:top w:val="none" w:sz="0" w:space="0" w:color="auto"/>
        <w:left w:val="none" w:sz="0" w:space="0" w:color="auto"/>
        <w:bottom w:val="none" w:sz="0" w:space="0" w:color="auto"/>
        <w:right w:val="none" w:sz="0" w:space="0" w:color="auto"/>
      </w:divBdr>
    </w:div>
    <w:div w:id="1176266226">
      <w:bodyDiv w:val="1"/>
      <w:marLeft w:val="0"/>
      <w:marRight w:val="0"/>
      <w:marTop w:val="0"/>
      <w:marBottom w:val="0"/>
      <w:divBdr>
        <w:top w:val="none" w:sz="0" w:space="0" w:color="auto"/>
        <w:left w:val="none" w:sz="0" w:space="0" w:color="auto"/>
        <w:bottom w:val="none" w:sz="0" w:space="0" w:color="auto"/>
        <w:right w:val="none" w:sz="0" w:space="0" w:color="auto"/>
      </w:divBdr>
    </w:div>
    <w:div w:id="1178424422">
      <w:bodyDiv w:val="1"/>
      <w:marLeft w:val="0"/>
      <w:marRight w:val="0"/>
      <w:marTop w:val="0"/>
      <w:marBottom w:val="0"/>
      <w:divBdr>
        <w:top w:val="none" w:sz="0" w:space="0" w:color="auto"/>
        <w:left w:val="none" w:sz="0" w:space="0" w:color="auto"/>
        <w:bottom w:val="none" w:sz="0" w:space="0" w:color="auto"/>
        <w:right w:val="none" w:sz="0" w:space="0" w:color="auto"/>
      </w:divBdr>
      <w:divsChild>
        <w:div w:id="406847960">
          <w:marLeft w:val="0"/>
          <w:marRight w:val="0"/>
          <w:marTop w:val="0"/>
          <w:marBottom w:val="0"/>
          <w:divBdr>
            <w:top w:val="none" w:sz="0" w:space="0" w:color="auto"/>
            <w:left w:val="none" w:sz="0" w:space="0" w:color="auto"/>
            <w:bottom w:val="none" w:sz="0" w:space="0" w:color="auto"/>
            <w:right w:val="none" w:sz="0" w:space="0" w:color="auto"/>
          </w:divBdr>
        </w:div>
      </w:divsChild>
    </w:div>
    <w:div w:id="1188828915">
      <w:bodyDiv w:val="1"/>
      <w:marLeft w:val="0"/>
      <w:marRight w:val="0"/>
      <w:marTop w:val="0"/>
      <w:marBottom w:val="0"/>
      <w:divBdr>
        <w:top w:val="none" w:sz="0" w:space="0" w:color="auto"/>
        <w:left w:val="none" w:sz="0" w:space="0" w:color="auto"/>
        <w:bottom w:val="none" w:sz="0" w:space="0" w:color="auto"/>
        <w:right w:val="none" w:sz="0" w:space="0" w:color="auto"/>
      </w:divBdr>
    </w:div>
    <w:div w:id="1198278874">
      <w:bodyDiv w:val="1"/>
      <w:marLeft w:val="0"/>
      <w:marRight w:val="0"/>
      <w:marTop w:val="0"/>
      <w:marBottom w:val="0"/>
      <w:divBdr>
        <w:top w:val="none" w:sz="0" w:space="0" w:color="auto"/>
        <w:left w:val="none" w:sz="0" w:space="0" w:color="auto"/>
        <w:bottom w:val="none" w:sz="0" w:space="0" w:color="auto"/>
        <w:right w:val="none" w:sz="0" w:space="0" w:color="auto"/>
      </w:divBdr>
    </w:div>
    <w:div w:id="1211838919">
      <w:bodyDiv w:val="1"/>
      <w:marLeft w:val="0"/>
      <w:marRight w:val="0"/>
      <w:marTop w:val="0"/>
      <w:marBottom w:val="0"/>
      <w:divBdr>
        <w:top w:val="none" w:sz="0" w:space="0" w:color="auto"/>
        <w:left w:val="none" w:sz="0" w:space="0" w:color="auto"/>
        <w:bottom w:val="none" w:sz="0" w:space="0" w:color="auto"/>
        <w:right w:val="none" w:sz="0" w:space="0" w:color="auto"/>
      </w:divBdr>
      <w:divsChild>
        <w:div w:id="1774977940">
          <w:marLeft w:val="0"/>
          <w:marRight w:val="0"/>
          <w:marTop w:val="0"/>
          <w:marBottom w:val="0"/>
          <w:divBdr>
            <w:top w:val="none" w:sz="0" w:space="0" w:color="auto"/>
            <w:left w:val="none" w:sz="0" w:space="0" w:color="auto"/>
            <w:bottom w:val="none" w:sz="0" w:space="0" w:color="auto"/>
            <w:right w:val="none" w:sz="0" w:space="0" w:color="auto"/>
          </w:divBdr>
          <w:divsChild>
            <w:div w:id="20157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3340">
      <w:bodyDiv w:val="1"/>
      <w:marLeft w:val="0"/>
      <w:marRight w:val="0"/>
      <w:marTop w:val="0"/>
      <w:marBottom w:val="0"/>
      <w:divBdr>
        <w:top w:val="none" w:sz="0" w:space="0" w:color="auto"/>
        <w:left w:val="none" w:sz="0" w:space="0" w:color="auto"/>
        <w:bottom w:val="none" w:sz="0" w:space="0" w:color="auto"/>
        <w:right w:val="none" w:sz="0" w:space="0" w:color="auto"/>
      </w:divBdr>
    </w:div>
    <w:div w:id="1330403824">
      <w:bodyDiv w:val="1"/>
      <w:marLeft w:val="0"/>
      <w:marRight w:val="0"/>
      <w:marTop w:val="0"/>
      <w:marBottom w:val="0"/>
      <w:divBdr>
        <w:top w:val="none" w:sz="0" w:space="0" w:color="auto"/>
        <w:left w:val="none" w:sz="0" w:space="0" w:color="auto"/>
        <w:bottom w:val="none" w:sz="0" w:space="0" w:color="auto"/>
        <w:right w:val="none" w:sz="0" w:space="0" w:color="auto"/>
      </w:divBdr>
    </w:div>
    <w:div w:id="1331442274">
      <w:bodyDiv w:val="1"/>
      <w:marLeft w:val="0"/>
      <w:marRight w:val="0"/>
      <w:marTop w:val="0"/>
      <w:marBottom w:val="0"/>
      <w:divBdr>
        <w:top w:val="none" w:sz="0" w:space="0" w:color="auto"/>
        <w:left w:val="none" w:sz="0" w:space="0" w:color="auto"/>
        <w:bottom w:val="none" w:sz="0" w:space="0" w:color="auto"/>
        <w:right w:val="none" w:sz="0" w:space="0" w:color="auto"/>
      </w:divBdr>
    </w:div>
    <w:div w:id="1335956172">
      <w:bodyDiv w:val="1"/>
      <w:marLeft w:val="0"/>
      <w:marRight w:val="0"/>
      <w:marTop w:val="0"/>
      <w:marBottom w:val="0"/>
      <w:divBdr>
        <w:top w:val="none" w:sz="0" w:space="0" w:color="auto"/>
        <w:left w:val="none" w:sz="0" w:space="0" w:color="auto"/>
        <w:bottom w:val="none" w:sz="0" w:space="0" w:color="auto"/>
        <w:right w:val="none" w:sz="0" w:space="0" w:color="auto"/>
      </w:divBdr>
    </w:div>
    <w:div w:id="1374618654">
      <w:bodyDiv w:val="1"/>
      <w:marLeft w:val="0"/>
      <w:marRight w:val="0"/>
      <w:marTop w:val="0"/>
      <w:marBottom w:val="0"/>
      <w:divBdr>
        <w:top w:val="none" w:sz="0" w:space="0" w:color="auto"/>
        <w:left w:val="none" w:sz="0" w:space="0" w:color="auto"/>
        <w:bottom w:val="none" w:sz="0" w:space="0" w:color="auto"/>
        <w:right w:val="none" w:sz="0" w:space="0" w:color="auto"/>
      </w:divBdr>
    </w:div>
    <w:div w:id="1399011243">
      <w:bodyDiv w:val="1"/>
      <w:marLeft w:val="0"/>
      <w:marRight w:val="0"/>
      <w:marTop w:val="0"/>
      <w:marBottom w:val="0"/>
      <w:divBdr>
        <w:top w:val="none" w:sz="0" w:space="0" w:color="auto"/>
        <w:left w:val="none" w:sz="0" w:space="0" w:color="auto"/>
        <w:bottom w:val="none" w:sz="0" w:space="0" w:color="auto"/>
        <w:right w:val="none" w:sz="0" w:space="0" w:color="auto"/>
      </w:divBdr>
    </w:div>
    <w:div w:id="1399208821">
      <w:bodyDiv w:val="1"/>
      <w:marLeft w:val="0"/>
      <w:marRight w:val="0"/>
      <w:marTop w:val="0"/>
      <w:marBottom w:val="0"/>
      <w:divBdr>
        <w:top w:val="none" w:sz="0" w:space="0" w:color="auto"/>
        <w:left w:val="none" w:sz="0" w:space="0" w:color="auto"/>
        <w:bottom w:val="none" w:sz="0" w:space="0" w:color="auto"/>
        <w:right w:val="none" w:sz="0" w:space="0" w:color="auto"/>
      </w:divBdr>
    </w:div>
    <w:div w:id="1400667892">
      <w:bodyDiv w:val="1"/>
      <w:marLeft w:val="0"/>
      <w:marRight w:val="0"/>
      <w:marTop w:val="0"/>
      <w:marBottom w:val="0"/>
      <w:divBdr>
        <w:top w:val="none" w:sz="0" w:space="0" w:color="auto"/>
        <w:left w:val="none" w:sz="0" w:space="0" w:color="auto"/>
        <w:bottom w:val="none" w:sz="0" w:space="0" w:color="auto"/>
        <w:right w:val="none" w:sz="0" w:space="0" w:color="auto"/>
      </w:divBdr>
    </w:div>
    <w:div w:id="1411196133">
      <w:bodyDiv w:val="1"/>
      <w:marLeft w:val="0"/>
      <w:marRight w:val="0"/>
      <w:marTop w:val="0"/>
      <w:marBottom w:val="0"/>
      <w:divBdr>
        <w:top w:val="none" w:sz="0" w:space="0" w:color="auto"/>
        <w:left w:val="none" w:sz="0" w:space="0" w:color="auto"/>
        <w:bottom w:val="none" w:sz="0" w:space="0" w:color="auto"/>
        <w:right w:val="none" w:sz="0" w:space="0" w:color="auto"/>
      </w:divBdr>
    </w:div>
    <w:div w:id="1428886571">
      <w:bodyDiv w:val="1"/>
      <w:marLeft w:val="0"/>
      <w:marRight w:val="0"/>
      <w:marTop w:val="0"/>
      <w:marBottom w:val="0"/>
      <w:divBdr>
        <w:top w:val="none" w:sz="0" w:space="0" w:color="auto"/>
        <w:left w:val="none" w:sz="0" w:space="0" w:color="auto"/>
        <w:bottom w:val="none" w:sz="0" w:space="0" w:color="auto"/>
        <w:right w:val="none" w:sz="0" w:space="0" w:color="auto"/>
      </w:divBdr>
    </w:div>
    <w:div w:id="1441101620">
      <w:bodyDiv w:val="1"/>
      <w:marLeft w:val="0"/>
      <w:marRight w:val="0"/>
      <w:marTop w:val="0"/>
      <w:marBottom w:val="0"/>
      <w:divBdr>
        <w:top w:val="none" w:sz="0" w:space="0" w:color="auto"/>
        <w:left w:val="none" w:sz="0" w:space="0" w:color="auto"/>
        <w:bottom w:val="none" w:sz="0" w:space="0" w:color="auto"/>
        <w:right w:val="none" w:sz="0" w:space="0" w:color="auto"/>
      </w:divBdr>
    </w:div>
    <w:div w:id="1453135454">
      <w:bodyDiv w:val="1"/>
      <w:marLeft w:val="0"/>
      <w:marRight w:val="0"/>
      <w:marTop w:val="0"/>
      <w:marBottom w:val="0"/>
      <w:divBdr>
        <w:top w:val="none" w:sz="0" w:space="0" w:color="auto"/>
        <w:left w:val="none" w:sz="0" w:space="0" w:color="auto"/>
        <w:bottom w:val="none" w:sz="0" w:space="0" w:color="auto"/>
        <w:right w:val="none" w:sz="0" w:space="0" w:color="auto"/>
      </w:divBdr>
    </w:div>
    <w:div w:id="1468818025">
      <w:bodyDiv w:val="1"/>
      <w:marLeft w:val="0"/>
      <w:marRight w:val="0"/>
      <w:marTop w:val="0"/>
      <w:marBottom w:val="0"/>
      <w:divBdr>
        <w:top w:val="none" w:sz="0" w:space="0" w:color="auto"/>
        <w:left w:val="none" w:sz="0" w:space="0" w:color="auto"/>
        <w:bottom w:val="none" w:sz="0" w:space="0" w:color="auto"/>
        <w:right w:val="none" w:sz="0" w:space="0" w:color="auto"/>
      </w:divBdr>
    </w:div>
    <w:div w:id="1502700469">
      <w:bodyDiv w:val="1"/>
      <w:marLeft w:val="0"/>
      <w:marRight w:val="0"/>
      <w:marTop w:val="0"/>
      <w:marBottom w:val="0"/>
      <w:divBdr>
        <w:top w:val="none" w:sz="0" w:space="0" w:color="auto"/>
        <w:left w:val="none" w:sz="0" w:space="0" w:color="auto"/>
        <w:bottom w:val="none" w:sz="0" w:space="0" w:color="auto"/>
        <w:right w:val="none" w:sz="0" w:space="0" w:color="auto"/>
      </w:divBdr>
    </w:div>
    <w:div w:id="1540623183">
      <w:bodyDiv w:val="1"/>
      <w:marLeft w:val="0"/>
      <w:marRight w:val="0"/>
      <w:marTop w:val="0"/>
      <w:marBottom w:val="0"/>
      <w:divBdr>
        <w:top w:val="none" w:sz="0" w:space="0" w:color="auto"/>
        <w:left w:val="none" w:sz="0" w:space="0" w:color="auto"/>
        <w:bottom w:val="none" w:sz="0" w:space="0" w:color="auto"/>
        <w:right w:val="none" w:sz="0" w:space="0" w:color="auto"/>
      </w:divBdr>
    </w:div>
    <w:div w:id="1542669857">
      <w:bodyDiv w:val="1"/>
      <w:marLeft w:val="0"/>
      <w:marRight w:val="0"/>
      <w:marTop w:val="0"/>
      <w:marBottom w:val="0"/>
      <w:divBdr>
        <w:top w:val="none" w:sz="0" w:space="0" w:color="auto"/>
        <w:left w:val="none" w:sz="0" w:space="0" w:color="auto"/>
        <w:bottom w:val="none" w:sz="0" w:space="0" w:color="auto"/>
        <w:right w:val="none" w:sz="0" w:space="0" w:color="auto"/>
      </w:divBdr>
    </w:div>
    <w:div w:id="1545210851">
      <w:bodyDiv w:val="1"/>
      <w:marLeft w:val="0"/>
      <w:marRight w:val="0"/>
      <w:marTop w:val="0"/>
      <w:marBottom w:val="0"/>
      <w:divBdr>
        <w:top w:val="none" w:sz="0" w:space="0" w:color="auto"/>
        <w:left w:val="none" w:sz="0" w:space="0" w:color="auto"/>
        <w:bottom w:val="none" w:sz="0" w:space="0" w:color="auto"/>
        <w:right w:val="none" w:sz="0" w:space="0" w:color="auto"/>
      </w:divBdr>
    </w:div>
    <w:div w:id="1549027800">
      <w:bodyDiv w:val="1"/>
      <w:marLeft w:val="0"/>
      <w:marRight w:val="0"/>
      <w:marTop w:val="0"/>
      <w:marBottom w:val="0"/>
      <w:divBdr>
        <w:top w:val="none" w:sz="0" w:space="0" w:color="auto"/>
        <w:left w:val="none" w:sz="0" w:space="0" w:color="auto"/>
        <w:bottom w:val="none" w:sz="0" w:space="0" w:color="auto"/>
        <w:right w:val="none" w:sz="0" w:space="0" w:color="auto"/>
      </w:divBdr>
    </w:div>
    <w:div w:id="1569538232">
      <w:bodyDiv w:val="1"/>
      <w:marLeft w:val="0"/>
      <w:marRight w:val="0"/>
      <w:marTop w:val="0"/>
      <w:marBottom w:val="0"/>
      <w:divBdr>
        <w:top w:val="none" w:sz="0" w:space="0" w:color="auto"/>
        <w:left w:val="none" w:sz="0" w:space="0" w:color="auto"/>
        <w:bottom w:val="none" w:sz="0" w:space="0" w:color="auto"/>
        <w:right w:val="none" w:sz="0" w:space="0" w:color="auto"/>
      </w:divBdr>
    </w:div>
    <w:div w:id="1581989245">
      <w:bodyDiv w:val="1"/>
      <w:marLeft w:val="0"/>
      <w:marRight w:val="0"/>
      <w:marTop w:val="0"/>
      <w:marBottom w:val="0"/>
      <w:divBdr>
        <w:top w:val="none" w:sz="0" w:space="0" w:color="auto"/>
        <w:left w:val="none" w:sz="0" w:space="0" w:color="auto"/>
        <w:bottom w:val="none" w:sz="0" w:space="0" w:color="auto"/>
        <w:right w:val="none" w:sz="0" w:space="0" w:color="auto"/>
      </w:divBdr>
      <w:divsChild>
        <w:div w:id="769010803">
          <w:marLeft w:val="0"/>
          <w:marRight w:val="0"/>
          <w:marTop w:val="0"/>
          <w:marBottom w:val="0"/>
          <w:divBdr>
            <w:top w:val="none" w:sz="0" w:space="0" w:color="auto"/>
            <w:left w:val="none" w:sz="0" w:space="0" w:color="auto"/>
            <w:bottom w:val="none" w:sz="0" w:space="0" w:color="auto"/>
            <w:right w:val="none" w:sz="0" w:space="0" w:color="auto"/>
          </w:divBdr>
        </w:div>
      </w:divsChild>
    </w:div>
    <w:div w:id="1599830831">
      <w:bodyDiv w:val="1"/>
      <w:marLeft w:val="0"/>
      <w:marRight w:val="0"/>
      <w:marTop w:val="0"/>
      <w:marBottom w:val="0"/>
      <w:divBdr>
        <w:top w:val="none" w:sz="0" w:space="0" w:color="auto"/>
        <w:left w:val="none" w:sz="0" w:space="0" w:color="auto"/>
        <w:bottom w:val="none" w:sz="0" w:space="0" w:color="auto"/>
        <w:right w:val="none" w:sz="0" w:space="0" w:color="auto"/>
      </w:divBdr>
    </w:div>
    <w:div w:id="1599869264">
      <w:bodyDiv w:val="1"/>
      <w:marLeft w:val="0"/>
      <w:marRight w:val="0"/>
      <w:marTop w:val="0"/>
      <w:marBottom w:val="0"/>
      <w:divBdr>
        <w:top w:val="none" w:sz="0" w:space="0" w:color="auto"/>
        <w:left w:val="none" w:sz="0" w:space="0" w:color="auto"/>
        <w:bottom w:val="none" w:sz="0" w:space="0" w:color="auto"/>
        <w:right w:val="none" w:sz="0" w:space="0" w:color="auto"/>
      </w:divBdr>
    </w:div>
    <w:div w:id="1620530249">
      <w:bodyDiv w:val="1"/>
      <w:marLeft w:val="0"/>
      <w:marRight w:val="0"/>
      <w:marTop w:val="0"/>
      <w:marBottom w:val="0"/>
      <w:divBdr>
        <w:top w:val="none" w:sz="0" w:space="0" w:color="auto"/>
        <w:left w:val="none" w:sz="0" w:space="0" w:color="auto"/>
        <w:bottom w:val="none" w:sz="0" w:space="0" w:color="auto"/>
        <w:right w:val="none" w:sz="0" w:space="0" w:color="auto"/>
      </w:divBdr>
    </w:div>
    <w:div w:id="1668940452">
      <w:bodyDiv w:val="1"/>
      <w:marLeft w:val="0"/>
      <w:marRight w:val="0"/>
      <w:marTop w:val="0"/>
      <w:marBottom w:val="0"/>
      <w:divBdr>
        <w:top w:val="none" w:sz="0" w:space="0" w:color="auto"/>
        <w:left w:val="none" w:sz="0" w:space="0" w:color="auto"/>
        <w:bottom w:val="none" w:sz="0" w:space="0" w:color="auto"/>
        <w:right w:val="none" w:sz="0" w:space="0" w:color="auto"/>
      </w:divBdr>
    </w:div>
    <w:div w:id="1682855180">
      <w:bodyDiv w:val="1"/>
      <w:marLeft w:val="0"/>
      <w:marRight w:val="0"/>
      <w:marTop w:val="0"/>
      <w:marBottom w:val="0"/>
      <w:divBdr>
        <w:top w:val="none" w:sz="0" w:space="0" w:color="auto"/>
        <w:left w:val="none" w:sz="0" w:space="0" w:color="auto"/>
        <w:bottom w:val="none" w:sz="0" w:space="0" w:color="auto"/>
        <w:right w:val="none" w:sz="0" w:space="0" w:color="auto"/>
      </w:divBdr>
      <w:divsChild>
        <w:div w:id="685182316">
          <w:marLeft w:val="0"/>
          <w:marRight w:val="0"/>
          <w:marTop w:val="0"/>
          <w:marBottom w:val="0"/>
          <w:divBdr>
            <w:top w:val="none" w:sz="0" w:space="0" w:color="auto"/>
            <w:left w:val="none" w:sz="0" w:space="0" w:color="auto"/>
            <w:bottom w:val="none" w:sz="0" w:space="0" w:color="auto"/>
            <w:right w:val="none" w:sz="0" w:space="0" w:color="auto"/>
          </w:divBdr>
          <w:divsChild>
            <w:div w:id="10115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8073">
      <w:bodyDiv w:val="1"/>
      <w:marLeft w:val="0"/>
      <w:marRight w:val="0"/>
      <w:marTop w:val="0"/>
      <w:marBottom w:val="0"/>
      <w:divBdr>
        <w:top w:val="none" w:sz="0" w:space="0" w:color="auto"/>
        <w:left w:val="none" w:sz="0" w:space="0" w:color="auto"/>
        <w:bottom w:val="none" w:sz="0" w:space="0" w:color="auto"/>
        <w:right w:val="none" w:sz="0" w:space="0" w:color="auto"/>
      </w:divBdr>
      <w:divsChild>
        <w:div w:id="193426539">
          <w:marLeft w:val="0"/>
          <w:marRight w:val="0"/>
          <w:marTop w:val="0"/>
          <w:marBottom w:val="0"/>
          <w:divBdr>
            <w:top w:val="none" w:sz="0" w:space="0" w:color="auto"/>
            <w:left w:val="none" w:sz="0" w:space="0" w:color="auto"/>
            <w:bottom w:val="none" w:sz="0" w:space="0" w:color="auto"/>
            <w:right w:val="none" w:sz="0" w:space="0" w:color="auto"/>
          </w:divBdr>
        </w:div>
      </w:divsChild>
    </w:div>
    <w:div w:id="1711176954">
      <w:bodyDiv w:val="1"/>
      <w:marLeft w:val="0"/>
      <w:marRight w:val="0"/>
      <w:marTop w:val="0"/>
      <w:marBottom w:val="0"/>
      <w:divBdr>
        <w:top w:val="none" w:sz="0" w:space="0" w:color="auto"/>
        <w:left w:val="none" w:sz="0" w:space="0" w:color="auto"/>
        <w:bottom w:val="none" w:sz="0" w:space="0" w:color="auto"/>
        <w:right w:val="none" w:sz="0" w:space="0" w:color="auto"/>
      </w:divBdr>
    </w:div>
    <w:div w:id="1754281169">
      <w:bodyDiv w:val="1"/>
      <w:marLeft w:val="0"/>
      <w:marRight w:val="0"/>
      <w:marTop w:val="0"/>
      <w:marBottom w:val="0"/>
      <w:divBdr>
        <w:top w:val="none" w:sz="0" w:space="0" w:color="auto"/>
        <w:left w:val="none" w:sz="0" w:space="0" w:color="auto"/>
        <w:bottom w:val="none" w:sz="0" w:space="0" w:color="auto"/>
        <w:right w:val="none" w:sz="0" w:space="0" w:color="auto"/>
      </w:divBdr>
    </w:div>
    <w:div w:id="1791895245">
      <w:bodyDiv w:val="1"/>
      <w:marLeft w:val="0"/>
      <w:marRight w:val="0"/>
      <w:marTop w:val="0"/>
      <w:marBottom w:val="0"/>
      <w:divBdr>
        <w:top w:val="none" w:sz="0" w:space="0" w:color="auto"/>
        <w:left w:val="none" w:sz="0" w:space="0" w:color="auto"/>
        <w:bottom w:val="none" w:sz="0" w:space="0" w:color="auto"/>
        <w:right w:val="none" w:sz="0" w:space="0" w:color="auto"/>
      </w:divBdr>
    </w:div>
    <w:div w:id="1825319207">
      <w:bodyDiv w:val="1"/>
      <w:marLeft w:val="0"/>
      <w:marRight w:val="0"/>
      <w:marTop w:val="0"/>
      <w:marBottom w:val="0"/>
      <w:divBdr>
        <w:top w:val="none" w:sz="0" w:space="0" w:color="auto"/>
        <w:left w:val="none" w:sz="0" w:space="0" w:color="auto"/>
        <w:bottom w:val="none" w:sz="0" w:space="0" w:color="auto"/>
        <w:right w:val="none" w:sz="0" w:space="0" w:color="auto"/>
      </w:divBdr>
    </w:div>
    <w:div w:id="1828592261">
      <w:bodyDiv w:val="1"/>
      <w:marLeft w:val="0"/>
      <w:marRight w:val="0"/>
      <w:marTop w:val="0"/>
      <w:marBottom w:val="0"/>
      <w:divBdr>
        <w:top w:val="none" w:sz="0" w:space="0" w:color="auto"/>
        <w:left w:val="none" w:sz="0" w:space="0" w:color="auto"/>
        <w:bottom w:val="none" w:sz="0" w:space="0" w:color="auto"/>
        <w:right w:val="none" w:sz="0" w:space="0" w:color="auto"/>
      </w:divBdr>
    </w:div>
    <w:div w:id="1853300358">
      <w:bodyDiv w:val="1"/>
      <w:marLeft w:val="0"/>
      <w:marRight w:val="0"/>
      <w:marTop w:val="0"/>
      <w:marBottom w:val="0"/>
      <w:divBdr>
        <w:top w:val="none" w:sz="0" w:space="0" w:color="auto"/>
        <w:left w:val="none" w:sz="0" w:space="0" w:color="auto"/>
        <w:bottom w:val="none" w:sz="0" w:space="0" w:color="auto"/>
        <w:right w:val="none" w:sz="0" w:space="0" w:color="auto"/>
      </w:divBdr>
    </w:div>
    <w:div w:id="1863057650">
      <w:bodyDiv w:val="1"/>
      <w:marLeft w:val="0"/>
      <w:marRight w:val="0"/>
      <w:marTop w:val="0"/>
      <w:marBottom w:val="0"/>
      <w:divBdr>
        <w:top w:val="none" w:sz="0" w:space="0" w:color="auto"/>
        <w:left w:val="none" w:sz="0" w:space="0" w:color="auto"/>
        <w:bottom w:val="none" w:sz="0" w:space="0" w:color="auto"/>
        <w:right w:val="none" w:sz="0" w:space="0" w:color="auto"/>
      </w:divBdr>
    </w:div>
    <w:div w:id="1869759715">
      <w:bodyDiv w:val="1"/>
      <w:marLeft w:val="0"/>
      <w:marRight w:val="0"/>
      <w:marTop w:val="0"/>
      <w:marBottom w:val="0"/>
      <w:divBdr>
        <w:top w:val="none" w:sz="0" w:space="0" w:color="auto"/>
        <w:left w:val="none" w:sz="0" w:space="0" w:color="auto"/>
        <w:bottom w:val="none" w:sz="0" w:space="0" w:color="auto"/>
        <w:right w:val="none" w:sz="0" w:space="0" w:color="auto"/>
      </w:divBdr>
    </w:div>
    <w:div w:id="1872573165">
      <w:bodyDiv w:val="1"/>
      <w:marLeft w:val="0"/>
      <w:marRight w:val="0"/>
      <w:marTop w:val="0"/>
      <w:marBottom w:val="0"/>
      <w:divBdr>
        <w:top w:val="none" w:sz="0" w:space="0" w:color="auto"/>
        <w:left w:val="none" w:sz="0" w:space="0" w:color="auto"/>
        <w:bottom w:val="none" w:sz="0" w:space="0" w:color="auto"/>
        <w:right w:val="none" w:sz="0" w:space="0" w:color="auto"/>
      </w:divBdr>
    </w:div>
    <w:div w:id="1940329940">
      <w:bodyDiv w:val="1"/>
      <w:marLeft w:val="0"/>
      <w:marRight w:val="0"/>
      <w:marTop w:val="0"/>
      <w:marBottom w:val="0"/>
      <w:divBdr>
        <w:top w:val="none" w:sz="0" w:space="0" w:color="auto"/>
        <w:left w:val="none" w:sz="0" w:space="0" w:color="auto"/>
        <w:bottom w:val="none" w:sz="0" w:space="0" w:color="auto"/>
        <w:right w:val="none" w:sz="0" w:space="0" w:color="auto"/>
      </w:divBdr>
    </w:div>
    <w:div w:id="1971744993">
      <w:bodyDiv w:val="1"/>
      <w:marLeft w:val="0"/>
      <w:marRight w:val="0"/>
      <w:marTop w:val="0"/>
      <w:marBottom w:val="0"/>
      <w:divBdr>
        <w:top w:val="none" w:sz="0" w:space="0" w:color="auto"/>
        <w:left w:val="none" w:sz="0" w:space="0" w:color="auto"/>
        <w:bottom w:val="none" w:sz="0" w:space="0" w:color="auto"/>
        <w:right w:val="none" w:sz="0" w:space="0" w:color="auto"/>
      </w:divBdr>
    </w:div>
    <w:div w:id="1974946825">
      <w:bodyDiv w:val="1"/>
      <w:marLeft w:val="0"/>
      <w:marRight w:val="0"/>
      <w:marTop w:val="0"/>
      <w:marBottom w:val="0"/>
      <w:divBdr>
        <w:top w:val="none" w:sz="0" w:space="0" w:color="auto"/>
        <w:left w:val="none" w:sz="0" w:space="0" w:color="auto"/>
        <w:bottom w:val="none" w:sz="0" w:space="0" w:color="auto"/>
        <w:right w:val="none" w:sz="0" w:space="0" w:color="auto"/>
      </w:divBdr>
    </w:div>
    <w:div w:id="1986737480">
      <w:bodyDiv w:val="1"/>
      <w:marLeft w:val="0"/>
      <w:marRight w:val="0"/>
      <w:marTop w:val="0"/>
      <w:marBottom w:val="0"/>
      <w:divBdr>
        <w:top w:val="none" w:sz="0" w:space="0" w:color="auto"/>
        <w:left w:val="none" w:sz="0" w:space="0" w:color="auto"/>
        <w:bottom w:val="none" w:sz="0" w:space="0" w:color="auto"/>
        <w:right w:val="none" w:sz="0" w:space="0" w:color="auto"/>
      </w:divBdr>
      <w:divsChild>
        <w:div w:id="1881283282">
          <w:marLeft w:val="547"/>
          <w:marRight w:val="0"/>
          <w:marTop w:val="0"/>
          <w:marBottom w:val="0"/>
          <w:divBdr>
            <w:top w:val="none" w:sz="0" w:space="0" w:color="auto"/>
            <w:left w:val="none" w:sz="0" w:space="0" w:color="auto"/>
            <w:bottom w:val="none" w:sz="0" w:space="0" w:color="auto"/>
            <w:right w:val="none" w:sz="0" w:space="0" w:color="auto"/>
          </w:divBdr>
        </w:div>
      </w:divsChild>
    </w:div>
    <w:div w:id="2011132687">
      <w:bodyDiv w:val="1"/>
      <w:marLeft w:val="0"/>
      <w:marRight w:val="0"/>
      <w:marTop w:val="0"/>
      <w:marBottom w:val="0"/>
      <w:divBdr>
        <w:top w:val="none" w:sz="0" w:space="0" w:color="auto"/>
        <w:left w:val="none" w:sz="0" w:space="0" w:color="auto"/>
        <w:bottom w:val="none" w:sz="0" w:space="0" w:color="auto"/>
        <w:right w:val="none" w:sz="0" w:space="0" w:color="auto"/>
      </w:divBdr>
    </w:div>
    <w:div w:id="2019500154">
      <w:bodyDiv w:val="1"/>
      <w:marLeft w:val="0"/>
      <w:marRight w:val="0"/>
      <w:marTop w:val="0"/>
      <w:marBottom w:val="0"/>
      <w:divBdr>
        <w:top w:val="none" w:sz="0" w:space="0" w:color="auto"/>
        <w:left w:val="none" w:sz="0" w:space="0" w:color="auto"/>
        <w:bottom w:val="none" w:sz="0" w:space="0" w:color="auto"/>
        <w:right w:val="none" w:sz="0" w:space="0" w:color="auto"/>
      </w:divBdr>
    </w:div>
    <w:div w:id="2026514585">
      <w:bodyDiv w:val="1"/>
      <w:marLeft w:val="0"/>
      <w:marRight w:val="0"/>
      <w:marTop w:val="0"/>
      <w:marBottom w:val="0"/>
      <w:divBdr>
        <w:top w:val="none" w:sz="0" w:space="0" w:color="auto"/>
        <w:left w:val="none" w:sz="0" w:space="0" w:color="auto"/>
        <w:bottom w:val="none" w:sz="0" w:space="0" w:color="auto"/>
        <w:right w:val="none" w:sz="0" w:space="0" w:color="auto"/>
      </w:divBdr>
    </w:div>
    <w:div w:id="2049797922">
      <w:bodyDiv w:val="1"/>
      <w:marLeft w:val="0"/>
      <w:marRight w:val="0"/>
      <w:marTop w:val="0"/>
      <w:marBottom w:val="0"/>
      <w:divBdr>
        <w:top w:val="none" w:sz="0" w:space="0" w:color="auto"/>
        <w:left w:val="none" w:sz="0" w:space="0" w:color="auto"/>
        <w:bottom w:val="none" w:sz="0" w:space="0" w:color="auto"/>
        <w:right w:val="none" w:sz="0" w:space="0" w:color="auto"/>
      </w:divBdr>
    </w:div>
    <w:div w:id="2067293015">
      <w:bodyDiv w:val="1"/>
      <w:marLeft w:val="0"/>
      <w:marRight w:val="0"/>
      <w:marTop w:val="0"/>
      <w:marBottom w:val="0"/>
      <w:divBdr>
        <w:top w:val="none" w:sz="0" w:space="0" w:color="auto"/>
        <w:left w:val="none" w:sz="0" w:space="0" w:color="auto"/>
        <w:bottom w:val="none" w:sz="0" w:space="0" w:color="auto"/>
        <w:right w:val="none" w:sz="0" w:space="0" w:color="auto"/>
      </w:divBdr>
    </w:div>
    <w:div w:id="2069456761">
      <w:bodyDiv w:val="1"/>
      <w:marLeft w:val="0"/>
      <w:marRight w:val="0"/>
      <w:marTop w:val="0"/>
      <w:marBottom w:val="0"/>
      <w:divBdr>
        <w:top w:val="none" w:sz="0" w:space="0" w:color="auto"/>
        <w:left w:val="none" w:sz="0" w:space="0" w:color="auto"/>
        <w:bottom w:val="none" w:sz="0" w:space="0" w:color="auto"/>
        <w:right w:val="none" w:sz="0" w:space="0" w:color="auto"/>
      </w:divBdr>
    </w:div>
    <w:div w:id="2115591774">
      <w:bodyDiv w:val="1"/>
      <w:marLeft w:val="0"/>
      <w:marRight w:val="0"/>
      <w:marTop w:val="0"/>
      <w:marBottom w:val="0"/>
      <w:divBdr>
        <w:top w:val="none" w:sz="0" w:space="0" w:color="auto"/>
        <w:left w:val="none" w:sz="0" w:space="0" w:color="auto"/>
        <w:bottom w:val="none" w:sz="0" w:space="0" w:color="auto"/>
        <w:right w:val="none" w:sz="0" w:space="0" w:color="auto"/>
      </w:divBdr>
    </w:div>
    <w:div w:id="2132287148">
      <w:bodyDiv w:val="1"/>
      <w:marLeft w:val="0"/>
      <w:marRight w:val="0"/>
      <w:marTop w:val="0"/>
      <w:marBottom w:val="0"/>
      <w:divBdr>
        <w:top w:val="none" w:sz="0" w:space="0" w:color="auto"/>
        <w:left w:val="none" w:sz="0" w:space="0" w:color="auto"/>
        <w:bottom w:val="none" w:sz="0" w:space="0" w:color="auto"/>
        <w:right w:val="none" w:sz="0" w:space="0" w:color="auto"/>
      </w:divBdr>
    </w:div>
    <w:div w:id="2138255948">
      <w:bodyDiv w:val="1"/>
      <w:marLeft w:val="0"/>
      <w:marRight w:val="0"/>
      <w:marTop w:val="0"/>
      <w:marBottom w:val="0"/>
      <w:divBdr>
        <w:top w:val="none" w:sz="0" w:space="0" w:color="auto"/>
        <w:left w:val="none" w:sz="0" w:space="0" w:color="auto"/>
        <w:bottom w:val="none" w:sz="0" w:space="0" w:color="auto"/>
        <w:right w:val="none" w:sz="0" w:space="0" w:color="auto"/>
      </w:divBdr>
    </w:div>
    <w:div w:id="213918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uropa.eu/eurobarometer/surveys/detail/3054" TargetMode="External"/><Relationship Id="rId117" Type="http://schemas.openxmlformats.org/officeDocument/2006/relationships/footer" Target="footer12.xml"/><Relationship Id="rId21" Type="http://schemas.openxmlformats.org/officeDocument/2006/relationships/hyperlink" Target="https://eur-lex.europa.eu/legal-content/LT/TXT/PDF/?uri=CELEX:52024DC0077" TargetMode="External"/><Relationship Id="rId42" Type="http://schemas.openxmlformats.org/officeDocument/2006/relationships/hyperlink" Target="https://reform-support.ec.europa.eu/integration-environmental-dimensions-public-finances_lt" TargetMode="External"/><Relationship Id="rId47" Type="http://schemas.openxmlformats.org/officeDocument/2006/relationships/hyperlink" Target="https://reform-support.ec.europa.eu/migrant-integration-and-talent-attraction_lt" TargetMode="External"/><Relationship Id="rId63" Type="http://schemas.openxmlformats.org/officeDocument/2006/relationships/hyperlink" Target="https://reform-support.ec.europa.eu/events-0/2023-technical-support-instrument-annual-conference_lt" TargetMode="External"/><Relationship Id="rId68" Type="http://schemas.openxmlformats.org/officeDocument/2006/relationships/hyperlink" Target="https://reform-support.ec.europa.eu/our-projects/country-factsheets_lt" TargetMode="External"/><Relationship Id="rId84" Type="http://schemas.openxmlformats.org/officeDocument/2006/relationships/header" Target="header5.xml"/><Relationship Id="rId89" Type="http://schemas.openxmlformats.org/officeDocument/2006/relationships/header" Target="header7.xml"/><Relationship Id="rId112" Type="http://schemas.openxmlformats.org/officeDocument/2006/relationships/header" Target="header10.xml"/><Relationship Id="rId16" Type="http://schemas.openxmlformats.org/officeDocument/2006/relationships/footer" Target="footer2.xml"/><Relationship Id="rId107" Type="http://schemas.openxmlformats.org/officeDocument/2006/relationships/hyperlink" Target="https://reform-support.ec.europa.eu/youth-first-supporting-children-and-youth-wellbeing-education-training-social-protection-and-labour_lt" TargetMode="External"/><Relationship Id="rId11" Type="http://schemas.openxmlformats.org/officeDocument/2006/relationships/endnotes" Target="endnotes.xml"/><Relationship Id="rId24" Type="http://schemas.openxmlformats.org/officeDocument/2006/relationships/hyperlink" Target="https://reform-support.ec.europa.eu/public-administration-and-governance-coordination/enhancing-european-administrative-space-compact_lt" TargetMode="External"/><Relationship Id="rId32" Type="http://schemas.openxmlformats.org/officeDocument/2006/relationships/hyperlink" Target="https://reform-support.ec.europa.eu/esg-risk-management-framework-financial-sector_lt" TargetMode="External"/><Relationship Id="rId37" Type="http://schemas.openxmlformats.org/officeDocument/2006/relationships/hyperlink" Target="https://reform-support.ec.europa.eu/pace-public-administration-cooperation-exchange_lt" TargetMode="External"/><Relationship Id="rId40" Type="http://schemas.openxmlformats.org/officeDocument/2006/relationships/hyperlink" Target="https://reform-support.ec.europa.eu/professionalization-public-procurement-personnel_lt" TargetMode="External"/><Relationship Id="rId45" Type="http://schemas.openxmlformats.org/officeDocument/2006/relationships/hyperlink" Target="https://reform-support.ec.europa.eu/esg-risk-management-framework-financial-sector_lt" TargetMode="External"/><Relationship Id="rId53" Type="http://schemas.openxmlformats.org/officeDocument/2006/relationships/hyperlink" Target="https://reform-support.ec.europa.eu/professionalization-public-procurement-personnel_lt" TargetMode="External"/><Relationship Id="rId58" Type="http://schemas.openxmlformats.org/officeDocument/2006/relationships/image" Target="media/image6.emf"/><Relationship Id="rId66" Type="http://schemas.openxmlformats.org/officeDocument/2006/relationships/hyperlink" Target="https://reform-support.ec.europa.eu/index_lt" TargetMode="External"/><Relationship Id="rId74" Type="http://schemas.openxmlformats.org/officeDocument/2006/relationships/hyperlink" Target="https://commission.europa.eu/publications/ex-post-evaluation-structural-reform-support-programme_lt" TargetMode="External"/><Relationship Id="rId79" Type="http://schemas.openxmlformats.org/officeDocument/2006/relationships/hyperlink" Target="https://commission.europa.eu/news/new-tools-reinforce-eus-economic-security-2024-01-24_lt" TargetMode="External"/><Relationship Id="rId87" Type="http://schemas.openxmlformats.org/officeDocument/2006/relationships/header" Target="header6.xml"/><Relationship Id="rId102" Type="http://schemas.openxmlformats.org/officeDocument/2006/relationships/hyperlink" Target="https://reform-support.ec.europa.eu/accelerating-permitting-renewable-energy_lt" TargetMode="External"/><Relationship Id="rId110" Type="http://schemas.openxmlformats.org/officeDocument/2006/relationships/image" Target="media/image9.png"/><Relationship Id="rId115" Type="http://schemas.openxmlformats.org/officeDocument/2006/relationships/footer" Target="footer11.xml"/><Relationship Id="rId5" Type="http://schemas.openxmlformats.org/officeDocument/2006/relationships/customXml" Target="../customXml/item5.xml"/><Relationship Id="rId61" Type="http://schemas.openxmlformats.org/officeDocument/2006/relationships/hyperlink" Target="https://commission.europa.eu/document/download/cbc14b0f-a302-41b9-960d-0065959b77c1_en?filename=b5_-_digital_finance_academy.pdf" TargetMode="External"/><Relationship Id="rId82" Type="http://schemas.openxmlformats.org/officeDocument/2006/relationships/hyperlink" Target="https://eur-lex.europa.eu/legal-content/LT/TXT/PDF/?uri=CELEX:52024DC0077" TargetMode="External"/><Relationship Id="rId90" Type="http://schemas.openxmlformats.org/officeDocument/2006/relationships/header" Target="header8.xml"/><Relationship Id="rId95" Type="http://schemas.openxmlformats.org/officeDocument/2006/relationships/image" Target="media/image8.emf"/><Relationship Id="rId19" Type="http://schemas.openxmlformats.org/officeDocument/2006/relationships/hyperlink" Target="https://reform-support.ec.europa.eu/public-administration-and-governance-coordination/enhancing-european-administrative-space-compact_lt" TargetMode="Externa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hyperlink" Target="https://reform-support.ec.europa.eu/tsi-2022-annual-conference_lt" TargetMode="External"/><Relationship Id="rId30" Type="http://schemas.openxmlformats.org/officeDocument/2006/relationships/hyperlink" Target="https://reform-support.ec.europa.eu/accelerating-permitting-renewable-energy_lt" TargetMode="External"/><Relationship Id="rId35" Type="http://schemas.openxmlformats.org/officeDocument/2006/relationships/hyperlink" Target="https://reform-support.ec.europa.eu/towards-person-centred-integrated-care_lt" TargetMode="External"/><Relationship Id="rId43" Type="http://schemas.openxmlformats.org/officeDocument/2006/relationships/hyperlink" Target="https://reform-support.ec.europa.eu/accelerating-permitting-renewable-energy_lt" TargetMode="External"/><Relationship Id="rId48" Type="http://schemas.openxmlformats.org/officeDocument/2006/relationships/hyperlink" Target="https://reform-support.ec.europa.eu/towards-person-centred-integrated-care_lt" TargetMode="External"/><Relationship Id="rId56" Type="http://schemas.openxmlformats.org/officeDocument/2006/relationships/hyperlink" Target="https://ec.europa.eu/commission/presscorner/detail/lt/ip_23_1625" TargetMode="External"/><Relationship Id="rId64" Type="http://schemas.openxmlformats.org/officeDocument/2006/relationships/hyperlink" Target="https://reform-support.ec.europa.eu/events-0/2023-technical-support-instrument-annual-conference_lt" TargetMode="External"/><Relationship Id="rId69" Type="http://schemas.openxmlformats.org/officeDocument/2006/relationships/hyperlink" Target="https://reform-support.ec.europa.eu/publications-0_en?f%5B0%5D=funding_programme_funding_programme%3A1027&amp;prefLang=lt" TargetMode="External"/><Relationship Id="rId77" Type="http://schemas.openxmlformats.org/officeDocument/2006/relationships/hyperlink" Target="https://commission.europa.eu/strategy-and-policy/priorities-2019-2024/european-green-deal/green-deal-industrial-plan_lt" TargetMode="External"/><Relationship Id="rId100" Type="http://schemas.openxmlformats.org/officeDocument/2006/relationships/hyperlink" Target="https://reform-support.ec.europa.eu/integration-environmental-dimensions-public-finances_lt" TargetMode="External"/><Relationship Id="rId105" Type="http://schemas.openxmlformats.org/officeDocument/2006/relationships/hyperlink" Target="https://commission.europa.eu/document/download/b2729e3b-ad6d-4d27-9eaf-86497d219fcc_en?filename=b2-digital_government_services.pdf" TargetMode="External"/><Relationship Id="rId113" Type="http://schemas.openxmlformats.org/officeDocument/2006/relationships/header" Target="header11.xml"/><Relationship Id="rId11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reform-support.ec.europa.eu/enhancing-quality-and-use-tax-information-exchanged-between-member-states_lt" TargetMode="External"/><Relationship Id="rId72" Type="http://schemas.openxmlformats.org/officeDocument/2006/relationships/hyperlink" Target="https://reform-support.ec.europa.eu/our-projects/projects-spotlight_lt" TargetMode="External"/><Relationship Id="rId80" Type="http://schemas.openxmlformats.org/officeDocument/2006/relationships/hyperlink" Target="https://state-of-the-union.ec.europa.eu/state-union-2023_lt" TargetMode="External"/><Relationship Id="rId85" Type="http://schemas.openxmlformats.org/officeDocument/2006/relationships/footer" Target="footer4.xml"/><Relationship Id="rId93" Type="http://schemas.openxmlformats.org/officeDocument/2006/relationships/header" Target="header9.xml"/><Relationship Id="rId98" Type="http://schemas.openxmlformats.org/officeDocument/2006/relationships/hyperlink" Target="https://reform-support.ec.europa.eu/esg-risk-management-framework-financial-sector_lt"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yperlink" Target="https://www.consilium.europa.eu/lt/meetings/compet/2023/12/07/" TargetMode="External"/><Relationship Id="rId33" Type="http://schemas.openxmlformats.org/officeDocument/2006/relationships/hyperlink" Target="https://reform-support.ec.europa.eu/support-industrial-ecosystems_lt" TargetMode="External"/><Relationship Id="rId38" Type="http://schemas.openxmlformats.org/officeDocument/2006/relationships/hyperlink" Target="https://reform-support.ec.europa.eu/enhancing-quality-and-use-tax-information-exchanged-between-member-states_lt" TargetMode="External"/><Relationship Id="rId46" Type="http://schemas.openxmlformats.org/officeDocument/2006/relationships/hyperlink" Target="https://reform-support.ec.europa.eu/support-industrial-ecosystems_lt" TargetMode="External"/><Relationship Id="rId59" Type="http://schemas.openxmlformats.org/officeDocument/2006/relationships/image" Target="media/image7.emf"/><Relationship Id="rId67" Type="http://schemas.openxmlformats.org/officeDocument/2006/relationships/hyperlink" Target="https://reform-support.ec.europa.eu/what-we-do_lt" TargetMode="External"/><Relationship Id="rId103" Type="http://schemas.openxmlformats.org/officeDocument/2006/relationships/hyperlink" Target="https://commission.europa.eu/document/download/c98f6786-bc6e-4cfb-a222-fb8a55e95833_en?filename=b3-just_transition.pdf" TargetMode="External"/><Relationship Id="rId108" Type="http://schemas.openxmlformats.org/officeDocument/2006/relationships/hyperlink" Target="https://reform-support.ec.europa.eu/migrant-integration-and-talent-attraction_lt" TargetMode="External"/><Relationship Id="rId116" Type="http://schemas.openxmlformats.org/officeDocument/2006/relationships/header" Target="header12.xml"/><Relationship Id="rId20" Type="http://schemas.openxmlformats.org/officeDocument/2006/relationships/hyperlink" Target="https://eur-lex.europa.eu/legal-content/LT/TXT/PDF/?uri=CELEX:52023DC0162" TargetMode="External"/><Relationship Id="rId41" Type="http://schemas.openxmlformats.org/officeDocument/2006/relationships/hyperlink" Target="https://reform-support.ec.europa.eu/digital-transformation-regional-and-local-public-administrations_lt" TargetMode="External"/><Relationship Id="rId54" Type="http://schemas.openxmlformats.org/officeDocument/2006/relationships/hyperlink" Target="https://reform-support.ec.europa.eu/digital-transformation-regional-and-local-public-administrations_lt" TargetMode="External"/><Relationship Id="rId62" Type="http://schemas.openxmlformats.org/officeDocument/2006/relationships/hyperlink" Target="https://reform-support.ec.europa.eu/events-0/technical-support-instrument-2023-press-conference_lt" TargetMode="External"/><Relationship Id="rId70" Type="http://schemas.openxmlformats.org/officeDocument/2006/relationships/hyperlink" Target="https://twitter.com/EU_reforms" TargetMode="External"/><Relationship Id="rId75" Type="http://schemas.openxmlformats.org/officeDocument/2006/relationships/hyperlink" Target="https://eur-lex.europa.eu/eli/reg/2021/240/oj" TargetMode="External"/><Relationship Id="rId83" Type="http://schemas.openxmlformats.org/officeDocument/2006/relationships/header" Target="header4.xml"/><Relationship Id="rId88" Type="http://schemas.openxmlformats.org/officeDocument/2006/relationships/footer" Target="footer6.xml"/><Relationship Id="rId91" Type="http://schemas.openxmlformats.org/officeDocument/2006/relationships/footer" Target="footer7.xml"/><Relationship Id="rId96" Type="http://schemas.openxmlformats.org/officeDocument/2006/relationships/hyperlink" Target="https://commission.europa.eu/document/download/8855c795-7b04-4b93-849d-32197805e838_en?filename=b3_tourism.pdf" TargetMode="External"/><Relationship Id="rId11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hyperlink" Target="https://commission.europa.eu/document/download/cbc14b0f-a302-41b9-960d-0065959b77c1_en?filename=b5_-_digital_finance_academy.pdf" TargetMode="External"/><Relationship Id="rId36" Type="http://schemas.openxmlformats.org/officeDocument/2006/relationships/hyperlink" Target="https://reform-support.ec.europa.eu/youth-first-supporting-children-and-youth-wellbeing-education-training-social-protection-and-labour_lt" TargetMode="External"/><Relationship Id="rId49" Type="http://schemas.openxmlformats.org/officeDocument/2006/relationships/hyperlink" Target="https://reform-support.ec.europa.eu/youth-first-supporting-children-and-youth-wellbeing-education-training-social-protection-and-labour_lt" TargetMode="External"/><Relationship Id="rId57" Type="http://schemas.openxmlformats.org/officeDocument/2006/relationships/image" Target="media/image5.png"/><Relationship Id="rId106" Type="http://schemas.openxmlformats.org/officeDocument/2006/relationships/hyperlink" Target="https://reform-support.ec.europa.eu/digital-transformation-regional-and-local-public-administrations_lt" TargetMode="External"/><Relationship Id="rId114" Type="http://schemas.openxmlformats.org/officeDocument/2006/relationships/footer" Target="footer10.xml"/><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reform-support.ec.europa.eu/support-climate-adaptation_lt" TargetMode="External"/><Relationship Id="rId44" Type="http://schemas.openxmlformats.org/officeDocument/2006/relationships/hyperlink" Target="https://reform-support.ec.europa.eu/support-climate-adaptation_lt" TargetMode="External"/><Relationship Id="rId52" Type="http://schemas.openxmlformats.org/officeDocument/2006/relationships/hyperlink" Target="https://reform-support.ec.europa.eu/professionalization-public-procurement-personnel_lt" TargetMode="External"/><Relationship Id="rId60" Type="http://schemas.openxmlformats.org/officeDocument/2006/relationships/hyperlink" Target="https://reform-support.ec.europa.eu/what-we-do/green-transition/enhancing-eu-mining-regional-ecosystems-support-green-transition-and-secure-mineral-raw-materials_en?prefLang=lt" TargetMode="External"/><Relationship Id="rId65" Type="http://schemas.openxmlformats.org/officeDocument/2006/relationships/hyperlink" Target="https://reform-support.ec.europa.eu/events-0_en?prefLang=lt" TargetMode="External"/><Relationship Id="rId73" Type="http://schemas.openxmlformats.org/officeDocument/2006/relationships/hyperlink" Target="https://op.europa.eu/webpub/com/general-report-2023/lt/" TargetMode="External"/><Relationship Id="rId78" Type="http://schemas.openxmlformats.org/officeDocument/2006/relationships/hyperlink" Target="https://www.europarl.europa.eu/RegData/docs_autres_institutions/commission_europeenne/com/2023/0168/COM_COM(2023)0168_LT.pdf" TargetMode="External"/><Relationship Id="rId81" Type="http://schemas.openxmlformats.org/officeDocument/2006/relationships/hyperlink" Target="https://eur-lex.europa.eu/legal-content/LT/TXT/PDF/?uri=CELEX:52023DC0162" TargetMode="External"/><Relationship Id="rId86" Type="http://schemas.openxmlformats.org/officeDocument/2006/relationships/footer" Target="footer5.xml"/><Relationship Id="rId94" Type="http://schemas.openxmlformats.org/officeDocument/2006/relationships/footer" Target="footer9.xml"/><Relationship Id="rId99" Type="http://schemas.openxmlformats.org/officeDocument/2006/relationships/hyperlink" Target="https://commission.europa.eu/document/download/cbc14b0f-a302-41b9-960d-0065959b77c1_en?filename=b5_-_digital_finance_academy.pdf" TargetMode="External"/><Relationship Id="rId101" Type="http://schemas.openxmlformats.org/officeDocument/2006/relationships/hyperlink" Target="https://commission.europa.eu/document/download/96a18ef4-ae1b-4490-bcbf-8686ca0e9706_en?filename=b3-recharge_and_refuel.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reform-support.ec.europa.eu/professionalization-public-procurement-personnel_lt" TargetMode="External"/><Relationship Id="rId109" Type="http://schemas.openxmlformats.org/officeDocument/2006/relationships/hyperlink" Target="https://reform-support.ec.europa.eu/public-administration-and-governance-coordination/enhancing-european-administrative-space-compact_lt" TargetMode="External"/><Relationship Id="rId34" Type="http://schemas.openxmlformats.org/officeDocument/2006/relationships/hyperlink" Target="https://reform-support.ec.europa.eu/migrant-integration-and-talent-attraction_lt" TargetMode="External"/><Relationship Id="rId50" Type="http://schemas.openxmlformats.org/officeDocument/2006/relationships/hyperlink" Target="https://reform-support.ec.europa.eu/pace-public-administration-cooperation-exchange_lt" TargetMode="External"/><Relationship Id="rId55" Type="http://schemas.openxmlformats.org/officeDocument/2006/relationships/image" Target="media/image4.emf"/><Relationship Id="rId76" Type="http://schemas.openxmlformats.org/officeDocument/2006/relationships/hyperlink" Target="https://commission.europa.eu/strategy-and-policy/priorities-2019-2024/europe-fit-digital-age/european-industrial-strategy_lt" TargetMode="External"/><Relationship Id="rId97" Type="http://schemas.openxmlformats.org/officeDocument/2006/relationships/hyperlink" Target="https://reform-support.ec.europa.eu/support-industrial-ecosystems_lt" TargetMode="External"/><Relationship Id="rId104" Type="http://schemas.openxmlformats.org/officeDocument/2006/relationships/hyperlink" Target="https://commission.europa.eu/document/download/b518c6c4-8705-4dbf-a8ec-25747fe2b43e_en?filename=b3-renovation_wave_.pdf" TargetMode="External"/><Relationship Id="rId7" Type="http://schemas.openxmlformats.org/officeDocument/2006/relationships/styles" Target="styles.xml"/><Relationship Id="rId71" Type="http://schemas.openxmlformats.org/officeDocument/2006/relationships/hyperlink" Target="https://www.youtube.com/%40dgreform" TargetMode="External"/><Relationship Id="rId92"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yperlink" Target="https://reform-support.ec.europa.eu/integration-environmental-dimensions-public-finances_l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eli/reg/2021/241/oj" TargetMode="External"/><Relationship Id="rId1" Type="http://schemas.openxmlformats.org/officeDocument/2006/relationships/hyperlink" Target="https://commission.europa.eu/funding-tenders/find-funding/eu-funding-programmes/technical-support-instrument/technical-support-instrument-tsi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Report has as purpose to provide the European Parliament and the Council with an annual monitoring on the implementation of the Technical Support Instrument, including information on requests for support submitted by Member States, on analyses of the application of the criteria for assessing the requests for support, on cooperation and support plans, on participation of reform partners, and on special measures adopted.</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5FD0F7B257CC4BACBC6B75308D865C" ma:contentTypeVersion="14" ma:contentTypeDescription="Create a new document." ma:contentTypeScope="" ma:versionID="b5d30ece43120f6b0890267cb43fa09c">
  <xsd:schema xmlns:xsd="http://www.w3.org/2001/XMLSchema" xmlns:xs="http://www.w3.org/2001/XMLSchema" xmlns:p="http://schemas.microsoft.com/office/2006/metadata/properties" xmlns:ns2="8d82ef2e-2665-4d75-ad12-ca052c5613cd" xmlns:ns3="49348720-65ca-4d9d-a954-f64b3d9cc462" xmlns:ns4="0ba0941e-b5c2-4031-bcd1-7e0f9f0f36e7" targetNamespace="http://schemas.microsoft.com/office/2006/metadata/properties" ma:root="true" ma:fieldsID="278428af3c048cd2b4cf807e6dd7cfe1" ns2:_="" ns3:_="" ns4:_="">
    <xsd:import namespace="8d82ef2e-2665-4d75-ad12-ca052c5613cd"/>
    <xsd:import namespace="49348720-65ca-4d9d-a954-f64b3d9cc462"/>
    <xsd:import namespace="0ba0941e-b5c2-4031-bcd1-7e0f9f0f36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2ef2e-2665-4d75-ad12-ca052c5613cd"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348720-65ca-4d9d-a954-f64b3d9cc4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a0941e-b5c2-4031-bcd1-7e0f9f0f36e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f730ef-0004-4d10-92bb-fbb726e1be6b}" ma:internalName="TaxCatchAll" ma:showField="CatchAllData" ma:web="0ba0941e-b5c2-4031-bcd1-7e0f9f0f3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ba0941e-b5c2-4031-bcd1-7e0f9f0f36e7" xsi:nil="true"/>
    <lcf76f155ced4ddcb4097134ff3c332f xmlns="49348720-65ca-4d9d-a954-f64b3d9cc46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8D27B1-ED73-4F75-A223-39205B7C7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2ef2e-2665-4d75-ad12-ca052c5613cd"/>
    <ds:schemaRef ds:uri="49348720-65ca-4d9d-a954-f64b3d9cc462"/>
    <ds:schemaRef ds:uri="0ba0941e-b5c2-4031-bcd1-7e0f9f0f3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E589CF-4BC2-4949-A8CA-F9C213406C71}">
  <ds:schemaRefs>
    <ds:schemaRef ds:uri="http://schemas.microsoft.com/sharepoint/v3/contenttype/forms"/>
  </ds:schemaRefs>
</ds:datastoreItem>
</file>

<file path=customXml/itemProps4.xml><?xml version="1.0" encoding="utf-8"?>
<ds:datastoreItem xmlns:ds="http://schemas.openxmlformats.org/officeDocument/2006/customXml" ds:itemID="{D6B5786F-B21B-46F4-BE87-A3F64B160858}">
  <ds:schemaRefs>
    <ds:schemaRef ds:uri="http://schemas.microsoft.com/office/2006/metadata/properties"/>
    <ds:schemaRef ds:uri="http://schemas.microsoft.com/office/infopath/2007/PartnerControls"/>
    <ds:schemaRef ds:uri="0ba0941e-b5c2-4031-bcd1-7e0f9f0f36e7"/>
    <ds:schemaRef ds:uri="49348720-65ca-4d9d-a954-f64b3d9cc462"/>
  </ds:schemaRefs>
</ds:datastoreItem>
</file>

<file path=customXml/itemProps5.xml><?xml version="1.0" encoding="utf-8"?>
<ds:datastoreItem xmlns:ds="http://schemas.openxmlformats.org/officeDocument/2006/customXml" ds:itemID="{EC977A92-15EF-4618-A238-800384F2B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10404</Words>
  <Characters>59304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technical support instrument 2021</vt:lpstr>
    </vt:vector>
  </TitlesOfParts>
  <Manager/>
  <Company/>
  <LinksUpToDate>false</LinksUpToDate>
  <CharactersWithSpaces>69569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support instrument 2021</dc:title>
  <dc:subject/>
  <dc:creator/>
  <cp:keywords/>
  <dc:description/>
  <cp:lastModifiedBy/>
  <cp:revision>13</cp:revision>
  <cp:lastPrinted>2023-05-29T03:16:00Z</cp:lastPrinted>
  <dcterms:created xsi:type="dcterms:W3CDTF">2024-10-07T09:38:00Z</dcterms:created>
  <dcterms:modified xsi:type="dcterms:W3CDTF">2024-10-09T08:00:00Z</dcterms:modified>
  <cp:category>Unit A2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2022-07-29T06:57:36Z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1cfadfbb-614e-42a5-9d66-e2a901553179</vt:lpwstr>
  </property>
  <property fmtid="{D5CDD505-2E9C-101B-9397-08002B2CF9AE}" pid="8" name="MSIP_Label_6bd9ddd1-4d20-43f6-abfa-fc3c07406f94_ContentBits">
    <vt:lpwstr>0</vt:lpwstr>
  </property>
  <property fmtid="{D5CDD505-2E9C-101B-9397-08002B2CF9AE}" pid="9" name="ContentTypeId">
    <vt:lpwstr>0x0101003BFB6BA19BD1CF46B4277EABC037A4B6</vt:lpwstr>
  </property>
  <property fmtid="{D5CDD505-2E9C-101B-9397-08002B2CF9AE}" pid="10" name="MediaServiceImageTags">
    <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DocStatus">
    <vt:lpwstr>Green</vt:lpwstr>
  </property>
  <property fmtid="{D5CDD505-2E9C-101B-9397-08002B2CF9AE}" pid="15" name="CPTemplateID">
    <vt:lpwstr>CP-006</vt:lpwstr>
  </property>
  <property fmtid="{D5CDD505-2E9C-101B-9397-08002B2CF9AE}" pid="16" name="Last edited using">
    <vt:lpwstr>LW 9.0, Build 20230317</vt:lpwstr>
  </property>
  <property fmtid="{D5CDD505-2E9C-101B-9397-08002B2CF9AE}" pid="17" name="Created using">
    <vt:lpwstr>LW 9.0, Build 20230317</vt:lpwstr>
  </property>
  <property name="OP_sanitized" fmtid="{D5CDD505-2E9C-101B-9397-08002B2CF9AE}" pid="18">
    <vt:lpwstr>True</vt:lpwstr>
  </property>
</Properties>
</file>