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710BB" w14:textId="7EE87EEB" w:rsidR="00655A36" w:rsidRDefault="00347FD2" w:rsidP="00347FD2">
      <w:pPr>
        <w:pStyle w:val="Pagedecouverture"/>
        <w:rPr>
          <w:noProof/>
        </w:rPr>
      </w:pPr>
      <w:bookmarkStart w:id="0" w:name="LW_BM_COVERPAGE"/>
      <w:r>
        <w:rPr>
          <w:noProof/>
        </w:rPr>
        <w:pict w14:anchorId="6DA688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38432A86-86F3-4D84-802F-F35A85CA2CC6" style="width:455.25pt;height:310.5pt">
            <v:imagedata r:id="rId14" o:title=""/>
          </v:shape>
        </w:pict>
      </w:r>
    </w:p>
    <w:bookmarkEnd w:id="0"/>
    <w:p w14:paraId="78984B0B" w14:textId="77777777" w:rsidR="00C27875" w:rsidRDefault="00C27875" w:rsidP="00C27875">
      <w:pPr>
        <w:rPr>
          <w:noProof/>
        </w:rPr>
        <w:sectPr w:rsidR="00C27875" w:rsidSect="00347FD2">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0A0A19E6" w14:textId="77777777" w:rsidR="00584AD0" w:rsidRDefault="00584AD0" w:rsidP="00655A36">
      <w:pPr>
        <w:pStyle w:val="Pagedecouverture"/>
        <w:rPr>
          <w:noProof/>
        </w:rPr>
      </w:pPr>
      <w:bookmarkStart w:id="1" w:name="_GoBack"/>
      <w:bookmarkEnd w:id="1"/>
    </w:p>
    <w:sdt>
      <w:sdtPr>
        <w:rPr>
          <w:rFonts w:ascii="Times New Roman" w:hAnsi="Times New Roman"/>
          <w:b w:val="0"/>
          <w:caps w:val="0"/>
          <w:noProof/>
        </w:rPr>
        <w:alias w:val="Turinys"/>
        <w:tag w:val="2OIKVGtmzwJ66PTlFMFRa4"/>
        <w:id w:val="1523909890"/>
      </w:sdtPr>
      <w:sdtEndPr>
        <w:rPr>
          <w:rFonts w:ascii="EC Square Sans Pro" w:hAnsi="EC Square Sans Pro"/>
        </w:rPr>
      </w:sdtEndPr>
      <w:sdtContent>
        <w:p w14:paraId="70E586DA" w14:textId="335B979D" w:rsidR="00584AD0" w:rsidRPr="00BA5CF6" w:rsidRDefault="00117DA5">
          <w:pPr>
            <w:pStyle w:val="TOCHeading"/>
            <w:rPr>
              <w:rFonts w:ascii="EC Square Sans Pro" w:hAnsi="EC Square Sans Pro"/>
              <w:noProof/>
            </w:rPr>
          </w:pPr>
          <w:r>
            <w:rPr>
              <w:rFonts w:ascii="EC Square Sans Pro" w:hAnsi="EC Square Sans Pro"/>
              <w:noProof/>
              <w:color w:val="0070C0"/>
            </w:rPr>
            <w:t>Turinys</w:t>
          </w:r>
        </w:p>
        <w:p w14:paraId="6B3A617D" w14:textId="66676369" w:rsidR="0073385B" w:rsidRDefault="00584AD0">
          <w:pPr>
            <w:pStyle w:val="TOC5"/>
            <w:rPr>
              <w:rFonts w:asciiTheme="minorHAnsi" w:eastAsiaTheme="minorEastAsia" w:hAnsiTheme="minorHAnsi" w:cstheme="minorBidi"/>
              <w:caps w:val="0"/>
              <w:noProof/>
              <w:kern w:val="2"/>
              <w:sz w:val="22"/>
              <w:szCs w:val="22"/>
              <w:lang w:val="en-IE" w:eastAsia="en-IE"/>
              <w14:ligatures w14:val="standardContextual"/>
            </w:rPr>
          </w:pPr>
          <w:r>
            <w:rPr>
              <w:noProof/>
            </w:rPr>
            <w:fldChar w:fldCharType="begin"/>
          </w:r>
          <w:r>
            <w:rPr>
              <w:noProof/>
            </w:rPr>
            <w:instrText>TOC \o "1-4" \h \t "Article;1;ChapterTitle;5;PartTitle;5;SectionTitle;5;AnnexTitle;6"</w:instrText>
          </w:r>
          <w:r>
            <w:rPr>
              <w:noProof/>
            </w:rPr>
            <w:fldChar w:fldCharType="separate"/>
          </w:r>
          <w:hyperlink w:anchor="_Toc170740349" w:history="1">
            <w:r w:rsidR="0073385B" w:rsidRPr="00353BB7">
              <w:rPr>
                <w:rStyle w:val="Hyperlink"/>
                <w:noProof/>
              </w:rPr>
              <w:t>ĮVADAS</w:t>
            </w:r>
            <w:r w:rsidR="0073385B">
              <w:rPr>
                <w:noProof/>
              </w:rPr>
              <w:tab/>
            </w:r>
            <w:r w:rsidR="0073385B">
              <w:rPr>
                <w:noProof/>
              </w:rPr>
              <w:fldChar w:fldCharType="begin"/>
            </w:r>
            <w:r w:rsidR="0073385B">
              <w:rPr>
                <w:noProof/>
              </w:rPr>
              <w:instrText xml:space="preserve"> PAGEREF _Toc170740349 \h </w:instrText>
            </w:r>
            <w:r w:rsidR="0073385B">
              <w:rPr>
                <w:noProof/>
              </w:rPr>
            </w:r>
            <w:r w:rsidR="0073385B">
              <w:rPr>
                <w:noProof/>
              </w:rPr>
              <w:fldChar w:fldCharType="separate"/>
            </w:r>
            <w:r w:rsidR="0073385B">
              <w:rPr>
                <w:noProof/>
              </w:rPr>
              <w:t>1</w:t>
            </w:r>
            <w:r w:rsidR="0073385B">
              <w:rPr>
                <w:noProof/>
              </w:rPr>
              <w:fldChar w:fldCharType="end"/>
            </w:r>
          </w:hyperlink>
        </w:p>
        <w:p w14:paraId="39BAE3C8" w14:textId="3A035089" w:rsidR="0073385B" w:rsidRDefault="00347FD2">
          <w:pPr>
            <w:pStyle w:val="TOC1"/>
            <w:rPr>
              <w:rFonts w:asciiTheme="minorHAnsi" w:eastAsiaTheme="minorEastAsia" w:hAnsiTheme="minorHAnsi" w:cstheme="minorBidi"/>
              <w:noProof/>
              <w:kern w:val="2"/>
              <w:sz w:val="22"/>
              <w:szCs w:val="22"/>
              <w:lang w:val="en-IE" w:eastAsia="en-IE"/>
              <w14:ligatures w14:val="standardContextual"/>
            </w:rPr>
          </w:pPr>
          <w:hyperlink w:anchor="_Toc170740350" w:history="1">
            <w:r w:rsidR="0073385B" w:rsidRPr="00353BB7">
              <w:rPr>
                <w:rStyle w:val="Hyperlink"/>
                <w:noProof/>
              </w:rPr>
              <w:t>1 dalis. 2023</w:t>
            </w:r>
            <w:r w:rsidR="0073385B" w:rsidRPr="00353BB7">
              <w:rPr>
                <w:rStyle w:val="Hyperlink"/>
                <w:rFonts w:ascii="Calibri" w:hAnsi="Calibri" w:cs="Calibri"/>
                <w:noProof/>
              </w:rPr>
              <w:t> </w:t>
            </w:r>
            <w:r w:rsidR="0073385B" w:rsidRPr="00353BB7">
              <w:rPr>
                <w:rStyle w:val="Hyperlink"/>
                <w:noProof/>
              </w:rPr>
              <w:t>m. pagrindiniai etapai</w:t>
            </w:r>
            <w:r w:rsidR="0073385B">
              <w:rPr>
                <w:noProof/>
              </w:rPr>
              <w:tab/>
            </w:r>
            <w:r w:rsidR="0073385B">
              <w:rPr>
                <w:noProof/>
              </w:rPr>
              <w:fldChar w:fldCharType="begin"/>
            </w:r>
            <w:r w:rsidR="0073385B">
              <w:rPr>
                <w:noProof/>
              </w:rPr>
              <w:instrText xml:space="preserve"> PAGEREF _Toc170740350 \h </w:instrText>
            </w:r>
            <w:r w:rsidR="0073385B">
              <w:rPr>
                <w:noProof/>
              </w:rPr>
            </w:r>
            <w:r w:rsidR="0073385B">
              <w:rPr>
                <w:noProof/>
              </w:rPr>
              <w:fldChar w:fldCharType="separate"/>
            </w:r>
            <w:r w:rsidR="0073385B">
              <w:rPr>
                <w:noProof/>
              </w:rPr>
              <w:t>2</w:t>
            </w:r>
            <w:r w:rsidR="0073385B">
              <w:rPr>
                <w:noProof/>
              </w:rPr>
              <w:fldChar w:fldCharType="end"/>
            </w:r>
          </w:hyperlink>
        </w:p>
        <w:p w14:paraId="51C154BC" w14:textId="07BE244A" w:rsidR="0073385B" w:rsidRDefault="00347FD2">
          <w:pPr>
            <w:pStyle w:val="TOC2"/>
            <w:rPr>
              <w:rFonts w:asciiTheme="minorHAnsi" w:eastAsiaTheme="minorEastAsia" w:hAnsiTheme="minorHAnsi" w:cstheme="minorBidi"/>
              <w:kern w:val="2"/>
              <w:sz w:val="22"/>
              <w:szCs w:val="22"/>
              <w:lang w:val="en-IE" w:eastAsia="en-IE"/>
              <w14:ligatures w14:val="standardContextual"/>
            </w:rPr>
          </w:pPr>
          <w:hyperlink w:anchor="_Toc170740351" w:history="1">
            <w:r w:rsidR="0073385B" w:rsidRPr="00353BB7">
              <w:rPr>
                <w:rStyle w:val="Hyperlink"/>
              </w:rPr>
              <w:t>1.1. Bendra apžvalga</w:t>
            </w:r>
            <w:r w:rsidR="0073385B">
              <w:tab/>
            </w:r>
            <w:r w:rsidR="0073385B">
              <w:fldChar w:fldCharType="begin"/>
            </w:r>
            <w:r w:rsidR="0073385B">
              <w:instrText xml:space="preserve"> PAGEREF _Toc170740351 \h </w:instrText>
            </w:r>
            <w:r w:rsidR="0073385B">
              <w:fldChar w:fldCharType="separate"/>
            </w:r>
            <w:r w:rsidR="0073385B">
              <w:t>2</w:t>
            </w:r>
            <w:r w:rsidR="0073385B">
              <w:fldChar w:fldCharType="end"/>
            </w:r>
          </w:hyperlink>
        </w:p>
        <w:p w14:paraId="00DC8B6A" w14:textId="49A861BF" w:rsidR="0073385B" w:rsidRDefault="00347FD2">
          <w:pPr>
            <w:pStyle w:val="TOC2"/>
            <w:rPr>
              <w:rFonts w:asciiTheme="minorHAnsi" w:eastAsiaTheme="minorEastAsia" w:hAnsiTheme="minorHAnsi" w:cstheme="minorBidi"/>
              <w:kern w:val="2"/>
              <w:sz w:val="22"/>
              <w:szCs w:val="22"/>
              <w:lang w:val="en-IE" w:eastAsia="en-IE"/>
              <w14:ligatures w14:val="standardContextual"/>
            </w:rPr>
          </w:pPr>
          <w:hyperlink w:anchor="_Toc170740352" w:history="1">
            <w:r w:rsidR="0073385B" w:rsidRPr="00353BB7">
              <w:rPr>
                <w:rStyle w:val="Hyperlink"/>
              </w:rPr>
              <w:t>1.2. Skyrių struktūra</w:t>
            </w:r>
            <w:r w:rsidR="0073385B">
              <w:tab/>
            </w:r>
            <w:r w:rsidR="0073385B">
              <w:fldChar w:fldCharType="begin"/>
            </w:r>
            <w:r w:rsidR="0073385B">
              <w:instrText xml:space="preserve"> PAGEREF _Toc170740352 \h </w:instrText>
            </w:r>
            <w:r w:rsidR="0073385B">
              <w:fldChar w:fldCharType="separate"/>
            </w:r>
            <w:r w:rsidR="0073385B">
              <w:t>2</w:t>
            </w:r>
            <w:r w:rsidR="0073385B">
              <w:fldChar w:fldCharType="end"/>
            </w:r>
          </w:hyperlink>
        </w:p>
        <w:p w14:paraId="27DD1031" w14:textId="6CC8BA91" w:rsidR="0073385B" w:rsidRDefault="00347FD2">
          <w:pPr>
            <w:pStyle w:val="TOC2"/>
            <w:rPr>
              <w:rFonts w:asciiTheme="minorHAnsi" w:eastAsiaTheme="minorEastAsia" w:hAnsiTheme="minorHAnsi" w:cstheme="minorBidi"/>
              <w:kern w:val="2"/>
              <w:sz w:val="22"/>
              <w:szCs w:val="22"/>
              <w:lang w:val="en-IE" w:eastAsia="en-IE"/>
              <w14:ligatures w14:val="standardContextual"/>
            </w:rPr>
          </w:pPr>
          <w:hyperlink w:anchor="_Toc170740353" w:history="1">
            <w:r w:rsidR="0073385B" w:rsidRPr="00353BB7">
              <w:rPr>
                <w:rStyle w:val="Hyperlink"/>
              </w:rPr>
              <w:t>1.3. Reikalavimai mokėti pagal garantiją ir mokėjimo prašymai</w:t>
            </w:r>
            <w:r w:rsidR="0073385B">
              <w:tab/>
            </w:r>
            <w:r w:rsidR="0073385B">
              <w:fldChar w:fldCharType="begin"/>
            </w:r>
            <w:r w:rsidR="0073385B">
              <w:instrText xml:space="preserve"> PAGEREF _Toc170740353 \h </w:instrText>
            </w:r>
            <w:r w:rsidR="0073385B">
              <w:fldChar w:fldCharType="separate"/>
            </w:r>
            <w:r w:rsidR="0073385B">
              <w:t>4</w:t>
            </w:r>
            <w:r w:rsidR="0073385B">
              <w:fldChar w:fldCharType="end"/>
            </w:r>
          </w:hyperlink>
        </w:p>
        <w:p w14:paraId="66C2E17F" w14:textId="3D4D1212" w:rsidR="0073385B" w:rsidRDefault="00347FD2">
          <w:pPr>
            <w:pStyle w:val="TOC2"/>
            <w:rPr>
              <w:rFonts w:asciiTheme="minorHAnsi" w:eastAsiaTheme="minorEastAsia" w:hAnsiTheme="minorHAnsi" w:cstheme="minorBidi"/>
              <w:kern w:val="2"/>
              <w:sz w:val="22"/>
              <w:szCs w:val="22"/>
              <w:lang w:val="en-IE" w:eastAsia="en-IE"/>
              <w14:ligatures w14:val="standardContextual"/>
            </w:rPr>
          </w:pPr>
          <w:hyperlink w:anchor="_Toc170740354" w:history="1">
            <w:r w:rsidR="0073385B" w:rsidRPr="00353BB7">
              <w:rPr>
                <w:rStyle w:val="Hyperlink"/>
              </w:rPr>
              <w:t>1.4. Faktinė atidėjinių norma</w:t>
            </w:r>
            <w:r w:rsidR="0073385B">
              <w:tab/>
            </w:r>
            <w:r w:rsidR="0073385B">
              <w:fldChar w:fldCharType="begin"/>
            </w:r>
            <w:r w:rsidR="0073385B">
              <w:instrText xml:space="preserve"> PAGEREF _Toc170740354 \h </w:instrText>
            </w:r>
            <w:r w:rsidR="0073385B">
              <w:fldChar w:fldCharType="separate"/>
            </w:r>
            <w:r w:rsidR="0073385B">
              <w:t>6</w:t>
            </w:r>
            <w:r w:rsidR="0073385B">
              <w:fldChar w:fldCharType="end"/>
            </w:r>
          </w:hyperlink>
        </w:p>
        <w:p w14:paraId="5D51A53B" w14:textId="696C9B6A" w:rsidR="0073385B" w:rsidRDefault="00347FD2">
          <w:pPr>
            <w:pStyle w:val="TOC1"/>
            <w:rPr>
              <w:rFonts w:asciiTheme="minorHAnsi" w:eastAsiaTheme="minorEastAsia" w:hAnsiTheme="minorHAnsi" w:cstheme="minorBidi"/>
              <w:noProof/>
              <w:kern w:val="2"/>
              <w:sz w:val="22"/>
              <w:szCs w:val="22"/>
              <w:lang w:val="en-IE" w:eastAsia="en-IE"/>
              <w14:ligatures w14:val="standardContextual"/>
            </w:rPr>
          </w:pPr>
          <w:hyperlink w:anchor="_Toc170740355" w:history="1">
            <w:r w:rsidR="0073385B" w:rsidRPr="00353BB7">
              <w:rPr>
                <w:rStyle w:val="Hyperlink"/>
                <w:noProof/>
              </w:rPr>
              <w:t>2 dalis. Investavimo strategija, portfelio sudėtis ir rezultatai</w:t>
            </w:r>
            <w:r w:rsidR="0073385B">
              <w:rPr>
                <w:noProof/>
              </w:rPr>
              <w:tab/>
            </w:r>
            <w:r w:rsidR="0073385B">
              <w:rPr>
                <w:noProof/>
              </w:rPr>
              <w:fldChar w:fldCharType="begin"/>
            </w:r>
            <w:r w:rsidR="0073385B">
              <w:rPr>
                <w:noProof/>
              </w:rPr>
              <w:instrText xml:space="preserve"> PAGEREF _Toc170740355 \h </w:instrText>
            </w:r>
            <w:r w:rsidR="0073385B">
              <w:rPr>
                <w:noProof/>
              </w:rPr>
            </w:r>
            <w:r w:rsidR="0073385B">
              <w:rPr>
                <w:noProof/>
              </w:rPr>
              <w:fldChar w:fldCharType="separate"/>
            </w:r>
            <w:r w:rsidR="0073385B">
              <w:rPr>
                <w:noProof/>
              </w:rPr>
              <w:t>7</w:t>
            </w:r>
            <w:r w:rsidR="0073385B">
              <w:rPr>
                <w:noProof/>
              </w:rPr>
              <w:fldChar w:fldCharType="end"/>
            </w:r>
          </w:hyperlink>
        </w:p>
        <w:p w14:paraId="203CB3BC" w14:textId="52A4A295" w:rsidR="0073385B" w:rsidRDefault="00347FD2">
          <w:pPr>
            <w:pStyle w:val="TOC2"/>
            <w:rPr>
              <w:rFonts w:asciiTheme="minorHAnsi" w:eastAsiaTheme="minorEastAsia" w:hAnsiTheme="minorHAnsi" w:cstheme="minorBidi"/>
              <w:kern w:val="2"/>
              <w:sz w:val="22"/>
              <w:szCs w:val="22"/>
              <w:lang w:val="en-IE" w:eastAsia="en-IE"/>
              <w14:ligatures w14:val="standardContextual"/>
            </w:rPr>
          </w:pPr>
          <w:hyperlink w:anchor="_Toc170740356" w:history="1">
            <w:r w:rsidR="0073385B" w:rsidRPr="00353BB7">
              <w:rPr>
                <w:rStyle w:val="Hyperlink"/>
              </w:rPr>
              <w:t>2.1. Portfelio sudėtis ir charakteristikos</w:t>
            </w:r>
            <w:r w:rsidR="0073385B">
              <w:tab/>
            </w:r>
            <w:r w:rsidR="0073385B">
              <w:fldChar w:fldCharType="begin"/>
            </w:r>
            <w:r w:rsidR="0073385B">
              <w:instrText xml:space="preserve"> PAGEREF _Toc170740356 \h </w:instrText>
            </w:r>
            <w:r w:rsidR="0073385B">
              <w:fldChar w:fldCharType="separate"/>
            </w:r>
            <w:r w:rsidR="0073385B">
              <w:t>7</w:t>
            </w:r>
            <w:r w:rsidR="0073385B">
              <w:fldChar w:fldCharType="end"/>
            </w:r>
          </w:hyperlink>
        </w:p>
        <w:p w14:paraId="53C7EAF8" w14:textId="0C7720B4" w:rsidR="0073385B" w:rsidRDefault="00347FD2">
          <w:pPr>
            <w:pStyle w:val="TOC2"/>
            <w:rPr>
              <w:rFonts w:asciiTheme="minorHAnsi" w:eastAsiaTheme="minorEastAsia" w:hAnsiTheme="minorHAnsi" w:cstheme="minorBidi"/>
              <w:kern w:val="2"/>
              <w:sz w:val="22"/>
              <w:szCs w:val="22"/>
              <w:lang w:val="en-IE" w:eastAsia="en-IE"/>
              <w14:ligatures w14:val="standardContextual"/>
            </w:rPr>
          </w:pPr>
          <w:hyperlink w:anchor="_Toc170740357" w:history="1">
            <w:r w:rsidR="0073385B" w:rsidRPr="00353BB7">
              <w:rPr>
                <w:rStyle w:val="Hyperlink"/>
              </w:rPr>
              <w:t>2.2. Aplinkosauginis, socialinis ir valdymo (ASV) pėdsakas</w:t>
            </w:r>
            <w:r w:rsidR="0073385B">
              <w:tab/>
            </w:r>
            <w:r w:rsidR="0073385B">
              <w:fldChar w:fldCharType="begin"/>
            </w:r>
            <w:r w:rsidR="0073385B">
              <w:instrText xml:space="preserve"> PAGEREF _Toc170740357 \h </w:instrText>
            </w:r>
            <w:r w:rsidR="0073385B">
              <w:fldChar w:fldCharType="separate"/>
            </w:r>
            <w:r w:rsidR="0073385B">
              <w:t>9</w:t>
            </w:r>
            <w:r w:rsidR="0073385B">
              <w:fldChar w:fldCharType="end"/>
            </w:r>
          </w:hyperlink>
        </w:p>
        <w:p w14:paraId="378E045C" w14:textId="230EE47D" w:rsidR="0073385B" w:rsidRDefault="00347FD2">
          <w:pPr>
            <w:pStyle w:val="TOC2"/>
            <w:rPr>
              <w:rFonts w:asciiTheme="minorHAnsi" w:eastAsiaTheme="minorEastAsia" w:hAnsiTheme="minorHAnsi" w:cstheme="minorBidi"/>
              <w:kern w:val="2"/>
              <w:sz w:val="22"/>
              <w:szCs w:val="22"/>
              <w:lang w:val="en-IE" w:eastAsia="en-IE"/>
              <w14:ligatures w14:val="standardContextual"/>
            </w:rPr>
          </w:pPr>
          <w:hyperlink w:anchor="_Toc170740358" w:history="1">
            <w:r w:rsidR="0073385B" w:rsidRPr="00353BB7">
              <w:rPr>
                <w:rStyle w:val="Hyperlink"/>
              </w:rPr>
              <w:t>2.3. 2023</w:t>
            </w:r>
            <w:r w:rsidR="0073385B" w:rsidRPr="00353BB7">
              <w:rPr>
                <w:rStyle w:val="Hyperlink"/>
                <w:rFonts w:ascii="Calibri" w:hAnsi="Calibri" w:cs="Calibri"/>
              </w:rPr>
              <w:t> </w:t>
            </w:r>
            <w:r w:rsidR="0073385B" w:rsidRPr="00353BB7">
              <w:rPr>
                <w:rStyle w:val="Hyperlink"/>
              </w:rPr>
              <w:t>m. BAF veiklos rezultatai</w:t>
            </w:r>
            <w:r w:rsidR="0073385B">
              <w:tab/>
            </w:r>
            <w:r w:rsidR="0073385B">
              <w:fldChar w:fldCharType="begin"/>
            </w:r>
            <w:r w:rsidR="0073385B">
              <w:instrText xml:space="preserve"> PAGEREF _Toc170740358 \h </w:instrText>
            </w:r>
            <w:r w:rsidR="0073385B">
              <w:fldChar w:fldCharType="separate"/>
            </w:r>
            <w:r w:rsidR="0073385B">
              <w:t>9</w:t>
            </w:r>
            <w:r w:rsidR="0073385B">
              <w:fldChar w:fldCharType="end"/>
            </w:r>
          </w:hyperlink>
        </w:p>
        <w:p w14:paraId="5E4A1636" w14:textId="78E9F984" w:rsidR="0073385B" w:rsidRDefault="00347FD2">
          <w:pPr>
            <w:pStyle w:val="TOC5"/>
            <w:rPr>
              <w:rFonts w:asciiTheme="minorHAnsi" w:eastAsiaTheme="minorEastAsia" w:hAnsiTheme="minorHAnsi" w:cstheme="minorBidi"/>
              <w:caps w:val="0"/>
              <w:noProof/>
              <w:kern w:val="2"/>
              <w:sz w:val="22"/>
              <w:szCs w:val="22"/>
              <w:lang w:val="en-IE" w:eastAsia="en-IE"/>
              <w14:ligatures w14:val="standardContextual"/>
            </w:rPr>
          </w:pPr>
          <w:hyperlink w:anchor="_Toc170740359" w:history="1">
            <w:r w:rsidR="0073385B" w:rsidRPr="00353BB7">
              <w:rPr>
                <w:rStyle w:val="Hyperlink"/>
                <w:noProof/>
              </w:rPr>
              <w:t>IŠVADOS</w:t>
            </w:r>
            <w:r w:rsidR="0073385B">
              <w:rPr>
                <w:noProof/>
              </w:rPr>
              <w:tab/>
            </w:r>
            <w:r w:rsidR="0073385B">
              <w:rPr>
                <w:noProof/>
              </w:rPr>
              <w:fldChar w:fldCharType="begin"/>
            </w:r>
            <w:r w:rsidR="0073385B">
              <w:rPr>
                <w:noProof/>
              </w:rPr>
              <w:instrText xml:space="preserve"> PAGEREF _Toc170740359 \h </w:instrText>
            </w:r>
            <w:r w:rsidR="0073385B">
              <w:rPr>
                <w:noProof/>
              </w:rPr>
            </w:r>
            <w:r w:rsidR="0073385B">
              <w:rPr>
                <w:noProof/>
              </w:rPr>
              <w:fldChar w:fldCharType="separate"/>
            </w:r>
            <w:r w:rsidR="0073385B">
              <w:rPr>
                <w:noProof/>
              </w:rPr>
              <w:t>11</w:t>
            </w:r>
            <w:r w:rsidR="0073385B">
              <w:rPr>
                <w:noProof/>
              </w:rPr>
              <w:fldChar w:fldCharType="end"/>
            </w:r>
          </w:hyperlink>
        </w:p>
        <w:p w14:paraId="30735115" w14:textId="5B42F8D2" w:rsidR="00584AD0" w:rsidRDefault="00584AD0">
          <w:pPr>
            <w:rPr>
              <w:noProof/>
            </w:rPr>
          </w:pPr>
          <w:r>
            <w:rPr>
              <w:noProof/>
            </w:rPr>
            <w:fldChar w:fldCharType="end"/>
          </w:r>
        </w:p>
      </w:sdtContent>
    </w:sdt>
    <w:p w14:paraId="3806C079" w14:textId="77777777" w:rsidR="00584AD0" w:rsidRDefault="00584AD0">
      <w:pPr>
        <w:spacing w:after="0"/>
        <w:jc w:val="left"/>
        <w:rPr>
          <w:b/>
          <w:noProof/>
          <w:sz w:val="32"/>
        </w:rPr>
      </w:pPr>
      <w:r>
        <w:rPr>
          <w:noProof/>
        </w:rPr>
        <w:br w:type="page"/>
      </w:r>
    </w:p>
    <w:p w14:paraId="7118A2B4" w14:textId="645BFD06" w:rsidR="003D6807" w:rsidRPr="003C5DD9" w:rsidRDefault="00584AD0" w:rsidP="000B0D9D">
      <w:pPr>
        <w:pStyle w:val="ChapterTitle"/>
        <w:jc w:val="left"/>
        <w:rPr>
          <w:noProof/>
          <w:color w:val="004376"/>
        </w:rPr>
      </w:pPr>
      <w:bookmarkStart w:id="2" w:name="_Toc170740349"/>
      <w:r>
        <w:rPr>
          <w:noProof/>
          <w:color w:val="004376"/>
        </w:rPr>
        <w:lastRenderedPageBreak/>
        <w:t>ĮVADAS</w:t>
      </w:r>
      <w:bookmarkEnd w:id="2"/>
    </w:p>
    <w:p w14:paraId="4A90E7A5" w14:textId="05C55C48" w:rsidR="00584AD0" w:rsidRPr="0096112C" w:rsidRDefault="00584AD0" w:rsidP="00584AD0">
      <w:pPr>
        <w:rPr>
          <w:noProof/>
        </w:rPr>
      </w:pPr>
      <w:r>
        <w:rPr>
          <w:noProof/>
        </w:rPr>
        <w:t>Ši ataskaita yra trečioji metinė bendro atidėjinių fondo (BAF) (</w:t>
      </w:r>
      <w:r w:rsidRPr="0096112C">
        <w:rPr>
          <w:rStyle w:val="FootnoteReference"/>
          <w:noProof/>
        </w:rPr>
        <w:footnoteReference w:id="2"/>
      </w:r>
      <w:r>
        <w:rPr>
          <w:noProof/>
        </w:rPr>
        <w:t>) ataskaita už laikotarpį nuo 2023 m. sausio 1 d. iki 2023 m. gruodžio 31 d. Joje išdėstyti pagrindiniai pokyčiai, susiję su BAF veikimu 2023 m., pateikiami pagrindiniai finansiniai ir rizikos parametrai, taip pat fondo metiniai veiklos rezultatai. Joje taip pat pateikiami veiksmų, kurių Komisija ėmėsi siekdama pagerinti fondo veiklos rezultatus ilgesniu laikotarpiu nustatant diversifikuotą investavimo sistemą, rezultatai.</w:t>
      </w:r>
    </w:p>
    <w:p w14:paraId="34138CB8" w14:textId="0D94FB22" w:rsidR="00584AD0" w:rsidRPr="008B332F" w:rsidRDefault="00584AD0" w:rsidP="3296F9E0">
      <w:pPr>
        <w:rPr>
          <w:noProof/>
        </w:rPr>
      </w:pPr>
      <w:r>
        <w:rPr>
          <w:noProof/>
        </w:rPr>
        <w:t>Pagal Finansinio reglamento (FR) 212 straipsnį įsteigtame BAF laikomi visi ES biudžete numatyti arba dalyvaujančių valstybių narių ir ELPA šalių pervesti atidėjiniai, skirti padengti operacijų, kurioms suteiktos Europos Sąjungos vidaus (</w:t>
      </w:r>
      <w:r>
        <w:rPr>
          <w:rStyle w:val="FootnoteReference"/>
          <w:noProof/>
        </w:rPr>
        <w:footnoteReference w:id="3"/>
      </w:r>
      <w:r>
        <w:rPr>
          <w:noProof/>
        </w:rPr>
        <w:t>) ir išorės (</w:t>
      </w:r>
      <w:r>
        <w:rPr>
          <w:rStyle w:val="FootnoteReference"/>
          <w:noProof/>
        </w:rPr>
        <w:footnoteReference w:id="4"/>
      </w:r>
      <w:r>
        <w:rPr>
          <w:noProof/>
        </w:rPr>
        <w:t>) garantijos, nuostolių rizikai. Be biudžeto garantijų, BAF laikomi atidėjiniai daugumai makrofinansinės pagalbos (MFP) paskolų trečiosioms šalims (</w:t>
      </w:r>
      <w:r w:rsidR="00740B92">
        <w:rPr>
          <w:rStyle w:val="FootnoteReference"/>
          <w:noProof/>
        </w:rPr>
        <w:footnoteReference w:id="5"/>
      </w:r>
      <w:r>
        <w:rPr>
          <w:noProof/>
        </w:rPr>
        <w:t>). BAF laikomi atidėjiniai yra kapitalo rezervas, iš kurio imamos lėšos reikalavimams mokėti pagal garantiją, atsirandantiems dėl remiamų operacijų, ir kitiems netenkamiems pinigų srautams padengti.</w:t>
      </w:r>
    </w:p>
    <w:p w14:paraId="6D0A3845" w14:textId="231FADE7" w:rsidR="00584AD0" w:rsidRPr="008B332F" w:rsidRDefault="00584AD0" w:rsidP="00584AD0">
      <w:pPr>
        <w:rPr>
          <w:noProof/>
        </w:rPr>
      </w:pPr>
      <w:r>
        <w:rPr>
          <w:noProof/>
        </w:rPr>
        <w:t>BAF pradėjo veikti 2021 m. sausio mėn. 2023 m. pabaigoje jo rinkos vertė siekė 18,8 mlrd. EUR ir tai buvo didžiausias Komisijos tiesiogiai valdomas investicijų portfelis.</w:t>
      </w:r>
    </w:p>
    <w:p w14:paraId="3C1DAF92" w14:textId="7F71EBCD" w:rsidR="00584AD0" w:rsidRPr="0096112C" w:rsidRDefault="002B7CB6" w:rsidP="002B7CB6">
      <w:pPr>
        <w:rPr>
          <w:rFonts w:eastAsia="EC Square Sans Pro"/>
          <w:noProof/>
          <w:szCs w:val="24"/>
        </w:rPr>
      </w:pPr>
      <w:r>
        <w:rPr>
          <w:noProof/>
        </w:rPr>
        <w:t>Dėl apdairaus pozicionavimo 2023 m. fiksuotas rinkos nepastovumas neturėjo didelio poveikio BAF, kuris turėjo geras galimybes pasinaudoti gerais rinkos rezultatais metų pabaigoje. Visų pirma, BAF pasiekė +5,21 % absoliučią grąžą, padėjusią padengti dalį 2022 m. nuostolių (−8,9 %) ir papildyti garantijų atidėjinius. Žvelgiant į ateitį, dabartinė aukštesnių ir teigiamų palūkanų normų aplinka suteikia tvirtą pagrindą grąžai vidutiniu laikotarpiu.</w:t>
      </w:r>
    </w:p>
    <w:p w14:paraId="59E53B4B" w14:textId="7CEF8156" w:rsidR="00584AD0" w:rsidRPr="008B332F" w:rsidRDefault="00584AD0" w:rsidP="00584AD0">
      <w:pPr>
        <w:rPr>
          <w:noProof/>
        </w:rPr>
      </w:pPr>
      <w:r>
        <w:rPr>
          <w:noProof/>
        </w:rPr>
        <w:t>Šioje ataskaitoje daugiausia dėmesio skiriama klausimams, susijusiems su BAF turto valdymu. Neapibrėžtųjų įsipareigojimų, atsirandančių dėl biudžeto garantijų ir ES skolinimo, kurių atžvilgiu turtas BAF laikomas kaip atidėjiniai, raida bus aptarta atskiroje ataskaitoje, parengtoje pagal Finansinio reglamento 250 straipsnį.</w:t>
      </w:r>
    </w:p>
    <w:p w14:paraId="36564DAF" w14:textId="173C84A3" w:rsidR="00584AD0" w:rsidRDefault="00584AD0">
      <w:pPr>
        <w:spacing w:after="0"/>
        <w:jc w:val="left"/>
        <w:rPr>
          <w:noProof/>
        </w:rPr>
      </w:pPr>
      <w:r>
        <w:rPr>
          <w:noProof/>
        </w:rPr>
        <w:br w:type="page"/>
      </w:r>
    </w:p>
    <w:p w14:paraId="26187D1B" w14:textId="25816553" w:rsidR="00584AD0" w:rsidRPr="00A34164" w:rsidRDefault="009D5B05" w:rsidP="00A34164">
      <w:pPr>
        <w:pStyle w:val="Heading1"/>
        <w:rPr>
          <w:noProof/>
        </w:rPr>
      </w:pPr>
      <w:bookmarkStart w:id="3" w:name="_Toc170740350"/>
      <w:r>
        <w:rPr>
          <w:noProof/>
        </w:rPr>
        <w:lastRenderedPageBreak/>
        <w:t>1 dalis. 2023 m. pagrindiniai etapai</w:t>
      </w:r>
      <w:bookmarkEnd w:id="3"/>
    </w:p>
    <w:p w14:paraId="5910C738" w14:textId="7F32C21F" w:rsidR="00F135BC" w:rsidRPr="00A34164" w:rsidRDefault="00A34164" w:rsidP="00A34164">
      <w:pPr>
        <w:pStyle w:val="Heading2"/>
      </w:pPr>
      <w:bookmarkStart w:id="4" w:name="_Toc170740351"/>
      <w:r>
        <w:t>1.1. Bendra apžvalga</w:t>
      </w:r>
      <w:bookmarkEnd w:id="4"/>
    </w:p>
    <w:p w14:paraId="4852D42D" w14:textId="0FF4DAEE" w:rsidR="0036695A" w:rsidRPr="008B332F" w:rsidRDefault="0036695A" w:rsidP="0036695A">
      <w:pPr>
        <w:rPr>
          <w:noProof/>
        </w:rPr>
      </w:pPr>
      <w:r>
        <w:rPr>
          <w:noProof/>
        </w:rPr>
        <w:t>Kaip ir ankstesniais metais, fondas buvo valdomas laikantis procedūrų pagal nustatytą jo valdymo struktūrą</w:t>
      </w:r>
      <w:r>
        <w:rPr>
          <w:rFonts w:ascii="Calibri" w:hAnsi="Calibri"/>
          <w:noProof/>
        </w:rPr>
        <w:t> </w:t>
      </w:r>
      <w:r>
        <w:rPr>
          <w:noProof/>
        </w:rPr>
        <w:t>(</w:t>
      </w:r>
      <w:r w:rsidR="006B013B">
        <w:rPr>
          <w:rStyle w:val="FootnoteReference"/>
          <w:noProof/>
        </w:rPr>
        <w:footnoteReference w:id="6"/>
      </w:r>
      <w:r>
        <w:rPr>
          <w:noProof/>
        </w:rPr>
        <w:t>) ir jo veikloje nebūta jokių incidentų.</w:t>
      </w:r>
    </w:p>
    <w:p w14:paraId="118886FA" w14:textId="304D6975" w:rsidR="00584AD0" w:rsidRDefault="002B7CB6" w:rsidP="0036695A">
      <w:pPr>
        <w:pStyle w:val="Text1"/>
        <w:ind w:left="0"/>
        <w:rPr>
          <w:noProof/>
        </w:rPr>
      </w:pPr>
      <w:r>
        <w:rPr>
          <w:noProof/>
        </w:rPr>
        <w:t>2023 m. gruodžio 31 d. grynojo turto (</w:t>
      </w:r>
      <w:r w:rsidRPr="008B332F">
        <w:rPr>
          <w:rStyle w:val="FootnoteReference"/>
          <w:noProof/>
        </w:rPr>
        <w:footnoteReference w:id="7"/>
      </w:r>
      <w:r>
        <w:rPr>
          <w:noProof/>
        </w:rPr>
        <w:t xml:space="preserve">) vertė buvo 18,8 mlrd. EUR, t. y. 4,4 mlrd. EUR daugiau nei 2022 m. pabaigoje (per metus padidėjo 30 %). 2023 m. į BAF gauta 3,53 mlrd. EUR grynųjų įnašų iš ES biudžeto arba dalyvaujančių valstybių narių ir ELPA šalių įnašų. Likusi portfelio vertės padidėjimo dalis (880 mln. EUR) susidarė dėl padidėjusios esamo turto rinkos vertės. </w:t>
      </w:r>
    </w:p>
    <w:sdt>
      <w:sdtPr>
        <w:rPr>
          <w:b w:val="0"/>
          <w:i/>
          <w:iCs w:val="0"/>
          <w:noProof/>
          <w:color w:val="auto"/>
          <w:szCs w:val="20"/>
        </w:rPr>
        <w:alias w:val="Picture"/>
        <w:tag w:val="Yevoz0GxKA7SLcZiEquUa5"/>
        <w:id w:val="1057662255"/>
        <w:placeholder>
          <w:docPart w:val="BEB4DC98972D4373BC68DF0783B4DF7E"/>
        </w:placeholder>
      </w:sdtPr>
      <w:sdtEndPr>
        <w:rPr>
          <w:i w:val="0"/>
        </w:rPr>
      </w:sdtEndPr>
      <w:sdtContent>
        <w:p w14:paraId="76D8FEA9" w14:textId="62DD2026" w:rsidR="00A41318" w:rsidRDefault="00E04940" w:rsidP="00EF12DA">
          <w:pPr>
            <w:pStyle w:val="FigureTitle1"/>
            <w:rPr>
              <w:noProof/>
            </w:rPr>
          </w:pPr>
          <w:r>
            <w:rPr>
              <w:noProof/>
            </w:rPr>
            <w:fldChar w:fldCharType="begin"/>
          </w:r>
          <w:r>
            <w:rPr>
              <w:noProof/>
            </w:rPr>
            <w:instrText xml:space="preserve"> SEQ Figure \* ARABIC </w:instrText>
          </w:r>
          <w:r>
            <w:rPr>
              <w:noProof/>
            </w:rPr>
            <w:fldChar w:fldCharType="separate"/>
          </w:r>
          <w:r w:rsidR="006406CC" w:rsidRPr="00EF12DA">
            <w:rPr>
              <w:noProof/>
            </w:rPr>
            <w:t>1</w:t>
          </w:r>
          <w:r>
            <w:rPr>
              <w:noProof/>
            </w:rPr>
            <w:fldChar w:fldCharType="end"/>
          </w:r>
          <w:r w:rsidR="00A41318">
            <w:rPr>
              <w:noProof/>
            </w:rPr>
            <w:t xml:space="preserve"> pav.</w:t>
          </w:r>
          <w:r w:rsidR="00A41318">
            <w:rPr>
              <w:rFonts w:ascii="Calibri" w:hAnsi="Calibri"/>
              <w:noProof/>
            </w:rPr>
            <w:t> </w:t>
          </w:r>
          <w:r w:rsidR="00A41318">
            <w:rPr>
              <w:noProof/>
            </w:rPr>
            <w:t>BAF grynosios turto vertės raida (mlrd. EUR)</w:t>
          </w:r>
        </w:p>
        <w:p w14:paraId="0BD9F2B2" w14:textId="3A791FFA" w:rsidR="00A41318" w:rsidRDefault="0073385B" w:rsidP="00A63234">
          <w:pPr>
            <w:pStyle w:val="FigureBody1"/>
            <w:rPr>
              <w:noProof/>
            </w:rPr>
          </w:pPr>
          <w:r w:rsidRPr="0073385B">
            <w:rPr>
              <w:noProof/>
              <w:lang w:val="en-GB" w:eastAsia="en-GB"/>
            </w:rPr>
            <w:drawing>
              <wp:inline distT="0" distB="0" distL="0" distR="0" wp14:anchorId="07BA15EB" wp14:editId="38C00B2A">
                <wp:extent cx="5638800"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38800" cy="2743200"/>
                        </a:xfrm>
                        <a:prstGeom prst="rect">
                          <a:avLst/>
                        </a:prstGeom>
                        <a:noFill/>
                        <a:ln>
                          <a:noFill/>
                        </a:ln>
                      </pic:spPr>
                    </pic:pic>
                  </a:graphicData>
                </a:graphic>
              </wp:inline>
            </w:drawing>
          </w:r>
        </w:p>
      </w:sdtContent>
    </w:sdt>
    <w:p w14:paraId="233E8E31" w14:textId="77777777" w:rsidR="00F135BC" w:rsidRDefault="00F135BC" w:rsidP="004715AC">
      <w:pPr>
        <w:rPr>
          <w:noProof/>
        </w:rPr>
      </w:pPr>
    </w:p>
    <w:p w14:paraId="41CC6F34" w14:textId="34FB2EC8" w:rsidR="004715AC" w:rsidRPr="007B21CA" w:rsidRDefault="004715AC" w:rsidP="004715AC">
      <w:pPr>
        <w:rPr>
          <w:noProof/>
        </w:rPr>
      </w:pPr>
      <w:r>
        <w:rPr>
          <w:noProof/>
        </w:rPr>
        <w:t>Daugiau informacijos apie finansines ataskaitas pateikta prie šios ataskaitos pridedamame Komisijos tarnybų darbiniame dokumente.</w:t>
      </w:r>
    </w:p>
    <w:p w14:paraId="63A95833" w14:textId="5E629A44" w:rsidR="00A41318" w:rsidRPr="00C300C0" w:rsidRDefault="00D67AF1" w:rsidP="00A34164">
      <w:pPr>
        <w:pStyle w:val="Heading2"/>
      </w:pPr>
      <w:bookmarkStart w:id="5" w:name="_Toc170740352"/>
      <w:r>
        <w:t>1.2. Skyrių struktūra</w:t>
      </w:r>
      <w:bookmarkEnd w:id="5"/>
    </w:p>
    <w:p w14:paraId="6319B6BE" w14:textId="5DC6A84B" w:rsidR="00A41318" w:rsidRDefault="00A41318" w:rsidP="00A41318">
      <w:pPr>
        <w:rPr>
          <w:noProof/>
        </w:rPr>
      </w:pPr>
      <w:r>
        <w:rPr>
          <w:noProof/>
        </w:rPr>
        <w:t>Nors BAF turtas valdomas pagal unikalią investavimo politiką, jis laikomas skirtinguose skyriuose, susijusiuose su atskiromis biudžeto garantijomis ir finansinės paramos programomis.</w:t>
      </w:r>
    </w:p>
    <w:p w14:paraId="6C84797A" w14:textId="5EF09FFF" w:rsidR="00A41318" w:rsidRPr="008B332F" w:rsidRDefault="00A41318" w:rsidP="00A41318">
      <w:pPr>
        <w:rPr>
          <w:noProof/>
        </w:rPr>
      </w:pPr>
      <w:r>
        <w:rPr>
          <w:noProof/>
        </w:rPr>
        <w:lastRenderedPageBreak/>
        <w:t>BAF laikomi atidėjiniai sudaromi kiekvienai biudžeto garantijai / finansinės paramos programai pagal jų atitinkamus teisinius pagrindus (</w:t>
      </w:r>
      <w:r w:rsidRPr="4E09AB01">
        <w:rPr>
          <w:rStyle w:val="FootnoteReference"/>
          <w:noProof/>
        </w:rPr>
        <w:footnoteReference w:id="8"/>
      </w:r>
      <w:r>
        <w:rPr>
          <w:noProof/>
        </w:rPr>
        <w:t xml:space="preserve">). Kiekvienai biudžeto garantijai skiriamų sumų apskaita tvarkoma atskiruose skyriuose, kad būtų galima stebėti atidėjinių lygį, palyginti su garantijos nustatymo dokumente nustatytu lygiu. Jei atidėjiniai nebesiekia tam tikro lygio, papildymai gali būti finansuojami iš atitinkamoms programoms skirtų lėšų. </w:t>
      </w:r>
    </w:p>
    <w:p w14:paraId="31353116" w14:textId="4FDC6E3C" w:rsidR="00A41318" w:rsidRPr="008B332F" w:rsidRDefault="004715AC" w:rsidP="00A41318">
      <w:pPr>
        <w:rPr>
          <w:noProof/>
        </w:rPr>
      </w:pPr>
      <w:r>
        <w:rPr>
          <w:noProof/>
        </w:rPr>
        <w:t>2023 m. buvo sukurti du nauji „InvestEU“ valstybių narių skyriai (</w:t>
      </w:r>
      <w:r w:rsidR="00A41318">
        <w:rPr>
          <w:rStyle w:val="FootnoteReference"/>
          <w:noProof/>
          <w:lang w:val="en-IE"/>
        </w:rPr>
        <w:footnoteReference w:id="9"/>
      </w:r>
      <w:r>
        <w:rPr>
          <w:noProof/>
        </w:rPr>
        <w:t>), palyginti su 10 skyrių 2022 m. Skyrių raida ankstesniais metais išsamiau aprašyta 2021 m. (</w:t>
      </w:r>
      <w:r w:rsidR="00A41318" w:rsidRPr="4E09AB01">
        <w:rPr>
          <w:rStyle w:val="FootnoteReference"/>
          <w:noProof/>
        </w:rPr>
        <w:footnoteReference w:id="10"/>
      </w:r>
      <w:r>
        <w:rPr>
          <w:noProof/>
        </w:rPr>
        <w:t>) ir 2022 m. (</w:t>
      </w:r>
      <w:r w:rsidR="00A41318" w:rsidRPr="4E09AB01">
        <w:rPr>
          <w:rStyle w:val="FootnoteReference"/>
          <w:noProof/>
        </w:rPr>
        <w:footnoteReference w:id="11"/>
      </w:r>
      <w:r>
        <w:rPr>
          <w:noProof/>
        </w:rPr>
        <w:t>) BAF ataskaitose.</w:t>
      </w:r>
    </w:p>
    <w:p w14:paraId="60A8E4E5" w14:textId="3B0EEDB7" w:rsidR="00A41318" w:rsidRPr="008B332F" w:rsidRDefault="004E527E" w:rsidP="00A41318">
      <w:pPr>
        <w:rPr>
          <w:noProof/>
        </w:rPr>
      </w:pPr>
      <w:r>
        <w:rPr>
          <w:noProof/>
        </w:rPr>
        <w:t>2023 m. gruodžio 31 d. BAF sudarė 16 skyrių, iš kurių 13 buvo visiškai veikiantys ir juose buvo lėšų. Likę skyriai pradės veikti gavus atitinkamus pirmuosius pinigų srautus.</w:t>
      </w:r>
    </w:p>
    <w:p w14:paraId="5C82A9A8" w14:textId="6DF3B33D" w:rsidR="00A41318" w:rsidRPr="00651BE1" w:rsidRDefault="00E04940" w:rsidP="00EF12DA">
      <w:pPr>
        <w:pStyle w:val="TableTitle1"/>
        <w:rPr>
          <w:noProof/>
        </w:rPr>
      </w:pPr>
      <w:r>
        <w:rPr>
          <w:noProof/>
        </w:rPr>
        <w:fldChar w:fldCharType="begin"/>
      </w:r>
      <w:r>
        <w:rPr>
          <w:noProof/>
        </w:rPr>
        <w:instrText xml:space="preserve"> SEQ Table \* ARABIC </w:instrText>
      </w:r>
      <w:r>
        <w:rPr>
          <w:noProof/>
        </w:rPr>
        <w:fldChar w:fldCharType="separate"/>
      </w:r>
      <w:r w:rsidR="006406CC" w:rsidRPr="00651BE1">
        <w:rPr>
          <w:noProof/>
        </w:rPr>
        <w:t>1</w:t>
      </w:r>
      <w:r>
        <w:rPr>
          <w:noProof/>
        </w:rPr>
        <w:fldChar w:fldCharType="end"/>
      </w:r>
      <w:r w:rsidR="00A41318">
        <w:rPr>
          <w:noProof/>
        </w:rPr>
        <w:t xml:space="preserve"> lentelė. BAF skyriai 2023 12 31</w:t>
      </w:r>
    </w:p>
    <w:tbl>
      <w:tblPr>
        <w:tblStyle w:val="EurolookClassicBlue1"/>
        <w:tblW w:w="5000" w:type="pct"/>
        <w:tblInd w:w="0" w:type="dxa"/>
        <w:tblLook w:val="0420" w:firstRow="1" w:lastRow="0" w:firstColumn="0" w:lastColumn="0" w:noHBand="0" w:noVBand="1"/>
      </w:tblPr>
      <w:tblGrid>
        <w:gridCol w:w="4276"/>
        <w:gridCol w:w="4780"/>
      </w:tblGrid>
      <w:tr w:rsidR="00A41318" w:rsidRPr="00A41318" w14:paraId="22FD24A2" w14:textId="77777777" w:rsidTr="005037F7">
        <w:trPr>
          <w:cnfStyle w:val="100000000000" w:firstRow="1" w:lastRow="0" w:firstColumn="0" w:lastColumn="0" w:oddVBand="0" w:evenVBand="0" w:oddHBand="0" w:evenHBand="0" w:firstRowFirstColumn="0" w:firstRowLastColumn="0" w:lastRowFirstColumn="0" w:lastRowLastColumn="0"/>
          <w:cantSplit/>
          <w:tblHeader/>
        </w:trPr>
        <w:tc>
          <w:tcPr>
            <w:tcW w:w="2361" w:type="pct"/>
          </w:tcPr>
          <w:p w14:paraId="2BCB6DAE" w14:textId="1BCBE711" w:rsidR="00A41318" w:rsidRPr="00A41318" w:rsidRDefault="00A41318" w:rsidP="00A41318">
            <w:pPr>
              <w:pStyle w:val="TableText"/>
              <w:rPr>
                <w:b/>
                <w:bCs/>
                <w:noProof/>
              </w:rPr>
            </w:pPr>
            <w:r>
              <w:rPr>
                <w:b/>
                <w:noProof/>
              </w:rPr>
              <w:t>Skyrius</w:t>
            </w:r>
          </w:p>
        </w:tc>
        <w:tc>
          <w:tcPr>
            <w:tcW w:w="2639" w:type="pct"/>
          </w:tcPr>
          <w:p w14:paraId="363B7B7C" w14:textId="23DCEABB" w:rsidR="00A41318" w:rsidRPr="00A41318" w:rsidRDefault="00A41318" w:rsidP="00A41318">
            <w:pPr>
              <w:pStyle w:val="TableText"/>
              <w:rPr>
                <w:b/>
                <w:bCs/>
                <w:noProof/>
              </w:rPr>
            </w:pPr>
            <w:r>
              <w:rPr>
                <w:b/>
                <w:noProof/>
              </w:rPr>
              <w:t>Rinkos vertė EUR 2023 12 31</w:t>
            </w:r>
          </w:p>
        </w:tc>
      </w:tr>
      <w:tr w:rsidR="00A41318" w14:paraId="33655B49" w14:textId="77777777" w:rsidTr="005037F7">
        <w:trPr>
          <w:cantSplit/>
        </w:trPr>
        <w:tc>
          <w:tcPr>
            <w:tcW w:w="2361" w:type="pct"/>
          </w:tcPr>
          <w:p w14:paraId="6473137F" w14:textId="28BA903C" w:rsidR="00A41318" w:rsidRPr="00A41318" w:rsidRDefault="00A41318" w:rsidP="00A41318">
            <w:pPr>
              <w:pStyle w:val="TableText"/>
              <w:rPr>
                <w:noProof/>
                <w:sz w:val="22"/>
                <w:szCs w:val="22"/>
              </w:rPr>
            </w:pPr>
            <w:r>
              <w:rPr>
                <w:b/>
                <w:noProof/>
                <w:sz w:val="22"/>
              </w:rPr>
              <w:t>2021 m. atidaryti skyriai</w:t>
            </w:r>
          </w:p>
        </w:tc>
        <w:tc>
          <w:tcPr>
            <w:tcW w:w="2639" w:type="pct"/>
          </w:tcPr>
          <w:p w14:paraId="2DBFD544" w14:textId="77777777" w:rsidR="00A41318" w:rsidRPr="00A41318" w:rsidRDefault="00A41318" w:rsidP="00A41318">
            <w:pPr>
              <w:pStyle w:val="TableText"/>
              <w:jc w:val="center"/>
              <w:rPr>
                <w:noProof/>
                <w:sz w:val="22"/>
                <w:szCs w:val="22"/>
                <w:lang w:val="en-IE"/>
              </w:rPr>
            </w:pPr>
          </w:p>
        </w:tc>
      </w:tr>
      <w:tr w:rsidR="00A41318" w14:paraId="6F0DF150" w14:textId="77777777" w:rsidTr="005037F7">
        <w:trPr>
          <w:cnfStyle w:val="000000010000" w:firstRow="0" w:lastRow="0" w:firstColumn="0" w:lastColumn="0" w:oddVBand="0" w:evenVBand="0" w:oddHBand="0" w:evenHBand="1" w:firstRowFirstColumn="0" w:firstRowLastColumn="0" w:lastRowFirstColumn="0" w:lastRowLastColumn="0"/>
          <w:cantSplit/>
        </w:trPr>
        <w:tc>
          <w:tcPr>
            <w:tcW w:w="2361" w:type="pct"/>
          </w:tcPr>
          <w:p w14:paraId="526BC13B" w14:textId="07F1CB27" w:rsidR="00A41318" w:rsidRPr="00A41318" w:rsidRDefault="00A41318" w:rsidP="00A41318">
            <w:pPr>
              <w:pStyle w:val="TableText"/>
              <w:rPr>
                <w:noProof/>
                <w:sz w:val="22"/>
                <w:szCs w:val="22"/>
              </w:rPr>
            </w:pPr>
            <w:r>
              <w:rPr>
                <w:noProof/>
                <w:sz w:val="22"/>
              </w:rPr>
              <w:t>ESIF</w:t>
            </w:r>
          </w:p>
        </w:tc>
        <w:tc>
          <w:tcPr>
            <w:tcW w:w="2639" w:type="pct"/>
          </w:tcPr>
          <w:p w14:paraId="0AE0D9BD" w14:textId="21E47BA1" w:rsidR="00A41318" w:rsidRPr="00A41318" w:rsidRDefault="00A41318" w:rsidP="00A41318">
            <w:pPr>
              <w:pStyle w:val="TableText"/>
              <w:jc w:val="center"/>
              <w:rPr>
                <w:noProof/>
                <w:sz w:val="22"/>
                <w:szCs w:val="22"/>
              </w:rPr>
            </w:pPr>
            <w:r>
              <w:rPr>
                <w:noProof/>
                <w:color w:val="000000"/>
                <w:sz w:val="22"/>
              </w:rPr>
              <w:t>9 224 784 078,06</w:t>
            </w:r>
          </w:p>
        </w:tc>
      </w:tr>
      <w:tr w:rsidR="00A41318" w14:paraId="66C1570B" w14:textId="77777777" w:rsidTr="005037F7">
        <w:trPr>
          <w:cantSplit/>
        </w:trPr>
        <w:tc>
          <w:tcPr>
            <w:tcW w:w="2361" w:type="pct"/>
          </w:tcPr>
          <w:p w14:paraId="04EF791C" w14:textId="4FB50564" w:rsidR="00A41318" w:rsidRPr="00A41318" w:rsidRDefault="00A41318" w:rsidP="00A41318">
            <w:pPr>
              <w:pStyle w:val="TableText"/>
              <w:rPr>
                <w:noProof/>
                <w:sz w:val="22"/>
                <w:szCs w:val="22"/>
              </w:rPr>
            </w:pPr>
            <w:r>
              <w:rPr>
                <w:noProof/>
                <w:sz w:val="22"/>
              </w:rPr>
              <w:t>IVGF (</w:t>
            </w:r>
            <w:r w:rsidRPr="00A41318">
              <w:rPr>
                <w:rStyle w:val="FootnoteReference"/>
                <w:noProof/>
                <w:sz w:val="22"/>
                <w:szCs w:val="22"/>
              </w:rPr>
              <w:footnoteReference w:id="12"/>
            </w:r>
            <w:r>
              <w:rPr>
                <w:noProof/>
                <w:sz w:val="22"/>
              </w:rPr>
              <w:t>)</w:t>
            </w:r>
          </w:p>
        </w:tc>
        <w:tc>
          <w:tcPr>
            <w:tcW w:w="2639" w:type="pct"/>
          </w:tcPr>
          <w:p w14:paraId="7205E223" w14:textId="1191D1D7" w:rsidR="00A41318" w:rsidRPr="00A41318" w:rsidRDefault="00A41318" w:rsidP="00A41318">
            <w:pPr>
              <w:pStyle w:val="TableText"/>
              <w:jc w:val="center"/>
              <w:rPr>
                <w:noProof/>
                <w:sz w:val="22"/>
                <w:szCs w:val="22"/>
              </w:rPr>
            </w:pPr>
            <w:r>
              <w:rPr>
                <w:noProof/>
                <w:color w:val="000000"/>
                <w:sz w:val="22"/>
              </w:rPr>
              <w:t>2 776 909 740,77</w:t>
            </w:r>
          </w:p>
        </w:tc>
      </w:tr>
      <w:tr w:rsidR="00A41318" w14:paraId="3D358EE7" w14:textId="77777777" w:rsidTr="005037F7">
        <w:trPr>
          <w:cnfStyle w:val="000000010000" w:firstRow="0" w:lastRow="0" w:firstColumn="0" w:lastColumn="0" w:oddVBand="0" w:evenVBand="0" w:oddHBand="0" w:evenHBand="1" w:firstRowFirstColumn="0" w:firstRowLastColumn="0" w:lastRowFirstColumn="0" w:lastRowLastColumn="0"/>
          <w:cantSplit/>
        </w:trPr>
        <w:tc>
          <w:tcPr>
            <w:tcW w:w="2361" w:type="pct"/>
          </w:tcPr>
          <w:p w14:paraId="2235246E" w14:textId="7A8F0ECF" w:rsidR="00A41318" w:rsidRPr="00A41318" w:rsidRDefault="00A41318" w:rsidP="00A41318">
            <w:pPr>
              <w:pStyle w:val="TableText"/>
              <w:rPr>
                <w:noProof/>
                <w:sz w:val="22"/>
                <w:szCs w:val="22"/>
              </w:rPr>
            </w:pPr>
            <w:r>
              <w:rPr>
                <w:noProof/>
                <w:sz w:val="22"/>
              </w:rPr>
              <w:t>EDVF (</w:t>
            </w:r>
            <w:r w:rsidRPr="00A41318">
              <w:rPr>
                <w:rStyle w:val="FootnoteReference"/>
                <w:noProof/>
                <w:sz w:val="22"/>
                <w:szCs w:val="22"/>
              </w:rPr>
              <w:footnoteReference w:id="13"/>
            </w:r>
            <w:r>
              <w:rPr>
                <w:noProof/>
                <w:sz w:val="22"/>
              </w:rPr>
              <w:t>)</w:t>
            </w:r>
          </w:p>
        </w:tc>
        <w:tc>
          <w:tcPr>
            <w:tcW w:w="2639" w:type="pct"/>
          </w:tcPr>
          <w:p w14:paraId="6BC344DC" w14:textId="3C1E0C30" w:rsidR="00A41318" w:rsidRPr="00A41318" w:rsidRDefault="00A41318" w:rsidP="00A41318">
            <w:pPr>
              <w:pStyle w:val="TableText"/>
              <w:jc w:val="center"/>
              <w:rPr>
                <w:noProof/>
                <w:sz w:val="22"/>
                <w:szCs w:val="22"/>
              </w:rPr>
            </w:pPr>
            <w:r>
              <w:rPr>
                <w:noProof/>
                <w:color w:val="000000"/>
                <w:sz w:val="22"/>
              </w:rPr>
              <w:t>735 238 609,90</w:t>
            </w:r>
          </w:p>
        </w:tc>
      </w:tr>
      <w:tr w:rsidR="00A41318" w14:paraId="3D16D30A" w14:textId="77777777" w:rsidTr="005037F7">
        <w:trPr>
          <w:cantSplit/>
        </w:trPr>
        <w:tc>
          <w:tcPr>
            <w:tcW w:w="2361" w:type="pct"/>
          </w:tcPr>
          <w:p w14:paraId="4AB80BCF" w14:textId="3CFAC69D" w:rsidR="00A41318" w:rsidRPr="00A41318" w:rsidRDefault="00A41318" w:rsidP="000E68C8">
            <w:pPr>
              <w:rPr>
                <w:noProof/>
                <w:sz w:val="22"/>
                <w:szCs w:val="22"/>
              </w:rPr>
            </w:pPr>
            <w:r>
              <w:rPr>
                <w:noProof/>
                <w:sz w:val="22"/>
              </w:rPr>
              <w:t>„InvestEU“</w:t>
            </w:r>
            <w:r>
              <w:rPr>
                <w:noProof/>
              </w:rPr>
              <w:t> (</w:t>
            </w:r>
            <w:r w:rsidR="004A65EC">
              <w:rPr>
                <w:rStyle w:val="FootnoteReference"/>
                <w:noProof/>
              </w:rPr>
              <w:footnoteReference w:id="14"/>
            </w:r>
            <w:r>
              <w:rPr>
                <w:noProof/>
              </w:rPr>
              <w:t>)</w:t>
            </w:r>
          </w:p>
        </w:tc>
        <w:tc>
          <w:tcPr>
            <w:tcW w:w="2639" w:type="pct"/>
          </w:tcPr>
          <w:p w14:paraId="11A9E084" w14:textId="43018E9E" w:rsidR="00A41318" w:rsidRPr="00A41318" w:rsidRDefault="00A41318" w:rsidP="00A41318">
            <w:pPr>
              <w:pStyle w:val="TableText"/>
              <w:jc w:val="center"/>
              <w:rPr>
                <w:noProof/>
                <w:sz w:val="22"/>
                <w:szCs w:val="22"/>
              </w:rPr>
            </w:pPr>
            <w:r>
              <w:rPr>
                <w:noProof/>
                <w:color w:val="000000" w:themeColor="text1"/>
                <w:sz w:val="22"/>
              </w:rPr>
              <w:t>3 357 374 936,75</w:t>
            </w:r>
          </w:p>
        </w:tc>
      </w:tr>
      <w:tr w:rsidR="00A41318" w14:paraId="75545E09" w14:textId="77777777" w:rsidTr="005037F7">
        <w:trPr>
          <w:cnfStyle w:val="000000010000" w:firstRow="0" w:lastRow="0" w:firstColumn="0" w:lastColumn="0" w:oddVBand="0" w:evenVBand="0" w:oddHBand="0" w:evenHBand="1" w:firstRowFirstColumn="0" w:firstRowLastColumn="0" w:lastRowFirstColumn="0" w:lastRowLastColumn="0"/>
          <w:cantSplit/>
        </w:trPr>
        <w:tc>
          <w:tcPr>
            <w:tcW w:w="2361" w:type="pct"/>
          </w:tcPr>
          <w:p w14:paraId="2FAAEB1E" w14:textId="7D60632B" w:rsidR="00A41318" w:rsidRPr="00A41318" w:rsidRDefault="00A41318" w:rsidP="00A41318">
            <w:pPr>
              <w:pStyle w:val="TableText"/>
              <w:rPr>
                <w:noProof/>
                <w:sz w:val="22"/>
                <w:szCs w:val="22"/>
              </w:rPr>
            </w:pPr>
            <w:r>
              <w:rPr>
                <w:b/>
                <w:noProof/>
                <w:sz w:val="22"/>
              </w:rPr>
              <w:t>2022 m. atidaryti skyriai</w:t>
            </w:r>
          </w:p>
        </w:tc>
        <w:tc>
          <w:tcPr>
            <w:tcW w:w="2639" w:type="pct"/>
          </w:tcPr>
          <w:p w14:paraId="4B0AB87D" w14:textId="77777777" w:rsidR="00A41318" w:rsidRPr="00A41318" w:rsidRDefault="00A41318" w:rsidP="00A41318">
            <w:pPr>
              <w:pStyle w:val="TableText"/>
              <w:jc w:val="center"/>
              <w:rPr>
                <w:noProof/>
                <w:sz w:val="22"/>
                <w:szCs w:val="22"/>
                <w:lang w:val="en-IE"/>
              </w:rPr>
            </w:pPr>
          </w:p>
        </w:tc>
      </w:tr>
      <w:tr w:rsidR="00A41318" w14:paraId="046CA490" w14:textId="77777777" w:rsidTr="005037F7">
        <w:trPr>
          <w:cantSplit/>
        </w:trPr>
        <w:tc>
          <w:tcPr>
            <w:tcW w:w="2361" w:type="pct"/>
          </w:tcPr>
          <w:p w14:paraId="40A87C2D" w14:textId="5EB8B219" w:rsidR="00A41318" w:rsidRPr="00A41318" w:rsidRDefault="00A41318" w:rsidP="00A41318">
            <w:pPr>
              <w:pStyle w:val="TableText"/>
              <w:rPr>
                <w:noProof/>
                <w:sz w:val="22"/>
                <w:szCs w:val="22"/>
              </w:rPr>
            </w:pPr>
            <w:r>
              <w:rPr>
                <w:noProof/>
                <w:sz w:val="22"/>
              </w:rPr>
              <w:t>EDVF+</w:t>
            </w:r>
          </w:p>
        </w:tc>
        <w:tc>
          <w:tcPr>
            <w:tcW w:w="2639" w:type="pct"/>
          </w:tcPr>
          <w:p w14:paraId="1AB09C66" w14:textId="4DE69F65" w:rsidR="00A41318" w:rsidRPr="00A41318" w:rsidRDefault="00A41318" w:rsidP="00A41318">
            <w:pPr>
              <w:pStyle w:val="TableText"/>
              <w:jc w:val="center"/>
              <w:rPr>
                <w:noProof/>
                <w:sz w:val="22"/>
                <w:szCs w:val="22"/>
              </w:rPr>
            </w:pPr>
            <w:r>
              <w:rPr>
                <w:noProof/>
                <w:color w:val="000000"/>
                <w:sz w:val="22"/>
              </w:rPr>
              <w:t>2 222 070 436,62</w:t>
            </w:r>
          </w:p>
        </w:tc>
      </w:tr>
      <w:tr w:rsidR="00A41318" w14:paraId="69422B82" w14:textId="77777777" w:rsidTr="005037F7">
        <w:trPr>
          <w:cnfStyle w:val="000000010000" w:firstRow="0" w:lastRow="0" w:firstColumn="0" w:lastColumn="0" w:oddVBand="0" w:evenVBand="0" w:oddHBand="0" w:evenHBand="1" w:firstRowFirstColumn="0" w:firstRowLastColumn="0" w:lastRowFirstColumn="0" w:lastRowLastColumn="0"/>
          <w:cantSplit/>
        </w:trPr>
        <w:tc>
          <w:tcPr>
            <w:tcW w:w="2361" w:type="pct"/>
          </w:tcPr>
          <w:p w14:paraId="56F1E1EE" w14:textId="6FFE605A" w:rsidR="00A41318" w:rsidRPr="00A41318" w:rsidRDefault="00A41318" w:rsidP="00A41318">
            <w:pPr>
              <w:pStyle w:val="TableText"/>
              <w:rPr>
                <w:noProof/>
                <w:sz w:val="22"/>
                <w:szCs w:val="22"/>
              </w:rPr>
            </w:pPr>
            <w:r>
              <w:rPr>
                <w:noProof/>
                <w:sz w:val="22"/>
              </w:rPr>
              <w:t>MFP po 2020 m.</w:t>
            </w:r>
          </w:p>
        </w:tc>
        <w:tc>
          <w:tcPr>
            <w:tcW w:w="2639" w:type="pct"/>
          </w:tcPr>
          <w:p w14:paraId="18755B74" w14:textId="0CC34885" w:rsidR="00A41318" w:rsidRPr="00A41318" w:rsidRDefault="00A41318" w:rsidP="00A41318">
            <w:pPr>
              <w:pStyle w:val="TableText"/>
              <w:jc w:val="center"/>
              <w:rPr>
                <w:noProof/>
                <w:sz w:val="22"/>
                <w:szCs w:val="22"/>
              </w:rPr>
            </w:pPr>
            <w:r>
              <w:rPr>
                <w:noProof/>
                <w:sz w:val="22"/>
              </w:rPr>
              <w:t>105 403 883,94</w:t>
            </w:r>
          </w:p>
        </w:tc>
      </w:tr>
      <w:tr w:rsidR="00A41318" w14:paraId="56BA3557" w14:textId="77777777" w:rsidTr="005037F7">
        <w:trPr>
          <w:cantSplit/>
        </w:trPr>
        <w:tc>
          <w:tcPr>
            <w:tcW w:w="2361" w:type="pct"/>
          </w:tcPr>
          <w:p w14:paraId="2A8C072D" w14:textId="7F15296F" w:rsidR="00A41318" w:rsidRPr="00A41318" w:rsidRDefault="00A41318" w:rsidP="00A41318">
            <w:pPr>
              <w:pStyle w:val="TableText"/>
              <w:rPr>
                <w:noProof/>
                <w:sz w:val="22"/>
                <w:szCs w:val="22"/>
              </w:rPr>
            </w:pPr>
            <w:r>
              <w:rPr>
                <w:noProof/>
                <w:sz w:val="22"/>
              </w:rPr>
              <w:t>Išskirtinė MFP Ukrainai (</w:t>
            </w:r>
            <w:r w:rsidR="00166E1A">
              <w:rPr>
                <w:rStyle w:val="FootnoteReference"/>
                <w:noProof/>
                <w:sz w:val="22"/>
                <w:szCs w:val="22"/>
                <w:lang w:val="en-IE"/>
              </w:rPr>
              <w:footnoteReference w:id="15"/>
            </w:r>
            <w:r>
              <w:rPr>
                <w:noProof/>
                <w:sz w:val="22"/>
              </w:rPr>
              <w:t>)</w:t>
            </w:r>
          </w:p>
        </w:tc>
        <w:tc>
          <w:tcPr>
            <w:tcW w:w="2639" w:type="pct"/>
          </w:tcPr>
          <w:p w14:paraId="58FC00DE" w14:textId="399AA912" w:rsidR="00A41318" w:rsidRPr="00A41318" w:rsidRDefault="00A41318" w:rsidP="00A41318">
            <w:pPr>
              <w:pStyle w:val="TableText"/>
              <w:jc w:val="center"/>
              <w:rPr>
                <w:bCs/>
                <w:noProof/>
                <w:sz w:val="22"/>
                <w:szCs w:val="22"/>
              </w:rPr>
            </w:pPr>
            <w:r>
              <w:rPr>
                <w:noProof/>
                <w:sz w:val="22"/>
              </w:rPr>
              <w:t>–</w:t>
            </w:r>
          </w:p>
        </w:tc>
      </w:tr>
      <w:tr w:rsidR="00A41318" w14:paraId="5A9409E2" w14:textId="77777777" w:rsidTr="005037F7">
        <w:trPr>
          <w:cnfStyle w:val="000000010000" w:firstRow="0" w:lastRow="0" w:firstColumn="0" w:lastColumn="0" w:oddVBand="0" w:evenVBand="0" w:oddHBand="0" w:evenHBand="1" w:firstRowFirstColumn="0" w:firstRowLastColumn="0" w:lastRowFirstColumn="0" w:lastRowLastColumn="0"/>
          <w:cantSplit/>
        </w:trPr>
        <w:tc>
          <w:tcPr>
            <w:tcW w:w="2361" w:type="pct"/>
          </w:tcPr>
          <w:p w14:paraId="409D2BA3" w14:textId="7D54EED4" w:rsidR="00A41318" w:rsidRPr="00A41318" w:rsidRDefault="00A41318" w:rsidP="00A41318">
            <w:pPr>
              <w:pStyle w:val="TableText"/>
              <w:rPr>
                <w:noProof/>
                <w:sz w:val="22"/>
                <w:szCs w:val="22"/>
              </w:rPr>
            </w:pPr>
            <w:r>
              <w:rPr>
                <w:noProof/>
                <w:sz w:val="22"/>
              </w:rPr>
              <w:t>Euratomo paskolos po 2020m.</w:t>
            </w:r>
          </w:p>
        </w:tc>
        <w:tc>
          <w:tcPr>
            <w:tcW w:w="2639" w:type="pct"/>
          </w:tcPr>
          <w:p w14:paraId="689FEEAB" w14:textId="3E5B2C4F" w:rsidR="00A41318" w:rsidRPr="00A41318" w:rsidRDefault="00A41318" w:rsidP="00A41318">
            <w:pPr>
              <w:pStyle w:val="TableText"/>
              <w:jc w:val="center"/>
              <w:rPr>
                <w:noProof/>
                <w:sz w:val="22"/>
                <w:szCs w:val="22"/>
              </w:rPr>
            </w:pPr>
            <w:r>
              <w:rPr>
                <w:noProof/>
                <w:sz w:val="22"/>
              </w:rPr>
              <w:t>–</w:t>
            </w:r>
          </w:p>
        </w:tc>
      </w:tr>
      <w:tr w:rsidR="00A41318" w14:paraId="736F81A2" w14:textId="77777777" w:rsidTr="005037F7">
        <w:trPr>
          <w:cantSplit/>
        </w:trPr>
        <w:tc>
          <w:tcPr>
            <w:tcW w:w="2361" w:type="pct"/>
          </w:tcPr>
          <w:p w14:paraId="7C4C154A" w14:textId="4ABF9EC0" w:rsidR="00A41318" w:rsidRPr="00A41318" w:rsidRDefault="00A41318" w:rsidP="00A41318">
            <w:pPr>
              <w:pStyle w:val="TableText"/>
              <w:rPr>
                <w:noProof/>
                <w:sz w:val="22"/>
                <w:szCs w:val="22"/>
              </w:rPr>
            </w:pPr>
            <w:r>
              <w:rPr>
                <w:noProof/>
                <w:sz w:val="22"/>
              </w:rPr>
              <w:t>Pakeistos paskirties paskolos Ukrainai pagal EIB išorės skolinimo įgaliojimą</w:t>
            </w:r>
          </w:p>
        </w:tc>
        <w:tc>
          <w:tcPr>
            <w:tcW w:w="2639" w:type="pct"/>
          </w:tcPr>
          <w:p w14:paraId="0DD9B132" w14:textId="343A139A" w:rsidR="00A41318" w:rsidRPr="00A41318" w:rsidRDefault="00A41318" w:rsidP="00A41318">
            <w:pPr>
              <w:pStyle w:val="TableText"/>
              <w:jc w:val="center"/>
              <w:rPr>
                <w:noProof/>
                <w:sz w:val="22"/>
                <w:szCs w:val="22"/>
              </w:rPr>
            </w:pPr>
            <w:r>
              <w:rPr>
                <w:noProof/>
                <w:sz w:val="22"/>
              </w:rPr>
              <w:t>–</w:t>
            </w:r>
          </w:p>
        </w:tc>
      </w:tr>
      <w:tr w:rsidR="00A41318" w14:paraId="47691CA8" w14:textId="77777777" w:rsidTr="005037F7">
        <w:trPr>
          <w:cnfStyle w:val="000000010000" w:firstRow="0" w:lastRow="0" w:firstColumn="0" w:lastColumn="0" w:oddVBand="0" w:evenVBand="0" w:oddHBand="0" w:evenHBand="1" w:firstRowFirstColumn="0" w:firstRowLastColumn="0" w:lastRowFirstColumn="0" w:lastRowLastColumn="0"/>
          <w:cantSplit/>
        </w:trPr>
        <w:tc>
          <w:tcPr>
            <w:tcW w:w="2361" w:type="pct"/>
          </w:tcPr>
          <w:p w14:paraId="17CD2614" w14:textId="330ECB58" w:rsidR="00A41318" w:rsidRPr="00A41318" w:rsidRDefault="00A41318" w:rsidP="00A41318">
            <w:pPr>
              <w:pStyle w:val="TableText"/>
              <w:rPr>
                <w:noProof/>
                <w:sz w:val="22"/>
                <w:szCs w:val="22"/>
              </w:rPr>
            </w:pPr>
            <w:r>
              <w:rPr>
                <w:noProof/>
                <w:sz w:val="22"/>
              </w:rPr>
              <w:t>„InvestEU“ garantija Rumunijai</w:t>
            </w:r>
          </w:p>
        </w:tc>
        <w:tc>
          <w:tcPr>
            <w:tcW w:w="2639" w:type="pct"/>
          </w:tcPr>
          <w:p w14:paraId="343A9B6B" w14:textId="599BC4FC" w:rsidR="00A41318" w:rsidRPr="00A41318" w:rsidRDefault="00A41318" w:rsidP="00A41318">
            <w:pPr>
              <w:pStyle w:val="TableText"/>
              <w:jc w:val="center"/>
              <w:rPr>
                <w:noProof/>
                <w:sz w:val="22"/>
                <w:szCs w:val="22"/>
              </w:rPr>
            </w:pPr>
            <w:r>
              <w:rPr>
                <w:noProof/>
                <w:sz w:val="22"/>
              </w:rPr>
              <w:t>80 817 782,06</w:t>
            </w:r>
          </w:p>
        </w:tc>
      </w:tr>
      <w:tr w:rsidR="00A41318" w14:paraId="4C4F5B2D" w14:textId="77777777" w:rsidTr="005037F7">
        <w:trPr>
          <w:cantSplit/>
        </w:trPr>
        <w:tc>
          <w:tcPr>
            <w:tcW w:w="2361" w:type="pct"/>
          </w:tcPr>
          <w:p w14:paraId="267D2922" w14:textId="47E0E577" w:rsidR="00A41318" w:rsidRPr="00A41318" w:rsidRDefault="00A41318" w:rsidP="00A41318">
            <w:pPr>
              <w:pStyle w:val="TableText"/>
              <w:rPr>
                <w:noProof/>
                <w:sz w:val="22"/>
                <w:szCs w:val="22"/>
              </w:rPr>
            </w:pPr>
            <w:r>
              <w:rPr>
                <w:noProof/>
                <w:sz w:val="22"/>
              </w:rPr>
              <w:lastRenderedPageBreak/>
              <w:t>„InvestEU“ garantija Čekijai</w:t>
            </w:r>
          </w:p>
        </w:tc>
        <w:tc>
          <w:tcPr>
            <w:tcW w:w="2639" w:type="pct"/>
          </w:tcPr>
          <w:p w14:paraId="2A9FB77F" w14:textId="19CFF1FB" w:rsidR="00A41318" w:rsidRPr="00A41318" w:rsidRDefault="00A41318" w:rsidP="00A41318">
            <w:pPr>
              <w:pStyle w:val="TableText"/>
              <w:jc w:val="center"/>
              <w:rPr>
                <w:noProof/>
                <w:sz w:val="22"/>
                <w:szCs w:val="22"/>
              </w:rPr>
            </w:pPr>
            <w:r>
              <w:rPr>
                <w:noProof/>
                <w:color w:val="000000"/>
                <w:sz w:val="22"/>
              </w:rPr>
              <w:t>28 505 258,04</w:t>
            </w:r>
          </w:p>
        </w:tc>
      </w:tr>
      <w:tr w:rsidR="00A41318" w14:paraId="5F43D79D" w14:textId="77777777" w:rsidTr="005037F7">
        <w:trPr>
          <w:cnfStyle w:val="000000010000" w:firstRow="0" w:lastRow="0" w:firstColumn="0" w:lastColumn="0" w:oddVBand="0" w:evenVBand="0" w:oddHBand="0" w:evenHBand="1" w:firstRowFirstColumn="0" w:firstRowLastColumn="0" w:lastRowFirstColumn="0" w:lastRowLastColumn="0"/>
          <w:cantSplit/>
        </w:trPr>
        <w:tc>
          <w:tcPr>
            <w:tcW w:w="2361" w:type="pct"/>
          </w:tcPr>
          <w:p w14:paraId="1B69B799" w14:textId="5982E54D" w:rsidR="00A41318" w:rsidRPr="00A41318" w:rsidRDefault="00A41318" w:rsidP="00A41318">
            <w:pPr>
              <w:pStyle w:val="TableText"/>
              <w:rPr>
                <w:noProof/>
                <w:sz w:val="22"/>
                <w:szCs w:val="22"/>
              </w:rPr>
            </w:pPr>
            <w:r>
              <w:rPr>
                <w:noProof/>
                <w:sz w:val="22"/>
              </w:rPr>
              <w:t>„InvestEU“ garantija Suomijai</w:t>
            </w:r>
          </w:p>
        </w:tc>
        <w:tc>
          <w:tcPr>
            <w:tcW w:w="2639" w:type="pct"/>
          </w:tcPr>
          <w:p w14:paraId="41B531CA" w14:textId="0DA3A0E1" w:rsidR="00A41318" w:rsidRPr="00A41318" w:rsidRDefault="00A41318" w:rsidP="00A41318">
            <w:pPr>
              <w:pStyle w:val="TableText"/>
              <w:jc w:val="center"/>
              <w:rPr>
                <w:noProof/>
                <w:sz w:val="22"/>
                <w:szCs w:val="22"/>
              </w:rPr>
            </w:pPr>
            <w:r>
              <w:rPr>
                <w:noProof/>
                <w:color w:val="000000" w:themeColor="text1"/>
                <w:sz w:val="22"/>
              </w:rPr>
              <w:t>25 499 598,46</w:t>
            </w:r>
          </w:p>
        </w:tc>
      </w:tr>
      <w:tr w:rsidR="00A41318" w14:paraId="170E38F5" w14:textId="77777777" w:rsidTr="005037F7">
        <w:trPr>
          <w:cantSplit/>
        </w:trPr>
        <w:tc>
          <w:tcPr>
            <w:tcW w:w="2361" w:type="pct"/>
          </w:tcPr>
          <w:p w14:paraId="48B39BF1" w14:textId="595F8C69" w:rsidR="00A41318" w:rsidRPr="00A41318" w:rsidRDefault="00A41318" w:rsidP="00A41318">
            <w:pPr>
              <w:pStyle w:val="TableText"/>
              <w:rPr>
                <w:noProof/>
                <w:sz w:val="22"/>
                <w:szCs w:val="22"/>
              </w:rPr>
            </w:pPr>
            <w:r>
              <w:rPr>
                <w:noProof/>
                <w:sz w:val="22"/>
              </w:rPr>
              <w:t>„InvestEU“ garantija Graikijai</w:t>
            </w:r>
          </w:p>
        </w:tc>
        <w:tc>
          <w:tcPr>
            <w:tcW w:w="2639" w:type="pct"/>
          </w:tcPr>
          <w:p w14:paraId="2D725AB2" w14:textId="419A8C95" w:rsidR="00A41318" w:rsidRPr="00A41318" w:rsidRDefault="00A41318" w:rsidP="00A41318">
            <w:pPr>
              <w:pStyle w:val="TableText"/>
              <w:jc w:val="center"/>
              <w:rPr>
                <w:noProof/>
                <w:sz w:val="22"/>
                <w:szCs w:val="22"/>
              </w:rPr>
            </w:pPr>
            <w:r>
              <w:rPr>
                <w:noProof/>
                <w:sz w:val="22"/>
              </w:rPr>
              <w:t>31 241 677,26</w:t>
            </w:r>
          </w:p>
        </w:tc>
      </w:tr>
      <w:tr w:rsidR="00A41318" w14:paraId="17B5FF57" w14:textId="77777777" w:rsidTr="005037F7">
        <w:trPr>
          <w:cnfStyle w:val="000000010000" w:firstRow="0" w:lastRow="0" w:firstColumn="0" w:lastColumn="0" w:oddVBand="0" w:evenVBand="0" w:oddHBand="0" w:evenHBand="1" w:firstRowFirstColumn="0" w:firstRowLastColumn="0" w:lastRowFirstColumn="0" w:lastRowLastColumn="0"/>
          <w:cantSplit/>
        </w:trPr>
        <w:tc>
          <w:tcPr>
            <w:tcW w:w="2361" w:type="pct"/>
          </w:tcPr>
          <w:p w14:paraId="17ABBDC3" w14:textId="6110144E" w:rsidR="00A41318" w:rsidRPr="00A41318" w:rsidRDefault="00A41318" w:rsidP="004015F4">
            <w:pPr>
              <w:pStyle w:val="TableText"/>
              <w:rPr>
                <w:noProof/>
                <w:sz w:val="22"/>
                <w:szCs w:val="22"/>
              </w:rPr>
            </w:pPr>
            <w:r>
              <w:rPr>
                <w:noProof/>
                <w:sz w:val="22"/>
              </w:rPr>
              <w:t>„InvestEU“ derinimo operacijos</w:t>
            </w:r>
          </w:p>
        </w:tc>
        <w:tc>
          <w:tcPr>
            <w:tcW w:w="2639" w:type="pct"/>
          </w:tcPr>
          <w:p w14:paraId="329BA281" w14:textId="4C1166CA" w:rsidR="00A41318" w:rsidRPr="00A41318" w:rsidRDefault="00A41318" w:rsidP="00D67AF1">
            <w:pPr>
              <w:pStyle w:val="TableText"/>
              <w:jc w:val="center"/>
              <w:rPr>
                <w:noProof/>
                <w:sz w:val="22"/>
                <w:szCs w:val="22"/>
              </w:rPr>
            </w:pPr>
            <w:r>
              <w:rPr>
                <w:noProof/>
                <w:color w:val="000000" w:themeColor="text1"/>
                <w:sz w:val="22"/>
              </w:rPr>
              <w:t>161 082 630,28</w:t>
            </w:r>
          </w:p>
        </w:tc>
      </w:tr>
      <w:tr w:rsidR="00A41318" w14:paraId="03A0DDC6" w14:textId="77777777" w:rsidTr="005037F7">
        <w:trPr>
          <w:cantSplit/>
        </w:trPr>
        <w:tc>
          <w:tcPr>
            <w:tcW w:w="2361" w:type="pct"/>
          </w:tcPr>
          <w:p w14:paraId="3C11633B" w14:textId="61D2696D" w:rsidR="00A41318" w:rsidRPr="00A41318" w:rsidRDefault="00A41318" w:rsidP="00A41318">
            <w:pPr>
              <w:pStyle w:val="TableText"/>
              <w:rPr>
                <w:noProof/>
                <w:sz w:val="22"/>
                <w:szCs w:val="22"/>
              </w:rPr>
            </w:pPr>
            <w:r>
              <w:rPr>
                <w:b/>
                <w:noProof/>
                <w:sz w:val="22"/>
              </w:rPr>
              <w:t>2023 m. atidaryti skyriai</w:t>
            </w:r>
          </w:p>
        </w:tc>
        <w:tc>
          <w:tcPr>
            <w:tcW w:w="2639" w:type="pct"/>
          </w:tcPr>
          <w:p w14:paraId="021891E0" w14:textId="77777777" w:rsidR="00A41318" w:rsidRPr="00A41318" w:rsidRDefault="00A41318" w:rsidP="00A41318">
            <w:pPr>
              <w:pStyle w:val="TableText"/>
              <w:jc w:val="center"/>
              <w:rPr>
                <w:noProof/>
                <w:sz w:val="22"/>
                <w:szCs w:val="22"/>
                <w:lang w:val="en-IE"/>
              </w:rPr>
            </w:pPr>
          </w:p>
        </w:tc>
      </w:tr>
      <w:tr w:rsidR="00A41318" w14:paraId="43806ACD" w14:textId="77777777" w:rsidTr="005037F7">
        <w:trPr>
          <w:cnfStyle w:val="000000010000" w:firstRow="0" w:lastRow="0" w:firstColumn="0" w:lastColumn="0" w:oddVBand="0" w:evenVBand="0" w:oddHBand="0" w:evenHBand="1" w:firstRowFirstColumn="0" w:firstRowLastColumn="0" w:lastRowFirstColumn="0" w:lastRowLastColumn="0"/>
          <w:cantSplit/>
        </w:trPr>
        <w:tc>
          <w:tcPr>
            <w:tcW w:w="2361" w:type="pct"/>
          </w:tcPr>
          <w:p w14:paraId="4D68AC87" w14:textId="2C8E3AF6" w:rsidR="00A41318" w:rsidRPr="00A41318" w:rsidRDefault="00A41318" w:rsidP="00A41318">
            <w:pPr>
              <w:pStyle w:val="TableText"/>
              <w:rPr>
                <w:b/>
                <w:bCs/>
                <w:noProof/>
                <w:sz w:val="22"/>
                <w:szCs w:val="22"/>
              </w:rPr>
            </w:pPr>
            <w:r>
              <w:rPr>
                <w:noProof/>
                <w:sz w:val="22"/>
              </w:rPr>
              <w:t>„InvestEU“ garantija Bulgarijai</w:t>
            </w:r>
          </w:p>
        </w:tc>
        <w:tc>
          <w:tcPr>
            <w:tcW w:w="2639" w:type="pct"/>
          </w:tcPr>
          <w:p w14:paraId="43AF9F55" w14:textId="6778AAC9" w:rsidR="00A41318" w:rsidRPr="00A41318" w:rsidRDefault="00A41318" w:rsidP="00A41318">
            <w:pPr>
              <w:pStyle w:val="TableText"/>
              <w:jc w:val="center"/>
              <w:rPr>
                <w:b/>
                <w:bCs/>
                <w:noProof/>
                <w:sz w:val="22"/>
                <w:szCs w:val="22"/>
              </w:rPr>
            </w:pPr>
            <w:r>
              <w:rPr>
                <w:noProof/>
                <w:color w:val="000000"/>
                <w:sz w:val="22"/>
              </w:rPr>
              <w:t>41 334 023,23</w:t>
            </w:r>
          </w:p>
        </w:tc>
      </w:tr>
      <w:tr w:rsidR="00A41318" w14:paraId="70662A6C" w14:textId="77777777" w:rsidTr="005037F7">
        <w:trPr>
          <w:cantSplit/>
        </w:trPr>
        <w:tc>
          <w:tcPr>
            <w:tcW w:w="2361" w:type="pct"/>
          </w:tcPr>
          <w:p w14:paraId="308E1C08" w14:textId="1B3CBC6F" w:rsidR="00A41318" w:rsidRPr="00A41318" w:rsidRDefault="00A41318" w:rsidP="00A41318">
            <w:pPr>
              <w:pStyle w:val="TableText"/>
              <w:rPr>
                <w:b/>
                <w:bCs/>
                <w:noProof/>
                <w:sz w:val="22"/>
                <w:szCs w:val="22"/>
              </w:rPr>
            </w:pPr>
            <w:r>
              <w:rPr>
                <w:noProof/>
                <w:sz w:val="22"/>
              </w:rPr>
              <w:t>„InvestEU“ garantija Maltai</w:t>
            </w:r>
          </w:p>
        </w:tc>
        <w:tc>
          <w:tcPr>
            <w:tcW w:w="2639" w:type="pct"/>
          </w:tcPr>
          <w:p w14:paraId="56D6256A" w14:textId="0415B8E2" w:rsidR="00A41318" w:rsidRPr="00A41318" w:rsidRDefault="00A41318" w:rsidP="00A41318">
            <w:pPr>
              <w:pStyle w:val="TableText"/>
              <w:jc w:val="center"/>
              <w:rPr>
                <w:b/>
                <w:bCs/>
                <w:noProof/>
                <w:sz w:val="22"/>
                <w:szCs w:val="22"/>
              </w:rPr>
            </w:pPr>
            <w:r>
              <w:rPr>
                <w:noProof/>
                <w:color w:val="000000"/>
                <w:sz w:val="22"/>
              </w:rPr>
              <w:t>6 352 640,21</w:t>
            </w:r>
          </w:p>
        </w:tc>
      </w:tr>
      <w:tr w:rsidR="00A41318" w14:paraId="67574E4D" w14:textId="77777777" w:rsidTr="005037F7">
        <w:trPr>
          <w:cnfStyle w:val="000000010000" w:firstRow="0" w:lastRow="0" w:firstColumn="0" w:lastColumn="0" w:oddVBand="0" w:evenVBand="0" w:oddHBand="0" w:evenHBand="1" w:firstRowFirstColumn="0" w:firstRowLastColumn="0" w:lastRowFirstColumn="0" w:lastRowLastColumn="0"/>
          <w:cantSplit/>
        </w:trPr>
        <w:tc>
          <w:tcPr>
            <w:tcW w:w="2361" w:type="pct"/>
          </w:tcPr>
          <w:p w14:paraId="1A76660D" w14:textId="50625F50" w:rsidR="00A41318" w:rsidRPr="00A41318" w:rsidRDefault="00A41318" w:rsidP="00A41318">
            <w:pPr>
              <w:pStyle w:val="TableText"/>
              <w:rPr>
                <w:b/>
                <w:bCs/>
                <w:noProof/>
                <w:sz w:val="22"/>
                <w:szCs w:val="22"/>
              </w:rPr>
            </w:pPr>
            <w:r>
              <w:rPr>
                <w:b/>
                <w:noProof/>
                <w:sz w:val="22"/>
              </w:rPr>
              <w:t>IŠ VISO</w:t>
            </w:r>
          </w:p>
        </w:tc>
        <w:tc>
          <w:tcPr>
            <w:tcW w:w="2639" w:type="pct"/>
          </w:tcPr>
          <w:p w14:paraId="4B35BB17" w14:textId="68EF5627" w:rsidR="00A41318" w:rsidRPr="00A41318" w:rsidRDefault="00A41318" w:rsidP="00A41318">
            <w:pPr>
              <w:pStyle w:val="TableText"/>
              <w:jc w:val="center"/>
              <w:rPr>
                <w:b/>
                <w:bCs/>
                <w:noProof/>
                <w:sz w:val="22"/>
                <w:szCs w:val="22"/>
              </w:rPr>
            </w:pPr>
            <w:r>
              <w:rPr>
                <w:b/>
                <w:noProof/>
                <w:color w:val="000000" w:themeColor="text1"/>
                <w:sz w:val="22"/>
              </w:rPr>
              <w:t>18 796 615 295,58</w:t>
            </w:r>
          </w:p>
        </w:tc>
      </w:tr>
    </w:tbl>
    <w:sdt>
      <w:sdtPr>
        <w:rPr>
          <w:b w:val="0"/>
          <w:iCs w:val="0"/>
          <w:noProof/>
          <w:color w:val="auto"/>
          <w:szCs w:val="20"/>
        </w:rPr>
        <w:alias w:val="Picture"/>
        <w:tag w:val="Yevoz0GxKA7SLcZiEquUa5"/>
        <w:id w:val="-2067707045"/>
        <w:placeholder>
          <w:docPart w:val="540F99BA017C456D80112867DEC0D507"/>
        </w:placeholder>
      </w:sdtPr>
      <w:sdtEndPr/>
      <w:sdtContent>
        <w:p w14:paraId="32B78B2C" w14:textId="77777777" w:rsidR="009D5B05" w:rsidRDefault="009D5B05" w:rsidP="00EF12DA">
          <w:pPr>
            <w:pStyle w:val="FigureTitle1"/>
            <w:rPr>
              <w:noProof/>
              <w:lang w:val="en-IE"/>
            </w:rPr>
          </w:pPr>
        </w:p>
        <w:p w14:paraId="5D9688C0" w14:textId="580AED42" w:rsidR="00A41318" w:rsidRDefault="00E04940" w:rsidP="00EF12DA">
          <w:pPr>
            <w:pStyle w:val="FigureTitle1"/>
            <w:rPr>
              <w:noProof/>
            </w:rPr>
          </w:pPr>
          <w:r>
            <w:rPr>
              <w:noProof/>
            </w:rPr>
            <w:fldChar w:fldCharType="begin"/>
          </w:r>
          <w:r>
            <w:rPr>
              <w:noProof/>
            </w:rPr>
            <w:instrText xml:space="preserve"> SEQ Figure \* ARABIC </w:instrText>
          </w:r>
          <w:r>
            <w:rPr>
              <w:noProof/>
            </w:rPr>
            <w:fldChar w:fldCharType="separate"/>
          </w:r>
          <w:r w:rsidR="006406CC" w:rsidRPr="00651BE1">
            <w:rPr>
              <w:noProof/>
            </w:rPr>
            <w:t>2</w:t>
          </w:r>
          <w:r>
            <w:rPr>
              <w:noProof/>
            </w:rPr>
            <w:fldChar w:fldCharType="end"/>
          </w:r>
          <w:r w:rsidR="007B21CA">
            <w:rPr>
              <w:noProof/>
            </w:rPr>
            <w:t xml:space="preserve"> pav.</w:t>
          </w:r>
          <w:r w:rsidR="007B21CA">
            <w:rPr>
              <w:rFonts w:ascii="Calibri" w:hAnsi="Calibri"/>
              <w:noProof/>
            </w:rPr>
            <w:t> </w:t>
          </w:r>
          <w:r w:rsidR="007B21CA">
            <w:rPr>
              <w:noProof/>
            </w:rPr>
            <w:t>BAF skyrių dydis 2023 12 31</w:t>
          </w:r>
        </w:p>
        <w:p w14:paraId="7C2B61E8" w14:textId="71442C27" w:rsidR="00A45554" w:rsidRPr="00A45554" w:rsidRDefault="0073385B" w:rsidP="004015F4">
          <w:pPr>
            <w:pStyle w:val="FigureBody1"/>
            <w:ind w:left="0"/>
            <w:jc w:val="center"/>
            <w:rPr>
              <w:noProof/>
            </w:rPr>
          </w:pPr>
          <w:r w:rsidRPr="0073385B">
            <w:rPr>
              <w:noProof/>
              <w:lang w:val="en-GB" w:eastAsia="en-GB"/>
            </w:rPr>
            <w:drawing>
              <wp:inline distT="0" distB="0" distL="0" distR="0" wp14:anchorId="129109C6" wp14:editId="2642F1D4">
                <wp:extent cx="5153025" cy="2762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53025" cy="2762250"/>
                        </a:xfrm>
                        <a:prstGeom prst="rect">
                          <a:avLst/>
                        </a:prstGeom>
                        <a:noFill/>
                        <a:ln>
                          <a:noFill/>
                        </a:ln>
                      </pic:spPr>
                    </pic:pic>
                  </a:graphicData>
                </a:graphic>
              </wp:inline>
            </w:drawing>
          </w:r>
        </w:p>
        <w:p w14:paraId="43434526" w14:textId="68CF8323" w:rsidR="007B21CA" w:rsidRDefault="00347FD2" w:rsidP="007B21CA">
          <w:pPr>
            <w:pStyle w:val="FigureBody1"/>
            <w:rPr>
              <w:noProof/>
              <w:lang w:val="en-IE"/>
            </w:rPr>
          </w:pPr>
        </w:p>
      </w:sdtContent>
    </w:sdt>
    <w:p w14:paraId="6BDA6697" w14:textId="2E270EFE" w:rsidR="007B21CA" w:rsidRPr="00C300C0" w:rsidRDefault="00D67AF1" w:rsidP="00A34164">
      <w:pPr>
        <w:pStyle w:val="Heading2"/>
      </w:pPr>
      <w:bookmarkStart w:id="6" w:name="_Toc170740353"/>
      <w:r>
        <w:t>1.3. Reikalavimai mokėti pagal garantiją ir mokėjimo prašymai</w:t>
      </w:r>
      <w:bookmarkEnd w:id="6"/>
    </w:p>
    <w:p w14:paraId="6BE9DB98" w14:textId="62F91BA5" w:rsidR="007B21CA" w:rsidRPr="008B332F" w:rsidRDefault="007B21CA" w:rsidP="007B21CA">
      <w:pPr>
        <w:rPr>
          <w:noProof/>
        </w:rPr>
      </w:pPr>
      <w:r>
        <w:rPr>
          <w:noProof/>
        </w:rPr>
        <w:t>Reikalavimų mokėti pagal garantiją ir mokėjimo prašymų likvidumą valdyti padeda likvidumo atsarga, kaip numatyta BAF turto valdymo gairėse (</w:t>
      </w:r>
      <w:r>
        <w:rPr>
          <w:rStyle w:val="FootnoteReference"/>
          <w:noProof/>
        </w:rPr>
        <w:footnoteReference w:id="16"/>
      </w:r>
      <w:r>
        <w:rPr>
          <w:noProof/>
        </w:rPr>
        <w:t xml:space="preserve">). Likvidumo atsargą sudaro ribotos grynųjų pinigų atsargos, laikomos Komisijos centriniame ižde, kad būtų galima padengti numatomus netenkamus pinigų srautus, kurių, remiantis įgyvendinimo partnerių pranešimais, tikimasi per trejų mėnesių laikotarpį. </w:t>
      </w:r>
    </w:p>
    <w:p w14:paraId="059A590C" w14:textId="17BA9BF3" w:rsidR="007B21CA" w:rsidRPr="008B332F" w:rsidRDefault="007B21CA" w:rsidP="007B21CA">
      <w:pPr>
        <w:rPr>
          <w:noProof/>
        </w:rPr>
      </w:pPr>
      <w:r>
        <w:rPr>
          <w:noProof/>
        </w:rPr>
        <w:lastRenderedPageBreak/>
        <w:t>2023 m. pradžioje likvidumo atsarga buvo 342 mln. EUR. Per metus jos gaunamų pinigų srautas sudarė 114 mln. EUR (</w:t>
      </w:r>
      <w:r w:rsidR="00725EB0">
        <w:rPr>
          <w:rStyle w:val="FootnoteReference"/>
          <w:noProof/>
        </w:rPr>
        <w:footnoteReference w:id="17"/>
      </w:r>
      <w:r>
        <w:rPr>
          <w:noProof/>
        </w:rPr>
        <w:t xml:space="preserve">), o per 2023 m. grynoji išmokėta suma sudarė </w:t>
      </w:r>
      <w:r>
        <w:rPr>
          <w:noProof/>
          <w:color w:val="000000" w:themeColor="text1"/>
        </w:rPr>
        <w:t>beveik 351</w:t>
      </w:r>
      <w:r>
        <w:rPr>
          <w:noProof/>
        </w:rPr>
        <w:t> mln. EUR (</w:t>
      </w:r>
      <w:r w:rsidRPr="00D171BA">
        <w:rPr>
          <w:rStyle w:val="FootnoteReference"/>
          <w:noProof/>
        </w:rPr>
        <w:footnoteReference w:id="18"/>
      </w:r>
      <w:r>
        <w:rPr>
          <w:noProof/>
        </w:rPr>
        <w:t>). Likvidumo atsargos likutis 2023 m. pabaigoje buvo 106 mln. EUR.</w:t>
      </w:r>
    </w:p>
    <w:p w14:paraId="0D56DA88" w14:textId="48B38518" w:rsidR="007B21CA" w:rsidRPr="008B332F" w:rsidRDefault="007B21CA" w:rsidP="007B21CA">
      <w:pPr>
        <w:rPr>
          <w:noProof/>
        </w:rPr>
      </w:pPr>
      <w:r>
        <w:rPr>
          <w:noProof/>
        </w:rPr>
        <w:t>Toliau apibendrinami 2023 m. reikalavimai dėl BAF atidėjinių pagal atitinkamas biudžeto garantijas (</w:t>
      </w:r>
      <w:r w:rsidRPr="008B332F">
        <w:rPr>
          <w:rStyle w:val="FootnoteReference"/>
          <w:noProof/>
        </w:rPr>
        <w:footnoteReference w:id="19"/>
      </w:r>
      <w:r>
        <w:rPr>
          <w:noProof/>
        </w:rPr>
        <w:t>), taip pat kiti reikalavimai, susiję su BAF skyriuose laikomais ištekliais (</w:t>
      </w:r>
      <w:r w:rsidRPr="008B332F">
        <w:rPr>
          <w:rStyle w:val="FootnoteReference"/>
          <w:noProof/>
        </w:rPr>
        <w:footnoteReference w:id="20"/>
      </w:r>
      <w:r>
        <w:rPr>
          <w:noProof/>
        </w:rPr>
        <w:t>).</w:t>
      </w:r>
    </w:p>
    <w:p w14:paraId="1CD8DE55" w14:textId="46753AAF" w:rsidR="007B21CA" w:rsidRPr="00EF12DA" w:rsidRDefault="00E04940" w:rsidP="00EF12DA">
      <w:pPr>
        <w:pStyle w:val="TableTitle1"/>
        <w:rPr>
          <w:noProof/>
        </w:rPr>
      </w:pPr>
      <w:r>
        <w:rPr>
          <w:noProof/>
        </w:rPr>
        <w:fldChar w:fldCharType="begin"/>
      </w:r>
      <w:r>
        <w:rPr>
          <w:noProof/>
        </w:rPr>
        <w:instrText xml:space="preserve"> SEQ Table \* ARABIC </w:instrText>
      </w:r>
      <w:r>
        <w:rPr>
          <w:noProof/>
        </w:rPr>
        <w:fldChar w:fldCharType="separate"/>
      </w:r>
      <w:r w:rsidR="006406CC" w:rsidRPr="00EF12DA">
        <w:rPr>
          <w:noProof/>
        </w:rPr>
        <w:t>2</w:t>
      </w:r>
      <w:r>
        <w:rPr>
          <w:noProof/>
        </w:rPr>
        <w:fldChar w:fldCharType="end"/>
      </w:r>
      <w:r w:rsidR="00EB26D9">
        <w:rPr>
          <w:noProof/>
        </w:rPr>
        <w:t xml:space="preserve"> lentelė. 2023 m. BAF netenkami pinigų srautai, išsami apžvalga</w:t>
      </w:r>
    </w:p>
    <w:tbl>
      <w:tblPr>
        <w:tblStyle w:val="EurolookClassicBlue1"/>
        <w:tblW w:w="5000" w:type="pct"/>
        <w:tblInd w:w="0" w:type="dxa"/>
        <w:tblLook w:val="04E0" w:firstRow="1" w:lastRow="1" w:firstColumn="1" w:lastColumn="0" w:noHBand="0" w:noVBand="1"/>
      </w:tblPr>
      <w:tblGrid>
        <w:gridCol w:w="2326"/>
        <w:gridCol w:w="2447"/>
        <w:gridCol w:w="4283"/>
      </w:tblGrid>
      <w:tr w:rsidR="007B21CA" w:rsidRPr="00E11DF8" w14:paraId="4FE9D0D5" w14:textId="77777777" w:rsidTr="00E11DF8">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284" w:type="pct"/>
          </w:tcPr>
          <w:p w14:paraId="0EDBC092" w14:textId="4F085C6A" w:rsidR="007B21CA" w:rsidRPr="00E11DF8" w:rsidRDefault="007B21CA" w:rsidP="007B21CA">
            <w:pPr>
              <w:pStyle w:val="TableText"/>
              <w:rPr>
                <w:noProof/>
                <w:sz w:val="22"/>
                <w:szCs w:val="22"/>
              </w:rPr>
            </w:pPr>
            <w:r>
              <w:rPr>
                <w:b/>
                <w:noProof/>
                <w:sz w:val="22"/>
              </w:rPr>
              <w:t>Skyrius</w:t>
            </w:r>
          </w:p>
        </w:tc>
        <w:tc>
          <w:tcPr>
            <w:tcW w:w="1351" w:type="pct"/>
          </w:tcPr>
          <w:p w14:paraId="1F776201" w14:textId="0ECE2487" w:rsidR="007B21CA" w:rsidRPr="00E11DF8" w:rsidRDefault="007B21CA" w:rsidP="007B21CA">
            <w:pPr>
              <w:pStyle w:val="TableText"/>
              <w:cnfStyle w:val="100000000000" w:firstRow="1" w:lastRow="0" w:firstColumn="0" w:lastColumn="0" w:oddVBand="0" w:evenVBand="0" w:oddHBand="0" w:evenHBand="0" w:firstRowFirstColumn="0" w:firstRowLastColumn="0" w:lastRowFirstColumn="0" w:lastRowLastColumn="0"/>
              <w:rPr>
                <w:noProof/>
                <w:sz w:val="22"/>
                <w:szCs w:val="22"/>
              </w:rPr>
            </w:pPr>
            <w:r>
              <w:rPr>
                <w:b/>
                <w:noProof/>
                <w:sz w:val="22"/>
              </w:rPr>
              <w:t>mln. EUR</w:t>
            </w:r>
          </w:p>
        </w:tc>
        <w:tc>
          <w:tcPr>
            <w:tcW w:w="2365" w:type="pct"/>
          </w:tcPr>
          <w:p w14:paraId="41F78659" w14:textId="155C169A" w:rsidR="007B21CA" w:rsidRPr="00E11DF8" w:rsidRDefault="007B21CA" w:rsidP="007B21CA">
            <w:pPr>
              <w:pStyle w:val="TableText"/>
              <w:jc w:val="center"/>
              <w:cnfStyle w:val="100000000000" w:firstRow="1" w:lastRow="0" w:firstColumn="0" w:lastColumn="0" w:oddVBand="0" w:evenVBand="0" w:oddHBand="0" w:evenHBand="0" w:firstRowFirstColumn="0" w:firstRowLastColumn="0" w:lastRowFirstColumn="0" w:lastRowLastColumn="0"/>
              <w:rPr>
                <w:noProof/>
                <w:sz w:val="22"/>
                <w:szCs w:val="22"/>
              </w:rPr>
            </w:pPr>
            <w:r>
              <w:rPr>
                <w:b/>
                <w:noProof/>
                <w:sz w:val="22"/>
              </w:rPr>
              <w:t>Netenkamo pinigų srauto pobūdis</w:t>
            </w:r>
          </w:p>
        </w:tc>
      </w:tr>
      <w:tr w:rsidR="007B21CA" w:rsidRPr="00E11DF8" w14:paraId="5650A4F0" w14:textId="77777777" w:rsidTr="00E11DF8">
        <w:trPr>
          <w:cantSplit/>
        </w:trPr>
        <w:tc>
          <w:tcPr>
            <w:cnfStyle w:val="001000000000" w:firstRow="0" w:lastRow="0" w:firstColumn="1" w:lastColumn="0" w:oddVBand="0" w:evenVBand="0" w:oddHBand="0" w:evenHBand="0" w:firstRowFirstColumn="0" w:firstRowLastColumn="0" w:lastRowFirstColumn="0" w:lastRowLastColumn="0"/>
            <w:tcW w:w="1284" w:type="pct"/>
          </w:tcPr>
          <w:p w14:paraId="57FD66AD" w14:textId="2FADFCF2" w:rsidR="007B21CA" w:rsidRPr="00E11DF8" w:rsidRDefault="007B21CA" w:rsidP="007B21CA">
            <w:pPr>
              <w:pStyle w:val="TableText"/>
              <w:rPr>
                <w:noProof/>
                <w:sz w:val="22"/>
                <w:szCs w:val="22"/>
              </w:rPr>
            </w:pPr>
            <w:r>
              <w:rPr>
                <w:noProof/>
                <w:sz w:val="22"/>
              </w:rPr>
              <w:t>EDVF</w:t>
            </w:r>
          </w:p>
        </w:tc>
        <w:tc>
          <w:tcPr>
            <w:tcW w:w="1351" w:type="pct"/>
          </w:tcPr>
          <w:p w14:paraId="2F58D8E2" w14:textId="3466D25B" w:rsidR="007B21CA" w:rsidRPr="00E11DF8" w:rsidRDefault="007B21CA" w:rsidP="007B21CA">
            <w:pPr>
              <w:pStyle w:val="TableText"/>
              <w:jc w:val="right"/>
              <w:cnfStyle w:val="000000000000" w:firstRow="0" w:lastRow="0" w:firstColumn="0" w:lastColumn="0" w:oddVBand="0" w:evenVBand="0" w:oddHBand="0" w:evenHBand="0" w:firstRowFirstColumn="0" w:firstRowLastColumn="0" w:lastRowFirstColumn="0" w:lastRowLastColumn="0"/>
              <w:rPr>
                <w:b/>
                <w:bCs/>
                <w:noProof/>
                <w:sz w:val="22"/>
                <w:szCs w:val="22"/>
              </w:rPr>
            </w:pPr>
            <w:r>
              <w:rPr>
                <w:b/>
                <w:noProof/>
                <w:sz w:val="22"/>
              </w:rPr>
              <w:t>0,60</w:t>
            </w:r>
          </w:p>
        </w:tc>
        <w:tc>
          <w:tcPr>
            <w:tcW w:w="2365" w:type="pct"/>
          </w:tcPr>
          <w:p w14:paraId="7E852E5D" w14:textId="0AD49477" w:rsidR="007B21CA" w:rsidRPr="00E11DF8" w:rsidRDefault="007B21CA" w:rsidP="007B21CA">
            <w:pPr>
              <w:pStyle w:val="TableText"/>
              <w:jc w:val="center"/>
              <w:cnfStyle w:val="000000000000" w:firstRow="0" w:lastRow="0" w:firstColumn="0" w:lastColumn="0" w:oddVBand="0" w:evenVBand="0" w:oddHBand="0" w:evenHBand="0" w:firstRowFirstColumn="0" w:firstRowLastColumn="0" w:lastRowFirstColumn="0" w:lastRowLastColumn="0"/>
              <w:rPr>
                <w:noProof/>
                <w:sz w:val="22"/>
                <w:szCs w:val="22"/>
              </w:rPr>
            </w:pPr>
            <w:r>
              <w:rPr>
                <w:noProof/>
                <w:sz w:val="22"/>
              </w:rPr>
              <w:t>reikalavimai mokėti pagal garantiją</w:t>
            </w:r>
          </w:p>
        </w:tc>
      </w:tr>
      <w:tr w:rsidR="007B21CA" w:rsidRPr="00E11DF8" w14:paraId="2795264A" w14:textId="77777777" w:rsidTr="00E11DF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84" w:type="pct"/>
          </w:tcPr>
          <w:p w14:paraId="6ED46E77" w14:textId="42BA929C" w:rsidR="007B21CA" w:rsidRPr="00E11DF8" w:rsidRDefault="007B21CA" w:rsidP="007B21CA">
            <w:pPr>
              <w:pStyle w:val="TableText"/>
              <w:rPr>
                <w:noProof/>
                <w:sz w:val="22"/>
                <w:szCs w:val="22"/>
              </w:rPr>
            </w:pPr>
            <w:r>
              <w:rPr>
                <w:noProof/>
                <w:sz w:val="22"/>
              </w:rPr>
              <w:t>EDVF+</w:t>
            </w:r>
          </w:p>
        </w:tc>
        <w:tc>
          <w:tcPr>
            <w:tcW w:w="1351" w:type="pct"/>
          </w:tcPr>
          <w:p w14:paraId="669EBEEB" w14:textId="67A0B104" w:rsidR="007B21CA" w:rsidRPr="00E11DF8" w:rsidRDefault="007B21CA" w:rsidP="007B21CA">
            <w:pPr>
              <w:pStyle w:val="TableText"/>
              <w:jc w:val="right"/>
              <w:cnfStyle w:val="000000010000" w:firstRow="0" w:lastRow="0" w:firstColumn="0" w:lastColumn="0" w:oddVBand="0" w:evenVBand="0" w:oddHBand="0" w:evenHBand="1" w:firstRowFirstColumn="0" w:firstRowLastColumn="0" w:lastRowFirstColumn="0" w:lastRowLastColumn="0"/>
              <w:rPr>
                <w:b/>
                <w:bCs/>
                <w:noProof/>
                <w:sz w:val="22"/>
                <w:szCs w:val="22"/>
              </w:rPr>
            </w:pPr>
            <w:r>
              <w:rPr>
                <w:b/>
                <w:noProof/>
                <w:sz w:val="22"/>
              </w:rPr>
              <w:t>0,04</w:t>
            </w:r>
          </w:p>
        </w:tc>
        <w:tc>
          <w:tcPr>
            <w:tcW w:w="2365" w:type="pct"/>
          </w:tcPr>
          <w:p w14:paraId="730F2897" w14:textId="18504837" w:rsidR="007B21CA" w:rsidRPr="00E11DF8" w:rsidRDefault="007B21CA" w:rsidP="007B21CA">
            <w:pPr>
              <w:pStyle w:val="TableText"/>
              <w:jc w:val="center"/>
              <w:cnfStyle w:val="000000010000" w:firstRow="0" w:lastRow="0" w:firstColumn="0" w:lastColumn="0" w:oddVBand="0" w:evenVBand="0" w:oddHBand="0" w:evenHBand="1" w:firstRowFirstColumn="0" w:firstRowLastColumn="0" w:lastRowFirstColumn="0" w:lastRowLastColumn="0"/>
              <w:rPr>
                <w:noProof/>
                <w:sz w:val="22"/>
                <w:szCs w:val="22"/>
              </w:rPr>
            </w:pPr>
            <w:r>
              <w:rPr>
                <w:noProof/>
                <w:sz w:val="22"/>
              </w:rPr>
              <w:t>reikalavimai mokėti pagal garantiją</w:t>
            </w:r>
          </w:p>
        </w:tc>
      </w:tr>
      <w:tr w:rsidR="007B21CA" w:rsidRPr="00E11DF8" w14:paraId="17595CB3" w14:textId="77777777" w:rsidTr="00E11DF8">
        <w:trPr>
          <w:cantSplit/>
        </w:trPr>
        <w:tc>
          <w:tcPr>
            <w:cnfStyle w:val="001000000000" w:firstRow="0" w:lastRow="0" w:firstColumn="1" w:lastColumn="0" w:oddVBand="0" w:evenVBand="0" w:oddHBand="0" w:evenHBand="0" w:firstRowFirstColumn="0" w:firstRowLastColumn="0" w:lastRowFirstColumn="0" w:lastRowLastColumn="0"/>
            <w:tcW w:w="1284" w:type="pct"/>
            <w:vMerge w:val="restart"/>
          </w:tcPr>
          <w:p w14:paraId="1FEA9B0F" w14:textId="14D7A577" w:rsidR="007B21CA" w:rsidRPr="00E11DF8" w:rsidRDefault="007B21CA" w:rsidP="007B21CA">
            <w:pPr>
              <w:pStyle w:val="TableText"/>
              <w:rPr>
                <w:noProof/>
                <w:sz w:val="22"/>
                <w:szCs w:val="22"/>
              </w:rPr>
            </w:pPr>
            <w:r>
              <w:rPr>
                <w:noProof/>
                <w:sz w:val="22"/>
              </w:rPr>
              <w:t>IVGF</w:t>
            </w:r>
          </w:p>
        </w:tc>
        <w:tc>
          <w:tcPr>
            <w:tcW w:w="1351" w:type="pct"/>
          </w:tcPr>
          <w:p w14:paraId="064B4E71" w14:textId="51CE325F" w:rsidR="007B21CA" w:rsidRPr="00E11DF8" w:rsidRDefault="007B21CA" w:rsidP="007B21CA">
            <w:pPr>
              <w:pStyle w:val="TableText"/>
              <w:jc w:val="right"/>
              <w:cnfStyle w:val="000000000000" w:firstRow="0" w:lastRow="0" w:firstColumn="0" w:lastColumn="0" w:oddVBand="0" w:evenVBand="0" w:oddHBand="0" w:evenHBand="0" w:firstRowFirstColumn="0" w:firstRowLastColumn="0" w:lastRowFirstColumn="0" w:lastRowLastColumn="0"/>
              <w:rPr>
                <w:noProof/>
                <w:sz w:val="22"/>
                <w:szCs w:val="22"/>
              </w:rPr>
            </w:pPr>
            <w:r>
              <w:rPr>
                <w:noProof/>
                <w:sz w:val="22"/>
              </w:rPr>
              <w:t>127,57</w:t>
            </w:r>
          </w:p>
        </w:tc>
        <w:tc>
          <w:tcPr>
            <w:tcW w:w="2365" w:type="pct"/>
          </w:tcPr>
          <w:p w14:paraId="120CFD2D" w14:textId="5AEF152F" w:rsidR="007B21CA" w:rsidRPr="00E11DF8" w:rsidRDefault="007B21CA" w:rsidP="007B21CA">
            <w:pPr>
              <w:pStyle w:val="TableText"/>
              <w:jc w:val="center"/>
              <w:cnfStyle w:val="000000000000" w:firstRow="0" w:lastRow="0" w:firstColumn="0" w:lastColumn="0" w:oddVBand="0" w:evenVBand="0" w:oddHBand="0" w:evenHBand="0" w:firstRowFirstColumn="0" w:firstRowLastColumn="0" w:lastRowFirstColumn="0" w:lastRowLastColumn="0"/>
              <w:rPr>
                <w:noProof/>
                <w:sz w:val="22"/>
                <w:szCs w:val="22"/>
              </w:rPr>
            </w:pPr>
            <w:r>
              <w:rPr>
                <w:noProof/>
                <w:sz w:val="22"/>
              </w:rPr>
              <w:t>reikalavimai mokėti pagal garantiją</w:t>
            </w:r>
          </w:p>
        </w:tc>
      </w:tr>
      <w:tr w:rsidR="007B21CA" w:rsidRPr="00E11DF8" w14:paraId="5567622F" w14:textId="77777777" w:rsidTr="00E11DF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84" w:type="pct"/>
            <w:vMerge/>
          </w:tcPr>
          <w:p w14:paraId="5A45FF17" w14:textId="77777777" w:rsidR="007B21CA" w:rsidRPr="00E11DF8" w:rsidRDefault="007B21CA" w:rsidP="007B21CA">
            <w:pPr>
              <w:pStyle w:val="TableText"/>
              <w:rPr>
                <w:noProof/>
                <w:sz w:val="22"/>
                <w:szCs w:val="22"/>
              </w:rPr>
            </w:pPr>
          </w:p>
        </w:tc>
        <w:tc>
          <w:tcPr>
            <w:tcW w:w="1351" w:type="pct"/>
          </w:tcPr>
          <w:p w14:paraId="4A57FACF" w14:textId="0131BD64" w:rsidR="007B21CA" w:rsidRPr="00E11DF8" w:rsidRDefault="007B21CA" w:rsidP="007B21CA">
            <w:pPr>
              <w:pStyle w:val="TableText"/>
              <w:jc w:val="right"/>
              <w:cnfStyle w:val="000000010000" w:firstRow="0" w:lastRow="0" w:firstColumn="0" w:lastColumn="0" w:oddVBand="0" w:evenVBand="0" w:oddHBand="0" w:evenHBand="1" w:firstRowFirstColumn="0" w:firstRowLastColumn="0" w:lastRowFirstColumn="0" w:lastRowLastColumn="0"/>
              <w:rPr>
                <w:noProof/>
                <w:sz w:val="22"/>
                <w:szCs w:val="22"/>
              </w:rPr>
            </w:pPr>
            <w:r>
              <w:rPr>
                <w:noProof/>
                <w:sz w:val="22"/>
              </w:rPr>
              <w:t>0,06</w:t>
            </w:r>
          </w:p>
        </w:tc>
        <w:tc>
          <w:tcPr>
            <w:tcW w:w="2365" w:type="pct"/>
          </w:tcPr>
          <w:p w14:paraId="2C3DAECB" w14:textId="210C968D" w:rsidR="007B21CA" w:rsidRPr="00E11DF8" w:rsidRDefault="007B21CA" w:rsidP="007B21CA">
            <w:pPr>
              <w:pStyle w:val="TableText"/>
              <w:jc w:val="center"/>
              <w:cnfStyle w:val="000000010000" w:firstRow="0" w:lastRow="0" w:firstColumn="0" w:lastColumn="0" w:oddVBand="0" w:evenVBand="0" w:oddHBand="0" w:evenHBand="1" w:firstRowFirstColumn="0" w:firstRowLastColumn="0" w:lastRowFirstColumn="0" w:lastRowLastColumn="0"/>
              <w:rPr>
                <w:noProof/>
                <w:sz w:val="22"/>
                <w:szCs w:val="22"/>
              </w:rPr>
            </w:pPr>
            <w:r>
              <w:rPr>
                <w:noProof/>
                <w:sz w:val="22"/>
              </w:rPr>
              <w:t>mokesčiai už teisines paslaugas</w:t>
            </w:r>
          </w:p>
        </w:tc>
      </w:tr>
      <w:tr w:rsidR="007B21CA" w:rsidRPr="00E11DF8" w14:paraId="03521BD1" w14:textId="77777777" w:rsidTr="00E11DF8">
        <w:trPr>
          <w:cantSplit/>
        </w:trPr>
        <w:tc>
          <w:tcPr>
            <w:cnfStyle w:val="001000000000" w:firstRow="0" w:lastRow="0" w:firstColumn="1" w:lastColumn="0" w:oddVBand="0" w:evenVBand="0" w:oddHBand="0" w:evenHBand="0" w:firstRowFirstColumn="0" w:firstRowLastColumn="0" w:lastRowFirstColumn="0" w:lastRowLastColumn="0"/>
            <w:tcW w:w="1284" w:type="pct"/>
            <w:vMerge/>
          </w:tcPr>
          <w:p w14:paraId="7A2E8701" w14:textId="77777777" w:rsidR="007B21CA" w:rsidRPr="00E11DF8" w:rsidRDefault="007B21CA" w:rsidP="007B21CA">
            <w:pPr>
              <w:pStyle w:val="TableText"/>
              <w:rPr>
                <w:noProof/>
                <w:sz w:val="22"/>
                <w:szCs w:val="22"/>
              </w:rPr>
            </w:pPr>
          </w:p>
        </w:tc>
        <w:tc>
          <w:tcPr>
            <w:tcW w:w="1351" w:type="pct"/>
          </w:tcPr>
          <w:p w14:paraId="65FE1AB6" w14:textId="3C947369" w:rsidR="007B21CA" w:rsidRPr="00E11DF8" w:rsidRDefault="007B21CA" w:rsidP="007B21CA">
            <w:pPr>
              <w:pStyle w:val="TableText"/>
              <w:jc w:val="right"/>
              <w:cnfStyle w:val="000000000000" w:firstRow="0" w:lastRow="0" w:firstColumn="0" w:lastColumn="0" w:oddVBand="0" w:evenVBand="0" w:oddHBand="0" w:evenHBand="0" w:firstRowFirstColumn="0" w:firstRowLastColumn="0" w:lastRowFirstColumn="0" w:lastRowLastColumn="0"/>
              <w:rPr>
                <w:noProof/>
                <w:sz w:val="22"/>
                <w:szCs w:val="22"/>
              </w:rPr>
            </w:pPr>
            <w:r>
              <w:rPr>
                <w:b/>
                <w:noProof/>
                <w:sz w:val="22"/>
              </w:rPr>
              <w:t>127,63</w:t>
            </w:r>
          </w:p>
        </w:tc>
        <w:tc>
          <w:tcPr>
            <w:tcW w:w="2365" w:type="pct"/>
          </w:tcPr>
          <w:p w14:paraId="6053A0F1" w14:textId="7AF856F7" w:rsidR="007B21CA" w:rsidRPr="00E11DF8" w:rsidRDefault="007B21CA" w:rsidP="007B21CA">
            <w:pPr>
              <w:pStyle w:val="TableText"/>
              <w:jc w:val="center"/>
              <w:cnfStyle w:val="000000000000" w:firstRow="0" w:lastRow="0" w:firstColumn="0" w:lastColumn="0" w:oddVBand="0" w:evenVBand="0" w:oddHBand="0" w:evenHBand="0" w:firstRowFirstColumn="0" w:firstRowLastColumn="0" w:lastRowFirstColumn="0" w:lastRowLastColumn="0"/>
              <w:rPr>
                <w:noProof/>
                <w:sz w:val="22"/>
                <w:szCs w:val="22"/>
              </w:rPr>
            </w:pPr>
            <w:r>
              <w:rPr>
                <w:b/>
                <w:noProof/>
                <w:sz w:val="22"/>
              </w:rPr>
              <w:t>iš viso</w:t>
            </w:r>
          </w:p>
        </w:tc>
      </w:tr>
      <w:tr w:rsidR="00EB26D9" w:rsidRPr="00E11DF8" w14:paraId="66C68742" w14:textId="77777777" w:rsidTr="00E11DF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84" w:type="pct"/>
            <w:vMerge w:val="restart"/>
          </w:tcPr>
          <w:p w14:paraId="0001C160" w14:textId="6806FABE" w:rsidR="00EB26D9" w:rsidRPr="00E11DF8" w:rsidRDefault="00EB26D9" w:rsidP="007B21CA">
            <w:pPr>
              <w:pStyle w:val="TableText"/>
              <w:rPr>
                <w:noProof/>
                <w:sz w:val="22"/>
                <w:szCs w:val="22"/>
              </w:rPr>
            </w:pPr>
            <w:r>
              <w:rPr>
                <w:noProof/>
                <w:sz w:val="22"/>
              </w:rPr>
              <w:t>ESIF</w:t>
            </w:r>
          </w:p>
        </w:tc>
        <w:tc>
          <w:tcPr>
            <w:tcW w:w="1351" w:type="pct"/>
          </w:tcPr>
          <w:p w14:paraId="5E6425F0" w14:textId="3AE792BA" w:rsidR="00EB26D9" w:rsidRPr="00E11DF8" w:rsidRDefault="00EB26D9" w:rsidP="007B21CA">
            <w:pPr>
              <w:pStyle w:val="TableText"/>
              <w:jc w:val="right"/>
              <w:cnfStyle w:val="000000010000" w:firstRow="0" w:lastRow="0" w:firstColumn="0" w:lastColumn="0" w:oddVBand="0" w:evenVBand="0" w:oddHBand="0" w:evenHBand="1" w:firstRowFirstColumn="0" w:firstRowLastColumn="0" w:lastRowFirstColumn="0" w:lastRowLastColumn="0"/>
              <w:rPr>
                <w:noProof/>
                <w:sz w:val="22"/>
                <w:szCs w:val="22"/>
              </w:rPr>
            </w:pPr>
            <w:r>
              <w:rPr>
                <w:noProof/>
                <w:sz w:val="22"/>
              </w:rPr>
              <w:t>115,60</w:t>
            </w:r>
          </w:p>
        </w:tc>
        <w:tc>
          <w:tcPr>
            <w:tcW w:w="2365" w:type="pct"/>
          </w:tcPr>
          <w:p w14:paraId="43106384" w14:textId="242D4754" w:rsidR="00EB26D9" w:rsidRPr="00E11DF8" w:rsidRDefault="00EB26D9" w:rsidP="007B21CA">
            <w:pPr>
              <w:pStyle w:val="TableText"/>
              <w:jc w:val="center"/>
              <w:cnfStyle w:val="000000010000" w:firstRow="0" w:lastRow="0" w:firstColumn="0" w:lastColumn="0" w:oddVBand="0" w:evenVBand="0" w:oddHBand="0" w:evenHBand="1" w:firstRowFirstColumn="0" w:firstRowLastColumn="0" w:lastRowFirstColumn="0" w:lastRowLastColumn="0"/>
              <w:rPr>
                <w:noProof/>
                <w:sz w:val="22"/>
                <w:szCs w:val="22"/>
              </w:rPr>
            </w:pPr>
            <w:r>
              <w:rPr>
                <w:noProof/>
                <w:sz w:val="22"/>
              </w:rPr>
              <w:t>grynieji reikalavimai ir nuosavybės vertybinių popierių portfelių vertės koregavimas</w:t>
            </w:r>
          </w:p>
        </w:tc>
      </w:tr>
      <w:tr w:rsidR="00EB26D9" w:rsidRPr="00E11DF8" w14:paraId="67CBDD15" w14:textId="77777777" w:rsidTr="00E11DF8">
        <w:trPr>
          <w:cantSplit/>
        </w:trPr>
        <w:tc>
          <w:tcPr>
            <w:cnfStyle w:val="001000000000" w:firstRow="0" w:lastRow="0" w:firstColumn="1" w:lastColumn="0" w:oddVBand="0" w:evenVBand="0" w:oddHBand="0" w:evenHBand="0" w:firstRowFirstColumn="0" w:firstRowLastColumn="0" w:lastRowFirstColumn="0" w:lastRowLastColumn="0"/>
            <w:tcW w:w="1284" w:type="pct"/>
            <w:vMerge/>
          </w:tcPr>
          <w:p w14:paraId="693FD3AE" w14:textId="77777777" w:rsidR="00EB26D9" w:rsidRPr="00E11DF8" w:rsidRDefault="00EB26D9" w:rsidP="007B21CA">
            <w:pPr>
              <w:pStyle w:val="TableText"/>
              <w:rPr>
                <w:noProof/>
                <w:sz w:val="22"/>
                <w:szCs w:val="22"/>
              </w:rPr>
            </w:pPr>
          </w:p>
        </w:tc>
        <w:tc>
          <w:tcPr>
            <w:tcW w:w="1351" w:type="pct"/>
          </w:tcPr>
          <w:p w14:paraId="50A898D8" w14:textId="60F4BADE" w:rsidR="00EB26D9" w:rsidRPr="00E11DF8" w:rsidRDefault="00EB26D9" w:rsidP="007B21CA">
            <w:pPr>
              <w:pStyle w:val="TableText"/>
              <w:jc w:val="right"/>
              <w:cnfStyle w:val="000000000000" w:firstRow="0" w:lastRow="0" w:firstColumn="0" w:lastColumn="0" w:oddVBand="0" w:evenVBand="0" w:oddHBand="0" w:evenHBand="0" w:firstRowFirstColumn="0" w:firstRowLastColumn="0" w:lastRowFirstColumn="0" w:lastRowLastColumn="0"/>
              <w:rPr>
                <w:noProof/>
                <w:sz w:val="22"/>
                <w:szCs w:val="22"/>
              </w:rPr>
            </w:pPr>
            <w:r>
              <w:rPr>
                <w:noProof/>
                <w:sz w:val="22"/>
              </w:rPr>
              <w:t>22,40</w:t>
            </w:r>
          </w:p>
        </w:tc>
        <w:tc>
          <w:tcPr>
            <w:tcW w:w="2365" w:type="pct"/>
          </w:tcPr>
          <w:p w14:paraId="6EFC801D" w14:textId="78163642" w:rsidR="00EB26D9" w:rsidRPr="00E11DF8" w:rsidRDefault="00EB26D9" w:rsidP="007B21CA">
            <w:pPr>
              <w:pStyle w:val="TableText"/>
              <w:jc w:val="center"/>
              <w:cnfStyle w:val="000000000000" w:firstRow="0" w:lastRow="0" w:firstColumn="0" w:lastColumn="0" w:oddVBand="0" w:evenVBand="0" w:oddHBand="0" w:evenHBand="0" w:firstRowFirstColumn="0" w:firstRowLastColumn="0" w:lastRowFirstColumn="0" w:lastRowLastColumn="0"/>
              <w:rPr>
                <w:noProof/>
                <w:sz w:val="22"/>
                <w:szCs w:val="22"/>
              </w:rPr>
            </w:pPr>
            <w:r>
              <w:rPr>
                <w:noProof/>
                <w:sz w:val="22"/>
              </w:rPr>
              <w:t>MVĮ linijos sąnaudos ir reikalavimai (atėmus papildymą) dėl garantijų produktų</w:t>
            </w:r>
          </w:p>
        </w:tc>
      </w:tr>
      <w:tr w:rsidR="00EB26D9" w:rsidRPr="00E11DF8" w14:paraId="13D1679B" w14:textId="77777777" w:rsidTr="00E11DF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84" w:type="pct"/>
            <w:vMerge/>
          </w:tcPr>
          <w:p w14:paraId="12ED54E9" w14:textId="77777777" w:rsidR="00EB26D9" w:rsidRPr="00E11DF8" w:rsidRDefault="00EB26D9" w:rsidP="007B21CA">
            <w:pPr>
              <w:pStyle w:val="TableText"/>
              <w:rPr>
                <w:noProof/>
                <w:sz w:val="22"/>
                <w:szCs w:val="22"/>
              </w:rPr>
            </w:pPr>
          </w:p>
        </w:tc>
        <w:tc>
          <w:tcPr>
            <w:tcW w:w="1351" w:type="pct"/>
          </w:tcPr>
          <w:p w14:paraId="35DF1FCC" w14:textId="27B1B390" w:rsidR="00EB26D9" w:rsidRPr="00E11DF8" w:rsidRDefault="00EB26D9" w:rsidP="007B21CA">
            <w:pPr>
              <w:pStyle w:val="TableText"/>
              <w:jc w:val="right"/>
              <w:cnfStyle w:val="000000010000" w:firstRow="0" w:lastRow="0" w:firstColumn="0" w:lastColumn="0" w:oddVBand="0" w:evenVBand="0" w:oddHBand="0" w:evenHBand="1" w:firstRowFirstColumn="0" w:firstRowLastColumn="0" w:lastRowFirstColumn="0" w:lastRowLastColumn="0"/>
              <w:rPr>
                <w:noProof/>
                <w:sz w:val="22"/>
                <w:szCs w:val="22"/>
              </w:rPr>
            </w:pPr>
            <w:r>
              <w:rPr>
                <w:noProof/>
                <w:sz w:val="22"/>
              </w:rPr>
              <w:t>55,90</w:t>
            </w:r>
          </w:p>
        </w:tc>
        <w:tc>
          <w:tcPr>
            <w:tcW w:w="2365" w:type="pct"/>
          </w:tcPr>
          <w:p w14:paraId="4BD3B4F1" w14:textId="072C6C87" w:rsidR="00EB26D9" w:rsidRPr="00E11DF8" w:rsidRDefault="00EB26D9" w:rsidP="007B21CA">
            <w:pPr>
              <w:pStyle w:val="TableText"/>
              <w:jc w:val="center"/>
              <w:cnfStyle w:val="000000010000" w:firstRow="0" w:lastRow="0" w:firstColumn="0" w:lastColumn="0" w:oddVBand="0" w:evenVBand="0" w:oddHBand="0" w:evenHBand="1" w:firstRowFirstColumn="0" w:firstRowLastColumn="0" w:lastRowFirstColumn="0" w:lastRowLastColumn="0"/>
              <w:rPr>
                <w:noProof/>
                <w:sz w:val="22"/>
                <w:szCs w:val="22"/>
              </w:rPr>
            </w:pPr>
            <w:r>
              <w:rPr>
                <w:noProof/>
                <w:sz w:val="22"/>
              </w:rPr>
              <w:t>sąnaudos (finansavimo ir susigrąžinimo išlaidos)</w:t>
            </w:r>
          </w:p>
        </w:tc>
      </w:tr>
      <w:tr w:rsidR="00EB26D9" w:rsidRPr="00E11DF8" w14:paraId="40EE487C" w14:textId="77777777" w:rsidTr="00E11DF8">
        <w:trPr>
          <w:cantSplit/>
        </w:trPr>
        <w:tc>
          <w:tcPr>
            <w:cnfStyle w:val="001000000000" w:firstRow="0" w:lastRow="0" w:firstColumn="1" w:lastColumn="0" w:oddVBand="0" w:evenVBand="0" w:oddHBand="0" w:evenHBand="0" w:firstRowFirstColumn="0" w:firstRowLastColumn="0" w:lastRowFirstColumn="0" w:lastRowLastColumn="0"/>
            <w:tcW w:w="1284" w:type="pct"/>
            <w:vMerge/>
          </w:tcPr>
          <w:p w14:paraId="638067EB" w14:textId="77777777" w:rsidR="00EB26D9" w:rsidRPr="00E11DF8" w:rsidRDefault="00EB26D9" w:rsidP="007B21CA">
            <w:pPr>
              <w:pStyle w:val="TableText"/>
              <w:rPr>
                <w:noProof/>
                <w:sz w:val="22"/>
                <w:szCs w:val="22"/>
              </w:rPr>
            </w:pPr>
          </w:p>
        </w:tc>
        <w:tc>
          <w:tcPr>
            <w:tcW w:w="1351" w:type="pct"/>
          </w:tcPr>
          <w:p w14:paraId="501F8E91" w14:textId="0FBFC13F" w:rsidR="00EB26D9" w:rsidRPr="00E11DF8" w:rsidRDefault="00EB26D9" w:rsidP="007B21CA">
            <w:pPr>
              <w:pStyle w:val="TableText"/>
              <w:jc w:val="right"/>
              <w:cnfStyle w:val="000000000000" w:firstRow="0" w:lastRow="0" w:firstColumn="0" w:lastColumn="0" w:oddVBand="0" w:evenVBand="0" w:oddHBand="0" w:evenHBand="0" w:firstRowFirstColumn="0" w:firstRowLastColumn="0" w:lastRowFirstColumn="0" w:lastRowLastColumn="0"/>
              <w:rPr>
                <w:noProof/>
                <w:sz w:val="22"/>
                <w:szCs w:val="22"/>
              </w:rPr>
            </w:pPr>
            <w:r>
              <w:rPr>
                <w:b/>
                <w:noProof/>
                <w:sz w:val="22"/>
              </w:rPr>
              <w:t>193,90 (</w:t>
            </w:r>
            <w:r w:rsidRPr="00E11DF8">
              <w:rPr>
                <w:rStyle w:val="FootnoteReference"/>
                <w:b/>
                <w:bCs/>
                <w:iCs/>
                <w:noProof/>
                <w:sz w:val="22"/>
                <w:szCs w:val="22"/>
              </w:rPr>
              <w:footnoteReference w:id="21"/>
            </w:r>
            <w:r>
              <w:rPr>
                <w:b/>
                <w:noProof/>
                <w:sz w:val="22"/>
              </w:rPr>
              <w:t>)</w:t>
            </w:r>
          </w:p>
        </w:tc>
        <w:tc>
          <w:tcPr>
            <w:tcW w:w="2365" w:type="pct"/>
          </w:tcPr>
          <w:p w14:paraId="65AD359A" w14:textId="4E4C35E8" w:rsidR="00EB26D9" w:rsidRPr="00E11DF8" w:rsidRDefault="00EB26D9" w:rsidP="007B21CA">
            <w:pPr>
              <w:pStyle w:val="TableText"/>
              <w:jc w:val="center"/>
              <w:cnfStyle w:val="000000000000" w:firstRow="0" w:lastRow="0" w:firstColumn="0" w:lastColumn="0" w:oddVBand="0" w:evenVBand="0" w:oddHBand="0" w:evenHBand="0" w:firstRowFirstColumn="0" w:firstRowLastColumn="0" w:lastRowFirstColumn="0" w:lastRowLastColumn="0"/>
              <w:rPr>
                <w:noProof/>
                <w:sz w:val="22"/>
                <w:szCs w:val="22"/>
              </w:rPr>
            </w:pPr>
            <w:r>
              <w:rPr>
                <w:b/>
                <w:noProof/>
                <w:sz w:val="22"/>
              </w:rPr>
              <w:t>iš viso</w:t>
            </w:r>
          </w:p>
        </w:tc>
      </w:tr>
      <w:tr w:rsidR="00EB26D9" w:rsidRPr="00E11DF8" w14:paraId="6EBBEF5C" w14:textId="77777777" w:rsidTr="00E11DF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84" w:type="pct"/>
            <w:vMerge w:val="restart"/>
          </w:tcPr>
          <w:p w14:paraId="105F9A56" w14:textId="5CDD0090" w:rsidR="00EB26D9" w:rsidRPr="00E11DF8" w:rsidRDefault="00EB26D9" w:rsidP="007B21CA">
            <w:pPr>
              <w:pStyle w:val="TableText"/>
              <w:rPr>
                <w:noProof/>
                <w:sz w:val="22"/>
                <w:szCs w:val="22"/>
              </w:rPr>
            </w:pPr>
            <w:r>
              <w:rPr>
                <w:noProof/>
                <w:sz w:val="22"/>
              </w:rPr>
              <w:t>„InvestEU“</w:t>
            </w:r>
          </w:p>
        </w:tc>
        <w:tc>
          <w:tcPr>
            <w:tcW w:w="1351" w:type="pct"/>
          </w:tcPr>
          <w:p w14:paraId="3EB08E30" w14:textId="1A59232B" w:rsidR="00EB26D9" w:rsidRPr="00E11DF8" w:rsidRDefault="00D171BA" w:rsidP="007B21CA">
            <w:pPr>
              <w:pStyle w:val="TableText"/>
              <w:jc w:val="right"/>
              <w:cnfStyle w:val="000000010000" w:firstRow="0" w:lastRow="0" w:firstColumn="0" w:lastColumn="0" w:oddVBand="0" w:evenVBand="0" w:oddHBand="0" w:evenHBand="1" w:firstRowFirstColumn="0" w:firstRowLastColumn="0" w:lastRowFirstColumn="0" w:lastRowLastColumn="0"/>
              <w:rPr>
                <w:noProof/>
                <w:sz w:val="22"/>
                <w:szCs w:val="22"/>
              </w:rPr>
            </w:pPr>
            <w:r>
              <w:rPr>
                <w:noProof/>
                <w:sz w:val="22"/>
              </w:rPr>
              <w:t>25,915</w:t>
            </w:r>
          </w:p>
        </w:tc>
        <w:tc>
          <w:tcPr>
            <w:tcW w:w="2365" w:type="pct"/>
          </w:tcPr>
          <w:p w14:paraId="164BA314" w14:textId="5CBCEE54" w:rsidR="00EB26D9" w:rsidRPr="00E11DF8" w:rsidRDefault="00EB26D9" w:rsidP="007B21CA">
            <w:pPr>
              <w:pStyle w:val="TableText"/>
              <w:jc w:val="center"/>
              <w:cnfStyle w:val="000000010000" w:firstRow="0" w:lastRow="0" w:firstColumn="0" w:lastColumn="0" w:oddVBand="0" w:evenVBand="0" w:oddHBand="0" w:evenHBand="1" w:firstRowFirstColumn="0" w:firstRowLastColumn="0" w:lastRowFirstColumn="0" w:lastRowLastColumn="0"/>
              <w:rPr>
                <w:noProof/>
                <w:sz w:val="22"/>
                <w:szCs w:val="22"/>
              </w:rPr>
            </w:pPr>
            <w:r>
              <w:rPr>
                <w:noProof/>
                <w:sz w:val="22"/>
              </w:rPr>
              <w:t>sąnaudos (mokesčiai, neigiamos palūkanos, finansavimo ir administracinės išlaidos)</w:t>
            </w:r>
          </w:p>
        </w:tc>
      </w:tr>
      <w:tr w:rsidR="00E71CD2" w:rsidRPr="00E11DF8" w14:paraId="49A69849" w14:textId="77777777" w:rsidTr="00E11DF8">
        <w:trPr>
          <w:cantSplit/>
        </w:trPr>
        <w:tc>
          <w:tcPr>
            <w:cnfStyle w:val="001000000000" w:firstRow="0" w:lastRow="0" w:firstColumn="1" w:lastColumn="0" w:oddVBand="0" w:evenVBand="0" w:oddHBand="0" w:evenHBand="0" w:firstRowFirstColumn="0" w:firstRowLastColumn="0" w:lastRowFirstColumn="0" w:lastRowLastColumn="0"/>
            <w:tcW w:w="1284" w:type="pct"/>
            <w:vMerge/>
          </w:tcPr>
          <w:p w14:paraId="2CF629DB" w14:textId="77777777" w:rsidR="00E71CD2" w:rsidRPr="00E11DF8" w:rsidRDefault="00E71CD2" w:rsidP="007B21CA">
            <w:pPr>
              <w:pStyle w:val="TableText"/>
              <w:rPr>
                <w:noProof/>
                <w:sz w:val="22"/>
                <w:szCs w:val="22"/>
              </w:rPr>
            </w:pPr>
          </w:p>
        </w:tc>
        <w:tc>
          <w:tcPr>
            <w:tcW w:w="1351" w:type="pct"/>
          </w:tcPr>
          <w:p w14:paraId="7AB076EB" w14:textId="2FF42D40" w:rsidR="00E71CD2" w:rsidRPr="00E11DF8" w:rsidRDefault="00E71CD2" w:rsidP="2B7B9A85">
            <w:pPr>
              <w:pStyle w:val="TableText"/>
              <w:jc w:val="right"/>
              <w:cnfStyle w:val="000000000000" w:firstRow="0" w:lastRow="0" w:firstColumn="0" w:lastColumn="0" w:oddVBand="0" w:evenVBand="0" w:oddHBand="0" w:evenHBand="0" w:firstRowFirstColumn="0" w:firstRowLastColumn="0" w:lastRowFirstColumn="0" w:lastRowLastColumn="0"/>
              <w:rPr>
                <w:noProof/>
                <w:sz w:val="22"/>
                <w:szCs w:val="22"/>
              </w:rPr>
            </w:pPr>
            <w:r>
              <w:rPr>
                <w:noProof/>
                <w:sz w:val="22"/>
              </w:rPr>
              <w:t>1,585</w:t>
            </w:r>
          </w:p>
        </w:tc>
        <w:tc>
          <w:tcPr>
            <w:tcW w:w="2365" w:type="pct"/>
          </w:tcPr>
          <w:p w14:paraId="5ECF16B2" w14:textId="6647C661" w:rsidR="00E71CD2" w:rsidRPr="00E11DF8" w:rsidRDefault="00E71CD2" w:rsidP="007B21CA">
            <w:pPr>
              <w:pStyle w:val="TableText"/>
              <w:jc w:val="center"/>
              <w:cnfStyle w:val="000000000000" w:firstRow="0" w:lastRow="0" w:firstColumn="0" w:lastColumn="0" w:oddVBand="0" w:evenVBand="0" w:oddHBand="0" w:evenHBand="0" w:firstRowFirstColumn="0" w:firstRowLastColumn="0" w:lastRowFirstColumn="0" w:lastRowLastColumn="0"/>
              <w:rPr>
                <w:iCs/>
                <w:noProof/>
                <w:sz w:val="22"/>
                <w:szCs w:val="22"/>
              </w:rPr>
            </w:pPr>
            <w:r>
              <w:rPr>
                <w:noProof/>
                <w:sz w:val="22"/>
              </w:rPr>
              <w:t>reikalavimai mokėti pagal garantiją</w:t>
            </w:r>
          </w:p>
        </w:tc>
      </w:tr>
      <w:tr w:rsidR="00EB26D9" w:rsidRPr="00E11DF8" w14:paraId="02CB27EA" w14:textId="77777777" w:rsidTr="00E11DF8">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84" w:type="pct"/>
            <w:vMerge/>
          </w:tcPr>
          <w:p w14:paraId="3760CC17" w14:textId="77777777" w:rsidR="00EB26D9" w:rsidRPr="00E11DF8" w:rsidRDefault="00EB26D9" w:rsidP="007B21CA">
            <w:pPr>
              <w:pStyle w:val="TableText"/>
              <w:rPr>
                <w:noProof/>
                <w:sz w:val="22"/>
                <w:szCs w:val="22"/>
              </w:rPr>
            </w:pPr>
          </w:p>
        </w:tc>
        <w:tc>
          <w:tcPr>
            <w:tcW w:w="1351" w:type="pct"/>
          </w:tcPr>
          <w:p w14:paraId="17825EC2" w14:textId="0C90432C" w:rsidR="00EB26D9" w:rsidRPr="00E11DF8" w:rsidRDefault="002C3567" w:rsidP="2B7B9A85">
            <w:pPr>
              <w:pStyle w:val="TableText"/>
              <w:jc w:val="right"/>
              <w:cnfStyle w:val="000000010000" w:firstRow="0" w:lastRow="0" w:firstColumn="0" w:lastColumn="0" w:oddVBand="0" w:evenVBand="0" w:oddHBand="0" w:evenHBand="1" w:firstRowFirstColumn="0" w:firstRowLastColumn="0" w:lastRowFirstColumn="0" w:lastRowLastColumn="0"/>
              <w:rPr>
                <w:b/>
                <w:bCs/>
                <w:noProof/>
                <w:sz w:val="22"/>
                <w:szCs w:val="22"/>
              </w:rPr>
            </w:pPr>
            <w:r>
              <w:rPr>
                <w:b/>
                <w:noProof/>
                <w:sz w:val="22"/>
              </w:rPr>
              <w:t>27,50</w:t>
            </w:r>
          </w:p>
        </w:tc>
        <w:tc>
          <w:tcPr>
            <w:tcW w:w="2365" w:type="pct"/>
          </w:tcPr>
          <w:p w14:paraId="7F79E821" w14:textId="1BD09705" w:rsidR="00EB26D9" w:rsidRPr="00E11DF8" w:rsidRDefault="00EB26D9" w:rsidP="007B21CA">
            <w:pPr>
              <w:pStyle w:val="TableText"/>
              <w:jc w:val="center"/>
              <w:cnfStyle w:val="000000010000" w:firstRow="0" w:lastRow="0" w:firstColumn="0" w:lastColumn="0" w:oddVBand="0" w:evenVBand="0" w:oddHBand="0" w:evenHBand="1" w:firstRowFirstColumn="0" w:firstRowLastColumn="0" w:lastRowFirstColumn="0" w:lastRowLastColumn="0"/>
              <w:rPr>
                <w:noProof/>
                <w:sz w:val="22"/>
                <w:szCs w:val="22"/>
              </w:rPr>
            </w:pPr>
            <w:r>
              <w:rPr>
                <w:b/>
                <w:noProof/>
                <w:sz w:val="22"/>
              </w:rPr>
              <w:t>iš viso</w:t>
            </w:r>
          </w:p>
        </w:tc>
      </w:tr>
      <w:tr w:rsidR="007B21CA" w:rsidRPr="00E11DF8" w14:paraId="58BA0A2A" w14:textId="77777777" w:rsidTr="00E11DF8">
        <w:trPr>
          <w:cantSplit/>
        </w:trPr>
        <w:tc>
          <w:tcPr>
            <w:cnfStyle w:val="001000000000" w:firstRow="0" w:lastRow="0" w:firstColumn="1" w:lastColumn="0" w:oddVBand="0" w:evenVBand="0" w:oddHBand="0" w:evenHBand="0" w:firstRowFirstColumn="0" w:firstRowLastColumn="0" w:lastRowFirstColumn="0" w:lastRowLastColumn="0"/>
            <w:tcW w:w="1284" w:type="pct"/>
          </w:tcPr>
          <w:p w14:paraId="46C6DB1A" w14:textId="602C249B" w:rsidR="007B21CA" w:rsidRPr="00E11DF8" w:rsidRDefault="00EB26D9" w:rsidP="007B21CA">
            <w:pPr>
              <w:pStyle w:val="TableText"/>
              <w:rPr>
                <w:noProof/>
                <w:sz w:val="22"/>
                <w:szCs w:val="22"/>
              </w:rPr>
            </w:pPr>
            <w:r>
              <w:rPr>
                <w:noProof/>
                <w:sz w:val="22"/>
              </w:rPr>
              <w:t>„InvestEU“ Rumunijai</w:t>
            </w:r>
          </w:p>
        </w:tc>
        <w:tc>
          <w:tcPr>
            <w:tcW w:w="1351" w:type="pct"/>
          </w:tcPr>
          <w:p w14:paraId="55D05CE6" w14:textId="5F25A207" w:rsidR="007B21CA" w:rsidRPr="00E11DF8" w:rsidRDefault="007B21CA" w:rsidP="007B21CA">
            <w:pPr>
              <w:pStyle w:val="TableText"/>
              <w:jc w:val="right"/>
              <w:cnfStyle w:val="000000000000" w:firstRow="0" w:lastRow="0" w:firstColumn="0" w:lastColumn="0" w:oddVBand="0" w:evenVBand="0" w:oddHBand="0" w:evenHBand="0" w:firstRowFirstColumn="0" w:firstRowLastColumn="0" w:lastRowFirstColumn="0" w:lastRowLastColumn="0"/>
              <w:rPr>
                <w:b/>
                <w:bCs/>
                <w:noProof/>
                <w:sz w:val="22"/>
                <w:szCs w:val="22"/>
              </w:rPr>
            </w:pPr>
            <w:r>
              <w:rPr>
                <w:b/>
                <w:noProof/>
                <w:sz w:val="22"/>
              </w:rPr>
              <w:t>1,20</w:t>
            </w:r>
          </w:p>
        </w:tc>
        <w:tc>
          <w:tcPr>
            <w:tcW w:w="2365" w:type="pct"/>
          </w:tcPr>
          <w:p w14:paraId="3588B5FA" w14:textId="2C3E685E" w:rsidR="007B21CA" w:rsidRPr="00E11DF8" w:rsidRDefault="007B21CA" w:rsidP="007B21CA">
            <w:pPr>
              <w:pStyle w:val="TableText"/>
              <w:jc w:val="center"/>
              <w:cnfStyle w:val="000000000000" w:firstRow="0" w:lastRow="0" w:firstColumn="0" w:lastColumn="0" w:oddVBand="0" w:evenVBand="0" w:oddHBand="0" w:evenHBand="0" w:firstRowFirstColumn="0" w:firstRowLastColumn="0" w:lastRowFirstColumn="0" w:lastRowLastColumn="0"/>
              <w:rPr>
                <w:noProof/>
                <w:sz w:val="22"/>
                <w:szCs w:val="22"/>
              </w:rPr>
            </w:pPr>
            <w:r>
              <w:rPr>
                <w:noProof/>
                <w:sz w:val="22"/>
              </w:rPr>
              <w:t>reikalavimas pagal apsidraudimo išlaidų rezervą</w:t>
            </w:r>
          </w:p>
        </w:tc>
      </w:tr>
      <w:tr w:rsidR="007B21CA" w:rsidRPr="00E11DF8" w14:paraId="382677A4" w14:textId="77777777" w:rsidTr="00E11DF8">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84" w:type="pct"/>
          </w:tcPr>
          <w:p w14:paraId="7424DEFF" w14:textId="7EFDC330" w:rsidR="007B21CA" w:rsidRPr="00E11DF8" w:rsidRDefault="007B21CA" w:rsidP="007B21CA">
            <w:pPr>
              <w:pStyle w:val="TableText"/>
              <w:rPr>
                <w:b/>
                <w:bCs/>
                <w:noProof/>
                <w:sz w:val="22"/>
                <w:szCs w:val="22"/>
              </w:rPr>
            </w:pPr>
            <w:r>
              <w:rPr>
                <w:b/>
                <w:noProof/>
                <w:sz w:val="22"/>
              </w:rPr>
              <w:t>Bendra netenkamų pinigų srautų suma</w:t>
            </w:r>
          </w:p>
        </w:tc>
        <w:tc>
          <w:tcPr>
            <w:tcW w:w="1351" w:type="pct"/>
          </w:tcPr>
          <w:p w14:paraId="458BD280" w14:textId="064E7152" w:rsidR="007B21CA" w:rsidRPr="00E11DF8" w:rsidRDefault="002C3567" w:rsidP="007B21CA">
            <w:pPr>
              <w:pStyle w:val="TableText"/>
              <w:jc w:val="right"/>
              <w:cnfStyle w:val="010000000000" w:firstRow="0" w:lastRow="1" w:firstColumn="0" w:lastColumn="0" w:oddVBand="0" w:evenVBand="0" w:oddHBand="0" w:evenHBand="0" w:firstRowFirstColumn="0" w:firstRowLastColumn="0" w:lastRowFirstColumn="0" w:lastRowLastColumn="0"/>
              <w:rPr>
                <w:b/>
                <w:bCs/>
                <w:noProof/>
                <w:sz w:val="22"/>
                <w:szCs w:val="22"/>
              </w:rPr>
            </w:pPr>
            <w:r>
              <w:rPr>
                <w:b/>
                <w:noProof/>
                <w:sz w:val="22"/>
              </w:rPr>
              <w:t>350,9</w:t>
            </w:r>
          </w:p>
        </w:tc>
        <w:tc>
          <w:tcPr>
            <w:tcW w:w="2365" w:type="pct"/>
          </w:tcPr>
          <w:p w14:paraId="201747B4" w14:textId="77777777" w:rsidR="007B21CA" w:rsidRPr="00E11DF8" w:rsidRDefault="007B21CA" w:rsidP="007B21CA">
            <w:pPr>
              <w:pStyle w:val="TableText"/>
              <w:jc w:val="center"/>
              <w:cnfStyle w:val="010000000000" w:firstRow="0" w:lastRow="1" w:firstColumn="0" w:lastColumn="0" w:oddVBand="0" w:evenVBand="0" w:oddHBand="0" w:evenHBand="0" w:firstRowFirstColumn="0" w:firstRowLastColumn="0" w:lastRowFirstColumn="0" w:lastRowLastColumn="0"/>
              <w:rPr>
                <w:noProof/>
                <w:sz w:val="22"/>
                <w:szCs w:val="22"/>
              </w:rPr>
            </w:pPr>
          </w:p>
        </w:tc>
      </w:tr>
    </w:tbl>
    <w:p w14:paraId="7680AC39" w14:textId="77777777" w:rsidR="007B21CA" w:rsidRDefault="007B21CA" w:rsidP="007B21CA">
      <w:pPr>
        <w:pStyle w:val="Text1"/>
        <w:rPr>
          <w:noProof/>
        </w:rPr>
      </w:pPr>
    </w:p>
    <w:sdt>
      <w:sdtPr>
        <w:rPr>
          <w:b w:val="0"/>
          <w:iCs w:val="0"/>
          <w:noProof/>
          <w:color w:val="auto"/>
          <w:szCs w:val="20"/>
        </w:rPr>
        <w:alias w:val="Picture"/>
        <w:tag w:val="Yevoz0GxKA7SLcZiEquUa5"/>
        <w:id w:val="1703435677"/>
        <w:placeholder>
          <w:docPart w:val="F7F8FA6F70CC440ABEA82F241CACE888"/>
        </w:placeholder>
      </w:sdtPr>
      <w:sdtEndPr/>
      <w:sdtContent>
        <w:p w14:paraId="3DCED3A7" w14:textId="58E60850" w:rsidR="00F135BC" w:rsidRPr="00651BE1" w:rsidRDefault="00E04940" w:rsidP="00EF12DA">
          <w:pPr>
            <w:pStyle w:val="FigureTitle1"/>
            <w:rPr>
              <w:noProof/>
            </w:rPr>
          </w:pPr>
          <w:r>
            <w:rPr>
              <w:noProof/>
            </w:rPr>
            <w:fldChar w:fldCharType="begin"/>
          </w:r>
          <w:r>
            <w:rPr>
              <w:noProof/>
            </w:rPr>
            <w:instrText xml:space="preserve"> SEQ Figure \* ARABIC </w:instrText>
          </w:r>
          <w:r>
            <w:rPr>
              <w:noProof/>
            </w:rPr>
            <w:fldChar w:fldCharType="separate"/>
          </w:r>
          <w:r w:rsidR="006406CC" w:rsidRPr="00651BE1">
            <w:rPr>
              <w:noProof/>
            </w:rPr>
            <w:t>3</w:t>
          </w:r>
          <w:r>
            <w:rPr>
              <w:noProof/>
            </w:rPr>
            <w:fldChar w:fldCharType="end"/>
          </w:r>
          <w:r w:rsidR="00F135BC">
            <w:rPr>
              <w:noProof/>
            </w:rPr>
            <w:t xml:space="preserve"> pav.</w:t>
          </w:r>
          <w:r w:rsidR="00F135BC">
            <w:rPr>
              <w:rFonts w:ascii="Calibri" w:hAnsi="Calibri"/>
              <w:noProof/>
            </w:rPr>
            <w:t> </w:t>
          </w:r>
          <w:r w:rsidR="00F135BC">
            <w:rPr>
              <w:noProof/>
            </w:rPr>
            <w:t>2023 m. BAF netenkami pinigų srautai pagal skyrius (mln. EUR)</w:t>
          </w:r>
        </w:p>
        <w:p w14:paraId="6187AFD5" w14:textId="0E374E37" w:rsidR="00F135BC" w:rsidRDefault="00D67AF1" w:rsidP="00F135BC">
          <w:pPr>
            <w:pStyle w:val="FigureBody1"/>
            <w:ind w:left="0"/>
            <w:rPr>
              <w:noProof/>
            </w:rPr>
          </w:pPr>
          <w:r>
            <w:rPr>
              <w:rFonts w:ascii="Calibri" w:hAnsi="Calibri"/>
              <w:noProof/>
            </w:rPr>
            <w:t> </w:t>
          </w:r>
          <w:r w:rsidR="0073385B" w:rsidRPr="0073385B">
            <w:rPr>
              <w:noProof/>
              <w:lang w:val="en-GB" w:eastAsia="en-GB"/>
            </w:rPr>
            <w:drawing>
              <wp:inline distT="0" distB="0" distL="0" distR="0" wp14:anchorId="41D58900" wp14:editId="4C365EC7">
                <wp:extent cx="5760720" cy="30429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3042920"/>
                        </a:xfrm>
                        <a:prstGeom prst="rect">
                          <a:avLst/>
                        </a:prstGeom>
                        <a:noFill/>
                        <a:ln>
                          <a:noFill/>
                        </a:ln>
                      </pic:spPr>
                    </pic:pic>
                  </a:graphicData>
                </a:graphic>
              </wp:inline>
            </w:drawing>
          </w:r>
        </w:p>
      </w:sdtContent>
    </w:sdt>
    <w:p w14:paraId="4881A91D" w14:textId="0DF8F979" w:rsidR="000B0D9D" w:rsidRPr="00C300C0" w:rsidRDefault="00D67AF1" w:rsidP="00A34164">
      <w:pPr>
        <w:pStyle w:val="Heading2"/>
      </w:pPr>
      <w:bookmarkStart w:id="7" w:name="_Toc170740354"/>
      <w:r>
        <w:t>1.4. Faktinė atidėjinių norma</w:t>
      </w:r>
      <w:bookmarkEnd w:id="7"/>
    </w:p>
    <w:p w14:paraId="0E01E199" w14:textId="5A9C0EE4" w:rsidR="000B0D9D" w:rsidRPr="0006549E" w:rsidRDefault="000B0D9D" w:rsidP="0006549E">
      <w:pPr>
        <w:pStyle w:val="paragraph"/>
        <w:spacing w:before="0" w:beforeAutospacing="0" w:after="240" w:afterAutospacing="0"/>
        <w:jc w:val="both"/>
        <w:textAlignment w:val="baseline"/>
        <w:rPr>
          <w:rFonts w:ascii="EC Square Sans Pro" w:hAnsi="EC Square Sans Pro"/>
          <w:noProof/>
          <w:sz w:val="24"/>
          <w:szCs w:val="24"/>
        </w:rPr>
      </w:pPr>
      <w:r>
        <w:rPr>
          <w:rFonts w:ascii="EC Square Sans Pro" w:hAnsi="EC Square Sans Pro"/>
          <w:noProof/>
          <w:sz w:val="24"/>
        </w:rPr>
        <w:t>Finansinio reglamento 213 straipsnyje numatyta, kad BAF esantys biudžeto garantijų ir finansinės paramos trečiosioms valstybėms atidėjiniai bus grindžiami faktine atidėjinių norma (FAN), nustatyta tame straipsnyje. Nustatant FAN atsižvelgiama į tai, kad bendras BAF valdymas, kitaip nei atskirų garantijų fondų valdymas, galėtų padėti užtikrinti galimą diversifikavimą, jei reikalavimai skirtingiems skyriams nebūtų susiję laiko ar intensyvumo atžvilgiu.</w:t>
      </w:r>
    </w:p>
    <w:p w14:paraId="7F3DD761" w14:textId="77777777" w:rsidR="000B0D9D" w:rsidRPr="0006549E" w:rsidRDefault="000B0D9D" w:rsidP="0006549E">
      <w:pPr>
        <w:rPr>
          <w:noProof/>
          <w:szCs w:val="24"/>
        </w:rPr>
      </w:pPr>
      <w:r>
        <w:rPr>
          <w:noProof/>
          <w:color w:val="000000"/>
        </w:rPr>
        <w:t>FAN</w:t>
      </w:r>
      <w:r>
        <w:rPr>
          <w:noProof/>
        </w:rPr>
        <w:t xml:space="preserve"> yra santykis tarp</w:t>
      </w:r>
    </w:p>
    <w:p w14:paraId="027C942F" w14:textId="24B93679" w:rsidR="000B0D9D" w:rsidRPr="0006549E" w:rsidRDefault="000B0D9D" w:rsidP="0006549E">
      <w:pPr>
        <w:pStyle w:val="ListParagraph"/>
        <w:numPr>
          <w:ilvl w:val="0"/>
          <w:numId w:val="24"/>
        </w:numPr>
        <w:spacing w:after="240" w:line="240" w:lineRule="auto"/>
        <w:contextualSpacing w:val="0"/>
        <w:rPr>
          <w:noProof/>
          <w:sz w:val="24"/>
          <w:szCs w:val="24"/>
          <w14:ligatures w14:val="none"/>
        </w:rPr>
      </w:pPr>
      <w:r>
        <w:rPr>
          <w:noProof/>
          <w:sz w:val="24"/>
        </w:rPr>
        <w:t>reikalingos pinigų ir pinigų ekvivalentų sumos pagal bendrai valdomo BAF struktūrą ir</w:t>
      </w:r>
    </w:p>
    <w:p w14:paraId="7F7E7F2C" w14:textId="706B97FF" w:rsidR="000B0D9D" w:rsidRPr="0006549E" w:rsidRDefault="000B0D9D" w:rsidP="0006549E">
      <w:pPr>
        <w:pStyle w:val="ListParagraph"/>
        <w:numPr>
          <w:ilvl w:val="0"/>
          <w:numId w:val="24"/>
        </w:numPr>
        <w:spacing w:after="240" w:line="240" w:lineRule="auto"/>
        <w:contextualSpacing w:val="0"/>
        <w:rPr>
          <w:noProof/>
          <w:sz w:val="24"/>
          <w:szCs w:val="24"/>
        </w:rPr>
      </w:pPr>
      <w:r>
        <w:rPr>
          <w:noProof/>
          <w:sz w:val="24"/>
        </w:rPr>
        <w:t>pinigų ir pinigų ekvivalentų sumų, reikalingų tuo atveju, jei kiekvienas skyrius būtų valdomas atskirai, sumos.</w:t>
      </w:r>
    </w:p>
    <w:p w14:paraId="0BE7F537" w14:textId="68522DFC" w:rsidR="000B0D9D" w:rsidRDefault="000B0D9D" w:rsidP="004E527E">
      <w:pPr>
        <w:rPr>
          <w:rStyle w:val="eop"/>
          <w:noProof/>
          <w:color w:val="000000"/>
          <w:szCs w:val="24"/>
        </w:rPr>
      </w:pPr>
      <w:r>
        <w:rPr>
          <w:noProof/>
        </w:rPr>
        <w:t xml:space="preserve">Teisės akte numatyta, kad FAN turėtų būti nuo 95 % iki 100 %, kai mažesnis nei 100 % rodiklis rodo diversifikacijos efektą. </w:t>
      </w:r>
      <w:r>
        <w:rPr>
          <w:rStyle w:val="normaltextrun"/>
          <w:noProof/>
          <w:color w:val="000000"/>
        </w:rPr>
        <w:t>Atlikusi skaičiavimus pagal nustatytą metodiką (</w:t>
      </w:r>
      <w:r w:rsidRPr="0006549E">
        <w:rPr>
          <w:rStyle w:val="FootnoteReference"/>
          <w:noProof/>
          <w:color w:val="000000"/>
          <w:szCs w:val="24"/>
        </w:rPr>
        <w:footnoteReference w:id="22"/>
      </w:r>
      <w:r>
        <w:rPr>
          <w:rStyle w:val="normaltextrun"/>
          <w:noProof/>
          <w:color w:val="000000"/>
        </w:rPr>
        <w:t>)</w:t>
      </w:r>
      <w:r>
        <w:rPr>
          <w:rStyle w:val="superscript"/>
          <w:noProof/>
          <w:color w:val="000000"/>
          <w:vertAlign w:val="superscript"/>
        </w:rPr>
        <w:t xml:space="preserve"> </w:t>
      </w:r>
      <w:r>
        <w:rPr>
          <w:rStyle w:val="superscript"/>
          <w:noProof/>
          <w:color w:val="000000"/>
        </w:rPr>
        <w:t xml:space="preserve">ir </w:t>
      </w:r>
      <w:r>
        <w:rPr>
          <w:noProof/>
        </w:rPr>
        <w:t xml:space="preserve">atsižvelgdama </w:t>
      </w:r>
      <w:r>
        <w:rPr>
          <w:rStyle w:val="normaltextrun"/>
          <w:noProof/>
          <w:color w:val="000000"/>
        </w:rPr>
        <w:t>į vyraujantį makroekonominį ir geopolitinį netikrumą (kai kurie BAF skyriai labai priklauso nuo padėties Ukrainoje pokyčių), Komisija pasiūlė, kad 2023 m. FAN ir toliau būtų lygi 100 %, nes nepastebėta jokio diversifikavimo tarp skirtingų skyrių atidėjinių reikalavimų. Šis požiūris buvo patvirtintas priimtame 2024 m. metiniame biudžete.</w:t>
      </w:r>
      <w:r>
        <w:rPr>
          <w:rStyle w:val="eop"/>
          <w:noProof/>
          <w:color w:val="000000"/>
        </w:rPr>
        <w:t> </w:t>
      </w:r>
    </w:p>
    <w:p w14:paraId="5C7B42BA" w14:textId="7FBBB055" w:rsidR="00F135BC" w:rsidRDefault="00F135BC">
      <w:pPr>
        <w:spacing w:after="0"/>
        <w:jc w:val="left"/>
        <w:rPr>
          <w:rStyle w:val="eop"/>
          <w:rFonts w:ascii="Calibri" w:eastAsiaTheme="minorHAnsi" w:hAnsi="Calibri" w:cs="Calibri"/>
          <w:noProof/>
          <w:color w:val="000000"/>
          <w:szCs w:val="24"/>
          <w14:ligatures w14:val="standardContextual"/>
        </w:rPr>
      </w:pPr>
      <w:r>
        <w:rPr>
          <w:noProof/>
        </w:rPr>
        <w:br w:type="page"/>
      </w:r>
    </w:p>
    <w:p w14:paraId="3A72B273" w14:textId="3983CBD5" w:rsidR="00713837" w:rsidRPr="00286D29" w:rsidRDefault="004715AC" w:rsidP="00A34164">
      <w:pPr>
        <w:pStyle w:val="Heading1"/>
        <w:rPr>
          <w:noProof/>
        </w:rPr>
      </w:pPr>
      <w:bookmarkStart w:id="8" w:name="_Toc170740355"/>
      <w:r>
        <w:rPr>
          <w:noProof/>
        </w:rPr>
        <w:t>2 dalis. Investavimo strategija, portfelio sudėtis ir rezultatai</w:t>
      </w:r>
      <w:bookmarkEnd w:id="8"/>
    </w:p>
    <w:p w14:paraId="7529368C" w14:textId="794D3A87" w:rsidR="00713837" w:rsidRDefault="00713837" w:rsidP="00713837">
      <w:pPr>
        <w:rPr>
          <w:noProof/>
          <w:color w:val="000000" w:themeColor="text1"/>
        </w:rPr>
      </w:pPr>
      <w:r>
        <w:rPr>
          <w:noProof/>
        </w:rPr>
        <w:t>Bendrieji principai ir nuostatos, kuriais grindžiama BAF investavimo strategija, nustatyti BAF turto valdymo gairėse ir išsamiau aprašyti pirmojoje BAF 2021 m. metinėje ataskaitoje (</w:t>
      </w:r>
      <w:r w:rsidRPr="008B332F">
        <w:rPr>
          <w:rStyle w:val="FootnoteReference"/>
          <w:noProof/>
        </w:rPr>
        <w:footnoteReference w:id="23"/>
      </w:r>
      <w:r>
        <w:rPr>
          <w:noProof/>
        </w:rPr>
        <w:t>). Remiantis Turto valdymo gairėse įtvirtintu konservatyviu požiūriu ir maža toleruotina rizika, BAF valdomas taip, kad per visą investavimo laikotarpį (9 metus) turėtų būti užtikrintas bent jau kapitalo išsaugojimas (</w:t>
      </w:r>
      <w:r w:rsidRPr="4E09AB01">
        <w:rPr>
          <w:rStyle w:val="FootnoteReference"/>
          <w:noProof/>
        </w:rPr>
        <w:footnoteReference w:id="24"/>
      </w:r>
      <w:r>
        <w:rPr>
          <w:noProof/>
        </w:rPr>
        <w:t xml:space="preserve">). Atsižvelgiant į šią apdairią investavimo politiką, turtas, į kurį gali investuoti BAF, yra tik labai likvidūs ir aukšto reitingo fiksuotųjų pajamų vertybiniai popieriai. </w:t>
      </w:r>
      <w:r>
        <w:rPr>
          <w:noProof/>
          <w:color w:val="000000" w:themeColor="text1"/>
        </w:rPr>
        <w:t>Iki šiol didžioji BAF dalis buvo investuojama tik į eurais ir JAV doleriais išreikštus investicinio reitingo fiksuotųjų pajamų vertybinius popierius (obligacijas). 2022 m. buvo pakeistos Turto valdymo gairės, kad būtų galima ribotai investuoti į nuosavybės vertybinių popierių biržinius fondus, siekiant suteikti BAF papildomų diversifikavimo galimybių.</w:t>
      </w:r>
    </w:p>
    <w:p w14:paraId="469E8D00" w14:textId="3E026DDC" w:rsidR="00713837" w:rsidRPr="00C300C0" w:rsidRDefault="00D67AF1" w:rsidP="00A34164">
      <w:pPr>
        <w:pStyle w:val="Heading2"/>
      </w:pPr>
      <w:bookmarkStart w:id="9" w:name="_Toc170740356"/>
      <w:r>
        <w:t>2.1. Portfelio sudėtis ir charakteristikos</w:t>
      </w:r>
      <w:bookmarkEnd w:id="9"/>
    </w:p>
    <w:p w14:paraId="7A44C8F5" w14:textId="0902457C" w:rsidR="00713837" w:rsidRPr="008B332F" w:rsidRDefault="00713837" w:rsidP="009D5B05">
      <w:pPr>
        <w:ind w:left="-20" w:right="-20"/>
        <w:rPr>
          <w:noProof/>
          <w:color w:val="000000" w:themeColor="text1"/>
          <w:szCs w:val="22"/>
        </w:rPr>
      </w:pPr>
      <w:r>
        <w:rPr>
          <w:noProof/>
          <w:color w:val="000000" w:themeColor="text1"/>
        </w:rPr>
        <w:t>Kaip numatyta Turto valdymo gairėse, išlaikomas likvidus diversifikuotas BAF portfelis, daugiausia investuojant į aukšto reitingo skolos priemones, pavyzdžiui, valdžios institucijų, viršvalstybinių institucijų, valstybės agentūrų ir įmonių išleistas obligacijas.</w:t>
      </w:r>
    </w:p>
    <w:p w14:paraId="3BDE4EA6" w14:textId="22CB4B99" w:rsidR="00713837" w:rsidRPr="008B332F" w:rsidRDefault="00C43385" w:rsidP="009D5B05">
      <w:pPr>
        <w:rPr>
          <w:noProof/>
          <w:color w:val="000000" w:themeColor="text1"/>
          <w:szCs w:val="22"/>
        </w:rPr>
      </w:pPr>
      <w:r>
        <w:rPr>
          <w:noProof/>
          <w:color w:val="000000" w:themeColor="text1"/>
        </w:rPr>
        <w:t>Metų pabaigoje BAF portfelis buvo gerai diversifikuotas pagal įvairias reikalavimus atitinkančias fiksuotųjų pajamų turto klases, įskaitant tam tikrą ribotą ne eurais išreikštų vertybinių popierių (JAV doleriais), nuosavybės vertybinių popierių biržinių fondų ir grynųjų pinigų ar jų ekvivalentų poziciją. Ne eurais išreikštų vertybinių popierių ir sandorių valiutos kurso pelną arba nuostolius iš esmės kompensavo priešingi užsienio valiutos kurso išvestinių finansinių priemonių, naudojamų apsidraudimui, pokyčiai.</w:t>
      </w:r>
    </w:p>
    <w:p w14:paraId="5A7C02A8" w14:textId="667C3E8E" w:rsidR="00713837" w:rsidRPr="008B332F" w:rsidRDefault="00713837" w:rsidP="009D5B05">
      <w:pPr>
        <w:rPr>
          <w:noProof/>
          <w:color w:val="000000" w:themeColor="text1"/>
          <w:szCs w:val="22"/>
        </w:rPr>
      </w:pPr>
      <w:r>
        <w:rPr>
          <w:noProof/>
          <w:color w:val="000000" w:themeColor="text1"/>
        </w:rPr>
        <w:t>BAF portfelio kredito kokybė buvo aukšta, vidutinis reitingas buvo A, o tai rodo labai mažą įsipareigojimų neįvykdymo tikimybę (</w:t>
      </w:r>
      <w:r w:rsidRPr="4E09AB01">
        <w:rPr>
          <w:rStyle w:val="FootnoteReference"/>
          <w:noProof/>
          <w:color w:val="000000" w:themeColor="text1"/>
        </w:rPr>
        <w:footnoteReference w:id="25"/>
      </w:r>
      <w:r>
        <w:rPr>
          <w:noProof/>
          <w:color w:val="000000" w:themeColor="text1"/>
        </w:rPr>
        <w:t>).</w:t>
      </w:r>
    </w:p>
    <w:p w14:paraId="627EC464" w14:textId="4424D6EC" w:rsidR="00713837" w:rsidRPr="008B332F" w:rsidRDefault="00713837" w:rsidP="009D5B05">
      <w:pPr>
        <w:rPr>
          <w:noProof/>
          <w:color w:val="000000" w:themeColor="text1"/>
          <w:szCs w:val="22"/>
        </w:rPr>
      </w:pPr>
      <w:r>
        <w:rPr>
          <w:noProof/>
          <w:color w:val="000000" w:themeColor="text1"/>
        </w:rPr>
        <w:t>Daugiau nei 36 % portfelio rinkos vertės buvo investuota į AAA reitingo vertybinius popierius (</w:t>
      </w:r>
      <w:r w:rsidRPr="4E09AB01">
        <w:rPr>
          <w:rStyle w:val="FootnoteReference"/>
          <w:noProof/>
          <w:color w:val="000000" w:themeColor="text1"/>
        </w:rPr>
        <w:footnoteReference w:id="26"/>
      </w:r>
      <w:r>
        <w:rPr>
          <w:noProof/>
          <w:color w:val="000000" w:themeColor="text1"/>
        </w:rPr>
        <w:t>), o likusi dalis paskirstyta investuojant į investicinio reitingo vertybinius popierius.</w:t>
      </w:r>
    </w:p>
    <w:p w14:paraId="3441169B" w14:textId="6FE77B1C" w:rsidR="00713837" w:rsidRPr="008B332F" w:rsidRDefault="00713837" w:rsidP="009D5B05">
      <w:pPr>
        <w:rPr>
          <w:noProof/>
          <w:color w:val="000000" w:themeColor="text1"/>
          <w:szCs w:val="22"/>
        </w:rPr>
      </w:pPr>
      <w:r>
        <w:rPr>
          <w:noProof/>
          <w:color w:val="000000" w:themeColor="text1"/>
        </w:rPr>
        <w:t>JAV doleriais išreikštos investicijos sudarė 6,6 % portfelio rinkos vertės (</w:t>
      </w:r>
      <w:r w:rsidRPr="4E09AB01">
        <w:rPr>
          <w:rStyle w:val="FootnoteReference"/>
          <w:noProof/>
          <w:color w:val="000000" w:themeColor="text1"/>
        </w:rPr>
        <w:footnoteReference w:id="27"/>
      </w:r>
      <w:r>
        <w:rPr>
          <w:noProof/>
          <w:color w:val="000000" w:themeColor="text1"/>
        </w:rPr>
        <w:t>), nuo valiutos kurso rizikos apsidraudimui naudojant išankstinius sandorius.</w:t>
      </w:r>
    </w:p>
    <w:p w14:paraId="1534FDD7" w14:textId="4A84129D" w:rsidR="00713837" w:rsidRPr="00BA5CF6" w:rsidRDefault="00713837" w:rsidP="009D5B05">
      <w:pPr>
        <w:rPr>
          <w:noProof/>
          <w:color w:val="000000" w:themeColor="text1"/>
        </w:rPr>
      </w:pPr>
      <w:r>
        <w:rPr>
          <w:noProof/>
          <w:color w:val="000000" w:themeColor="text1"/>
        </w:rPr>
        <w:t>2023 m. pabaigoje nuosavybės vertybiniai popieriai sudarė 5,5 % portfelio rinkos vertės.</w:t>
      </w:r>
    </w:p>
    <w:p w14:paraId="491E8B80" w14:textId="36C00405" w:rsidR="00713837" w:rsidRDefault="00713837" w:rsidP="009D5B05">
      <w:pPr>
        <w:pStyle w:val="Text1"/>
        <w:ind w:left="0"/>
        <w:rPr>
          <w:noProof/>
          <w:color w:val="000000" w:themeColor="text1"/>
        </w:rPr>
      </w:pPr>
      <w:r>
        <w:rPr>
          <w:noProof/>
          <w:color w:val="000000" w:themeColor="text1"/>
        </w:rPr>
        <w:t>2023 m. gruodžio mėn. maždaug 15,2 % portfelio sudarė trumpalaikis likvidus turtas (</w:t>
      </w:r>
      <w:r w:rsidRPr="4E09AB01">
        <w:rPr>
          <w:rStyle w:val="FootnoteReference"/>
          <w:noProof/>
          <w:color w:val="000000" w:themeColor="text1"/>
        </w:rPr>
        <w:footnoteReference w:id="28"/>
      </w:r>
      <w:r>
        <w:rPr>
          <w:noProof/>
          <w:color w:val="000000" w:themeColor="text1"/>
        </w:rPr>
        <w:t>), kuriuo užtikrinamas galimas panaudoti likvidumo šaltinis, jei dideli netenkami pinigų srautai viršytų pirmiau aprašytos likvidumo atsargos dydį (</w:t>
      </w:r>
      <w:r w:rsidRPr="4E09AB01">
        <w:rPr>
          <w:rStyle w:val="FootnoteReference"/>
          <w:noProof/>
          <w:color w:val="000000" w:themeColor="text1"/>
        </w:rPr>
        <w:footnoteReference w:id="29"/>
      </w:r>
      <w:r>
        <w:rPr>
          <w:noProof/>
          <w:color w:val="000000" w:themeColor="text1"/>
        </w:rPr>
        <w:t>).</w:t>
      </w:r>
    </w:p>
    <w:sdt>
      <w:sdtPr>
        <w:rPr>
          <w:b w:val="0"/>
          <w:iCs w:val="0"/>
          <w:noProof/>
          <w:color w:val="auto"/>
          <w:szCs w:val="20"/>
        </w:rPr>
        <w:alias w:val="Excel Chart"/>
        <w:tag w:val="fZxRNwKv6qwqtFRfkTybj4"/>
        <w:id w:val="-758292396"/>
        <w:placeholder>
          <w:docPart w:val="E4E9D013899748A88C86AA8C5968181E"/>
        </w:placeholder>
      </w:sdtPr>
      <w:sdtEndPr/>
      <w:sdtContent>
        <w:p w14:paraId="38C4C287" w14:textId="16481065" w:rsidR="00101137" w:rsidRPr="001058A7" w:rsidRDefault="00E04940" w:rsidP="00EF12DA">
          <w:pPr>
            <w:pStyle w:val="FigureTitle1"/>
            <w:rPr>
              <w:noProof/>
            </w:rPr>
          </w:pPr>
          <w:r>
            <w:rPr>
              <w:noProof/>
            </w:rPr>
            <w:fldChar w:fldCharType="begin"/>
          </w:r>
          <w:r>
            <w:rPr>
              <w:noProof/>
            </w:rPr>
            <w:instrText xml:space="preserve"> SEQ Figure \* ARABIC </w:instrText>
          </w:r>
          <w:r>
            <w:rPr>
              <w:noProof/>
            </w:rPr>
            <w:fldChar w:fldCharType="separate"/>
          </w:r>
          <w:r w:rsidR="00101137" w:rsidRPr="001058A7">
            <w:rPr>
              <w:noProof/>
            </w:rPr>
            <w:t>4</w:t>
          </w:r>
          <w:r>
            <w:rPr>
              <w:noProof/>
            </w:rPr>
            <w:fldChar w:fldCharType="end"/>
          </w:r>
          <w:r w:rsidR="00101137">
            <w:rPr>
              <w:noProof/>
            </w:rPr>
            <w:t xml:space="preserve"> pav.</w:t>
          </w:r>
          <w:r w:rsidR="00101137">
            <w:rPr>
              <w:rFonts w:ascii="Calibri" w:hAnsi="Calibri"/>
              <w:noProof/>
            </w:rPr>
            <w:t> </w:t>
          </w:r>
          <w:r w:rsidR="00101137">
            <w:rPr>
              <w:noProof/>
            </w:rPr>
            <w:t>BAF portfelio paskirstymas metų pabaigoje (2023 m.)</w:t>
          </w:r>
        </w:p>
        <w:p w14:paraId="0235AB68" w14:textId="69DD1398" w:rsidR="00101137" w:rsidRDefault="0073385B" w:rsidP="003B0A6D">
          <w:pPr>
            <w:pStyle w:val="FigureBody1"/>
            <w:ind w:left="0"/>
            <w:rPr>
              <w:noProof/>
            </w:rPr>
          </w:pPr>
          <w:r w:rsidRPr="0073385B">
            <w:rPr>
              <w:noProof/>
              <w:lang w:val="en-GB" w:eastAsia="en-GB"/>
            </w:rPr>
            <w:drawing>
              <wp:inline distT="0" distB="0" distL="0" distR="0" wp14:anchorId="5B0DB44D" wp14:editId="0BD9DD7E">
                <wp:extent cx="5760720" cy="31261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3126105"/>
                        </a:xfrm>
                        <a:prstGeom prst="rect">
                          <a:avLst/>
                        </a:prstGeom>
                        <a:noFill/>
                        <a:ln>
                          <a:noFill/>
                        </a:ln>
                      </pic:spPr>
                    </pic:pic>
                  </a:graphicData>
                </a:graphic>
              </wp:inline>
            </w:drawing>
          </w:r>
        </w:p>
      </w:sdtContent>
    </w:sdt>
    <w:p w14:paraId="72A8685A" w14:textId="77777777" w:rsidR="00101137" w:rsidRDefault="00101137" w:rsidP="009D5B05">
      <w:pPr>
        <w:pStyle w:val="Text1"/>
        <w:ind w:left="0"/>
        <w:rPr>
          <w:noProof/>
          <w:color w:val="000000" w:themeColor="text1"/>
        </w:rPr>
      </w:pPr>
    </w:p>
    <w:p w14:paraId="5E463AD5" w14:textId="77777777" w:rsidR="00E33ED1" w:rsidRDefault="00E33ED1">
      <w:pPr>
        <w:spacing w:after="0"/>
        <w:jc w:val="left"/>
        <w:rPr>
          <w:b/>
          <w:smallCaps/>
          <w:noProof/>
          <w:color w:val="0070C0"/>
        </w:rPr>
      </w:pPr>
      <w:r>
        <w:rPr>
          <w:noProof/>
        </w:rPr>
        <w:br w:type="page"/>
      </w:r>
    </w:p>
    <w:p w14:paraId="04260452" w14:textId="601AD701" w:rsidR="00713837" w:rsidRPr="00C300C0" w:rsidRDefault="00D67AF1" w:rsidP="00A34164">
      <w:pPr>
        <w:pStyle w:val="Heading2"/>
      </w:pPr>
      <w:bookmarkStart w:id="10" w:name="_Toc170740357"/>
      <w:r>
        <w:t>2.2. Aplinkosauginis, socialinis ir valdymo (ASV) pėdsakas</w:t>
      </w:r>
      <w:bookmarkEnd w:id="10"/>
    </w:p>
    <w:p w14:paraId="586CEB4E" w14:textId="0A169FDA" w:rsidR="00713837" w:rsidRDefault="00713837" w:rsidP="00713837">
      <w:pPr>
        <w:rPr>
          <w:noProof/>
          <w:color w:val="000000" w:themeColor="text1"/>
        </w:rPr>
      </w:pPr>
      <w:r>
        <w:rPr>
          <w:noProof/>
          <w:color w:val="000000" w:themeColor="text1"/>
        </w:rPr>
        <w:t>2023 m. portfelio ASV pėdsakas išliko stiprus: ASV ženklą turinčių obligacijų (</w:t>
      </w:r>
      <w:r w:rsidRPr="4E09AB01">
        <w:rPr>
          <w:rStyle w:val="FootnoteReference"/>
          <w:noProof/>
          <w:color w:val="000000" w:themeColor="text1"/>
        </w:rPr>
        <w:footnoteReference w:id="30"/>
      </w:r>
      <w:r>
        <w:rPr>
          <w:noProof/>
          <w:color w:val="000000" w:themeColor="text1"/>
        </w:rPr>
        <w:t>) dalis sudarė 14,6 %, palyginti su 14,0 % 2022 m. Laikantis aktyvaus požiūrio į ASV investavimą, pirmenybė teikiama ASV ženklą turinčioms obligacijoms, jeigu jos atitinka rizikos valdymo kriterijus ir bendrą investavimo strategiją. 2023 m. Komisija toliau stiprino ASV pėdsaką naujojoje BAF investavimo strategijoje, kaip paaiškinta BAF 2022 m. metinėje ataskaitoje (</w:t>
      </w:r>
      <w:r w:rsidRPr="4E09AB01">
        <w:rPr>
          <w:rStyle w:val="FootnoteReference"/>
          <w:noProof/>
          <w:color w:val="000000" w:themeColor="text1"/>
        </w:rPr>
        <w:footnoteReference w:id="31"/>
      </w:r>
      <w:r>
        <w:rPr>
          <w:noProof/>
          <w:color w:val="000000" w:themeColor="text1"/>
        </w:rPr>
        <w:t>).</w:t>
      </w:r>
    </w:p>
    <w:p w14:paraId="38DAE04B" w14:textId="4E383FD3" w:rsidR="00713837" w:rsidRPr="00C300C0" w:rsidRDefault="00D67AF1" w:rsidP="00A34164">
      <w:pPr>
        <w:pStyle w:val="Heading2"/>
      </w:pPr>
      <w:bookmarkStart w:id="11" w:name="_Toc170740358"/>
      <w:r>
        <w:t>2.3. 2023 m. BAF veiklos rezultatai</w:t>
      </w:r>
      <w:bookmarkEnd w:id="11"/>
    </w:p>
    <w:p w14:paraId="26E90C58" w14:textId="519994D8" w:rsidR="00713837" w:rsidRPr="008B332F" w:rsidRDefault="00713837" w:rsidP="00713837">
      <w:pPr>
        <w:rPr>
          <w:noProof/>
        </w:rPr>
      </w:pPr>
      <w:r>
        <w:rPr>
          <w:noProof/>
        </w:rPr>
        <w:t>2023 m. rinkos nepastovumas tebebuvo didelis (žr. intarpą). Tačiau per 2023 m. paskutinius porą mėnesių infliacinis spaudimas ėmė mažėti, o tai paskatino rinkos lūkesčius, kad 2024 m. centriniai bankai pradės mažinti palūkanų normas. Dėl šių lūkesčių, kad palūkanų normos bus mažinamos, iš dalies pasikeitė 2022 m. fiksuota dinamika ir tai suteikė teigiamą impulsą BAF priklausančių neišpirktų obligacijų vertei. Išsamesnė informacija apie rinkos pokyčius pateikta intarpe.</w:t>
      </w:r>
    </w:p>
    <w:p w14:paraId="558B594B" w14:textId="0C5F3E62" w:rsidR="00670C27" w:rsidRDefault="00713837" w:rsidP="00713837">
      <w:pPr>
        <w:rPr>
          <w:noProof/>
        </w:rPr>
      </w:pPr>
      <w:r>
        <w:rPr>
          <w:noProof/>
        </w:rPr>
        <w:t>Šiomis aplinkybėmis BAF pasiekė +5,21 % metinę grąžą (</w:t>
      </w:r>
      <w:r w:rsidR="00A343EF">
        <w:rPr>
          <w:rStyle w:val="FootnoteReference"/>
          <w:noProof/>
        </w:rPr>
        <w:footnoteReference w:id="32"/>
      </w:r>
      <w:r>
        <w:rPr>
          <w:noProof/>
        </w:rPr>
        <w:t>), kuri atitiko jo portfelio lyginamąjį indeksą (+5,40 %). Dėl naujai nustatytos nuosavybės vertybinių popierių dalies (2023 m. vidutiniškai maždaug 3,1 %) bendra portfelio grąža padidėjo 0,38 %. Vertinant atskirai, investicijų į nuosavą kapitalą grąža sudarė maždaug +12,5 %, t. y. daugiau nei du kartus viršijo 2023 m. fiksuotųjų pajamų dalies grąžą.</w:t>
      </w:r>
      <w:r>
        <w:rPr>
          <w:noProof/>
        </w:rPr>
        <w:br w:type="page"/>
      </w:r>
    </w:p>
    <w:p w14:paraId="3CE8F4C4" w14:textId="77777777" w:rsidR="00713837" w:rsidRPr="00670C27" w:rsidRDefault="00713837" w:rsidP="00713837">
      <w:pPr>
        <w:rPr>
          <w:noProof/>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F5FF" w:themeFill="accent5" w:themeFillTint="33"/>
        <w:tblCellMar>
          <w:top w:w="170" w:type="dxa"/>
          <w:left w:w="170" w:type="dxa"/>
          <w:bottom w:w="170" w:type="dxa"/>
          <w:right w:w="170" w:type="dxa"/>
        </w:tblCellMar>
        <w:tblLook w:val="04A0" w:firstRow="1" w:lastRow="0" w:firstColumn="1" w:lastColumn="0" w:noHBand="0" w:noVBand="1"/>
      </w:tblPr>
      <w:tblGrid>
        <w:gridCol w:w="9056"/>
      </w:tblGrid>
      <w:tr w:rsidR="001C20CE" w:rsidRPr="00E1119F" w14:paraId="39CD2BF5" w14:textId="77777777" w:rsidTr="00E1119F">
        <w:tc>
          <w:tcPr>
            <w:tcW w:w="9056" w:type="dxa"/>
            <w:shd w:val="clear" w:color="auto" w:fill="C4F5FF" w:themeFill="accent5" w:themeFillTint="33"/>
          </w:tcPr>
          <w:p w14:paraId="3B07EFF9" w14:textId="77777777" w:rsidR="001C20CE" w:rsidRPr="00E1119F" w:rsidRDefault="001C20CE" w:rsidP="001C20CE">
            <w:pPr>
              <w:rPr>
                <w:b/>
                <w:bCs/>
                <w:noProof/>
                <w:color w:val="0070C0"/>
              </w:rPr>
            </w:pPr>
            <w:r>
              <w:rPr>
                <w:b/>
                <w:noProof/>
                <w:color w:val="0070C0"/>
              </w:rPr>
              <w:t>2023 m. rinkos pokyčiai</w:t>
            </w:r>
          </w:p>
          <w:p w14:paraId="3A8DF847" w14:textId="77777777" w:rsidR="001C20CE" w:rsidRPr="00EF12DA" w:rsidRDefault="001C20CE" w:rsidP="001C20CE">
            <w:pPr>
              <w:rPr>
                <w:noProof/>
                <w:color w:val="004376"/>
              </w:rPr>
            </w:pPr>
            <w:r>
              <w:rPr>
                <w:noProof/>
                <w:color w:val="004376"/>
              </w:rPr>
              <w:t xml:space="preserve">Pagrindiniai rinkos veiksniai 2023 m. buvo infliacijos duomenys ir atitinkami centrinių bankų veiksmai. Nuo 2023 m. pradžios Europos Centrinis Bankas (ECB) per kiekvieną Valdančiosios tarybos posėdį toliau didino oficialias palūkanų normas iki rugsėjo mėn., kai, indėlių priemonės palūkanų normai pasiekus 4 % (metų pradžioje buvo 2 %), padarė pertrauką. Nors išliko tam tikras netikrumas dėl tvaraus grįžimo prie tikslinio 2 % lygio, infliacija Europoje, kurios pradinis lygis buvo aukštas, nuolat mažėjo. Sausio mėn. bendroji infliacija buvo 8,6 %. Lapkričio mėn. ji buvo nukritusi iki 2,4 %, po to šiek tiek padidėjo ir gruodžio mėn. sudarė 2,9 %. </w:t>
            </w:r>
          </w:p>
          <w:p w14:paraId="737A86F1" w14:textId="6AB2FBE2" w:rsidR="001C20CE" w:rsidRPr="00EF12DA" w:rsidRDefault="001C20CE" w:rsidP="001C20CE">
            <w:pPr>
              <w:rPr>
                <w:noProof/>
                <w:color w:val="004376"/>
              </w:rPr>
            </w:pPr>
            <w:r>
              <w:rPr>
                <w:noProof/>
                <w:color w:val="004376"/>
              </w:rPr>
              <w:t>JAV bendroji infliacija taip pat sumažėjo nuo 6,4 % sausio mėn. iki 3 % birželio mėn., vėliau stabilizavosi ir metų pabaigoje sudarė 3,1 %. JAV federalinio rezervo bankas padidino savo pagrindinę oficialią palūkanų normą iš viso 1 % iki 5,25–5,50 % tikslinio intervalo. Nuo liepos mėn. ši palūkanų norma nesikeitė.</w:t>
            </w:r>
          </w:p>
          <w:p w14:paraId="3E97D2DF" w14:textId="77777777" w:rsidR="001C20CE" w:rsidRPr="00EF12DA" w:rsidRDefault="001C20CE" w:rsidP="001C20CE">
            <w:pPr>
              <w:rPr>
                <w:noProof/>
                <w:color w:val="004376"/>
              </w:rPr>
            </w:pPr>
            <w:r>
              <w:rPr>
                <w:noProof/>
                <w:color w:val="004376"/>
              </w:rPr>
              <w:t xml:space="preserve">Pagrindiniai centriniai bankai ne tik didino oficialias palūkanų normas, bet didesnę metų dalį leido suprasti, kad artimiausiu metu oficialios palūkanų normos nebus mažinamos ir turės išlikti aukštos ilgiau, kad infliacija vėl priartėtų prie tikslinio lygio. Tokiomis aplinkybėmis obligacijų pajamingumas per pirmuosius 9 metų mėnesius taip pat laipsniškai didėjo, o 10 m. Vokietijos vyriausybės obligacijų pajamingumas spalio mėn. pradžioje pasiekė aukščiausią 2,96 % lygį (metų pradžioje – 2,44 %). </w:t>
            </w:r>
          </w:p>
          <w:p w14:paraId="618190A6" w14:textId="77777777" w:rsidR="001C20CE" w:rsidRPr="00EF12DA" w:rsidRDefault="001C20CE" w:rsidP="001C20CE">
            <w:pPr>
              <w:rPr>
                <w:noProof/>
                <w:color w:val="004376"/>
              </w:rPr>
            </w:pPr>
            <w:r>
              <w:rPr>
                <w:noProof/>
                <w:color w:val="004376"/>
              </w:rPr>
              <w:t xml:space="preserve">Ketvirtąjį ketvirtį paskelbti duomenys, rodantys mažesnę nei tikėtasi infliaciją, leido pagrindiniams centriniams bankams savo komunikaciją pakreipti ne tokia „vanagiška“ linkme ir pradėti svarstyti galimą pirmojo oficialių palūkanų normų mažinimo laiką. Tai paskatino rinkas greitai įvertinti, kad 2024 m. bus gerokai sumažintos palūkanų normos, todėl obligacijų pajamingumas sumažėjo, o obligacijų kainos ir grąža padidėjo. Metų pabaigoje 10 m. Vokietijos vyriausybės obligacijų pajamingumas buvo 2,02 %. </w:t>
            </w:r>
          </w:p>
          <w:p w14:paraId="42970FC3" w14:textId="77777777" w:rsidR="001C20CE" w:rsidRPr="00EF12DA" w:rsidRDefault="001C20CE" w:rsidP="001C20CE">
            <w:pPr>
              <w:rPr>
                <w:noProof/>
                <w:color w:val="004376"/>
              </w:rPr>
            </w:pPr>
            <w:r>
              <w:rPr>
                <w:noProof/>
                <w:color w:val="004376"/>
              </w:rPr>
              <w:t>Be to, ekonomikos augimas paneigė metų pradžioje vyravusias neigiamas prognozes, ypač JAV – šioje šalyje buvo užfiksuotas labai spartus augimas, o Europa išvengė recesijos. Darbo rinka taip pat buvo labai stipri, o nedarbo lygis abiejose Atlanto pusėse išliko beveik rekordiškai žemas.</w:t>
            </w:r>
          </w:p>
          <w:p w14:paraId="1C386025" w14:textId="3844956A" w:rsidR="001C20CE" w:rsidRPr="00E1119F" w:rsidRDefault="001C20CE" w:rsidP="001C20CE">
            <w:pPr>
              <w:rPr>
                <w:noProof/>
              </w:rPr>
            </w:pPr>
            <w:r>
              <w:rPr>
                <w:noProof/>
                <w:color w:val="004376"/>
              </w:rPr>
              <w:t>Dėl atsparaus augimo agresyviai didinant palūkanų normas ir mažėjančios infliacijos pagerėjo daugumos turto klasių rinkų rezultatai. Be vyriausybių obligacijų, įmonių obligacijų rezultatai taip pat buvo labai geri. Taip pat labai atsigavo akcijų rinkos. „STOXX Europe 600“ indeksas ūgtelėjo 12,7 %, o JAV „S&amp;P 500“ – 24,2 %.</w:t>
            </w:r>
          </w:p>
        </w:tc>
      </w:tr>
    </w:tbl>
    <w:p w14:paraId="190EEC03" w14:textId="77777777" w:rsidR="00713837" w:rsidRPr="008B332F" w:rsidRDefault="00713837" w:rsidP="00713837">
      <w:pPr>
        <w:spacing w:after="0"/>
        <w:jc w:val="left"/>
        <w:rPr>
          <w:b/>
          <w:bCs/>
          <w:noProof/>
          <w:color w:val="365F91"/>
          <w:sz w:val="28"/>
          <w:szCs w:val="28"/>
        </w:rPr>
      </w:pPr>
      <w:r>
        <w:rPr>
          <w:noProof/>
        </w:rPr>
        <w:br w:type="page"/>
      </w:r>
    </w:p>
    <w:p w14:paraId="6A99A2AC" w14:textId="07D1DA1B" w:rsidR="00713837" w:rsidRPr="003C5DD9" w:rsidRDefault="00713837" w:rsidP="00713837">
      <w:pPr>
        <w:pStyle w:val="SectionTitle"/>
        <w:jc w:val="left"/>
        <w:rPr>
          <w:noProof/>
          <w:color w:val="004376"/>
        </w:rPr>
      </w:pPr>
      <w:bookmarkStart w:id="12" w:name="_Toc170740359"/>
      <w:r>
        <w:rPr>
          <w:noProof/>
          <w:color w:val="004376"/>
        </w:rPr>
        <w:t>IŠVADOS</w:t>
      </w:r>
      <w:bookmarkEnd w:id="12"/>
    </w:p>
    <w:p w14:paraId="5F2D86E4" w14:textId="0E30810B" w:rsidR="00713837" w:rsidRDefault="002D14E8" w:rsidP="0006549E">
      <w:pPr>
        <w:ind w:left="-20" w:right="-20"/>
        <w:rPr>
          <w:noProof/>
          <w:szCs w:val="22"/>
        </w:rPr>
      </w:pPr>
      <w:r>
        <w:rPr>
          <w:noProof/>
        </w:rPr>
        <w:t xml:space="preserve">BAF pasiekė +5,21 % grąžą, padėjusią padengti dalį 2022 m. nuostolių (−8,9 %) ir papildyti garantijų atidėjinius. Žvelgiant į ateitį, dabartinė aukštesnių ir teigiamų palūkanų normų aplinka suteikia tvirtą pagrindą grąžai vidutiniu laikotarpiu. Tai matyti iš vidutinio portfelio pajamingumo iki išpirkimo termino, kuris 2023 m. pabaigoje sudarė maždaug 3 % per metus. </w:t>
      </w:r>
    </w:p>
    <w:p w14:paraId="476921CB" w14:textId="1272100E" w:rsidR="00713837" w:rsidRPr="00BA5CF6" w:rsidRDefault="00713837" w:rsidP="0006549E">
      <w:pPr>
        <w:rPr>
          <w:noProof/>
        </w:rPr>
      </w:pPr>
      <w:r>
        <w:rPr>
          <w:noProof/>
        </w:rPr>
        <w:t>Sudėtinga padėtis rinkoje, su kuria susidurta 2022 m., išryškino riziką, kylančią investuojant tik į fiksuotųjų pajamų vertybinius popierius. Siekiant sumažinti priklausomybę nuo obligacijų rinkų, 2023 m. BAF investavimo strategija buvo diversifikuota investuojant į plačius visos Europos nuosavybės vertybinių popierių indeksus. Pirmųjų metų patirtis investuojant į šią naują turto klasę buvo teigiama. Paaiškėjo, kad nedidelė nuosavybės vertybinių popierių pozicija gali padidinti grąžą, atitinkančią mažą riziką. BAF yra gerai pasirengęs išlaikyti atsigavimo trajektoriją ir pasiekti ilgalaikį stabilumą bei augimą, atitinkantį jo investavimo tikslus.</w:t>
      </w:r>
    </w:p>
    <w:sectPr w:rsidR="00713837" w:rsidRPr="00BA5CF6" w:rsidSect="00C27875">
      <w:headerReference w:type="even" r:id="rId25"/>
      <w:headerReference w:type="default" r:id="rId26"/>
      <w:footerReference w:type="even" r:id="rId27"/>
      <w:footerReference w:type="default" r:id="rId28"/>
      <w:headerReference w:type="first" r:id="rId29"/>
      <w:footerReference w:type="first" r:id="rId30"/>
      <w:endnotePr>
        <w:numFmt w:val="lowerLetter"/>
      </w:endnotePr>
      <w:pgSz w:w="11906" w:h="16838"/>
      <w:pgMar w:top="1134" w:right="1417" w:bottom="1134" w:left="1417" w:header="709" w:footer="709"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F292E" w14:textId="77777777" w:rsidR="004F5BC1" w:rsidRDefault="004F5BC1">
      <w:pPr>
        <w:spacing w:after="0"/>
      </w:pPr>
      <w:r>
        <w:separator/>
      </w:r>
    </w:p>
  </w:endnote>
  <w:endnote w:type="continuationSeparator" w:id="0">
    <w:p w14:paraId="5722DC12" w14:textId="77777777" w:rsidR="004F5BC1" w:rsidRDefault="004F5BC1">
      <w:pPr>
        <w:spacing w:after="0"/>
      </w:pPr>
      <w:r>
        <w:continuationSeparator/>
      </w:r>
    </w:p>
  </w:endnote>
  <w:endnote w:type="continuationNotice" w:id="1">
    <w:p w14:paraId="0D2B06AF" w14:textId="77777777" w:rsidR="004F5BC1" w:rsidRDefault="004F5BC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 Square Sans Pro">
    <w:altName w:val="Bahnschrift Light"/>
    <w:charset w:val="00"/>
    <w:family w:val="swiss"/>
    <w:pitch w:val="variable"/>
    <w:sig w:usb0="00000001" w:usb1="00000001" w:usb2="00000000" w:usb3="00000000" w:csb0="0000019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954C7" w14:textId="1D3AE951" w:rsidR="00347FD2" w:rsidRPr="00347FD2" w:rsidRDefault="00347FD2" w:rsidP="00347FD2">
    <w:pPr>
      <w:pStyle w:val="FooterCoverPage"/>
      <w:rPr>
        <w:rFonts w:ascii="Arial" w:hAnsi="Arial" w:cs="Arial"/>
        <w:b/>
        <w:sz w:val="48"/>
      </w:rPr>
    </w:pPr>
    <w:r w:rsidRPr="00347FD2">
      <w:rPr>
        <w:rFonts w:ascii="Arial" w:hAnsi="Arial" w:cs="Arial"/>
        <w:b/>
        <w:sz w:val="48"/>
      </w:rPr>
      <w:t>LT</w:t>
    </w:r>
    <w:r w:rsidRPr="00347FD2">
      <w:rPr>
        <w:rFonts w:ascii="Arial" w:hAnsi="Arial" w:cs="Arial"/>
        <w:b/>
        <w:sz w:val="48"/>
      </w:rPr>
      <w:tab/>
    </w:r>
    <w:r w:rsidRPr="00347FD2">
      <w:rPr>
        <w:rFonts w:ascii="Arial" w:hAnsi="Arial" w:cs="Arial"/>
        <w:b/>
        <w:sz w:val="48"/>
      </w:rPr>
      <w:tab/>
    </w:r>
    <w:r w:rsidRPr="00347FD2">
      <w:tab/>
    </w:r>
    <w:r w:rsidRPr="00347FD2">
      <w:rPr>
        <w:rFonts w:ascii="Arial" w:hAnsi="Arial" w:cs="Arial"/>
        <w:b/>
        <w:sz w:val="48"/>
      </w:rPr>
      <w:t>LT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FA8D3" w14:textId="19FA8C9A" w:rsidR="00347FD2" w:rsidRPr="00347FD2" w:rsidRDefault="00347FD2" w:rsidP="00347FD2">
    <w:pPr>
      <w:pStyle w:val="FooterCoverPage"/>
      <w:rPr>
        <w:rFonts w:ascii="Arial" w:hAnsi="Arial" w:cs="Arial"/>
        <w:b/>
        <w:sz w:val="48"/>
      </w:rPr>
    </w:pPr>
    <w:r w:rsidRPr="00347FD2">
      <w:rPr>
        <w:rFonts w:ascii="Arial" w:hAnsi="Arial" w:cs="Arial"/>
        <w:b/>
        <w:sz w:val="48"/>
      </w:rPr>
      <w:t>LT</w:t>
    </w:r>
    <w:r w:rsidRPr="00347FD2">
      <w:rPr>
        <w:rFonts w:ascii="Arial" w:hAnsi="Arial" w:cs="Arial"/>
        <w:b/>
        <w:sz w:val="48"/>
      </w:rPr>
      <w:tab/>
    </w:r>
    <w:r w:rsidRPr="00347FD2">
      <w:rPr>
        <w:rFonts w:ascii="Arial" w:hAnsi="Arial" w:cs="Arial"/>
        <w:b/>
        <w:sz w:val="48"/>
      </w:rPr>
      <w:tab/>
    </w:r>
    <w:r w:rsidRPr="00347FD2">
      <w:tab/>
    </w:r>
    <w:r w:rsidRPr="00347FD2">
      <w:rPr>
        <w:rFonts w:ascii="Arial" w:hAnsi="Arial" w:cs="Arial"/>
        <w:b/>
        <w:sz w:val="48"/>
      </w:rPr>
      <w:t>LT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C3F0A" w14:textId="77777777" w:rsidR="00347FD2" w:rsidRPr="00347FD2" w:rsidRDefault="00347FD2" w:rsidP="00347FD2">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7BCFC" w14:textId="77777777" w:rsidR="00C27875" w:rsidRPr="00655A36" w:rsidRDefault="00C27875" w:rsidP="00655A36">
    <w:pPr>
      <w:pStyle w:val="FooterCoverPage"/>
      <w:rPr>
        <w:rFonts w:ascii="Arial" w:hAnsi="Arial" w:cs="Arial"/>
        <w:b/>
        <w:sz w:val="48"/>
      </w:rPr>
    </w:pPr>
    <w:r>
      <w:rPr>
        <w:rFonts w:ascii="Arial" w:hAnsi="Arial"/>
        <w:b/>
        <w:sz w:val="48"/>
      </w:rPr>
      <w:t>EN</w:t>
    </w:r>
    <w:r>
      <w:rPr>
        <w:rFonts w:ascii="Arial" w:hAnsi="Arial"/>
        <w:b/>
        <w:sz w:val="48"/>
      </w:rPr>
      <w:tab/>
    </w:r>
    <w:r>
      <w:rPr>
        <w:rFonts w:ascii="Arial" w:hAnsi="Arial"/>
        <w:b/>
        <w:sz w:val="48"/>
      </w:rPr>
      <w:tab/>
    </w:r>
    <w:r>
      <w:tab/>
    </w:r>
    <w:r>
      <w:rPr>
        <w:rFonts w:ascii="Arial" w:hAnsi="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60B9D" w14:textId="6062CDD0" w:rsidR="00C27875" w:rsidRPr="00655A36" w:rsidRDefault="0073385B" w:rsidP="00655A36">
    <w:pPr>
      <w:pStyle w:val="FooterCoverPage"/>
      <w:rPr>
        <w:rFonts w:ascii="Arial" w:hAnsi="Arial" w:cs="Arial"/>
        <w:b/>
        <w:sz w:val="48"/>
      </w:rPr>
    </w:pPr>
    <w:r>
      <w:rPr>
        <w:rFonts w:ascii="Arial" w:hAnsi="Arial"/>
        <w:b/>
        <w:sz w:val="48"/>
      </w:rPr>
      <w:t>LT</w:t>
    </w:r>
    <w:r w:rsidR="00C27875">
      <w:rPr>
        <w:rFonts w:ascii="Arial" w:hAnsi="Arial"/>
        <w:b/>
        <w:sz w:val="48"/>
      </w:rPr>
      <w:tab/>
    </w:r>
    <w:r w:rsidR="00C27875">
      <w:rPr>
        <w:rFonts w:ascii="Arial" w:hAnsi="Arial"/>
        <w:b/>
        <w:sz w:val="48"/>
      </w:rPr>
      <w:tab/>
    </w:r>
    <w:r w:rsidR="00C27875">
      <w:tab/>
    </w:r>
    <w:r>
      <w:rPr>
        <w:rFonts w:ascii="Arial" w:hAnsi="Arial"/>
        <w:b/>
        <w:sz w:val="48"/>
      </w:rPr>
      <w:t>LT</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0DDE5" w14:textId="77777777" w:rsidR="00C27875" w:rsidRDefault="00C27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003980" w14:textId="77777777" w:rsidR="004F5BC1" w:rsidRDefault="004F5BC1">
      <w:pPr>
        <w:spacing w:after="0"/>
      </w:pPr>
      <w:r>
        <w:separator/>
      </w:r>
    </w:p>
  </w:footnote>
  <w:footnote w:type="continuationSeparator" w:id="0">
    <w:p w14:paraId="12BEEBDB" w14:textId="77777777" w:rsidR="004F5BC1" w:rsidRDefault="004F5BC1">
      <w:pPr>
        <w:spacing w:after="0"/>
      </w:pPr>
      <w:r>
        <w:continuationSeparator/>
      </w:r>
    </w:p>
  </w:footnote>
  <w:footnote w:type="continuationNotice" w:id="1">
    <w:p w14:paraId="3BEC0841" w14:textId="77777777" w:rsidR="004F5BC1" w:rsidRDefault="004F5BC1">
      <w:pPr>
        <w:spacing w:after="0"/>
      </w:pPr>
    </w:p>
  </w:footnote>
  <w:footnote w:id="2">
    <w:p w14:paraId="3F187AEF" w14:textId="4E864AA2" w:rsidR="00584AD0" w:rsidRPr="00AD032D" w:rsidRDefault="00584AD0" w:rsidP="00584AD0">
      <w:pPr>
        <w:pStyle w:val="FootnoteText"/>
        <w:ind w:left="240" w:hanging="240"/>
      </w:pPr>
      <w:r>
        <w:t>(</w:t>
      </w:r>
      <w:r>
        <w:rPr>
          <w:rStyle w:val="FootnoteReference"/>
        </w:rPr>
        <w:footnoteRef/>
      </w:r>
      <w:r>
        <w:t>) Pagal Finansinio reglamento (2018 m. liepos 18 d. Europos Parlamento ir Tarybos reglamentas (ES, Euratomas) 2018/1046 dėl Sąjungos bendrajam biudžetui taikomų finansinių taisyklių, kuriuo iš dalies keičiami reglamentai (ES) Nr. 1296/2013, (ES) Nr. 1301/2013, (ES) Nr. 1303/2013, (ES) Nr. 1304/2013, (ES) Nr. 1309/2013, (ES) Nr. 1316/2013, (ES) Nr. 223/2014, (ES) Nr. 283/2014 ir Sprendimas Nr. 541/2014/ES, bei panaikinamas Reglamentas (ES, Euratomas) Nr. 966/2012, OL L 193, 2018 7 30, p. 1) 214 straipsnį Komisija kasmet pateikia Europos Parlamentui ir Tarybai bendro atidėjinių fondo ataskaitas. BAF turto valdymo gairėse (2020 m. kovo 25 d. Komisijos sprendimas dėl bendro atidėjinių fondo turto valdymo gairių (C(2020) 1896 </w:t>
      </w:r>
      <w:r>
        <w:rPr>
          <w:i/>
        </w:rPr>
        <w:t>final</w:t>
      </w:r>
      <w:r>
        <w:t>, OL C 131, 2020 4 22, p. 3–11) pateikiama daugiau informacijos apie šios ataskaitos turinį.</w:t>
      </w:r>
    </w:p>
  </w:footnote>
  <w:footnote w:id="3">
    <w:p w14:paraId="2930F912" w14:textId="2194FAC6" w:rsidR="00584AD0" w:rsidRPr="00AD032D" w:rsidRDefault="00584AD0" w:rsidP="00584AD0">
      <w:pPr>
        <w:pStyle w:val="FootnoteText"/>
      </w:pPr>
      <w:r>
        <w:t>(</w:t>
      </w:r>
      <w:r>
        <w:rPr>
          <w:rStyle w:val="FootnoteReference"/>
        </w:rPr>
        <w:footnoteRef/>
      </w:r>
      <w:r>
        <w:t>) Europos strateginių investicijų fondas (EFSI) ir „InvestEU“.</w:t>
      </w:r>
    </w:p>
  </w:footnote>
  <w:footnote w:id="4">
    <w:p w14:paraId="56CFDDA3" w14:textId="41A98B77" w:rsidR="00584AD0" w:rsidRPr="00AD032D" w:rsidRDefault="00584AD0" w:rsidP="00584AD0">
      <w:pPr>
        <w:pStyle w:val="FootnoteText"/>
        <w:ind w:left="240" w:hanging="240"/>
      </w:pPr>
      <w:r>
        <w:t>(</w:t>
      </w:r>
      <w:r>
        <w:rPr>
          <w:rStyle w:val="FootnoteReference"/>
        </w:rPr>
        <w:footnoteRef/>
      </w:r>
      <w:r>
        <w:t>) EIB išorės skolinimo įgaliojimas, Europos darnaus vystymosi fondas (EDVF) ir „Europos darnaus vystymosi fondas +“ (EDVF+).</w:t>
      </w:r>
    </w:p>
  </w:footnote>
  <w:footnote w:id="5">
    <w:p w14:paraId="7D16F376" w14:textId="4351502D" w:rsidR="00740B92" w:rsidRPr="004E527E" w:rsidRDefault="00740B92">
      <w:pPr>
        <w:pStyle w:val="FootnoteText"/>
      </w:pPr>
      <w:r>
        <w:t>(</w:t>
      </w:r>
      <w:r>
        <w:rPr>
          <w:rStyle w:val="FootnoteReference"/>
        </w:rPr>
        <w:footnoteRef/>
      </w:r>
      <w:r>
        <w:t>) Išskyrus MFP+ paskolas, 2023 m. suteiktas Ukrainai.</w:t>
      </w:r>
    </w:p>
  </w:footnote>
  <w:footnote w:id="6">
    <w:p w14:paraId="4C8DF0AE" w14:textId="16F165EB" w:rsidR="006B013B" w:rsidRPr="00AD032D" w:rsidRDefault="006B013B">
      <w:pPr>
        <w:pStyle w:val="FootnoteText"/>
      </w:pPr>
      <w:r>
        <w:t>(</w:t>
      </w:r>
      <w:r>
        <w:rPr>
          <w:rStyle w:val="FootnoteReference"/>
        </w:rPr>
        <w:footnoteRef/>
      </w:r>
      <w:r>
        <w:t>)</w:t>
      </w:r>
      <w:r>
        <w:tab/>
        <w:t xml:space="preserve">Valdymo struktūra buvo pateikta BAF 2021 m. metinėje ataskaitoje, kuri skelbiama adresu </w:t>
      </w:r>
      <w:hyperlink r:id="rId1">
        <w:r>
          <w:rPr>
            <w:color w:val="0000FF"/>
            <w:u w:val="single"/>
          </w:rPr>
          <w:t>EUR-Lex - 52022DC0213 - LT - EUR-Lex (europa.eu)</w:t>
        </w:r>
      </w:hyperlink>
      <w:r>
        <w:t>.</w:t>
      </w:r>
    </w:p>
  </w:footnote>
  <w:footnote w:id="7">
    <w:p w14:paraId="44BF15DF" w14:textId="77777777" w:rsidR="002B7CB6" w:rsidRPr="00AD032D" w:rsidRDefault="002B7CB6" w:rsidP="002B7CB6">
      <w:pPr>
        <w:pStyle w:val="FootnoteText"/>
        <w:ind w:left="240" w:hanging="240"/>
      </w:pPr>
      <w:r>
        <w:t>(</w:t>
      </w:r>
      <w:r>
        <w:rPr>
          <w:rStyle w:val="FootnoteReference"/>
        </w:rPr>
        <w:footnoteRef/>
      </w:r>
      <w:r>
        <w:t>) BAF grynoji turto vertė (GTV) nustatoma iš viso turto vertės atėmus įsipareigojimus atitinkamą GTV apskaičiavimo dieną.</w:t>
      </w:r>
    </w:p>
  </w:footnote>
  <w:footnote w:id="8">
    <w:p w14:paraId="2C848773" w14:textId="1C4311BF" w:rsidR="00A41318" w:rsidRPr="00AD032D" w:rsidRDefault="006B013B" w:rsidP="00A41318">
      <w:pPr>
        <w:pStyle w:val="FootnoteText"/>
        <w:rPr>
          <w:noProof/>
        </w:rPr>
      </w:pPr>
      <w:r>
        <w:t>(</w:t>
      </w:r>
      <w:r>
        <w:rPr>
          <w:rStyle w:val="FootnoteReference"/>
        </w:rPr>
        <w:footnoteRef/>
      </w:r>
      <w:r>
        <w:t>) Pavyzdžiui, pagal Finansinio reglamento 212 straipsnio 2 ir 4 dalis, 213 straipsnio 1 ir 4 dalis.</w:t>
      </w:r>
    </w:p>
  </w:footnote>
  <w:footnote w:id="9">
    <w:p w14:paraId="734D1C0B" w14:textId="56F942E0" w:rsidR="00A41318" w:rsidRPr="0096112C" w:rsidRDefault="006B013B" w:rsidP="00A41318">
      <w:pPr>
        <w:pStyle w:val="FootnoteText"/>
      </w:pPr>
      <w:r>
        <w:t>(</w:t>
      </w:r>
      <w:r>
        <w:rPr>
          <w:rStyle w:val="FootnoteReference"/>
        </w:rPr>
        <w:footnoteRef/>
      </w:r>
      <w:r>
        <w:t>) Maltai ir Bulgarijai.</w:t>
      </w:r>
    </w:p>
  </w:footnote>
  <w:footnote w:id="10">
    <w:p w14:paraId="7039C6F5" w14:textId="0AC566DB" w:rsidR="00A41318" w:rsidRPr="0096112C" w:rsidRDefault="006B013B" w:rsidP="00A41318">
      <w:pPr>
        <w:pStyle w:val="FootnoteText"/>
      </w:pPr>
      <w:r>
        <w:t>(</w:t>
      </w:r>
      <w:r>
        <w:rPr>
          <w:rStyle w:val="FootnoteReference"/>
        </w:rPr>
        <w:footnoteRef/>
      </w:r>
      <w:r>
        <w:t xml:space="preserve">) </w:t>
      </w:r>
      <w:hyperlink r:id="rId2">
        <w:r>
          <w:rPr>
            <w:color w:val="0000FF"/>
            <w:u w:val="single"/>
          </w:rPr>
          <w:t>EUR-Lex - 52022DC0213 - LT - EUR-Lex (europa.eu)</w:t>
        </w:r>
      </w:hyperlink>
      <w:r>
        <w:t>.</w:t>
      </w:r>
    </w:p>
  </w:footnote>
  <w:footnote w:id="11">
    <w:p w14:paraId="59381243" w14:textId="4BE8A28C" w:rsidR="00A41318" w:rsidRPr="0096112C" w:rsidRDefault="006B013B" w:rsidP="00A41318">
      <w:pPr>
        <w:pStyle w:val="FootnoteText"/>
      </w:pPr>
      <w:r>
        <w:t>(</w:t>
      </w:r>
      <w:r>
        <w:rPr>
          <w:rStyle w:val="FootnoteReference"/>
        </w:rPr>
        <w:footnoteRef/>
      </w:r>
      <w:r>
        <w:t xml:space="preserve">) </w:t>
      </w:r>
      <w:hyperlink r:id="rId3">
        <w:r>
          <w:rPr>
            <w:rStyle w:val="Hyperlink"/>
          </w:rPr>
          <w:t>EUR-Lex - 52023DC0288 - LT - EUR-Lex (europa.eu)</w:t>
        </w:r>
      </w:hyperlink>
      <w:r>
        <w:t>.</w:t>
      </w:r>
    </w:p>
  </w:footnote>
  <w:footnote w:id="12">
    <w:p w14:paraId="02C9C4DC" w14:textId="0E0788CB" w:rsidR="00A41318" w:rsidRPr="00AD032D" w:rsidRDefault="006B013B" w:rsidP="00D171BA">
      <w:pPr>
        <w:pStyle w:val="FootnoteText"/>
        <w:ind w:left="360" w:hanging="360"/>
      </w:pPr>
      <w:r>
        <w:t>(</w:t>
      </w:r>
      <w:r>
        <w:rPr>
          <w:rStyle w:val="FootnoteReference"/>
        </w:rPr>
        <w:footnoteRef/>
      </w:r>
      <w:r>
        <w:t>) Išorės veiksmų garantijų fondas (IVGF), kuriame kaupiami EIB išorės skolinimo įgaliojimo, ankstesnių laikotarpių (makrofinansinės paramos – MFP) ir Euratomo programų atidėjiniai.</w:t>
      </w:r>
    </w:p>
  </w:footnote>
  <w:footnote w:id="13">
    <w:p w14:paraId="069C7AC2" w14:textId="0EBFF215" w:rsidR="00A41318" w:rsidRPr="00AD032D" w:rsidRDefault="006B013B" w:rsidP="002A22B3">
      <w:pPr>
        <w:spacing w:after="120"/>
        <w:ind w:left="357" w:hanging="357"/>
      </w:pPr>
      <w:r>
        <w:t>(</w:t>
      </w:r>
      <w:r>
        <w:rPr>
          <w:rStyle w:val="FootnoteReference"/>
        </w:rPr>
        <w:footnoteRef/>
      </w:r>
      <w:r>
        <w:t xml:space="preserve">) </w:t>
      </w:r>
      <w:r>
        <w:rPr>
          <w:sz w:val="20"/>
        </w:rPr>
        <w:t>Europos darnaus vystymosi fondas.</w:t>
      </w:r>
    </w:p>
  </w:footnote>
  <w:footnote w:id="14">
    <w:p w14:paraId="6E741B05" w14:textId="67EB7A35" w:rsidR="004A65EC" w:rsidRPr="003B0A6D" w:rsidRDefault="004A65EC">
      <w:pPr>
        <w:pStyle w:val="FootnoteText"/>
      </w:pPr>
      <w:r>
        <w:t>(</w:t>
      </w:r>
      <w:r>
        <w:rPr>
          <w:rStyle w:val="FootnoteReference"/>
        </w:rPr>
        <w:footnoteRef/>
      </w:r>
      <w:r>
        <w:t>)</w:t>
      </w:r>
      <w:r>
        <w:tab/>
        <w:t>ES skyrius.</w:t>
      </w:r>
    </w:p>
  </w:footnote>
  <w:footnote w:id="15">
    <w:p w14:paraId="0669CBA3" w14:textId="2CC7EF9F" w:rsidR="00166E1A" w:rsidRPr="004E527E" w:rsidRDefault="00166E1A">
      <w:pPr>
        <w:pStyle w:val="FootnoteText"/>
      </w:pPr>
      <w:r>
        <w:t>(</w:t>
      </w:r>
      <w:r>
        <w:rPr>
          <w:rStyle w:val="FootnoteReference"/>
        </w:rPr>
        <w:footnoteRef/>
      </w:r>
      <w:r>
        <w:t>) Pagal Sprendimą (ES) 2022/12018 ir Sprendimą (ES) 2022/1628, kuriais Ukrainai suteikiama išskirtinė makrofinansinė pagalba.</w:t>
      </w:r>
    </w:p>
  </w:footnote>
  <w:footnote w:id="16">
    <w:p w14:paraId="20B51697" w14:textId="54ABC4D4" w:rsidR="007B21CA" w:rsidRPr="00AD032D" w:rsidRDefault="006B013B" w:rsidP="007B21CA">
      <w:pPr>
        <w:pStyle w:val="FootnoteText"/>
      </w:pPr>
      <w:r>
        <w:t>(</w:t>
      </w:r>
      <w:r>
        <w:rPr>
          <w:rStyle w:val="FootnoteReference"/>
        </w:rPr>
        <w:footnoteRef/>
      </w:r>
      <w:r>
        <w:t>) 2020 m. kovo 25 d. Komisijos sprendimas dėl bendro atidėjinių fondo turto valdymo gairių (C(2020) 1896 </w:t>
      </w:r>
      <w:r>
        <w:rPr>
          <w:i/>
        </w:rPr>
        <w:t>final</w:t>
      </w:r>
      <w:r>
        <w:t>, OL C 131, 2020 4 22, p. 3–11).</w:t>
      </w:r>
    </w:p>
  </w:footnote>
  <w:footnote w:id="17">
    <w:p w14:paraId="50CE31AB" w14:textId="0E4CF64A" w:rsidR="00725EB0" w:rsidRPr="00725EB0" w:rsidRDefault="00725EB0">
      <w:pPr>
        <w:pStyle w:val="FootnoteText"/>
      </w:pPr>
      <w:r>
        <w:t>(</w:t>
      </w:r>
      <w:r>
        <w:rPr>
          <w:rStyle w:val="FootnoteReference"/>
        </w:rPr>
        <w:footnoteRef/>
      </w:r>
      <w:r>
        <w:t>)</w:t>
      </w:r>
      <w:r>
        <w:tab/>
        <w:t>Iš 114 mln. EUR sumos, kurią sudaro gaunamos lėšos iš BAF išpirkimų, 60,7 mln. EUR yra susigrąžintos EIB išorės skolinimo įgaliojimo lėšos.</w:t>
      </w:r>
    </w:p>
  </w:footnote>
  <w:footnote w:id="18">
    <w:p w14:paraId="5E306330" w14:textId="1009B99E" w:rsidR="007B21CA" w:rsidRPr="00AD032D" w:rsidRDefault="006B013B" w:rsidP="007B21CA">
      <w:pPr>
        <w:pStyle w:val="FootnoteText"/>
      </w:pPr>
      <w:r>
        <w:t>(</w:t>
      </w:r>
      <w:r>
        <w:rPr>
          <w:rStyle w:val="FootnoteReference"/>
        </w:rPr>
        <w:footnoteRef/>
      </w:r>
      <w:r>
        <w:t>) Palyginti su 222 mln. EUR 2022 m.</w:t>
      </w:r>
    </w:p>
  </w:footnote>
  <w:footnote w:id="19">
    <w:p w14:paraId="015A1B75" w14:textId="53B52909" w:rsidR="007B21CA" w:rsidRPr="00AD032D" w:rsidRDefault="006B013B" w:rsidP="007B21CA">
      <w:pPr>
        <w:pStyle w:val="FootnoteText"/>
      </w:pPr>
      <w:r>
        <w:t>(</w:t>
      </w:r>
      <w:r>
        <w:rPr>
          <w:rStyle w:val="FootnoteReference"/>
        </w:rPr>
        <w:footnoteRef/>
      </w:r>
      <w:r>
        <w:t>) Atskiri reikalavimai mokėti pagal garantiją aptarti atskiroje ataskaitoje, parengtoje pagal Finansinio reglamento (FR) 41 straipsnio 5 dalį.</w:t>
      </w:r>
    </w:p>
  </w:footnote>
  <w:footnote w:id="20">
    <w:p w14:paraId="78DC0402" w14:textId="0A5E0938" w:rsidR="007B21CA" w:rsidRPr="00AD032D" w:rsidRDefault="006B013B" w:rsidP="007B21CA">
      <w:pPr>
        <w:pStyle w:val="FootnoteText"/>
      </w:pPr>
      <w:r>
        <w:t>(</w:t>
      </w:r>
      <w:r>
        <w:rPr>
          <w:rStyle w:val="FootnoteReference"/>
        </w:rPr>
        <w:footnoteRef/>
      </w:r>
      <w:r>
        <w:t xml:space="preserve">) Svarbu paminėti, kad 2024 m. ar vėliau gali atsirasti mokėjimų, dėl kurių gali reikėti 2023 m. sąskaitas koreguoti </w:t>
      </w:r>
      <w:r>
        <w:rPr>
          <w:i/>
        </w:rPr>
        <w:t>ex post</w:t>
      </w:r>
      <w:r>
        <w:t>.</w:t>
      </w:r>
    </w:p>
  </w:footnote>
  <w:footnote w:id="21">
    <w:p w14:paraId="09F650D9" w14:textId="22AB5D1C" w:rsidR="00EB26D9" w:rsidRPr="00AD032D" w:rsidRDefault="006B013B">
      <w:pPr>
        <w:pStyle w:val="FootnoteText"/>
      </w:pPr>
      <w:r>
        <w:t>(</w:t>
      </w:r>
      <w:r>
        <w:rPr>
          <w:rStyle w:val="FootnoteReference"/>
        </w:rPr>
        <w:footnoteRef/>
      </w:r>
      <w:r>
        <w:t>) Iš kurių 14,7 mln. EUR susiję su 2022 m. reikalavimais, nes viena iš mokėjimo operacijų apėmė laikotarpį nuo 2022 m. birželio 1 d. iki 2023 m. lapkričio 30 d.</w:t>
      </w:r>
    </w:p>
  </w:footnote>
  <w:footnote w:id="22">
    <w:p w14:paraId="3ADA5823" w14:textId="337BFB79" w:rsidR="000B0D9D" w:rsidRPr="00AD032D" w:rsidRDefault="006B013B" w:rsidP="000B0D9D">
      <w:pPr>
        <w:pStyle w:val="FootnoteText"/>
      </w:pPr>
      <w:r>
        <w:t>(</w:t>
      </w:r>
      <w:r>
        <w:rPr>
          <w:rStyle w:val="FootnoteReference"/>
        </w:rPr>
        <w:footnoteRef/>
      </w:r>
      <w:r>
        <w:t>) Komisijos deleguotasis sprendimas (ES, Euratomas) C(2020) 7684, kuriuo Europos Parlamento ir Tarybos reglamentas (ES, Euratomas) 2018/1046 papildomas išsamiomis bendro atidėjinių fondo faktinės atidėjinių normos apskaičiavimo sąlygomis (OL L 42, 2021 2 5, p. 12).</w:t>
      </w:r>
    </w:p>
  </w:footnote>
  <w:footnote w:id="23">
    <w:p w14:paraId="61086BF7" w14:textId="43CF7F5F" w:rsidR="00713837" w:rsidRPr="0096112C" w:rsidRDefault="006B013B" w:rsidP="00713837">
      <w:pPr>
        <w:pStyle w:val="FootnoteText"/>
      </w:pPr>
      <w:r>
        <w:t>(</w:t>
      </w:r>
      <w:r>
        <w:rPr>
          <w:rStyle w:val="FootnoteReference"/>
        </w:rPr>
        <w:footnoteRef/>
      </w:r>
      <w:r>
        <w:t xml:space="preserve">) </w:t>
      </w:r>
      <w:hyperlink r:id="rId4" w:history="1">
        <w:r>
          <w:rPr>
            <w:rStyle w:val="Hyperlink"/>
          </w:rPr>
          <w:t>EUR-Lex - 52022DC0213 - LT - EUR-Lex (europa.eu)</w:t>
        </w:r>
      </w:hyperlink>
      <w:r>
        <w:t>.</w:t>
      </w:r>
    </w:p>
  </w:footnote>
  <w:footnote w:id="24">
    <w:p w14:paraId="1B22D7FF" w14:textId="4A44BCE0" w:rsidR="00713837" w:rsidRPr="00AD032D" w:rsidRDefault="006B013B" w:rsidP="00713837">
      <w:pPr>
        <w:pStyle w:val="FootnoteText"/>
      </w:pPr>
      <w:r>
        <w:t>(</w:t>
      </w:r>
      <w:r>
        <w:rPr>
          <w:rStyle w:val="FootnoteReference"/>
        </w:rPr>
        <w:footnoteRef/>
      </w:r>
      <w:r>
        <w:t>) Turto valdymo gairių 2 straipsnio 1 dalis.</w:t>
      </w:r>
    </w:p>
  </w:footnote>
  <w:footnote w:id="25">
    <w:p w14:paraId="3451081A" w14:textId="0089EF6A" w:rsidR="00713837" w:rsidRPr="00AD032D" w:rsidRDefault="006B013B" w:rsidP="00713837">
      <w:pPr>
        <w:pStyle w:val="FootnoteText"/>
      </w:pPr>
      <w:r>
        <w:t>(</w:t>
      </w:r>
      <w:r>
        <w:rPr>
          <w:rStyle w:val="FootnoteReference"/>
        </w:rPr>
        <w:footnoteRef/>
      </w:r>
      <w:r>
        <w:t xml:space="preserve">) </w:t>
      </w:r>
      <w:r>
        <w:rPr>
          <w:rStyle w:val="normaltextrun"/>
          <w:color w:val="000000"/>
          <w:shd w:val="clear" w:color="auto" w:fill="FFFFFF"/>
        </w:rPr>
        <w:t>0,04 % įsipareigojimų neįvykdymo tikimybė per</w:t>
      </w:r>
      <w:r>
        <w:rPr>
          <w:rStyle w:val="normaltextrun"/>
          <w:rFonts w:ascii="Calibri" w:hAnsi="Calibri"/>
          <w:color w:val="000000"/>
          <w:shd w:val="clear" w:color="auto" w:fill="FFFFFF"/>
        </w:rPr>
        <w:t xml:space="preserve"> </w:t>
      </w:r>
      <w:r>
        <w:rPr>
          <w:rStyle w:val="normaltextrun"/>
          <w:color w:val="000000"/>
          <w:shd w:val="clear" w:color="auto" w:fill="FFFFFF"/>
        </w:rPr>
        <w:t>vienų metų</w:t>
      </w:r>
      <w:r>
        <w:rPr>
          <w:rStyle w:val="normaltextrun"/>
          <w:rFonts w:ascii="Calibri" w:hAnsi="Calibri"/>
          <w:color w:val="000000"/>
          <w:shd w:val="clear" w:color="auto" w:fill="FFFFFF"/>
        </w:rPr>
        <w:t xml:space="preserve"> </w:t>
      </w:r>
      <w:r>
        <w:rPr>
          <w:rStyle w:val="normaltextrun"/>
          <w:color w:val="000000"/>
          <w:shd w:val="clear" w:color="auto" w:fill="FFFFFF"/>
        </w:rPr>
        <w:t>laikotarpį.</w:t>
      </w:r>
    </w:p>
  </w:footnote>
  <w:footnote w:id="26">
    <w:p w14:paraId="23B0900F" w14:textId="7F424B03" w:rsidR="00713837" w:rsidRPr="00AD032D" w:rsidRDefault="006B013B" w:rsidP="00713837">
      <w:pPr>
        <w:pStyle w:val="FootnoteText"/>
      </w:pPr>
      <w:r>
        <w:t>(</w:t>
      </w:r>
      <w:r>
        <w:rPr>
          <w:rStyle w:val="FootnoteReference"/>
        </w:rPr>
        <w:footnoteRef/>
      </w:r>
      <w:r>
        <w:t>) Palyginti su daugiau nei 35 % 2022 m.</w:t>
      </w:r>
    </w:p>
  </w:footnote>
  <w:footnote w:id="27">
    <w:p w14:paraId="47935548" w14:textId="0418BFDA" w:rsidR="00713837" w:rsidRPr="00AD032D" w:rsidRDefault="006B013B" w:rsidP="00713837">
      <w:pPr>
        <w:pStyle w:val="FootnoteText"/>
      </w:pPr>
      <w:r>
        <w:t>(</w:t>
      </w:r>
      <w:r>
        <w:rPr>
          <w:rStyle w:val="FootnoteReference"/>
        </w:rPr>
        <w:footnoteRef/>
      </w:r>
      <w:r>
        <w:t>) Palyginti su 3,5 % 2022 m.</w:t>
      </w:r>
    </w:p>
  </w:footnote>
  <w:footnote w:id="28">
    <w:p w14:paraId="7A3B9015" w14:textId="77BCBC9C" w:rsidR="00713837" w:rsidRPr="00AD032D" w:rsidRDefault="006B013B" w:rsidP="00713837">
      <w:pPr>
        <w:pStyle w:val="FootnoteText"/>
      </w:pPr>
      <w:r>
        <w:t>(</w:t>
      </w:r>
      <w:r>
        <w:rPr>
          <w:rStyle w:val="FootnoteReference"/>
        </w:rPr>
        <w:footnoteRef/>
      </w:r>
      <w:r>
        <w:t>) Palyginti su 18 % 2022 m.</w:t>
      </w:r>
    </w:p>
  </w:footnote>
  <w:footnote w:id="29">
    <w:p w14:paraId="5A13692B" w14:textId="2CA3D8D0" w:rsidR="00713837" w:rsidRPr="00AD032D" w:rsidRDefault="006B013B" w:rsidP="00713837">
      <w:pPr>
        <w:pStyle w:val="FootnoteText"/>
      </w:pPr>
      <w:r>
        <w:t>(</w:t>
      </w:r>
      <w:r>
        <w:rPr>
          <w:rStyle w:val="FootnoteReference"/>
        </w:rPr>
        <w:footnoteRef/>
      </w:r>
      <w:r>
        <w:t>) Be 1.5 skirsnyje apibūdintos likvidumo atsargos.</w:t>
      </w:r>
    </w:p>
  </w:footnote>
  <w:footnote w:id="30">
    <w:p w14:paraId="47D882D7" w14:textId="48C564D9" w:rsidR="00713837" w:rsidRPr="00AD032D" w:rsidRDefault="006B013B" w:rsidP="00713837">
      <w:pPr>
        <w:pStyle w:val="FootnoteText"/>
        <w:ind w:left="240" w:hanging="240"/>
      </w:pPr>
      <w:r>
        <w:t>(</w:t>
      </w:r>
      <w:r>
        <w:rPr>
          <w:rStyle w:val="FootnoteReference"/>
        </w:rPr>
        <w:footnoteRef/>
      </w:r>
      <w:r>
        <w:t xml:space="preserve">) Vertindama, ar BAF paskirstymo tikslais obligacijos klasifikuojamos kaip ASV ženklą turinčios obligacijos, Komisija remiasi paskelbtu atitinkamo turto pajamų panaudojimo vertinimu, kurį atliko analizės ir duomenų teikėjai, kuriuos Komisija naudoja savo turto valdymo funkcijai vykdyti. </w:t>
      </w:r>
    </w:p>
  </w:footnote>
  <w:footnote w:id="31">
    <w:p w14:paraId="6BD48026" w14:textId="37401BD0" w:rsidR="00713837" w:rsidRPr="0096112C" w:rsidRDefault="006B013B" w:rsidP="00713837">
      <w:pPr>
        <w:pStyle w:val="FootnoteText"/>
      </w:pPr>
      <w:r>
        <w:t>(</w:t>
      </w:r>
      <w:r>
        <w:rPr>
          <w:rStyle w:val="FootnoteReference"/>
        </w:rPr>
        <w:footnoteRef/>
      </w:r>
      <w:r>
        <w:t xml:space="preserve">) </w:t>
      </w:r>
      <w:hyperlink r:id="rId5" w:history="1">
        <w:r>
          <w:rPr>
            <w:rStyle w:val="Hyperlink"/>
          </w:rPr>
          <w:t>EUR-Lex - 52023DC0288 - LT - EUR-Lex (europa.eu)</w:t>
        </w:r>
      </w:hyperlink>
      <w:r>
        <w:t>.</w:t>
      </w:r>
    </w:p>
  </w:footnote>
  <w:footnote w:id="32">
    <w:p w14:paraId="4AB2D472" w14:textId="0E3AC8EA" w:rsidR="00BE2A51" w:rsidRDefault="00A343EF" w:rsidP="00A343EF">
      <w:pPr>
        <w:pStyle w:val="FootnoteText"/>
      </w:pPr>
      <w:r>
        <w:t>(</w:t>
      </w:r>
      <w:r>
        <w:rPr>
          <w:rStyle w:val="FootnoteReference"/>
        </w:rPr>
        <w:footnoteRef/>
      </w:r>
      <w:r>
        <w:t>)</w:t>
      </w:r>
      <w:r>
        <w:tab/>
        <w:t>Bendra BAF grąža nuo fondo veiklos pradžios iki 2023 m. pabaigos yra −5,22 %, o metinės grąžos seka buvo tokia: 5,21 % 2023 m., −8,85 % 2022 m., −1,17 % 2021 m. Kalbant apie tikslą išsaugoti kapitalą per visą investavimo laikotarpį (9 metai), šis tikslas tebėra visiškai pasiekiamas, visų pirma atsižvelgiant į tai, kad po 2022 m. pajamingumas yra teigiamas, kitaip nei neigiamas arba nulinis pajamingumas, kuris dominavo steigiant BAF.</w:t>
      </w:r>
    </w:p>
    <w:p w14:paraId="4880761F" w14:textId="003A7A46" w:rsidR="00A343EF" w:rsidRPr="00A343EF" w:rsidRDefault="00A343EF" w:rsidP="00A343E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BAB63" w14:textId="77777777" w:rsidR="00347FD2" w:rsidRPr="00347FD2" w:rsidRDefault="00347FD2" w:rsidP="00347FD2">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09533" w14:textId="77777777" w:rsidR="00347FD2" w:rsidRPr="00347FD2" w:rsidRDefault="00347FD2" w:rsidP="00347FD2">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2673C" w14:textId="77777777" w:rsidR="00347FD2" w:rsidRPr="00347FD2" w:rsidRDefault="00347FD2" w:rsidP="00347FD2">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4D68B" w14:textId="77777777" w:rsidR="00C27875" w:rsidRDefault="00C2787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00C27875" w14:paraId="3A1AD61B" w14:textId="77777777" w:rsidTr="003B0A6D">
      <w:trPr>
        <w:trHeight w:val="300"/>
      </w:trPr>
      <w:tc>
        <w:tcPr>
          <w:tcW w:w="3020" w:type="dxa"/>
        </w:tcPr>
        <w:p w14:paraId="4BB403BA" w14:textId="77777777" w:rsidR="00C27875" w:rsidRDefault="00C27875" w:rsidP="003B0A6D">
          <w:pPr>
            <w:pStyle w:val="Header"/>
            <w:ind w:left="-115"/>
            <w:jc w:val="left"/>
          </w:pPr>
        </w:p>
      </w:tc>
      <w:tc>
        <w:tcPr>
          <w:tcW w:w="3020" w:type="dxa"/>
        </w:tcPr>
        <w:p w14:paraId="53FFC2D9" w14:textId="77777777" w:rsidR="00C27875" w:rsidRDefault="00C27875" w:rsidP="003B0A6D">
          <w:pPr>
            <w:pStyle w:val="Header"/>
            <w:jc w:val="center"/>
          </w:pPr>
        </w:p>
      </w:tc>
      <w:tc>
        <w:tcPr>
          <w:tcW w:w="3020" w:type="dxa"/>
        </w:tcPr>
        <w:p w14:paraId="15E2D53A" w14:textId="77777777" w:rsidR="00C27875" w:rsidRDefault="00C27875" w:rsidP="003B0A6D">
          <w:pPr>
            <w:pStyle w:val="Header"/>
            <w:ind w:right="-115"/>
            <w:jc w:val="right"/>
          </w:pPr>
        </w:p>
      </w:tc>
    </w:tr>
  </w:tbl>
  <w:p w14:paraId="3294A0F4" w14:textId="77777777" w:rsidR="00C27875" w:rsidRDefault="00C27875" w:rsidP="003B0A6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2F144" w14:textId="77777777" w:rsidR="00C27875" w:rsidRDefault="00C278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900F7"/>
    <w:multiLevelType w:val="multilevel"/>
    <w:tmpl w:val="8AFA2368"/>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EFB7115"/>
    <w:multiLevelType w:val="multilevel"/>
    <w:tmpl w:val="3E1AD26C"/>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107E7479"/>
    <w:multiLevelType w:val="multilevel"/>
    <w:tmpl w:val="0409001F"/>
    <w:name w:val="EurolookHeading22"/>
    <w:numStyleLink w:val="Style1"/>
  </w:abstractNum>
  <w:abstractNum w:abstractNumId="3" w15:restartNumberingAfterBreak="0">
    <w:nsid w:val="120B7201"/>
    <w:multiLevelType w:val="multilevel"/>
    <w:tmpl w:val="46DA6D02"/>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8B407896"/>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F7E24990"/>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DDEC6B6E"/>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495421D"/>
    <w:multiLevelType w:val="multilevel"/>
    <w:tmpl w:val="04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2F0AC5"/>
    <w:multiLevelType w:val="multilevel"/>
    <w:tmpl w:val="F448F48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7D72EDAC"/>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A3A3473"/>
    <w:multiLevelType w:val="multilevel"/>
    <w:tmpl w:val="E564DE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C8DFDF8"/>
    <w:multiLevelType w:val="multilevel"/>
    <w:tmpl w:val="514C353E"/>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2D293CE3"/>
    <w:multiLevelType w:val="multilevel"/>
    <w:tmpl w:val="73D8A89C"/>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D293CF4"/>
    <w:multiLevelType w:val="multilevel"/>
    <w:tmpl w:val="969ED4A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6324F1E"/>
    <w:multiLevelType w:val="multilevel"/>
    <w:tmpl w:val="5FF46CCC"/>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7CB1E1C"/>
    <w:multiLevelType w:val="multilevel"/>
    <w:tmpl w:val="786086E0"/>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A7730C4"/>
    <w:multiLevelType w:val="multilevel"/>
    <w:tmpl w:val="7E26E182"/>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29E662A"/>
    <w:multiLevelType w:val="multilevel"/>
    <w:tmpl w:val="09EE48B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E1A63DF"/>
    <w:multiLevelType w:val="multilevel"/>
    <w:tmpl w:val="A4442D54"/>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982C"/>
    <w:multiLevelType w:val="multilevel"/>
    <w:tmpl w:val="7968E92C"/>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072619B"/>
    <w:multiLevelType w:val="multilevel"/>
    <w:tmpl w:val="A00EC5F6"/>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9B52"/>
    <w:multiLevelType w:val="multilevel"/>
    <w:tmpl w:val="7D385002"/>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58FF0A74"/>
    <w:multiLevelType w:val="hybridMultilevel"/>
    <w:tmpl w:val="7B96B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77472E"/>
    <w:multiLevelType w:val="multilevel"/>
    <w:tmpl w:val="F4226252"/>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6F404462"/>
    <w:multiLevelType w:val="hybridMultilevel"/>
    <w:tmpl w:val="62E8E910"/>
    <w:name w:val="EurolookHeading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F308E3"/>
    <w:multiLevelType w:val="hybridMultilevel"/>
    <w:tmpl w:val="38D6CB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2C07DC5"/>
    <w:multiLevelType w:val="hybridMultilevel"/>
    <w:tmpl w:val="A8F688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65145E"/>
    <w:multiLevelType w:val="multilevel"/>
    <w:tmpl w:val="48A0BA44"/>
    <w:name w:val="EurolookHeading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abstractNumId w:val="0"/>
  </w:num>
  <w:num w:numId="2">
    <w:abstractNumId w:val="14"/>
  </w:num>
  <w:num w:numId="3">
    <w:abstractNumId w:val="9"/>
  </w:num>
  <w:num w:numId="4">
    <w:abstractNumId w:val="15"/>
  </w:num>
  <w:num w:numId="5">
    <w:abstractNumId w:val="20"/>
  </w:num>
  <w:num w:numId="6">
    <w:abstractNumId w:val="23"/>
  </w:num>
  <w:num w:numId="7">
    <w:abstractNumId w:val="1"/>
  </w:num>
  <w:num w:numId="8">
    <w:abstractNumId w:val="8"/>
  </w:num>
  <w:num w:numId="9">
    <w:abstractNumId w:val="17"/>
  </w:num>
  <w:num w:numId="10">
    <w:abstractNumId w:val="3"/>
  </w:num>
  <w:num w:numId="11">
    <w:abstractNumId w:val="5"/>
  </w:num>
  <w:num w:numId="12">
    <w:abstractNumId w:val="6"/>
  </w:num>
  <w:num w:numId="13">
    <w:abstractNumId w:val="11"/>
  </w:num>
  <w:num w:numId="14">
    <w:abstractNumId w:val="16"/>
  </w:num>
  <w:num w:numId="15">
    <w:abstractNumId w:val="19"/>
  </w:num>
  <w:num w:numId="16">
    <w:abstractNumId w:val="27"/>
  </w:num>
  <w:num w:numId="17">
    <w:abstractNumId w:val="12"/>
  </w:num>
  <w:num w:numId="18">
    <w:abstractNumId w:val="13"/>
  </w:num>
  <w:num w:numId="19">
    <w:abstractNumId w:val="28"/>
  </w:num>
  <w:num w:numId="20">
    <w:abstractNumId w:val="18"/>
  </w:num>
  <w:num w:numId="21">
    <w:abstractNumId w:val="21"/>
  </w:num>
  <w:num w:numId="22">
    <w:abstractNumId w:val="4"/>
  </w:num>
  <w:num w:numId="23">
    <w:abstractNumId w:val="22"/>
  </w:num>
  <w:num w:numId="24">
    <w:abstractNumId w:val="25"/>
  </w:num>
  <w:num w:numId="25">
    <w:abstractNumId w:val="24"/>
  </w:num>
  <w:num w:numId="26">
    <w:abstractNumId w:val="10"/>
  </w:num>
  <w:num w:numId="27">
    <w:abstractNumId w:val="2"/>
  </w:num>
  <w:num w:numId="28">
    <w:abstractNumId w:val="7"/>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38432A86-86F3-4D84-802F-F35A85CA2CC6"/>
    <w:docVar w:name="LW_COVERPAGE_TYPE" w:val="1"/>
    <w:docVar w:name="LW_CROSSREFERENCE" w:val="{SWD(2024) 161 final}"/>
    <w:docVar w:name="LW_DocType" w:val="EUROLOOK"/>
    <w:docVar w:name="LW_EMISSION" w:val="2024 06 25"/>
    <w:docVar w:name="LW_EMISSION_ISODATE" w:val="2024-06-25"/>
    <w:docVar w:name="LW_EMISSION_LOCATION" w:val="BRX"/>
    <w:docVar w:name="LW_EMISSION_PREFIX" w:val="Briuselis, "/>
    <w:docVar w:name="LW_EMISSION_SUFFIX" w:val=" "/>
    <w:docVar w:name="LW_ID_DOCTYPE_NONLW" w:val="CP-006"/>
    <w:docVar w:name="LW_LANGUE" w:val="LT"/>
    <w:docVar w:name="LW_LEVEL_OF_SENSITIVITY" w:val="Standard treatment"/>
    <w:docVar w:name="LW_NOM.INST" w:val="EUROPOS KOMISIJA"/>
    <w:docVar w:name="LW_NOM.INST_JOINTDOC" w:val="&lt;EMPTY&gt;"/>
    <w:docVar w:name="LW_PART_NBR" w:val="1"/>
    <w:docVar w:name="LW_PART_NBR_TOTAL" w:val="1"/>
    <w:docVar w:name="LW_REF.INST.NEW" w:val="COM"/>
    <w:docVar w:name="LW_REF.INST.NEW_ADOPTED" w:val="final"/>
    <w:docVar w:name="LW_REF.INST.NEW_TEXT" w:val="(2024) 180"/>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d\u279?l bendro atid\u279?jini\u371? fondo 2023 m.&lt;/FMT&gt;"/>
    <w:docVar w:name="LW_TYPE.DOC.CP" w:val="KOMISIJOS ATASKAITA EUROPOS PARLAMENTUI IR TARYBAI"/>
    <w:docVar w:name="LwApiVersions" w:val="LW4CoDe 1.24.5.0; LW 9.0, Build 20240221"/>
  </w:docVars>
  <w:rsids>
    <w:rsidRoot w:val="00584AD0"/>
    <w:rsid w:val="000158EC"/>
    <w:rsid w:val="00040384"/>
    <w:rsid w:val="00054165"/>
    <w:rsid w:val="00055AE9"/>
    <w:rsid w:val="0006549E"/>
    <w:rsid w:val="0006750F"/>
    <w:rsid w:val="000A17E2"/>
    <w:rsid w:val="000A21A7"/>
    <w:rsid w:val="000B0D9D"/>
    <w:rsid w:val="000C1B29"/>
    <w:rsid w:val="000E68C8"/>
    <w:rsid w:val="00101137"/>
    <w:rsid w:val="00104A1A"/>
    <w:rsid w:val="001058A7"/>
    <w:rsid w:val="001119D8"/>
    <w:rsid w:val="00117DA5"/>
    <w:rsid w:val="001341B6"/>
    <w:rsid w:val="00156E84"/>
    <w:rsid w:val="00166E1A"/>
    <w:rsid w:val="001B24F3"/>
    <w:rsid w:val="001C20CE"/>
    <w:rsid w:val="001C3B47"/>
    <w:rsid w:val="00215708"/>
    <w:rsid w:val="00236D32"/>
    <w:rsid w:val="00256A3E"/>
    <w:rsid w:val="002575A5"/>
    <w:rsid w:val="002732AD"/>
    <w:rsid w:val="00286D29"/>
    <w:rsid w:val="00294351"/>
    <w:rsid w:val="002A22B3"/>
    <w:rsid w:val="002B1EE0"/>
    <w:rsid w:val="002B6044"/>
    <w:rsid w:val="002B7CB6"/>
    <w:rsid w:val="002C3567"/>
    <w:rsid w:val="002D14E8"/>
    <w:rsid w:val="002D4DB2"/>
    <w:rsid w:val="002E6268"/>
    <w:rsid w:val="0031314E"/>
    <w:rsid w:val="0033602E"/>
    <w:rsid w:val="00347132"/>
    <w:rsid w:val="003478BD"/>
    <w:rsid w:val="00347FD2"/>
    <w:rsid w:val="00357B10"/>
    <w:rsid w:val="0036519C"/>
    <w:rsid w:val="0036695A"/>
    <w:rsid w:val="00392EAF"/>
    <w:rsid w:val="003B0A6D"/>
    <w:rsid w:val="003C5DD9"/>
    <w:rsid w:val="003D679E"/>
    <w:rsid w:val="003D6807"/>
    <w:rsid w:val="003E21F6"/>
    <w:rsid w:val="003E4435"/>
    <w:rsid w:val="004015F4"/>
    <w:rsid w:val="0040326B"/>
    <w:rsid w:val="00422F05"/>
    <w:rsid w:val="00456026"/>
    <w:rsid w:val="00466E9D"/>
    <w:rsid w:val="004715AC"/>
    <w:rsid w:val="00482191"/>
    <w:rsid w:val="004A65EC"/>
    <w:rsid w:val="004C2080"/>
    <w:rsid w:val="004C730F"/>
    <w:rsid w:val="004D4F63"/>
    <w:rsid w:val="004E527E"/>
    <w:rsid w:val="004F5BC1"/>
    <w:rsid w:val="005019D9"/>
    <w:rsid w:val="00501D26"/>
    <w:rsid w:val="005037F7"/>
    <w:rsid w:val="00503C9C"/>
    <w:rsid w:val="005066C8"/>
    <w:rsid w:val="00511E2E"/>
    <w:rsid w:val="005215B7"/>
    <w:rsid w:val="00522840"/>
    <w:rsid w:val="00541621"/>
    <w:rsid w:val="00552245"/>
    <w:rsid w:val="00552623"/>
    <w:rsid w:val="00557955"/>
    <w:rsid w:val="00584AD0"/>
    <w:rsid w:val="00591D9D"/>
    <w:rsid w:val="005A3036"/>
    <w:rsid w:val="005B5A0A"/>
    <w:rsid w:val="005D0CF4"/>
    <w:rsid w:val="005E1761"/>
    <w:rsid w:val="005E1B69"/>
    <w:rsid w:val="006052FB"/>
    <w:rsid w:val="00613562"/>
    <w:rsid w:val="0063354E"/>
    <w:rsid w:val="00634964"/>
    <w:rsid w:val="006406CC"/>
    <w:rsid w:val="00651BE1"/>
    <w:rsid w:val="00655A36"/>
    <w:rsid w:val="00666974"/>
    <w:rsid w:val="00666EA4"/>
    <w:rsid w:val="00670C27"/>
    <w:rsid w:val="00671717"/>
    <w:rsid w:val="006900C3"/>
    <w:rsid w:val="006B013B"/>
    <w:rsid w:val="006E484D"/>
    <w:rsid w:val="00702433"/>
    <w:rsid w:val="00704183"/>
    <w:rsid w:val="00713837"/>
    <w:rsid w:val="00722E7F"/>
    <w:rsid w:val="00725EB0"/>
    <w:rsid w:val="0073385B"/>
    <w:rsid w:val="007403E2"/>
    <w:rsid w:val="00740B92"/>
    <w:rsid w:val="0074480A"/>
    <w:rsid w:val="00747255"/>
    <w:rsid w:val="007977D4"/>
    <w:rsid w:val="007A0158"/>
    <w:rsid w:val="007B0A1A"/>
    <w:rsid w:val="007B21CA"/>
    <w:rsid w:val="007D0B29"/>
    <w:rsid w:val="007D0CAD"/>
    <w:rsid w:val="007F2864"/>
    <w:rsid w:val="007F3790"/>
    <w:rsid w:val="007F58B1"/>
    <w:rsid w:val="00822A4E"/>
    <w:rsid w:val="00856CAA"/>
    <w:rsid w:val="00863817"/>
    <w:rsid w:val="0087057C"/>
    <w:rsid w:val="00881A9C"/>
    <w:rsid w:val="00884351"/>
    <w:rsid w:val="00891644"/>
    <w:rsid w:val="008B461C"/>
    <w:rsid w:val="008D1A1A"/>
    <w:rsid w:val="008D1AEF"/>
    <w:rsid w:val="008D5577"/>
    <w:rsid w:val="008D7D94"/>
    <w:rsid w:val="008F0921"/>
    <w:rsid w:val="008F6CF6"/>
    <w:rsid w:val="009048C1"/>
    <w:rsid w:val="0092159B"/>
    <w:rsid w:val="0096112C"/>
    <w:rsid w:val="0096666F"/>
    <w:rsid w:val="009713D8"/>
    <w:rsid w:val="009B47F6"/>
    <w:rsid w:val="009C01ED"/>
    <w:rsid w:val="009C3E9F"/>
    <w:rsid w:val="009C784E"/>
    <w:rsid w:val="009D5B05"/>
    <w:rsid w:val="009D786A"/>
    <w:rsid w:val="00A27C99"/>
    <w:rsid w:val="00A34164"/>
    <w:rsid w:val="00A343EF"/>
    <w:rsid w:val="00A41318"/>
    <w:rsid w:val="00A41BE7"/>
    <w:rsid w:val="00A45554"/>
    <w:rsid w:val="00A63234"/>
    <w:rsid w:val="00A72821"/>
    <w:rsid w:val="00A96427"/>
    <w:rsid w:val="00AA2FD3"/>
    <w:rsid w:val="00AB32A7"/>
    <w:rsid w:val="00AB3428"/>
    <w:rsid w:val="00AB4AB1"/>
    <w:rsid w:val="00AC6A98"/>
    <w:rsid w:val="00ACA435"/>
    <w:rsid w:val="00AD032D"/>
    <w:rsid w:val="00B01355"/>
    <w:rsid w:val="00B038E5"/>
    <w:rsid w:val="00B23A34"/>
    <w:rsid w:val="00B46A22"/>
    <w:rsid w:val="00B92620"/>
    <w:rsid w:val="00BA4A4E"/>
    <w:rsid w:val="00BA4F55"/>
    <w:rsid w:val="00BA5CF6"/>
    <w:rsid w:val="00BA6E46"/>
    <w:rsid w:val="00BB2E1A"/>
    <w:rsid w:val="00BE2A51"/>
    <w:rsid w:val="00C072D7"/>
    <w:rsid w:val="00C27875"/>
    <w:rsid w:val="00C300C0"/>
    <w:rsid w:val="00C42C5F"/>
    <w:rsid w:val="00C43385"/>
    <w:rsid w:val="00C4698B"/>
    <w:rsid w:val="00C54B0A"/>
    <w:rsid w:val="00C67ED9"/>
    <w:rsid w:val="00C95857"/>
    <w:rsid w:val="00C9637A"/>
    <w:rsid w:val="00CA1054"/>
    <w:rsid w:val="00CB464B"/>
    <w:rsid w:val="00CF6E06"/>
    <w:rsid w:val="00CF7378"/>
    <w:rsid w:val="00D15D22"/>
    <w:rsid w:val="00D171BA"/>
    <w:rsid w:val="00D22C98"/>
    <w:rsid w:val="00D2442F"/>
    <w:rsid w:val="00D26D34"/>
    <w:rsid w:val="00D550BE"/>
    <w:rsid w:val="00D67AF1"/>
    <w:rsid w:val="00D7156F"/>
    <w:rsid w:val="00D778A8"/>
    <w:rsid w:val="00DA38D1"/>
    <w:rsid w:val="00DA5974"/>
    <w:rsid w:val="00DB2019"/>
    <w:rsid w:val="00DC4B45"/>
    <w:rsid w:val="00DE400E"/>
    <w:rsid w:val="00DE5FBA"/>
    <w:rsid w:val="00E04940"/>
    <w:rsid w:val="00E06350"/>
    <w:rsid w:val="00E1119F"/>
    <w:rsid w:val="00E11DF8"/>
    <w:rsid w:val="00E25548"/>
    <w:rsid w:val="00E33ED1"/>
    <w:rsid w:val="00E40C5C"/>
    <w:rsid w:val="00E45048"/>
    <w:rsid w:val="00E71C11"/>
    <w:rsid w:val="00E71CD2"/>
    <w:rsid w:val="00EB26D9"/>
    <w:rsid w:val="00EC7095"/>
    <w:rsid w:val="00ED5772"/>
    <w:rsid w:val="00EE7033"/>
    <w:rsid w:val="00EF12DA"/>
    <w:rsid w:val="00F135BC"/>
    <w:rsid w:val="00F240E8"/>
    <w:rsid w:val="00F24D5F"/>
    <w:rsid w:val="00F25C70"/>
    <w:rsid w:val="00F7125F"/>
    <w:rsid w:val="00F723A9"/>
    <w:rsid w:val="00F82E4B"/>
    <w:rsid w:val="00F925A5"/>
    <w:rsid w:val="00FE1226"/>
    <w:rsid w:val="00FE375C"/>
    <w:rsid w:val="00FF622B"/>
    <w:rsid w:val="05C71C29"/>
    <w:rsid w:val="139DFA24"/>
    <w:rsid w:val="19FF3AFC"/>
    <w:rsid w:val="233A4B54"/>
    <w:rsid w:val="27BC62EA"/>
    <w:rsid w:val="2B7B9A85"/>
    <w:rsid w:val="3296F9E0"/>
    <w:rsid w:val="368BF223"/>
    <w:rsid w:val="48967B4F"/>
    <w:rsid w:val="4DF03656"/>
    <w:rsid w:val="513EBEAE"/>
    <w:rsid w:val="5943DA6F"/>
    <w:rsid w:val="5FA8F6A8"/>
    <w:rsid w:val="6A5B93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B385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1" w:defUIPriority="0" w:defSemiHidden="0" w:defUnhideWhenUsed="0" w:defQFormat="0" w:count="371">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lsdException w:name="toc 4" w:semiHidden="1"/>
    <w:lsdException w:name="toc 5" w:semiHidden="1" w:uiPriority="39"/>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semiHidden="1"/>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atentStyles>
  <w:style w:type="paragraph" w:default="1" w:styleId="Normal">
    <w:name w:val="Normal"/>
    <w:uiPriority w:val="1"/>
    <w:qFormat/>
    <w:rsid w:val="00A34164"/>
    <w:pPr>
      <w:spacing w:after="240"/>
      <w:jc w:val="both"/>
    </w:pPr>
    <w:rPr>
      <w:rFonts w:ascii="EC Square Sans Pro" w:hAnsi="EC Square Sans Pro"/>
    </w:rPr>
  </w:style>
  <w:style w:type="paragraph" w:styleId="Heading1">
    <w:name w:val="heading 1"/>
    <w:basedOn w:val="Normal"/>
    <w:next w:val="Text1"/>
    <w:uiPriority w:val="1"/>
    <w:qFormat/>
    <w:rsid w:val="00A63234"/>
    <w:pPr>
      <w:keepNext/>
      <w:spacing w:before="240"/>
      <w:outlineLvl w:val="0"/>
    </w:pPr>
    <w:rPr>
      <w:b/>
      <w:caps/>
      <w:color w:val="004494"/>
      <w:sz w:val="32"/>
      <w:szCs w:val="24"/>
    </w:rPr>
  </w:style>
  <w:style w:type="paragraph" w:styleId="Heading2">
    <w:name w:val="heading 2"/>
    <w:basedOn w:val="Normal"/>
    <w:next w:val="Text2"/>
    <w:uiPriority w:val="1"/>
    <w:qFormat/>
    <w:rsid w:val="00A34164"/>
    <w:pPr>
      <w:keepNext/>
      <w:ind w:left="227"/>
      <w:outlineLvl w:val="1"/>
    </w:pPr>
    <w:rPr>
      <w:b/>
      <w:noProof/>
      <w:color w:val="0070C0"/>
      <w:sz w:val="28"/>
      <w:szCs w:val="22"/>
    </w:rPr>
  </w:style>
  <w:style w:type="paragraph" w:styleId="Heading3">
    <w:name w:val="heading 3"/>
    <w:basedOn w:val="Normal"/>
    <w:next w:val="Text3"/>
    <w:uiPriority w:val="1"/>
    <w:qFormat/>
    <w:pPr>
      <w:keepNext/>
      <w:outlineLvl w:val="2"/>
    </w:pPr>
    <w:rPr>
      <w:i/>
    </w:rPr>
  </w:style>
  <w:style w:type="paragraph" w:styleId="Heading4">
    <w:name w:val="heading 4"/>
    <w:basedOn w:val="Normal"/>
    <w:next w:val="Text4"/>
    <w:uiPriority w:val="1"/>
    <w:qFormat/>
    <w:pPr>
      <w:keepNext/>
      <w:outlineLvl w:val="3"/>
    </w:pPr>
  </w:style>
  <w:style w:type="paragraph" w:styleId="Heading5">
    <w:name w:val="heading 5"/>
    <w:basedOn w:val="Normal"/>
    <w:next w:val="Normal"/>
    <w:semiHidden/>
    <w:pPr>
      <w:keepNext/>
      <w:outlineLvl w:val="4"/>
    </w:pPr>
  </w:style>
  <w:style w:type="paragraph" w:styleId="Heading6">
    <w:name w:val="heading 6"/>
    <w:basedOn w:val="Normal"/>
    <w:next w:val="Normal"/>
    <w:semiHidden/>
    <w:pPr>
      <w:keepNext/>
      <w:outlineLvl w:val="5"/>
    </w:pPr>
  </w:style>
  <w:style w:type="paragraph" w:styleId="Heading7">
    <w:name w:val="heading 7"/>
    <w:basedOn w:val="Normal"/>
    <w:next w:val="Normal"/>
    <w:semiHidden/>
    <w:pPr>
      <w:keepNext/>
      <w:outlineLvl w:val="6"/>
    </w:pPr>
  </w:style>
  <w:style w:type="paragraph" w:styleId="Heading8">
    <w:name w:val="heading 8"/>
    <w:basedOn w:val="Normal"/>
    <w:next w:val="Normal"/>
    <w:semiHidden/>
    <w:pPr>
      <w:keepNext/>
      <w:outlineLvl w:val="7"/>
    </w:pPr>
  </w:style>
  <w:style w:type="paragraph" w:styleId="Heading9">
    <w:name w:val="heading 9"/>
    <w:basedOn w:val="Normal"/>
    <w:next w:val="Normal"/>
    <w:semiHidden/>
    <w:pPr>
      <w:keepNext/>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1"/>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rsid w:val="00A63234"/>
    <w:pPr>
      <w:keepNext/>
      <w:spacing w:after="120"/>
      <w:ind w:left="0"/>
    </w:pPr>
    <w:rPr>
      <w:b/>
      <w:iCs/>
      <w:color w:val="004494"/>
      <w:szCs w:val="24"/>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line="264" w:lineRule="auto"/>
      <w:ind w:right="0"/>
      <w:jc w:val="both"/>
    </w:pPr>
  </w:style>
  <w:style w:type="paragraph" w:styleId="FootnoteText">
    <w:name w:val="footnote text"/>
    <w:basedOn w:val="Normal"/>
    <w:link w:val="FootnoteTextChar"/>
    <w:semiHidden/>
    <w:unhideWhenUsed/>
    <w:pPr>
      <w:spacing w:after="120"/>
      <w:ind w:left="357" w:hanging="357"/>
    </w:pPr>
    <w:rPr>
      <w:sz w:val="20"/>
    </w:rPr>
  </w:style>
  <w:style w:type="paragraph" w:customStyle="1" w:styleId="HistoryTable">
    <w:name w:val="HistoryTable"/>
    <w:basedOn w:val="Normal"/>
    <w:uiPriority w:val="2"/>
    <w:pPr>
      <w:spacing w:before="60" w:after="60"/>
      <w:jc w:val="left"/>
    </w:pPr>
    <w:rPr>
      <w:sz w:val="20"/>
    </w:rPr>
  </w:style>
  <w:style w:type="paragraph" w:customStyle="1" w:styleId="HistTableHeading">
    <w:name w:val="HistTableHeading"/>
    <w:basedOn w:val="Normal"/>
    <w:next w:val="HistoryTable"/>
    <w:uiPriority w:val="2"/>
    <w:pPr>
      <w:spacing w:before="240"/>
      <w:jc w:val="center"/>
    </w:pPr>
    <w:rPr>
      <w:rFonts w:ascii="Times New Roman Bold" w:hAnsi="Times New Roman Bold"/>
      <w:b/>
      <w:caps/>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uiPriority w:val="1"/>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5"/>
      </w:numPr>
    </w:pPr>
  </w:style>
  <w:style w:type="paragraph" w:customStyle="1" w:styleId="ListDashLevel2">
    <w:name w:val="List Dash (Level 2)"/>
    <w:basedOn w:val="Normal"/>
    <w:uiPriority w:val="1"/>
    <w:pPr>
      <w:numPr>
        <w:ilvl w:val="1"/>
        <w:numId w:val="5"/>
      </w:numPr>
    </w:pPr>
  </w:style>
  <w:style w:type="paragraph" w:customStyle="1" w:styleId="ListDashLevel3">
    <w:name w:val="List Dash (Level 3)"/>
    <w:basedOn w:val="Normal"/>
    <w:uiPriority w:val="1"/>
    <w:semiHidden/>
    <w:unhideWhenUsed/>
    <w:pPr>
      <w:numPr>
        <w:ilvl w:val="2"/>
        <w:numId w:val="5"/>
      </w:numPr>
    </w:pPr>
  </w:style>
  <w:style w:type="paragraph" w:customStyle="1" w:styleId="ListDashLevel4">
    <w:name w:val="List Dash (Level 4)"/>
    <w:basedOn w:val="Normal"/>
    <w:uiPriority w:val="1"/>
    <w:semiHidden/>
    <w:unhideWhenUsed/>
    <w:pPr>
      <w:numPr>
        <w:ilvl w:val="3"/>
        <w:numId w:val="5"/>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rsid w:val="00584AD0"/>
    <w:pPr>
      <w:ind w:left="5102" w:right="-680"/>
      <w:contextualSpacing/>
      <w:jc w:val="left"/>
    </w:pPr>
    <w:rPr>
      <w:sz w:val="28"/>
    </w:rPr>
  </w:style>
  <w:style w:type="paragraph" w:customStyle="1" w:styleId="NumPar1">
    <w:name w:val="NumPar 1"/>
    <w:basedOn w:val="Heading1"/>
    <w:uiPriority w:val="1"/>
    <w:qFormat/>
    <w:pPr>
      <w:keepNext w:val="0"/>
      <w:spacing w:before="0"/>
      <w:outlineLvl w:val="9"/>
    </w:pPr>
    <w:rPr>
      <w:b w:val="0"/>
      <w:smallCaps/>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Title">
    <w:name w:val="PartTitle"/>
    <w:basedOn w:val="Normal"/>
    <w:next w:val="ChapterTitle"/>
    <w:uiPriority w:val="1"/>
    <w:qFormat/>
    <w:pPr>
      <w:keepNext/>
      <w:pageBreakBefore/>
      <w:spacing w:after="480"/>
      <w:jc w:val="center"/>
      <w:outlineLvl w:val="0"/>
    </w:pPr>
    <w:rPr>
      <w:b/>
      <w:sz w:val="36"/>
    </w:r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1"/>
    <w:qFormat/>
    <w:pPr>
      <w:keepNext/>
      <w:spacing w:after="480"/>
      <w:jc w:val="center"/>
      <w:outlineLvl w:val="0"/>
    </w:pPr>
    <w:rPr>
      <w:b/>
      <w:smallCaps/>
      <w:sz w:val="28"/>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Title1">
    <w:name w:val="SubTitle 1"/>
    <w:basedOn w:val="Normal"/>
    <w:next w:val="SubTitle2"/>
    <w:uiPriority w:val="1"/>
    <w:qFormat/>
    <w:pPr>
      <w:jc w:val="center"/>
    </w:pPr>
    <w:rPr>
      <w:b/>
      <w:sz w:val="40"/>
    </w:rPr>
  </w:style>
  <w:style w:type="paragraph" w:customStyle="1" w:styleId="SubTitle2">
    <w:name w:val="SubTitle 2"/>
    <w:basedOn w:val="Normal"/>
    <w:uiPriority w:val="1"/>
    <w:qFormat/>
    <w:pPr>
      <w:jc w:val="center"/>
    </w:pPr>
    <w:rPr>
      <w:b/>
      <w:sz w:val="32"/>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unhideWhenUsed/>
    <w:rsid w:val="00A45554"/>
    <w:pPr>
      <w:keepNext/>
      <w:spacing w:after="120"/>
      <w:ind w:left="0"/>
    </w:pPr>
    <w:rPr>
      <w:b/>
      <w:iCs/>
      <w:color w:val="004494"/>
      <w:szCs w:val="24"/>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202"/>
    </w:pPr>
  </w:style>
  <w:style w:type="paragraph" w:customStyle="1" w:styleId="Text3">
    <w:name w:val="Text 3"/>
    <w:basedOn w:val="Normal"/>
    <w:uiPriority w:val="1"/>
    <w:qFormat/>
    <w:pPr>
      <w:ind w:left="1202"/>
    </w:pPr>
  </w:style>
  <w:style w:type="paragraph" w:customStyle="1" w:styleId="Text4">
    <w:name w:val="Text 4"/>
    <w:basedOn w:val="Normal"/>
    <w:uiPriority w:val="1"/>
    <w:qFormat/>
    <w:pPr>
      <w:ind w:left="1202"/>
    </w:pPr>
  </w:style>
  <w:style w:type="paragraph" w:styleId="Title">
    <w:name w:val="Title"/>
    <w:basedOn w:val="Normal"/>
    <w:next w:val="SubTitle1"/>
    <w:uiPriority w:val="1"/>
    <w:qFormat/>
    <w:pPr>
      <w:spacing w:after="480"/>
      <w:jc w:val="center"/>
    </w:pPr>
    <w:rPr>
      <w:b/>
      <w:kern w:val="28"/>
      <w:sz w:val="48"/>
    </w:rPr>
  </w:style>
  <w:style w:type="paragraph" w:styleId="TOC1">
    <w:name w:val="toc 1"/>
    <w:basedOn w:val="Normal"/>
    <w:next w:val="Normal"/>
    <w:uiPriority w:val="39"/>
    <w:pPr>
      <w:tabs>
        <w:tab w:val="right" w:leader="dot" w:pos="8640"/>
      </w:tabs>
      <w:spacing w:before="120" w:after="120"/>
      <w:ind w:left="482" w:right="720" w:hanging="482"/>
    </w:pPr>
  </w:style>
  <w:style w:type="paragraph" w:styleId="TOC2">
    <w:name w:val="toc 2"/>
    <w:basedOn w:val="Normal"/>
    <w:next w:val="Normal"/>
    <w:uiPriority w:val="39"/>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uiPriority w:val="39"/>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202" w:type="dxa"/>
    </w:tblPr>
    <w:tblStylePr w:type="firstRow">
      <w:rPr>
        <w:b/>
      </w:rPr>
      <w:tblPr/>
      <w:trPr>
        <w:cantSplit/>
        <w:tblHeader/>
      </w:trPr>
    </w:tblStylePr>
  </w:style>
  <w:style w:type="table" w:customStyle="1" w:styleId="EurolookTable3">
    <w:name w:val="Eurolook Table 3"/>
    <w:basedOn w:val="EurolookTable"/>
    <w:semiHidden/>
    <w:unhideWhenUsed/>
    <w:tblPr>
      <w:tblInd w:w="1202" w:type="dxa"/>
    </w:tblPr>
    <w:tblStylePr w:type="firstRow">
      <w:rPr>
        <w:b/>
      </w:rPr>
      <w:tblPr/>
      <w:trPr>
        <w:cantSplit/>
        <w:tblHeader/>
      </w:trPr>
    </w:tblStylePr>
  </w:style>
  <w:style w:type="table" w:customStyle="1" w:styleId="EurolookTable4">
    <w:name w:val="Eurolook Table 4"/>
    <w:basedOn w:val="EurolookTable"/>
    <w:semiHidden/>
    <w:unhideWhenUsed/>
    <w:tblPr>
      <w:tblInd w:w="1202"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semiHidden/>
    <w:tblPr>
      <w:tblCellMar>
        <w:left w:w="0" w:type="dxa"/>
        <w:bottom w:w="340" w:type="dxa"/>
        <w:right w:w="0" w:type="dxa"/>
      </w:tblCellMar>
    </w:tblPr>
  </w:style>
  <w:style w:type="character" w:customStyle="1" w:styleId="FootnoteTextChar">
    <w:name w:val="Footnote Text Char"/>
    <w:basedOn w:val="DefaultParagraphFont"/>
    <w:link w:val="FootnoteText"/>
    <w:uiPriority w:val="99"/>
    <w:semiHidden/>
    <w:rsid w:val="00584AD0"/>
    <w:rPr>
      <w:sz w:val="20"/>
    </w:rPr>
  </w:style>
  <w:style w:type="character" w:styleId="FootnoteReference">
    <w:name w:val="footnote reference"/>
    <w:basedOn w:val="DefaultParagraphFont"/>
    <w:semiHidden/>
    <w:locked/>
    <w:rsid w:val="00584AD0"/>
    <w:rPr>
      <w:vertAlign w:val="superscript"/>
    </w:rPr>
  </w:style>
  <w:style w:type="paragraph" w:styleId="CommentText">
    <w:name w:val="annotation text"/>
    <w:basedOn w:val="Normal"/>
    <w:link w:val="CommentTextChar"/>
    <w:unhideWhenUsed/>
    <w:locked/>
    <w:rsid w:val="00584AD0"/>
    <w:pPr>
      <w:spacing w:after="120"/>
    </w:pPr>
    <w:rPr>
      <w:sz w:val="20"/>
      <w:lang w:eastAsia="en-GB"/>
      <w14:ligatures w14:val="standardContextual"/>
    </w:rPr>
  </w:style>
  <w:style w:type="character" w:customStyle="1" w:styleId="CommentTextChar">
    <w:name w:val="Comment Text Char"/>
    <w:basedOn w:val="DefaultParagraphFont"/>
    <w:link w:val="CommentText"/>
    <w:rsid w:val="00584AD0"/>
    <w:rPr>
      <w:sz w:val="20"/>
      <w:lang w:eastAsia="en-GB"/>
      <w14:ligatures w14:val="standardContextual"/>
    </w:rPr>
  </w:style>
  <w:style w:type="character" w:styleId="CommentReference">
    <w:name w:val="annotation reference"/>
    <w:basedOn w:val="DefaultParagraphFont"/>
    <w:semiHidden/>
    <w:unhideWhenUsed/>
    <w:locked/>
    <w:rsid w:val="00584AD0"/>
    <w:rPr>
      <w:sz w:val="16"/>
      <w:szCs w:val="16"/>
    </w:rPr>
  </w:style>
  <w:style w:type="character" w:customStyle="1" w:styleId="Mention">
    <w:name w:val="Mention"/>
    <w:basedOn w:val="DefaultParagraphFont"/>
    <w:uiPriority w:val="99"/>
    <w:unhideWhenUsed/>
    <w:locked/>
    <w:rsid w:val="00584AD0"/>
    <w:rPr>
      <w:color w:val="2B579A"/>
      <w:shd w:val="clear" w:color="auto" w:fill="E6E6E6"/>
    </w:rPr>
  </w:style>
  <w:style w:type="character" w:styleId="Hyperlink">
    <w:name w:val="Hyperlink"/>
    <w:basedOn w:val="DefaultParagraphFont"/>
    <w:uiPriority w:val="99"/>
    <w:unhideWhenUsed/>
    <w:locked/>
    <w:rsid w:val="00584AD0"/>
    <w:rPr>
      <w:color w:val="0563C1" w:themeColor="hyperlink"/>
      <w:u w:val="single"/>
    </w:rPr>
  </w:style>
  <w:style w:type="paragraph" w:styleId="ListParagraph">
    <w:name w:val="List Paragraph"/>
    <w:basedOn w:val="Normal"/>
    <w:uiPriority w:val="34"/>
    <w:qFormat/>
    <w:locked/>
    <w:rsid w:val="000B0D9D"/>
    <w:pPr>
      <w:spacing w:after="120" w:line="264" w:lineRule="auto"/>
      <w:ind w:left="720"/>
      <w:contextualSpacing/>
    </w:pPr>
    <w:rPr>
      <w:sz w:val="22"/>
      <w:lang w:eastAsia="en-GB"/>
      <w14:ligatures w14:val="standardContextual"/>
    </w:rPr>
  </w:style>
  <w:style w:type="character" w:customStyle="1" w:styleId="normaltextrun">
    <w:name w:val="normaltextrun"/>
    <w:basedOn w:val="DefaultParagraphFont"/>
    <w:rsid w:val="000B0D9D"/>
  </w:style>
  <w:style w:type="paragraph" w:customStyle="1" w:styleId="paragraph">
    <w:name w:val="paragraph"/>
    <w:basedOn w:val="Normal"/>
    <w:rsid w:val="000B0D9D"/>
    <w:pPr>
      <w:spacing w:before="100" w:beforeAutospacing="1" w:after="100" w:afterAutospacing="1"/>
      <w:jc w:val="left"/>
    </w:pPr>
    <w:rPr>
      <w:rFonts w:ascii="Calibri" w:eastAsiaTheme="minorHAnsi" w:hAnsi="Calibri" w:cs="Calibri"/>
      <w:sz w:val="22"/>
      <w:szCs w:val="22"/>
      <w14:ligatures w14:val="standardContextual"/>
    </w:rPr>
  </w:style>
  <w:style w:type="character" w:customStyle="1" w:styleId="superscript">
    <w:name w:val="superscript"/>
    <w:basedOn w:val="DefaultParagraphFont"/>
    <w:rsid w:val="000B0D9D"/>
  </w:style>
  <w:style w:type="character" w:customStyle="1" w:styleId="eop">
    <w:name w:val="eop"/>
    <w:basedOn w:val="DefaultParagraphFont"/>
    <w:rsid w:val="000B0D9D"/>
  </w:style>
  <w:style w:type="numbering" w:customStyle="1" w:styleId="Style1">
    <w:name w:val="Style1"/>
    <w:uiPriority w:val="99"/>
    <w:rsid w:val="00713837"/>
    <w:pPr>
      <w:numPr>
        <w:numId w:val="28"/>
      </w:numPr>
    </w:pPr>
  </w:style>
  <w:style w:type="character" w:customStyle="1" w:styleId="Marker">
    <w:name w:val="Marker"/>
    <w:basedOn w:val="DefaultParagraphFont"/>
    <w:rsid w:val="00655A36"/>
    <w:rPr>
      <w:color w:val="0000FF"/>
      <w:shd w:val="clear" w:color="auto" w:fill="auto"/>
    </w:rPr>
  </w:style>
  <w:style w:type="paragraph" w:customStyle="1" w:styleId="Pagedecouverture">
    <w:name w:val="Page de couverture"/>
    <w:basedOn w:val="Normal"/>
    <w:next w:val="Normal"/>
    <w:link w:val="PagedecouvertureChar"/>
    <w:rsid w:val="00655A36"/>
    <w:pPr>
      <w:spacing w:after="0"/>
    </w:pPr>
    <w:rPr>
      <w:rFonts w:eastAsiaTheme="minorHAnsi"/>
      <w:szCs w:val="22"/>
    </w:rPr>
  </w:style>
  <w:style w:type="paragraph" w:customStyle="1" w:styleId="FooterCoverPage">
    <w:name w:val="Footer Cover Page"/>
    <w:basedOn w:val="Normal"/>
    <w:link w:val="FooterCoverPageChar"/>
    <w:rsid w:val="00655A36"/>
    <w:pPr>
      <w:tabs>
        <w:tab w:val="center" w:pos="4535"/>
        <w:tab w:val="right" w:pos="9071"/>
        <w:tab w:val="right" w:pos="9921"/>
      </w:tabs>
      <w:spacing w:before="360" w:after="0"/>
      <w:ind w:left="-850" w:right="-850"/>
      <w:jc w:val="left"/>
    </w:pPr>
    <w:rPr>
      <w:rFonts w:ascii="Times New Roman" w:hAnsi="Times New Roman"/>
    </w:rPr>
  </w:style>
  <w:style w:type="character" w:customStyle="1" w:styleId="PagedecouvertureChar">
    <w:name w:val="Page de couverture Char"/>
    <w:basedOn w:val="DefaultParagraphFont"/>
    <w:link w:val="Pagedecouverture"/>
    <w:rsid w:val="00655A36"/>
    <w:rPr>
      <w:rFonts w:eastAsiaTheme="minorHAnsi"/>
      <w:szCs w:val="22"/>
    </w:rPr>
  </w:style>
  <w:style w:type="character" w:customStyle="1" w:styleId="FooterCoverPageChar">
    <w:name w:val="Footer Cover Page Char"/>
    <w:basedOn w:val="PagedecouvertureChar"/>
    <w:link w:val="FooterCoverPage"/>
    <w:rsid w:val="00655A36"/>
    <w:rPr>
      <w:rFonts w:eastAsiaTheme="minorHAnsi"/>
      <w:szCs w:val="22"/>
    </w:rPr>
  </w:style>
  <w:style w:type="paragraph" w:customStyle="1" w:styleId="FooterSensitivity">
    <w:name w:val="Footer Sensitivity"/>
    <w:basedOn w:val="Normal"/>
    <w:link w:val="FooterSensitivityChar"/>
    <w:rsid w:val="00655A36"/>
    <w:pPr>
      <w:pBdr>
        <w:top w:val="single" w:sz="4" w:space="1" w:color="auto"/>
        <w:left w:val="single" w:sz="4" w:space="4" w:color="auto"/>
        <w:bottom w:val="single" w:sz="4" w:space="1" w:color="auto"/>
        <w:right w:val="single" w:sz="4" w:space="4" w:color="auto"/>
      </w:pBdr>
      <w:spacing w:before="360" w:after="0"/>
      <w:ind w:left="113" w:right="113"/>
      <w:jc w:val="center"/>
    </w:pPr>
    <w:rPr>
      <w:rFonts w:ascii="Times New Roman" w:hAnsi="Times New Roman"/>
      <w:b/>
      <w:sz w:val="32"/>
    </w:rPr>
  </w:style>
  <w:style w:type="character" w:customStyle="1" w:styleId="FooterSensitivityChar">
    <w:name w:val="Footer Sensitivity Char"/>
    <w:basedOn w:val="PagedecouvertureChar"/>
    <w:link w:val="FooterSensitivity"/>
    <w:rsid w:val="00655A36"/>
    <w:rPr>
      <w:rFonts w:eastAsiaTheme="minorHAnsi"/>
      <w:b/>
      <w:sz w:val="32"/>
      <w:szCs w:val="22"/>
    </w:rPr>
  </w:style>
  <w:style w:type="paragraph" w:customStyle="1" w:styleId="HeaderCoverPage">
    <w:name w:val="Header Cover Page"/>
    <w:basedOn w:val="Normal"/>
    <w:link w:val="HeaderCoverPageChar"/>
    <w:rsid w:val="00655A36"/>
    <w:pPr>
      <w:tabs>
        <w:tab w:val="center" w:pos="4535"/>
        <w:tab w:val="right" w:pos="9071"/>
      </w:tabs>
      <w:spacing w:after="120"/>
    </w:pPr>
    <w:rPr>
      <w:rFonts w:ascii="Times New Roman" w:hAnsi="Times New Roman"/>
    </w:rPr>
  </w:style>
  <w:style w:type="character" w:customStyle="1" w:styleId="HeaderCoverPageChar">
    <w:name w:val="Header Cover Page Char"/>
    <w:basedOn w:val="PagedecouvertureChar"/>
    <w:link w:val="HeaderCoverPage"/>
    <w:rsid w:val="00655A36"/>
    <w:rPr>
      <w:rFonts w:eastAsiaTheme="minorHAnsi"/>
      <w:szCs w:val="22"/>
    </w:rPr>
  </w:style>
  <w:style w:type="paragraph" w:customStyle="1" w:styleId="HeaderSensitivity">
    <w:name w:val="Header Sensitivity"/>
    <w:basedOn w:val="Normal"/>
    <w:link w:val="HeaderSensitivityChar"/>
    <w:rsid w:val="00655A36"/>
    <w:pPr>
      <w:pBdr>
        <w:top w:val="single" w:sz="4" w:space="1" w:color="auto"/>
        <w:left w:val="single" w:sz="4" w:space="4" w:color="auto"/>
        <w:bottom w:val="single" w:sz="4" w:space="1" w:color="auto"/>
        <w:right w:val="single" w:sz="4" w:space="4" w:color="auto"/>
      </w:pBdr>
      <w:spacing w:after="120"/>
      <w:ind w:left="113" w:right="113"/>
      <w:jc w:val="center"/>
    </w:pPr>
    <w:rPr>
      <w:rFonts w:ascii="Times New Roman" w:hAnsi="Times New Roman"/>
      <w:b/>
      <w:sz w:val="32"/>
    </w:rPr>
  </w:style>
  <w:style w:type="character" w:customStyle="1" w:styleId="HeaderSensitivityChar">
    <w:name w:val="Header Sensitivity Char"/>
    <w:basedOn w:val="PagedecouvertureChar"/>
    <w:link w:val="HeaderSensitivity"/>
    <w:rsid w:val="00655A36"/>
    <w:rPr>
      <w:rFonts w:eastAsiaTheme="minorHAnsi"/>
      <w:b/>
      <w:sz w:val="32"/>
      <w:szCs w:val="22"/>
    </w:rPr>
  </w:style>
  <w:style w:type="paragraph" w:customStyle="1" w:styleId="HeaderSensitivityRight">
    <w:name w:val="Header Sensitivity Right"/>
    <w:basedOn w:val="Normal"/>
    <w:link w:val="HeaderSensitivityRightChar"/>
    <w:rsid w:val="003E21F6"/>
    <w:pPr>
      <w:spacing w:after="120"/>
      <w:jc w:val="right"/>
    </w:pPr>
    <w:rPr>
      <w:rFonts w:ascii="Times New Roman" w:hAnsi="Times New Roman"/>
      <w:sz w:val="28"/>
    </w:rPr>
  </w:style>
  <w:style w:type="character" w:customStyle="1" w:styleId="HeaderSensitivityRightChar">
    <w:name w:val="Header Sensitivity Right Char"/>
    <w:basedOn w:val="PagedecouvertureChar"/>
    <w:link w:val="HeaderSensitivityRight"/>
    <w:rsid w:val="00655A36"/>
    <w:rPr>
      <w:rFonts w:eastAsiaTheme="minorHAnsi"/>
      <w:sz w:val="28"/>
      <w:szCs w:val="22"/>
    </w:rPr>
  </w:style>
  <w:style w:type="paragraph" w:styleId="Revision">
    <w:name w:val="Revision"/>
    <w:hidden/>
    <w:semiHidden/>
    <w:locked/>
    <w:rsid w:val="002B7CB6"/>
  </w:style>
  <w:style w:type="paragraph" w:styleId="CommentSubject">
    <w:name w:val="annotation subject"/>
    <w:basedOn w:val="CommentText"/>
    <w:next w:val="CommentText"/>
    <w:link w:val="CommentSubjectChar"/>
    <w:semiHidden/>
    <w:locked/>
    <w:rsid w:val="00863817"/>
    <w:pPr>
      <w:spacing w:after="240"/>
    </w:pPr>
    <w:rPr>
      <w:b/>
      <w:bCs/>
      <w:lang w:eastAsia="en-US"/>
      <w14:ligatures w14:val="none"/>
    </w:rPr>
  </w:style>
  <w:style w:type="character" w:customStyle="1" w:styleId="CommentSubjectChar">
    <w:name w:val="Comment Subject Char"/>
    <w:basedOn w:val="CommentTextChar"/>
    <w:link w:val="CommentSubject"/>
    <w:semiHidden/>
    <w:rsid w:val="00863817"/>
    <w:rPr>
      <w:b/>
      <w:bCs/>
      <w:sz w:val="20"/>
      <w:lang w:eastAsia="en-GB"/>
      <w14:ligatures w14:val="standardContextual"/>
    </w:rPr>
  </w:style>
  <w:style w:type="character" w:styleId="FollowedHyperlink">
    <w:name w:val="FollowedHyperlink"/>
    <w:basedOn w:val="DefaultParagraphFont"/>
    <w:semiHidden/>
    <w:locked/>
    <w:rsid w:val="00104A1A"/>
    <w:rPr>
      <w:color w:val="954F72" w:themeColor="followedHyperlink"/>
      <w:u w:val="single"/>
    </w:rPr>
  </w:style>
  <w:style w:type="paragraph" w:customStyle="1" w:styleId="Disclaimer">
    <w:name w:val="Disclaimer"/>
    <w:basedOn w:val="Normal"/>
    <w:rsid w:val="003E21F6"/>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rPr>
  </w:style>
  <w:style w:type="paragraph" w:customStyle="1" w:styleId="SecurityMarking">
    <w:name w:val="SecurityMarking"/>
    <w:basedOn w:val="Normal"/>
    <w:rsid w:val="003E21F6"/>
    <w:pPr>
      <w:spacing w:after="0" w:line="276" w:lineRule="auto"/>
      <w:ind w:left="5103"/>
      <w:jc w:val="left"/>
    </w:pPr>
    <w:rPr>
      <w:rFonts w:eastAsiaTheme="minorHAnsi"/>
      <w:sz w:val="28"/>
      <w:szCs w:val="22"/>
    </w:rPr>
  </w:style>
  <w:style w:type="paragraph" w:customStyle="1" w:styleId="DateMarking">
    <w:name w:val="DateMarking"/>
    <w:basedOn w:val="Normal"/>
    <w:rsid w:val="003E21F6"/>
    <w:pPr>
      <w:spacing w:after="0" w:line="276" w:lineRule="auto"/>
      <w:ind w:left="5103"/>
      <w:jc w:val="left"/>
    </w:pPr>
    <w:rPr>
      <w:rFonts w:eastAsiaTheme="minorHAnsi"/>
      <w:i/>
      <w:sz w:val="28"/>
      <w:szCs w:val="22"/>
    </w:rPr>
  </w:style>
  <w:style w:type="paragraph" w:customStyle="1" w:styleId="ReleasableTo">
    <w:name w:val="ReleasableTo"/>
    <w:basedOn w:val="Normal"/>
    <w:rsid w:val="003E21F6"/>
    <w:pPr>
      <w:spacing w:after="0" w:line="276" w:lineRule="auto"/>
      <w:ind w:left="5103"/>
      <w:jc w:val="left"/>
    </w:pPr>
    <w:rPr>
      <w:rFonts w:eastAsiaTheme="minorHAnsi"/>
      <w: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emf"/><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4.emf"/><Relationship Id="rId28" Type="http://schemas.openxmlformats.org/officeDocument/2006/relationships/footer" Target="footer5.xml"/><Relationship Id="rId10" Type="http://schemas.openxmlformats.org/officeDocument/2006/relationships/settings" Target="settings.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image" Target="media/image3.emf"/><Relationship Id="rId27" Type="http://schemas.openxmlformats.org/officeDocument/2006/relationships/footer" Target="footer4.xml"/><Relationship Id="rId30" Type="http://schemas.openxmlformats.org/officeDocument/2006/relationships/footer" Target="footer6.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LT/TXT/?uri=CELEX%3A52023DC0288&amp;qid=1685623336145" TargetMode="External"/><Relationship Id="rId2" Type="http://schemas.openxmlformats.org/officeDocument/2006/relationships/hyperlink" Target="https://eur-lex.europa.eu/legal-content/LT/TXT/?uri=CELEX%3A52022DC0213&amp;qid=1663150007084" TargetMode="External"/><Relationship Id="rId1" Type="http://schemas.openxmlformats.org/officeDocument/2006/relationships/hyperlink" Target="https://eur-lex.europa.eu/legal-content/LT/TXT/?uri=CELEX%3A52022DC0213&amp;qid=1663150007084" TargetMode="External"/><Relationship Id="rId5" Type="http://schemas.openxmlformats.org/officeDocument/2006/relationships/hyperlink" Target="https://eur-lex.europa.eu/legal-content/LT/TXT/?uri=CELEX%3A52023DC0288&amp;qid=1685623336145" TargetMode="External"/><Relationship Id="rId4" Type="http://schemas.openxmlformats.org/officeDocument/2006/relationships/hyperlink" Target="https://eur-lex.europa.eu/legal-content/LT/TXT/?uri=CELEX%3A52022DC0213&amp;qid=166315000708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B4DC98972D4373BC68DF0783B4DF7E"/>
        <w:category>
          <w:name w:val="General"/>
          <w:gallery w:val="placeholder"/>
        </w:category>
        <w:types>
          <w:type w:val="bbPlcHdr"/>
        </w:types>
        <w:behaviors>
          <w:behavior w:val="content"/>
        </w:behaviors>
        <w:guid w:val="{D3D81612-C2C5-4130-A54A-8472DE7EFE73}"/>
      </w:docPartPr>
      <w:docPartBody>
        <w:p w:rsidR="00DC6559" w:rsidRDefault="00DC6559"/>
      </w:docPartBody>
    </w:docPart>
    <w:docPart>
      <w:docPartPr>
        <w:name w:val="540F99BA017C456D80112867DEC0D507"/>
        <w:category>
          <w:name w:val="General"/>
          <w:gallery w:val="placeholder"/>
        </w:category>
        <w:types>
          <w:type w:val="bbPlcHdr"/>
        </w:types>
        <w:behaviors>
          <w:behavior w:val="content"/>
        </w:behaviors>
        <w:guid w:val="{35AF62EB-6668-47B6-BDE3-7B38E90D8EA4}"/>
      </w:docPartPr>
      <w:docPartBody>
        <w:p w:rsidR="00DC6559" w:rsidRDefault="00DC6559"/>
      </w:docPartBody>
    </w:docPart>
    <w:docPart>
      <w:docPartPr>
        <w:name w:val="F7F8FA6F70CC440ABEA82F241CACE888"/>
        <w:category>
          <w:name w:val="General"/>
          <w:gallery w:val="placeholder"/>
        </w:category>
        <w:types>
          <w:type w:val="bbPlcHdr"/>
        </w:types>
        <w:behaviors>
          <w:behavior w:val="content"/>
        </w:behaviors>
        <w:guid w:val="{3E58BC90-B7D4-49E1-8A06-E105D9E5F584}"/>
      </w:docPartPr>
      <w:docPartBody>
        <w:p w:rsidR="005A281C" w:rsidRDefault="005A281C"/>
      </w:docPartBody>
    </w:docPart>
    <w:docPart>
      <w:docPartPr>
        <w:name w:val="E4E9D013899748A88C86AA8C5968181E"/>
        <w:category>
          <w:name w:val="General"/>
          <w:gallery w:val="placeholder"/>
        </w:category>
        <w:types>
          <w:type w:val="bbPlcHdr"/>
        </w:types>
        <w:behaviors>
          <w:behavior w:val="content"/>
        </w:behaviors>
        <w:guid w:val="{E21B8D9D-D1E7-4ACB-B255-A707571E8523}"/>
      </w:docPartPr>
      <w:docPartBody>
        <w:p w:rsidR="002F6501" w:rsidRDefault="002F65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 Square Sans Pro">
    <w:altName w:val="Bahnschrift Light"/>
    <w:charset w:val="00"/>
    <w:family w:val="swiss"/>
    <w:pitch w:val="variable"/>
    <w:sig w:usb0="00000001" w:usb1="00000001" w:usb2="00000000" w:usb3="00000000" w:csb0="0000019F" w:csb1="00000000"/>
  </w:font>
  <w:font w:name="Times New Roman Bold">
    <w:panose1 w:val="020208030705050203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559"/>
    <w:rsid w:val="00003E79"/>
    <w:rsid w:val="000149E2"/>
    <w:rsid w:val="000575D5"/>
    <w:rsid w:val="001226F2"/>
    <w:rsid w:val="002F6501"/>
    <w:rsid w:val="00422F05"/>
    <w:rsid w:val="00474001"/>
    <w:rsid w:val="004A6E6F"/>
    <w:rsid w:val="00513284"/>
    <w:rsid w:val="00556DA3"/>
    <w:rsid w:val="005A281C"/>
    <w:rsid w:val="00702433"/>
    <w:rsid w:val="008B43EC"/>
    <w:rsid w:val="00A41BE7"/>
    <w:rsid w:val="00B279CB"/>
    <w:rsid w:val="00B94976"/>
    <w:rsid w:val="00DC6559"/>
    <w:rsid w:val="00DE5FBA"/>
    <w:rsid w:val="00E945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F6501"/>
    <w:rPr>
      <w:color w:val="28806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CPF report">
      <a:dk1>
        <a:sysClr val="windowText" lastClr="000000"/>
      </a:dk1>
      <a:lt1>
        <a:sysClr val="window" lastClr="FFFFFF"/>
      </a:lt1>
      <a:dk2>
        <a:srgbClr val="004494"/>
      </a:dk2>
      <a:lt2>
        <a:srgbClr val="E7E6E6"/>
      </a:lt2>
      <a:accent1>
        <a:srgbClr val="0070C0"/>
      </a:accent1>
      <a:accent2>
        <a:srgbClr val="FF7D00"/>
      </a:accent2>
      <a:accent3>
        <a:srgbClr val="43AA8B"/>
      </a:accent3>
      <a:accent4>
        <a:srgbClr val="FFC000"/>
      </a:accent4>
      <a:accent5>
        <a:srgbClr val="00B4D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C9791FDC87E548B72970AEE6219895" ma:contentTypeVersion="4" ma:contentTypeDescription="Create a new document." ma:contentTypeScope="" ma:versionID="da4ad2f868127038b80270c69acd2bd3">
  <xsd:schema xmlns:xsd="http://www.w3.org/2001/XMLSchema" xmlns:xs="http://www.w3.org/2001/XMLSchema" xmlns:p="http://schemas.microsoft.com/office/2006/metadata/properties" xmlns:ns2="b82b689b-0ca1-4823-abc2-180da0eee39c" targetNamespace="http://schemas.microsoft.com/office/2006/metadata/properties" ma:root="true" ma:fieldsID="2bbc47d569f34b6b174254872d7c84ee" ns2:_="">
    <xsd:import namespace="b82b689b-0ca1-4823-abc2-180da0eee39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b689b-0ca1-4823-abc2-180da0eee3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10.0.45789.0</Version>
    <Date>2024-04-11T10:29:18</Date>
    <Language>EN</Language>
    <Note/>
  </Created>
  <Edited>
    <Version/>
    <Date/>
  </Edited>
  <DocumentModel>
    <Id>6cbda13a-4db2-46c6-876a-ef72275827ef</Id>
    <Name>Report</Name>
  </DocumentModel>
  <CustomTemplate>
    <Id/>
    <Name/>
  </CustomTemplate>
  <DocumentDate>2024-04-11T10:29:18</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SpecialHandling MetadataSerializationType="SimpleValue"/>
    <EC_SecurityDistributionWorkingGroup MetadataSerializationType="SimpleValue"/>
    <EC_SecurityDistributionDG MetadataSerializationType="SimpleValue"/>
    <EC_SecurityDateMarkingEvent MetadataSerializationType="SimpleValue"/>
    <EC_SecurityDateMarkingDate MetadataSerializationType="SimpleValue"/>
    <EC_SecurityMarking MetadataSerializationType="SimpleValue"/>
  </DocumentMetadata>
</Eurolook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LabelFormattedTableSeqEC>Table {field: SEQ Table \* ARABIC }: </LabelFormattedTableSeqEC>
  <MarkingUntilText>UNTIL</MarkingUntilText>
  <OrgaRoot>EUROPEAN COMMISSION</OrgaRoot>
  <SecurityPharma>Pharma Investigations</SecurityPharma>
  <ClimaSensitive>CLIMA</ClimaSensitive>
  <TechHistoryCreatedBy>Document created by</TechHistoryCreatedBy>
  <TechHistoryDate>Date</TechHistoryDate>
  <TechHistory>Document History</TechHistory>
  <TechHistoryComment>Comment</TechHistoryComment>
  <TechHistoryVersion>Version</TechHistoryVersion>
  <SecurityEmbargo>EMBARGO UNTIL</SecurityEmbargo>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"https://myintracomm.ec.europa.eu/corp/security/EN/newDS3/SensitiveInformation/Pages/SPECIAL-HANDLING-INFORMATION-Pharma-investigations.aspx?ln=en" |https://myintracomm.ec.europa.eu/corp/security/EN/newDS3/SensitiveInformation/Pages/SPECIAL-HANDLING-INFORMATION-Pharma-investigations.aspx?ln=en}</PharmaSpecialHandlingHyperlink>
  <SpecialHandlingLabel>Special Handling</SpecialHandlingLabel>
  <TOCHeading>Turinys</TOCHeading>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LabelPictureSeq>Figure {SEQ Figure \* ARABIC }: </LabelPictureSeq>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"https://myintracomm.ec.europa.eu/corp/security/EN/newDS3/SensitiveInformation/Pages/SPECIAL-HANDLING-INFORMATION-DG-COMP.aspx?ln=en" |https://myintracomm.ec.europa.eu/corp/security/EN/newDS3/SensitiveInformation/Pages/SPECIAL-HANDLING-INFORMATION-DG-COMP.aspx?ln=en}</COMPSpecialHandlingHyperlink>
  <DateFormatShort>dd/MM/yyyy</DateFormatShort>
  <DateFormatLong>d MMMM yyyy</DateFormatLong>
</Tex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Author Role="Creator" AuthorRoleName="Writer" AuthorRoleId="a4fbaff4-b07c-48b4-a21e-e7b9eedf3796">
  <Id>706087fe-e8d4-4d77-905a-f26bb79d7b3d</Id>
  <Names>
    <Latin>
      <FirstName>Aneta</FirstName>
      <LastName>SIEJKA</LastName>
    </Latin>
    <Greek>
      <FirstName/>
      <LastName/>
    </Greek>
    <Cyrillic>
      <FirstName/>
      <LastName/>
    </Cyrillic>
    <DocumentScript>
      <FirstName>Aneta</FirstName>
      <LastName>SIEJKA</LastName>
      <FullName>Aneta SIEJKA</FullName>
    </DocumentScript>
  </Names>
  <Initials>AS</Initials>
  <Gender>f</Gender>
  <Email>Aneta.SIEJKA@ec.europa.eu</Email>
  <Service>BUDG.E.4</Service>
  <Function ADCode="" ShowInSignature="true" ShowInHeader="false" HeaderText="">Legal and Policy Officer</Function>
  <WebAddress/>
  <FunctionalMailbox/>
  <InheritedWebAddress>WebAddress</InheritedWebAddress>
  <OrgaEntity1>
    <Id>a267f1e1-3545-480c-bbad-6faf3c531263</Id>
    <LogicalLevel>1</LogicalLevel>
    <Name>BUDG</Name>
    <HeadLine1>DIRECTORATE-GENERAL FOR BUDGET</HeadLine1>
    <HeadLine2/>
    <PrimaryAddressId>f03b5801-04c9-4931-aa17-c6d6c70bc579</PrimaryAddressId>
    <SecondaryAddressId/>
    <WebAddress>WebAddress</WebAddress>
    <InheritedWebAddress>WebAddress</InheritedWebAddress>
    <ShowInHeader>true</ShowInHeader>
  </OrgaEntity1>
  <OrgaEntity2>
    <Id>548f3404-e19f-4f73-9736-d9d5440b19fb</Id>
    <LogicalLevel>2</LogicalLevel>
    <Name>BUDG.E</Name>
    <HeadLine1>Asset, debt and financial Risk management</HeadLine1>
    <HeadLine2/>
    <PrimaryAddressId>f03b5801-04c9-4931-aa17-c6d6c70bc579</PrimaryAddressId>
    <SecondaryAddressId>1264fb81-f6bb-475e-9f9d-a937d3be6ee2</SecondaryAddressId>
    <WebAddress/>
    <InheritedWebAddress>WebAddress</InheritedWebAddress>
    <ShowInHeader>true</ShowInHeader>
  </OrgaEntity2>
  <OrgaEntity3>
    <Id>6c01fc0c-f504-4682-877b-86573fbed281</Id>
    <LogicalLevel>3</LogicalLevel>
    <Name>BUDG.E.4</Name>
    <HeadLine1>Policy &amp; Legal Coordination</HeadLine1>
    <HeadLine2/>
    <PrimaryAddressId>f03b5801-04c9-4931-aa17-c6d6c70bc579</PrimaryAddressId>
    <SecondaryAddressId/>
    <WebAddress/>
    <InheritedWebAddress>WebAddress</InheritedWebAddress>
    <ShowInHeader>true</ShowInHeader>
  </OrgaEntity3>
  <Hierarchy>
    <OrgaEntity>
      <Id>a267f1e1-3545-480c-bbad-6faf3c531263</Id>
      <LogicalLevel>1</LogicalLevel>
      <Name>BUDG</Name>
      <HeadLine1>DIRECTORATE-GENERAL FOR BUDGET</HeadLine1>
      <HeadLine2/>
      <PrimaryAddressId>f03b5801-04c9-4931-aa17-c6d6c70bc579</PrimaryAddressId>
      <SecondaryAddressId/>
      <WebAddress>WebAddress</WebAddress>
      <InheritedWebAddress>WebAddress</InheritedWebAddress>
      <ShowInHeader>true</ShowInHeader>
    </OrgaEntity>
    <OrgaEntity>
      <Id>548f3404-e19f-4f73-9736-d9d5440b19fb</Id>
      <LogicalLevel>2</LogicalLevel>
      <Name>BUDG.E</Name>
      <HeadLine1>Asset, debt and financial Risk management</HeadLine1>
      <HeadLine2/>
      <PrimaryAddressId>f03b5801-04c9-4931-aa17-c6d6c70bc579</PrimaryAddressId>
      <SecondaryAddressId>1264fb81-f6bb-475e-9f9d-a937d3be6ee2</SecondaryAddressId>
      <WebAddress/>
      <InheritedWebAddress>WebAddress</InheritedWebAddress>
      <ShowInHeader>true</ShowInHeader>
    </OrgaEntity>
    <OrgaEntity>
      <Id>6c01fc0c-f504-4682-877b-86573fbed281</Id>
      <LogicalLevel>3</LogicalLevel>
      <Name>BUDG.E.4</Name>
      <HeadLine1>Policy &amp; Legal Coordination</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1264fb81-f6bb-475e-9f9d-a937d3be6ee2</AddressId>
    <Fax/>
    <Phone>+352 4301-38884</Phone>
    <Office>DRB- B3/079</Office>
  </MainWorkplace>
  <Workplaces>
    <Workplace IsMain="true">
      <AddressId>1264fb81-f6bb-475e-9f9d-a937d3be6ee2</AddressId>
      <Fax/>
      <Phone>+352 4301-38884</Phone>
      <Office>DRB- B3/079</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3B825-EED9-4E2B-849A-4AB47BA645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b689b-0ca1-4823-abc2-180da0eee3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CB0961D4-6748-4F91-95D1-7A39AE89AE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F90DE6-88B6-4264-9629-4D8DFDFE87D2}">
  <ds:schemaRefs/>
</ds:datastoreItem>
</file>

<file path=customXml/itemProps5.xml><?xml version="1.0" encoding="utf-8"?>
<ds:datastoreItem xmlns:ds="http://schemas.openxmlformats.org/officeDocument/2006/customXml" ds:itemID="{935C9602-742C-426D-846E-7D86AC8C1137}">
  <ds:schemaRefs>
    <ds:schemaRef ds:uri="http://schemas.microsoft.com/sharepoint/v3/contenttype/forms"/>
  </ds:schemaRefs>
</ds:datastoreItem>
</file>

<file path=customXml/itemProps6.xml><?xml version="1.0" encoding="utf-8"?>
<ds:datastoreItem xmlns:ds="http://schemas.openxmlformats.org/officeDocument/2006/customXml" ds:itemID="{A477FA10-EA5C-432B-AED5-23F4065724E8}">
  <ds:schemaRefs/>
</ds:datastoreItem>
</file>

<file path=customXml/itemProps7.xml><?xml version="1.0" encoding="utf-8"?>
<ds:datastoreItem xmlns:ds="http://schemas.openxmlformats.org/officeDocument/2006/customXml" ds:itemID="{226B332E-9E04-45F1-9C58-D2F7E7C5A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2516</Words>
  <Characters>14345</Characters>
  <Application>Microsoft Office Word</Application>
  <DocSecurity>0</DocSecurity>
  <PresentationFormat>Microsoft Word 14.0</PresentationFormat>
  <Lines>119</Lines>
  <Paragraphs>33</Paragraphs>
  <ScaleCrop>true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16828</CharactersWithSpaces>
  <SharedDoc>false</SharedDoc>
  <HLinks>
    <vt:vector size="96" baseType="variant">
      <vt:variant>
        <vt:i4>1703985</vt:i4>
      </vt:variant>
      <vt:variant>
        <vt:i4>62</vt:i4>
      </vt:variant>
      <vt:variant>
        <vt:i4>0</vt:i4>
      </vt:variant>
      <vt:variant>
        <vt:i4>5</vt:i4>
      </vt:variant>
      <vt:variant>
        <vt:lpwstr/>
      </vt:variant>
      <vt:variant>
        <vt:lpwstr>_Toc164168225</vt:lpwstr>
      </vt:variant>
      <vt:variant>
        <vt:i4>1703985</vt:i4>
      </vt:variant>
      <vt:variant>
        <vt:i4>56</vt:i4>
      </vt:variant>
      <vt:variant>
        <vt:i4>0</vt:i4>
      </vt:variant>
      <vt:variant>
        <vt:i4>5</vt:i4>
      </vt:variant>
      <vt:variant>
        <vt:lpwstr/>
      </vt:variant>
      <vt:variant>
        <vt:lpwstr>_Toc164168224</vt:lpwstr>
      </vt:variant>
      <vt:variant>
        <vt:i4>1703985</vt:i4>
      </vt:variant>
      <vt:variant>
        <vt:i4>50</vt:i4>
      </vt:variant>
      <vt:variant>
        <vt:i4>0</vt:i4>
      </vt:variant>
      <vt:variant>
        <vt:i4>5</vt:i4>
      </vt:variant>
      <vt:variant>
        <vt:lpwstr/>
      </vt:variant>
      <vt:variant>
        <vt:lpwstr>_Toc164168223</vt:lpwstr>
      </vt:variant>
      <vt:variant>
        <vt:i4>1703985</vt:i4>
      </vt:variant>
      <vt:variant>
        <vt:i4>44</vt:i4>
      </vt:variant>
      <vt:variant>
        <vt:i4>0</vt:i4>
      </vt:variant>
      <vt:variant>
        <vt:i4>5</vt:i4>
      </vt:variant>
      <vt:variant>
        <vt:lpwstr/>
      </vt:variant>
      <vt:variant>
        <vt:lpwstr>_Toc164168222</vt:lpwstr>
      </vt:variant>
      <vt:variant>
        <vt:i4>1703985</vt:i4>
      </vt:variant>
      <vt:variant>
        <vt:i4>38</vt:i4>
      </vt:variant>
      <vt:variant>
        <vt:i4>0</vt:i4>
      </vt:variant>
      <vt:variant>
        <vt:i4>5</vt:i4>
      </vt:variant>
      <vt:variant>
        <vt:lpwstr/>
      </vt:variant>
      <vt:variant>
        <vt:lpwstr>_Toc164168221</vt:lpwstr>
      </vt:variant>
      <vt:variant>
        <vt:i4>1703985</vt:i4>
      </vt:variant>
      <vt:variant>
        <vt:i4>32</vt:i4>
      </vt:variant>
      <vt:variant>
        <vt:i4>0</vt:i4>
      </vt:variant>
      <vt:variant>
        <vt:i4>5</vt:i4>
      </vt:variant>
      <vt:variant>
        <vt:lpwstr/>
      </vt:variant>
      <vt:variant>
        <vt:lpwstr>_Toc164168220</vt:lpwstr>
      </vt:variant>
      <vt:variant>
        <vt:i4>1638449</vt:i4>
      </vt:variant>
      <vt:variant>
        <vt:i4>26</vt:i4>
      </vt:variant>
      <vt:variant>
        <vt:i4>0</vt:i4>
      </vt:variant>
      <vt:variant>
        <vt:i4>5</vt:i4>
      </vt:variant>
      <vt:variant>
        <vt:lpwstr/>
      </vt:variant>
      <vt:variant>
        <vt:lpwstr>_Toc164168219</vt:lpwstr>
      </vt:variant>
      <vt:variant>
        <vt:i4>1638449</vt:i4>
      </vt:variant>
      <vt:variant>
        <vt:i4>20</vt:i4>
      </vt:variant>
      <vt:variant>
        <vt:i4>0</vt:i4>
      </vt:variant>
      <vt:variant>
        <vt:i4>5</vt:i4>
      </vt:variant>
      <vt:variant>
        <vt:lpwstr/>
      </vt:variant>
      <vt:variant>
        <vt:lpwstr>_Toc164168218</vt:lpwstr>
      </vt:variant>
      <vt:variant>
        <vt:i4>1638449</vt:i4>
      </vt:variant>
      <vt:variant>
        <vt:i4>14</vt:i4>
      </vt:variant>
      <vt:variant>
        <vt:i4>0</vt:i4>
      </vt:variant>
      <vt:variant>
        <vt:i4>5</vt:i4>
      </vt:variant>
      <vt:variant>
        <vt:lpwstr/>
      </vt:variant>
      <vt:variant>
        <vt:lpwstr>_Toc164168217</vt:lpwstr>
      </vt:variant>
      <vt:variant>
        <vt:i4>1638449</vt:i4>
      </vt:variant>
      <vt:variant>
        <vt:i4>8</vt:i4>
      </vt:variant>
      <vt:variant>
        <vt:i4>0</vt:i4>
      </vt:variant>
      <vt:variant>
        <vt:i4>5</vt:i4>
      </vt:variant>
      <vt:variant>
        <vt:lpwstr/>
      </vt:variant>
      <vt:variant>
        <vt:lpwstr>_Toc164168216</vt:lpwstr>
      </vt:variant>
      <vt:variant>
        <vt:i4>1638449</vt:i4>
      </vt:variant>
      <vt:variant>
        <vt:i4>2</vt:i4>
      </vt:variant>
      <vt:variant>
        <vt:i4>0</vt:i4>
      </vt:variant>
      <vt:variant>
        <vt:i4>5</vt:i4>
      </vt:variant>
      <vt:variant>
        <vt:lpwstr/>
      </vt:variant>
      <vt:variant>
        <vt:lpwstr>_Toc164168215</vt:lpwstr>
      </vt:variant>
      <vt:variant>
        <vt:i4>262149</vt:i4>
      </vt:variant>
      <vt:variant>
        <vt:i4>12</vt:i4>
      </vt:variant>
      <vt:variant>
        <vt:i4>0</vt:i4>
      </vt:variant>
      <vt:variant>
        <vt:i4>5</vt:i4>
      </vt:variant>
      <vt:variant>
        <vt:lpwstr>https://eur-lex.europa.eu/legal-content/EN/TXT/?uri=CELEX%3A52023DC0288&amp;qid=1685623336145</vt:lpwstr>
      </vt:variant>
      <vt:variant>
        <vt:lpwstr/>
      </vt:variant>
      <vt:variant>
        <vt:i4>131079</vt:i4>
      </vt:variant>
      <vt:variant>
        <vt:i4>9</vt:i4>
      </vt:variant>
      <vt:variant>
        <vt:i4>0</vt:i4>
      </vt:variant>
      <vt:variant>
        <vt:i4>5</vt:i4>
      </vt:variant>
      <vt:variant>
        <vt:lpwstr>https://eur-lex.europa.eu/legal-content/EN/TXT/?uri=CELEX%3A52022DC0213&amp;qid=1663150007084</vt:lpwstr>
      </vt:variant>
      <vt:variant>
        <vt:lpwstr/>
      </vt:variant>
      <vt:variant>
        <vt:i4>262149</vt:i4>
      </vt:variant>
      <vt:variant>
        <vt:i4>6</vt:i4>
      </vt:variant>
      <vt:variant>
        <vt:i4>0</vt:i4>
      </vt:variant>
      <vt:variant>
        <vt:i4>5</vt:i4>
      </vt:variant>
      <vt:variant>
        <vt:lpwstr>https://eur-lex.europa.eu/legal-content/EN/TXT/?uri=CELEX%3A52023DC0288&amp;qid=1685623336145</vt:lpwstr>
      </vt:variant>
      <vt:variant>
        <vt:lpwstr/>
      </vt:variant>
      <vt:variant>
        <vt:i4>131079</vt:i4>
      </vt:variant>
      <vt:variant>
        <vt:i4>3</vt:i4>
      </vt:variant>
      <vt:variant>
        <vt:i4>0</vt:i4>
      </vt:variant>
      <vt:variant>
        <vt:i4>5</vt:i4>
      </vt:variant>
      <vt:variant>
        <vt:lpwstr>https://eur-lex.europa.eu/legal-content/EN/TXT/?uri=CELEX%3A52022DC0213&amp;qid=1663150007084</vt:lpwstr>
      </vt:variant>
      <vt:variant>
        <vt:lpwstr/>
      </vt:variant>
      <vt:variant>
        <vt:i4>131079</vt:i4>
      </vt:variant>
      <vt:variant>
        <vt:i4>0</vt:i4>
      </vt:variant>
      <vt:variant>
        <vt:i4>0</vt:i4>
      </vt:variant>
      <vt:variant>
        <vt:i4>5</vt:i4>
      </vt:variant>
      <vt:variant>
        <vt:lpwstr>https://eur-lex.europa.eu/legal-content/EN/TXT/?uri=CELEX%3A52022DC0213&amp;qid=1663150007084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2024-06-11T18:18:00Z</dcterms:created>
  <dcterms:modified xsi:type="dcterms:W3CDTF">2024-07-05T15:18:00Z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2024-05-22T12:29:08Z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369f5e80-8c3a-4758-83ac-2577ade0109c</vt:lpwstr>
  </property>
  <property fmtid="{D5CDD505-2E9C-101B-9397-08002B2CF9AE}" pid="8" name="MSIP_Label_6bd9ddd1-4d20-43f6-abfa-fc3c07406f94_ContentBits">
    <vt:lpwstr>0</vt:lpwstr>
  </property>
  <property fmtid="{D5CDD505-2E9C-101B-9397-08002B2CF9AE}" pid="9" name="Level of sensitivity">
    <vt:lpwstr>Standard treatment</vt:lpwstr>
  </property>
  <property fmtid="{D5CDD505-2E9C-101B-9397-08002B2CF9AE}" pid="10" name="Last edited using">
    <vt:lpwstr>LW 9.0, Build 20230317</vt:lpwstr>
  </property>
  <property fmtid="{D5CDD505-2E9C-101B-9397-08002B2CF9AE}" pid="11" name="DocStatus">
    <vt:lpwstr>Green</vt:lpwstr>
  </property>
  <property fmtid="{D5CDD505-2E9C-101B-9397-08002B2CF9AE}" pid="12" name="ContentTypeId">
    <vt:lpwstr>0x010100A9C9791FDC87E548B72970AEE6219895</vt:lpwstr>
  </property>
  <property fmtid="{D5CDD505-2E9C-101B-9397-08002B2CF9AE}" pid="13" name="Part">
    <vt:lpwstr>1</vt:lpwstr>
  </property>
  <property fmtid="{D5CDD505-2E9C-101B-9397-08002B2CF9AE}" pid="14" name="Total parts">
    <vt:lpwstr>1</vt:lpwstr>
  </property>
  <property fmtid="{D5CDD505-2E9C-101B-9397-08002B2CF9AE}" pid="15" name="CPTemplateID">
    <vt:lpwstr>CP-006</vt:lpwstr>
  </property>
</Properties>
</file>