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6B5F3" w14:textId="31320226" w:rsidR="00C1332E" w:rsidRPr="009E1E74" w:rsidRDefault="006E606F" w:rsidP="006E606F">
      <w:pPr>
        <w:pStyle w:val="Pagedecouverture"/>
        <w:rPr>
          <w:noProof/>
        </w:rPr>
      </w:pPr>
      <w:r>
        <w:rPr>
          <w:noProof/>
        </w:rPr>
        <w:pict w14:anchorId="41884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5543597-9CE0-4E8D-A67E-04208D072DFD" style="width:455.25pt;height:369.75pt">
            <v:imagedata r:id="rId11" o:title=""/>
          </v:shape>
        </w:pict>
      </w:r>
    </w:p>
    <w:p w14:paraId="389EF0E3" w14:textId="77777777" w:rsidR="004B3EAF" w:rsidRPr="009E1E74" w:rsidRDefault="004B3EAF" w:rsidP="004B3EAF">
      <w:pPr>
        <w:pStyle w:val="Pagedecouverture"/>
        <w:rPr>
          <w:noProof/>
        </w:rPr>
        <w:sectPr w:rsidR="004B3EAF" w:rsidRPr="009E1E74" w:rsidSect="006E606F">
          <w:footerReference w:type="default" r:id="rId12"/>
          <w:pgSz w:w="11907" w:h="16839"/>
          <w:pgMar w:top="1134" w:right="1417" w:bottom="1134" w:left="1417" w:header="709" w:footer="709" w:gutter="0"/>
          <w:pgNumType w:start="1"/>
          <w:cols w:space="720"/>
          <w:docGrid w:linePitch="360"/>
        </w:sectPr>
      </w:pPr>
    </w:p>
    <w:p w14:paraId="448C047D" w14:textId="77777777" w:rsidR="00C1332E" w:rsidRPr="009E1E74" w:rsidRDefault="00586D7D">
      <w:pPr>
        <w:pStyle w:val="Exposdesmotifstitre"/>
        <w:rPr>
          <w:noProof/>
        </w:rPr>
      </w:pPr>
      <w:bookmarkStart w:id="0" w:name="_GoBack"/>
      <w:bookmarkEnd w:id="0"/>
      <w:r w:rsidRPr="009E1E74">
        <w:rPr>
          <w:noProof/>
        </w:rPr>
        <w:lastRenderedPageBreak/>
        <w:t>AIŠKINAMASIS MEMORANDUMAS</w:t>
      </w:r>
    </w:p>
    <w:p w14:paraId="4A9508F3" w14:textId="77777777" w:rsidR="00C1332E" w:rsidRPr="009E1E74" w:rsidRDefault="00586D7D">
      <w:pPr>
        <w:pStyle w:val="ManualHeading1"/>
        <w:rPr>
          <w:noProof/>
        </w:rPr>
      </w:pPr>
      <w:r w:rsidRPr="009E1E74">
        <w:rPr>
          <w:noProof/>
        </w:rPr>
        <w:t>1.</w:t>
      </w:r>
      <w:r w:rsidRPr="009E1E74">
        <w:rPr>
          <w:noProof/>
        </w:rPr>
        <w:tab/>
        <w:t>PASIŪLYMO APLINKYBĖS</w:t>
      </w:r>
    </w:p>
    <w:p w14:paraId="52852E70" w14:textId="77777777" w:rsidR="00C1332E" w:rsidRPr="009E1E74" w:rsidRDefault="00586D7D">
      <w:pPr>
        <w:pStyle w:val="ManualHeading2"/>
        <w:rPr>
          <w:rFonts w:eastAsia="Arial Unicode MS"/>
          <w:noProof/>
        </w:rPr>
      </w:pPr>
      <w:r w:rsidRPr="009E1E74">
        <w:rPr>
          <w:noProof/>
          <w:color w:val="000000"/>
          <w:u w:color="000000"/>
          <w:bdr w:val="nil"/>
        </w:rPr>
        <w:t>•</w:t>
      </w:r>
      <w:r w:rsidRPr="009E1E74">
        <w:rPr>
          <w:noProof/>
        </w:rPr>
        <w:tab/>
        <w:t>Pasiūlymo pagrindimas ir tikslai</w:t>
      </w:r>
    </w:p>
    <w:p w14:paraId="5A53688F" w14:textId="77777777" w:rsidR="00A57E59" w:rsidRPr="009E1E74" w:rsidRDefault="00A57E59" w:rsidP="00A57E59">
      <w:pPr>
        <w:pBdr>
          <w:top w:val="nil"/>
          <w:left w:val="nil"/>
          <w:bottom w:val="nil"/>
          <w:right w:val="nil"/>
          <w:between w:val="nil"/>
          <w:bar w:val="nil"/>
        </w:pBdr>
        <w:spacing w:before="0" w:after="240"/>
        <w:rPr>
          <w:noProof/>
        </w:rPr>
      </w:pPr>
      <w:r w:rsidRPr="009E1E74">
        <w:rPr>
          <w:noProof/>
        </w:rPr>
        <w:t>Šiuo pasiūlymu numatomi išskirtiniai ir tiksliniai bendrosios 2014–2020 m. teisinės sistemos, taikomos Europos struktūriniams ir investicijų fondams ir Europos pagalbos labiausiai skurstantiems asmenims fondui (EPLSAF), pakeitimai, kuriais reaguojama į Rusijos Federacijos invaziją į Ukrainą ir jos tolesnį poveikį Europos Sąjungai ir ypač keliems jos rytiniams regionams.</w:t>
      </w:r>
    </w:p>
    <w:p w14:paraId="4CDF290A" w14:textId="2BF66F2A" w:rsidR="004A429E" w:rsidRPr="009E1E74" w:rsidRDefault="0096458A" w:rsidP="00A57E59">
      <w:pPr>
        <w:pBdr>
          <w:top w:val="nil"/>
          <w:left w:val="nil"/>
          <w:bottom w:val="nil"/>
          <w:right w:val="nil"/>
          <w:between w:val="nil"/>
          <w:bar w:val="nil"/>
        </w:pBdr>
        <w:spacing w:before="0" w:after="240"/>
        <w:rPr>
          <w:noProof/>
        </w:rPr>
      </w:pPr>
      <w:r w:rsidRPr="009E1E74">
        <w:rPr>
          <w:noProof/>
        </w:rPr>
        <w:t xml:space="preserve">Dėl neišprovokuotos ir nemotyvuotos Rusijos karinės agresijos ES ir ypač keliems jos rytiniams regionams kyla tam tikrų skubiai spręstinų problemų, visų pirma susijusių su trečiųjų šalių piliečiais, bėgančiais iš Ukrainos dėl Rusijos invazijos į šią šalį. </w:t>
      </w:r>
    </w:p>
    <w:p w14:paraId="28363E79" w14:textId="0BBEFF16" w:rsidR="000D4125" w:rsidRPr="009E1E74" w:rsidRDefault="000D4125" w:rsidP="00A57E59">
      <w:pPr>
        <w:pBdr>
          <w:top w:val="nil"/>
          <w:left w:val="nil"/>
          <w:bottom w:val="nil"/>
          <w:right w:val="nil"/>
          <w:between w:val="nil"/>
          <w:bar w:val="nil"/>
        </w:pBdr>
        <w:spacing w:before="0" w:after="240"/>
        <w:rPr>
          <w:noProof/>
        </w:rPr>
      </w:pPr>
      <w:r w:rsidRPr="009E1E74">
        <w:rPr>
          <w:noProof/>
        </w:rPr>
        <w:t xml:space="preserve">Komisija jau ėmėsi veiksmų, kad padėtų valstybės narėms šioje srityje, įgyvendindama savo 2022 m. kovo 8 d. iniciatyvą „Sanglaudos veiksmai pabėgėliams Europoje“ (CARE). Joje pasiūlyta atlikti keletą tikslinių reglamentų (ES) Nr. 1303/2013 ir (ES) Nr. 223/2014 pakeitimų, kad valstybėms narėms būtų lengviau lanksčiau naudoti nepanaudotus Europos regioninės plėtros fondo (ERPF), Europos socialinio fondo (ESF) ir EPLSAF asignavimus pagal 2014–2020 m. daugiametę finansinę programą, taip pat Sanglaudai ir Europos teritorijoms skirtos ekonomikos gaivinimo pagalbos iniciatyvos (REACT-EU) išteklius, visų pirma sudarant sąlygas iš ERPF ir ESF finansuoti veiksmus, kurie tinkami finansuoti iš kito fondo, siekiant migracijos problemas spręsti kuo veiksmingiau ir kuo greičiau, taip pat nustatant 100 proc. ES bendro finansavimo galimybę papildomiems ataskaitiniams metams, kad būtų sumažinta nacionaliniams biudžetams tenkanti našta. </w:t>
      </w:r>
    </w:p>
    <w:p w14:paraId="440779A1" w14:textId="50C0BCA8" w:rsidR="005C0252" w:rsidRPr="009E1E74" w:rsidRDefault="0096458A" w:rsidP="00A57E59">
      <w:pPr>
        <w:pBdr>
          <w:top w:val="nil"/>
          <w:left w:val="nil"/>
          <w:bottom w:val="nil"/>
          <w:right w:val="nil"/>
          <w:between w:val="nil"/>
          <w:bar w:val="nil"/>
        </w:pBdr>
        <w:spacing w:before="0" w:after="240"/>
        <w:rPr>
          <w:noProof/>
        </w:rPr>
      </w:pPr>
      <w:r w:rsidRPr="009E1E74">
        <w:rPr>
          <w:noProof/>
        </w:rPr>
        <w:t xml:space="preserve">Nepaisant CARE priemonių rinkinio suteikiamo lankstumo, akivaizdu, kad valstybės narės patiria tiesioginį papildomą spaudimą biudžetui, susijusį su masinio iš Ukrainos bėgančių asmenų srauto valdymu. Bendrą sausumos sieną su Ukraina turinčios valstybės narės yra paveiktos labiausiai, nes jos turi teikti paramą, pavyzdžiui, būsto, socialines ir transporto paslaugas, o kelios kitos valstybės narės, kaip galutinės paskirties šalys, taip pat susiduria su labai dideliu atvykstančių asmenų skaičiumi, palyginti su jų pačių gyventojų skaičiumi. Šis papildomas sukrėtimas dar labiau silpnina valstybių narių gebėjimą užtikrinti atsparų atsigavimą po COVID-19 pandemijos.  </w:t>
      </w:r>
    </w:p>
    <w:p w14:paraId="6DD1EEE0" w14:textId="75EA1270" w:rsidR="00D85035" w:rsidRPr="009E1E74" w:rsidRDefault="00D85035" w:rsidP="00A57E59">
      <w:pPr>
        <w:pBdr>
          <w:top w:val="nil"/>
          <w:left w:val="nil"/>
          <w:bottom w:val="nil"/>
          <w:right w:val="nil"/>
          <w:between w:val="nil"/>
          <w:bar w:val="nil"/>
        </w:pBdr>
        <w:spacing w:before="0" w:after="240"/>
        <w:rPr>
          <w:noProof/>
        </w:rPr>
      </w:pPr>
      <w:r w:rsidRPr="009E1E74">
        <w:rPr>
          <w:noProof/>
        </w:rPr>
        <w:t xml:space="preserve">Todėl, siekiant sumažinti nacionaliniams biudžetams tenkančią naštą, reikėtų skubiai sutelkti fondų paramą. Todėl yra būtina, kaip laikiną ir išimtinę priemonę ir nedarant poveikio taisyklėms, kurios turėtų būti taikomos įprastomis aplinkybėmis, padidinti išankstinio finansavimo sumą, mokamą visoms valstybėms narėms pagal iniciatyvą „REACT-EU“. Didesnė šių padidintų išankstinio finansavimo išteklių dalis turėtų būti skiriama toms valstybėms narėms, kurios, kaip tranzito arba galutinės paskirties šalys, susiduria su didžiausiais iš Ukrainos bėgančių asmenų srautais. Kadangi nuo karo bėgančių žmonių skaičius didėja kas valandą ir valstybės narės šiuo metu vykdo registraciją, padėtis nuolat kinta. Siekdama geriau suprasti realią padėtį ir valstybių narių dėl didelio masto atvykstančių asmenų srauto patiriamą spaudimą, Komisija apskaičiavo atvykstančių asmenų santykinę dalį, palyginti su visu gyventojų skaičiumi, remdamasi informacija, gauta iš valstybių narių per ES migracinės parengties ir migracijos krizių valdymo mechanizmo tinklą, tarptautinių organizacijų ir kitų patikimų atvirųjų šaltinių. </w:t>
      </w:r>
    </w:p>
    <w:p w14:paraId="29C5FBF7" w14:textId="7E95D794" w:rsidR="00EF3D3B" w:rsidRPr="009E1E74" w:rsidRDefault="0096458A" w:rsidP="00A57E59">
      <w:pPr>
        <w:pBdr>
          <w:top w:val="nil"/>
          <w:left w:val="nil"/>
          <w:bottom w:val="nil"/>
          <w:right w:val="nil"/>
          <w:between w:val="nil"/>
          <w:bar w:val="nil"/>
        </w:pBdr>
        <w:spacing w:before="0" w:after="240"/>
        <w:rPr>
          <w:noProof/>
        </w:rPr>
      </w:pPr>
      <w:r w:rsidRPr="009E1E74">
        <w:rPr>
          <w:noProof/>
        </w:rPr>
        <w:t xml:space="preserve">Tam, kad valstybėms narėms nebūtų pernelyg sudėtinga atsiskaityti šio papildomu išankstinio finansavimo, dėl to, kaip lėšos buvo panaudotos iš Ukrainos bėgančių asmenų padėčiai palengvinti ir kaip jomis prisidedama prie ekonomikos gaivinimo, turėtų būti atsiskaitoma tik galutinėse atitinkamų veiksmų programų įgyvendinimo ataskaitose.  </w:t>
      </w:r>
    </w:p>
    <w:p w14:paraId="2B5FFE7C" w14:textId="77777777" w:rsidR="00C1332E" w:rsidRPr="009E1E74" w:rsidRDefault="00586D7D">
      <w:pPr>
        <w:pStyle w:val="ManualHeading2"/>
        <w:rPr>
          <w:rFonts w:eastAsia="Arial Unicode MS"/>
          <w:noProof/>
          <w:color w:val="000000"/>
          <w:u w:color="000000"/>
          <w:bdr w:val="nil"/>
        </w:rPr>
      </w:pPr>
      <w:r w:rsidRPr="009E1E74">
        <w:rPr>
          <w:noProof/>
          <w:color w:val="000000"/>
          <w:u w:color="000000"/>
          <w:bdr w:val="nil"/>
        </w:rPr>
        <w:t>•</w:t>
      </w:r>
      <w:r w:rsidRPr="009E1E74">
        <w:rPr>
          <w:noProof/>
        </w:rPr>
        <w:tab/>
        <w:t>Suderinamumas su toje pačioje politikos srityje galiojančiomis nuostatomis</w:t>
      </w:r>
    </w:p>
    <w:p w14:paraId="1CB2A707" w14:textId="77777777" w:rsidR="00C1332E" w:rsidRPr="009E1E74" w:rsidRDefault="00586D7D">
      <w:pPr>
        <w:pBdr>
          <w:top w:val="nil"/>
          <w:left w:val="nil"/>
          <w:bottom w:val="nil"/>
          <w:right w:val="nil"/>
          <w:between w:val="nil"/>
          <w:bar w:val="nil"/>
        </w:pBdr>
        <w:spacing w:before="0" w:after="240"/>
        <w:rPr>
          <w:rFonts w:eastAsia="Arial Unicode MS"/>
          <w:noProof/>
        </w:rPr>
      </w:pPr>
      <w:r w:rsidRPr="009E1E74">
        <w:rPr>
          <w:noProof/>
        </w:rPr>
        <w:t>Šis pasiūlymas dera su bendra Europos struktūriniams ir investicijų fondams ir EPLSAF nustatyta teisine sistema ir yra susijęs tik su tiksliniais ir išimtiniais reglamentų (ES) 1303/2013 ir (ES) Nr. 223/2014 pakeitimais. Pasiūlymu taip pat papildomas ankstesnis šių reglamentų pakeitimo pasiūlymas pagal 2022 m. kovo 8 d. Komisijos pasiūlymą dėl CARE, taip pat visos kitos priemonės, kuriomis siekiama reaguoti į dabartinę precedento neturinčią padėtį.</w:t>
      </w:r>
    </w:p>
    <w:p w14:paraId="0CBE7211" w14:textId="77777777" w:rsidR="00C1332E" w:rsidRPr="009E1E74" w:rsidRDefault="00586D7D">
      <w:pPr>
        <w:pStyle w:val="ManualHeading2"/>
        <w:rPr>
          <w:rFonts w:eastAsia="Arial Unicode MS"/>
          <w:noProof/>
        </w:rPr>
      </w:pPr>
      <w:r w:rsidRPr="009E1E74">
        <w:rPr>
          <w:noProof/>
          <w:color w:val="000000"/>
          <w:u w:color="000000"/>
          <w:bdr w:val="nil"/>
        </w:rPr>
        <w:t>•</w:t>
      </w:r>
      <w:r w:rsidRPr="009E1E74">
        <w:rPr>
          <w:noProof/>
        </w:rPr>
        <w:tab/>
        <w:t>Suderinamumas su kitomis Sąjungos politikos sritimis</w:t>
      </w:r>
    </w:p>
    <w:p w14:paraId="012AA456" w14:textId="77777777" w:rsidR="00C1332E" w:rsidRPr="009E1E74" w:rsidRDefault="00586D7D">
      <w:pPr>
        <w:pBdr>
          <w:top w:val="nil"/>
          <w:left w:val="nil"/>
          <w:bottom w:val="nil"/>
          <w:right w:val="nil"/>
          <w:between w:val="nil"/>
          <w:bar w:val="nil"/>
        </w:pBdr>
        <w:spacing w:before="0" w:after="240"/>
        <w:rPr>
          <w:rFonts w:eastAsia="Arial Unicode MS"/>
          <w:noProof/>
        </w:rPr>
      </w:pPr>
      <w:r w:rsidRPr="009E1E74">
        <w:rPr>
          <w:noProof/>
        </w:rPr>
        <w:t>Pasiūlyme numatyti tik tiksliniai ir išimtiniai Reglamento (ES) Nr. 1303/2013 ir Reglamento (ES) Nr. 223/2014 pakeitimai ir jis dera su kitomis Sąjungos politikos sritimis.</w:t>
      </w:r>
    </w:p>
    <w:p w14:paraId="5BEF2685" w14:textId="77777777" w:rsidR="00C1332E" w:rsidRPr="009E1E74" w:rsidRDefault="00586D7D">
      <w:pPr>
        <w:pStyle w:val="ManualHeading1"/>
        <w:rPr>
          <w:noProof/>
        </w:rPr>
      </w:pPr>
      <w:r w:rsidRPr="009E1E74">
        <w:rPr>
          <w:noProof/>
        </w:rPr>
        <w:t>2.</w:t>
      </w:r>
      <w:r w:rsidRPr="009E1E74">
        <w:rPr>
          <w:noProof/>
        </w:rPr>
        <w:tab/>
        <w:t>TEISINIS PAGRINDAS, SUBSIDIARUMO IR PROPORCINGUMO PRINCIPAI</w:t>
      </w:r>
    </w:p>
    <w:p w14:paraId="00A5ADC3" w14:textId="77777777" w:rsidR="00C1332E" w:rsidRPr="009E1E74" w:rsidRDefault="00586D7D">
      <w:pPr>
        <w:pStyle w:val="ManualHeading2"/>
        <w:rPr>
          <w:rFonts w:eastAsia="Arial Unicode MS"/>
          <w:noProof/>
          <w:u w:color="000000"/>
          <w:bdr w:val="nil"/>
        </w:rPr>
      </w:pPr>
      <w:r w:rsidRPr="009E1E74">
        <w:rPr>
          <w:noProof/>
          <w:u w:color="000000"/>
          <w:bdr w:val="nil"/>
        </w:rPr>
        <w:t>•</w:t>
      </w:r>
      <w:r w:rsidRPr="009E1E74">
        <w:rPr>
          <w:noProof/>
        </w:rPr>
        <w:tab/>
      </w:r>
      <w:r w:rsidRPr="009E1E74">
        <w:rPr>
          <w:noProof/>
          <w:u w:color="000000"/>
          <w:bdr w:val="nil"/>
        </w:rPr>
        <w:t>Teisinis pagrindas</w:t>
      </w:r>
    </w:p>
    <w:p w14:paraId="6F07D0ED" w14:textId="77777777" w:rsidR="00C1332E" w:rsidRPr="009E1E74" w:rsidRDefault="00586D7D">
      <w:pPr>
        <w:pBdr>
          <w:top w:val="nil"/>
          <w:left w:val="nil"/>
          <w:bottom w:val="nil"/>
          <w:right w:val="nil"/>
          <w:between w:val="nil"/>
          <w:bar w:val="nil"/>
        </w:pBdr>
        <w:spacing w:before="0" w:after="240"/>
        <w:rPr>
          <w:noProof/>
        </w:rPr>
      </w:pPr>
      <w:r w:rsidRPr="009E1E74">
        <w:rPr>
          <w:noProof/>
        </w:rPr>
        <w:t xml:space="preserve">Pasiūlymas grindžiamas Sutarties dėl Europos Sąjungos veikimo 175 straipsnio 3 dalimi ir 177 straipsniu. </w:t>
      </w:r>
    </w:p>
    <w:p w14:paraId="19E7120E" w14:textId="77777777" w:rsidR="00C1332E" w:rsidRPr="009E1E74" w:rsidRDefault="00586D7D">
      <w:pPr>
        <w:pStyle w:val="ManualHeading2"/>
        <w:rPr>
          <w:rFonts w:eastAsia="Arial Unicode MS"/>
          <w:noProof/>
          <w:u w:color="000000"/>
          <w:bdr w:val="nil"/>
        </w:rPr>
      </w:pPr>
      <w:r w:rsidRPr="009E1E74">
        <w:rPr>
          <w:noProof/>
          <w:u w:color="000000"/>
          <w:bdr w:val="nil"/>
        </w:rPr>
        <w:t>•</w:t>
      </w:r>
      <w:r w:rsidRPr="009E1E74">
        <w:rPr>
          <w:noProof/>
        </w:rPr>
        <w:tab/>
      </w:r>
      <w:r w:rsidRPr="009E1E74">
        <w:rPr>
          <w:noProof/>
          <w:u w:color="000000"/>
          <w:bdr w:val="nil"/>
        </w:rPr>
        <w:t xml:space="preserve">Subsidiarumo principas (neišimtinės kompetencijos atveju) </w:t>
      </w:r>
    </w:p>
    <w:p w14:paraId="50AC6F23" w14:textId="2E85A85B" w:rsidR="008D7001" w:rsidRPr="009E1E74" w:rsidRDefault="0096458A">
      <w:pPr>
        <w:pBdr>
          <w:top w:val="nil"/>
          <w:left w:val="nil"/>
          <w:bottom w:val="nil"/>
          <w:right w:val="nil"/>
          <w:between w:val="nil"/>
          <w:bar w:val="nil"/>
        </w:pBdr>
        <w:spacing w:before="0" w:after="240"/>
        <w:rPr>
          <w:noProof/>
        </w:rPr>
      </w:pPr>
      <w:r w:rsidRPr="009E1E74">
        <w:rPr>
          <w:noProof/>
        </w:rPr>
        <w:t>Kadangi valstybės narės vienos negali deramai spręsti problemų, kylančių dėl labai didelio iš Ukrainos bėgančių asmenų skaičiaus, ir kadangi jas spręsti būtų geriau Sąjungos lygmeniu, laikydamasi Europos Sąjungos sutarties 5 straipsnyje nustatyto subsidiarumo principo Sąjunga gali numatyti didesnę išankstinio finansavimo sumą, mokėtiną pagal REACT-EU.</w:t>
      </w:r>
    </w:p>
    <w:p w14:paraId="02307992" w14:textId="77777777" w:rsidR="00C1332E" w:rsidRPr="009E1E74" w:rsidRDefault="00586D7D">
      <w:pPr>
        <w:pStyle w:val="ManualHeading2"/>
        <w:rPr>
          <w:rFonts w:eastAsia="Arial Unicode MS"/>
          <w:noProof/>
          <w:u w:color="000000"/>
          <w:bdr w:val="nil"/>
        </w:rPr>
      </w:pPr>
      <w:r w:rsidRPr="009E1E74">
        <w:rPr>
          <w:noProof/>
          <w:u w:color="000000"/>
          <w:bdr w:val="nil"/>
        </w:rPr>
        <w:t>•</w:t>
      </w:r>
      <w:r w:rsidRPr="009E1E74">
        <w:rPr>
          <w:noProof/>
        </w:rPr>
        <w:tab/>
      </w:r>
      <w:r w:rsidRPr="009E1E74">
        <w:rPr>
          <w:noProof/>
          <w:u w:color="000000"/>
          <w:bdr w:val="nil"/>
        </w:rPr>
        <w:t>Proporcingumo principas</w:t>
      </w:r>
    </w:p>
    <w:p w14:paraId="18B48014" w14:textId="77777777" w:rsidR="00C1332E" w:rsidRPr="009E1E74" w:rsidRDefault="00586D7D">
      <w:pPr>
        <w:pBdr>
          <w:top w:val="nil"/>
          <w:left w:val="nil"/>
          <w:bottom w:val="nil"/>
          <w:right w:val="nil"/>
          <w:between w:val="nil"/>
          <w:bar w:val="nil"/>
        </w:pBdr>
        <w:spacing w:before="0" w:after="240"/>
        <w:rPr>
          <w:rFonts w:eastAsia="Arial Unicode MS"/>
          <w:noProof/>
        </w:rPr>
      </w:pPr>
      <w:r w:rsidRPr="009E1E74">
        <w:rPr>
          <w:noProof/>
        </w:rPr>
        <w:t>Pasiūlymu numatomi išimtiniai ir tiksliniai pakeitimai, kuriais neviršijama tai, kas būtina siekiant tikslo numatyti didesnę išankstinio finansavimo sumą, mokėtiną pagal REACT-EU, siekiant remti priemones, skirtas migracijos problemoms, kylančioms dėl Rusijos Federacijos karinės agresijos, spręsti ir atitinkamai naštai valstybių biudžetams sumažinti, kad savo ruožtu būtų sudarytos sąlygos sutelkti investicijas reaguojant į didelio masto visuomenės sveikatos krizę, darančią poveikį regionų ekonomikos augimui.</w:t>
      </w:r>
    </w:p>
    <w:p w14:paraId="5FA22EEC" w14:textId="77777777" w:rsidR="00C1332E" w:rsidRPr="009E1E74" w:rsidRDefault="00586D7D">
      <w:pPr>
        <w:pStyle w:val="ManualHeading2"/>
        <w:rPr>
          <w:rFonts w:eastAsia="Arial Unicode MS"/>
          <w:noProof/>
          <w:u w:color="000000"/>
          <w:bdr w:val="nil"/>
        </w:rPr>
      </w:pPr>
      <w:r w:rsidRPr="009E1E74">
        <w:rPr>
          <w:noProof/>
          <w:u w:color="000000"/>
          <w:bdr w:val="nil"/>
        </w:rPr>
        <w:t>•</w:t>
      </w:r>
      <w:r w:rsidRPr="009E1E74">
        <w:rPr>
          <w:noProof/>
        </w:rPr>
        <w:tab/>
      </w:r>
      <w:r w:rsidRPr="009E1E74">
        <w:rPr>
          <w:noProof/>
          <w:u w:color="000000"/>
          <w:bdr w:val="nil"/>
        </w:rPr>
        <w:t>Priemonės pasirinkimas</w:t>
      </w:r>
    </w:p>
    <w:p w14:paraId="6BEEF24B" w14:textId="77777777" w:rsidR="00C1332E" w:rsidRPr="009E1E74" w:rsidRDefault="00586D7D">
      <w:pPr>
        <w:pBdr>
          <w:top w:val="nil"/>
          <w:left w:val="nil"/>
          <w:bottom w:val="nil"/>
          <w:right w:val="nil"/>
          <w:between w:val="nil"/>
          <w:bar w:val="nil"/>
        </w:pBdr>
        <w:spacing w:before="0" w:after="240"/>
        <w:rPr>
          <w:noProof/>
        </w:rPr>
      </w:pPr>
      <w:r w:rsidRPr="009E1E74">
        <w:rPr>
          <w:noProof/>
        </w:rPr>
        <w:t>Reglamentas yra tinkama priemonė siekiant numatyti didesnę išankstinio finansavimo sumą, mokėtiną pagal REACT-EU, siekiant reaguoti į šias precedento neturinčias aplinkybes.</w:t>
      </w:r>
    </w:p>
    <w:p w14:paraId="48D209ED" w14:textId="77777777" w:rsidR="00C1332E" w:rsidRPr="009E1E74" w:rsidRDefault="00586D7D">
      <w:pPr>
        <w:pStyle w:val="ManualHeading1"/>
        <w:rPr>
          <w:noProof/>
        </w:rPr>
      </w:pPr>
      <w:r w:rsidRPr="009E1E74">
        <w:rPr>
          <w:noProof/>
        </w:rPr>
        <w:t>3.</w:t>
      </w:r>
      <w:r w:rsidRPr="009E1E74">
        <w:rPr>
          <w:noProof/>
        </w:rPr>
        <w:tab/>
      </w:r>
      <w:r w:rsidRPr="009E1E74">
        <w:rPr>
          <w:i/>
          <w:noProof/>
        </w:rPr>
        <w:t>EX POST</w:t>
      </w:r>
      <w:r w:rsidRPr="009E1E74">
        <w:rPr>
          <w:noProof/>
        </w:rPr>
        <w:t xml:space="preserve"> VERTINIMO, KONSULTACIJŲ SU SUINTERESUOTOSIOMIS ŠALIMIS IR POVEIKIO VERTINIMO REZULTATAI</w:t>
      </w:r>
    </w:p>
    <w:p w14:paraId="3CD3AB7B" w14:textId="77777777" w:rsidR="00C1332E" w:rsidRPr="009E1E74" w:rsidRDefault="00586D7D">
      <w:pPr>
        <w:pStyle w:val="ManualHeading2"/>
        <w:rPr>
          <w:rFonts w:eastAsia="Arial Unicode MS"/>
          <w:noProof/>
          <w:u w:color="000000"/>
          <w:bdr w:val="nil"/>
        </w:rPr>
      </w:pPr>
      <w:r w:rsidRPr="009E1E74">
        <w:rPr>
          <w:noProof/>
          <w:u w:color="000000"/>
          <w:bdr w:val="nil"/>
        </w:rPr>
        <w:t>•</w:t>
      </w:r>
      <w:r w:rsidRPr="009E1E74">
        <w:rPr>
          <w:noProof/>
        </w:rPr>
        <w:tab/>
      </w:r>
      <w:r w:rsidRPr="009E1E74">
        <w:rPr>
          <w:noProof/>
          <w:u w:color="000000"/>
          <w:bdr w:val="nil"/>
        </w:rPr>
        <w:t xml:space="preserve">Galiojančių teisės aktų </w:t>
      </w:r>
      <w:r w:rsidRPr="009E1E74">
        <w:rPr>
          <w:i/>
          <w:noProof/>
          <w:u w:color="000000"/>
          <w:bdr w:val="nil"/>
        </w:rPr>
        <w:t>ex post</w:t>
      </w:r>
      <w:r w:rsidRPr="009E1E74">
        <w:rPr>
          <w:noProof/>
          <w:u w:color="000000"/>
          <w:bdr w:val="nil"/>
        </w:rPr>
        <w:t xml:space="preserve"> vertinimas / tinkamumo patikrinimas</w:t>
      </w:r>
    </w:p>
    <w:p w14:paraId="1F66541E" w14:textId="77777777" w:rsidR="00C1332E" w:rsidRPr="009E1E74" w:rsidRDefault="00586D7D">
      <w:pPr>
        <w:pBdr>
          <w:top w:val="nil"/>
          <w:left w:val="nil"/>
          <w:bottom w:val="nil"/>
          <w:right w:val="nil"/>
          <w:between w:val="nil"/>
          <w:bar w:val="nil"/>
        </w:pBdr>
        <w:spacing w:before="0" w:after="240"/>
        <w:rPr>
          <w:noProof/>
        </w:rPr>
      </w:pPr>
      <w:r w:rsidRPr="009E1E74">
        <w:rPr>
          <w:noProof/>
        </w:rPr>
        <w:t>Netaikoma</w:t>
      </w:r>
    </w:p>
    <w:p w14:paraId="33B5D2D9" w14:textId="77777777" w:rsidR="00C1332E" w:rsidRPr="009E1E74" w:rsidRDefault="00586D7D">
      <w:pPr>
        <w:pStyle w:val="ManualHeading2"/>
        <w:rPr>
          <w:rFonts w:eastAsia="Arial Unicode MS"/>
          <w:noProof/>
          <w:u w:color="000000"/>
          <w:bdr w:val="nil"/>
        </w:rPr>
      </w:pPr>
      <w:r w:rsidRPr="009E1E74">
        <w:rPr>
          <w:noProof/>
          <w:u w:color="000000"/>
          <w:bdr w:val="nil"/>
        </w:rPr>
        <w:t>•</w:t>
      </w:r>
      <w:r w:rsidRPr="009E1E74">
        <w:rPr>
          <w:noProof/>
        </w:rPr>
        <w:tab/>
      </w:r>
      <w:r w:rsidRPr="009E1E74">
        <w:rPr>
          <w:noProof/>
          <w:u w:color="000000"/>
          <w:bdr w:val="nil"/>
        </w:rPr>
        <w:t>Konsultacijos su suinteresuotosiomis šalimis</w:t>
      </w:r>
    </w:p>
    <w:p w14:paraId="6166A167" w14:textId="77777777" w:rsidR="00C1332E" w:rsidRPr="009E1E74" w:rsidRDefault="00A071F1">
      <w:pPr>
        <w:pBdr>
          <w:top w:val="nil"/>
          <w:left w:val="nil"/>
          <w:bottom w:val="nil"/>
          <w:right w:val="nil"/>
          <w:between w:val="nil"/>
          <w:bar w:val="nil"/>
        </w:pBdr>
        <w:spacing w:before="0" w:after="240"/>
        <w:rPr>
          <w:noProof/>
        </w:rPr>
      </w:pPr>
      <w:r w:rsidRPr="009E1E74">
        <w:rPr>
          <w:noProof/>
        </w:rPr>
        <w:t>Pasiūlymas grindžiamas aukšto lygio keitimusi nuomonėmis su kitomis institucijomis ir valstybėmis narėmis. Viešos konsultacijos nebūtinos, nes nereikia atlikti poveikio vertinimo.</w:t>
      </w:r>
    </w:p>
    <w:p w14:paraId="394ACCB4" w14:textId="77777777" w:rsidR="00C1332E" w:rsidRPr="009E1E74" w:rsidRDefault="00586D7D">
      <w:pPr>
        <w:pStyle w:val="ManualHeading2"/>
        <w:rPr>
          <w:rFonts w:eastAsia="Arial Unicode MS"/>
          <w:noProof/>
          <w:u w:color="000000"/>
          <w:bdr w:val="nil"/>
        </w:rPr>
      </w:pPr>
      <w:r w:rsidRPr="009E1E74">
        <w:rPr>
          <w:noProof/>
          <w:u w:color="000000"/>
          <w:bdr w:val="nil"/>
        </w:rPr>
        <w:t>•</w:t>
      </w:r>
      <w:r w:rsidRPr="009E1E74">
        <w:rPr>
          <w:noProof/>
        </w:rPr>
        <w:tab/>
      </w:r>
      <w:r w:rsidRPr="009E1E74">
        <w:rPr>
          <w:noProof/>
          <w:u w:color="000000"/>
          <w:bdr w:val="nil"/>
        </w:rPr>
        <w:t>Tiriamųjų duomenų rinkimas ir naudojimas</w:t>
      </w:r>
    </w:p>
    <w:p w14:paraId="059BD888" w14:textId="77777777" w:rsidR="00C1332E" w:rsidRPr="009E1E74" w:rsidRDefault="00586D7D">
      <w:pPr>
        <w:rPr>
          <w:noProof/>
        </w:rPr>
      </w:pPr>
      <w:r w:rsidRPr="009E1E74">
        <w:rPr>
          <w:noProof/>
        </w:rPr>
        <w:t>Netaikoma</w:t>
      </w:r>
    </w:p>
    <w:p w14:paraId="46CE834B" w14:textId="77777777" w:rsidR="00C1332E" w:rsidRPr="009E1E74" w:rsidRDefault="00586D7D">
      <w:pPr>
        <w:pStyle w:val="ManualHeading2"/>
        <w:rPr>
          <w:rFonts w:eastAsia="Arial Unicode MS"/>
          <w:noProof/>
          <w:u w:color="000000"/>
          <w:bdr w:val="nil"/>
        </w:rPr>
      </w:pPr>
      <w:r w:rsidRPr="009E1E74">
        <w:rPr>
          <w:noProof/>
          <w:u w:color="000000"/>
          <w:bdr w:val="nil"/>
        </w:rPr>
        <w:t>•</w:t>
      </w:r>
      <w:r w:rsidRPr="009E1E74">
        <w:rPr>
          <w:noProof/>
        </w:rPr>
        <w:tab/>
      </w:r>
      <w:r w:rsidRPr="009E1E74">
        <w:rPr>
          <w:noProof/>
          <w:u w:color="000000"/>
          <w:bdr w:val="nil"/>
        </w:rPr>
        <w:t>Poveikio vertinimas</w:t>
      </w:r>
    </w:p>
    <w:p w14:paraId="7B8F9C53" w14:textId="77777777" w:rsidR="00C1332E" w:rsidRPr="009E1E74" w:rsidRDefault="00586D7D">
      <w:pPr>
        <w:pBdr>
          <w:top w:val="nil"/>
          <w:left w:val="nil"/>
          <w:bottom w:val="nil"/>
          <w:right w:val="nil"/>
          <w:between w:val="nil"/>
          <w:bar w:val="nil"/>
        </w:pBdr>
        <w:spacing w:before="0" w:after="240"/>
        <w:rPr>
          <w:noProof/>
        </w:rPr>
      </w:pPr>
      <w:r w:rsidRPr="009E1E74">
        <w:rPr>
          <w:noProof/>
        </w:rPr>
        <w:t>Poveikio vertinimas atliktas rengiant pasiūlymą dėl reglamentų (ES) Nr. 1303/2013 ir (ES) Nr. 223/2014. Dėl numatomo tikslinio pakeitimo, kuriuo siekiama reaguoti į kritinę situaciją, atskiro poveikio vertinimo atlikti nereikia.</w:t>
      </w:r>
    </w:p>
    <w:p w14:paraId="4F6D1250" w14:textId="77777777" w:rsidR="00C1332E" w:rsidRPr="009E1E74" w:rsidRDefault="00586D7D">
      <w:pPr>
        <w:pStyle w:val="ManualHeading2"/>
        <w:rPr>
          <w:rFonts w:eastAsia="Arial Unicode MS"/>
          <w:noProof/>
          <w:u w:color="000000"/>
          <w:bdr w:val="nil"/>
        </w:rPr>
      </w:pPr>
      <w:r w:rsidRPr="009E1E74">
        <w:rPr>
          <w:noProof/>
          <w:u w:color="000000"/>
          <w:bdr w:val="nil"/>
        </w:rPr>
        <w:t>•</w:t>
      </w:r>
      <w:r w:rsidRPr="009E1E74">
        <w:rPr>
          <w:noProof/>
        </w:rPr>
        <w:tab/>
      </w:r>
      <w:r w:rsidRPr="009E1E74">
        <w:rPr>
          <w:noProof/>
          <w:u w:color="000000"/>
          <w:bdr w:val="nil"/>
        </w:rPr>
        <w:t>Reglamentavimo tinkamumas ir supaprastinimas</w:t>
      </w:r>
    </w:p>
    <w:p w14:paraId="26647223" w14:textId="77777777" w:rsidR="00C1332E" w:rsidRPr="009E1E74" w:rsidRDefault="00586D7D">
      <w:pPr>
        <w:rPr>
          <w:noProof/>
        </w:rPr>
      </w:pPr>
      <w:r w:rsidRPr="009E1E74">
        <w:rPr>
          <w:noProof/>
        </w:rPr>
        <w:t>Netaikoma</w:t>
      </w:r>
    </w:p>
    <w:p w14:paraId="767B71D8" w14:textId="77777777" w:rsidR="00C1332E" w:rsidRPr="009E1E74" w:rsidRDefault="00586D7D">
      <w:pPr>
        <w:pStyle w:val="ManualHeading2"/>
        <w:rPr>
          <w:rFonts w:eastAsia="Arial Unicode MS"/>
          <w:noProof/>
          <w:u w:color="000000"/>
          <w:bdr w:val="nil"/>
        </w:rPr>
      </w:pPr>
      <w:r w:rsidRPr="009E1E74">
        <w:rPr>
          <w:noProof/>
          <w:u w:color="000000"/>
          <w:bdr w:val="nil"/>
        </w:rPr>
        <w:t>•</w:t>
      </w:r>
      <w:r w:rsidRPr="009E1E74">
        <w:rPr>
          <w:noProof/>
        </w:rPr>
        <w:tab/>
      </w:r>
      <w:r w:rsidRPr="009E1E74">
        <w:rPr>
          <w:noProof/>
          <w:u w:color="000000"/>
          <w:bdr w:val="nil"/>
        </w:rPr>
        <w:t>Pagrindinės teisės</w:t>
      </w:r>
    </w:p>
    <w:p w14:paraId="78CB5018" w14:textId="77777777" w:rsidR="00C1332E" w:rsidRPr="009E1E74" w:rsidRDefault="00586D7D">
      <w:pPr>
        <w:rPr>
          <w:noProof/>
        </w:rPr>
      </w:pPr>
      <w:r w:rsidRPr="009E1E74">
        <w:rPr>
          <w:noProof/>
        </w:rPr>
        <w:t>Netaikoma</w:t>
      </w:r>
    </w:p>
    <w:p w14:paraId="2ACCA6D3" w14:textId="77777777" w:rsidR="00C1332E" w:rsidRPr="009E1E74" w:rsidRDefault="00586D7D">
      <w:pPr>
        <w:pStyle w:val="ManualHeading1"/>
        <w:rPr>
          <w:noProof/>
        </w:rPr>
      </w:pPr>
      <w:r w:rsidRPr="009E1E74">
        <w:rPr>
          <w:noProof/>
        </w:rPr>
        <w:t>4.</w:t>
      </w:r>
      <w:r w:rsidRPr="009E1E74">
        <w:rPr>
          <w:noProof/>
        </w:rPr>
        <w:tab/>
        <w:t>POVEIKIS BIUDŽETUI</w:t>
      </w:r>
    </w:p>
    <w:p w14:paraId="0828BB1B" w14:textId="51E74926" w:rsidR="009347DF" w:rsidRPr="009E1E74" w:rsidRDefault="0071189A" w:rsidP="009347DF">
      <w:pPr>
        <w:rPr>
          <w:noProof/>
        </w:rPr>
      </w:pPr>
      <w:r w:rsidRPr="009E1E74">
        <w:rPr>
          <w:noProof/>
        </w:rPr>
        <w:t>Šis pasiūlymas susijęs tik su iniciatyva „REACT-EU“, kuri finansuojama pagal Europos ekonomikos gaivinimo priemonę „NextGeneration EU“ (kaip nustatyta Tarybos reglamente (ES) 2020/2094).</w:t>
      </w:r>
    </w:p>
    <w:p w14:paraId="1D9EB51B" w14:textId="77777777" w:rsidR="009347DF" w:rsidRPr="009E1E74" w:rsidRDefault="009347DF" w:rsidP="009347DF">
      <w:pPr>
        <w:rPr>
          <w:noProof/>
        </w:rPr>
      </w:pPr>
      <w:r w:rsidRPr="009E1E74">
        <w:rPr>
          <w:noProof/>
        </w:rPr>
        <w:t xml:space="preserve">Metinis įsipareigojimų ir mokėjimų asignavimų paskirstymas Europos regioninės plėtros fondui, Europos socialiniam fondui ir Europos pagalbos labiausiai skurstantiems asmenims fondui nekeičiamas. </w:t>
      </w:r>
    </w:p>
    <w:p w14:paraId="6C968C6C" w14:textId="5347259F" w:rsidR="009347DF" w:rsidRPr="009E1E74" w:rsidRDefault="009347DF" w:rsidP="009347DF">
      <w:pPr>
        <w:rPr>
          <w:noProof/>
        </w:rPr>
      </w:pPr>
      <w:r w:rsidRPr="009E1E74">
        <w:rPr>
          <w:noProof/>
        </w:rPr>
        <w:t xml:space="preserve">Įgyvendinant pasiūlymą papildoma išankstinio finansavimo suma, bus išmokėta pagal REACT-EU, finansuojamą pagal Europos ekonomikos gaivinimo priemonę „NextGeneration EU“. </w:t>
      </w:r>
    </w:p>
    <w:p w14:paraId="6695ED3D" w14:textId="77777777" w:rsidR="009347DF" w:rsidRPr="009E1E74" w:rsidRDefault="009347DF" w:rsidP="009347DF">
      <w:pPr>
        <w:rPr>
          <w:noProof/>
        </w:rPr>
      </w:pPr>
      <w:r w:rsidRPr="009E1E74">
        <w:rPr>
          <w:noProof/>
        </w:rPr>
        <w:t>Papildomi pradinio išankstinio finansavimo mokėjimai 2022 m. bus finansuojami iš išorės asignuotųjų pajamų. Visos sumos bus pateiktos kaip išorės asignuotosios pajamos, kaip apibrėžta Finansinio reglamento 21 straipsnio 5 dalyje, gautos vykdant skolinimosi operacijas pagal priemonę „NextGeneration EU“.</w:t>
      </w:r>
    </w:p>
    <w:p w14:paraId="20BB2D7B" w14:textId="77777777" w:rsidR="00EF5081" w:rsidRPr="009E1E74" w:rsidRDefault="009347DF" w:rsidP="00EF5081">
      <w:pPr>
        <w:rPr>
          <w:noProof/>
        </w:rPr>
      </w:pPr>
      <w:r w:rsidRPr="009E1E74">
        <w:rPr>
          <w:noProof/>
        </w:rPr>
        <w:t xml:space="preserve">Sumokėta papildomo pradinio išankstinio finansavimo suma Komisijos sąskaitose visiškai patvirtinama ne vėliau kaip tada, kai užbaigiama veiksmų programa, kad bendra pagal REACT-EU atliktų mokėjimų suma dėl šio pasiūlymo liktų nepakitusi. Be to, nebus keičiama bendra įsipareigojimų asignavimų suma pagal REACT-EU. </w:t>
      </w:r>
    </w:p>
    <w:p w14:paraId="47CC85E0" w14:textId="77777777" w:rsidR="00C1332E" w:rsidRPr="009E1E74" w:rsidRDefault="00586D7D">
      <w:pPr>
        <w:pStyle w:val="ManualHeading1"/>
        <w:rPr>
          <w:noProof/>
        </w:rPr>
      </w:pPr>
      <w:r w:rsidRPr="009E1E74">
        <w:rPr>
          <w:noProof/>
        </w:rPr>
        <w:t>5.</w:t>
      </w:r>
      <w:r w:rsidRPr="009E1E74">
        <w:rPr>
          <w:noProof/>
        </w:rPr>
        <w:tab/>
        <w:t>KITI ELEMENTAI</w:t>
      </w:r>
    </w:p>
    <w:p w14:paraId="0C38B314" w14:textId="77777777" w:rsidR="00C1332E" w:rsidRPr="009E1E74" w:rsidRDefault="00586D7D">
      <w:pPr>
        <w:pStyle w:val="ManualHeading2"/>
        <w:rPr>
          <w:rFonts w:eastAsia="Arial Unicode MS"/>
          <w:noProof/>
          <w:u w:color="000000"/>
          <w:bdr w:val="nil"/>
        </w:rPr>
      </w:pPr>
      <w:r w:rsidRPr="009E1E74">
        <w:rPr>
          <w:noProof/>
          <w:u w:color="000000"/>
          <w:bdr w:val="nil"/>
        </w:rPr>
        <w:t>•</w:t>
      </w:r>
      <w:r w:rsidRPr="009E1E74">
        <w:rPr>
          <w:noProof/>
        </w:rPr>
        <w:tab/>
      </w:r>
      <w:r w:rsidRPr="009E1E74">
        <w:rPr>
          <w:noProof/>
          <w:u w:color="000000"/>
          <w:bdr w:val="nil"/>
        </w:rPr>
        <w:t>Įgyvendinimo planai ir stebėsena, vertinimas ir ataskaitų teikimo tvarka</w:t>
      </w:r>
    </w:p>
    <w:p w14:paraId="763AAB6D" w14:textId="77777777" w:rsidR="00C1332E" w:rsidRPr="009E1E74" w:rsidRDefault="00586D7D">
      <w:pPr>
        <w:pBdr>
          <w:top w:val="nil"/>
          <w:left w:val="nil"/>
          <w:bottom w:val="nil"/>
          <w:right w:val="nil"/>
          <w:between w:val="nil"/>
          <w:bar w:val="nil"/>
        </w:pBdr>
        <w:spacing w:before="0" w:after="240"/>
        <w:rPr>
          <w:rFonts w:eastAsia="Arial Unicode MS"/>
          <w:noProof/>
        </w:rPr>
      </w:pPr>
      <w:r w:rsidRPr="009E1E74">
        <w:rPr>
          <w:noProof/>
        </w:rPr>
        <w:t>Priemonės įgyvendinimas bus stebimas ir apie jį bus pranešama taikant reglamentuose (ES) Nr. 1303/2013 ir (ES) Nr. 223/2014 nustatytus bendruosius ataskaitų teikimo mechanizmus.</w:t>
      </w:r>
    </w:p>
    <w:p w14:paraId="43CF7866" w14:textId="77777777" w:rsidR="00C1332E" w:rsidRPr="009E1E74" w:rsidRDefault="00586D7D">
      <w:pPr>
        <w:pStyle w:val="ManualHeading2"/>
        <w:rPr>
          <w:rFonts w:eastAsia="Arial Unicode MS"/>
          <w:noProof/>
          <w:u w:color="000000"/>
          <w:bdr w:val="nil"/>
        </w:rPr>
      </w:pPr>
      <w:r w:rsidRPr="009E1E74">
        <w:rPr>
          <w:noProof/>
          <w:u w:color="000000"/>
          <w:bdr w:val="nil"/>
        </w:rPr>
        <w:t>•</w:t>
      </w:r>
      <w:r w:rsidRPr="009E1E74">
        <w:rPr>
          <w:noProof/>
        </w:rPr>
        <w:tab/>
      </w:r>
      <w:r w:rsidRPr="009E1E74">
        <w:rPr>
          <w:noProof/>
          <w:u w:color="000000"/>
          <w:bdr w:val="nil"/>
        </w:rPr>
        <w:t>Aiškinamieji dokumentai (direktyvoms)</w:t>
      </w:r>
    </w:p>
    <w:p w14:paraId="094AA804" w14:textId="77777777" w:rsidR="00C1332E" w:rsidRPr="009E1E74" w:rsidRDefault="00586D7D">
      <w:pPr>
        <w:pBdr>
          <w:top w:val="nil"/>
          <w:left w:val="nil"/>
          <w:bottom w:val="nil"/>
          <w:right w:val="nil"/>
          <w:between w:val="nil"/>
          <w:bar w:val="nil"/>
        </w:pBdr>
        <w:spacing w:before="0" w:after="240"/>
        <w:rPr>
          <w:noProof/>
        </w:rPr>
      </w:pPr>
      <w:r w:rsidRPr="009E1E74">
        <w:rPr>
          <w:noProof/>
        </w:rPr>
        <w:t>Netaikoma</w:t>
      </w:r>
    </w:p>
    <w:p w14:paraId="101C5575" w14:textId="77777777" w:rsidR="00C1332E" w:rsidRPr="009E1E74" w:rsidRDefault="00586D7D">
      <w:pPr>
        <w:pStyle w:val="ManualHeading2"/>
        <w:rPr>
          <w:rFonts w:eastAsia="Arial Unicode MS"/>
          <w:noProof/>
          <w:u w:color="000000"/>
          <w:bdr w:val="nil"/>
        </w:rPr>
      </w:pPr>
      <w:r w:rsidRPr="009E1E74">
        <w:rPr>
          <w:noProof/>
          <w:u w:color="000000"/>
          <w:bdr w:val="nil"/>
        </w:rPr>
        <w:t>•</w:t>
      </w:r>
      <w:r w:rsidRPr="009E1E74">
        <w:rPr>
          <w:noProof/>
        </w:rPr>
        <w:tab/>
      </w:r>
      <w:r w:rsidRPr="009E1E74">
        <w:rPr>
          <w:noProof/>
          <w:u w:color="000000"/>
          <w:bdr w:val="nil"/>
        </w:rPr>
        <w:t>Išsamus konkrečių pasiūlymo nuostatų paaiškinimas</w:t>
      </w:r>
    </w:p>
    <w:p w14:paraId="2A071F3B" w14:textId="77777777" w:rsidR="00C71348" w:rsidRPr="009E1E74" w:rsidRDefault="00FD37F5" w:rsidP="00210F98">
      <w:pPr>
        <w:rPr>
          <w:noProof/>
        </w:rPr>
      </w:pPr>
      <w:r w:rsidRPr="009E1E74">
        <w:rPr>
          <w:noProof/>
        </w:rPr>
        <w:t>Siūloma iš dalies pakeisti reglamentus (ES) Nr. 1303/2013 ir (ES) Nr. 223/2014 siekiant numatyti didesnę pagal REACT-EU mokėtino išankstinio finansavimo procentinę dalį ir numatyti susijusį ataskaitų teikimą (Reglamento (ES) Nr. 1303/2013 92b straipsnio ir Reglamento (ES) Nr. 223/2014 6a straipsnio pakeitimai).</w:t>
      </w:r>
    </w:p>
    <w:p w14:paraId="6E45D6F9" w14:textId="77777777" w:rsidR="00C1332E" w:rsidRPr="009E1E74" w:rsidRDefault="00C1332E" w:rsidP="00E83480">
      <w:pPr>
        <w:rPr>
          <w:noProof/>
        </w:rPr>
        <w:sectPr w:rsidR="00C1332E" w:rsidRPr="009E1E74" w:rsidSect="006E606F">
          <w:footerReference w:type="default" r:id="rId13"/>
          <w:footerReference w:type="first" r:id="rId14"/>
          <w:pgSz w:w="11907" w:h="16839"/>
          <w:pgMar w:top="1134" w:right="1417" w:bottom="1134" w:left="1417" w:header="709" w:footer="709" w:gutter="0"/>
          <w:cols w:space="720"/>
          <w:docGrid w:linePitch="360"/>
        </w:sectPr>
      </w:pPr>
    </w:p>
    <w:p w14:paraId="085505AC" w14:textId="7D6034A0" w:rsidR="003039C0" w:rsidRPr="009E1E74" w:rsidRDefault="00E96EEF" w:rsidP="00E96EEF">
      <w:pPr>
        <w:pStyle w:val="Rfrenceinterinstitutionnelle"/>
        <w:rPr>
          <w:noProof/>
        </w:rPr>
      </w:pPr>
      <w:r w:rsidRPr="00E96EEF">
        <w:t>2022/0096 (COD)</w:t>
      </w:r>
    </w:p>
    <w:p w14:paraId="40C74AA9" w14:textId="619DBE61" w:rsidR="00C1332E" w:rsidRPr="009E1E74" w:rsidRDefault="009E1E74" w:rsidP="009E1E74">
      <w:pPr>
        <w:pStyle w:val="Statut"/>
        <w:rPr>
          <w:noProof/>
        </w:rPr>
      </w:pPr>
      <w:r w:rsidRPr="009E1E74">
        <w:rPr>
          <w:noProof/>
        </w:rPr>
        <w:t>Pasiūlymas</w:t>
      </w:r>
    </w:p>
    <w:p w14:paraId="3888118F" w14:textId="62482CA9" w:rsidR="00C1332E" w:rsidRPr="009E1E74" w:rsidRDefault="009E1E74" w:rsidP="009E1E74">
      <w:pPr>
        <w:pStyle w:val="Typedudocument"/>
        <w:rPr>
          <w:noProof/>
        </w:rPr>
      </w:pPr>
      <w:r w:rsidRPr="009E1E74">
        <w:rPr>
          <w:noProof/>
        </w:rPr>
        <w:t>EUROPOS PARLAMENTO IR TARYBOS REGLAMENTAS</w:t>
      </w:r>
    </w:p>
    <w:p w14:paraId="57165E75" w14:textId="2D38FDEC" w:rsidR="00C1332E" w:rsidRPr="009E1E74" w:rsidRDefault="009E1E74" w:rsidP="009E1E74">
      <w:pPr>
        <w:pStyle w:val="Titreobjet"/>
        <w:rPr>
          <w:noProof/>
        </w:rPr>
      </w:pPr>
      <w:r w:rsidRPr="009E1E74">
        <w:rPr>
          <w:noProof/>
        </w:rPr>
        <w:t xml:space="preserve">kuriuo dėl didesnio išankstinio finansavimo iš REACT-EU išteklių iš dalies keičiamas Reglamentas (ES) Nr. 1303/2013 ir Reglamentas (ES) Nr. 223/2014 </w:t>
      </w:r>
      <w:r w:rsidRPr="009E1E74">
        <w:rPr>
          <w:noProof/>
        </w:rPr>
        <w:br/>
      </w:r>
    </w:p>
    <w:p w14:paraId="1032A199" w14:textId="77777777" w:rsidR="00C1332E" w:rsidRPr="009E1E74" w:rsidRDefault="00586D7D">
      <w:pPr>
        <w:pStyle w:val="Institutionquiagit"/>
        <w:rPr>
          <w:noProof/>
        </w:rPr>
      </w:pPr>
      <w:r w:rsidRPr="009E1E74">
        <w:rPr>
          <w:noProof/>
        </w:rPr>
        <w:t>EUROPOS PARLAMENTAS IR EUROPOS SĄJUNGOS TARYBA,</w:t>
      </w:r>
    </w:p>
    <w:p w14:paraId="016E1E10" w14:textId="77777777" w:rsidR="00C1332E" w:rsidRPr="009E1E74" w:rsidRDefault="00586D7D">
      <w:pPr>
        <w:rPr>
          <w:noProof/>
        </w:rPr>
      </w:pPr>
      <w:r w:rsidRPr="009E1E74">
        <w:rPr>
          <w:noProof/>
        </w:rPr>
        <w:t xml:space="preserve">atsižvelgdami į Sutartį dėl Europos Sąjungos veikimo, ypač į jos 175 straipsnio 3 dalį ir 177 straipsnį, </w:t>
      </w:r>
    </w:p>
    <w:p w14:paraId="7883F71E" w14:textId="77777777" w:rsidR="00C1332E" w:rsidRPr="009E1E74" w:rsidRDefault="00586D7D">
      <w:pPr>
        <w:rPr>
          <w:noProof/>
        </w:rPr>
      </w:pPr>
      <w:r w:rsidRPr="009E1E74">
        <w:rPr>
          <w:noProof/>
        </w:rPr>
        <w:t>atsižvelgdami į Europos Komisijos pasiūlymą,</w:t>
      </w:r>
    </w:p>
    <w:p w14:paraId="79AC39A6" w14:textId="77777777" w:rsidR="00C1332E" w:rsidRPr="009E1E74" w:rsidRDefault="00586D7D">
      <w:pPr>
        <w:rPr>
          <w:noProof/>
        </w:rPr>
      </w:pPr>
      <w:r w:rsidRPr="009E1E74">
        <w:rPr>
          <w:noProof/>
        </w:rPr>
        <w:t>teisėkūros procedūra priimamo akto projektą perdavus nacionaliniams parlamentams,</w:t>
      </w:r>
    </w:p>
    <w:p w14:paraId="5F2C9581" w14:textId="77777777" w:rsidR="00C1332E" w:rsidRPr="009E1E74" w:rsidRDefault="00586D7D">
      <w:pPr>
        <w:rPr>
          <w:noProof/>
        </w:rPr>
      </w:pPr>
      <w:r w:rsidRPr="009E1E74">
        <w:rPr>
          <w:noProof/>
        </w:rPr>
        <w:t>atsižvelgdami į Europos ekonomikos ir socialinių reikalų komiteto nuomonę</w:t>
      </w:r>
      <w:r w:rsidRPr="009E1E74">
        <w:rPr>
          <w:rStyle w:val="FootnoteReference"/>
          <w:noProof/>
        </w:rPr>
        <w:footnoteReference w:id="2"/>
      </w:r>
      <w:r w:rsidRPr="009E1E74">
        <w:rPr>
          <w:noProof/>
        </w:rPr>
        <w:t xml:space="preserve">, </w:t>
      </w:r>
    </w:p>
    <w:p w14:paraId="4C706DF9" w14:textId="77777777" w:rsidR="00C1332E" w:rsidRPr="009E1E74" w:rsidRDefault="00586D7D">
      <w:pPr>
        <w:rPr>
          <w:noProof/>
        </w:rPr>
      </w:pPr>
      <w:r w:rsidRPr="009E1E74">
        <w:rPr>
          <w:noProof/>
        </w:rPr>
        <w:t>atsižvelgdami į Regionų komiteto nuomonę</w:t>
      </w:r>
      <w:r w:rsidRPr="009E1E74">
        <w:rPr>
          <w:rStyle w:val="FootnoteReference"/>
          <w:noProof/>
        </w:rPr>
        <w:footnoteReference w:id="3"/>
      </w:r>
      <w:r w:rsidRPr="009E1E74">
        <w:rPr>
          <w:noProof/>
        </w:rPr>
        <w:t>,</w:t>
      </w:r>
    </w:p>
    <w:p w14:paraId="1037C9D1" w14:textId="77777777" w:rsidR="00C1332E" w:rsidRPr="009E1E74" w:rsidRDefault="00586D7D">
      <w:pPr>
        <w:rPr>
          <w:noProof/>
        </w:rPr>
      </w:pPr>
      <w:r w:rsidRPr="009E1E74">
        <w:rPr>
          <w:noProof/>
        </w:rPr>
        <w:t>laikydamiesi įprastos teisėkūros procedūros,</w:t>
      </w:r>
    </w:p>
    <w:p w14:paraId="47462108" w14:textId="77777777" w:rsidR="00C1332E" w:rsidRPr="009E1E74" w:rsidRDefault="00586D7D">
      <w:pPr>
        <w:rPr>
          <w:noProof/>
        </w:rPr>
      </w:pPr>
      <w:r w:rsidRPr="009E1E74">
        <w:rPr>
          <w:noProof/>
        </w:rPr>
        <w:t>kadangi:</w:t>
      </w:r>
    </w:p>
    <w:p w14:paraId="686DFC08" w14:textId="12236B57" w:rsidR="00C172F0" w:rsidRPr="009E1E74" w:rsidRDefault="00212D2A" w:rsidP="00212D2A">
      <w:pPr>
        <w:pStyle w:val="ManualConsidrant"/>
        <w:rPr>
          <w:noProof/>
        </w:rPr>
      </w:pPr>
      <w:r w:rsidRPr="009E1E74">
        <w:rPr>
          <w:noProof/>
        </w:rPr>
        <w:t>(1)</w:t>
      </w:r>
      <w:r w:rsidRPr="009E1E74">
        <w:rPr>
          <w:noProof/>
        </w:rPr>
        <w:tab/>
        <w:t>neseniai pradėta Rusijos karinė agresija prieš Ukrainą ir besitęsiantis ginkluotas konfliktas iš esmės pakeitė saugumo padėtį Europoje. Dėl šios agresijos Europos Sąjunga, ypač jos rytiniai regionai, susiduria su dideliu asmenų srautu. Tai yra papildomas sunkumas valstybiniams biudžetams tuo metu, kai valstybių narių ekonomika vis dar atsigauna nuo COVID-19 pandemijos poveikio, ir kyla pavojus, kad nebus pasirengta žaliajam, skaitmeniniam ir atspariam ekonomikos atsigavimui;</w:t>
      </w:r>
    </w:p>
    <w:p w14:paraId="5E6AADB9" w14:textId="77777777" w:rsidR="00D91CF7" w:rsidRPr="009E1E74" w:rsidRDefault="00212D2A" w:rsidP="00212D2A">
      <w:pPr>
        <w:pStyle w:val="ManualConsidrant"/>
        <w:rPr>
          <w:noProof/>
        </w:rPr>
      </w:pPr>
      <w:r w:rsidRPr="009E1E74">
        <w:rPr>
          <w:noProof/>
        </w:rPr>
        <w:t>(2)</w:t>
      </w:r>
      <w:r w:rsidRPr="009E1E74">
        <w:rPr>
          <w:noProof/>
        </w:rPr>
        <w:tab/>
        <w:t>valstybės narės jau gali finansuoti įvairias investicijas migracijos problemoms spręsti pagal savo veiksmų programas, naudodamosi Europos regioninės plėtros fondo (ERPF), Europos socialinio fondo (ESF) ir Europos pagalbos labiausiai skurstantiems asmenims fondo (EPLSAF) teikiama parama, įskaitant papildomus išteklius, teikiamus kaip sanglaudai ir Europos teritorijoms skirta ekonomikos gaivinimo pagalba (REACT-EU), siekdamos skatinti įveikti COVID-19 pandemijos sukeltą krizę ir jos socialinius padarinius ir pasirengti žaliajam, skaitmeniniam ir atspariam ekonomikos atsigavimui;</w:t>
      </w:r>
    </w:p>
    <w:p w14:paraId="3D9784D9" w14:textId="77777777" w:rsidR="00182F8D" w:rsidRPr="009E1E74" w:rsidRDefault="00212D2A" w:rsidP="00212D2A">
      <w:pPr>
        <w:pStyle w:val="ManualConsidrant"/>
        <w:rPr>
          <w:noProof/>
        </w:rPr>
      </w:pPr>
      <w:r w:rsidRPr="009E1E74">
        <w:rPr>
          <w:noProof/>
        </w:rPr>
        <w:t>(3)</w:t>
      </w:r>
      <w:r w:rsidRPr="009E1E74">
        <w:rPr>
          <w:noProof/>
        </w:rPr>
        <w:tab/>
        <w:t>be to, Komisija savo 2022 m. kovo 8 d. sanglaudos veiksmų pabėgėliams Europoje (CARE) iniciatyvoje pasiūlė keletą tikslinių Europos Parlamento ir Tarybos reglamento (ES) Nr. 1303/2013</w:t>
      </w:r>
      <w:r w:rsidRPr="009E1E74">
        <w:rPr>
          <w:rStyle w:val="FootnoteReference"/>
          <w:noProof/>
        </w:rPr>
        <w:footnoteReference w:id="4"/>
      </w:r>
      <w:r w:rsidRPr="009E1E74">
        <w:rPr>
          <w:noProof/>
        </w:rPr>
        <w:t xml:space="preserve"> ir Europos Parlamento ir Tarybos reglamento (ES) Nr. 223/2014</w:t>
      </w:r>
      <w:r w:rsidRPr="009E1E74">
        <w:rPr>
          <w:rStyle w:val="FootnoteReference"/>
          <w:noProof/>
        </w:rPr>
        <w:footnoteReference w:id="5"/>
      </w:r>
      <w:r w:rsidRPr="009E1E74">
        <w:rPr>
          <w:noProof/>
        </w:rPr>
        <w:t xml:space="preserve"> pakeitimų, kad valstybės narės galėtų lengviau panaudoti likusius ERPF, ESF ir EPLSAF asignavimus pagal 2014–2020 m. daugiametę finansinę programą, taip pat REACT-EU išteklius, kad migracijos problemos būtų sprendžiamos kuo veiksmingiau ir kuo greičiau;</w:t>
      </w:r>
    </w:p>
    <w:p w14:paraId="78D04F39" w14:textId="57941E12" w:rsidR="00E46FC1" w:rsidRPr="009E1E74" w:rsidRDefault="00212D2A" w:rsidP="00212D2A">
      <w:pPr>
        <w:pStyle w:val="ManualConsidrant"/>
        <w:rPr>
          <w:noProof/>
        </w:rPr>
      </w:pPr>
      <w:r w:rsidRPr="009E1E74">
        <w:rPr>
          <w:noProof/>
        </w:rPr>
        <w:t>(4)</w:t>
      </w:r>
      <w:r w:rsidRPr="009E1E74">
        <w:rPr>
          <w:noProof/>
        </w:rPr>
        <w:tab/>
        <w:t>nepaisant pasiūlyme dėl CARE numatyto lankstumo, valstybių narių biudžetai ir toliau patiria didelį spaudimą dėl sunkumų, kylančių dėl labai didelio iš Ukrainos bėgančių asmenų srauto. Dėl šio spaudimo jos gali būti mažiau pajėgios siekti atsparaus ekonomikos atsigavimo po COVID-19 pandemijos. Todėl, siekiant padėti valstybėms narėms spręsti kilusias problemas, ERPF, ESF ir EPLSAF parama turėtų būti skubiai sutelkta padidinant pradinio išankstinio finansavimo, mokamo iš REACT-EU išteklių, visoms valstybėms narėms taikomą normą. Be to, kai kurios valstybės narės susidūrė su dideliu iš Ukrainos atvykstančių asmenų srautu, todėl joms reikalinga neatidėliotina parama. Todėl šioms valstybėms narėms turėtų būti atitinkamai gerokai padidinta pradinio išankstinio finansavimo norma, kad būtų kompensuotos neatidėliotinos biudžeto išlaidos ir remiamos jų pastangos rengiantis ekonomikos atsigavimui;</w:t>
      </w:r>
    </w:p>
    <w:p w14:paraId="6A7C281A" w14:textId="37D30931" w:rsidR="00D91CF7" w:rsidRPr="009E1E74" w:rsidRDefault="00212D2A" w:rsidP="00212D2A">
      <w:pPr>
        <w:pStyle w:val="ManualConsidrant"/>
        <w:rPr>
          <w:noProof/>
        </w:rPr>
      </w:pPr>
      <w:r w:rsidRPr="009E1E74">
        <w:rPr>
          <w:noProof/>
        </w:rPr>
        <w:t>(5)</w:t>
      </w:r>
      <w:r w:rsidRPr="009E1E74">
        <w:rPr>
          <w:noProof/>
        </w:rPr>
        <w:tab/>
        <w:t xml:space="preserve">siekiant stebėti, kaip naudojamas ši papildomas išankstinis finansavimas, ERPF ir ESF programų, kurioms skiriamas papildomas išankstinis finansavimas, įgyvendinimo galutinėse ataskaitose turėtų būti nurodyta, kaip panaudotos papildomos sumos, skirtos migracijos problemoms, kylančioms dėl Rusijos Federacijos karinės agresijos, spręsti, ir kaip jomis prisidėta siekiant ekonomikos atsigavimo; </w:t>
      </w:r>
    </w:p>
    <w:p w14:paraId="381B6AF3" w14:textId="51870845" w:rsidR="00C1332E" w:rsidRPr="009E1E74" w:rsidRDefault="00212D2A" w:rsidP="00212D2A">
      <w:pPr>
        <w:pStyle w:val="ManualConsidrant"/>
        <w:rPr>
          <w:noProof/>
        </w:rPr>
      </w:pPr>
      <w:r w:rsidRPr="009E1E74">
        <w:rPr>
          <w:noProof/>
        </w:rPr>
        <w:t>(6)</w:t>
      </w:r>
      <w:r w:rsidRPr="009E1E74">
        <w:rPr>
          <w:noProof/>
        </w:rPr>
        <w:tab/>
        <w:t>kadangi šio reglamento tikslo, t. y. padėti valstybėms narėms spręsti problemas, kylančias dėl išskirtinai didelio nuo karo prieš Ukrainą bėgančių žmonių skaičiaus, ir remti jų pastangas siekiant atsparaus ekonomikos atsigavimo po COVID-19 pandemijos, valstybės narės vienos negali deramai pasiekti ir kadangi dėl siūlomo veiksmo masto ir poveikio to tikslo būtų geriau siekti Sąjungos lygiu, laikydamasi Europos Sąjungos sutarties 5 straipsnyje nustatyto subsidiarumo principo Sąjunga gali patvirtinti priemones. Pagal tame straipsnyje nustatytą proporcingumo principą šiuo reglamentu neviršijama to, kas būtina nurodytiems tikslams pasiekti;</w:t>
      </w:r>
    </w:p>
    <w:p w14:paraId="0EE2CFA3" w14:textId="77777777" w:rsidR="00C1332E" w:rsidRPr="009E1E74" w:rsidRDefault="00212D2A" w:rsidP="00212D2A">
      <w:pPr>
        <w:pStyle w:val="ManualConsidrant"/>
        <w:rPr>
          <w:noProof/>
        </w:rPr>
      </w:pPr>
      <w:r w:rsidRPr="009E1E74">
        <w:rPr>
          <w:noProof/>
        </w:rPr>
        <w:t>(7)</w:t>
      </w:r>
      <w:r w:rsidRPr="009E1E74">
        <w:rPr>
          <w:noProof/>
        </w:rPr>
        <w:tab/>
        <w:t>todėl Reglamentas (ES) Nr. 1303/2013 ir Reglamentas (ES) Nr. 223/2014 turėtų būti atitinkamai iš dalies pakeisti;</w:t>
      </w:r>
    </w:p>
    <w:p w14:paraId="2E444E26" w14:textId="77777777" w:rsidR="00C1332E" w:rsidRPr="009E1E74" w:rsidRDefault="00212D2A" w:rsidP="00212D2A">
      <w:pPr>
        <w:pStyle w:val="ManualConsidrant"/>
        <w:rPr>
          <w:noProof/>
        </w:rPr>
      </w:pPr>
      <w:r w:rsidRPr="009E1E74">
        <w:rPr>
          <w:noProof/>
        </w:rPr>
        <w:t>(8)</w:t>
      </w:r>
      <w:r w:rsidRPr="009E1E74">
        <w:rPr>
          <w:noProof/>
        </w:rPr>
        <w:tab/>
        <w:t xml:space="preserve">atsižvelgiant į tai, kad reikia skubiai suteikti pagalbą valstybiniams biudžetams, kad būtų išsaugotas valstybių narių gebėjimas tęsti ekonomikos atsigavimo procesą ir nedelsiant atlikti papildomus mokėjimus veiksmų programoms, būtina, kad šis reglamentas įsigaliotų kitą dieną po jo paskelbimo </w:t>
      </w:r>
      <w:r w:rsidRPr="009E1E74">
        <w:rPr>
          <w:i/>
          <w:noProof/>
        </w:rPr>
        <w:t>Europos Sąjungos oficialiajame leidinyje</w:t>
      </w:r>
      <w:r w:rsidRPr="009E1E74">
        <w:rPr>
          <w:noProof/>
        </w:rPr>
        <w:t>;</w:t>
      </w:r>
    </w:p>
    <w:p w14:paraId="0D76C88C" w14:textId="77777777" w:rsidR="00C1332E" w:rsidRPr="009E1E74" w:rsidRDefault="00212D2A" w:rsidP="00212D2A">
      <w:pPr>
        <w:pStyle w:val="ManualConsidrant"/>
        <w:rPr>
          <w:noProof/>
        </w:rPr>
      </w:pPr>
      <w:r w:rsidRPr="009E1E74">
        <w:rPr>
          <w:noProof/>
        </w:rPr>
        <w:t>(9)</w:t>
      </w:r>
      <w:r w:rsidRPr="009E1E74">
        <w:rPr>
          <w:noProof/>
        </w:rPr>
        <w:tab/>
        <w:t>atsižvelgiant į tai, kad būtina skubiai suteikti pagalbą valstybiniams biudžetams, kad būtų išsaugotas jų pajėgumas remti ekonomikos atsigavimą po COVID-19 pandemijos, ir sudaryti sąlygas nedelsiant atlikti papildomus mokėjimus veiksmų programoms, manoma, kad būtina taikyti išimtį dėl aštuonių savaičių laikotarpio, nurodyto prie Europos Sąjungos sutarties, Sutarties dėl Europos Sąjungos veikimo ir Europos atominės energijos bendrijos steigimo sutarties pridėto Protokolo Nr. 1 4 straipsnyje dėl nacionalinių parlamentų vaidmens Europos Sąjungoje,</w:t>
      </w:r>
    </w:p>
    <w:p w14:paraId="20F853F1" w14:textId="77777777" w:rsidR="00C1332E" w:rsidRPr="009E1E74" w:rsidRDefault="00586D7D">
      <w:pPr>
        <w:pStyle w:val="Formuledadoption"/>
        <w:rPr>
          <w:noProof/>
        </w:rPr>
      </w:pPr>
      <w:r w:rsidRPr="009E1E74">
        <w:rPr>
          <w:noProof/>
        </w:rPr>
        <w:t>PRIĖMĖ ŠĮ REGLAMENTĄ:</w:t>
      </w:r>
    </w:p>
    <w:p w14:paraId="71B8F70D" w14:textId="77777777" w:rsidR="00C1332E" w:rsidRPr="009E1E74" w:rsidRDefault="00586D7D">
      <w:pPr>
        <w:pStyle w:val="Titrearticle"/>
        <w:rPr>
          <w:noProof/>
        </w:rPr>
      </w:pPr>
      <w:r w:rsidRPr="009E1E74">
        <w:rPr>
          <w:noProof/>
        </w:rPr>
        <w:t>1 straipsnis</w:t>
      </w:r>
    </w:p>
    <w:p w14:paraId="5FEA97E5" w14:textId="77777777" w:rsidR="00C71348" w:rsidRPr="009E1E74" w:rsidRDefault="00C71348" w:rsidP="00C71348">
      <w:pPr>
        <w:jc w:val="center"/>
        <w:rPr>
          <w:b/>
          <w:noProof/>
        </w:rPr>
      </w:pPr>
      <w:r w:rsidRPr="009E1E74">
        <w:rPr>
          <w:b/>
          <w:noProof/>
        </w:rPr>
        <w:t>Reglamento (ES) Nr. 1303/2013 pakeitimai</w:t>
      </w:r>
    </w:p>
    <w:p w14:paraId="45D214DE" w14:textId="77777777" w:rsidR="00396995" w:rsidRPr="009E1E74" w:rsidRDefault="00396995" w:rsidP="00396995">
      <w:pPr>
        <w:jc w:val="left"/>
        <w:rPr>
          <w:noProof/>
        </w:rPr>
      </w:pPr>
      <w:r w:rsidRPr="009E1E74">
        <w:rPr>
          <w:noProof/>
        </w:rPr>
        <w:t>Reglamentas (ES) Nr. 1303/2013 iš dalies keičiamas taip:</w:t>
      </w:r>
    </w:p>
    <w:p w14:paraId="277758F9" w14:textId="77777777" w:rsidR="00D226DB" w:rsidRPr="009E1E74" w:rsidRDefault="00212D2A" w:rsidP="00212D2A">
      <w:pPr>
        <w:pStyle w:val="Point0"/>
        <w:rPr>
          <w:noProof/>
        </w:rPr>
      </w:pPr>
      <w:r w:rsidRPr="009E1E74">
        <w:rPr>
          <w:noProof/>
        </w:rPr>
        <w:t>1)</w:t>
      </w:r>
      <w:r w:rsidRPr="009E1E74">
        <w:rPr>
          <w:noProof/>
        </w:rPr>
        <w:tab/>
        <w:t>92b straipsnio 7 dalyje įterpiamos ši antra ir trečia pastraipos:</w:t>
      </w:r>
    </w:p>
    <w:p w14:paraId="289D1782" w14:textId="1DB71955" w:rsidR="00CE3297" w:rsidRPr="009E1E74" w:rsidRDefault="00CA5FF3" w:rsidP="00FB50B6">
      <w:pPr>
        <w:pStyle w:val="Text1"/>
        <w:rPr>
          <w:noProof/>
        </w:rPr>
      </w:pPr>
      <w:r w:rsidRPr="009E1E74">
        <w:rPr>
          <w:noProof/>
        </w:rPr>
        <w:t xml:space="preserve">„Be pirmoje pastraipoje nustatyto pradinio išankstinio finansavimo Komisija 2022 m. kaip papildomą pradinį išankstinį finansavimą sumoka 4 proc. REACT-EU išteklių, skirtų 2021 m. vykdomoms programoms. Programoms valstybėse narėse, kuriose nuo 2022 m. vasario 24 d. iki 2022 m. kovo 23 d. iš Ukrainos atvykusių asmenų skaičius yra didesnis nei 1 proc. viso jų gyventojų skaičiaus, ta procentinė dalis padidinama iki 34 proc. </w:t>
      </w:r>
    </w:p>
    <w:p w14:paraId="2D9BA1E8" w14:textId="5A7C834C" w:rsidR="00182F8D" w:rsidRPr="009E1E74" w:rsidRDefault="00182F8D" w:rsidP="00FB50B6">
      <w:pPr>
        <w:pStyle w:val="Text1"/>
        <w:rPr>
          <w:noProof/>
        </w:rPr>
      </w:pPr>
      <w:r w:rsidRPr="009E1E74">
        <w:rPr>
          <w:noProof/>
        </w:rPr>
        <w:t>Teikdamos galutines įgyvendinimo ataskaitas, kurių reikalaujama pagal 50 straipsnio 1 dalį ir 111 straipsnį, valstybės narės praneša apie šio papildomo pradinio išankstinio finansavimo panaudojimą migracijos problemoms, kylančioms dėl Rusijos Federacijos karinės agresijos, spręsti ir jo indėlį siekiant ekonomikos atsigavimo.“</w:t>
      </w:r>
    </w:p>
    <w:p w14:paraId="469F064A" w14:textId="77777777" w:rsidR="009347DF" w:rsidRPr="009E1E74" w:rsidRDefault="00212D2A" w:rsidP="00212D2A">
      <w:pPr>
        <w:pStyle w:val="Point0"/>
        <w:rPr>
          <w:noProof/>
        </w:rPr>
      </w:pPr>
      <w:r w:rsidRPr="009E1E74">
        <w:rPr>
          <w:noProof/>
        </w:rPr>
        <w:t>2)</w:t>
      </w:r>
      <w:r w:rsidRPr="009E1E74">
        <w:rPr>
          <w:noProof/>
        </w:rPr>
        <w:tab/>
        <w:t xml:space="preserve">92b straipsnio 7 dalyje paskutinė pastraipa pakeičiama taip: </w:t>
      </w:r>
    </w:p>
    <w:p w14:paraId="5DC129E2" w14:textId="7F0C6FB8" w:rsidR="00F31D74" w:rsidRPr="009E1E74" w:rsidRDefault="009347DF" w:rsidP="00C1089D">
      <w:pPr>
        <w:pStyle w:val="Text1"/>
        <w:rPr>
          <w:noProof/>
        </w:rPr>
      </w:pPr>
      <w:r w:rsidRPr="009E1E74">
        <w:rPr>
          <w:noProof/>
        </w:rPr>
        <w:t>„Jei Komisijos sprendimas, kuriuo patvirtinama veiksmų programa arba veiksmų programos pakeitimas, kuriuo skiriami REACT-EU ištekliai 2021 m., buvo priimtas po 2021 m. gruodžio 31 d., o susijęs išankstinis finansavimas neišmokėtas, pirmoje ir antroje pastraipose nurodyta pradinio išankstinio finansavimo suma sumokama 2022 m.</w:t>
      </w:r>
    </w:p>
    <w:p w14:paraId="5670BD9C" w14:textId="60207F46" w:rsidR="009347DF" w:rsidRPr="009E1E74" w:rsidRDefault="009347DF" w:rsidP="00C1089D">
      <w:pPr>
        <w:pStyle w:val="Text1"/>
        <w:rPr>
          <w:noProof/>
        </w:rPr>
      </w:pPr>
      <w:r w:rsidRPr="009E1E74">
        <w:rPr>
          <w:noProof/>
        </w:rPr>
        <w:t>Sumokėta pirmoje ir antroje pastraipose nurodyta pradinio išankstinio finansavimo suma Komisijos sąskaitose visiškai patvirtinama ne vėliau kaip tada, kai užbaigiama veiksmų programa.“</w:t>
      </w:r>
    </w:p>
    <w:p w14:paraId="3E26E2D6" w14:textId="77777777" w:rsidR="00C71348" w:rsidRPr="009E1E74" w:rsidRDefault="00C71348" w:rsidP="00C71348">
      <w:pPr>
        <w:pStyle w:val="Titrearticle"/>
        <w:rPr>
          <w:noProof/>
        </w:rPr>
      </w:pPr>
      <w:r w:rsidRPr="009E1E74">
        <w:rPr>
          <w:noProof/>
        </w:rPr>
        <w:t>2 straipsnis</w:t>
      </w:r>
    </w:p>
    <w:p w14:paraId="74D90B6C" w14:textId="77777777" w:rsidR="00C71348" w:rsidRPr="009E1E74" w:rsidRDefault="00C71348" w:rsidP="00C71348">
      <w:pPr>
        <w:jc w:val="center"/>
        <w:rPr>
          <w:noProof/>
        </w:rPr>
      </w:pPr>
      <w:r w:rsidRPr="009E1E74">
        <w:rPr>
          <w:b/>
          <w:noProof/>
        </w:rPr>
        <w:t>Reglamento (ES) Nr. 223/2014 pakeitimai</w:t>
      </w:r>
    </w:p>
    <w:p w14:paraId="45982CB7" w14:textId="77777777" w:rsidR="00C71348" w:rsidRPr="009E1E74" w:rsidRDefault="00C71348" w:rsidP="00C71348">
      <w:pPr>
        <w:jc w:val="left"/>
        <w:rPr>
          <w:noProof/>
        </w:rPr>
      </w:pPr>
      <w:r w:rsidRPr="009E1E74">
        <w:rPr>
          <w:noProof/>
        </w:rPr>
        <w:t>Reglamentas (ES) Nr. 223/2014 iš dalies keičiamas taip:</w:t>
      </w:r>
    </w:p>
    <w:p w14:paraId="79F83355" w14:textId="77777777" w:rsidR="00C71348" w:rsidRPr="009E1E74" w:rsidRDefault="00212D2A" w:rsidP="00212D2A">
      <w:pPr>
        <w:pStyle w:val="Point0"/>
        <w:rPr>
          <w:noProof/>
        </w:rPr>
      </w:pPr>
      <w:r w:rsidRPr="009E1E74">
        <w:rPr>
          <w:noProof/>
        </w:rPr>
        <w:t>1)</w:t>
      </w:r>
      <w:r w:rsidRPr="009E1E74">
        <w:rPr>
          <w:noProof/>
        </w:rPr>
        <w:tab/>
        <w:t>6a straipsnio 4 dalyje įterpiama ši antra pastraipa:</w:t>
      </w:r>
    </w:p>
    <w:p w14:paraId="41D62F54" w14:textId="4EEF8515" w:rsidR="00C71348" w:rsidRPr="009E1E74" w:rsidRDefault="00892800" w:rsidP="004E0DDA">
      <w:pPr>
        <w:pStyle w:val="Text1"/>
        <w:rPr>
          <w:noProof/>
        </w:rPr>
      </w:pPr>
      <w:r w:rsidRPr="009E1E74">
        <w:rPr>
          <w:noProof/>
        </w:rPr>
        <w:t>„Be pirmoje pastraipoje nustatyto pradinio išankstinio finansavimo Komisija 2022 m. kaip papildomą pradinį išankstinį finansavimą sumoka 4 proc. REACT-EU išteklių, skirtų 2021 m. vykdomoms programoms. Programoms valstybėse narėse, kuriose nuo 2022 m. vasario 24 d. iki 2022 m. kovo 23 d. iš Ukrainos atvykusių asmenų skaičius yra didesnis nei 1 proc. viso jų gyventojų skaičiaus, ta procentinė dalis padidinama iki 34 proc.“</w:t>
      </w:r>
    </w:p>
    <w:p w14:paraId="50E26F46" w14:textId="77777777" w:rsidR="009347DF" w:rsidRPr="009E1E74" w:rsidRDefault="00212D2A" w:rsidP="00212D2A">
      <w:pPr>
        <w:pStyle w:val="Point0"/>
        <w:rPr>
          <w:noProof/>
        </w:rPr>
      </w:pPr>
      <w:r w:rsidRPr="009E1E74">
        <w:rPr>
          <w:noProof/>
        </w:rPr>
        <w:t>2)</w:t>
      </w:r>
      <w:r w:rsidRPr="009E1E74">
        <w:rPr>
          <w:noProof/>
        </w:rPr>
        <w:tab/>
        <w:t xml:space="preserve">6a straipsnio 4 dalyje paskutinė pastraipa pakeičiama taip: </w:t>
      </w:r>
    </w:p>
    <w:p w14:paraId="19D3AE64" w14:textId="462800B2" w:rsidR="009347DF" w:rsidRPr="009E1E74" w:rsidRDefault="009347DF" w:rsidP="00C1089D">
      <w:pPr>
        <w:pStyle w:val="Text1"/>
        <w:rPr>
          <w:noProof/>
        </w:rPr>
      </w:pPr>
      <w:r w:rsidRPr="009E1E74">
        <w:rPr>
          <w:noProof/>
        </w:rPr>
        <w:t>„Sumokėta pirmoje ir antroje pastraipose nurodyta pradinio išankstinio finansavimo suma Komisijos sąskaitose visiškai patvirtinama ne vėliau kaip tada, kai užbaigiama veiksmų programa.“</w:t>
      </w:r>
    </w:p>
    <w:p w14:paraId="68D603A0" w14:textId="77777777" w:rsidR="00F936C3" w:rsidRPr="009E1E74" w:rsidRDefault="00D32C0F" w:rsidP="00F936C3">
      <w:pPr>
        <w:pStyle w:val="Titrearticle"/>
        <w:rPr>
          <w:noProof/>
        </w:rPr>
      </w:pPr>
      <w:r w:rsidRPr="009E1E74">
        <w:rPr>
          <w:noProof/>
        </w:rPr>
        <w:t>3 straipsnis</w:t>
      </w:r>
    </w:p>
    <w:p w14:paraId="7555EE08" w14:textId="77777777" w:rsidR="00F936C3" w:rsidRPr="009E1E74" w:rsidRDefault="00F936C3" w:rsidP="00F936C3">
      <w:pPr>
        <w:rPr>
          <w:noProof/>
        </w:rPr>
      </w:pPr>
      <w:r w:rsidRPr="009E1E74">
        <w:rPr>
          <w:noProof/>
        </w:rPr>
        <w:t xml:space="preserve">Šis reglamentas įsigalioja kitą dieną po jo paskelbimo </w:t>
      </w:r>
      <w:r w:rsidRPr="009E1E74">
        <w:rPr>
          <w:i/>
          <w:noProof/>
        </w:rPr>
        <w:t>Europos Sąjungos oficialiajame leidinyje</w:t>
      </w:r>
      <w:r w:rsidRPr="009E1E74">
        <w:rPr>
          <w:noProof/>
        </w:rPr>
        <w:t>.</w:t>
      </w:r>
    </w:p>
    <w:p w14:paraId="7C99B219" w14:textId="77777777" w:rsidR="00C1332E" w:rsidRPr="009E1E74" w:rsidRDefault="00586D7D">
      <w:pPr>
        <w:pStyle w:val="Applicationdirecte"/>
        <w:rPr>
          <w:noProof/>
        </w:rPr>
      </w:pPr>
      <w:r w:rsidRPr="009E1E74">
        <w:rPr>
          <w:noProof/>
        </w:rPr>
        <w:t>Šis reglamentas privalomas visas ir tiesiogiai taikomas visose valstybėse narėse.</w:t>
      </w:r>
    </w:p>
    <w:p w14:paraId="2F525967" w14:textId="7F8E7F17" w:rsidR="00C1332E" w:rsidRPr="009E1E74" w:rsidRDefault="00335233" w:rsidP="00237093">
      <w:pPr>
        <w:pStyle w:val="Fait"/>
        <w:rPr>
          <w:noProof/>
        </w:rPr>
      </w:pPr>
      <w:r w:rsidRPr="00335233">
        <w:t>Priimta Briuselyje</w:t>
      </w:r>
    </w:p>
    <w:p w14:paraId="053C82B0" w14:textId="77777777" w:rsidR="00C1332E" w:rsidRPr="009E1E74" w:rsidRDefault="00586D7D" w:rsidP="00237093">
      <w:pPr>
        <w:pStyle w:val="Institutionquisigne"/>
        <w:rPr>
          <w:noProof/>
        </w:rPr>
      </w:pPr>
      <w:r w:rsidRPr="009E1E74">
        <w:rPr>
          <w:noProof/>
        </w:rPr>
        <w:t>Europos Parlamento vardu</w:t>
      </w:r>
      <w:r w:rsidRPr="009E1E74">
        <w:rPr>
          <w:noProof/>
        </w:rPr>
        <w:tab/>
        <w:t>Tarybos vardu</w:t>
      </w:r>
    </w:p>
    <w:p w14:paraId="7D6E4B3D" w14:textId="77777777" w:rsidR="00C1332E" w:rsidRPr="009E1E74" w:rsidRDefault="00586D7D">
      <w:pPr>
        <w:pStyle w:val="Personnequisigne"/>
        <w:rPr>
          <w:noProof/>
        </w:rPr>
      </w:pPr>
      <w:r w:rsidRPr="009E1E74">
        <w:rPr>
          <w:noProof/>
        </w:rPr>
        <w:t>Pirmininkė</w:t>
      </w:r>
      <w:r w:rsidRPr="009E1E74">
        <w:rPr>
          <w:noProof/>
        </w:rPr>
        <w:tab/>
        <w:t>Pirmininkas</w:t>
      </w:r>
    </w:p>
    <w:p w14:paraId="0B4950EF" w14:textId="77777777" w:rsidR="00C1332E" w:rsidRPr="009E1E74" w:rsidRDefault="00C1332E">
      <w:pPr>
        <w:rPr>
          <w:noProof/>
        </w:rPr>
        <w:sectPr w:rsidR="00C1332E" w:rsidRPr="009E1E74" w:rsidSect="006E606F">
          <w:pgSz w:w="11907" w:h="16839"/>
          <w:pgMar w:top="1134" w:right="1417" w:bottom="1134" w:left="1417" w:header="709" w:footer="709" w:gutter="0"/>
          <w:cols w:space="720"/>
          <w:docGrid w:linePitch="360"/>
        </w:sectPr>
      </w:pPr>
    </w:p>
    <w:p w14:paraId="16B29859" w14:textId="4647476D" w:rsidR="00E41E7D" w:rsidRPr="009E1E74" w:rsidRDefault="00E41E7D" w:rsidP="009B3DB9">
      <w:pPr>
        <w:pStyle w:val="Fichefinanciretitre"/>
        <w:rPr>
          <w:noProof/>
        </w:rPr>
      </w:pPr>
      <w:bookmarkStart w:id="1" w:name="_Toc514938050"/>
      <w:bookmarkStart w:id="2" w:name="_Toc520485049"/>
      <w:r w:rsidRPr="009E1E74">
        <w:rPr>
          <w:noProof/>
        </w:rPr>
        <w:t>FINANSINĖ TEISĖS AKTO PASIŪLYMO PAŽYMA</w:t>
      </w:r>
    </w:p>
    <w:p w14:paraId="5C8B58A9" w14:textId="77777777" w:rsidR="00E41E7D" w:rsidRPr="009E1E74" w:rsidRDefault="00212D2A" w:rsidP="00212D2A">
      <w:pPr>
        <w:pStyle w:val="ManualHeading1"/>
        <w:rPr>
          <w:noProof/>
        </w:rPr>
      </w:pPr>
      <w:bookmarkStart w:id="3" w:name="_Toc514938007"/>
      <w:bookmarkStart w:id="4" w:name="_Toc520485025"/>
      <w:r w:rsidRPr="009E1E74">
        <w:rPr>
          <w:noProof/>
        </w:rPr>
        <w:t>1.</w:t>
      </w:r>
      <w:r w:rsidRPr="009E1E74">
        <w:rPr>
          <w:noProof/>
        </w:rPr>
        <w:tab/>
        <w:t>PASIŪLYMO (INICIATYVOS) STRUKTŪRA</w:t>
      </w:r>
      <w:bookmarkEnd w:id="3"/>
      <w:bookmarkEnd w:id="4"/>
      <w:r w:rsidRPr="009E1E74">
        <w:rPr>
          <w:noProof/>
        </w:rPr>
        <w:t xml:space="preserve"> </w:t>
      </w:r>
    </w:p>
    <w:p w14:paraId="68D52C6D" w14:textId="77777777" w:rsidR="00E41E7D" w:rsidRPr="009E1E74" w:rsidRDefault="00212D2A" w:rsidP="00212D2A">
      <w:pPr>
        <w:pStyle w:val="ManualHeading2"/>
        <w:rPr>
          <w:noProof/>
        </w:rPr>
      </w:pPr>
      <w:bookmarkStart w:id="5" w:name="_Toc514938008"/>
      <w:bookmarkStart w:id="6" w:name="_Toc520485026"/>
      <w:r w:rsidRPr="009E1E74">
        <w:rPr>
          <w:noProof/>
        </w:rPr>
        <w:t>1.1.</w:t>
      </w:r>
      <w:r w:rsidRPr="009E1E74">
        <w:rPr>
          <w:noProof/>
        </w:rPr>
        <w:tab/>
        <w:t>Pasiūlymo (iniciatyvos) pavadinimas</w:t>
      </w:r>
      <w:bookmarkEnd w:id="5"/>
      <w:bookmarkEnd w:id="6"/>
    </w:p>
    <w:p w14:paraId="5516340D"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Pasiūlymas</w:t>
      </w:r>
    </w:p>
    <w:p w14:paraId="4FD7CA7C"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EUROPOS PARLAMENTO IR TARYBOS REGLAMENTAS</w:t>
      </w:r>
    </w:p>
    <w:p w14:paraId="247FE93D"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kuriuo dėl didesnio išankstinio finansavimo iš REACT-EU išteklių iš dalies keičiamas Reglamentas (ES) Nr. 1303/2013 ir Reglamentas (ES) Nr. 223/2014</w:t>
      </w:r>
    </w:p>
    <w:p w14:paraId="5A239C1B"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 xml:space="preserve"> </w:t>
      </w:r>
    </w:p>
    <w:p w14:paraId="23289492" w14:textId="77777777" w:rsidR="00E41E7D" w:rsidRPr="009E1E74" w:rsidRDefault="00212D2A" w:rsidP="00212D2A">
      <w:pPr>
        <w:pStyle w:val="ManualHeading2"/>
        <w:rPr>
          <w:i/>
          <w:noProof/>
        </w:rPr>
      </w:pPr>
      <w:bookmarkStart w:id="7" w:name="_Toc514938011"/>
      <w:bookmarkStart w:id="8" w:name="_Toc520485027"/>
      <w:r w:rsidRPr="009E1E74">
        <w:rPr>
          <w:noProof/>
        </w:rPr>
        <w:t>1.2.</w:t>
      </w:r>
      <w:r w:rsidRPr="009E1E74">
        <w:rPr>
          <w:noProof/>
        </w:rPr>
        <w:tab/>
        <w:t>Atitinkama (-os) politikos sritis (-ys)</w:t>
      </w:r>
      <w:bookmarkEnd w:id="7"/>
      <w:bookmarkEnd w:id="8"/>
      <w:r w:rsidRPr="009E1E74">
        <w:rPr>
          <w:i/>
          <w:noProof/>
        </w:rPr>
        <w:t xml:space="preserve"> </w:t>
      </w:r>
    </w:p>
    <w:p w14:paraId="66D879EE"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color w:val="000000" w:themeColor="text1"/>
        </w:rPr>
      </w:pPr>
      <w:r w:rsidRPr="009E1E74">
        <w:rPr>
          <w:noProof/>
          <w:color w:val="000000" w:themeColor="text1"/>
        </w:rPr>
        <w:t>05 Regioninė plėtra ir sanglauda</w:t>
      </w:r>
    </w:p>
    <w:p w14:paraId="19CA97F3" w14:textId="77777777" w:rsidR="00E41E7D" w:rsidRPr="009E1E74" w:rsidRDefault="00E41E7D" w:rsidP="00EF5081">
      <w:pPr>
        <w:pStyle w:val="Text1"/>
        <w:pBdr>
          <w:top w:val="single" w:sz="4" w:space="1" w:color="auto"/>
          <w:left w:val="single" w:sz="4" w:space="4" w:color="auto"/>
          <w:bottom w:val="single" w:sz="4" w:space="1" w:color="auto"/>
          <w:right w:val="single" w:sz="4" w:space="4" w:color="auto"/>
        </w:pBdr>
        <w:rPr>
          <w:noProof/>
          <w:color w:val="000000" w:themeColor="text1"/>
        </w:rPr>
      </w:pPr>
      <w:r w:rsidRPr="009E1E74">
        <w:rPr>
          <w:noProof/>
          <w:color w:val="000000" w:themeColor="text1"/>
        </w:rPr>
        <w:t xml:space="preserve">07 Investavimas į žmones, socialinę sanglaudą ir vertybes </w:t>
      </w:r>
    </w:p>
    <w:p w14:paraId="0C33FBC1" w14:textId="77777777" w:rsidR="00E41E7D" w:rsidRPr="009E1E74" w:rsidRDefault="00212D2A" w:rsidP="00212D2A">
      <w:pPr>
        <w:pStyle w:val="ManualHeading2"/>
        <w:rPr>
          <w:bCs/>
          <w:noProof/>
          <w:szCs w:val="24"/>
        </w:rPr>
      </w:pPr>
      <w:bookmarkStart w:id="9" w:name="_Toc514938014"/>
      <w:bookmarkStart w:id="10" w:name="_Toc520485028"/>
      <w:r w:rsidRPr="009E1E74">
        <w:rPr>
          <w:noProof/>
        </w:rPr>
        <w:t>1.3.</w:t>
      </w:r>
      <w:r w:rsidRPr="009E1E74">
        <w:rPr>
          <w:noProof/>
        </w:rPr>
        <w:tab/>
        <w:t>Pasiūlymas (iniciatyva) susijęs (-usi) su:</w:t>
      </w:r>
      <w:bookmarkEnd w:id="9"/>
      <w:bookmarkEnd w:id="10"/>
      <w:r w:rsidRPr="009E1E74">
        <w:rPr>
          <w:noProof/>
        </w:rPr>
        <w:t xml:space="preserve"> </w:t>
      </w:r>
    </w:p>
    <w:p w14:paraId="414DD09D" w14:textId="77777777" w:rsidR="00E41E7D" w:rsidRPr="009E1E74" w:rsidRDefault="00E41E7D" w:rsidP="00E41E7D">
      <w:pPr>
        <w:pStyle w:val="Text1"/>
        <w:rPr>
          <w:b/>
          <w:noProof/>
          <w:sz w:val="22"/>
        </w:rPr>
      </w:pPr>
      <w:r w:rsidRPr="009E1E74">
        <w:rPr>
          <w:noProof/>
          <w:sz w:val="22"/>
        </w:rPr>
        <w:sym w:font="Wingdings" w:char="F0A8"/>
      </w:r>
      <w:r w:rsidRPr="009E1E74">
        <w:rPr>
          <w:noProof/>
        </w:rPr>
        <w:t xml:space="preserve"> </w:t>
      </w:r>
      <w:r w:rsidRPr="009E1E74">
        <w:rPr>
          <w:b/>
          <w:noProof/>
        </w:rPr>
        <w:t>nauju veiksmu</w:t>
      </w:r>
      <w:r w:rsidRPr="009E1E74">
        <w:rPr>
          <w:b/>
          <w:noProof/>
          <w:sz w:val="22"/>
        </w:rPr>
        <w:t xml:space="preserve"> </w:t>
      </w:r>
    </w:p>
    <w:p w14:paraId="6148E509" w14:textId="77777777" w:rsidR="00E41E7D" w:rsidRPr="009E1E74" w:rsidRDefault="00E41E7D" w:rsidP="00E41E7D">
      <w:pPr>
        <w:pStyle w:val="Text1"/>
        <w:rPr>
          <w:noProof/>
          <w:sz w:val="22"/>
        </w:rPr>
      </w:pPr>
      <w:r w:rsidRPr="009E1E74">
        <w:rPr>
          <w:noProof/>
          <w:sz w:val="22"/>
        </w:rPr>
        <w:sym w:font="Wingdings" w:char="F0A8"/>
      </w:r>
      <w:r w:rsidRPr="009E1E74">
        <w:rPr>
          <w:i/>
          <w:noProof/>
          <w:sz w:val="22"/>
        </w:rPr>
        <w:t xml:space="preserve"> </w:t>
      </w:r>
      <w:r w:rsidRPr="009E1E74">
        <w:rPr>
          <w:b/>
          <w:noProof/>
        </w:rPr>
        <w:t>nauju veiksmu, kai bus įgyvendintas bandomasis projektas ir (arba) atlikti parengiamieji veiksmai</w:t>
      </w:r>
      <w:r w:rsidRPr="009E1E74">
        <w:rPr>
          <w:rStyle w:val="FootnoteReference"/>
          <w:noProof/>
        </w:rPr>
        <w:footnoteReference w:id="6"/>
      </w:r>
      <w:r w:rsidRPr="009E1E74">
        <w:rPr>
          <w:noProof/>
          <w:sz w:val="22"/>
        </w:rPr>
        <w:t xml:space="preserve"> </w:t>
      </w:r>
    </w:p>
    <w:p w14:paraId="4487677B" w14:textId="77777777" w:rsidR="00E41E7D" w:rsidRPr="009E1E74" w:rsidRDefault="00E41E7D" w:rsidP="00E41E7D">
      <w:pPr>
        <w:pStyle w:val="Text1"/>
        <w:rPr>
          <w:noProof/>
          <w:sz w:val="22"/>
        </w:rPr>
      </w:pPr>
      <w:r w:rsidRPr="009E1E74">
        <w:rPr>
          <w:b/>
          <w:noProof/>
          <w:sz w:val="22"/>
        </w:rPr>
        <w:t>X</w:t>
      </w:r>
      <w:r w:rsidRPr="009E1E74">
        <w:rPr>
          <w:b/>
          <w:noProof/>
        </w:rPr>
        <w:t xml:space="preserve"> esamo veiksmo galiojimo pratęsimu</w:t>
      </w:r>
      <w:r w:rsidRPr="009E1E74">
        <w:rPr>
          <w:noProof/>
          <w:sz w:val="22"/>
        </w:rPr>
        <w:t xml:space="preserve"> </w:t>
      </w:r>
    </w:p>
    <w:p w14:paraId="1999B207" w14:textId="77777777" w:rsidR="00E41E7D" w:rsidRPr="009E1E74" w:rsidRDefault="00E41E7D" w:rsidP="00E41E7D">
      <w:pPr>
        <w:pStyle w:val="Text1"/>
        <w:rPr>
          <w:noProof/>
        </w:rPr>
      </w:pPr>
      <w:r w:rsidRPr="009E1E74">
        <w:rPr>
          <w:noProof/>
          <w:sz w:val="22"/>
        </w:rPr>
        <w:sym w:font="Wingdings" w:char="F0A8"/>
      </w:r>
      <w:r w:rsidRPr="009E1E74">
        <w:rPr>
          <w:i/>
          <w:noProof/>
          <w:sz w:val="22"/>
        </w:rPr>
        <w:t xml:space="preserve"> </w:t>
      </w:r>
      <w:r w:rsidRPr="009E1E74">
        <w:rPr>
          <w:b/>
          <w:noProof/>
        </w:rPr>
        <w:t>vieno ar daugiau veiksmų sujungimu arba nukreipimu į kitą / naują veiksmą</w:t>
      </w:r>
      <w:r w:rsidRPr="009E1E74">
        <w:rPr>
          <w:noProof/>
        </w:rPr>
        <w:t xml:space="preserve"> </w:t>
      </w:r>
    </w:p>
    <w:p w14:paraId="384F6FF0" w14:textId="77777777" w:rsidR="00E41E7D" w:rsidRPr="009E1E74" w:rsidRDefault="00212D2A" w:rsidP="00212D2A">
      <w:pPr>
        <w:pStyle w:val="ManualHeading2"/>
        <w:rPr>
          <w:bCs/>
          <w:noProof/>
          <w:szCs w:val="24"/>
        </w:rPr>
      </w:pPr>
      <w:bookmarkStart w:id="11" w:name="_Toc514938015"/>
      <w:bookmarkStart w:id="12" w:name="_Toc520485029"/>
      <w:r w:rsidRPr="009E1E74">
        <w:rPr>
          <w:noProof/>
        </w:rPr>
        <w:t>1.4.</w:t>
      </w:r>
      <w:r w:rsidRPr="009E1E74">
        <w:rPr>
          <w:noProof/>
        </w:rPr>
        <w:tab/>
        <w:t>Tikslas (-ai)</w:t>
      </w:r>
      <w:bookmarkEnd w:id="11"/>
      <w:bookmarkEnd w:id="12"/>
    </w:p>
    <w:p w14:paraId="5A862945" w14:textId="77777777" w:rsidR="00E41E7D" w:rsidRPr="009E1E74" w:rsidRDefault="00212D2A" w:rsidP="00212D2A">
      <w:pPr>
        <w:pStyle w:val="ManualHeading3"/>
        <w:rPr>
          <w:noProof/>
        </w:rPr>
      </w:pPr>
      <w:bookmarkStart w:id="13" w:name="_Toc514938016"/>
      <w:bookmarkStart w:id="14" w:name="_Toc520485030"/>
      <w:r w:rsidRPr="009E1E74">
        <w:rPr>
          <w:noProof/>
        </w:rPr>
        <w:t>1.4.1</w:t>
      </w:r>
      <w:r w:rsidRPr="009E1E74">
        <w:rPr>
          <w:noProof/>
        </w:rPr>
        <w:tab/>
        <w:t>Bendrasis (-ieji) tikslas (-ai)</w:t>
      </w:r>
      <w:bookmarkEnd w:id="13"/>
      <w:bookmarkEnd w:id="14"/>
    </w:p>
    <w:p w14:paraId="67EA2929"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Netaikoma</w:t>
      </w:r>
    </w:p>
    <w:p w14:paraId="1D39F5B8" w14:textId="77777777" w:rsidR="00E41E7D" w:rsidRPr="009E1E74" w:rsidRDefault="00212D2A" w:rsidP="00212D2A">
      <w:pPr>
        <w:pStyle w:val="ManualHeading3"/>
        <w:rPr>
          <w:bCs/>
          <w:noProof/>
          <w:szCs w:val="24"/>
        </w:rPr>
      </w:pPr>
      <w:bookmarkStart w:id="15" w:name="_Toc514938018"/>
      <w:bookmarkStart w:id="16" w:name="_Toc520485031"/>
      <w:r w:rsidRPr="009E1E74">
        <w:rPr>
          <w:noProof/>
        </w:rPr>
        <w:t>1.4.2</w:t>
      </w:r>
      <w:r w:rsidRPr="009E1E74">
        <w:rPr>
          <w:noProof/>
        </w:rPr>
        <w:tab/>
        <w:t>Konkretus (-ūs) tikslas (-ai)</w:t>
      </w:r>
      <w:bookmarkEnd w:id="15"/>
      <w:bookmarkEnd w:id="16"/>
    </w:p>
    <w:p w14:paraId="539455EE"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Netaikoma</w:t>
      </w:r>
    </w:p>
    <w:p w14:paraId="7CB16D3D" w14:textId="77777777" w:rsidR="00E41E7D" w:rsidRPr="009E1E74" w:rsidRDefault="00212D2A" w:rsidP="00212D2A">
      <w:pPr>
        <w:pStyle w:val="ManualHeading3"/>
        <w:rPr>
          <w:noProof/>
        </w:rPr>
      </w:pPr>
      <w:bookmarkStart w:id="17" w:name="_Toc514938019"/>
      <w:bookmarkStart w:id="18" w:name="_Toc520485032"/>
      <w:r w:rsidRPr="009E1E74">
        <w:rPr>
          <w:noProof/>
        </w:rPr>
        <w:t>1.4.3</w:t>
      </w:r>
      <w:r w:rsidRPr="009E1E74">
        <w:rPr>
          <w:noProof/>
        </w:rPr>
        <w:tab/>
        <w:t>Numatomas (-i) rezultatas (-ai) ir poveikis</w:t>
      </w:r>
      <w:bookmarkEnd w:id="17"/>
      <w:bookmarkEnd w:id="18"/>
    </w:p>
    <w:p w14:paraId="3DB8BEF0" w14:textId="77777777" w:rsidR="00E41E7D" w:rsidRPr="009E1E74" w:rsidRDefault="00E41E7D" w:rsidP="00E41E7D">
      <w:pPr>
        <w:pStyle w:val="Text1"/>
        <w:rPr>
          <w:i/>
          <w:noProof/>
          <w:sz w:val="20"/>
        </w:rPr>
      </w:pPr>
      <w:r w:rsidRPr="009E1E74">
        <w:rPr>
          <w:i/>
          <w:noProof/>
          <w:sz w:val="20"/>
        </w:rPr>
        <w:t>Nurodyti poveikį, kurį pasiūlymas (iniciatyva) turėtų padaryti tiksliniams gavėjams (tikslinėms grupėms).</w:t>
      </w:r>
    </w:p>
    <w:p w14:paraId="7381C7BD"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Netaikoma</w:t>
      </w:r>
    </w:p>
    <w:p w14:paraId="54D89399" w14:textId="77777777" w:rsidR="00E41E7D" w:rsidRPr="009E1E74" w:rsidRDefault="00212D2A" w:rsidP="00212D2A">
      <w:pPr>
        <w:pStyle w:val="ManualHeading3"/>
        <w:rPr>
          <w:noProof/>
          <w:szCs w:val="24"/>
        </w:rPr>
      </w:pPr>
      <w:bookmarkStart w:id="19" w:name="_Toc514938023"/>
      <w:bookmarkStart w:id="20" w:name="_Toc520485033"/>
      <w:r w:rsidRPr="009E1E74">
        <w:rPr>
          <w:noProof/>
        </w:rPr>
        <w:t>1.4.4</w:t>
      </w:r>
      <w:r w:rsidRPr="009E1E74">
        <w:rPr>
          <w:noProof/>
        </w:rPr>
        <w:tab/>
        <w:t>Veiklos rezultatų rodikliai</w:t>
      </w:r>
      <w:bookmarkEnd w:id="19"/>
      <w:bookmarkEnd w:id="20"/>
    </w:p>
    <w:p w14:paraId="13A32AD4" w14:textId="77777777" w:rsidR="00E41E7D" w:rsidRPr="009E1E74" w:rsidRDefault="00E41E7D" w:rsidP="00E41E7D">
      <w:pPr>
        <w:pStyle w:val="Text1"/>
        <w:rPr>
          <w:i/>
          <w:noProof/>
          <w:sz w:val="20"/>
        </w:rPr>
      </w:pPr>
      <w:r w:rsidRPr="009E1E74">
        <w:rPr>
          <w:i/>
          <w:noProof/>
          <w:sz w:val="20"/>
        </w:rPr>
        <w:t>Nurodyti pažangos ir laimėjimų stebėsenos rodiklius.</w:t>
      </w:r>
    </w:p>
    <w:p w14:paraId="75AEBD1C"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Netaikoma</w:t>
      </w:r>
    </w:p>
    <w:p w14:paraId="4B99E0EB" w14:textId="77777777" w:rsidR="00E41E7D" w:rsidRPr="009E1E74" w:rsidRDefault="00E41E7D">
      <w:pPr>
        <w:spacing w:before="0" w:after="200" w:line="276" w:lineRule="auto"/>
        <w:jc w:val="left"/>
        <w:rPr>
          <w:rFonts w:eastAsiaTheme="majorEastAsia"/>
          <w:b/>
          <w:bCs/>
          <w:noProof/>
          <w:szCs w:val="26"/>
        </w:rPr>
      </w:pPr>
      <w:bookmarkStart w:id="21" w:name="_Toc514938025"/>
      <w:bookmarkStart w:id="22" w:name="_Toc520485034"/>
      <w:r w:rsidRPr="009E1E74">
        <w:rPr>
          <w:noProof/>
        </w:rPr>
        <w:br w:type="page"/>
      </w:r>
    </w:p>
    <w:p w14:paraId="69567A0D" w14:textId="77777777" w:rsidR="00E41E7D" w:rsidRPr="009E1E74" w:rsidRDefault="00212D2A" w:rsidP="00212D2A">
      <w:pPr>
        <w:pStyle w:val="ManualHeading2"/>
        <w:rPr>
          <w:bCs/>
          <w:noProof/>
          <w:szCs w:val="24"/>
        </w:rPr>
      </w:pPr>
      <w:r w:rsidRPr="009E1E74">
        <w:rPr>
          <w:noProof/>
        </w:rPr>
        <w:t>1.5.</w:t>
      </w:r>
      <w:r w:rsidRPr="009E1E74">
        <w:rPr>
          <w:noProof/>
        </w:rPr>
        <w:tab/>
        <w:t>Pasiūlymo (iniciatyvos) pagrindas</w:t>
      </w:r>
      <w:bookmarkEnd w:id="21"/>
      <w:bookmarkEnd w:id="22"/>
      <w:r w:rsidRPr="009E1E74">
        <w:rPr>
          <w:noProof/>
        </w:rPr>
        <w:t xml:space="preserve"> </w:t>
      </w:r>
    </w:p>
    <w:p w14:paraId="35952708" w14:textId="77777777" w:rsidR="00E41E7D" w:rsidRPr="009E1E74" w:rsidRDefault="00212D2A" w:rsidP="00212D2A">
      <w:pPr>
        <w:pStyle w:val="ManualHeading3"/>
        <w:rPr>
          <w:noProof/>
        </w:rPr>
      </w:pPr>
      <w:bookmarkStart w:id="23" w:name="_Toc514938026"/>
      <w:bookmarkStart w:id="24" w:name="_Toc520485035"/>
      <w:r w:rsidRPr="009E1E74">
        <w:rPr>
          <w:noProof/>
        </w:rPr>
        <w:t>1.5.1</w:t>
      </w:r>
      <w:r w:rsidRPr="009E1E74">
        <w:rPr>
          <w:noProof/>
        </w:rPr>
        <w:tab/>
        <w:t>Trumpalaikiai arba ilgalaikiai poreikiai, įskaitant išsamų iniciatyvos įgyvendinimo pradinio etapo tvarkaraštį</w:t>
      </w:r>
      <w:bookmarkEnd w:id="23"/>
      <w:bookmarkEnd w:id="24"/>
    </w:p>
    <w:p w14:paraId="36071D5F"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Netaikoma</w:t>
      </w:r>
    </w:p>
    <w:p w14:paraId="49FE9995" w14:textId="77777777" w:rsidR="00E41E7D" w:rsidRPr="009E1E74" w:rsidRDefault="00212D2A" w:rsidP="00212D2A">
      <w:pPr>
        <w:pStyle w:val="ManualHeading3"/>
        <w:rPr>
          <w:bCs/>
          <w:noProof/>
          <w:szCs w:val="24"/>
        </w:rPr>
      </w:pPr>
      <w:bookmarkStart w:id="25" w:name="_Toc514938029"/>
      <w:bookmarkStart w:id="26" w:name="_Toc520485036"/>
      <w:r w:rsidRPr="009E1E74">
        <w:rPr>
          <w:noProof/>
        </w:rPr>
        <w:t>1.5.2</w:t>
      </w:r>
      <w:r w:rsidRPr="009E1E74">
        <w:rPr>
          <w:noProof/>
        </w:rPr>
        <w:tab/>
        <w:t>Sąjungos dalyvavimo pridėtinė vertė (gali būti susijusi su įvairiais veiksniais, pvz., koordinavimo nauda, teisiniu tikrumu, didesniu veiksmingumu ar papildomumu). Šiame punkte „Sąjungos dalyvavimo pridėtinė vertė“ – dalyvaujant Sąjungai užtikrinama vertė, papildanti vertę, kuri būtų užtikrinta vien valstybių narių veiksmais.</w:t>
      </w:r>
      <w:bookmarkEnd w:id="25"/>
      <w:bookmarkEnd w:id="26"/>
    </w:p>
    <w:p w14:paraId="4756BB53"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Netaikoma</w:t>
      </w:r>
    </w:p>
    <w:p w14:paraId="655D42F4" w14:textId="77777777" w:rsidR="00E41E7D" w:rsidRPr="009E1E74" w:rsidRDefault="00212D2A" w:rsidP="00212D2A">
      <w:pPr>
        <w:pStyle w:val="ManualHeading3"/>
        <w:rPr>
          <w:noProof/>
        </w:rPr>
      </w:pPr>
      <w:bookmarkStart w:id="27" w:name="_Toc514938030"/>
      <w:bookmarkStart w:id="28" w:name="_Toc520485037"/>
      <w:r w:rsidRPr="009E1E74">
        <w:rPr>
          <w:noProof/>
        </w:rPr>
        <w:t>1.5.3</w:t>
      </w:r>
      <w:r w:rsidRPr="009E1E74">
        <w:rPr>
          <w:noProof/>
        </w:rPr>
        <w:tab/>
        <w:t>Panašios patirties išvados</w:t>
      </w:r>
      <w:bookmarkEnd w:id="27"/>
      <w:bookmarkEnd w:id="28"/>
    </w:p>
    <w:p w14:paraId="45DE88BF"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Netaikoma</w:t>
      </w:r>
    </w:p>
    <w:p w14:paraId="0530D5C4" w14:textId="77777777" w:rsidR="00E41E7D" w:rsidRPr="009E1E74" w:rsidRDefault="00212D2A" w:rsidP="00212D2A">
      <w:pPr>
        <w:pStyle w:val="ManualHeading3"/>
        <w:rPr>
          <w:noProof/>
        </w:rPr>
      </w:pPr>
      <w:bookmarkStart w:id="29" w:name="_Toc514938033"/>
      <w:bookmarkStart w:id="30" w:name="_Toc520485038"/>
      <w:r w:rsidRPr="009E1E74">
        <w:rPr>
          <w:noProof/>
        </w:rPr>
        <w:t>1.5.4</w:t>
      </w:r>
      <w:r w:rsidRPr="009E1E74">
        <w:rPr>
          <w:noProof/>
        </w:rPr>
        <w:tab/>
        <w:t>Suderinamumas su daugiamete finansine programa ir galima sinergija su kitomis atitinkamomis priemonėmis</w:t>
      </w:r>
      <w:bookmarkEnd w:id="29"/>
      <w:bookmarkEnd w:id="30"/>
    </w:p>
    <w:p w14:paraId="3D857388"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Netaikoma</w:t>
      </w:r>
    </w:p>
    <w:p w14:paraId="43ADEC24" w14:textId="77777777" w:rsidR="00E41E7D" w:rsidRPr="009E1E74" w:rsidRDefault="00212D2A" w:rsidP="00212D2A">
      <w:pPr>
        <w:pStyle w:val="ManualHeading3"/>
        <w:rPr>
          <w:noProof/>
        </w:rPr>
      </w:pPr>
      <w:bookmarkStart w:id="31" w:name="_Toc514938036"/>
      <w:bookmarkStart w:id="32" w:name="_Toc520485039"/>
      <w:r w:rsidRPr="009E1E74">
        <w:rPr>
          <w:noProof/>
        </w:rPr>
        <w:t>1.5.5</w:t>
      </w:r>
      <w:r w:rsidRPr="009E1E74">
        <w:rPr>
          <w:noProof/>
        </w:rPr>
        <w:tab/>
        <w:t>Įvairių turimų finansavimo galimybių vertinimas, įskaitant perskirstymo mastą</w:t>
      </w:r>
      <w:bookmarkEnd w:id="31"/>
      <w:bookmarkEnd w:id="32"/>
    </w:p>
    <w:p w14:paraId="024902B7" w14:textId="77777777" w:rsidR="00E61475" w:rsidRPr="009E1E74" w:rsidRDefault="00E41E7D" w:rsidP="00E61475">
      <w:pPr>
        <w:pStyle w:val="Text1"/>
        <w:pBdr>
          <w:top w:val="single" w:sz="4" w:space="1" w:color="auto"/>
          <w:left w:val="single" w:sz="4" w:space="4" w:color="auto"/>
          <w:bottom w:val="single" w:sz="4" w:space="1" w:color="auto"/>
          <w:right w:val="single" w:sz="4" w:space="4" w:color="auto"/>
        </w:pBdr>
        <w:rPr>
          <w:noProof/>
        </w:rPr>
      </w:pPr>
      <w:r w:rsidRPr="009E1E74">
        <w:rPr>
          <w:noProof/>
        </w:rPr>
        <w:t>Netaikoma</w:t>
      </w:r>
    </w:p>
    <w:p w14:paraId="45F9CD98" w14:textId="77777777" w:rsidR="00E41E7D" w:rsidRPr="009E1E74" w:rsidRDefault="00E41E7D" w:rsidP="00E61475">
      <w:pPr>
        <w:pStyle w:val="Text1"/>
        <w:pBdr>
          <w:top w:val="single" w:sz="4" w:space="1" w:color="auto"/>
          <w:left w:val="single" w:sz="4" w:space="4" w:color="auto"/>
          <w:bottom w:val="single" w:sz="4" w:space="1" w:color="auto"/>
          <w:right w:val="single" w:sz="4" w:space="4" w:color="auto"/>
        </w:pBdr>
        <w:rPr>
          <w:noProof/>
        </w:rPr>
      </w:pPr>
      <w:r w:rsidRPr="009E1E74">
        <w:rPr>
          <w:noProof/>
        </w:rPr>
        <w:br w:type="page"/>
      </w:r>
    </w:p>
    <w:p w14:paraId="1B511305" w14:textId="77777777" w:rsidR="00E41E7D" w:rsidRPr="009E1E74" w:rsidRDefault="00212D2A" w:rsidP="00212D2A">
      <w:pPr>
        <w:pStyle w:val="ManualHeading2"/>
        <w:rPr>
          <w:bCs/>
          <w:noProof/>
          <w:szCs w:val="24"/>
        </w:rPr>
      </w:pPr>
      <w:bookmarkStart w:id="33" w:name="_Toc514938039"/>
      <w:bookmarkStart w:id="34" w:name="_Toc520485040"/>
      <w:r w:rsidRPr="009E1E74">
        <w:rPr>
          <w:noProof/>
        </w:rPr>
        <w:t>1.6.</w:t>
      </w:r>
      <w:r w:rsidRPr="009E1E74">
        <w:rPr>
          <w:noProof/>
        </w:rPr>
        <w:tab/>
        <w:t>Pasiūlymo (iniciatyvos) trukmė ir finansinis poveikis</w:t>
      </w:r>
      <w:bookmarkEnd w:id="33"/>
      <w:bookmarkEnd w:id="34"/>
    </w:p>
    <w:p w14:paraId="10536649" w14:textId="77777777" w:rsidR="00E41E7D" w:rsidRPr="009E1E74" w:rsidRDefault="00E41E7D" w:rsidP="00E41E7D">
      <w:pPr>
        <w:pStyle w:val="Text1"/>
        <w:rPr>
          <w:noProof/>
        </w:rPr>
      </w:pPr>
      <w:r w:rsidRPr="009E1E74">
        <w:rPr>
          <w:b/>
          <w:noProof/>
        </w:rPr>
        <w:t>X</w:t>
      </w:r>
      <w:r w:rsidRPr="009E1E74">
        <w:rPr>
          <w:b/>
          <w:i/>
          <w:noProof/>
        </w:rPr>
        <w:t xml:space="preserve"> </w:t>
      </w:r>
      <w:r w:rsidRPr="009E1E74">
        <w:rPr>
          <w:b/>
          <w:noProof/>
        </w:rPr>
        <w:t xml:space="preserve">trukmė ribota </w:t>
      </w:r>
    </w:p>
    <w:p w14:paraId="6A87AC39" w14:textId="77777777" w:rsidR="00E41E7D" w:rsidRPr="009E1E74" w:rsidRDefault="00E41E7D" w:rsidP="00E41E7D">
      <w:pPr>
        <w:pStyle w:val="ListDash2"/>
        <w:rPr>
          <w:noProof/>
        </w:rPr>
      </w:pPr>
      <w:r w:rsidRPr="009E1E74">
        <w:rPr>
          <w:b/>
          <w:noProof/>
        </w:rPr>
        <w:t>X</w:t>
      </w:r>
      <w:r w:rsidRPr="009E1E74">
        <w:rPr>
          <w:noProof/>
        </w:rPr>
        <w:tab/>
        <w:t>galioja nuo 2022 m. sausio 1 d. iki 2022 m. gruodžio 31 d.</w:t>
      </w:r>
    </w:p>
    <w:p w14:paraId="71E6FF44" w14:textId="77777777" w:rsidR="00E41E7D" w:rsidRPr="009E1E74" w:rsidRDefault="00E41E7D" w:rsidP="00E41E7D">
      <w:pPr>
        <w:pStyle w:val="ListDash2"/>
        <w:rPr>
          <w:noProof/>
        </w:rPr>
      </w:pPr>
      <w:r w:rsidRPr="009E1E74">
        <w:rPr>
          <w:b/>
          <w:noProof/>
        </w:rPr>
        <w:t>X</w:t>
      </w:r>
      <w:r w:rsidRPr="009E1E74">
        <w:rPr>
          <w:noProof/>
        </w:rPr>
        <w:tab/>
        <w:t>Finansinis poveikis įsipareigojimų ir mokėjimų asignavimams nuo 2022 m. sausio 1 d. iki 2024 m. gruodžio 31 d.</w:t>
      </w:r>
    </w:p>
    <w:p w14:paraId="45DBB782" w14:textId="77777777" w:rsidR="00E41E7D" w:rsidRPr="009E1E74" w:rsidRDefault="00E41E7D" w:rsidP="00E41E7D">
      <w:pPr>
        <w:pStyle w:val="Text1"/>
        <w:rPr>
          <w:noProof/>
        </w:rPr>
      </w:pPr>
      <w:r w:rsidRPr="009E1E74">
        <w:rPr>
          <w:noProof/>
        </w:rPr>
        <w:sym w:font="Wingdings" w:char="F0A8"/>
      </w:r>
      <w:r w:rsidRPr="009E1E74">
        <w:rPr>
          <w:noProof/>
        </w:rPr>
        <w:t xml:space="preserve"> </w:t>
      </w:r>
      <w:r w:rsidRPr="009E1E74">
        <w:rPr>
          <w:b/>
          <w:noProof/>
        </w:rPr>
        <w:t>trukmė neribota</w:t>
      </w:r>
    </w:p>
    <w:p w14:paraId="191BCDF8" w14:textId="77777777" w:rsidR="00E41E7D" w:rsidRPr="009E1E74" w:rsidRDefault="00E41E7D" w:rsidP="00E41E7D">
      <w:pPr>
        <w:pStyle w:val="ListDash1"/>
        <w:rPr>
          <w:noProof/>
        </w:rPr>
      </w:pPr>
      <w:r w:rsidRPr="009E1E74">
        <w:rPr>
          <w:noProof/>
        </w:rPr>
        <w:t>įgyvendinimo pradinis laikotarpis – nuo MMMM iki MMMM,</w:t>
      </w:r>
    </w:p>
    <w:p w14:paraId="5AB97178" w14:textId="77777777" w:rsidR="00E41E7D" w:rsidRPr="009E1E74" w:rsidRDefault="00E41E7D" w:rsidP="00E41E7D">
      <w:pPr>
        <w:pStyle w:val="ListDash1"/>
        <w:rPr>
          <w:noProof/>
        </w:rPr>
      </w:pPr>
      <w:r w:rsidRPr="009E1E74">
        <w:rPr>
          <w:noProof/>
        </w:rPr>
        <w:t>vėliau – visuotinis taikymas.</w:t>
      </w:r>
    </w:p>
    <w:p w14:paraId="1742E249" w14:textId="77777777" w:rsidR="00E41E7D" w:rsidRPr="009E1E74" w:rsidRDefault="00212D2A" w:rsidP="00212D2A">
      <w:pPr>
        <w:pStyle w:val="ManualHeading2"/>
        <w:rPr>
          <w:bCs/>
          <w:noProof/>
          <w:szCs w:val="24"/>
        </w:rPr>
      </w:pPr>
      <w:bookmarkStart w:id="35" w:name="_Toc514938040"/>
      <w:bookmarkStart w:id="36" w:name="_Toc520485041"/>
      <w:r w:rsidRPr="009E1E74">
        <w:rPr>
          <w:noProof/>
        </w:rPr>
        <w:t>1.7.</w:t>
      </w:r>
      <w:r w:rsidRPr="009E1E74">
        <w:rPr>
          <w:noProof/>
        </w:rPr>
        <w:tab/>
        <w:t>Numatytas (-i) valdymo būdas (-ai)</w:t>
      </w:r>
      <w:r w:rsidRPr="009E1E74">
        <w:rPr>
          <w:rStyle w:val="FootnoteReference"/>
          <w:noProof/>
        </w:rPr>
        <w:footnoteReference w:id="7"/>
      </w:r>
      <w:r w:rsidRPr="009E1E74">
        <w:rPr>
          <w:rStyle w:val="FootnoteReference"/>
          <w:noProof/>
        </w:rPr>
        <w:t xml:space="preserve"> </w:t>
      </w:r>
      <w:bookmarkEnd w:id="35"/>
      <w:bookmarkEnd w:id="36"/>
      <w:r w:rsidRPr="009E1E74">
        <w:rPr>
          <w:rStyle w:val="FootnoteReference"/>
          <w:noProof/>
        </w:rPr>
        <w:t xml:space="preserve"> </w:t>
      </w:r>
    </w:p>
    <w:p w14:paraId="7BEFCE40" w14:textId="77777777" w:rsidR="00E41E7D" w:rsidRPr="009E1E74" w:rsidRDefault="00E41E7D" w:rsidP="00E41E7D">
      <w:pPr>
        <w:pStyle w:val="Text1"/>
        <w:rPr>
          <w:noProof/>
        </w:rPr>
      </w:pPr>
      <w:r w:rsidRPr="009E1E74">
        <w:rPr>
          <w:noProof/>
        </w:rPr>
        <w:sym w:font="Wingdings" w:char="F0A8"/>
      </w:r>
      <w:r w:rsidRPr="009E1E74">
        <w:rPr>
          <w:i/>
          <w:noProof/>
        </w:rPr>
        <w:t xml:space="preserve"> </w:t>
      </w:r>
      <w:r w:rsidRPr="009E1E74">
        <w:rPr>
          <w:b/>
          <w:noProof/>
        </w:rPr>
        <w:t>Tiesioginis valdymas</w:t>
      </w:r>
      <w:r w:rsidRPr="009E1E74">
        <w:rPr>
          <w:noProof/>
        </w:rPr>
        <w:t>, vykdomas Komisijos:</w:t>
      </w:r>
    </w:p>
    <w:p w14:paraId="39C8753F" w14:textId="77777777" w:rsidR="00E41E7D" w:rsidRPr="009E1E74" w:rsidRDefault="00E41E7D" w:rsidP="00E41E7D">
      <w:pPr>
        <w:pStyle w:val="ListDash2"/>
        <w:rPr>
          <w:rFonts w:cs="EUAlbertina"/>
          <w:noProof/>
        </w:rPr>
      </w:pPr>
      <w:r w:rsidRPr="009E1E74">
        <w:rPr>
          <w:noProof/>
        </w:rPr>
        <w:sym w:font="Wingdings" w:char="F0A8"/>
      </w:r>
      <w:r w:rsidRPr="009E1E74">
        <w:rPr>
          <w:noProof/>
        </w:rPr>
        <w:t xml:space="preserve"> padalinių, įskaitant Sąjungos delegacijų darbuotojus; </w:t>
      </w:r>
    </w:p>
    <w:p w14:paraId="5A46BF70" w14:textId="77777777" w:rsidR="00E41E7D" w:rsidRPr="009E1E74" w:rsidRDefault="00E41E7D" w:rsidP="00E41E7D">
      <w:pPr>
        <w:pStyle w:val="ListDash2"/>
        <w:rPr>
          <w:noProof/>
        </w:rPr>
      </w:pPr>
      <w:r w:rsidRPr="009E1E74">
        <w:rPr>
          <w:noProof/>
        </w:rPr>
        <w:sym w:font="Wingdings" w:char="F0A8"/>
      </w:r>
      <w:r w:rsidRPr="009E1E74">
        <w:rPr>
          <w:noProof/>
        </w:rPr>
        <w:tab/>
        <w:t xml:space="preserve">vykdomųjų įstaigų. </w:t>
      </w:r>
    </w:p>
    <w:p w14:paraId="672B0573" w14:textId="77777777" w:rsidR="00E41E7D" w:rsidRPr="009E1E74" w:rsidRDefault="00E41E7D" w:rsidP="00E41E7D">
      <w:pPr>
        <w:pStyle w:val="Text1"/>
        <w:rPr>
          <w:noProof/>
        </w:rPr>
      </w:pPr>
      <w:r w:rsidRPr="009E1E74">
        <w:rPr>
          <w:b/>
          <w:noProof/>
        </w:rPr>
        <w:t>X</w:t>
      </w:r>
      <w:r w:rsidRPr="009E1E74">
        <w:rPr>
          <w:b/>
          <w:i/>
          <w:noProof/>
        </w:rPr>
        <w:t xml:space="preserve"> </w:t>
      </w:r>
      <w:r w:rsidRPr="009E1E74">
        <w:rPr>
          <w:b/>
          <w:noProof/>
        </w:rPr>
        <w:t>Pasidalijamasis valdymas</w:t>
      </w:r>
      <w:r w:rsidRPr="009E1E74">
        <w:rPr>
          <w:noProof/>
        </w:rPr>
        <w:t xml:space="preserve"> su valstybėmis narėmis </w:t>
      </w:r>
    </w:p>
    <w:p w14:paraId="787CFDD7" w14:textId="77777777" w:rsidR="00E41E7D" w:rsidRPr="009E1E74" w:rsidRDefault="00E41E7D" w:rsidP="00E41E7D">
      <w:pPr>
        <w:pStyle w:val="Text1"/>
        <w:rPr>
          <w:noProof/>
        </w:rPr>
      </w:pPr>
      <w:r w:rsidRPr="009E1E74">
        <w:rPr>
          <w:noProof/>
        </w:rPr>
        <w:sym w:font="Wingdings" w:char="F0A8"/>
      </w:r>
      <w:r w:rsidRPr="009E1E74">
        <w:rPr>
          <w:i/>
          <w:noProof/>
        </w:rPr>
        <w:t xml:space="preserve"> </w:t>
      </w:r>
      <w:r w:rsidRPr="009E1E74">
        <w:rPr>
          <w:b/>
          <w:noProof/>
        </w:rPr>
        <w:t>Netiesioginis valdymas</w:t>
      </w:r>
      <w:r w:rsidRPr="009E1E74">
        <w:rPr>
          <w:noProof/>
        </w:rPr>
        <w:t>, biudžeto vykdymo užduotis pavedant:</w:t>
      </w:r>
    </w:p>
    <w:p w14:paraId="6E2324FA" w14:textId="77777777" w:rsidR="00E41E7D" w:rsidRPr="009E1E74" w:rsidRDefault="00E41E7D" w:rsidP="00E41E7D">
      <w:pPr>
        <w:pStyle w:val="ListDash2"/>
        <w:rPr>
          <w:noProof/>
        </w:rPr>
      </w:pPr>
      <w:r w:rsidRPr="009E1E74">
        <w:rPr>
          <w:noProof/>
        </w:rPr>
        <w:sym w:font="Wingdings" w:char="F0A8"/>
      </w:r>
      <w:r w:rsidRPr="009E1E74">
        <w:rPr>
          <w:noProof/>
        </w:rPr>
        <w:t xml:space="preserve"> trečiosioms valstybėms arba jų paskirtoms įstaigoms;</w:t>
      </w:r>
    </w:p>
    <w:p w14:paraId="554E7F08" w14:textId="77777777" w:rsidR="00E41E7D" w:rsidRPr="009E1E74" w:rsidRDefault="00E41E7D" w:rsidP="00E41E7D">
      <w:pPr>
        <w:pStyle w:val="ListDash2"/>
        <w:rPr>
          <w:noProof/>
        </w:rPr>
      </w:pPr>
      <w:r w:rsidRPr="009E1E74">
        <w:rPr>
          <w:noProof/>
        </w:rPr>
        <w:sym w:font="Wingdings" w:char="F0A8"/>
      </w:r>
      <w:r w:rsidRPr="009E1E74">
        <w:rPr>
          <w:noProof/>
        </w:rPr>
        <w:t xml:space="preserve"> tarptautinėms organizacijoms ir jų agentūroms (nurodyti);</w:t>
      </w:r>
    </w:p>
    <w:p w14:paraId="3F6C4B9E" w14:textId="77777777" w:rsidR="00E41E7D" w:rsidRPr="009E1E74" w:rsidRDefault="00E41E7D" w:rsidP="00E41E7D">
      <w:pPr>
        <w:pStyle w:val="ListDash2"/>
        <w:rPr>
          <w:noProof/>
        </w:rPr>
      </w:pPr>
      <w:r w:rsidRPr="009E1E74">
        <w:rPr>
          <w:noProof/>
        </w:rPr>
        <w:sym w:font="Wingdings" w:char="F0A8"/>
      </w:r>
      <w:r w:rsidRPr="009E1E74">
        <w:rPr>
          <w:noProof/>
        </w:rPr>
        <w:t xml:space="preserve"> EIB ir Europos investicijų fondui;</w:t>
      </w:r>
    </w:p>
    <w:p w14:paraId="389DD3F3" w14:textId="77777777" w:rsidR="00E41E7D" w:rsidRPr="009E1E74" w:rsidRDefault="00E41E7D" w:rsidP="00E41E7D">
      <w:pPr>
        <w:pStyle w:val="ListDash2"/>
        <w:rPr>
          <w:noProof/>
        </w:rPr>
      </w:pPr>
      <w:r w:rsidRPr="009E1E74">
        <w:rPr>
          <w:noProof/>
        </w:rPr>
        <w:sym w:font="Wingdings" w:char="F0A8"/>
      </w:r>
      <w:r w:rsidRPr="009E1E74">
        <w:rPr>
          <w:noProof/>
        </w:rPr>
        <w:t xml:space="preserve"> įstaigoms, nurodytoms Finansinio reglamento 70 ir 71 straipsniuose;</w:t>
      </w:r>
    </w:p>
    <w:p w14:paraId="19D8EC2B" w14:textId="77777777" w:rsidR="00E41E7D" w:rsidRPr="009E1E74" w:rsidRDefault="00E41E7D" w:rsidP="00E41E7D">
      <w:pPr>
        <w:pStyle w:val="ListDash2"/>
        <w:rPr>
          <w:noProof/>
        </w:rPr>
      </w:pPr>
      <w:r w:rsidRPr="009E1E74">
        <w:rPr>
          <w:noProof/>
        </w:rPr>
        <w:sym w:font="Wingdings" w:char="F0A8"/>
      </w:r>
      <w:r w:rsidRPr="009E1E74">
        <w:rPr>
          <w:noProof/>
        </w:rPr>
        <w:t xml:space="preserve"> viešosios teisės reglamentuojamoms įstaigoms;</w:t>
      </w:r>
    </w:p>
    <w:p w14:paraId="31E8EDC3" w14:textId="77777777" w:rsidR="00E41E7D" w:rsidRPr="009E1E74" w:rsidRDefault="00E41E7D" w:rsidP="00E41E7D">
      <w:pPr>
        <w:pStyle w:val="ListDash2"/>
        <w:rPr>
          <w:noProof/>
        </w:rPr>
      </w:pPr>
      <w:r w:rsidRPr="009E1E74">
        <w:rPr>
          <w:noProof/>
        </w:rPr>
        <w:sym w:font="Wingdings" w:char="F0A8"/>
      </w:r>
      <w:r w:rsidRPr="009E1E74">
        <w:rPr>
          <w:noProof/>
        </w:rPr>
        <w:t xml:space="preserve"> įstaigoms, kurių veiklą reglamentuoja privatinė teisė ir kurioms pavesta teikti viešąsias paslaugas, jeigu jos pateikia pakankamas finansines garantijas;</w:t>
      </w:r>
    </w:p>
    <w:p w14:paraId="4FF617E6" w14:textId="77777777" w:rsidR="00E41E7D" w:rsidRPr="009E1E74" w:rsidRDefault="00E41E7D" w:rsidP="00E41E7D">
      <w:pPr>
        <w:pStyle w:val="ListDash2"/>
        <w:rPr>
          <w:noProof/>
        </w:rPr>
      </w:pPr>
      <w:r w:rsidRPr="009E1E74">
        <w:rPr>
          <w:noProof/>
        </w:rPr>
        <w:sym w:font="Wingdings" w:char="F0A8"/>
      </w:r>
      <w:r w:rsidRPr="009E1E74">
        <w:rPr>
          <w:noProof/>
        </w:rPr>
        <w:t xml:space="preserve"> įstaigoms, kurių veiklą reglamentuoja valstybės narės privatinė teisė, kurioms pavesta įgyvendinti viešojo ir privačiojo sektorių partnerystę ir kurios pateikia pakankamas finansines garantijas;</w:t>
      </w:r>
    </w:p>
    <w:p w14:paraId="2EFFA607" w14:textId="77777777" w:rsidR="00E41E7D" w:rsidRPr="009E1E74" w:rsidRDefault="00E41E7D" w:rsidP="00E41E7D">
      <w:pPr>
        <w:pStyle w:val="ListDash2"/>
        <w:rPr>
          <w:noProof/>
        </w:rPr>
      </w:pPr>
      <w:r w:rsidRPr="009E1E74">
        <w:rPr>
          <w:noProof/>
        </w:rPr>
        <w:sym w:font="Wingdings" w:char="F0A8"/>
      </w:r>
      <w:r w:rsidRPr="009E1E74">
        <w:rPr>
          <w:noProof/>
        </w:rPr>
        <w:t xml:space="preserve"> atitinkamame pagrindiniame akte nurodytiems asmenims, kuriems pavesta vykdyti konkrečius veiksmus BUSP srityje pagal ES sutarties V antraštinę dalį.</w:t>
      </w:r>
    </w:p>
    <w:p w14:paraId="20911B5C" w14:textId="77777777" w:rsidR="00E41E7D" w:rsidRPr="009E1E74" w:rsidRDefault="00E41E7D" w:rsidP="00E41E7D">
      <w:pPr>
        <w:pStyle w:val="ListDash2"/>
        <w:rPr>
          <w:i/>
          <w:noProof/>
          <w:sz w:val="18"/>
          <w:u w:val="single"/>
        </w:rPr>
      </w:pPr>
      <w:r w:rsidRPr="009E1E74">
        <w:rPr>
          <w:i/>
          <w:noProof/>
          <w:sz w:val="18"/>
        </w:rPr>
        <w:t>Jei nurodomas daugiau kaip vienas valdymo būdas, išsamią informaciją pateikti šio punkto pastabų skiltyje.</w:t>
      </w:r>
    </w:p>
    <w:p w14:paraId="79D35077" w14:textId="77777777" w:rsidR="00E41E7D" w:rsidRPr="009E1E74" w:rsidRDefault="00E41E7D" w:rsidP="00E41E7D">
      <w:pPr>
        <w:rPr>
          <w:noProof/>
        </w:rPr>
      </w:pPr>
      <w:r w:rsidRPr="009E1E74">
        <w:rPr>
          <w:noProof/>
        </w:rPr>
        <w:t xml:space="preserve">Pastabos </w:t>
      </w:r>
    </w:p>
    <w:p w14:paraId="3AC2E057" w14:textId="77777777" w:rsidR="00E41E7D" w:rsidRPr="009E1E74" w:rsidRDefault="00E41E7D" w:rsidP="00E41E7D">
      <w:pPr>
        <w:rPr>
          <w:noProof/>
        </w:rPr>
      </w:pPr>
      <w:r w:rsidRPr="009E1E74">
        <w:rPr>
          <w:noProof/>
        </w:rPr>
        <w:t>Netaikoma</w:t>
      </w:r>
    </w:p>
    <w:p w14:paraId="61252DDD" w14:textId="77777777" w:rsidR="00E41E7D" w:rsidRPr="009E1E74" w:rsidRDefault="00E41E7D">
      <w:pPr>
        <w:spacing w:before="0" w:after="200" w:line="276" w:lineRule="auto"/>
        <w:jc w:val="left"/>
        <w:rPr>
          <w:noProof/>
          <w:highlight w:val="yellow"/>
        </w:rPr>
      </w:pPr>
      <w:r w:rsidRPr="009E1E74">
        <w:rPr>
          <w:noProof/>
        </w:rPr>
        <w:br w:type="page"/>
      </w:r>
    </w:p>
    <w:p w14:paraId="6A5D6354" w14:textId="77777777" w:rsidR="00E41E7D" w:rsidRPr="009E1E74" w:rsidRDefault="00212D2A" w:rsidP="00212D2A">
      <w:pPr>
        <w:pStyle w:val="ManualHeading1"/>
        <w:rPr>
          <w:bCs/>
          <w:noProof/>
          <w:szCs w:val="24"/>
        </w:rPr>
      </w:pPr>
      <w:bookmarkStart w:id="37" w:name="_Toc514938041"/>
      <w:bookmarkStart w:id="38" w:name="_Toc520485042"/>
      <w:r w:rsidRPr="009E1E74">
        <w:rPr>
          <w:noProof/>
        </w:rPr>
        <w:t>2.</w:t>
      </w:r>
      <w:r w:rsidRPr="009E1E74">
        <w:rPr>
          <w:noProof/>
        </w:rPr>
        <w:tab/>
        <w:t>VALDYMO PRIEMONĖS</w:t>
      </w:r>
      <w:bookmarkEnd w:id="37"/>
      <w:bookmarkEnd w:id="38"/>
      <w:r w:rsidRPr="009E1E74">
        <w:rPr>
          <w:noProof/>
        </w:rPr>
        <w:t xml:space="preserve"> </w:t>
      </w:r>
    </w:p>
    <w:p w14:paraId="1BB88AE0" w14:textId="77777777" w:rsidR="00E41E7D" w:rsidRPr="009E1E74" w:rsidRDefault="00212D2A" w:rsidP="00212D2A">
      <w:pPr>
        <w:pStyle w:val="ManualHeading2"/>
        <w:rPr>
          <w:noProof/>
        </w:rPr>
      </w:pPr>
      <w:bookmarkStart w:id="39" w:name="_Toc514938042"/>
      <w:bookmarkStart w:id="40" w:name="_Toc520485043"/>
      <w:r w:rsidRPr="009E1E74">
        <w:rPr>
          <w:noProof/>
        </w:rPr>
        <w:t>2.1.</w:t>
      </w:r>
      <w:r w:rsidRPr="009E1E74">
        <w:rPr>
          <w:noProof/>
        </w:rPr>
        <w:tab/>
        <w:t>Stebėsenos ir atskaitomybės taisyklės</w:t>
      </w:r>
      <w:bookmarkEnd w:id="39"/>
      <w:bookmarkEnd w:id="40"/>
      <w:r w:rsidRPr="009E1E74">
        <w:rPr>
          <w:noProof/>
        </w:rPr>
        <w:t xml:space="preserve"> </w:t>
      </w:r>
    </w:p>
    <w:p w14:paraId="11B4626F" w14:textId="77777777" w:rsidR="00E41E7D" w:rsidRPr="009E1E74" w:rsidRDefault="00E41E7D" w:rsidP="00E41E7D">
      <w:pPr>
        <w:pStyle w:val="Text1"/>
        <w:rPr>
          <w:i/>
          <w:noProof/>
          <w:sz w:val="20"/>
        </w:rPr>
      </w:pPr>
      <w:r w:rsidRPr="009E1E74">
        <w:rPr>
          <w:i/>
          <w:noProof/>
          <w:sz w:val="20"/>
        </w:rPr>
        <w:t>Nurodyti dažnumą ir sąlygas.</w:t>
      </w:r>
    </w:p>
    <w:p w14:paraId="5030F27F"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Netaikoma</w:t>
      </w:r>
    </w:p>
    <w:p w14:paraId="00D3D87E" w14:textId="77777777" w:rsidR="00E41E7D" w:rsidRPr="009E1E74" w:rsidRDefault="00212D2A" w:rsidP="00212D2A">
      <w:pPr>
        <w:pStyle w:val="ManualHeading2"/>
        <w:rPr>
          <w:bCs/>
          <w:noProof/>
          <w:szCs w:val="24"/>
        </w:rPr>
      </w:pPr>
      <w:bookmarkStart w:id="41" w:name="_Toc514938045"/>
      <w:bookmarkStart w:id="42" w:name="_Toc520485044"/>
      <w:r w:rsidRPr="009E1E74">
        <w:rPr>
          <w:noProof/>
        </w:rPr>
        <w:t>2.2.</w:t>
      </w:r>
      <w:r w:rsidRPr="009E1E74">
        <w:rPr>
          <w:noProof/>
        </w:rPr>
        <w:tab/>
        <w:t>Valdymo ir kontrolės sistema (-os)</w:t>
      </w:r>
      <w:bookmarkEnd w:id="41"/>
      <w:bookmarkEnd w:id="42"/>
      <w:r w:rsidRPr="009E1E74">
        <w:rPr>
          <w:noProof/>
        </w:rPr>
        <w:t xml:space="preserve"> </w:t>
      </w:r>
    </w:p>
    <w:p w14:paraId="5A2511E5" w14:textId="77777777" w:rsidR="00E41E7D" w:rsidRPr="009E1E74" w:rsidRDefault="00212D2A" w:rsidP="00212D2A">
      <w:pPr>
        <w:pStyle w:val="ManualHeading3"/>
        <w:rPr>
          <w:noProof/>
        </w:rPr>
      </w:pPr>
      <w:bookmarkStart w:id="43" w:name="_Toc514938046"/>
      <w:bookmarkStart w:id="44" w:name="_Toc520485045"/>
      <w:r w:rsidRPr="009E1E74">
        <w:rPr>
          <w:noProof/>
        </w:rPr>
        <w:t>2.2.1</w:t>
      </w:r>
      <w:r w:rsidRPr="009E1E74">
        <w:rPr>
          <w:noProof/>
        </w:rPr>
        <w:tab/>
        <w:t>Valdymo būdo (-ų), finansavimo įgyvendinimo mechanizmo (-ų), mokėjimo tvarkos ir siūlomos kontrolės strategijos pagrindimas</w:t>
      </w:r>
      <w:bookmarkEnd w:id="43"/>
      <w:bookmarkEnd w:id="44"/>
    </w:p>
    <w:p w14:paraId="5B2C59E7"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Netaikoma</w:t>
      </w:r>
    </w:p>
    <w:p w14:paraId="4F81E4CF" w14:textId="77777777" w:rsidR="00E41E7D" w:rsidRPr="009E1E74" w:rsidRDefault="00212D2A" w:rsidP="00212D2A">
      <w:pPr>
        <w:pStyle w:val="ManualHeading3"/>
        <w:rPr>
          <w:bCs/>
          <w:noProof/>
          <w:szCs w:val="24"/>
        </w:rPr>
      </w:pPr>
      <w:bookmarkStart w:id="45" w:name="_Toc514938047"/>
      <w:bookmarkStart w:id="46" w:name="_Toc520485046"/>
      <w:r w:rsidRPr="009E1E74">
        <w:rPr>
          <w:noProof/>
        </w:rPr>
        <w:t>2.2.2</w:t>
      </w:r>
      <w:r w:rsidRPr="009E1E74">
        <w:rPr>
          <w:noProof/>
        </w:rPr>
        <w:tab/>
        <w:t>Informacija apie nustatytą riziką ir jai sumažinti įdiegtą (-as) vidaus kontrolės sistemą (-as)</w:t>
      </w:r>
      <w:bookmarkEnd w:id="45"/>
      <w:bookmarkEnd w:id="46"/>
    </w:p>
    <w:p w14:paraId="4533B6A3"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pPr>
      <w:r w:rsidRPr="009E1E74">
        <w:rPr>
          <w:noProof/>
        </w:rPr>
        <w:t>Netaikoma</w:t>
      </w:r>
    </w:p>
    <w:p w14:paraId="6BF25218" w14:textId="77777777" w:rsidR="00E41E7D" w:rsidRPr="009E1E74" w:rsidRDefault="00212D2A" w:rsidP="00212D2A">
      <w:pPr>
        <w:pStyle w:val="ManualHeading3"/>
        <w:rPr>
          <w:noProof/>
        </w:rPr>
      </w:pPr>
      <w:bookmarkStart w:id="47" w:name="_Toc514938048"/>
      <w:bookmarkStart w:id="48" w:name="_Toc520485047"/>
      <w:r w:rsidRPr="009E1E74">
        <w:rPr>
          <w:noProof/>
        </w:rPr>
        <w:t>2.2.3</w:t>
      </w:r>
      <w:r w:rsidRPr="009E1E74">
        <w:rPr>
          <w:noProof/>
        </w:rPr>
        <w:tab/>
        <w:t>Kontrolės išlaidų efektyvumo apskaičiavimas ir pagrindimas (kontrolės sąnaudų ir susijusių valdomų lėšų vertės santykis) ir numatomo klaidų rizikos lygio vertinimas (atliekant mokėjimą ir užbaigiant programą)</w:t>
      </w:r>
      <w:bookmarkEnd w:id="47"/>
      <w:bookmarkEnd w:id="48"/>
      <w:r w:rsidRPr="009E1E74">
        <w:rPr>
          <w:noProof/>
        </w:rPr>
        <w:t xml:space="preserve"> </w:t>
      </w:r>
    </w:p>
    <w:p w14:paraId="4A445C7A"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highlight w:val="yellow"/>
        </w:rPr>
      </w:pPr>
      <w:r w:rsidRPr="009E1E74">
        <w:rPr>
          <w:noProof/>
        </w:rPr>
        <w:t>Netaikoma</w:t>
      </w:r>
    </w:p>
    <w:p w14:paraId="3B9C949B" w14:textId="77777777" w:rsidR="00E41E7D" w:rsidRPr="009E1E74" w:rsidRDefault="00212D2A" w:rsidP="00212D2A">
      <w:pPr>
        <w:pStyle w:val="ManualHeading2"/>
        <w:rPr>
          <w:bCs/>
          <w:noProof/>
          <w:szCs w:val="24"/>
        </w:rPr>
      </w:pPr>
      <w:bookmarkStart w:id="49" w:name="_Toc514938049"/>
      <w:bookmarkStart w:id="50" w:name="_Toc520485048"/>
      <w:r w:rsidRPr="009E1E74">
        <w:rPr>
          <w:noProof/>
        </w:rPr>
        <w:t>2.3.</w:t>
      </w:r>
      <w:r w:rsidRPr="009E1E74">
        <w:rPr>
          <w:noProof/>
        </w:rPr>
        <w:tab/>
        <w:t>Sukčiavimo ir pažeidimų prevencijos priemonės</w:t>
      </w:r>
      <w:bookmarkEnd w:id="49"/>
      <w:bookmarkEnd w:id="50"/>
      <w:r w:rsidRPr="009E1E74">
        <w:rPr>
          <w:noProof/>
        </w:rPr>
        <w:t xml:space="preserve"> </w:t>
      </w:r>
    </w:p>
    <w:p w14:paraId="00FDC173" w14:textId="77777777" w:rsidR="00E41E7D" w:rsidRPr="009E1E74" w:rsidRDefault="00E41E7D" w:rsidP="00E41E7D">
      <w:pPr>
        <w:pStyle w:val="Text1"/>
        <w:rPr>
          <w:i/>
          <w:noProof/>
          <w:sz w:val="20"/>
        </w:rPr>
      </w:pPr>
      <w:r w:rsidRPr="009E1E74">
        <w:rPr>
          <w:i/>
          <w:noProof/>
          <w:sz w:val="20"/>
        </w:rPr>
        <w:t>Nurodyti dabartines arba numatytas prevencijos ir apsaugos priemones, pvz., išdėstytas Kovos su sukčiavimu strategijoje.</w:t>
      </w:r>
    </w:p>
    <w:p w14:paraId="21F302AA" w14:textId="77777777" w:rsidR="00E41E7D" w:rsidRPr="009E1E74" w:rsidRDefault="00E41E7D" w:rsidP="00E41E7D">
      <w:pPr>
        <w:pStyle w:val="Text1"/>
        <w:pBdr>
          <w:top w:val="single" w:sz="4" w:space="1" w:color="auto"/>
          <w:left w:val="single" w:sz="4" w:space="4" w:color="auto"/>
          <w:bottom w:val="single" w:sz="4" w:space="1" w:color="auto"/>
          <w:right w:val="single" w:sz="4" w:space="4" w:color="auto"/>
        </w:pBdr>
        <w:rPr>
          <w:noProof/>
        </w:rPr>
        <w:sectPr w:rsidR="00E41E7D" w:rsidRPr="009E1E74" w:rsidSect="006E606F">
          <w:pgSz w:w="11907" w:h="16840" w:code="9"/>
          <w:pgMar w:top="1134" w:right="1418" w:bottom="1134" w:left="1418" w:header="709" w:footer="709" w:gutter="0"/>
          <w:cols w:space="708"/>
          <w:docGrid w:linePitch="360"/>
        </w:sectPr>
      </w:pPr>
      <w:r w:rsidRPr="009E1E74">
        <w:rPr>
          <w:noProof/>
        </w:rPr>
        <w:t>Netaikoma</w:t>
      </w:r>
    </w:p>
    <w:p w14:paraId="02B9FBD8" w14:textId="77777777" w:rsidR="00C87E1E" w:rsidRPr="009E1E74" w:rsidRDefault="00C87E1E" w:rsidP="00855A8A">
      <w:pPr>
        <w:rPr>
          <w:b/>
          <w:noProof/>
          <w:szCs w:val="24"/>
          <w:u w:val="single"/>
        </w:rPr>
      </w:pPr>
      <w:r w:rsidRPr="009E1E74">
        <w:rPr>
          <w:b/>
          <w:noProof/>
          <w:u w:val="single"/>
        </w:rPr>
        <w:t>NUMATOMAS PASIŪLYMO (INICIATYVOS) FINANSINIS POVEIKIS</w:t>
      </w:r>
      <w:bookmarkEnd w:id="1"/>
      <w:bookmarkEnd w:id="2"/>
      <w:r w:rsidRPr="009E1E74">
        <w:rPr>
          <w:b/>
          <w:noProof/>
          <w:u w:val="single"/>
        </w:rPr>
        <w:t xml:space="preserve"> </w:t>
      </w:r>
    </w:p>
    <w:p w14:paraId="33FF4268" w14:textId="77777777" w:rsidR="00C87E1E" w:rsidRPr="009E1E74" w:rsidRDefault="00C87E1E" w:rsidP="00FB18F4">
      <w:pPr>
        <w:keepNext/>
        <w:outlineLvl w:val="1"/>
        <w:rPr>
          <w:rFonts w:eastAsiaTheme="majorEastAsia"/>
          <w:b/>
          <w:bCs/>
          <w:noProof/>
          <w:szCs w:val="26"/>
        </w:rPr>
      </w:pPr>
      <w:bookmarkStart w:id="51" w:name="_Toc514938051"/>
      <w:bookmarkStart w:id="52" w:name="_Toc520485050"/>
      <w:r w:rsidRPr="009E1E74">
        <w:rPr>
          <w:b/>
          <w:bCs/>
          <w:noProof/>
          <w:szCs w:val="26"/>
        </w:rPr>
        <w:t>Atitinkama (-os) daugiametės finansinės programos išlaidų kategorija (-os) ir biudžeto išlaidų eilutė (-ės)</w:t>
      </w:r>
      <w:bookmarkEnd w:id="51"/>
      <w:bookmarkEnd w:id="52"/>
      <w:r w:rsidRPr="009E1E74">
        <w:rPr>
          <w:b/>
          <w:bCs/>
          <w:noProof/>
          <w:szCs w:val="26"/>
        </w:rPr>
        <w:t xml:space="preserve"> </w:t>
      </w:r>
    </w:p>
    <w:p w14:paraId="62A36311" w14:textId="77777777" w:rsidR="00C87E1E" w:rsidRPr="009E1E74" w:rsidRDefault="00C87E1E" w:rsidP="00C87E1E">
      <w:pPr>
        <w:tabs>
          <w:tab w:val="num" w:pos="1134"/>
        </w:tabs>
        <w:ind w:left="1134" w:hanging="283"/>
        <w:rPr>
          <w:noProof/>
        </w:rPr>
      </w:pPr>
      <w:r w:rsidRPr="009E1E74">
        <w:rPr>
          <w:noProof/>
        </w:rPr>
        <w:t xml:space="preserve">Dabartinės biudžeto eilutės </w:t>
      </w:r>
    </w:p>
    <w:p w14:paraId="311C5CC1" w14:textId="77777777" w:rsidR="00C87E1E" w:rsidRPr="009E1E74" w:rsidRDefault="00C87E1E" w:rsidP="00FB18F4">
      <w:pPr>
        <w:rPr>
          <w:i/>
          <w:noProof/>
        </w:rPr>
      </w:pPr>
      <w:r w:rsidRPr="009E1E74">
        <w:rPr>
          <w:i/>
          <w:noProof/>
        </w:rPr>
        <w:t xml:space="preserve">Daugiametės finansinės programos išlaidų kategorijas ir biudžeto eilutes nurodyti </w:t>
      </w:r>
      <w:r w:rsidRPr="009E1E74">
        <w:rPr>
          <w:i/>
          <w:noProof/>
          <w:u w:val="single"/>
        </w:rPr>
        <w:t>eilės tvarka</w:t>
      </w:r>
      <w:r w:rsidRPr="009E1E74">
        <w:rPr>
          <w:i/>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C87E1E" w:rsidRPr="009E1E74" w14:paraId="64EEABD9" w14:textId="77777777" w:rsidTr="00C87E1E">
        <w:tc>
          <w:tcPr>
            <w:tcW w:w="1080" w:type="dxa"/>
            <w:vMerge w:val="restart"/>
            <w:vAlign w:val="center"/>
          </w:tcPr>
          <w:p w14:paraId="281F248B" w14:textId="77777777" w:rsidR="00C87E1E" w:rsidRPr="009E1E74" w:rsidRDefault="00C87E1E" w:rsidP="00C87E1E">
            <w:pPr>
              <w:spacing w:before="60" w:after="60"/>
              <w:jc w:val="center"/>
              <w:rPr>
                <w:noProof/>
              </w:rPr>
            </w:pPr>
            <w:r w:rsidRPr="009E1E74">
              <w:rPr>
                <w:noProof/>
                <w:sz w:val="18"/>
              </w:rPr>
              <w:t>Daugiametės finansinės programos išlaidų kategorija</w:t>
            </w:r>
          </w:p>
        </w:tc>
        <w:tc>
          <w:tcPr>
            <w:tcW w:w="3960" w:type="dxa"/>
            <w:vAlign w:val="center"/>
          </w:tcPr>
          <w:p w14:paraId="4DC9A676" w14:textId="77777777" w:rsidR="00C87E1E" w:rsidRPr="009E1E74" w:rsidRDefault="00C87E1E" w:rsidP="00C87E1E">
            <w:pPr>
              <w:spacing w:before="60" w:after="60"/>
              <w:jc w:val="center"/>
              <w:rPr>
                <w:noProof/>
              </w:rPr>
            </w:pPr>
            <w:r w:rsidRPr="009E1E74">
              <w:rPr>
                <w:noProof/>
                <w:sz w:val="20"/>
              </w:rPr>
              <w:t>Biudžeto eilutė</w:t>
            </w:r>
          </w:p>
        </w:tc>
        <w:tc>
          <w:tcPr>
            <w:tcW w:w="1080" w:type="dxa"/>
            <w:vAlign w:val="center"/>
          </w:tcPr>
          <w:p w14:paraId="4C03DF06" w14:textId="77777777" w:rsidR="00C87E1E" w:rsidRPr="009E1E74" w:rsidRDefault="00C87E1E" w:rsidP="00C87E1E">
            <w:pPr>
              <w:spacing w:before="60" w:after="60"/>
              <w:jc w:val="center"/>
              <w:rPr>
                <w:noProof/>
              </w:rPr>
            </w:pPr>
            <w:r w:rsidRPr="009E1E74">
              <w:rPr>
                <w:noProof/>
                <w:sz w:val="18"/>
              </w:rPr>
              <w:t>Išlaidų</w:t>
            </w:r>
            <w:r w:rsidRPr="009E1E74">
              <w:rPr>
                <w:noProof/>
              </w:rPr>
              <w:t xml:space="preserve"> </w:t>
            </w:r>
            <w:r w:rsidRPr="009E1E74">
              <w:rPr>
                <w:noProof/>
              </w:rPr>
              <w:br/>
            </w:r>
            <w:r w:rsidRPr="009E1E74">
              <w:rPr>
                <w:noProof/>
                <w:sz w:val="18"/>
              </w:rPr>
              <w:t>rūšis</w:t>
            </w:r>
          </w:p>
        </w:tc>
        <w:tc>
          <w:tcPr>
            <w:tcW w:w="4440" w:type="dxa"/>
            <w:gridSpan w:val="4"/>
            <w:vAlign w:val="center"/>
          </w:tcPr>
          <w:p w14:paraId="4B8FC112" w14:textId="77777777" w:rsidR="00C87E1E" w:rsidRPr="009E1E74" w:rsidRDefault="00C87E1E" w:rsidP="00C87E1E">
            <w:pPr>
              <w:spacing w:before="60" w:after="60"/>
              <w:jc w:val="center"/>
              <w:rPr>
                <w:noProof/>
              </w:rPr>
            </w:pPr>
            <w:r w:rsidRPr="009E1E74">
              <w:rPr>
                <w:noProof/>
                <w:sz w:val="20"/>
              </w:rPr>
              <w:t xml:space="preserve">Įnašas </w:t>
            </w:r>
          </w:p>
        </w:tc>
      </w:tr>
      <w:tr w:rsidR="00C87E1E" w:rsidRPr="009E1E74" w14:paraId="43844FD3" w14:textId="77777777" w:rsidTr="00C87E1E">
        <w:tc>
          <w:tcPr>
            <w:tcW w:w="1080" w:type="dxa"/>
            <w:vMerge/>
            <w:vAlign w:val="center"/>
          </w:tcPr>
          <w:p w14:paraId="33439BA5" w14:textId="77777777" w:rsidR="00C87E1E" w:rsidRPr="009E1E74" w:rsidRDefault="00C87E1E" w:rsidP="00C87E1E">
            <w:pPr>
              <w:jc w:val="center"/>
              <w:rPr>
                <w:noProof/>
                <w:lang w:eastAsia="en-GB"/>
              </w:rPr>
            </w:pPr>
          </w:p>
        </w:tc>
        <w:tc>
          <w:tcPr>
            <w:tcW w:w="3960" w:type="dxa"/>
            <w:vAlign w:val="center"/>
          </w:tcPr>
          <w:p w14:paraId="43B6CD6D" w14:textId="77777777" w:rsidR="00C87E1E" w:rsidRPr="009E1E74" w:rsidRDefault="00C87E1E" w:rsidP="00C87E1E">
            <w:pPr>
              <w:rPr>
                <w:noProof/>
              </w:rPr>
            </w:pPr>
            <w:r w:rsidRPr="009E1E74">
              <w:rPr>
                <w:noProof/>
                <w:sz w:val="20"/>
              </w:rPr>
              <w:t xml:space="preserve">Numeris </w:t>
            </w:r>
            <w:r w:rsidRPr="009E1E74">
              <w:rPr>
                <w:noProof/>
              </w:rPr>
              <w:t xml:space="preserve"> </w:t>
            </w:r>
            <w:r w:rsidRPr="009E1E74">
              <w:rPr>
                <w:noProof/>
              </w:rPr>
              <w:br/>
            </w:r>
          </w:p>
        </w:tc>
        <w:tc>
          <w:tcPr>
            <w:tcW w:w="1080" w:type="dxa"/>
            <w:vAlign w:val="center"/>
          </w:tcPr>
          <w:p w14:paraId="56F3A92F" w14:textId="77777777" w:rsidR="00C87E1E" w:rsidRPr="009E1E74" w:rsidRDefault="00C87E1E" w:rsidP="00C87E1E">
            <w:pPr>
              <w:jc w:val="center"/>
              <w:rPr>
                <w:noProof/>
              </w:rPr>
            </w:pPr>
            <w:r w:rsidRPr="009E1E74">
              <w:rPr>
                <w:noProof/>
                <w:sz w:val="18"/>
              </w:rPr>
              <w:t>DA / NDA</w:t>
            </w:r>
            <w:r w:rsidRPr="009E1E74">
              <w:rPr>
                <w:rStyle w:val="FootnoteReference"/>
                <w:noProof/>
              </w:rPr>
              <w:footnoteReference w:id="8"/>
            </w:r>
          </w:p>
        </w:tc>
        <w:tc>
          <w:tcPr>
            <w:tcW w:w="956" w:type="dxa"/>
            <w:vAlign w:val="center"/>
          </w:tcPr>
          <w:p w14:paraId="5CAE6111" w14:textId="77777777" w:rsidR="00C87E1E" w:rsidRPr="009E1E74" w:rsidRDefault="00C87E1E" w:rsidP="00C87E1E">
            <w:pPr>
              <w:jc w:val="center"/>
              <w:rPr>
                <w:noProof/>
              </w:rPr>
            </w:pPr>
            <w:r w:rsidRPr="009E1E74">
              <w:rPr>
                <w:noProof/>
                <w:sz w:val="18"/>
              </w:rPr>
              <w:t>ELPA šalių</w:t>
            </w:r>
            <w:r w:rsidRPr="009E1E74">
              <w:rPr>
                <w:rStyle w:val="FootnoteReference"/>
                <w:noProof/>
              </w:rPr>
              <w:footnoteReference w:id="9"/>
            </w:r>
          </w:p>
          <w:p w14:paraId="28CE9FB8" w14:textId="77777777" w:rsidR="00C87E1E" w:rsidRPr="009E1E74" w:rsidRDefault="00C87E1E" w:rsidP="00C87E1E">
            <w:pPr>
              <w:spacing w:before="0" w:after="0"/>
              <w:jc w:val="center"/>
              <w:rPr>
                <w:b/>
                <w:noProof/>
                <w:sz w:val="18"/>
                <w:lang w:eastAsia="en-GB"/>
              </w:rPr>
            </w:pPr>
          </w:p>
        </w:tc>
        <w:tc>
          <w:tcPr>
            <w:tcW w:w="1080" w:type="dxa"/>
            <w:vAlign w:val="center"/>
          </w:tcPr>
          <w:p w14:paraId="19D227D1" w14:textId="77777777" w:rsidR="00C87E1E" w:rsidRPr="009E1E74" w:rsidRDefault="00C87E1E" w:rsidP="00C87E1E">
            <w:pPr>
              <w:jc w:val="center"/>
              <w:rPr>
                <w:noProof/>
              </w:rPr>
            </w:pPr>
            <w:r w:rsidRPr="009E1E74">
              <w:rPr>
                <w:noProof/>
                <w:sz w:val="18"/>
              </w:rPr>
              <w:t>valstybių kandidačių</w:t>
            </w:r>
            <w:r w:rsidRPr="009E1E74">
              <w:rPr>
                <w:rStyle w:val="FootnoteReference"/>
                <w:noProof/>
              </w:rPr>
              <w:footnoteReference w:id="10"/>
            </w:r>
          </w:p>
          <w:p w14:paraId="2E4E4BD4" w14:textId="77777777" w:rsidR="00C87E1E" w:rsidRPr="009E1E74" w:rsidRDefault="00C87E1E" w:rsidP="00C87E1E">
            <w:pPr>
              <w:spacing w:before="0" w:after="0"/>
              <w:jc w:val="center"/>
              <w:rPr>
                <w:noProof/>
                <w:sz w:val="18"/>
                <w:lang w:eastAsia="en-GB"/>
              </w:rPr>
            </w:pPr>
          </w:p>
        </w:tc>
        <w:tc>
          <w:tcPr>
            <w:tcW w:w="956" w:type="dxa"/>
            <w:vAlign w:val="center"/>
          </w:tcPr>
          <w:p w14:paraId="0CBFC1C3" w14:textId="77777777" w:rsidR="00C87E1E" w:rsidRPr="009E1E74" w:rsidRDefault="00C87E1E" w:rsidP="00C87E1E">
            <w:pPr>
              <w:jc w:val="center"/>
              <w:rPr>
                <w:noProof/>
                <w:sz w:val="18"/>
              </w:rPr>
            </w:pPr>
            <w:r w:rsidRPr="009E1E74">
              <w:rPr>
                <w:noProof/>
                <w:sz w:val="18"/>
              </w:rPr>
              <w:t>trečiųjų valstybių</w:t>
            </w:r>
          </w:p>
        </w:tc>
        <w:tc>
          <w:tcPr>
            <w:tcW w:w="1448" w:type="dxa"/>
            <w:vAlign w:val="center"/>
          </w:tcPr>
          <w:p w14:paraId="3378FCBB" w14:textId="77777777" w:rsidR="00C87E1E" w:rsidRPr="009E1E74" w:rsidRDefault="00C87E1E" w:rsidP="00C87E1E">
            <w:pPr>
              <w:jc w:val="center"/>
              <w:rPr>
                <w:noProof/>
              </w:rPr>
            </w:pPr>
            <w:r w:rsidRPr="009E1E74">
              <w:rPr>
                <w:noProof/>
                <w:sz w:val="16"/>
              </w:rPr>
              <w:t xml:space="preserve">pagal Finansinio reglamento 21 straipsnio 2 dalies b punktą </w:t>
            </w:r>
          </w:p>
        </w:tc>
      </w:tr>
      <w:tr w:rsidR="00C87E1E" w:rsidRPr="009E1E74" w14:paraId="3045D169" w14:textId="77777777" w:rsidTr="00C87E1E">
        <w:tc>
          <w:tcPr>
            <w:tcW w:w="1080" w:type="dxa"/>
            <w:vAlign w:val="center"/>
          </w:tcPr>
          <w:p w14:paraId="45F72CD7" w14:textId="77777777" w:rsidR="00C87E1E" w:rsidRPr="009E1E74" w:rsidRDefault="00C87E1E" w:rsidP="00C87E1E">
            <w:pPr>
              <w:jc w:val="center"/>
              <w:rPr>
                <w:noProof/>
                <w:color w:val="0000FF"/>
                <w:sz w:val="20"/>
                <w:szCs w:val="20"/>
              </w:rPr>
            </w:pPr>
            <w:r w:rsidRPr="009E1E74">
              <w:rPr>
                <w:noProof/>
                <w:sz w:val="20"/>
                <w:szCs w:val="20"/>
              </w:rPr>
              <w:t>2a. Ekonominė, socialinė ir teritorinė sanglauda</w:t>
            </w:r>
          </w:p>
        </w:tc>
        <w:tc>
          <w:tcPr>
            <w:tcW w:w="3960" w:type="dxa"/>
            <w:vAlign w:val="center"/>
          </w:tcPr>
          <w:p w14:paraId="3680101E" w14:textId="1065FAA1" w:rsidR="00C87E1E" w:rsidRPr="009E1E74" w:rsidRDefault="003B08B3" w:rsidP="00C87E1E">
            <w:pPr>
              <w:spacing w:before="60"/>
              <w:rPr>
                <w:noProof/>
                <w:sz w:val="22"/>
              </w:rPr>
            </w:pPr>
            <w:r w:rsidRPr="009E1E74">
              <w:rPr>
                <w:noProof/>
                <w:sz w:val="20"/>
              </w:rPr>
              <w:t>05.02.05.01 Europos regioninės plėtros fondas (ERPF) – Veiklos išlaidos – Finansavimas pagal REACT-EU</w:t>
            </w:r>
          </w:p>
          <w:p w14:paraId="69F72AD5" w14:textId="3A7E9636" w:rsidR="00C87E1E" w:rsidRPr="009E1E74" w:rsidRDefault="003B08B3" w:rsidP="00C87E1E">
            <w:pPr>
              <w:spacing w:before="60"/>
              <w:rPr>
                <w:noProof/>
                <w:sz w:val="22"/>
              </w:rPr>
            </w:pPr>
            <w:r w:rsidRPr="009E1E74">
              <w:rPr>
                <w:noProof/>
                <w:sz w:val="20"/>
              </w:rPr>
              <w:t>07.02.05.01 Europos socialinis fondas (ESF) – Veiklos išlaidos – Finansavimas pagal REACT-EU</w:t>
            </w:r>
            <w:r w:rsidRPr="009E1E74">
              <w:rPr>
                <w:noProof/>
                <w:sz w:val="22"/>
              </w:rPr>
              <w:t xml:space="preserve"> </w:t>
            </w:r>
          </w:p>
          <w:p w14:paraId="4A3328B6" w14:textId="3E10D63C" w:rsidR="00115AF9" w:rsidRPr="009E1E74" w:rsidRDefault="003B08B3" w:rsidP="00C87E1E">
            <w:pPr>
              <w:spacing w:before="60"/>
              <w:rPr>
                <w:noProof/>
                <w:sz w:val="22"/>
              </w:rPr>
            </w:pPr>
            <w:r w:rsidRPr="009E1E74">
              <w:rPr>
                <w:noProof/>
                <w:sz w:val="20"/>
              </w:rPr>
              <w:t>07.02.06.01 Europos pagalbos labiausiai skurstantiems asmenims fondo (EPLSAF) užbaigimas – Veiklos išlaidos – Finansavimas pagal REACT-EU</w:t>
            </w:r>
          </w:p>
          <w:p w14:paraId="27ADA735" w14:textId="77777777" w:rsidR="00C87E1E" w:rsidRPr="009E1E74" w:rsidRDefault="00C87E1E" w:rsidP="00C87E1E">
            <w:pPr>
              <w:spacing w:after="60"/>
              <w:rPr>
                <w:noProof/>
                <w:lang w:eastAsia="en-GB"/>
              </w:rPr>
            </w:pPr>
          </w:p>
        </w:tc>
        <w:tc>
          <w:tcPr>
            <w:tcW w:w="1080" w:type="dxa"/>
            <w:vAlign w:val="center"/>
          </w:tcPr>
          <w:p w14:paraId="4BF474F8" w14:textId="77777777" w:rsidR="00C87E1E" w:rsidRPr="009E1E74" w:rsidRDefault="00C87E1E" w:rsidP="00C87E1E">
            <w:pPr>
              <w:jc w:val="center"/>
              <w:rPr>
                <w:noProof/>
                <w:color w:val="0000FF"/>
              </w:rPr>
            </w:pPr>
            <w:r w:rsidRPr="009E1E74">
              <w:rPr>
                <w:noProof/>
                <w:sz w:val="22"/>
              </w:rPr>
              <w:t>DA</w:t>
            </w:r>
          </w:p>
        </w:tc>
        <w:tc>
          <w:tcPr>
            <w:tcW w:w="956" w:type="dxa"/>
            <w:vAlign w:val="center"/>
          </w:tcPr>
          <w:p w14:paraId="7C382A54" w14:textId="77777777" w:rsidR="00C87E1E" w:rsidRPr="009E1E74" w:rsidRDefault="00C87E1E" w:rsidP="00C87E1E">
            <w:pPr>
              <w:jc w:val="center"/>
              <w:rPr>
                <w:noProof/>
                <w:sz w:val="20"/>
                <w:szCs w:val="20"/>
              </w:rPr>
            </w:pPr>
            <w:r w:rsidRPr="009E1E74">
              <w:rPr>
                <w:noProof/>
                <w:sz w:val="20"/>
                <w:szCs w:val="20"/>
              </w:rPr>
              <w:t>NE</w:t>
            </w:r>
          </w:p>
        </w:tc>
        <w:tc>
          <w:tcPr>
            <w:tcW w:w="1080" w:type="dxa"/>
            <w:vAlign w:val="center"/>
          </w:tcPr>
          <w:p w14:paraId="11BCC95C" w14:textId="77777777" w:rsidR="00C87E1E" w:rsidRPr="009E1E74" w:rsidRDefault="00C87E1E" w:rsidP="00C87E1E">
            <w:pPr>
              <w:jc w:val="center"/>
              <w:rPr>
                <w:noProof/>
                <w:sz w:val="20"/>
                <w:szCs w:val="20"/>
              </w:rPr>
            </w:pPr>
            <w:r w:rsidRPr="009E1E74">
              <w:rPr>
                <w:noProof/>
                <w:sz w:val="20"/>
                <w:szCs w:val="20"/>
              </w:rPr>
              <w:t>NE</w:t>
            </w:r>
          </w:p>
        </w:tc>
        <w:tc>
          <w:tcPr>
            <w:tcW w:w="956" w:type="dxa"/>
            <w:vAlign w:val="center"/>
          </w:tcPr>
          <w:p w14:paraId="1285972E" w14:textId="77777777" w:rsidR="00C87E1E" w:rsidRPr="009E1E74" w:rsidRDefault="00C87E1E" w:rsidP="00C87E1E">
            <w:pPr>
              <w:jc w:val="center"/>
              <w:rPr>
                <w:noProof/>
                <w:sz w:val="20"/>
                <w:szCs w:val="20"/>
              </w:rPr>
            </w:pPr>
            <w:r w:rsidRPr="009E1E74">
              <w:rPr>
                <w:noProof/>
                <w:sz w:val="20"/>
                <w:szCs w:val="20"/>
              </w:rPr>
              <w:t>NE</w:t>
            </w:r>
          </w:p>
        </w:tc>
        <w:tc>
          <w:tcPr>
            <w:tcW w:w="1448" w:type="dxa"/>
            <w:vAlign w:val="center"/>
          </w:tcPr>
          <w:p w14:paraId="2A058180" w14:textId="77777777" w:rsidR="00C87E1E" w:rsidRPr="009E1E74" w:rsidRDefault="00C87E1E" w:rsidP="00C87E1E">
            <w:pPr>
              <w:jc w:val="center"/>
              <w:rPr>
                <w:noProof/>
                <w:sz w:val="20"/>
                <w:szCs w:val="20"/>
              </w:rPr>
            </w:pPr>
            <w:r w:rsidRPr="009E1E74">
              <w:rPr>
                <w:noProof/>
                <w:sz w:val="20"/>
                <w:szCs w:val="20"/>
              </w:rPr>
              <w:t>NE</w:t>
            </w:r>
          </w:p>
        </w:tc>
      </w:tr>
    </w:tbl>
    <w:p w14:paraId="017F6EAF" w14:textId="77777777" w:rsidR="00C87E1E" w:rsidRPr="009E1E74" w:rsidRDefault="00C87E1E" w:rsidP="00C87E1E">
      <w:pPr>
        <w:rPr>
          <w:noProof/>
          <w:lang w:eastAsia="en-GB"/>
        </w:rPr>
        <w:sectPr w:rsidR="00C87E1E" w:rsidRPr="009E1E74" w:rsidSect="006E606F">
          <w:pgSz w:w="11907" w:h="16840" w:code="1"/>
          <w:pgMar w:top="1134" w:right="1418" w:bottom="1134" w:left="1418" w:header="709" w:footer="709" w:gutter="0"/>
          <w:cols w:space="708"/>
          <w:docGrid w:linePitch="360"/>
        </w:sectPr>
      </w:pPr>
    </w:p>
    <w:p w14:paraId="10C5D245" w14:textId="77777777" w:rsidR="00C87E1E" w:rsidRPr="009E1E74" w:rsidRDefault="00C87E1E" w:rsidP="00FB18F4">
      <w:pPr>
        <w:keepNext/>
        <w:outlineLvl w:val="1"/>
        <w:rPr>
          <w:rFonts w:eastAsiaTheme="majorEastAsia"/>
          <w:b/>
          <w:noProof/>
          <w:szCs w:val="24"/>
        </w:rPr>
      </w:pPr>
      <w:bookmarkStart w:id="53" w:name="_Toc514938052"/>
      <w:bookmarkStart w:id="54" w:name="_Toc520485051"/>
      <w:r w:rsidRPr="009E1E74">
        <w:rPr>
          <w:b/>
          <w:bCs/>
          <w:noProof/>
          <w:szCs w:val="26"/>
        </w:rPr>
        <w:t>Numatomas pasiūlymo finansinis poveikis asignavimams</w:t>
      </w:r>
      <w:bookmarkEnd w:id="53"/>
      <w:bookmarkEnd w:id="54"/>
      <w:r w:rsidRPr="009E1E74">
        <w:rPr>
          <w:b/>
          <w:bCs/>
          <w:noProof/>
          <w:szCs w:val="26"/>
        </w:rPr>
        <w:t xml:space="preserve"> </w:t>
      </w:r>
    </w:p>
    <w:p w14:paraId="1020585E" w14:textId="77777777" w:rsidR="00C87E1E" w:rsidRPr="009E1E74" w:rsidRDefault="00C87E1E" w:rsidP="00FB18F4">
      <w:pPr>
        <w:keepNext/>
        <w:outlineLvl w:val="2"/>
        <w:rPr>
          <w:rFonts w:eastAsiaTheme="majorEastAsia"/>
          <w:bCs/>
          <w:i/>
          <w:noProof/>
        </w:rPr>
      </w:pPr>
      <w:bookmarkStart w:id="55" w:name="_Toc514938053"/>
      <w:bookmarkStart w:id="56" w:name="_Toc520485052"/>
      <w:r w:rsidRPr="009E1E74">
        <w:rPr>
          <w:bCs/>
          <w:i/>
          <w:noProof/>
        </w:rPr>
        <w:t>Numatomo poveikio veiklos asignavimams santrauka</w:t>
      </w:r>
      <w:bookmarkEnd w:id="55"/>
      <w:bookmarkEnd w:id="56"/>
      <w:r w:rsidRPr="009E1E74">
        <w:rPr>
          <w:bCs/>
          <w:i/>
          <w:noProof/>
        </w:rPr>
        <w:t xml:space="preserve"> </w:t>
      </w:r>
    </w:p>
    <w:p w14:paraId="43EACF13" w14:textId="77777777" w:rsidR="00C87E1E" w:rsidRPr="009E1E74" w:rsidRDefault="00C87E1E" w:rsidP="00FB18F4">
      <w:pPr>
        <w:rPr>
          <w:noProof/>
          <w:lang w:eastAsia="en-GB"/>
        </w:rPr>
      </w:pPr>
    </w:p>
    <w:p w14:paraId="2216E196" w14:textId="77777777" w:rsidR="00E41E7D" w:rsidRPr="009E1E74" w:rsidRDefault="00E41E7D" w:rsidP="00E41E7D">
      <w:pPr>
        <w:pStyle w:val="Text1"/>
        <w:ind w:left="0"/>
        <w:rPr>
          <w:noProof/>
        </w:rPr>
      </w:pPr>
      <w:r w:rsidRPr="009E1E74">
        <w:rPr>
          <w:noProof/>
        </w:rPr>
        <w:t xml:space="preserve">Dėl siūlomo pakeitimo nereikia daryti jokių daugiametės finansinės programos metinių įsipareigojimų ir mokėjimų viršutinių ribų, nustatytų Reglamento (ES) Nr. 1311/2013 I priede, pakeitimų. </w:t>
      </w:r>
    </w:p>
    <w:p w14:paraId="62D8F2D5" w14:textId="77777777" w:rsidR="00E41E7D" w:rsidRPr="009E1E74" w:rsidRDefault="00E41E7D" w:rsidP="00E41E7D">
      <w:pPr>
        <w:pStyle w:val="Text1"/>
        <w:ind w:left="0"/>
        <w:rPr>
          <w:noProof/>
        </w:rPr>
      </w:pPr>
      <w:r w:rsidRPr="009E1E74">
        <w:rPr>
          <w:noProof/>
        </w:rPr>
        <w:t xml:space="preserve">Metinis įsipareigojimų asignavimų paskirstymas Europos regioninės plėtros fondui, Europos socialiniam fondui ir Europos pagalbos labiausiai skurstantiems asmenims fondui nekeičiamas. </w:t>
      </w:r>
    </w:p>
    <w:p w14:paraId="37E8D030" w14:textId="77777777" w:rsidR="00E41E7D" w:rsidRPr="009E1E74" w:rsidRDefault="00E41E7D" w:rsidP="00E41E7D">
      <w:pPr>
        <w:pStyle w:val="Text1"/>
        <w:ind w:left="0"/>
        <w:rPr>
          <w:noProof/>
        </w:rPr>
      </w:pPr>
      <w:r w:rsidRPr="009E1E74">
        <w:rPr>
          <w:noProof/>
        </w:rPr>
        <w:t xml:space="preserve">Įgyvendinant pasiūlymą bus išmokėta papildoma išankstinio finansavimo suma. </w:t>
      </w:r>
    </w:p>
    <w:p w14:paraId="7987901C" w14:textId="77777777" w:rsidR="00E41E7D" w:rsidRPr="009E1E74" w:rsidRDefault="00E41E7D" w:rsidP="00E41E7D">
      <w:pPr>
        <w:pStyle w:val="Text1"/>
        <w:ind w:left="0"/>
        <w:rPr>
          <w:noProof/>
        </w:rPr>
      </w:pPr>
      <w:r w:rsidRPr="009E1E74">
        <w:rPr>
          <w:b/>
          <w:noProof/>
        </w:rPr>
        <w:t>Papildomi pradinio išankstinio finansavimo mokėjimai 2022 m. bus finansuojami iš išorės asignuotųjų pajamų.</w:t>
      </w:r>
      <w:r w:rsidRPr="009E1E74">
        <w:rPr>
          <w:noProof/>
        </w:rPr>
        <w:t xml:space="preserve"> Visos sumos bus pateiktos kaip išorės asignuotosios pajamos, kaip apibrėžta Finansinio reglamento 21 straipsnio 5 dalyje, gautos Sąjungai vykdant skolinimosi operacijas, kaip nustatyta Tarybos reglamente (ES) 2020/2094.</w:t>
      </w:r>
    </w:p>
    <w:p w14:paraId="60B077BC" w14:textId="77777777" w:rsidR="00E41E7D" w:rsidRPr="009E1E74" w:rsidRDefault="00E41E7D" w:rsidP="00E41E7D">
      <w:pPr>
        <w:pStyle w:val="Text2"/>
        <w:ind w:left="0"/>
        <w:rPr>
          <w:rStyle w:val="conf-macro"/>
          <w:noProof/>
        </w:rPr>
      </w:pPr>
      <w:r w:rsidRPr="009E1E74">
        <w:rPr>
          <w:noProof/>
        </w:rPr>
        <w:t>Sumokėta papildomo pradinio išankstinio finansavimo suma Komisijos sąskaitose visiškai patvirtinama ne vėliau kaip tada, kai užbaigiama veiksmų programa.</w:t>
      </w:r>
      <w:r w:rsidRPr="009E1E74">
        <w:rPr>
          <w:rStyle w:val="conf-macro"/>
          <w:noProof/>
        </w:rPr>
        <w:t xml:space="preserve"> </w:t>
      </w:r>
    </w:p>
    <w:p w14:paraId="060B6AF1" w14:textId="77777777" w:rsidR="007909C9" w:rsidRPr="009E1E74" w:rsidRDefault="007909C9">
      <w:pPr>
        <w:spacing w:before="0" w:after="200" w:line="276" w:lineRule="auto"/>
        <w:jc w:val="left"/>
        <w:rPr>
          <w:noProof/>
          <w:sz w:val="18"/>
          <w:szCs w:val="18"/>
        </w:rPr>
      </w:pPr>
      <w:r w:rsidRPr="009E1E74">
        <w:rPr>
          <w:noProof/>
        </w:rPr>
        <w:br w:type="page"/>
      </w:r>
    </w:p>
    <w:p w14:paraId="6CEE40FC" w14:textId="62B99EBC" w:rsidR="00C87E1E" w:rsidRPr="009E1E74" w:rsidRDefault="00C87E1E" w:rsidP="00C87E1E">
      <w:pPr>
        <w:jc w:val="right"/>
        <w:rPr>
          <w:noProof/>
          <w:sz w:val="18"/>
          <w:szCs w:val="18"/>
        </w:rPr>
      </w:pPr>
      <w:r w:rsidRPr="009E1E74">
        <w:rPr>
          <w:noProof/>
          <w:sz w:val="18"/>
          <w:szCs w:val="18"/>
        </w:rPr>
        <w:t>mln. EUR (tūkstantųjų tikslumu)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C87E1E" w:rsidRPr="009E1E74" w14:paraId="5BAAE288" w14:textId="77777777" w:rsidTr="00C87E1E">
        <w:trPr>
          <w:jc w:val="center"/>
        </w:trPr>
        <w:tc>
          <w:tcPr>
            <w:tcW w:w="4744" w:type="dxa"/>
            <w:shd w:val="thinDiagStripe" w:color="C0C0C0" w:fill="auto"/>
            <w:vAlign w:val="center"/>
          </w:tcPr>
          <w:p w14:paraId="0B3FEDA6" w14:textId="77777777" w:rsidR="00C87E1E" w:rsidRPr="009E1E74" w:rsidRDefault="00C87E1E" w:rsidP="00C87E1E">
            <w:pPr>
              <w:spacing w:before="60" w:after="60"/>
              <w:jc w:val="center"/>
              <w:rPr>
                <w:b/>
                <w:noProof/>
              </w:rPr>
            </w:pPr>
            <w:r w:rsidRPr="009E1E74">
              <w:rPr>
                <w:b/>
                <w:noProof/>
                <w:sz w:val="22"/>
              </w:rPr>
              <w:t>Daugiametės finansinės programos išlaidų</w:t>
            </w:r>
            <w:r w:rsidRPr="009E1E74">
              <w:rPr>
                <w:noProof/>
              </w:rPr>
              <w:t xml:space="preserve"> </w:t>
            </w:r>
            <w:r w:rsidRPr="009E1E74">
              <w:rPr>
                <w:noProof/>
              </w:rPr>
              <w:br/>
            </w:r>
            <w:r w:rsidRPr="009E1E74">
              <w:rPr>
                <w:b/>
                <w:noProof/>
                <w:sz w:val="22"/>
              </w:rPr>
              <w:t xml:space="preserve">kategorija </w:t>
            </w:r>
          </w:p>
        </w:tc>
        <w:tc>
          <w:tcPr>
            <w:tcW w:w="1080" w:type="dxa"/>
            <w:vAlign w:val="center"/>
          </w:tcPr>
          <w:p w14:paraId="2E8CB493" w14:textId="77777777" w:rsidR="00C87E1E" w:rsidRPr="009E1E74" w:rsidRDefault="00C87E1E" w:rsidP="00C87E1E">
            <w:pPr>
              <w:spacing w:before="60" w:after="60"/>
              <w:jc w:val="center"/>
              <w:rPr>
                <w:noProof/>
              </w:rPr>
            </w:pPr>
            <w:r w:rsidRPr="009E1E74">
              <w:rPr>
                <w:noProof/>
                <w:sz w:val="22"/>
              </w:rPr>
              <w:t>Numeris</w:t>
            </w:r>
          </w:p>
        </w:tc>
        <w:tc>
          <w:tcPr>
            <w:tcW w:w="7817" w:type="dxa"/>
            <w:vAlign w:val="center"/>
          </w:tcPr>
          <w:p w14:paraId="66F838E0" w14:textId="77777777" w:rsidR="00C87E1E" w:rsidRPr="009E1E74" w:rsidRDefault="00C87E1E" w:rsidP="00C87E1E">
            <w:pPr>
              <w:spacing w:before="60" w:after="60"/>
              <w:rPr>
                <w:noProof/>
              </w:rPr>
            </w:pPr>
            <w:r w:rsidRPr="009E1E74">
              <w:rPr>
                <w:noProof/>
              </w:rPr>
              <w:t>2a</w:t>
            </w:r>
          </w:p>
        </w:tc>
      </w:tr>
    </w:tbl>
    <w:p w14:paraId="45C17098" w14:textId="77777777" w:rsidR="00C87E1E" w:rsidRPr="009E1E74" w:rsidRDefault="00C87E1E" w:rsidP="00C87E1E">
      <w:pPr>
        <w:rPr>
          <w:noProof/>
          <w:sz w:val="16"/>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4"/>
        <w:gridCol w:w="1276"/>
        <w:gridCol w:w="576"/>
        <w:gridCol w:w="703"/>
        <w:gridCol w:w="1134"/>
        <w:gridCol w:w="708"/>
        <w:gridCol w:w="1276"/>
        <w:gridCol w:w="820"/>
        <w:gridCol w:w="1777"/>
      </w:tblGrid>
      <w:tr w:rsidR="00C87E1E" w:rsidRPr="009E1E74" w14:paraId="0E1BAD29" w14:textId="77777777" w:rsidTr="00E41E7D">
        <w:tc>
          <w:tcPr>
            <w:tcW w:w="3904" w:type="dxa"/>
            <w:vAlign w:val="center"/>
          </w:tcPr>
          <w:p w14:paraId="2909545B" w14:textId="77777777" w:rsidR="00C87E1E" w:rsidRPr="009E1E74" w:rsidRDefault="00C87E1E" w:rsidP="00E83480">
            <w:pPr>
              <w:jc w:val="center"/>
              <w:rPr>
                <w:noProof/>
              </w:rPr>
            </w:pPr>
            <w:r w:rsidRPr="009E1E74">
              <w:rPr>
                <w:noProof/>
                <w:sz w:val="22"/>
              </w:rPr>
              <w:t>Regioninės ir miestų politikos GD ir Užimtumo, socialinių reikalų ir įtraukties GD</w:t>
            </w:r>
          </w:p>
        </w:tc>
        <w:tc>
          <w:tcPr>
            <w:tcW w:w="1276" w:type="dxa"/>
          </w:tcPr>
          <w:p w14:paraId="65F5F86E" w14:textId="77777777" w:rsidR="00C87E1E" w:rsidRPr="009E1E74" w:rsidRDefault="00C87E1E" w:rsidP="00C87E1E">
            <w:pPr>
              <w:rPr>
                <w:noProof/>
                <w:sz w:val="20"/>
                <w:lang w:eastAsia="en-GB"/>
              </w:rPr>
            </w:pPr>
          </w:p>
        </w:tc>
        <w:tc>
          <w:tcPr>
            <w:tcW w:w="576" w:type="dxa"/>
          </w:tcPr>
          <w:p w14:paraId="284877D8" w14:textId="77777777" w:rsidR="00C87E1E" w:rsidRPr="009E1E74" w:rsidRDefault="00C87E1E" w:rsidP="00C87E1E">
            <w:pPr>
              <w:jc w:val="center"/>
              <w:rPr>
                <w:noProof/>
                <w:sz w:val="20"/>
                <w:lang w:eastAsia="en-GB"/>
              </w:rPr>
            </w:pPr>
          </w:p>
        </w:tc>
        <w:tc>
          <w:tcPr>
            <w:tcW w:w="703" w:type="dxa"/>
            <w:vAlign w:val="center"/>
          </w:tcPr>
          <w:p w14:paraId="7F2A51D0" w14:textId="77777777" w:rsidR="00C87E1E" w:rsidRPr="009E1E74" w:rsidRDefault="00C87E1E" w:rsidP="00C87E1E">
            <w:pPr>
              <w:jc w:val="center"/>
              <w:rPr>
                <w:noProof/>
                <w:sz w:val="20"/>
              </w:rPr>
            </w:pPr>
            <w:r w:rsidRPr="009E1E74">
              <w:rPr>
                <w:b/>
                <w:noProof/>
                <w:sz w:val="20"/>
              </w:rPr>
              <w:t>2021 </w:t>
            </w:r>
            <w:r w:rsidRPr="009E1E74">
              <w:rPr>
                <w:noProof/>
                <w:sz w:val="20"/>
              </w:rPr>
              <w:t>metai</w:t>
            </w:r>
          </w:p>
        </w:tc>
        <w:tc>
          <w:tcPr>
            <w:tcW w:w="1134" w:type="dxa"/>
            <w:vAlign w:val="center"/>
          </w:tcPr>
          <w:p w14:paraId="1591892F" w14:textId="77777777" w:rsidR="00C87E1E" w:rsidRPr="009E1E74" w:rsidRDefault="00C87E1E" w:rsidP="00C87E1E">
            <w:pPr>
              <w:jc w:val="center"/>
              <w:rPr>
                <w:noProof/>
                <w:sz w:val="20"/>
              </w:rPr>
            </w:pPr>
            <w:r w:rsidRPr="009E1E74">
              <w:rPr>
                <w:b/>
                <w:noProof/>
                <w:sz w:val="20"/>
              </w:rPr>
              <w:t>2022 </w:t>
            </w:r>
            <w:r w:rsidRPr="009E1E74">
              <w:rPr>
                <w:noProof/>
                <w:sz w:val="20"/>
              </w:rPr>
              <w:t>metai</w:t>
            </w:r>
          </w:p>
        </w:tc>
        <w:tc>
          <w:tcPr>
            <w:tcW w:w="708" w:type="dxa"/>
            <w:vAlign w:val="center"/>
          </w:tcPr>
          <w:p w14:paraId="0B4883DA" w14:textId="77777777" w:rsidR="00C87E1E" w:rsidRPr="009E1E74" w:rsidRDefault="00C87E1E" w:rsidP="00C87E1E">
            <w:pPr>
              <w:jc w:val="center"/>
              <w:rPr>
                <w:noProof/>
                <w:sz w:val="20"/>
              </w:rPr>
            </w:pPr>
            <w:r w:rsidRPr="009E1E74">
              <w:rPr>
                <w:b/>
                <w:noProof/>
                <w:sz w:val="20"/>
              </w:rPr>
              <w:t>2023 </w:t>
            </w:r>
            <w:r w:rsidRPr="009E1E74">
              <w:rPr>
                <w:noProof/>
                <w:sz w:val="20"/>
              </w:rPr>
              <w:t>metai</w:t>
            </w:r>
          </w:p>
        </w:tc>
        <w:tc>
          <w:tcPr>
            <w:tcW w:w="1276" w:type="dxa"/>
            <w:vAlign w:val="center"/>
          </w:tcPr>
          <w:p w14:paraId="77F70960" w14:textId="77777777" w:rsidR="00C87E1E" w:rsidRPr="009E1E74" w:rsidRDefault="00C87E1E" w:rsidP="00C87E1E">
            <w:pPr>
              <w:jc w:val="center"/>
              <w:rPr>
                <w:noProof/>
                <w:sz w:val="20"/>
              </w:rPr>
            </w:pPr>
            <w:r w:rsidRPr="009E1E74">
              <w:rPr>
                <w:b/>
                <w:noProof/>
                <w:sz w:val="20"/>
              </w:rPr>
              <w:t>2024 </w:t>
            </w:r>
            <w:r w:rsidRPr="009E1E74">
              <w:rPr>
                <w:noProof/>
                <w:sz w:val="20"/>
              </w:rPr>
              <w:t>metai</w:t>
            </w:r>
          </w:p>
        </w:tc>
        <w:tc>
          <w:tcPr>
            <w:tcW w:w="820" w:type="dxa"/>
            <w:vAlign w:val="center"/>
          </w:tcPr>
          <w:p w14:paraId="5B2F9724" w14:textId="77777777" w:rsidR="00C87E1E" w:rsidRPr="009E1E74" w:rsidRDefault="00C87E1E" w:rsidP="007D59DE">
            <w:pPr>
              <w:jc w:val="center"/>
              <w:rPr>
                <w:b/>
                <w:noProof/>
                <w:sz w:val="20"/>
                <w:szCs w:val="20"/>
                <w:highlight w:val="yellow"/>
              </w:rPr>
            </w:pPr>
            <w:r w:rsidRPr="009E1E74">
              <w:rPr>
                <w:b/>
                <w:noProof/>
                <w:sz w:val="20"/>
                <w:szCs w:val="20"/>
              </w:rPr>
              <w:t>2025 </w:t>
            </w:r>
            <w:r w:rsidRPr="009E1E74">
              <w:rPr>
                <w:noProof/>
                <w:sz w:val="20"/>
                <w:szCs w:val="20"/>
              </w:rPr>
              <w:t>metai</w:t>
            </w:r>
          </w:p>
        </w:tc>
        <w:tc>
          <w:tcPr>
            <w:tcW w:w="1777" w:type="dxa"/>
            <w:vAlign w:val="center"/>
          </w:tcPr>
          <w:p w14:paraId="4BC6363D" w14:textId="77777777" w:rsidR="00C87E1E" w:rsidRPr="009E1E74" w:rsidRDefault="00C87E1E" w:rsidP="00C87E1E">
            <w:pPr>
              <w:jc w:val="center"/>
              <w:rPr>
                <w:b/>
                <w:noProof/>
                <w:sz w:val="20"/>
              </w:rPr>
            </w:pPr>
            <w:r w:rsidRPr="009E1E74">
              <w:rPr>
                <w:b/>
                <w:noProof/>
                <w:sz w:val="20"/>
              </w:rPr>
              <w:t>IŠ VISO</w:t>
            </w:r>
          </w:p>
        </w:tc>
      </w:tr>
      <w:tr w:rsidR="00C87E1E" w:rsidRPr="009E1E74" w14:paraId="20272FDF" w14:textId="77777777" w:rsidTr="00E41E7D">
        <w:trPr>
          <w:trHeight w:val="213"/>
        </w:trPr>
        <w:tc>
          <w:tcPr>
            <w:tcW w:w="5756" w:type="dxa"/>
            <w:gridSpan w:val="3"/>
            <w:vAlign w:val="center"/>
          </w:tcPr>
          <w:p w14:paraId="56CEC00E" w14:textId="77777777" w:rsidR="00C87E1E" w:rsidRPr="009E1E74" w:rsidRDefault="00C87E1E" w:rsidP="00C87E1E">
            <w:pPr>
              <w:spacing w:before="20" w:after="20"/>
              <w:rPr>
                <w:noProof/>
                <w:sz w:val="21"/>
              </w:rPr>
            </w:pPr>
            <w:r w:rsidRPr="009E1E74">
              <w:rPr>
                <w:noProof/>
                <w:sz w:val="21"/>
              </w:rPr>
              <w:sym w:font="Wingdings" w:char="F09F"/>
            </w:r>
            <w:r w:rsidRPr="009E1E74">
              <w:rPr>
                <w:noProof/>
                <w:sz w:val="21"/>
              </w:rPr>
              <w:t xml:space="preserve"> Veiklos asignavimai </w:t>
            </w:r>
          </w:p>
        </w:tc>
        <w:tc>
          <w:tcPr>
            <w:tcW w:w="703" w:type="dxa"/>
            <w:vAlign w:val="center"/>
          </w:tcPr>
          <w:p w14:paraId="54AAC1D6" w14:textId="77777777" w:rsidR="00C87E1E" w:rsidRPr="009E1E74" w:rsidRDefault="00C87E1E" w:rsidP="00C87E1E">
            <w:pPr>
              <w:rPr>
                <w:noProof/>
                <w:sz w:val="20"/>
                <w:lang w:eastAsia="en-GB"/>
              </w:rPr>
            </w:pPr>
          </w:p>
        </w:tc>
        <w:tc>
          <w:tcPr>
            <w:tcW w:w="1134" w:type="dxa"/>
            <w:vAlign w:val="center"/>
          </w:tcPr>
          <w:p w14:paraId="35DB0609" w14:textId="77777777" w:rsidR="00C87E1E" w:rsidRPr="009E1E74" w:rsidRDefault="00C87E1E" w:rsidP="00C87E1E">
            <w:pPr>
              <w:rPr>
                <w:noProof/>
                <w:sz w:val="20"/>
                <w:lang w:eastAsia="en-GB"/>
              </w:rPr>
            </w:pPr>
          </w:p>
        </w:tc>
        <w:tc>
          <w:tcPr>
            <w:tcW w:w="708" w:type="dxa"/>
            <w:vAlign w:val="center"/>
          </w:tcPr>
          <w:p w14:paraId="2E835233" w14:textId="77777777" w:rsidR="00C87E1E" w:rsidRPr="009E1E74" w:rsidRDefault="00C87E1E" w:rsidP="00C87E1E">
            <w:pPr>
              <w:rPr>
                <w:noProof/>
                <w:sz w:val="20"/>
                <w:lang w:eastAsia="en-GB"/>
              </w:rPr>
            </w:pPr>
          </w:p>
        </w:tc>
        <w:tc>
          <w:tcPr>
            <w:tcW w:w="1276" w:type="dxa"/>
            <w:vAlign w:val="center"/>
          </w:tcPr>
          <w:p w14:paraId="7EF53A93" w14:textId="77777777" w:rsidR="00C87E1E" w:rsidRPr="009E1E74" w:rsidRDefault="00C87E1E" w:rsidP="00C87E1E">
            <w:pPr>
              <w:rPr>
                <w:noProof/>
                <w:sz w:val="20"/>
                <w:lang w:eastAsia="en-GB"/>
              </w:rPr>
            </w:pPr>
          </w:p>
        </w:tc>
        <w:tc>
          <w:tcPr>
            <w:tcW w:w="820" w:type="dxa"/>
          </w:tcPr>
          <w:p w14:paraId="20D5279E" w14:textId="77777777" w:rsidR="00C87E1E" w:rsidRPr="009E1E74" w:rsidRDefault="00C87E1E" w:rsidP="00C87E1E">
            <w:pPr>
              <w:rPr>
                <w:noProof/>
                <w:sz w:val="20"/>
                <w:lang w:eastAsia="en-GB"/>
              </w:rPr>
            </w:pPr>
          </w:p>
        </w:tc>
        <w:tc>
          <w:tcPr>
            <w:tcW w:w="1777" w:type="dxa"/>
            <w:vAlign w:val="center"/>
          </w:tcPr>
          <w:p w14:paraId="2C5DA8F3" w14:textId="77777777" w:rsidR="00C87E1E" w:rsidRPr="009E1E74" w:rsidRDefault="00C87E1E" w:rsidP="00C87E1E">
            <w:pPr>
              <w:rPr>
                <w:b/>
                <w:noProof/>
                <w:sz w:val="20"/>
                <w:lang w:eastAsia="en-GB"/>
              </w:rPr>
            </w:pPr>
          </w:p>
        </w:tc>
      </w:tr>
      <w:tr w:rsidR="00F36C89" w:rsidRPr="009E1E74" w14:paraId="465E3C74" w14:textId="77777777" w:rsidTr="00E41E7D">
        <w:trPr>
          <w:trHeight w:val="1092"/>
        </w:trPr>
        <w:tc>
          <w:tcPr>
            <w:tcW w:w="3904" w:type="dxa"/>
            <w:vMerge w:val="restart"/>
            <w:vAlign w:val="center"/>
          </w:tcPr>
          <w:p w14:paraId="1A643D54" w14:textId="530E6029" w:rsidR="00F36C89" w:rsidRPr="009E1E74" w:rsidRDefault="003B08B3" w:rsidP="00F36C89">
            <w:pPr>
              <w:spacing w:before="0" w:after="200" w:line="276" w:lineRule="auto"/>
              <w:jc w:val="left"/>
              <w:rPr>
                <w:noProof/>
                <w:sz w:val="20"/>
              </w:rPr>
            </w:pPr>
            <w:r w:rsidRPr="009E1E74">
              <w:rPr>
                <w:noProof/>
                <w:sz w:val="20"/>
              </w:rPr>
              <w:t>05.02.05.01 Europos regioninės plėtros fondas (ERPF) – Veiklos išlaidos – Finansavimas pagal REACT-EU</w:t>
            </w:r>
          </w:p>
          <w:p w14:paraId="129185A7" w14:textId="2B4546A7" w:rsidR="00F36C89" w:rsidRPr="009E1E74" w:rsidRDefault="003B08B3" w:rsidP="00F36C89">
            <w:pPr>
              <w:rPr>
                <w:noProof/>
                <w:sz w:val="20"/>
              </w:rPr>
            </w:pPr>
            <w:r w:rsidRPr="009E1E74">
              <w:rPr>
                <w:noProof/>
                <w:sz w:val="20"/>
              </w:rPr>
              <w:t xml:space="preserve">07.02.05.01 Europos socialinis fondas (ESF) – Veiklos išlaidos – Finansavimas pagal REACT-EU </w:t>
            </w:r>
          </w:p>
          <w:p w14:paraId="73C10BBE" w14:textId="116C4C9F" w:rsidR="00F36C89" w:rsidRPr="009E1E74" w:rsidRDefault="003B08B3" w:rsidP="00F36C89">
            <w:pPr>
              <w:rPr>
                <w:noProof/>
                <w:sz w:val="20"/>
              </w:rPr>
            </w:pPr>
            <w:r w:rsidRPr="009E1E74">
              <w:rPr>
                <w:noProof/>
                <w:sz w:val="20"/>
              </w:rPr>
              <w:t>07.02.06.01 Europos pagalbos labiausiai skurstantiems asmenims fondo (EPLSAF) užbaigimas – Veiklos išlaidos – Finansavimas pagal REACT-EU</w:t>
            </w:r>
          </w:p>
          <w:p w14:paraId="4FEC5B14" w14:textId="77777777" w:rsidR="00F36C89" w:rsidRPr="009E1E74" w:rsidRDefault="00F36C89" w:rsidP="00F36C89">
            <w:pPr>
              <w:rPr>
                <w:noProof/>
                <w:lang w:eastAsia="en-GB"/>
              </w:rPr>
            </w:pPr>
          </w:p>
        </w:tc>
        <w:tc>
          <w:tcPr>
            <w:tcW w:w="1276" w:type="dxa"/>
            <w:vAlign w:val="center"/>
          </w:tcPr>
          <w:p w14:paraId="396EED33" w14:textId="77777777" w:rsidR="00F36C89" w:rsidRPr="009E1E74" w:rsidRDefault="00F36C89" w:rsidP="00F36C89">
            <w:pPr>
              <w:spacing w:before="20" w:after="20"/>
              <w:rPr>
                <w:noProof/>
                <w:sz w:val="18"/>
              </w:rPr>
            </w:pPr>
            <w:r w:rsidRPr="009E1E74">
              <w:rPr>
                <w:noProof/>
                <w:sz w:val="18"/>
              </w:rPr>
              <w:t>Įsipareigojimai</w:t>
            </w:r>
          </w:p>
        </w:tc>
        <w:tc>
          <w:tcPr>
            <w:tcW w:w="576" w:type="dxa"/>
            <w:vAlign w:val="center"/>
          </w:tcPr>
          <w:p w14:paraId="6F8E9CAF" w14:textId="77777777" w:rsidR="00F36C89" w:rsidRPr="009E1E74" w:rsidRDefault="00F36C89" w:rsidP="00F36C89">
            <w:pPr>
              <w:spacing w:before="20" w:after="20"/>
              <w:jc w:val="center"/>
              <w:rPr>
                <w:noProof/>
                <w:sz w:val="14"/>
              </w:rPr>
            </w:pPr>
            <w:r w:rsidRPr="009E1E74">
              <w:rPr>
                <w:noProof/>
                <w:sz w:val="14"/>
              </w:rPr>
              <w:t>1a</w:t>
            </w:r>
          </w:p>
        </w:tc>
        <w:tc>
          <w:tcPr>
            <w:tcW w:w="703" w:type="dxa"/>
            <w:vAlign w:val="center"/>
          </w:tcPr>
          <w:p w14:paraId="4D1DD9A3" w14:textId="77777777" w:rsidR="00F36C89" w:rsidRPr="009E1E74" w:rsidRDefault="00F36C89" w:rsidP="00F36C89">
            <w:pPr>
              <w:spacing w:before="20" w:after="20"/>
              <w:rPr>
                <w:noProof/>
                <w:sz w:val="22"/>
                <w:lang w:eastAsia="en-GB"/>
              </w:rPr>
            </w:pPr>
          </w:p>
        </w:tc>
        <w:tc>
          <w:tcPr>
            <w:tcW w:w="1134" w:type="dxa"/>
            <w:vAlign w:val="center"/>
          </w:tcPr>
          <w:p w14:paraId="0D3329FE" w14:textId="77777777" w:rsidR="00F36C89" w:rsidRPr="009E1E74" w:rsidRDefault="00F36C89" w:rsidP="00F36C89">
            <w:pPr>
              <w:spacing w:before="20" w:after="20"/>
              <w:jc w:val="right"/>
              <w:rPr>
                <w:noProof/>
                <w:sz w:val="22"/>
                <w:lang w:eastAsia="en-GB"/>
              </w:rPr>
            </w:pPr>
          </w:p>
        </w:tc>
        <w:tc>
          <w:tcPr>
            <w:tcW w:w="708" w:type="dxa"/>
            <w:vAlign w:val="center"/>
          </w:tcPr>
          <w:p w14:paraId="7EDEBEB3" w14:textId="77777777" w:rsidR="00F36C89" w:rsidRPr="009E1E74" w:rsidRDefault="00F36C89" w:rsidP="00F36C89">
            <w:pPr>
              <w:spacing w:before="20" w:after="20"/>
              <w:jc w:val="right"/>
              <w:rPr>
                <w:noProof/>
                <w:sz w:val="22"/>
                <w:lang w:eastAsia="en-GB"/>
              </w:rPr>
            </w:pPr>
          </w:p>
        </w:tc>
        <w:tc>
          <w:tcPr>
            <w:tcW w:w="1276" w:type="dxa"/>
            <w:vAlign w:val="center"/>
          </w:tcPr>
          <w:p w14:paraId="4246D988" w14:textId="77777777" w:rsidR="00F36C89" w:rsidRPr="009E1E74" w:rsidRDefault="00F36C89" w:rsidP="00E41E7D">
            <w:pPr>
              <w:spacing w:before="20" w:after="20"/>
              <w:rPr>
                <w:noProof/>
                <w:sz w:val="22"/>
                <w:lang w:eastAsia="en-GB"/>
              </w:rPr>
            </w:pPr>
          </w:p>
        </w:tc>
        <w:tc>
          <w:tcPr>
            <w:tcW w:w="820" w:type="dxa"/>
            <w:vAlign w:val="center"/>
          </w:tcPr>
          <w:p w14:paraId="3313FDAA" w14:textId="77777777" w:rsidR="00F36C89" w:rsidRPr="009E1E74" w:rsidRDefault="00F36C89" w:rsidP="00F36C89">
            <w:pPr>
              <w:spacing w:before="20" w:after="20"/>
              <w:jc w:val="right"/>
              <w:rPr>
                <w:noProof/>
                <w:sz w:val="22"/>
                <w:lang w:eastAsia="en-GB"/>
              </w:rPr>
            </w:pPr>
          </w:p>
        </w:tc>
        <w:tc>
          <w:tcPr>
            <w:tcW w:w="1777" w:type="dxa"/>
            <w:vAlign w:val="center"/>
          </w:tcPr>
          <w:p w14:paraId="20F732A2" w14:textId="77777777" w:rsidR="00F36C89" w:rsidRPr="009E1E74" w:rsidRDefault="00E41E7D" w:rsidP="00F36C89">
            <w:pPr>
              <w:spacing w:before="20" w:after="20"/>
              <w:jc w:val="center"/>
              <w:rPr>
                <w:b/>
                <w:noProof/>
                <w:sz w:val="22"/>
              </w:rPr>
            </w:pPr>
            <w:r w:rsidRPr="009E1E74">
              <w:rPr>
                <w:b/>
                <w:noProof/>
                <w:sz w:val="22"/>
              </w:rPr>
              <w:t>0,000</w:t>
            </w:r>
          </w:p>
        </w:tc>
      </w:tr>
      <w:tr w:rsidR="00A84BC9" w:rsidRPr="009E1E74" w14:paraId="0231E145" w14:textId="77777777" w:rsidTr="00E41E7D">
        <w:tc>
          <w:tcPr>
            <w:tcW w:w="3904" w:type="dxa"/>
            <w:vMerge/>
          </w:tcPr>
          <w:p w14:paraId="2842128C" w14:textId="77777777" w:rsidR="00A84BC9" w:rsidRPr="009E1E74" w:rsidRDefault="00A84BC9" w:rsidP="00A84BC9">
            <w:pPr>
              <w:jc w:val="center"/>
              <w:rPr>
                <w:noProof/>
                <w:sz w:val="20"/>
                <w:lang w:eastAsia="en-GB"/>
              </w:rPr>
            </w:pPr>
          </w:p>
        </w:tc>
        <w:tc>
          <w:tcPr>
            <w:tcW w:w="1276" w:type="dxa"/>
            <w:vAlign w:val="center"/>
          </w:tcPr>
          <w:p w14:paraId="09CE47A0" w14:textId="77777777" w:rsidR="00A84BC9" w:rsidRPr="009E1E74" w:rsidRDefault="00A84BC9" w:rsidP="00A84BC9">
            <w:pPr>
              <w:spacing w:before="20" w:after="20"/>
              <w:rPr>
                <w:noProof/>
                <w:sz w:val="18"/>
              </w:rPr>
            </w:pPr>
            <w:r w:rsidRPr="009E1E74">
              <w:rPr>
                <w:noProof/>
                <w:sz w:val="18"/>
              </w:rPr>
              <w:t>Mokėjimai</w:t>
            </w:r>
          </w:p>
        </w:tc>
        <w:tc>
          <w:tcPr>
            <w:tcW w:w="576" w:type="dxa"/>
            <w:vAlign w:val="center"/>
          </w:tcPr>
          <w:p w14:paraId="499E7288" w14:textId="77777777" w:rsidR="00A84BC9" w:rsidRPr="009E1E74" w:rsidRDefault="00A84BC9" w:rsidP="00A84BC9">
            <w:pPr>
              <w:spacing w:before="20" w:after="20"/>
              <w:jc w:val="center"/>
              <w:rPr>
                <w:noProof/>
                <w:sz w:val="14"/>
              </w:rPr>
            </w:pPr>
            <w:r w:rsidRPr="009E1E74">
              <w:rPr>
                <w:noProof/>
                <w:sz w:val="14"/>
              </w:rPr>
              <w:t>2a</w:t>
            </w:r>
          </w:p>
        </w:tc>
        <w:tc>
          <w:tcPr>
            <w:tcW w:w="703" w:type="dxa"/>
            <w:vAlign w:val="center"/>
          </w:tcPr>
          <w:p w14:paraId="5E9CA817" w14:textId="77777777" w:rsidR="00A84BC9" w:rsidRPr="009E1E74" w:rsidRDefault="00A84BC9" w:rsidP="007D59DE">
            <w:pPr>
              <w:spacing w:before="20" w:after="20"/>
              <w:jc w:val="right"/>
              <w:rPr>
                <w:noProof/>
                <w:sz w:val="22"/>
                <w:lang w:eastAsia="en-GB"/>
              </w:rPr>
            </w:pPr>
          </w:p>
        </w:tc>
        <w:tc>
          <w:tcPr>
            <w:tcW w:w="1134" w:type="dxa"/>
            <w:vAlign w:val="center"/>
          </w:tcPr>
          <w:p w14:paraId="3AE96EA5" w14:textId="77777777" w:rsidR="00A84BC9" w:rsidRPr="009E1E74" w:rsidRDefault="004A429E" w:rsidP="007D59DE">
            <w:pPr>
              <w:spacing w:before="20" w:after="20"/>
              <w:jc w:val="right"/>
              <w:rPr>
                <w:noProof/>
                <w:sz w:val="22"/>
              </w:rPr>
            </w:pPr>
            <w:r w:rsidRPr="009E1E74">
              <w:rPr>
                <w:noProof/>
                <w:sz w:val="22"/>
              </w:rPr>
              <w:t>3 426,000</w:t>
            </w:r>
          </w:p>
        </w:tc>
        <w:tc>
          <w:tcPr>
            <w:tcW w:w="708" w:type="dxa"/>
            <w:vAlign w:val="center"/>
          </w:tcPr>
          <w:p w14:paraId="28468630" w14:textId="77777777" w:rsidR="00A84BC9" w:rsidRPr="009E1E74" w:rsidRDefault="00A84BC9" w:rsidP="007D59DE">
            <w:pPr>
              <w:spacing w:before="20" w:after="20"/>
              <w:jc w:val="right"/>
              <w:rPr>
                <w:noProof/>
                <w:sz w:val="22"/>
                <w:lang w:eastAsia="en-GB"/>
              </w:rPr>
            </w:pPr>
          </w:p>
        </w:tc>
        <w:tc>
          <w:tcPr>
            <w:tcW w:w="1276" w:type="dxa"/>
            <w:vAlign w:val="center"/>
          </w:tcPr>
          <w:p w14:paraId="34969589" w14:textId="77777777" w:rsidR="00A84BC9" w:rsidRPr="009E1E74" w:rsidRDefault="004A429E" w:rsidP="007D59DE">
            <w:pPr>
              <w:spacing w:before="20" w:after="20"/>
              <w:jc w:val="right"/>
              <w:rPr>
                <w:noProof/>
                <w:sz w:val="22"/>
              </w:rPr>
            </w:pPr>
            <w:r w:rsidRPr="009E1E74">
              <w:rPr>
                <w:noProof/>
                <w:sz w:val="22"/>
              </w:rPr>
              <w:t>–3 426,000</w:t>
            </w:r>
          </w:p>
        </w:tc>
        <w:tc>
          <w:tcPr>
            <w:tcW w:w="820" w:type="dxa"/>
            <w:vAlign w:val="center"/>
          </w:tcPr>
          <w:p w14:paraId="0FF38828" w14:textId="77777777" w:rsidR="00A84BC9" w:rsidRPr="009E1E74" w:rsidRDefault="00A84BC9" w:rsidP="007D59DE">
            <w:pPr>
              <w:spacing w:before="20" w:after="20"/>
              <w:jc w:val="right"/>
              <w:rPr>
                <w:noProof/>
                <w:sz w:val="22"/>
                <w:highlight w:val="yellow"/>
                <w:lang w:eastAsia="en-GB"/>
              </w:rPr>
            </w:pPr>
          </w:p>
        </w:tc>
        <w:tc>
          <w:tcPr>
            <w:tcW w:w="1777" w:type="dxa"/>
            <w:vAlign w:val="center"/>
          </w:tcPr>
          <w:p w14:paraId="0CBB22C7" w14:textId="77777777" w:rsidR="00A84BC9" w:rsidRPr="009E1E74" w:rsidRDefault="00A84BC9" w:rsidP="007D59DE">
            <w:pPr>
              <w:spacing w:before="20" w:after="20"/>
              <w:jc w:val="center"/>
              <w:rPr>
                <w:b/>
                <w:noProof/>
                <w:sz w:val="22"/>
              </w:rPr>
            </w:pPr>
            <w:r w:rsidRPr="009E1E74">
              <w:rPr>
                <w:b/>
                <w:noProof/>
                <w:sz w:val="22"/>
              </w:rPr>
              <w:t>0,000</w:t>
            </w:r>
          </w:p>
        </w:tc>
      </w:tr>
      <w:tr w:rsidR="00A84BC9" w:rsidRPr="009E1E74" w14:paraId="5E476527" w14:textId="77777777" w:rsidTr="00E41E7D">
        <w:tc>
          <w:tcPr>
            <w:tcW w:w="3904" w:type="dxa"/>
            <w:vMerge w:val="restart"/>
            <w:vAlign w:val="center"/>
          </w:tcPr>
          <w:p w14:paraId="4E9BD7A7" w14:textId="77777777" w:rsidR="00A84BC9" w:rsidRPr="009E1E74" w:rsidRDefault="00A84BC9" w:rsidP="00A84BC9">
            <w:pPr>
              <w:rPr>
                <w:noProof/>
              </w:rPr>
            </w:pPr>
            <w:r w:rsidRPr="009E1E74">
              <w:rPr>
                <w:noProof/>
                <w:sz w:val="20"/>
              </w:rPr>
              <w:t>Biudžeto eilutė</w:t>
            </w:r>
          </w:p>
        </w:tc>
        <w:tc>
          <w:tcPr>
            <w:tcW w:w="1276" w:type="dxa"/>
            <w:vAlign w:val="center"/>
          </w:tcPr>
          <w:p w14:paraId="4BACF55D" w14:textId="77777777" w:rsidR="00A84BC9" w:rsidRPr="009E1E74" w:rsidRDefault="00A84BC9" w:rsidP="00A84BC9">
            <w:pPr>
              <w:spacing w:before="20" w:after="20"/>
              <w:rPr>
                <w:noProof/>
                <w:sz w:val="18"/>
              </w:rPr>
            </w:pPr>
            <w:r w:rsidRPr="009E1E74">
              <w:rPr>
                <w:noProof/>
                <w:sz w:val="18"/>
              </w:rPr>
              <w:t>Įsipareigojimai</w:t>
            </w:r>
          </w:p>
        </w:tc>
        <w:tc>
          <w:tcPr>
            <w:tcW w:w="576" w:type="dxa"/>
            <w:vAlign w:val="center"/>
          </w:tcPr>
          <w:p w14:paraId="454DDD82" w14:textId="77777777" w:rsidR="00A84BC9" w:rsidRPr="009E1E74" w:rsidRDefault="00A84BC9" w:rsidP="00A84BC9">
            <w:pPr>
              <w:spacing w:before="20" w:after="20"/>
              <w:jc w:val="center"/>
              <w:rPr>
                <w:noProof/>
                <w:sz w:val="14"/>
              </w:rPr>
            </w:pPr>
            <w:r w:rsidRPr="009E1E74">
              <w:rPr>
                <w:noProof/>
                <w:sz w:val="14"/>
              </w:rPr>
              <w:t>1b</w:t>
            </w:r>
          </w:p>
        </w:tc>
        <w:tc>
          <w:tcPr>
            <w:tcW w:w="703" w:type="dxa"/>
            <w:vAlign w:val="center"/>
          </w:tcPr>
          <w:p w14:paraId="57378D35" w14:textId="77777777" w:rsidR="00A84BC9" w:rsidRPr="009E1E74" w:rsidRDefault="00A84BC9" w:rsidP="00A84BC9">
            <w:pPr>
              <w:spacing w:before="20" w:after="20"/>
              <w:jc w:val="right"/>
              <w:rPr>
                <w:noProof/>
                <w:sz w:val="20"/>
                <w:lang w:eastAsia="en-GB"/>
              </w:rPr>
            </w:pPr>
          </w:p>
        </w:tc>
        <w:tc>
          <w:tcPr>
            <w:tcW w:w="1134" w:type="dxa"/>
            <w:vAlign w:val="center"/>
          </w:tcPr>
          <w:p w14:paraId="093100F3" w14:textId="77777777" w:rsidR="00A84BC9" w:rsidRPr="009E1E74" w:rsidRDefault="00A84BC9" w:rsidP="00A84BC9">
            <w:pPr>
              <w:spacing w:before="20" w:after="20"/>
              <w:jc w:val="right"/>
              <w:rPr>
                <w:noProof/>
                <w:sz w:val="20"/>
                <w:lang w:eastAsia="en-GB"/>
              </w:rPr>
            </w:pPr>
          </w:p>
        </w:tc>
        <w:tc>
          <w:tcPr>
            <w:tcW w:w="708" w:type="dxa"/>
            <w:vAlign w:val="center"/>
          </w:tcPr>
          <w:p w14:paraId="37FE23D3" w14:textId="77777777" w:rsidR="00A84BC9" w:rsidRPr="009E1E74" w:rsidRDefault="00A84BC9" w:rsidP="00A84BC9">
            <w:pPr>
              <w:spacing w:before="20" w:after="20"/>
              <w:jc w:val="right"/>
              <w:rPr>
                <w:noProof/>
                <w:sz w:val="20"/>
                <w:lang w:eastAsia="en-GB"/>
              </w:rPr>
            </w:pPr>
          </w:p>
        </w:tc>
        <w:tc>
          <w:tcPr>
            <w:tcW w:w="1276" w:type="dxa"/>
            <w:vAlign w:val="center"/>
          </w:tcPr>
          <w:p w14:paraId="2BB11C50" w14:textId="77777777" w:rsidR="00A84BC9" w:rsidRPr="009E1E74" w:rsidRDefault="00A84BC9" w:rsidP="00A84BC9">
            <w:pPr>
              <w:spacing w:before="20" w:after="20"/>
              <w:jc w:val="right"/>
              <w:rPr>
                <w:noProof/>
                <w:sz w:val="20"/>
                <w:lang w:eastAsia="en-GB"/>
              </w:rPr>
            </w:pPr>
          </w:p>
        </w:tc>
        <w:tc>
          <w:tcPr>
            <w:tcW w:w="820" w:type="dxa"/>
          </w:tcPr>
          <w:p w14:paraId="4497E78E" w14:textId="77777777" w:rsidR="00A84BC9" w:rsidRPr="009E1E74" w:rsidRDefault="00A84BC9" w:rsidP="00A84BC9">
            <w:pPr>
              <w:spacing w:before="20" w:after="20"/>
              <w:jc w:val="right"/>
              <w:rPr>
                <w:noProof/>
                <w:sz w:val="20"/>
                <w:lang w:eastAsia="en-GB"/>
              </w:rPr>
            </w:pPr>
          </w:p>
        </w:tc>
        <w:tc>
          <w:tcPr>
            <w:tcW w:w="1777" w:type="dxa"/>
            <w:vAlign w:val="center"/>
          </w:tcPr>
          <w:p w14:paraId="129AF8CC" w14:textId="77777777" w:rsidR="00A84BC9" w:rsidRPr="009E1E74" w:rsidRDefault="00A84BC9" w:rsidP="00A84BC9">
            <w:pPr>
              <w:spacing w:before="20" w:after="20"/>
              <w:jc w:val="right"/>
              <w:rPr>
                <w:b/>
                <w:noProof/>
                <w:sz w:val="20"/>
                <w:lang w:eastAsia="en-GB"/>
              </w:rPr>
            </w:pPr>
          </w:p>
        </w:tc>
      </w:tr>
      <w:tr w:rsidR="00A84BC9" w:rsidRPr="009E1E74" w14:paraId="24D05E33" w14:textId="77777777" w:rsidTr="00E41E7D">
        <w:tc>
          <w:tcPr>
            <w:tcW w:w="3904" w:type="dxa"/>
            <w:vMerge/>
          </w:tcPr>
          <w:p w14:paraId="74006819" w14:textId="77777777" w:rsidR="00A84BC9" w:rsidRPr="009E1E74" w:rsidRDefault="00A84BC9" w:rsidP="00A84BC9">
            <w:pPr>
              <w:jc w:val="center"/>
              <w:rPr>
                <w:noProof/>
                <w:sz w:val="20"/>
                <w:lang w:eastAsia="en-GB"/>
              </w:rPr>
            </w:pPr>
          </w:p>
        </w:tc>
        <w:tc>
          <w:tcPr>
            <w:tcW w:w="1276" w:type="dxa"/>
            <w:vAlign w:val="center"/>
          </w:tcPr>
          <w:p w14:paraId="4EA68C9B" w14:textId="77777777" w:rsidR="00A84BC9" w:rsidRPr="009E1E74" w:rsidRDefault="00A84BC9" w:rsidP="00A84BC9">
            <w:pPr>
              <w:spacing w:before="20" w:after="20"/>
              <w:rPr>
                <w:noProof/>
                <w:sz w:val="18"/>
              </w:rPr>
            </w:pPr>
            <w:r w:rsidRPr="009E1E74">
              <w:rPr>
                <w:noProof/>
                <w:sz w:val="18"/>
              </w:rPr>
              <w:t>Mokėjimai</w:t>
            </w:r>
          </w:p>
        </w:tc>
        <w:tc>
          <w:tcPr>
            <w:tcW w:w="576" w:type="dxa"/>
            <w:vAlign w:val="center"/>
          </w:tcPr>
          <w:p w14:paraId="666CE428" w14:textId="77777777" w:rsidR="00A84BC9" w:rsidRPr="009E1E74" w:rsidRDefault="00A84BC9" w:rsidP="00A84BC9">
            <w:pPr>
              <w:spacing w:before="20" w:after="20"/>
              <w:jc w:val="center"/>
              <w:rPr>
                <w:noProof/>
                <w:sz w:val="14"/>
              </w:rPr>
            </w:pPr>
            <w:r w:rsidRPr="009E1E74">
              <w:rPr>
                <w:noProof/>
                <w:sz w:val="14"/>
              </w:rPr>
              <w:t>2b</w:t>
            </w:r>
          </w:p>
        </w:tc>
        <w:tc>
          <w:tcPr>
            <w:tcW w:w="703" w:type="dxa"/>
            <w:vAlign w:val="center"/>
          </w:tcPr>
          <w:p w14:paraId="7A79C82A" w14:textId="77777777" w:rsidR="00A84BC9" w:rsidRPr="009E1E74" w:rsidRDefault="00A84BC9" w:rsidP="00A84BC9">
            <w:pPr>
              <w:spacing w:before="20" w:after="20"/>
              <w:jc w:val="right"/>
              <w:rPr>
                <w:noProof/>
                <w:sz w:val="20"/>
                <w:lang w:eastAsia="en-GB"/>
              </w:rPr>
            </w:pPr>
          </w:p>
        </w:tc>
        <w:tc>
          <w:tcPr>
            <w:tcW w:w="1134" w:type="dxa"/>
            <w:vAlign w:val="center"/>
          </w:tcPr>
          <w:p w14:paraId="2D00FA35" w14:textId="77777777" w:rsidR="00A84BC9" w:rsidRPr="009E1E74" w:rsidRDefault="00A84BC9" w:rsidP="00A84BC9">
            <w:pPr>
              <w:spacing w:before="20" w:after="20"/>
              <w:jc w:val="right"/>
              <w:rPr>
                <w:noProof/>
                <w:sz w:val="20"/>
                <w:lang w:eastAsia="en-GB"/>
              </w:rPr>
            </w:pPr>
          </w:p>
        </w:tc>
        <w:tc>
          <w:tcPr>
            <w:tcW w:w="708" w:type="dxa"/>
            <w:vAlign w:val="center"/>
          </w:tcPr>
          <w:p w14:paraId="198B7BFA" w14:textId="77777777" w:rsidR="00A84BC9" w:rsidRPr="009E1E74" w:rsidRDefault="00A84BC9" w:rsidP="00A84BC9">
            <w:pPr>
              <w:spacing w:before="20" w:after="20"/>
              <w:jc w:val="right"/>
              <w:rPr>
                <w:noProof/>
                <w:sz w:val="20"/>
                <w:lang w:eastAsia="en-GB"/>
              </w:rPr>
            </w:pPr>
          </w:p>
        </w:tc>
        <w:tc>
          <w:tcPr>
            <w:tcW w:w="1276" w:type="dxa"/>
            <w:vAlign w:val="center"/>
          </w:tcPr>
          <w:p w14:paraId="171FEC8E" w14:textId="77777777" w:rsidR="00A84BC9" w:rsidRPr="009E1E74" w:rsidRDefault="00A84BC9" w:rsidP="00A84BC9">
            <w:pPr>
              <w:spacing w:before="20" w:after="20"/>
              <w:jc w:val="right"/>
              <w:rPr>
                <w:noProof/>
                <w:sz w:val="20"/>
                <w:lang w:eastAsia="en-GB"/>
              </w:rPr>
            </w:pPr>
          </w:p>
        </w:tc>
        <w:tc>
          <w:tcPr>
            <w:tcW w:w="820" w:type="dxa"/>
          </w:tcPr>
          <w:p w14:paraId="3EC2C90B" w14:textId="77777777" w:rsidR="00A84BC9" w:rsidRPr="009E1E74" w:rsidRDefault="00A84BC9" w:rsidP="00A84BC9">
            <w:pPr>
              <w:spacing w:before="20" w:after="20"/>
              <w:jc w:val="right"/>
              <w:rPr>
                <w:noProof/>
                <w:sz w:val="20"/>
                <w:lang w:eastAsia="en-GB"/>
              </w:rPr>
            </w:pPr>
          </w:p>
        </w:tc>
        <w:tc>
          <w:tcPr>
            <w:tcW w:w="1777" w:type="dxa"/>
            <w:vAlign w:val="center"/>
          </w:tcPr>
          <w:p w14:paraId="51A79372" w14:textId="77777777" w:rsidR="00A84BC9" w:rsidRPr="009E1E74" w:rsidRDefault="00A84BC9" w:rsidP="00A84BC9">
            <w:pPr>
              <w:spacing w:before="20" w:after="20"/>
              <w:jc w:val="right"/>
              <w:rPr>
                <w:b/>
                <w:noProof/>
                <w:sz w:val="20"/>
                <w:lang w:eastAsia="en-GB"/>
              </w:rPr>
            </w:pPr>
          </w:p>
        </w:tc>
      </w:tr>
      <w:tr w:rsidR="00A84BC9" w:rsidRPr="009E1E74" w14:paraId="129CB4D0" w14:textId="77777777" w:rsidTr="00E41E7D">
        <w:trPr>
          <w:trHeight w:val="231"/>
        </w:trPr>
        <w:tc>
          <w:tcPr>
            <w:tcW w:w="5756" w:type="dxa"/>
            <w:gridSpan w:val="3"/>
            <w:vAlign w:val="center"/>
          </w:tcPr>
          <w:p w14:paraId="68BA7F93" w14:textId="77777777" w:rsidR="00A84BC9" w:rsidRPr="009E1E74" w:rsidRDefault="00A84BC9" w:rsidP="00A84BC9">
            <w:pPr>
              <w:spacing w:before="20" w:after="20"/>
              <w:rPr>
                <w:noProof/>
              </w:rPr>
            </w:pPr>
            <w:r w:rsidRPr="009E1E74">
              <w:rPr>
                <w:noProof/>
                <w:sz w:val="21"/>
              </w:rPr>
              <w:t>Administracinio pobūdžio asignavimai, finansuojami iš konkrečių programų paketo lėšų</w:t>
            </w:r>
            <w:r w:rsidRPr="009E1E74">
              <w:rPr>
                <w:rStyle w:val="FootnoteReference"/>
                <w:noProof/>
              </w:rPr>
              <w:footnoteReference w:id="11"/>
            </w:r>
            <w:r w:rsidRPr="009E1E74">
              <w:rPr>
                <w:noProof/>
                <w:sz w:val="21"/>
              </w:rPr>
              <w:t xml:space="preserve"> </w:t>
            </w:r>
          </w:p>
          <w:p w14:paraId="55BD1B51" w14:textId="77777777" w:rsidR="00A84BC9" w:rsidRPr="009E1E74" w:rsidRDefault="00A84BC9" w:rsidP="00A84BC9">
            <w:pPr>
              <w:spacing w:before="0" w:after="0"/>
              <w:rPr>
                <w:noProof/>
                <w:lang w:eastAsia="en-GB"/>
              </w:rPr>
            </w:pPr>
          </w:p>
        </w:tc>
        <w:tc>
          <w:tcPr>
            <w:tcW w:w="703" w:type="dxa"/>
            <w:vAlign w:val="center"/>
          </w:tcPr>
          <w:p w14:paraId="52CDE85D" w14:textId="77777777" w:rsidR="00A84BC9" w:rsidRPr="009E1E74" w:rsidRDefault="00A84BC9" w:rsidP="00A84BC9">
            <w:pPr>
              <w:rPr>
                <w:b/>
                <w:noProof/>
                <w:sz w:val="20"/>
                <w:lang w:eastAsia="en-GB"/>
              </w:rPr>
            </w:pPr>
          </w:p>
        </w:tc>
        <w:tc>
          <w:tcPr>
            <w:tcW w:w="1134" w:type="dxa"/>
            <w:vAlign w:val="center"/>
          </w:tcPr>
          <w:p w14:paraId="40580DE1" w14:textId="77777777" w:rsidR="00A84BC9" w:rsidRPr="009E1E74" w:rsidRDefault="00A84BC9" w:rsidP="00A84BC9">
            <w:pPr>
              <w:rPr>
                <w:b/>
                <w:noProof/>
                <w:sz w:val="20"/>
                <w:lang w:eastAsia="en-GB"/>
              </w:rPr>
            </w:pPr>
          </w:p>
        </w:tc>
        <w:tc>
          <w:tcPr>
            <w:tcW w:w="708" w:type="dxa"/>
            <w:vAlign w:val="center"/>
          </w:tcPr>
          <w:p w14:paraId="0D193F44" w14:textId="77777777" w:rsidR="00A84BC9" w:rsidRPr="009E1E74" w:rsidRDefault="00A84BC9" w:rsidP="00A84BC9">
            <w:pPr>
              <w:rPr>
                <w:b/>
                <w:noProof/>
                <w:sz w:val="20"/>
                <w:lang w:eastAsia="en-GB"/>
              </w:rPr>
            </w:pPr>
          </w:p>
        </w:tc>
        <w:tc>
          <w:tcPr>
            <w:tcW w:w="1276" w:type="dxa"/>
            <w:vAlign w:val="center"/>
          </w:tcPr>
          <w:p w14:paraId="1C9CD4F8" w14:textId="77777777" w:rsidR="00A84BC9" w:rsidRPr="009E1E74" w:rsidRDefault="00A84BC9" w:rsidP="00A84BC9">
            <w:pPr>
              <w:rPr>
                <w:b/>
                <w:noProof/>
                <w:sz w:val="20"/>
                <w:lang w:eastAsia="en-GB"/>
              </w:rPr>
            </w:pPr>
          </w:p>
        </w:tc>
        <w:tc>
          <w:tcPr>
            <w:tcW w:w="820" w:type="dxa"/>
          </w:tcPr>
          <w:p w14:paraId="47A2E996" w14:textId="77777777" w:rsidR="00A84BC9" w:rsidRPr="009E1E74" w:rsidRDefault="00A84BC9" w:rsidP="00A84BC9">
            <w:pPr>
              <w:rPr>
                <w:b/>
                <w:noProof/>
                <w:sz w:val="20"/>
                <w:lang w:eastAsia="en-GB"/>
              </w:rPr>
            </w:pPr>
          </w:p>
        </w:tc>
        <w:tc>
          <w:tcPr>
            <w:tcW w:w="1777" w:type="dxa"/>
            <w:vAlign w:val="center"/>
          </w:tcPr>
          <w:p w14:paraId="4FE801DF" w14:textId="77777777" w:rsidR="00A84BC9" w:rsidRPr="009E1E74" w:rsidRDefault="00A84BC9" w:rsidP="00A84BC9">
            <w:pPr>
              <w:rPr>
                <w:b/>
                <w:noProof/>
                <w:sz w:val="20"/>
                <w:lang w:eastAsia="en-GB"/>
              </w:rPr>
            </w:pPr>
          </w:p>
        </w:tc>
      </w:tr>
      <w:tr w:rsidR="00A84BC9" w:rsidRPr="009E1E74" w14:paraId="6053692C" w14:textId="77777777" w:rsidTr="00E41E7D">
        <w:trPr>
          <w:trHeight w:val="319"/>
        </w:trPr>
        <w:tc>
          <w:tcPr>
            <w:tcW w:w="3904" w:type="dxa"/>
            <w:vAlign w:val="center"/>
          </w:tcPr>
          <w:p w14:paraId="20D13926" w14:textId="77777777" w:rsidR="00A84BC9" w:rsidRPr="009E1E74" w:rsidRDefault="00A84BC9" w:rsidP="00A84BC9">
            <w:pPr>
              <w:spacing w:before="60" w:after="60"/>
              <w:rPr>
                <w:noProof/>
              </w:rPr>
            </w:pPr>
            <w:r w:rsidRPr="009E1E74">
              <w:rPr>
                <w:noProof/>
                <w:sz w:val="20"/>
              </w:rPr>
              <w:t>Biudžeto eilutė</w:t>
            </w:r>
          </w:p>
        </w:tc>
        <w:tc>
          <w:tcPr>
            <w:tcW w:w="1276" w:type="dxa"/>
            <w:vAlign w:val="center"/>
          </w:tcPr>
          <w:p w14:paraId="158A3961" w14:textId="77777777" w:rsidR="00A84BC9" w:rsidRPr="009E1E74" w:rsidRDefault="00A84BC9" w:rsidP="00A84BC9">
            <w:pPr>
              <w:spacing w:before="40" w:after="40"/>
              <w:jc w:val="right"/>
              <w:rPr>
                <w:noProof/>
                <w:sz w:val="18"/>
                <w:lang w:eastAsia="en-GB"/>
              </w:rPr>
            </w:pPr>
          </w:p>
        </w:tc>
        <w:tc>
          <w:tcPr>
            <w:tcW w:w="576" w:type="dxa"/>
            <w:vAlign w:val="center"/>
          </w:tcPr>
          <w:p w14:paraId="72C7F828" w14:textId="77777777" w:rsidR="00A84BC9" w:rsidRPr="009E1E74" w:rsidRDefault="00A84BC9" w:rsidP="00A84BC9">
            <w:pPr>
              <w:spacing w:before="40" w:after="40"/>
              <w:jc w:val="center"/>
              <w:rPr>
                <w:noProof/>
                <w:sz w:val="14"/>
              </w:rPr>
            </w:pPr>
            <w:r w:rsidRPr="009E1E74">
              <w:rPr>
                <w:noProof/>
                <w:sz w:val="14"/>
              </w:rPr>
              <w:t>3</w:t>
            </w:r>
          </w:p>
        </w:tc>
        <w:tc>
          <w:tcPr>
            <w:tcW w:w="703" w:type="dxa"/>
            <w:vAlign w:val="center"/>
          </w:tcPr>
          <w:p w14:paraId="7C880007" w14:textId="77777777" w:rsidR="00A84BC9" w:rsidRPr="009E1E74" w:rsidRDefault="00A84BC9" w:rsidP="00A84BC9">
            <w:pPr>
              <w:spacing w:before="40" w:after="40"/>
              <w:jc w:val="right"/>
              <w:rPr>
                <w:b/>
                <w:noProof/>
                <w:sz w:val="20"/>
                <w:lang w:eastAsia="en-GB"/>
              </w:rPr>
            </w:pPr>
          </w:p>
        </w:tc>
        <w:tc>
          <w:tcPr>
            <w:tcW w:w="1134" w:type="dxa"/>
            <w:vAlign w:val="center"/>
          </w:tcPr>
          <w:p w14:paraId="08760328" w14:textId="77777777" w:rsidR="00A84BC9" w:rsidRPr="009E1E74" w:rsidRDefault="00A84BC9" w:rsidP="00A84BC9">
            <w:pPr>
              <w:spacing w:before="40" w:after="40"/>
              <w:jc w:val="right"/>
              <w:rPr>
                <w:b/>
                <w:noProof/>
                <w:sz w:val="20"/>
                <w:lang w:eastAsia="en-GB"/>
              </w:rPr>
            </w:pPr>
          </w:p>
        </w:tc>
        <w:tc>
          <w:tcPr>
            <w:tcW w:w="708" w:type="dxa"/>
            <w:vAlign w:val="center"/>
          </w:tcPr>
          <w:p w14:paraId="3263DDB0" w14:textId="77777777" w:rsidR="00A84BC9" w:rsidRPr="009E1E74" w:rsidRDefault="00A84BC9" w:rsidP="00A84BC9">
            <w:pPr>
              <w:spacing w:before="40" w:after="40"/>
              <w:jc w:val="right"/>
              <w:rPr>
                <w:b/>
                <w:noProof/>
                <w:sz w:val="20"/>
                <w:lang w:eastAsia="en-GB"/>
              </w:rPr>
            </w:pPr>
          </w:p>
        </w:tc>
        <w:tc>
          <w:tcPr>
            <w:tcW w:w="1276" w:type="dxa"/>
            <w:vAlign w:val="center"/>
          </w:tcPr>
          <w:p w14:paraId="3C3C7FB4" w14:textId="77777777" w:rsidR="00A84BC9" w:rsidRPr="009E1E74" w:rsidRDefault="00A84BC9" w:rsidP="00A84BC9">
            <w:pPr>
              <w:spacing w:before="40" w:after="40"/>
              <w:jc w:val="right"/>
              <w:rPr>
                <w:b/>
                <w:noProof/>
                <w:sz w:val="20"/>
                <w:lang w:eastAsia="en-GB"/>
              </w:rPr>
            </w:pPr>
          </w:p>
        </w:tc>
        <w:tc>
          <w:tcPr>
            <w:tcW w:w="820" w:type="dxa"/>
          </w:tcPr>
          <w:p w14:paraId="77FC0344" w14:textId="77777777" w:rsidR="00A84BC9" w:rsidRPr="009E1E74" w:rsidRDefault="00A84BC9" w:rsidP="00A84BC9">
            <w:pPr>
              <w:spacing w:before="40" w:after="40"/>
              <w:jc w:val="right"/>
              <w:rPr>
                <w:b/>
                <w:noProof/>
                <w:sz w:val="20"/>
                <w:lang w:eastAsia="en-GB"/>
              </w:rPr>
            </w:pPr>
          </w:p>
        </w:tc>
        <w:tc>
          <w:tcPr>
            <w:tcW w:w="1777" w:type="dxa"/>
            <w:vAlign w:val="center"/>
          </w:tcPr>
          <w:p w14:paraId="1A16309B" w14:textId="77777777" w:rsidR="00A84BC9" w:rsidRPr="009E1E74" w:rsidRDefault="00A84BC9" w:rsidP="00A84BC9">
            <w:pPr>
              <w:spacing w:before="40" w:after="40"/>
              <w:jc w:val="right"/>
              <w:rPr>
                <w:b/>
                <w:noProof/>
                <w:sz w:val="20"/>
                <w:lang w:eastAsia="en-GB"/>
              </w:rPr>
            </w:pPr>
          </w:p>
        </w:tc>
      </w:tr>
      <w:tr w:rsidR="00E41E7D" w:rsidRPr="009E1E74" w14:paraId="7757B389" w14:textId="77777777" w:rsidTr="00E41E7D">
        <w:tc>
          <w:tcPr>
            <w:tcW w:w="3904" w:type="dxa"/>
            <w:vMerge w:val="restart"/>
            <w:vAlign w:val="center"/>
          </w:tcPr>
          <w:p w14:paraId="7AF6A608" w14:textId="77777777" w:rsidR="00E41E7D" w:rsidRPr="009E1E74" w:rsidRDefault="00E41E7D" w:rsidP="00E41E7D">
            <w:pPr>
              <w:jc w:val="center"/>
              <w:rPr>
                <w:b/>
                <w:noProof/>
              </w:rPr>
            </w:pPr>
            <w:r w:rsidRPr="009E1E74">
              <w:rPr>
                <w:b/>
                <w:noProof/>
                <w:sz w:val="22"/>
              </w:rPr>
              <w:t>IŠ VISO asignavimų</w:t>
            </w:r>
            <w:r w:rsidRPr="009E1E74">
              <w:rPr>
                <w:noProof/>
              </w:rPr>
              <w:t xml:space="preserve"> </w:t>
            </w:r>
            <w:r w:rsidRPr="009E1E74">
              <w:rPr>
                <w:noProof/>
              </w:rPr>
              <w:br/>
            </w:r>
            <w:r w:rsidRPr="009E1E74">
              <w:rPr>
                <w:noProof/>
                <w:sz w:val="22"/>
              </w:rPr>
              <w:t>Regioninės ir miestų politikos GD ir Užimtumo, socialinių reikalų ir įtraukties GD</w:t>
            </w:r>
          </w:p>
        </w:tc>
        <w:tc>
          <w:tcPr>
            <w:tcW w:w="1276" w:type="dxa"/>
            <w:vAlign w:val="center"/>
          </w:tcPr>
          <w:p w14:paraId="634C7412" w14:textId="77777777" w:rsidR="00E41E7D" w:rsidRPr="009E1E74" w:rsidRDefault="00E41E7D" w:rsidP="00E41E7D">
            <w:pPr>
              <w:rPr>
                <w:noProof/>
                <w:sz w:val="18"/>
              </w:rPr>
            </w:pPr>
            <w:r w:rsidRPr="009E1E74">
              <w:rPr>
                <w:noProof/>
                <w:sz w:val="18"/>
              </w:rPr>
              <w:t>Įsipareigojimai</w:t>
            </w:r>
          </w:p>
        </w:tc>
        <w:tc>
          <w:tcPr>
            <w:tcW w:w="576" w:type="dxa"/>
            <w:vAlign w:val="center"/>
          </w:tcPr>
          <w:p w14:paraId="070DB76D" w14:textId="77777777" w:rsidR="00E41E7D" w:rsidRPr="009E1E74" w:rsidRDefault="00E41E7D" w:rsidP="00E41E7D">
            <w:pPr>
              <w:jc w:val="center"/>
              <w:rPr>
                <w:noProof/>
                <w:sz w:val="14"/>
              </w:rPr>
            </w:pPr>
            <w:r w:rsidRPr="009E1E74">
              <w:rPr>
                <w:noProof/>
                <w:sz w:val="14"/>
              </w:rPr>
              <w:t>= 1a + 1b + 3</w:t>
            </w:r>
          </w:p>
        </w:tc>
        <w:tc>
          <w:tcPr>
            <w:tcW w:w="703" w:type="dxa"/>
            <w:vAlign w:val="center"/>
          </w:tcPr>
          <w:p w14:paraId="34427EC1" w14:textId="77777777" w:rsidR="00E41E7D" w:rsidRPr="009E1E74" w:rsidRDefault="00E41E7D" w:rsidP="00E41E7D">
            <w:pPr>
              <w:spacing w:before="20" w:after="20"/>
              <w:jc w:val="right"/>
              <w:rPr>
                <w:noProof/>
                <w:sz w:val="22"/>
                <w:lang w:eastAsia="en-GB"/>
              </w:rPr>
            </w:pPr>
          </w:p>
        </w:tc>
        <w:tc>
          <w:tcPr>
            <w:tcW w:w="1134" w:type="dxa"/>
            <w:vAlign w:val="center"/>
          </w:tcPr>
          <w:p w14:paraId="760587C1" w14:textId="77777777" w:rsidR="00E41E7D" w:rsidRPr="009E1E74" w:rsidRDefault="00E41E7D" w:rsidP="00E41E7D">
            <w:pPr>
              <w:spacing w:before="20" w:after="20"/>
              <w:jc w:val="right"/>
              <w:rPr>
                <w:noProof/>
                <w:sz w:val="22"/>
                <w:lang w:eastAsia="en-GB"/>
              </w:rPr>
            </w:pPr>
          </w:p>
        </w:tc>
        <w:tc>
          <w:tcPr>
            <w:tcW w:w="708" w:type="dxa"/>
            <w:vAlign w:val="center"/>
          </w:tcPr>
          <w:p w14:paraId="4D35E88E" w14:textId="77777777" w:rsidR="00E41E7D" w:rsidRPr="009E1E74" w:rsidRDefault="00E41E7D" w:rsidP="00E41E7D">
            <w:pPr>
              <w:spacing w:before="20" w:after="20"/>
              <w:jc w:val="right"/>
              <w:rPr>
                <w:noProof/>
                <w:sz w:val="22"/>
                <w:lang w:eastAsia="en-GB"/>
              </w:rPr>
            </w:pPr>
          </w:p>
        </w:tc>
        <w:tc>
          <w:tcPr>
            <w:tcW w:w="1276" w:type="dxa"/>
            <w:vAlign w:val="center"/>
          </w:tcPr>
          <w:p w14:paraId="282769BA" w14:textId="77777777" w:rsidR="00E41E7D" w:rsidRPr="009E1E74" w:rsidRDefault="00E41E7D" w:rsidP="00E41E7D">
            <w:pPr>
              <w:spacing w:before="20" w:after="20"/>
              <w:jc w:val="right"/>
              <w:rPr>
                <w:noProof/>
                <w:sz w:val="22"/>
                <w:lang w:eastAsia="en-GB"/>
              </w:rPr>
            </w:pPr>
          </w:p>
        </w:tc>
        <w:tc>
          <w:tcPr>
            <w:tcW w:w="820" w:type="dxa"/>
            <w:vAlign w:val="center"/>
          </w:tcPr>
          <w:p w14:paraId="0B0FCBC1" w14:textId="77777777" w:rsidR="00E41E7D" w:rsidRPr="009E1E74" w:rsidRDefault="00E41E7D" w:rsidP="00E41E7D">
            <w:pPr>
              <w:spacing w:before="20" w:after="20"/>
              <w:jc w:val="right"/>
              <w:rPr>
                <w:noProof/>
                <w:sz w:val="22"/>
                <w:lang w:eastAsia="en-GB"/>
              </w:rPr>
            </w:pPr>
          </w:p>
        </w:tc>
        <w:tc>
          <w:tcPr>
            <w:tcW w:w="1777" w:type="dxa"/>
            <w:vAlign w:val="center"/>
          </w:tcPr>
          <w:p w14:paraId="78087404" w14:textId="77777777" w:rsidR="00E41E7D" w:rsidRPr="009E1E74" w:rsidRDefault="00E41E7D" w:rsidP="00E41E7D">
            <w:pPr>
              <w:spacing w:before="20" w:after="20"/>
              <w:jc w:val="center"/>
              <w:rPr>
                <w:b/>
                <w:noProof/>
                <w:sz w:val="22"/>
              </w:rPr>
            </w:pPr>
            <w:r w:rsidRPr="009E1E74">
              <w:rPr>
                <w:b/>
                <w:noProof/>
                <w:sz w:val="22"/>
              </w:rPr>
              <w:t>0,000</w:t>
            </w:r>
          </w:p>
        </w:tc>
      </w:tr>
      <w:tr w:rsidR="00E41E7D" w:rsidRPr="009E1E74" w14:paraId="23A2F213" w14:textId="77777777" w:rsidTr="00E41E7D">
        <w:tc>
          <w:tcPr>
            <w:tcW w:w="3904" w:type="dxa"/>
            <w:vMerge/>
          </w:tcPr>
          <w:p w14:paraId="7A8F9929" w14:textId="77777777" w:rsidR="00E41E7D" w:rsidRPr="009E1E74" w:rsidRDefault="00E41E7D" w:rsidP="00E41E7D">
            <w:pPr>
              <w:rPr>
                <w:noProof/>
                <w:sz w:val="20"/>
                <w:lang w:eastAsia="en-GB"/>
              </w:rPr>
            </w:pPr>
          </w:p>
        </w:tc>
        <w:tc>
          <w:tcPr>
            <w:tcW w:w="1276" w:type="dxa"/>
            <w:vAlign w:val="center"/>
          </w:tcPr>
          <w:p w14:paraId="71F3A69D" w14:textId="77777777" w:rsidR="00E41E7D" w:rsidRPr="009E1E74" w:rsidRDefault="00E41E7D" w:rsidP="00E41E7D">
            <w:pPr>
              <w:rPr>
                <w:noProof/>
                <w:sz w:val="18"/>
              </w:rPr>
            </w:pPr>
            <w:r w:rsidRPr="009E1E74">
              <w:rPr>
                <w:noProof/>
                <w:sz w:val="18"/>
              </w:rPr>
              <w:t>Mokėjimai</w:t>
            </w:r>
          </w:p>
        </w:tc>
        <w:tc>
          <w:tcPr>
            <w:tcW w:w="576" w:type="dxa"/>
            <w:vAlign w:val="center"/>
          </w:tcPr>
          <w:p w14:paraId="2B4BC475" w14:textId="77777777" w:rsidR="00E41E7D" w:rsidRPr="009E1E74" w:rsidRDefault="00E41E7D" w:rsidP="00E41E7D">
            <w:pPr>
              <w:jc w:val="center"/>
              <w:rPr>
                <w:noProof/>
                <w:sz w:val="14"/>
              </w:rPr>
            </w:pPr>
            <w:r w:rsidRPr="009E1E74">
              <w:rPr>
                <w:noProof/>
                <w:sz w:val="14"/>
              </w:rPr>
              <w:t>= 2a + 2b</w:t>
            </w:r>
          </w:p>
          <w:p w14:paraId="14BC73E1" w14:textId="77777777" w:rsidR="00E41E7D" w:rsidRPr="009E1E74" w:rsidRDefault="00E41E7D" w:rsidP="00E41E7D">
            <w:pPr>
              <w:jc w:val="center"/>
              <w:rPr>
                <w:noProof/>
                <w:sz w:val="14"/>
              </w:rPr>
            </w:pPr>
            <w:r w:rsidRPr="009E1E74">
              <w:rPr>
                <w:noProof/>
                <w:sz w:val="14"/>
              </w:rPr>
              <w:t>+ 3</w:t>
            </w:r>
          </w:p>
        </w:tc>
        <w:tc>
          <w:tcPr>
            <w:tcW w:w="703" w:type="dxa"/>
            <w:vAlign w:val="center"/>
          </w:tcPr>
          <w:p w14:paraId="1CB63B22" w14:textId="77777777" w:rsidR="00E41E7D" w:rsidRPr="009E1E74" w:rsidRDefault="00E41E7D" w:rsidP="00E41E7D">
            <w:pPr>
              <w:spacing w:before="20" w:after="20"/>
              <w:jc w:val="right"/>
              <w:rPr>
                <w:noProof/>
                <w:sz w:val="22"/>
                <w:lang w:eastAsia="en-GB"/>
              </w:rPr>
            </w:pPr>
          </w:p>
        </w:tc>
        <w:tc>
          <w:tcPr>
            <w:tcW w:w="1134" w:type="dxa"/>
            <w:vAlign w:val="center"/>
          </w:tcPr>
          <w:p w14:paraId="16074A44" w14:textId="77777777" w:rsidR="00E41E7D" w:rsidRPr="009E1E74" w:rsidRDefault="004A429E" w:rsidP="00E41E7D">
            <w:pPr>
              <w:spacing w:before="20" w:after="20"/>
              <w:jc w:val="right"/>
              <w:rPr>
                <w:noProof/>
                <w:sz w:val="22"/>
              </w:rPr>
            </w:pPr>
            <w:r w:rsidRPr="009E1E74">
              <w:rPr>
                <w:noProof/>
                <w:sz w:val="22"/>
              </w:rPr>
              <w:t>3 426,000</w:t>
            </w:r>
          </w:p>
        </w:tc>
        <w:tc>
          <w:tcPr>
            <w:tcW w:w="708" w:type="dxa"/>
            <w:vAlign w:val="center"/>
          </w:tcPr>
          <w:p w14:paraId="30B8CE0C" w14:textId="77777777" w:rsidR="00E41E7D" w:rsidRPr="009E1E74" w:rsidRDefault="00E41E7D" w:rsidP="00E41E7D">
            <w:pPr>
              <w:spacing w:before="20" w:after="20"/>
              <w:jc w:val="right"/>
              <w:rPr>
                <w:noProof/>
                <w:sz w:val="22"/>
                <w:lang w:eastAsia="en-GB"/>
              </w:rPr>
            </w:pPr>
          </w:p>
        </w:tc>
        <w:tc>
          <w:tcPr>
            <w:tcW w:w="1276" w:type="dxa"/>
            <w:vAlign w:val="center"/>
          </w:tcPr>
          <w:p w14:paraId="3CC576CE" w14:textId="77777777" w:rsidR="00E41E7D" w:rsidRPr="009E1E74" w:rsidRDefault="004A429E" w:rsidP="00E41E7D">
            <w:pPr>
              <w:spacing w:before="20" w:after="20"/>
              <w:jc w:val="right"/>
              <w:rPr>
                <w:noProof/>
                <w:sz w:val="22"/>
              </w:rPr>
            </w:pPr>
            <w:r w:rsidRPr="009E1E74">
              <w:rPr>
                <w:noProof/>
                <w:sz w:val="22"/>
              </w:rPr>
              <w:t>–3 426,000</w:t>
            </w:r>
          </w:p>
        </w:tc>
        <w:tc>
          <w:tcPr>
            <w:tcW w:w="820" w:type="dxa"/>
            <w:vAlign w:val="center"/>
          </w:tcPr>
          <w:p w14:paraId="7E6B8B82" w14:textId="77777777" w:rsidR="00E41E7D" w:rsidRPr="009E1E74" w:rsidRDefault="00E41E7D" w:rsidP="00E41E7D">
            <w:pPr>
              <w:spacing w:before="20" w:after="20"/>
              <w:jc w:val="right"/>
              <w:rPr>
                <w:noProof/>
                <w:sz w:val="22"/>
                <w:highlight w:val="yellow"/>
                <w:lang w:eastAsia="en-GB"/>
              </w:rPr>
            </w:pPr>
          </w:p>
        </w:tc>
        <w:tc>
          <w:tcPr>
            <w:tcW w:w="1777" w:type="dxa"/>
            <w:vAlign w:val="center"/>
          </w:tcPr>
          <w:p w14:paraId="7ED3EFC9" w14:textId="77777777" w:rsidR="00E41E7D" w:rsidRPr="009E1E74" w:rsidRDefault="00E41E7D" w:rsidP="00E41E7D">
            <w:pPr>
              <w:spacing w:before="20" w:after="20"/>
              <w:jc w:val="center"/>
              <w:rPr>
                <w:b/>
                <w:noProof/>
                <w:sz w:val="22"/>
              </w:rPr>
            </w:pPr>
            <w:r w:rsidRPr="009E1E74">
              <w:rPr>
                <w:b/>
                <w:noProof/>
                <w:sz w:val="22"/>
              </w:rPr>
              <w:t>0,000</w:t>
            </w:r>
          </w:p>
        </w:tc>
      </w:tr>
    </w:tbl>
    <w:p w14:paraId="3D2D86B7" w14:textId="77777777" w:rsidR="00C87E1E" w:rsidRPr="009E1E74" w:rsidRDefault="00C87E1E" w:rsidP="00C87E1E">
      <w:pPr>
        <w:rPr>
          <w:noProof/>
        </w:rPr>
      </w:pPr>
      <w:r w:rsidRPr="009E1E74">
        <w:rPr>
          <w:noProof/>
        </w:rPr>
        <w:t xml:space="preserve"> </w:t>
      </w:r>
      <w:r w:rsidRPr="009E1E74">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20"/>
        <w:gridCol w:w="567"/>
        <w:gridCol w:w="709"/>
        <w:gridCol w:w="1334"/>
        <w:gridCol w:w="508"/>
        <w:gridCol w:w="1276"/>
        <w:gridCol w:w="820"/>
        <w:gridCol w:w="1777"/>
      </w:tblGrid>
      <w:tr w:rsidR="00C87E1E" w:rsidRPr="009E1E74" w14:paraId="6664B9AE" w14:textId="77777777" w:rsidTr="00E41E7D">
        <w:trPr>
          <w:trHeight w:val="277"/>
        </w:trPr>
        <w:tc>
          <w:tcPr>
            <w:tcW w:w="3960" w:type="dxa"/>
            <w:vMerge w:val="restart"/>
            <w:vAlign w:val="center"/>
          </w:tcPr>
          <w:p w14:paraId="1695DCB8" w14:textId="77777777" w:rsidR="00C87E1E" w:rsidRPr="009E1E74" w:rsidRDefault="00C87E1E" w:rsidP="00C87E1E">
            <w:pPr>
              <w:spacing w:before="20" w:after="20"/>
              <w:rPr>
                <w:noProof/>
              </w:rPr>
            </w:pPr>
            <w:r w:rsidRPr="009E1E74">
              <w:rPr>
                <w:noProof/>
              </w:rPr>
              <w:br w:type="page"/>
            </w:r>
            <w:r w:rsidRPr="009E1E74">
              <w:rPr>
                <w:noProof/>
                <w:sz w:val="21"/>
              </w:rPr>
              <w:sym w:font="Wingdings" w:char="F09F"/>
            </w:r>
            <w:r w:rsidRPr="009E1E74">
              <w:rPr>
                <w:noProof/>
              </w:rPr>
              <w:t xml:space="preserve"> </w:t>
            </w:r>
            <w:r w:rsidRPr="009E1E74">
              <w:rPr>
                <w:noProof/>
                <w:sz w:val="21"/>
              </w:rPr>
              <w:t xml:space="preserve">IŠ VISO veiklos asignavimų </w:t>
            </w:r>
          </w:p>
        </w:tc>
        <w:tc>
          <w:tcPr>
            <w:tcW w:w="1220" w:type="dxa"/>
            <w:vAlign w:val="center"/>
          </w:tcPr>
          <w:p w14:paraId="0E414834" w14:textId="77777777" w:rsidR="00C87E1E" w:rsidRPr="009E1E74" w:rsidRDefault="00C87E1E" w:rsidP="00C87E1E">
            <w:pPr>
              <w:spacing w:beforeLines="20" w:before="48" w:afterLines="20" w:after="48"/>
              <w:rPr>
                <w:noProof/>
                <w:sz w:val="18"/>
              </w:rPr>
            </w:pPr>
            <w:r w:rsidRPr="009E1E74">
              <w:rPr>
                <w:noProof/>
                <w:sz w:val="18"/>
              </w:rPr>
              <w:t>Įsipareigojimai</w:t>
            </w:r>
          </w:p>
        </w:tc>
        <w:tc>
          <w:tcPr>
            <w:tcW w:w="567" w:type="dxa"/>
            <w:vAlign w:val="center"/>
          </w:tcPr>
          <w:p w14:paraId="797B9FB2" w14:textId="77777777" w:rsidR="00C87E1E" w:rsidRPr="009E1E74" w:rsidRDefault="00C87E1E" w:rsidP="00C87E1E">
            <w:pPr>
              <w:spacing w:beforeLines="20" w:before="48" w:afterLines="20" w:after="48"/>
              <w:jc w:val="center"/>
              <w:rPr>
                <w:noProof/>
                <w:sz w:val="14"/>
              </w:rPr>
            </w:pPr>
            <w:r w:rsidRPr="009E1E74">
              <w:rPr>
                <w:noProof/>
                <w:sz w:val="14"/>
              </w:rPr>
              <w:t>4</w:t>
            </w:r>
          </w:p>
        </w:tc>
        <w:tc>
          <w:tcPr>
            <w:tcW w:w="709" w:type="dxa"/>
            <w:vAlign w:val="center"/>
          </w:tcPr>
          <w:p w14:paraId="16AA6155" w14:textId="77777777" w:rsidR="00C87E1E" w:rsidRPr="009E1E74" w:rsidRDefault="00C87E1E" w:rsidP="00C87E1E">
            <w:pPr>
              <w:spacing w:before="20" w:after="20"/>
              <w:jc w:val="right"/>
              <w:rPr>
                <w:noProof/>
                <w:sz w:val="20"/>
                <w:lang w:eastAsia="en-GB"/>
              </w:rPr>
            </w:pPr>
          </w:p>
        </w:tc>
        <w:tc>
          <w:tcPr>
            <w:tcW w:w="1334" w:type="dxa"/>
            <w:vAlign w:val="center"/>
          </w:tcPr>
          <w:p w14:paraId="2164C27D" w14:textId="77777777" w:rsidR="00C87E1E" w:rsidRPr="009E1E74" w:rsidRDefault="00C87E1E" w:rsidP="00C87E1E">
            <w:pPr>
              <w:spacing w:before="20" w:after="20"/>
              <w:jc w:val="right"/>
              <w:rPr>
                <w:noProof/>
                <w:sz w:val="20"/>
                <w:lang w:eastAsia="en-GB"/>
              </w:rPr>
            </w:pPr>
          </w:p>
        </w:tc>
        <w:tc>
          <w:tcPr>
            <w:tcW w:w="508" w:type="dxa"/>
            <w:vAlign w:val="center"/>
          </w:tcPr>
          <w:p w14:paraId="3185E943" w14:textId="77777777" w:rsidR="00C87E1E" w:rsidRPr="009E1E74" w:rsidRDefault="00C87E1E" w:rsidP="00C87E1E">
            <w:pPr>
              <w:spacing w:before="20" w:after="20"/>
              <w:jc w:val="right"/>
              <w:rPr>
                <w:noProof/>
                <w:sz w:val="20"/>
                <w:lang w:eastAsia="en-GB"/>
              </w:rPr>
            </w:pPr>
          </w:p>
        </w:tc>
        <w:tc>
          <w:tcPr>
            <w:tcW w:w="1276" w:type="dxa"/>
            <w:vAlign w:val="center"/>
          </w:tcPr>
          <w:p w14:paraId="79527D7D" w14:textId="77777777" w:rsidR="00C87E1E" w:rsidRPr="009E1E74" w:rsidRDefault="00C87E1E" w:rsidP="00C87E1E">
            <w:pPr>
              <w:spacing w:before="20" w:after="20"/>
              <w:jc w:val="right"/>
              <w:rPr>
                <w:noProof/>
                <w:sz w:val="20"/>
                <w:lang w:eastAsia="en-GB"/>
              </w:rPr>
            </w:pPr>
          </w:p>
        </w:tc>
        <w:tc>
          <w:tcPr>
            <w:tcW w:w="820" w:type="dxa"/>
            <w:vAlign w:val="center"/>
          </w:tcPr>
          <w:p w14:paraId="6CA50F8E" w14:textId="77777777" w:rsidR="00C87E1E" w:rsidRPr="009E1E74" w:rsidRDefault="00C87E1E" w:rsidP="00C87E1E">
            <w:pPr>
              <w:spacing w:before="20" w:after="20"/>
              <w:jc w:val="right"/>
              <w:rPr>
                <w:noProof/>
                <w:sz w:val="20"/>
                <w:lang w:eastAsia="en-GB"/>
              </w:rPr>
            </w:pPr>
          </w:p>
        </w:tc>
        <w:tc>
          <w:tcPr>
            <w:tcW w:w="1777" w:type="dxa"/>
            <w:vAlign w:val="center"/>
          </w:tcPr>
          <w:p w14:paraId="1352B133" w14:textId="77777777" w:rsidR="00C87E1E" w:rsidRPr="009E1E74" w:rsidRDefault="00C87E1E" w:rsidP="00C87E1E">
            <w:pPr>
              <w:spacing w:before="20" w:after="20"/>
              <w:jc w:val="right"/>
              <w:rPr>
                <w:b/>
                <w:noProof/>
                <w:sz w:val="20"/>
                <w:lang w:eastAsia="en-GB"/>
              </w:rPr>
            </w:pPr>
          </w:p>
        </w:tc>
      </w:tr>
      <w:tr w:rsidR="00C87E1E" w:rsidRPr="009E1E74" w14:paraId="577EE117" w14:textId="77777777" w:rsidTr="00E41E7D">
        <w:tc>
          <w:tcPr>
            <w:tcW w:w="3960" w:type="dxa"/>
            <w:vMerge/>
          </w:tcPr>
          <w:p w14:paraId="41344557" w14:textId="77777777" w:rsidR="00C87E1E" w:rsidRPr="009E1E74" w:rsidRDefault="00C87E1E" w:rsidP="00C87E1E">
            <w:pPr>
              <w:jc w:val="center"/>
              <w:rPr>
                <w:noProof/>
                <w:sz w:val="20"/>
                <w:lang w:eastAsia="en-GB"/>
              </w:rPr>
            </w:pPr>
          </w:p>
        </w:tc>
        <w:tc>
          <w:tcPr>
            <w:tcW w:w="1220" w:type="dxa"/>
            <w:vAlign w:val="center"/>
          </w:tcPr>
          <w:p w14:paraId="0D55017C" w14:textId="77777777" w:rsidR="00C87E1E" w:rsidRPr="009E1E74" w:rsidRDefault="00C87E1E" w:rsidP="00C87E1E">
            <w:pPr>
              <w:spacing w:beforeLines="20" w:before="48" w:afterLines="20" w:after="48"/>
              <w:rPr>
                <w:noProof/>
                <w:sz w:val="18"/>
              </w:rPr>
            </w:pPr>
            <w:r w:rsidRPr="009E1E74">
              <w:rPr>
                <w:noProof/>
                <w:sz w:val="18"/>
              </w:rPr>
              <w:t>Mokėjimai</w:t>
            </w:r>
          </w:p>
        </w:tc>
        <w:tc>
          <w:tcPr>
            <w:tcW w:w="567" w:type="dxa"/>
            <w:vAlign w:val="center"/>
          </w:tcPr>
          <w:p w14:paraId="1126B496" w14:textId="77777777" w:rsidR="00C87E1E" w:rsidRPr="009E1E74" w:rsidRDefault="00C87E1E" w:rsidP="00C87E1E">
            <w:pPr>
              <w:spacing w:beforeLines="20" w:before="48" w:afterLines="20" w:after="48"/>
              <w:jc w:val="center"/>
              <w:rPr>
                <w:noProof/>
                <w:sz w:val="14"/>
              </w:rPr>
            </w:pPr>
            <w:r w:rsidRPr="009E1E74">
              <w:rPr>
                <w:noProof/>
                <w:sz w:val="14"/>
              </w:rPr>
              <w:t>5</w:t>
            </w:r>
          </w:p>
        </w:tc>
        <w:tc>
          <w:tcPr>
            <w:tcW w:w="709" w:type="dxa"/>
            <w:vAlign w:val="center"/>
          </w:tcPr>
          <w:p w14:paraId="14EA9D5C" w14:textId="77777777" w:rsidR="00C87E1E" w:rsidRPr="009E1E74" w:rsidRDefault="00C87E1E" w:rsidP="00C87E1E">
            <w:pPr>
              <w:spacing w:before="20" w:after="20"/>
              <w:jc w:val="right"/>
              <w:rPr>
                <w:noProof/>
                <w:sz w:val="20"/>
                <w:lang w:eastAsia="en-GB"/>
              </w:rPr>
            </w:pPr>
          </w:p>
        </w:tc>
        <w:tc>
          <w:tcPr>
            <w:tcW w:w="1334" w:type="dxa"/>
            <w:vAlign w:val="center"/>
          </w:tcPr>
          <w:p w14:paraId="07A3951D" w14:textId="77777777" w:rsidR="00C87E1E" w:rsidRPr="009E1E74" w:rsidRDefault="00C87E1E" w:rsidP="00C87E1E">
            <w:pPr>
              <w:spacing w:before="20" w:after="20"/>
              <w:jc w:val="right"/>
              <w:rPr>
                <w:noProof/>
                <w:sz w:val="20"/>
                <w:lang w:eastAsia="en-GB"/>
              </w:rPr>
            </w:pPr>
          </w:p>
        </w:tc>
        <w:tc>
          <w:tcPr>
            <w:tcW w:w="508" w:type="dxa"/>
            <w:vAlign w:val="center"/>
          </w:tcPr>
          <w:p w14:paraId="299C1FFA" w14:textId="77777777" w:rsidR="00C87E1E" w:rsidRPr="009E1E74" w:rsidRDefault="00C87E1E" w:rsidP="00C87E1E">
            <w:pPr>
              <w:spacing w:before="20" w:after="20"/>
              <w:jc w:val="right"/>
              <w:rPr>
                <w:noProof/>
                <w:sz w:val="20"/>
                <w:lang w:eastAsia="en-GB"/>
              </w:rPr>
            </w:pPr>
          </w:p>
        </w:tc>
        <w:tc>
          <w:tcPr>
            <w:tcW w:w="1276" w:type="dxa"/>
            <w:vAlign w:val="center"/>
          </w:tcPr>
          <w:p w14:paraId="65837443" w14:textId="77777777" w:rsidR="00C87E1E" w:rsidRPr="009E1E74" w:rsidRDefault="00C87E1E" w:rsidP="00C87E1E">
            <w:pPr>
              <w:spacing w:before="20" w:after="20"/>
              <w:jc w:val="right"/>
              <w:rPr>
                <w:noProof/>
                <w:sz w:val="20"/>
                <w:lang w:eastAsia="en-GB"/>
              </w:rPr>
            </w:pPr>
          </w:p>
        </w:tc>
        <w:tc>
          <w:tcPr>
            <w:tcW w:w="820" w:type="dxa"/>
            <w:vAlign w:val="center"/>
          </w:tcPr>
          <w:p w14:paraId="7F102240" w14:textId="77777777" w:rsidR="00C87E1E" w:rsidRPr="009E1E74" w:rsidRDefault="00C87E1E" w:rsidP="00C87E1E">
            <w:pPr>
              <w:spacing w:before="20" w:after="20"/>
              <w:jc w:val="right"/>
              <w:rPr>
                <w:noProof/>
                <w:sz w:val="20"/>
                <w:lang w:eastAsia="en-GB"/>
              </w:rPr>
            </w:pPr>
          </w:p>
        </w:tc>
        <w:tc>
          <w:tcPr>
            <w:tcW w:w="1777" w:type="dxa"/>
            <w:vAlign w:val="center"/>
          </w:tcPr>
          <w:p w14:paraId="28FEF161" w14:textId="77777777" w:rsidR="00C87E1E" w:rsidRPr="009E1E74" w:rsidRDefault="00C87E1E" w:rsidP="00C87E1E">
            <w:pPr>
              <w:spacing w:before="20" w:after="20"/>
              <w:jc w:val="right"/>
              <w:rPr>
                <w:b/>
                <w:noProof/>
                <w:sz w:val="20"/>
                <w:lang w:eastAsia="en-GB"/>
              </w:rPr>
            </w:pPr>
          </w:p>
        </w:tc>
      </w:tr>
      <w:tr w:rsidR="00C87E1E" w:rsidRPr="009E1E74" w14:paraId="1C6A86BB" w14:textId="77777777" w:rsidTr="00E41E7D">
        <w:trPr>
          <w:trHeight w:val="533"/>
        </w:trPr>
        <w:tc>
          <w:tcPr>
            <w:tcW w:w="5180" w:type="dxa"/>
            <w:gridSpan w:val="2"/>
            <w:vAlign w:val="center"/>
          </w:tcPr>
          <w:p w14:paraId="398E1ACE" w14:textId="77777777" w:rsidR="00C87E1E" w:rsidRPr="009E1E74" w:rsidRDefault="00C87E1E" w:rsidP="00C87E1E">
            <w:pPr>
              <w:spacing w:beforeLines="20" w:before="48" w:afterLines="20" w:after="48"/>
              <w:rPr>
                <w:noProof/>
              </w:rPr>
            </w:pPr>
            <w:r w:rsidRPr="009E1E74">
              <w:rPr>
                <w:noProof/>
                <w:sz w:val="21"/>
              </w:rPr>
              <w:sym w:font="Wingdings" w:char="F09F"/>
            </w:r>
            <w:r w:rsidRPr="009E1E74">
              <w:rPr>
                <w:noProof/>
                <w:sz w:val="21"/>
              </w:rPr>
              <w:t xml:space="preserve"> IŠ VISO administracinio pobūdžio asignavimų, finansuojamų iš konkrečių programų paketo lėšų </w:t>
            </w:r>
          </w:p>
        </w:tc>
        <w:tc>
          <w:tcPr>
            <w:tcW w:w="567" w:type="dxa"/>
            <w:vAlign w:val="center"/>
          </w:tcPr>
          <w:p w14:paraId="1BA71672" w14:textId="77777777" w:rsidR="00C87E1E" w:rsidRPr="009E1E74" w:rsidRDefault="00C87E1E" w:rsidP="00C87E1E">
            <w:pPr>
              <w:spacing w:beforeLines="20" w:before="48" w:afterLines="20" w:after="48"/>
              <w:jc w:val="center"/>
              <w:rPr>
                <w:noProof/>
                <w:sz w:val="14"/>
              </w:rPr>
            </w:pPr>
            <w:r w:rsidRPr="009E1E74">
              <w:rPr>
                <w:noProof/>
                <w:sz w:val="14"/>
              </w:rPr>
              <w:t>6</w:t>
            </w:r>
          </w:p>
        </w:tc>
        <w:tc>
          <w:tcPr>
            <w:tcW w:w="709" w:type="dxa"/>
            <w:vAlign w:val="center"/>
          </w:tcPr>
          <w:p w14:paraId="7414E36F" w14:textId="77777777" w:rsidR="00C87E1E" w:rsidRPr="009E1E74" w:rsidRDefault="00C87E1E" w:rsidP="00C87E1E">
            <w:pPr>
              <w:spacing w:before="20" w:after="20"/>
              <w:jc w:val="right"/>
              <w:rPr>
                <w:b/>
                <w:noProof/>
                <w:sz w:val="20"/>
                <w:lang w:eastAsia="en-GB"/>
              </w:rPr>
            </w:pPr>
          </w:p>
        </w:tc>
        <w:tc>
          <w:tcPr>
            <w:tcW w:w="1334" w:type="dxa"/>
            <w:vAlign w:val="center"/>
          </w:tcPr>
          <w:p w14:paraId="6066193A" w14:textId="77777777" w:rsidR="00C87E1E" w:rsidRPr="009E1E74" w:rsidRDefault="00C87E1E" w:rsidP="00C87E1E">
            <w:pPr>
              <w:spacing w:before="20" w:after="20"/>
              <w:jc w:val="right"/>
              <w:rPr>
                <w:b/>
                <w:noProof/>
                <w:sz w:val="20"/>
                <w:lang w:eastAsia="en-GB"/>
              </w:rPr>
            </w:pPr>
          </w:p>
        </w:tc>
        <w:tc>
          <w:tcPr>
            <w:tcW w:w="508" w:type="dxa"/>
            <w:vAlign w:val="center"/>
          </w:tcPr>
          <w:p w14:paraId="47E2A24F" w14:textId="77777777" w:rsidR="00C87E1E" w:rsidRPr="009E1E74" w:rsidRDefault="00C87E1E" w:rsidP="00C87E1E">
            <w:pPr>
              <w:spacing w:before="20" w:after="20"/>
              <w:jc w:val="right"/>
              <w:rPr>
                <w:b/>
                <w:noProof/>
                <w:sz w:val="20"/>
                <w:lang w:eastAsia="en-GB"/>
              </w:rPr>
            </w:pPr>
          </w:p>
        </w:tc>
        <w:tc>
          <w:tcPr>
            <w:tcW w:w="1276" w:type="dxa"/>
            <w:vAlign w:val="center"/>
          </w:tcPr>
          <w:p w14:paraId="5C797B2D" w14:textId="77777777" w:rsidR="00C87E1E" w:rsidRPr="009E1E74" w:rsidRDefault="00C87E1E" w:rsidP="00C87E1E">
            <w:pPr>
              <w:spacing w:before="20" w:after="20"/>
              <w:jc w:val="right"/>
              <w:rPr>
                <w:b/>
                <w:noProof/>
                <w:sz w:val="20"/>
                <w:lang w:eastAsia="en-GB"/>
              </w:rPr>
            </w:pPr>
          </w:p>
        </w:tc>
        <w:tc>
          <w:tcPr>
            <w:tcW w:w="820" w:type="dxa"/>
            <w:vAlign w:val="center"/>
          </w:tcPr>
          <w:p w14:paraId="3B775C51" w14:textId="77777777" w:rsidR="00C87E1E" w:rsidRPr="009E1E74" w:rsidRDefault="00C87E1E" w:rsidP="00C87E1E">
            <w:pPr>
              <w:spacing w:before="20" w:after="20"/>
              <w:jc w:val="right"/>
              <w:rPr>
                <w:b/>
                <w:noProof/>
                <w:sz w:val="20"/>
                <w:lang w:eastAsia="en-GB"/>
              </w:rPr>
            </w:pPr>
          </w:p>
        </w:tc>
        <w:tc>
          <w:tcPr>
            <w:tcW w:w="1777" w:type="dxa"/>
            <w:vAlign w:val="center"/>
          </w:tcPr>
          <w:p w14:paraId="6D1D69A3" w14:textId="77777777" w:rsidR="00C87E1E" w:rsidRPr="009E1E74" w:rsidRDefault="00C87E1E" w:rsidP="00C87E1E">
            <w:pPr>
              <w:spacing w:before="20" w:after="20"/>
              <w:jc w:val="right"/>
              <w:rPr>
                <w:b/>
                <w:noProof/>
                <w:sz w:val="20"/>
                <w:lang w:eastAsia="en-GB"/>
              </w:rPr>
            </w:pPr>
          </w:p>
        </w:tc>
      </w:tr>
      <w:tr w:rsidR="00E41E7D" w:rsidRPr="009E1E74" w14:paraId="55833965" w14:textId="77777777" w:rsidTr="00E41E7D">
        <w:tc>
          <w:tcPr>
            <w:tcW w:w="3960" w:type="dxa"/>
            <w:vMerge w:val="restart"/>
            <w:shd w:val="thinDiagStripe" w:color="C0C0C0" w:fill="auto"/>
            <w:vAlign w:val="center"/>
          </w:tcPr>
          <w:p w14:paraId="3DBF78CB" w14:textId="77777777" w:rsidR="00E41E7D" w:rsidRPr="009E1E74" w:rsidRDefault="00E41E7D" w:rsidP="00E41E7D">
            <w:pPr>
              <w:jc w:val="center"/>
              <w:rPr>
                <w:b/>
                <w:noProof/>
              </w:rPr>
            </w:pPr>
            <w:r w:rsidRPr="009E1E74">
              <w:rPr>
                <w:b/>
                <w:noProof/>
                <w:sz w:val="22"/>
              </w:rPr>
              <w:t xml:space="preserve">IŠ VISO asignavimų </w:t>
            </w:r>
            <w:r w:rsidRPr="009E1E74">
              <w:rPr>
                <w:noProof/>
              </w:rPr>
              <w:t xml:space="preserve"> </w:t>
            </w:r>
            <w:r w:rsidRPr="009E1E74">
              <w:rPr>
                <w:noProof/>
              </w:rPr>
              <w:br/>
            </w:r>
            <w:r w:rsidRPr="009E1E74">
              <w:rPr>
                <w:b/>
                <w:noProof/>
                <w:sz w:val="22"/>
              </w:rPr>
              <w:t>pagal</w:t>
            </w:r>
            <w:r w:rsidRPr="009E1E74">
              <w:rPr>
                <w:noProof/>
              </w:rPr>
              <w:t xml:space="preserve"> daugiametės finansinės programos </w:t>
            </w:r>
            <w:r w:rsidRPr="009E1E74">
              <w:rPr>
                <w:noProof/>
              </w:rPr>
              <w:br/>
            </w:r>
            <w:r w:rsidRPr="009E1E74">
              <w:rPr>
                <w:b/>
                <w:noProof/>
                <w:sz w:val="22"/>
              </w:rPr>
              <w:t>2a IŠLAIDŲ KATEGORIJĄ</w:t>
            </w:r>
          </w:p>
        </w:tc>
        <w:tc>
          <w:tcPr>
            <w:tcW w:w="1220" w:type="dxa"/>
            <w:vAlign w:val="center"/>
          </w:tcPr>
          <w:p w14:paraId="7589DACF" w14:textId="77777777" w:rsidR="00E41E7D" w:rsidRPr="009E1E74" w:rsidRDefault="00E41E7D" w:rsidP="00E41E7D">
            <w:pPr>
              <w:rPr>
                <w:noProof/>
                <w:sz w:val="18"/>
              </w:rPr>
            </w:pPr>
            <w:r w:rsidRPr="009E1E74">
              <w:rPr>
                <w:noProof/>
                <w:sz w:val="18"/>
              </w:rPr>
              <w:t>Įsipareigojimai</w:t>
            </w:r>
          </w:p>
        </w:tc>
        <w:tc>
          <w:tcPr>
            <w:tcW w:w="567" w:type="dxa"/>
            <w:vAlign w:val="center"/>
          </w:tcPr>
          <w:p w14:paraId="449C39F3" w14:textId="77777777" w:rsidR="00E41E7D" w:rsidRPr="009E1E74" w:rsidRDefault="00E41E7D" w:rsidP="00E41E7D">
            <w:pPr>
              <w:jc w:val="center"/>
              <w:rPr>
                <w:noProof/>
                <w:sz w:val="14"/>
              </w:rPr>
            </w:pPr>
            <w:r w:rsidRPr="009E1E74">
              <w:rPr>
                <w:noProof/>
                <w:sz w:val="14"/>
              </w:rPr>
              <w:t>= 4 + 6</w:t>
            </w:r>
          </w:p>
        </w:tc>
        <w:tc>
          <w:tcPr>
            <w:tcW w:w="709" w:type="dxa"/>
            <w:vAlign w:val="center"/>
          </w:tcPr>
          <w:p w14:paraId="3867F7C5" w14:textId="77777777" w:rsidR="00E41E7D" w:rsidRPr="009E1E74" w:rsidRDefault="00E41E7D" w:rsidP="00E41E7D">
            <w:pPr>
              <w:spacing w:before="20" w:after="20"/>
              <w:jc w:val="right"/>
              <w:rPr>
                <w:noProof/>
                <w:sz w:val="22"/>
                <w:lang w:eastAsia="en-GB"/>
              </w:rPr>
            </w:pPr>
          </w:p>
        </w:tc>
        <w:tc>
          <w:tcPr>
            <w:tcW w:w="1334" w:type="dxa"/>
            <w:vAlign w:val="center"/>
          </w:tcPr>
          <w:p w14:paraId="079907E7" w14:textId="77777777" w:rsidR="00E41E7D" w:rsidRPr="009E1E74" w:rsidRDefault="00E41E7D" w:rsidP="00E41E7D">
            <w:pPr>
              <w:spacing w:before="20" w:after="20"/>
              <w:jc w:val="right"/>
              <w:rPr>
                <w:noProof/>
                <w:sz w:val="22"/>
                <w:lang w:eastAsia="en-GB"/>
              </w:rPr>
            </w:pPr>
          </w:p>
        </w:tc>
        <w:tc>
          <w:tcPr>
            <w:tcW w:w="508" w:type="dxa"/>
            <w:vAlign w:val="center"/>
          </w:tcPr>
          <w:p w14:paraId="14D0D966" w14:textId="77777777" w:rsidR="00E41E7D" w:rsidRPr="009E1E74" w:rsidRDefault="00E41E7D" w:rsidP="00E41E7D">
            <w:pPr>
              <w:spacing w:before="20" w:after="20"/>
              <w:jc w:val="right"/>
              <w:rPr>
                <w:noProof/>
                <w:sz w:val="22"/>
                <w:lang w:eastAsia="en-GB"/>
              </w:rPr>
            </w:pPr>
          </w:p>
        </w:tc>
        <w:tc>
          <w:tcPr>
            <w:tcW w:w="1276" w:type="dxa"/>
            <w:vAlign w:val="center"/>
          </w:tcPr>
          <w:p w14:paraId="2B30E58A" w14:textId="77777777" w:rsidR="00E41E7D" w:rsidRPr="009E1E74" w:rsidRDefault="00E41E7D" w:rsidP="00E41E7D">
            <w:pPr>
              <w:spacing w:before="20" w:after="20"/>
              <w:jc w:val="right"/>
              <w:rPr>
                <w:noProof/>
                <w:sz w:val="22"/>
                <w:lang w:eastAsia="en-GB"/>
              </w:rPr>
            </w:pPr>
          </w:p>
        </w:tc>
        <w:tc>
          <w:tcPr>
            <w:tcW w:w="820" w:type="dxa"/>
            <w:vAlign w:val="center"/>
          </w:tcPr>
          <w:p w14:paraId="0DE29D8D" w14:textId="77777777" w:rsidR="00E41E7D" w:rsidRPr="009E1E74" w:rsidRDefault="00E41E7D" w:rsidP="00E41E7D">
            <w:pPr>
              <w:spacing w:before="20" w:after="20"/>
              <w:jc w:val="right"/>
              <w:rPr>
                <w:noProof/>
                <w:sz w:val="22"/>
                <w:lang w:eastAsia="en-GB"/>
              </w:rPr>
            </w:pPr>
          </w:p>
        </w:tc>
        <w:tc>
          <w:tcPr>
            <w:tcW w:w="1777" w:type="dxa"/>
            <w:vAlign w:val="center"/>
          </w:tcPr>
          <w:p w14:paraId="49C2E976" w14:textId="77777777" w:rsidR="00E41E7D" w:rsidRPr="009E1E74" w:rsidRDefault="00E41E7D" w:rsidP="00E41E7D">
            <w:pPr>
              <w:spacing w:before="20" w:after="20"/>
              <w:jc w:val="center"/>
              <w:rPr>
                <w:b/>
                <w:noProof/>
                <w:sz w:val="22"/>
              </w:rPr>
            </w:pPr>
            <w:r w:rsidRPr="009E1E74">
              <w:rPr>
                <w:b/>
                <w:noProof/>
                <w:sz w:val="22"/>
              </w:rPr>
              <w:t>0,000</w:t>
            </w:r>
          </w:p>
        </w:tc>
      </w:tr>
      <w:tr w:rsidR="00E41E7D" w:rsidRPr="009E1E74" w14:paraId="1C0CD236" w14:textId="77777777" w:rsidTr="00E41E7D">
        <w:tc>
          <w:tcPr>
            <w:tcW w:w="3960" w:type="dxa"/>
            <w:vMerge/>
            <w:shd w:val="thinDiagStripe" w:color="C0C0C0" w:fill="auto"/>
          </w:tcPr>
          <w:p w14:paraId="263DB641" w14:textId="77777777" w:rsidR="00E41E7D" w:rsidRPr="009E1E74" w:rsidRDefault="00E41E7D" w:rsidP="00E41E7D">
            <w:pPr>
              <w:rPr>
                <w:noProof/>
                <w:sz w:val="20"/>
                <w:lang w:eastAsia="en-GB"/>
              </w:rPr>
            </w:pPr>
          </w:p>
        </w:tc>
        <w:tc>
          <w:tcPr>
            <w:tcW w:w="1220" w:type="dxa"/>
            <w:vAlign w:val="center"/>
          </w:tcPr>
          <w:p w14:paraId="288597EF" w14:textId="77777777" w:rsidR="00E41E7D" w:rsidRPr="009E1E74" w:rsidRDefault="00E41E7D" w:rsidP="00E41E7D">
            <w:pPr>
              <w:rPr>
                <w:noProof/>
                <w:sz w:val="18"/>
              </w:rPr>
            </w:pPr>
            <w:r w:rsidRPr="009E1E74">
              <w:rPr>
                <w:noProof/>
                <w:sz w:val="18"/>
              </w:rPr>
              <w:t>Mokėjimai</w:t>
            </w:r>
          </w:p>
        </w:tc>
        <w:tc>
          <w:tcPr>
            <w:tcW w:w="567" w:type="dxa"/>
            <w:vAlign w:val="center"/>
          </w:tcPr>
          <w:p w14:paraId="282267C5" w14:textId="77777777" w:rsidR="00E41E7D" w:rsidRPr="009E1E74" w:rsidRDefault="00E41E7D" w:rsidP="00E41E7D">
            <w:pPr>
              <w:jc w:val="center"/>
              <w:rPr>
                <w:noProof/>
                <w:sz w:val="14"/>
              </w:rPr>
            </w:pPr>
            <w:r w:rsidRPr="009E1E74">
              <w:rPr>
                <w:noProof/>
                <w:sz w:val="14"/>
              </w:rPr>
              <w:t>= 5 + 6</w:t>
            </w:r>
          </w:p>
        </w:tc>
        <w:tc>
          <w:tcPr>
            <w:tcW w:w="709" w:type="dxa"/>
            <w:vAlign w:val="center"/>
          </w:tcPr>
          <w:p w14:paraId="4AF3B008" w14:textId="77777777" w:rsidR="00E41E7D" w:rsidRPr="009E1E74" w:rsidRDefault="00E41E7D" w:rsidP="00E41E7D">
            <w:pPr>
              <w:spacing w:before="20" w:after="20"/>
              <w:jc w:val="right"/>
              <w:rPr>
                <w:noProof/>
                <w:sz w:val="22"/>
                <w:lang w:eastAsia="en-GB"/>
              </w:rPr>
            </w:pPr>
          </w:p>
        </w:tc>
        <w:tc>
          <w:tcPr>
            <w:tcW w:w="1334" w:type="dxa"/>
            <w:vAlign w:val="center"/>
          </w:tcPr>
          <w:p w14:paraId="01B4F6FB" w14:textId="77777777" w:rsidR="00E41E7D" w:rsidRPr="009E1E74" w:rsidRDefault="004A429E" w:rsidP="00E41E7D">
            <w:pPr>
              <w:spacing w:before="20" w:after="20"/>
              <w:jc w:val="right"/>
              <w:rPr>
                <w:noProof/>
                <w:sz w:val="22"/>
              </w:rPr>
            </w:pPr>
            <w:r w:rsidRPr="009E1E74">
              <w:rPr>
                <w:noProof/>
                <w:sz w:val="22"/>
              </w:rPr>
              <w:t>3 426,000</w:t>
            </w:r>
          </w:p>
        </w:tc>
        <w:tc>
          <w:tcPr>
            <w:tcW w:w="508" w:type="dxa"/>
            <w:vAlign w:val="center"/>
          </w:tcPr>
          <w:p w14:paraId="1673A705" w14:textId="77777777" w:rsidR="00E41E7D" w:rsidRPr="009E1E74" w:rsidRDefault="00E41E7D" w:rsidP="00E41E7D">
            <w:pPr>
              <w:spacing w:before="20" w:after="20"/>
              <w:jc w:val="right"/>
              <w:rPr>
                <w:noProof/>
                <w:sz w:val="22"/>
                <w:lang w:eastAsia="en-GB"/>
              </w:rPr>
            </w:pPr>
          </w:p>
        </w:tc>
        <w:tc>
          <w:tcPr>
            <w:tcW w:w="1276" w:type="dxa"/>
            <w:vAlign w:val="center"/>
          </w:tcPr>
          <w:p w14:paraId="6DDB2842" w14:textId="77777777" w:rsidR="00E41E7D" w:rsidRPr="009E1E74" w:rsidRDefault="004A429E" w:rsidP="00E41E7D">
            <w:pPr>
              <w:spacing w:before="20" w:after="20"/>
              <w:jc w:val="right"/>
              <w:rPr>
                <w:noProof/>
                <w:sz w:val="22"/>
              </w:rPr>
            </w:pPr>
            <w:r w:rsidRPr="009E1E74">
              <w:rPr>
                <w:noProof/>
                <w:sz w:val="22"/>
              </w:rPr>
              <w:t>–3 426,000</w:t>
            </w:r>
          </w:p>
        </w:tc>
        <w:tc>
          <w:tcPr>
            <w:tcW w:w="820" w:type="dxa"/>
            <w:vAlign w:val="center"/>
          </w:tcPr>
          <w:p w14:paraId="0BA45AB9" w14:textId="77777777" w:rsidR="00E41E7D" w:rsidRPr="009E1E74" w:rsidRDefault="00E41E7D" w:rsidP="00E41E7D">
            <w:pPr>
              <w:spacing w:before="20" w:after="20"/>
              <w:jc w:val="right"/>
              <w:rPr>
                <w:noProof/>
                <w:sz w:val="22"/>
                <w:highlight w:val="yellow"/>
                <w:lang w:eastAsia="en-GB"/>
              </w:rPr>
            </w:pPr>
          </w:p>
        </w:tc>
        <w:tc>
          <w:tcPr>
            <w:tcW w:w="1777" w:type="dxa"/>
            <w:vAlign w:val="center"/>
          </w:tcPr>
          <w:p w14:paraId="3B3930AB" w14:textId="77777777" w:rsidR="00E41E7D" w:rsidRPr="009E1E74" w:rsidRDefault="00E41E7D" w:rsidP="00E41E7D">
            <w:pPr>
              <w:spacing w:before="20" w:after="20"/>
              <w:jc w:val="center"/>
              <w:rPr>
                <w:b/>
                <w:noProof/>
                <w:sz w:val="22"/>
              </w:rPr>
            </w:pPr>
            <w:r w:rsidRPr="009E1E74">
              <w:rPr>
                <w:b/>
                <w:noProof/>
                <w:sz w:val="22"/>
              </w:rPr>
              <w:t>0,000</w:t>
            </w:r>
          </w:p>
        </w:tc>
      </w:tr>
    </w:tbl>
    <w:p w14:paraId="32E91D09" w14:textId="77777777" w:rsidR="00C87E1E" w:rsidRPr="009E1E74" w:rsidRDefault="00C87E1E" w:rsidP="00C87E1E">
      <w:pPr>
        <w:rPr>
          <w:noProof/>
          <w:lang w:eastAsia="en-GB"/>
        </w:rPr>
      </w:pPr>
    </w:p>
    <w:p w14:paraId="340BBDAF" w14:textId="77777777" w:rsidR="00C87E1E" w:rsidRPr="009E1E74" w:rsidRDefault="00C87E1E" w:rsidP="00C87E1E">
      <w:pPr>
        <w:spacing w:before="0" w:after="0"/>
        <w:jc w:val="left"/>
        <w:rPr>
          <w:noProof/>
        </w:rPr>
      </w:pPr>
      <w:r w:rsidRPr="009E1E74">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C87E1E" w:rsidRPr="009E1E74" w14:paraId="1349D04F" w14:textId="77777777" w:rsidTr="00C87E1E">
        <w:trPr>
          <w:jc w:val="center"/>
        </w:trPr>
        <w:tc>
          <w:tcPr>
            <w:tcW w:w="4744" w:type="dxa"/>
            <w:shd w:val="thinDiagStripe" w:color="C0C0C0" w:fill="auto"/>
            <w:vAlign w:val="center"/>
          </w:tcPr>
          <w:p w14:paraId="4178AD21" w14:textId="77777777" w:rsidR="00C87E1E" w:rsidRPr="009E1E74" w:rsidRDefault="00C87E1E" w:rsidP="00C87E1E">
            <w:pPr>
              <w:spacing w:before="60" w:after="60"/>
              <w:jc w:val="center"/>
              <w:rPr>
                <w:b/>
                <w:noProof/>
              </w:rPr>
            </w:pPr>
            <w:r w:rsidRPr="009E1E74">
              <w:rPr>
                <w:noProof/>
              </w:rPr>
              <w:br w:type="page"/>
            </w:r>
            <w:r w:rsidRPr="009E1E74">
              <w:rPr>
                <w:b/>
                <w:noProof/>
                <w:sz w:val="22"/>
              </w:rPr>
              <w:t>Daugiametės finansinės programos išlaidų</w:t>
            </w:r>
            <w:r w:rsidRPr="009E1E74">
              <w:rPr>
                <w:noProof/>
              </w:rPr>
              <w:t xml:space="preserve"> </w:t>
            </w:r>
            <w:r w:rsidRPr="009E1E74">
              <w:rPr>
                <w:noProof/>
              </w:rPr>
              <w:br/>
            </w:r>
            <w:r w:rsidRPr="009E1E74">
              <w:rPr>
                <w:b/>
                <w:noProof/>
                <w:sz w:val="22"/>
              </w:rPr>
              <w:t xml:space="preserve">kategorija </w:t>
            </w:r>
          </w:p>
        </w:tc>
        <w:tc>
          <w:tcPr>
            <w:tcW w:w="1080" w:type="dxa"/>
            <w:shd w:val="thinDiagStripe" w:color="C0C0C0" w:fill="auto"/>
            <w:vAlign w:val="center"/>
          </w:tcPr>
          <w:p w14:paraId="4D969A90" w14:textId="77777777" w:rsidR="00C87E1E" w:rsidRPr="009E1E74" w:rsidRDefault="00C87E1E" w:rsidP="00C87E1E">
            <w:pPr>
              <w:spacing w:before="60" w:after="60"/>
              <w:jc w:val="center"/>
              <w:rPr>
                <w:noProof/>
              </w:rPr>
            </w:pPr>
            <w:r w:rsidRPr="009E1E74">
              <w:rPr>
                <w:b/>
                <w:noProof/>
                <w:sz w:val="22"/>
              </w:rPr>
              <w:t>7</w:t>
            </w:r>
          </w:p>
        </w:tc>
        <w:tc>
          <w:tcPr>
            <w:tcW w:w="7817" w:type="dxa"/>
            <w:vAlign w:val="center"/>
          </w:tcPr>
          <w:p w14:paraId="25B45C68" w14:textId="77777777" w:rsidR="00C87E1E" w:rsidRPr="009E1E74" w:rsidRDefault="00C87E1E" w:rsidP="00C87E1E">
            <w:pPr>
              <w:spacing w:before="60" w:after="60"/>
              <w:rPr>
                <w:noProof/>
              </w:rPr>
            </w:pPr>
            <w:r w:rsidRPr="009E1E74">
              <w:rPr>
                <w:noProof/>
                <w:sz w:val="22"/>
              </w:rPr>
              <w:t>„Administracinės išlaidos“</w:t>
            </w:r>
          </w:p>
        </w:tc>
      </w:tr>
    </w:tbl>
    <w:p w14:paraId="11C927F7" w14:textId="77777777" w:rsidR="00C87E1E" w:rsidRPr="009E1E74" w:rsidRDefault="00C87E1E" w:rsidP="00C87E1E">
      <w:pPr>
        <w:jc w:val="left"/>
        <w:rPr>
          <w:noProof/>
          <w:sz w:val="20"/>
        </w:rPr>
      </w:pPr>
      <w:r w:rsidRPr="009E1E74">
        <w:rPr>
          <w:noProof/>
        </w:rPr>
        <w:t xml:space="preserve">Šią dalį pildyti naudojant administracinio pobūdžio biudžeto duomenų lentelę, kuri pirmiausia bus pateikta </w:t>
      </w:r>
      <w:hyperlink r:id="rId15" w:history="1">
        <w:r w:rsidRPr="009E1E74">
          <w:rPr>
            <w:noProof/>
            <w:color w:val="0000FF"/>
            <w:u w:val="single"/>
          </w:rPr>
          <w:t>finansinės teisės akto pasiūlymo pažymos priede</w:t>
        </w:r>
      </w:hyperlink>
      <w:r w:rsidRPr="009E1E74">
        <w:rPr>
          <w:noProof/>
        </w:rPr>
        <w:t xml:space="preserve"> (Vidaus taisyklių V priedas) ir įkelta į DECIDE tarnybų tarpusavio konsultacijoms.</w:t>
      </w:r>
    </w:p>
    <w:p w14:paraId="6D0EEA39" w14:textId="77777777" w:rsidR="00C87E1E" w:rsidRPr="009E1E74" w:rsidRDefault="00C87E1E" w:rsidP="00C87E1E">
      <w:pPr>
        <w:jc w:val="right"/>
        <w:rPr>
          <w:noProof/>
          <w:sz w:val="20"/>
        </w:rPr>
      </w:pPr>
      <w:r w:rsidRPr="009E1E74">
        <w:rPr>
          <w:noProof/>
          <w:sz w:val="20"/>
        </w:rPr>
        <w:t>mln. EUR (tūkstantųjų tikslumu)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C87E1E" w:rsidRPr="009E1E74" w14:paraId="30D127F4" w14:textId="77777777" w:rsidTr="00C87E1E">
        <w:tc>
          <w:tcPr>
            <w:tcW w:w="3960" w:type="dxa"/>
            <w:tcBorders>
              <w:top w:val="nil"/>
              <w:left w:val="nil"/>
              <w:right w:val="nil"/>
            </w:tcBorders>
            <w:vAlign w:val="center"/>
          </w:tcPr>
          <w:p w14:paraId="703C6F16" w14:textId="77777777" w:rsidR="00C87E1E" w:rsidRPr="009E1E74" w:rsidRDefault="00C87E1E" w:rsidP="00C87E1E">
            <w:pPr>
              <w:jc w:val="center"/>
              <w:rPr>
                <w:noProof/>
                <w:lang w:eastAsia="en-GB"/>
              </w:rPr>
            </w:pPr>
          </w:p>
        </w:tc>
        <w:tc>
          <w:tcPr>
            <w:tcW w:w="1560" w:type="dxa"/>
            <w:tcBorders>
              <w:top w:val="nil"/>
              <w:left w:val="nil"/>
              <w:right w:val="nil"/>
            </w:tcBorders>
          </w:tcPr>
          <w:p w14:paraId="597E8BDD" w14:textId="77777777" w:rsidR="00C87E1E" w:rsidRPr="009E1E74" w:rsidRDefault="00C87E1E" w:rsidP="00C87E1E">
            <w:pPr>
              <w:rPr>
                <w:noProof/>
                <w:sz w:val="20"/>
                <w:lang w:eastAsia="en-GB"/>
              </w:rPr>
            </w:pPr>
          </w:p>
        </w:tc>
        <w:tc>
          <w:tcPr>
            <w:tcW w:w="534" w:type="dxa"/>
            <w:tcBorders>
              <w:top w:val="nil"/>
              <w:left w:val="nil"/>
            </w:tcBorders>
          </w:tcPr>
          <w:p w14:paraId="66C87446" w14:textId="77777777" w:rsidR="00C87E1E" w:rsidRPr="009E1E74" w:rsidRDefault="00C87E1E" w:rsidP="00C87E1E">
            <w:pPr>
              <w:jc w:val="center"/>
              <w:rPr>
                <w:noProof/>
                <w:sz w:val="20"/>
                <w:lang w:eastAsia="en-GB"/>
              </w:rPr>
            </w:pPr>
          </w:p>
        </w:tc>
        <w:tc>
          <w:tcPr>
            <w:tcW w:w="868" w:type="dxa"/>
            <w:vAlign w:val="center"/>
          </w:tcPr>
          <w:p w14:paraId="33219D36" w14:textId="77777777" w:rsidR="00C87E1E" w:rsidRPr="009E1E74" w:rsidRDefault="00C87E1E" w:rsidP="00C87E1E">
            <w:pPr>
              <w:jc w:val="center"/>
              <w:rPr>
                <w:noProof/>
                <w:sz w:val="20"/>
              </w:rPr>
            </w:pPr>
            <w:r w:rsidRPr="009E1E74">
              <w:rPr>
                <w:b/>
                <w:noProof/>
                <w:sz w:val="20"/>
              </w:rPr>
              <w:t>N</w:t>
            </w:r>
            <w:r w:rsidRPr="009E1E74">
              <w:rPr>
                <w:noProof/>
              </w:rPr>
              <w:t xml:space="preserve"> </w:t>
            </w:r>
            <w:r w:rsidRPr="009E1E74">
              <w:rPr>
                <w:noProof/>
              </w:rPr>
              <w:br/>
            </w:r>
            <w:r w:rsidRPr="009E1E74">
              <w:rPr>
                <w:noProof/>
                <w:sz w:val="20"/>
              </w:rPr>
              <w:t>metai</w:t>
            </w:r>
          </w:p>
        </w:tc>
        <w:tc>
          <w:tcPr>
            <w:tcW w:w="868" w:type="dxa"/>
            <w:vAlign w:val="center"/>
          </w:tcPr>
          <w:p w14:paraId="2B98FD28" w14:textId="77777777" w:rsidR="00C87E1E" w:rsidRPr="009E1E74" w:rsidRDefault="00C87E1E" w:rsidP="00C87E1E">
            <w:pPr>
              <w:jc w:val="center"/>
              <w:rPr>
                <w:noProof/>
                <w:sz w:val="20"/>
              </w:rPr>
            </w:pPr>
            <w:r w:rsidRPr="009E1E74">
              <w:rPr>
                <w:b/>
                <w:noProof/>
                <w:sz w:val="20"/>
              </w:rPr>
              <w:t>N + 1</w:t>
            </w:r>
            <w:r w:rsidRPr="009E1E74">
              <w:rPr>
                <w:noProof/>
              </w:rPr>
              <w:t xml:space="preserve"> </w:t>
            </w:r>
            <w:r w:rsidRPr="009E1E74">
              <w:rPr>
                <w:noProof/>
              </w:rPr>
              <w:br/>
            </w:r>
            <w:r w:rsidRPr="009E1E74">
              <w:rPr>
                <w:noProof/>
                <w:sz w:val="20"/>
              </w:rPr>
              <w:t>metai</w:t>
            </w:r>
          </w:p>
        </w:tc>
        <w:tc>
          <w:tcPr>
            <w:tcW w:w="868" w:type="dxa"/>
            <w:vAlign w:val="center"/>
          </w:tcPr>
          <w:p w14:paraId="2734A786" w14:textId="77777777" w:rsidR="00C87E1E" w:rsidRPr="009E1E74" w:rsidRDefault="00C87E1E" w:rsidP="00C87E1E">
            <w:pPr>
              <w:jc w:val="center"/>
              <w:rPr>
                <w:noProof/>
                <w:sz w:val="20"/>
              </w:rPr>
            </w:pPr>
            <w:r w:rsidRPr="009E1E74">
              <w:rPr>
                <w:b/>
                <w:noProof/>
                <w:sz w:val="20"/>
              </w:rPr>
              <w:t>N + 2</w:t>
            </w:r>
            <w:r w:rsidRPr="009E1E74">
              <w:rPr>
                <w:noProof/>
              </w:rPr>
              <w:t xml:space="preserve"> </w:t>
            </w:r>
            <w:r w:rsidRPr="009E1E74">
              <w:rPr>
                <w:noProof/>
              </w:rPr>
              <w:br/>
            </w:r>
            <w:r w:rsidRPr="009E1E74">
              <w:rPr>
                <w:noProof/>
                <w:sz w:val="20"/>
              </w:rPr>
              <w:t>metai</w:t>
            </w:r>
          </w:p>
        </w:tc>
        <w:tc>
          <w:tcPr>
            <w:tcW w:w="868" w:type="dxa"/>
            <w:vAlign w:val="center"/>
          </w:tcPr>
          <w:p w14:paraId="2A0B77CD" w14:textId="77777777" w:rsidR="00C87E1E" w:rsidRPr="009E1E74" w:rsidRDefault="00C87E1E" w:rsidP="00C87E1E">
            <w:pPr>
              <w:jc w:val="center"/>
              <w:rPr>
                <w:noProof/>
                <w:sz w:val="20"/>
              </w:rPr>
            </w:pPr>
            <w:r w:rsidRPr="009E1E74">
              <w:rPr>
                <w:b/>
                <w:noProof/>
                <w:sz w:val="20"/>
              </w:rPr>
              <w:t>N + 3</w:t>
            </w:r>
            <w:r w:rsidRPr="009E1E74">
              <w:rPr>
                <w:noProof/>
              </w:rPr>
              <w:t xml:space="preserve"> </w:t>
            </w:r>
            <w:r w:rsidRPr="009E1E74">
              <w:rPr>
                <w:noProof/>
              </w:rPr>
              <w:br/>
            </w:r>
            <w:r w:rsidRPr="009E1E74">
              <w:rPr>
                <w:noProof/>
                <w:sz w:val="20"/>
              </w:rPr>
              <w:t>metai</w:t>
            </w:r>
          </w:p>
        </w:tc>
        <w:tc>
          <w:tcPr>
            <w:tcW w:w="2604" w:type="dxa"/>
            <w:gridSpan w:val="3"/>
            <w:vAlign w:val="center"/>
          </w:tcPr>
          <w:p w14:paraId="14FFCF30" w14:textId="77777777" w:rsidR="00C87E1E" w:rsidRPr="009E1E74" w:rsidRDefault="00C87E1E" w:rsidP="00C87E1E">
            <w:pPr>
              <w:jc w:val="center"/>
              <w:rPr>
                <w:b/>
                <w:noProof/>
                <w:sz w:val="18"/>
              </w:rPr>
            </w:pPr>
            <w:r w:rsidRPr="009E1E74">
              <w:rPr>
                <w:noProof/>
                <w:sz w:val="18"/>
              </w:rPr>
              <w:t xml:space="preserve">Atsižvelgiant į poveikio trukmę įterpti reikiamą metų skaičių (žr. 1.6 punktą) </w:t>
            </w:r>
          </w:p>
        </w:tc>
        <w:tc>
          <w:tcPr>
            <w:tcW w:w="1777" w:type="dxa"/>
            <w:vAlign w:val="center"/>
          </w:tcPr>
          <w:p w14:paraId="34BC2481" w14:textId="77777777" w:rsidR="00C87E1E" w:rsidRPr="009E1E74" w:rsidRDefault="00C87E1E" w:rsidP="00C87E1E">
            <w:pPr>
              <w:jc w:val="center"/>
              <w:rPr>
                <w:b/>
                <w:noProof/>
                <w:sz w:val="20"/>
              </w:rPr>
            </w:pPr>
            <w:r w:rsidRPr="009E1E74">
              <w:rPr>
                <w:b/>
                <w:noProof/>
                <w:sz w:val="20"/>
              </w:rPr>
              <w:t>IŠ VISO</w:t>
            </w:r>
          </w:p>
        </w:tc>
      </w:tr>
      <w:tr w:rsidR="00C87E1E" w:rsidRPr="009E1E74" w14:paraId="287B253D" w14:textId="77777777" w:rsidTr="00C87E1E">
        <w:trPr>
          <w:gridAfter w:val="10"/>
          <w:wAfter w:w="9947" w:type="dxa"/>
        </w:trPr>
        <w:tc>
          <w:tcPr>
            <w:tcW w:w="3960" w:type="dxa"/>
            <w:vAlign w:val="center"/>
          </w:tcPr>
          <w:p w14:paraId="62F6933B" w14:textId="77777777" w:rsidR="00C87E1E" w:rsidRPr="009E1E74" w:rsidRDefault="00C87E1E" w:rsidP="00C87E1E">
            <w:pPr>
              <w:spacing w:before="60" w:after="60"/>
              <w:jc w:val="center"/>
              <w:rPr>
                <w:noProof/>
              </w:rPr>
            </w:pPr>
            <w:r w:rsidRPr="009E1E74">
              <w:rPr>
                <w:noProof/>
                <w:sz w:val="22"/>
              </w:rPr>
              <w:t>&lt;….&gt; GD</w:t>
            </w:r>
          </w:p>
        </w:tc>
      </w:tr>
      <w:tr w:rsidR="00C87E1E" w:rsidRPr="009E1E74" w14:paraId="3ECEE7F8" w14:textId="77777777" w:rsidTr="00C87E1E">
        <w:trPr>
          <w:trHeight w:val="313"/>
        </w:trPr>
        <w:tc>
          <w:tcPr>
            <w:tcW w:w="6054" w:type="dxa"/>
            <w:gridSpan w:val="3"/>
            <w:vAlign w:val="center"/>
          </w:tcPr>
          <w:p w14:paraId="175050BB" w14:textId="77777777" w:rsidR="00C87E1E" w:rsidRPr="009E1E74" w:rsidRDefault="00C87E1E" w:rsidP="00C87E1E">
            <w:pPr>
              <w:spacing w:before="20" w:after="20"/>
              <w:rPr>
                <w:noProof/>
              </w:rPr>
            </w:pPr>
            <w:r w:rsidRPr="009E1E74">
              <w:rPr>
                <w:noProof/>
                <w:sz w:val="22"/>
              </w:rPr>
              <w:sym w:font="Wingdings" w:char="F09F"/>
            </w:r>
            <w:r w:rsidRPr="009E1E74">
              <w:rPr>
                <w:noProof/>
                <w:sz w:val="22"/>
              </w:rPr>
              <w:t xml:space="preserve"> Žmogiškieji ištekliai </w:t>
            </w:r>
          </w:p>
        </w:tc>
        <w:tc>
          <w:tcPr>
            <w:tcW w:w="868" w:type="dxa"/>
            <w:vAlign w:val="center"/>
          </w:tcPr>
          <w:p w14:paraId="7F35D8EA" w14:textId="77777777" w:rsidR="00C87E1E" w:rsidRPr="009E1E74" w:rsidRDefault="00C87E1E" w:rsidP="00C87E1E">
            <w:pPr>
              <w:spacing w:before="20" w:after="20"/>
              <w:jc w:val="right"/>
              <w:rPr>
                <w:noProof/>
                <w:sz w:val="20"/>
                <w:lang w:eastAsia="en-GB"/>
              </w:rPr>
            </w:pPr>
          </w:p>
        </w:tc>
        <w:tc>
          <w:tcPr>
            <w:tcW w:w="868" w:type="dxa"/>
            <w:vAlign w:val="center"/>
          </w:tcPr>
          <w:p w14:paraId="4FCF980C" w14:textId="77777777" w:rsidR="00C87E1E" w:rsidRPr="009E1E74" w:rsidRDefault="00C87E1E" w:rsidP="00C87E1E">
            <w:pPr>
              <w:spacing w:before="20" w:after="20"/>
              <w:jc w:val="right"/>
              <w:rPr>
                <w:noProof/>
                <w:sz w:val="20"/>
                <w:lang w:eastAsia="en-GB"/>
              </w:rPr>
            </w:pPr>
          </w:p>
        </w:tc>
        <w:tc>
          <w:tcPr>
            <w:tcW w:w="868" w:type="dxa"/>
            <w:vAlign w:val="center"/>
          </w:tcPr>
          <w:p w14:paraId="6A08D4C1" w14:textId="77777777" w:rsidR="00C87E1E" w:rsidRPr="009E1E74" w:rsidRDefault="00C87E1E" w:rsidP="00C87E1E">
            <w:pPr>
              <w:spacing w:before="20" w:after="20"/>
              <w:jc w:val="right"/>
              <w:rPr>
                <w:noProof/>
                <w:sz w:val="20"/>
                <w:lang w:eastAsia="en-GB"/>
              </w:rPr>
            </w:pPr>
          </w:p>
        </w:tc>
        <w:tc>
          <w:tcPr>
            <w:tcW w:w="868" w:type="dxa"/>
            <w:vAlign w:val="center"/>
          </w:tcPr>
          <w:p w14:paraId="6FD6EC7E" w14:textId="77777777" w:rsidR="00C87E1E" w:rsidRPr="009E1E74" w:rsidRDefault="00C87E1E" w:rsidP="00C87E1E">
            <w:pPr>
              <w:spacing w:before="20" w:after="20"/>
              <w:jc w:val="right"/>
              <w:rPr>
                <w:noProof/>
                <w:sz w:val="20"/>
                <w:lang w:eastAsia="en-GB"/>
              </w:rPr>
            </w:pPr>
          </w:p>
        </w:tc>
        <w:tc>
          <w:tcPr>
            <w:tcW w:w="868" w:type="dxa"/>
            <w:vAlign w:val="center"/>
          </w:tcPr>
          <w:p w14:paraId="233B8BB2" w14:textId="77777777" w:rsidR="00C87E1E" w:rsidRPr="009E1E74" w:rsidRDefault="00C87E1E" w:rsidP="00C87E1E">
            <w:pPr>
              <w:spacing w:before="20" w:after="20"/>
              <w:jc w:val="right"/>
              <w:rPr>
                <w:noProof/>
                <w:sz w:val="20"/>
                <w:lang w:eastAsia="en-GB"/>
              </w:rPr>
            </w:pPr>
          </w:p>
        </w:tc>
        <w:tc>
          <w:tcPr>
            <w:tcW w:w="868" w:type="dxa"/>
            <w:vAlign w:val="center"/>
          </w:tcPr>
          <w:p w14:paraId="3E6AF11F" w14:textId="77777777" w:rsidR="00C87E1E" w:rsidRPr="009E1E74" w:rsidRDefault="00C87E1E" w:rsidP="00C87E1E">
            <w:pPr>
              <w:spacing w:before="20" w:after="20"/>
              <w:jc w:val="right"/>
              <w:rPr>
                <w:noProof/>
                <w:sz w:val="20"/>
                <w:lang w:eastAsia="en-GB"/>
              </w:rPr>
            </w:pPr>
          </w:p>
        </w:tc>
        <w:tc>
          <w:tcPr>
            <w:tcW w:w="868" w:type="dxa"/>
            <w:vAlign w:val="center"/>
          </w:tcPr>
          <w:p w14:paraId="27B11AB7" w14:textId="77777777" w:rsidR="00C87E1E" w:rsidRPr="009E1E74" w:rsidRDefault="00C87E1E" w:rsidP="00C87E1E">
            <w:pPr>
              <w:spacing w:before="20" w:after="20"/>
              <w:jc w:val="right"/>
              <w:rPr>
                <w:b/>
                <w:noProof/>
                <w:sz w:val="20"/>
                <w:lang w:eastAsia="en-GB"/>
              </w:rPr>
            </w:pPr>
          </w:p>
        </w:tc>
        <w:tc>
          <w:tcPr>
            <w:tcW w:w="1777" w:type="dxa"/>
            <w:vAlign w:val="center"/>
          </w:tcPr>
          <w:p w14:paraId="505A99E6" w14:textId="77777777" w:rsidR="00C87E1E" w:rsidRPr="009E1E74" w:rsidRDefault="00C87E1E" w:rsidP="00C87E1E">
            <w:pPr>
              <w:spacing w:before="20" w:after="20"/>
              <w:jc w:val="right"/>
              <w:rPr>
                <w:b/>
                <w:noProof/>
                <w:sz w:val="20"/>
                <w:lang w:eastAsia="en-GB"/>
              </w:rPr>
            </w:pPr>
          </w:p>
        </w:tc>
      </w:tr>
      <w:tr w:rsidR="00C87E1E" w:rsidRPr="009E1E74" w14:paraId="3A5FF664" w14:textId="77777777" w:rsidTr="00C87E1E">
        <w:trPr>
          <w:trHeight w:val="351"/>
        </w:trPr>
        <w:tc>
          <w:tcPr>
            <w:tcW w:w="6054" w:type="dxa"/>
            <w:gridSpan w:val="3"/>
            <w:vAlign w:val="center"/>
          </w:tcPr>
          <w:p w14:paraId="22A5DFA6" w14:textId="77777777" w:rsidR="00C87E1E" w:rsidRPr="009E1E74" w:rsidRDefault="00C87E1E" w:rsidP="00C87E1E">
            <w:pPr>
              <w:spacing w:before="20" w:after="20"/>
              <w:rPr>
                <w:noProof/>
              </w:rPr>
            </w:pPr>
            <w:r w:rsidRPr="009E1E74">
              <w:rPr>
                <w:noProof/>
                <w:sz w:val="22"/>
              </w:rPr>
              <w:sym w:font="Wingdings" w:char="F09F"/>
            </w:r>
            <w:r w:rsidRPr="009E1E74">
              <w:rPr>
                <w:noProof/>
                <w:sz w:val="22"/>
              </w:rPr>
              <w:t xml:space="preserve"> Kitos administracinės išlaidos </w:t>
            </w:r>
          </w:p>
        </w:tc>
        <w:tc>
          <w:tcPr>
            <w:tcW w:w="868" w:type="dxa"/>
            <w:vAlign w:val="center"/>
          </w:tcPr>
          <w:p w14:paraId="5081B2E1" w14:textId="77777777" w:rsidR="00C87E1E" w:rsidRPr="009E1E74" w:rsidRDefault="00C87E1E" w:rsidP="00C87E1E">
            <w:pPr>
              <w:spacing w:before="20" w:after="20"/>
              <w:jc w:val="right"/>
              <w:rPr>
                <w:b/>
                <w:noProof/>
                <w:sz w:val="20"/>
                <w:lang w:eastAsia="en-GB"/>
              </w:rPr>
            </w:pPr>
          </w:p>
        </w:tc>
        <w:tc>
          <w:tcPr>
            <w:tcW w:w="868" w:type="dxa"/>
            <w:vAlign w:val="center"/>
          </w:tcPr>
          <w:p w14:paraId="1AB837D5" w14:textId="77777777" w:rsidR="00C87E1E" w:rsidRPr="009E1E74" w:rsidRDefault="00C87E1E" w:rsidP="00C87E1E">
            <w:pPr>
              <w:spacing w:before="20" w:after="20"/>
              <w:jc w:val="right"/>
              <w:rPr>
                <w:b/>
                <w:noProof/>
                <w:sz w:val="20"/>
                <w:lang w:eastAsia="en-GB"/>
              </w:rPr>
            </w:pPr>
          </w:p>
        </w:tc>
        <w:tc>
          <w:tcPr>
            <w:tcW w:w="868" w:type="dxa"/>
            <w:vAlign w:val="center"/>
          </w:tcPr>
          <w:p w14:paraId="2842B4E8" w14:textId="77777777" w:rsidR="00C87E1E" w:rsidRPr="009E1E74" w:rsidRDefault="00C87E1E" w:rsidP="00C87E1E">
            <w:pPr>
              <w:spacing w:before="20" w:after="20"/>
              <w:jc w:val="right"/>
              <w:rPr>
                <w:b/>
                <w:noProof/>
                <w:sz w:val="20"/>
                <w:lang w:eastAsia="en-GB"/>
              </w:rPr>
            </w:pPr>
          </w:p>
        </w:tc>
        <w:tc>
          <w:tcPr>
            <w:tcW w:w="868" w:type="dxa"/>
            <w:vAlign w:val="center"/>
          </w:tcPr>
          <w:p w14:paraId="2222E98C" w14:textId="77777777" w:rsidR="00C87E1E" w:rsidRPr="009E1E74" w:rsidRDefault="00C87E1E" w:rsidP="00C87E1E">
            <w:pPr>
              <w:spacing w:before="20" w:after="20"/>
              <w:jc w:val="right"/>
              <w:rPr>
                <w:b/>
                <w:noProof/>
                <w:sz w:val="20"/>
                <w:lang w:eastAsia="en-GB"/>
              </w:rPr>
            </w:pPr>
          </w:p>
        </w:tc>
        <w:tc>
          <w:tcPr>
            <w:tcW w:w="868" w:type="dxa"/>
            <w:vAlign w:val="center"/>
          </w:tcPr>
          <w:p w14:paraId="30665B5B" w14:textId="77777777" w:rsidR="00C87E1E" w:rsidRPr="009E1E74" w:rsidRDefault="00C87E1E" w:rsidP="00C87E1E">
            <w:pPr>
              <w:spacing w:before="20" w:after="20"/>
              <w:jc w:val="right"/>
              <w:rPr>
                <w:b/>
                <w:noProof/>
                <w:sz w:val="20"/>
                <w:lang w:eastAsia="en-GB"/>
              </w:rPr>
            </w:pPr>
          </w:p>
        </w:tc>
        <w:tc>
          <w:tcPr>
            <w:tcW w:w="868" w:type="dxa"/>
            <w:vAlign w:val="center"/>
          </w:tcPr>
          <w:p w14:paraId="61CB6E13" w14:textId="77777777" w:rsidR="00C87E1E" w:rsidRPr="009E1E74" w:rsidRDefault="00C87E1E" w:rsidP="00C87E1E">
            <w:pPr>
              <w:spacing w:before="20" w:after="20"/>
              <w:jc w:val="right"/>
              <w:rPr>
                <w:b/>
                <w:noProof/>
                <w:sz w:val="20"/>
                <w:lang w:eastAsia="en-GB"/>
              </w:rPr>
            </w:pPr>
          </w:p>
        </w:tc>
        <w:tc>
          <w:tcPr>
            <w:tcW w:w="868" w:type="dxa"/>
            <w:vAlign w:val="center"/>
          </w:tcPr>
          <w:p w14:paraId="544ABBB3" w14:textId="77777777" w:rsidR="00C87E1E" w:rsidRPr="009E1E74" w:rsidRDefault="00C87E1E" w:rsidP="00C87E1E">
            <w:pPr>
              <w:spacing w:before="20" w:after="20"/>
              <w:jc w:val="right"/>
              <w:rPr>
                <w:b/>
                <w:noProof/>
                <w:sz w:val="20"/>
                <w:lang w:eastAsia="en-GB"/>
              </w:rPr>
            </w:pPr>
          </w:p>
        </w:tc>
        <w:tc>
          <w:tcPr>
            <w:tcW w:w="1777" w:type="dxa"/>
            <w:vAlign w:val="center"/>
          </w:tcPr>
          <w:p w14:paraId="520F91FA" w14:textId="77777777" w:rsidR="00C87E1E" w:rsidRPr="009E1E74" w:rsidRDefault="00C87E1E" w:rsidP="00C87E1E">
            <w:pPr>
              <w:spacing w:before="20" w:after="20"/>
              <w:jc w:val="right"/>
              <w:rPr>
                <w:b/>
                <w:noProof/>
                <w:sz w:val="20"/>
                <w:lang w:eastAsia="en-GB"/>
              </w:rPr>
            </w:pPr>
          </w:p>
        </w:tc>
      </w:tr>
      <w:tr w:rsidR="00C87E1E" w:rsidRPr="009E1E74" w14:paraId="14E16801" w14:textId="77777777" w:rsidTr="00C87E1E">
        <w:tc>
          <w:tcPr>
            <w:tcW w:w="3960" w:type="dxa"/>
            <w:vAlign w:val="center"/>
          </w:tcPr>
          <w:p w14:paraId="0E7C3A9D" w14:textId="77777777" w:rsidR="00C87E1E" w:rsidRPr="009E1E74" w:rsidRDefault="00C87E1E" w:rsidP="00C87E1E">
            <w:pPr>
              <w:jc w:val="center"/>
              <w:rPr>
                <w:b/>
                <w:noProof/>
              </w:rPr>
            </w:pPr>
            <w:r w:rsidRPr="009E1E74">
              <w:rPr>
                <w:b/>
                <w:noProof/>
                <w:sz w:val="22"/>
              </w:rPr>
              <w:t>IŠ VISO</w:t>
            </w:r>
            <w:r w:rsidRPr="009E1E74">
              <w:rPr>
                <w:noProof/>
                <w:sz w:val="22"/>
              </w:rPr>
              <w:t xml:space="preserve"> &lt;….&gt; </w:t>
            </w:r>
            <w:r w:rsidRPr="009E1E74">
              <w:rPr>
                <w:b/>
                <w:noProof/>
                <w:sz w:val="22"/>
              </w:rPr>
              <w:t>GD</w:t>
            </w:r>
          </w:p>
        </w:tc>
        <w:tc>
          <w:tcPr>
            <w:tcW w:w="2094" w:type="dxa"/>
            <w:gridSpan w:val="2"/>
            <w:vAlign w:val="center"/>
          </w:tcPr>
          <w:p w14:paraId="4EE15C2C" w14:textId="77777777" w:rsidR="00C87E1E" w:rsidRPr="009E1E74" w:rsidRDefault="00C87E1E" w:rsidP="00C87E1E">
            <w:pPr>
              <w:rPr>
                <w:noProof/>
                <w:sz w:val="14"/>
              </w:rPr>
            </w:pPr>
            <w:r w:rsidRPr="009E1E74">
              <w:rPr>
                <w:noProof/>
                <w:sz w:val="18"/>
              </w:rPr>
              <w:t xml:space="preserve">Asignavimai </w:t>
            </w:r>
          </w:p>
        </w:tc>
        <w:tc>
          <w:tcPr>
            <w:tcW w:w="868" w:type="dxa"/>
            <w:vAlign w:val="center"/>
          </w:tcPr>
          <w:p w14:paraId="3699D43C" w14:textId="77777777" w:rsidR="00C87E1E" w:rsidRPr="009E1E74" w:rsidRDefault="00C87E1E" w:rsidP="00C87E1E">
            <w:pPr>
              <w:spacing w:before="60" w:after="60"/>
              <w:jc w:val="right"/>
              <w:rPr>
                <w:noProof/>
                <w:sz w:val="20"/>
                <w:lang w:eastAsia="en-GB"/>
              </w:rPr>
            </w:pPr>
          </w:p>
        </w:tc>
        <w:tc>
          <w:tcPr>
            <w:tcW w:w="868" w:type="dxa"/>
            <w:vAlign w:val="center"/>
          </w:tcPr>
          <w:p w14:paraId="466FC9E1" w14:textId="77777777" w:rsidR="00C87E1E" w:rsidRPr="009E1E74" w:rsidRDefault="00C87E1E" w:rsidP="00C87E1E">
            <w:pPr>
              <w:spacing w:before="20" w:after="20"/>
              <w:jc w:val="right"/>
              <w:rPr>
                <w:noProof/>
                <w:sz w:val="20"/>
                <w:lang w:eastAsia="en-GB"/>
              </w:rPr>
            </w:pPr>
          </w:p>
        </w:tc>
        <w:tc>
          <w:tcPr>
            <w:tcW w:w="868" w:type="dxa"/>
            <w:vAlign w:val="center"/>
          </w:tcPr>
          <w:p w14:paraId="49A08C89" w14:textId="77777777" w:rsidR="00C87E1E" w:rsidRPr="009E1E74" w:rsidRDefault="00C87E1E" w:rsidP="00C87E1E">
            <w:pPr>
              <w:spacing w:before="20" w:after="20"/>
              <w:jc w:val="right"/>
              <w:rPr>
                <w:noProof/>
                <w:sz w:val="20"/>
                <w:lang w:eastAsia="en-GB"/>
              </w:rPr>
            </w:pPr>
          </w:p>
        </w:tc>
        <w:tc>
          <w:tcPr>
            <w:tcW w:w="868" w:type="dxa"/>
            <w:vAlign w:val="center"/>
          </w:tcPr>
          <w:p w14:paraId="2F3C4EC5" w14:textId="77777777" w:rsidR="00C87E1E" w:rsidRPr="009E1E74" w:rsidRDefault="00C87E1E" w:rsidP="00C87E1E">
            <w:pPr>
              <w:spacing w:before="20" w:after="20"/>
              <w:jc w:val="right"/>
              <w:rPr>
                <w:noProof/>
                <w:sz w:val="20"/>
                <w:lang w:eastAsia="en-GB"/>
              </w:rPr>
            </w:pPr>
          </w:p>
        </w:tc>
        <w:tc>
          <w:tcPr>
            <w:tcW w:w="868" w:type="dxa"/>
            <w:vAlign w:val="center"/>
          </w:tcPr>
          <w:p w14:paraId="37A69DBB" w14:textId="77777777" w:rsidR="00C87E1E" w:rsidRPr="009E1E74" w:rsidRDefault="00C87E1E" w:rsidP="00C87E1E">
            <w:pPr>
              <w:spacing w:before="20" w:after="20"/>
              <w:jc w:val="right"/>
              <w:rPr>
                <w:noProof/>
                <w:sz w:val="20"/>
                <w:lang w:eastAsia="en-GB"/>
              </w:rPr>
            </w:pPr>
          </w:p>
        </w:tc>
        <w:tc>
          <w:tcPr>
            <w:tcW w:w="868" w:type="dxa"/>
            <w:vAlign w:val="center"/>
          </w:tcPr>
          <w:p w14:paraId="0DFDD153" w14:textId="77777777" w:rsidR="00C87E1E" w:rsidRPr="009E1E74" w:rsidRDefault="00C87E1E" w:rsidP="00C87E1E">
            <w:pPr>
              <w:spacing w:before="20" w:after="20"/>
              <w:jc w:val="right"/>
              <w:rPr>
                <w:noProof/>
                <w:sz w:val="20"/>
                <w:lang w:eastAsia="en-GB"/>
              </w:rPr>
            </w:pPr>
          </w:p>
        </w:tc>
        <w:tc>
          <w:tcPr>
            <w:tcW w:w="868" w:type="dxa"/>
            <w:vAlign w:val="center"/>
          </w:tcPr>
          <w:p w14:paraId="5D540E14" w14:textId="77777777" w:rsidR="00C87E1E" w:rsidRPr="009E1E74" w:rsidRDefault="00C87E1E" w:rsidP="00C87E1E">
            <w:pPr>
              <w:spacing w:before="20" w:after="20"/>
              <w:jc w:val="right"/>
              <w:rPr>
                <w:b/>
                <w:noProof/>
                <w:sz w:val="20"/>
                <w:lang w:eastAsia="en-GB"/>
              </w:rPr>
            </w:pPr>
          </w:p>
        </w:tc>
        <w:tc>
          <w:tcPr>
            <w:tcW w:w="1777" w:type="dxa"/>
            <w:vAlign w:val="center"/>
          </w:tcPr>
          <w:p w14:paraId="7CAD068E" w14:textId="77777777" w:rsidR="00C87E1E" w:rsidRPr="009E1E74" w:rsidRDefault="00C87E1E" w:rsidP="00C87E1E">
            <w:pPr>
              <w:spacing w:before="20" w:after="20"/>
              <w:jc w:val="right"/>
              <w:rPr>
                <w:b/>
                <w:noProof/>
                <w:sz w:val="20"/>
                <w:lang w:eastAsia="en-GB"/>
              </w:rPr>
            </w:pPr>
          </w:p>
        </w:tc>
      </w:tr>
    </w:tbl>
    <w:p w14:paraId="265FAFED" w14:textId="77777777" w:rsidR="00C87E1E" w:rsidRPr="009E1E74" w:rsidRDefault="00C87E1E" w:rsidP="00C87E1E">
      <w:pPr>
        <w:rPr>
          <w:noProof/>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C87E1E" w:rsidRPr="009E1E74" w14:paraId="7CB0BDD4" w14:textId="77777777" w:rsidTr="00C87E1E">
        <w:tc>
          <w:tcPr>
            <w:tcW w:w="3960" w:type="dxa"/>
            <w:shd w:val="thinDiagStripe" w:color="C0C0C0" w:fill="auto"/>
            <w:vAlign w:val="center"/>
          </w:tcPr>
          <w:p w14:paraId="3FECEE77" w14:textId="77777777" w:rsidR="00C87E1E" w:rsidRPr="009E1E74" w:rsidRDefault="00C87E1E" w:rsidP="00C87E1E">
            <w:pPr>
              <w:jc w:val="center"/>
              <w:rPr>
                <w:b/>
                <w:noProof/>
              </w:rPr>
            </w:pPr>
            <w:r w:rsidRPr="009E1E74">
              <w:rPr>
                <w:b/>
                <w:noProof/>
                <w:sz w:val="22"/>
              </w:rPr>
              <w:t>IŠ VISO asignavimų</w:t>
            </w:r>
            <w:r w:rsidRPr="009E1E74">
              <w:rPr>
                <w:noProof/>
              </w:rPr>
              <w:t xml:space="preserve"> </w:t>
            </w:r>
            <w:r w:rsidRPr="009E1E74">
              <w:rPr>
                <w:noProof/>
              </w:rPr>
              <w:br/>
            </w:r>
            <w:r w:rsidRPr="009E1E74">
              <w:rPr>
                <w:b/>
                <w:noProof/>
                <w:sz w:val="22"/>
              </w:rPr>
              <w:t xml:space="preserve">pagal </w:t>
            </w:r>
            <w:r w:rsidRPr="009E1E74">
              <w:rPr>
                <w:noProof/>
                <w:sz w:val="22"/>
              </w:rPr>
              <w:t>daugiametės finansinės programos</w:t>
            </w:r>
            <w:r w:rsidRPr="009E1E74">
              <w:rPr>
                <w:noProof/>
              </w:rPr>
              <w:t xml:space="preserve"> </w:t>
            </w:r>
            <w:r w:rsidRPr="009E1E74">
              <w:rPr>
                <w:noProof/>
              </w:rPr>
              <w:br/>
            </w:r>
            <w:r w:rsidRPr="009E1E74">
              <w:rPr>
                <w:b/>
                <w:noProof/>
                <w:sz w:val="22"/>
              </w:rPr>
              <w:t xml:space="preserve">7 IŠLAIDŲ KATEGORIJĄ </w:t>
            </w:r>
          </w:p>
        </w:tc>
        <w:tc>
          <w:tcPr>
            <w:tcW w:w="2094" w:type="dxa"/>
            <w:vAlign w:val="center"/>
          </w:tcPr>
          <w:p w14:paraId="7F851D20" w14:textId="77777777" w:rsidR="00C87E1E" w:rsidRPr="009E1E74" w:rsidRDefault="00C87E1E" w:rsidP="00C87E1E">
            <w:pPr>
              <w:spacing w:before="40" w:after="40"/>
              <w:rPr>
                <w:noProof/>
              </w:rPr>
            </w:pPr>
            <w:r w:rsidRPr="009E1E74">
              <w:rPr>
                <w:noProof/>
                <w:sz w:val="18"/>
              </w:rPr>
              <w:t>(Iš viso įsipareigojimų = Iš viso mokėjimų)</w:t>
            </w:r>
          </w:p>
        </w:tc>
        <w:tc>
          <w:tcPr>
            <w:tcW w:w="868" w:type="dxa"/>
            <w:vAlign w:val="center"/>
          </w:tcPr>
          <w:p w14:paraId="30BB42EC" w14:textId="77777777" w:rsidR="00C87E1E" w:rsidRPr="009E1E74" w:rsidRDefault="00C87E1E" w:rsidP="00C87E1E">
            <w:pPr>
              <w:spacing w:before="20" w:after="20"/>
              <w:jc w:val="right"/>
              <w:rPr>
                <w:noProof/>
                <w:sz w:val="20"/>
                <w:lang w:eastAsia="en-GB"/>
              </w:rPr>
            </w:pPr>
          </w:p>
        </w:tc>
        <w:tc>
          <w:tcPr>
            <w:tcW w:w="868" w:type="dxa"/>
            <w:vAlign w:val="center"/>
          </w:tcPr>
          <w:p w14:paraId="1B031999" w14:textId="77777777" w:rsidR="00C87E1E" w:rsidRPr="009E1E74" w:rsidRDefault="00C87E1E" w:rsidP="00C87E1E">
            <w:pPr>
              <w:spacing w:before="20" w:after="20"/>
              <w:jc w:val="right"/>
              <w:rPr>
                <w:noProof/>
                <w:sz w:val="20"/>
                <w:lang w:eastAsia="en-GB"/>
              </w:rPr>
            </w:pPr>
          </w:p>
        </w:tc>
        <w:tc>
          <w:tcPr>
            <w:tcW w:w="868" w:type="dxa"/>
            <w:vAlign w:val="center"/>
          </w:tcPr>
          <w:p w14:paraId="60F9CF75" w14:textId="77777777" w:rsidR="00C87E1E" w:rsidRPr="009E1E74" w:rsidRDefault="00C87E1E" w:rsidP="00C87E1E">
            <w:pPr>
              <w:spacing w:before="20" w:after="20"/>
              <w:jc w:val="right"/>
              <w:rPr>
                <w:noProof/>
                <w:sz w:val="20"/>
                <w:lang w:eastAsia="en-GB"/>
              </w:rPr>
            </w:pPr>
          </w:p>
        </w:tc>
        <w:tc>
          <w:tcPr>
            <w:tcW w:w="868" w:type="dxa"/>
            <w:vAlign w:val="center"/>
          </w:tcPr>
          <w:p w14:paraId="6A98A347" w14:textId="77777777" w:rsidR="00C87E1E" w:rsidRPr="009E1E74" w:rsidRDefault="00C87E1E" w:rsidP="00C87E1E">
            <w:pPr>
              <w:spacing w:before="20" w:after="20"/>
              <w:jc w:val="right"/>
              <w:rPr>
                <w:noProof/>
                <w:sz w:val="20"/>
                <w:lang w:eastAsia="en-GB"/>
              </w:rPr>
            </w:pPr>
          </w:p>
        </w:tc>
        <w:tc>
          <w:tcPr>
            <w:tcW w:w="868" w:type="dxa"/>
            <w:vAlign w:val="center"/>
          </w:tcPr>
          <w:p w14:paraId="7CBCCA95" w14:textId="77777777" w:rsidR="00C87E1E" w:rsidRPr="009E1E74" w:rsidRDefault="00C87E1E" w:rsidP="00C87E1E">
            <w:pPr>
              <w:spacing w:before="20" w:after="20"/>
              <w:jc w:val="right"/>
              <w:rPr>
                <w:noProof/>
                <w:sz w:val="20"/>
                <w:lang w:eastAsia="en-GB"/>
              </w:rPr>
            </w:pPr>
          </w:p>
        </w:tc>
        <w:tc>
          <w:tcPr>
            <w:tcW w:w="868" w:type="dxa"/>
            <w:vAlign w:val="center"/>
          </w:tcPr>
          <w:p w14:paraId="71B4B6A1" w14:textId="77777777" w:rsidR="00C87E1E" w:rsidRPr="009E1E74" w:rsidRDefault="00C87E1E" w:rsidP="00C87E1E">
            <w:pPr>
              <w:spacing w:before="20" w:after="20"/>
              <w:jc w:val="right"/>
              <w:rPr>
                <w:noProof/>
                <w:sz w:val="20"/>
                <w:lang w:eastAsia="en-GB"/>
              </w:rPr>
            </w:pPr>
          </w:p>
        </w:tc>
        <w:tc>
          <w:tcPr>
            <w:tcW w:w="868" w:type="dxa"/>
            <w:vAlign w:val="center"/>
          </w:tcPr>
          <w:p w14:paraId="3CCF2C1C" w14:textId="77777777" w:rsidR="00C87E1E" w:rsidRPr="009E1E74" w:rsidRDefault="00C87E1E" w:rsidP="00C87E1E">
            <w:pPr>
              <w:spacing w:before="20" w:after="20"/>
              <w:jc w:val="right"/>
              <w:rPr>
                <w:b/>
                <w:noProof/>
                <w:sz w:val="20"/>
                <w:lang w:eastAsia="en-GB"/>
              </w:rPr>
            </w:pPr>
          </w:p>
        </w:tc>
        <w:tc>
          <w:tcPr>
            <w:tcW w:w="1777" w:type="dxa"/>
            <w:vAlign w:val="center"/>
          </w:tcPr>
          <w:p w14:paraId="72DBFE1E" w14:textId="77777777" w:rsidR="00C87E1E" w:rsidRPr="009E1E74" w:rsidRDefault="00C87E1E" w:rsidP="00C87E1E">
            <w:pPr>
              <w:spacing w:before="20" w:after="20"/>
              <w:jc w:val="right"/>
              <w:rPr>
                <w:b/>
                <w:noProof/>
                <w:sz w:val="20"/>
                <w:lang w:eastAsia="en-GB"/>
              </w:rPr>
            </w:pPr>
          </w:p>
        </w:tc>
      </w:tr>
    </w:tbl>
    <w:p w14:paraId="236F74D0" w14:textId="77777777" w:rsidR="00C87E1E" w:rsidRPr="009E1E74" w:rsidRDefault="00C87E1E" w:rsidP="00C87E1E">
      <w:pPr>
        <w:jc w:val="right"/>
        <w:rPr>
          <w:noProof/>
          <w:sz w:val="20"/>
        </w:rPr>
      </w:pPr>
      <w:r w:rsidRPr="009E1E74">
        <w:rPr>
          <w:noProof/>
          <w:sz w:val="20"/>
        </w:rPr>
        <w:t>mln. EUR (tūkstantųjų tikslumu)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238"/>
        <w:gridCol w:w="698"/>
        <w:gridCol w:w="1134"/>
        <w:gridCol w:w="708"/>
        <w:gridCol w:w="1276"/>
        <w:gridCol w:w="992"/>
        <w:gridCol w:w="3341"/>
      </w:tblGrid>
      <w:tr w:rsidR="00C87E1E" w:rsidRPr="009E1E74" w14:paraId="41B91852" w14:textId="77777777" w:rsidTr="00E41E7D">
        <w:tc>
          <w:tcPr>
            <w:tcW w:w="3960" w:type="dxa"/>
            <w:tcBorders>
              <w:top w:val="nil"/>
              <w:left w:val="nil"/>
              <w:right w:val="nil"/>
            </w:tcBorders>
            <w:vAlign w:val="center"/>
          </w:tcPr>
          <w:p w14:paraId="05E120B7" w14:textId="77777777" w:rsidR="00C87E1E" w:rsidRPr="009E1E74" w:rsidRDefault="00C87E1E" w:rsidP="00C87E1E">
            <w:pPr>
              <w:jc w:val="center"/>
              <w:rPr>
                <w:noProof/>
                <w:lang w:eastAsia="en-GB"/>
              </w:rPr>
            </w:pPr>
          </w:p>
        </w:tc>
        <w:tc>
          <w:tcPr>
            <w:tcW w:w="1560" w:type="dxa"/>
            <w:tcBorders>
              <w:top w:val="nil"/>
              <w:left w:val="nil"/>
              <w:right w:val="nil"/>
            </w:tcBorders>
          </w:tcPr>
          <w:p w14:paraId="28B0B518" w14:textId="77777777" w:rsidR="00C87E1E" w:rsidRPr="009E1E74" w:rsidRDefault="00C87E1E" w:rsidP="00C87E1E">
            <w:pPr>
              <w:rPr>
                <w:noProof/>
                <w:sz w:val="20"/>
                <w:lang w:eastAsia="en-GB"/>
              </w:rPr>
            </w:pPr>
          </w:p>
        </w:tc>
        <w:tc>
          <w:tcPr>
            <w:tcW w:w="238" w:type="dxa"/>
            <w:tcBorders>
              <w:top w:val="nil"/>
              <w:left w:val="nil"/>
            </w:tcBorders>
          </w:tcPr>
          <w:p w14:paraId="1E201E6E" w14:textId="77777777" w:rsidR="00C87E1E" w:rsidRPr="009E1E74" w:rsidRDefault="00C87E1E" w:rsidP="00C87E1E">
            <w:pPr>
              <w:jc w:val="center"/>
              <w:rPr>
                <w:noProof/>
                <w:sz w:val="20"/>
                <w:lang w:eastAsia="en-GB"/>
              </w:rPr>
            </w:pPr>
          </w:p>
        </w:tc>
        <w:tc>
          <w:tcPr>
            <w:tcW w:w="698" w:type="dxa"/>
            <w:vAlign w:val="center"/>
          </w:tcPr>
          <w:p w14:paraId="513C2B17" w14:textId="77777777" w:rsidR="00C87E1E" w:rsidRPr="009E1E74" w:rsidRDefault="00C87E1E" w:rsidP="00C87E1E">
            <w:pPr>
              <w:jc w:val="center"/>
              <w:rPr>
                <w:noProof/>
                <w:sz w:val="20"/>
              </w:rPr>
            </w:pPr>
            <w:r w:rsidRPr="009E1E74">
              <w:rPr>
                <w:b/>
                <w:noProof/>
                <w:sz w:val="20"/>
              </w:rPr>
              <w:t>2021 </w:t>
            </w:r>
            <w:r w:rsidRPr="009E1E74">
              <w:rPr>
                <w:noProof/>
                <w:sz w:val="20"/>
              </w:rPr>
              <w:t>metai</w:t>
            </w:r>
          </w:p>
        </w:tc>
        <w:tc>
          <w:tcPr>
            <w:tcW w:w="1134" w:type="dxa"/>
            <w:vAlign w:val="center"/>
          </w:tcPr>
          <w:p w14:paraId="0C4DF5FD" w14:textId="77777777" w:rsidR="00C87E1E" w:rsidRPr="009E1E74" w:rsidRDefault="00C87E1E" w:rsidP="00C87E1E">
            <w:pPr>
              <w:jc w:val="center"/>
              <w:rPr>
                <w:noProof/>
                <w:sz w:val="20"/>
              </w:rPr>
            </w:pPr>
            <w:r w:rsidRPr="009E1E74">
              <w:rPr>
                <w:b/>
                <w:noProof/>
                <w:sz w:val="20"/>
              </w:rPr>
              <w:t>2022 </w:t>
            </w:r>
            <w:r w:rsidRPr="009E1E74">
              <w:rPr>
                <w:noProof/>
                <w:sz w:val="20"/>
              </w:rPr>
              <w:t>metai</w:t>
            </w:r>
          </w:p>
        </w:tc>
        <w:tc>
          <w:tcPr>
            <w:tcW w:w="708" w:type="dxa"/>
            <w:vAlign w:val="center"/>
          </w:tcPr>
          <w:p w14:paraId="25E29C37" w14:textId="77777777" w:rsidR="00C87E1E" w:rsidRPr="009E1E74" w:rsidRDefault="00C87E1E" w:rsidP="00C87E1E">
            <w:pPr>
              <w:jc w:val="center"/>
              <w:rPr>
                <w:noProof/>
                <w:sz w:val="20"/>
              </w:rPr>
            </w:pPr>
            <w:r w:rsidRPr="009E1E74">
              <w:rPr>
                <w:b/>
                <w:noProof/>
                <w:sz w:val="20"/>
              </w:rPr>
              <w:t>2023 </w:t>
            </w:r>
            <w:r w:rsidRPr="009E1E74">
              <w:rPr>
                <w:noProof/>
                <w:sz w:val="20"/>
              </w:rPr>
              <w:t>metai</w:t>
            </w:r>
          </w:p>
        </w:tc>
        <w:tc>
          <w:tcPr>
            <w:tcW w:w="1276" w:type="dxa"/>
            <w:vAlign w:val="center"/>
          </w:tcPr>
          <w:p w14:paraId="018FB164" w14:textId="77777777" w:rsidR="00C87E1E" w:rsidRPr="009E1E74" w:rsidRDefault="00C87E1E" w:rsidP="00C87E1E">
            <w:pPr>
              <w:jc w:val="center"/>
              <w:rPr>
                <w:noProof/>
                <w:sz w:val="20"/>
              </w:rPr>
            </w:pPr>
            <w:r w:rsidRPr="009E1E74">
              <w:rPr>
                <w:b/>
                <w:noProof/>
                <w:sz w:val="20"/>
              </w:rPr>
              <w:t>2024 </w:t>
            </w:r>
            <w:r w:rsidRPr="009E1E74">
              <w:rPr>
                <w:noProof/>
                <w:sz w:val="20"/>
              </w:rPr>
              <w:t>metai</w:t>
            </w:r>
          </w:p>
        </w:tc>
        <w:tc>
          <w:tcPr>
            <w:tcW w:w="992" w:type="dxa"/>
          </w:tcPr>
          <w:p w14:paraId="009500C7" w14:textId="77777777" w:rsidR="00C87E1E" w:rsidRPr="009E1E74" w:rsidRDefault="00C87E1E" w:rsidP="00C87E1E">
            <w:pPr>
              <w:jc w:val="center"/>
              <w:rPr>
                <w:b/>
                <w:noProof/>
                <w:sz w:val="20"/>
                <w:szCs w:val="20"/>
              </w:rPr>
            </w:pPr>
            <w:r w:rsidRPr="009E1E74">
              <w:rPr>
                <w:b/>
                <w:noProof/>
                <w:sz w:val="20"/>
                <w:szCs w:val="20"/>
              </w:rPr>
              <w:t>2025 </w:t>
            </w:r>
            <w:r w:rsidRPr="009E1E74">
              <w:rPr>
                <w:noProof/>
                <w:sz w:val="20"/>
                <w:szCs w:val="20"/>
              </w:rPr>
              <w:t>metai</w:t>
            </w:r>
          </w:p>
        </w:tc>
        <w:tc>
          <w:tcPr>
            <w:tcW w:w="3341" w:type="dxa"/>
            <w:vAlign w:val="center"/>
          </w:tcPr>
          <w:p w14:paraId="6F4B95A7" w14:textId="77777777" w:rsidR="00C87E1E" w:rsidRPr="009E1E74" w:rsidRDefault="00C87E1E" w:rsidP="00C87E1E">
            <w:pPr>
              <w:jc w:val="center"/>
              <w:rPr>
                <w:b/>
                <w:noProof/>
                <w:sz w:val="20"/>
              </w:rPr>
            </w:pPr>
            <w:r w:rsidRPr="009E1E74">
              <w:rPr>
                <w:b/>
                <w:noProof/>
                <w:sz w:val="20"/>
              </w:rPr>
              <w:t>IŠ VISO</w:t>
            </w:r>
          </w:p>
        </w:tc>
      </w:tr>
      <w:tr w:rsidR="00E41E7D" w:rsidRPr="009E1E74" w14:paraId="0CAD3CFE" w14:textId="77777777" w:rsidTr="00E41E7D">
        <w:tc>
          <w:tcPr>
            <w:tcW w:w="3960" w:type="dxa"/>
            <w:vMerge w:val="restart"/>
            <w:shd w:val="clear" w:color="auto" w:fill="C0C0C0"/>
            <w:vAlign w:val="center"/>
          </w:tcPr>
          <w:p w14:paraId="74E6DBA0" w14:textId="77777777" w:rsidR="00E41E7D" w:rsidRPr="009E1E74" w:rsidRDefault="00E41E7D" w:rsidP="00E41E7D">
            <w:pPr>
              <w:jc w:val="center"/>
              <w:rPr>
                <w:b/>
                <w:noProof/>
              </w:rPr>
            </w:pPr>
            <w:r w:rsidRPr="009E1E74">
              <w:rPr>
                <w:b/>
                <w:noProof/>
                <w:sz w:val="22"/>
              </w:rPr>
              <w:t>IŠ VISO asignavimų</w:t>
            </w:r>
            <w:r w:rsidRPr="009E1E74">
              <w:rPr>
                <w:noProof/>
              </w:rPr>
              <w:t xml:space="preserve"> </w:t>
            </w:r>
            <w:r w:rsidRPr="009E1E74">
              <w:rPr>
                <w:noProof/>
              </w:rPr>
              <w:br/>
            </w:r>
            <w:r w:rsidRPr="009E1E74">
              <w:rPr>
                <w:b/>
                <w:noProof/>
                <w:sz w:val="22"/>
              </w:rPr>
              <w:t xml:space="preserve">pagal </w:t>
            </w:r>
            <w:r w:rsidRPr="009E1E74">
              <w:rPr>
                <w:noProof/>
                <w:sz w:val="22"/>
              </w:rPr>
              <w:t>daugiametės finansinės programos</w:t>
            </w:r>
            <w:r w:rsidRPr="009E1E74">
              <w:rPr>
                <w:noProof/>
              </w:rPr>
              <w:t xml:space="preserve"> </w:t>
            </w:r>
            <w:r w:rsidRPr="009E1E74">
              <w:rPr>
                <w:noProof/>
              </w:rPr>
              <w:br/>
            </w:r>
            <w:r w:rsidRPr="009E1E74">
              <w:rPr>
                <w:b/>
                <w:noProof/>
                <w:sz w:val="22"/>
              </w:rPr>
              <w:t xml:space="preserve">1–7 IŠLAIDŲ KATEGORIJAS </w:t>
            </w:r>
          </w:p>
        </w:tc>
        <w:tc>
          <w:tcPr>
            <w:tcW w:w="1798" w:type="dxa"/>
            <w:gridSpan w:val="2"/>
            <w:vAlign w:val="center"/>
          </w:tcPr>
          <w:p w14:paraId="57848129" w14:textId="77777777" w:rsidR="00E41E7D" w:rsidRPr="009E1E74" w:rsidRDefault="00E41E7D" w:rsidP="00E41E7D">
            <w:pPr>
              <w:rPr>
                <w:noProof/>
                <w:sz w:val="14"/>
              </w:rPr>
            </w:pPr>
            <w:r w:rsidRPr="009E1E74">
              <w:rPr>
                <w:noProof/>
                <w:sz w:val="18"/>
              </w:rPr>
              <w:t>Įsipareigojimai</w:t>
            </w:r>
          </w:p>
        </w:tc>
        <w:tc>
          <w:tcPr>
            <w:tcW w:w="698" w:type="dxa"/>
            <w:vAlign w:val="center"/>
          </w:tcPr>
          <w:p w14:paraId="115BDB70" w14:textId="77777777" w:rsidR="00E41E7D" w:rsidRPr="009E1E74" w:rsidRDefault="00E41E7D" w:rsidP="00E41E7D">
            <w:pPr>
              <w:spacing w:before="60" w:after="60"/>
              <w:jc w:val="right"/>
              <w:rPr>
                <w:noProof/>
                <w:sz w:val="22"/>
                <w:lang w:eastAsia="en-GB"/>
              </w:rPr>
            </w:pPr>
          </w:p>
        </w:tc>
        <w:tc>
          <w:tcPr>
            <w:tcW w:w="1134" w:type="dxa"/>
            <w:vAlign w:val="center"/>
          </w:tcPr>
          <w:p w14:paraId="0BFE0D7D" w14:textId="77777777" w:rsidR="00E41E7D" w:rsidRPr="009E1E74" w:rsidRDefault="00E41E7D" w:rsidP="00E41E7D">
            <w:pPr>
              <w:spacing w:before="60" w:after="60"/>
              <w:jc w:val="right"/>
              <w:rPr>
                <w:noProof/>
                <w:sz w:val="22"/>
                <w:lang w:eastAsia="en-GB"/>
              </w:rPr>
            </w:pPr>
          </w:p>
        </w:tc>
        <w:tc>
          <w:tcPr>
            <w:tcW w:w="708" w:type="dxa"/>
            <w:vAlign w:val="center"/>
          </w:tcPr>
          <w:p w14:paraId="2C5837EC" w14:textId="77777777" w:rsidR="00E41E7D" w:rsidRPr="009E1E74" w:rsidRDefault="00E41E7D" w:rsidP="00E41E7D">
            <w:pPr>
              <w:spacing w:before="60" w:after="60"/>
              <w:jc w:val="right"/>
              <w:rPr>
                <w:noProof/>
                <w:sz w:val="22"/>
                <w:lang w:eastAsia="en-GB"/>
              </w:rPr>
            </w:pPr>
          </w:p>
        </w:tc>
        <w:tc>
          <w:tcPr>
            <w:tcW w:w="1276" w:type="dxa"/>
            <w:vAlign w:val="center"/>
          </w:tcPr>
          <w:p w14:paraId="4F662576" w14:textId="77777777" w:rsidR="00E41E7D" w:rsidRPr="009E1E74" w:rsidRDefault="00E41E7D" w:rsidP="00E41E7D">
            <w:pPr>
              <w:spacing w:before="60" w:after="60"/>
              <w:jc w:val="right"/>
              <w:rPr>
                <w:noProof/>
                <w:sz w:val="22"/>
                <w:lang w:eastAsia="en-GB"/>
              </w:rPr>
            </w:pPr>
          </w:p>
        </w:tc>
        <w:tc>
          <w:tcPr>
            <w:tcW w:w="992" w:type="dxa"/>
            <w:vAlign w:val="center"/>
          </w:tcPr>
          <w:p w14:paraId="1CB7F9B5" w14:textId="77777777" w:rsidR="00E41E7D" w:rsidRPr="009E1E74" w:rsidRDefault="00E41E7D" w:rsidP="00E41E7D">
            <w:pPr>
              <w:spacing w:before="60" w:after="60"/>
              <w:jc w:val="right"/>
              <w:rPr>
                <w:noProof/>
                <w:sz w:val="22"/>
                <w:lang w:eastAsia="en-GB"/>
              </w:rPr>
            </w:pPr>
          </w:p>
        </w:tc>
        <w:tc>
          <w:tcPr>
            <w:tcW w:w="3341" w:type="dxa"/>
            <w:vAlign w:val="center"/>
          </w:tcPr>
          <w:p w14:paraId="58F3666D" w14:textId="77777777" w:rsidR="00E41E7D" w:rsidRPr="009E1E74" w:rsidRDefault="00E41E7D" w:rsidP="00E41E7D">
            <w:pPr>
              <w:spacing w:before="60" w:after="60"/>
              <w:jc w:val="center"/>
              <w:rPr>
                <w:b/>
                <w:noProof/>
                <w:sz w:val="22"/>
              </w:rPr>
            </w:pPr>
            <w:r w:rsidRPr="009E1E74">
              <w:rPr>
                <w:b/>
                <w:noProof/>
                <w:sz w:val="22"/>
              </w:rPr>
              <w:t>0,000</w:t>
            </w:r>
          </w:p>
        </w:tc>
      </w:tr>
      <w:tr w:rsidR="00E41E7D" w:rsidRPr="009E1E74" w14:paraId="0A3A19DF" w14:textId="77777777" w:rsidTr="00E41E7D">
        <w:tc>
          <w:tcPr>
            <w:tcW w:w="3960" w:type="dxa"/>
            <w:vMerge/>
            <w:shd w:val="clear" w:color="auto" w:fill="C0C0C0"/>
          </w:tcPr>
          <w:p w14:paraId="6D098422" w14:textId="77777777" w:rsidR="00E41E7D" w:rsidRPr="009E1E74" w:rsidRDefault="00E41E7D" w:rsidP="00E41E7D">
            <w:pPr>
              <w:rPr>
                <w:noProof/>
                <w:sz w:val="20"/>
                <w:lang w:eastAsia="en-GB"/>
              </w:rPr>
            </w:pPr>
          </w:p>
        </w:tc>
        <w:tc>
          <w:tcPr>
            <w:tcW w:w="1798" w:type="dxa"/>
            <w:gridSpan w:val="2"/>
            <w:vAlign w:val="center"/>
          </w:tcPr>
          <w:p w14:paraId="211EFE78" w14:textId="77777777" w:rsidR="00E41E7D" w:rsidRPr="009E1E74" w:rsidRDefault="00E41E7D" w:rsidP="00E41E7D">
            <w:pPr>
              <w:rPr>
                <w:noProof/>
                <w:sz w:val="14"/>
              </w:rPr>
            </w:pPr>
            <w:r w:rsidRPr="009E1E74">
              <w:rPr>
                <w:noProof/>
                <w:sz w:val="18"/>
              </w:rPr>
              <w:t>Mokėjimai</w:t>
            </w:r>
          </w:p>
        </w:tc>
        <w:tc>
          <w:tcPr>
            <w:tcW w:w="698" w:type="dxa"/>
            <w:vAlign w:val="center"/>
          </w:tcPr>
          <w:p w14:paraId="3D150DA5" w14:textId="77777777" w:rsidR="00E41E7D" w:rsidRPr="009E1E74" w:rsidRDefault="00E41E7D" w:rsidP="00E41E7D">
            <w:pPr>
              <w:spacing w:before="60" w:after="60"/>
              <w:jc w:val="right"/>
              <w:rPr>
                <w:noProof/>
                <w:sz w:val="22"/>
                <w:lang w:eastAsia="en-GB"/>
              </w:rPr>
            </w:pPr>
          </w:p>
        </w:tc>
        <w:tc>
          <w:tcPr>
            <w:tcW w:w="1134" w:type="dxa"/>
            <w:vAlign w:val="center"/>
          </w:tcPr>
          <w:p w14:paraId="6BB95ACA" w14:textId="77777777" w:rsidR="00E41E7D" w:rsidRPr="009E1E74" w:rsidRDefault="004A429E" w:rsidP="00E41E7D">
            <w:pPr>
              <w:spacing w:before="60" w:after="60"/>
              <w:jc w:val="right"/>
              <w:rPr>
                <w:noProof/>
                <w:sz w:val="22"/>
              </w:rPr>
            </w:pPr>
            <w:r w:rsidRPr="009E1E74">
              <w:rPr>
                <w:noProof/>
                <w:sz w:val="22"/>
              </w:rPr>
              <w:t>3 426,000</w:t>
            </w:r>
          </w:p>
        </w:tc>
        <w:tc>
          <w:tcPr>
            <w:tcW w:w="708" w:type="dxa"/>
            <w:vAlign w:val="center"/>
          </w:tcPr>
          <w:p w14:paraId="40DCEE25" w14:textId="77777777" w:rsidR="00E41E7D" w:rsidRPr="009E1E74" w:rsidRDefault="00E41E7D" w:rsidP="00E41E7D">
            <w:pPr>
              <w:spacing w:before="60" w:after="60"/>
              <w:jc w:val="right"/>
              <w:rPr>
                <w:noProof/>
                <w:sz w:val="22"/>
                <w:lang w:eastAsia="en-GB"/>
              </w:rPr>
            </w:pPr>
          </w:p>
        </w:tc>
        <w:tc>
          <w:tcPr>
            <w:tcW w:w="1276" w:type="dxa"/>
            <w:vAlign w:val="center"/>
          </w:tcPr>
          <w:p w14:paraId="76A8D788" w14:textId="77777777" w:rsidR="00E41E7D" w:rsidRPr="009E1E74" w:rsidRDefault="004A429E" w:rsidP="00E41E7D">
            <w:pPr>
              <w:spacing w:before="60" w:after="60"/>
              <w:jc w:val="right"/>
              <w:rPr>
                <w:noProof/>
                <w:sz w:val="22"/>
              </w:rPr>
            </w:pPr>
            <w:r w:rsidRPr="009E1E74">
              <w:rPr>
                <w:noProof/>
                <w:sz w:val="22"/>
              </w:rPr>
              <w:t>-3.426.000 metai</w:t>
            </w:r>
          </w:p>
        </w:tc>
        <w:tc>
          <w:tcPr>
            <w:tcW w:w="992" w:type="dxa"/>
            <w:vAlign w:val="center"/>
          </w:tcPr>
          <w:p w14:paraId="4661714B" w14:textId="77777777" w:rsidR="00E41E7D" w:rsidRPr="009E1E74" w:rsidRDefault="00E41E7D" w:rsidP="00E41E7D">
            <w:pPr>
              <w:spacing w:before="60" w:after="60"/>
              <w:jc w:val="right"/>
              <w:rPr>
                <w:noProof/>
                <w:sz w:val="22"/>
                <w:highlight w:val="yellow"/>
                <w:lang w:eastAsia="en-GB"/>
              </w:rPr>
            </w:pPr>
          </w:p>
        </w:tc>
        <w:tc>
          <w:tcPr>
            <w:tcW w:w="3341" w:type="dxa"/>
            <w:vAlign w:val="center"/>
          </w:tcPr>
          <w:p w14:paraId="234431E0" w14:textId="77777777" w:rsidR="00E41E7D" w:rsidRPr="009E1E74" w:rsidRDefault="00E41E7D" w:rsidP="00E41E7D">
            <w:pPr>
              <w:spacing w:before="60" w:after="60"/>
              <w:jc w:val="center"/>
              <w:rPr>
                <w:b/>
                <w:noProof/>
                <w:sz w:val="22"/>
              </w:rPr>
            </w:pPr>
            <w:r w:rsidRPr="009E1E74">
              <w:rPr>
                <w:b/>
                <w:noProof/>
                <w:sz w:val="22"/>
              </w:rPr>
              <w:t>0,000 </w:t>
            </w:r>
            <w:r w:rsidRPr="009E1E74">
              <w:rPr>
                <w:noProof/>
                <w:sz w:val="22"/>
              </w:rPr>
              <w:t>metai</w:t>
            </w:r>
          </w:p>
        </w:tc>
      </w:tr>
    </w:tbl>
    <w:p w14:paraId="71FF3C07" w14:textId="77777777" w:rsidR="00C87E1E" w:rsidRPr="009E1E74" w:rsidRDefault="00C87E1E" w:rsidP="00C87E1E">
      <w:pPr>
        <w:rPr>
          <w:noProof/>
          <w:lang w:eastAsia="en-GB"/>
        </w:rPr>
      </w:pPr>
    </w:p>
    <w:p w14:paraId="67AEC556" w14:textId="77777777" w:rsidR="00C87E1E" w:rsidRPr="009E1E74" w:rsidRDefault="00C87E1E" w:rsidP="00FB18F4">
      <w:pPr>
        <w:keepNext/>
        <w:outlineLvl w:val="2"/>
        <w:rPr>
          <w:rFonts w:eastAsiaTheme="majorEastAsia"/>
          <w:bCs/>
          <w:i/>
          <w:noProof/>
        </w:rPr>
      </w:pPr>
      <w:bookmarkStart w:id="57" w:name="_Toc514938054"/>
      <w:bookmarkStart w:id="58" w:name="_Toc520485053"/>
      <w:r w:rsidRPr="009E1E74">
        <w:rPr>
          <w:bCs/>
          <w:i/>
          <w:noProof/>
        </w:rPr>
        <w:t>Numatomas veiklos asignavimais finansuojamas atliktas darbas</w:t>
      </w:r>
      <w:bookmarkEnd w:id="57"/>
      <w:bookmarkEnd w:id="58"/>
      <w:r w:rsidRPr="009E1E74">
        <w:rPr>
          <w:bCs/>
          <w:i/>
          <w:noProof/>
        </w:rPr>
        <w:t xml:space="preserve"> </w:t>
      </w:r>
    </w:p>
    <w:p w14:paraId="36D56A8E" w14:textId="77777777" w:rsidR="00C87E1E" w:rsidRPr="009E1E74" w:rsidRDefault="00C87E1E" w:rsidP="00C87E1E">
      <w:pPr>
        <w:tabs>
          <w:tab w:val="num" w:pos="1134"/>
        </w:tabs>
        <w:ind w:left="1134" w:hanging="283"/>
        <w:rPr>
          <w:noProof/>
        </w:rPr>
      </w:pPr>
      <w:r w:rsidRPr="009E1E74">
        <w:rPr>
          <w:noProof/>
        </w:rPr>
        <w:t>Pasiūlymui (iniciatyvai) įgyvendinti veiklos asignavimai naudojami taip:</w:t>
      </w:r>
    </w:p>
    <w:p w14:paraId="34659C28" w14:textId="77777777" w:rsidR="00C87E1E" w:rsidRPr="009E1E74" w:rsidRDefault="00C87E1E" w:rsidP="00FB18F4">
      <w:pPr>
        <w:rPr>
          <w:bCs/>
          <w:noProof/>
          <w:lang w:eastAsia="en-GB"/>
        </w:rPr>
      </w:pPr>
    </w:p>
    <w:p w14:paraId="39248AD1" w14:textId="77777777" w:rsidR="00C87E1E" w:rsidRPr="009E1E74" w:rsidRDefault="00C87E1E" w:rsidP="00C87E1E">
      <w:pPr>
        <w:jc w:val="right"/>
        <w:rPr>
          <w:noProof/>
          <w:sz w:val="20"/>
        </w:rPr>
      </w:pPr>
      <w:r w:rsidRPr="009E1E74">
        <w:rPr>
          <w:noProof/>
          <w:sz w:val="20"/>
        </w:rPr>
        <w:t>Įsipareigojimų asignavimai mln. EUR (tūkstantųjų tikslumu)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C87E1E" w:rsidRPr="009E1E74" w14:paraId="08DD40DD" w14:textId="77777777" w:rsidTr="00C87E1E">
        <w:trPr>
          <w:jc w:val="center"/>
        </w:trPr>
        <w:tc>
          <w:tcPr>
            <w:tcW w:w="1423" w:type="dxa"/>
            <w:vMerge w:val="restart"/>
            <w:vAlign w:val="center"/>
          </w:tcPr>
          <w:p w14:paraId="49EE3710" w14:textId="77777777" w:rsidR="00C87E1E" w:rsidRPr="009E1E74" w:rsidRDefault="00C87E1E" w:rsidP="00C87E1E">
            <w:pPr>
              <w:ind w:right="-29"/>
              <w:jc w:val="center"/>
              <w:rPr>
                <w:b/>
                <w:noProof/>
                <w:sz w:val="18"/>
                <w:szCs w:val="18"/>
              </w:rPr>
            </w:pPr>
            <w:r w:rsidRPr="009E1E74">
              <w:rPr>
                <w:b/>
                <w:noProof/>
                <w:sz w:val="18"/>
              </w:rPr>
              <w:t xml:space="preserve">Nurodyti tikslus ir atliktus darbus </w:t>
            </w:r>
          </w:p>
          <w:p w14:paraId="52C3310F" w14:textId="77777777" w:rsidR="00C87E1E" w:rsidRPr="009E1E74" w:rsidRDefault="00C87E1E" w:rsidP="00C87E1E">
            <w:pPr>
              <w:ind w:right="-29"/>
              <w:jc w:val="center"/>
              <w:rPr>
                <w:b/>
                <w:noProof/>
                <w:sz w:val="18"/>
                <w:szCs w:val="18"/>
                <w:lang w:eastAsia="en-GB"/>
              </w:rPr>
            </w:pPr>
          </w:p>
          <w:p w14:paraId="253DFAE5" w14:textId="77777777" w:rsidR="00C87E1E" w:rsidRPr="009E1E74" w:rsidRDefault="00C87E1E" w:rsidP="00C87E1E">
            <w:pPr>
              <w:ind w:right="-29"/>
              <w:jc w:val="center"/>
              <w:rPr>
                <w:noProof/>
                <w:sz w:val="18"/>
                <w:szCs w:val="18"/>
              </w:rPr>
            </w:pPr>
            <w:r w:rsidRPr="009E1E74">
              <w:rPr>
                <w:noProof/>
                <w:sz w:val="18"/>
              </w:rPr>
              <w:sym w:font="Wingdings" w:char="F0F2"/>
            </w:r>
          </w:p>
        </w:tc>
        <w:tc>
          <w:tcPr>
            <w:tcW w:w="720" w:type="dxa"/>
            <w:vAlign w:val="center"/>
          </w:tcPr>
          <w:p w14:paraId="55CEF2FD" w14:textId="77777777" w:rsidR="00C87E1E" w:rsidRPr="009E1E74" w:rsidRDefault="00C87E1E" w:rsidP="00C87E1E">
            <w:pPr>
              <w:ind w:right="-29"/>
              <w:jc w:val="center"/>
              <w:rPr>
                <w:noProof/>
                <w:sz w:val="18"/>
                <w:szCs w:val="18"/>
                <w:lang w:eastAsia="en-GB"/>
              </w:rPr>
            </w:pPr>
          </w:p>
        </w:tc>
        <w:tc>
          <w:tcPr>
            <w:tcW w:w="701" w:type="dxa"/>
            <w:vAlign w:val="center"/>
          </w:tcPr>
          <w:p w14:paraId="7F4CBEE7" w14:textId="77777777" w:rsidR="00C87E1E" w:rsidRPr="009E1E74" w:rsidRDefault="00C87E1E" w:rsidP="00C87E1E">
            <w:pPr>
              <w:ind w:right="-29"/>
              <w:jc w:val="center"/>
              <w:rPr>
                <w:noProof/>
                <w:sz w:val="18"/>
                <w:szCs w:val="18"/>
                <w:lang w:eastAsia="en-GB"/>
              </w:rPr>
            </w:pPr>
          </w:p>
        </w:tc>
        <w:tc>
          <w:tcPr>
            <w:tcW w:w="1224" w:type="dxa"/>
            <w:gridSpan w:val="2"/>
            <w:tcBorders>
              <w:left w:val="nil"/>
            </w:tcBorders>
            <w:vAlign w:val="center"/>
          </w:tcPr>
          <w:p w14:paraId="3E44B2CF" w14:textId="77777777" w:rsidR="00C87E1E" w:rsidRPr="009E1E74" w:rsidRDefault="00C87E1E" w:rsidP="00C87E1E">
            <w:pPr>
              <w:ind w:right="-29"/>
              <w:jc w:val="center"/>
              <w:rPr>
                <w:noProof/>
                <w:sz w:val="18"/>
                <w:szCs w:val="18"/>
              </w:rPr>
            </w:pPr>
            <w:r w:rsidRPr="009E1E74">
              <w:rPr>
                <w:b/>
                <w:noProof/>
                <w:sz w:val="18"/>
              </w:rPr>
              <w:t>N</w:t>
            </w:r>
            <w:r w:rsidRPr="009E1E74">
              <w:rPr>
                <w:noProof/>
              </w:rPr>
              <w:t xml:space="preserve"> </w:t>
            </w:r>
            <w:r w:rsidRPr="009E1E74">
              <w:rPr>
                <w:noProof/>
              </w:rPr>
              <w:br/>
            </w:r>
            <w:r w:rsidRPr="009E1E74">
              <w:rPr>
                <w:noProof/>
                <w:sz w:val="18"/>
              </w:rPr>
              <w:t>metai</w:t>
            </w:r>
          </w:p>
        </w:tc>
        <w:tc>
          <w:tcPr>
            <w:tcW w:w="1260" w:type="dxa"/>
            <w:gridSpan w:val="2"/>
            <w:vAlign w:val="center"/>
          </w:tcPr>
          <w:p w14:paraId="6C8C71A9" w14:textId="77777777" w:rsidR="00C87E1E" w:rsidRPr="009E1E74" w:rsidRDefault="00C87E1E" w:rsidP="00C87E1E">
            <w:pPr>
              <w:ind w:right="-29"/>
              <w:jc w:val="center"/>
              <w:rPr>
                <w:noProof/>
                <w:sz w:val="18"/>
                <w:szCs w:val="18"/>
              </w:rPr>
            </w:pPr>
            <w:r w:rsidRPr="009E1E74">
              <w:rPr>
                <w:b/>
                <w:noProof/>
                <w:sz w:val="18"/>
              </w:rPr>
              <w:t>N + 1</w:t>
            </w:r>
            <w:r w:rsidRPr="009E1E74">
              <w:rPr>
                <w:noProof/>
              </w:rPr>
              <w:t xml:space="preserve"> </w:t>
            </w:r>
            <w:r w:rsidRPr="009E1E74">
              <w:rPr>
                <w:noProof/>
              </w:rPr>
              <w:br/>
            </w:r>
            <w:r w:rsidRPr="009E1E74">
              <w:rPr>
                <w:noProof/>
                <w:sz w:val="18"/>
              </w:rPr>
              <w:t>metai</w:t>
            </w:r>
          </w:p>
        </w:tc>
        <w:tc>
          <w:tcPr>
            <w:tcW w:w="1440" w:type="dxa"/>
            <w:gridSpan w:val="2"/>
            <w:vAlign w:val="center"/>
          </w:tcPr>
          <w:p w14:paraId="62F13EA7" w14:textId="77777777" w:rsidR="00C87E1E" w:rsidRPr="009E1E74" w:rsidRDefault="00C87E1E" w:rsidP="00C87E1E">
            <w:pPr>
              <w:ind w:right="-29"/>
              <w:jc w:val="center"/>
              <w:rPr>
                <w:noProof/>
                <w:sz w:val="18"/>
                <w:szCs w:val="18"/>
              </w:rPr>
            </w:pPr>
            <w:r w:rsidRPr="009E1E74">
              <w:rPr>
                <w:b/>
                <w:noProof/>
                <w:sz w:val="18"/>
              </w:rPr>
              <w:t>N + 2</w:t>
            </w:r>
            <w:r w:rsidRPr="009E1E74">
              <w:rPr>
                <w:noProof/>
              </w:rPr>
              <w:t xml:space="preserve"> </w:t>
            </w:r>
            <w:r w:rsidRPr="009E1E74">
              <w:rPr>
                <w:noProof/>
              </w:rPr>
              <w:br/>
            </w:r>
            <w:r w:rsidRPr="009E1E74">
              <w:rPr>
                <w:noProof/>
                <w:sz w:val="18"/>
              </w:rPr>
              <w:t>metai</w:t>
            </w:r>
          </w:p>
        </w:tc>
        <w:tc>
          <w:tcPr>
            <w:tcW w:w="1620" w:type="dxa"/>
            <w:gridSpan w:val="3"/>
            <w:vAlign w:val="center"/>
          </w:tcPr>
          <w:p w14:paraId="5BFD79FD" w14:textId="77777777" w:rsidR="00C87E1E" w:rsidRPr="009E1E74" w:rsidRDefault="00C87E1E" w:rsidP="00C87E1E">
            <w:pPr>
              <w:ind w:right="-29"/>
              <w:jc w:val="center"/>
              <w:rPr>
                <w:noProof/>
                <w:sz w:val="18"/>
                <w:szCs w:val="18"/>
              </w:rPr>
            </w:pPr>
            <w:r w:rsidRPr="009E1E74">
              <w:rPr>
                <w:b/>
                <w:noProof/>
                <w:sz w:val="18"/>
              </w:rPr>
              <w:t>N + 3</w:t>
            </w:r>
            <w:r w:rsidRPr="009E1E74">
              <w:rPr>
                <w:noProof/>
              </w:rPr>
              <w:t xml:space="preserve"> </w:t>
            </w:r>
            <w:r w:rsidRPr="009E1E74">
              <w:rPr>
                <w:noProof/>
              </w:rPr>
              <w:br/>
            </w:r>
            <w:r w:rsidRPr="009E1E74">
              <w:rPr>
                <w:noProof/>
                <w:sz w:val="18"/>
              </w:rPr>
              <w:t>metai</w:t>
            </w:r>
          </w:p>
        </w:tc>
        <w:tc>
          <w:tcPr>
            <w:tcW w:w="3600" w:type="dxa"/>
            <w:gridSpan w:val="6"/>
            <w:vAlign w:val="center"/>
          </w:tcPr>
          <w:p w14:paraId="263DB947" w14:textId="77777777" w:rsidR="00C87E1E" w:rsidRPr="009E1E74" w:rsidRDefault="00C87E1E" w:rsidP="00C87E1E">
            <w:pPr>
              <w:jc w:val="center"/>
              <w:rPr>
                <w:noProof/>
                <w:sz w:val="18"/>
                <w:szCs w:val="18"/>
              </w:rPr>
            </w:pPr>
            <w:r w:rsidRPr="009E1E74">
              <w:rPr>
                <w:noProof/>
                <w:sz w:val="18"/>
              </w:rPr>
              <w:t>Atsižvelgiant į poveikio trukmę įterpti reikiamą metų skaičių (žr. 1.6 punktą)</w:t>
            </w:r>
          </w:p>
        </w:tc>
        <w:tc>
          <w:tcPr>
            <w:tcW w:w="1620" w:type="dxa"/>
            <w:gridSpan w:val="2"/>
            <w:tcBorders>
              <w:left w:val="nil"/>
              <w:bottom w:val="nil"/>
            </w:tcBorders>
            <w:vAlign w:val="center"/>
          </w:tcPr>
          <w:p w14:paraId="28F98E85" w14:textId="77777777" w:rsidR="00C87E1E" w:rsidRPr="009E1E74" w:rsidRDefault="00C87E1E" w:rsidP="00C87E1E">
            <w:pPr>
              <w:ind w:right="-29"/>
              <w:jc w:val="center"/>
              <w:rPr>
                <w:noProof/>
                <w:sz w:val="18"/>
                <w:szCs w:val="18"/>
              </w:rPr>
            </w:pPr>
            <w:r w:rsidRPr="009E1E74">
              <w:rPr>
                <w:b/>
                <w:noProof/>
                <w:sz w:val="18"/>
              </w:rPr>
              <w:t>IŠ VISO</w:t>
            </w:r>
          </w:p>
        </w:tc>
      </w:tr>
      <w:tr w:rsidR="00C87E1E" w:rsidRPr="009E1E74" w14:paraId="6578D319" w14:textId="77777777" w:rsidTr="00C87E1E">
        <w:trPr>
          <w:jc w:val="center"/>
        </w:trPr>
        <w:tc>
          <w:tcPr>
            <w:tcW w:w="1423" w:type="dxa"/>
            <w:vMerge/>
            <w:vAlign w:val="center"/>
          </w:tcPr>
          <w:p w14:paraId="2B0E08C5" w14:textId="77777777" w:rsidR="00C87E1E" w:rsidRPr="009E1E74" w:rsidRDefault="00C87E1E" w:rsidP="00C87E1E">
            <w:pPr>
              <w:ind w:right="-29"/>
              <w:jc w:val="center"/>
              <w:rPr>
                <w:noProof/>
                <w:sz w:val="18"/>
                <w:szCs w:val="18"/>
                <w:lang w:eastAsia="en-GB"/>
              </w:rPr>
            </w:pPr>
          </w:p>
        </w:tc>
        <w:tc>
          <w:tcPr>
            <w:tcW w:w="12185" w:type="dxa"/>
            <w:gridSpan w:val="19"/>
            <w:vAlign w:val="center"/>
          </w:tcPr>
          <w:p w14:paraId="54734708" w14:textId="77777777" w:rsidR="00C87E1E" w:rsidRPr="009E1E74" w:rsidRDefault="00C87E1E" w:rsidP="00C87E1E">
            <w:pPr>
              <w:spacing w:before="60" w:after="60"/>
              <w:ind w:right="-29"/>
              <w:jc w:val="center"/>
              <w:rPr>
                <w:noProof/>
                <w:sz w:val="18"/>
                <w:szCs w:val="18"/>
              </w:rPr>
            </w:pPr>
            <w:r w:rsidRPr="009E1E74">
              <w:rPr>
                <w:b/>
                <w:noProof/>
                <w:sz w:val="18"/>
              </w:rPr>
              <w:t>ATLIKTI DARBAI</w:t>
            </w:r>
          </w:p>
        </w:tc>
      </w:tr>
      <w:tr w:rsidR="00C87E1E" w:rsidRPr="009E1E74" w14:paraId="60E84B4D" w14:textId="77777777" w:rsidTr="00C87E1E">
        <w:trPr>
          <w:cantSplit/>
          <w:trHeight w:val="1134"/>
          <w:jc w:val="center"/>
        </w:trPr>
        <w:tc>
          <w:tcPr>
            <w:tcW w:w="1423" w:type="dxa"/>
            <w:vMerge/>
            <w:vAlign w:val="center"/>
          </w:tcPr>
          <w:p w14:paraId="67475413" w14:textId="77777777" w:rsidR="00C87E1E" w:rsidRPr="009E1E74" w:rsidRDefault="00C87E1E" w:rsidP="00C87E1E">
            <w:pPr>
              <w:rPr>
                <w:noProof/>
                <w:sz w:val="18"/>
                <w:szCs w:val="18"/>
                <w:lang w:eastAsia="en-GB"/>
              </w:rPr>
            </w:pPr>
          </w:p>
        </w:tc>
        <w:tc>
          <w:tcPr>
            <w:tcW w:w="720" w:type="dxa"/>
            <w:vAlign w:val="center"/>
          </w:tcPr>
          <w:p w14:paraId="36714F9E" w14:textId="77777777" w:rsidR="00C87E1E" w:rsidRPr="009E1E74" w:rsidRDefault="00C87E1E" w:rsidP="00C87E1E">
            <w:pPr>
              <w:jc w:val="center"/>
              <w:rPr>
                <w:noProof/>
                <w:sz w:val="18"/>
                <w:szCs w:val="18"/>
              </w:rPr>
            </w:pPr>
            <w:r w:rsidRPr="009E1E74">
              <w:rPr>
                <w:noProof/>
                <w:sz w:val="18"/>
              </w:rPr>
              <w:t>Rūšis</w:t>
            </w:r>
            <w:r w:rsidRPr="009E1E74">
              <w:rPr>
                <w:rStyle w:val="FootnoteReference"/>
                <w:noProof/>
              </w:rPr>
              <w:footnoteReference w:id="12"/>
            </w:r>
          </w:p>
          <w:p w14:paraId="34083DC3" w14:textId="77777777" w:rsidR="00C87E1E" w:rsidRPr="009E1E74" w:rsidRDefault="00C87E1E" w:rsidP="00C87E1E">
            <w:pPr>
              <w:spacing w:before="0" w:after="0"/>
              <w:jc w:val="center"/>
              <w:rPr>
                <w:noProof/>
                <w:sz w:val="18"/>
                <w:szCs w:val="18"/>
                <w:lang w:eastAsia="en-GB"/>
              </w:rPr>
            </w:pPr>
          </w:p>
        </w:tc>
        <w:tc>
          <w:tcPr>
            <w:tcW w:w="701" w:type="dxa"/>
            <w:vAlign w:val="center"/>
          </w:tcPr>
          <w:p w14:paraId="3B3621C1" w14:textId="77777777" w:rsidR="00C87E1E" w:rsidRPr="009E1E74" w:rsidRDefault="00C87E1E" w:rsidP="00C87E1E">
            <w:pPr>
              <w:jc w:val="center"/>
              <w:rPr>
                <w:noProof/>
                <w:sz w:val="18"/>
                <w:szCs w:val="18"/>
              </w:rPr>
            </w:pPr>
            <w:r w:rsidRPr="009E1E74">
              <w:rPr>
                <w:noProof/>
                <w:sz w:val="18"/>
              </w:rPr>
              <w:t>Vidutinės sąnaudos</w:t>
            </w:r>
          </w:p>
        </w:tc>
        <w:tc>
          <w:tcPr>
            <w:tcW w:w="504" w:type="dxa"/>
            <w:tcBorders>
              <w:left w:val="nil"/>
              <w:right w:val="dashSmallGap" w:sz="4" w:space="0" w:color="auto"/>
            </w:tcBorders>
            <w:shd w:val="pct10" w:color="auto" w:fill="auto"/>
            <w:textDirection w:val="btLr"/>
            <w:vAlign w:val="center"/>
          </w:tcPr>
          <w:p w14:paraId="26B9C0A2" w14:textId="77777777" w:rsidR="00C87E1E" w:rsidRPr="009E1E74" w:rsidRDefault="00C87E1E" w:rsidP="00C87E1E">
            <w:pPr>
              <w:ind w:left="113" w:right="113"/>
              <w:jc w:val="center"/>
              <w:rPr>
                <w:noProof/>
                <w:sz w:val="18"/>
                <w:szCs w:val="18"/>
              </w:rPr>
            </w:pPr>
            <w:r w:rsidRPr="009E1E74">
              <w:rPr>
                <w:noProof/>
                <w:sz w:val="18"/>
              </w:rPr>
              <w:t>Skaičius</w:t>
            </w:r>
          </w:p>
        </w:tc>
        <w:tc>
          <w:tcPr>
            <w:tcW w:w="720" w:type="dxa"/>
            <w:tcBorders>
              <w:left w:val="dashSmallGap" w:sz="4" w:space="0" w:color="auto"/>
            </w:tcBorders>
            <w:shd w:val="pct10" w:color="auto" w:fill="auto"/>
            <w:vAlign w:val="center"/>
          </w:tcPr>
          <w:p w14:paraId="3F1FC052" w14:textId="77777777" w:rsidR="00C87E1E" w:rsidRPr="009E1E74" w:rsidRDefault="00C87E1E" w:rsidP="00C87E1E">
            <w:pPr>
              <w:jc w:val="center"/>
              <w:rPr>
                <w:noProof/>
                <w:sz w:val="18"/>
                <w:szCs w:val="18"/>
              </w:rPr>
            </w:pPr>
            <w:r w:rsidRPr="009E1E74">
              <w:rPr>
                <w:noProof/>
                <w:sz w:val="18"/>
              </w:rPr>
              <w:t>Sąnaudos</w:t>
            </w:r>
          </w:p>
        </w:tc>
        <w:tc>
          <w:tcPr>
            <w:tcW w:w="540" w:type="dxa"/>
            <w:tcBorders>
              <w:right w:val="dashSmallGap" w:sz="4" w:space="0" w:color="auto"/>
            </w:tcBorders>
            <w:shd w:val="pct10" w:color="auto" w:fill="auto"/>
            <w:textDirection w:val="btLr"/>
            <w:vAlign w:val="center"/>
          </w:tcPr>
          <w:p w14:paraId="4021EFD7" w14:textId="77777777" w:rsidR="00C87E1E" w:rsidRPr="009E1E74" w:rsidRDefault="00C87E1E" w:rsidP="00C87E1E">
            <w:pPr>
              <w:ind w:left="113" w:right="113"/>
              <w:jc w:val="center"/>
              <w:rPr>
                <w:noProof/>
                <w:sz w:val="18"/>
                <w:szCs w:val="18"/>
              </w:rPr>
            </w:pPr>
            <w:r w:rsidRPr="009E1E74">
              <w:rPr>
                <w:noProof/>
                <w:sz w:val="18"/>
              </w:rPr>
              <w:t>Skaičius</w:t>
            </w:r>
          </w:p>
        </w:tc>
        <w:tc>
          <w:tcPr>
            <w:tcW w:w="720" w:type="dxa"/>
            <w:tcBorders>
              <w:left w:val="dashSmallGap" w:sz="4" w:space="0" w:color="auto"/>
            </w:tcBorders>
            <w:shd w:val="pct10" w:color="auto" w:fill="auto"/>
            <w:vAlign w:val="center"/>
          </w:tcPr>
          <w:p w14:paraId="70FAF414" w14:textId="77777777" w:rsidR="00C87E1E" w:rsidRPr="009E1E74" w:rsidRDefault="00C87E1E" w:rsidP="00C87E1E">
            <w:pPr>
              <w:jc w:val="center"/>
              <w:rPr>
                <w:noProof/>
                <w:sz w:val="18"/>
                <w:szCs w:val="18"/>
              </w:rPr>
            </w:pPr>
            <w:r w:rsidRPr="009E1E74">
              <w:rPr>
                <w:noProof/>
                <w:sz w:val="18"/>
              </w:rPr>
              <w:t>Sąnaudos</w:t>
            </w:r>
          </w:p>
        </w:tc>
        <w:tc>
          <w:tcPr>
            <w:tcW w:w="720" w:type="dxa"/>
            <w:tcBorders>
              <w:right w:val="dashSmallGap" w:sz="4" w:space="0" w:color="auto"/>
            </w:tcBorders>
            <w:shd w:val="pct10" w:color="auto" w:fill="auto"/>
            <w:textDirection w:val="btLr"/>
            <w:vAlign w:val="center"/>
          </w:tcPr>
          <w:p w14:paraId="66728F76" w14:textId="77777777" w:rsidR="00C87E1E" w:rsidRPr="009E1E74" w:rsidRDefault="00C87E1E" w:rsidP="00C87E1E">
            <w:pPr>
              <w:ind w:left="113" w:right="113"/>
              <w:jc w:val="center"/>
              <w:rPr>
                <w:noProof/>
                <w:sz w:val="18"/>
                <w:szCs w:val="18"/>
              </w:rPr>
            </w:pPr>
            <w:r w:rsidRPr="009E1E74">
              <w:rPr>
                <w:noProof/>
                <w:sz w:val="18"/>
              </w:rPr>
              <w:t>Skaičius</w:t>
            </w:r>
          </w:p>
        </w:tc>
        <w:tc>
          <w:tcPr>
            <w:tcW w:w="720" w:type="dxa"/>
            <w:tcBorders>
              <w:left w:val="dashSmallGap" w:sz="4" w:space="0" w:color="auto"/>
            </w:tcBorders>
            <w:shd w:val="pct10" w:color="auto" w:fill="auto"/>
            <w:vAlign w:val="center"/>
          </w:tcPr>
          <w:p w14:paraId="53F686CB" w14:textId="77777777" w:rsidR="00C87E1E" w:rsidRPr="009E1E74" w:rsidRDefault="00C87E1E" w:rsidP="00C87E1E">
            <w:pPr>
              <w:jc w:val="center"/>
              <w:rPr>
                <w:noProof/>
                <w:sz w:val="18"/>
                <w:szCs w:val="18"/>
              </w:rPr>
            </w:pPr>
            <w:r w:rsidRPr="009E1E74">
              <w:rPr>
                <w:noProof/>
                <w:sz w:val="18"/>
              </w:rPr>
              <w:t>Sąnaudos</w:t>
            </w:r>
          </w:p>
        </w:tc>
        <w:tc>
          <w:tcPr>
            <w:tcW w:w="900" w:type="dxa"/>
            <w:tcBorders>
              <w:right w:val="dashSmallGap" w:sz="4" w:space="0" w:color="auto"/>
            </w:tcBorders>
            <w:shd w:val="pct10" w:color="auto" w:fill="auto"/>
            <w:textDirection w:val="btLr"/>
            <w:vAlign w:val="center"/>
          </w:tcPr>
          <w:p w14:paraId="339E0D49" w14:textId="77777777" w:rsidR="00C87E1E" w:rsidRPr="009E1E74" w:rsidRDefault="00C87E1E" w:rsidP="00C87E1E">
            <w:pPr>
              <w:ind w:left="113" w:right="113"/>
              <w:jc w:val="center"/>
              <w:rPr>
                <w:noProof/>
                <w:sz w:val="18"/>
                <w:szCs w:val="18"/>
              </w:rPr>
            </w:pPr>
            <w:r w:rsidRPr="009E1E74">
              <w:rPr>
                <w:noProof/>
                <w:sz w:val="18"/>
              </w:rPr>
              <w:t>Skaičius</w:t>
            </w:r>
          </w:p>
        </w:tc>
        <w:tc>
          <w:tcPr>
            <w:tcW w:w="720" w:type="dxa"/>
            <w:gridSpan w:val="2"/>
            <w:tcBorders>
              <w:left w:val="dashSmallGap" w:sz="4" w:space="0" w:color="auto"/>
            </w:tcBorders>
            <w:shd w:val="pct10" w:color="auto" w:fill="auto"/>
            <w:vAlign w:val="center"/>
          </w:tcPr>
          <w:p w14:paraId="517086CE" w14:textId="77777777" w:rsidR="00C87E1E" w:rsidRPr="009E1E74" w:rsidRDefault="00C87E1E" w:rsidP="00C87E1E">
            <w:pPr>
              <w:jc w:val="center"/>
              <w:rPr>
                <w:noProof/>
                <w:sz w:val="18"/>
                <w:szCs w:val="18"/>
              </w:rPr>
            </w:pPr>
            <w:r w:rsidRPr="009E1E74">
              <w:rPr>
                <w:noProof/>
                <w:sz w:val="18"/>
              </w:rPr>
              <w:t>Sąnaudos</w:t>
            </w:r>
          </w:p>
        </w:tc>
        <w:tc>
          <w:tcPr>
            <w:tcW w:w="540" w:type="dxa"/>
            <w:tcBorders>
              <w:right w:val="dashSmallGap" w:sz="4" w:space="0" w:color="auto"/>
            </w:tcBorders>
            <w:shd w:val="pct10" w:color="auto" w:fill="auto"/>
            <w:textDirection w:val="btLr"/>
            <w:vAlign w:val="center"/>
          </w:tcPr>
          <w:p w14:paraId="64F06C25" w14:textId="77777777" w:rsidR="00C87E1E" w:rsidRPr="009E1E74" w:rsidRDefault="00C87E1E" w:rsidP="00C87E1E">
            <w:pPr>
              <w:ind w:left="113" w:right="113"/>
              <w:jc w:val="center"/>
              <w:rPr>
                <w:noProof/>
                <w:sz w:val="18"/>
                <w:szCs w:val="18"/>
              </w:rPr>
            </w:pPr>
            <w:r w:rsidRPr="009E1E74">
              <w:rPr>
                <w:noProof/>
                <w:sz w:val="18"/>
              </w:rPr>
              <w:t>Skaičius</w:t>
            </w:r>
          </w:p>
        </w:tc>
        <w:tc>
          <w:tcPr>
            <w:tcW w:w="648" w:type="dxa"/>
            <w:tcBorders>
              <w:left w:val="dashSmallGap" w:sz="4" w:space="0" w:color="auto"/>
            </w:tcBorders>
            <w:shd w:val="pct10" w:color="auto" w:fill="auto"/>
            <w:vAlign w:val="center"/>
          </w:tcPr>
          <w:p w14:paraId="7671A313" w14:textId="77777777" w:rsidR="00C87E1E" w:rsidRPr="009E1E74" w:rsidRDefault="00C87E1E" w:rsidP="00C87E1E">
            <w:pPr>
              <w:jc w:val="center"/>
              <w:rPr>
                <w:noProof/>
                <w:sz w:val="18"/>
                <w:szCs w:val="18"/>
              </w:rPr>
            </w:pPr>
            <w:r w:rsidRPr="009E1E74">
              <w:rPr>
                <w:noProof/>
                <w:sz w:val="18"/>
              </w:rPr>
              <w:t>Sąnaudos</w:t>
            </w:r>
          </w:p>
        </w:tc>
        <w:tc>
          <w:tcPr>
            <w:tcW w:w="432" w:type="dxa"/>
            <w:tcBorders>
              <w:right w:val="dashSmallGap" w:sz="4" w:space="0" w:color="auto"/>
            </w:tcBorders>
            <w:shd w:val="pct10" w:color="auto" w:fill="auto"/>
            <w:textDirection w:val="btLr"/>
            <w:vAlign w:val="center"/>
          </w:tcPr>
          <w:p w14:paraId="008A15BA" w14:textId="77777777" w:rsidR="00C87E1E" w:rsidRPr="009E1E74" w:rsidRDefault="00C87E1E" w:rsidP="00C87E1E">
            <w:pPr>
              <w:ind w:left="113" w:right="113"/>
              <w:jc w:val="center"/>
              <w:rPr>
                <w:noProof/>
                <w:sz w:val="18"/>
                <w:szCs w:val="18"/>
              </w:rPr>
            </w:pPr>
            <w:r w:rsidRPr="009E1E74">
              <w:rPr>
                <w:noProof/>
                <w:sz w:val="18"/>
              </w:rPr>
              <w:t>Skaičius</w:t>
            </w:r>
          </w:p>
        </w:tc>
        <w:tc>
          <w:tcPr>
            <w:tcW w:w="720" w:type="dxa"/>
            <w:tcBorders>
              <w:left w:val="dashSmallGap" w:sz="4" w:space="0" w:color="auto"/>
            </w:tcBorders>
            <w:shd w:val="pct10" w:color="auto" w:fill="auto"/>
            <w:vAlign w:val="center"/>
          </w:tcPr>
          <w:p w14:paraId="4C7043EE" w14:textId="77777777" w:rsidR="00C87E1E" w:rsidRPr="009E1E74" w:rsidRDefault="00C87E1E" w:rsidP="00C87E1E">
            <w:pPr>
              <w:jc w:val="center"/>
              <w:rPr>
                <w:noProof/>
                <w:sz w:val="18"/>
                <w:szCs w:val="18"/>
              </w:rPr>
            </w:pPr>
            <w:r w:rsidRPr="009E1E74">
              <w:rPr>
                <w:noProof/>
                <w:sz w:val="18"/>
              </w:rPr>
              <w:t>Sąnaudos</w:t>
            </w:r>
          </w:p>
        </w:tc>
        <w:tc>
          <w:tcPr>
            <w:tcW w:w="540" w:type="dxa"/>
            <w:tcBorders>
              <w:right w:val="dashSmallGap" w:sz="4" w:space="0" w:color="auto"/>
            </w:tcBorders>
            <w:shd w:val="pct10" w:color="auto" w:fill="auto"/>
            <w:textDirection w:val="btLr"/>
            <w:vAlign w:val="center"/>
          </w:tcPr>
          <w:p w14:paraId="09EAE69E" w14:textId="77777777" w:rsidR="00C87E1E" w:rsidRPr="009E1E74" w:rsidRDefault="00C87E1E" w:rsidP="00C87E1E">
            <w:pPr>
              <w:ind w:left="113" w:right="113"/>
              <w:jc w:val="center"/>
              <w:rPr>
                <w:noProof/>
                <w:sz w:val="18"/>
                <w:szCs w:val="18"/>
              </w:rPr>
            </w:pPr>
            <w:r w:rsidRPr="009E1E74">
              <w:rPr>
                <w:noProof/>
                <w:sz w:val="18"/>
              </w:rPr>
              <w:t>Skaičius</w:t>
            </w:r>
          </w:p>
        </w:tc>
        <w:tc>
          <w:tcPr>
            <w:tcW w:w="720" w:type="dxa"/>
            <w:tcBorders>
              <w:left w:val="dashSmallGap" w:sz="4" w:space="0" w:color="auto"/>
            </w:tcBorders>
            <w:shd w:val="pct10" w:color="auto" w:fill="auto"/>
            <w:vAlign w:val="center"/>
          </w:tcPr>
          <w:p w14:paraId="139E0295" w14:textId="77777777" w:rsidR="00C87E1E" w:rsidRPr="009E1E74" w:rsidRDefault="00C87E1E" w:rsidP="00C87E1E">
            <w:pPr>
              <w:jc w:val="center"/>
              <w:rPr>
                <w:noProof/>
                <w:sz w:val="18"/>
                <w:szCs w:val="18"/>
              </w:rPr>
            </w:pPr>
            <w:r w:rsidRPr="009E1E74">
              <w:rPr>
                <w:noProof/>
                <w:sz w:val="18"/>
              </w:rPr>
              <w:t>Sąnaudos</w:t>
            </w:r>
          </w:p>
        </w:tc>
        <w:tc>
          <w:tcPr>
            <w:tcW w:w="720" w:type="dxa"/>
            <w:tcBorders>
              <w:right w:val="dashSmallGap" w:sz="4" w:space="0" w:color="auto"/>
            </w:tcBorders>
            <w:shd w:val="pct10" w:color="auto" w:fill="auto"/>
            <w:vAlign w:val="center"/>
          </w:tcPr>
          <w:p w14:paraId="2FD5D709" w14:textId="77777777" w:rsidR="00C87E1E" w:rsidRPr="009E1E74" w:rsidRDefault="00C87E1E" w:rsidP="00C87E1E">
            <w:pPr>
              <w:jc w:val="center"/>
              <w:rPr>
                <w:noProof/>
                <w:sz w:val="18"/>
                <w:szCs w:val="18"/>
              </w:rPr>
            </w:pPr>
            <w:r w:rsidRPr="009E1E74">
              <w:rPr>
                <w:noProof/>
                <w:sz w:val="18"/>
              </w:rPr>
              <w:t>Bendras skaičius</w:t>
            </w:r>
          </w:p>
        </w:tc>
        <w:tc>
          <w:tcPr>
            <w:tcW w:w="900" w:type="dxa"/>
            <w:tcBorders>
              <w:left w:val="dashSmallGap" w:sz="4" w:space="0" w:color="auto"/>
            </w:tcBorders>
            <w:shd w:val="pct10" w:color="auto" w:fill="auto"/>
            <w:vAlign w:val="center"/>
          </w:tcPr>
          <w:p w14:paraId="39A743FE" w14:textId="77777777" w:rsidR="00C87E1E" w:rsidRPr="009E1E74" w:rsidRDefault="00C87E1E" w:rsidP="00C87E1E">
            <w:pPr>
              <w:jc w:val="center"/>
              <w:rPr>
                <w:noProof/>
                <w:sz w:val="18"/>
                <w:szCs w:val="18"/>
              </w:rPr>
            </w:pPr>
            <w:r w:rsidRPr="009E1E74">
              <w:rPr>
                <w:noProof/>
                <w:sz w:val="18"/>
              </w:rPr>
              <w:t>Iš viso sąnaudų</w:t>
            </w:r>
          </w:p>
        </w:tc>
      </w:tr>
      <w:tr w:rsidR="00C87E1E" w:rsidRPr="009E1E74" w14:paraId="2D0F2FF5" w14:textId="77777777" w:rsidTr="00C87E1E">
        <w:trPr>
          <w:jc w:val="center"/>
        </w:trPr>
        <w:tc>
          <w:tcPr>
            <w:tcW w:w="2844" w:type="dxa"/>
            <w:gridSpan w:val="3"/>
            <w:vAlign w:val="center"/>
          </w:tcPr>
          <w:p w14:paraId="4A9DB59E" w14:textId="77777777" w:rsidR="00C87E1E" w:rsidRPr="009E1E74" w:rsidRDefault="00C87E1E" w:rsidP="00C87E1E">
            <w:pPr>
              <w:spacing w:before="60" w:after="60"/>
              <w:ind w:right="-29"/>
              <w:jc w:val="center"/>
              <w:rPr>
                <w:noProof/>
                <w:sz w:val="18"/>
                <w:szCs w:val="18"/>
              </w:rPr>
            </w:pPr>
            <w:r w:rsidRPr="009E1E74">
              <w:rPr>
                <w:noProof/>
                <w:sz w:val="18"/>
              </w:rPr>
              <w:t>1 KONKRETUS TIKSLAS</w:t>
            </w:r>
            <w:r w:rsidRPr="009E1E74">
              <w:rPr>
                <w:rStyle w:val="FootnoteReference"/>
                <w:noProof/>
              </w:rPr>
              <w:footnoteReference w:id="13"/>
            </w:r>
            <w:r w:rsidRPr="009E1E74">
              <w:rPr>
                <w:noProof/>
              </w:rPr>
              <w:t xml:space="preserve"> </w:t>
            </w:r>
            <w:r w:rsidRPr="009E1E74">
              <w:rPr>
                <w:noProof/>
                <w:sz w:val="18"/>
              </w:rPr>
              <w:t>...</w:t>
            </w:r>
          </w:p>
        </w:tc>
        <w:tc>
          <w:tcPr>
            <w:tcW w:w="504" w:type="dxa"/>
            <w:tcBorders>
              <w:top w:val="nil"/>
              <w:left w:val="nil"/>
              <w:bottom w:val="nil"/>
              <w:right w:val="nil"/>
            </w:tcBorders>
          </w:tcPr>
          <w:p w14:paraId="1F4D56C7"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7506C4BD" w14:textId="77777777" w:rsidR="00C87E1E" w:rsidRPr="009E1E74" w:rsidRDefault="00C87E1E" w:rsidP="00C87E1E">
            <w:pPr>
              <w:spacing w:before="60" w:after="60"/>
              <w:ind w:right="-29"/>
              <w:jc w:val="center"/>
              <w:rPr>
                <w:noProof/>
                <w:sz w:val="18"/>
                <w:szCs w:val="18"/>
                <w:lang w:eastAsia="en-GB"/>
              </w:rPr>
            </w:pPr>
          </w:p>
        </w:tc>
        <w:tc>
          <w:tcPr>
            <w:tcW w:w="540" w:type="dxa"/>
            <w:tcBorders>
              <w:top w:val="nil"/>
              <w:left w:val="nil"/>
              <w:bottom w:val="nil"/>
              <w:right w:val="nil"/>
            </w:tcBorders>
          </w:tcPr>
          <w:p w14:paraId="1FB68C8F"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393B1434"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2A82E8F5"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7B2FBF37" w14:textId="77777777" w:rsidR="00C87E1E" w:rsidRPr="009E1E74" w:rsidRDefault="00C87E1E" w:rsidP="00C87E1E">
            <w:pPr>
              <w:spacing w:before="60" w:after="60"/>
              <w:ind w:right="-29"/>
              <w:jc w:val="center"/>
              <w:rPr>
                <w:noProof/>
                <w:sz w:val="18"/>
                <w:szCs w:val="18"/>
                <w:lang w:eastAsia="en-GB"/>
              </w:rPr>
            </w:pPr>
          </w:p>
        </w:tc>
        <w:tc>
          <w:tcPr>
            <w:tcW w:w="900" w:type="dxa"/>
            <w:tcBorders>
              <w:top w:val="nil"/>
              <w:left w:val="nil"/>
              <w:bottom w:val="nil"/>
              <w:right w:val="nil"/>
            </w:tcBorders>
          </w:tcPr>
          <w:p w14:paraId="71C7945E" w14:textId="77777777" w:rsidR="00C87E1E" w:rsidRPr="009E1E74" w:rsidRDefault="00C87E1E" w:rsidP="00C87E1E">
            <w:pPr>
              <w:spacing w:before="60" w:after="60"/>
              <w:ind w:right="-29"/>
              <w:jc w:val="center"/>
              <w:rPr>
                <w:noProof/>
                <w:sz w:val="18"/>
                <w:szCs w:val="18"/>
                <w:lang w:eastAsia="en-GB"/>
              </w:rPr>
            </w:pPr>
          </w:p>
        </w:tc>
        <w:tc>
          <w:tcPr>
            <w:tcW w:w="720" w:type="dxa"/>
            <w:gridSpan w:val="2"/>
            <w:tcBorders>
              <w:top w:val="nil"/>
              <w:left w:val="nil"/>
              <w:bottom w:val="nil"/>
              <w:right w:val="nil"/>
            </w:tcBorders>
          </w:tcPr>
          <w:p w14:paraId="1093CFDD" w14:textId="77777777" w:rsidR="00C87E1E" w:rsidRPr="009E1E74" w:rsidRDefault="00C87E1E" w:rsidP="00C87E1E">
            <w:pPr>
              <w:spacing w:before="60" w:after="60"/>
              <w:ind w:right="-29"/>
              <w:jc w:val="center"/>
              <w:rPr>
                <w:noProof/>
                <w:sz w:val="18"/>
                <w:szCs w:val="18"/>
                <w:lang w:eastAsia="en-GB"/>
              </w:rPr>
            </w:pPr>
          </w:p>
        </w:tc>
        <w:tc>
          <w:tcPr>
            <w:tcW w:w="540" w:type="dxa"/>
            <w:tcBorders>
              <w:top w:val="nil"/>
              <w:left w:val="nil"/>
              <w:bottom w:val="nil"/>
              <w:right w:val="nil"/>
            </w:tcBorders>
          </w:tcPr>
          <w:p w14:paraId="119A128D" w14:textId="77777777" w:rsidR="00C87E1E" w:rsidRPr="009E1E74" w:rsidRDefault="00C87E1E" w:rsidP="00C87E1E">
            <w:pPr>
              <w:spacing w:before="60" w:after="60"/>
              <w:ind w:right="-29"/>
              <w:jc w:val="center"/>
              <w:rPr>
                <w:noProof/>
                <w:sz w:val="18"/>
                <w:szCs w:val="18"/>
                <w:lang w:eastAsia="en-GB"/>
              </w:rPr>
            </w:pPr>
          </w:p>
        </w:tc>
        <w:tc>
          <w:tcPr>
            <w:tcW w:w="648" w:type="dxa"/>
            <w:tcBorders>
              <w:top w:val="nil"/>
              <w:left w:val="nil"/>
              <w:bottom w:val="nil"/>
              <w:right w:val="nil"/>
            </w:tcBorders>
          </w:tcPr>
          <w:p w14:paraId="5EC666B7" w14:textId="77777777" w:rsidR="00C87E1E" w:rsidRPr="009E1E74" w:rsidRDefault="00C87E1E" w:rsidP="00C87E1E">
            <w:pPr>
              <w:spacing w:before="60" w:after="60"/>
              <w:ind w:right="-29"/>
              <w:jc w:val="center"/>
              <w:rPr>
                <w:noProof/>
                <w:sz w:val="18"/>
                <w:szCs w:val="18"/>
                <w:lang w:eastAsia="en-GB"/>
              </w:rPr>
            </w:pPr>
          </w:p>
        </w:tc>
        <w:tc>
          <w:tcPr>
            <w:tcW w:w="432" w:type="dxa"/>
            <w:tcBorders>
              <w:top w:val="nil"/>
              <w:left w:val="nil"/>
              <w:bottom w:val="nil"/>
              <w:right w:val="nil"/>
            </w:tcBorders>
          </w:tcPr>
          <w:p w14:paraId="7C5F5CDC"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717A50B7" w14:textId="77777777" w:rsidR="00C87E1E" w:rsidRPr="009E1E74" w:rsidRDefault="00C87E1E" w:rsidP="00C87E1E">
            <w:pPr>
              <w:spacing w:before="60" w:after="60"/>
              <w:ind w:right="-29"/>
              <w:jc w:val="center"/>
              <w:rPr>
                <w:noProof/>
                <w:sz w:val="18"/>
                <w:szCs w:val="18"/>
                <w:lang w:eastAsia="en-GB"/>
              </w:rPr>
            </w:pPr>
          </w:p>
        </w:tc>
        <w:tc>
          <w:tcPr>
            <w:tcW w:w="540" w:type="dxa"/>
            <w:tcBorders>
              <w:top w:val="nil"/>
              <w:left w:val="nil"/>
              <w:bottom w:val="nil"/>
              <w:right w:val="nil"/>
            </w:tcBorders>
          </w:tcPr>
          <w:p w14:paraId="7C7772CA"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0D7BA865"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5BF7EBA7" w14:textId="77777777" w:rsidR="00C87E1E" w:rsidRPr="009E1E74" w:rsidRDefault="00C87E1E" w:rsidP="00C87E1E">
            <w:pPr>
              <w:spacing w:before="60" w:after="60"/>
              <w:ind w:right="-29"/>
              <w:jc w:val="center"/>
              <w:rPr>
                <w:noProof/>
                <w:sz w:val="18"/>
                <w:szCs w:val="18"/>
                <w:lang w:eastAsia="en-GB"/>
              </w:rPr>
            </w:pPr>
          </w:p>
        </w:tc>
        <w:tc>
          <w:tcPr>
            <w:tcW w:w="900" w:type="dxa"/>
            <w:tcBorders>
              <w:top w:val="nil"/>
              <w:left w:val="nil"/>
              <w:bottom w:val="nil"/>
              <w:right w:val="nil"/>
            </w:tcBorders>
          </w:tcPr>
          <w:p w14:paraId="51185203" w14:textId="77777777" w:rsidR="00C87E1E" w:rsidRPr="009E1E74" w:rsidRDefault="00C87E1E" w:rsidP="00C87E1E">
            <w:pPr>
              <w:spacing w:before="60" w:after="60"/>
              <w:ind w:right="-29"/>
              <w:jc w:val="center"/>
              <w:rPr>
                <w:noProof/>
                <w:sz w:val="18"/>
                <w:szCs w:val="18"/>
                <w:lang w:eastAsia="en-GB"/>
              </w:rPr>
            </w:pPr>
          </w:p>
        </w:tc>
      </w:tr>
      <w:tr w:rsidR="00C87E1E" w:rsidRPr="009E1E74" w14:paraId="55F96446" w14:textId="77777777" w:rsidTr="00C87E1E">
        <w:trPr>
          <w:trHeight w:hRule="exact" w:val="369"/>
          <w:jc w:val="center"/>
        </w:trPr>
        <w:tc>
          <w:tcPr>
            <w:tcW w:w="1423" w:type="dxa"/>
          </w:tcPr>
          <w:p w14:paraId="3AAF8EF0" w14:textId="77777777" w:rsidR="00C87E1E" w:rsidRPr="009E1E74" w:rsidRDefault="00C87E1E" w:rsidP="00C87E1E">
            <w:pPr>
              <w:ind w:right="-29"/>
              <w:jc w:val="center"/>
              <w:rPr>
                <w:noProof/>
                <w:sz w:val="18"/>
                <w:szCs w:val="18"/>
              </w:rPr>
            </w:pPr>
            <w:r w:rsidRPr="009E1E74">
              <w:rPr>
                <w:noProof/>
                <w:sz w:val="18"/>
              </w:rPr>
              <w:t>– Atliktas darbas</w:t>
            </w:r>
          </w:p>
        </w:tc>
        <w:tc>
          <w:tcPr>
            <w:tcW w:w="720" w:type="dxa"/>
          </w:tcPr>
          <w:p w14:paraId="7C0B6B38" w14:textId="77777777" w:rsidR="00C87E1E" w:rsidRPr="009E1E74" w:rsidRDefault="00C87E1E" w:rsidP="00C87E1E">
            <w:pPr>
              <w:ind w:right="-29"/>
              <w:jc w:val="center"/>
              <w:rPr>
                <w:noProof/>
                <w:sz w:val="18"/>
                <w:szCs w:val="18"/>
                <w:lang w:eastAsia="en-GB"/>
              </w:rPr>
            </w:pPr>
          </w:p>
        </w:tc>
        <w:tc>
          <w:tcPr>
            <w:tcW w:w="701" w:type="dxa"/>
          </w:tcPr>
          <w:p w14:paraId="5D1D41F9" w14:textId="77777777" w:rsidR="00C87E1E" w:rsidRPr="009E1E74" w:rsidRDefault="00C87E1E" w:rsidP="00C87E1E">
            <w:pPr>
              <w:ind w:right="-29"/>
              <w:jc w:val="center"/>
              <w:rPr>
                <w:noProof/>
                <w:sz w:val="18"/>
                <w:szCs w:val="18"/>
                <w:lang w:eastAsia="en-GB"/>
              </w:rPr>
            </w:pPr>
          </w:p>
        </w:tc>
        <w:tc>
          <w:tcPr>
            <w:tcW w:w="504" w:type="dxa"/>
            <w:tcBorders>
              <w:right w:val="dashSmallGap" w:sz="4" w:space="0" w:color="auto"/>
            </w:tcBorders>
          </w:tcPr>
          <w:p w14:paraId="4678C666" w14:textId="77777777" w:rsidR="00C87E1E" w:rsidRPr="009E1E74" w:rsidRDefault="00C87E1E" w:rsidP="00C87E1E">
            <w:pPr>
              <w:ind w:right="-29"/>
              <w:jc w:val="center"/>
              <w:rPr>
                <w:noProof/>
                <w:sz w:val="18"/>
                <w:szCs w:val="18"/>
                <w:lang w:eastAsia="en-GB"/>
              </w:rPr>
            </w:pPr>
          </w:p>
        </w:tc>
        <w:tc>
          <w:tcPr>
            <w:tcW w:w="720" w:type="dxa"/>
            <w:tcBorders>
              <w:left w:val="dashSmallGap" w:sz="4" w:space="0" w:color="auto"/>
            </w:tcBorders>
          </w:tcPr>
          <w:p w14:paraId="226001D6" w14:textId="77777777" w:rsidR="00C87E1E" w:rsidRPr="009E1E74" w:rsidRDefault="00C87E1E" w:rsidP="00C87E1E">
            <w:pPr>
              <w:ind w:right="-29"/>
              <w:jc w:val="center"/>
              <w:rPr>
                <w:noProof/>
                <w:sz w:val="18"/>
                <w:szCs w:val="18"/>
                <w:lang w:eastAsia="en-GB"/>
              </w:rPr>
            </w:pPr>
          </w:p>
        </w:tc>
        <w:tc>
          <w:tcPr>
            <w:tcW w:w="540" w:type="dxa"/>
            <w:tcBorders>
              <w:right w:val="dashSmallGap" w:sz="4" w:space="0" w:color="auto"/>
            </w:tcBorders>
          </w:tcPr>
          <w:p w14:paraId="58332CDB" w14:textId="77777777" w:rsidR="00C87E1E" w:rsidRPr="009E1E74" w:rsidRDefault="00C87E1E" w:rsidP="00C87E1E">
            <w:pPr>
              <w:ind w:right="-29"/>
              <w:jc w:val="center"/>
              <w:rPr>
                <w:noProof/>
                <w:sz w:val="18"/>
                <w:szCs w:val="18"/>
                <w:lang w:eastAsia="en-GB"/>
              </w:rPr>
            </w:pPr>
          </w:p>
        </w:tc>
        <w:tc>
          <w:tcPr>
            <w:tcW w:w="720" w:type="dxa"/>
            <w:tcBorders>
              <w:left w:val="dashSmallGap" w:sz="4" w:space="0" w:color="auto"/>
            </w:tcBorders>
          </w:tcPr>
          <w:p w14:paraId="3E4CBDA7" w14:textId="77777777" w:rsidR="00C87E1E" w:rsidRPr="009E1E74" w:rsidRDefault="00C87E1E" w:rsidP="00C87E1E">
            <w:pPr>
              <w:ind w:right="-29"/>
              <w:jc w:val="center"/>
              <w:rPr>
                <w:noProof/>
                <w:sz w:val="18"/>
                <w:szCs w:val="18"/>
                <w:lang w:eastAsia="en-GB"/>
              </w:rPr>
            </w:pPr>
          </w:p>
        </w:tc>
        <w:tc>
          <w:tcPr>
            <w:tcW w:w="720" w:type="dxa"/>
            <w:tcBorders>
              <w:right w:val="dashSmallGap" w:sz="4" w:space="0" w:color="auto"/>
            </w:tcBorders>
          </w:tcPr>
          <w:p w14:paraId="21147F52" w14:textId="77777777" w:rsidR="00C87E1E" w:rsidRPr="009E1E74" w:rsidRDefault="00C87E1E" w:rsidP="00C87E1E">
            <w:pPr>
              <w:ind w:right="-29"/>
              <w:jc w:val="center"/>
              <w:rPr>
                <w:noProof/>
                <w:sz w:val="18"/>
                <w:szCs w:val="18"/>
                <w:lang w:eastAsia="en-GB"/>
              </w:rPr>
            </w:pPr>
          </w:p>
        </w:tc>
        <w:tc>
          <w:tcPr>
            <w:tcW w:w="720" w:type="dxa"/>
            <w:tcBorders>
              <w:left w:val="dashSmallGap" w:sz="4" w:space="0" w:color="auto"/>
            </w:tcBorders>
          </w:tcPr>
          <w:p w14:paraId="2A65237D" w14:textId="77777777" w:rsidR="00C87E1E" w:rsidRPr="009E1E74" w:rsidRDefault="00C87E1E" w:rsidP="00C87E1E">
            <w:pPr>
              <w:ind w:right="-29"/>
              <w:jc w:val="center"/>
              <w:rPr>
                <w:noProof/>
                <w:sz w:val="18"/>
                <w:szCs w:val="18"/>
                <w:lang w:eastAsia="en-GB"/>
              </w:rPr>
            </w:pPr>
          </w:p>
        </w:tc>
        <w:tc>
          <w:tcPr>
            <w:tcW w:w="900" w:type="dxa"/>
            <w:tcBorders>
              <w:right w:val="dashSmallGap" w:sz="4" w:space="0" w:color="auto"/>
            </w:tcBorders>
          </w:tcPr>
          <w:p w14:paraId="050F3CD1" w14:textId="77777777" w:rsidR="00C87E1E" w:rsidRPr="009E1E74" w:rsidRDefault="00C87E1E" w:rsidP="00C87E1E">
            <w:pPr>
              <w:ind w:right="-29"/>
              <w:jc w:val="center"/>
              <w:rPr>
                <w:noProof/>
                <w:sz w:val="18"/>
                <w:szCs w:val="18"/>
                <w:lang w:eastAsia="en-GB"/>
              </w:rPr>
            </w:pPr>
          </w:p>
        </w:tc>
        <w:tc>
          <w:tcPr>
            <w:tcW w:w="720" w:type="dxa"/>
            <w:gridSpan w:val="2"/>
            <w:tcBorders>
              <w:left w:val="dashSmallGap" w:sz="4" w:space="0" w:color="auto"/>
            </w:tcBorders>
          </w:tcPr>
          <w:p w14:paraId="349CDF90" w14:textId="77777777" w:rsidR="00C87E1E" w:rsidRPr="009E1E74" w:rsidRDefault="00C87E1E" w:rsidP="00C87E1E">
            <w:pPr>
              <w:ind w:right="-29"/>
              <w:jc w:val="center"/>
              <w:rPr>
                <w:noProof/>
                <w:sz w:val="18"/>
                <w:szCs w:val="18"/>
                <w:lang w:eastAsia="en-GB"/>
              </w:rPr>
            </w:pPr>
          </w:p>
        </w:tc>
        <w:tc>
          <w:tcPr>
            <w:tcW w:w="540" w:type="dxa"/>
            <w:tcBorders>
              <w:right w:val="dashSmallGap" w:sz="4" w:space="0" w:color="auto"/>
            </w:tcBorders>
          </w:tcPr>
          <w:p w14:paraId="013975A7" w14:textId="77777777" w:rsidR="00C87E1E" w:rsidRPr="009E1E74" w:rsidRDefault="00C87E1E" w:rsidP="00C87E1E">
            <w:pPr>
              <w:ind w:right="-29"/>
              <w:jc w:val="center"/>
              <w:rPr>
                <w:noProof/>
                <w:sz w:val="18"/>
                <w:szCs w:val="18"/>
                <w:lang w:eastAsia="en-GB"/>
              </w:rPr>
            </w:pPr>
          </w:p>
        </w:tc>
        <w:tc>
          <w:tcPr>
            <w:tcW w:w="648" w:type="dxa"/>
            <w:tcBorders>
              <w:left w:val="dashSmallGap" w:sz="4" w:space="0" w:color="auto"/>
            </w:tcBorders>
          </w:tcPr>
          <w:p w14:paraId="14632F15" w14:textId="77777777" w:rsidR="00C87E1E" w:rsidRPr="009E1E74" w:rsidRDefault="00C87E1E" w:rsidP="00C87E1E">
            <w:pPr>
              <w:ind w:right="-29"/>
              <w:jc w:val="center"/>
              <w:rPr>
                <w:noProof/>
                <w:sz w:val="18"/>
                <w:szCs w:val="18"/>
                <w:lang w:eastAsia="en-GB"/>
              </w:rPr>
            </w:pPr>
          </w:p>
        </w:tc>
        <w:tc>
          <w:tcPr>
            <w:tcW w:w="432" w:type="dxa"/>
            <w:tcBorders>
              <w:right w:val="dashSmallGap" w:sz="4" w:space="0" w:color="auto"/>
            </w:tcBorders>
          </w:tcPr>
          <w:p w14:paraId="3C1200F0" w14:textId="77777777" w:rsidR="00C87E1E" w:rsidRPr="009E1E74" w:rsidRDefault="00C87E1E" w:rsidP="00C87E1E">
            <w:pPr>
              <w:ind w:right="-29"/>
              <w:jc w:val="center"/>
              <w:rPr>
                <w:noProof/>
                <w:sz w:val="18"/>
                <w:szCs w:val="18"/>
                <w:lang w:eastAsia="en-GB"/>
              </w:rPr>
            </w:pPr>
          </w:p>
        </w:tc>
        <w:tc>
          <w:tcPr>
            <w:tcW w:w="720" w:type="dxa"/>
            <w:tcBorders>
              <w:left w:val="dashSmallGap" w:sz="4" w:space="0" w:color="auto"/>
            </w:tcBorders>
          </w:tcPr>
          <w:p w14:paraId="19BAC108" w14:textId="77777777" w:rsidR="00C87E1E" w:rsidRPr="009E1E74" w:rsidRDefault="00C87E1E" w:rsidP="00C87E1E">
            <w:pPr>
              <w:ind w:right="-29"/>
              <w:jc w:val="center"/>
              <w:rPr>
                <w:noProof/>
                <w:sz w:val="18"/>
                <w:szCs w:val="18"/>
                <w:lang w:eastAsia="en-GB"/>
              </w:rPr>
            </w:pPr>
          </w:p>
        </w:tc>
        <w:tc>
          <w:tcPr>
            <w:tcW w:w="540" w:type="dxa"/>
            <w:tcBorders>
              <w:right w:val="dashSmallGap" w:sz="4" w:space="0" w:color="auto"/>
            </w:tcBorders>
          </w:tcPr>
          <w:p w14:paraId="2C8C16CA" w14:textId="77777777" w:rsidR="00C87E1E" w:rsidRPr="009E1E74" w:rsidRDefault="00C87E1E" w:rsidP="00C87E1E">
            <w:pPr>
              <w:ind w:right="-29"/>
              <w:jc w:val="center"/>
              <w:rPr>
                <w:noProof/>
                <w:sz w:val="18"/>
                <w:szCs w:val="18"/>
                <w:lang w:eastAsia="en-GB"/>
              </w:rPr>
            </w:pPr>
          </w:p>
        </w:tc>
        <w:tc>
          <w:tcPr>
            <w:tcW w:w="720" w:type="dxa"/>
            <w:tcBorders>
              <w:left w:val="dashSmallGap" w:sz="4" w:space="0" w:color="auto"/>
            </w:tcBorders>
          </w:tcPr>
          <w:p w14:paraId="155316C8" w14:textId="77777777" w:rsidR="00C87E1E" w:rsidRPr="009E1E74" w:rsidRDefault="00C87E1E" w:rsidP="00C87E1E">
            <w:pPr>
              <w:ind w:right="-29"/>
              <w:jc w:val="center"/>
              <w:rPr>
                <w:noProof/>
                <w:sz w:val="18"/>
                <w:szCs w:val="18"/>
                <w:lang w:eastAsia="en-GB"/>
              </w:rPr>
            </w:pPr>
          </w:p>
        </w:tc>
        <w:tc>
          <w:tcPr>
            <w:tcW w:w="720" w:type="dxa"/>
          </w:tcPr>
          <w:p w14:paraId="2F9DB081" w14:textId="77777777" w:rsidR="00C87E1E" w:rsidRPr="009E1E74" w:rsidRDefault="00C87E1E" w:rsidP="00C87E1E">
            <w:pPr>
              <w:ind w:right="-29"/>
              <w:jc w:val="center"/>
              <w:rPr>
                <w:noProof/>
                <w:sz w:val="18"/>
                <w:szCs w:val="18"/>
                <w:lang w:eastAsia="en-GB"/>
              </w:rPr>
            </w:pPr>
          </w:p>
        </w:tc>
        <w:tc>
          <w:tcPr>
            <w:tcW w:w="900" w:type="dxa"/>
          </w:tcPr>
          <w:p w14:paraId="4F890108" w14:textId="77777777" w:rsidR="00C87E1E" w:rsidRPr="009E1E74" w:rsidRDefault="00C87E1E" w:rsidP="00C87E1E">
            <w:pPr>
              <w:ind w:right="-29"/>
              <w:jc w:val="center"/>
              <w:rPr>
                <w:noProof/>
                <w:sz w:val="18"/>
                <w:szCs w:val="18"/>
                <w:lang w:eastAsia="en-GB"/>
              </w:rPr>
            </w:pPr>
          </w:p>
        </w:tc>
      </w:tr>
      <w:tr w:rsidR="00C87E1E" w:rsidRPr="009E1E74" w14:paraId="5F65CFDB" w14:textId="77777777" w:rsidTr="00C87E1E">
        <w:trPr>
          <w:trHeight w:hRule="exact" w:val="369"/>
          <w:jc w:val="center"/>
        </w:trPr>
        <w:tc>
          <w:tcPr>
            <w:tcW w:w="1423" w:type="dxa"/>
          </w:tcPr>
          <w:p w14:paraId="5B88BF7F" w14:textId="77777777" w:rsidR="00C87E1E" w:rsidRPr="009E1E74" w:rsidRDefault="00C87E1E" w:rsidP="00C87E1E">
            <w:pPr>
              <w:ind w:right="-29"/>
              <w:jc w:val="center"/>
              <w:rPr>
                <w:noProof/>
                <w:sz w:val="18"/>
                <w:szCs w:val="18"/>
              </w:rPr>
            </w:pPr>
            <w:r w:rsidRPr="009E1E74">
              <w:rPr>
                <w:noProof/>
                <w:sz w:val="18"/>
              </w:rPr>
              <w:t>– Atliktas darbas</w:t>
            </w:r>
          </w:p>
        </w:tc>
        <w:tc>
          <w:tcPr>
            <w:tcW w:w="720" w:type="dxa"/>
          </w:tcPr>
          <w:p w14:paraId="282764D2" w14:textId="77777777" w:rsidR="00C87E1E" w:rsidRPr="009E1E74" w:rsidRDefault="00C87E1E" w:rsidP="00C87E1E">
            <w:pPr>
              <w:ind w:right="-29"/>
              <w:jc w:val="center"/>
              <w:rPr>
                <w:noProof/>
                <w:sz w:val="18"/>
                <w:szCs w:val="18"/>
                <w:lang w:eastAsia="en-GB"/>
              </w:rPr>
            </w:pPr>
          </w:p>
        </w:tc>
        <w:tc>
          <w:tcPr>
            <w:tcW w:w="701" w:type="dxa"/>
          </w:tcPr>
          <w:p w14:paraId="0A53A588" w14:textId="77777777" w:rsidR="00C87E1E" w:rsidRPr="009E1E74" w:rsidRDefault="00C87E1E" w:rsidP="00C87E1E">
            <w:pPr>
              <w:ind w:right="-29"/>
              <w:jc w:val="center"/>
              <w:rPr>
                <w:noProof/>
                <w:sz w:val="18"/>
                <w:szCs w:val="18"/>
                <w:lang w:eastAsia="en-GB"/>
              </w:rPr>
            </w:pPr>
          </w:p>
        </w:tc>
        <w:tc>
          <w:tcPr>
            <w:tcW w:w="504" w:type="dxa"/>
            <w:tcBorders>
              <w:right w:val="dashSmallGap" w:sz="4" w:space="0" w:color="auto"/>
            </w:tcBorders>
          </w:tcPr>
          <w:p w14:paraId="460212B2" w14:textId="77777777" w:rsidR="00C87E1E" w:rsidRPr="009E1E74" w:rsidRDefault="00C87E1E" w:rsidP="00C87E1E">
            <w:pPr>
              <w:ind w:right="-29"/>
              <w:jc w:val="center"/>
              <w:rPr>
                <w:noProof/>
                <w:sz w:val="18"/>
                <w:szCs w:val="18"/>
                <w:lang w:eastAsia="en-GB"/>
              </w:rPr>
            </w:pPr>
          </w:p>
        </w:tc>
        <w:tc>
          <w:tcPr>
            <w:tcW w:w="720" w:type="dxa"/>
            <w:tcBorders>
              <w:left w:val="dashSmallGap" w:sz="4" w:space="0" w:color="auto"/>
            </w:tcBorders>
          </w:tcPr>
          <w:p w14:paraId="58940AA8" w14:textId="77777777" w:rsidR="00C87E1E" w:rsidRPr="009E1E74" w:rsidRDefault="00C87E1E" w:rsidP="00C87E1E">
            <w:pPr>
              <w:ind w:right="-29"/>
              <w:jc w:val="center"/>
              <w:rPr>
                <w:noProof/>
                <w:sz w:val="18"/>
                <w:szCs w:val="18"/>
                <w:lang w:eastAsia="en-GB"/>
              </w:rPr>
            </w:pPr>
          </w:p>
        </w:tc>
        <w:tc>
          <w:tcPr>
            <w:tcW w:w="540" w:type="dxa"/>
            <w:tcBorders>
              <w:right w:val="dashSmallGap" w:sz="4" w:space="0" w:color="auto"/>
            </w:tcBorders>
          </w:tcPr>
          <w:p w14:paraId="4269C09F" w14:textId="77777777" w:rsidR="00C87E1E" w:rsidRPr="009E1E74" w:rsidRDefault="00C87E1E" w:rsidP="00C87E1E">
            <w:pPr>
              <w:ind w:right="-29"/>
              <w:jc w:val="center"/>
              <w:rPr>
                <w:noProof/>
                <w:sz w:val="18"/>
                <w:szCs w:val="18"/>
                <w:lang w:eastAsia="en-GB"/>
              </w:rPr>
            </w:pPr>
          </w:p>
        </w:tc>
        <w:tc>
          <w:tcPr>
            <w:tcW w:w="720" w:type="dxa"/>
            <w:tcBorders>
              <w:left w:val="dashSmallGap" w:sz="4" w:space="0" w:color="auto"/>
            </w:tcBorders>
          </w:tcPr>
          <w:p w14:paraId="6E0F7BAF" w14:textId="77777777" w:rsidR="00C87E1E" w:rsidRPr="009E1E74" w:rsidRDefault="00C87E1E" w:rsidP="00C87E1E">
            <w:pPr>
              <w:ind w:right="-29"/>
              <w:jc w:val="center"/>
              <w:rPr>
                <w:noProof/>
                <w:sz w:val="18"/>
                <w:szCs w:val="18"/>
                <w:lang w:eastAsia="en-GB"/>
              </w:rPr>
            </w:pPr>
          </w:p>
        </w:tc>
        <w:tc>
          <w:tcPr>
            <w:tcW w:w="720" w:type="dxa"/>
            <w:tcBorders>
              <w:right w:val="dashSmallGap" w:sz="4" w:space="0" w:color="auto"/>
            </w:tcBorders>
          </w:tcPr>
          <w:p w14:paraId="6308E64D" w14:textId="77777777" w:rsidR="00C87E1E" w:rsidRPr="009E1E74" w:rsidRDefault="00C87E1E" w:rsidP="00C87E1E">
            <w:pPr>
              <w:ind w:right="-29"/>
              <w:jc w:val="center"/>
              <w:rPr>
                <w:noProof/>
                <w:sz w:val="18"/>
                <w:szCs w:val="18"/>
                <w:lang w:eastAsia="en-GB"/>
              </w:rPr>
            </w:pPr>
          </w:p>
        </w:tc>
        <w:tc>
          <w:tcPr>
            <w:tcW w:w="720" w:type="dxa"/>
            <w:tcBorders>
              <w:left w:val="dashSmallGap" w:sz="4" w:space="0" w:color="auto"/>
            </w:tcBorders>
          </w:tcPr>
          <w:p w14:paraId="67781061" w14:textId="77777777" w:rsidR="00C87E1E" w:rsidRPr="009E1E74" w:rsidRDefault="00C87E1E" w:rsidP="00C87E1E">
            <w:pPr>
              <w:ind w:right="-29"/>
              <w:jc w:val="center"/>
              <w:rPr>
                <w:noProof/>
                <w:sz w:val="18"/>
                <w:szCs w:val="18"/>
                <w:lang w:eastAsia="en-GB"/>
              </w:rPr>
            </w:pPr>
          </w:p>
        </w:tc>
        <w:tc>
          <w:tcPr>
            <w:tcW w:w="900" w:type="dxa"/>
            <w:tcBorders>
              <w:right w:val="dashSmallGap" w:sz="4" w:space="0" w:color="auto"/>
            </w:tcBorders>
          </w:tcPr>
          <w:p w14:paraId="04195579" w14:textId="77777777" w:rsidR="00C87E1E" w:rsidRPr="009E1E74" w:rsidRDefault="00C87E1E" w:rsidP="00C87E1E">
            <w:pPr>
              <w:ind w:right="-29"/>
              <w:jc w:val="center"/>
              <w:rPr>
                <w:noProof/>
                <w:sz w:val="18"/>
                <w:szCs w:val="18"/>
                <w:lang w:eastAsia="en-GB"/>
              </w:rPr>
            </w:pPr>
          </w:p>
        </w:tc>
        <w:tc>
          <w:tcPr>
            <w:tcW w:w="720" w:type="dxa"/>
            <w:gridSpan w:val="2"/>
            <w:tcBorders>
              <w:left w:val="dashSmallGap" w:sz="4" w:space="0" w:color="auto"/>
            </w:tcBorders>
          </w:tcPr>
          <w:p w14:paraId="5AF0BC93" w14:textId="77777777" w:rsidR="00C87E1E" w:rsidRPr="009E1E74" w:rsidRDefault="00C87E1E" w:rsidP="00C87E1E">
            <w:pPr>
              <w:ind w:right="-29"/>
              <w:jc w:val="center"/>
              <w:rPr>
                <w:noProof/>
                <w:sz w:val="18"/>
                <w:szCs w:val="18"/>
                <w:lang w:eastAsia="en-GB"/>
              </w:rPr>
            </w:pPr>
          </w:p>
        </w:tc>
        <w:tc>
          <w:tcPr>
            <w:tcW w:w="540" w:type="dxa"/>
            <w:tcBorders>
              <w:right w:val="dashSmallGap" w:sz="4" w:space="0" w:color="auto"/>
            </w:tcBorders>
          </w:tcPr>
          <w:p w14:paraId="607F4764" w14:textId="77777777" w:rsidR="00C87E1E" w:rsidRPr="009E1E74" w:rsidRDefault="00C87E1E" w:rsidP="00C87E1E">
            <w:pPr>
              <w:ind w:right="-29"/>
              <w:jc w:val="center"/>
              <w:rPr>
                <w:noProof/>
                <w:sz w:val="18"/>
                <w:szCs w:val="18"/>
                <w:lang w:eastAsia="en-GB"/>
              </w:rPr>
            </w:pPr>
          </w:p>
        </w:tc>
        <w:tc>
          <w:tcPr>
            <w:tcW w:w="648" w:type="dxa"/>
            <w:tcBorders>
              <w:left w:val="dashSmallGap" w:sz="4" w:space="0" w:color="auto"/>
            </w:tcBorders>
          </w:tcPr>
          <w:p w14:paraId="0DE2A810" w14:textId="77777777" w:rsidR="00C87E1E" w:rsidRPr="009E1E74" w:rsidRDefault="00C87E1E" w:rsidP="00C87E1E">
            <w:pPr>
              <w:ind w:right="-29"/>
              <w:jc w:val="center"/>
              <w:rPr>
                <w:noProof/>
                <w:sz w:val="18"/>
                <w:szCs w:val="18"/>
                <w:lang w:eastAsia="en-GB"/>
              </w:rPr>
            </w:pPr>
          </w:p>
        </w:tc>
        <w:tc>
          <w:tcPr>
            <w:tcW w:w="432" w:type="dxa"/>
            <w:tcBorders>
              <w:right w:val="dashSmallGap" w:sz="4" w:space="0" w:color="auto"/>
            </w:tcBorders>
          </w:tcPr>
          <w:p w14:paraId="4B563465" w14:textId="77777777" w:rsidR="00C87E1E" w:rsidRPr="009E1E74" w:rsidRDefault="00C87E1E" w:rsidP="00C87E1E">
            <w:pPr>
              <w:ind w:right="-29"/>
              <w:jc w:val="center"/>
              <w:rPr>
                <w:noProof/>
                <w:sz w:val="18"/>
                <w:szCs w:val="18"/>
                <w:lang w:eastAsia="en-GB"/>
              </w:rPr>
            </w:pPr>
          </w:p>
        </w:tc>
        <w:tc>
          <w:tcPr>
            <w:tcW w:w="720" w:type="dxa"/>
            <w:tcBorders>
              <w:left w:val="dashSmallGap" w:sz="4" w:space="0" w:color="auto"/>
            </w:tcBorders>
          </w:tcPr>
          <w:p w14:paraId="4524E494" w14:textId="77777777" w:rsidR="00C87E1E" w:rsidRPr="009E1E74" w:rsidRDefault="00C87E1E" w:rsidP="00C87E1E">
            <w:pPr>
              <w:ind w:right="-29"/>
              <w:jc w:val="center"/>
              <w:rPr>
                <w:noProof/>
                <w:sz w:val="18"/>
                <w:szCs w:val="18"/>
                <w:lang w:eastAsia="en-GB"/>
              </w:rPr>
            </w:pPr>
          </w:p>
        </w:tc>
        <w:tc>
          <w:tcPr>
            <w:tcW w:w="540" w:type="dxa"/>
            <w:tcBorders>
              <w:right w:val="dashSmallGap" w:sz="4" w:space="0" w:color="auto"/>
            </w:tcBorders>
          </w:tcPr>
          <w:p w14:paraId="3361CC18" w14:textId="77777777" w:rsidR="00C87E1E" w:rsidRPr="009E1E74" w:rsidRDefault="00C87E1E" w:rsidP="00C87E1E">
            <w:pPr>
              <w:ind w:right="-29"/>
              <w:jc w:val="center"/>
              <w:rPr>
                <w:noProof/>
                <w:sz w:val="18"/>
                <w:szCs w:val="18"/>
                <w:lang w:eastAsia="en-GB"/>
              </w:rPr>
            </w:pPr>
          </w:p>
        </w:tc>
        <w:tc>
          <w:tcPr>
            <w:tcW w:w="720" w:type="dxa"/>
            <w:tcBorders>
              <w:left w:val="dashSmallGap" w:sz="4" w:space="0" w:color="auto"/>
            </w:tcBorders>
          </w:tcPr>
          <w:p w14:paraId="49DF95C0" w14:textId="77777777" w:rsidR="00C87E1E" w:rsidRPr="009E1E74" w:rsidRDefault="00C87E1E" w:rsidP="00C87E1E">
            <w:pPr>
              <w:ind w:right="-29"/>
              <w:jc w:val="center"/>
              <w:rPr>
                <w:noProof/>
                <w:sz w:val="18"/>
                <w:szCs w:val="18"/>
                <w:lang w:eastAsia="en-GB"/>
              </w:rPr>
            </w:pPr>
          </w:p>
        </w:tc>
        <w:tc>
          <w:tcPr>
            <w:tcW w:w="720" w:type="dxa"/>
          </w:tcPr>
          <w:p w14:paraId="2180C935" w14:textId="77777777" w:rsidR="00C87E1E" w:rsidRPr="009E1E74" w:rsidRDefault="00C87E1E" w:rsidP="00C87E1E">
            <w:pPr>
              <w:ind w:right="-29"/>
              <w:jc w:val="center"/>
              <w:rPr>
                <w:noProof/>
                <w:sz w:val="18"/>
                <w:szCs w:val="18"/>
                <w:lang w:eastAsia="en-GB"/>
              </w:rPr>
            </w:pPr>
          </w:p>
        </w:tc>
        <w:tc>
          <w:tcPr>
            <w:tcW w:w="900" w:type="dxa"/>
          </w:tcPr>
          <w:p w14:paraId="64B3C3A7" w14:textId="77777777" w:rsidR="00C87E1E" w:rsidRPr="009E1E74" w:rsidRDefault="00C87E1E" w:rsidP="00C87E1E">
            <w:pPr>
              <w:ind w:right="-29"/>
              <w:jc w:val="center"/>
              <w:rPr>
                <w:noProof/>
                <w:sz w:val="18"/>
                <w:szCs w:val="18"/>
                <w:lang w:eastAsia="en-GB"/>
              </w:rPr>
            </w:pPr>
          </w:p>
        </w:tc>
      </w:tr>
      <w:tr w:rsidR="00C87E1E" w:rsidRPr="009E1E74" w14:paraId="3A036D02" w14:textId="77777777" w:rsidTr="00C87E1E">
        <w:trPr>
          <w:trHeight w:hRule="exact" w:val="369"/>
          <w:jc w:val="center"/>
        </w:trPr>
        <w:tc>
          <w:tcPr>
            <w:tcW w:w="1423" w:type="dxa"/>
          </w:tcPr>
          <w:p w14:paraId="5FE3FDDE" w14:textId="77777777" w:rsidR="00C87E1E" w:rsidRPr="009E1E74" w:rsidRDefault="00C87E1E" w:rsidP="00C87E1E">
            <w:pPr>
              <w:ind w:right="-29"/>
              <w:jc w:val="center"/>
              <w:rPr>
                <w:noProof/>
                <w:sz w:val="18"/>
                <w:szCs w:val="18"/>
              </w:rPr>
            </w:pPr>
            <w:r w:rsidRPr="009E1E74">
              <w:rPr>
                <w:noProof/>
                <w:sz w:val="18"/>
              </w:rPr>
              <w:t>– Atliktas darbas</w:t>
            </w:r>
          </w:p>
        </w:tc>
        <w:tc>
          <w:tcPr>
            <w:tcW w:w="720" w:type="dxa"/>
          </w:tcPr>
          <w:p w14:paraId="488F0A69" w14:textId="77777777" w:rsidR="00C87E1E" w:rsidRPr="009E1E74" w:rsidRDefault="00C87E1E" w:rsidP="00C87E1E">
            <w:pPr>
              <w:ind w:right="-29"/>
              <w:jc w:val="center"/>
              <w:rPr>
                <w:noProof/>
                <w:sz w:val="18"/>
                <w:szCs w:val="18"/>
                <w:lang w:eastAsia="en-GB"/>
              </w:rPr>
            </w:pPr>
          </w:p>
        </w:tc>
        <w:tc>
          <w:tcPr>
            <w:tcW w:w="701" w:type="dxa"/>
          </w:tcPr>
          <w:p w14:paraId="328F330A" w14:textId="77777777" w:rsidR="00C87E1E" w:rsidRPr="009E1E74" w:rsidRDefault="00C87E1E" w:rsidP="00C87E1E">
            <w:pPr>
              <w:ind w:right="-29"/>
              <w:jc w:val="center"/>
              <w:rPr>
                <w:noProof/>
                <w:sz w:val="18"/>
                <w:szCs w:val="18"/>
                <w:lang w:eastAsia="en-GB"/>
              </w:rPr>
            </w:pPr>
          </w:p>
        </w:tc>
        <w:tc>
          <w:tcPr>
            <w:tcW w:w="504" w:type="dxa"/>
          </w:tcPr>
          <w:p w14:paraId="3AA5D8C1" w14:textId="77777777" w:rsidR="00C87E1E" w:rsidRPr="009E1E74" w:rsidRDefault="00C87E1E" w:rsidP="00C87E1E">
            <w:pPr>
              <w:ind w:right="-29"/>
              <w:jc w:val="center"/>
              <w:rPr>
                <w:noProof/>
                <w:sz w:val="18"/>
                <w:szCs w:val="18"/>
                <w:lang w:eastAsia="en-GB"/>
              </w:rPr>
            </w:pPr>
          </w:p>
        </w:tc>
        <w:tc>
          <w:tcPr>
            <w:tcW w:w="720" w:type="dxa"/>
          </w:tcPr>
          <w:p w14:paraId="077940F4" w14:textId="77777777" w:rsidR="00C87E1E" w:rsidRPr="009E1E74" w:rsidRDefault="00C87E1E" w:rsidP="00C87E1E">
            <w:pPr>
              <w:ind w:right="-29"/>
              <w:jc w:val="center"/>
              <w:rPr>
                <w:noProof/>
                <w:sz w:val="18"/>
                <w:szCs w:val="18"/>
                <w:lang w:eastAsia="en-GB"/>
              </w:rPr>
            </w:pPr>
          </w:p>
        </w:tc>
        <w:tc>
          <w:tcPr>
            <w:tcW w:w="540" w:type="dxa"/>
          </w:tcPr>
          <w:p w14:paraId="51BD8624" w14:textId="77777777" w:rsidR="00C87E1E" w:rsidRPr="009E1E74" w:rsidRDefault="00C87E1E" w:rsidP="00C87E1E">
            <w:pPr>
              <w:ind w:right="-29"/>
              <w:jc w:val="center"/>
              <w:rPr>
                <w:noProof/>
                <w:sz w:val="18"/>
                <w:szCs w:val="18"/>
                <w:lang w:eastAsia="en-GB"/>
              </w:rPr>
            </w:pPr>
          </w:p>
        </w:tc>
        <w:tc>
          <w:tcPr>
            <w:tcW w:w="720" w:type="dxa"/>
          </w:tcPr>
          <w:p w14:paraId="6ECFE113" w14:textId="77777777" w:rsidR="00C87E1E" w:rsidRPr="009E1E74" w:rsidRDefault="00C87E1E" w:rsidP="00C87E1E">
            <w:pPr>
              <w:ind w:right="-29"/>
              <w:jc w:val="center"/>
              <w:rPr>
                <w:noProof/>
                <w:sz w:val="18"/>
                <w:szCs w:val="18"/>
                <w:lang w:eastAsia="en-GB"/>
              </w:rPr>
            </w:pPr>
          </w:p>
        </w:tc>
        <w:tc>
          <w:tcPr>
            <w:tcW w:w="720" w:type="dxa"/>
          </w:tcPr>
          <w:p w14:paraId="37FA997A" w14:textId="77777777" w:rsidR="00C87E1E" w:rsidRPr="009E1E74" w:rsidRDefault="00C87E1E" w:rsidP="00C87E1E">
            <w:pPr>
              <w:ind w:right="-29"/>
              <w:jc w:val="center"/>
              <w:rPr>
                <w:noProof/>
                <w:sz w:val="18"/>
                <w:szCs w:val="18"/>
                <w:lang w:eastAsia="en-GB"/>
              </w:rPr>
            </w:pPr>
          </w:p>
        </w:tc>
        <w:tc>
          <w:tcPr>
            <w:tcW w:w="720" w:type="dxa"/>
          </w:tcPr>
          <w:p w14:paraId="23DEB5AA" w14:textId="77777777" w:rsidR="00C87E1E" w:rsidRPr="009E1E74" w:rsidRDefault="00C87E1E" w:rsidP="00C87E1E">
            <w:pPr>
              <w:ind w:right="-29"/>
              <w:jc w:val="center"/>
              <w:rPr>
                <w:noProof/>
                <w:sz w:val="18"/>
                <w:szCs w:val="18"/>
                <w:lang w:eastAsia="en-GB"/>
              </w:rPr>
            </w:pPr>
          </w:p>
        </w:tc>
        <w:tc>
          <w:tcPr>
            <w:tcW w:w="900" w:type="dxa"/>
          </w:tcPr>
          <w:p w14:paraId="31EBF427" w14:textId="77777777" w:rsidR="00C87E1E" w:rsidRPr="009E1E74" w:rsidRDefault="00C87E1E" w:rsidP="00C87E1E">
            <w:pPr>
              <w:ind w:right="-29"/>
              <w:jc w:val="center"/>
              <w:rPr>
                <w:noProof/>
                <w:sz w:val="18"/>
                <w:szCs w:val="18"/>
                <w:lang w:eastAsia="en-GB"/>
              </w:rPr>
            </w:pPr>
          </w:p>
        </w:tc>
        <w:tc>
          <w:tcPr>
            <w:tcW w:w="720" w:type="dxa"/>
            <w:gridSpan w:val="2"/>
          </w:tcPr>
          <w:p w14:paraId="44025B41" w14:textId="77777777" w:rsidR="00C87E1E" w:rsidRPr="009E1E74" w:rsidRDefault="00C87E1E" w:rsidP="00C87E1E">
            <w:pPr>
              <w:ind w:right="-29"/>
              <w:jc w:val="center"/>
              <w:rPr>
                <w:noProof/>
                <w:sz w:val="18"/>
                <w:szCs w:val="18"/>
                <w:lang w:eastAsia="en-GB"/>
              </w:rPr>
            </w:pPr>
          </w:p>
        </w:tc>
        <w:tc>
          <w:tcPr>
            <w:tcW w:w="540" w:type="dxa"/>
          </w:tcPr>
          <w:p w14:paraId="29739359" w14:textId="77777777" w:rsidR="00C87E1E" w:rsidRPr="009E1E74" w:rsidRDefault="00C87E1E" w:rsidP="00C87E1E">
            <w:pPr>
              <w:ind w:right="-29"/>
              <w:jc w:val="center"/>
              <w:rPr>
                <w:noProof/>
                <w:sz w:val="18"/>
                <w:szCs w:val="18"/>
                <w:lang w:eastAsia="en-GB"/>
              </w:rPr>
            </w:pPr>
          </w:p>
        </w:tc>
        <w:tc>
          <w:tcPr>
            <w:tcW w:w="648" w:type="dxa"/>
          </w:tcPr>
          <w:p w14:paraId="51E882CA" w14:textId="77777777" w:rsidR="00C87E1E" w:rsidRPr="009E1E74" w:rsidRDefault="00C87E1E" w:rsidP="00C87E1E">
            <w:pPr>
              <w:ind w:right="-29"/>
              <w:jc w:val="center"/>
              <w:rPr>
                <w:noProof/>
                <w:sz w:val="18"/>
                <w:szCs w:val="18"/>
                <w:lang w:eastAsia="en-GB"/>
              </w:rPr>
            </w:pPr>
          </w:p>
        </w:tc>
        <w:tc>
          <w:tcPr>
            <w:tcW w:w="432" w:type="dxa"/>
          </w:tcPr>
          <w:p w14:paraId="5FEE67D5" w14:textId="77777777" w:rsidR="00C87E1E" w:rsidRPr="009E1E74" w:rsidRDefault="00C87E1E" w:rsidP="00C87E1E">
            <w:pPr>
              <w:ind w:right="-29"/>
              <w:jc w:val="center"/>
              <w:rPr>
                <w:noProof/>
                <w:sz w:val="18"/>
                <w:szCs w:val="18"/>
                <w:lang w:eastAsia="en-GB"/>
              </w:rPr>
            </w:pPr>
          </w:p>
        </w:tc>
        <w:tc>
          <w:tcPr>
            <w:tcW w:w="720" w:type="dxa"/>
          </w:tcPr>
          <w:p w14:paraId="58123829" w14:textId="77777777" w:rsidR="00C87E1E" w:rsidRPr="009E1E74" w:rsidRDefault="00C87E1E" w:rsidP="00C87E1E">
            <w:pPr>
              <w:ind w:right="-29"/>
              <w:jc w:val="center"/>
              <w:rPr>
                <w:noProof/>
                <w:sz w:val="18"/>
                <w:szCs w:val="18"/>
                <w:lang w:eastAsia="en-GB"/>
              </w:rPr>
            </w:pPr>
          </w:p>
        </w:tc>
        <w:tc>
          <w:tcPr>
            <w:tcW w:w="540" w:type="dxa"/>
          </w:tcPr>
          <w:p w14:paraId="4E01584E" w14:textId="77777777" w:rsidR="00C87E1E" w:rsidRPr="009E1E74" w:rsidRDefault="00C87E1E" w:rsidP="00C87E1E">
            <w:pPr>
              <w:ind w:right="-29"/>
              <w:jc w:val="center"/>
              <w:rPr>
                <w:noProof/>
                <w:sz w:val="18"/>
                <w:szCs w:val="18"/>
                <w:lang w:eastAsia="en-GB"/>
              </w:rPr>
            </w:pPr>
          </w:p>
        </w:tc>
        <w:tc>
          <w:tcPr>
            <w:tcW w:w="720" w:type="dxa"/>
          </w:tcPr>
          <w:p w14:paraId="24A59941" w14:textId="77777777" w:rsidR="00C87E1E" w:rsidRPr="009E1E74" w:rsidRDefault="00C87E1E" w:rsidP="00C87E1E">
            <w:pPr>
              <w:ind w:right="-29"/>
              <w:jc w:val="center"/>
              <w:rPr>
                <w:noProof/>
                <w:sz w:val="18"/>
                <w:szCs w:val="18"/>
                <w:lang w:eastAsia="en-GB"/>
              </w:rPr>
            </w:pPr>
          </w:p>
        </w:tc>
        <w:tc>
          <w:tcPr>
            <w:tcW w:w="720" w:type="dxa"/>
          </w:tcPr>
          <w:p w14:paraId="7FF5222F" w14:textId="77777777" w:rsidR="00C87E1E" w:rsidRPr="009E1E74" w:rsidRDefault="00C87E1E" w:rsidP="00C87E1E">
            <w:pPr>
              <w:ind w:right="-29"/>
              <w:jc w:val="center"/>
              <w:rPr>
                <w:noProof/>
                <w:sz w:val="18"/>
                <w:szCs w:val="18"/>
                <w:lang w:eastAsia="en-GB"/>
              </w:rPr>
            </w:pPr>
          </w:p>
        </w:tc>
        <w:tc>
          <w:tcPr>
            <w:tcW w:w="900" w:type="dxa"/>
          </w:tcPr>
          <w:p w14:paraId="7A2D6187" w14:textId="77777777" w:rsidR="00C87E1E" w:rsidRPr="009E1E74" w:rsidRDefault="00C87E1E" w:rsidP="00C87E1E">
            <w:pPr>
              <w:ind w:right="-29"/>
              <w:jc w:val="center"/>
              <w:rPr>
                <w:noProof/>
                <w:sz w:val="18"/>
                <w:szCs w:val="18"/>
                <w:lang w:eastAsia="en-GB"/>
              </w:rPr>
            </w:pPr>
          </w:p>
        </w:tc>
      </w:tr>
      <w:tr w:rsidR="00C87E1E" w:rsidRPr="009E1E74" w14:paraId="261BD1D2" w14:textId="77777777" w:rsidTr="00C87E1E">
        <w:trPr>
          <w:trHeight w:val="77"/>
          <w:jc w:val="center"/>
        </w:trPr>
        <w:tc>
          <w:tcPr>
            <w:tcW w:w="2844" w:type="dxa"/>
            <w:gridSpan w:val="3"/>
            <w:tcBorders>
              <w:bottom w:val="single" w:sz="12" w:space="0" w:color="auto"/>
            </w:tcBorders>
            <w:vAlign w:val="center"/>
          </w:tcPr>
          <w:p w14:paraId="3079AE09" w14:textId="77777777" w:rsidR="00C87E1E" w:rsidRPr="009E1E74" w:rsidRDefault="00C87E1E" w:rsidP="00C87E1E">
            <w:pPr>
              <w:ind w:right="-29"/>
              <w:jc w:val="center"/>
              <w:rPr>
                <w:noProof/>
                <w:sz w:val="18"/>
                <w:szCs w:val="18"/>
              </w:rPr>
            </w:pPr>
            <w:r w:rsidRPr="009E1E74">
              <w:rPr>
                <w:noProof/>
                <w:sz w:val="18"/>
              </w:rPr>
              <w:t>1 konkretaus tikslo tarpinė suma</w:t>
            </w:r>
          </w:p>
        </w:tc>
        <w:tc>
          <w:tcPr>
            <w:tcW w:w="504" w:type="dxa"/>
            <w:tcBorders>
              <w:bottom w:val="single" w:sz="12" w:space="0" w:color="auto"/>
            </w:tcBorders>
          </w:tcPr>
          <w:p w14:paraId="47164D9C"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3DAC384F" w14:textId="77777777" w:rsidR="00C87E1E" w:rsidRPr="009E1E74" w:rsidRDefault="00C87E1E" w:rsidP="00C87E1E">
            <w:pPr>
              <w:ind w:right="-29"/>
              <w:jc w:val="center"/>
              <w:rPr>
                <w:noProof/>
                <w:sz w:val="18"/>
                <w:szCs w:val="18"/>
                <w:lang w:eastAsia="en-GB"/>
              </w:rPr>
            </w:pPr>
          </w:p>
        </w:tc>
        <w:tc>
          <w:tcPr>
            <w:tcW w:w="540" w:type="dxa"/>
            <w:tcBorders>
              <w:bottom w:val="single" w:sz="12" w:space="0" w:color="auto"/>
            </w:tcBorders>
          </w:tcPr>
          <w:p w14:paraId="12F8F1FD"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73682EBB"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7ED5A222"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64B9E943" w14:textId="77777777" w:rsidR="00C87E1E" w:rsidRPr="009E1E74" w:rsidRDefault="00C87E1E" w:rsidP="00C87E1E">
            <w:pPr>
              <w:ind w:right="-29"/>
              <w:jc w:val="center"/>
              <w:rPr>
                <w:noProof/>
                <w:sz w:val="18"/>
                <w:szCs w:val="18"/>
                <w:lang w:eastAsia="en-GB"/>
              </w:rPr>
            </w:pPr>
          </w:p>
        </w:tc>
        <w:tc>
          <w:tcPr>
            <w:tcW w:w="900" w:type="dxa"/>
            <w:tcBorders>
              <w:bottom w:val="single" w:sz="12" w:space="0" w:color="auto"/>
            </w:tcBorders>
          </w:tcPr>
          <w:p w14:paraId="4B36935E" w14:textId="77777777" w:rsidR="00C87E1E" w:rsidRPr="009E1E74" w:rsidRDefault="00C87E1E" w:rsidP="00C87E1E">
            <w:pPr>
              <w:ind w:right="-29"/>
              <w:jc w:val="center"/>
              <w:rPr>
                <w:noProof/>
                <w:sz w:val="18"/>
                <w:szCs w:val="18"/>
                <w:lang w:eastAsia="en-GB"/>
              </w:rPr>
            </w:pPr>
          </w:p>
        </w:tc>
        <w:tc>
          <w:tcPr>
            <w:tcW w:w="720" w:type="dxa"/>
            <w:gridSpan w:val="2"/>
            <w:tcBorders>
              <w:bottom w:val="single" w:sz="12" w:space="0" w:color="auto"/>
            </w:tcBorders>
          </w:tcPr>
          <w:p w14:paraId="07C069CC" w14:textId="77777777" w:rsidR="00C87E1E" w:rsidRPr="009E1E74" w:rsidRDefault="00C87E1E" w:rsidP="00C87E1E">
            <w:pPr>
              <w:ind w:right="-29"/>
              <w:jc w:val="center"/>
              <w:rPr>
                <w:noProof/>
                <w:sz w:val="18"/>
                <w:szCs w:val="18"/>
                <w:lang w:eastAsia="en-GB"/>
              </w:rPr>
            </w:pPr>
          </w:p>
        </w:tc>
        <w:tc>
          <w:tcPr>
            <w:tcW w:w="540" w:type="dxa"/>
            <w:tcBorders>
              <w:bottom w:val="single" w:sz="12" w:space="0" w:color="auto"/>
            </w:tcBorders>
          </w:tcPr>
          <w:p w14:paraId="7BA7791E" w14:textId="77777777" w:rsidR="00C87E1E" w:rsidRPr="009E1E74" w:rsidRDefault="00C87E1E" w:rsidP="00C87E1E">
            <w:pPr>
              <w:ind w:right="-29"/>
              <w:jc w:val="center"/>
              <w:rPr>
                <w:noProof/>
                <w:sz w:val="18"/>
                <w:szCs w:val="18"/>
                <w:lang w:eastAsia="en-GB"/>
              </w:rPr>
            </w:pPr>
          </w:p>
        </w:tc>
        <w:tc>
          <w:tcPr>
            <w:tcW w:w="648" w:type="dxa"/>
            <w:tcBorders>
              <w:bottom w:val="single" w:sz="12" w:space="0" w:color="auto"/>
            </w:tcBorders>
          </w:tcPr>
          <w:p w14:paraId="62DE7513" w14:textId="77777777" w:rsidR="00C87E1E" w:rsidRPr="009E1E74" w:rsidRDefault="00C87E1E" w:rsidP="00C87E1E">
            <w:pPr>
              <w:ind w:right="-29"/>
              <w:jc w:val="center"/>
              <w:rPr>
                <w:noProof/>
                <w:sz w:val="18"/>
                <w:szCs w:val="18"/>
                <w:lang w:eastAsia="en-GB"/>
              </w:rPr>
            </w:pPr>
          </w:p>
        </w:tc>
        <w:tc>
          <w:tcPr>
            <w:tcW w:w="432" w:type="dxa"/>
            <w:tcBorders>
              <w:bottom w:val="single" w:sz="12" w:space="0" w:color="auto"/>
            </w:tcBorders>
          </w:tcPr>
          <w:p w14:paraId="0B3E3971"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6D2E47DD" w14:textId="77777777" w:rsidR="00C87E1E" w:rsidRPr="009E1E74" w:rsidRDefault="00C87E1E" w:rsidP="00C87E1E">
            <w:pPr>
              <w:ind w:right="-29"/>
              <w:jc w:val="center"/>
              <w:rPr>
                <w:noProof/>
                <w:sz w:val="18"/>
                <w:szCs w:val="18"/>
                <w:lang w:eastAsia="en-GB"/>
              </w:rPr>
            </w:pPr>
          </w:p>
        </w:tc>
        <w:tc>
          <w:tcPr>
            <w:tcW w:w="540" w:type="dxa"/>
            <w:tcBorders>
              <w:bottom w:val="single" w:sz="12" w:space="0" w:color="auto"/>
            </w:tcBorders>
          </w:tcPr>
          <w:p w14:paraId="2387E2BF"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2F127DCC"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7370CEBA" w14:textId="77777777" w:rsidR="00C87E1E" w:rsidRPr="009E1E74" w:rsidRDefault="00C87E1E" w:rsidP="00C87E1E">
            <w:pPr>
              <w:ind w:right="-29"/>
              <w:jc w:val="center"/>
              <w:rPr>
                <w:noProof/>
                <w:sz w:val="18"/>
                <w:szCs w:val="18"/>
                <w:lang w:eastAsia="en-GB"/>
              </w:rPr>
            </w:pPr>
          </w:p>
        </w:tc>
        <w:tc>
          <w:tcPr>
            <w:tcW w:w="900" w:type="dxa"/>
            <w:tcBorders>
              <w:bottom w:val="single" w:sz="12" w:space="0" w:color="auto"/>
            </w:tcBorders>
          </w:tcPr>
          <w:p w14:paraId="49B7AAAF" w14:textId="77777777" w:rsidR="00C87E1E" w:rsidRPr="009E1E74" w:rsidRDefault="00C87E1E" w:rsidP="00C87E1E">
            <w:pPr>
              <w:ind w:right="-29"/>
              <w:jc w:val="center"/>
              <w:rPr>
                <w:noProof/>
                <w:sz w:val="18"/>
                <w:szCs w:val="18"/>
                <w:lang w:eastAsia="en-GB"/>
              </w:rPr>
            </w:pPr>
          </w:p>
        </w:tc>
      </w:tr>
      <w:tr w:rsidR="00C87E1E" w:rsidRPr="009E1E74" w14:paraId="719C7809" w14:textId="77777777" w:rsidTr="00C87E1E">
        <w:trPr>
          <w:jc w:val="center"/>
        </w:trPr>
        <w:tc>
          <w:tcPr>
            <w:tcW w:w="2844" w:type="dxa"/>
            <w:gridSpan w:val="3"/>
            <w:vAlign w:val="center"/>
          </w:tcPr>
          <w:p w14:paraId="144D1B64" w14:textId="77777777" w:rsidR="00C87E1E" w:rsidRPr="009E1E74" w:rsidRDefault="00C87E1E" w:rsidP="00C87E1E">
            <w:pPr>
              <w:spacing w:before="60" w:after="60"/>
              <w:ind w:right="-29"/>
              <w:jc w:val="center"/>
              <w:rPr>
                <w:noProof/>
                <w:sz w:val="18"/>
                <w:szCs w:val="18"/>
              </w:rPr>
            </w:pPr>
            <w:r w:rsidRPr="009E1E74">
              <w:rPr>
                <w:noProof/>
                <w:sz w:val="18"/>
              </w:rPr>
              <w:t>2 KONKRETUS TIKSLAS ...</w:t>
            </w:r>
          </w:p>
        </w:tc>
        <w:tc>
          <w:tcPr>
            <w:tcW w:w="504" w:type="dxa"/>
            <w:tcBorders>
              <w:top w:val="nil"/>
              <w:left w:val="nil"/>
              <w:bottom w:val="nil"/>
              <w:right w:val="nil"/>
            </w:tcBorders>
          </w:tcPr>
          <w:p w14:paraId="6D208459"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13822CF1" w14:textId="77777777" w:rsidR="00C87E1E" w:rsidRPr="009E1E74" w:rsidRDefault="00C87E1E" w:rsidP="00C87E1E">
            <w:pPr>
              <w:spacing w:before="60" w:after="60"/>
              <w:ind w:right="-29"/>
              <w:jc w:val="center"/>
              <w:rPr>
                <w:noProof/>
                <w:sz w:val="18"/>
                <w:szCs w:val="18"/>
                <w:lang w:eastAsia="en-GB"/>
              </w:rPr>
            </w:pPr>
          </w:p>
        </w:tc>
        <w:tc>
          <w:tcPr>
            <w:tcW w:w="540" w:type="dxa"/>
            <w:tcBorders>
              <w:top w:val="nil"/>
              <w:left w:val="nil"/>
              <w:bottom w:val="nil"/>
              <w:right w:val="nil"/>
            </w:tcBorders>
          </w:tcPr>
          <w:p w14:paraId="0402CE87"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7AB9D4A0"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461EF82F"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2D23F8DE" w14:textId="77777777" w:rsidR="00C87E1E" w:rsidRPr="009E1E74" w:rsidRDefault="00C87E1E" w:rsidP="00C87E1E">
            <w:pPr>
              <w:spacing w:before="60" w:after="60"/>
              <w:ind w:right="-29"/>
              <w:jc w:val="center"/>
              <w:rPr>
                <w:noProof/>
                <w:sz w:val="18"/>
                <w:szCs w:val="18"/>
                <w:lang w:eastAsia="en-GB"/>
              </w:rPr>
            </w:pPr>
          </w:p>
        </w:tc>
        <w:tc>
          <w:tcPr>
            <w:tcW w:w="900" w:type="dxa"/>
            <w:tcBorders>
              <w:top w:val="nil"/>
              <w:left w:val="nil"/>
              <w:bottom w:val="nil"/>
              <w:right w:val="nil"/>
            </w:tcBorders>
          </w:tcPr>
          <w:p w14:paraId="580F35A9" w14:textId="77777777" w:rsidR="00C87E1E" w:rsidRPr="009E1E74" w:rsidRDefault="00C87E1E" w:rsidP="00C87E1E">
            <w:pPr>
              <w:spacing w:before="60" w:after="60"/>
              <w:ind w:right="-29"/>
              <w:jc w:val="center"/>
              <w:rPr>
                <w:noProof/>
                <w:sz w:val="18"/>
                <w:szCs w:val="18"/>
                <w:lang w:eastAsia="en-GB"/>
              </w:rPr>
            </w:pPr>
          </w:p>
        </w:tc>
        <w:tc>
          <w:tcPr>
            <w:tcW w:w="720" w:type="dxa"/>
            <w:gridSpan w:val="2"/>
            <w:tcBorders>
              <w:top w:val="nil"/>
              <w:left w:val="nil"/>
              <w:bottom w:val="nil"/>
              <w:right w:val="nil"/>
            </w:tcBorders>
          </w:tcPr>
          <w:p w14:paraId="5A8A8C81" w14:textId="77777777" w:rsidR="00C87E1E" w:rsidRPr="009E1E74" w:rsidRDefault="00C87E1E" w:rsidP="00C87E1E">
            <w:pPr>
              <w:spacing w:before="60" w:after="60"/>
              <w:ind w:right="-29"/>
              <w:jc w:val="center"/>
              <w:rPr>
                <w:noProof/>
                <w:sz w:val="18"/>
                <w:szCs w:val="18"/>
                <w:lang w:eastAsia="en-GB"/>
              </w:rPr>
            </w:pPr>
          </w:p>
        </w:tc>
        <w:tc>
          <w:tcPr>
            <w:tcW w:w="540" w:type="dxa"/>
            <w:tcBorders>
              <w:top w:val="nil"/>
              <w:left w:val="nil"/>
              <w:bottom w:val="nil"/>
              <w:right w:val="nil"/>
            </w:tcBorders>
          </w:tcPr>
          <w:p w14:paraId="103D1139" w14:textId="77777777" w:rsidR="00C87E1E" w:rsidRPr="009E1E74" w:rsidRDefault="00C87E1E" w:rsidP="00C87E1E">
            <w:pPr>
              <w:spacing w:before="60" w:after="60"/>
              <w:ind w:right="-29"/>
              <w:jc w:val="center"/>
              <w:rPr>
                <w:noProof/>
                <w:sz w:val="18"/>
                <w:szCs w:val="18"/>
                <w:lang w:eastAsia="en-GB"/>
              </w:rPr>
            </w:pPr>
          </w:p>
        </w:tc>
        <w:tc>
          <w:tcPr>
            <w:tcW w:w="648" w:type="dxa"/>
            <w:tcBorders>
              <w:top w:val="nil"/>
              <w:left w:val="nil"/>
              <w:bottom w:val="nil"/>
              <w:right w:val="nil"/>
            </w:tcBorders>
          </w:tcPr>
          <w:p w14:paraId="11CA81D0" w14:textId="77777777" w:rsidR="00C87E1E" w:rsidRPr="009E1E74" w:rsidRDefault="00C87E1E" w:rsidP="00C87E1E">
            <w:pPr>
              <w:spacing w:before="60" w:after="60"/>
              <w:ind w:right="-29"/>
              <w:jc w:val="center"/>
              <w:rPr>
                <w:noProof/>
                <w:sz w:val="18"/>
                <w:szCs w:val="18"/>
                <w:lang w:eastAsia="en-GB"/>
              </w:rPr>
            </w:pPr>
          </w:p>
        </w:tc>
        <w:tc>
          <w:tcPr>
            <w:tcW w:w="432" w:type="dxa"/>
            <w:tcBorders>
              <w:top w:val="nil"/>
              <w:left w:val="nil"/>
              <w:bottom w:val="nil"/>
              <w:right w:val="nil"/>
            </w:tcBorders>
          </w:tcPr>
          <w:p w14:paraId="20E2D4B1"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390652C2" w14:textId="77777777" w:rsidR="00C87E1E" w:rsidRPr="009E1E74" w:rsidRDefault="00C87E1E" w:rsidP="00C87E1E">
            <w:pPr>
              <w:spacing w:before="60" w:after="60"/>
              <w:ind w:right="-29"/>
              <w:jc w:val="center"/>
              <w:rPr>
                <w:noProof/>
                <w:sz w:val="18"/>
                <w:szCs w:val="18"/>
                <w:lang w:eastAsia="en-GB"/>
              </w:rPr>
            </w:pPr>
          </w:p>
        </w:tc>
        <w:tc>
          <w:tcPr>
            <w:tcW w:w="540" w:type="dxa"/>
            <w:tcBorders>
              <w:top w:val="nil"/>
              <w:left w:val="nil"/>
              <w:bottom w:val="nil"/>
              <w:right w:val="nil"/>
            </w:tcBorders>
          </w:tcPr>
          <w:p w14:paraId="42A1A8C1"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4ED3CA81" w14:textId="77777777" w:rsidR="00C87E1E" w:rsidRPr="009E1E74" w:rsidRDefault="00C87E1E" w:rsidP="00C87E1E">
            <w:pPr>
              <w:spacing w:before="60" w:after="60"/>
              <w:ind w:right="-29"/>
              <w:jc w:val="center"/>
              <w:rPr>
                <w:noProof/>
                <w:sz w:val="18"/>
                <w:szCs w:val="18"/>
                <w:lang w:eastAsia="en-GB"/>
              </w:rPr>
            </w:pPr>
          </w:p>
        </w:tc>
        <w:tc>
          <w:tcPr>
            <w:tcW w:w="720" w:type="dxa"/>
            <w:tcBorders>
              <w:top w:val="nil"/>
              <w:left w:val="nil"/>
              <w:bottom w:val="nil"/>
              <w:right w:val="nil"/>
            </w:tcBorders>
          </w:tcPr>
          <w:p w14:paraId="2E0CA143" w14:textId="77777777" w:rsidR="00C87E1E" w:rsidRPr="009E1E74" w:rsidRDefault="00C87E1E" w:rsidP="00C87E1E">
            <w:pPr>
              <w:spacing w:before="60" w:after="60"/>
              <w:ind w:right="-29"/>
              <w:jc w:val="center"/>
              <w:rPr>
                <w:noProof/>
                <w:sz w:val="18"/>
                <w:szCs w:val="18"/>
                <w:lang w:eastAsia="en-GB"/>
              </w:rPr>
            </w:pPr>
          </w:p>
        </w:tc>
        <w:tc>
          <w:tcPr>
            <w:tcW w:w="900" w:type="dxa"/>
            <w:tcBorders>
              <w:top w:val="nil"/>
              <w:left w:val="nil"/>
              <w:bottom w:val="nil"/>
              <w:right w:val="nil"/>
            </w:tcBorders>
          </w:tcPr>
          <w:p w14:paraId="35935E7B" w14:textId="77777777" w:rsidR="00C87E1E" w:rsidRPr="009E1E74" w:rsidRDefault="00C87E1E" w:rsidP="00C87E1E">
            <w:pPr>
              <w:spacing w:before="60" w:after="60"/>
              <w:ind w:right="-29"/>
              <w:jc w:val="center"/>
              <w:rPr>
                <w:noProof/>
                <w:sz w:val="18"/>
                <w:szCs w:val="18"/>
                <w:lang w:eastAsia="en-GB"/>
              </w:rPr>
            </w:pPr>
          </w:p>
        </w:tc>
      </w:tr>
      <w:tr w:rsidR="00C87E1E" w:rsidRPr="009E1E74" w14:paraId="50685D9B" w14:textId="77777777" w:rsidTr="00C87E1E">
        <w:trPr>
          <w:trHeight w:hRule="exact" w:val="369"/>
          <w:jc w:val="center"/>
        </w:trPr>
        <w:tc>
          <w:tcPr>
            <w:tcW w:w="1423" w:type="dxa"/>
          </w:tcPr>
          <w:p w14:paraId="1AB5EBEE" w14:textId="77777777" w:rsidR="00C87E1E" w:rsidRPr="009E1E74" w:rsidRDefault="00C87E1E" w:rsidP="00C87E1E">
            <w:pPr>
              <w:ind w:right="-29"/>
              <w:jc w:val="center"/>
              <w:rPr>
                <w:noProof/>
                <w:sz w:val="18"/>
                <w:szCs w:val="18"/>
              </w:rPr>
            </w:pPr>
            <w:r w:rsidRPr="009E1E74">
              <w:rPr>
                <w:noProof/>
                <w:sz w:val="18"/>
              </w:rPr>
              <w:t>– Atliktas darbas</w:t>
            </w:r>
          </w:p>
        </w:tc>
        <w:tc>
          <w:tcPr>
            <w:tcW w:w="720" w:type="dxa"/>
          </w:tcPr>
          <w:p w14:paraId="5028CA46" w14:textId="77777777" w:rsidR="00C87E1E" w:rsidRPr="009E1E74" w:rsidRDefault="00C87E1E" w:rsidP="00C87E1E">
            <w:pPr>
              <w:ind w:right="-29"/>
              <w:jc w:val="center"/>
              <w:rPr>
                <w:noProof/>
                <w:sz w:val="18"/>
                <w:szCs w:val="18"/>
                <w:lang w:eastAsia="en-GB"/>
              </w:rPr>
            </w:pPr>
          </w:p>
        </w:tc>
        <w:tc>
          <w:tcPr>
            <w:tcW w:w="701" w:type="dxa"/>
          </w:tcPr>
          <w:p w14:paraId="47E4BDD7" w14:textId="77777777" w:rsidR="00C87E1E" w:rsidRPr="009E1E74" w:rsidRDefault="00C87E1E" w:rsidP="00C87E1E">
            <w:pPr>
              <w:ind w:right="-29"/>
              <w:jc w:val="center"/>
              <w:rPr>
                <w:noProof/>
                <w:sz w:val="18"/>
                <w:szCs w:val="18"/>
                <w:lang w:eastAsia="en-GB"/>
              </w:rPr>
            </w:pPr>
          </w:p>
        </w:tc>
        <w:tc>
          <w:tcPr>
            <w:tcW w:w="504" w:type="dxa"/>
          </w:tcPr>
          <w:p w14:paraId="2D53B5DA" w14:textId="77777777" w:rsidR="00C87E1E" w:rsidRPr="009E1E74" w:rsidRDefault="00C87E1E" w:rsidP="00C87E1E">
            <w:pPr>
              <w:ind w:right="-29"/>
              <w:jc w:val="center"/>
              <w:rPr>
                <w:noProof/>
                <w:sz w:val="18"/>
                <w:szCs w:val="18"/>
                <w:lang w:eastAsia="en-GB"/>
              </w:rPr>
            </w:pPr>
          </w:p>
        </w:tc>
        <w:tc>
          <w:tcPr>
            <w:tcW w:w="720" w:type="dxa"/>
          </w:tcPr>
          <w:p w14:paraId="7F743060" w14:textId="77777777" w:rsidR="00C87E1E" w:rsidRPr="009E1E74" w:rsidRDefault="00C87E1E" w:rsidP="00C87E1E">
            <w:pPr>
              <w:ind w:right="-29"/>
              <w:jc w:val="center"/>
              <w:rPr>
                <w:noProof/>
                <w:sz w:val="18"/>
                <w:szCs w:val="18"/>
                <w:lang w:eastAsia="en-GB"/>
              </w:rPr>
            </w:pPr>
          </w:p>
        </w:tc>
        <w:tc>
          <w:tcPr>
            <w:tcW w:w="540" w:type="dxa"/>
          </w:tcPr>
          <w:p w14:paraId="2770DE52" w14:textId="77777777" w:rsidR="00C87E1E" w:rsidRPr="009E1E74" w:rsidRDefault="00C87E1E" w:rsidP="00C87E1E">
            <w:pPr>
              <w:ind w:right="-29"/>
              <w:jc w:val="center"/>
              <w:rPr>
                <w:noProof/>
                <w:sz w:val="18"/>
                <w:szCs w:val="18"/>
                <w:lang w:eastAsia="en-GB"/>
              </w:rPr>
            </w:pPr>
          </w:p>
        </w:tc>
        <w:tc>
          <w:tcPr>
            <w:tcW w:w="720" w:type="dxa"/>
          </w:tcPr>
          <w:p w14:paraId="300DA49D" w14:textId="77777777" w:rsidR="00C87E1E" w:rsidRPr="009E1E74" w:rsidRDefault="00C87E1E" w:rsidP="00C87E1E">
            <w:pPr>
              <w:ind w:right="-29"/>
              <w:jc w:val="center"/>
              <w:rPr>
                <w:noProof/>
                <w:sz w:val="18"/>
                <w:szCs w:val="18"/>
                <w:lang w:eastAsia="en-GB"/>
              </w:rPr>
            </w:pPr>
          </w:p>
        </w:tc>
        <w:tc>
          <w:tcPr>
            <w:tcW w:w="720" w:type="dxa"/>
          </w:tcPr>
          <w:p w14:paraId="1670F70D" w14:textId="77777777" w:rsidR="00C87E1E" w:rsidRPr="009E1E74" w:rsidRDefault="00C87E1E" w:rsidP="00C87E1E">
            <w:pPr>
              <w:ind w:right="-29"/>
              <w:jc w:val="center"/>
              <w:rPr>
                <w:noProof/>
                <w:sz w:val="18"/>
                <w:szCs w:val="18"/>
                <w:lang w:eastAsia="en-GB"/>
              </w:rPr>
            </w:pPr>
          </w:p>
        </w:tc>
        <w:tc>
          <w:tcPr>
            <w:tcW w:w="720" w:type="dxa"/>
          </w:tcPr>
          <w:p w14:paraId="06C2634D" w14:textId="77777777" w:rsidR="00C87E1E" w:rsidRPr="009E1E74" w:rsidRDefault="00C87E1E" w:rsidP="00C87E1E">
            <w:pPr>
              <w:ind w:right="-29"/>
              <w:jc w:val="center"/>
              <w:rPr>
                <w:noProof/>
                <w:sz w:val="18"/>
                <w:szCs w:val="18"/>
                <w:lang w:eastAsia="en-GB"/>
              </w:rPr>
            </w:pPr>
          </w:p>
        </w:tc>
        <w:tc>
          <w:tcPr>
            <w:tcW w:w="900" w:type="dxa"/>
          </w:tcPr>
          <w:p w14:paraId="6A682F93" w14:textId="77777777" w:rsidR="00C87E1E" w:rsidRPr="009E1E74" w:rsidRDefault="00C87E1E" w:rsidP="00C87E1E">
            <w:pPr>
              <w:ind w:right="-29"/>
              <w:jc w:val="center"/>
              <w:rPr>
                <w:noProof/>
                <w:sz w:val="18"/>
                <w:szCs w:val="18"/>
                <w:lang w:eastAsia="en-GB"/>
              </w:rPr>
            </w:pPr>
          </w:p>
        </w:tc>
        <w:tc>
          <w:tcPr>
            <w:tcW w:w="720" w:type="dxa"/>
            <w:gridSpan w:val="2"/>
          </w:tcPr>
          <w:p w14:paraId="39F619DB" w14:textId="77777777" w:rsidR="00C87E1E" w:rsidRPr="009E1E74" w:rsidRDefault="00C87E1E" w:rsidP="00C87E1E">
            <w:pPr>
              <w:ind w:right="-29"/>
              <w:jc w:val="center"/>
              <w:rPr>
                <w:noProof/>
                <w:sz w:val="18"/>
                <w:szCs w:val="18"/>
                <w:lang w:eastAsia="en-GB"/>
              </w:rPr>
            </w:pPr>
          </w:p>
        </w:tc>
        <w:tc>
          <w:tcPr>
            <w:tcW w:w="540" w:type="dxa"/>
          </w:tcPr>
          <w:p w14:paraId="314ABF46" w14:textId="77777777" w:rsidR="00C87E1E" w:rsidRPr="009E1E74" w:rsidRDefault="00C87E1E" w:rsidP="00C87E1E">
            <w:pPr>
              <w:ind w:right="-29"/>
              <w:jc w:val="center"/>
              <w:rPr>
                <w:noProof/>
                <w:sz w:val="18"/>
                <w:szCs w:val="18"/>
                <w:lang w:eastAsia="en-GB"/>
              </w:rPr>
            </w:pPr>
          </w:p>
        </w:tc>
        <w:tc>
          <w:tcPr>
            <w:tcW w:w="648" w:type="dxa"/>
          </w:tcPr>
          <w:p w14:paraId="1B98BCAB" w14:textId="77777777" w:rsidR="00C87E1E" w:rsidRPr="009E1E74" w:rsidRDefault="00C87E1E" w:rsidP="00C87E1E">
            <w:pPr>
              <w:ind w:right="-29"/>
              <w:jc w:val="center"/>
              <w:rPr>
                <w:noProof/>
                <w:sz w:val="18"/>
                <w:szCs w:val="18"/>
                <w:lang w:eastAsia="en-GB"/>
              </w:rPr>
            </w:pPr>
          </w:p>
        </w:tc>
        <w:tc>
          <w:tcPr>
            <w:tcW w:w="432" w:type="dxa"/>
          </w:tcPr>
          <w:p w14:paraId="4D8AB699" w14:textId="77777777" w:rsidR="00C87E1E" w:rsidRPr="009E1E74" w:rsidRDefault="00C87E1E" w:rsidP="00C87E1E">
            <w:pPr>
              <w:ind w:right="-29"/>
              <w:jc w:val="center"/>
              <w:rPr>
                <w:noProof/>
                <w:sz w:val="18"/>
                <w:szCs w:val="18"/>
                <w:lang w:eastAsia="en-GB"/>
              </w:rPr>
            </w:pPr>
          </w:p>
        </w:tc>
        <w:tc>
          <w:tcPr>
            <w:tcW w:w="720" w:type="dxa"/>
          </w:tcPr>
          <w:p w14:paraId="5D8BFA8D" w14:textId="77777777" w:rsidR="00C87E1E" w:rsidRPr="009E1E74" w:rsidRDefault="00C87E1E" w:rsidP="00C87E1E">
            <w:pPr>
              <w:ind w:right="-29"/>
              <w:jc w:val="center"/>
              <w:rPr>
                <w:noProof/>
                <w:sz w:val="18"/>
                <w:szCs w:val="18"/>
                <w:lang w:eastAsia="en-GB"/>
              </w:rPr>
            </w:pPr>
          </w:p>
        </w:tc>
        <w:tc>
          <w:tcPr>
            <w:tcW w:w="540" w:type="dxa"/>
          </w:tcPr>
          <w:p w14:paraId="5E17CD6F" w14:textId="77777777" w:rsidR="00C87E1E" w:rsidRPr="009E1E74" w:rsidRDefault="00C87E1E" w:rsidP="00C87E1E">
            <w:pPr>
              <w:ind w:right="-29"/>
              <w:jc w:val="center"/>
              <w:rPr>
                <w:noProof/>
                <w:sz w:val="18"/>
                <w:szCs w:val="18"/>
                <w:lang w:eastAsia="en-GB"/>
              </w:rPr>
            </w:pPr>
          </w:p>
        </w:tc>
        <w:tc>
          <w:tcPr>
            <w:tcW w:w="720" w:type="dxa"/>
          </w:tcPr>
          <w:p w14:paraId="52310FD6" w14:textId="77777777" w:rsidR="00C87E1E" w:rsidRPr="009E1E74" w:rsidRDefault="00C87E1E" w:rsidP="00C87E1E">
            <w:pPr>
              <w:ind w:right="-29"/>
              <w:jc w:val="center"/>
              <w:rPr>
                <w:noProof/>
                <w:sz w:val="18"/>
                <w:szCs w:val="18"/>
                <w:lang w:eastAsia="en-GB"/>
              </w:rPr>
            </w:pPr>
          </w:p>
        </w:tc>
        <w:tc>
          <w:tcPr>
            <w:tcW w:w="720" w:type="dxa"/>
          </w:tcPr>
          <w:p w14:paraId="3F396FE4" w14:textId="77777777" w:rsidR="00C87E1E" w:rsidRPr="009E1E74" w:rsidRDefault="00C87E1E" w:rsidP="00C87E1E">
            <w:pPr>
              <w:ind w:right="-29"/>
              <w:jc w:val="center"/>
              <w:rPr>
                <w:noProof/>
                <w:sz w:val="18"/>
                <w:szCs w:val="18"/>
                <w:lang w:eastAsia="en-GB"/>
              </w:rPr>
            </w:pPr>
          </w:p>
        </w:tc>
        <w:tc>
          <w:tcPr>
            <w:tcW w:w="900" w:type="dxa"/>
          </w:tcPr>
          <w:p w14:paraId="19864DEE" w14:textId="77777777" w:rsidR="00C87E1E" w:rsidRPr="009E1E74" w:rsidRDefault="00C87E1E" w:rsidP="00C87E1E">
            <w:pPr>
              <w:ind w:right="-29"/>
              <w:jc w:val="center"/>
              <w:rPr>
                <w:noProof/>
                <w:sz w:val="18"/>
                <w:szCs w:val="18"/>
                <w:lang w:eastAsia="en-GB"/>
              </w:rPr>
            </w:pPr>
          </w:p>
        </w:tc>
      </w:tr>
      <w:tr w:rsidR="00C87E1E" w:rsidRPr="009E1E74" w14:paraId="3D6EDA3D" w14:textId="77777777" w:rsidTr="00C87E1E">
        <w:trPr>
          <w:jc w:val="center"/>
        </w:trPr>
        <w:tc>
          <w:tcPr>
            <w:tcW w:w="2844" w:type="dxa"/>
            <w:gridSpan w:val="3"/>
            <w:tcBorders>
              <w:bottom w:val="single" w:sz="12" w:space="0" w:color="auto"/>
            </w:tcBorders>
            <w:vAlign w:val="center"/>
          </w:tcPr>
          <w:p w14:paraId="4EDBDB59" w14:textId="77777777" w:rsidR="00C87E1E" w:rsidRPr="009E1E74" w:rsidRDefault="00C87E1E" w:rsidP="00C87E1E">
            <w:pPr>
              <w:jc w:val="center"/>
              <w:rPr>
                <w:noProof/>
                <w:sz w:val="18"/>
                <w:szCs w:val="18"/>
              </w:rPr>
            </w:pPr>
            <w:r w:rsidRPr="009E1E74">
              <w:rPr>
                <w:noProof/>
                <w:sz w:val="18"/>
              </w:rPr>
              <w:t>2 konkretaus tikslo tarpinė suma</w:t>
            </w:r>
          </w:p>
        </w:tc>
        <w:tc>
          <w:tcPr>
            <w:tcW w:w="504" w:type="dxa"/>
            <w:tcBorders>
              <w:bottom w:val="single" w:sz="12" w:space="0" w:color="auto"/>
            </w:tcBorders>
          </w:tcPr>
          <w:p w14:paraId="637ACF94"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797A5055" w14:textId="77777777" w:rsidR="00C87E1E" w:rsidRPr="009E1E74" w:rsidRDefault="00C87E1E" w:rsidP="00C87E1E">
            <w:pPr>
              <w:ind w:right="-29"/>
              <w:jc w:val="center"/>
              <w:rPr>
                <w:noProof/>
                <w:sz w:val="18"/>
                <w:szCs w:val="18"/>
                <w:lang w:eastAsia="en-GB"/>
              </w:rPr>
            </w:pPr>
          </w:p>
        </w:tc>
        <w:tc>
          <w:tcPr>
            <w:tcW w:w="540" w:type="dxa"/>
            <w:tcBorders>
              <w:bottom w:val="single" w:sz="12" w:space="0" w:color="auto"/>
            </w:tcBorders>
          </w:tcPr>
          <w:p w14:paraId="6468B879"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2079F3DE"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018D536F"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25C67D40" w14:textId="77777777" w:rsidR="00C87E1E" w:rsidRPr="009E1E74" w:rsidRDefault="00C87E1E" w:rsidP="00C87E1E">
            <w:pPr>
              <w:ind w:right="-29"/>
              <w:jc w:val="center"/>
              <w:rPr>
                <w:noProof/>
                <w:sz w:val="18"/>
                <w:szCs w:val="18"/>
                <w:lang w:eastAsia="en-GB"/>
              </w:rPr>
            </w:pPr>
          </w:p>
        </w:tc>
        <w:tc>
          <w:tcPr>
            <w:tcW w:w="951" w:type="dxa"/>
            <w:gridSpan w:val="2"/>
            <w:tcBorders>
              <w:bottom w:val="single" w:sz="12" w:space="0" w:color="auto"/>
            </w:tcBorders>
          </w:tcPr>
          <w:p w14:paraId="4ABFD55F" w14:textId="77777777" w:rsidR="00C87E1E" w:rsidRPr="009E1E74" w:rsidRDefault="00C87E1E" w:rsidP="00C87E1E">
            <w:pPr>
              <w:ind w:right="-29"/>
              <w:jc w:val="center"/>
              <w:rPr>
                <w:noProof/>
                <w:sz w:val="18"/>
                <w:szCs w:val="18"/>
                <w:lang w:eastAsia="en-GB"/>
              </w:rPr>
            </w:pPr>
          </w:p>
        </w:tc>
        <w:tc>
          <w:tcPr>
            <w:tcW w:w="669" w:type="dxa"/>
            <w:tcBorders>
              <w:bottom w:val="single" w:sz="12" w:space="0" w:color="auto"/>
            </w:tcBorders>
          </w:tcPr>
          <w:p w14:paraId="3C6969AD" w14:textId="77777777" w:rsidR="00C87E1E" w:rsidRPr="009E1E74" w:rsidRDefault="00C87E1E" w:rsidP="00C87E1E">
            <w:pPr>
              <w:ind w:right="-29"/>
              <w:jc w:val="center"/>
              <w:rPr>
                <w:noProof/>
                <w:sz w:val="18"/>
                <w:szCs w:val="18"/>
                <w:lang w:eastAsia="en-GB"/>
              </w:rPr>
            </w:pPr>
          </w:p>
        </w:tc>
        <w:tc>
          <w:tcPr>
            <w:tcW w:w="540" w:type="dxa"/>
            <w:tcBorders>
              <w:bottom w:val="single" w:sz="12" w:space="0" w:color="auto"/>
            </w:tcBorders>
          </w:tcPr>
          <w:p w14:paraId="3307F102" w14:textId="77777777" w:rsidR="00C87E1E" w:rsidRPr="009E1E74" w:rsidRDefault="00C87E1E" w:rsidP="00C87E1E">
            <w:pPr>
              <w:ind w:right="-29"/>
              <w:jc w:val="center"/>
              <w:rPr>
                <w:noProof/>
                <w:sz w:val="18"/>
                <w:szCs w:val="18"/>
                <w:lang w:eastAsia="en-GB"/>
              </w:rPr>
            </w:pPr>
          </w:p>
        </w:tc>
        <w:tc>
          <w:tcPr>
            <w:tcW w:w="648" w:type="dxa"/>
            <w:tcBorders>
              <w:bottom w:val="single" w:sz="12" w:space="0" w:color="auto"/>
            </w:tcBorders>
          </w:tcPr>
          <w:p w14:paraId="52B5A76D" w14:textId="77777777" w:rsidR="00C87E1E" w:rsidRPr="009E1E74" w:rsidRDefault="00C87E1E" w:rsidP="00C87E1E">
            <w:pPr>
              <w:ind w:right="-29"/>
              <w:jc w:val="center"/>
              <w:rPr>
                <w:noProof/>
                <w:sz w:val="18"/>
                <w:szCs w:val="18"/>
                <w:lang w:eastAsia="en-GB"/>
              </w:rPr>
            </w:pPr>
          </w:p>
        </w:tc>
        <w:tc>
          <w:tcPr>
            <w:tcW w:w="432" w:type="dxa"/>
            <w:tcBorders>
              <w:bottom w:val="single" w:sz="12" w:space="0" w:color="auto"/>
            </w:tcBorders>
          </w:tcPr>
          <w:p w14:paraId="1DE4E84D"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71B0946E" w14:textId="77777777" w:rsidR="00C87E1E" w:rsidRPr="009E1E74" w:rsidRDefault="00C87E1E" w:rsidP="00C87E1E">
            <w:pPr>
              <w:ind w:right="-29"/>
              <w:jc w:val="center"/>
              <w:rPr>
                <w:noProof/>
                <w:sz w:val="18"/>
                <w:szCs w:val="18"/>
                <w:lang w:eastAsia="en-GB"/>
              </w:rPr>
            </w:pPr>
          </w:p>
        </w:tc>
        <w:tc>
          <w:tcPr>
            <w:tcW w:w="540" w:type="dxa"/>
            <w:tcBorders>
              <w:bottom w:val="single" w:sz="12" w:space="0" w:color="auto"/>
            </w:tcBorders>
          </w:tcPr>
          <w:p w14:paraId="1E3B4496"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62C2F573" w14:textId="77777777" w:rsidR="00C87E1E" w:rsidRPr="009E1E74" w:rsidRDefault="00C87E1E" w:rsidP="00C87E1E">
            <w:pPr>
              <w:ind w:right="-29"/>
              <w:jc w:val="center"/>
              <w:rPr>
                <w:noProof/>
                <w:sz w:val="18"/>
                <w:szCs w:val="18"/>
                <w:lang w:eastAsia="en-GB"/>
              </w:rPr>
            </w:pPr>
          </w:p>
        </w:tc>
        <w:tc>
          <w:tcPr>
            <w:tcW w:w="720" w:type="dxa"/>
            <w:tcBorders>
              <w:bottom w:val="single" w:sz="12" w:space="0" w:color="auto"/>
            </w:tcBorders>
          </w:tcPr>
          <w:p w14:paraId="6C4F1723" w14:textId="77777777" w:rsidR="00C87E1E" w:rsidRPr="009E1E74" w:rsidRDefault="00C87E1E" w:rsidP="00C87E1E">
            <w:pPr>
              <w:ind w:right="-29"/>
              <w:jc w:val="center"/>
              <w:rPr>
                <w:noProof/>
                <w:sz w:val="18"/>
                <w:szCs w:val="18"/>
                <w:lang w:eastAsia="en-GB"/>
              </w:rPr>
            </w:pPr>
          </w:p>
        </w:tc>
        <w:tc>
          <w:tcPr>
            <w:tcW w:w="900" w:type="dxa"/>
            <w:tcBorders>
              <w:bottom w:val="single" w:sz="12" w:space="0" w:color="auto"/>
            </w:tcBorders>
          </w:tcPr>
          <w:p w14:paraId="31379C2B" w14:textId="77777777" w:rsidR="00C87E1E" w:rsidRPr="009E1E74" w:rsidRDefault="00C87E1E" w:rsidP="00C87E1E">
            <w:pPr>
              <w:ind w:right="-29"/>
              <w:jc w:val="center"/>
              <w:rPr>
                <w:noProof/>
                <w:sz w:val="18"/>
                <w:szCs w:val="18"/>
                <w:lang w:eastAsia="en-GB"/>
              </w:rPr>
            </w:pPr>
          </w:p>
        </w:tc>
      </w:tr>
      <w:tr w:rsidR="00C87E1E" w:rsidRPr="009E1E74" w14:paraId="53E68617" w14:textId="77777777" w:rsidTr="00C87E1E">
        <w:trPr>
          <w:jc w:val="center"/>
        </w:trPr>
        <w:tc>
          <w:tcPr>
            <w:tcW w:w="2844" w:type="dxa"/>
            <w:gridSpan w:val="3"/>
            <w:tcBorders>
              <w:top w:val="single" w:sz="12" w:space="0" w:color="auto"/>
              <w:left w:val="single" w:sz="12" w:space="0" w:color="auto"/>
              <w:bottom w:val="single" w:sz="12" w:space="0" w:color="auto"/>
            </w:tcBorders>
            <w:vAlign w:val="center"/>
          </w:tcPr>
          <w:p w14:paraId="60B72DF9" w14:textId="77777777" w:rsidR="00C87E1E" w:rsidRPr="009E1E74" w:rsidRDefault="00C87E1E" w:rsidP="00C87E1E">
            <w:pPr>
              <w:ind w:right="-29"/>
              <w:jc w:val="center"/>
              <w:rPr>
                <w:noProof/>
                <w:sz w:val="18"/>
                <w:szCs w:val="18"/>
              </w:rPr>
            </w:pPr>
            <w:r w:rsidRPr="009E1E74">
              <w:rPr>
                <w:b/>
                <w:noProof/>
                <w:sz w:val="18"/>
              </w:rPr>
              <w:t>IŠ VISO</w:t>
            </w:r>
          </w:p>
        </w:tc>
        <w:tc>
          <w:tcPr>
            <w:tcW w:w="504" w:type="dxa"/>
            <w:tcBorders>
              <w:top w:val="single" w:sz="12" w:space="0" w:color="auto"/>
              <w:bottom w:val="single" w:sz="12" w:space="0" w:color="auto"/>
            </w:tcBorders>
          </w:tcPr>
          <w:p w14:paraId="6E6BA529" w14:textId="77777777" w:rsidR="00C87E1E" w:rsidRPr="009E1E74" w:rsidRDefault="00C87E1E" w:rsidP="00C87E1E">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32AC11D4" w14:textId="77777777" w:rsidR="00C87E1E" w:rsidRPr="009E1E74" w:rsidRDefault="00C87E1E" w:rsidP="00C87E1E">
            <w:pPr>
              <w:spacing w:before="180" w:after="180"/>
              <w:ind w:right="-29"/>
              <w:jc w:val="center"/>
              <w:rPr>
                <w:noProof/>
                <w:sz w:val="18"/>
                <w:szCs w:val="18"/>
                <w:lang w:eastAsia="en-GB"/>
              </w:rPr>
            </w:pPr>
          </w:p>
        </w:tc>
        <w:tc>
          <w:tcPr>
            <w:tcW w:w="540" w:type="dxa"/>
            <w:tcBorders>
              <w:top w:val="single" w:sz="12" w:space="0" w:color="auto"/>
              <w:bottom w:val="single" w:sz="12" w:space="0" w:color="auto"/>
            </w:tcBorders>
          </w:tcPr>
          <w:p w14:paraId="0E34B647" w14:textId="77777777" w:rsidR="00C87E1E" w:rsidRPr="009E1E74" w:rsidRDefault="00C87E1E" w:rsidP="00C87E1E">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1741877B" w14:textId="77777777" w:rsidR="00C87E1E" w:rsidRPr="009E1E74" w:rsidRDefault="00C87E1E" w:rsidP="00C87E1E">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47F72A50" w14:textId="77777777" w:rsidR="00C87E1E" w:rsidRPr="009E1E74" w:rsidRDefault="00C87E1E" w:rsidP="00C87E1E">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701F147A" w14:textId="77777777" w:rsidR="00C87E1E" w:rsidRPr="009E1E74" w:rsidRDefault="00C87E1E" w:rsidP="00C87E1E">
            <w:pPr>
              <w:spacing w:before="180" w:after="180"/>
              <w:ind w:right="-29"/>
              <w:jc w:val="center"/>
              <w:rPr>
                <w:noProof/>
                <w:sz w:val="18"/>
                <w:szCs w:val="18"/>
                <w:lang w:eastAsia="en-GB"/>
              </w:rPr>
            </w:pPr>
          </w:p>
        </w:tc>
        <w:tc>
          <w:tcPr>
            <w:tcW w:w="900" w:type="dxa"/>
            <w:tcBorders>
              <w:top w:val="single" w:sz="12" w:space="0" w:color="auto"/>
              <w:bottom w:val="single" w:sz="12" w:space="0" w:color="auto"/>
            </w:tcBorders>
          </w:tcPr>
          <w:p w14:paraId="73618F38" w14:textId="77777777" w:rsidR="00C87E1E" w:rsidRPr="009E1E74" w:rsidRDefault="00C87E1E" w:rsidP="00C87E1E">
            <w:pPr>
              <w:spacing w:before="180" w:after="180"/>
              <w:ind w:right="-29"/>
              <w:jc w:val="center"/>
              <w:rPr>
                <w:noProof/>
                <w:sz w:val="18"/>
                <w:szCs w:val="18"/>
                <w:lang w:eastAsia="en-GB"/>
              </w:rPr>
            </w:pPr>
          </w:p>
        </w:tc>
        <w:tc>
          <w:tcPr>
            <w:tcW w:w="720" w:type="dxa"/>
            <w:gridSpan w:val="2"/>
            <w:tcBorders>
              <w:top w:val="single" w:sz="12" w:space="0" w:color="auto"/>
              <w:bottom w:val="single" w:sz="12" w:space="0" w:color="auto"/>
            </w:tcBorders>
          </w:tcPr>
          <w:p w14:paraId="00C03DC6" w14:textId="77777777" w:rsidR="00C87E1E" w:rsidRPr="009E1E74" w:rsidRDefault="00C87E1E" w:rsidP="00C87E1E">
            <w:pPr>
              <w:spacing w:before="180" w:after="180"/>
              <w:ind w:right="-29"/>
              <w:jc w:val="center"/>
              <w:rPr>
                <w:noProof/>
                <w:sz w:val="18"/>
                <w:szCs w:val="18"/>
                <w:lang w:eastAsia="en-GB"/>
              </w:rPr>
            </w:pPr>
          </w:p>
        </w:tc>
        <w:tc>
          <w:tcPr>
            <w:tcW w:w="540" w:type="dxa"/>
            <w:tcBorders>
              <w:top w:val="single" w:sz="12" w:space="0" w:color="auto"/>
              <w:bottom w:val="single" w:sz="12" w:space="0" w:color="auto"/>
            </w:tcBorders>
          </w:tcPr>
          <w:p w14:paraId="6A0E9418" w14:textId="77777777" w:rsidR="00C87E1E" w:rsidRPr="009E1E74" w:rsidRDefault="00C87E1E" w:rsidP="00C87E1E">
            <w:pPr>
              <w:spacing w:before="180" w:after="180"/>
              <w:ind w:right="-29"/>
              <w:jc w:val="center"/>
              <w:rPr>
                <w:noProof/>
                <w:sz w:val="18"/>
                <w:szCs w:val="18"/>
                <w:lang w:eastAsia="en-GB"/>
              </w:rPr>
            </w:pPr>
          </w:p>
        </w:tc>
        <w:tc>
          <w:tcPr>
            <w:tcW w:w="648" w:type="dxa"/>
            <w:tcBorders>
              <w:top w:val="single" w:sz="12" w:space="0" w:color="auto"/>
              <w:bottom w:val="single" w:sz="12" w:space="0" w:color="auto"/>
            </w:tcBorders>
          </w:tcPr>
          <w:p w14:paraId="4C543B47" w14:textId="77777777" w:rsidR="00C87E1E" w:rsidRPr="009E1E74" w:rsidRDefault="00C87E1E" w:rsidP="00C87E1E">
            <w:pPr>
              <w:spacing w:before="180" w:after="180"/>
              <w:ind w:right="-29"/>
              <w:jc w:val="center"/>
              <w:rPr>
                <w:noProof/>
                <w:sz w:val="18"/>
                <w:szCs w:val="18"/>
                <w:lang w:eastAsia="en-GB"/>
              </w:rPr>
            </w:pPr>
          </w:p>
        </w:tc>
        <w:tc>
          <w:tcPr>
            <w:tcW w:w="432" w:type="dxa"/>
            <w:tcBorders>
              <w:top w:val="single" w:sz="12" w:space="0" w:color="auto"/>
              <w:bottom w:val="single" w:sz="12" w:space="0" w:color="auto"/>
            </w:tcBorders>
          </w:tcPr>
          <w:p w14:paraId="567300F0" w14:textId="77777777" w:rsidR="00C87E1E" w:rsidRPr="009E1E74" w:rsidRDefault="00C87E1E" w:rsidP="00C87E1E">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14F7D17B" w14:textId="77777777" w:rsidR="00C87E1E" w:rsidRPr="009E1E74" w:rsidRDefault="00C87E1E" w:rsidP="00C87E1E">
            <w:pPr>
              <w:spacing w:before="180" w:after="180"/>
              <w:ind w:right="-29"/>
              <w:jc w:val="center"/>
              <w:rPr>
                <w:noProof/>
                <w:sz w:val="18"/>
                <w:szCs w:val="18"/>
                <w:lang w:eastAsia="en-GB"/>
              </w:rPr>
            </w:pPr>
          </w:p>
        </w:tc>
        <w:tc>
          <w:tcPr>
            <w:tcW w:w="540" w:type="dxa"/>
            <w:tcBorders>
              <w:top w:val="single" w:sz="12" w:space="0" w:color="auto"/>
              <w:bottom w:val="single" w:sz="12" w:space="0" w:color="auto"/>
            </w:tcBorders>
          </w:tcPr>
          <w:p w14:paraId="022C0A71" w14:textId="77777777" w:rsidR="00C87E1E" w:rsidRPr="009E1E74" w:rsidRDefault="00C87E1E" w:rsidP="00C87E1E">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6E9951B6" w14:textId="77777777" w:rsidR="00C87E1E" w:rsidRPr="009E1E74" w:rsidRDefault="00C87E1E" w:rsidP="00C87E1E">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0AE0A9F6" w14:textId="77777777" w:rsidR="00C87E1E" w:rsidRPr="009E1E74" w:rsidRDefault="00C87E1E" w:rsidP="00C87E1E">
            <w:pPr>
              <w:spacing w:before="180" w:after="180"/>
              <w:ind w:right="-29"/>
              <w:jc w:val="center"/>
              <w:rPr>
                <w:noProof/>
                <w:sz w:val="18"/>
                <w:szCs w:val="18"/>
                <w:lang w:eastAsia="en-GB"/>
              </w:rPr>
            </w:pPr>
          </w:p>
        </w:tc>
        <w:tc>
          <w:tcPr>
            <w:tcW w:w="900" w:type="dxa"/>
            <w:tcBorders>
              <w:top w:val="single" w:sz="12" w:space="0" w:color="auto"/>
              <w:bottom w:val="single" w:sz="12" w:space="0" w:color="auto"/>
              <w:right w:val="single" w:sz="12" w:space="0" w:color="auto"/>
            </w:tcBorders>
          </w:tcPr>
          <w:p w14:paraId="67E4E9B4" w14:textId="77777777" w:rsidR="00C87E1E" w:rsidRPr="009E1E74" w:rsidRDefault="00C87E1E" w:rsidP="00C87E1E">
            <w:pPr>
              <w:spacing w:before="180" w:after="180"/>
              <w:ind w:right="-29"/>
              <w:jc w:val="center"/>
              <w:rPr>
                <w:noProof/>
                <w:sz w:val="18"/>
                <w:szCs w:val="18"/>
                <w:lang w:eastAsia="en-GB"/>
              </w:rPr>
            </w:pPr>
          </w:p>
        </w:tc>
      </w:tr>
    </w:tbl>
    <w:p w14:paraId="4DB3092E" w14:textId="77777777" w:rsidR="00C87E1E" w:rsidRPr="009E1E74" w:rsidRDefault="00C87E1E" w:rsidP="00C87E1E">
      <w:pPr>
        <w:rPr>
          <w:noProof/>
          <w:lang w:eastAsia="en-GB"/>
        </w:rPr>
        <w:sectPr w:rsidR="00C87E1E" w:rsidRPr="009E1E74" w:rsidSect="006E606F">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687407F8" w14:textId="77777777" w:rsidR="00C87E1E" w:rsidRPr="009E1E74" w:rsidRDefault="00C87E1E" w:rsidP="00FB18F4">
      <w:pPr>
        <w:keepNext/>
        <w:outlineLvl w:val="2"/>
        <w:rPr>
          <w:rFonts w:eastAsiaTheme="majorEastAsia"/>
          <w:i/>
          <w:noProof/>
          <w:szCs w:val="24"/>
        </w:rPr>
      </w:pPr>
      <w:bookmarkStart w:id="59" w:name="_Toc514938055"/>
      <w:bookmarkStart w:id="60" w:name="_Toc520485054"/>
      <w:r w:rsidRPr="009E1E74">
        <w:rPr>
          <w:bCs/>
          <w:i/>
          <w:noProof/>
        </w:rPr>
        <w:t>Numatomo poveikio administraciniams asignavimams santrauka</w:t>
      </w:r>
      <w:bookmarkEnd w:id="59"/>
      <w:bookmarkEnd w:id="60"/>
      <w:r w:rsidRPr="009E1E74">
        <w:rPr>
          <w:bCs/>
          <w:i/>
          <w:noProof/>
        </w:rPr>
        <w:t xml:space="preserve"> </w:t>
      </w:r>
    </w:p>
    <w:p w14:paraId="4662A244" w14:textId="77777777" w:rsidR="00C87E1E" w:rsidRPr="009E1E74" w:rsidRDefault="00C87E1E" w:rsidP="00C87E1E">
      <w:pPr>
        <w:tabs>
          <w:tab w:val="num" w:pos="1134"/>
        </w:tabs>
        <w:ind w:left="1134" w:hanging="283"/>
        <w:rPr>
          <w:noProof/>
        </w:rPr>
      </w:pPr>
      <w:r w:rsidRPr="009E1E74">
        <w:rPr>
          <w:b/>
          <w:noProof/>
        </w:rPr>
        <w:t>X</w:t>
      </w:r>
      <w:r w:rsidRPr="009E1E74">
        <w:rPr>
          <w:noProof/>
        </w:rPr>
        <w:tab/>
        <w:t xml:space="preserve">Pasiūlymui (iniciatyvai) įgyvendinti administracinio pobūdžio asignavimų nenaudojama </w:t>
      </w:r>
    </w:p>
    <w:p w14:paraId="50F7D721" w14:textId="77777777" w:rsidR="00C87E1E" w:rsidRPr="009E1E74" w:rsidRDefault="00C87E1E" w:rsidP="00C87E1E">
      <w:pPr>
        <w:tabs>
          <w:tab w:val="num" w:pos="1134"/>
        </w:tabs>
        <w:ind w:left="1134" w:hanging="283"/>
        <w:rPr>
          <w:noProof/>
        </w:rPr>
      </w:pPr>
      <w:r w:rsidRPr="009E1E74">
        <w:rPr>
          <w:noProof/>
        </w:rPr>
        <w:sym w:font="Wingdings" w:char="F0A8"/>
      </w:r>
      <w:r w:rsidRPr="009E1E74">
        <w:rPr>
          <w:noProof/>
        </w:rPr>
        <w:tab/>
        <w:t>Pasiūlymui (iniciatyvai) įgyvendinti administracinio pobūdžio asignavimai naudojami taip:</w:t>
      </w:r>
    </w:p>
    <w:p w14:paraId="4F04F151" w14:textId="77777777" w:rsidR="00C87E1E" w:rsidRPr="009E1E74" w:rsidRDefault="00C87E1E" w:rsidP="00C87E1E">
      <w:pPr>
        <w:jc w:val="right"/>
        <w:rPr>
          <w:noProof/>
          <w:sz w:val="20"/>
        </w:rPr>
      </w:pPr>
      <w:r w:rsidRPr="009E1E74">
        <w:rPr>
          <w:noProof/>
          <w:sz w:val="20"/>
        </w:rPr>
        <w:t>mln. EUR (tūkstantųjų tikslumu)</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C87E1E" w:rsidRPr="009E1E74" w14:paraId="01675B53" w14:textId="77777777" w:rsidTr="00C87E1E">
        <w:trPr>
          <w:trHeight w:val="585"/>
        </w:trPr>
        <w:tc>
          <w:tcPr>
            <w:tcW w:w="1980" w:type="dxa"/>
          </w:tcPr>
          <w:p w14:paraId="0BAA9296" w14:textId="77777777" w:rsidR="00C87E1E" w:rsidRPr="009E1E74" w:rsidRDefault="00C87E1E" w:rsidP="00C87E1E">
            <w:pPr>
              <w:spacing w:before="60" w:after="60" w:line="200" w:lineRule="exact"/>
              <w:rPr>
                <w:noProof/>
                <w:sz w:val="16"/>
                <w:szCs w:val="16"/>
                <w:lang w:eastAsia="en-GB"/>
              </w:rPr>
            </w:pPr>
          </w:p>
        </w:tc>
        <w:tc>
          <w:tcPr>
            <w:tcW w:w="1080" w:type="dxa"/>
            <w:vAlign w:val="center"/>
          </w:tcPr>
          <w:p w14:paraId="29C63605" w14:textId="77777777" w:rsidR="00C87E1E" w:rsidRPr="009E1E74" w:rsidRDefault="00C87E1E" w:rsidP="00C87E1E">
            <w:pPr>
              <w:spacing w:before="60" w:after="60" w:line="200" w:lineRule="exact"/>
              <w:jc w:val="center"/>
              <w:rPr>
                <w:noProof/>
                <w:sz w:val="16"/>
                <w:szCs w:val="16"/>
              </w:rPr>
            </w:pPr>
            <w:r w:rsidRPr="009E1E74">
              <w:rPr>
                <w:b/>
                <w:noProof/>
                <w:sz w:val="16"/>
              </w:rPr>
              <w:t>N</w:t>
            </w:r>
            <w:r w:rsidRPr="009E1E74">
              <w:rPr>
                <w:noProof/>
              </w:rPr>
              <w:t xml:space="preserve"> </w:t>
            </w:r>
            <w:r w:rsidRPr="009E1E74">
              <w:rPr>
                <w:noProof/>
              </w:rPr>
              <w:br/>
            </w:r>
            <w:r w:rsidRPr="009E1E74">
              <w:rPr>
                <w:b/>
                <w:noProof/>
                <w:sz w:val="16"/>
              </w:rPr>
              <w:t xml:space="preserve">N </w:t>
            </w:r>
            <w:r w:rsidRPr="009E1E74">
              <w:rPr>
                <w:rStyle w:val="FootnoteReference"/>
                <w:noProof/>
              </w:rPr>
              <w:footnoteReference w:id="14"/>
            </w:r>
          </w:p>
        </w:tc>
        <w:tc>
          <w:tcPr>
            <w:tcW w:w="1080" w:type="dxa"/>
            <w:vAlign w:val="center"/>
          </w:tcPr>
          <w:p w14:paraId="34133A21" w14:textId="77777777" w:rsidR="00C87E1E" w:rsidRPr="009E1E74" w:rsidRDefault="00C87E1E" w:rsidP="00C87E1E">
            <w:pPr>
              <w:spacing w:before="60" w:after="60" w:line="200" w:lineRule="exact"/>
              <w:jc w:val="center"/>
              <w:rPr>
                <w:noProof/>
                <w:sz w:val="16"/>
                <w:szCs w:val="16"/>
              </w:rPr>
            </w:pPr>
            <w:r w:rsidRPr="009E1E74">
              <w:rPr>
                <w:b/>
                <w:noProof/>
                <w:sz w:val="16"/>
              </w:rPr>
              <w:t>N + 1</w:t>
            </w:r>
            <w:r w:rsidRPr="009E1E74">
              <w:rPr>
                <w:noProof/>
              </w:rPr>
              <w:t xml:space="preserve"> </w:t>
            </w:r>
            <w:r w:rsidRPr="009E1E74">
              <w:rPr>
                <w:noProof/>
              </w:rPr>
              <w:br/>
            </w:r>
            <w:r w:rsidRPr="009E1E74">
              <w:rPr>
                <w:noProof/>
                <w:sz w:val="16"/>
              </w:rPr>
              <w:t>metai</w:t>
            </w:r>
          </w:p>
        </w:tc>
        <w:tc>
          <w:tcPr>
            <w:tcW w:w="1080" w:type="dxa"/>
            <w:vAlign w:val="center"/>
          </w:tcPr>
          <w:p w14:paraId="60A9D56F" w14:textId="77777777" w:rsidR="00C87E1E" w:rsidRPr="009E1E74" w:rsidRDefault="00C87E1E" w:rsidP="00C87E1E">
            <w:pPr>
              <w:spacing w:before="60" w:after="60" w:line="200" w:lineRule="exact"/>
              <w:jc w:val="center"/>
              <w:rPr>
                <w:noProof/>
                <w:sz w:val="16"/>
                <w:szCs w:val="16"/>
              </w:rPr>
            </w:pPr>
            <w:r w:rsidRPr="009E1E74">
              <w:rPr>
                <w:b/>
                <w:noProof/>
                <w:sz w:val="16"/>
              </w:rPr>
              <w:t>N + 2</w:t>
            </w:r>
            <w:r w:rsidRPr="009E1E74">
              <w:rPr>
                <w:noProof/>
              </w:rPr>
              <w:t xml:space="preserve"> </w:t>
            </w:r>
            <w:r w:rsidRPr="009E1E74">
              <w:rPr>
                <w:noProof/>
              </w:rPr>
              <w:br/>
            </w:r>
            <w:r w:rsidRPr="009E1E74">
              <w:rPr>
                <w:noProof/>
                <w:sz w:val="16"/>
              </w:rPr>
              <w:t>metai</w:t>
            </w:r>
          </w:p>
        </w:tc>
        <w:tc>
          <w:tcPr>
            <w:tcW w:w="1080" w:type="dxa"/>
            <w:vAlign w:val="center"/>
          </w:tcPr>
          <w:p w14:paraId="6E6DEE2B" w14:textId="77777777" w:rsidR="00C87E1E" w:rsidRPr="009E1E74" w:rsidRDefault="00C87E1E" w:rsidP="00C87E1E">
            <w:pPr>
              <w:spacing w:before="60" w:after="60" w:line="200" w:lineRule="exact"/>
              <w:jc w:val="center"/>
              <w:rPr>
                <w:noProof/>
                <w:sz w:val="16"/>
                <w:szCs w:val="16"/>
              </w:rPr>
            </w:pPr>
            <w:r w:rsidRPr="009E1E74">
              <w:rPr>
                <w:b/>
                <w:noProof/>
                <w:sz w:val="16"/>
              </w:rPr>
              <w:t>N + 3</w:t>
            </w:r>
            <w:r w:rsidRPr="009E1E74">
              <w:rPr>
                <w:noProof/>
              </w:rPr>
              <w:t xml:space="preserve"> </w:t>
            </w:r>
            <w:r w:rsidRPr="009E1E74">
              <w:rPr>
                <w:noProof/>
              </w:rPr>
              <w:br/>
            </w:r>
            <w:r w:rsidRPr="009E1E74">
              <w:rPr>
                <w:noProof/>
                <w:sz w:val="16"/>
              </w:rPr>
              <w:t>metai</w:t>
            </w:r>
          </w:p>
        </w:tc>
        <w:tc>
          <w:tcPr>
            <w:tcW w:w="3240" w:type="dxa"/>
            <w:vAlign w:val="center"/>
          </w:tcPr>
          <w:p w14:paraId="0A56E894" w14:textId="77777777" w:rsidR="00C87E1E" w:rsidRPr="009E1E74" w:rsidRDefault="00C87E1E" w:rsidP="00C87E1E">
            <w:pPr>
              <w:spacing w:line="200" w:lineRule="exact"/>
              <w:jc w:val="center"/>
              <w:rPr>
                <w:b/>
                <w:noProof/>
                <w:sz w:val="16"/>
                <w:szCs w:val="16"/>
              </w:rPr>
            </w:pPr>
            <w:r w:rsidRPr="009E1E74">
              <w:rPr>
                <w:noProof/>
                <w:sz w:val="16"/>
              </w:rPr>
              <w:t>Atsižvelgiant į poveikio trukmę įterpti reikiamą metų skaičių (žr. 1.6 punktą)</w:t>
            </w:r>
          </w:p>
        </w:tc>
        <w:tc>
          <w:tcPr>
            <w:tcW w:w="1080" w:type="dxa"/>
            <w:vAlign w:val="center"/>
          </w:tcPr>
          <w:p w14:paraId="43251A1B" w14:textId="77777777" w:rsidR="00C87E1E" w:rsidRPr="009E1E74" w:rsidRDefault="00C87E1E" w:rsidP="00C87E1E">
            <w:pPr>
              <w:spacing w:before="60" w:after="60" w:line="200" w:lineRule="exact"/>
              <w:jc w:val="center"/>
              <w:rPr>
                <w:b/>
                <w:noProof/>
                <w:sz w:val="16"/>
                <w:szCs w:val="16"/>
              </w:rPr>
            </w:pPr>
            <w:r w:rsidRPr="009E1E74">
              <w:rPr>
                <w:b/>
                <w:noProof/>
                <w:sz w:val="16"/>
              </w:rPr>
              <w:t>IŠ VISO</w:t>
            </w:r>
          </w:p>
        </w:tc>
      </w:tr>
    </w:tbl>
    <w:p w14:paraId="752726A3" w14:textId="77777777" w:rsidR="00C87E1E" w:rsidRPr="009E1E74" w:rsidRDefault="00C87E1E" w:rsidP="00C87E1E">
      <w:pPr>
        <w:spacing w:line="200" w:lineRule="exact"/>
        <w:rPr>
          <w:noProof/>
          <w:sz w:val="16"/>
          <w:szCs w:val="16"/>
          <w:lang w:eastAsia="en-GB"/>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87E1E" w:rsidRPr="009E1E74" w14:paraId="4FA587DC" w14:textId="77777777" w:rsidTr="00C87E1E">
        <w:trPr>
          <w:trHeight w:val="585"/>
        </w:trPr>
        <w:tc>
          <w:tcPr>
            <w:tcW w:w="1980" w:type="dxa"/>
            <w:shd w:val="clear" w:color="auto" w:fill="CCCCCC"/>
            <w:vAlign w:val="center"/>
          </w:tcPr>
          <w:p w14:paraId="7A0230DA" w14:textId="77777777" w:rsidR="00C87E1E" w:rsidRPr="009E1E74" w:rsidRDefault="00C87E1E" w:rsidP="00C87E1E">
            <w:pPr>
              <w:spacing w:before="60" w:after="60" w:line="200" w:lineRule="exact"/>
              <w:jc w:val="center"/>
              <w:rPr>
                <w:b/>
                <w:noProof/>
                <w:sz w:val="16"/>
                <w:szCs w:val="16"/>
              </w:rPr>
            </w:pPr>
            <w:r w:rsidRPr="009E1E74">
              <w:rPr>
                <w:b/>
                <w:noProof/>
                <w:sz w:val="16"/>
              </w:rPr>
              <w:t>Daugiametės finansinės programos</w:t>
            </w:r>
            <w:r w:rsidRPr="009E1E74">
              <w:rPr>
                <w:noProof/>
              </w:rPr>
              <w:t xml:space="preserve"> </w:t>
            </w:r>
            <w:r w:rsidRPr="009E1E74">
              <w:rPr>
                <w:noProof/>
              </w:rPr>
              <w:br/>
            </w:r>
            <w:r w:rsidRPr="009E1E74">
              <w:rPr>
                <w:b/>
                <w:noProof/>
                <w:sz w:val="16"/>
              </w:rPr>
              <w:t>7 IŠLAIDŲ KATEGORIJA</w:t>
            </w:r>
          </w:p>
        </w:tc>
        <w:tc>
          <w:tcPr>
            <w:tcW w:w="1080" w:type="dxa"/>
            <w:vAlign w:val="center"/>
          </w:tcPr>
          <w:p w14:paraId="41190751"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783A8C75"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792B6321"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1086E84B"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228A501A"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2F2FBA88"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5513B904" w14:textId="77777777" w:rsidR="00C87E1E" w:rsidRPr="009E1E74" w:rsidRDefault="00C87E1E" w:rsidP="00C87E1E">
            <w:pPr>
              <w:spacing w:before="60" w:after="60" w:line="200" w:lineRule="exact"/>
              <w:jc w:val="right"/>
              <w:rPr>
                <w:b/>
                <w:noProof/>
                <w:sz w:val="16"/>
                <w:szCs w:val="16"/>
                <w:lang w:eastAsia="en-GB"/>
              </w:rPr>
            </w:pPr>
          </w:p>
        </w:tc>
        <w:tc>
          <w:tcPr>
            <w:tcW w:w="1080" w:type="dxa"/>
            <w:vAlign w:val="center"/>
          </w:tcPr>
          <w:p w14:paraId="70AD9E79" w14:textId="77777777" w:rsidR="00C87E1E" w:rsidRPr="009E1E74" w:rsidRDefault="00C87E1E" w:rsidP="00C87E1E">
            <w:pPr>
              <w:spacing w:before="60" w:after="60" w:line="200" w:lineRule="exact"/>
              <w:jc w:val="right"/>
              <w:rPr>
                <w:b/>
                <w:noProof/>
                <w:sz w:val="16"/>
                <w:szCs w:val="16"/>
                <w:lang w:eastAsia="en-GB"/>
              </w:rPr>
            </w:pPr>
          </w:p>
        </w:tc>
      </w:tr>
      <w:tr w:rsidR="00C87E1E" w:rsidRPr="009E1E74" w14:paraId="562D771A" w14:textId="77777777" w:rsidTr="00C87E1E">
        <w:trPr>
          <w:trHeight w:val="585"/>
        </w:trPr>
        <w:tc>
          <w:tcPr>
            <w:tcW w:w="1980" w:type="dxa"/>
            <w:vAlign w:val="center"/>
          </w:tcPr>
          <w:p w14:paraId="1C59DF29" w14:textId="77777777" w:rsidR="00C87E1E" w:rsidRPr="009E1E74" w:rsidRDefault="00C87E1E" w:rsidP="00C87E1E">
            <w:pPr>
              <w:spacing w:before="60" w:after="60" w:line="200" w:lineRule="exact"/>
              <w:ind w:left="72"/>
              <w:jc w:val="left"/>
              <w:rPr>
                <w:noProof/>
                <w:sz w:val="16"/>
                <w:szCs w:val="16"/>
              </w:rPr>
            </w:pPr>
            <w:r w:rsidRPr="009E1E74">
              <w:rPr>
                <w:noProof/>
                <w:sz w:val="16"/>
              </w:rPr>
              <w:t xml:space="preserve">Žmogiškieji ištekliai </w:t>
            </w:r>
          </w:p>
        </w:tc>
        <w:tc>
          <w:tcPr>
            <w:tcW w:w="1080" w:type="dxa"/>
            <w:vAlign w:val="center"/>
          </w:tcPr>
          <w:p w14:paraId="3ED2F260"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3DA9157B"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1AA9E9E6"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037EEAB5"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36FEE68A"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6BDF0C3B"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66E513F0" w14:textId="77777777" w:rsidR="00C87E1E" w:rsidRPr="009E1E74" w:rsidRDefault="00C87E1E" w:rsidP="00C87E1E">
            <w:pPr>
              <w:spacing w:before="60" w:after="60" w:line="200" w:lineRule="exact"/>
              <w:jc w:val="right"/>
              <w:rPr>
                <w:b/>
                <w:noProof/>
                <w:sz w:val="16"/>
                <w:szCs w:val="16"/>
                <w:lang w:eastAsia="en-GB"/>
              </w:rPr>
            </w:pPr>
          </w:p>
        </w:tc>
        <w:tc>
          <w:tcPr>
            <w:tcW w:w="1080" w:type="dxa"/>
            <w:vAlign w:val="center"/>
          </w:tcPr>
          <w:p w14:paraId="7D3ADC97" w14:textId="77777777" w:rsidR="00C87E1E" w:rsidRPr="009E1E74" w:rsidRDefault="00C87E1E" w:rsidP="00C87E1E">
            <w:pPr>
              <w:spacing w:before="60" w:after="60" w:line="200" w:lineRule="exact"/>
              <w:jc w:val="right"/>
              <w:rPr>
                <w:b/>
                <w:noProof/>
                <w:sz w:val="16"/>
                <w:szCs w:val="16"/>
                <w:lang w:eastAsia="en-GB"/>
              </w:rPr>
            </w:pPr>
          </w:p>
        </w:tc>
      </w:tr>
      <w:tr w:rsidR="00C87E1E" w:rsidRPr="009E1E74" w14:paraId="42BC7742" w14:textId="77777777" w:rsidTr="00C87E1E">
        <w:trPr>
          <w:trHeight w:val="585"/>
        </w:trPr>
        <w:tc>
          <w:tcPr>
            <w:tcW w:w="1980" w:type="dxa"/>
            <w:vAlign w:val="center"/>
          </w:tcPr>
          <w:p w14:paraId="293F102A" w14:textId="77777777" w:rsidR="00C87E1E" w:rsidRPr="009E1E74" w:rsidRDefault="00C87E1E" w:rsidP="00C87E1E">
            <w:pPr>
              <w:spacing w:before="60" w:after="60" w:line="200" w:lineRule="exact"/>
              <w:ind w:left="72"/>
              <w:jc w:val="left"/>
              <w:rPr>
                <w:noProof/>
                <w:sz w:val="16"/>
                <w:szCs w:val="16"/>
              </w:rPr>
            </w:pPr>
            <w:r w:rsidRPr="009E1E74">
              <w:rPr>
                <w:noProof/>
                <w:sz w:val="16"/>
              </w:rPr>
              <w:t xml:space="preserve">Kitos administracinės išlaidos </w:t>
            </w:r>
          </w:p>
        </w:tc>
        <w:tc>
          <w:tcPr>
            <w:tcW w:w="1080" w:type="dxa"/>
            <w:vAlign w:val="center"/>
          </w:tcPr>
          <w:p w14:paraId="735BEE6D"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28D6BD44"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5127A24F"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788A8AE9"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76000128"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793946C0"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255C3142" w14:textId="77777777" w:rsidR="00C87E1E" w:rsidRPr="009E1E74" w:rsidRDefault="00C87E1E" w:rsidP="00C87E1E">
            <w:pPr>
              <w:spacing w:before="60" w:after="60" w:line="200" w:lineRule="exact"/>
              <w:jc w:val="right"/>
              <w:rPr>
                <w:b/>
                <w:noProof/>
                <w:sz w:val="16"/>
                <w:szCs w:val="16"/>
                <w:lang w:eastAsia="en-GB"/>
              </w:rPr>
            </w:pPr>
          </w:p>
        </w:tc>
        <w:tc>
          <w:tcPr>
            <w:tcW w:w="1080" w:type="dxa"/>
            <w:vAlign w:val="center"/>
          </w:tcPr>
          <w:p w14:paraId="5CDA6E0B" w14:textId="77777777" w:rsidR="00C87E1E" w:rsidRPr="009E1E74" w:rsidRDefault="00C87E1E" w:rsidP="00C87E1E">
            <w:pPr>
              <w:spacing w:before="60" w:after="60" w:line="200" w:lineRule="exact"/>
              <w:jc w:val="right"/>
              <w:rPr>
                <w:b/>
                <w:noProof/>
                <w:sz w:val="16"/>
                <w:szCs w:val="16"/>
                <w:lang w:eastAsia="en-GB"/>
              </w:rPr>
            </w:pPr>
          </w:p>
        </w:tc>
      </w:tr>
      <w:tr w:rsidR="00C87E1E" w:rsidRPr="009E1E74" w14:paraId="79A95CB9" w14:textId="77777777" w:rsidTr="00C87E1E">
        <w:trPr>
          <w:trHeight w:val="585"/>
        </w:trPr>
        <w:tc>
          <w:tcPr>
            <w:tcW w:w="1980" w:type="dxa"/>
            <w:shd w:val="clear" w:color="auto" w:fill="CCCCCC"/>
            <w:vAlign w:val="center"/>
          </w:tcPr>
          <w:p w14:paraId="533801F5" w14:textId="77777777" w:rsidR="00C87E1E" w:rsidRPr="009E1E74" w:rsidRDefault="00C87E1E" w:rsidP="00C87E1E">
            <w:pPr>
              <w:spacing w:before="60" w:after="60" w:line="200" w:lineRule="exact"/>
              <w:jc w:val="center"/>
              <w:rPr>
                <w:b/>
                <w:noProof/>
                <w:sz w:val="16"/>
                <w:szCs w:val="16"/>
              </w:rPr>
            </w:pPr>
            <w:r w:rsidRPr="009E1E74">
              <w:rPr>
                <w:b/>
                <w:noProof/>
                <w:sz w:val="16"/>
              </w:rPr>
              <w:t>Daugiametės finansinės programos</w:t>
            </w:r>
            <w:r w:rsidRPr="009E1E74">
              <w:rPr>
                <w:noProof/>
              </w:rPr>
              <w:t xml:space="preserve"> </w:t>
            </w:r>
            <w:r w:rsidRPr="009E1E74">
              <w:rPr>
                <w:noProof/>
              </w:rPr>
              <w:br/>
            </w:r>
            <w:r w:rsidRPr="009E1E74">
              <w:rPr>
                <w:b/>
                <w:noProof/>
                <w:sz w:val="16"/>
              </w:rPr>
              <w:t xml:space="preserve">7 IŠLAIDŲ KATEGORIJOS tarpinė suma </w:t>
            </w:r>
          </w:p>
        </w:tc>
        <w:tc>
          <w:tcPr>
            <w:tcW w:w="1080" w:type="dxa"/>
            <w:vAlign w:val="center"/>
          </w:tcPr>
          <w:p w14:paraId="26AFEBD2"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45F6ACA2"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2349986C"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59692B58"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32B0AD14"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3EECB780"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1A487E2C" w14:textId="77777777" w:rsidR="00C87E1E" w:rsidRPr="009E1E74" w:rsidRDefault="00C87E1E" w:rsidP="00C87E1E">
            <w:pPr>
              <w:spacing w:before="60" w:after="60" w:line="200" w:lineRule="exact"/>
              <w:jc w:val="right"/>
              <w:rPr>
                <w:b/>
                <w:noProof/>
                <w:sz w:val="16"/>
                <w:szCs w:val="16"/>
                <w:lang w:eastAsia="en-GB"/>
              </w:rPr>
            </w:pPr>
          </w:p>
        </w:tc>
        <w:tc>
          <w:tcPr>
            <w:tcW w:w="1080" w:type="dxa"/>
            <w:vAlign w:val="center"/>
          </w:tcPr>
          <w:p w14:paraId="6A1D1B33" w14:textId="77777777" w:rsidR="00C87E1E" w:rsidRPr="009E1E74" w:rsidRDefault="00C87E1E" w:rsidP="00C87E1E">
            <w:pPr>
              <w:spacing w:before="60" w:after="60" w:line="200" w:lineRule="exact"/>
              <w:jc w:val="right"/>
              <w:rPr>
                <w:b/>
                <w:noProof/>
                <w:sz w:val="16"/>
                <w:szCs w:val="16"/>
                <w:lang w:eastAsia="en-GB"/>
              </w:rPr>
            </w:pPr>
          </w:p>
        </w:tc>
      </w:tr>
    </w:tbl>
    <w:p w14:paraId="7157264E" w14:textId="77777777" w:rsidR="00C87E1E" w:rsidRPr="009E1E74" w:rsidRDefault="00C87E1E" w:rsidP="00C87E1E">
      <w:pPr>
        <w:spacing w:line="200" w:lineRule="exact"/>
        <w:rPr>
          <w:noProof/>
          <w:sz w:val="16"/>
          <w:szCs w:val="16"/>
          <w:lang w:eastAsia="en-GB"/>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87E1E" w:rsidRPr="009E1E74" w14:paraId="600C2BF8" w14:textId="77777777" w:rsidTr="00C87E1E">
        <w:trPr>
          <w:trHeight w:val="585"/>
        </w:trPr>
        <w:tc>
          <w:tcPr>
            <w:tcW w:w="1980" w:type="dxa"/>
            <w:shd w:val="clear" w:color="auto" w:fill="CCCCCC"/>
            <w:vAlign w:val="center"/>
          </w:tcPr>
          <w:p w14:paraId="37657D57" w14:textId="77777777" w:rsidR="00C87E1E" w:rsidRPr="009E1E74" w:rsidRDefault="00C87E1E" w:rsidP="00C87E1E">
            <w:pPr>
              <w:spacing w:before="60" w:after="60" w:line="200" w:lineRule="exact"/>
              <w:jc w:val="center"/>
              <w:rPr>
                <w:noProof/>
                <w:sz w:val="16"/>
                <w:szCs w:val="16"/>
              </w:rPr>
            </w:pPr>
            <w:r w:rsidRPr="009E1E74">
              <w:rPr>
                <w:b/>
                <w:noProof/>
                <w:sz w:val="16"/>
              </w:rPr>
              <w:t>Neįtraukta į 7 IŠLAIDŲ KATEGORIJĄ</w:t>
            </w:r>
            <w:r w:rsidRPr="009E1E74">
              <w:rPr>
                <w:rStyle w:val="FootnoteReference"/>
                <w:noProof/>
              </w:rPr>
              <w:footnoteReference w:id="15"/>
            </w:r>
            <w:r w:rsidRPr="009E1E74">
              <w:rPr>
                <w:noProof/>
              </w:rPr>
              <w:t xml:space="preserve"> </w:t>
            </w:r>
            <w:r w:rsidRPr="009E1E74">
              <w:rPr>
                <w:noProof/>
              </w:rPr>
              <w:br/>
            </w:r>
            <w:r w:rsidRPr="009E1E74">
              <w:rPr>
                <w:b/>
                <w:noProof/>
                <w:sz w:val="16"/>
              </w:rPr>
              <w:t xml:space="preserve">of the multiannual financial framework </w:t>
            </w:r>
          </w:p>
          <w:p w14:paraId="4B8647F3" w14:textId="77777777" w:rsidR="00C87E1E" w:rsidRPr="009E1E74" w:rsidRDefault="00C87E1E" w:rsidP="00C87E1E">
            <w:pPr>
              <w:spacing w:before="0" w:after="0" w:line="200" w:lineRule="exact"/>
              <w:jc w:val="center"/>
              <w:rPr>
                <w:b/>
                <w:noProof/>
                <w:sz w:val="16"/>
                <w:szCs w:val="16"/>
                <w:lang w:eastAsia="en-GB"/>
              </w:rPr>
            </w:pPr>
          </w:p>
        </w:tc>
        <w:tc>
          <w:tcPr>
            <w:tcW w:w="1080" w:type="dxa"/>
            <w:vAlign w:val="center"/>
          </w:tcPr>
          <w:p w14:paraId="79830AD8"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3343EAF1"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4F98FDBC"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3B4AFB80"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469F2E0C"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63B66650"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677FF0BD" w14:textId="77777777" w:rsidR="00C87E1E" w:rsidRPr="009E1E74" w:rsidRDefault="00C87E1E" w:rsidP="00C87E1E">
            <w:pPr>
              <w:spacing w:before="60" w:after="60" w:line="200" w:lineRule="exact"/>
              <w:jc w:val="right"/>
              <w:rPr>
                <w:b/>
                <w:noProof/>
                <w:sz w:val="16"/>
                <w:szCs w:val="16"/>
                <w:lang w:eastAsia="en-GB"/>
              </w:rPr>
            </w:pPr>
          </w:p>
        </w:tc>
        <w:tc>
          <w:tcPr>
            <w:tcW w:w="1080" w:type="dxa"/>
            <w:vAlign w:val="center"/>
          </w:tcPr>
          <w:p w14:paraId="32436F28" w14:textId="77777777" w:rsidR="00C87E1E" w:rsidRPr="009E1E74" w:rsidRDefault="00C87E1E" w:rsidP="00C87E1E">
            <w:pPr>
              <w:spacing w:before="60" w:after="60" w:line="200" w:lineRule="exact"/>
              <w:jc w:val="right"/>
              <w:rPr>
                <w:b/>
                <w:noProof/>
                <w:sz w:val="16"/>
                <w:szCs w:val="16"/>
                <w:lang w:eastAsia="en-GB"/>
              </w:rPr>
            </w:pPr>
          </w:p>
        </w:tc>
      </w:tr>
      <w:tr w:rsidR="00C87E1E" w:rsidRPr="009E1E74" w14:paraId="31CF0A00" w14:textId="77777777" w:rsidTr="00C87E1E">
        <w:trPr>
          <w:trHeight w:val="585"/>
        </w:trPr>
        <w:tc>
          <w:tcPr>
            <w:tcW w:w="1980" w:type="dxa"/>
            <w:vAlign w:val="center"/>
          </w:tcPr>
          <w:p w14:paraId="4DFFAC26" w14:textId="77777777" w:rsidR="00C87E1E" w:rsidRPr="009E1E74" w:rsidRDefault="00C87E1E" w:rsidP="00C87E1E">
            <w:pPr>
              <w:spacing w:before="60" w:after="60" w:line="200" w:lineRule="exact"/>
              <w:ind w:left="72"/>
              <w:jc w:val="left"/>
              <w:rPr>
                <w:noProof/>
                <w:sz w:val="16"/>
                <w:szCs w:val="16"/>
              </w:rPr>
            </w:pPr>
            <w:r w:rsidRPr="009E1E74">
              <w:rPr>
                <w:noProof/>
                <w:sz w:val="16"/>
              </w:rPr>
              <w:t xml:space="preserve">Žmogiškieji ištekliai </w:t>
            </w:r>
          </w:p>
        </w:tc>
        <w:tc>
          <w:tcPr>
            <w:tcW w:w="1080" w:type="dxa"/>
            <w:vAlign w:val="center"/>
          </w:tcPr>
          <w:p w14:paraId="647C0C96"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05FBCE15"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281DAB36"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153DF735"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054175C3"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3B4F7496"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7238618D" w14:textId="77777777" w:rsidR="00C87E1E" w:rsidRPr="009E1E74" w:rsidRDefault="00C87E1E" w:rsidP="00C87E1E">
            <w:pPr>
              <w:spacing w:before="60" w:after="60" w:line="200" w:lineRule="exact"/>
              <w:jc w:val="right"/>
              <w:rPr>
                <w:b/>
                <w:noProof/>
                <w:sz w:val="16"/>
                <w:szCs w:val="16"/>
                <w:lang w:eastAsia="en-GB"/>
              </w:rPr>
            </w:pPr>
          </w:p>
        </w:tc>
        <w:tc>
          <w:tcPr>
            <w:tcW w:w="1080" w:type="dxa"/>
            <w:vAlign w:val="center"/>
          </w:tcPr>
          <w:p w14:paraId="78034DDD" w14:textId="77777777" w:rsidR="00C87E1E" w:rsidRPr="009E1E74" w:rsidRDefault="00C87E1E" w:rsidP="00C87E1E">
            <w:pPr>
              <w:spacing w:before="60" w:after="60" w:line="200" w:lineRule="exact"/>
              <w:jc w:val="right"/>
              <w:rPr>
                <w:b/>
                <w:noProof/>
                <w:sz w:val="16"/>
                <w:szCs w:val="16"/>
                <w:lang w:eastAsia="en-GB"/>
              </w:rPr>
            </w:pPr>
          </w:p>
        </w:tc>
      </w:tr>
      <w:tr w:rsidR="00C87E1E" w:rsidRPr="009E1E74" w14:paraId="65C4AB22" w14:textId="77777777" w:rsidTr="00C87E1E">
        <w:trPr>
          <w:trHeight w:val="585"/>
        </w:trPr>
        <w:tc>
          <w:tcPr>
            <w:tcW w:w="1980" w:type="dxa"/>
            <w:vAlign w:val="center"/>
          </w:tcPr>
          <w:p w14:paraId="6EBF7F6F" w14:textId="77777777" w:rsidR="00C87E1E" w:rsidRPr="009E1E74" w:rsidRDefault="00C87E1E" w:rsidP="00C87E1E">
            <w:pPr>
              <w:spacing w:before="60" w:after="60" w:line="200" w:lineRule="exact"/>
              <w:ind w:left="72"/>
              <w:jc w:val="left"/>
              <w:rPr>
                <w:noProof/>
                <w:sz w:val="16"/>
                <w:szCs w:val="16"/>
              </w:rPr>
            </w:pPr>
            <w:r w:rsidRPr="009E1E74">
              <w:rPr>
                <w:noProof/>
                <w:sz w:val="16"/>
              </w:rPr>
              <w:t xml:space="preserve">Kitos administracinio </w:t>
            </w:r>
            <w:r w:rsidRPr="009E1E74">
              <w:rPr>
                <w:noProof/>
                <w:sz w:val="16"/>
              </w:rPr>
              <w:br/>
              <w:t>pobūdžio išlaidos</w:t>
            </w:r>
          </w:p>
        </w:tc>
        <w:tc>
          <w:tcPr>
            <w:tcW w:w="1080" w:type="dxa"/>
            <w:vAlign w:val="center"/>
          </w:tcPr>
          <w:p w14:paraId="4388B292"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6E375E95"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5D346846"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3E911FDE"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60806AB4"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398A5A2D"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0BB24193" w14:textId="77777777" w:rsidR="00C87E1E" w:rsidRPr="009E1E74" w:rsidRDefault="00C87E1E" w:rsidP="00C87E1E">
            <w:pPr>
              <w:spacing w:before="60" w:after="60" w:line="200" w:lineRule="exact"/>
              <w:jc w:val="right"/>
              <w:rPr>
                <w:b/>
                <w:noProof/>
                <w:sz w:val="16"/>
                <w:szCs w:val="16"/>
                <w:lang w:eastAsia="en-GB"/>
              </w:rPr>
            </w:pPr>
          </w:p>
        </w:tc>
        <w:tc>
          <w:tcPr>
            <w:tcW w:w="1080" w:type="dxa"/>
            <w:vAlign w:val="center"/>
          </w:tcPr>
          <w:p w14:paraId="508A53FB" w14:textId="77777777" w:rsidR="00C87E1E" w:rsidRPr="009E1E74" w:rsidRDefault="00C87E1E" w:rsidP="00C87E1E">
            <w:pPr>
              <w:spacing w:before="60" w:after="60" w:line="200" w:lineRule="exact"/>
              <w:jc w:val="right"/>
              <w:rPr>
                <w:b/>
                <w:noProof/>
                <w:sz w:val="16"/>
                <w:szCs w:val="16"/>
                <w:lang w:eastAsia="en-GB"/>
              </w:rPr>
            </w:pPr>
          </w:p>
        </w:tc>
      </w:tr>
      <w:tr w:rsidR="00C87E1E" w:rsidRPr="009E1E74" w14:paraId="25F1A560" w14:textId="77777777" w:rsidTr="00C87E1E">
        <w:trPr>
          <w:trHeight w:val="585"/>
        </w:trPr>
        <w:tc>
          <w:tcPr>
            <w:tcW w:w="1980" w:type="dxa"/>
            <w:shd w:val="clear" w:color="auto" w:fill="CCCCCC"/>
            <w:vAlign w:val="center"/>
          </w:tcPr>
          <w:p w14:paraId="44E62738" w14:textId="77777777" w:rsidR="00C87E1E" w:rsidRPr="009E1E74" w:rsidRDefault="00C87E1E" w:rsidP="00C87E1E">
            <w:pPr>
              <w:spacing w:before="60" w:after="60" w:line="200" w:lineRule="exact"/>
              <w:jc w:val="center"/>
              <w:rPr>
                <w:b/>
                <w:noProof/>
                <w:sz w:val="16"/>
                <w:szCs w:val="16"/>
              </w:rPr>
            </w:pPr>
            <w:r w:rsidRPr="009E1E74">
              <w:rPr>
                <w:b/>
                <w:noProof/>
                <w:sz w:val="16"/>
              </w:rPr>
              <w:t>Tarpinė suma,</w:t>
            </w:r>
            <w:r w:rsidRPr="009E1E74">
              <w:rPr>
                <w:noProof/>
              </w:rPr>
              <w:t xml:space="preserve"> </w:t>
            </w:r>
            <w:r w:rsidRPr="009E1E74">
              <w:rPr>
                <w:noProof/>
              </w:rPr>
              <w:br/>
            </w:r>
            <w:r w:rsidRPr="009E1E74">
              <w:rPr>
                <w:b/>
                <w:noProof/>
                <w:sz w:val="16"/>
              </w:rPr>
              <w:t>neįtraukta į daugiametės finansinės programos</w:t>
            </w:r>
            <w:r w:rsidRPr="009E1E74">
              <w:rPr>
                <w:noProof/>
              </w:rPr>
              <w:t xml:space="preserve"> </w:t>
            </w:r>
            <w:r w:rsidRPr="009E1E74">
              <w:rPr>
                <w:noProof/>
              </w:rPr>
              <w:br/>
            </w:r>
            <w:r w:rsidRPr="009E1E74">
              <w:rPr>
                <w:b/>
                <w:noProof/>
                <w:sz w:val="16"/>
              </w:rPr>
              <w:t xml:space="preserve">7 IŠLAIDŲ KATEGORIJĄ </w:t>
            </w:r>
          </w:p>
        </w:tc>
        <w:tc>
          <w:tcPr>
            <w:tcW w:w="1080" w:type="dxa"/>
            <w:vAlign w:val="center"/>
          </w:tcPr>
          <w:p w14:paraId="4C7B7073"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3695D534"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2D20F52C"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646A652F"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60B8B1DC"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288C3371" w14:textId="77777777" w:rsidR="00C87E1E" w:rsidRPr="009E1E74" w:rsidRDefault="00C87E1E" w:rsidP="00C87E1E">
            <w:pPr>
              <w:spacing w:before="60" w:after="60" w:line="200" w:lineRule="exact"/>
              <w:jc w:val="right"/>
              <w:rPr>
                <w:noProof/>
                <w:sz w:val="16"/>
                <w:szCs w:val="16"/>
                <w:lang w:eastAsia="en-GB"/>
              </w:rPr>
            </w:pPr>
          </w:p>
        </w:tc>
        <w:tc>
          <w:tcPr>
            <w:tcW w:w="1080" w:type="dxa"/>
            <w:vAlign w:val="center"/>
          </w:tcPr>
          <w:p w14:paraId="259E4CD2" w14:textId="77777777" w:rsidR="00C87E1E" w:rsidRPr="009E1E74" w:rsidRDefault="00C87E1E" w:rsidP="00C87E1E">
            <w:pPr>
              <w:spacing w:before="60" w:after="60" w:line="200" w:lineRule="exact"/>
              <w:jc w:val="right"/>
              <w:rPr>
                <w:b/>
                <w:noProof/>
                <w:sz w:val="16"/>
                <w:szCs w:val="16"/>
                <w:lang w:eastAsia="en-GB"/>
              </w:rPr>
            </w:pPr>
          </w:p>
        </w:tc>
        <w:tc>
          <w:tcPr>
            <w:tcW w:w="1080" w:type="dxa"/>
            <w:vAlign w:val="center"/>
          </w:tcPr>
          <w:p w14:paraId="44F5D4CD" w14:textId="77777777" w:rsidR="00C87E1E" w:rsidRPr="009E1E74" w:rsidRDefault="00C87E1E" w:rsidP="00C87E1E">
            <w:pPr>
              <w:spacing w:before="60" w:after="60" w:line="200" w:lineRule="exact"/>
              <w:jc w:val="right"/>
              <w:rPr>
                <w:b/>
                <w:noProof/>
                <w:sz w:val="16"/>
                <w:szCs w:val="16"/>
                <w:lang w:eastAsia="en-GB"/>
              </w:rPr>
            </w:pPr>
          </w:p>
        </w:tc>
      </w:tr>
    </w:tbl>
    <w:p w14:paraId="426212BD" w14:textId="77777777" w:rsidR="00C87E1E" w:rsidRPr="009E1E74" w:rsidRDefault="00C87E1E" w:rsidP="00C87E1E">
      <w:pPr>
        <w:spacing w:line="200" w:lineRule="exact"/>
        <w:rPr>
          <w:noProof/>
          <w:sz w:val="16"/>
          <w:szCs w:val="16"/>
          <w:lang w:eastAsia="en-GB"/>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87E1E" w:rsidRPr="009E1E74" w14:paraId="546C427B" w14:textId="77777777" w:rsidTr="00C87E1E">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4775C5B6" w14:textId="77777777" w:rsidR="00C87E1E" w:rsidRPr="009E1E74" w:rsidRDefault="00C87E1E" w:rsidP="00C87E1E">
            <w:pPr>
              <w:spacing w:before="60" w:after="60" w:line="200" w:lineRule="exact"/>
              <w:jc w:val="center"/>
              <w:rPr>
                <w:noProof/>
                <w:sz w:val="16"/>
                <w:szCs w:val="16"/>
              </w:rPr>
            </w:pPr>
            <w:r w:rsidRPr="009E1E74">
              <w:rPr>
                <w:b/>
                <w:noProof/>
                <w:sz w:val="16"/>
              </w:rPr>
              <w:t>IŠ VISO</w:t>
            </w:r>
          </w:p>
        </w:tc>
        <w:tc>
          <w:tcPr>
            <w:tcW w:w="1080" w:type="dxa"/>
            <w:tcBorders>
              <w:top w:val="single" w:sz="12" w:space="0" w:color="auto"/>
              <w:left w:val="single" w:sz="2" w:space="0" w:color="auto"/>
              <w:bottom w:val="single" w:sz="12" w:space="0" w:color="auto"/>
              <w:right w:val="single" w:sz="2" w:space="0" w:color="auto"/>
            </w:tcBorders>
            <w:vAlign w:val="center"/>
          </w:tcPr>
          <w:p w14:paraId="0C2EA3EC" w14:textId="77777777" w:rsidR="00C87E1E" w:rsidRPr="009E1E74" w:rsidRDefault="00C87E1E" w:rsidP="00C87E1E">
            <w:pPr>
              <w:spacing w:before="60" w:after="60" w:line="200" w:lineRule="exact"/>
              <w:jc w:val="right"/>
              <w:rPr>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74534F2D" w14:textId="77777777" w:rsidR="00C87E1E" w:rsidRPr="009E1E74" w:rsidRDefault="00C87E1E" w:rsidP="00C87E1E">
            <w:pPr>
              <w:spacing w:before="60" w:after="60" w:line="200" w:lineRule="exact"/>
              <w:jc w:val="right"/>
              <w:rPr>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3B116543" w14:textId="77777777" w:rsidR="00C87E1E" w:rsidRPr="009E1E74" w:rsidRDefault="00C87E1E" w:rsidP="00C87E1E">
            <w:pPr>
              <w:spacing w:before="60" w:after="60" w:line="200" w:lineRule="exact"/>
              <w:jc w:val="right"/>
              <w:rPr>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2566952E" w14:textId="77777777" w:rsidR="00C87E1E" w:rsidRPr="009E1E74" w:rsidRDefault="00C87E1E" w:rsidP="00C87E1E">
            <w:pPr>
              <w:spacing w:before="60" w:after="60" w:line="200" w:lineRule="exact"/>
              <w:jc w:val="right"/>
              <w:rPr>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6B75D761" w14:textId="77777777" w:rsidR="00C87E1E" w:rsidRPr="009E1E74" w:rsidRDefault="00C87E1E" w:rsidP="00C87E1E">
            <w:pPr>
              <w:spacing w:before="60" w:after="60" w:line="200" w:lineRule="exact"/>
              <w:jc w:val="right"/>
              <w:rPr>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22D4A3FE" w14:textId="77777777" w:rsidR="00C87E1E" w:rsidRPr="009E1E74" w:rsidRDefault="00C87E1E" w:rsidP="00C87E1E">
            <w:pPr>
              <w:spacing w:before="60" w:after="60" w:line="200" w:lineRule="exact"/>
              <w:jc w:val="right"/>
              <w:rPr>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14:paraId="52A41593" w14:textId="77777777" w:rsidR="00C87E1E" w:rsidRPr="009E1E74" w:rsidRDefault="00C87E1E" w:rsidP="00C87E1E">
            <w:pPr>
              <w:spacing w:before="60" w:after="60" w:line="200" w:lineRule="exact"/>
              <w:jc w:val="right"/>
              <w:rPr>
                <w:b/>
                <w:noProof/>
                <w:sz w:val="16"/>
                <w:szCs w:val="16"/>
                <w:lang w:eastAsia="en-GB"/>
              </w:rPr>
            </w:pPr>
          </w:p>
        </w:tc>
        <w:tc>
          <w:tcPr>
            <w:tcW w:w="1080" w:type="dxa"/>
            <w:tcBorders>
              <w:top w:val="single" w:sz="12" w:space="0" w:color="auto"/>
              <w:left w:val="single" w:sz="2" w:space="0" w:color="auto"/>
              <w:bottom w:val="single" w:sz="12" w:space="0" w:color="auto"/>
              <w:right w:val="single" w:sz="12" w:space="0" w:color="auto"/>
            </w:tcBorders>
            <w:vAlign w:val="center"/>
          </w:tcPr>
          <w:p w14:paraId="7BDC7B1F" w14:textId="77777777" w:rsidR="00C87E1E" w:rsidRPr="009E1E74" w:rsidRDefault="00C87E1E" w:rsidP="00C87E1E">
            <w:pPr>
              <w:spacing w:before="60" w:after="60" w:line="200" w:lineRule="exact"/>
              <w:jc w:val="right"/>
              <w:rPr>
                <w:b/>
                <w:noProof/>
                <w:sz w:val="16"/>
                <w:szCs w:val="16"/>
                <w:lang w:eastAsia="en-GB"/>
              </w:rPr>
            </w:pPr>
          </w:p>
        </w:tc>
      </w:tr>
    </w:tbl>
    <w:p w14:paraId="583F4A04" w14:textId="77777777" w:rsidR="00C87E1E" w:rsidRPr="009E1E74" w:rsidRDefault="00C87E1E" w:rsidP="00C87E1E">
      <w:pPr>
        <w:rPr>
          <w:noProof/>
          <w:sz w:val="18"/>
        </w:rPr>
      </w:pPr>
      <w:r w:rsidRPr="009E1E74">
        <w:rPr>
          <w:noProof/>
          <w:sz w:val="18"/>
        </w:rPr>
        <w:t>Žmogiškųjų išteklių ir kitų administracinio pobūdžio išlaidų asignavimų poreikiai bus tenkinami iš GD asignavimų, jau paskirtų veiksmui valdyti ir (arba) perskirstytų generaliniame direktorate, ir prireikus finansuojami iš papildomų lėšų, kurios atsakingam GD gali būti skiriamos pagal metinę lėšų skyrimo procedūrą ir atsižvelgiant į biudžeto apribojimus.</w:t>
      </w:r>
    </w:p>
    <w:p w14:paraId="0F07536C" w14:textId="77777777" w:rsidR="00C87E1E" w:rsidRPr="009E1E74" w:rsidRDefault="00C87E1E" w:rsidP="00C87E1E">
      <w:pPr>
        <w:rPr>
          <w:noProof/>
          <w:sz w:val="18"/>
          <w:lang w:eastAsia="en-GB"/>
        </w:rPr>
        <w:sectPr w:rsidR="00C87E1E" w:rsidRPr="009E1E74" w:rsidSect="006E606F">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14:paraId="27181327" w14:textId="77777777" w:rsidR="00C87E1E" w:rsidRPr="009E1E74" w:rsidRDefault="00C87E1E" w:rsidP="00FB18F4">
      <w:pPr>
        <w:keepNext/>
        <w:outlineLvl w:val="3"/>
        <w:rPr>
          <w:rFonts w:eastAsiaTheme="majorEastAsia"/>
          <w:iCs/>
          <w:noProof/>
          <w:szCs w:val="24"/>
        </w:rPr>
      </w:pPr>
      <w:r w:rsidRPr="009E1E74">
        <w:rPr>
          <w:noProof/>
        </w:rPr>
        <w:t xml:space="preserve">Numatomi žmogiškųjų išteklių poreikiai </w:t>
      </w:r>
    </w:p>
    <w:p w14:paraId="61A38C7E" w14:textId="77777777" w:rsidR="00C87E1E" w:rsidRPr="009E1E74" w:rsidRDefault="00C87E1E" w:rsidP="00C87E1E">
      <w:pPr>
        <w:tabs>
          <w:tab w:val="num" w:pos="1134"/>
        </w:tabs>
        <w:ind w:left="1134" w:hanging="283"/>
        <w:rPr>
          <w:noProof/>
        </w:rPr>
      </w:pPr>
      <w:r w:rsidRPr="009E1E74">
        <w:rPr>
          <w:b/>
          <w:noProof/>
        </w:rPr>
        <w:t>X</w:t>
      </w:r>
      <w:r w:rsidRPr="009E1E74">
        <w:rPr>
          <w:noProof/>
        </w:rPr>
        <w:tab/>
        <w:t xml:space="preserve">Pasiūlymui (iniciatyvai) įgyvendinti žmogiškųjų išteklių nenaudojama. </w:t>
      </w:r>
    </w:p>
    <w:p w14:paraId="5A51A8FF" w14:textId="77777777" w:rsidR="00C87E1E" w:rsidRPr="009E1E74" w:rsidRDefault="00C87E1E" w:rsidP="00C87E1E">
      <w:pPr>
        <w:tabs>
          <w:tab w:val="num" w:pos="1134"/>
        </w:tabs>
        <w:ind w:left="1134" w:hanging="283"/>
        <w:rPr>
          <w:noProof/>
        </w:rPr>
      </w:pPr>
      <w:r w:rsidRPr="009E1E74">
        <w:rPr>
          <w:noProof/>
        </w:rPr>
        <w:sym w:font="Wingdings" w:char="F0A8"/>
      </w:r>
      <w:r w:rsidRPr="009E1E74">
        <w:rPr>
          <w:noProof/>
        </w:rPr>
        <w:tab/>
        <w:t>Pasiūlymui (iniciatyvai) įgyvendinti žmogiškieji ištekliai naudojami taip:</w:t>
      </w:r>
    </w:p>
    <w:p w14:paraId="09CD15B5" w14:textId="77777777" w:rsidR="00C87E1E" w:rsidRPr="009E1E74" w:rsidRDefault="00C87E1E" w:rsidP="00C87E1E">
      <w:pPr>
        <w:spacing w:after="60"/>
        <w:jc w:val="right"/>
        <w:rPr>
          <w:i/>
          <w:noProof/>
          <w:sz w:val="20"/>
        </w:rPr>
      </w:pPr>
      <w:r w:rsidRPr="009E1E74">
        <w:rPr>
          <w:i/>
          <w:noProof/>
          <w:sz w:val="20"/>
        </w:rPr>
        <w:t>Sąmatą surašyti etatų vienetais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C87E1E" w:rsidRPr="009E1E74" w14:paraId="600FB721" w14:textId="77777777" w:rsidTr="00C87E1E">
        <w:trPr>
          <w:gridBefore w:val="1"/>
          <w:wBefore w:w="15" w:type="dxa"/>
          <w:trHeight w:val="289"/>
          <w:jc w:val="center"/>
        </w:trPr>
        <w:tc>
          <w:tcPr>
            <w:tcW w:w="4754" w:type="dxa"/>
            <w:gridSpan w:val="2"/>
            <w:shd w:val="clear" w:color="auto" w:fill="auto"/>
          </w:tcPr>
          <w:p w14:paraId="1BC676C8" w14:textId="77777777" w:rsidR="00C87E1E" w:rsidRPr="009E1E74" w:rsidRDefault="00C87E1E" w:rsidP="00362810">
            <w:pPr>
              <w:numPr>
                <w:ilvl w:val="0"/>
                <w:numId w:val="10"/>
              </w:numPr>
              <w:tabs>
                <w:tab w:val="clear" w:pos="1134"/>
                <w:tab w:val="num" w:pos="360"/>
              </w:tabs>
              <w:spacing w:before="40" w:after="40"/>
              <w:ind w:left="0" w:firstLine="0"/>
              <w:jc w:val="center"/>
              <w:rPr>
                <w:i/>
                <w:noProof/>
                <w:sz w:val="16"/>
                <w:szCs w:val="16"/>
                <w:lang w:eastAsia="en-GB"/>
              </w:rPr>
            </w:pPr>
          </w:p>
        </w:tc>
        <w:tc>
          <w:tcPr>
            <w:tcW w:w="731" w:type="dxa"/>
            <w:shd w:val="clear" w:color="auto" w:fill="auto"/>
            <w:vAlign w:val="center"/>
          </w:tcPr>
          <w:p w14:paraId="27C788B6" w14:textId="77777777" w:rsidR="00C87E1E" w:rsidRPr="009E1E74" w:rsidRDefault="00C87E1E" w:rsidP="00C87E1E">
            <w:pPr>
              <w:spacing w:before="20" w:after="20"/>
              <w:jc w:val="center"/>
              <w:rPr>
                <w:noProof/>
                <w:sz w:val="16"/>
                <w:szCs w:val="16"/>
              </w:rPr>
            </w:pPr>
            <w:r w:rsidRPr="009E1E74">
              <w:rPr>
                <w:b/>
                <w:noProof/>
                <w:sz w:val="16"/>
              </w:rPr>
              <w:t>N</w:t>
            </w:r>
            <w:r w:rsidRPr="009E1E74">
              <w:rPr>
                <w:noProof/>
              </w:rPr>
              <w:t xml:space="preserve"> </w:t>
            </w:r>
            <w:r w:rsidRPr="009E1E74">
              <w:rPr>
                <w:noProof/>
              </w:rPr>
              <w:br/>
            </w:r>
            <w:r w:rsidRPr="009E1E74">
              <w:rPr>
                <w:noProof/>
                <w:sz w:val="16"/>
              </w:rPr>
              <w:t>metai</w:t>
            </w:r>
          </w:p>
        </w:tc>
        <w:tc>
          <w:tcPr>
            <w:tcW w:w="731" w:type="dxa"/>
            <w:shd w:val="clear" w:color="auto" w:fill="auto"/>
            <w:vAlign w:val="center"/>
          </w:tcPr>
          <w:p w14:paraId="2CD46E7B" w14:textId="77777777" w:rsidR="00C87E1E" w:rsidRPr="009E1E74" w:rsidRDefault="00C87E1E" w:rsidP="00C87E1E">
            <w:pPr>
              <w:spacing w:before="20" w:after="20"/>
              <w:jc w:val="center"/>
              <w:rPr>
                <w:noProof/>
                <w:sz w:val="16"/>
                <w:szCs w:val="16"/>
              </w:rPr>
            </w:pPr>
            <w:r w:rsidRPr="009E1E74">
              <w:rPr>
                <w:b/>
                <w:noProof/>
                <w:sz w:val="16"/>
              </w:rPr>
              <w:t>N + 1</w:t>
            </w:r>
            <w:r w:rsidRPr="009E1E74">
              <w:rPr>
                <w:noProof/>
              </w:rPr>
              <w:t xml:space="preserve"> </w:t>
            </w:r>
            <w:r w:rsidRPr="009E1E74">
              <w:rPr>
                <w:noProof/>
              </w:rPr>
              <w:br/>
            </w:r>
            <w:r w:rsidRPr="009E1E74">
              <w:rPr>
                <w:noProof/>
                <w:sz w:val="16"/>
              </w:rPr>
              <w:t>metai</w:t>
            </w:r>
          </w:p>
        </w:tc>
        <w:tc>
          <w:tcPr>
            <w:tcW w:w="731" w:type="dxa"/>
            <w:shd w:val="clear" w:color="auto" w:fill="auto"/>
            <w:vAlign w:val="center"/>
          </w:tcPr>
          <w:p w14:paraId="6C9F3FA5" w14:textId="77777777" w:rsidR="00C87E1E" w:rsidRPr="009E1E74" w:rsidRDefault="00C87E1E" w:rsidP="00C87E1E">
            <w:pPr>
              <w:spacing w:before="20" w:after="20"/>
              <w:jc w:val="center"/>
              <w:rPr>
                <w:noProof/>
                <w:sz w:val="16"/>
                <w:szCs w:val="16"/>
              </w:rPr>
            </w:pPr>
            <w:r w:rsidRPr="009E1E74">
              <w:rPr>
                <w:b/>
                <w:noProof/>
                <w:sz w:val="16"/>
                <w:szCs w:val="16"/>
              </w:rPr>
              <w:t>N + 2</w:t>
            </w:r>
            <w:r w:rsidRPr="009E1E74">
              <w:rPr>
                <w:noProof/>
                <w:sz w:val="16"/>
                <w:szCs w:val="16"/>
              </w:rPr>
              <w:t xml:space="preserve"> metai</w:t>
            </w:r>
          </w:p>
        </w:tc>
        <w:tc>
          <w:tcPr>
            <w:tcW w:w="731" w:type="dxa"/>
            <w:shd w:val="clear" w:color="auto" w:fill="auto"/>
            <w:vAlign w:val="center"/>
          </w:tcPr>
          <w:p w14:paraId="34598A6A" w14:textId="77777777" w:rsidR="00C87E1E" w:rsidRPr="009E1E74" w:rsidRDefault="00C87E1E" w:rsidP="00C87E1E">
            <w:pPr>
              <w:spacing w:before="20" w:after="20"/>
              <w:jc w:val="center"/>
              <w:rPr>
                <w:noProof/>
                <w:sz w:val="16"/>
                <w:szCs w:val="16"/>
              </w:rPr>
            </w:pPr>
            <w:r w:rsidRPr="009E1E74">
              <w:rPr>
                <w:b/>
                <w:noProof/>
                <w:sz w:val="16"/>
                <w:szCs w:val="16"/>
              </w:rPr>
              <w:t>N + 3</w:t>
            </w:r>
            <w:r w:rsidRPr="009E1E74">
              <w:rPr>
                <w:noProof/>
                <w:sz w:val="16"/>
                <w:szCs w:val="16"/>
              </w:rPr>
              <w:t xml:space="preserve"> metai</w:t>
            </w:r>
          </w:p>
        </w:tc>
        <w:tc>
          <w:tcPr>
            <w:tcW w:w="2193" w:type="dxa"/>
            <w:gridSpan w:val="3"/>
            <w:shd w:val="clear" w:color="auto" w:fill="auto"/>
            <w:vAlign w:val="center"/>
          </w:tcPr>
          <w:p w14:paraId="6A1FC684" w14:textId="77777777" w:rsidR="00C87E1E" w:rsidRPr="009E1E74" w:rsidRDefault="00C87E1E" w:rsidP="00C87E1E">
            <w:pPr>
              <w:jc w:val="center"/>
              <w:rPr>
                <w:b/>
                <w:noProof/>
                <w:sz w:val="16"/>
                <w:szCs w:val="16"/>
              </w:rPr>
            </w:pPr>
            <w:r w:rsidRPr="009E1E74">
              <w:rPr>
                <w:noProof/>
                <w:sz w:val="16"/>
              </w:rPr>
              <w:t>Atsižvelgiant į poveikio trukmę įterpti reikiamą metų skaičių (žr. 1.6 punktą)</w:t>
            </w:r>
          </w:p>
        </w:tc>
      </w:tr>
      <w:tr w:rsidR="00C87E1E" w:rsidRPr="009E1E74" w14:paraId="25117ADC" w14:textId="77777777" w:rsidTr="00C87E1E">
        <w:trPr>
          <w:gridBefore w:val="1"/>
          <w:wBefore w:w="15" w:type="dxa"/>
          <w:trHeight w:val="289"/>
          <w:jc w:val="center"/>
        </w:trPr>
        <w:tc>
          <w:tcPr>
            <w:tcW w:w="9871" w:type="dxa"/>
            <w:gridSpan w:val="9"/>
            <w:shd w:val="clear" w:color="auto" w:fill="auto"/>
          </w:tcPr>
          <w:p w14:paraId="55F14C85" w14:textId="77777777" w:rsidR="00C87E1E" w:rsidRPr="009E1E74" w:rsidRDefault="00C87E1E" w:rsidP="00C87E1E">
            <w:pPr>
              <w:jc w:val="left"/>
              <w:rPr>
                <w:noProof/>
                <w:sz w:val="16"/>
                <w:szCs w:val="16"/>
              </w:rPr>
            </w:pPr>
            <w:r w:rsidRPr="009E1E74">
              <w:rPr>
                <w:b/>
                <w:noProof/>
                <w:sz w:val="16"/>
              </w:rPr>
              <w:sym w:font="Wingdings" w:char="F09F"/>
            </w:r>
            <w:r w:rsidRPr="009E1E74">
              <w:rPr>
                <w:noProof/>
              </w:rPr>
              <w:t xml:space="preserve"> </w:t>
            </w:r>
            <w:r w:rsidRPr="009E1E74">
              <w:rPr>
                <w:b/>
                <w:noProof/>
                <w:sz w:val="16"/>
              </w:rPr>
              <w:t>Etatų plano pareigybės (pareigūnai ir laikinieji darbuotojai)</w:t>
            </w:r>
          </w:p>
        </w:tc>
      </w:tr>
      <w:tr w:rsidR="00C87E1E" w:rsidRPr="009E1E74" w14:paraId="6D34C612" w14:textId="77777777" w:rsidTr="00C87E1E">
        <w:trPr>
          <w:gridBefore w:val="1"/>
          <w:wBefore w:w="15" w:type="dxa"/>
          <w:trHeight w:val="289"/>
          <w:jc w:val="center"/>
        </w:trPr>
        <w:tc>
          <w:tcPr>
            <w:tcW w:w="4754" w:type="dxa"/>
            <w:gridSpan w:val="2"/>
            <w:shd w:val="clear" w:color="auto" w:fill="auto"/>
            <w:vAlign w:val="center"/>
          </w:tcPr>
          <w:p w14:paraId="2AA31D05" w14:textId="77777777" w:rsidR="00C87E1E" w:rsidRPr="009E1E74" w:rsidRDefault="00C87E1E" w:rsidP="00362810">
            <w:pPr>
              <w:numPr>
                <w:ilvl w:val="0"/>
                <w:numId w:val="10"/>
              </w:numPr>
              <w:tabs>
                <w:tab w:val="clear" w:pos="1134"/>
                <w:tab w:val="num" w:pos="360"/>
              </w:tabs>
              <w:spacing w:beforeLines="20" w:before="48" w:afterLines="20" w:after="48"/>
              <w:ind w:left="134" w:firstLine="0"/>
              <w:jc w:val="left"/>
              <w:rPr>
                <w:b/>
                <w:noProof/>
                <w:sz w:val="16"/>
                <w:szCs w:val="16"/>
              </w:rPr>
            </w:pPr>
            <w:r w:rsidRPr="009E1E74">
              <w:rPr>
                <w:noProof/>
                <w:sz w:val="16"/>
              </w:rPr>
              <w:t>20 01 02 01 (Komisijos būstinė ir atstovybės)</w:t>
            </w:r>
          </w:p>
        </w:tc>
        <w:tc>
          <w:tcPr>
            <w:tcW w:w="731" w:type="dxa"/>
            <w:shd w:val="clear" w:color="auto" w:fill="auto"/>
            <w:vAlign w:val="center"/>
          </w:tcPr>
          <w:p w14:paraId="4E9D0D27"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7A0E5DD1"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1432142A"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603C3ED6"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02437EB3"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72603C2A"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70F11EBA" w14:textId="77777777" w:rsidR="00C87E1E" w:rsidRPr="009E1E74" w:rsidRDefault="00C87E1E" w:rsidP="00C87E1E">
            <w:pPr>
              <w:spacing w:beforeLines="20" w:before="48" w:afterLines="20" w:after="48"/>
              <w:jc w:val="center"/>
              <w:rPr>
                <w:noProof/>
                <w:sz w:val="16"/>
                <w:szCs w:val="16"/>
                <w:lang w:eastAsia="en-GB"/>
              </w:rPr>
            </w:pPr>
          </w:p>
        </w:tc>
      </w:tr>
      <w:tr w:rsidR="00C87E1E" w:rsidRPr="009E1E74" w14:paraId="39D1F238" w14:textId="77777777" w:rsidTr="00C87E1E">
        <w:trPr>
          <w:gridBefore w:val="1"/>
          <w:wBefore w:w="15" w:type="dxa"/>
          <w:trHeight w:val="289"/>
          <w:jc w:val="center"/>
        </w:trPr>
        <w:tc>
          <w:tcPr>
            <w:tcW w:w="4754" w:type="dxa"/>
            <w:gridSpan w:val="2"/>
            <w:shd w:val="clear" w:color="auto" w:fill="auto"/>
            <w:vAlign w:val="center"/>
          </w:tcPr>
          <w:p w14:paraId="1C9F8E29" w14:textId="77777777" w:rsidR="00C87E1E" w:rsidRPr="009E1E74" w:rsidRDefault="00C87E1E" w:rsidP="00362810">
            <w:pPr>
              <w:numPr>
                <w:ilvl w:val="0"/>
                <w:numId w:val="10"/>
              </w:numPr>
              <w:tabs>
                <w:tab w:val="clear" w:pos="1134"/>
                <w:tab w:val="num" w:pos="360"/>
              </w:tabs>
              <w:spacing w:beforeLines="20" w:before="48" w:afterLines="20" w:after="48"/>
              <w:ind w:left="134" w:firstLine="0"/>
              <w:jc w:val="left"/>
              <w:rPr>
                <w:noProof/>
                <w:sz w:val="16"/>
              </w:rPr>
            </w:pPr>
            <w:r w:rsidRPr="009E1E74">
              <w:rPr>
                <w:noProof/>
                <w:sz w:val="16"/>
              </w:rPr>
              <w:t>20 01 02 03 (Delegacijos)</w:t>
            </w:r>
          </w:p>
        </w:tc>
        <w:tc>
          <w:tcPr>
            <w:tcW w:w="731" w:type="dxa"/>
            <w:shd w:val="clear" w:color="auto" w:fill="auto"/>
            <w:vAlign w:val="center"/>
          </w:tcPr>
          <w:p w14:paraId="301D8AD8"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78645309"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3BD286EB"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168EA896"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79E63358"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0F4CA14C"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09D48A7F" w14:textId="77777777" w:rsidR="00C87E1E" w:rsidRPr="009E1E74" w:rsidRDefault="00C87E1E" w:rsidP="00C87E1E">
            <w:pPr>
              <w:spacing w:beforeLines="20" w:before="48" w:afterLines="20" w:after="48"/>
              <w:jc w:val="center"/>
              <w:rPr>
                <w:noProof/>
                <w:sz w:val="16"/>
                <w:szCs w:val="16"/>
                <w:lang w:eastAsia="en-GB"/>
              </w:rPr>
            </w:pPr>
          </w:p>
        </w:tc>
      </w:tr>
      <w:tr w:rsidR="00C87E1E" w:rsidRPr="009E1E74" w14:paraId="480A17D0" w14:textId="77777777" w:rsidTr="00C87E1E">
        <w:trPr>
          <w:gridBefore w:val="1"/>
          <w:wBefore w:w="15" w:type="dxa"/>
          <w:trHeight w:val="289"/>
          <w:jc w:val="center"/>
        </w:trPr>
        <w:tc>
          <w:tcPr>
            <w:tcW w:w="4754" w:type="dxa"/>
            <w:gridSpan w:val="2"/>
            <w:shd w:val="clear" w:color="auto" w:fill="auto"/>
            <w:vAlign w:val="center"/>
          </w:tcPr>
          <w:p w14:paraId="46461E24" w14:textId="77777777" w:rsidR="00C87E1E" w:rsidRPr="009E1E74" w:rsidRDefault="00C87E1E" w:rsidP="00362810">
            <w:pPr>
              <w:numPr>
                <w:ilvl w:val="0"/>
                <w:numId w:val="10"/>
              </w:numPr>
              <w:tabs>
                <w:tab w:val="clear" w:pos="1134"/>
                <w:tab w:val="num" w:pos="360"/>
              </w:tabs>
              <w:spacing w:beforeLines="20" w:before="48" w:afterLines="20" w:after="48"/>
              <w:ind w:left="134" w:firstLine="0"/>
              <w:jc w:val="left"/>
              <w:rPr>
                <w:noProof/>
                <w:sz w:val="16"/>
                <w:szCs w:val="16"/>
              </w:rPr>
            </w:pPr>
            <w:r w:rsidRPr="009E1E74">
              <w:rPr>
                <w:noProof/>
                <w:sz w:val="16"/>
              </w:rPr>
              <w:t>01 01 01 01 (Netiesioginiai moksliniai tyrimai)</w:t>
            </w:r>
          </w:p>
        </w:tc>
        <w:tc>
          <w:tcPr>
            <w:tcW w:w="731" w:type="dxa"/>
            <w:shd w:val="clear" w:color="auto" w:fill="auto"/>
            <w:vAlign w:val="center"/>
          </w:tcPr>
          <w:p w14:paraId="0AFF3614"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7BCA5F6D"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1DBBC15A"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46F54AC6"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4B4266CB"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4D6E63EB"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1EFC16F9" w14:textId="77777777" w:rsidR="00C87E1E" w:rsidRPr="009E1E74" w:rsidRDefault="00C87E1E" w:rsidP="00C87E1E">
            <w:pPr>
              <w:spacing w:beforeLines="20" w:before="48" w:afterLines="20" w:after="48"/>
              <w:jc w:val="center"/>
              <w:rPr>
                <w:noProof/>
                <w:sz w:val="16"/>
                <w:szCs w:val="16"/>
                <w:lang w:eastAsia="en-GB"/>
              </w:rPr>
            </w:pPr>
          </w:p>
        </w:tc>
      </w:tr>
      <w:tr w:rsidR="00C87E1E" w:rsidRPr="009E1E74" w14:paraId="60A7D315" w14:textId="77777777" w:rsidTr="00C87E1E">
        <w:trPr>
          <w:gridBefore w:val="1"/>
          <w:wBefore w:w="15" w:type="dxa"/>
          <w:trHeight w:val="289"/>
          <w:jc w:val="center"/>
        </w:trPr>
        <w:tc>
          <w:tcPr>
            <w:tcW w:w="4754" w:type="dxa"/>
            <w:gridSpan w:val="2"/>
            <w:shd w:val="clear" w:color="auto" w:fill="auto"/>
            <w:vAlign w:val="center"/>
          </w:tcPr>
          <w:p w14:paraId="464059BC" w14:textId="77777777" w:rsidR="00C87E1E" w:rsidRPr="009E1E74" w:rsidRDefault="00C87E1E" w:rsidP="00362810">
            <w:pPr>
              <w:numPr>
                <w:ilvl w:val="0"/>
                <w:numId w:val="10"/>
              </w:numPr>
              <w:tabs>
                <w:tab w:val="clear" w:pos="1134"/>
                <w:tab w:val="num" w:pos="360"/>
              </w:tabs>
              <w:spacing w:beforeLines="20" w:before="48" w:afterLines="20" w:after="48"/>
              <w:ind w:left="134" w:firstLine="0"/>
              <w:jc w:val="left"/>
              <w:rPr>
                <w:noProof/>
                <w:sz w:val="16"/>
                <w:szCs w:val="16"/>
              </w:rPr>
            </w:pPr>
            <w:r w:rsidRPr="009E1E74">
              <w:rPr>
                <w:noProof/>
                <w:sz w:val="16"/>
              </w:rPr>
              <w:t xml:space="preserve"> 01 01 01 11 (Tiesioginiai moksliniai tyrimai)</w:t>
            </w:r>
          </w:p>
        </w:tc>
        <w:tc>
          <w:tcPr>
            <w:tcW w:w="731" w:type="dxa"/>
            <w:shd w:val="clear" w:color="auto" w:fill="auto"/>
            <w:vAlign w:val="center"/>
          </w:tcPr>
          <w:p w14:paraId="2DBF4C9A"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1EEA787A"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241CB391"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7C2193F2"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2F3595B0"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35BC54A2"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1507A093" w14:textId="77777777" w:rsidR="00C87E1E" w:rsidRPr="009E1E74" w:rsidRDefault="00C87E1E" w:rsidP="00C87E1E">
            <w:pPr>
              <w:spacing w:beforeLines="20" w:before="48" w:afterLines="20" w:after="48"/>
              <w:jc w:val="center"/>
              <w:rPr>
                <w:noProof/>
                <w:sz w:val="16"/>
                <w:szCs w:val="16"/>
                <w:lang w:eastAsia="en-GB"/>
              </w:rPr>
            </w:pPr>
          </w:p>
        </w:tc>
      </w:tr>
      <w:tr w:rsidR="00C87E1E" w:rsidRPr="009E1E74" w14:paraId="28CA9E02" w14:textId="77777777" w:rsidTr="00C87E1E">
        <w:trPr>
          <w:gridBefore w:val="1"/>
          <w:wBefore w:w="15" w:type="dxa"/>
          <w:trHeight w:val="289"/>
          <w:jc w:val="center"/>
        </w:trPr>
        <w:tc>
          <w:tcPr>
            <w:tcW w:w="4754" w:type="dxa"/>
            <w:gridSpan w:val="2"/>
            <w:shd w:val="clear" w:color="auto" w:fill="auto"/>
            <w:vAlign w:val="center"/>
          </w:tcPr>
          <w:p w14:paraId="2159C8DD" w14:textId="77777777" w:rsidR="00C87E1E" w:rsidRPr="009E1E74" w:rsidRDefault="00C87E1E" w:rsidP="00362810">
            <w:pPr>
              <w:numPr>
                <w:ilvl w:val="0"/>
                <w:numId w:val="10"/>
              </w:numPr>
              <w:tabs>
                <w:tab w:val="clear" w:pos="1134"/>
                <w:tab w:val="num" w:pos="360"/>
              </w:tabs>
              <w:spacing w:beforeLines="20" w:before="48" w:afterLines="20" w:after="48"/>
              <w:ind w:left="134" w:firstLine="0"/>
              <w:jc w:val="left"/>
              <w:rPr>
                <w:noProof/>
                <w:sz w:val="16"/>
              </w:rPr>
            </w:pPr>
            <w:r w:rsidRPr="009E1E74">
              <w:rPr>
                <w:noProof/>
                <w:sz w:val="16"/>
              </w:rPr>
              <w:t>Kitos biudžeto eilutės (nurodyti)</w:t>
            </w:r>
          </w:p>
        </w:tc>
        <w:tc>
          <w:tcPr>
            <w:tcW w:w="731" w:type="dxa"/>
            <w:shd w:val="clear" w:color="auto" w:fill="auto"/>
            <w:vAlign w:val="center"/>
          </w:tcPr>
          <w:p w14:paraId="0C7B7FE9"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78E6B4E7"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45B70903"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19E1A51D"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00880808"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7DA8BABF"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4D113928" w14:textId="77777777" w:rsidR="00C87E1E" w:rsidRPr="009E1E74" w:rsidRDefault="00C87E1E" w:rsidP="00C87E1E">
            <w:pPr>
              <w:spacing w:beforeLines="20" w:before="48" w:afterLines="20" w:after="48"/>
              <w:jc w:val="center"/>
              <w:rPr>
                <w:noProof/>
                <w:sz w:val="16"/>
                <w:szCs w:val="16"/>
                <w:lang w:eastAsia="en-GB"/>
              </w:rPr>
            </w:pPr>
          </w:p>
        </w:tc>
      </w:tr>
      <w:tr w:rsidR="00C87E1E" w:rsidRPr="009E1E74" w14:paraId="360EC379" w14:textId="77777777" w:rsidTr="00C87E1E">
        <w:trPr>
          <w:trHeight w:val="248"/>
          <w:jc w:val="center"/>
        </w:trPr>
        <w:tc>
          <w:tcPr>
            <w:tcW w:w="9886" w:type="dxa"/>
            <w:gridSpan w:val="10"/>
            <w:shd w:val="clear" w:color="auto" w:fill="auto"/>
            <w:vAlign w:val="center"/>
          </w:tcPr>
          <w:p w14:paraId="001C6A7A" w14:textId="77777777" w:rsidR="00C87E1E" w:rsidRPr="009E1E74" w:rsidRDefault="00C87E1E" w:rsidP="00362810">
            <w:pPr>
              <w:numPr>
                <w:ilvl w:val="0"/>
                <w:numId w:val="10"/>
              </w:numPr>
              <w:tabs>
                <w:tab w:val="clear" w:pos="1134"/>
                <w:tab w:val="num" w:pos="360"/>
              </w:tabs>
              <w:spacing w:before="60" w:after="60"/>
              <w:ind w:left="0" w:firstLine="0"/>
              <w:jc w:val="left"/>
              <w:rPr>
                <w:b/>
                <w:noProof/>
                <w:sz w:val="16"/>
                <w:szCs w:val="16"/>
              </w:rPr>
            </w:pPr>
            <w:r w:rsidRPr="009E1E74">
              <w:rPr>
                <w:b/>
                <w:noProof/>
                <w:sz w:val="16"/>
              </w:rPr>
              <w:sym w:font="Wingdings" w:char="F09F"/>
            </w:r>
            <w:r w:rsidRPr="009E1E74">
              <w:rPr>
                <w:b/>
                <w:noProof/>
                <w:sz w:val="16"/>
              </w:rPr>
              <w:t xml:space="preserve"> Išorės darbuotojai (etatų vienetais)</w:t>
            </w:r>
            <w:r w:rsidRPr="009E1E74">
              <w:rPr>
                <w:rStyle w:val="FootnoteReference"/>
                <w:noProof/>
              </w:rPr>
              <w:footnoteReference w:id="16"/>
            </w:r>
          </w:p>
          <w:p w14:paraId="5D2D8330" w14:textId="77777777" w:rsidR="00C87E1E" w:rsidRPr="009E1E74" w:rsidRDefault="00C87E1E" w:rsidP="00362810">
            <w:pPr>
              <w:numPr>
                <w:ilvl w:val="0"/>
                <w:numId w:val="10"/>
              </w:numPr>
              <w:tabs>
                <w:tab w:val="clear" w:pos="1134"/>
                <w:tab w:val="num" w:pos="360"/>
              </w:tabs>
              <w:spacing w:before="0" w:after="0"/>
              <w:ind w:left="0" w:firstLine="0"/>
              <w:jc w:val="left"/>
              <w:rPr>
                <w:noProof/>
                <w:sz w:val="16"/>
                <w:szCs w:val="16"/>
                <w:lang w:eastAsia="en-GB"/>
              </w:rPr>
            </w:pPr>
          </w:p>
        </w:tc>
      </w:tr>
      <w:tr w:rsidR="00C87E1E" w:rsidRPr="009E1E74" w14:paraId="13F1E923" w14:textId="77777777" w:rsidTr="00C87E1E">
        <w:trPr>
          <w:gridBefore w:val="1"/>
          <w:wBefore w:w="15" w:type="dxa"/>
          <w:trHeight w:val="289"/>
          <w:jc w:val="center"/>
        </w:trPr>
        <w:tc>
          <w:tcPr>
            <w:tcW w:w="4754" w:type="dxa"/>
            <w:gridSpan w:val="2"/>
            <w:shd w:val="clear" w:color="auto" w:fill="auto"/>
            <w:vAlign w:val="center"/>
          </w:tcPr>
          <w:p w14:paraId="6F6DC48F" w14:textId="77777777" w:rsidR="00C87E1E" w:rsidRPr="009E1E74" w:rsidRDefault="00C87E1E" w:rsidP="00362810">
            <w:pPr>
              <w:numPr>
                <w:ilvl w:val="0"/>
                <w:numId w:val="10"/>
              </w:numPr>
              <w:tabs>
                <w:tab w:val="clear" w:pos="1134"/>
                <w:tab w:val="num" w:pos="360"/>
              </w:tabs>
              <w:spacing w:beforeLines="20" w:before="48" w:afterLines="20" w:after="48"/>
              <w:ind w:left="136" w:firstLine="0"/>
              <w:jc w:val="left"/>
              <w:rPr>
                <w:b/>
                <w:noProof/>
                <w:sz w:val="16"/>
                <w:szCs w:val="16"/>
              </w:rPr>
            </w:pPr>
            <w:r w:rsidRPr="009E1E74">
              <w:rPr>
                <w:noProof/>
                <w:sz w:val="16"/>
              </w:rPr>
              <w:t>20 02 01 (AC, END, INT finansuojami iš bendrojo biudžeto)</w:t>
            </w:r>
          </w:p>
        </w:tc>
        <w:tc>
          <w:tcPr>
            <w:tcW w:w="731" w:type="dxa"/>
            <w:shd w:val="clear" w:color="auto" w:fill="auto"/>
            <w:vAlign w:val="center"/>
          </w:tcPr>
          <w:p w14:paraId="611A865A"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51A113D2"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2B82330F"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3CEDA323"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039843A5"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0367C0D3"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3E5D14C0" w14:textId="77777777" w:rsidR="00C87E1E" w:rsidRPr="009E1E74" w:rsidRDefault="00C87E1E" w:rsidP="00C87E1E">
            <w:pPr>
              <w:spacing w:beforeLines="20" w:before="48" w:afterLines="20" w:after="48"/>
              <w:jc w:val="center"/>
              <w:rPr>
                <w:noProof/>
                <w:sz w:val="16"/>
                <w:szCs w:val="16"/>
                <w:lang w:eastAsia="en-GB"/>
              </w:rPr>
            </w:pPr>
          </w:p>
        </w:tc>
      </w:tr>
      <w:tr w:rsidR="00C87E1E" w:rsidRPr="009E1E74" w14:paraId="6DE8A27A" w14:textId="77777777" w:rsidTr="00C87E1E">
        <w:trPr>
          <w:gridBefore w:val="1"/>
          <w:wBefore w:w="15" w:type="dxa"/>
          <w:trHeight w:val="289"/>
          <w:jc w:val="center"/>
        </w:trPr>
        <w:tc>
          <w:tcPr>
            <w:tcW w:w="4754" w:type="dxa"/>
            <w:gridSpan w:val="2"/>
            <w:shd w:val="clear" w:color="auto" w:fill="auto"/>
            <w:vAlign w:val="center"/>
          </w:tcPr>
          <w:p w14:paraId="42899FF5" w14:textId="77777777" w:rsidR="00C87E1E" w:rsidRPr="009E1E74" w:rsidRDefault="00C87E1E" w:rsidP="00362810">
            <w:pPr>
              <w:numPr>
                <w:ilvl w:val="0"/>
                <w:numId w:val="10"/>
              </w:numPr>
              <w:tabs>
                <w:tab w:val="clear" w:pos="1134"/>
                <w:tab w:val="num" w:pos="360"/>
              </w:tabs>
              <w:spacing w:beforeLines="20" w:before="48" w:afterLines="20" w:after="48"/>
              <w:ind w:left="136" w:firstLine="0"/>
              <w:jc w:val="left"/>
              <w:rPr>
                <w:noProof/>
                <w:sz w:val="16"/>
              </w:rPr>
            </w:pPr>
            <w:r w:rsidRPr="009E1E74">
              <w:rPr>
                <w:noProof/>
                <w:sz w:val="16"/>
              </w:rPr>
              <w:t>20 02 03 (AC, AL, END, INT ir JPD delegacijose)</w:t>
            </w:r>
          </w:p>
        </w:tc>
        <w:tc>
          <w:tcPr>
            <w:tcW w:w="731" w:type="dxa"/>
            <w:shd w:val="clear" w:color="auto" w:fill="auto"/>
            <w:vAlign w:val="center"/>
          </w:tcPr>
          <w:p w14:paraId="34CA5558"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5138D48E"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0C3F1F49"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6C9FE2DF"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4CCF7D6C"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4F0B6E2D"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048E9B4E" w14:textId="77777777" w:rsidR="00C87E1E" w:rsidRPr="009E1E74" w:rsidRDefault="00C87E1E" w:rsidP="00C87E1E">
            <w:pPr>
              <w:spacing w:beforeLines="20" w:before="48" w:afterLines="20" w:after="48"/>
              <w:jc w:val="center"/>
              <w:rPr>
                <w:noProof/>
                <w:sz w:val="16"/>
                <w:szCs w:val="16"/>
                <w:lang w:eastAsia="en-GB"/>
              </w:rPr>
            </w:pPr>
          </w:p>
        </w:tc>
      </w:tr>
      <w:tr w:rsidR="00C87E1E" w:rsidRPr="009E1E74" w14:paraId="1CFD19D4" w14:textId="77777777" w:rsidTr="00C87E1E">
        <w:trPr>
          <w:gridBefore w:val="1"/>
          <w:wBefore w:w="15" w:type="dxa"/>
          <w:trHeight w:val="289"/>
          <w:jc w:val="center"/>
        </w:trPr>
        <w:tc>
          <w:tcPr>
            <w:tcW w:w="2376" w:type="dxa"/>
            <w:vMerge w:val="restart"/>
            <w:shd w:val="clear" w:color="auto" w:fill="auto"/>
            <w:vAlign w:val="center"/>
          </w:tcPr>
          <w:p w14:paraId="10AE036E" w14:textId="77777777" w:rsidR="00C87E1E" w:rsidRPr="009E1E74" w:rsidRDefault="00C87E1E" w:rsidP="00362810">
            <w:pPr>
              <w:numPr>
                <w:ilvl w:val="0"/>
                <w:numId w:val="10"/>
              </w:numPr>
              <w:tabs>
                <w:tab w:val="clear" w:pos="1134"/>
                <w:tab w:val="num" w:pos="360"/>
              </w:tabs>
              <w:spacing w:beforeLines="20" w:before="48" w:afterLines="20" w:after="48"/>
              <w:ind w:left="136" w:firstLine="0"/>
              <w:jc w:val="left"/>
              <w:rPr>
                <w:b/>
                <w:noProof/>
                <w:sz w:val="16"/>
                <w:szCs w:val="16"/>
              </w:rPr>
            </w:pPr>
            <w:r w:rsidRPr="009E1E74">
              <w:rPr>
                <w:b/>
                <w:noProof/>
                <w:sz w:val="16"/>
                <w:szCs w:val="16"/>
              </w:rPr>
              <w:t>XX</w:t>
            </w:r>
            <w:r w:rsidRPr="009E1E74">
              <w:rPr>
                <w:noProof/>
                <w:sz w:val="16"/>
                <w:szCs w:val="16"/>
              </w:rPr>
              <w:t xml:space="preserve"> 01  xx </w:t>
            </w:r>
            <w:r w:rsidRPr="009E1E74">
              <w:rPr>
                <w:b/>
                <w:noProof/>
                <w:sz w:val="16"/>
                <w:szCs w:val="16"/>
              </w:rPr>
              <w:t xml:space="preserve">yy zz </w:t>
            </w:r>
            <w:r w:rsidRPr="009E1E74">
              <w:rPr>
                <w:b/>
                <w:i/>
                <w:noProof/>
                <w:sz w:val="16"/>
              </w:rPr>
              <w:t xml:space="preserve"> </w:t>
            </w:r>
            <w:r w:rsidRPr="009E1E74">
              <w:rPr>
                <w:rStyle w:val="FootnoteReference"/>
                <w:noProof/>
              </w:rPr>
              <w:footnoteReference w:id="17"/>
            </w:r>
          </w:p>
          <w:p w14:paraId="7EC65605" w14:textId="77777777" w:rsidR="00C87E1E" w:rsidRPr="009E1E74" w:rsidRDefault="00C87E1E" w:rsidP="00362810">
            <w:pPr>
              <w:numPr>
                <w:ilvl w:val="0"/>
                <w:numId w:val="10"/>
              </w:numPr>
              <w:tabs>
                <w:tab w:val="clear" w:pos="1134"/>
                <w:tab w:val="num" w:pos="360"/>
              </w:tabs>
              <w:spacing w:beforeLines="20" w:before="48" w:afterLines="20" w:after="48"/>
              <w:ind w:left="136" w:firstLine="0"/>
              <w:jc w:val="left"/>
              <w:rPr>
                <w:b/>
                <w:noProof/>
                <w:sz w:val="16"/>
                <w:szCs w:val="16"/>
                <w:lang w:eastAsia="en-GB"/>
              </w:rPr>
            </w:pPr>
          </w:p>
        </w:tc>
        <w:tc>
          <w:tcPr>
            <w:tcW w:w="2378" w:type="dxa"/>
            <w:shd w:val="clear" w:color="auto" w:fill="auto"/>
            <w:vAlign w:val="center"/>
          </w:tcPr>
          <w:p w14:paraId="19DEED76" w14:textId="77777777" w:rsidR="00C87E1E" w:rsidRPr="009E1E74" w:rsidRDefault="00C87E1E" w:rsidP="00362810">
            <w:pPr>
              <w:numPr>
                <w:ilvl w:val="0"/>
                <w:numId w:val="10"/>
              </w:numPr>
              <w:tabs>
                <w:tab w:val="clear" w:pos="1134"/>
                <w:tab w:val="num" w:pos="360"/>
              </w:tabs>
              <w:spacing w:beforeLines="20" w:before="48" w:afterLines="20" w:after="48"/>
              <w:ind w:left="136" w:firstLine="0"/>
              <w:jc w:val="left"/>
              <w:rPr>
                <w:b/>
                <w:noProof/>
                <w:sz w:val="16"/>
                <w:szCs w:val="16"/>
              </w:rPr>
            </w:pPr>
            <w:r w:rsidRPr="009E1E74">
              <w:rPr>
                <w:noProof/>
                <w:sz w:val="16"/>
              </w:rPr>
              <w:t>- būstinėje</w:t>
            </w:r>
          </w:p>
          <w:p w14:paraId="18489439" w14:textId="77777777" w:rsidR="00C87E1E" w:rsidRPr="009E1E74" w:rsidRDefault="00C87E1E" w:rsidP="00362810">
            <w:pPr>
              <w:numPr>
                <w:ilvl w:val="0"/>
                <w:numId w:val="10"/>
              </w:numPr>
              <w:tabs>
                <w:tab w:val="clear" w:pos="1134"/>
                <w:tab w:val="num" w:pos="360"/>
              </w:tabs>
              <w:spacing w:beforeLines="20" w:before="48" w:afterLines="20" w:after="48"/>
              <w:ind w:left="136" w:firstLine="0"/>
              <w:jc w:val="left"/>
              <w:rPr>
                <w:b/>
                <w:noProof/>
                <w:sz w:val="16"/>
                <w:szCs w:val="16"/>
                <w:lang w:eastAsia="en-GB"/>
              </w:rPr>
            </w:pPr>
          </w:p>
        </w:tc>
        <w:tc>
          <w:tcPr>
            <w:tcW w:w="731" w:type="dxa"/>
            <w:shd w:val="clear" w:color="auto" w:fill="auto"/>
            <w:vAlign w:val="center"/>
          </w:tcPr>
          <w:p w14:paraId="336B05B5" w14:textId="77777777" w:rsidR="00C87E1E" w:rsidRPr="009E1E74" w:rsidRDefault="00C87E1E" w:rsidP="00362810">
            <w:pPr>
              <w:numPr>
                <w:ilvl w:val="0"/>
                <w:numId w:val="10"/>
              </w:numPr>
              <w:tabs>
                <w:tab w:val="clear" w:pos="1134"/>
                <w:tab w:val="num" w:pos="360"/>
              </w:tabs>
              <w:spacing w:beforeLines="20" w:before="48" w:afterLines="20" w:after="48"/>
              <w:ind w:left="0" w:firstLine="0"/>
              <w:rPr>
                <w:noProof/>
                <w:sz w:val="16"/>
                <w:szCs w:val="16"/>
                <w:lang w:eastAsia="en-GB"/>
              </w:rPr>
            </w:pPr>
          </w:p>
        </w:tc>
        <w:tc>
          <w:tcPr>
            <w:tcW w:w="731" w:type="dxa"/>
            <w:shd w:val="clear" w:color="auto" w:fill="auto"/>
            <w:vAlign w:val="center"/>
          </w:tcPr>
          <w:p w14:paraId="2BC6B0AB"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007467A4"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0CB8B80D"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25798A6A"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42BFD29F"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53FFF23E" w14:textId="77777777" w:rsidR="00C87E1E" w:rsidRPr="009E1E74" w:rsidRDefault="00C87E1E" w:rsidP="00C87E1E">
            <w:pPr>
              <w:spacing w:beforeLines="20" w:before="48" w:afterLines="20" w:after="48"/>
              <w:jc w:val="center"/>
              <w:rPr>
                <w:noProof/>
                <w:sz w:val="16"/>
                <w:szCs w:val="16"/>
                <w:lang w:eastAsia="en-GB"/>
              </w:rPr>
            </w:pPr>
          </w:p>
        </w:tc>
      </w:tr>
      <w:tr w:rsidR="00C87E1E" w:rsidRPr="009E1E74" w14:paraId="64F8A7FE" w14:textId="77777777" w:rsidTr="00C87E1E">
        <w:trPr>
          <w:gridBefore w:val="1"/>
          <w:wBefore w:w="15" w:type="dxa"/>
          <w:trHeight w:val="289"/>
          <w:jc w:val="center"/>
        </w:trPr>
        <w:tc>
          <w:tcPr>
            <w:tcW w:w="2376" w:type="dxa"/>
            <w:vMerge/>
            <w:shd w:val="clear" w:color="auto" w:fill="auto"/>
            <w:vAlign w:val="center"/>
          </w:tcPr>
          <w:p w14:paraId="34D4A3AC" w14:textId="77777777" w:rsidR="00C87E1E" w:rsidRPr="009E1E74" w:rsidRDefault="00C87E1E" w:rsidP="00362810">
            <w:pPr>
              <w:numPr>
                <w:ilvl w:val="0"/>
                <w:numId w:val="10"/>
              </w:numPr>
              <w:tabs>
                <w:tab w:val="clear" w:pos="1134"/>
                <w:tab w:val="num" w:pos="360"/>
              </w:tabs>
              <w:spacing w:beforeLines="20" w:before="48" w:afterLines="20" w:after="48"/>
              <w:ind w:left="136" w:firstLine="0"/>
              <w:jc w:val="left"/>
              <w:rPr>
                <w:b/>
                <w:noProof/>
                <w:sz w:val="16"/>
                <w:szCs w:val="16"/>
                <w:lang w:eastAsia="en-GB"/>
              </w:rPr>
            </w:pPr>
          </w:p>
        </w:tc>
        <w:tc>
          <w:tcPr>
            <w:tcW w:w="2378" w:type="dxa"/>
            <w:shd w:val="clear" w:color="auto" w:fill="auto"/>
            <w:vAlign w:val="center"/>
          </w:tcPr>
          <w:p w14:paraId="5C97C62A" w14:textId="77777777" w:rsidR="00C87E1E" w:rsidRPr="009E1E74" w:rsidRDefault="00C87E1E" w:rsidP="00362810">
            <w:pPr>
              <w:numPr>
                <w:ilvl w:val="0"/>
                <w:numId w:val="10"/>
              </w:numPr>
              <w:tabs>
                <w:tab w:val="clear" w:pos="1134"/>
                <w:tab w:val="num" w:pos="360"/>
              </w:tabs>
              <w:spacing w:beforeLines="20" w:before="48" w:afterLines="20" w:after="48"/>
              <w:ind w:left="136" w:firstLine="0"/>
              <w:jc w:val="left"/>
              <w:rPr>
                <w:b/>
                <w:noProof/>
                <w:sz w:val="16"/>
                <w:szCs w:val="16"/>
              </w:rPr>
            </w:pPr>
            <w:r w:rsidRPr="009E1E74">
              <w:rPr>
                <w:noProof/>
                <w:sz w:val="16"/>
              </w:rPr>
              <w:t xml:space="preserve">- delegacijose </w:t>
            </w:r>
          </w:p>
        </w:tc>
        <w:tc>
          <w:tcPr>
            <w:tcW w:w="731" w:type="dxa"/>
            <w:shd w:val="clear" w:color="auto" w:fill="auto"/>
            <w:vAlign w:val="center"/>
          </w:tcPr>
          <w:p w14:paraId="459A1A71" w14:textId="77777777" w:rsidR="00C87E1E" w:rsidRPr="009E1E74" w:rsidRDefault="00C87E1E" w:rsidP="00362810">
            <w:pPr>
              <w:numPr>
                <w:ilvl w:val="0"/>
                <w:numId w:val="10"/>
              </w:numPr>
              <w:tabs>
                <w:tab w:val="clear" w:pos="1134"/>
                <w:tab w:val="num" w:pos="360"/>
              </w:tabs>
              <w:spacing w:beforeLines="20" w:before="48" w:afterLines="20" w:after="48"/>
              <w:ind w:left="0" w:firstLine="0"/>
              <w:rPr>
                <w:noProof/>
                <w:sz w:val="16"/>
                <w:szCs w:val="16"/>
                <w:lang w:eastAsia="en-GB"/>
              </w:rPr>
            </w:pPr>
          </w:p>
        </w:tc>
        <w:tc>
          <w:tcPr>
            <w:tcW w:w="731" w:type="dxa"/>
            <w:shd w:val="clear" w:color="auto" w:fill="auto"/>
            <w:vAlign w:val="center"/>
          </w:tcPr>
          <w:p w14:paraId="43F52B14"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2F8289CA"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3DECD6F6"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41FF6745"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7E299BFA"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1D51C4D4" w14:textId="77777777" w:rsidR="00C87E1E" w:rsidRPr="009E1E74" w:rsidRDefault="00C87E1E" w:rsidP="00C87E1E">
            <w:pPr>
              <w:spacing w:beforeLines="20" w:before="48" w:afterLines="20" w:after="48"/>
              <w:jc w:val="center"/>
              <w:rPr>
                <w:noProof/>
                <w:sz w:val="16"/>
                <w:szCs w:val="16"/>
                <w:lang w:eastAsia="en-GB"/>
              </w:rPr>
            </w:pPr>
          </w:p>
        </w:tc>
      </w:tr>
      <w:tr w:rsidR="00C87E1E" w:rsidRPr="009E1E74" w14:paraId="105B71AE" w14:textId="77777777" w:rsidTr="00C87E1E">
        <w:trPr>
          <w:gridBefore w:val="1"/>
          <w:wBefore w:w="15" w:type="dxa"/>
          <w:trHeight w:val="289"/>
          <w:jc w:val="center"/>
        </w:trPr>
        <w:tc>
          <w:tcPr>
            <w:tcW w:w="4754" w:type="dxa"/>
            <w:gridSpan w:val="2"/>
            <w:shd w:val="clear" w:color="auto" w:fill="auto"/>
            <w:vAlign w:val="center"/>
          </w:tcPr>
          <w:p w14:paraId="3251B735" w14:textId="77777777" w:rsidR="00C87E1E" w:rsidRPr="009E1E74" w:rsidRDefault="00C87E1E" w:rsidP="00362810">
            <w:pPr>
              <w:numPr>
                <w:ilvl w:val="0"/>
                <w:numId w:val="10"/>
              </w:numPr>
              <w:tabs>
                <w:tab w:val="clear" w:pos="1134"/>
                <w:tab w:val="num" w:pos="360"/>
              </w:tabs>
              <w:spacing w:beforeLines="20" w:before="48" w:afterLines="20" w:after="48"/>
              <w:ind w:left="136" w:firstLine="0"/>
              <w:jc w:val="left"/>
              <w:rPr>
                <w:noProof/>
                <w:sz w:val="16"/>
                <w:szCs w:val="16"/>
              </w:rPr>
            </w:pPr>
            <w:r w:rsidRPr="009E1E74">
              <w:rPr>
                <w:noProof/>
                <w:sz w:val="16"/>
              </w:rPr>
              <w:t>01 01 01 02 (AC, END, INT – netiesioginiai moksliniai tyrimai)</w:t>
            </w:r>
          </w:p>
        </w:tc>
        <w:tc>
          <w:tcPr>
            <w:tcW w:w="731" w:type="dxa"/>
            <w:shd w:val="clear" w:color="auto" w:fill="auto"/>
            <w:vAlign w:val="center"/>
          </w:tcPr>
          <w:p w14:paraId="03EE305E"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63C23DE5"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2DCD596D"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39EC7F44"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40DB3748"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34E4AE5B"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4401B3CC" w14:textId="77777777" w:rsidR="00C87E1E" w:rsidRPr="009E1E74" w:rsidRDefault="00C87E1E" w:rsidP="00C87E1E">
            <w:pPr>
              <w:spacing w:beforeLines="20" w:before="48" w:afterLines="20" w:after="48"/>
              <w:jc w:val="center"/>
              <w:rPr>
                <w:noProof/>
                <w:sz w:val="16"/>
                <w:szCs w:val="16"/>
                <w:lang w:eastAsia="en-GB"/>
              </w:rPr>
            </w:pPr>
          </w:p>
        </w:tc>
      </w:tr>
      <w:tr w:rsidR="00C87E1E" w:rsidRPr="009E1E74" w14:paraId="5A6A7973" w14:textId="77777777" w:rsidTr="00C87E1E">
        <w:trPr>
          <w:gridBefore w:val="1"/>
          <w:wBefore w:w="15" w:type="dxa"/>
          <w:trHeight w:val="289"/>
          <w:jc w:val="center"/>
        </w:trPr>
        <w:tc>
          <w:tcPr>
            <w:tcW w:w="4754" w:type="dxa"/>
            <w:gridSpan w:val="2"/>
            <w:shd w:val="clear" w:color="auto" w:fill="auto"/>
            <w:vAlign w:val="center"/>
          </w:tcPr>
          <w:p w14:paraId="1F24C826" w14:textId="77777777" w:rsidR="00C87E1E" w:rsidRPr="009E1E74" w:rsidRDefault="00C87E1E" w:rsidP="00362810">
            <w:pPr>
              <w:numPr>
                <w:ilvl w:val="0"/>
                <w:numId w:val="10"/>
              </w:numPr>
              <w:tabs>
                <w:tab w:val="clear" w:pos="1134"/>
                <w:tab w:val="num" w:pos="360"/>
              </w:tabs>
              <w:spacing w:beforeLines="20" w:before="48" w:afterLines="20" w:after="48"/>
              <w:ind w:left="136" w:firstLine="0"/>
              <w:jc w:val="left"/>
              <w:rPr>
                <w:noProof/>
                <w:color w:val="FF0000"/>
                <w:sz w:val="16"/>
                <w:szCs w:val="16"/>
              </w:rPr>
            </w:pPr>
            <w:r w:rsidRPr="009E1E74">
              <w:rPr>
                <w:noProof/>
                <w:sz w:val="16"/>
              </w:rPr>
              <w:t xml:space="preserve"> 01 01 01 12 (AC, END, INT – tiesioginiai moksliniai tyrimai)</w:t>
            </w:r>
          </w:p>
        </w:tc>
        <w:tc>
          <w:tcPr>
            <w:tcW w:w="731" w:type="dxa"/>
            <w:shd w:val="clear" w:color="auto" w:fill="auto"/>
            <w:vAlign w:val="center"/>
          </w:tcPr>
          <w:p w14:paraId="611F2C86"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03FBFEE7"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756E9ECF"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2FCF6290"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4204EF6D"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5261FC84"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14213E94" w14:textId="77777777" w:rsidR="00C87E1E" w:rsidRPr="009E1E74" w:rsidRDefault="00C87E1E" w:rsidP="00C87E1E">
            <w:pPr>
              <w:spacing w:beforeLines="20" w:before="48" w:afterLines="20" w:after="48"/>
              <w:jc w:val="center"/>
              <w:rPr>
                <w:noProof/>
                <w:sz w:val="16"/>
                <w:szCs w:val="16"/>
                <w:lang w:eastAsia="en-GB"/>
              </w:rPr>
            </w:pPr>
          </w:p>
        </w:tc>
      </w:tr>
      <w:tr w:rsidR="00C87E1E" w:rsidRPr="009E1E74" w14:paraId="372CA57A" w14:textId="77777777" w:rsidTr="00C87E1E">
        <w:trPr>
          <w:gridBefore w:val="1"/>
          <w:wBefore w:w="15" w:type="dxa"/>
          <w:trHeight w:val="289"/>
          <w:jc w:val="center"/>
        </w:trPr>
        <w:tc>
          <w:tcPr>
            <w:tcW w:w="4754" w:type="dxa"/>
            <w:gridSpan w:val="2"/>
            <w:shd w:val="clear" w:color="auto" w:fill="auto"/>
            <w:vAlign w:val="center"/>
          </w:tcPr>
          <w:p w14:paraId="41C207C5" w14:textId="77777777" w:rsidR="00C87E1E" w:rsidRPr="009E1E74" w:rsidRDefault="00C87E1E" w:rsidP="00362810">
            <w:pPr>
              <w:numPr>
                <w:ilvl w:val="0"/>
                <w:numId w:val="10"/>
              </w:numPr>
              <w:tabs>
                <w:tab w:val="clear" w:pos="1134"/>
                <w:tab w:val="num" w:pos="360"/>
              </w:tabs>
              <w:spacing w:beforeLines="20" w:before="48" w:afterLines="20" w:after="48"/>
              <w:ind w:left="136" w:firstLine="0"/>
              <w:jc w:val="left"/>
              <w:rPr>
                <w:noProof/>
                <w:sz w:val="16"/>
              </w:rPr>
            </w:pPr>
            <w:r w:rsidRPr="009E1E74">
              <w:rPr>
                <w:noProof/>
                <w:sz w:val="16"/>
              </w:rPr>
              <w:t>Kitos biudžeto eilutės (nurodyti)</w:t>
            </w:r>
          </w:p>
        </w:tc>
        <w:tc>
          <w:tcPr>
            <w:tcW w:w="731" w:type="dxa"/>
            <w:shd w:val="clear" w:color="auto" w:fill="auto"/>
            <w:vAlign w:val="center"/>
          </w:tcPr>
          <w:p w14:paraId="4BB0E5FC"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5C73D115"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6228F8FB"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58E493AB"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5401E2D5"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6767EBCE" w14:textId="77777777" w:rsidR="00C87E1E" w:rsidRPr="009E1E74" w:rsidRDefault="00C87E1E" w:rsidP="00C87E1E">
            <w:pPr>
              <w:spacing w:beforeLines="20" w:before="48" w:afterLines="20" w:after="48"/>
              <w:jc w:val="center"/>
              <w:rPr>
                <w:noProof/>
                <w:sz w:val="16"/>
                <w:szCs w:val="16"/>
                <w:lang w:eastAsia="en-GB"/>
              </w:rPr>
            </w:pPr>
          </w:p>
        </w:tc>
        <w:tc>
          <w:tcPr>
            <w:tcW w:w="731" w:type="dxa"/>
            <w:shd w:val="clear" w:color="auto" w:fill="auto"/>
            <w:vAlign w:val="center"/>
          </w:tcPr>
          <w:p w14:paraId="18CE234B" w14:textId="77777777" w:rsidR="00C87E1E" w:rsidRPr="009E1E74" w:rsidRDefault="00C87E1E" w:rsidP="00C87E1E">
            <w:pPr>
              <w:spacing w:beforeLines="20" w:before="48" w:afterLines="20" w:after="48"/>
              <w:jc w:val="center"/>
              <w:rPr>
                <w:noProof/>
                <w:sz w:val="16"/>
                <w:szCs w:val="16"/>
                <w:lang w:eastAsia="en-GB"/>
              </w:rPr>
            </w:pPr>
          </w:p>
        </w:tc>
      </w:tr>
      <w:tr w:rsidR="00C87E1E" w:rsidRPr="009E1E74" w14:paraId="303FA18F" w14:textId="77777777" w:rsidTr="00C87E1E">
        <w:trPr>
          <w:gridBefore w:val="1"/>
          <w:wBefore w:w="15" w:type="dxa"/>
          <w:trHeight w:val="289"/>
          <w:jc w:val="center"/>
        </w:trPr>
        <w:tc>
          <w:tcPr>
            <w:tcW w:w="4754" w:type="dxa"/>
            <w:gridSpan w:val="2"/>
            <w:tcBorders>
              <w:top w:val="double" w:sz="4" w:space="0" w:color="auto"/>
            </w:tcBorders>
            <w:shd w:val="clear" w:color="auto" w:fill="auto"/>
            <w:vAlign w:val="center"/>
          </w:tcPr>
          <w:p w14:paraId="46D4F9C2" w14:textId="77777777" w:rsidR="00C87E1E" w:rsidRPr="009E1E74" w:rsidRDefault="00C87E1E" w:rsidP="00362810">
            <w:pPr>
              <w:numPr>
                <w:ilvl w:val="0"/>
                <w:numId w:val="10"/>
              </w:numPr>
              <w:tabs>
                <w:tab w:val="clear" w:pos="1134"/>
                <w:tab w:val="num" w:pos="360"/>
              </w:tabs>
              <w:spacing w:beforeLines="20" w:before="48" w:afterLines="20" w:after="48"/>
              <w:ind w:left="136" w:firstLine="0"/>
              <w:jc w:val="left"/>
              <w:rPr>
                <w:noProof/>
                <w:sz w:val="16"/>
                <w:szCs w:val="16"/>
              </w:rPr>
            </w:pPr>
            <w:r w:rsidRPr="009E1E74">
              <w:rPr>
                <w:b/>
                <w:noProof/>
                <w:sz w:val="16"/>
              </w:rPr>
              <w:t>IŠ VISO</w:t>
            </w:r>
          </w:p>
        </w:tc>
        <w:tc>
          <w:tcPr>
            <w:tcW w:w="731" w:type="dxa"/>
            <w:tcBorders>
              <w:top w:val="double" w:sz="4" w:space="0" w:color="auto"/>
            </w:tcBorders>
            <w:shd w:val="clear" w:color="auto" w:fill="auto"/>
            <w:vAlign w:val="center"/>
          </w:tcPr>
          <w:p w14:paraId="737E6968" w14:textId="77777777" w:rsidR="00C87E1E" w:rsidRPr="009E1E74" w:rsidRDefault="00C87E1E" w:rsidP="00C87E1E">
            <w:pPr>
              <w:spacing w:beforeLines="20" w:before="48" w:afterLines="20" w:after="48"/>
              <w:jc w:val="center"/>
              <w:rPr>
                <w:b/>
                <w:noProof/>
                <w:sz w:val="16"/>
                <w:szCs w:val="16"/>
                <w:lang w:eastAsia="en-GB"/>
              </w:rPr>
            </w:pPr>
          </w:p>
        </w:tc>
        <w:tc>
          <w:tcPr>
            <w:tcW w:w="731" w:type="dxa"/>
            <w:tcBorders>
              <w:top w:val="double" w:sz="4" w:space="0" w:color="auto"/>
            </w:tcBorders>
            <w:shd w:val="clear" w:color="auto" w:fill="auto"/>
            <w:vAlign w:val="center"/>
          </w:tcPr>
          <w:p w14:paraId="539EA421" w14:textId="77777777" w:rsidR="00C87E1E" w:rsidRPr="009E1E74" w:rsidRDefault="00C87E1E" w:rsidP="00C87E1E">
            <w:pPr>
              <w:spacing w:beforeLines="20" w:before="48" w:afterLines="20" w:after="48"/>
              <w:jc w:val="center"/>
              <w:rPr>
                <w:b/>
                <w:noProof/>
                <w:sz w:val="16"/>
                <w:szCs w:val="16"/>
                <w:lang w:eastAsia="en-GB"/>
              </w:rPr>
            </w:pPr>
          </w:p>
        </w:tc>
        <w:tc>
          <w:tcPr>
            <w:tcW w:w="731" w:type="dxa"/>
            <w:tcBorders>
              <w:top w:val="double" w:sz="4" w:space="0" w:color="auto"/>
            </w:tcBorders>
            <w:shd w:val="clear" w:color="auto" w:fill="auto"/>
            <w:vAlign w:val="center"/>
          </w:tcPr>
          <w:p w14:paraId="080B6ED1" w14:textId="77777777" w:rsidR="00C87E1E" w:rsidRPr="009E1E74" w:rsidRDefault="00C87E1E" w:rsidP="00C87E1E">
            <w:pPr>
              <w:spacing w:beforeLines="20" w:before="48" w:afterLines="20" w:after="48"/>
              <w:jc w:val="center"/>
              <w:rPr>
                <w:b/>
                <w:noProof/>
                <w:sz w:val="16"/>
                <w:szCs w:val="16"/>
                <w:lang w:eastAsia="en-GB"/>
              </w:rPr>
            </w:pPr>
          </w:p>
        </w:tc>
        <w:tc>
          <w:tcPr>
            <w:tcW w:w="731" w:type="dxa"/>
            <w:tcBorders>
              <w:top w:val="double" w:sz="4" w:space="0" w:color="auto"/>
            </w:tcBorders>
            <w:shd w:val="clear" w:color="auto" w:fill="auto"/>
            <w:vAlign w:val="center"/>
          </w:tcPr>
          <w:p w14:paraId="39A6FFD3" w14:textId="77777777" w:rsidR="00C87E1E" w:rsidRPr="009E1E74" w:rsidRDefault="00C87E1E" w:rsidP="00C87E1E">
            <w:pPr>
              <w:spacing w:beforeLines="20" w:before="48" w:afterLines="20" w:after="48"/>
              <w:jc w:val="center"/>
              <w:rPr>
                <w:b/>
                <w:noProof/>
                <w:sz w:val="16"/>
                <w:szCs w:val="16"/>
                <w:lang w:eastAsia="en-GB"/>
              </w:rPr>
            </w:pPr>
          </w:p>
        </w:tc>
        <w:tc>
          <w:tcPr>
            <w:tcW w:w="731" w:type="dxa"/>
            <w:tcBorders>
              <w:top w:val="double" w:sz="4" w:space="0" w:color="auto"/>
            </w:tcBorders>
            <w:shd w:val="clear" w:color="auto" w:fill="auto"/>
            <w:vAlign w:val="center"/>
          </w:tcPr>
          <w:p w14:paraId="56B10875" w14:textId="77777777" w:rsidR="00C87E1E" w:rsidRPr="009E1E74" w:rsidRDefault="00C87E1E" w:rsidP="00C87E1E">
            <w:pPr>
              <w:spacing w:beforeLines="20" w:before="48" w:afterLines="20" w:after="48"/>
              <w:jc w:val="center"/>
              <w:rPr>
                <w:b/>
                <w:noProof/>
                <w:sz w:val="16"/>
                <w:szCs w:val="16"/>
                <w:lang w:eastAsia="en-GB"/>
              </w:rPr>
            </w:pPr>
          </w:p>
        </w:tc>
        <w:tc>
          <w:tcPr>
            <w:tcW w:w="731" w:type="dxa"/>
            <w:tcBorders>
              <w:top w:val="double" w:sz="4" w:space="0" w:color="auto"/>
            </w:tcBorders>
            <w:shd w:val="clear" w:color="auto" w:fill="auto"/>
            <w:vAlign w:val="center"/>
          </w:tcPr>
          <w:p w14:paraId="609E634B" w14:textId="77777777" w:rsidR="00C87E1E" w:rsidRPr="009E1E74" w:rsidRDefault="00C87E1E" w:rsidP="00C87E1E">
            <w:pPr>
              <w:spacing w:beforeLines="20" w:before="48" w:afterLines="20" w:after="48"/>
              <w:jc w:val="center"/>
              <w:rPr>
                <w:b/>
                <w:noProof/>
                <w:sz w:val="16"/>
                <w:szCs w:val="16"/>
                <w:lang w:eastAsia="en-GB"/>
              </w:rPr>
            </w:pPr>
          </w:p>
        </w:tc>
        <w:tc>
          <w:tcPr>
            <w:tcW w:w="731" w:type="dxa"/>
            <w:tcBorders>
              <w:top w:val="double" w:sz="4" w:space="0" w:color="auto"/>
            </w:tcBorders>
            <w:shd w:val="clear" w:color="auto" w:fill="auto"/>
            <w:vAlign w:val="center"/>
          </w:tcPr>
          <w:p w14:paraId="37541893" w14:textId="77777777" w:rsidR="00C87E1E" w:rsidRPr="009E1E74" w:rsidRDefault="00C87E1E" w:rsidP="00C87E1E">
            <w:pPr>
              <w:spacing w:beforeLines="20" w:before="48" w:afterLines="20" w:after="48"/>
              <w:jc w:val="center"/>
              <w:rPr>
                <w:b/>
                <w:noProof/>
                <w:sz w:val="16"/>
                <w:szCs w:val="16"/>
                <w:lang w:eastAsia="en-GB"/>
              </w:rPr>
            </w:pPr>
          </w:p>
        </w:tc>
      </w:tr>
    </w:tbl>
    <w:p w14:paraId="1425C2D8" w14:textId="77777777" w:rsidR="00C87E1E" w:rsidRPr="009E1E74" w:rsidRDefault="00C87E1E" w:rsidP="00FB18F4">
      <w:pPr>
        <w:spacing w:before="60" w:after="60"/>
        <w:rPr>
          <w:noProof/>
          <w:sz w:val="18"/>
          <w:szCs w:val="18"/>
        </w:rPr>
      </w:pPr>
      <w:r w:rsidRPr="009E1E74">
        <w:rPr>
          <w:b/>
          <w:noProof/>
          <w:sz w:val="18"/>
          <w:szCs w:val="18"/>
        </w:rPr>
        <w:t>XX</w:t>
      </w:r>
      <w:r w:rsidRPr="009E1E74">
        <w:rPr>
          <w:noProof/>
          <w:sz w:val="18"/>
          <w:szCs w:val="18"/>
        </w:rPr>
        <w:t xml:space="preserve"> yra atitinkama politikos sritis arba biudžeto antraštinė dalis.</w:t>
      </w:r>
    </w:p>
    <w:p w14:paraId="07B08E6C" w14:textId="77777777" w:rsidR="00C87E1E" w:rsidRPr="009E1E74" w:rsidRDefault="00C87E1E" w:rsidP="00FB18F4">
      <w:pPr>
        <w:rPr>
          <w:noProof/>
          <w:sz w:val="18"/>
          <w:szCs w:val="18"/>
        </w:rPr>
      </w:pPr>
      <w:r w:rsidRPr="009E1E74">
        <w:rPr>
          <w:noProof/>
          <w:sz w:val="18"/>
        </w:rPr>
        <w:t>Žmogiškųjų išteklių poreikiai bus tenkinami panaudojant GD darbuotojus, jau paskirtus veiksmui valdyti ir (arba) perskirstytus generaliniame direktorate, ir prireikus finansuojami iš papildomų lėšų, kurios atsakingam GD gali būti skiriamos pagal metinę lėšų skyrimo procedūrą ir atsižvelgiant į biudžeto apribojimus.</w:t>
      </w:r>
    </w:p>
    <w:p w14:paraId="1B547052" w14:textId="77777777" w:rsidR="00C87E1E" w:rsidRPr="009E1E74" w:rsidRDefault="00C87E1E" w:rsidP="00C87E1E">
      <w:pPr>
        <w:rPr>
          <w:noProof/>
          <w:sz w:val="20"/>
        </w:rPr>
      </w:pPr>
      <w:r w:rsidRPr="009E1E74">
        <w:rPr>
          <w:noProof/>
          <w:sz w:val="20"/>
        </w:rPr>
        <w:t>Vykdytinų užduočių aprašymas: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C87E1E" w:rsidRPr="009E1E74" w14:paraId="71C0B071" w14:textId="77777777" w:rsidTr="00C87E1E">
        <w:tc>
          <w:tcPr>
            <w:tcW w:w="3240" w:type="dxa"/>
          </w:tcPr>
          <w:p w14:paraId="1165BE47" w14:textId="77777777" w:rsidR="00C87E1E" w:rsidRPr="009E1E74" w:rsidRDefault="00C87E1E" w:rsidP="00C87E1E">
            <w:pPr>
              <w:rPr>
                <w:noProof/>
                <w:sz w:val="20"/>
              </w:rPr>
            </w:pPr>
            <w:r w:rsidRPr="009E1E74">
              <w:rPr>
                <w:noProof/>
                <w:sz w:val="20"/>
              </w:rPr>
              <w:t>Pareigūnai ir laikinieji darbuotojai</w:t>
            </w:r>
          </w:p>
        </w:tc>
        <w:tc>
          <w:tcPr>
            <w:tcW w:w="7200" w:type="dxa"/>
          </w:tcPr>
          <w:p w14:paraId="07415E06" w14:textId="77777777" w:rsidR="00C87E1E" w:rsidRPr="009E1E74" w:rsidRDefault="00C87E1E" w:rsidP="00C87E1E">
            <w:pPr>
              <w:rPr>
                <w:noProof/>
                <w:sz w:val="20"/>
                <w:lang w:eastAsia="en-GB"/>
              </w:rPr>
            </w:pPr>
          </w:p>
        </w:tc>
      </w:tr>
      <w:tr w:rsidR="00C87E1E" w:rsidRPr="009E1E74" w14:paraId="5EA38097" w14:textId="77777777" w:rsidTr="00C87E1E">
        <w:tc>
          <w:tcPr>
            <w:tcW w:w="3240" w:type="dxa"/>
          </w:tcPr>
          <w:p w14:paraId="083DDBF6" w14:textId="77777777" w:rsidR="00C87E1E" w:rsidRPr="009E1E74" w:rsidRDefault="00C87E1E" w:rsidP="00C87E1E">
            <w:pPr>
              <w:spacing w:before="60" w:after="60"/>
              <w:rPr>
                <w:noProof/>
                <w:sz w:val="20"/>
              </w:rPr>
            </w:pPr>
            <w:r w:rsidRPr="009E1E74">
              <w:rPr>
                <w:noProof/>
                <w:sz w:val="20"/>
              </w:rPr>
              <w:t>Išorės darbuotojai</w:t>
            </w:r>
          </w:p>
        </w:tc>
        <w:tc>
          <w:tcPr>
            <w:tcW w:w="7200" w:type="dxa"/>
          </w:tcPr>
          <w:p w14:paraId="482C180D" w14:textId="77777777" w:rsidR="00C87E1E" w:rsidRPr="009E1E74" w:rsidRDefault="00C87E1E" w:rsidP="00C87E1E">
            <w:pPr>
              <w:rPr>
                <w:noProof/>
                <w:sz w:val="20"/>
                <w:lang w:eastAsia="en-GB"/>
              </w:rPr>
            </w:pPr>
          </w:p>
        </w:tc>
      </w:tr>
    </w:tbl>
    <w:p w14:paraId="418900D7" w14:textId="77777777" w:rsidR="00C87E1E" w:rsidRPr="009E1E74" w:rsidRDefault="00C87E1E" w:rsidP="00C87E1E">
      <w:pPr>
        <w:rPr>
          <w:noProof/>
          <w:lang w:eastAsia="en-GB"/>
        </w:rPr>
        <w:sectPr w:rsidR="00C87E1E" w:rsidRPr="009E1E74" w:rsidSect="006E606F">
          <w:pgSz w:w="11907" w:h="16840"/>
          <w:pgMar w:top="1134" w:right="1418" w:bottom="1134" w:left="1418" w:header="709" w:footer="709" w:gutter="0"/>
          <w:cols w:space="708"/>
          <w:docGrid w:linePitch="360"/>
        </w:sectPr>
      </w:pPr>
    </w:p>
    <w:p w14:paraId="3FF205BB" w14:textId="77777777" w:rsidR="00C87E1E" w:rsidRPr="009E1E74" w:rsidRDefault="00C87E1E" w:rsidP="00FB18F4">
      <w:pPr>
        <w:keepNext/>
        <w:outlineLvl w:val="2"/>
        <w:rPr>
          <w:rFonts w:eastAsiaTheme="majorEastAsia"/>
          <w:bCs/>
          <w:i/>
          <w:noProof/>
        </w:rPr>
      </w:pPr>
      <w:bookmarkStart w:id="61" w:name="_Toc514938056"/>
      <w:bookmarkStart w:id="62" w:name="_Toc520485055"/>
      <w:r w:rsidRPr="009E1E74">
        <w:rPr>
          <w:bCs/>
          <w:i/>
          <w:noProof/>
        </w:rPr>
        <w:t>Suderinamumas su dabartine daugiamete finansine programa</w:t>
      </w:r>
      <w:bookmarkEnd w:id="61"/>
      <w:bookmarkEnd w:id="62"/>
      <w:r w:rsidRPr="009E1E74">
        <w:rPr>
          <w:bCs/>
          <w:i/>
          <w:noProof/>
        </w:rPr>
        <w:t xml:space="preserve"> </w:t>
      </w:r>
    </w:p>
    <w:p w14:paraId="42D2B7AB" w14:textId="77777777" w:rsidR="00C87E1E" w:rsidRPr="009E1E74" w:rsidRDefault="00C87E1E" w:rsidP="00C87E1E">
      <w:pPr>
        <w:tabs>
          <w:tab w:val="num" w:pos="1134"/>
        </w:tabs>
        <w:ind w:left="1134" w:hanging="283"/>
        <w:rPr>
          <w:noProof/>
        </w:rPr>
      </w:pPr>
      <w:r w:rsidRPr="009E1E74">
        <w:rPr>
          <w:noProof/>
        </w:rPr>
        <w:t>Pasiūlymas (iniciatyva) atitinka dabartinę daugiametę finansinę programą.</w:t>
      </w:r>
    </w:p>
    <w:p w14:paraId="28DCE1B5" w14:textId="77777777" w:rsidR="00C87E1E" w:rsidRPr="009E1E74" w:rsidRDefault="00C87E1E" w:rsidP="00FB18F4">
      <w:pPr>
        <w:rPr>
          <w:noProof/>
          <w:lang w:eastAsia="en-GB"/>
        </w:rPr>
      </w:pPr>
    </w:p>
    <w:p w14:paraId="3CCB9447" w14:textId="77777777" w:rsidR="00C87E1E" w:rsidRPr="009E1E74" w:rsidRDefault="00C87E1E" w:rsidP="00FB18F4">
      <w:pPr>
        <w:rPr>
          <w:noProof/>
        </w:rPr>
      </w:pPr>
      <w:r w:rsidRPr="009E1E74">
        <w:rPr>
          <w:noProof/>
        </w:rPr>
        <w:t>Pasiūlymas (iniciatyva)</w:t>
      </w:r>
    </w:p>
    <w:p w14:paraId="6904321F" w14:textId="77777777" w:rsidR="00C87E1E" w:rsidRPr="009E1E74" w:rsidRDefault="00C87E1E" w:rsidP="00C87E1E">
      <w:pPr>
        <w:tabs>
          <w:tab w:val="num" w:pos="1134"/>
        </w:tabs>
        <w:ind w:left="1134" w:hanging="283"/>
        <w:rPr>
          <w:noProof/>
        </w:rPr>
      </w:pPr>
      <w:r w:rsidRPr="009E1E74">
        <w:rPr>
          <w:noProof/>
        </w:rPr>
        <w:sym w:font="Wingdings" w:char="F0A8"/>
      </w:r>
      <w:r w:rsidRPr="009E1E74">
        <w:rPr>
          <w:noProof/>
        </w:rPr>
        <w:tab/>
        <w:t>Galima visiškai finansuoti perskirstant asignavimą atitinkamoje daugiametės finansinės programos (DFP) išlaidų kategorijoje.</w:t>
      </w:r>
    </w:p>
    <w:p w14:paraId="6103B04B" w14:textId="77777777" w:rsidR="00C87E1E" w:rsidRPr="009E1E74" w:rsidRDefault="00C87E1E" w:rsidP="00FB18F4">
      <w:pPr>
        <w:pBdr>
          <w:top w:val="single" w:sz="4" w:space="1" w:color="auto"/>
          <w:left w:val="single" w:sz="4" w:space="4" w:color="auto"/>
          <w:bottom w:val="single" w:sz="4" w:space="1" w:color="auto"/>
          <w:right w:val="single" w:sz="4" w:space="4" w:color="auto"/>
        </w:pBdr>
        <w:rPr>
          <w:noProof/>
          <w:sz w:val="20"/>
        </w:rPr>
      </w:pPr>
      <w:r w:rsidRPr="009E1E74">
        <w:rPr>
          <w:noProof/>
          <w:sz w:val="20"/>
        </w:rPr>
        <w:t>Paaiškinti, kaip reikia pakeisti programavimą, ir nurodyti atitinkamas biudžeto eilutes bei sumas.</w:t>
      </w:r>
      <w:r w:rsidRPr="009E1E74">
        <w:rPr>
          <w:noProof/>
        </w:rPr>
        <w:t xml:space="preserve"> </w:t>
      </w:r>
      <w:r w:rsidRPr="009E1E74">
        <w:rPr>
          <w:noProof/>
          <w:sz w:val="20"/>
        </w:rPr>
        <w:t>Jeigu programavimas keičiamas iš esmės, pateikti „Excel“ lentelę.</w:t>
      </w:r>
    </w:p>
    <w:p w14:paraId="658F0FB3" w14:textId="77777777" w:rsidR="00C87E1E" w:rsidRPr="009E1E74" w:rsidRDefault="00C87E1E" w:rsidP="00C87E1E">
      <w:pPr>
        <w:tabs>
          <w:tab w:val="num" w:pos="1134"/>
        </w:tabs>
        <w:ind w:left="1134" w:hanging="283"/>
        <w:rPr>
          <w:noProof/>
        </w:rPr>
      </w:pPr>
      <w:r w:rsidRPr="009E1E74">
        <w:rPr>
          <w:noProof/>
        </w:rPr>
        <w:sym w:font="Wingdings" w:char="F0A8"/>
      </w:r>
      <w:r w:rsidRPr="009E1E74">
        <w:rPr>
          <w:noProof/>
        </w:rPr>
        <w:tab/>
        <w:t>Reikia panaudoti nepaskirstytą maržą pagal atitinkamą DFP išlaidų kategoriją ir (arba) specialias priemones, kaip apibrėžta DFP reglamente.</w:t>
      </w:r>
    </w:p>
    <w:p w14:paraId="3C5A39CB" w14:textId="77777777" w:rsidR="00C87E1E" w:rsidRPr="009E1E74" w:rsidRDefault="00C87E1E" w:rsidP="00FB18F4">
      <w:pPr>
        <w:pBdr>
          <w:top w:val="single" w:sz="4" w:space="1" w:color="auto"/>
          <w:left w:val="single" w:sz="4" w:space="4" w:color="auto"/>
          <w:bottom w:val="single" w:sz="4" w:space="1" w:color="auto"/>
          <w:right w:val="single" w:sz="4" w:space="4" w:color="auto"/>
        </w:pBdr>
        <w:rPr>
          <w:noProof/>
          <w:sz w:val="20"/>
        </w:rPr>
      </w:pPr>
      <w:r w:rsidRPr="009E1E74">
        <w:rPr>
          <w:noProof/>
          <w:sz w:val="20"/>
        </w:rPr>
        <w:t>Paaiškinti, ką reikia atlikti, ir nurodyti atitinkamas išlaidų kategorijas, biudžeto eilutes bei sumas ir pasiūlytas naudoti priemones.</w:t>
      </w:r>
    </w:p>
    <w:p w14:paraId="6C67EC92" w14:textId="77777777" w:rsidR="00C87E1E" w:rsidRPr="009E1E74" w:rsidRDefault="00C87E1E" w:rsidP="00C87E1E">
      <w:pPr>
        <w:tabs>
          <w:tab w:val="num" w:pos="1134"/>
        </w:tabs>
        <w:ind w:left="1134" w:hanging="283"/>
        <w:rPr>
          <w:noProof/>
        </w:rPr>
      </w:pPr>
      <w:r w:rsidRPr="009E1E74">
        <w:rPr>
          <w:noProof/>
        </w:rPr>
        <w:sym w:font="Wingdings" w:char="F0A8"/>
      </w:r>
      <w:r w:rsidRPr="009E1E74">
        <w:rPr>
          <w:noProof/>
        </w:rPr>
        <w:tab/>
        <w:t>Reikia persvarstyti DFP.</w:t>
      </w:r>
    </w:p>
    <w:p w14:paraId="69EB9659" w14:textId="77777777" w:rsidR="00C87E1E" w:rsidRPr="009E1E74" w:rsidRDefault="00C87E1E" w:rsidP="00FB18F4">
      <w:pPr>
        <w:pBdr>
          <w:top w:val="single" w:sz="4" w:space="1" w:color="auto"/>
          <w:left w:val="single" w:sz="4" w:space="4" w:color="auto"/>
          <w:bottom w:val="single" w:sz="4" w:space="1" w:color="auto"/>
          <w:right w:val="single" w:sz="4" w:space="4" w:color="auto"/>
        </w:pBdr>
        <w:rPr>
          <w:noProof/>
          <w:sz w:val="20"/>
        </w:rPr>
      </w:pPr>
      <w:r w:rsidRPr="009E1E74">
        <w:rPr>
          <w:noProof/>
          <w:sz w:val="20"/>
        </w:rPr>
        <w:t>Paaiškinti, ką reikia atlikti, ir nurodyti atitinkamas išlaidų kategorijas, biudžeto eilutes ir sumas.</w:t>
      </w:r>
    </w:p>
    <w:p w14:paraId="0DF3B12C" w14:textId="77777777" w:rsidR="00C87E1E" w:rsidRPr="009E1E74" w:rsidRDefault="00C87E1E" w:rsidP="00FB18F4">
      <w:pPr>
        <w:keepNext/>
        <w:outlineLvl w:val="2"/>
        <w:rPr>
          <w:rFonts w:eastAsiaTheme="majorEastAsia"/>
          <w:i/>
          <w:noProof/>
          <w:szCs w:val="24"/>
        </w:rPr>
      </w:pPr>
      <w:bookmarkStart w:id="63" w:name="_Toc514938058"/>
      <w:bookmarkStart w:id="64" w:name="_Toc520485056"/>
      <w:r w:rsidRPr="009E1E74">
        <w:rPr>
          <w:bCs/>
          <w:i/>
          <w:noProof/>
        </w:rPr>
        <w:t>Trečiųjų šalių įnašai</w:t>
      </w:r>
      <w:bookmarkEnd w:id="63"/>
      <w:bookmarkEnd w:id="64"/>
      <w:r w:rsidRPr="009E1E74">
        <w:rPr>
          <w:bCs/>
          <w:i/>
          <w:noProof/>
        </w:rPr>
        <w:t xml:space="preserve"> </w:t>
      </w:r>
    </w:p>
    <w:p w14:paraId="58E09A7B" w14:textId="77777777" w:rsidR="00C87E1E" w:rsidRPr="009E1E74" w:rsidRDefault="00C87E1E" w:rsidP="00FB18F4">
      <w:pPr>
        <w:rPr>
          <w:noProof/>
        </w:rPr>
      </w:pPr>
      <w:r w:rsidRPr="009E1E74">
        <w:rPr>
          <w:noProof/>
        </w:rPr>
        <w:t>Pasiūlyme (iniciatyvoje):</w:t>
      </w:r>
    </w:p>
    <w:p w14:paraId="3B93550C" w14:textId="77777777" w:rsidR="00C87E1E" w:rsidRPr="009E1E74" w:rsidRDefault="00C87E1E" w:rsidP="00C87E1E">
      <w:pPr>
        <w:tabs>
          <w:tab w:val="num" w:pos="1134"/>
        </w:tabs>
        <w:ind w:left="1134" w:hanging="283"/>
        <w:rPr>
          <w:noProof/>
        </w:rPr>
      </w:pPr>
      <w:r w:rsidRPr="009E1E74">
        <w:rPr>
          <w:b/>
          <w:noProof/>
        </w:rPr>
        <w:t>X</w:t>
      </w:r>
      <w:r w:rsidRPr="009E1E74">
        <w:rPr>
          <w:noProof/>
        </w:rPr>
        <w:tab/>
        <w:t>nenumatyta bendro su trečiosiomis šalimis finansavimo</w:t>
      </w:r>
    </w:p>
    <w:p w14:paraId="1E328A93" w14:textId="77777777" w:rsidR="00C87E1E" w:rsidRPr="009E1E74" w:rsidRDefault="00C87E1E" w:rsidP="00C87E1E">
      <w:pPr>
        <w:tabs>
          <w:tab w:val="num" w:pos="1134"/>
        </w:tabs>
        <w:ind w:left="1134" w:hanging="283"/>
        <w:rPr>
          <w:noProof/>
        </w:rPr>
      </w:pPr>
      <w:r w:rsidRPr="009E1E74">
        <w:rPr>
          <w:noProof/>
        </w:rPr>
        <w:sym w:font="Wingdings" w:char="F0A8"/>
      </w:r>
      <w:r w:rsidRPr="009E1E74">
        <w:rPr>
          <w:noProof/>
        </w:rPr>
        <w:tab/>
        <w:t>numatytas trečiųjų šalių bendras finansavimas apskaičiuojamas taip:</w:t>
      </w:r>
    </w:p>
    <w:p w14:paraId="13FADB62" w14:textId="77777777" w:rsidR="00C87E1E" w:rsidRPr="009E1E74" w:rsidRDefault="00C87E1E" w:rsidP="00C87E1E">
      <w:pPr>
        <w:jc w:val="right"/>
        <w:rPr>
          <w:noProof/>
          <w:sz w:val="20"/>
        </w:rPr>
      </w:pPr>
      <w:r w:rsidRPr="009E1E74">
        <w:rPr>
          <w:noProof/>
          <w:sz w:val="20"/>
        </w:rPr>
        <w:t>Asignavimai mln. EUR (tūkstantųjų tikslumu)</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C87E1E" w:rsidRPr="009E1E74" w14:paraId="27B165C1" w14:textId="77777777" w:rsidTr="00C87E1E">
        <w:trPr>
          <w:cantSplit/>
        </w:trPr>
        <w:tc>
          <w:tcPr>
            <w:tcW w:w="2340" w:type="dxa"/>
          </w:tcPr>
          <w:p w14:paraId="19BEF800" w14:textId="77777777" w:rsidR="00C87E1E" w:rsidRPr="009E1E74" w:rsidRDefault="00C87E1E" w:rsidP="00C87E1E">
            <w:pPr>
              <w:spacing w:before="60" w:after="60"/>
              <w:rPr>
                <w:noProof/>
                <w:sz w:val="20"/>
                <w:lang w:eastAsia="en-GB"/>
              </w:rPr>
            </w:pPr>
          </w:p>
        </w:tc>
        <w:tc>
          <w:tcPr>
            <w:tcW w:w="964" w:type="dxa"/>
            <w:vAlign w:val="center"/>
          </w:tcPr>
          <w:p w14:paraId="4E3CD0B8" w14:textId="77777777" w:rsidR="00C87E1E" w:rsidRPr="009E1E74" w:rsidRDefault="00C87E1E" w:rsidP="00C87E1E">
            <w:pPr>
              <w:jc w:val="center"/>
              <w:rPr>
                <w:noProof/>
                <w:sz w:val="20"/>
              </w:rPr>
            </w:pPr>
            <w:r w:rsidRPr="009E1E74">
              <w:rPr>
                <w:b/>
                <w:noProof/>
                <w:sz w:val="20"/>
              </w:rPr>
              <w:t>N</w:t>
            </w:r>
            <w:r w:rsidRPr="009E1E74">
              <w:rPr>
                <w:noProof/>
              </w:rPr>
              <w:t xml:space="preserve"> </w:t>
            </w:r>
            <w:r w:rsidRPr="009E1E74">
              <w:rPr>
                <w:noProof/>
              </w:rPr>
              <w:br/>
            </w:r>
            <w:r w:rsidRPr="009E1E74">
              <w:rPr>
                <w:b/>
                <w:noProof/>
                <w:sz w:val="20"/>
              </w:rPr>
              <w:t>N</w:t>
            </w:r>
            <w:r w:rsidRPr="009E1E74">
              <w:rPr>
                <w:rStyle w:val="FootnoteReference"/>
                <w:noProof/>
              </w:rPr>
              <w:footnoteReference w:id="18"/>
            </w:r>
          </w:p>
        </w:tc>
        <w:tc>
          <w:tcPr>
            <w:tcW w:w="964" w:type="dxa"/>
            <w:vAlign w:val="center"/>
          </w:tcPr>
          <w:p w14:paraId="0E200FF1" w14:textId="77777777" w:rsidR="00C87E1E" w:rsidRPr="009E1E74" w:rsidRDefault="00C87E1E" w:rsidP="00C87E1E">
            <w:pPr>
              <w:jc w:val="center"/>
              <w:rPr>
                <w:noProof/>
                <w:sz w:val="20"/>
              </w:rPr>
            </w:pPr>
            <w:r w:rsidRPr="009E1E74">
              <w:rPr>
                <w:b/>
                <w:noProof/>
                <w:sz w:val="20"/>
              </w:rPr>
              <w:t>N + 1</w:t>
            </w:r>
            <w:r w:rsidRPr="009E1E74">
              <w:rPr>
                <w:noProof/>
              </w:rPr>
              <w:t xml:space="preserve"> </w:t>
            </w:r>
            <w:r w:rsidRPr="009E1E74">
              <w:rPr>
                <w:noProof/>
              </w:rPr>
              <w:br/>
            </w:r>
            <w:r w:rsidRPr="009E1E74">
              <w:rPr>
                <w:noProof/>
                <w:sz w:val="20"/>
              </w:rPr>
              <w:t>metai</w:t>
            </w:r>
          </w:p>
        </w:tc>
        <w:tc>
          <w:tcPr>
            <w:tcW w:w="964" w:type="dxa"/>
            <w:vAlign w:val="center"/>
          </w:tcPr>
          <w:p w14:paraId="7F105601" w14:textId="77777777" w:rsidR="00C87E1E" w:rsidRPr="009E1E74" w:rsidRDefault="00C87E1E" w:rsidP="00C87E1E">
            <w:pPr>
              <w:jc w:val="center"/>
              <w:rPr>
                <w:noProof/>
                <w:sz w:val="20"/>
              </w:rPr>
            </w:pPr>
            <w:r w:rsidRPr="009E1E74">
              <w:rPr>
                <w:b/>
                <w:noProof/>
                <w:sz w:val="20"/>
              </w:rPr>
              <w:t>N + 2</w:t>
            </w:r>
            <w:r w:rsidRPr="009E1E74">
              <w:rPr>
                <w:noProof/>
              </w:rPr>
              <w:t xml:space="preserve"> </w:t>
            </w:r>
            <w:r w:rsidRPr="009E1E74">
              <w:rPr>
                <w:noProof/>
              </w:rPr>
              <w:br/>
            </w:r>
            <w:r w:rsidRPr="009E1E74">
              <w:rPr>
                <w:noProof/>
                <w:sz w:val="20"/>
              </w:rPr>
              <w:t>metai</w:t>
            </w:r>
          </w:p>
        </w:tc>
        <w:tc>
          <w:tcPr>
            <w:tcW w:w="964" w:type="dxa"/>
            <w:vAlign w:val="center"/>
          </w:tcPr>
          <w:p w14:paraId="30C0732E" w14:textId="77777777" w:rsidR="00C87E1E" w:rsidRPr="009E1E74" w:rsidRDefault="00C87E1E" w:rsidP="00C87E1E">
            <w:pPr>
              <w:jc w:val="center"/>
              <w:rPr>
                <w:noProof/>
                <w:sz w:val="20"/>
              </w:rPr>
            </w:pPr>
            <w:r w:rsidRPr="009E1E74">
              <w:rPr>
                <w:b/>
                <w:noProof/>
                <w:sz w:val="20"/>
              </w:rPr>
              <w:t>N + 3</w:t>
            </w:r>
            <w:r w:rsidRPr="009E1E74">
              <w:rPr>
                <w:noProof/>
              </w:rPr>
              <w:t xml:space="preserve"> </w:t>
            </w:r>
            <w:r w:rsidRPr="009E1E74">
              <w:rPr>
                <w:noProof/>
              </w:rPr>
              <w:br/>
            </w:r>
            <w:r w:rsidRPr="009E1E74">
              <w:rPr>
                <w:noProof/>
                <w:sz w:val="20"/>
              </w:rPr>
              <w:t>metai</w:t>
            </w:r>
          </w:p>
        </w:tc>
        <w:tc>
          <w:tcPr>
            <w:tcW w:w="2892" w:type="dxa"/>
            <w:gridSpan w:val="3"/>
            <w:vAlign w:val="center"/>
          </w:tcPr>
          <w:p w14:paraId="620F6747" w14:textId="77777777" w:rsidR="00C87E1E" w:rsidRPr="009E1E74" w:rsidRDefault="00C87E1E" w:rsidP="00C87E1E">
            <w:pPr>
              <w:jc w:val="center"/>
              <w:rPr>
                <w:b/>
                <w:noProof/>
                <w:sz w:val="20"/>
              </w:rPr>
            </w:pPr>
            <w:r w:rsidRPr="009E1E74">
              <w:rPr>
                <w:noProof/>
                <w:sz w:val="20"/>
              </w:rPr>
              <w:t>Atsižvelgiant į poveikio trukmę įterpti reikiamą metų skaičių (žr. 1.6 punktą)</w:t>
            </w:r>
          </w:p>
        </w:tc>
        <w:tc>
          <w:tcPr>
            <w:tcW w:w="1158" w:type="dxa"/>
            <w:vAlign w:val="center"/>
          </w:tcPr>
          <w:p w14:paraId="03F9F825" w14:textId="77777777" w:rsidR="00C87E1E" w:rsidRPr="009E1E74" w:rsidRDefault="00C87E1E" w:rsidP="00C87E1E">
            <w:pPr>
              <w:spacing w:before="60" w:after="60"/>
              <w:jc w:val="center"/>
              <w:rPr>
                <w:noProof/>
                <w:sz w:val="20"/>
              </w:rPr>
            </w:pPr>
            <w:r w:rsidRPr="009E1E74">
              <w:rPr>
                <w:noProof/>
                <w:sz w:val="20"/>
              </w:rPr>
              <w:t>Iš viso</w:t>
            </w:r>
          </w:p>
        </w:tc>
      </w:tr>
      <w:tr w:rsidR="00C87E1E" w:rsidRPr="009E1E74" w14:paraId="6422B94F" w14:textId="77777777" w:rsidTr="00C87E1E">
        <w:trPr>
          <w:cantSplit/>
        </w:trPr>
        <w:tc>
          <w:tcPr>
            <w:tcW w:w="2340" w:type="dxa"/>
          </w:tcPr>
          <w:p w14:paraId="5B996D6F" w14:textId="77777777" w:rsidR="00C87E1E" w:rsidRPr="009E1E74" w:rsidRDefault="00C87E1E" w:rsidP="00C87E1E">
            <w:pPr>
              <w:rPr>
                <w:noProof/>
              </w:rPr>
            </w:pPr>
            <w:r w:rsidRPr="009E1E74">
              <w:rPr>
                <w:noProof/>
                <w:sz w:val="20"/>
              </w:rPr>
              <w:t>Nurodyti bendrą finansavimą teikiančią įstaigą</w:t>
            </w:r>
            <w:r w:rsidRPr="009E1E74">
              <w:rPr>
                <w:i/>
                <w:noProof/>
                <w:sz w:val="20"/>
              </w:rPr>
              <w:t xml:space="preserve"> </w:t>
            </w:r>
          </w:p>
        </w:tc>
        <w:tc>
          <w:tcPr>
            <w:tcW w:w="964" w:type="dxa"/>
            <w:vAlign w:val="center"/>
          </w:tcPr>
          <w:p w14:paraId="280830BD" w14:textId="77777777" w:rsidR="00C87E1E" w:rsidRPr="009E1E74" w:rsidRDefault="00C87E1E" w:rsidP="00C87E1E">
            <w:pPr>
              <w:spacing w:before="60" w:after="60"/>
              <w:jc w:val="center"/>
              <w:rPr>
                <w:noProof/>
                <w:sz w:val="20"/>
                <w:lang w:eastAsia="en-GB"/>
              </w:rPr>
            </w:pPr>
          </w:p>
        </w:tc>
        <w:tc>
          <w:tcPr>
            <w:tcW w:w="964" w:type="dxa"/>
            <w:vAlign w:val="center"/>
          </w:tcPr>
          <w:p w14:paraId="5D428E56" w14:textId="77777777" w:rsidR="00C87E1E" w:rsidRPr="009E1E74" w:rsidRDefault="00C87E1E" w:rsidP="00C87E1E">
            <w:pPr>
              <w:spacing w:before="60" w:after="60"/>
              <w:jc w:val="center"/>
              <w:rPr>
                <w:noProof/>
                <w:sz w:val="20"/>
                <w:lang w:eastAsia="en-GB"/>
              </w:rPr>
            </w:pPr>
          </w:p>
        </w:tc>
        <w:tc>
          <w:tcPr>
            <w:tcW w:w="964" w:type="dxa"/>
            <w:vAlign w:val="center"/>
          </w:tcPr>
          <w:p w14:paraId="5D5B649D" w14:textId="77777777" w:rsidR="00C87E1E" w:rsidRPr="009E1E74" w:rsidRDefault="00C87E1E" w:rsidP="00C87E1E">
            <w:pPr>
              <w:spacing w:before="60" w:after="60"/>
              <w:jc w:val="center"/>
              <w:rPr>
                <w:noProof/>
                <w:sz w:val="20"/>
                <w:lang w:eastAsia="en-GB"/>
              </w:rPr>
            </w:pPr>
          </w:p>
        </w:tc>
        <w:tc>
          <w:tcPr>
            <w:tcW w:w="964" w:type="dxa"/>
            <w:vAlign w:val="center"/>
          </w:tcPr>
          <w:p w14:paraId="162FC00B" w14:textId="77777777" w:rsidR="00C87E1E" w:rsidRPr="009E1E74" w:rsidRDefault="00C87E1E" w:rsidP="00C87E1E">
            <w:pPr>
              <w:spacing w:before="60" w:after="60"/>
              <w:jc w:val="center"/>
              <w:rPr>
                <w:noProof/>
                <w:sz w:val="20"/>
                <w:lang w:eastAsia="en-GB"/>
              </w:rPr>
            </w:pPr>
          </w:p>
        </w:tc>
        <w:tc>
          <w:tcPr>
            <w:tcW w:w="964" w:type="dxa"/>
            <w:vAlign w:val="center"/>
          </w:tcPr>
          <w:p w14:paraId="40E713C7" w14:textId="77777777" w:rsidR="00C87E1E" w:rsidRPr="009E1E74" w:rsidRDefault="00C87E1E" w:rsidP="00C87E1E">
            <w:pPr>
              <w:spacing w:before="60" w:after="60"/>
              <w:jc w:val="center"/>
              <w:rPr>
                <w:noProof/>
                <w:sz w:val="20"/>
                <w:lang w:eastAsia="en-GB"/>
              </w:rPr>
            </w:pPr>
          </w:p>
        </w:tc>
        <w:tc>
          <w:tcPr>
            <w:tcW w:w="964" w:type="dxa"/>
            <w:vAlign w:val="center"/>
          </w:tcPr>
          <w:p w14:paraId="7BEE9274" w14:textId="77777777" w:rsidR="00C87E1E" w:rsidRPr="009E1E74" w:rsidRDefault="00C87E1E" w:rsidP="00C87E1E">
            <w:pPr>
              <w:spacing w:before="60" w:after="60"/>
              <w:jc w:val="center"/>
              <w:rPr>
                <w:noProof/>
                <w:sz w:val="20"/>
                <w:lang w:eastAsia="en-GB"/>
              </w:rPr>
            </w:pPr>
          </w:p>
        </w:tc>
        <w:tc>
          <w:tcPr>
            <w:tcW w:w="964" w:type="dxa"/>
            <w:vAlign w:val="center"/>
          </w:tcPr>
          <w:p w14:paraId="0A757231" w14:textId="77777777" w:rsidR="00C87E1E" w:rsidRPr="009E1E74" w:rsidRDefault="00C87E1E" w:rsidP="00C87E1E">
            <w:pPr>
              <w:spacing w:before="60" w:after="60"/>
              <w:jc w:val="center"/>
              <w:rPr>
                <w:noProof/>
                <w:sz w:val="20"/>
                <w:lang w:eastAsia="en-GB"/>
              </w:rPr>
            </w:pPr>
          </w:p>
        </w:tc>
        <w:tc>
          <w:tcPr>
            <w:tcW w:w="1158" w:type="dxa"/>
            <w:vAlign w:val="center"/>
          </w:tcPr>
          <w:p w14:paraId="56AA73A1" w14:textId="77777777" w:rsidR="00C87E1E" w:rsidRPr="009E1E74" w:rsidRDefault="00C87E1E" w:rsidP="00C87E1E">
            <w:pPr>
              <w:spacing w:before="60" w:after="60"/>
              <w:jc w:val="center"/>
              <w:rPr>
                <w:noProof/>
                <w:sz w:val="20"/>
                <w:lang w:eastAsia="en-GB"/>
              </w:rPr>
            </w:pPr>
          </w:p>
        </w:tc>
      </w:tr>
      <w:tr w:rsidR="00C87E1E" w:rsidRPr="009E1E74" w14:paraId="5FD11EB5" w14:textId="77777777" w:rsidTr="00C87E1E">
        <w:trPr>
          <w:cantSplit/>
        </w:trPr>
        <w:tc>
          <w:tcPr>
            <w:tcW w:w="2340" w:type="dxa"/>
          </w:tcPr>
          <w:p w14:paraId="232BF307" w14:textId="77777777" w:rsidR="00C87E1E" w:rsidRPr="009E1E74" w:rsidRDefault="00C87E1E" w:rsidP="00C87E1E">
            <w:pPr>
              <w:spacing w:before="60" w:after="60"/>
              <w:jc w:val="left"/>
              <w:rPr>
                <w:noProof/>
                <w:sz w:val="20"/>
              </w:rPr>
            </w:pPr>
            <w:r w:rsidRPr="009E1E74">
              <w:rPr>
                <w:noProof/>
                <w:sz w:val="20"/>
              </w:rPr>
              <w:t xml:space="preserve">IŠ VISO bendrai finansuojamų asignavimų </w:t>
            </w:r>
          </w:p>
        </w:tc>
        <w:tc>
          <w:tcPr>
            <w:tcW w:w="964" w:type="dxa"/>
            <w:vAlign w:val="center"/>
          </w:tcPr>
          <w:p w14:paraId="68171986" w14:textId="77777777" w:rsidR="00C87E1E" w:rsidRPr="009E1E74" w:rsidRDefault="00C87E1E" w:rsidP="00C87E1E">
            <w:pPr>
              <w:spacing w:before="60" w:after="60"/>
              <w:jc w:val="center"/>
              <w:rPr>
                <w:noProof/>
                <w:sz w:val="20"/>
                <w:lang w:eastAsia="en-GB"/>
              </w:rPr>
            </w:pPr>
          </w:p>
        </w:tc>
        <w:tc>
          <w:tcPr>
            <w:tcW w:w="964" w:type="dxa"/>
            <w:vAlign w:val="center"/>
          </w:tcPr>
          <w:p w14:paraId="593B1C8B" w14:textId="77777777" w:rsidR="00C87E1E" w:rsidRPr="009E1E74" w:rsidRDefault="00C87E1E" w:rsidP="00C87E1E">
            <w:pPr>
              <w:spacing w:before="60" w:after="60"/>
              <w:jc w:val="center"/>
              <w:rPr>
                <w:noProof/>
                <w:sz w:val="20"/>
                <w:lang w:eastAsia="en-GB"/>
              </w:rPr>
            </w:pPr>
          </w:p>
        </w:tc>
        <w:tc>
          <w:tcPr>
            <w:tcW w:w="964" w:type="dxa"/>
            <w:vAlign w:val="center"/>
          </w:tcPr>
          <w:p w14:paraId="4BC2EBCB" w14:textId="77777777" w:rsidR="00C87E1E" w:rsidRPr="009E1E74" w:rsidRDefault="00C87E1E" w:rsidP="00C87E1E">
            <w:pPr>
              <w:spacing w:before="60" w:after="60"/>
              <w:jc w:val="center"/>
              <w:rPr>
                <w:noProof/>
                <w:sz w:val="20"/>
                <w:lang w:eastAsia="en-GB"/>
              </w:rPr>
            </w:pPr>
          </w:p>
        </w:tc>
        <w:tc>
          <w:tcPr>
            <w:tcW w:w="964" w:type="dxa"/>
            <w:vAlign w:val="center"/>
          </w:tcPr>
          <w:p w14:paraId="0FDCA8C9" w14:textId="77777777" w:rsidR="00C87E1E" w:rsidRPr="009E1E74" w:rsidRDefault="00C87E1E" w:rsidP="00C87E1E">
            <w:pPr>
              <w:spacing w:before="60" w:after="60"/>
              <w:jc w:val="center"/>
              <w:rPr>
                <w:noProof/>
                <w:sz w:val="20"/>
                <w:lang w:eastAsia="en-GB"/>
              </w:rPr>
            </w:pPr>
          </w:p>
        </w:tc>
        <w:tc>
          <w:tcPr>
            <w:tcW w:w="964" w:type="dxa"/>
            <w:vAlign w:val="center"/>
          </w:tcPr>
          <w:p w14:paraId="1F43D8ED" w14:textId="77777777" w:rsidR="00C87E1E" w:rsidRPr="009E1E74" w:rsidRDefault="00C87E1E" w:rsidP="00C87E1E">
            <w:pPr>
              <w:spacing w:before="60" w:after="60"/>
              <w:jc w:val="center"/>
              <w:rPr>
                <w:noProof/>
                <w:sz w:val="20"/>
                <w:lang w:eastAsia="en-GB"/>
              </w:rPr>
            </w:pPr>
          </w:p>
        </w:tc>
        <w:tc>
          <w:tcPr>
            <w:tcW w:w="964" w:type="dxa"/>
            <w:vAlign w:val="center"/>
          </w:tcPr>
          <w:p w14:paraId="08E5AE87" w14:textId="77777777" w:rsidR="00C87E1E" w:rsidRPr="009E1E74" w:rsidRDefault="00C87E1E" w:rsidP="00C87E1E">
            <w:pPr>
              <w:spacing w:before="60" w:after="60"/>
              <w:jc w:val="center"/>
              <w:rPr>
                <w:noProof/>
                <w:sz w:val="20"/>
                <w:lang w:eastAsia="en-GB"/>
              </w:rPr>
            </w:pPr>
          </w:p>
        </w:tc>
        <w:tc>
          <w:tcPr>
            <w:tcW w:w="964" w:type="dxa"/>
            <w:vAlign w:val="center"/>
          </w:tcPr>
          <w:p w14:paraId="6E652DE2" w14:textId="77777777" w:rsidR="00C87E1E" w:rsidRPr="009E1E74" w:rsidRDefault="00C87E1E" w:rsidP="00C87E1E">
            <w:pPr>
              <w:spacing w:before="60" w:after="60"/>
              <w:jc w:val="center"/>
              <w:rPr>
                <w:noProof/>
                <w:sz w:val="20"/>
                <w:lang w:eastAsia="en-GB"/>
              </w:rPr>
            </w:pPr>
          </w:p>
        </w:tc>
        <w:tc>
          <w:tcPr>
            <w:tcW w:w="1158" w:type="dxa"/>
            <w:vAlign w:val="center"/>
          </w:tcPr>
          <w:p w14:paraId="3A9E23D3" w14:textId="77777777" w:rsidR="00C87E1E" w:rsidRPr="009E1E74" w:rsidRDefault="00C87E1E" w:rsidP="00C87E1E">
            <w:pPr>
              <w:spacing w:before="60" w:after="60"/>
              <w:jc w:val="center"/>
              <w:rPr>
                <w:noProof/>
                <w:sz w:val="20"/>
                <w:lang w:eastAsia="en-GB"/>
              </w:rPr>
            </w:pPr>
          </w:p>
        </w:tc>
      </w:tr>
    </w:tbl>
    <w:p w14:paraId="7493E369" w14:textId="77777777" w:rsidR="00C87E1E" w:rsidRPr="009E1E74" w:rsidRDefault="00C87E1E" w:rsidP="00C87E1E">
      <w:pPr>
        <w:rPr>
          <w:noProof/>
        </w:rPr>
      </w:pPr>
      <w:r w:rsidRPr="009E1E74">
        <w:rPr>
          <w:noProof/>
        </w:rPr>
        <w:t xml:space="preserve"> </w:t>
      </w:r>
      <w:r w:rsidRPr="009E1E74">
        <w:rPr>
          <w:noProof/>
        </w:rPr>
        <w:br/>
      </w:r>
    </w:p>
    <w:p w14:paraId="6888354B" w14:textId="77777777" w:rsidR="00C87E1E" w:rsidRPr="009E1E74" w:rsidRDefault="00C87E1E" w:rsidP="00FB18F4">
      <w:pPr>
        <w:keepNext/>
        <w:outlineLvl w:val="1"/>
        <w:rPr>
          <w:rFonts w:eastAsiaTheme="majorEastAsia"/>
          <w:b/>
          <w:noProof/>
          <w:szCs w:val="24"/>
        </w:rPr>
      </w:pPr>
      <w:r w:rsidRPr="009E1E74">
        <w:rPr>
          <w:noProof/>
        </w:rPr>
        <w:br w:type="page"/>
      </w:r>
      <w:bookmarkStart w:id="65" w:name="_Toc514938059"/>
      <w:bookmarkStart w:id="66" w:name="_Toc520485057"/>
      <w:r w:rsidRPr="009E1E74">
        <w:rPr>
          <w:b/>
          <w:bCs/>
          <w:noProof/>
          <w:szCs w:val="26"/>
        </w:rPr>
        <w:t>Numatomas poveikis pajamoms</w:t>
      </w:r>
      <w:bookmarkEnd w:id="65"/>
      <w:bookmarkEnd w:id="66"/>
      <w:r w:rsidRPr="009E1E74">
        <w:rPr>
          <w:b/>
          <w:bCs/>
          <w:noProof/>
          <w:szCs w:val="26"/>
        </w:rPr>
        <w:t xml:space="preserve"> </w:t>
      </w:r>
    </w:p>
    <w:p w14:paraId="4C716BB7" w14:textId="77777777" w:rsidR="00E41E7D" w:rsidRPr="009E1E74" w:rsidRDefault="00E41E7D" w:rsidP="00E41E7D">
      <w:pPr>
        <w:pStyle w:val="ListDash1"/>
        <w:rPr>
          <w:noProof/>
        </w:rPr>
      </w:pPr>
      <w:r w:rsidRPr="009E1E74">
        <w:rPr>
          <w:noProof/>
        </w:rPr>
        <w:sym w:font="Wingdings" w:char="F0A8"/>
      </w:r>
      <w:r w:rsidRPr="009E1E74">
        <w:rPr>
          <w:noProof/>
        </w:rPr>
        <w:tab/>
        <w:t>Pasiūlymas (iniciatyva) neturi finansinio poveikio pajamoms.</w:t>
      </w:r>
    </w:p>
    <w:p w14:paraId="363E33C8" w14:textId="77777777" w:rsidR="00E41E7D" w:rsidRPr="009E1E74" w:rsidRDefault="00E41E7D" w:rsidP="00E41E7D">
      <w:pPr>
        <w:pStyle w:val="ListDash1"/>
        <w:rPr>
          <w:noProof/>
        </w:rPr>
      </w:pPr>
      <w:r w:rsidRPr="009E1E74">
        <w:rPr>
          <w:noProof/>
        </w:rPr>
        <w:sym w:font="Wingdings" w:char="F0A8"/>
      </w:r>
      <w:r w:rsidRPr="009E1E74">
        <w:rPr>
          <w:noProof/>
        </w:rPr>
        <w:tab/>
        <w:t>Pasiūlymas (iniciatyva) turi finansinį poveikį:</w:t>
      </w:r>
    </w:p>
    <w:p w14:paraId="0B555381" w14:textId="77777777" w:rsidR="00E41E7D" w:rsidRPr="009E1E74" w:rsidRDefault="00E41E7D" w:rsidP="00855A8A">
      <w:pPr>
        <w:ind w:left="697" w:firstLine="720"/>
        <w:rPr>
          <w:noProof/>
        </w:rPr>
      </w:pPr>
      <w:r w:rsidRPr="009E1E74">
        <w:rPr>
          <w:noProof/>
        </w:rPr>
        <w:sym w:font="Wingdings" w:char="F0A8"/>
      </w:r>
      <w:r w:rsidRPr="009E1E74">
        <w:rPr>
          <w:noProof/>
        </w:rPr>
        <w:tab/>
        <w:t xml:space="preserve">nuosaviems ištekliams </w:t>
      </w:r>
    </w:p>
    <w:p w14:paraId="63713927" w14:textId="77777777" w:rsidR="00E41E7D" w:rsidRPr="009E1E74" w:rsidRDefault="00E41E7D" w:rsidP="00855A8A">
      <w:pPr>
        <w:ind w:left="697" w:firstLine="720"/>
        <w:rPr>
          <w:noProof/>
        </w:rPr>
      </w:pPr>
      <w:r w:rsidRPr="009E1E74">
        <w:rPr>
          <w:b/>
          <w:noProof/>
        </w:rPr>
        <w:t>X</w:t>
      </w:r>
      <w:r w:rsidRPr="009E1E74">
        <w:rPr>
          <w:noProof/>
        </w:rPr>
        <w:tab/>
        <w:t>kitoms pajamoms</w:t>
      </w:r>
    </w:p>
    <w:p w14:paraId="09AA7D57" w14:textId="77777777" w:rsidR="00E41E7D" w:rsidRPr="009E1E74" w:rsidRDefault="00E41E7D" w:rsidP="00E41E7D">
      <w:pPr>
        <w:pStyle w:val="ListNumberLevel3"/>
        <w:tabs>
          <w:tab w:val="clear" w:pos="2126"/>
        </w:tabs>
        <w:ind w:left="1417" w:firstLine="0"/>
        <w:rPr>
          <w:noProof/>
        </w:rPr>
      </w:pPr>
      <w:r w:rsidRPr="009E1E74">
        <w:rPr>
          <w:noProof/>
        </w:rPr>
        <w:t xml:space="preserve">Papildomi išankstinio finansavimo mokėjimai 2022 m. bus finansuojami iš </w:t>
      </w:r>
      <w:r w:rsidRPr="009E1E74">
        <w:rPr>
          <w:b/>
          <w:noProof/>
        </w:rPr>
        <w:t>išorės asignuotųjų pajamų</w:t>
      </w:r>
      <w:r w:rsidRPr="009E1E74">
        <w:rPr>
          <w:noProof/>
        </w:rPr>
        <w:t>. Visos sumos bus pateiktos kaip išorės asignuotosios pajamos, kaip apibrėžta Finansinio reglamento 21 straipsnio 5 dalyje, gautos Sąjungai vykdant skolinimosi operacijas, kaip nustatyta Tarybos reglamente (ES) 2020/2094.</w:t>
      </w:r>
    </w:p>
    <w:p w14:paraId="6C9722DB" w14:textId="77777777" w:rsidR="00C87E1E" w:rsidRPr="009E1E74" w:rsidRDefault="00C87E1E" w:rsidP="00C87E1E">
      <w:pPr>
        <w:numPr>
          <w:ilvl w:val="2"/>
          <w:numId w:val="0"/>
        </w:numPr>
        <w:tabs>
          <w:tab w:val="num" w:pos="2126"/>
        </w:tabs>
        <w:ind w:left="2126" w:hanging="709"/>
        <w:rPr>
          <w:noProof/>
        </w:rPr>
      </w:pPr>
      <w:r w:rsidRPr="009E1E74">
        <w:rPr>
          <w:noProof/>
        </w:rPr>
        <w:t xml:space="preserve">nurodyti, jei pajamos priskirtos išlaidų eilutėms </w:t>
      </w:r>
      <w:r w:rsidRPr="009E1E74">
        <w:rPr>
          <w:noProof/>
        </w:rPr>
        <w:sym w:font="Wingdings" w:char="F0A8"/>
      </w:r>
      <w:r w:rsidRPr="009E1E74">
        <w:rPr>
          <w:noProof/>
        </w:rPr>
        <w:tab/>
      </w:r>
    </w:p>
    <w:p w14:paraId="7D212ADC" w14:textId="77777777" w:rsidR="00C87E1E" w:rsidRPr="009E1E74" w:rsidRDefault="00C87E1E" w:rsidP="00C87E1E">
      <w:pPr>
        <w:ind w:left="4320"/>
        <w:rPr>
          <w:i/>
          <w:noProof/>
          <w:sz w:val="20"/>
        </w:rPr>
      </w:pPr>
      <w:r w:rsidRPr="009E1E74">
        <w:rPr>
          <w:noProof/>
        </w:rPr>
        <w:t xml:space="preserve">     mln. EUR (tūkstantųjų tikslumu)</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C87E1E" w:rsidRPr="009E1E74" w14:paraId="64EFFF6E" w14:textId="77777777" w:rsidTr="00C87E1E">
        <w:trPr>
          <w:trHeight w:val="388"/>
        </w:trPr>
        <w:tc>
          <w:tcPr>
            <w:tcW w:w="2144" w:type="dxa"/>
            <w:vMerge w:val="restart"/>
            <w:vAlign w:val="center"/>
          </w:tcPr>
          <w:p w14:paraId="7C762B23" w14:textId="77777777" w:rsidR="00C87E1E" w:rsidRPr="009E1E74" w:rsidRDefault="00C87E1E" w:rsidP="00C87E1E">
            <w:pPr>
              <w:spacing w:before="40" w:after="40"/>
              <w:rPr>
                <w:noProof/>
                <w:sz w:val="18"/>
              </w:rPr>
            </w:pPr>
            <w:r w:rsidRPr="009E1E74">
              <w:rPr>
                <w:noProof/>
                <w:sz w:val="18"/>
              </w:rPr>
              <w:t>Biudžeto pajamų eilutė:</w:t>
            </w:r>
          </w:p>
        </w:tc>
        <w:tc>
          <w:tcPr>
            <w:tcW w:w="1325" w:type="dxa"/>
            <w:vMerge w:val="restart"/>
            <w:vAlign w:val="center"/>
          </w:tcPr>
          <w:p w14:paraId="5C61C93C" w14:textId="77777777" w:rsidR="00C87E1E" w:rsidRPr="009E1E74" w:rsidRDefault="00C87E1E" w:rsidP="00C87E1E">
            <w:pPr>
              <w:jc w:val="center"/>
              <w:rPr>
                <w:noProof/>
                <w:sz w:val="18"/>
              </w:rPr>
            </w:pPr>
            <w:r w:rsidRPr="009E1E74">
              <w:rPr>
                <w:noProof/>
                <w:sz w:val="18"/>
              </w:rPr>
              <w:t>Einamųjų finansinių metų asignavimai</w:t>
            </w:r>
          </w:p>
        </w:tc>
        <w:tc>
          <w:tcPr>
            <w:tcW w:w="7151" w:type="dxa"/>
            <w:gridSpan w:val="7"/>
            <w:vAlign w:val="center"/>
          </w:tcPr>
          <w:p w14:paraId="2E71F5D0" w14:textId="77777777" w:rsidR="00C87E1E" w:rsidRPr="009E1E74" w:rsidRDefault="00C87E1E" w:rsidP="00C87E1E">
            <w:pPr>
              <w:jc w:val="center"/>
              <w:rPr>
                <w:noProof/>
                <w:sz w:val="18"/>
              </w:rPr>
            </w:pPr>
            <w:r w:rsidRPr="009E1E74">
              <w:rPr>
                <w:noProof/>
                <w:sz w:val="18"/>
              </w:rPr>
              <w:t>Pasiūlymo (iniciatyvos) poveikis</w:t>
            </w:r>
            <w:r w:rsidRPr="009E1E74">
              <w:rPr>
                <w:rStyle w:val="FootnoteReference"/>
                <w:noProof/>
              </w:rPr>
              <w:footnoteReference w:id="19"/>
            </w:r>
          </w:p>
        </w:tc>
      </w:tr>
      <w:tr w:rsidR="00C87E1E" w:rsidRPr="009E1E74" w14:paraId="47753801" w14:textId="77777777" w:rsidTr="00C87E1E">
        <w:trPr>
          <w:trHeight w:val="388"/>
        </w:trPr>
        <w:tc>
          <w:tcPr>
            <w:tcW w:w="2144" w:type="dxa"/>
            <w:vMerge/>
          </w:tcPr>
          <w:p w14:paraId="66271B1D" w14:textId="77777777" w:rsidR="00C87E1E" w:rsidRPr="009E1E74" w:rsidRDefault="00C87E1E" w:rsidP="00C87E1E">
            <w:pPr>
              <w:spacing w:before="40" w:after="40"/>
              <w:rPr>
                <w:noProof/>
                <w:sz w:val="18"/>
                <w:lang w:eastAsia="en-GB"/>
              </w:rPr>
            </w:pPr>
          </w:p>
        </w:tc>
        <w:tc>
          <w:tcPr>
            <w:tcW w:w="1325" w:type="dxa"/>
            <w:vMerge/>
          </w:tcPr>
          <w:p w14:paraId="054826EB" w14:textId="77777777" w:rsidR="00C87E1E" w:rsidRPr="009E1E74" w:rsidRDefault="00C87E1E" w:rsidP="00C87E1E">
            <w:pPr>
              <w:spacing w:beforeLines="40" w:before="96" w:afterLines="40" w:after="96"/>
              <w:rPr>
                <w:i/>
                <w:noProof/>
                <w:sz w:val="18"/>
                <w:lang w:eastAsia="en-GB"/>
              </w:rPr>
            </w:pPr>
          </w:p>
        </w:tc>
        <w:tc>
          <w:tcPr>
            <w:tcW w:w="1031" w:type="dxa"/>
            <w:vAlign w:val="center"/>
          </w:tcPr>
          <w:p w14:paraId="3C09B0C1" w14:textId="77777777" w:rsidR="00C87E1E" w:rsidRPr="009E1E74" w:rsidRDefault="00C87E1E" w:rsidP="00C87E1E">
            <w:pPr>
              <w:jc w:val="center"/>
              <w:rPr>
                <w:noProof/>
                <w:sz w:val="18"/>
              </w:rPr>
            </w:pPr>
            <w:r w:rsidRPr="009E1E74">
              <w:rPr>
                <w:b/>
                <w:noProof/>
                <w:sz w:val="18"/>
              </w:rPr>
              <w:t>N</w:t>
            </w:r>
            <w:r w:rsidRPr="009E1E74">
              <w:rPr>
                <w:noProof/>
              </w:rPr>
              <w:t xml:space="preserve"> </w:t>
            </w:r>
            <w:r w:rsidRPr="009E1E74">
              <w:rPr>
                <w:noProof/>
              </w:rPr>
              <w:br/>
            </w:r>
            <w:r w:rsidRPr="009E1E74">
              <w:rPr>
                <w:noProof/>
                <w:sz w:val="18"/>
              </w:rPr>
              <w:t>metai</w:t>
            </w:r>
          </w:p>
        </w:tc>
        <w:tc>
          <w:tcPr>
            <w:tcW w:w="900" w:type="dxa"/>
            <w:vAlign w:val="center"/>
          </w:tcPr>
          <w:p w14:paraId="5ACEBC78" w14:textId="77777777" w:rsidR="00C87E1E" w:rsidRPr="009E1E74" w:rsidRDefault="00C87E1E" w:rsidP="00C87E1E">
            <w:pPr>
              <w:jc w:val="center"/>
              <w:rPr>
                <w:noProof/>
                <w:sz w:val="18"/>
              </w:rPr>
            </w:pPr>
            <w:r w:rsidRPr="009E1E74">
              <w:rPr>
                <w:b/>
                <w:noProof/>
                <w:sz w:val="18"/>
              </w:rPr>
              <w:t>N + 1</w:t>
            </w:r>
            <w:r w:rsidRPr="009E1E74">
              <w:rPr>
                <w:noProof/>
              </w:rPr>
              <w:t xml:space="preserve"> </w:t>
            </w:r>
            <w:r w:rsidRPr="009E1E74">
              <w:rPr>
                <w:noProof/>
              </w:rPr>
              <w:br/>
            </w:r>
            <w:r w:rsidRPr="009E1E74">
              <w:rPr>
                <w:noProof/>
                <w:sz w:val="18"/>
              </w:rPr>
              <w:t>metai</w:t>
            </w:r>
          </w:p>
        </w:tc>
        <w:tc>
          <w:tcPr>
            <w:tcW w:w="900" w:type="dxa"/>
            <w:vAlign w:val="center"/>
          </w:tcPr>
          <w:p w14:paraId="48213810" w14:textId="77777777" w:rsidR="00C87E1E" w:rsidRPr="009E1E74" w:rsidRDefault="00C87E1E" w:rsidP="00C87E1E">
            <w:pPr>
              <w:jc w:val="center"/>
              <w:rPr>
                <w:noProof/>
                <w:sz w:val="18"/>
              </w:rPr>
            </w:pPr>
            <w:r w:rsidRPr="009E1E74">
              <w:rPr>
                <w:b/>
                <w:noProof/>
                <w:sz w:val="18"/>
              </w:rPr>
              <w:t>N + 2</w:t>
            </w:r>
            <w:r w:rsidRPr="009E1E74">
              <w:rPr>
                <w:noProof/>
              </w:rPr>
              <w:t xml:space="preserve"> </w:t>
            </w:r>
            <w:r w:rsidRPr="009E1E74">
              <w:rPr>
                <w:noProof/>
              </w:rPr>
              <w:br/>
            </w:r>
            <w:r w:rsidRPr="009E1E74">
              <w:rPr>
                <w:noProof/>
                <w:sz w:val="18"/>
              </w:rPr>
              <w:t>metai</w:t>
            </w:r>
          </w:p>
        </w:tc>
        <w:tc>
          <w:tcPr>
            <w:tcW w:w="1080" w:type="dxa"/>
            <w:vAlign w:val="center"/>
          </w:tcPr>
          <w:p w14:paraId="3D7089F1" w14:textId="77777777" w:rsidR="00C87E1E" w:rsidRPr="009E1E74" w:rsidRDefault="00C87E1E" w:rsidP="00C87E1E">
            <w:pPr>
              <w:jc w:val="center"/>
              <w:rPr>
                <w:noProof/>
                <w:sz w:val="18"/>
              </w:rPr>
            </w:pPr>
            <w:r w:rsidRPr="009E1E74">
              <w:rPr>
                <w:b/>
                <w:noProof/>
                <w:sz w:val="18"/>
              </w:rPr>
              <w:t>N + 3</w:t>
            </w:r>
            <w:r w:rsidRPr="009E1E74">
              <w:rPr>
                <w:noProof/>
              </w:rPr>
              <w:t xml:space="preserve"> </w:t>
            </w:r>
            <w:r w:rsidRPr="009E1E74">
              <w:rPr>
                <w:noProof/>
              </w:rPr>
              <w:br/>
            </w:r>
            <w:r w:rsidRPr="009E1E74">
              <w:rPr>
                <w:noProof/>
                <w:sz w:val="18"/>
              </w:rPr>
              <w:t>metai</w:t>
            </w:r>
          </w:p>
        </w:tc>
        <w:tc>
          <w:tcPr>
            <w:tcW w:w="3240" w:type="dxa"/>
            <w:gridSpan w:val="3"/>
            <w:vAlign w:val="center"/>
          </w:tcPr>
          <w:p w14:paraId="2168AB02" w14:textId="77777777" w:rsidR="00C87E1E" w:rsidRPr="009E1E74" w:rsidRDefault="00C87E1E" w:rsidP="00C87E1E">
            <w:pPr>
              <w:jc w:val="center"/>
              <w:rPr>
                <w:b/>
                <w:noProof/>
                <w:sz w:val="18"/>
              </w:rPr>
            </w:pPr>
            <w:r w:rsidRPr="009E1E74">
              <w:rPr>
                <w:noProof/>
                <w:sz w:val="18"/>
              </w:rPr>
              <w:t>Atsižvelgiant į poveikio trukmę įterpti reikiamą metų skaičių (žr. 1.6 punktą)</w:t>
            </w:r>
          </w:p>
        </w:tc>
      </w:tr>
      <w:tr w:rsidR="00C87E1E" w:rsidRPr="009E1E74" w14:paraId="3A8F8833" w14:textId="77777777" w:rsidTr="00C87E1E">
        <w:trPr>
          <w:trHeight w:val="388"/>
        </w:trPr>
        <w:tc>
          <w:tcPr>
            <w:tcW w:w="2144" w:type="dxa"/>
            <w:vAlign w:val="center"/>
          </w:tcPr>
          <w:p w14:paraId="76F254C1" w14:textId="77777777" w:rsidR="00C87E1E" w:rsidRPr="009E1E74" w:rsidRDefault="00C87E1E" w:rsidP="00C87E1E">
            <w:pPr>
              <w:spacing w:before="40" w:after="40"/>
              <w:rPr>
                <w:noProof/>
                <w:sz w:val="18"/>
              </w:rPr>
            </w:pPr>
            <w:r w:rsidRPr="009E1E74">
              <w:rPr>
                <w:noProof/>
                <w:sz w:val="18"/>
              </w:rPr>
              <w:t>…………. straipsnis</w:t>
            </w:r>
          </w:p>
        </w:tc>
        <w:tc>
          <w:tcPr>
            <w:tcW w:w="1325" w:type="dxa"/>
          </w:tcPr>
          <w:p w14:paraId="49AA5A83" w14:textId="77777777" w:rsidR="00C87E1E" w:rsidRPr="009E1E74" w:rsidRDefault="00C87E1E" w:rsidP="00C87E1E">
            <w:pPr>
              <w:spacing w:beforeLines="40" w:before="96" w:afterLines="40" w:after="96"/>
              <w:jc w:val="center"/>
              <w:rPr>
                <w:i/>
                <w:noProof/>
                <w:sz w:val="18"/>
                <w:lang w:eastAsia="en-GB"/>
              </w:rPr>
            </w:pPr>
          </w:p>
        </w:tc>
        <w:tc>
          <w:tcPr>
            <w:tcW w:w="1031" w:type="dxa"/>
          </w:tcPr>
          <w:p w14:paraId="275F2ABC" w14:textId="77777777" w:rsidR="00C87E1E" w:rsidRPr="009E1E74" w:rsidRDefault="00C87E1E" w:rsidP="00C87E1E">
            <w:pPr>
              <w:spacing w:beforeLines="40" w:before="96" w:afterLines="40" w:after="96"/>
              <w:jc w:val="center"/>
              <w:rPr>
                <w:noProof/>
                <w:sz w:val="18"/>
                <w:lang w:eastAsia="en-GB"/>
              </w:rPr>
            </w:pPr>
          </w:p>
        </w:tc>
        <w:tc>
          <w:tcPr>
            <w:tcW w:w="900" w:type="dxa"/>
          </w:tcPr>
          <w:p w14:paraId="08F72B4B" w14:textId="77777777" w:rsidR="00C87E1E" w:rsidRPr="009E1E74" w:rsidRDefault="00C87E1E" w:rsidP="00C87E1E">
            <w:pPr>
              <w:spacing w:beforeLines="40" w:before="96" w:afterLines="40" w:after="96"/>
              <w:jc w:val="center"/>
              <w:rPr>
                <w:noProof/>
                <w:sz w:val="18"/>
                <w:lang w:eastAsia="en-GB"/>
              </w:rPr>
            </w:pPr>
          </w:p>
        </w:tc>
        <w:tc>
          <w:tcPr>
            <w:tcW w:w="900" w:type="dxa"/>
          </w:tcPr>
          <w:p w14:paraId="0D448A2E" w14:textId="77777777" w:rsidR="00C87E1E" w:rsidRPr="009E1E74" w:rsidRDefault="00C87E1E" w:rsidP="00C87E1E">
            <w:pPr>
              <w:spacing w:beforeLines="40" w:before="96" w:afterLines="40" w:after="96"/>
              <w:jc w:val="center"/>
              <w:rPr>
                <w:noProof/>
                <w:sz w:val="18"/>
                <w:lang w:eastAsia="en-GB"/>
              </w:rPr>
            </w:pPr>
          </w:p>
        </w:tc>
        <w:tc>
          <w:tcPr>
            <w:tcW w:w="1080" w:type="dxa"/>
          </w:tcPr>
          <w:p w14:paraId="1975C774" w14:textId="77777777" w:rsidR="00C87E1E" w:rsidRPr="009E1E74" w:rsidRDefault="00C87E1E" w:rsidP="00C87E1E">
            <w:pPr>
              <w:spacing w:beforeLines="40" w:before="96" w:afterLines="40" w:after="96"/>
              <w:jc w:val="center"/>
              <w:rPr>
                <w:noProof/>
                <w:sz w:val="18"/>
                <w:lang w:eastAsia="en-GB"/>
              </w:rPr>
            </w:pPr>
          </w:p>
        </w:tc>
        <w:tc>
          <w:tcPr>
            <w:tcW w:w="1080" w:type="dxa"/>
          </w:tcPr>
          <w:p w14:paraId="56715E38" w14:textId="77777777" w:rsidR="00C87E1E" w:rsidRPr="009E1E74" w:rsidRDefault="00C87E1E" w:rsidP="00C87E1E">
            <w:pPr>
              <w:spacing w:beforeLines="40" w:before="96" w:afterLines="40" w:after="96"/>
              <w:jc w:val="center"/>
              <w:rPr>
                <w:noProof/>
                <w:sz w:val="18"/>
                <w:lang w:eastAsia="en-GB"/>
              </w:rPr>
            </w:pPr>
          </w:p>
        </w:tc>
        <w:tc>
          <w:tcPr>
            <w:tcW w:w="1080" w:type="dxa"/>
          </w:tcPr>
          <w:p w14:paraId="56386335" w14:textId="77777777" w:rsidR="00C87E1E" w:rsidRPr="009E1E74" w:rsidRDefault="00C87E1E" w:rsidP="00C87E1E">
            <w:pPr>
              <w:spacing w:beforeLines="40" w:before="96" w:afterLines="40" w:after="96"/>
              <w:jc w:val="center"/>
              <w:rPr>
                <w:noProof/>
                <w:sz w:val="18"/>
                <w:lang w:eastAsia="en-GB"/>
              </w:rPr>
            </w:pPr>
          </w:p>
        </w:tc>
        <w:tc>
          <w:tcPr>
            <w:tcW w:w="1080" w:type="dxa"/>
          </w:tcPr>
          <w:p w14:paraId="4C42D26D" w14:textId="77777777" w:rsidR="00C87E1E" w:rsidRPr="009E1E74" w:rsidRDefault="00C87E1E" w:rsidP="00C87E1E">
            <w:pPr>
              <w:spacing w:beforeLines="40" w:before="96" w:afterLines="40" w:after="96"/>
              <w:jc w:val="center"/>
              <w:rPr>
                <w:noProof/>
                <w:sz w:val="18"/>
                <w:lang w:eastAsia="en-GB"/>
              </w:rPr>
            </w:pPr>
          </w:p>
        </w:tc>
      </w:tr>
    </w:tbl>
    <w:p w14:paraId="2F68D5E2" w14:textId="77777777" w:rsidR="00C87E1E" w:rsidRPr="009E1E74" w:rsidRDefault="00C87E1E" w:rsidP="00FB18F4">
      <w:pPr>
        <w:rPr>
          <w:noProof/>
          <w:sz w:val="20"/>
        </w:rPr>
      </w:pPr>
      <w:r w:rsidRPr="009E1E74">
        <w:rPr>
          <w:noProof/>
          <w:sz w:val="20"/>
        </w:rPr>
        <w:t>Asignuotųjų pajamų atveju nurodyti biudžeto išlaidų eilutę (-es), kuriai (-ioms) daromas poveikis.</w:t>
      </w:r>
    </w:p>
    <w:p w14:paraId="63E21245" w14:textId="77777777" w:rsidR="00C87E1E" w:rsidRPr="009E1E74" w:rsidRDefault="00C87E1E" w:rsidP="00FB18F4">
      <w:pPr>
        <w:pBdr>
          <w:top w:val="single" w:sz="4" w:space="1" w:color="auto"/>
          <w:left w:val="single" w:sz="4" w:space="4" w:color="auto"/>
          <w:bottom w:val="single" w:sz="4" w:space="1" w:color="auto"/>
          <w:right w:val="single" w:sz="4" w:space="4" w:color="auto"/>
        </w:pBdr>
        <w:rPr>
          <w:noProof/>
        </w:rPr>
      </w:pPr>
      <w:r w:rsidRPr="009E1E74">
        <w:rPr>
          <w:noProof/>
          <w:color w:val="0000FF"/>
        </w:rPr>
        <w:t>[...]</w:t>
      </w:r>
    </w:p>
    <w:p w14:paraId="72E3D2BB" w14:textId="77777777" w:rsidR="00C87E1E" w:rsidRPr="009E1E74" w:rsidRDefault="00C87E1E" w:rsidP="00FB18F4">
      <w:pPr>
        <w:rPr>
          <w:noProof/>
          <w:sz w:val="20"/>
        </w:rPr>
      </w:pPr>
      <w:r w:rsidRPr="009E1E74">
        <w:rPr>
          <w:noProof/>
          <w:sz w:val="20"/>
        </w:rPr>
        <w:t>Kitos pastabos (pvz., poveikio pajamoms apskaičiavimo metodas (formulė) arba kita informacija).</w:t>
      </w:r>
    </w:p>
    <w:p w14:paraId="29183ED4" w14:textId="77777777" w:rsidR="00C1332E" w:rsidRPr="009E1E74" w:rsidRDefault="00C87E1E" w:rsidP="004B3EAF">
      <w:pPr>
        <w:pBdr>
          <w:top w:val="single" w:sz="4" w:space="1" w:color="auto"/>
          <w:left w:val="single" w:sz="4" w:space="4" w:color="auto"/>
          <w:bottom w:val="single" w:sz="4" w:space="1" w:color="auto"/>
          <w:right w:val="single" w:sz="4" w:space="4" w:color="auto"/>
        </w:pBdr>
        <w:rPr>
          <w:noProof/>
        </w:rPr>
      </w:pPr>
      <w:r w:rsidRPr="009E1E74">
        <w:rPr>
          <w:noProof/>
          <w:color w:val="0000FF"/>
        </w:rPr>
        <w:t>[...]</w:t>
      </w:r>
    </w:p>
    <w:sectPr w:rsidR="00C1332E" w:rsidRPr="009E1E74" w:rsidSect="006E606F">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0E93E" w14:textId="77777777" w:rsidR="0096458A" w:rsidRDefault="0096458A">
      <w:pPr>
        <w:spacing w:before="0" w:after="0"/>
      </w:pPr>
      <w:r>
        <w:separator/>
      </w:r>
    </w:p>
  </w:endnote>
  <w:endnote w:type="continuationSeparator" w:id="0">
    <w:p w14:paraId="79CF0FF8" w14:textId="77777777" w:rsidR="0096458A" w:rsidRDefault="0096458A">
      <w:pPr>
        <w:spacing w:before="0" w:after="0"/>
      </w:pPr>
      <w:r>
        <w:continuationSeparator/>
      </w:r>
    </w:p>
  </w:endnote>
  <w:endnote w:type="continuationNotice" w:id="1">
    <w:p w14:paraId="1E284155" w14:textId="77777777" w:rsidR="0096458A" w:rsidRDefault="009645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79A8E" w14:textId="329F8CAA" w:rsidR="009E1E74" w:rsidRPr="006E606F" w:rsidRDefault="006E606F" w:rsidP="006E606F">
    <w:pPr>
      <w:pStyle w:val="Footer"/>
      <w:rPr>
        <w:rFonts w:ascii="Arial" w:hAnsi="Arial" w:cs="Arial"/>
        <w:b/>
        <w:sz w:val="48"/>
      </w:rPr>
    </w:pPr>
    <w:r w:rsidRPr="006E606F">
      <w:rPr>
        <w:rFonts w:ascii="Arial" w:hAnsi="Arial" w:cs="Arial"/>
        <w:b/>
        <w:sz w:val="48"/>
      </w:rPr>
      <w:t>LT</w:t>
    </w:r>
    <w:r w:rsidRPr="006E606F">
      <w:rPr>
        <w:rFonts w:ascii="Arial" w:hAnsi="Arial" w:cs="Arial"/>
        <w:b/>
        <w:sz w:val="48"/>
      </w:rPr>
      <w:tab/>
    </w:r>
    <w:r w:rsidRPr="006E606F">
      <w:rPr>
        <w:rFonts w:ascii="Arial" w:hAnsi="Arial" w:cs="Arial"/>
        <w:b/>
        <w:sz w:val="48"/>
      </w:rPr>
      <w:tab/>
    </w:r>
    <w:r w:rsidRPr="006E606F">
      <w:tab/>
    </w:r>
    <w:r w:rsidRPr="006E606F">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67CF" w14:textId="1DC43F58" w:rsidR="006E606F" w:rsidRPr="006E606F" w:rsidRDefault="006E606F" w:rsidP="006E606F">
    <w:pPr>
      <w:pStyle w:val="Footer"/>
      <w:rPr>
        <w:rFonts w:ascii="Arial" w:hAnsi="Arial" w:cs="Arial"/>
        <w:b/>
        <w:sz w:val="48"/>
      </w:rPr>
    </w:pPr>
    <w:r w:rsidRPr="006E606F">
      <w:rPr>
        <w:rFonts w:ascii="Arial" w:hAnsi="Arial" w:cs="Arial"/>
        <w:b/>
        <w:sz w:val="48"/>
      </w:rPr>
      <w:t>LT</w:t>
    </w:r>
    <w:r w:rsidRPr="006E606F">
      <w:rPr>
        <w:rFonts w:ascii="Arial" w:hAnsi="Arial" w:cs="Arial"/>
        <w:b/>
        <w:sz w:val="48"/>
      </w:rPr>
      <w:tab/>
    </w:r>
    <w:r>
      <w:fldChar w:fldCharType="begin"/>
    </w:r>
    <w:r>
      <w:instrText xml:space="preserve"> PAGE  \* MERGEFORMAT </w:instrText>
    </w:r>
    <w:r>
      <w:fldChar w:fldCharType="separate"/>
    </w:r>
    <w:r w:rsidR="00237093">
      <w:rPr>
        <w:noProof/>
      </w:rPr>
      <w:t>9</w:t>
    </w:r>
    <w:r>
      <w:fldChar w:fldCharType="end"/>
    </w:r>
    <w:r>
      <w:tab/>
    </w:r>
    <w:r w:rsidRPr="006E606F">
      <w:tab/>
    </w:r>
    <w:r w:rsidRPr="006E606F">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71B37" w14:textId="77777777" w:rsidR="006E606F" w:rsidRPr="006E606F" w:rsidRDefault="006E606F" w:rsidP="006E60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EC527" w14:textId="540819A2" w:rsidR="006E606F" w:rsidRPr="006E606F" w:rsidRDefault="006E606F" w:rsidP="006E606F">
    <w:pPr>
      <w:pStyle w:val="FooterLandscape"/>
      <w:rPr>
        <w:rFonts w:ascii="Arial" w:hAnsi="Arial" w:cs="Arial"/>
        <w:b/>
        <w:sz w:val="48"/>
      </w:rPr>
    </w:pPr>
    <w:r w:rsidRPr="006E606F">
      <w:rPr>
        <w:rFonts w:ascii="Arial" w:hAnsi="Arial" w:cs="Arial"/>
        <w:b/>
        <w:sz w:val="48"/>
      </w:rPr>
      <w:t>LT</w:t>
    </w:r>
    <w:r w:rsidRPr="006E606F">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6E606F">
      <w:tab/>
    </w:r>
    <w:r w:rsidRPr="006E606F">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1D38F" w14:textId="77777777" w:rsidR="006E606F" w:rsidRPr="006E606F" w:rsidRDefault="006E606F" w:rsidP="006E606F">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1CFD" w14:textId="0E323367" w:rsidR="0096458A" w:rsidRPr="006E606F" w:rsidRDefault="006E606F" w:rsidP="006E606F">
    <w:pPr>
      <w:pStyle w:val="Footer"/>
      <w:rPr>
        <w:rFonts w:ascii="Arial" w:hAnsi="Arial" w:cs="Arial"/>
        <w:b/>
        <w:sz w:val="48"/>
      </w:rPr>
    </w:pPr>
    <w:r w:rsidRPr="006E606F">
      <w:rPr>
        <w:rFonts w:ascii="Arial" w:hAnsi="Arial" w:cs="Arial"/>
        <w:b/>
        <w:sz w:val="48"/>
      </w:rPr>
      <w:t>LT</w:t>
    </w:r>
    <w:r w:rsidRPr="006E606F">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6E606F">
      <w:tab/>
    </w:r>
    <w:r w:rsidRPr="006E606F">
      <w:rPr>
        <w:rFonts w:ascii="Arial" w:hAnsi="Arial" w:cs="Arial"/>
        <w:b/>
        <w:sz w:val="48"/>
      </w:rPr>
      <w:t>LT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A0E12" w14:textId="77777777" w:rsidR="006E606F" w:rsidRPr="006E606F" w:rsidRDefault="006E606F" w:rsidP="006E6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88288" w14:textId="77777777" w:rsidR="0096458A" w:rsidRDefault="0096458A">
      <w:pPr>
        <w:spacing w:before="0" w:after="0"/>
      </w:pPr>
      <w:r>
        <w:separator/>
      </w:r>
    </w:p>
  </w:footnote>
  <w:footnote w:type="continuationSeparator" w:id="0">
    <w:p w14:paraId="58FBAE09" w14:textId="77777777" w:rsidR="0096458A" w:rsidRDefault="0096458A">
      <w:pPr>
        <w:spacing w:before="0" w:after="0"/>
      </w:pPr>
      <w:r>
        <w:continuationSeparator/>
      </w:r>
    </w:p>
  </w:footnote>
  <w:footnote w:type="continuationNotice" w:id="1">
    <w:p w14:paraId="0E4C95C3" w14:textId="77777777" w:rsidR="0096458A" w:rsidRDefault="0096458A">
      <w:pPr>
        <w:spacing w:before="0" w:after="0"/>
      </w:pPr>
    </w:p>
  </w:footnote>
  <w:footnote w:id="2">
    <w:p w14:paraId="07150DE9" w14:textId="77777777" w:rsidR="0096458A" w:rsidRDefault="0096458A">
      <w:pPr>
        <w:pStyle w:val="FootnoteText"/>
      </w:pPr>
      <w:r>
        <w:rPr>
          <w:rStyle w:val="FootnoteReference"/>
        </w:rPr>
        <w:footnoteRef/>
      </w:r>
      <w:r>
        <w:tab/>
        <w:t>OL C , , p. .</w:t>
      </w:r>
    </w:p>
  </w:footnote>
  <w:footnote w:id="3">
    <w:p w14:paraId="4DC361FC" w14:textId="77777777" w:rsidR="0096458A" w:rsidRDefault="0096458A">
      <w:pPr>
        <w:pStyle w:val="FootnoteText"/>
      </w:pPr>
      <w:r>
        <w:rPr>
          <w:rStyle w:val="FootnoteReference"/>
        </w:rPr>
        <w:footnoteRef/>
      </w:r>
      <w:r>
        <w:tab/>
        <w:t>OL C , , p. .</w:t>
      </w:r>
    </w:p>
  </w:footnote>
  <w:footnote w:id="4">
    <w:p w14:paraId="5B92DF2E" w14:textId="77777777" w:rsidR="0096458A" w:rsidRPr="00855A8A" w:rsidRDefault="0096458A">
      <w:pPr>
        <w:pStyle w:val="FootnoteText"/>
      </w:pPr>
      <w:r>
        <w:rPr>
          <w:rStyle w:val="FootnoteReference"/>
        </w:rPr>
        <w:footnoteRef/>
      </w:r>
      <w:r>
        <w:tab/>
        <w:t>2013 m. gruodžio 17 d. 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bei Europos jūros reikalų ir žuvininkystės fondui taikytinos bendrosios nuostatos ir panaikinamas Tarybos reglamentas (EB) Nr. 1083/2006 (OL L 347, 2013 12 20, p. 320).</w:t>
      </w:r>
    </w:p>
  </w:footnote>
  <w:footnote w:id="5">
    <w:p w14:paraId="2C88D15D" w14:textId="77777777" w:rsidR="0096458A" w:rsidRPr="009E1E74" w:rsidRDefault="0096458A">
      <w:pPr>
        <w:pStyle w:val="FootnoteText"/>
        <w:rPr>
          <w:lang w:val="fr-BE"/>
        </w:rPr>
      </w:pPr>
      <w:r>
        <w:rPr>
          <w:rStyle w:val="FootnoteReference"/>
        </w:rPr>
        <w:footnoteRef/>
      </w:r>
      <w:r w:rsidRPr="009E1E74">
        <w:rPr>
          <w:lang w:val="fr-BE"/>
        </w:rPr>
        <w:tab/>
        <w:t>2014 m. kovo 11 d. Europos Parlamento ir Tarybos reglamentas (ES) Nr. 223/2014 dėl Europos pagalbos labiausiai skurstantiems asmenims fondo (OL L 72, 2014 3 12, p. 1).</w:t>
      </w:r>
    </w:p>
  </w:footnote>
  <w:footnote w:id="6">
    <w:p w14:paraId="17D4949C" w14:textId="77777777" w:rsidR="0096458A" w:rsidRDefault="0096458A" w:rsidP="00E41E7D">
      <w:pPr>
        <w:pStyle w:val="FootnoteText"/>
        <w:rPr>
          <w:szCs w:val="24"/>
        </w:rPr>
      </w:pPr>
      <w:r>
        <w:rPr>
          <w:rStyle w:val="FootnoteReference"/>
        </w:rPr>
        <w:footnoteRef/>
      </w:r>
      <w:r>
        <w:tab/>
        <w:t>Kaip nurodyta Finansinio reglamento 58 straipsnio 2 dalies a arba b punkte.</w:t>
      </w:r>
    </w:p>
  </w:footnote>
  <w:footnote w:id="7">
    <w:p w14:paraId="5155E483" w14:textId="77777777" w:rsidR="0096458A" w:rsidRDefault="0096458A" w:rsidP="00E41E7D">
      <w:pPr>
        <w:pStyle w:val="FootnoteText"/>
        <w:jc w:val="left"/>
        <w:rPr>
          <w:szCs w:val="24"/>
        </w:rPr>
      </w:pPr>
      <w:r>
        <w:rPr>
          <w:rStyle w:val="FootnoteReference"/>
        </w:rPr>
        <w:footnoteRef/>
      </w:r>
      <w:r>
        <w:tab/>
        <w:t xml:space="preserve">Informacija apie valdymo būdus ir nuorodos į Finansinį reglamentą pateikiamos svetainėje „BudgWeb“ </w:t>
      </w:r>
      <w:hyperlink r:id="rId1" w:history="1">
        <w:r>
          <w:rPr>
            <w:rStyle w:val="Hyperlink"/>
          </w:rPr>
          <w:t>https://myintracomm.ec.europa.eu/budgweb/EN/man/budgmanag/Pages/budgmanag.aspx</w:t>
        </w:r>
      </w:hyperlink>
      <w:r>
        <w:t xml:space="preserve">. </w:t>
      </w:r>
    </w:p>
  </w:footnote>
  <w:footnote w:id="8">
    <w:p w14:paraId="672C4623" w14:textId="77777777" w:rsidR="0096458A" w:rsidRDefault="0096458A" w:rsidP="00C87E1E">
      <w:pPr>
        <w:pStyle w:val="FootnoteText"/>
        <w:rPr>
          <w:szCs w:val="24"/>
        </w:rPr>
      </w:pPr>
      <w:r>
        <w:rPr>
          <w:rStyle w:val="FootnoteReference"/>
        </w:rPr>
        <w:footnoteRef/>
      </w:r>
      <w:r>
        <w:tab/>
        <w:t>DA – diferencijuotieji asignavimai, NDA – nediferencijuotieji asignavimai.</w:t>
      </w:r>
    </w:p>
  </w:footnote>
  <w:footnote w:id="9">
    <w:p w14:paraId="288B90AC" w14:textId="77777777" w:rsidR="0096458A" w:rsidRPr="009E1E74" w:rsidRDefault="0096458A" w:rsidP="00C87E1E">
      <w:pPr>
        <w:pStyle w:val="FootnoteText"/>
        <w:rPr>
          <w:szCs w:val="24"/>
          <w:lang w:val="fr-BE"/>
        </w:rPr>
      </w:pPr>
      <w:r>
        <w:rPr>
          <w:rStyle w:val="FootnoteReference"/>
        </w:rPr>
        <w:footnoteRef/>
      </w:r>
      <w:r w:rsidRPr="009E1E74">
        <w:rPr>
          <w:lang w:val="fr-BE"/>
        </w:rPr>
        <w:tab/>
        <w:t xml:space="preserve">ELPA – Europos laisvosios prekybos asociacija. </w:t>
      </w:r>
    </w:p>
  </w:footnote>
  <w:footnote w:id="10">
    <w:p w14:paraId="0D39D5CD" w14:textId="77777777" w:rsidR="0096458A" w:rsidRPr="009E1E74" w:rsidRDefault="0096458A" w:rsidP="00C87E1E">
      <w:pPr>
        <w:pStyle w:val="FootnoteText"/>
        <w:rPr>
          <w:szCs w:val="24"/>
          <w:lang w:val="fr-BE"/>
        </w:rPr>
      </w:pPr>
      <w:r>
        <w:rPr>
          <w:rStyle w:val="FootnoteReference"/>
        </w:rPr>
        <w:footnoteRef/>
      </w:r>
      <w:r w:rsidRPr="009E1E74">
        <w:rPr>
          <w:lang w:val="fr-BE"/>
        </w:rPr>
        <w:tab/>
        <w:t>Valstybių kandidačių ir, kai taikoma, Vakarų Balkanų potencialių kandidačių.</w:t>
      </w:r>
    </w:p>
  </w:footnote>
  <w:footnote w:id="11">
    <w:p w14:paraId="7ECBDF9A" w14:textId="77777777" w:rsidR="0096458A" w:rsidRPr="009E1E74" w:rsidRDefault="0096458A" w:rsidP="00C87E1E">
      <w:pPr>
        <w:pStyle w:val="FootnoteText"/>
        <w:rPr>
          <w:szCs w:val="24"/>
          <w:lang w:val="fr-BE"/>
        </w:rPr>
      </w:pPr>
      <w:r>
        <w:rPr>
          <w:rStyle w:val="FootnoteReference"/>
        </w:rPr>
        <w:footnoteRef/>
      </w:r>
      <w:r w:rsidRPr="009E1E74">
        <w:rPr>
          <w:lang w:val="fr-BE"/>
        </w:rPr>
        <w:tab/>
      </w:r>
      <w:r w:rsidRPr="009E1E74">
        <w:rPr>
          <w:sz w:val="18"/>
          <w:szCs w:val="18"/>
          <w:lang w:val="fr-BE"/>
        </w:rPr>
        <w:t>Techninė ir (arba) administracinė parama bei išlaidos ES programų ir (arba) veiksmų įgyvendinimui remti (buvusios BA eilutės), netiesioginiai moksliniai tyrimai, tiesioginiai moksliniai tyrimai.</w:t>
      </w:r>
    </w:p>
  </w:footnote>
  <w:footnote w:id="12">
    <w:p w14:paraId="6E4E17BF" w14:textId="77777777" w:rsidR="0096458A" w:rsidRPr="009E1E74" w:rsidRDefault="0096458A" w:rsidP="00C87E1E">
      <w:pPr>
        <w:pStyle w:val="FootnoteText"/>
        <w:rPr>
          <w:szCs w:val="24"/>
          <w:lang w:val="fr-BE"/>
        </w:rPr>
      </w:pPr>
      <w:r>
        <w:rPr>
          <w:rStyle w:val="FootnoteReference"/>
        </w:rPr>
        <w:footnoteRef/>
      </w:r>
      <w:r w:rsidRPr="009E1E74">
        <w:rPr>
          <w:lang w:val="fr-BE"/>
        </w:rPr>
        <w:tab/>
        <w:t>Atlikti darbai – tai būsimi produktai ir paslaugos (pvz., finansuota studentų mainų, nutiesta kelių kilometrų ir kt.).</w:t>
      </w:r>
    </w:p>
  </w:footnote>
  <w:footnote w:id="13">
    <w:p w14:paraId="44F1DD84" w14:textId="77777777" w:rsidR="0096458A" w:rsidRPr="009E1E74" w:rsidRDefault="0096458A" w:rsidP="00C87E1E">
      <w:pPr>
        <w:pStyle w:val="FootnoteText"/>
        <w:rPr>
          <w:szCs w:val="24"/>
          <w:lang w:val="fr-BE"/>
        </w:rPr>
      </w:pPr>
      <w:r>
        <w:rPr>
          <w:rStyle w:val="FootnoteReference"/>
        </w:rPr>
        <w:footnoteRef/>
      </w:r>
      <w:r w:rsidRPr="009E1E74">
        <w:rPr>
          <w:lang w:val="fr-BE"/>
        </w:rPr>
        <w:tab/>
        <w:t xml:space="preserve">Kaip apibūdinta 1.4.2 skirsnyje „Konkretus (-ūs) tikslas (-ai) ...“. </w:t>
      </w:r>
    </w:p>
  </w:footnote>
  <w:footnote w:id="14">
    <w:p w14:paraId="0DCBF6C9" w14:textId="77777777" w:rsidR="0096458A" w:rsidRPr="009E1E74" w:rsidRDefault="0096458A" w:rsidP="00C87E1E">
      <w:pPr>
        <w:pStyle w:val="FootnoteText"/>
        <w:rPr>
          <w:sz w:val="18"/>
          <w:szCs w:val="18"/>
          <w:lang w:val="fr-BE"/>
        </w:rPr>
      </w:pPr>
      <w:r>
        <w:rPr>
          <w:rStyle w:val="FootnoteReference"/>
        </w:rPr>
        <w:footnoteRef/>
      </w:r>
      <w:r w:rsidRPr="009E1E74">
        <w:rPr>
          <w:lang w:val="fr-BE"/>
        </w:rPr>
        <w:tab/>
      </w:r>
      <w:r w:rsidRPr="009E1E74">
        <w:rPr>
          <w:sz w:val="18"/>
          <w:szCs w:val="18"/>
          <w:lang w:val="fr-BE"/>
        </w:rPr>
        <w:t>N metai yra pasiūlymo (iniciatyvos) įgyvendinimo pradžios metai. Pakeiskite „N“ numatomais pirmaisiais įgyvendinimo metais (pavyzdžiui, 2021 m.). Atitinkamai pakeiskite vėlesnius metus.</w:t>
      </w:r>
    </w:p>
  </w:footnote>
  <w:footnote w:id="15">
    <w:p w14:paraId="64C72AB9" w14:textId="77777777" w:rsidR="0096458A" w:rsidRPr="009E1E74" w:rsidRDefault="0096458A" w:rsidP="00C87E1E">
      <w:pPr>
        <w:pStyle w:val="FootnoteText"/>
        <w:rPr>
          <w:szCs w:val="24"/>
          <w:lang w:val="fr-BE"/>
        </w:rPr>
      </w:pPr>
      <w:r>
        <w:rPr>
          <w:rStyle w:val="FootnoteReference"/>
        </w:rPr>
        <w:footnoteRef/>
      </w:r>
      <w:r w:rsidRPr="009E1E74">
        <w:rPr>
          <w:lang w:val="fr-BE"/>
        </w:rPr>
        <w:tab/>
      </w:r>
      <w:r w:rsidRPr="009E1E74">
        <w:rPr>
          <w:sz w:val="18"/>
          <w:szCs w:val="18"/>
          <w:lang w:val="fr-BE"/>
        </w:rPr>
        <w:t>Techninė ir (arba) administracinė parama bei išlaidos ES programų ir (arba) veiksmų įgyvendinimui remti (buvusios BA eilutės), netiesioginiai moksliniai tyrimai, tiesioginiai moksliniai tyrimai.</w:t>
      </w:r>
    </w:p>
  </w:footnote>
  <w:footnote w:id="16">
    <w:p w14:paraId="47BEF3C4" w14:textId="77777777" w:rsidR="0096458A" w:rsidRPr="009E1E74" w:rsidRDefault="0096458A" w:rsidP="00C87E1E">
      <w:pPr>
        <w:pStyle w:val="FootnoteText"/>
        <w:rPr>
          <w:szCs w:val="24"/>
          <w:lang w:val="fr-BE"/>
        </w:rPr>
      </w:pPr>
      <w:r>
        <w:rPr>
          <w:rStyle w:val="FootnoteReference"/>
        </w:rPr>
        <w:footnoteRef/>
      </w:r>
      <w:r w:rsidRPr="009E1E74">
        <w:rPr>
          <w:lang w:val="fr-BE"/>
        </w:rPr>
        <w:tab/>
        <w:t xml:space="preserve">AC – sutartininkas, AL – vietinis darbuotojas, END – deleguotasis nacionalinis ekspertas, INT – per agentūrą įdarbintas darbuotojas, JPD – jaunesnysis delegacijos specialistas. </w:t>
      </w:r>
    </w:p>
  </w:footnote>
  <w:footnote w:id="17">
    <w:p w14:paraId="039A8A03" w14:textId="77777777" w:rsidR="0096458A" w:rsidRPr="009E1E74" w:rsidRDefault="0096458A" w:rsidP="00C87E1E">
      <w:pPr>
        <w:pStyle w:val="FootnoteText"/>
        <w:rPr>
          <w:szCs w:val="24"/>
          <w:lang w:val="fr-BE"/>
        </w:rPr>
      </w:pPr>
      <w:r>
        <w:rPr>
          <w:rStyle w:val="FootnoteReference"/>
        </w:rPr>
        <w:footnoteRef/>
      </w:r>
      <w:r w:rsidRPr="009E1E74">
        <w:rPr>
          <w:lang w:val="fr-BE"/>
        </w:rPr>
        <w:tab/>
        <w:t>Neviršijant viršutinės ribos, nustatytos išorės darbuotojams, finansuojamiems iš veiklos asignavimų (buvusių BA eilučių).</w:t>
      </w:r>
    </w:p>
  </w:footnote>
  <w:footnote w:id="18">
    <w:p w14:paraId="5AAD4677" w14:textId="77777777" w:rsidR="0096458A" w:rsidRPr="009E1E74" w:rsidRDefault="0096458A" w:rsidP="00C87E1E">
      <w:pPr>
        <w:pStyle w:val="FootnoteText"/>
        <w:rPr>
          <w:lang w:val="fr-BE"/>
        </w:rPr>
      </w:pPr>
      <w:r>
        <w:rPr>
          <w:rStyle w:val="FootnoteReference"/>
        </w:rPr>
        <w:footnoteRef/>
      </w:r>
      <w:r w:rsidRPr="009E1E74">
        <w:rPr>
          <w:lang w:val="fr-BE"/>
        </w:rPr>
        <w:tab/>
        <w:t>N metai yra pasiūlymo (iniciatyvos) įgyvendinimo pradžios metai. Pakeiskite „N“ numatomais pirmaisiais įgyvendinimo metais (pavyzdžiui, 2021 m.). Atitinkamai pakeiskite vėlesnius metus.</w:t>
      </w:r>
    </w:p>
  </w:footnote>
  <w:footnote w:id="19">
    <w:p w14:paraId="447537F8" w14:textId="77777777" w:rsidR="0096458A" w:rsidRPr="009E1E74" w:rsidRDefault="0096458A" w:rsidP="00C87E1E">
      <w:pPr>
        <w:pStyle w:val="FootnoteText"/>
        <w:rPr>
          <w:szCs w:val="24"/>
          <w:lang w:val="fr-BE"/>
        </w:rPr>
      </w:pPr>
      <w:r>
        <w:rPr>
          <w:rStyle w:val="FootnoteReference"/>
        </w:rPr>
        <w:footnoteRef/>
      </w:r>
      <w:r w:rsidRPr="009E1E74">
        <w:rPr>
          <w:lang w:val="fr-BE"/>
        </w:rPr>
        <w:tab/>
        <w:t>Tradiciniai nuosavi ištekliai (muitai, cukraus mokesčiai) turi būti nurodomi grynosiomis sumomis, t. y. iš bendros sumos atskaičius 20 % surinkimo sąnaudų.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E974D" w14:textId="77777777" w:rsidR="006E606F" w:rsidRPr="006E606F" w:rsidRDefault="006E606F" w:rsidP="006E606F">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6E063" w14:textId="77777777" w:rsidR="006E606F" w:rsidRPr="006E606F" w:rsidRDefault="006E606F" w:rsidP="006E606F">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16D03" w14:textId="77777777" w:rsidR="0096458A" w:rsidRPr="00217EB4" w:rsidRDefault="0096458A" w:rsidP="006E60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B92B1" w14:textId="77777777" w:rsidR="006E606F" w:rsidRPr="006E606F" w:rsidRDefault="006E606F" w:rsidP="006E6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994E0B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87EF0E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93AAAC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8BA982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C48330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570E61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4C06B2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7F659E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20"/>
  </w:num>
  <w:num w:numId="11">
    <w:abstractNumId w:val="19"/>
  </w:num>
  <w:num w:numId="12">
    <w:abstractNumId w:val="14"/>
  </w:num>
  <w:num w:numId="13">
    <w:abstractNumId w:val="13"/>
  </w:num>
  <w:num w:numId="14">
    <w:abstractNumId w:val="24"/>
  </w:num>
  <w:num w:numId="15">
    <w:abstractNumId w:val="15"/>
  </w:num>
  <w:num w:numId="16">
    <w:abstractNumId w:val="26"/>
  </w:num>
  <w:num w:numId="17">
    <w:abstractNumId w:val="12"/>
  </w:num>
  <w:num w:numId="18">
    <w:abstractNumId w:val="16"/>
  </w:num>
  <w:num w:numId="19">
    <w:abstractNumId w:val="17"/>
  </w:num>
  <w:num w:numId="20">
    <w:abstractNumId w:val="10"/>
  </w:num>
  <w:num w:numId="21">
    <w:abstractNumId w:val="25"/>
  </w:num>
  <w:num w:numId="22">
    <w:abstractNumId w:val="9"/>
  </w:num>
  <w:num w:numId="23">
    <w:abstractNumId w:val="18"/>
  </w:num>
  <w:num w:numId="24">
    <w:abstractNumId w:val="22"/>
  </w:num>
  <w:num w:numId="25">
    <w:abstractNumId w:val="23"/>
  </w:num>
  <w:num w:numId="26">
    <w:abstractNumId w:val="11"/>
  </w:num>
  <w:num w:numId="27">
    <w:abstractNumId w:val="21"/>
  </w:num>
  <w:num w:numId="28">
    <w:abstractNumId w:val="27"/>
  </w:num>
  <w:num w:numId="29">
    <w:abstractNumId w:val="24"/>
  </w:num>
  <w:num w:numId="30">
    <w:abstractNumId w:val="15"/>
  </w:num>
  <w:num w:numId="31">
    <w:abstractNumId w:val="26"/>
  </w:num>
  <w:num w:numId="32">
    <w:abstractNumId w:val="12"/>
  </w:num>
  <w:num w:numId="33">
    <w:abstractNumId w:val="16"/>
  </w:num>
  <w:num w:numId="34">
    <w:abstractNumId w:val="17"/>
  </w:num>
  <w:num w:numId="35">
    <w:abstractNumId w:val="10"/>
  </w:num>
  <w:num w:numId="36">
    <w:abstractNumId w:val="25"/>
  </w:num>
  <w:num w:numId="37">
    <w:abstractNumId w:val="9"/>
  </w:num>
  <w:num w:numId="38">
    <w:abstractNumId w:val="18"/>
  </w:num>
  <w:num w:numId="39">
    <w:abstractNumId w:val="22"/>
  </w:num>
  <w:num w:numId="40">
    <w:abstractNumId w:val="23"/>
  </w:num>
  <w:num w:numId="41">
    <w:abstractNumId w:val="11"/>
  </w:num>
  <w:num w:numId="42">
    <w:abstractNumId w:val="21"/>
  </w:num>
  <w:num w:numId="4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31 12:40:54"/>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85543597-9CE0-4E8D-A67E-04208D072DFD"/>
    <w:docVar w:name="LW_COVERPAGE_TYPE" w:val="1"/>
    <w:docVar w:name="LW_CROSSREFERENCE" w:val="&lt;UNUSED&gt;"/>
    <w:docVar w:name="LW_DocType" w:val="COM"/>
    <w:docVar w:name="LW_EMISSION" w:val="2022 03 23"/>
    <w:docVar w:name="LW_EMISSION_ISODATE" w:val="2022-03-23"/>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096"/>
    <w:docVar w:name="LW_REF.II.NEW.CP_YEAR" w:val="2022"/>
    <w:docVar w:name="LW_REF.INST.NEW" w:val="COM"/>
    <w:docVar w:name="LW_REF.INST.NEW_ADOPTED" w:val="final"/>
    <w:docVar w:name="LW_REF.INST.NEW_TEXT" w:val="(2022) 1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ūlymas"/>
    <w:docVar w:name="LW_SUPERTITRE" w:val="&lt;UNUSED&gt;"/>
    <w:docVar w:name="LW_TITRE.OBJ.CP" w:val="kuriuo dėl didesnio išankstinio finansavimo iš REACT-EU išteklių iš dalies keičiamas Reglamentas (ES) Nr. 1303/2013 ir Reglamentas (ES) Nr. 223/2014 _x000b_"/>
    <w:docVar w:name="LW_TYPE.DOC.CP" w:val="EUROPOS PARLAMENTO IR TARYBOS REGLAMENTAS"/>
    <w:docVar w:name="LwApiVersions" w:val="LW4CoDe 1.23.2.0; LW 8.0, Build 20211117"/>
  </w:docVars>
  <w:rsids>
    <w:rsidRoot w:val="00C1332E"/>
    <w:rsid w:val="00000438"/>
    <w:rsid w:val="00002070"/>
    <w:rsid w:val="00002B5D"/>
    <w:rsid w:val="0000561F"/>
    <w:rsid w:val="00007482"/>
    <w:rsid w:val="00007FCC"/>
    <w:rsid w:val="000179FF"/>
    <w:rsid w:val="00021FA3"/>
    <w:rsid w:val="000307C8"/>
    <w:rsid w:val="000314FC"/>
    <w:rsid w:val="00032C70"/>
    <w:rsid w:val="000426FD"/>
    <w:rsid w:val="0004555E"/>
    <w:rsid w:val="000467FB"/>
    <w:rsid w:val="00050B68"/>
    <w:rsid w:val="00052646"/>
    <w:rsid w:val="00063A22"/>
    <w:rsid w:val="00075498"/>
    <w:rsid w:val="000819DB"/>
    <w:rsid w:val="00085318"/>
    <w:rsid w:val="00095928"/>
    <w:rsid w:val="000970BF"/>
    <w:rsid w:val="000A352E"/>
    <w:rsid w:val="000C42C5"/>
    <w:rsid w:val="000D4125"/>
    <w:rsid w:val="000D75D4"/>
    <w:rsid w:val="000E6CE2"/>
    <w:rsid w:val="00104FE3"/>
    <w:rsid w:val="0011388B"/>
    <w:rsid w:val="00115AF9"/>
    <w:rsid w:val="00116216"/>
    <w:rsid w:val="001325FC"/>
    <w:rsid w:val="0013335C"/>
    <w:rsid w:val="00133C77"/>
    <w:rsid w:val="001357C0"/>
    <w:rsid w:val="001359C9"/>
    <w:rsid w:val="00146C76"/>
    <w:rsid w:val="00161BA8"/>
    <w:rsid w:val="00164E78"/>
    <w:rsid w:val="00171099"/>
    <w:rsid w:val="001765BE"/>
    <w:rsid w:val="00177448"/>
    <w:rsid w:val="00182F8D"/>
    <w:rsid w:val="00183B08"/>
    <w:rsid w:val="00187529"/>
    <w:rsid w:val="001912A5"/>
    <w:rsid w:val="00194A92"/>
    <w:rsid w:val="001971C4"/>
    <w:rsid w:val="001A0977"/>
    <w:rsid w:val="001B03F8"/>
    <w:rsid w:val="001B0677"/>
    <w:rsid w:val="001C42E9"/>
    <w:rsid w:val="001D2C74"/>
    <w:rsid w:val="001D77AA"/>
    <w:rsid w:val="001E602C"/>
    <w:rsid w:val="001E7AAB"/>
    <w:rsid w:val="001F30AD"/>
    <w:rsid w:val="001F63B3"/>
    <w:rsid w:val="00206E78"/>
    <w:rsid w:val="002103A3"/>
    <w:rsid w:val="00210B15"/>
    <w:rsid w:val="00210F98"/>
    <w:rsid w:val="002118DA"/>
    <w:rsid w:val="00212D2A"/>
    <w:rsid w:val="00214A4C"/>
    <w:rsid w:val="00217EB4"/>
    <w:rsid w:val="002222E2"/>
    <w:rsid w:val="002275C4"/>
    <w:rsid w:val="00231D18"/>
    <w:rsid w:val="00232992"/>
    <w:rsid w:val="00233EBC"/>
    <w:rsid w:val="00237093"/>
    <w:rsid w:val="00243B2F"/>
    <w:rsid w:val="00252328"/>
    <w:rsid w:val="00252E6C"/>
    <w:rsid w:val="00255132"/>
    <w:rsid w:val="00257806"/>
    <w:rsid w:val="00271C42"/>
    <w:rsid w:val="002726CD"/>
    <w:rsid w:val="0027658B"/>
    <w:rsid w:val="00277A05"/>
    <w:rsid w:val="00281195"/>
    <w:rsid w:val="0028218C"/>
    <w:rsid w:val="00284CBF"/>
    <w:rsid w:val="00286D21"/>
    <w:rsid w:val="00291600"/>
    <w:rsid w:val="00292208"/>
    <w:rsid w:val="00295334"/>
    <w:rsid w:val="002A50BA"/>
    <w:rsid w:val="002A66CF"/>
    <w:rsid w:val="002B168F"/>
    <w:rsid w:val="002C0859"/>
    <w:rsid w:val="002C3696"/>
    <w:rsid w:val="002C58C3"/>
    <w:rsid w:val="002D0E2E"/>
    <w:rsid w:val="002D2B41"/>
    <w:rsid w:val="002D44A5"/>
    <w:rsid w:val="002D6338"/>
    <w:rsid w:val="002E0753"/>
    <w:rsid w:val="002E537C"/>
    <w:rsid w:val="002E6841"/>
    <w:rsid w:val="002F2810"/>
    <w:rsid w:val="002F3FFE"/>
    <w:rsid w:val="003039C0"/>
    <w:rsid w:val="003147B2"/>
    <w:rsid w:val="00324790"/>
    <w:rsid w:val="003273A3"/>
    <w:rsid w:val="00327C7A"/>
    <w:rsid w:val="00330954"/>
    <w:rsid w:val="00333908"/>
    <w:rsid w:val="00335233"/>
    <w:rsid w:val="00341575"/>
    <w:rsid w:val="00362810"/>
    <w:rsid w:val="00363583"/>
    <w:rsid w:val="00363B80"/>
    <w:rsid w:val="00367795"/>
    <w:rsid w:val="00377B56"/>
    <w:rsid w:val="003901C8"/>
    <w:rsid w:val="00390E35"/>
    <w:rsid w:val="00393C6B"/>
    <w:rsid w:val="00396995"/>
    <w:rsid w:val="003B08B3"/>
    <w:rsid w:val="003C1853"/>
    <w:rsid w:val="003C2400"/>
    <w:rsid w:val="003C6D77"/>
    <w:rsid w:val="003D19EB"/>
    <w:rsid w:val="003F1C4C"/>
    <w:rsid w:val="003F6F89"/>
    <w:rsid w:val="00402C8B"/>
    <w:rsid w:val="004068AF"/>
    <w:rsid w:val="004079F0"/>
    <w:rsid w:val="004110E5"/>
    <w:rsid w:val="00424456"/>
    <w:rsid w:val="004300AB"/>
    <w:rsid w:val="004413FE"/>
    <w:rsid w:val="00456B01"/>
    <w:rsid w:val="00460C2D"/>
    <w:rsid w:val="004667DC"/>
    <w:rsid w:val="0047294E"/>
    <w:rsid w:val="004749B7"/>
    <w:rsid w:val="004760A2"/>
    <w:rsid w:val="004777BD"/>
    <w:rsid w:val="00490C14"/>
    <w:rsid w:val="004A429E"/>
    <w:rsid w:val="004B3EAF"/>
    <w:rsid w:val="004D233E"/>
    <w:rsid w:val="004D6CFE"/>
    <w:rsid w:val="004D6D43"/>
    <w:rsid w:val="004D7859"/>
    <w:rsid w:val="004E05FA"/>
    <w:rsid w:val="004E0DDA"/>
    <w:rsid w:val="004E2731"/>
    <w:rsid w:val="004E542B"/>
    <w:rsid w:val="004F05AF"/>
    <w:rsid w:val="004F1EC4"/>
    <w:rsid w:val="004F527C"/>
    <w:rsid w:val="00507FF2"/>
    <w:rsid w:val="0051257A"/>
    <w:rsid w:val="00525EF3"/>
    <w:rsid w:val="00536525"/>
    <w:rsid w:val="005367E7"/>
    <w:rsid w:val="005431A5"/>
    <w:rsid w:val="00547E8D"/>
    <w:rsid w:val="00551388"/>
    <w:rsid w:val="005541A2"/>
    <w:rsid w:val="00563B97"/>
    <w:rsid w:val="00566267"/>
    <w:rsid w:val="00566A6D"/>
    <w:rsid w:val="00567E10"/>
    <w:rsid w:val="00574DD5"/>
    <w:rsid w:val="00582788"/>
    <w:rsid w:val="00586D7D"/>
    <w:rsid w:val="00593BA5"/>
    <w:rsid w:val="005969C1"/>
    <w:rsid w:val="005A06C8"/>
    <w:rsid w:val="005A158B"/>
    <w:rsid w:val="005A57CB"/>
    <w:rsid w:val="005B119A"/>
    <w:rsid w:val="005B22EF"/>
    <w:rsid w:val="005B6E68"/>
    <w:rsid w:val="005C0252"/>
    <w:rsid w:val="005D0538"/>
    <w:rsid w:val="005F14A3"/>
    <w:rsid w:val="005F2EEF"/>
    <w:rsid w:val="005F656C"/>
    <w:rsid w:val="00610796"/>
    <w:rsid w:val="0061723B"/>
    <w:rsid w:val="00620CD6"/>
    <w:rsid w:val="00623C3F"/>
    <w:rsid w:val="00625FA8"/>
    <w:rsid w:val="00630B52"/>
    <w:rsid w:val="00637447"/>
    <w:rsid w:val="00644EEB"/>
    <w:rsid w:val="006528DC"/>
    <w:rsid w:val="00661C8C"/>
    <w:rsid w:val="0067241D"/>
    <w:rsid w:val="00675CCF"/>
    <w:rsid w:val="00676680"/>
    <w:rsid w:val="006801A3"/>
    <w:rsid w:val="00680A27"/>
    <w:rsid w:val="00680B87"/>
    <w:rsid w:val="006839D4"/>
    <w:rsid w:val="0068659C"/>
    <w:rsid w:val="00686B03"/>
    <w:rsid w:val="00695F04"/>
    <w:rsid w:val="0069768A"/>
    <w:rsid w:val="006A1C48"/>
    <w:rsid w:val="006A7615"/>
    <w:rsid w:val="006B5C4B"/>
    <w:rsid w:val="006C2DA8"/>
    <w:rsid w:val="006D07A9"/>
    <w:rsid w:val="006D2E24"/>
    <w:rsid w:val="006D3E64"/>
    <w:rsid w:val="006E0D84"/>
    <w:rsid w:val="006E1F7F"/>
    <w:rsid w:val="006E606F"/>
    <w:rsid w:val="006F0ABA"/>
    <w:rsid w:val="006F0E07"/>
    <w:rsid w:val="006F5AA2"/>
    <w:rsid w:val="00705DF8"/>
    <w:rsid w:val="00707576"/>
    <w:rsid w:val="0071189A"/>
    <w:rsid w:val="00713710"/>
    <w:rsid w:val="00715C41"/>
    <w:rsid w:val="007167A1"/>
    <w:rsid w:val="00717D0F"/>
    <w:rsid w:val="00720B9E"/>
    <w:rsid w:val="00721154"/>
    <w:rsid w:val="00722A58"/>
    <w:rsid w:val="007325D7"/>
    <w:rsid w:val="00741FD2"/>
    <w:rsid w:val="00745DA6"/>
    <w:rsid w:val="00746CBC"/>
    <w:rsid w:val="007521D1"/>
    <w:rsid w:val="00766D52"/>
    <w:rsid w:val="00770BB5"/>
    <w:rsid w:val="007909C9"/>
    <w:rsid w:val="007A328C"/>
    <w:rsid w:val="007A765E"/>
    <w:rsid w:val="007A7D2D"/>
    <w:rsid w:val="007D59DE"/>
    <w:rsid w:val="007E15AB"/>
    <w:rsid w:val="007E541D"/>
    <w:rsid w:val="00800AC1"/>
    <w:rsid w:val="0080688A"/>
    <w:rsid w:val="00811283"/>
    <w:rsid w:val="00821969"/>
    <w:rsid w:val="008406EE"/>
    <w:rsid w:val="0084104E"/>
    <w:rsid w:val="00855A8A"/>
    <w:rsid w:val="0086040B"/>
    <w:rsid w:val="00863574"/>
    <w:rsid w:val="008730BC"/>
    <w:rsid w:val="008741BF"/>
    <w:rsid w:val="00876654"/>
    <w:rsid w:val="00882D42"/>
    <w:rsid w:val="0088349C"/>
    <w:rsid w:val="00884E8F"/>
    <w:rsid w:val="008854F0"/>
    <w:rsid w:val="00885C1C"/>
    <w:rsid w:val="00892800"/>
    <w:rsid w:val="008937FA"/>
    <w:rsid w:val="008A3B70"/>
    <w:rsid w:val="008A5FB8"/>
    <w:rsid w:val="008B52E5"/>
    <w:rsid w:val="008C5510"/>
    <w:rsid w:val="008C5EC3"/>
    <w:rsid w:val="008D530A"/>
    <w:rsid w:val="008D7001"/>
    <w:rsid w:val="008D702D"/>
    <w:rsid w:val="008E36F8"/>
    <w:rsid w:val="008F0915"/>
    <w:rsid w:val="008F6004"/>
    <w:rsid w:val="00903613"/>
    <w:rsid w:val="0090485C"/>
    <w:rsid w:val="00907553"/>
    <w:rsid w:val="00913E3F"/>
    <w:rsid w:val="00915898"/>
    <w:rsid w:val="00920A6C"/>
    <w:rsid w:val="00920A73"/>
    <w:rsid w:val="009347DF"/>
    <w:rsid w:val="00936901"/>
    <w:rsid w:val="00940DA1"/>
    <w:rsid w:val="00942383"/>
    <w:rsid w:val="00943666"/>
    <w:rsid w:val="00961DB6"/>
    <w:rsid w:val="0096458A"/>
    <w:rsid w:val="00972D05"/>
    <w:rsid w:val="0097374A"/>
    <w:rsid w:val="0098113F"/>
    <w:rsid w:val="009856E2"/>
    <w:rsid w:val="009879E9"/>
    <w:rsid w:val="009939BC"/>
    <w:rsid w:val="00995CFB"/>
    <w:rsid w:val="00997155"/>
    <w:rsid w:val="009976D9"/>
    <w:rsid w:val="009A5D00"/>
    <w:rsid w:val="009B3DB9"/>
    <w:rsid w:val="009B3FCA"/>
    <w:rsid w:val="009C6F40"/>
    <w:rsid w:val="009D1E6F"/>
    <w:rsid w:val="009D2B39"/>
    <w:rsid w:val="009E0594"/>
    <w:rsid w:val="009E1E74"/>
    <w:rsid w:val="009E492D"/>
    <w:rsid w:val="009E7319"/>
    <w:rsid w:val="009E7A3C"/>
    <w:rsid w:val="009F0914"/>
    <w:rsid w:val="009F121A"/>
    <w:rsid w:val="009F29E4"/>
    <w:rsid w:val="009F51A3"/>
    <w:rsid w:val="009F5936"/>
    <w:rsid w:val="009F5C76"/>
    <w:rsid w:val="00A04B9C"/>
    <w:rsid w:val="00A071F1"/>
    <w:rsid w:val="00A07932"/>
    <w:rsid w:val="00A17E92"/>
    <w:rsid w:val="00A21149"/>
    <w:rsid w:val="00A233AB"/>
    <w:rsid w:val="00A24401"/>
    <w:rsid w:val="00A24A2B"/>
    <w:rsid w:val="00A30C51"/>
    <w:rsid w:val="00A31E83"/>
    <w:rsid w:val="00A32C7F"/>
    <w:rsid w:val="00A40D00"/>
    <w:rsid w:val="00A446A4"/>
    <w:rsid w:val="00A54245"/>
    <w:rsid w:val="00A57E59"/>
    <w:rsid w:val="00A61337"/>
    <w:rsid w:val="00A712CF"/>
    <w:rsid w:val="00A72829"/>
    <w:rsid w:val="00A7634C"/>
    <w:rsid w:val="00A816CD"/>
    <w:rsid w:val="00A84BC9"/>
    <w:rsid w:val="00A85A92"/>
    <w:rsid w:val="00A91827"/>
    <w:rsid w:val="00A9430D"/>
    <w:rsid w:val="00A9589B"/>
    <w:rsid w:val="00AA6B40"/>
    <w:rsid w:val="00AC05C5"/>
    <w:rsid w:val="00AE37AF"/>
    <w:rsid w:val="00AE5A2A"/>
    <w:rsid w:val="00AF117E"/>
    <w:rsid w:val="00AF1B5B"/>
    <w:rsid w:val="00B236C6"/>
    <w:rsid w:val="00B278FF"/>
    <w:rsid w:val="00B3015B"/>
    <w:rsid w:val="00B336DF"/>
    <w:rsid w:val="00B343CA"/>
    <w:rsid w:val="00B34B8B"/>
    <w:rsid w:val="00B40170"/>
    <w:rsid w:val="00B45774"/>
    <w:rsid w:val="00B4693F"/>
    <w:rsid w:val="00B63FCC"/>
    <w:rsid w:val="00B83A12"/>
    <w:rsid w:val="00B83E45"/>
    <w:rsid w:val="00B87C8E"/>
    <w:rsid w:val="00B97103"/>
    <w:rsid w:val="00BA0754"/>
    <w:rsid w:val="00BA2ADE"/>
    <w:rsid w:val="00BB4817"/>
    <w:rsid w:val="00BD1AB1"/>
    <w:rsid w:val="00BD5597"/>
    <w:rsid w:val="00BD6407"/>
    <w:rsid w:val="00BE176D"/>
    <w:rsid w:val="00BF5445"/>
    <w:rsid w:val="00C017A2"/>
    <w:rsid w:val="00C1089D"/>
    <w:rsid w:val="00C1332E"/>
    <w:rsid w:val="00C172F0"/>
    <w:rsid w:val="00C21D25"/>
    <w:rsid w:val="00C231C8"/>
    <w:rsid w:val="00C250B2"/>
    <w:rsid w:val="00C3146F"/>
    <w:rsid w:val="00C31B11"/>
    <w:rsid w:val="00C3688C"/>
    <w:rsid w:val="00C45FA2"/>
    <w:rsid w:val="00C47761"/>
    <w:rsid w:val="00C52F63"/>
    <w:rsid w:val="00C5503D"/>
    <w:rsid w:val="00C55122"/>
    <w:rsid w:val="00C5557F"/>
    <w:rsid w:val="00C62A55"/>
    <w:rsid w:val="00C71348"/>
    <w:rsid w:val="00C73AD9"/>
    <w:rsid w:val="00C755A3"/>
    <w:rsid w:val="00C837E3"/>
    <w:rsid w:val="00C871F9"/>
    <w:rsid w:val="00C873F6"/>
    <w:rsid w:val="00C87D15"/>
    <w:rsid w:val="00C87E1E"/>
    <w:rsid w:val="00C970E1"/>
    <w:rsid w:val="00CA1BE6"/>
    <w:rsid w:val="00CA4954"/>
    <w:rsid w:val="00CA5FF3"/>
    <w:rsid w:val="00CA71DD"/>
    <w:rsid w:val="00CB0C2F"/>
    <w:rsid w:val="00CC1CA1"/>
    <w:rsid w:val="00CC46C1"/>
    <w:rsid w:val="00CC4F67"/>
    <w:rsid w:val="00CE3297"/>
    <w:rsid w:val="00CE696F"/>
    <w:rsid w:val="00CF2C8E"/>
    <w:rsid w:val="00CF2E7F"/>
    <w:rsid w:val="00CF3FF4"/>
    <w:rsid w:val="00CF74A7"/>
    <w:rsid w:val="00D006E7"/>
    <w:rsid w:val="00D01928"/>
    <w:rsid w:val="00D04245"/>
    <w:rsid w:val="00D06183"/>
    <w:rsid w:val="00D17CEE"/>
    <w:rsid w:val="00D226DB"/>
    <w:rsid w:val="00D32C0F"/>
    <w:rsid w:val="00D45CD0"/>
    <w:rsid w:val="00D4630B"/>
    <w:rsid w:val="00D65D64"/>
    <w:rsid w:val="00D74229"/>
    <w:rsid w:val="00D75195"/>
    <w:rsid w:val="00D85035"/>
    <w:rsid w:val="00D87033"/>
    <w:rsid w:val="00D91CF7"/>
    <w:rsid w:val="00DA0114"/>
    <w:rsid w:val="00DA6183"/>
    <w:rsid w:val="00DB5067"/>
    <w:rsid w:val="00DC1588"/>
    <w:rsid w:val="00DC3112"/>
    <w:rsid w:val="00DC7AC7"/>
    <w:rsid w:val="00DE279F"/>
    <w:rsid w:val="00DE28F6"/>
    <w:rsid w:val="00DE5996"/>
    <w:rsid w:val="00DE6507"/>
    <w:rsid w:val="00DE6CB8"/>
    <w:rsid w:val="00DF2250"/>
    <w:rsid w:val="00DF30BB"/>
    <w:rsid w:val="00E01F89"/>
    <w:rsid w:val="00E17F54"/>
    <w:rsid w:val="00E200F9"/>
    <w:rsid w:val="00E22C4E"/>
    <w:rsid w:val="00E41E7D"/>
    <w:rsid w:val="00E43F2E"/>
    <w:rsid w:val="00E46FC1"/>
    <w:rsid w:val="00E54C74"/>
    <w:rsid w:val="00E61475"/>
    <w:rsid w:val="00E6613B"/>
    <w:rsid w:val="00E670FA"/>
    <w:rsid w:val="00E7533C"/>
    <w:rsid w:val="00E7613D"/>
    <w:rsid w:val="00E83480"/>
    <w:rsid w:val="00E863C0"/>
    <w:rsid w:val="00E921C7"/>
    <w:rsid w:val="00E95F4F"/>
    <w:rsid w:val="00E9633C"/>
    <w:rsid w:val="00E96EEF"/>
    <w:rsid w:val="00EB57A2"/>
    <w:rsid w:val="00EC5ABF"/>
    <w:rsid w:val="00EE5D39"/>
    <w:rsid w:val="00EF3B10"/>
    <w:rsid w:val="00EF3D3B"/>
    <w:rsid w:val="00EF5081"/>
    <w:rsid w:val="00EF61D9"/>
    <w:rsid w:val="00EF7269"/>
    <w:rsid w:val="00F14D03"/>
    <w:rsid w:val="00F26B06"/>
    <w:rsid w:val="00F31B12"/>
    <w:rsid w:val="00F31D74"/>
    <w:rsid w:val="00F341A5"/>
    <w:rsid w:val="00F34238"/>
    <w:rsid w:val="00F36C89"/>
    <w:rsid w:val="00F40606"/>
    <w:rsid w:val="00F408FD"/>
    <w:rsid w:val="00F443BC"/>
    <w:rsid w:val="00F4723F"/>
    <w:rsid w:val="00F47440"/>
    <w:rsid w:val="00F51510"/>
    <w:rsid w:val="00F536A2"/>
    <w:rsid w:val="00F54312"/>
    <w:rsid w:val="00F6232F"/>
    <w:rsid w:val="00F63B8E"/>
    <w:rsid w:val="00F65858"/>
    <w:rsid w:val="00F87216"/>
    <w:rsid w:val="00F90995"/>
    <w:rsid w:val="00F936C3"/>
    <w:rsid w:val="00F93F97"/>
    <w:rsid w:val="00F94579"/>
    <w:rsid w:val="00FA4BD9"/>
    <w:rsid w:val="00FA64CA"/>
    <w:rsid w:val="00FB18F4"/>
    <w:rsid w:val="00FB50B6"/>
    <w:rsid w:val="00FB72EB"/>
    <w:rsid w:val="00FC6546"/>
    <w:rsid w:val="00FD2A15"/>
    <w:rsid w:val="00FD37F5"/>
    <w:rsid w:val="00FD5D0C"/>
    <w:rsid w:val="00FD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0A4EE32"/>
  <w15:docId w15:val="{B5AEC159-8A6F-492A-BBE9-036345D5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rsid w:val="00517205"/>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6"/>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6"/>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lt-LT"/>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lt-L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Hyperlink">
    <w:name w:val="Hyperlink"/>
    <w:basedOn w:val="DefaultParagraphFont"/>
    <w:unhideWhenUsed/>
    <w:rPr>
      <w:color w:val="0000FF" w:themeColor="hyperlink"/>
      <w:u w:val="single"/>
    </w:rPr>
  </w:style>
  <w:style w:type="paragraph" w:customStyle="1" w:styleId="ListBullet1">
    <w:name w:val="List Bullet 1"/>
    <w:basedOn w:val="Normal"/>
    <w:pPr>
      <w:numPr>
        <w:numId w:val="9"/>
      </w:numPr>
    </w:pPr>
    <w:rPr>
      <w:rFonts w:eastAsia="Times New Roman"/>
      <w:lang w:eastAsia="de-DE"/>
    </w:rPr>
  </w:style>
  <w:style w:type="paragraph" w:customStyle="1" w:styleId="ListDash1">
    <w:name w:val="List Dash 1"/>
    <w:basedOn w:val="Normal"/>
    <w:pPr>
      <w:numPr>
        <w:numId w:val="10"/>
      </w:numPr>
    </w:pPr>
    <w:rPr>
      <w:rFonts w:eastAsia="Times New Roman"/>
      <w:lang w:eastAsia="de-DE"/>
    </w:rPr>
  </w:style>
  <w:style w:type="paragraph" w:customStyle="1" w:styleId="ListDash2">
    <w:name w:val="List Dash 2"/>
    <w:basedOn w:val="Normal"/>
    <w:pPr>
      <w:numPr>
        <w:numId w:val="11"/>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FollowedHyperlink">
    <w:name w:val="FollowedHyperlink"/>
    <w:uiPriority w:val="99"/>
    <w:unhideWhenUsed/>
    <w:rPr>
      <w:color w:val="800080"/>
      <w:u w:val="single"/>
    </w:rPr>
  </w:style>
  <w:style w:type="character" w:customStyle="1" w:styleId="apple-converted-space">
    <w:name w:val="apple-converted-space"/>
  </w:style>
  <w:style w:type="paragraph" w:customStyle="1" w:styleId="CM1">
    <w:name w:val="CM1"/>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CM3">
    <w:name w:val="CM3"/>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doc-ti">
    <w:name w:val="doc-ti"/>
    <w:basedOn w:val="Normal"/>
    <w:pPr>
      <w:spacing w:before="240"/>
      <w:jc w:val="center"/>
    </w:pPr>
    <w:rPr>
      <w:rFonts w:eastAsia="Times New Roman"/>
      <w:b/>
      <w:bCs/>
      <w:lang w:eastAsia="en-GB"/>
    </w:rPr>
  </w:style>
  <w:style w:type="paragraph" w:customStyle="1" w:styleId="ListDash">
    <w:name w:val="List Dash"/>
    <w:basedOn w:val="Normal"/>
    <w:pPr>
      <w:numPr>
        <w:numId w:val="12"/>
      </w:numPr>
    </w:pPr>
    <w:rPr>
      <w:rFonts w:eastAsia="Times New Roman"/>
      <w:szCs w:val="20"/>
      <w:lang w:eastAsia="en-GB"/>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after="0" w:line="312" w:lineRule="atLeast"/>
    </w:pPr>
    <w:rPr>
      <w:rFonts w:eastAsia="Times New Roman"/>
      <w:szCs w:val="24"/>
      <w:lang w:eastAsia="en-GB"/>
    </w:rPr>
  </w:style>
  <w:style w:type="character" w:styleId="Strong">
    <w:name w:val="Strong"/>
    <w:basedOn w:val="DefaultParagraphFont"/>
    <w:uiPriority w:val="22"/>
    <w:qFormat/>
    <w:rPr>
      <w:b/>
      <w:bCs/>
    </w:rPr>
  </w:style>
  <w:style w:type="character" w:customStyle="1" w:styleId="bold">
    <w:name w:val="bold"/>
    <w:basedOn w:val="DefaultParagraphFont"/>
    <w:rPr>
      <w:b/>
      <w:bCs/>
    </w:rPr>
  </w:style>
  <w:style w:type="paragraph" w:customStyle="1" w:styleId="ti-grseq-12">
    <w:name w:val="ti-grseq-12"/>
    <w:basedOn w:val="Normal"/>
    <w:pPr>
      <w:spacing w:before="240" w:line="312" w:lineRule="atLeast"/>
    </w:pPr>
    <w:rPr>
      <w:rFonts w:eastAsia="Times New Roman"/>
      <w:b/>
      <w:bCs/>
      <w:szCs w:val="24"/>
      <w:lang w:eastAsia="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0" w:after="150"/>
      <w:jc w:val="left"/>
    </w:pPr>
    <w:rPr>
      <w:rFonts w:eastAsia="Times New Roman"/>
      <w:szCs w:val="24"/>
      <w:lang w:eastAsia="en-GB"/>
    </w:rPr>
  </w:style>
  <w:style w:type="paragraph" w:customStyle="1" w:styleId="hidden">
    <w:name w:val="hidden"/>
    <w:basedOn w:val="Normal"/>
    <w:pPr>
      <w:spacing w:before="0" w:after="150"/>
      <w:jc w:val="left"/>
    </w:pPr>
    <w:rPr>
      <w:rFonts w:eastAsia="Times New Roman"/>
      <w:vanish/>
      <w:szCs w:val="24"/>
      <w:lang w:eastAsia="en-GB"/>
    </w:rPr>
  </w:style>
  <w:style w:type="paragraph" w:customStyle="1" w:styleId="LegalNumPar">
    <w:name w:val="LegalNumPar"/>
    <w:basedOn w:val="Normal"/>
    <w:rsid w:val="00F408FD"/>
    <w:pPr>
      <w:numPr>
        <w:numId w:val="13"/>
      </w:numPr>
      <w:spacing w:line="360" w:lineRule="auto"/>
    </w:pPr>
  </w:style>
  <w:style w:type="paragraph" w:customStyle="1" w:styleId="LegalNumPar2">
    <w:name w:val="LegalNumPar2"/>
    <w:basedOn w:val="Normal"/>
    <w:rsid w:val="00F408FD"/>
    <w:pPr>
      <w:numPr>
        <w:ilvl w:val="1"/>
        <w:numId w:val="13"/>
      </w:numPr>
      <w:spacing w:line="360" w:lineRule="auto"/>
    </w:pPr>
  </w:style>
  <w:style w:type="paragraph" w:customStyle="1" w:styleId="LegalNumPar3">
    <w:name w:val="LegalNumPar3"/>
    <w:basedOn w:val="Normal"/>
    <w:rsid w:val="00F408FD"/>
    <w:pPr>
      <w:numPr>
        <w:ilvl w:val="2"/>
        <w:numId w:val="13"/>
      </w:numPr>
      <w:spacing w:line="360" w:lineRule="auto"/>
    </w:pPr>
  </w:style>
  <w:style w:type="character" w:customStyle="1" w:styleId="conf-macro">
    <w:name w:val="conf-macro"/>
    <w:basedOn w:val="DefaultParagraphFont"/>
    <w:rsid w:val="00E41E7D"/>
  </w:style>
  <w:style w:type="paragraph" w:styleId="Header">
    <w:name w:val="header"/>
    <w:basedOn w:val="Normal"/>
    <w:link w:val="HeaderChar"/>
    <w:uiPriority w:val="99"/>
    <w:unhideWhenUsed/>
    <w:rsid w:val="006E606F"/>
    <w:pPr>
      <w:tabs>
        <w:tab w:val="center" w:pos="4535"/>
        <w:tab w:val="right" w:pos="9071"/>
      </w:tabs>
      <w:spacing w:before="0"/>
    </w:pPr>
  </w:style>
  <w:style w:type="character" w:customStyle="1" w:styleId="HeaderChar">
    <w:name w:val="Header Char"/>
    <w:basedOn w:val="DefaultParagraphFont"/>
    <w:link w:val="Header"/>
    <w:uiPriority w:val="99"/>
    <w:rsid w:val="006E606F"/>
    <w:rPr>
      <w:rFonts w:ascii="Times New Roman" w:hAnsi="Times New Roman" w:cs="Times New Roman"/>
      <w:sz w:val="24"/>
      <w:lang w:val="lt-LT"/>
    </w:rPr>
  </w:style>
  <w:style w:type="paragraph" w:styleId="Footer">
    <w:name w:val="footer"/>
    <w:basedOn w:val="Normal"/>
    <w:link w:val="FooterChar"/>
    <w:uiPriority w:val="99"/>
    <w:unhideWhenUsed/>
    <w:rsid w:val="006E606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E606F"/>
    <w:rPr>
      <w:rFonts w:ascii="Times New Roman" w:hAnsi="Times New Roman" w:cs="Times New Roman"/>
      <w:sz w:val="24"/>
      <w:lang w:val="lt-LT"/>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6E606F"/>
    <w:pPr>
      <w:tabs>
        <w:tab w:val="center" w:pos="7285"/>
        <w:tab w:val="right" w:pos="14003"/>
      </w:tabs>
      <w:spacing w:before="0"/>
    </w:pPr>
  </w:style>
  <w:style w:type="paragraph" w:customStyle="1" w:styleId="FooterLandscape">
    <w:name w:val="FooterLandscape"/>
    <w:basedOn w:val="Normal"/>
    <w:rsid w:val="006E606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6E606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E606F"/>
    <w:pPr>
      <w:spacing w:before="0"/>
      <w:jc w:val="right"/>
    </w:pPr>
    <w:rPr>
      <w:sz w:val="28"/>
    </w:rPr>
  </w:style>
  <w:style w:type="paragraph" w:customStyle="1" w:styleId="FooterSensitivity">
    <w:name w:val="Footer Sensitivity"/>
    <w:basedOn w:val="Normal"/>
    <w:rsid w:val="006E606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9"/>
      </w:numPr>
    </w:pPr>
  </w:style>
  <w:style w:type="paragraph" w:customStyle="1" w:styleId="Tiret1">
    <w:name w:val="Tiret 1"/>
    <w:basedOn w:val="Point1"/>
    <w:rsid w:val="00517205"/>
    <w:pPr>
      <w:numPr>
        <w:numId w:val="30"/>
      </w:numPr>
    </w:pPr>
  </w:style>
  <w:style w:type="paragraph" w:customStyle="1" w:styleId="Tiret2">
    <w:name w:val="Tiret 2"/>
    <w:basedOn w:val="Point2"/>
    <w:rsid w:val="00517205"/>
    <w:pPr>
      <w:numPr>
        <w:numId w:val="31"/>
      </w:numPr>
    </w:pPr>
  </w:style>
  <w:style w:type="paragraph" w:customStyle="1" w:styleId="Tiret3">
    <w:name w:val="Tiret 3"/>
    <w:basedOn w:val="Point3"/>
    <w:rsid w:val="00517205"/>
    <w:pPr>
      <w:numPr>
        <w:numId w:val="32"/>
      </w:numPr>
    </w:pPr>
  </w:style>
  <w:style w:type="paragraph" w:customStyle="1" w:styleId="Tiret4">
    <w:name w:val="Tiret 4"/>
    <w:basedOn w:val="Point4"/>
    <w:rsid w:val="00517205"/>
    <w:pPr>
      <w:numPr>
        <w:numId w:val="33"/>
      </w:numPr>
    </w:pPr>
  </w:style>
  <w:style w:type="paragraph" w:customStyle="1" w:styleId="Tiret5">
    <w:name w:val="Tiret 5"/>
    <w:basedOn w:val="Point5"/>
    <w:rsid w:val="00517205"/>
    <w:pPr>
      <w:numPr>
        <w:numId w:val="34"/>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5"/>
      </w:numPr>
    </w:pPr>
  </w:style>
  <w:style w:type="paragraph" w:customStyle="1" w:styleId="NumPar2">
    <w:name w:val="NumPar 2"/>
    <w:basedOn w:val="Normal"/>
    <w:next w:val="Text1"/>
    <w:rsid w:val="00517205"/>
    <w:pPr>
      <w:numPr>
        <w:ilvl w:val="1"/>
        <w:numId w:val="35"/>
      </w:numPr>
    </w:pPr>
  </w:style>
  <w:style w:type="paragraph" w:customStyle="1" w:styleId="NumPar3">
    <w:name w:val="NumPar 3"/>
    <w:basedOn w:val="Normal"/>
    <w:next w:val="Text1"/>
    <w:rsid w:val="00517205"/>
    <w:pPr>
      <w:numPr>
        <w:ilvl w:val="2"/>
        <w:numId w:val="35"/>
      </w:numPr>
    </w:pPr>
  </w:style>
  <w:style w:type="paragraph" w:customStyle="1" w:styleId="NumPar4">
    <w:name w:val="NumPar 4"/>
    <w:basedOn w:val="Normal"/>
    <w:next w:val="Text1"/>
    <w:rsid w:val="00517205"/>
    <w:pPr>
      <w:numPr>
        <w:ilvl w:val="3"/>
        <w:numId w:val="35"/>
      </w:numPr>
    </w:pPr>
  </w:style>
  <w:style w:type="paragraph" w:customStyle="1" w:styleId="NumPar5">
    <w:name w:val="NumPar 5"/>
    <w:basedOn w:val="Normal"/>
    <w:next w:val="Text2"/>
    <w:rsid w:val="00517205"/>
    <w:pPr>
      <w:numPr>
        <w:ilvl w:val="4"/>
        <w:numId w:val="35"/>
      </w:numPr>
    </w:pPr>
  </w:style>
  <w:style w:type="paragraph" w:customStyle="1" w:styleId="NumPar6">
    <w:name w:val="NumPar 6"/>
    <w:basedOn w:val="Normal"/>
    <w:next w:val="Text2"/>
    <w:rsid w:val="00517205"/>
    <w:pPr>
      <w:numPr>
        <w:ilvl w:val="5"/>
        <w:numId w:val="35"/>
      </w:numPr>
    </w:pPr>
  </w:style>
  <w:style w:type="paragraph" w:customStyle="1" w:styleId="NumPar7">
    <w:name w:val="NumPar 7"/>
    <w:basedOn w:val="Normal"/>
    <w:next w:val="Text2"/>
    <w:rsid w:val="00517205"/>
    <w:pPr>
      <w:numPr>
        <w:ilvl w:val="6"/>
        <w:numId w:val="35"/>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7"/>
      </w:numPr>
    </w:pPr>
  </w:style>
  <w:style w:type="paragraph" w:customStyle="1" w:styleId="Point1number">
    <w:name w:val="Point 1 (number)"/>
    <w:basedOn w:val="Normal"/>
    <w:rsid w:val="00517205"/>
    <w:pPr>
      <w:numPr>
        <w:ilvl w:val="2"/>
        <w:numId w:val="37"/>
      </w:numPr>
    </w:pPr>
  </w:style>
  <w:style w:type="paragraph" w:customStyle="1" w:styleId="Point2number">
    <w:name w:val="Point 2 (number)"/>
    <w:basedOn w:val="Normal"/>
    <w:rsid w:val="00517205"/>
    <w:pPr>
      <w:numPr>
        <w:ilvl w:val="4"/>
        <w:numId w:val="37"/>
      </w:numPr>
    </w:pPr>
  </w:style>
  <w:style w:type="paragraph" w:customStyle="1" w:styleId="Point3number">
    <w:name w:val="Point 3 (number)"/>
    <w:basedOn w:val="Normal"/>
    <w:rsid w:val="00517205"/>
    <w:pPr>
      <w:numPr>
        <w:ilvl w:val="6"/>
        <w:numId w:val="37"/>
      </w:numPr>
    </w:pPr>
  </w:style>
  <w:style w:type="paragraph" w:customStyle="1" w:styleId="Point0letter">
    <w:name w:val="Point 0 (letter)"/>
    <w:basedOn w:val="Normal"/>
    <w:rsid w:val="00517205"/>
    <w:pPr>
      <w:numPr>
        <w:ilvl w:val="1"/>
        <w:numId w:val="37"/>
      </w:numPr>
    </w:pPr>
  </w:style>
  <w:style w:type="paragraph" w:customStyle="1" w:styleId="Point1letter">
    <w:name w:val="Point 1 (letter)"/>
    <w:basedOn w:val="Normal"/>
    <w:rsid w:val="00517205"/>
    <w:pPr>
      <w:numPr>
        <w:ilvl w:val="3"/>
        <w:numId w:val="37"/>
      </w:numPr>
    </w:pPr>
  </w:style>
  <w:style w:type="paragraph" w:customStyle="1" w:styleId="Point2letter">
    <w:name w:val="Point 2 (letter)"/>
    <w:basedOn w:val="Normal"/>
    <w:rsid w:val="00517205"/>
    <w:pPr>
      <w:numPr>
        <w:ilvl w:val="5"/>
        <w:numId w:val="37"/>
      </w:numPr>
    </w:pPr>
  </w:style>
  <w:style w:type="paragraph" w:customStyle="1" w:styleId="Point3letter">
    <w:name w:val="Point 3 (letter)"/>
    <w:basedOn w:val="Normal"/>
    <w:rsid w:val="00517205"/>
    <w:pPr>
      <w:numPr>
        <w:ilvl w:val="7"/>
        <w:numId w:val="37"/>
      </w:numPr>
    </w:pPr>
  </w:style>
  <w:style w:type="paragraph" w:customStyle="1" w:styleId="Point4letter">
    <w:name w:val="Point 4 (letter)"/>
    <w:basedOn w:val="Normal"/>
    <w:rsid w:val="00517205"/>
    <w:pPr>
      <w:numPr>
        <w:ilvl w:val="8"/>
        <w:numId w:val="37"/>
      </w:numPr>
    </w:pPr>
  </w:style>
  <w:style w:type="paragraph" w:customStyle="1" w:styleId="Bullet0">
    <w:name w:val="Bullet 0"/>
    <w:basedOn w:val="Normal"/>
    <w:rsid w:val="00517205"/>
    <w:pPr>
      <w:numPr>
        <w:numId w:val="38"/>
      </w:numPr>
    </w:pPr>
  </w:style>
  <w:style w:type="paragraph" w:customStyle="1" w:styleId="Bullet1">
    <w:name w:val="Bullet 1"/>
    <w:basedOn w:val="Normal"/>
    <w:rsid w:val="00517205"/>
    <w:pPr>
      <w:numPr>
        <w:numId w:val="39"/>
      </w:numPr>
    </w:pPr>
  </w:style>
  <w:style w:type="paragraph" w:customStyle="1" w:styleId="Bullet2">
    <w:name w:val="Bullet 2"/>
    <w:basedOn w:val="Normal"/>
    <w:rsid w:val="00517205"/>
    <w:pPr>
      <w:numPr>
        <w:numId w:val="40"/>
      </w:numPr>
    </w:pPr>
  </w:style>
  <w:style w:type="paragraph" w:customStyle="1" w:styleId="Bullet3">
    <w:name w:val="Bullet 3"/>
    <w:basedOn w:val="Normal"/>
    <w:rsid w:val="00517205"/>
    <w:pPr>
      <w:numPr>
        <w:numId w:val="41"/>
      </w:numPr>
    </w:pPr>
  </w:style>
  <w:style w:type="paragraph" w:customStyle="1" w:styleId="Bullet4">
    <w:name w:val="Bullet 4"/>
    <w:basedOn w:val="Normal"/>
    <w:rsid w:val="00517205"/>
    <w:pPr>
      <w:numPr>
        <w:numId w:val="42"/>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3"/>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5198">
      <w:bodyDiv w:val="1"/>
      <w:marLeft w:val="0"/>
      <w:marRight w:val="0"/>
      <w:marTop w:val="0"/>
      <w:marBottom w:val="0"/>
      <w:divBdr>
        <w:top w:val="none" w:sz="0" w:space="0" w:color="auto"/>
        <w:left w:val="none" w:sz="0" w:space="0" w:color="auto"/>
        <w:bottom w:val="none" w:sz="0" w:space="0" w:color="auto"/>
        <w:right w:val="none" w:sz="0" w:space="0" w:color="auto"/>
      </w:divBdr>
    </w:div>
    <w:div w:id="46026945">
      <w:bodyDiv w:val="1"/>
      <w:marLeft w:val="0"/>
      <w:marRight w:val="0"/>
      <w:marTop w:val="0"/>
      <w:marBottom w:val="0"/>
      <w:divBdr>
        <w:top w:val="none" w:sz="0" w:space="0" w:color="auto"/>
        <w:left w:val="none" w:sz="0" w:space="0" w:color="auto"/>
        <w:bottom w:val="none" w:sz="0" w:space="0" w:color="auto"/>
        <w:right w:val="none" w:sz="0" w:space="0" w:color="auto"/>
      </w:divBdr>
      <w:divsChild>
        <w:div w:id="1910768907">
          <w:marLeft w:val="0"/>
          <w:marRight w:val="0"/>
          <w:marTop w:val="0"/>
          <w:marBottom w:val="0"/>
          <w:divBdr>
            <w:top w:val="none" w:sz="0" w:space="0" w:color="auto"/>
            <w:left w:val="none" w:sz="0" w:space="0" w:color="auto"/>
            <w:bottom w:val="none" w:sz="0" w:space="0" w:color="auto"/>
            <w:right w:val="none" w:sz="0" w:space="0" w:color="auto"/>
          </w:divBdr>
        </w:div>
      </w:divsChild>
    </w:div>
    <w:div w:id="102769352">
      <w:bodyDiv w:val="1"/>
      <w:marLeft w:val="0"/>
      <w:marRight w:val="0"/>
      <w:marTop w:val="0"/>
      <w:marBottom w:val="0"/>
      <w:divBdr>
        <w:top w:val="none" w:sz="0" w:space="0" w:color="auto"/>
        <w:left w:val="none" w:sz="0" w:space="0" w:color="auto"/>
        <w:bottom w:val="none" w:sz="0" w:space="0" w:color="auto"/>
        <w:right w:val="none" w:sz="0" w:space="0" w:color="auto"/>
      </w:divBdr>
    </w:div>
    <w:div w:id="109515952">
      <w:bodyDiv w:val="1"/>
      <w:marLeft w:val="0"/>
      <w:marRight w:val="0"/>
      <w:marTop w:val="0"/>
      <w:marBottom w:val="0"/>
      <w:divBdr>
        <w:top w:val="none" w:sz="0" w:space="0" w:color="auto"/>
        <w:left w:val="none" w:sz="0" w:space="0" w:color="auto"/>
        <w:bottom w:val="none" w:sz="0" w:space="0" w:color="auto"/>
        <w:right w:val="none" w:sz="0" w:space="0" w:color="auto"/>
      </w:divBdr>
    </w:div>
    <w:div w:id="254943782">
      <w:bodyDiv w:val="1"/>
      <w:marLeft w:val="0"/>
      <w:marRight w:val="0"/>
      <w:marTop w:val="0"/>
      <w:marBottom w:val="0"/>
      <w:divBdr>
        <w:top w:val="none" w:sz="0" w:space="0" w:color="auto"/>
        <w:left w:val="none" w:sz="0" w:space="0" w:color="auto"/>
        <w:bottom w:val="none" w:sz="0" w:space="0" w:color="auto"/>
        <w:right w:val="none" w:sz="0" w:space="0" w:color="auto"/>
      </w:divBdr>
    </w:div>
    <w:div w:id="336541489">
      <w:bodyDiv w:val="1"/>
      <w:marLeft w:val="0"/>
      <w:marRight w:val="0"/>
      <w:marTop w:val="0"/>
      <w:marBottom w:val="0"/>
      <w:divBdr>
        <w:top w:val="none" w:sz="0" w:space="0" w:color="auto"/>
        <w:left w:val="none" w:sz="0" w:space="0" w:color="auto"/>
        <w:bottom w:val="none" w:sz="0" w:space="0" w:color="auto"/>
        <w:right w:val="none" w:sz="0" w:space="0" w:color="auto"/>
      </w:divBdr>
    </w:div>
    <w:div w:id="342440935">
      <w:bodyDiv w:val="1"/>
      <w:marLeft w:val="0"/>
      <w:marRight w:val="0"/>
      <w:marTop w:val="0"/>
      <w:marBottom w:val="0"/>
      <w:divBdr>
        <w:top w:val="none" w:sz="0" w:space="0" w:color="auto"/>
        <w:left w:val="none" w:sz="0" w:space="0" w:color="auto"/>
        <w:bottom w:val="none" w:sz="0" w:space="0" w:color="auto"/>
        <w:right w:val="none" w:sz="0" w:space="0" w:color="auto"/>
      </w:divBdr>
    </w:div>
    <w:div w:id="413014906">
      <w:bodyDiv w:val="1"/>
      <w:marLeft w:val="0"/>
      <w:marRight w:val="0"/>
      <w:marTop w:val="0"/>
      <w:marBottom w:val="0"/>
      <w:divBdr>
        <w:top w:val="none" w:sz="0" w:space="0" w:color="auto"/>
        <w:left w:val="none" w:sz="0" w:space="0" w:color="auto"/>
        <w:bottom w:val="none" w:sz="0" w:space="0" w:color="auto"/>
        <w:right w:val="none" w:sz="0" w:space="0" w:color="auto"/>
      </w:divBdr>
    </w:div>
    <w:div w:id="674068602">
      <w:bodyDiv w:val="1"/>
      <w:marLeft w:val="0"/>
      <w:marRight w:val="0"/>
      <w:marTop w:val="0"/>
      <w:marBottom w:val="0"/>
      <w:divBdr>
        <w:top w:val="none" w:sz="0" w:space="0" w:color="auto"/>
        <w:left w:val="none" w:sz="0" w:space="0" w:color="auto"/>
        <w:bottom w:val="none" w:sz="0" w:space="0" w:color="auto"/>
        <w:right w:val="none" w:sz="0" w:space="0" w:color="auto"/>
      </w:divBdr>
    </w:div>
    <w:div w:id="790831165">
      <w:bodyDiv w:val="1"/>
      <w:marLeft w:val="0"/>
      <w:marRight w:val="0"/>
      <w:marTop w:val="0"/>
      <w:marBottom w:val="0"/>
      <w:divBdr>
        <w:top w:val="none" w:sz="0" w:space="0" w:color="auto"/>
        <w:left w:val="none" w:sz="0" w:space="0" w:color="auto"/>
        <w:bottom w:val="none" w:sz="0" w:space="0" w:color="auto"/>
        <w:right w:val="none" w:sz="0" w:space="0" w:color="auto"/>
      </w:divBdr>
    </w:div>
    <w:div w:id="792333122">
      <w:bodyDiv w:val="1"/>
      <w:marLeft w:val="0"/>
      <w:marRight w:val="0"/>
      <w:marTop w:val="0"/>
      <w:marBottom w:val="0"/>
      <w:divBdr>
        <w:top w:val="none" w:sz="0" w:space="0" w:color="auto"/>
        <w:left w:val="none" w:sz="0" w:space="0" w:color="auto"/>
        <w:bottom w:val="none" w:sz="0" w:space="0" w:color="auto"/>
        <w:right w:val="none" w:sz="0" w:space="0" w:color="auto"/>
      </w:divBdr>
    </w:div>
    <w:div w:id="802888683">
      <w:bodyDiv w:val="1"/>
      <w:marLeft w:val="0"/>
      <w:marRight w:val="0"/>
      <w:marTop w:val="0"/>
      <w:marBottom w:val="0"/>
      <w:divBdr>
        <w:top w:val="none" w:sz="0" w:space="0" w:color="auto"/>
        <w:left w:val="none" w:sz="0" w:space="0" w:color="auto"/>
        <w:bottom w:val="none" w:sz="0" w:space="0" w:color="auto"/>
        <w:right w:val="none" w:sz="0" w:space="0" w:color="auto"/>
      </w:divBdr>
    </w:div>
    <w:div w:id="840584757">
      <w:bodyDiv w:val="1"/>
      <w:marLeft w:val="0"/>
      <w:marRight w:val="0"/>
      <w:marTop w:val="0"/>
      <w:marBottom w:val="0"/>
      <w:divBdr>
        <w:top w:val="none" w:sz="0" w:space="0" w:color="auto"/>
        <w:left w:val="none" w:sz="0" w:space="0" w:color="auto"/>
        <w:bottom w:val="none" w:sz="0" w:space="0" w:color="auto"/>
        <w:right w:val="none" w:sz="0" w:space="0" w:color="auto"/>
      </w:divBdr>
    </w:div>
    <w:div w:id="1020399835">
      <w:bodyDiv w:val="1"/>
      <w:marLeft w:val="0"/>
      <w:marRight w:val="0"/>
      <w:marTop w:val="0"/>
      <w:marBottom w:val="0"/>
      <w:divBdr>
        <w:top w:val="none" w:sz="0" w:space="0" w:color="auto"/>
        <w:left w:val="none" w:sz="0" w:space="0" w:color="auto"/>
        <w:bottom w:val="none" w:sz="0" w:space="0" w:color="auto"/>
        <w:right w:val="none" w:sz="0" w:space="0" w:color="auto"/>
      </w:divBdr>
    </w:div>
    <w:div w:id="1036199854">
      <w:bodyDiv w:val="1"/>
      <w:marLeft w:val="0"/>
      <w:marRight w:val="0"/>
      <w:marTop w:val="0"/>
      <w:marBottom w:val="0"/>
      <w:divBdr>
        <w:top w:val="none" w:sz="0" w:space="0" w:color="auto"/>
        <w:left w:val="none" w:sz="0" w:space="0" w:color="auto"/>
        <w:bottom w:val="none" w:sz="0" w:space="0" w:color="auto"/>
        <w:right w:val="none" w:sz="0" w:space="0" w:color="auto"/>
      </w:divBdr>
    </w:div>
    <w:div w:id="1058164167">
      <w:bodyDiv w:val="1"/>
      <w:marLeft w:val="0"/>
      <w:marRight w:val="0"/>
      <w:marTop w:val="0"/>
      <w:marBottom w:val="0"/>
      <w:divBdr>
        <w:top w:val="none" w:sz="0" w:space="0" w:color="auto"/>
        <w:left w:val="none" w:sz="0" w:space="0" w:color="auto"/>
        <w:bottom w:val="none" w:sz="0" w:space="0" w:color="auto"/>
        <w:right w:val="none" w:sz="0" w:space="0" w:color="auto"/>
      </w:divBdr>
    </w:div>
    <w:div w:id="1175729724">
      <w:bodyDiv w:val="1"/>
      <w:marLeft w:val="0"/>
      <w:marRight w:val="0"/>
      <w:marTop w:val="0"/>
      <w:marBottom w:val="0"/>
      <w:divBdr>
        <w:top w:val="none" w:sz="0" w:space="0" w:color="auto"/>
        <w:left w:val="none" w:sz="0" w:space="0" w:color="auto"/>
        <w:bottom w:val="none" w:sz="0" w:space="0" w:color="auto"/>
        <w:right w:val="none" w:sz="0" w:space="0" w:color="auto"/>
      </w:divBdr>
    </w:div>
    <w:div w:id="1251161004">
      <w:bodyDiv w:val="1"/>
      <w:marLeft w:val="0"/>
      <w:marRight w:val="0"/>
      <w:marTop w:val="0"/>
      <w:marBottom w:val="0"/>
      <w:divBdr>
        <w:top w:val="none" w:sz="0" w:space="0" w:color="auto"/>
        <w:left w:val="none" w:sz="0" w:space="0" w:color="auto"/>
        <w:bottom w:val="none" w:sz="0" w:space="0" w:color="auto"/>
        <w:right w:val="none" w:sz="0" w:space="0" w:color="auto"/>
      </w:divBdr>
    </w:div>
    <w:div w:id="1256859194">
      <w:bodyDiv w:val="1"/>
      <w:marLeft w:val="0"/>
      <w:marRight w:val="0"/>
      <w:marTop w:val="0"/>
      <w:marBottom w:val="0"/>
      <w:divBdr>
        <w:top w:val="none" w:sz="0" w:space="0" w:color="auto"/>
        <w:left w:val="none" w:sz="0" w:space="0" w:color="auto"/>
        <w:bottom w:val="none" w:sz="0" w:space="0" w:color="auto"/>
        <w:right w:val="none" w:sz="0" w:space="0" w:color="auto"/>
      </w:divBdr>
    </w:div>
    <w:div w:id="1294874134">
      <w:bodyDiv w:val="1"/>
      <w:marLeft w:val="0"/>
      <w:marRight w:val="0"/>
      <w:marTop w:val="0"/>
      <w:marBottom w:val="0"/>
      <w:divBdr>
        <w:top w:val="none" w:sz="0" w:space="0" w:color="auto"/>
        <w:left w:val="none" w:sz="0" w:space="0" w:color="auto"/>
        <w:bottom w:val="none" w:sz="0" w:space="0" w:color="auto"/>
        <w:right w:val="none" w:sz="0" w:space="0" w:color="auto"/>
      </w:divBdr>
    </w:div>
    <w:div w:id="1575777495">
      <w:bodyDiv w:val="1"/>
      <w:marLeft w:val="0"/>
      <w:marRight w:val="0"/>
      <w:marTop w:val="0"/>
      <w:marBottom w:val="0"/>
      <w:divBdr>
        <w:top w:val="none" w:sz="0" w:space="0" w:color="auto"/>
        <w:left w:val="none" w:sz="0" w:space="0" w:color="auto"/>
        <w:bottom w:val="none" w:sz="0" w:space="0" w:color="auto"/>
        <w:right w:val="none" w:sz="0" w:space="0" w:color="auto"/>
      </w:divBdr>
    </w:div>
    <w:div w:id="1599096399">
      <w:bodyDiv w:val="1"/>
      <w:marLeft w:val="0"/>
      <w:marRight w:val="0"/>
      <w:marTop w:val="0"/>
      <w:marBottom w:val="0"/>
      <w:divBdr>
        <w:top w:val="none" w:sz="0" w:space="0" w:color="auto"/>
        <w:left w:val="none" w:sz="0" w:space="0" w:color="auto"/>
        <w:bottom w:val="none" w:sz="0" w:space="0" w:color="auto"/>
        <w:right w:val="none" w:sz="0" w:space="0" w:color="auto"/>
      </w:divBdr>
    </w:div>
    <w:div w:id="1948852339">
      <w:bodyDiv w:val="1"/>
      <w:marLeft w:val="0"/>
      <w:marRight w:val="0"/>
      <w:marTop w:val="0"/>
      <w:marBottom w:val="0"/>
      <w:divBdr>
        <w:top w:val="none" w:sz="0" w:space="0" w:color="auto"/>
        <w:left w:val="none" w:sz="0" w:space="0" w:color="auto"/>
        <w:bottom w:val="none" w:sz="0" w:space="0" w:color="auto"/>
        <w:right w:val="none" w:sz="0" w:space="0" w:color="auto"/>
      </w:divBdr>
    </w:div>
    <w:div w:id="1983999061">
      <w:bodyDiv w:val="1"/>
      <w:marLeft w:val="0"/>
      <w:marRight w:val="0"/>
      <w:marTop w:val="0"/>
      <w:marBottom w:val="0"/>
      <w:divBdr>
        <w:top w:val="none" w:sz="0" w:space="0" w:color="auto"/>
        <w:left w:val="none" w:sz="0" w:space="0" w:color="auto"/>
        <w:bottom w:val="none" w:sz="0" w:space="0" w:color="auto"/>
        <w:right w:val="none" w:sz="0" w:space="0" w:color="auto"/>
      </w:divBdr>
    </w:div>
    <w:div w:id="2069644947">
      <w:bodyDiv w:val="1"/>
      <w:marLeft w:val="0"/>
      <w:marRight w:val="0"/>
      <w:marTop w:val="0"/>
      <w:marBottom w:val="0"/>
      <w:divBdr>
        <w:top w:val="none" w:sz="0" w:space="0" w:color="auto"/>
        <w:left w:val="none" w:sz="0" w:space="0" w:color="auto"/>
        <w:bottom w:val="none" w:sz="0" w:space="0" w:color="auto"/>
        <w:right w:val="none" w:sz="0" w:space="0" w:color="auto"/>
      </w:divBdr>
    </w:div>
    <w:div w:id="2075930473">
      <w:bodyDiv w:val="1"/>
      <w:marLeft w:val="0"/>
      <w:marRight w:val="0"/>
      <w:marTop w:val="0"/>
      <w:marBottom w:val="0"/>
      <w:divBdr>
        <w:top w:val="none" w:sz="0" w:space="0" w:color="auto"/>
        <w:left w:val="none" w:sz="0" w:space="0" w:color="auto"/>
        <w:bottom w:val="none" w:sz="0" w:space="0" w:color="auto"/>
        <w:right w:val="none" w:sz="0" w:space="0" w:color="auto"/>
      </w:divBdr>
    </w:div>
    <w:div w:id="21470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9934AA0B36B1384886ADB3E40549A2B0" ma:contentTypeVersion="0" ma:contentTypeDescription="Create a new document in this library." ma:contentTypeScope="" ma:versionID="2ccea2f6a9419b2cc6372d603c4d829b">
  <xsd:schema xmlns:xsd="http://www.w3.org/2001/XMLSchema" xmlns:xs="http://www.w3.org/2001/XMLSchema" xmlns:p="http://schemas.microsoft.com/office/2006/metadata/properties" xmlns:ns2="http://schemas.microsoft.com/sharepoint/v3/fields" xmlns:ns3="62e97ea9-7ea3-481f-81a3-2d45a5a9b393" targetNamespace="http://schemas.microsoft.com/office/2006/metadata/properties" ma:root="true" ma:fieldsID="e99a88584d72bb20f25083a2210d0d03" ns2:_="" ns3:_="">
    <xsd:import namespace="http://schemas.microsoft.com/sharepoint/v3/fields"/>
    <xsd:import namespace="62e97ea9-7ea3-481f-81a3-2d45a5a9b393"/>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2e97ea9-7ea3-481f-81a3-2d45a5a9b39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62e97ea9-7ea3-481f-81a3-2d45a5a9b393">Not Started</EC_Collab_Status>
    <EC_Collab_DocumentLanguage xmlns="62e97ea9-7ea3-481f-81a3-2d45a5a9b393">EN</EC_Collab_DocumentLanguage>
    <EC_Collab_Reference xmlns="62e97ea9-7ea3-481f-81a3-2d45a5a9b393"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CE3FE85-EE68-4FCA-AD13-79181A2C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2e97ea9-7ea3-481f-81a3-2d45a5a9b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58C45-29C4-4014-94DF-4206643B6015}">
  <ds:schemaRefs>
    <ds:schemaRef ds:uri="http://schemas.microsoft.com/sharepoint/v3/contenttype/forms"/>
  </ds:schemaRefs>
</ds:datastoreItem>
</file>

<file path=customXml/itemProps3.xml><?xml version="1.0" encoding="utf-8"?>
<ds:datastoreItem xmlns:ds="http://schemas.openxmlformats.org/officeDocument/2006/customXml" ds:itemID="{05716F78-C311-4872-8C4A-C603A696F179}">
  <ds:schemaRefs>
    <ds:schemaRef ds:uri="62e97ea9-7ea3-481f-81a3-2d45a5a9b39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FD7B1C7-B7FF-4377-B412-68A8AAD7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26</TotalTime>
  <Pages>23</Pages>
  <Words>3975</Words>
  <Characters>27351</Characters>
  <Application>Microsoft Office Word</Application>
  <DocSecurity>0</DocSecurity>
  <Lines>1367</Lines>
  <Paragraphs>489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46</cp:revision>
  <dcterms:created xsi:type="dcterms:W3CDTF">2022-03-23T07:24:00Z</dcterms:created>
  <dcterms:modified xsi:type="dcterms:W3CDTF">2022-03-31T10:40:00Z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8.0, Build 20220128</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0x010100258AA79CEB83498886A3A08681123250009934AA0B36B1384886ADB3E40549A2B0</vt:lpwstr>
  </property>
  <property fmtid="{D5CDD505-2E9C-101B-9397-08002B2CF9AE}" pid="11" name="DQCStatus">
    <vt:lpwstr>Green (DQC version 03)</vt:lpwstr>
  </property>
  <property name="OP_sanitized" fmtid="{D5CDD505-2E9C-101B-9397-08002B2CF9AE}" pid="12">
    <vt:lpwstr>True</vt:lpwstr>
  </property>
</Properties>
</file>