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241B5" w14:textId="5EB7BA33" w:rsidR="001D7DF8" w:rsidRPr="00355231" w:rsidRDefault="00BF1E30" w:rsidP="00BF1E30">
      <w:pPr>
        <w:pStyle w:val="Pagedecouverture"/>
        <w:rPr>
          <w:noProof/>
        </w:rPr>
      </w:pPr>
      <w:r>
        <w:rPr>
          <w:noProof/>
        </w:rPr>
        <w:pict w14:anchorId="7BB97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851444F-7066-440E-9FDD-BA32FA10486A" style="width:455.25pt;height:369.75pt">
            <v:imagedata r:id="rId8" o:title=""/>
          </v:shape>
        </w:pict>
      </w:r>
    </w:p>
    <w:p w14:paraId="00EF867D" w14:textId="77777777" w:rsidR="001D7DF8" w:rsidRPr="00355231" w:rsidRDefault="001D7DF8" w:rsidP="001D7DF8">
      <w:pPr>
        <w:rPr>
          <w:noProof/>
        </w:rPr>
        <w:sectPr w:rsidR="001D7DF8" w:rsidRPr="00355231" w:rsidSect="00BF1E3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000712B3" w14:textId="77777777" w:rsidR="001D7DF8" w:rsidRPr="00355231" w:rsidRDefault="001D7DF8" w:rsidP="00BB6B30">
      <w:pPr>
        <w:pStyle w:val="Exposdesmotifstitre"/>
        <w:rPr>
          <w:noProof/>
        </w:rPr>
      </w:pPr>
      <w:bookmarkStart w:id="0" w:name="_GoBack"/>
      <w:bookmarkEnd w:id="0"/>
      <w:r w:rsidRPr="00355231">
        <w:rPr>
          <w:noProof/>
        </w:rPr>
        <w:lastRenderedPageBreak/>
        <w:t>AIŠKINAMASIS MEMORANDUMAS</w:t>
      </w:r>
    </w:p>
    <w:p w14:paraId="2A6513BA" w14:textId="77777777" w:rsidR="001D7DF8" w:rsidRPr="00355231" w:rsidRDefault="001D7DF8" w:rsidP="00BB6B30">
      <w:pPr>
        <w:pStyle w:val="ManualHeading1"/>
        <w:rPr>
          <w:noProof/>
        </w:rPr>
      </w:pPr>
      <w:r w:rsidRPr="00355231">
        <w:rPr>
          <w:noProof/>
        </w:rPr>
        <w:t>1.</w:t>
      </w:r>
      <w:r w:rsidRPr="00355231">
        <w:rPr>
          <w:noProof/>
        </w:rPr>
        <w:tab/>
        <w:t>PASIŪLYMO APLINKYBĖS</w:t>
      </w:r>
    </w:p>
    <w:p w14:paraId="02B29C7A" w14:textId="77777777" w:rsidR="001D7DF8" w:rsidRPr="00355231" w:rsidRDefault="001D7DF8" w:rsidP="00044058">
      <w:pPr>
        <w:pStyle w:val="ManualHeading2"/>
        <w:rPr>
          <w:rFonts w:eastAsia="Arial Unicode MS"/>
          <w:noProof/>
        </w:rPr>
      </w:pPr>
      <w:r w:rsidRPr="00355231">
        <w:rPr>
          <w:noProof/>
          <w:color w:val="000000"/>
          <w:u w:color="000000"/>
          <w:bdr w:val="nil"/>
        </w:rPr>
        <w:t>•</w:t>
      </w:r>
      <w:r w:rsidRPr="00355231">
        <w:rPr>
          <w:noProof/>
        </w:rPr>
        <w:tab/>
        <w:t>Pasiūlymo pagrindimas ir tikslai</w:t>
      </w:r>
    </w:p>
    <w:p w14:paraId="1929AFC7" w14:textId="2362B4AD" w:rsidR="0057259D" w:rsidRPr="00355231" w:rsidRDefault="0057259D" w:rsidP="0057259D">
      <w:pPr>
        <w:rPr>
          <w:noProof/>
        </w:rPr>
      </w:pPr>
      <w:r w:rsidRPr="00355231">
        <w:rPr>
          <w:noProof/>
        </w:rPr>
        <w:t xml:space="preserve">Pagrindinis pasiūlymo tikslas – Sąjungos teisėje įgyvendinti 2021 m. rugsėjo mėn. Žvejybos šiaurės vakarų Atlante organizacijos (NAFO) metiniame susitikime priimtus išsaugojimo ir vykdymo užtikrinimo priemonių pakeitimus. Į pasiūlymą taip pat įtraukti NAFO priimti redakcinio pobūdžio patobulinimai, o formuluotės pritaikomos pagal teisinį ES kontekstą. NAFO yra regioninė žvejybos valdymo organizacija, atsakinga už žvejybos išteklių valdymą jos kompetencijai priklausančioje šiaurės vakarų Atlanto dalyje. NAFO išsaugojimo ir valdymo priemonės taikomos išimtinai NAFO reguliuojamame rajone (t. y. atvirojoje jūroje), kuris apibrėžiamas kaip rajonas, esantis už pakrantės valstybių žvejybos jurisdikcijai priklausančių rajonų. ES yra NAFO susitariančioji šalis nuo 1979 m. </w:t>
      </w:r>
    </w:p>
    <w:p w14:paraId="6F493102" w14:textId="657B64E9" w:rsidR="0057259D" w:rsidRPr="00355231" w:rsidRDefault="0057259D" w:rsidP="0057259D">
      <w:pPr>
        <w:rPr>
          <w:rFonts w:eastAsia="Arial Unicode MS"/>
          <w:noProof/>
        </w:rPr>
      </w:pPr>
      <w:r w:rsidRPr="00355231">
        <w:rPr>
          <w:noProof/>
        </w:rPr>
        <w:t xml:space="preserve">NAFO konvencijoje teigiama, kad NAFO komisijos priimtos išsaugojimo priemonės yra privalomos (XIV straipsnis, VI straipsnio 8 ir 9 dalys) ir kad iš susitariančiųjų šalių reikalaujama jas įgyvendinti. </w:t>
      </w:r>
    </w:p>
    <w:p w14:paraId="5EEAB896" w14:textId="5ECB3473" w:rsidR="0057259D" w:rsidRPr="00355231" w:rsidRDefault="0057259D" w:rsidP="0057259D">
      <w:pPr>
        <w:rPr>
          <w:rFonts w:eastAsia="Arial Unicode MS"/>
          <w:noProof/>
        </w:rPr>
      </w:pPr>
      <w:r w:rsidRPr="00355231">
        <w:rPr>
          <w:noProof/>
        </w:rPr>
        <w:t>Sąjungos teisėje NAFO išsaugojimo ir vykdymo užtikrinimo priemonės įgyvendintos Reglamentu (ES) 2019/833. Šis pasiūlymas apima 2021 m. rugsėjo mėn. metiniame susitikime NAFO priimtus pakeitimus. Tie pakeitimai įsigaliojo 2021 m. gruodžio 2 d. ir taikomi nuo tos dienos.</w:t>
      </w:r>
    </w:p>
    <w:p w14:paraId="6DB84548" w14:textId="77777777" w:rsidR="001D7DF8" w:rsidRPr="00355231" w:rsidRDefault="0057259D" w:rsidP="00FA7C1C">
      <w:pPr>
        <w:pStyle w:val="ManualHeading2"/>
        <w:rPr>
          <w:rFonts w:eastAsia="Arial Unicode MS"/>
          <w:noProof/>
          <w:color w:val="000000"/>
          <w:u w:color="000000"/>
          <w:bdr w:val="nil"/>
        </w:rPr>
      </w:pPr>
      <w:r w:rsidRPr="00355231">
        <w:rPr>
          <w:noProof/>
          <w:color w:val="000000"/>
          <w:u w:color="000000"/>
          <w:bdr w:val="nil"/>
        </w:rPr>
        <w:t xml:space="preserve"> •</w:t>
      </w:r>
      <w:r w:rsidRPr="00355231">
        <w:rPr>
          <w:noProof/>
        </w:rPr>
        <w:tab/>
      </w:r>
      <w:r w:rsidRPr="00355231">
        <w:rPr>
          <w:noProof/>
          <w:color w:val="000000"/>
          <w:u w:color="000000"/>
          <w:bdr w:val="nil"/>
        </w:rPr>
        <w:t>Suderinamumas su toje pačioje politikos srityje galiojančiomis nuostatomis</w:t>
      </w:r>
    </w:p>
    <w:p w14:paraId="5146BF7C" w14:textId="77777777" w:rsidR="0057259D" w:rsidRPr="00355231" w:rsidRDefault="0057259D" w:rsidP="0057259D">
      <w:pPr>
        <w:rPr>
          <w:rFonts w:eastAsia="Arial Unicode MS"/>
          <w:noProof/>
        </w:rPr>
      </w:pPr>
      <w:r w:rsidRPr="00355231">
        <w:rPr>
          <w:noProof/>
        </w:rPr>
        <w:t xml:space="preserve">Pasiūlymas suderintas su Reglamentu (ES) 2019/833. </w:t>
      </w:r>
    </w:p>
    <w:p w14:paraId="222CDA48" w14:textId="3EB692D1" w:rsidR="0057259D" w:rsidRPr="00355231" w:rsidRDefault="0057259D" w:rsidP="0057259D">
      <w:pPr>
        <w:pBdr>
          <w:top w:val="nil"/>
          <w:left w:val="nil"/>
          <w:bottom w:val="nil"/>
          <w:right w:val="nil"/>
          <w:between w:val="nil"/>
          <w:bar w:val="nil"/>
        </w:pBdr>
        <w:spacing w:before="0" w:after="240"/>
        <w:rPr>
          <w:rFonts w:eastAsia="Arial Unicode MS"/>
          <w:noProof/>
        </w:rPr>
      </w:pPr>
      <w:r w:rsidRPr="00355231">
        <w:rPr>
          <w:noProof/>
        </w:rPr>
        <w:t>Jis atitinka Reglamento (ES) Nr. 1380/2013 dėl bendros žuvininkystės politikos VI dalį (išorės politika), kurioje numatyta, kad Sąjunga savo išorės žvejybą vykdo laikydamasi tarptautinių įsipareigojimų, t. y. savo žvejybos veiklą grindžia regioniniu šios srities bendradarbiavimu.</w:t>
      </w:r>
    </w:p>
    <w:p w14:paraId="2DBEB4A7" w14:textId="77777777" w:rsidR="0057259D" w:rsidRPr="00355231" w:rsidRDefault="0057259D" w:rsidP="0057259D">
      <w:pPr>
        <w:pBdr>
          <w:top w:val="nil"/>
          <w:left w:val="nil"/>
          <w:bottom w:val="nil"/>
          <w:right w:val="nil"/>
          <w:between w:val="nil"/>
          <w:bar w:val="nil"/>
        </w:pBdr>
        <w:spacing w:before="0" w:after="240"/>
        <w:rPr>
          <w:rFonts w:eastAsia="Arial Unicode MS"/>
          <w:noProof/>
        </w:rPr>
      </w:pPr>
      <w:r w:rsidRPr="00355231">
        <w:rPr>
          <w:noProof/>
        </w:rPr>
        <w:t>Pasiūlymas papildo Reglamentą (ES) 2017/2403 dėl išorės laivynų valdymo, kuriame numatyta, kad Sąjungos žvejybos laivai privalo turėti regioninių žvejybos valdymo organizacijų leidimus, ir Tarybos reglamentą (EB) Nr. 1005/2008 dėl neteisėtos, nedeklaruojamos ir nereglamentuojamos (NNN) žvejybos, kuriame numatoma NAFO NNN žvejybą vykdančių laivų sąraše esančius laivus įtraukti į ES NNN žvejybą vykdančių laivų sąrašą.</w:t>
      </w:r>
    </w:p>
    <w:p w14:paraId="082542DD" w14:textId="5117362B" w:rsidR="001D7DF8" w:rsidRPr="00355231" w:rsidRDefault="0057259D" w:rsidP="0057259D">
      <w:pPr>
        <w:pBdr>
          <w:top w:val="nil"/>
          <w:left w:val="nil"/>
          <w:bottom w:val="nil"/>
          <w:right w:val="nil"/>
          <w:between w:val="nil"/>
          <w:bar w:val="nil"/>
        </w:pBdr>
        <w:spacing w:before="0" w:after="240"/>
        <w:rPr>
          <w:rFonts w:eastAsia="Arial Unicode MS"/>
          <w:noProof/>
        </w:rPr>
      </w:pPr>
      <w:r w:rsidRPr="00355231">
        <w:rPr>
          <w:noProof/>
        </w:rPr>
        <w:t xml:space="preserve">Šis pasiūlymas neapima žvejybos galimybių, kurios Sąjungai skiriamos NAFO sprendimu. Remiantis Sutarties dėl Europos Sąjungos veikimo (SESV) 43 straipsnio 3 dalimi, Taryba turi išimtinę teisę priimti priemones dėl kainų, rinkliavų, pagalbos ir kiekybinių apribojimų nustatymo bei žvejybos galimybių nustatymo ir skyrimo. </w:t>
      </w:r>
    </w:p>
    <w:p w14:paraId="1882C3BF" w14:textId="77777777" w:rsidR="001D7DF8" w:rsidRPr="00355231" w:rsidRDefault="001D7DF8" w:rsidP="00A4693B">
      <w:pPr>
        <w:pStyle w:val="ManualHeading2"/>
        <w:rPr>
          <w:rFonts w:eastAsia="Arial Unicode MS"/>
          <w:noProof/>
        </w:rPr>
      </w:pPr>
      <w:r w:rsidRPr="00355231">
        <w:rPr>
          <w:noProof/>
          <w:color w:val="000000"/>
          <w:u w:color="000000"/>
          <w:bdr w:val="nil"/>
        </w:rPr>
        <w:t>•</w:t>
      </w:r>
      <w:r w:rsidRPr="00355231">
        <w:rPr>
          <w:noProof/>
        </w:rPr>
        <w:tab/>
        <w:t>Suderinamumas su kitomis Sąjungos politikos sritimis</w:t>
      </w:r>
    </w:p>
    <w:p w14:paraId="6B9C3759" w14:textId="77777777" w:rsidR="0057259D" w:rsidRPr="00355231" w:rsidRDefault="0057259D" w:rsidP="0057259D">
      <w:pPr>
        <w:pBdr>
          <w:top w:val="nil"/>
          <w:left w:val="nil"/>
          <w:bottom w:val="nil"/>
          <w:right w:val="nil"/>
          <w:between w:val="nil"/>
          <w:bar w:val="nil"/>
        </w:pBdr>
        <w:spacing w:before="0" w:after="240"/>
        <w:rPr>
          <w:rFonts w:eastAsia="Arial Unicode MS"/>
          <w:noProof/>
          <w:szCs w:val="24"/>
        </w:rPr>
      </w:pPr>
      <w:r w:rsidRPr="00355231">
        <w:rPr>
          <w:noProof/>
        </w:rPr>
        <w:t xml:space="preserve">Pasiūlymas suderintas su kitomis Sąjungos politikos sritimis. </w:t>
      </w:r>
    </w:p>
    <w:p w14:paraId="63043DAD" w14:textId="77777777" w:rsidR="001D7DF8" w:rsidRPr="00355231" w:rsidRDefault="0057259D" w:rsidP="0029266A">
      <w:pPr>
        <w:pBdr>
          <w:top w:val="nil"/>
          <w:left w:val="nil"/>
          <w:bottom w:val="nil"/>
          <w:right w:val="nil"/>
          <w:between w:val="nil"/>
          <w:bar w:val="nil"/>
        </w:pBdr>
        <w:spacing w:before="0" w:after="240"/>
        <w:rPr>
          <w:rFonts w:eastAsia="Arial Unicode MS"/>
          <w:noProof/>
        </w:rPr>
      </w:pPr>
      <w:r w:rsidRPr="00355231">
        <w:rPr>
          <w:noProof/>
        </w:rPr>
        <w:t xml:space="preserve"> </w:t>
      </w:r>
    </w:p>
    <w:p w14:paraId="34BF08DD" w14:textId="77777777" w:rsidR="001D7DF8" w:rsidRPr="00355231" w:rsidRDefault="001D7DF8" w:rsidP="00550536">
      <w:pPr>
        <w:pStyle w:val="ManualHeading1"/>
        <w:rPr>
          <w:noProof/>
        </w:rPr>
      </w:pPr>
      <w:r w:rsidRPr="00355231">
        <w:rPr>
          <w:noProof/>
        </w:rPr>
        <w:t>2.</w:t>
      </w:r>
      <w:r w:rsidRPr="00355231">
        <w:rPr>
          <w:noProof/>
        </w:rPr>
        <w:tab/>
        <w:t>TEISINIS PAGRINDAS, SUBSIDIARUMO IR PROPORCINGUMO PRINCIPAI</w:t>
      </w:r>
    </w:p>
    <w:p w14:paraId="1FC3D928" w14:textId="77777777" w:rsidR="001D7DF8" w:rsidRPr="00355231" w:rsidRDefault="001D7DF8" w:rsidP="00A4693B">
      <w:pPr>
        <w:pStyle w:val="ManualHeading2"/>
        <w:rPr>
          <w:rFonts w:eastAsia="Arial Unicode MS"/>
          <w:noProof/>
          <w:u w:color="000000"/>
          <w:bdr w:val="nil"/>
        </w:rPr>
      </w:pPr>
      <w:r w:rsidRPr="00355231">
        <w:rPr>
          <w:noProof/>
          <w:u w:color="000000"/>
          <w:bdr w:val="nil"/>
        </w:rPr>
        <w:t>•</w:t>
      </w:r>
      <w:r w:rsidRPr="00355231">
        <w:rPr>
          <w:noProof/>
        </w:rPr>
        <w:tab/>
      </w:r>
      <w:r w:rsidRPr="00355231">
        <w:rPr>
          <w:noProof/>
          <w:u w:color="000000"/>
          <w:bdr w:val="nil"/>
        </w:rPr>
        <w:t>Teisinis pagrindas</w:t>
      </w:r>
    </w:p>
    <w:p w14:paraId="376EA953" w14:textId="77777777" w:rsidR="0057259D" w:rsidRPr="00355231" w:rsidRDefault="0057259D" w:rsidP="0057259D">
      <w:pPr>
        <w:pBdr>
          <w:top w:val="nil"/>
          <w:left w:val="nil"/>
          <w:bottom w:val="nil"/>
          <w:right w:val="nil"/>
          <w:between w:val="nil"/>
          <w:bar w:val="nil"/>
        </w:pBdr>
        <w:spacing w:before="0" w:after="240"/>
        <w:rPr>
          <w:rFonts w:eastAsia="Arial Unicode MS"/>
          <w:noProof/>
          <w:szCs w:val="24"/>
        </w:rPr>
      </w:pPr>
      <w:r w:rsidRPr="00355231">
        <w:rPr>
          <w:noProof/>
        </w:rPr>
        <w:t>Pasiūlymas yra grindžiamas SESV 43 straipsnio 2 dalimi, kadangi jame išdėstomos nuostatos, kurių reikia bendros žuvininkystės politikos tikslams pasiekti.</w:t>
      </w:r>
    </w:p>
    <w:p w14:paraId="2B62AE2B" w14:textId="77777777" w:rsidR="001D7DF8" w:rsidRPr="00355231" w:rsidRDefault="001D7DF8" w:rsidP="00A4693B">
      <w:pPr>
        <w:pStyle w:val="ManualHeading2"/>
        <w:rPr>
          <w:rFonts w:eastAsia="Arial Unicode MS"/>
          <w:noProof/>
          <w:u w:color="000000"/>
          <w:bdr w:val="nil"/>
        </w:rPr>
      </w:pPr>
      <w:r w:rsidRPr="00355231">
        <w:rPr>
          <w:noProof/>
          <w:u w:color="000000"/>
          <w:bdr w:val="nil"/>
        </w:rPr>
        <w:t>•</w:t>
      </w:r>
      <w:r w:rsidRPr="00355231">
        <w:rPr>
          <w:noProof/>
        </w:rPr>
        <w:tab/>
      </w:r>
      <w:r w:rsidRPr="00355231">
        <w:rPr>
          <w:noProof/>
          <w:u w:color="000000"/>
          <w:bdr w:val="nil"/>
        </w:rPr>
        <w:t xml:space="preserve">Subsidiarumo principas (neišimtinės kompetencijos atveju) </w:t>
      </w:r>
    </w:p>
    <w:p w14:paraId="03C0795F" w14:textId="77777777" w:rsidR="0057259D" w:rsidRPr="00355231" w:rsidRDefault="0057259D" w:rsidP="0057259D">
      <w:pPr>
        <w:pBdr>
          <w:top w:val="nil"/>
          <w:left w:val="nil"/>
          <w:bottom w:val="nil"/>
          <w:right w:val="nil"/>
          <w:between w:val="nil"/>
          <w:bar w:val="nil"/>
        </w:pBdr>
        <w:spacing w:before="0" w:after="240"/>
        <w:rPr>
          <w:noProof/>
          <w:szCs w:val="24"/>
        </w:rPr>
      </w:pPr>
      <w:r w:rsidRPr="00355231">
        <w:rPr>
          <w:noProof/>
        </w:rPr>
        <w:t>Pasiūlymas priklauso išimtinei Sąjungos kompetencijai (SESV 3 straipsnio 1 dalies d punktas). Todėl subsidiarumo principas netaikomas.</w:t>
      </w:r>
    </w:p>
    <w:p w14:paraId="09FCEB83" w14:textId="77777777" w:rsidR="001D7DF8" w:rsidRPr="00355231" w:rsidRDefault="001D7DF8" w:rsidP="00A4693B">
      <w:pPr>
        <w:pStyle w:val="ManualHeading2"/>
        <w:rPr>
          <w:rFonts w:eastAsia="Arial Unicode MS"/>
          <w:noProof/>
          <w:u w:color="000000"/>
          <w:bdr w:val="nil"/>
        </w:rPr>
      </w:pPr>
      <w:r w:rsidRPr="00355231">
        <w:rPr>
          <w:noProof/>
          <w:u w:color="000000"/>
          <w:bdr w:val="nil"/>
        </w:rPr>
        <w:t>•</w:t>
      </w:r>
      <w:r w:rsidRPr="00355231">
        <w:rPr>
          <w:noProof/>
        </w:rPr>
        <w:tab/>
      </w:r>
      <w:r w:rsidRPr="00355231">
        <w:rPr>
          <w:noProof/>
          <w:u w:color="000000"/>
          <w:bdr w:val="nil"/>
        </w:rPr>
        <w:t>Proporcingumo principas</w:t>
      </w:r>
    </w:p>
    <w:p w14:paraId="46E3A455" w14:textId="77777777" w:rsidR="00AF3A60" w:rsidRPr="00355231" w:rsidRDefault="00AF3A60" w:rsidP="00AF3A60">
      <w:pPr>
        <w:pBdr>
          <w:top w:val="nil"/>
          <w:left w:val="nil"/>
          <w:bottom w:val="nil"/>
          <w:right w:val="nil"/>
          <w:between w:val="nil"/>
          <w:bar w:val="nil"/>
        </w:pBdr>
        <w:spacing w:before="0" w:after="240"/>
        <w:rPr>
          <w:rFonts w:eastAsia="Arial Unicode MS"/>
          <w:noProof/>
        </w:rPr>
      </w:pPr>
      <w:r w:rsidRPr="00355231">
        <w:rPr>
          <w:noProof/>
        </w:rPr>
        <w:t>Pasiūlymu bus užtikrinta, kad ES vykdytų jai tenkančius NAFO įpareigojimus, neviršijant to, kas būtina šiam tikslui pasiekti.</w:t>
      </w:r>
    </w:p>
    <w:p w14:paraId="26241D02" w14:textId="77777777" w:rsidR="001D7DF8" w:rsidRPr="00355231" w:rsidRDefault="001D7DF8" w:rsidP="00A4693B">
      <w:pPr>
        <w:pStyle w:val="ManualHeading2"/>
        <w:rPr>
          <w:rFonts w:eastAsia="Arial Unicode MS"/>
          <w:noProof/>
          <w:u w:color="000000"/>
          <w:bdr w:val="nil"/>
        </w:rPr>
      </w:pPr>
      <w:r w:rsidRPr="00355231">
        <w:rPr>
          <w:noProof/>
          <w:u w:color="000000"/>
          <w:bdr w:val="nil"/>
        </w:rPr>
        <w:t>•</w:t>
      </w:r>
      <w:r w:rsidRPr="00355231">
        <w:rPr>
          <w:noProof/>
        </w:rPr>
        <w:tab/>
      </w:r>
      <w:r w:rsidRPr="00355231">
        <w:rPr>
          <w:noProof/>
          <w:u w:color="000000"/>
          <w:bdr w:val="nil"/>
        </w:rPr>
        <w:t>Priemonės pasirinkimas</w:t>
      </w:r>
    </w:p>
    <w:p w14:paraId="52799E2E" w14:textId="34C70550" w:rsidR="001D7DF8" w:rsidRPr="00355231" w:rsidRDefault="00AF3A60" w:rsidP="00AF3A60">
      <w:pPr>
        <w:pBdr>
          <w:top w:val="nil"/>
          <w:left w:val="nil"/>
          <w:bottom w:val="nil"/>
          <w:right w:val="nil"/>
          <w:between w:val="nil"/>
          <w:bar w:val="nil"/>
        </w:pBdr>
        <w:spacing w:before="0" w:after="240"/>
        <w:rPr>
          <w:rFonts w:eastAsia="Arial Unicode MS"/>
          <w:noProof/>
        </w:rPr>
      </w:pPr>
      <w:r w:rsidRPr="00355231">
        <w:rPr>
          <w:noProof/>
        </w:rPr>
        <w:t xml:space="preserve">Pasirinkta priemone iš dalies keičiamas Reglamentas (ES) 2019/833. </w:t>
      </w:r>
    </w:p>
    <w:p w14:paraId="1EB63D5B" w14:textId="77777777" w:rsidR="001D7DF8" w:rsidRPr="00355231" w:rsidRDefault="001D7DF8" w:rsidP="00550536">
      <w:pPr>
        <w:pStyle w:val="ManualHeading1"/>
        <w:rPr>
          <w:noProof/>
        </w:rPr>
      </w:pPr>
      <w:r w:rsidRPr="00355231">
        <w:rPr>
          <w:noProof/>
        </w:rPr>
        <w:t>3.</w:t>
      </w:r>
      <w:r w:rsidRPr="00355231">
        <w:rPr>
          <w:noProof/>
        </w:rPr>
        <w:tab/>
      </w:r>
      <w:r w:rsidRPr="00355231">
        <w:rPr>
          <w:i/>
          <w:noProof/>
        </w:rPr>
        <w:t>EX POST</w:t>
      </w:r>
      <w:r w:rsidRPr="00355231">
        <w:rPr>
          <w:noProof/>
        </w:rPr>
        <w:t xml:space="preserve"> VERTINIMO, KONSULTACIJŲ SU SUINTERESUOTOSIOMIS ŠALIMIS IR POVEIKIO VERTINIMO REZULTATAI</w:t>
      </w:r>
    </w:p>
    <w:p w14:paraId="505C7C16" w14:textId="77777777" w:rsidR="001D7DF8" w:rsidRPr="00355231" w:rsidRDefault="001D7DF8" w:rsidP="00A4693B">
      <w:pPr>
        <w:pStyle w:val="ManualHeading2"/>
        <w:rPr>
          <w:rFonts w:eastAsia="Arial Unicode MS"/>
          <w:noProof/>
          <w:u w:color="000000"/>
          <w:bdr w:val="nil"/>
        </w:rPr>
      </w:pPr>
      <w:r w:rsidRPr="00355231">
        <w:rPr>
          <w:noProof/>
          <w:u w:color="000000"/>
          <w:bdr w:val="nil"/>
        </w:rPr>
        <w:t>•</w:t>
      </w:r>
      <w:r w:rsidRPr="00355231">
        <w:rPr>
          <w:noProof/>
        </w:rPr>
        <w:tab/>
      </w:r>
      <w:r w:rsidRPr="00355231">
        <w:rPr>
          <w:noProof/>
          <w:u w:color="000000"/>
          <w:bdr w:val="nil"/>
        </w:rPr>
        <w:t xml:space="preserve">Galiojančių teisės aktų </w:t>
      </w:r>
      <w:r w:rsidRPr="00355231">
        <w:rPr>
          <w:i/>
          <w:noProof/>
          <w:u w:color="000000"/>
          <w:bdr w:val="nil"/>
        </w:rPr>
        <w:t>ex post</w:t>
      </w:r>
      <w:r w:rsidRPr="00355231">
        <w:rPr>
          <w:noProof/>
          <w:u w:color="000000"/>
          <w:bdr w:val="nil"/>
        </w:rPr>
        <w:t xml:space="preserve"> vertinimas / tinkamumo patikrinimas</w:t>
      </w:r>
    </w:p>
    <w:p w14:paraId="07114265" w14:textId="77777777" w:rsidR="00AF3A60" w:rsidRPr="00355231" w:rsidRDefault="00AF3A60" w:rsidP="00AF3A60">
      <w:pPr>
        <w:pBdr>
          <w:top w:val="nil"/>
          <w:left w:val="nil"/>
          <w:bottom w:val="nil"/>
          <w:right w:val="nil"/>
          <w:between w:val="nil"/>
          <w:bar w:val="nil"/>
        </w:pBdr>
        <w:spacing w:before="0" w:after="240"/>
        <w:rPr>
          <w:rFonts w:eastAsia="Arial Unicode MS"/>
          <w:noProof/>
          <w:szCs w:val="24"/>
        </w:rPr>
      </w:pPr>
      <w:r w:rsidRPr="00355231">
        <w:rPr>
          <w:noProof/>
        </w:rPr>
        <w:t>Netaikoma.</w:t>
      </w:r>
    </w:p>
    <w:p w14:paraId="3C2CCD78" w14:textId="77777777" w:rsidR="001D7DF8" w:rsidRPr="00355231" w:rsidRDefault="00AF3A60" w:rsidP="00AF3A60">
      <w:pPr>
        <w:pStyle w:val="ManualHeading2"/>
        <w:rPr>
          <w:rFonts w:eastAsia="Arial Unicode MS"/>
          <w:noProof/>
          <w:u w:color="000000"/>
          <w:bdr w:val="nil"/>
        </w:rPr>
      </w:pPr>
      <w:r w:rsidRPr="00355231">
        <w:rPr>
          <w:noProof/>
          <w:u w:color="000000"/>
          <w:bdr w:val="nil"/>
        </w:rPr>
        <w:t xml:space="preserve"> •</w:t>
      </w:r>
      <w:r w:rsidRPr="00355231">
        <w:rPr>
          <w:noProof/>
        </w:rPr>
        <w:tab/>
      </w:r>
      <w:r w:rsidRPr="00355231">
        <w:rPr>
          <w:noProof/>
          <w:u w:color="000000"/>
          <w:bdr w:val="nil"/>
        </w:rPr>
        <w:t>Konsultacijos su suinteresuotosiomis šalimis</w:t>
      </w:r>
    </w:p>
    <w:p w14:paraId="1DD357F3" w14:textId="71E766EB" w:rsidR="001D7DF8" w:rsidRPr="00355231" w:rsidRDefault="00AF3A60" w:rsidP="00AF3A60">
      <w:pPr>
        <w:pBdr>
          <w:top w:val="nil"/>
          <w:left w:val="nil"/>
          <w:bottom w:val="nil"/>
          <w:right w:val="nil"/>
          <w:between w:val="nil"/>
          <w:bar w:val="nil"/>
        </w:pBdr>
        <w:spacing w:before="0" w:after="240"/>
        <w:rPr>
          <w:rFonts w:eastAsia="Arial Unicode MS"/>
          <w:noProof/>
        </w:rPr>
      </w:pPr>
      <w:r w:rsidRPr="00355231">
        <w:rPr>
          <w:noProof/>
        </w:rPr>
        <w:t xml:space="preserve">Šio pasiūlymo tikslas – iš dalies pakeisti Reglamentą (ES) 2019/833 Sąjungos teisėje įgyvendinant 2021 m. rugsėjo mėn. NAFO metiniame susitikime priimtus išsaugojimo ir vykdymo užtikrinimo priemonių pakeitimus. Su ES valstybių narių nacionaliniais ekspertais ir pramonės atstovais konsultuotasi tiek rengiantis NAFO metiniam susitikimui, kuriame buvo priimtos šios rekomendacijos, tiek per NAFO derybas.  </w:t>
      </w:r>
    </w:p>
    <w:p w14:paraId="4FE1D992" w14:textId="77777777" w:rsidR="001D7DF8" w:rsidRPr="00355231" w:rsidRDefault="001D7DF8" w:rsidP="00A4693B">
      <w:pPr>
        <w:pStyle w:val="ManualHeading2"/>
        <w:rPr>
          <w:rFonts w:eastAsia="Arial Unicode MS"/>
          <w:noProof/>
          <w:u w:color="000000"/>
          <w:bdr w:val="nil"/>
        </w:rPr>
      </w:pPr>
      <w:r w:rsidRPr="00355231">
        <w:rPr>
          <w:noProof/>
          <w:u w:color="000000"/>
          <w:bdr w:val="nil"/>
        </w:rPr>
        <w:t>•</w:t>
      </w:r>
      <w:r w:rsidRPr="00355231">
        <w:rPr>
          <w:noProof/>
        </w:rPr>
        <w:tab/>
      </w:r>
      <w:r w:rsidRPr="00355231">
        <w:rPr>
          <w:noProof/>
          <w:u w:color="000000"/>
          <w:bdr w:val="nil"/>
        </w:rPr>
        <w:t>Tiriamųjų duomenų rinkimas ir naudojimas</w:t>
      </w:r>
    </w:p>
    <w:p w14:paraId="26649D24" w14:textId="0F5A20D4" w:rsidR="001D7DF8" w:rsidRPr="00355231" w:rsidRDefault="00AF3A60" w:rsidP="00AF3A60">
      <w:pPr>
        <w:pBdr>
          <w:top w:val="nil"/>
          <w:left w:val="nil"/>
          <w:bottom w:val="nil"/>
          <w:right w:val="nil"/>
          <w:between w:val="nil"/>
          <w:bar w:val="nil"/>
        </w:pBdr>
        <w:spacing w:before="0" w:after="240"/>
        <w:rPr>
          <w:rFonts w:eastAsia="Arial Unicode MS"/>
          <w:noProof/>
        </w:rPr>
      </w:pPr>
      <w:r w:rsidRPr="00355231">
        <w:rPr>
          <w:noProof/>
        </w:rPr>
        <w:t xml:space="preserve">Šiuo pasiūlymu Sąjungos teisėje įgyvendinami NAFO išsaugojimo priemonių pakeitimai, priimti remiantis NAFO nuolatinių komitetų mokslinėmis ir kontrolės rekomendacijomis. </w:t>
      </w:r>
    </w:p>
    <w:p w14:paraId="7CED4584" w14:textId="77777777" w:rsidR="001D7DF8" w:rsidRPr="00355231" w:rsidRDefault="001D7DF8" w:rsidP="00A4693B">
      <w:pPr>
        <w:pStyle w:val="ManualHeading2"/>
        <w:rPr>
          <w:rFonts w:eastAsia="Arial Unicode MS"/>
          <w:noProof/>
          <w:u w:color="000000"/>
          <w:bdr w:val="nil"/>
        </w:rPr>
      </w:pPr>
      <w:r w:rsidRPr="00355231">
        <w:rPr>
          <w:noProof/>
          <w:u w:color="000000"/>
          <w:bdr w:val="nil"/>
        </w:rPr>
        <w:t>•</w:t>
      </w:r>
      <w:r w:rsidRPr="00355231">
        <w:rPr>
          <w:noProof/>
        </w:rPr>
        <w:tab/>
      </w:r>
      <w:r w:rsidRPr="00355231">
        <w:rPr>
          <w:noProof/>
          <w:u w:color="000000"/>
          <w:bdr w:val="nil"/>
        </w:rPr>
        <w:t>Poveikio vertinimas</w:t>
      </w:r>
    </w:p>
    <w:p w14:paraId="3590D82F" w14:textId="1C816272" w:rsidR="001D7DF8" w:rsidRPr="00355231" w:rsidRDefault="00AF3A60" w:rsidP="00550536">
      <w:pPr>
        <w:pBdr>
          <w:top w:val="nil"/>
          <w:left w:val="nil"/>
          <w:bottom w:val="nil"/>
          <w:right w:val="nil"/>
          <w:between w:val="nil"/>
          <w:bar w:val="nil"/>
        </w:pBdr>
        <w:spacing w:before="0" w:after="240"/>
        <w:rPr>
          <w:rFonts w:eastAsia="Arial Unicode MS"/>
          <w:noProof/>
        </w:rPr>
      </w:pPr>
      <w:r w:rsidRPr="00355231">
        <w:rPr>
          <w:noProof/>
        </w:rPr>
        <w:t xml:space="preserve">Netaikoma. Šiuo pasiūlymu Sąjungos teisėje įgyvendinami NAFO išsaugojimo priemonių pakeitimai, kurie yra privalomi susitariančiosioms šalims ir tiesiogiai taikomi valstybėms narėms. </w:t>
      </w:r>
    </w:p>
    <w:p w14:paraId="10C2470A" w14:textId="77777777" w:rsidR="001D7DF8" w:rsidRPr="00355231" w:rsidRDefault="001D7DF8" w:rsidP="00A4693B">
      <w:pPr>
        <w:pStyle w:val="ManualHeading2"/>
        <w:rPr>
          <w:rFonts w:eastAsia="Arial Unicode MS"/>
          <w:noProof/>
          <w:u w:color="000000"/>
          <w:bdr w:val="nil"/>
        </w:rPr>
      </w:pPr>
      <w:r w:rsidRPr="00355231">
        <w:rPr>
          <w:noProof/>
          <w:u w:color="000000"/>
          <w:bdr w:val="nil"/>
        </w:rPr>
        <w:t>•</w:t>
      </w:r>
      <w:r w:rsidRPr="00355231">
        <w:rPr>
          <w:noProof/>
        </w:rPr>
        <w:tab/>
      </w:r>
      <w:r w:rsidRPr="00355231">
        <w:rPr>
          <w:noProof/>
          <w:u w:color="000000"/>
          <w:bdr w:val="nil"/>
        </w:rPr>
        <w:t>Reglamentavimo tinkamumas ir supaprastinimas</w:t>
      </w:r>
    </w:p>
    <w:p w14:paraId="082BF472" w14:textId="77777777" w:rsidR="00AF3A60" w:rsidRPr="00355231" w:rsidRDefault="00AF3A60" w:rsidP="00AF3A60">
      <w:pPr>
        <w:pBdr>
          <w:top w:val="nil"/>
          <w:left w:val="nil"/>
          <w:bottom w:val="nil"/>
          <w:right w:val="nil"/>
          <w:between w:val="nil"/>
          <w:bar w:val="nil"/>
        </w:pBdr>
        <w:spacing w:before="0" w:after="240"/>
        <w:rPr>
          <w:rFonts w:eastAsia="Arial Unicode MS"/>
          <w:noProof/>
          <w:szCs w:val="24"/>
        </w:rPr>
      </w:pPr>
      <w:r w:rsidRPr="00355231">
        <w:rPr>
          <w:noProof/>
        </w:rPr>
        <w:t>Šis pasiūlymas nėra susijęs su reglamentavimo kokybės programa (REFIT) ir paprastinimo reikalavimais.</w:t>
      </w:r>
    </w:p>
    <w:p w14:paraId="194D7A88" w14:textId="77777777" w:rsidR="001D7DF8" w:rsidRPr="00355231" w:rsidRDefault="00AF3A60" w:rsidP="00AF3A60">
      <w:pPr>
        <w:pStyle w:val="ManualHeading2"/>
        <w:rPr>
          <w:rFonts w:eastAsia="Arial Unicode MS"/>
          <w:noProof/>
          <w:u w:color="000000"/>
          <w:bdr w:val="nil"/>
        </w:rPr>
      </w:pPr>
      <w:r w:rsidRPr="00355231">
        <w:rPr>
          <w:noProof/>
          <w:u w:color="000000"/>
          <w:bdr w:val="nil"/>
        </w:rPr>
        <w:t xml:space="preserve"> •</w:t>
      </w:r>
      <w:r w:rsidRPr="00355231">
        <w:rPr>
          <w:noProof/>
        </w:rPr>
        <w:tab/>
      </w:r>
      <w:r w:rsidRPr="00355231">
        <w:rPr>
          <w:noProof/>
          <w:u w:color="000000"/>
          <w:bdr w:val="nil"/>
        </w:rPr>
        <w:t>Pagrindinės teisės</w:t>
      </w:r>
    </w:p>
    <w:p w14:paraId="4C6260F6" w14:textId="77777777" w:rsidR="00AF3A60" w:rsidRPr="00355231" w:rsidRDefault="00AF3A60" w:rsidP="00AF3A60">
      <w:pPr>
        <w:pBdr>
          <w:top w:val="nil"/>
          <w:left w:val="nil"/>
          <w:bottom w:val="nil"/>
          <w:right w:val="nil"/>
          <w:between w:val="nil"/>
          <w:bar w:val="nil"/>
        </w:pBdr>
        <w:spacing w:before="0" w:after="240"/>
        <w:rPr>
          <w:rFonts w:eastAsia="Arial Unicode MS"/>
          <w:noProof/>
          <w:szCs w:val="24"/>
        </w:rPr>
      </w:pPr>
      <w:r w:rsidRPr="00355231">
        <w:rPr>
          <w:noProof/>
        </w:rPr>
        <w:t>Šis pasiūlymas neturi poveikio pagrindinių teisių apsaugai.</w:t>
      </w:r>
    </w:p>
    <w:p w14:paraId="752EA7FD" w14:textId="77777777" w:rsidR="001D7DF8" w:rsidRPr="00355231" w:rsidRDefault="00AF3A60" w:rsidP="00AF3A60">
      <w:pPr>
        <w:pStyle w:val="ManualHeading1"/>
        <w:rPr>
          <w:noProof/>
        </w:rPr>
      </w:pPr>
      <w:r w:rsidRPr="00355231">
        <w:rPr>
          <w:noProof/>
        </w:rPr>
        <w:t xml:space="preserve"> 4.</w:t>
      </w:r>
      <w:r w:rsidRPr="00355231">
        <w:rPr>
          <w:noProof/>
        </w:rPr>
        <w:tab/>
        <w:t>POVEIKIS BIUDŽETUI</w:t>
      </w:r>
    </w:p>
    <w:p w14:paraId="19EF80F6" w14:textId="77777777" w:rsidR="00AF3A60" w:rsidRPr="00355231" w:rsidRDefault="00AF3A60" w:rsidP="00AF3A60">
      <w:pPr>
        <w:pBdr>
          <w:top w:val="nil"/>
          <w:left w:val="nil"/>
          <w:bottom w:val="nil"/>
          <w:right w:val="nil"/>
          <w:between w:val="nil"/>
          <w:bar w:val="nil"/>
        </w:pBdr>
        <w:spacing w:before="0" w:after="240"/>
        <w:rPr>
          <w:rFonts w:eastAsia="Arial Unicode MS"/>
          <w:noProof/>
          <w:szCs w:val="24"/>
        </w:rPr>
      </w:pPr>
      <w:r w:rsidRPr="00355231">
        <w:rPr>
          <w:noProof/>
        </w:rPr>
        <w:t>Šis pasiūlymas neturi poveikio biudžetui.</w:t>
      </w:r>
    </w:p>
    <w:p w14:paraId="14330E26" w14:textId="77777777" w:rsidR="001D7DF8" w:rsidRPr="00355231" w:rsidRDefault="00AF3A60" w:rsidP="00AF3A60">
      <w:pPr>
        <w:pStyle w:val="ManualHeading1"/>
        <w:rPr>
          <w:noProof/>
        </w:rPr>
      </w:pPr>
      <w:r w:rsidRPr="00355231">
        <w:rPr>
          <w:noProof/>
        </w:rPr>
        <w:t xml:space="preserve"> 5.</w:t>
      </w:r>
      <w:r w:rsidRPr="00355231">
        <w:rPr>
          <w:noProof/>
        </w:rPr>
        <w:tab/>
        <w:t>KITI ELEMENTAI</w:t>
      </w:r>
    </w:p>
    <w:p w14:paraId="05B284CD" w14:textId="77777777" w:rsidR="001D7DF8" w:rsidRPr="00355231" w:rsidRDefault="001D7DF8" w:rsidP="00A4693B">
      <w:pPr>
        <w:pStyle w:val="ManualHeading2"/>
        <w:rPr>
          <w:rFonts w:eastAsia="Arial Unicode MS"/>
          <w:noProof/>
          <w:u w:color="000000"/>
          <w:bdr w:val="nil"/>
        </w:rPr>
      </w:pPr>
      <w:r w:rsidRPr="00355231">
        <w:rPr>
          <w:noProof/>
          <w:u w:color="000000"/>
          <w:bdr w:val="nil"/>
        </w:rPr>
        <w:t>•</w:t>
      </w:r>
      <w:r w:rsidRPr="00355231">
        <w:rPr>
          <w:noProof/>
        </w:rPr>
        <w:tab/>
      </w:r>
      <w:r w:rsidRPr="00355231">
        <w:rPr>
          <w:noProof/>
          <w:u w:color="000000"/>
          <w:bdr w:val="nil"/>
        </w:rPr>
        <w:t>Įgyvendinimo planai ir stebėsena, vertinimas ir ataskaitų teikimo tvarka</w:t>
      </w:r>
    </w:p>
    <w:p w14:paraId="2C9D5A68" w14:textId="77777777" w:rsidR="00AF3A60" w:rsidRPr="00355231" w:rsidRDefault="00AF3A60" w:rsidP="00AF3A60">
      <w:pPr>
        <w:pBdr>
          <w:top w:val="nil"/>
          <w:left w:val="nil"/>
          <w:bottom w:val="nil"/>
          <w:right w:val="nil"/>
          <w:between w:val="nil"/>
          <w:bar w:val="nil"/>
        </w:pBdr>
        <w:spacing w:before="0" w:after="240"/>
        <w:rPr>
          <w:rFonts w:eastAsia="Arial Unicode MS"/>
          <w:noProof/>
          <w:szCs w:val="24"/>
        </w:rPr>
      </w:pPr>
      <w:r w:rsidRPr="00355231">
        <w:rPr>
          <w:noProof/>
        </w:rPr>
        <w:t>Netaikoma.</w:t>
      </w:r>
    </w:p>
    <w:p w14:paraId="2BA20885" w14:textId="77777777" w:rsidR="001D7DF8" w:rsidRPr="00355231" w:rsidRDefault="00AF3A60" w:rsidP="00AF3A60">
      <w:pPr>
        <w:pStyle w:val="ManualHeading2"/>
        <w:rPr>
          <w:noProof/>
          <w:u w:color="000000"/>
          <w:bdr w:val="nil"/>
        </w:rPr>
      </w:pPr>
      <w:r w:rsidRPr="00355231">
        <w:rPr>
          <w:noProof/>
          <w:u w:color="000000"/>
          <w:bdr w:val="nil"/>
        </w:rPr>
        <w:t xml:space="preserve"> •</w:t>
      </w:r>
      <w:r w:rsidRPr="00355231">
        <w:rPr>
          <w:noProof/>
        </w:rPr>
        <w:tab/>
      </w:r>
      <w:r w:rsidRPr="00355231">
        <w:rPr>
          <w:noProof/>
          <w:u w:color="000000"/>
          <w:bdr w:val="nil"/>
        </w:rPr>
        <w:t>Aiškinamieji dokumentai (direktyvoms)</w:t>
      </w:r>
    </w:p>
    <w:p w14:paraId="022DADC3" w14:textId="77777777" w:rsidR="00AF3A60" w:rsidRPr="00355231" w:rsidRDefault="00AF3A60" w:rsidP="00AF3A60">
      <w:pPr>
        <w:pBdr>
          <w:top w:val="nil"/>
          <w:left w:val="nil"/>
          <w:bottom w:val="nil"/>
          <w:right w:val="nil"/>
          <w:between w:val="nil"/>
          <w:bar w:val="nil"/>
        </w:pBdr>
        <w:spacing w:before="0" w:after="240"/>
        <w:rPr>
          <w:rFonts w:eastAsia="Arial Unicode MS"/>
          <w:noProof/>
          <w:szCs w:val="24"/>
        </w:rPr>
      </w:pPr>
      <w:r w:rsidRPr="00355231">
        <w:rPr>
          <w:noProof/>
        </w:rPr>
        <w:t>Netaikoma.</w:t>
      </w:r>
    </w:p>
    <w:p w14:paraId="2D6FC458" w14:textId="77777777" w:rsidR="001D7DF8" w:rsidRPr="00355231" w:rsidRDefault="00AF3A60" w:rsidP="00AF3A60">
      <w:pPr>
        <w:pStyle w:val="ManualHeading2"/>
        <w:rPr>
          <w:noProof/>
          <w:u w:color="000000"/>
          <w:bdr w:val="nil"/>
        </w:rPr>
      </w:pPr>
      <w:r w:rsidRPr="00355231">
        <w:rPr>
          <w:noProof/>
          <w:u w:color="000000"/>
          <w:bdr w:val="nil"/>
        </w:rPr>
        <w:t xml:space="preserve"> •</w:t>
      </w:r>
      <w:r w:rsidRPr="00355231">
        <w:rPr>
          <w:noProof/>
        </w:rPr>
        <w:tab/>
      </w:r>
      <w:r w:rsidRPr="00355231">
        <w:rPr>
          <w:noProof/>
          <w:u w:color="000000"/>
          <w:bdr w:val="nil"/>
        </w:rPr>
        <w:t>Išsamus konkrečių pasiūlymo nuostatų paaiškinimas</w:t>
      </w:r>
    </w:p>
    <w:p w14:paraId="33CC27C8" w14:textId="18CB455D" w:rsidR="008F4201" w:rsidRPr="00355231" w:rsidRDefault="00AF3A60" w:rsidP="00AF3A60">
      <w:pPr>
        <w:pBdr>
          <w:top w:val="nil"/>
          <w:left w:val="nil"/>
          <w:bottom w:val="nil"/>
          <w:right w:val="nil"/>
          <w:between w:val="nil"/>
          <w:bar w:val="nil"/>
        </w:pBdr>
        <w:spacing w:before="0" w:after="240"/>
        <w:rPr>
          <w:noProof/>
        </w:rPr>
      </w:pPr>
      <w:r w:rsidRPr="00355231">
        <w:rPr>
          <w:noProof/>
        </w:rPr>
        <w:t>Pasiūlymu įgyvendinami 2021 m. rugsėjo mėn. NAFO metiniame susitikime priimti pakeitimai, susiję su kvotos „Kiti“ apskaičiavimu, taip pat su menkėms 3M kvadrate skirtų papildomų iškrovimo inspektavimo priemonių ir juodiesiems paltusams skirtų papildomų priemonių įvedimu. Pakeitimai taip pat apima peržiūrėtas nuostatas dėl papildomų procedūrų ir sunkių pažeidimų, susijusių su tam tikro dydžio tinklo akių, tinklelių ar grotelių naudojimu, taip pat nuostatas dėl griežtesnių priemonių, susijusių su tolesniais veiksmais dėl pažeidimų, ir dėl dokumentų perdavimo NAFO ir Europos žuvininkystės kontrolės agentūrai.</w:t>
      </w:r>
    </w:p>
    <w:p w14:paraId="3A1EFCE6" w14:textId="57A28758" w:rsidR="001D7DF8" w:rsidRPr="00355231" w:rsidRDefault="00AF3A60" w:rsidP="00AF3A60">
      <w:pPr>
        <w:pBdr>
          <w:top w:val="nil"/>
          <w:left w:val="nil"/>
          <w:bottom w:val="nil"/>
          <w:right w:val="nil"/>
          <w:between w:val="nil"/>
          <w:bar w:val="nil"/>
        </w:pBdr>
        <w:spacing w:before="0" w:after="240"/>
        <w:rPr>
          <w:noProof/>
        </w:rPr>
      </w:pPr>
      <w:r w:rsidRPr="00355231">
        <w:rPr>
          <w:noProof/>
        </w:rPr>
        <w:t xml:space="preserve">Be to, pasiūlymu Komisijai suteikiami įgaliojimai iš dalies pakeisti Reglamento (ES) 2019/833 nuostatas, susijusias su juodųjų paltusų iškrovimu ir inspektavimu, nustatytas 10 straipsnio 1 dalies c punkte, ir su atlantinėms menkėms 3M kvadrate skirtomis kontrolės priemonėmis, nustatytomis 9a straipsnyje, tuo atveju, jei NAFO ateityje iš dalies pakeistų savo priemones. Šias nuostatas reikia skubiai iš dalies pakeisti, kad kiekvieną būsimą žvejybos sezoną Sąjungos laivai galėtų žvejoti tokiomis pat sąlygomis, kaip ir kitų NAFO susitariančiųjų šalių laivai. </w:t>
      </w:r>
    </w:p>
    <w:p w14:paraId="36FEACBB" w14:textId="77777777" w:rsidR="00601BEF" w:rsidRPr="00355231" w:rsidRDefault="00601BEF" w:rsidP="00AF3A60">
      <w:pPr>
        <w:pBdr>
          <w:top w:val="nil"/>
          <w:left w:val="nil"/>
          <w:bottom w:val="nil"/>
          <w:right w:val="nil"/>
          <w:between w:val="nil"/>
          <w:bar w:val="nil"/>
        </w:pBdr>
        <w:spacing w:before="0" w:after="240"/>
        <w:rPr>
          <w:rFonts w:eastAsia="Arial Unicode MS"/>
          <w:noProof/>
          <w:color w:val="008000"/>
        </w:rPr>
        <w:sectPr w:rsidR="00601BEF" w:rsidRPr="00355231" w:rsidSect="00BF1E30">
          <w:footerReference w:type="default" r:id="rId15"/>
          <w:footerReference w:type="first" r:id="rId16"/>
          <w:pgSz w:w="11907" w:h="16839"/>
          <w:pgMar w:top="1134" w:right="1417" w:bottom="1134" w:left="1417" w:header="709" w:footer="709" w:gutter="0"/>
          <w:cols w:space="708"/>
          <w:docGrid w:linePitch="360"/>
        </w:sectPr>
      </w:pPr>
    </w:p>
    <w:p w14:paraId="06557792" w14:textId="130EBCDB" w:rsidR="000C6071" w:rsidRDefault="000C6071" w:rsidP="000C6071">
      <w:pPr>
        <w:pStyle w:val="Rfrenceinterinstitutionnelle"/>
        <w:rPr>
          <w:noProof/>
        </w:rPr>
      </w:pPr>
      <w:r w:rsidRPr="000C6071">
        <w:t>2022/0035 (COD)</w:t>
      </w:r>
    </w:p>
    <w:p w14:paraId="51D8C3D8" w14:textId="4F7994FC" w:rsidR="001D7DF8" w:rsidRPr="00355231" w:rsidRDefault="00355231" w:rsidP="00355231">
      <w:pPr>
        <w:pStyle w:val="Statut"/>
        <w:rPr>
          <w:noProof/>
        </w:rPr>
      </w:pPr>
      <w:r w:rsidRPr="00355231">
        <w:rPr>
          <w:noProof/>
        </w:rPr>
        <w:t>Pasiūlymas</w:t>
      </w:r>
    </w:p>
    <w:p w14:paraId="03DE0978" w14:textId="6A58133C" w:rsidR="001D7DF8" w:rsidRPr="00355231" w:rsidRDefault="00355231" w:rsidP="00355231">
      <w:pPr>
        <w:pStyle w:val="Typedudocument"/>
        <w:rPr>
          <w:noProof/>
        </w:rPr>
      </w:pPr>
      <w:r w:rsidRPr="00355231">
        <w:rPr>
          <w:noProof/>
        </w:rPr>
        <w:t>EUROPOS PARLAMENTO IR TARYBOS REGLAMENTAS</w:t>
      </w:r>
    </w:p>
    <w:p w14:paraId="781DE575" w14:textId="637F75A0" w:rsidR="001D7DF8" w:rsidRPr="00355231" w:rsidRDefault="00355231" w:rsidP="00355231">
      <w:pPr>
        <w:pStyle w:val="Titreobjet"/>
        <w:rPr>
          <w:noProof/>
        </w:rPr>
      </w:pPr>
      <w:r w:rsidRPr="00355231">
        <w:rPr>
          <w:noProof/>
        </w:rPr>
        <w:t>kuriuo iš dalies keičiamas Reglamentas (ES) 2019/833, kuriuo nustatomos išsaugojimo ir vykdymo užtikrinimo priemonės, taikytinos Žvejybos šiaurės vakarų Atlante organizacijos reguliuojamame rajone</w:t>
      </w:r>
    </w:p>
    <w:p w14:paraId="2DF8A16E" w14:textId="77777777" w:rsidR="001D7DF8" w:rsidRPr="00355231" w:rsidRDefault="001D7DF8" w:rsidP="006D42BA">
      <w:pPr>
        <w:pStyle w:val="Institutionquiagit"/>
        <w:rPr>
          <w:noProof/>
        </w:rPr>
      </w:pPr>
      <w:r w:rsidRPr="00355231">
        <w:rPr>
          <w:noProof/>
        </w:rPr>
        <w:t>EUROPOS PARLAMENTAS IR EUROPOS SĄJUNGOS TARYBA,</w:t>
      </w:r>
    </w:p>
    <w:p w14:paraId="3655D067" w14:textId="77777777" w:rsidR="001D7DF8" w:rsidRPr="00355231" w:rsidRDefault="001D7DF8" w:rsidP="006D42BA">
      <w:pPr>
        <w:rPr>
          <w:noProof/>
        </w:rPr>
      </w:pPr>
      <w:r w:rsidRPr="00355231">
        <w:rPr>
          <w:noProof/>
        </w:rPr>
        <w:t>atsižvelgdami į Sutartį dėl Europos Sąjungos veikimo, ypač į jos 43 straipsnio 2 dalį,</w:t>
      </w:r>
    </w:p>
    <w:p w14:paraId="1528D849" w14:textId="77777777" w:rsidR="001D7DF8" w:rsidRPr="00355231" w:rsidRDefault="001D7DF8" w:rsidP="006D42BA">
      <w:pPr>
        <w:rPr>
          <w:noProof/>
        </w:rPr>
      </w:pPr>
      <w:r w:rsidRPr="00355231">
        <w:rPr>
          <w:noProof/>
        </w:rPr>
        <w:t>atsižvelgdami į Europos Komisijos pasiūlymą,</w:t>
      </w:r>
    </w:p>
    <w:p w14:paraId="5AFE2C54" w14:textId="77777777" w:rsidR="001D7DF8" w:rsidRPr="00355231" w:rsidRDefault="001D7DF8" w:rsidP="006D42BA">
      <w:pPr>
        <w:rPr>
          <w:noProof/>
        </w:rPr>
      </w:pPr>
      <w:r w:rsidRPr="00355231">
        <w:rPr>
          <w:noProof/>
        </w:rPr>
        <w:t>teisėkūros procedūra priimamo akto projektą perdavus nacionaliniams parlamentams,</w:t>
      </w:r>
    </w:p>
    <w:p w14:paraId="63F77B1D" w14:textId="77777777" w:rsidR="001D7DF8" w:rsidRPr="00355231" w:rsidRDefault="001D7DF8" w:rsidP="006D42BA">
      <w:pPr>
        <w:rPr>
          <w:noProof/>
        </w:rPr>
      </w:pPr>
      <w:r w:rsidRPr="00355231">
        <w:rPr>
          <w:noProof/>
        </w:rPr>
        <w:t>atsižvelgdami į Europos ekonomikos ir socialinių reikalų komiteto nuomonę</w:t>
      </w:r>
      <w:r w:rsidRPr="00355231">
        <w:rPr>
          <w:rStyle w:val="FootnoteReference0"/>
          <w:noProof/>
        </w:rPr>
        <w:footnoteReference w:id="1"/>
      </w:r>
      <w:r w:rsidRPr="00355231">
        <w:rPr>
          <w:noProof/>
        </w:rPr>
        <w:t>,</w:t>
      </w:r>
    </w:p>
    <w:p w14:paraId="283AF741" w14:textId="77777777" w:rsidR="001D7DF8" w:rsidRPr="00355231" w:rsidRDefault="001D7DF8" w:rsidP="006D42BA">
      <w:pPr>
        <w:rPr>
          <w:noProof/>
        </w:rPr>
      </w:pPr>
      <w:r w:rsidRPr="00355231">
        <w:rPr>
          <w:noProof/>
        </w:rPr>
        <w:t>laikydamiesi įprastos teisėkūros procedūros,</w:t>
      </w:r>
    </w:p>
    <w:p w14:paraId="792C4BC8" w14:textId="10641E0B" w:rsidR="001D7DF8" w:rsidRPr="00355231" w:rsidRDefault="001D7DF8" w:rsidP="006D42BA">
      <w:pPr>
        <w:rPr>
          <w:noProof/>
        </w:rPr>
      </w:pPr>
      <w:r w:rsidRPr="00355231">
        <w:rPr>
          <w:noProof/>
        </w:rPr>
        <w:t>kadangi:</w:t>
      </w:r>
    </w:p>
    <w:p w14:paraId="33642953" w14:textId="5105474D" w:rsidR="00301E81" w:rsidRPr="00355231" w:rsidRDefault="00721D42" w:rsidP="00721D42">
      <w:pPr>
        <w:pStyle w:val="ManualConsidrant"/>
        <w:rPr>
          <w:noProof/>
        </w:rPr>
      </w:pPr>
      <w:r w:rsidRPr="00721D42">
        <w:t>(1)</w:t>
      </w:r>
      <w:r w:rsidRPr="00721D42">
        <w:tab/>
      </w:r>
      <w:r w:rsidR="004F45C9" w:rsidRPr="00355231">
        <w:rPr>
          <w:noProof/>
        </w:rPr>
        <w:t>Europos Parlamento ir Tarybos reglamentas (ES) 2019/833</w:t>
      </w:r>
      <w:r w:rsidR="004F45C9" w:rsidRPr="00355231">
        <w:rPr>
          <w:rStyle w:val="FootnoteReference0"/>
          <w:noProof/>
        </w:rPr>
        <w:footnoteReference w:id="2"/>
      </w:r>
      <w:r w:rsidR="004F45C9" w:rsidRPr="00355231">
        <w:rPr>
          <w:noProof/>
        </w:rPr>
        <w:t xml:space="preserve"> priimtas siekiant Sąjungos teisėje įgyvendinti išsaugojimo ir vykdymo užtikrinimo priemonėms, taikytinoms Žvejybos šiaurės vakarų Atlante organizacijos (NAFO) reguliuojamame rajone, skirtas naujausias taisykles. Vėliau šis reglamentas iš dalies pakeistas atsižvelgiant į 2019 ir 2020 m. metiniuose susitikimuose priimtas NAFO priemones</w:t>
      </w:r>
      <w:r w:rsidR="004F45C9" w:rsidRPr="00355231">
        <w:rPr>
          <w:rStyle w:val="FootnoteReference0"/>
          <w:noProof/>
        </w:rPr>
        <w:footnoteReference w:id="3"/>
      </w:r>
      <w:r w:rsidR="004F45C9" w:rsidRPr="00355231">
        <w:rPr>
          <w:noProof/>
        </w:rPr>
        <w:t>;</w:t>
      </w:r>
    </w:p>
    <w:p w14:paraId="24921DC3" w14:textId="2086089E" w:rsidR="004F45C9" w:rsidRPr="00355231" w:rsidRDefault="00721D42" w:rsidP="00721D42">
      <w:pPr>
        <w:pStyle w:val="ManualConsidrant"/>
        <w:rPr>
          <w:noProof/>
        </w:rPr>
      </w:pPr>
      <w:r w:rsidRPr="00721D42">
        <w:t>(2)</w:t>
      </w:r>
      <w:r w:rsidRPr="00721D42">
        <w:tab/>
      </w:r>
      <w:r w:rsidR="00301E81" w:rsidRPr="00355231">
        <w:rPr>
          <w:noProof/>
        </w:rPr>
        <w:t>vėliau NAFO 2021 m. rugsėjo mėn. 43-ajame metiniame susitikime priėmė teisiškai privalomų sprendimų dėl jos kompetencijai priklausančių žvejybos išteklių išsaugojimo, susijusių su kvotos „Kiti“ laimikio laikymu, atlantinių menkių, sužvejotų 3M kvadrate, ir juodųjų paltusų iškrovimo inspektavimu uoste, taip pat stebėsena ir sugriežtintomis nuostatomis dėl pažeidimų ir jų vykdymo užtikrinimo;</w:t>
      </w:r>
    </w:p>
    <w:p w14:paraId="148C75B1" w14:textId="3ECB83A4" w:rsidR="004F45C9" w:rsidRPr="00355231" w:rsidRDefault="00721D42" w:rsidP="00721D42">
      <w:pPr>
        <w:pStyle w:val="ManualConsidrant"/>
        <w:rPr>
          <w:noProof/>
        </w:rPr>
      </w:pPr>
      <w:r w:rsidRPr="00721D42">
        <w:t>(3)</w:t>
      </w:r>
      <w:r w:rsidRPr="00721D42">
        <w:tab/>
      </w:r>
      <w:r w:rsidR="004F45C9" w:rsidRPr="00355231">
        <w:rPr>
          <w:noProof/>
        </w:rPr>
        <w:t>šie sprendimai skirti NAFO susitariančiosioms šalims ir jais taip pat nustatomi įpareigojimai veiklos vykdytojams. 2021 m. gruodžio 2 d. įsigaliojusios NAFO išsaugojimo ir vykdymo užtikrinimo priemonės (CEM) yra privalomos visoms NAFO susitariančiosioms šalims. Sąjungos teisėje turi būti įgyvendinti tik tie jų elementai, kurie joje dar nėra numatyti;</w:t>
      </w:r>
    </w:p>
    <w:p w14:paraId="6B8BD573" w14:textId="2C43C439" w:rsidR="00301E81" w:rsidRPr="00355231" w:rsidRDefault="00721D42" w:rsidP="00721D42">
      <w:pPr>
        <w:pStyle w:val="ManualConsidrant"/>
        <w:rPr>
          <w:noProof/>
        </w:rPr>
      </w:pPr>
      <w:r w:rsidRPr="00721D42">
        <w:t>(4)</w:t>
      </w:r>
      <w:r w:rsidRPr="00721D42">
        <w:tab/>
      </w:r>
      <w:r w:rsidR="004F45C9" w:rsidRPr="00355231">
        <w:rPr>
          <w:noProof/>
        </w:rPr>
        <w:t>todėl Reglamentas (ES) 2019/833 turėtų būti iš dalies pakeistas, kad naująsias NAFO priemones būtų galima taikyti Sąjungos žvejybos laivams;</w:t>
      </w:r>
    </w:p>
    <w:p w14:paraId="6F9C121B" w14:textId="4E2CEB18" w:rsidR="00BD3827" w:rsidRPr="00355231" w:rsidRDefault="00721D42" w:rsidP="00721D42">
      <w:pPr>
        <w:pStyle w:val="ManualConsidrant"/>
        <w:rPr>
          <w:noProof/>
        </w:rPr>
      </w:pPr>
      <w:r w:rsidRPr="00721D42">
        <w:t>(5)</w:t>
      </w:r>
      <w:r w:rsidRPr="00721D42">
        <w:tab/>
      </w:r>
      <w:r w:rsidR="004F45C9" w:rsidRPr="00355231">
        <w:rPr>
          <w:noProof/>
        </w:rPr>
        <w:t xml:space="preserve">tam tikros CEM nuostatos greičiausiai bus iš dalies keičiamos būsimuose NAFO metiniuose susitikimuose, nes pasikeitus išteklių biomasei ir peržiūrėjus nuostatas dėl rajonų, kuriuose ribojama dugninė žvejyba, bus įvesta naujų techninių priemonių. Taigi tam, kad tokius būsimus CEM pakeitimus būtų galima greitai įgyvendinti Sąjungos teisėje dar prieš prasidedant žvejybos sezonui, pagal Sutarties dėl Europos Sąjungos veikimo 290 straipsnį Komisijai turėtų būti deleguoti įgaliojimai priimti aktus dėl juodiesiems paltusams skirtų iškrovimo ir inspektavimo priemonių ir atlantinėms menkėms 3M kvadrate skirtų kontrolės priemonių; </w:t>
      </w:r>
    </w:p>
    <w:p w14:paraId="6E8887EC" w14:textId="5F68AFCB" w:rsidR="004F45C9" w:rsidRPr="00355231" w:rsidRDefault="00721D42" w:rsidP="00721D42">
      <w:pPr>
        <w:pStyle w:val="ManualConsidrant"/>
        <w:rPr>
          <w:noProof/>
        </w:rPr>
      </w:pPr>
      <w:r w:rsidRPr="00721D42">
        <w:t>(6)</w:t>
      </w:r>
      <w:r w:rsidRPr="00721D42">
        <w:tab/>
      </w:r>
      <w:r w:rsidR="004F45C9" w:rsidRPr="00355231">
        <w:rPr>
          <w:noProof/>
        </w:rPr>
        <w:t>ypač svarbu, kad atlikdama parengiamąjį darbą Komisija tinkamai konsultuotųsi, taip pat ir su ekspertais, ir kad tos konsultacijos būtų vykdomos vadovaujantis 2016 m. balandžio 13 d. Tarpinstituciniame susitarime dėl geresnės teisėkūros</w:t>
      </w:r>
      <w:r w:rsidR="004F45C9" w:rsidRPr="00355231">
        <w:rPr>
          <w:rStyle w:val="FootnoteReference0"/>
          <w:noProof/>
        </w:rPr>
        <w:footnoteReference w:id="4"/>
      </w:r>
      <w:r w:rsidR="004F45C9" w:rsidRPr="00355231">
        <w:rPr>
          <w:noProof/>
        </w:rPr>
        <w:t xml:space="preserve"> nustatytais principais. Visų pirma siekiant užtikrinti vienodas galimybes dalyvauti atliekant su deleguotaisiais aktais susijusį parengiamąjį darbą, Europos Parlamentas ir Taryba visus dokumentus turėtų gauti tuo pačiu metu kaip ir valstybių narių ekspertai, o jų ekspertams turėtų būti sistemingai suteikiama galimybė dalyvauti Komisijos ekspertų grupių, kurios atlieka su deleguotaisiais aktais susijusį parengiamąjį darbą, posėdžiuose;</w:t>
      </w:r>
    </w:p>
    <w:p w14:paraId="06D35F5A" w14:textId="415E72D8" w:rsidR="004F45C9" w:rsidRPr="00355231" w:rsidRDefault="00721D42" w:rsidP="00721D42">
      <w:pPr>
        <w:pStyle w:val="ManualConsidrant"/>
        <w:rPr>
          <w:noProof/>
        </w:rPr>
      </w:pPr>
      <w:r w:rsidRPr="00721D42">
        <w:t>(7)</w:t>
      </w:r>
      <w:r w:rsidRPr="00721D42">
        <w:tab/>
      </w:r>
      <w:r w:rsidR="004F45C9" w:rsidRPr="00355231">
        <w:rPr>
          <w:noProof/>
        </w:rPr>
        <w:t>todėl Reglamentas (ES) 2019/833 turėtų būti atitinkamai iš dalies pakeistas,</w:t>
      </w:r>
    </w:p>
    <w:p w14:paraId="75FDA17C" w14:textId="77777777" w:rsidR="001D7DF8" w:rsidRPr="00355231" w:rsidRDefault="001D7DF8" w:rsidP="006D42BA">
      <w:pPr>
        <w:pStyle w:val="Formuledadoption"/>
        <w:rPr>
          <w:noProof/>
        </w:rPr>
      </w:pPr>
      <w:r w:rsidRPr="00355231">
        <w:rPr>
          <w:noProof/>
        </w:rPr>
        <w:t>PRIĖMĖ ŠĮ REGLAMENTĄ:</w:t>
      </w:r>
    </w:p>
    <w:p w14:paraId="1E290F2E" w14:textId="77777777" w:rsidR="004F45C9" w:rsidRPr="00355231" w:rsidRDefault="004F45C9" w:rsidP="004F45C9">
      <w:pPr>
        <w:pStyle w:val="Titrearticle"/>
        <w:rPr>
          <w:noProof/>
        </w:rPr>
      </w:pPr>
      <w:r w:rsidRPr="00355231">
        <w:rPr>
          <w:noProof/>
        </w:rPr>
        <w:t>1 straipsnis</w:t>
      </w:r>
    </w:p>
    <w:p w14:paraId="28381860" w14:textId="77777777" w:rsidR="004F45C9" w:rsidRPr="00355231" w:rsidRDefault="004F45C9" w:rsidP="004F45C9">
      <w:pPr>
        <w:jc w:val="center"/>
        <w:rPr>
          <w:b/>
          <w:noProof/>
        </w:rPr>
      </w:pPr>
      <w:r w:rsidRPr="00355231">
        <w:rPr>
          <w:b/>
          <w:noProof/>
        </w:rPr>
        <w:t>Reglamento (ES) 2019/833 pakeitimai</w:t>
      </w:r>
    </w:p>
    <w:p w14:paraId="0B0BEB5A" w14:textId="77777777" w:rsidR="004F45C9" w:rsidRPr="00355231" w:rsidRDefault="004F45C9" w:rsidP="004F45C9">
      <w:pPr>
        <w:rPr>
          <w:noProof/>
        </w:rPr>
      </w:pPr>
      <w:r w:rsidRPr="00355231">
        <w:rPr>
          <w:noProof/>
        </w:rPr>
        <w:t>Reglamentas (ES) 2019/833 iš dalies keičiamas taip:</w:t>
      </w:r>
    </w:p>
    <w:p w14:paraId="65E5CCFB" w14:textId="793D57CE" w:rsidR="00DC0001" w:rsidRPr="00355231" w:rsidRDefault="00721D42" w:rsidP="00721D42">
      <w:pPr>
        <w:pStyle w:val="Point0"/>
        <w:rPr>
          <w:noProof/>
        </w:rPr>
      </w:pPr>
      <w:r w:rsidRPr="00721D42">
        <w:t>(1)</w:t>
      </w:r>
      <w:r w:rsidRPr="00721D42">
        <w:tab/>
      </w:r>
      <w:r w:rsidR="00DC0001" w:rsidRPr="00355231">
        <w:rPr>
          <w:noProof/>
        </w:rPr>
        <w:t>7 straipsnio 3 dalies d punktas pakeičiamas taip:</w:t>
      </w:r>
    </w:p>
    <w:p w14:paraId="67BB2EE0" w14:textId="1D29C872" w:rsidR="00DC5FAE" w:rsidRPr="00355231" w:rsidRDefault="00DC0001" w:rsidP="00DC0001">
      <w:pPr>
        <w:ind w:left="720"/>
        <w:rPr>
          <w:noProof/>
        </w:rPr>
      </w:pPr>
      <w:r w:rsidRPr="00355231">
        <w:rPr>
          <w:noProof/>
        </w:rPr>
        <w:t>„d) išteklių, kurių žvejyba draudžiama (moratoriumas), arba išteklių, kuriems taikoma kvota „Kiti“ yra visiškai išnaudota, individų – 1 250 kg arba 5 % (taikomas didesnis dydis), tuo atveju, kai susitariančiosios šalys pranešė apie kvotos „Kiti“ panaudojimą pagal šio reglamento 6 straipsnį;“;</w:t>
      </w:r>
    </w:p>
    <w:p w14:paraId="76484A07" w14:textId="6940E27A" w:rsidR="00F52DE2" w:rsidRPr="00355231" w:rsidRDefault="00721D42" w:rsidP="00721D42">
      <w:pPr>
        <w:pStyle w:val="Point0"/>
        <w:rPr>
          <w:noProof/>
        </w:rPr>
      </w:pPr>
      <w:r w:rsidRPr="00721D42">
        <w:t>(2)</w:t>
      </w:r>
      <w:r w:rsidRPr="00721D42">
        <w:tab/>
      </w:r>
      <w:r w:rsidR="00486F6B" w:rsidRPr="00355231">
        <w:rPr>
          <w:noProof/>
        </w:rPr>
        <w:t xml:space="preserve">9a straipsnio 1 dalies c punkto pirmas sakinys pakeičiamas taip: </w:t>
      </w:r>
    </w:p>
    <w:p w14:paraId="77C0342E" w14:textId="0EEDFF1C" w:rsidR="00BD3827" w:rsidRPr="00355231" w:rsidRDefault="00927B81" w:rsidP="002C003E">
      <w:pPr>
        <w:ind w:left="850" w:firstLine="1"/>
        <w:rPr>
          <w:noProof/>
        </w:rPr>
      </w:pPr>
      <w:r w:rsidRPr="00355231">
        <w:rPr>
          <w:noProof/>
          <w:shd w:val="clear" w:color="auto" w:fill="FFFFFF"/>
        </w:rPr>
        <w:t xml:space="preserve">„kiekviena valstybė narė inspektuoja bent 50 % jos uostuose iškraunamo arba perkraunamo 3M kvadrate sužvejoto atlantinių menkių laimikio, parengia šio reglamento priedo 9 punkte nurodytame CEM IV.C priede nustatytos formos inspektavimo ataskaitą ir išsiunčia ją NAFO vykdomajam sekretoriui, o jos kopiją – Komisijai ir EŽKA per 12 darbo dienų nuo dienos, kurią užbaigiamas inspektavimas.“; </w:t>
      </w:r>
      <w:r w:rsidRPr="00355231">
        <w:rPr>
          <w:noProof/>
        </w:rPr>
        <w:t xml:space="preserve"> </w:t>
      </w:r>
    </w:p>
    <w:p w14:paraId="760BA2C0" w14:textId="5BD3D936" w:rsidR="004F45C9" w:rsidRPr="00355231" w:rsidRDefault="00721D42" w:rsidP="00721D42">
      <w:pPr>
        <w:pStyle w:val="Point0"/>
        <w:rPr>
          <w:noProof/>
        </w:rPr>
      </w:pPr>
      <w:r w:rsidRPr="00721D42">
        <w:t>(3)</w:t>
      </w:r>
      <w:r w:rsidRPr="00721D42">
        <w:tab/>
      </w:r>
      <w:r w:rsidR="00267756" w:rsidRPr="00355231">
        <w:rPr>
          <w:noProof/>
        </w:rPr>
        <w:t xml:space="preserve">10 straipsnio 1 dalies e punkto pirmas sakinys pakeičiamas taip: </w:t>
      </w:r>
    </w:p>
    <w:p w14:paraId="26AA5500" w14:textId="30ECF7F0" w:rsidR="001875F2" w:rsidRPr="00355231" w:rsidRDefault="00BD3827" w:rsidP="009B2628">
      <w:pPr>
        <w:ind w:left="850" w:firstLine="1"/>
        <w:rPr>
          <w:noProof/>
        </w:rPr>
      </w:pPr>
      <w:r w:rsidRPr="00355231">
        <w:rPr>
          <w:noProof/>
        </w:rPr>
        <w:t>„e) kiekviena valstybė narė inspektuoja kiekvieną jos uostuose iškraunamą juodųjų paltusų kiekį, jei laive esantis šio ištekliaus kiekis sudaro daugiau nei 5 % bendro laimikio arba daugiau nei 2 500 kg, parengia šio reglamento priedo 9 punkte nurodytame CEM IV.C priede nustatytos formos inspektavimo ataskaitą ir išsiunčia ją NAFO vykdomajam sekretoriui, o jos kopiją – Komisijai ir EŽKA per 14 darbo dienų nuo dienos, kurią užbaigiamas inspektavimas.“;</w:t>
      </w:r>
      <w:r w:rsidRPr="00355231">
        <w:rPr>
          <w:noProof/>
          <w:shd w:val="clear" w:color="auto" w:fill="FFFFFF"/>
        </w:rPr>
        <w:t xml:space="preserve"> </w:t>
      </w:r>
    </w:p>
    <w:p w14:paraId="51AE3612" w14:textId="6087FBCD" w:rsidR="004B285A" w:rsidRPr="00355231" w:rsidRDefault="00721D42" w:rsidP="00721D42">
      <w:pPr>
        <w:pStyle w:val="Point0"/>
        <w:rPr>
          <w:noProof/>
        </w:rPr>
      </w:pPr>
      <w:r w:rsidRPr="00721D42">
        <w:t>(4)</w:t>
      </w:r>
      <w:r w:rsidRPr="00721D42">
        <w:tab/>
      </w:r>
      <w:r w:rsidR="00A37D5E" w:rsidRPr="00355231">
        <w:rPr>
          <w:noProof/>
        </w:rPr>
        <w:t>29 straipsnio 1 dalis pakeičiama taip:</w:t>
      </w:r>
    </w:p>
    <w:p w14:paraId="235D402F" w14:textId="628261C3" w:rsidR="004B285A" w:rsidRPr="00355231" w:rsidRDefault="009904EB" w:rsidP="009B2628">
      <w:pPr>
        <w:ind w:left="850" w:firstLine="1"/>
        <w:rPr>
          <w:noProof/>
        </w:rPr>
      </w:pPr>
      <w:r w:rsidRPr="00355231">
        <w:rPr>
          <w:noProof/>
        </w:rPr>
        <w:t>„Kiekviena valstybė narė kasmet ne vėliau kaip lapkričio 1 d. EŽKA (su kopija Komisijai) nusiunčia toliau nurodytą informaciją, o pastaroji užtikrina, kad ta informacija būtų perduota NAFO vykdomajam sekretoriui:</w:t>
      </w:r>
    </w:p>
    <w:p w14:paraId="1C24CC09" w14:textId="4AFD70F2" w:rsidR="00A37D5E" w:rsidRPr="00355231" w:rsidRDefault="00BD3827" w:rsidP="009B2628">
      <w:pPr>
        <w:ind w:left="850" w:firstLine="1"/>
        <w:rPr>
          <w:noProof/>
        </w:rPr>
      </w:pPr>
      <w:r w:rsidRPr="00355231">
        <w:rPr>
          <w:noProof/>
        </w:rPr>
        <w:t>a) kompetentingos institucijos, kuri veikia kaip kontaktinis centras, kai reikia skubiai pranešti apie reguliuojamame rajone padarytus pažeidimus, kontaktinius duomenis ir visus vėlesnius jų pasikeitimus (ne vėliau kaip likus 15 dienų prieš pasikeitimo įsigaliojimą);</w:t>
      </w:r>
    </w:p>
    <w:p w14:paraId="21E9B69D" w14:textId="55283215" w:rsidR="00A37D5E" w:rsidRPr="00355231" w:rsidRDefault="00A37D5E" w:rsidP="009B2628">
      <w:pPr>
        <w:ind w:left="850" w:firstLine="1"/>
        <w:rPr>
          <w:noProof/>
        </w:rPr>
      </w:pPr>
      <w:r w:rsidRPr="00355231">
        <w:rPr>
          <w:noProof/>
        </w:rPr>
        <w:t>b) inspektorių ir inspektorių stažuotojų vardus ir pavardes ir kiekvienos inspektavimo platformos, kurią ji paskyrė dalyvauti sistemoje, pavadinimą, radijo šaukinį ir kontaktinius duomenis ryšiams palaikyti. Ji taip pat, kai įmanoma, ne vėliau kaip prieš 60 dienų praneša visus šios informacijos pasikeitimus.“;</w:t>
      </w:r>
    </w:p>
    <w:p w14:paraId="4B741747" w14:textId="307DADF9" w:rsidR="00AE6BB7" w:rsidRPr="00355231" w:rsidRDefault="00721D42" w:rsidP="00721D42">
      <w:pPr>
        <w:pStyle w:val="Point0"/>
        <w:rPr>
          <w:noProof/>
        </w:rPr>
      </w:pPr>
      <w:r w:rsidRPr="00721D42">
        <w:t>(5)</w:t>
      </w:r>
      <w:r w:rsidRPr="00721D42">
        <w:tab/>
      </w:r>
      <w:r w:rsidR="00AE6BB7" w:rsidRPr="00355231">
        <w:rPr>
          <w:noProof/>
        </w:rPr>
        <w:t>35 straipsnio 1 dalies g punktas pakeičiamas taip:</w:t>
      </w:r>
    </w:p>
    <w:p w14:paraId="3FADCE38" w14:textId="418FBAE9" w:rsidR="00283646" w:rsidRPr="00355231" w:rsidRDefault="009904EB" w:rsidP="009B2628">
      <w:pPr>
        <w:ind w:left="850" w:firstLine="1"/>
        <w:rPr>
          <w:noProof/>
        </w:rPr>
      </w:pPr>
      <w:r w:rsidRPr="00355231">
        <w:rPr>
          <w:noProof/>
        </w:rPr>
        <w:t>„g) žvejyba naudojant neleidžiamo dydžio akių tinklą arba groteles ar tinklelius, kurių strypeliai nutolę vienas nuo kito neleidžiamu atstumu, arba žvejyba nenaudojant rūšiuojamųjų grotelių ar tinklelių, pažeidžiant 13 arba 14 straipsnį;“;</w:t>
      </w:r>
    </w:p>
    <w:p w14:paraId="09CD0281" w14:textId="7D4DE601" w:rsidR="00AE6BB7" w:rsidRPr="00355231" w:rsidRDefault="00721D42" w:rsidP="00721D42">
      <w:pPr>
        <w:pStyle w:val="Point0"/>
        <w:rPr>
          <w:noProof/>
        </w:rPr>
      </w:pPr>
      <w:r w:rsidRPr="00721D42">
        <w:t>(6)</w:t>
      </w:r>
      <w:r w:rsidRPr="00721D42">
        <w:tab/>
      </w:r>
      <w:r w:rsidR="00AE6BB7" w:rsidRPr="00355231">
        <w:rPr>
          <w:noProof/>
        </w:rPr>
        <w:t>36 straipsnio 1 dalies d punktas pakeičiamas taip:</w:t>
      </w:r>
    </w:p>
    <w:p w14:paraId="589747B5" w14:textId="16EC8E59" w:rsidR="00832DB1" w:rsidRPr="00355231" w:rsidRDefault="009904EB" w:rsidP="00325693">
      <w:pPr>
        <w:ind w:left="850" w:firstLine="1"/>
        <w:rPr>
          <w:noProof/>
        </w:rPr>
      </w:pPr>
      <w:r w:rsidRPr="00355231">
        <w:rPr>
          <w:noProof/>
        </w:rPr>
        <w:t>„užtikrina, kad už pažeidimus, ir tiek, kiek tai įmanoma pagal vidaus teisės aktus, už pakartotinius sunkius pažeidimus, ypač nurodytus 35 straipsnio 3 dalies c punkto iii ir iv papunkčiuose, taikomos sankcijos būtų tinkamo griežtumo ir veiksmingai užtikrintų reikalavimų laikymąsi, atgrasytų nuo kitų pažeidimų ar tų pačių pažeidimų kartojimo ir neleistų pažeidėjams iš pažeidimo gauti naudos.“;</w:t>
      </w:r>
    </w:p>
    <w:p w14:paraId="40E77A94" w14:textId="6EA9A5E3" w:rsidR="002F7560" w:rsidRPr="00355231" w:rsidRDefault="00721D42" w:rsidP="00721D42">
      <w:pPr>
        <w:pStyle w:val="Point0"/>
        <w:rPr>
          <w:noProof/>
        </w:rPr>
      </w:pPr>
      <w:r w:rsidRPr="00721D42">
        <w:t>(7)</w:t>
      </w:r>
      <w:r w:rsidRPr="00721D42">
        <w:tab/>
      </w:r>
      <w:r w:rsidR="002F7560" w:rsidRPr="00355231">
        <w:rPr>
          <w:noProof/>
        </w:rPr>
        <w:t>36 straipsnio 2 dalis papildoma e ir f punktais:</w:t>
      </w:r>
    </w:p>
    <w:p w14:paraId="0B5668AB" w14:textId="18A13DCC" w:rsidR="002F7560" w:rsidRPr="00355231" w:rsidRDefault="00FA58C6" w:rsidP="00AE3515">
      <w:pPr>
        <w:ind w:left="850" w:firstLine="1"/>
        <w:rPr>
          <w:noProof/>
        </w:rPr>
      </w:pPr>
      <w:r w:rsidRPr="00355231">
        <w:rPr>
          <w:noProof/>
        </w:rPr>
        <w:t xml:space="preserve">„e) sugriežtintus ar papildomus ataskaitų teikimo reikalavimus, </w:t>
      </w:r>
      <w:r w:rsidRPr="00355231">
        <w:rPr>
          <w:i/>
          <w:noProof/>
        </w:rPr>
        <w:t>inter alia</w:t>
      </w:r>
      <w:r w:rsidRPr="00355231">
        <w:rPr>
          <w:noProof/>
        </w:rPr>
        <w:t xml:space="preserve">, reikalavimą dažniau teikti ataskaitas arba papildomus duomenis; </w:t>
      </w:r>
    </w:p>
    <w:p w14:paraId="0CFA26FD" w14:textId="315D5BBA" w:rsidR="002F7560" w:rsidRPr="00355231" w:rsidRDefault="002F7560" w:rsidP="00AE3515">
      <w:pPr>
        <w:ind w:left="850" w:firstLine="1"/>
        <w:rPr>
          <w:noProof/>
        </w:rPr>
      </w:pPr>
      <w:r w:rsidRPr="00355231">
        <w:rPr>
          <w:noProof/>
        </w:rPr>
        <w:t xml:space="preserve">f) sugriežtintus ar papildomus stebėsenos reikalavimus, </w:t>
      </w:r>
      <w:r w:rsidRPr="00355231">
        <w:rPr>
          <w:i/>
          <w:noProof/>
        </w:rPr>
        <w:t>inter alia</w:t>
      </w:r>
      <w:r w:rsidRPr="00355231">
        <w:rPr>
          <w:noProof/>
        </w:rPr>
        <w:t>, stebėtojo ar inspektoriaus išsiuntimą į laivą arba nuotolinį elektroninį stebėjimą, vykdomą pagal NAFO rajone veiklą vykdantiems žvejybos laivams skirtas atitinkamas technines specifikacijas.“;</w:t>
      </w:r>
    </w:p>
    <w:p w14:paraId="73B67A98" w14:textId="33416417" w:rsidR="005141D5" w:rsidRPr="00355231" w:rsidRDefault="00721D42" w:rsidP="00721D42">
      <w:pPr>
        <w:pStyle w:val="Point0"/>
        <w:rPr>
          <w:noProof/>
        </w:rPr>
      </w:pPr>
      <w:r w:rsidRPr="00721D42">
        <w:t>(8)</w:t>
      </w:r>
      <w:r w:rsidRPr="00721D42">
        <w:tab/>
      </w:r>
      <w:r w:rsidR="005141D5" w:rsidRPr="00355231">
        <w:rPr>
          <w:noProof/>
        </w:rPr>
        <w:t>40 straipsnio 3 dalies antras sakinys pakeičiamas taip:</w:t>
      </w:r>
    </w:p>
    <w:p w14:paraId="3A8A0C62" w14:textId="07D86725" w:rsidR="005141D5" w:rsidRPr="00355231" w:rsidRDefault="0097537C" w:rsidP="00E75BA0">
      <w:pPr>
        <w:ind w:left="851"/>
        <w:rPr>
          <w:noProof/>
        </w:rPr>
      </w:pPr>
      <w:r w:rsidRPr="00355231">
        <w:rPr>
          <w:noProof/>
        </w:rPr>
        <w:t xml:space="preserve">„Komisija šią informaciją persiunčia NAFO vykdomajam sekretoriui.“; </w:t>
      </w:r>
    </w:p>
    <w:p w14:paraId="0620F15D" w14:textId="3130ABF3" w:rsidR="00085557" w:rsidRPr="00355231" w:rsidRDefault="00721D42" w:rsidP="00721D42">
      <w:pPr>
        <w:pStyle w:val="Point0"/>
        <w:rPr>
          <w:noProof/>
        </w:rPr>
      </w:pPr>
      <w:r w:rsidRPr="00721D42">
        <w:t>(9)</w:t>
      </w:r>
      <w:r w:rsidRPr="00721D42">
        <w:tab/>
      </w:r>
      <w:r w:rsidR="00805F4E" w:rsidRPr="00355231">
        <w:rPr>
          <w:noProof/>
        </w:rPr>
        <w:t xml:space="preserve">50 straipsnio 2 dalis iš dalies keičiama taip: </w:t>
      </w:r>
    </w:p>
    <w:p w14:paraId="5D09EC7B" w14:textId="7E9F66BD" w:rsidR="00805F4E" w:rsidRPr="00355231" w:rsidRDefault="00085557" w:rsidP="00E75BA0">
      <w:pPr>
        <w:ind w:left="130" w:firstLine="720"/>
        <w:rPr>
          <w:noProof/>
        </w:rPr>
      </w:pPr>
      <w:r w:rsidRPr="00355231">
        <w:rPr>
          <w:noProof/>
        </w:rPr>
        <w:t>a) c punktas pakeičiamas taip:</w:t>
      </w:r>
    </w:p>
    <w:p w14:paraId="60C22590" w14:textId="0A18F74E" w:rsidR="00AE6BB7" w:rsidRPr="00355231" w:rsidRDefault="00085557" w:rsidP="00E75BA0">
      <w:pPr>
        <w:ind w:left="850"/>
        <w:rPr>
          <w:noProof/>
        </w:rPr>
      </w:pPr>
      <w:r w:rsidRPr="00355231">
        <w:rPr>
          <w:noProof/>
        </w:rPr>
        <w:t xml:space="preserve">„c) procedūrų, taikomų laivams, kuriuose bendro laikomo laimikio gyvasis svoris yra didesnis kaip 50 tonų, įplaukiantiems į reguliuojamą rajoną žvejoti juodųjų paltusų, dėl 10 straipsnio 2 dalies a ir b punktuose nurodytų pranešimų turinio ir 10 straipsnio 2 dalies d punkte nurodytų žvejybos pradžios sąlygų, taip pat dėl juodiesiems paltusams skirtų iškrovimo ir inspektavimo nuostatų, nustatytų 10 straipsnio 1 dalies e punkte;“; </w:t>
      </w:r>
    </w:p>
    <w:p w14:paraId="13280152" w14:textId="7F23AAE3" w:rsidR="00805F4E" w:rsidRPr="00355231" w:rsidRDefault="00085557" w:rsidP="00E75BA0">
      <w:pPr>
        <w:ind w:left="130" w:firstLine="720"/>
        <w:rPr>
          <w:noProof/>
        </w:rPr>
      </w:pPr>
      <w:r w:rsidRPr="00355231">
        <w:rPr>
          <w:noProof/>
        </w:rPr>
        <w:t>b) įrašomas l punktas:</w:t>
      </w:r>
    </w:p>
    <w:p w14:paraId="00C771DF" w14:textId="0B134433" w:rsidR="00805F4E" w:rsidRPr="00355231" w:rsidRDefault="00BD3827" w:rsidP="00E75BA0">
      <w:pPr>
        <w:ind w:left="130" w:firstLine="720"/>
        <w:rPr>
          <w:noProof/>
        </w:rPr>
      </w:pPr>
      <w:r w:rsidRPr="00355231">
        <w:rPr>
          <w:noProof/>
        </w:rPr>
        <w:t>„l) 3M kvadrate sužvejotoms atlantinėms menkėms skirtų kontrolės priemonių, nustatytų 9a straipsnyje.“</w:t>
      </w:r>
    </w:p>
    <w:p w14:paraId="6C8A099A" w14:textId="77777777" w:rsidR="004F45C9" w:rsidRPr="00355231" w:rsidRDefault="004F45C9" w:rsidP="004F45C9">
      <w:pPr>
        <w:pStyle w:val="Titrearticle"/>
        <w:rPr>
          <w:noProof/>
        </w:rPr>
      </w:pPr>
      <w:r w:rsidRPr="00355231">
        <w:rPr>
          <w:noProof/>
        </w:rPr>
        <w:t>2 straipsnis</w:t>
      </w:r>
    </w:p>
    <w:p w14:paraId="069F5C86" w14:textId="77777777" w:rsidR="004F45C9" w:rsidRPr="00355231" w:rsidRDefault="004F45C9" w:rsidP="004F45C9">
      <w:pPr>
        <w:rPr>
          <w:noProof/>
        </w:rPr>
      </w:pPr>
      <w:r w:rsidRPr="00355231">
        <w:rPr>
          <w:noProof/>
        </w:rPr>
        <w:t xml:space="preserve">Šis reglamentas įsigalioja dvidešimtą dieną po jo paskelbimo </w:t>
      </w:r>
      <w:r w:rsidRPr="00355231">
        <w:rPr>
          <w:i/>
          <w:noProof/>
        </w:rPr>
        <w:t>Europos Sąjungos oficialiajame leidinyje</w:t>
      </w:r>
      <w:r w:rsidRPr="00355231">
        <w:rPr>
          <w:noProof/>
        </w:rPr>
        <w:t>.</w:t>
      </w:r>
    </w:p>
    <w:p w14:paraId="2AAD32A9" w14:textId="77777777" w:rsidR="004F45C9" w:rsidRPr="00355231" w:rsidRDefault="004F45C9" w:rsidP="004F45C9">
      <w:pPr>
        <w:pStyle w:val="Applicationdirecte"/>
        <w:rPr>
          <w:noProof/>
        </w:rPr>
      </w:pPr>
      <w:r w:rsidRPr="00355231">
        <w:rPr>
          <w:noProof/>
        </w:rPr>
        <w:t>Šis reglamentas privalomas visas ir tiesiogiai taikomas visose valstybėse narėse.</w:t>
      </w:r>
    </w:p>
    <w:p w14:paraId="517D36CA" w14:textId="45875477" w:rsidR="004F45C9" w:rsidRPr="00355231" w:rsidRDefault="00D339B9" w:rsidP="00837D6A">
      <w:pPr>
        <w:pStyle w:val="Fait"/>
        <w:rPr>
          <w:noProof/>
        </w:rPr>
      </w:pPr>
      <w:r w:rsidRPr="00D339B9">
        <w:t>Priimta Briuselyje</w:t>
      </w:r>
    </w:p>
    <w:p w14:paraId="4BABC277" w14:textId="77777777" w:rsidR="004F45C9" w:rsidRPr="00355231" w:rsidRDefault="004F45C9" w:rsidP="00837D6A">
      <w:pPr>
        <w:pStyle w:val="Institutionquisigne"/>
        <w:rPr>
          <w:noProof/>
        </w:rPr>
      </w:pPr>
      <w:r w:rsidRPr="00355231">
        <w:rPr>
          <w:noProof/>
        </w:rPr>
        <w:t>Europos Parlamento vardu</w:t>
      </w:r>
      <w:r w:rsidRPr="00355231">
        <w:rPr>
          <w:noProof/>
        </w:rPr>
        <w:tab/>
        <w:t>Tarybos vardu</w:t>
      </w:r>
    </w:p>
    <w:p w14:paraId="17503C54" w14:textId="77777777" w:rsidR="004F45C9" w:rsidRPr="00355231" w:rsidRDefault="004F45C9" w:rsidP="00837D6A">
      <w:pPr>
        <w:pStyle w:val="Personnequisigne"/>
        <w:keepNext/>
        <w:rPr>
          <w:noProof/>
        </w:rPr>
      </w:pPr>
      <w:r w:rsidRPr="00355231">
        <w:rPr>
          <w:noProof/>
        </w:rPr>
        <w:t>Pirmininkas</w:t>
      </w:r>
      <w:r w:rsidRPr="00355231">
        <w:rPr>
          <w:noProof/>
        </w:rPr>
        <w:tab/>
        <w:t>Pirmininkas</w:t>
      </w:r>
    </w:p>
    <w:p w14:paraId="7C2727F9" w14:textId="77777777" w:rsidR="001D7DF8" w:rsidRPr="00355231" w:rsidRDefault="001D7DF8" w:rsidP="001D7DF8">
      <w:pPr>
        <w:pStyle w:val="Personnequisigne"/>
        <w:rPr>
          <w:noProof/>
        </w:rPr>
      </w:pPr>
    </w:p>
    <w:sectPr w:rsidR="001D7DF8" w:rsidRPr="00355231" w:rsidSect="00BF1E3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712B3" w14:textId="77777777" w:rsidR="001D7DF8" w:rsidRDefault="001D7DF8" w:rsidP="001D7DF8">
      <w:pPr>
        <w:spacing w:before="0" w:after="0"/>
      </w:pPr>
      <w:r>
        <w:separator/>
      </w:r>
    </w:p>
  </w:endnote>
  <w:endnote w:type="continuationSeparator" w:id="0">
    <w:p w14:paraId="10C54997" w14:textId="77777777" w:rsidR="001D7DF8" w:rsidRDefault="001D7DF8" w:rsidP="001D7D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178B" w14:textId="77777777" w:rsidR="00BF1E30" w:rsidRPr="00BF1E30" w:rsidRDefault="00BF1E30" w:rsidP="00BF1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CBEC3" w14:textId="1BC6E04F" w:rsidR="001D7DF8" w:rsidRPr="00BF1E30" w:rsidRDefault="00BF1E30" w:rsidP="00BF1E30">
    <w:pPr>
      <w:pStyle w:val="Footer"/>
      <w:rPr>
        <w:rFonts w:ascii="Arial" w:hAnsi="Arial" w:cs="Arial"/>
        <w:b/>
        <w:sz w:val="48"/>
      </w:rPr>
    </w:pPr>
    <w:r w:rsidRPr="00BF1E30">
      <w:rPr>
        <w:rFonts w:ascii="Arial" w:hAnsi="Arial" w:cs="Arial"/>
        <w:b/>
        <w:sz w:val="48"/>
      </w:rPr>
      <w:t>LT</w:t>
    </w:r>
    <w:r w:rsidRPr="00BF1E30">
      <w:rPr>
        <w:rFonts w:ascii="Arial" w:hAnsi="Arial" w:cs="Arial"/>
        <w:b/>
        <w:sz w:val="48"/>
      </w:rPr>
      <w:tab/>
    </w:r>
    <w:r w:rsidRPr="00BF1E30">
      <w:rPr>
        <w:rFonts w:ascii="Arial" w:hAnsi="Arial" w:cs="Arial"/>
        <w:b/>
        <w:sz w:val="48"/>
      </w:rPr>
      <w:tab/>
    </w:r>
    <w:r w:rsidRPr="00BF1E30">
      <w:tab/>
    </w:r>
    <w:r w:rsidRPr="00BF1E30">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5EF63" w14:textId="77777777" w:rsidR="00BF1E30" w:rsidRPr="00BF1E30" w:rsidRDefault="00BF1E30" w:rsidP="00BF1E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3B256" w14:textId="37E1FE75" w:rsidR="00BF1E30" w:rsidRPr="00BF1E30" w:rsidRDefault="00BF1E30" w:rsidP="00BF1E30">
    <w:pPr>
      <w:pStyle w:val="Footer"/>
      <w:rPr>
        <w:rFonts w:ascii="Arial" w:hAnsi="Arial" w:cs="Arial"/>
        <w:b/>
        <w:sz w:val="48"/>
      </w:rPr>
    </w:pPr>
    <w:r w:rsidRPr="00BF1E30">
      <w:rPr>
        <w:rFonts w:ascii="Arial" w:hAnsi="Arial" w:cs="Arial"/>
        <w:b/>
        <w:sz w:val="48"/>
      </w:rPr>
      <w:t>LT</w:t>
    </w:r>
    <w:r w:rsidRPr="00BF1E30">
      <w:rPr>
        <w:rFonts w:ascii="Arial" w:hAnsi="Arial" w:cs="Arial"/>
        <w:b/>
        <w:sz w:val="48"/>
      </w:rPr>
      <w:tab/>
    </w:r>
    <w:r>
      <w:fldChar w:fldCharType="begin"/>
    </w:r>
    <w:r>
      <w:instrText xml:space="preserve"> PAGE  \* MERGEFORMAT </w:instrText>
    </w:r>
    <w:r>
      <w:fldChar w:fldCharType="separate"/>
    </w:r>
    <w:r w:rsidR="00837D6A">
      <w:rPr>
        <w:noProof/>
      </w:rPr>
      <w:t>7</w:t>
    </w:r>
    <w:r>
      <w:fldChar w:fldCharType="end"/>
    </w:r>
    <w:r>
      <w:tab/>
    </w:r>
    <w:r w:rsidRPr="00BF1E30">
      <w:tab/>
    </w:r>
    <w:r w:rsidRPr="00BF1E30">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36F9" w14:textId="77777777" w:rsidR="00BF1E30" w:rsidRPr="00BF1E30" w:rsidRDefault="00BF1E30" w:rsidP="00BF1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4080" w14:textId="77777777" w:rsidR="001D7DF8" w:rsidRDefault="001D7DF8" w:rsidP="001D7DF8">
      <w:pPr>
        <w:spacing w:before="0" w:after="0"/>
      </w:pPr>
      <w:r>
        <w:separator/>
      </w:r>
    </w:p>
  </w:footnote>
  <w:footnote w:type="continuationSeparator" w:id="0">
    <w:p w14:paraId="301B48A7" w14:textId="77777777" w:rsidR="001D7DF8" w:rsidRDefault="001D7DF8" w:rsidP="001D7DF8">
      <w:pPr>
        <w:spacing w:before="0" w:after="0"/>
      </w:pPr>
      <w:r>
        <w:continuationSeparator/>
      </w:r>
    </w:p>
  </w:footnote>
  <w:footnote w:id="1">
    <w:p w14:paraId="6A8C6476" w14:textId="1DC1FB91" w:rsidR="001D7DF8" w:rsidRDefault="001D7DF8" w:rsidP="006D42BA">
      <w:pPr>
        <w:pStyle w:val="FootnoteText"/>
      </w:pPr>
      <w:r>
        <w:rPr>
          <w:rStyle w:val="FootnoteReference0"/>
        </w:rPr>
        <w:footnoteRef/>
      </w:r>
      <w:r>
        <w:tab/>
        <w:t>OL C , , p. .</w:t>
      </w:r>
    </w:p>
  </w:footnote>
  <w:footnote w:id="2">
    <w:p w14:paraId="26F6E5D9" w14:textId="77777777" w:rsidR="004F45C9" w:rsidRPr="00F645AE" w:rsidRDefault="004F45C9" w:rsidP="004F45C9">
      <w:pPr>
        <w:pStyle w:val="FootnoteText"/>
      </w:pPr>
      <w:r>
        <w:rPr>
          <w:rStyle w:val="FootnoteReference0"/>
        </w:rPr>
        <w:footnoteRef/>
      </w:r>
      <w:r>
        <w:tab/>
        <w:t>2019 m. gegužės 20 d. Europos Parlamento ir Tarybos reglamentas (ES) 2019/833, kuriuo nustatomos išsaugojimo ir vykdymo užtikrinimo priemonės, taikytinos Žvejybos šiaurės vakarų Atlante organizacijos reguliuojamame rajone, iš dalies keičiamas Reglamentas (ES) 2016/1627 ir panaikinami Tarybos reglamentai (EB) Nr. 2115/2005 ir (EB) Nr. 1386/2007 (OL L 141, 2019 5 28, p. 1).</w:t>
      </w:r>
    </w:p>
  </w:footnote>
  <w:footnote w:id="3">
    <w:p w14:paraId="68DC8DA5" w14:textId="3F7A36CF" w:rsidR="00301E81" w:rsidRPr="00301E81" w:rsidRDefault="00301E81">
      <w:pPr>
        <w:pStyle w:val="FootnoteText"/>
      </w:pPr>
      <w:r>
        <w:rPr>
          <w:rStyle w:val="FootnoteReference0"/>
        </w:rPr>
        <w:footnoteRef/>
      </w:r>
      <w:r>
        <w:tab/>
        <w:t>2021 m. liepos 14 d. Europos Parlamento ir Tarybos reglamentas (ES) 2021/1231, kuriuo iš dalies keičiamas Reglamentas (ES) 2019/833, kuriuo nustatomos išsaugojimo ir vykdymo užtikrinimo priemonės, taikytinos Žvejybos šiaurės vakarų Atlante organizacijos reguliuojamame rajone (OL L 274, 2021 7 30, p. 32).</w:t>
      </w:r>
    </w:p>
  </w:footnote>
  <w:footnote w:id="4">
    <w:p w14:paraId="7032EEA5" w14:textId="77777777" w:rsidR="004F45C9" w:rsidRPr="00BC15AB" w:rsidRDefault="004F45C9" w:rsidP="004F45C9">
      <w:pPr>
        <w:spacing w:before="0" w:after="0"/>
        <w:ind w:left="851" w:hanging="851"/>
        <w:jc w:val="left"/>
        <w:rPr>
          <w:noProof/>
          <w:sz w:val="20"/>
          <w:szCs w:val="20"/>
        </w:rPr>
      </w:pPr>
      <w:r>
        <w:rPr>
          <w:rStyle w:val="FootnoteReference0"/>
        </w:rPr>
        <w:footnoteRef/>
      </w:r>
      <w:r>
        <w:tab/>
      </w:r>
      <w:r>
        <w:rPr>
          <w:sz w:val="20"/>
          <w:szCs w:val="20"/>
        </w:rPr>
        <w:t>OL L 123, 2016 5 12,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0AD1" w14:textId="77777777" w:rsidR="00BF1E30" w:rsidRPr="00BF1E30" w:rsidRDefault="00BF1E30" w:rsidP="00BF1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03FF" w14:textId="77777777" w:rsidR="00BF1E30" w:rsidRPr="00BF1E30" w:rsidRDefault="00BF1E30" w:rsidP="00BF1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023F" w14:textId="77777777" w:rsidR="00BF1E30" w:rsidRPr="00BF1E30" w:rsidRDefault="00BF1E30" w:rsidP="00BF1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F1CAF5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FC6355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B58382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152DD2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106BF1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FEA45C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914C30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770145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7A5496"/>
    <w:multiLevelType w:val="hybridMultilevel"/>
    <w:tmpl w:val="8916A7EE"/>
    <w:lvl w:ilvl="0" w:tplc="A7B07E2A">
      <w:start w:val="1"/>
      <w:numFmt w:val="lowerLetter"/>
      <w:pStyle w:val="a-zlist"/>
      <w:lvlText w:val="(%1)"/>
      <w:lvlJc w:val="left"/>
      <w:pPr>
        <w:ind w:left="720" w:hanging="360"/>
      </w:pPr>
      <w:rPr>
        <w:rFonts w:asciiTheme="majorHAnsi" w:eastAsia="Times New Roman" w:hAnsiTheme="majorHAnsi" w:cs="Times New Roman" w:hint="default"/>
        <w:sz w:val="18"/>
      </w:rPr>
    </w:lvl>
    <w:lvl w:ilvl="1" w:tplc="3BBE731E">
      <w:start w:val="1"/>
      <w:numFmt w:val="lowerRoman"/>
      <w:lvlText w:val="(%2)"/>
      <w:lvlJc w:val="right"/>
      <w:pPr>
        <w:ind w:left="1800" w:hanging="720"/>
      </w:pPr>
      <w:rPr>
        <w:rFonts w:hint="default"/>
      </w:rPr>
    </w:lvl>
    <w:lvl w:ilvl="2" w:tplc="EB62B7C6">
      <w:start w:val="1"/>
      <w:numFmt w:val="decimal"/>
      <w:lvlText w:val="(%3)"/>
      <w:lvlJc w:val="left"/>
      <w:pPr>
        <w:ind w:left="2340" w:hanging="360"/>
      </w:pPr>
      <w:rPr>
        <w:rFonts w:hint="default"/>
      </w:rPr>
    </w:lvl>
    <w:lvl w:ilvl="3" w:tplc="48066F80">
      <w:start w:val="1"/>
      <w:numFmt w:val="lowerLetter"/>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20"/>
  </w:num>
  <w:num w:numId="13">
    <w:abstractNumId w:val="13"/>
  </w:num>
  <w:num w:numId="14">
    <w:abstractNumId w:val="22"/>
  </w:num>
  <w:num w:numId="15">
    <w:abstractNumId w:val="12"/>
  </w:num>
  <w:num w:numId="16">
    <w:abstractNumId w:val="14"/>
  </w:num>
  <w:num w:numId="17">
    <w:abstractNumId w:val="10"/>
  </w:num>
  <w:num w:numId="18">
    <w:abstractNumId w:val="21"/>
  </w:num>
  <w:num w:numId="19">
    <w:abstractNumId w:val="9"/>
  </w:num>
  <w:num w:numId="20">
    <w:abstractNumId w:val="16"/>
  </w:num>
  <w:num w:numId="21">
    <w:abstractNumId w:val="18"/>
  </w:num>
  <w:num w:numId="22">
    <w:abstractNumId w:val="19"/>
  </w:num>
  <w:num w:numId="23">
    <w:abstractNumId w:val="11"/>
  </w:num>
  <w:num w:numId="24">
    <w:abstractNumId w:val="17"/>
  </w:num>
  <w:num w:numId="25">
    <w:abstractNumId w:val="23"/>
  </w:num>
  <w:num w:numId="26">
    <w:abstractNumId w:val="20"/>
  </w:num>
  <w:num w:numId="27">
    <w:abstractNumId w:val="13"/>
  </w:num>
  <w:num w:numId="28">
    <w:abstractNumId w:val="22"/>
  </w:num>
  <w:num w:numId="29">
    <w:abstractNumId w:val="12"/>
  </w:num>
  <w:num w:numId="30">
    <w:abstractNumId w:val="14"/>
  </w:num>
  <w:num w:numId="31">
    <w:abstractNumId w:val="10"/>
  </w:num>
  <w:num w:numId="32">
    <w:abstractNumId w:val="21"/>
  </w:num>
  <w:num w:numId="33">
    <w:abstractNumId w:val="9"/>
  </w:num>
  <w:num w:numId="34">
    <w:abstractNumId w:val="16"/>
  </w:num>
  <w:num w:numId="35">
    <w:abstractNumId w:val="18"/>
  </w:num>
  <w:num w:numId="36">
    <w:abstractNumId w:val="19"/>
  </w:num>
  <w:num w:numId="37">
    <w:abstractNumId w:val="11"/>
  </w:num>
  <w:num w:numId="38">
    <w:abstractNumId w:val="17"/>
  </w:num>
  <w:num w:numId="39">
    <w:abstractNumId w:val="23"/>
  </w:num>
  <w:num w:numId="40">
    <w:abstractNumId w:val="21"/>
  </w:num>
  <w:num w:numId="41">
    <w:abstractNumId w:val="21"/>
  </w:num>
  <w:num w:numId="42">
    <w:abstractNumId w:val="21"/>
  </w:num>
  <w:num w:numId="43">
    <w:abstractNumId w:val="15"/>
  </w:num>
  <w:num w:numId="44">
    <w:abstractNumId w:val="10"/>
  </w:num>
  <w:num w:numId="45">
    <w:abstractNumId w:val="10"/>
  </w:num>
  <w:num w:numId="4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7 14:00:4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6"/>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1851444F-7066-440E-9FDD-BA32FA10486A"/>
    <w:docVar w:name="LW_COVERPAGE_TYPE" w:val="1"/>
    <w:docVar w:name="LW_CROSSREFERENCE" w:val="&lt;UNUSED&gt;"/>
    <w:docVar w:name="LW_DocType" w:val="COM"/>
    <w:docVar w:name="LW_EMISSION" w:val="2022 02 16"/>
    <w:docVar w:name="LW_EMISSION_ISODATE" w:val="2022-02-16"/>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035"/>
    <w:docVar w:name="LW_REF.II.NEW.CP_YEAR" w:val="2022"/>
    <w:docVar w:name="LW_REF.INST.NEW" w:val="COM"/>
    <w:docVar w:name="LW_REF.INST.NEW_ADOPTED" w:val="final"/>
    <w:docVar w:name="LW_REF.INST.NEW_TEXT" w:val="(2022) 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kuriuo iš dalies keičiamas Reglamentas (ES) 2019/833, kuriuo nustatomos išsaugojimo ir vykdymo užtikrinimo priemonės, taikytinos Žvejybos šiaurės vakarų Atlante organizacijos reguliuojamame rajone"/>
    <w:docVar w:name="LW_TYPE.DOC.CP" w:val="EUROPOS PARLAMENTO IR TARYBOS REGLAMENTAS"/>
    <w:docVar w:name="LwApiVersions" w:val="LW4CoDe 1.23.2.0; LW 8.0, Build 20211117"/>
  </w:docVars>
  <w:rsids>
    <w:rsidRoot w:val="001D7DF8"/>
    <w:rsid w:val="00022130"/>
    <w:rsid w:val="0004080A"/>
    <w:rsid w:val="000409E6"/>
    <w:rsid w:val="00045636"/>
    <w:rsid w:val="0004694C"/>
    <w:rsid w:val="00055A7B"/>
    <w:rsid w:val="00064CC5"/>
    <w:rsid w:val="00081178"/>
    <w:rsid w:val="00085557"/>
    <w:rsid w:val="00087756"/>
    <w:rsid w:val="000A432A"/>
    <w:rsid w:val="000A7517"/>
    <w:rsid w:val="000C0FB9"/>
    <w:rsid w:val="000C49E4"/>
    <w:rsid w:val="000C6071"/>
    <w:rsid w:val="000E198E"/>
    <w:rsid w:val="000F628E"/>
    <w:rsid w:val="00107477"/>
    <w:rsid w:val="001119AD"/>
    <w:rsid w:val="001249F0"/>
    <w:rsid w:val="001671E6"/>
    <w:rsid w:val="001704DB"/>
    <w:rsid w:val="001875F2"/>
    <w:rsid w:val="001C1508"/>
    <w:rsid w:val="001C2816"/>
    <w:rsid w:val="001D3D17"/>
    <w:rsid w:val="001D7DF8"/>
    <w:rsid w:val="00217F53"/>
    <w:rsid w:val="00220237"/>
    <w:rsid w:val="00226736"/>
    <w:rsid w:val="00232E98"/>
    <w:rsid w:val="00240D4B"/>
    <w:rsid w:val="00267756"/>
    <w:rsid w:val="00283646"/>
    <w:rsid w:val="00294FD7"/>
    <w:rsid w:val="002C003E"/>
    <w:rsid w:val="002F2A68"/>
    <w:rsid w:val="002F7560"/>
    <w:rsid w:val="00301E81"/>
    <w:rsid w:val="00310694"/>
    <w:rsid w:val="00325693"/>
    <w:rsid w:val="00325BEA"/>
    <w:rsid w:val="00326FED"/>
    <w:rsid w:val="003444F4"/>
    <w:rsid w:val="00350EF1"/>
    <w:rsid w:val="003544C0"/>
    <w:rsid w:val="00355231"/>
    <w:rsid w:val="00365CE6"/>
    <w:rsid w:val="00370198"/>
    <w:rsid w:val="003753E7"/>
    <w:rsid w:val="00394D50"/>
    <w:rsid w:val="003A1A75"/>
    <w:rsid w:val="003B2100"/>
    <w:rsid w:val="003B31F3"/>
    <w:rsid w:val="003B3A46"/>
    <w:rsid w:val="003E4E6D"/>
    <w:rsid w:val="003F571C"/>
    <w:rsid w:val="0041616A"/>
    <w:rsid w:val="0042274D"/>
    <w:rsid w:val="00431B5B"/>
    <w:rsid w:val="00486F6B"/>
    <w:rsid w:val="0049190B"/>
    <w:rsid w:val="004A5098"/>
    <w:rsid w:val="004A6FAA"/>
    <w:rsid w:val="004B285A"/>
    <w:rsid w:val="004D1400"/>
    <w:rsid w:val="004D3C9F"/>
    <w:rsid w:val="004E46D7"/>
    <w:rsid w:val="004F45C9"/>
    <w:rsid w:val="004F5497"/>
    <w:rsid w:val="005141D5"/>
    <w:rsid w:val="005529AB"/>
    <w:rsid w:val="00554D3B"/>
    <w:rsid w:val="0055703E"/>
    <w:rsid w:val="00563C9F"/>
    <w:rsid w:val="0057259D"/>
    <w:rsid w:val="00590EA5"/>
    <w:rsid w:val="005A2BF7"/>
    <w:rsid w:val="005B40C1"/>
    <w:rsid w:val="005B434A"/>
    <w:rsid w:val="005C72D2"/>
    <w:rsid w:val="005D0E96"/>
    <w:rsid w:val="005D571A"/>
    <w:rsid w:val="005E43F8"/>
    <w:rsid w:val="005F5382"/>
    <w:rsid w:val="00601BEF"/>
    <w:rsid w:val="00605FC0"/>
    <w:rsid w:val="006264F0"/>
    <w:rsid w:val="00656628"/>
    <w:rsid w:val="0067201B"/>
    <w:rsid w:val="0070128F"/>
    <w:rsid w:val="00711996"/>
    <w:rsid w:val="007167AA"/>
    <w:rsid w:val="00721D42"/>
    <w:rsid w:val="00731DF4"/>
    <w:rsid w:val="00761325"/>
    <w:rsid w:val="00767E9E"/>
    <w:rsid w:val="007778C7"/>
    <w:rsid w:val="0078163A"/>
    <w:rsid w:val="007853DF"/>
    <w:rsid w:val="00785C0A"/>
    <w:rsid w:val="007916EB"/>
    <w:rsid w:val="007A3888"/>
    <w:rsid w:val="007B2D85"/>
    <w:rsid w:val="007B5B7E"/>
    <w:rsid w:val="007C06F6"/>
    <w:rsid w:val="007F46CA"/>
    <w:rsid w:val="00805F4E"/>
    <w:rsid w:val="00832DB1"/>
    <w:rsid w:val="00837D6A"/>
    <w:rsid w:val="00845F6B"/>
    <w:rsid w:val="00853A6A"/>
    <w:rsid w:val="008619A3"/>
    <w:rsid w:val="00880B18"/>
    <w:rsid w:val="008F3902"/>
    <w:rsid w:val="008F4201"/>
    <w:rsid w:val="008F5B6A"/>
    <w:rsid w:val="00920B52"/>
    <w:rsid w:val="00923F2A"/>
    <w:rsid w:val="00927B81"/>
    <w:rsid w:val="00967A67"/>
    <w:rsid w:val="0097537C"/>
    <w:rsid w:val="00986B33"/>
    <w:rsid w:val="00987AD5"/>
    <w:rsid w:val="009904EB"/>
    <w:rsid w:val="009915EF"/>
    <w:rsid w:val="009B2628"/>
    <w:rsid w:val="009B3A54"/>
    <w:rsid w:val="009B7138"/>
    <w:rsid w:val="009E1262"/>
    <w:rsid w:val="009F653A"/>
    <w:rsid w:val="00A16ADA"/>
    <w:rsid w:val="00A37D5E"/>
    <w:rsid w:val="00A61B3B"/>
    <w:rsid w:val="00A70525"/>
    <w:rsid w:val="00A97254"/>
    <w:rsid w:val="00AA42A2"/>
    <w:rsid w:val="00AB05F8"/>
    <w:rsid w:val="00AE3515"/>
    <w:rsid w:val="00AE6BB7"/>
    <w:rsid w:val="00AF3A60"/>
    <w:rsid w:val="00AF3AE9"/>
    <w:rsid w:val="00AF6203"/>
    <w:rsid w:val="00B0140C"/>
    <w:rsid w:val="00B04146"/>
    <w:rsid w:val="00B05ACF"/>
    <w:rsid w:val="00B51ACC"/>
    <w:rsid w:val="00B56959"/>
    <w:rsid w:val="00B947D2"/>
    <w:rsid w:val="00BB1D06"/>
    <w:rsid w:val="00BD0DA3"/>
    <w:rsid w:val="00BD26C8"/>
    <w:rsid w:val="00BD3827"/>
    <w:rsid w:val="00BE246D"/>
    <w:rsid w:val="00BE29DB"/>
    <w:rsid w:val="00BF17AA"/>
    <w:rsid w:val="00BF1E30"/>
    <w:rsid w:val="00BF6E6E"/>
    <w:rsid w:val="00C079BD"/>
    <w:rsid w:val="00C13CE9"/>
    <w:rsid w:val="00C24556"/>
    <w:rsid w:val="00C63DAD"/>
    <w:rsid w:val="00C90845"/>
    <w:rsid w:val="00CB7360"/>
    <w:rsid w:val="00CC6BA5"/>
    <w:rsid w:val="00D03B92"/>
    <w:rsid w:val="00D339B9"/>
    <w:rsid w:val="00D45C70"/>
    <w:rsid w:val="00D84FCE"/>
    <w:rsid w:val="00DC0001"/>
    <w:rsid w:val="00DC5FAE"/>
    <w:rsid w:val="00DF6BE3"/>
    <w:rsid w:val="00E16FD9"/>
    <w:rsid w:val="00E4485B"/>
    <w:rsid w:val="00E75BA0"/>
    <w:rsid w:val="00E85EC7"/>
    <w:rsid w:val="00EA5844"/>
    <w:rsid w:val="00EA6ED1"/>
    <w:rsid w:val="00F20062"/>
    <w:rsid w:val="00F30741"/>
    <w:rsid w:val="00F52DE2"/>
    <w:rsid w:val="00F53DAF"/>
    <w:rsid w:val="00F8294D"/>
    <w:rsid w:val="00F84768"/>
    <w:rsid w:val="00FA58C6"/>
    <w:rsid w:val="00FA7C1C"/>
    <w:rsid w:val="00FC26E6"/>
    <w:rsid w:val="00FF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C318727"/>
  <w15:docId w15:val="{5B87B054-6526-4810-AE18-A5963BF0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rsid w:val="009B7138"/>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0F628E"/>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rsid w:val="000F628E"/>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rsid w:val="000F628E"/>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
    <w:name w:val="footnotereference"/>
    <w:basedOn w:val="DefaultParagraphFont"/>
    <w:rsid w:val="004F45C9"/>
  </w:style>
  <w:style w:type="paragraph" w:styleId="CommentText">
    <w:name w:val="annotation text"/>
    <w:basedOn w:val="Normal"/>
    <w:link w:val="CommentTextChar"/>
    <w:uiPriority w:val="99"/>
    <w:semiHidden/>
    <w:rsid w:val="00F52DE2"/>
    <w:pPr>
      <w:autoSpaceDE w:val="0"/>
      <w:autoSpaceDN w:val="0"/>
      <w:adjustRightInd w:val="0"/>
      <w:spacing w:before="0" w:line="200" w:lineRule="exact"/>
    </w:pPr>
    <w:rPr>
      <w:rFonts w:asciiTheme="majorHAnsi" w:eastAsia="Times New Roman" w:hAnsiTheme="majorHAnsi"/>
      <w:sz w:val="20"/>
      <w:szCs w:val="18"/>
    </w:rPr>
  </w:style>
  <w:style w:type="character" w:customStyle="1" w:styleId="CommentTextChar">
    <w:name w:val="Comment Text Char"/>
    <w:basedOn w:val="DefaultParagraphFont"/>
    <w:link w:val="CommentText"/>
    <w:uiPriority w:val="99"/>
    <w:semiHidden/>
    <w:rsid w:val="00F52DE2"/>
    <w:rPr>
      <w:rFonts w:asciiTheme="majorHAnsi" w:eastAsia="Times New Roman" w:hAnsiTheme="majorHAnsi" w:cs="Times New Roman"/>
      <w:sz w:val="20"/>
      <w:szCs w:val="18"/>
      <w:lang w:val="lt-LT"/>
    </w:rPr>
  </w:style>
  <w:style w:type="character" w:styleId="CommentReference">
    <w:name w:val="annotation reference"/>
    <w:basedOn w:val="DefaultParagraphFont"/>
    <w:uiPriority w:val="99"/>
    <w:rsid w:val="00F52DE2"/>
    <w:rPr>
      <w:sz w:val="16"/>
      <w:szCs w:val="16"/>
    </w:rPr>
  </w:style>
  <w:style w:type="paragraph" w:customStyle="1" w:styleId="a-zlist">
    <w:name w:val="a-z list"/>
    <w:basedOn w:val="Text1"/>
    <w:link w:val="a-zlistChar"/>
    <w:qFormat/>
    <w:rsid w:val="00F52DE2"/>
    <w:pPr>
      <w:numPr>
        <w:numId w:val="3"/>
      </w:numPr>
      <w:tabs>
        <w:tab w:val="left" w:pos="360"/>
      </w:tabs>
      <w:autoSpaceDE w:val="0"/>
      <w:autoSpaceDN w:val="0"/>
      <w:adjustRightInd w:val="0"/>
      <w:spacing w:before="0" w:after="160" w:line="200" w:lineRule="exact"/>
    </w:pPr>
    <w:rPr>
      <w:rFonts w:asciiTheme="majorHAnsi" w:eastAsia="Times New Roman" w:hAnsiTheme="majorHAnsi"/>
      <w:sz w:val="18"/>
      <w:szCs w:val="18"/>
    </w:rPr>
  </w:style>
  <w:style w:type="character" w:customStyle="1" w:styleId="a-zlistChar">
    <w:name w:val="a-z list Char"/>
    <w:basedOn w:val="DefaultParagraphFont"/>
    <w:link w:val="a-zlist"/>
    <w:rsid w:val="00F52DE2"/>
    <w:rPr>
      <w:rFonts w:asciiTheme="majorHAnsi" w:eastAsia="Times New Roman" w:hAnsiTheme="majorHAnsi" w:cs="Times New Roman"/>
      <w:sz w:val="18"/>
      <w:szCs w:val="18"/>
      <w:lang w:val="lt-LT"/>
    </w:rPr>
  </w:style>
  <w:style w:type="paragraph" w:styleId="BalloonText">
    <w:name w:val="Balloon Text"/>
    <w:basedOn w:val="Normal"/>
    <w:link w:val="BalloonTextChar"/>
    <w:uiPriority w:val="99"/>
    <w:semiHidden/>
    <w:unhideWhenUsed/>
    <w:rsid w:val="00F52DE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DE2"/>
    <w:rPr>
      <w:rFonts w:ascii="Segoe UI" w:hAnsi="Segoe UI" w:cs="Segoe UI"/>
      <w:sz w:val="18"/>
      <w:szCs w:val="18"/>
      <w:lang w:val="lt-LT"/>
    </w:rPr>
  </w:style>
  <w:style w:type="paragraph" w:customStyle="1" w:styleId="numberedlist">
    <w:name w:val="numbered list"/>
    <w:basedOn w:val="Text1"/>
    <w:link w:val="numberedlistChar"/>
    <w:qFormat/>
    <w:rsid w:val="002F7560"/>
    <w:pPr>
      <w:tabs>
        <w:tab w:val="left" w:pos="360"/>
      </w:tabs>
      <w:autoSpaceDE w:val="0"/>
      <w:autoSpaceDN w:val="0"/>
      <w:adjustRightInd w:val="0"/>
      <w:spacing w:before="0" w:after="160" w:line="200" w:lineRule="exact"/>
      <w:ind w:left="0"/>
    </w:pPr>
    <w:rPr>
      <w:rFonts w:asciiTheme="majorHAnsi" w:eastAsia="Times New Roman" w:hAnsiTheme="majorHAnsi"/>
      <w:sz w:val="18"/>
      <w:szCs w:val="18"/>
    </w:rPr>
  </w:style>
  <w:style w:type="character" w:customStyle="1" w:styleId="numberedlistChar">
    <w:name w:val="numbered list Char"/>
    <w:basedOn w:val="DefaultParagraphFont"/>
    <w:link w:val="numberedlist"/>
    <w:rsid w:val="002F7560"/>
    <w:rPr>
      <w:rFonts w:asciiTheme="majorHAnsi" w:eastAsia="Times New Roman" w:hAnsiTheme="majorHAnsi" w:cs="Times New Roman"/>
      <w:sz w:val="18"/>
      <w:szCs w:val="18"/>
      <w:lang w:val="lt-LT"/>
    </w:rPr>
  </w:style>
  <w:style w:type="paragraph" w:styleId="ListBullet">
    <w:name w:val="List Bullet"/>
    <w:basedOn w:val="Normal"/>
    <w:uiPriority w:val="99"/>
    <w:semiHidden/>
    <w:unhideWhenUsed/>
    <w:rsid w:val="00A61B3B"/>
    <w:pPr>
      <w:numPr>
        <w:numId w:val="4"/>
      </w:numPr>
      <w:contextualSpacing/>
    </w:pPr>
  </w:style>
  <w:style w:type="paragraph" w:styleId="ListBullet2">
    <w:name w:val="List Bullet 2"/>
    <w:basedOn w:val="Normal"/>
    <w:uiPriority w:val="99"/>
    <w:semiHidden/>
    <w:unhideWhenUsed/>
    <w:rsid w:val="00A61B3B"/>
    <w:pPr>
      <w:numPr>
        <w:numId w:val="5"/>
      </w:numPr>
      <w:contextualSpacing/>
    </w:pPr>
  </w:style>
  <w:style w:type="paragraph" w:styleId="ListBullet3">
    <w:name w:val="List Bullet 3"/>
    <w:basedOn w:val="Normal"/>
    <w:uiPriority w:val="99"/>
    <w:semiHidden/>
    <w:unhideWhenUsed/>
    <w:rsid w:val="00A61B3B"/>
    <w:pPr>
      <w:numPr>
        <w:numId w:val="6"/>
      </w:numPr>
      <w:contextualSpacing/>
    </w:pPr>
  </w:style>
  <w:style w:type="paragraph" w:styleId="ListBullet4">
    <w:name w:val="List Bullet 4"/>
    <w:basedOn w:val="Normal"/>
    <w:uiPriority w:val="99"/>
    <w:semiHidden/>
    <w:unhideWhenUsed/>
    <w:rsid w:val="00A61B3B"/>
    <w:pPr>
      <w:numPr>
        <w:numId w:val="7"/>
      </w:numPr>
      <w:contextualSpacing/>
    </w:pPr>
  </w:style>
  <w:style w:type="paragraph" w:styleId="CommentSubject">
    <w:name w:val="annotation subject"/>
    <w:basedOn w:val="CommentText"/>
    <w:next w:val="CommentText"/>
    <w:link w:val="CommentSubjectChar"/>
    <w:uiPriority w:val="99"/>
    <w:semiHidden/>
    <w:unhideWhenUsed/>
    <w:rsid w:val="005141D5"/>
    <w:pPr>
      <w:autoSpaceDE/>
      <w:autoSpaceDN/>
      <w:adjustRightInd/>
      <w:spacing w:before="120" w:line="240" w:lineRule="auto"/>
    </w:pPr>
    <w:rPr>
      <w:rFonts w:ascii="Times New Roman" w:eastAsiaTheme="minorHAnsi" w:hAnsi="Times New Roman"/>
      <w:b/>
      <w:bCs/>
      <w:szCs w:val="20"/>
    </w:rPr>
  </w:style>
  <w:style w:type="character" w:customStyle="1" w:styleId="CommentSubjectChar">
    <w:name w:val="Comment Subject Char"/>
    <w:basedOn w:val="CommentTextChar"/>
    <w:link w:val="CommentSubject"/>
    <w:uiPriority w:val="99"/>
    <w:semiHidden/>
    <w:rsid w:val="005141D5"/>
    <w:rPr>
      <w:rFonts w:ascii="Times New Roman" w:eastAsia="Times New Roman" w:hAnsi="Times New Roman" w:cs="Times New Roman"/>
      <w:b/>
      <w:bCs/>
      <w:sz w:val="20"/>
      <w:szCs w:val="20"/>
      <w:lang w:val="lt-LT"/>
    </w:r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styleId="Caption">
    <w:name w:val="caption"/>
    <w:basedOn w:val="Normal"/>
    <w:next w:val="Normal"/>
    <w:uiPriority w:val="35"/>
    <w:semiHidden/>
    <w:unhideWhenUsed/>
    <w:qFormat/>
    <w:rsid w:val="00A16AD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16ADA"/>
    <w:pPr>
      <w:spacing w:after="0"/>
    </w:pPr>
  </w:style>
  <w:style w:type="paragraph" w:styleId="ListNumber">
    <w:name w:val="List Number"/>
    <w:basedOn w:val="Normal"/>
    <w:uiPriority w:val="99"/>
    <w:semiHidden/>
    <w:unhideWhenUsed/>
    <w:rsid w:val="00A16ADA"/>
    <w:pPr>
      <w:numPr>
        <w:numId w:val="8"/>
      </w:numPr>
      <w:contextualSpacing/>
    </w:pPr>
  </w:style>
  <w:style w:type="paragraph" w:styleId="ListNumber2">
    <w:name w:val="List Number 2"/>
    <w:basedOn w:val="Normal"/>
    <w:uiPriority w:val="99"/>
    <w:semiHidden/>
    <w:unhideWhenUsed/>
    <w:rsid w:val="00A16ADA"/>
    <w:pPr>
      <w:numPr>
        <w:numId w:val="9"/>
      </w:numPr>
      <w:contextualSpacing/>
    </w:pPr>
  </w:style>
  <w:style w:type="paragraph" w:styleId="ListNumber3">
    <w:name w:val="List Number 3"/>
    <w:basedOn w:val="Normal"/>
    <w:uiPriority w:val="99"/>
    <w:semiHidden/>
    <w:unhideWhenUsed/>
    <w:rsid w:val="00A16ADA"/>
    <w:pPr>
      <w:numPr>
        <w:numId w:val="10"/>
      </w:numPr>
      <w:contextualSpacing/>
    </w:pPr>
  </w:style>
  <w:style w:type="paragraph" w:styleId="ListNumber4">
    <w:name w:val="List Number 4"/>
    <w:basedOn w:val="Normal"/>
    <w:uiPriority w:val="99"/>
    <w:semiHidden/>
    <w:unhideWhenUsed/>
    <w:rsid w:val="00A16ADA"/>
    <w:pPr>
      <w:numPr>
        <w:numId w:val="11"/>
      </w:numPr>
      <w:contextualSpacing/>
    </w:pPr>
  </w:style>
  <w:style w:type="character" w:styleId="Hyperlink">
    <w:name w:val="Hyperlink"/>
    <w:basedOn w:val="DefaultParagraphFont"/>
    <w:uiPriority w:val="99"/>
    <w:unhideWhenUsed/>
    <w:rsid w:val="00325BEA"/>
    <w:rPr>
      <w:color w:val="0000FF" w:themeColor="hyperlink"/>
      <w:u w:val="single"/>
    </w:rPr>
  </w:style>
  <w:style w:type="paragraph" w:customStyle="1" w:styleId="norm">
    <w:name w:val="norm"/>
    <w:basedOn w:val="Normal"/>
    <w:rsid w:val="00927B81"/>
    <w:pPr>
      <w:spacing w:before="100" w:beforeAutospacing="1" w:after="100" w:afterAutospacing="1"/>
      <w:jc w:val="left"/>
    </w:pPr>
    <w:rPr>
      <w:rFonts w:eastAsia="Times New Roman"/>
      <w:szCs w:val="24"/>
      <w:lang w:eastAsia="en-IE"/>
    </w:rPr>
  </w:style>
  <w:style w:type="paragraph" w:customStyle="1" w:styleId="hidden-xs">
    <w:name w:val="hidden-xs"/>
    <w:basedOn w:val="Normal"/>
    <w:rsid w:val="00240D4B"/>
    <w:pPr>
      <w:spacing w:before="100" w:beforeAutospacing="1" w:after="100" w:afterAutospacing="1"/>
      <w:jc w:val="left"/>
    </w:pPr>
    <w:rPr>
      <w:rFonts w:eastAsia="Times New Roman"/>
      <w:szCs w:val="24"/>
      <w:lang w:eastAsia="en-IE"/>
    </w:rPr>
  </w:style>
  <w:style w:type="paragraph" w:styleId="Revision">
    <w:name w:val="Revision"/>
    <w:hidden/>
    <w:uiPriority w:val="99"/>
    <w:semiHidden/>
    <w:rsid w:val="008619A3"/>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BF1E30"/>
    <w:pPr>
      <w:tabs>
        <w:tab w:val="center" w:pos="4535"/>
        <w:tab w:val="right" w:pos="9071"/>
      </w:tabs>
      <w:spacing w:before="0"/>
    </w:pPr>
  </w:style>
  <w:style w:type="character" w:customStyle="1" w:styleId="HeaderChar">
    <w:name w:val="Header Char"/>
    <w:basedOn w:val="DefaultParagraphFont"/>
    <w:link w:val="Header"/>
    <w:uiPriority w:val="99"/>
    <w:rsid w:val="00BF1E30"/>
    <w:rPr>
      <w:rFonts w:ascii="Times New Roman" w:hAnsi="Times New Roman" w:cs="Times New Roman"/>
      <w:sz w:val="24"/>
      <w:lang w:val="lt-LT"/>
    </w:rPr>
  </w:style>
  <w:style w:type="paragraph" w:styleId="Footer">
    <w:name w:val="footer"/>
    <w:basedOn w:val="Normal"/>
    <w:link w:val="FooterChar"/>
    <w:uiPriority w:val="99"/>
    <w:unhideWhenUsed/>
    <w:rsid w:val="00BF1E3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F1E30"/>
    <w:rPr>
      <w:rFonts w:ascii="Times New Roman" w:hAnsi="Times New Roman" w:cs="Times New Roman"/>
      <w:sz w:val="24"/>
      <w:lang w:val="lt-L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BF1E30"/>
    <w:pPr>
      <w:tabs>
        <w:tab w:val="center" w:pos="7285"/>
        <w:tab w:val="right" w:pos="14003"/>
      </w:tabs>
      <w:spacing w:before="0"/>
    </w:pPr>
  </w:style>
  <w:style w:type="paragraph" w:customStyle="1" w:styleId="FooterLandscape">
    <w:name w:val="FooterLandscape"/>
    <w:basedOn w:val="Normal"/>
    <w:rsid w:val="00BF1E30"/>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BF1E3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F1E30"/>
    <w:pPr>
      <w:spacing w:before="0"/>
      <w:jc w:val="right"/>
    </w:pPr>
    <w:rPr>
      <w:sz w:val="28"/>
    </w:rPr>
  </w:style>
  <w:style w:type="paragraph" w:customStyle="1" w:styleId="FooterSensitivity">
    <w:name w:val="Footer Sensitivity"/>
    <w:basedOn w:val="Normal"/>
    <w:rsid w:val="00BF1E3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6"/>
      </w:numPr>
    </w:pPr>
  </w:style>
  <w:style w:type="paragraph" w:customStyle="1" w:styleId="Tiret1">
    <w:name w:val="Tiret 1"/>
    <w:basedOn w:val="Point1"/>
    <w:rsid w:val="009B7138"/>
    <w:pPr>
      <w:numPr>
        <w:numId w:val="27"/>
      </w:numPr>
    </w:pPr>
  </w:style>
  <w:style w:type="paragraph" w:customStyle="1" w:styleId="Tiret2">
    <w:name w:val="Tiret 2"/>
    <w:basedOn w:val="Point2"/>
    <w:rsid w:val="009B7138"/>
    <w:pPr>
      <w:numPr>
        <w:numId w:val="28"/>
      </w:numPr>
    </w:pPr>
  </w:style>
  <w:style w:type="paragraph" w:customStyle="1" w:styleId="Tiret3">
    <w:name w:val="Tiret 3"/>
    <w:basedOn w:val="Point3"/>
    <w:rsid w:val="009B7138"/>
    <w:pPr>
      <w:numPr>
        <w:numId w:val="29"/>
      </w:numPr>
    </w:pPr>
  </w:style>
  <w:style w:type="paragraph" w:customStyle="1" w:styleId="Tiret4">
    <w:name w:val="Tiret 4"/>
    <w:basedOn w:val="Point4"/>
    <w:rsid w:val="009B7138"/>
    <w:pPr>
      <w:numPr>
        <w:numId w:val="3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6"/>
      </w:numPr>
    </w:pPr>
  </w:style>
  <w:style w:type="paragraph" w:customStyle="1" w:styleId="NumPar2">
    <w:name w:val="NumPar 2"/>
    <w:basedOn w:val="Normal"/>
    <w:next w:val="Text1"/>
    <w:rsid w:val="009B7138"/>
    <w:pPr>
      <w:numPr>
        <w:ilvl w:val="1"/>
        <w:numId w:val="46"/>
      </w:numPr>
    </w:pPr>
  </w:style>
  <w:style w:type="paragraph" w:customStyle="1" w:styleId="NumPar3">
    <w:name w:val="NumPar 3"/>
    <w:basedOn w:val="Normal"/>
    <w:next w:val="Text1"/>
    <w:rsid w:val="009B7138"/>
    <w:pPr>
      <w:numPr>
        <w:ilvl w:val="2"/>
        <w:numId w:val="46"/>
      </w:numPr>
    </w:pPr>
  </w:style>
  <w:style w:type="paragraph" w:customStyle="1" w:styleId="NumPar4">
    <w:name w:val="NumPar 4"/>
    <w:basedOn w:val="Normal"/>
    <w:next w:val="Text1"/>
    <w:rsid w:val="009B7138"/>
    <w:pPr>
      <w:numPr>
        <w:ilvl w:val="3"/>
        <w:numId w:val="4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022130"/>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3"/>
      </w:numPr>
    </w:pPr>
  </w:style>
  <w:style w:type="paragraph" w:customStyle="1" w:styleId="Point1number">
    <w:name w:val="Point 1 (number)"/>
    <w:basedOn w:val="Normal"/>
    <w:rsid w:val="009B7138"/>
    <w:pPr>
      <w:numPr>
        <w:ilvl w:val="2"/>
        <w:numId w:val="33"/>
      </w:numPr>
    </w:pPr>
  </w:style>
  <w:style w:type="paragraph" w:customStyle="1" w:styleId="Point2number">
    <w:name w:val="Point 2 (number)"/>
    <w:basedOn w:val="Normal"/>
    <w:rsid w:val="009B7138"/>
    <w:pPr>
      <w:numPr>
        <w:ilvl w:val="4"/>
        <w:numId w:val="33"/>
      </w:numPr>
    </w:pPr>
  </w:style>
  <w:style w:type="paragraph" w:customStyle="1" w:styleId="Point3number">
    <w:name w:val="Point 3 (number)"/>
    <w:basedOn w:val="Normal"/>
    <w:rsid w:val="009B7138"/>
    <w:pPr>
      <w:numPr>
        <w:ilvl w:val="6"/>
        <w:numId w:val="33"/>
      </w:numPr>
    </w:pPr>
  </w:style>
  <w:style w:type="paragraph" w:customStyle="1" w:styleId="Point0letter">
    <w:name w:val="Point 0 (letter)"/>
    <w:basedOn w:val="Normal"/>
    <w:rsid w:val="009B7138"/>
    <w:pPr>
      <w:numPr>
        <w:ilvl w:val="1"/>
        <w:numId w:val="33"/>
      </w:numPr>
    </w:pPr>
  </w:style>
  <w:style w:type="paragraph" w:customStyle="1" w:styleId="Point1letter">
    <w:name w:val="Point 1 (letter)"/>
    <w:basedOn w:val="Normal"/>
    <w:rsid w:val="009B7138"/>
    <w:pPr>
      <w:numPr>
        <w:ilvl w:val="3"/>
        <w:numId w:val="33"/>
      </w:numPr>
    </w:pPr>
  </w:style>
  <w:style w:type="paragraph" w:customStyle="1" w:styleId="Point2letter">
    <w:name w:val="Point 2 (letter)"/>
    <w:basedOn w:val="Normal"/>
    <w:rsid w:val="009B7138"/>
    <w:pPr>
      <w:numPr>
        <w:ilvl w:val="5"/>
        <w:numId w:val="33"/>
      </w:numPr>
    </w:pPr>
  </w:style>
  <w:style w:type="paragraph" w:customStyle="1" w:styleId="Point3letter">
    <w:name w:val="Point 3 (letter)"/>
    <w:basedOn w:val="Normal"/>
    <w:rsid w:val="009B7138"/>
    <w:pPr>
      <w:numPr>
        <w:ilvl w:val="7"/>
        <w:numId w:val="33"/>
      </w:numPr>
    </w:pPr>
  </w:style>
  <w:style w:type="paragraph" w:customStyle="1" w:styleId="Point4letter">
    <w:name w:val="Point 4 (letter)"/>
    <w:basedOn w:val="Normal"/>
    <w:rsid w:val="009B7138"/>
    <w:pPr>
      <w:numPr>
        <w:ilvl w:val="8"/>
        <w:numId w:val="33"/>
      </w:numPr>
    </w:pPr>
  </w:style>
  <w:style w:type="paragraph" w:customStyle="1" w:styleId="Bullet0">
    <w:name w:val="Bullet 0"/>
    <w:basedOn w:val="Normal"/>
    <w:rsid w:val="009B7138"/>
    <w:pPr>
      <w:numPr>
        <w:numId w:val="34"/>
      </w:numPr>
    </w:pPr>
  </w:style>
  <w:style w:type="paragraph" w:customStyle="1" w:styleId="Bullet1">
    <w:name w:val="Bullet 1"/>
    <w:basedOn w:val="Normal"/>
    <w:rsid w:val="009B7138"/>
    <w:pPr>
      <w:numPr>
        <w:numId w:val="35"/>
      </w:numPr>
    </w:pPr>
  </w:style>
  <w:style w:type="paragraph" w:customStyle="1" w:styleId="Bullet2">
    <w:name w:val="Bullet 2"/>
    <w:basedOn w:val="Normal"/>
    <w:rsid w:val="009B7138"/>
    <w:pPr>
      <w:numPr>
        <w:numId w:val="36"/>
      </w:numPr>
    </w:pPr>
  </w:style>
  <w:style w:type="paragraph" w:customStyle="1" w:styleId="Bullet3">
    <w:name w:val="Bullet 3"/>
    <w:basedOn w:val="Normal"/>
    <w:rsid w:val="009B7138"/>
    <w:pPr>
      <w:numPr>
        <w:numId w:val="37"/>
      </w:numPr>
    </w:pPr>
  </w:style>
  <w:style w:type="paragraph" w:customStyle="1" w:styleId="Bullet4">
    <w:name w:val="Bullet 4"/>
    <w:basedOn w:val="Normal"/>
    <w:rsid w:val="009B7138"/>
    <w:pPr>
      <w:numPr>
        <w:numId w:val="3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0F628E"/>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sid w:val="000F628E"/>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sid w:val="000F628E"/>
    <w:rPr>
      <w:rFonts w:ascii="Times New Roman" w:eastAsiaTheme="majorEastAsia" w:hAnsi="Times New Roman" w:cs="Times New Roman"/>
      <w:iCs/>
      <w:sz w:val="24"/>
      <w:lang w:val="lt-LT"/>
    </w:rPr>
  </w:style>
  <w:style w:type="paragraph" w:customStyle="1" w:styleId="ManualHeading5">
    <w:name w:val="Manual Heading 5"/>
    <w:basedOn w:val="Normal"/>
    <w:next w:val="Text2"/>
    <w:rsid w:val="000F628E"/>
    <w:pPr>
      <w:keepNext/>
      <w:tabs>
        <w:tab w:val="left" w:pos="1417"/>
      </w:tabs>
      <w:ind w:left="1417" w:hanging="1417"/>
      <w:outlineLvl w:val="4"/>
    </w:pPr>
  </w:style>
  <w:style w:type="paragraph" w:customStyle="1" w:styleId="ManualHeading6">
    <w:name w:val="Manual Heading 6"/>
    <w:basedOn w:val="Normal"/>
    <w:next w:val="Text2"/>
    <w:rsid w:val="000F628E"/>
    <w:pPr>
      <w:keepNext/>
      <w:tabs>
        <w:tab w:val="left" w:pos="1417"/>
      </w:tabs>
      <w:ind w:left="1417" w:hanging="1417"/>
      <w:outlineLvl w:val="5"/>
    </w:pPr>
  </w:style>
  <w:style w:type="paragraph" w:customStyle="1" w:styleId="ManualHeading7">
    <w:name w:val="Manual Heading 7"/>
    <w:basedOn w:val="Normal"/>
    <w:next w:val="Text2"/>
    <w:rsid w:val="000F628E"/>
    <w:pPr>
      <w:keepNext/>
      <w:tabs>
        <w:tab w:val="left" w:pos="1417"/>
      </w:tabs>
      <w:ind w:left="1417" w:hanging="1417"/>
      <w:outlineLvl w:val="6"/>
    </w:pPr>
  </w:style>
  <w:style w:type="paragraph" w:customStyle="1" w:styleId="Text5">
    <w:name w:val="Text 5"/>
    <w:basedOn w:val="Normal"/>
    <w:rsid w:val="000F628E"/>
    <w:pPr>
      <w:ind w:left="3118"/>
    </w:pPr>
  </w:style>
  <w:style w:type="paragraph" w:customStyle="1" w:styleId="Text6">
    <w:name w:val="Text 6"/>
    <w:basedOn w:val="Normal"/>
    <w:rsid w:val="000F628E"/>
    <w:pPr>
      <w:ind w:left="3685"/>
    </w:pPr>
  </w:style>
  <w:style w:type="paragraph" w:customStyle="1" w:styleId="Point5">
    <w:name w:val="Point 5"/>
    <w:basedOn w:val="Normal"/>
    <w:rsid w:val="000F628E"/>
    <w:pPr>
      <w:ind w:left="3685" w:hanging="567"/>
    </w:pPr>
  </w:style>
  <w:style w:type="paragraph" w:customStyle="1" w:styleId="Tiret5">
    <w:name w:val="Tiret 5"/>
    <w:basedOn w:val="Point5"/>
    <w:rsid w:val="000F628E"/>
    <w:pPr>
      <w:numPr>
        <w:numId w:val="43"/>
      </w:numPr>
    </w:pPr>
  </w:style>
  <w:style w:type="paragraph" w:customStyle="1" w:styleId="NumPar5">
    <w:name w:val="NumPar 5"/>
    <w:basedOn w:val="Normal"/>
    <w:next w:val="Text2"/>
    <w:rsid w:val="000F628E"/>
    <w:pPr>
      <w:numPr>
        <w:ilvl w:val="4"/>
        <w:numId w:val="46"/>
      </w:numPr>
    </w:pPr>
  </w:style>
  <w:style w:type="paragraph" w:customStyle="1" w:styleId="NumPar6">
    <w:name w:val="NumPar 6"/>
    <w:basedOn w:val="Normal"/>
    <w:next w:val="Text2"/>
    <w:rsid w:val="000F628E"/>
    <w:pPr>
      <w:numPr>
        <w:ilvl w:val="5"/>
        <w:numId w:val="46"/>
      </w:numPr>
    </w:pPr>
  </w:style>
  <w:style w:type="paragraph" w:customStyle="1" w:styleId="NumPar7">
    <w:name w:val="NumPar 7"/>
    <w:basedOn w:val="Normal"/>
    <w:next w:val="Text2"/>
    <w:rsid w:val="000F628E"/>
    <w:pPr>
      <w:numPr>
        <w:ilvl w:val="6"/>
        <w:numId w:val="46"/>
      </w:numPr>
    </w:pPr>
  </w:style>
  <w:style w:type="paragraph" w:customStyle="1" w:styleId="ManualNumPar5">
    <w:name w:val="Manual NumPar 5"/>
    <w:basedOn w:val="Normal"/>
    <w:next w:val="Text2"/>
    <w:rsid w:val="000F628E"/>
    <w:pPr>
      <w:ind w:left="1417" w:hanging="1417"/>
    </w:pPr>
  </w:style>
  <w:style w:type="paragraph" w:customStyle="1" w:styleId="ManualNumPar6">
    <w:name w:val="Manual NumPar 6"/>
    <w:basedOn w:val="Normal"/>
    <w:next w:val="Text2"/>
    <w:rsid w:val="000F628E"/>
    <w:pPr>
      <w:ind w:left="1417" w:hanging="1417"/>
    </w:pPr>
  </w:style>
  <w:style w:type="paragraph" w:customStyle="1" w:styleId="ManualNumPar7">
    <w:name w:val="Manual NumPar 7"/>
    <w:basedOn w:val="Normal"/>
    <w:next w:val="Text2"/>
    <w:rsid w:val="000F628E"/>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7943">
      <w:bodyDiv w:val="1"/>
      <w:marLeft w:val="0"/>
      <w:marRight w:val="0"/>
      <w:marTop w:val="0"/>
      <w:marBottom w:val="0"/>
      <w:divBdr>
        <w:top w:val="none" w:sz="0" w:space="0" w:color="auto"/>
        <w:left w:val="none" w:sz="0" w:space="0" w:color="auto"/>
        <w:bottom w:val="none" w:sz="0" w:space="0" w:color="auto"/>
        <w:right w:val="none" w:sz="0" w:space="0" w:color="auto"/>
      </w:divBdr>
    </w:div>
    <w:div w:id="822047890">
      <w:bodyDiv w:val="1"/>
      <w:marLeft w:val="0"/>
      <w:marRight w:val="0"/>
      <w:marTop w:val="0"/>
      <w:marBottom w:val="0"/>
      <w:divBdr>
        <w:top w:val="none" w:sz="0" w:space="0" w:color="auto"/>
        <w:left w:val="none" w:sz="0" w:space="0" w:color="auto"/>
        <w:bottom w:val="none" w:sz="0" w:space="0" w:color="auto"/>
        <w:right w:val="none" w:sz="0" w:space="0" w:color="auto"/>
      </w:divBdr>
    </w:div>
    <w:div w:id="1635284481">
      <w:bodyDiv w:val="1"/>
      <w:marLeft w:val="0"/>
      <w:marRight w:val="0"/>
      <w:marTop w:val="0"/>
      <w:marBottom w:val="0"/>
      <w:divBdr>
        <w:top w:val="none" w:sz="0" w:space="0" w:color="auto"/>
        <w:left w:val="none" w:sz="0" w:space="0" w:color="auto"/>
        <w:bottom w:val="none" w:sz="0" w:space="0" w:color="auto"/>
        <w:right w:val="none" w:sz="0" w:space="0" w:color="auto"/>
      </w:divBdr>
    </w:div>
    <w:div w:id="1826510926">
      <w:bodyDiv w:val="1"/>
      <w:marLeft w:val="0"/>
      <w:marRight w:val="0"/>
      <w:marTop w:val="0"/>
      <w:marBottom w:val="0"/>
      <w:divBdr>
        <w:top w:val="none" w:sz="0" w:space="0" w:color="auto"/>
        <w:left w:val="none" w:sz="0" w:space="0" w:color="auto"/>
        <w:bottom w:val="none" w:sz="0" w:space="0" w:color="auto"/>
        <w:right w:val="none" w:sz="0" w:space="0" w:color="auto"/>
      </w:divBdr>
      <w:divsChild>
        <w:div w:id="1393429875">
          <w:marLeft w:val="0"/>
          <w:marRight w:val="0"/>
          <w:marTop w:val="120"/>
          <w:marBottom w:val="0"/>
          <w:divBdr>
            <w:top w:val="none" w:sz="0" w:space="0" w:color="auto"/>
            <w:left w:val="none" w:sz="0" w:space="0" w:color="auto"/>
            <w:bottom w:val="none" w:sz="0" w:space="0" w:color="auto"/>
            <w:right w:val="none" w:sz="0" w:space="0" w:color="auto"/>
          </w:divBdr>
        </w:div>
        <w:div w:id="328100664">
          <w:marLeft w:val="0"/>
          <w:marRight w:val="0"/>
          <w:marTop w:val="0"/>
          <w:marBottom w:val="0"/>
          <w:divBdr>
            <w:top w:val="none" w:sz="0" w:space="0" w:color="auto"/>
            <w:left w:val="none" w:sz="0" w:space="0" w:color="auto"/>
            <w:bottom w:val="none" w:sz="0" w:space="0" w:color="auto"/>
            <w:right w:val="none" w:sz="0" w:space="0" w:color="auto"/>
          </w:divBdr>
        </w:div>
      </w:divsChild>
    </w:div>
    <w:div w:id="21456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1A74E5-6B52-4AB4-8843-3B42CDBD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1776</Words>
  <Characters>12151</Characters>
  <Application>Microsoft Office Word</Application>
  <DocSecurity>0</DocSecurity>
  <Lines>220</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2022-01-31T15:51:00Z</dcterms:created>
  <dcterms:modified xsi:type="dcterms:W3CDTF">2022-02-07T13:00:00Z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